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85F" w:rsidRPr="00985300" w:rsidRDefault="00F36AD2">
      <w:pPr>
        <w:tabs>
          <w:tab w:val="left" w:pos="0"/>
        </w:tabs>
        <w:spacing w:line="360" w:lineRule="auto"/>
        <w:jc w:val="both"/>
        <w:rPr>
          <w:rFonts w:ascii="Palatino Linotype" w:eastAsia="Palatino Linotype" w:hAnsi="Palatino Linotype" w:cs="Palatino Linotype"/>
        </w:rPr>
      </w:pPr>
      <w:bookmarkStart w:id="0" w:name="_GoBack"/>
      <w:bookmarkEnd w:id="0"/>
      <w:r w:rsidRPr="0098530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985300">
        <w:rPr>
          <w:rFonts w:ascii="Palatino Linotype" w:eastAsia="Palatino Linotype" w:hAnsi="Palatino Linotype" w:cs="Palatino Linotype"/>
        </w:rPr>
        <w:t>n Metepec, Estado de México; de fecha</w:t>
      </w:r>
      <w:r w:rsidRPr="00985300">
        <w:rPr>
          <w:rFonts w:ascii="Palatino Linotype" w:eastAsia="Palatino Linotype" w:hAnsi="Palatino Linotype" w:cs="Palatino Linotype"/>
        </w:rPr>
        <w:t xml:space="preserve"> </w:t>
      </w:r>
      <w:r w:rsidRPr="00985300">
        <w:rPr>
          <w:rFonts w:ascii="Palatino Linotype" w:eastAsia="Palatino Linotype" w:hAnsi="Palatino Linotype" w:cs="Palatino Linotype"/>
          <w:b/>
          <w:bCs/>
        </w:rPr>
        <w:t xml:space="preserve">once </w:t>
      </w:r>
      <w:r w:rsidR="00985300">
        <w:rPr>
          <w:rFonts w:ascii="Palatino Linotype" w:eastAsia="Palatino Linotype" w:hAnsi="Palatino Linotype" w:cs="Palatino Linotype"/>
          <w:b/>
          <w:bCs/>
        </w:rPr>
        <w:t xml:space="preserve">(11) </w:t>
      </w:r>
      <w:r w:rsidRPr="00985300">
        <w:rPr>
          <w:rFonts w:ascii="Palatino Linotype" w:eastAsia="Palatino Linotype" w:hAnsi="Palatino Linotype" w:cs="Palatino Linotype"/>
          <w:b/>
          <w:bCs/>
        </w:rPr>
        <w:t>de marzo de dos mil veintiséis.</w:t>
      </w:r>
      <w:r w:rsidRPr="00985300">
        <w:rPr>
          <w:rFonts w:ascii="Palatino Linotype" w:eastAsia="Palatino Linotype" w:hAnsi="Palatino Linotype" w:cs="Palatino Linotype"/>
        </w:rPr>
        <w:t xml:space="preserve"> </w:t>
      </w:r>
    </w:p>
    <w:p w:rsidR="002D485F" w:rsidRPr="00985300" w:rsidRDefault="002D485F">
      <w:pPr>
        <w:tabs>
          <w:tab w:val="left" w:pos="0"/>
        </w:tabs>
        <w:spacing w:line="360" w:lineRule="auto"/>
        <w:jc w:val="both"/>
        <w:rPr>
          <w:rFonts w:ascii="Palatino Linotype" w:eastAsia="Palatino Linotype" w:hAnsi="Palatino Linotype" w:cs="Palatino Linotype"/>
        </w:rPr>
      </w:pPr>
    </w:p>
    <w:p w:rsidR="002D485F" w:rsidRPr="00985300" w:rsidRDefault="00F36AD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VISTO</w:t>
      </w:r>
      <w:r w:rsidRPr="00985300">
        <w:rPr>
          <w:rFonts w:ascii="Palatino Linotype" w:eastAsia="Palatino Linotype" w:hAnsi="Palatino Linotype" w:cs="Palatino Linotype"/>
          <w:color w:val="000000"/>
        </w:rPr>
        <w:t xml:space="preserve"> el expediente electrónico formado con motivo del recurso de revisión </w:t>
      </w:r>
      <w:r w:rsidRPr="00985300">
        <w:rPr>
          <w:rFonts w:ascii="Palatino Linotype" w:eastAsia="Palatino Linotype" w:hAnsi="Palatino Linotype" w:cs="Palatino Linotype"/>
          <w:b/>
          <w:bCs/>
          <w:color w:val="000000"/>
        </w:rPr>
        <w:t xml:space="preserve">09208/INFOEM/IP/RR/2025, </w:t>
      </w:r>
      <w:r w:rsidRPr="00985300">
        <w:rPr>
          <w:rFonts w:ascii="Palatino Linotype" w:eastAsia="Palatino Linotype" w:hAnsi="Palatino Linotype" w:cs="Palatino Linotype"/>
          <w:color w:val="000000"/>
        </w:rPr>
        <w:t xml:space="preserve">promovido por </w:t>
      </w:r>
      <w:r w:rsidR="00A129A7">
        <w:rPr>
          <w:rFonts w:ascii="Palatino Linotype" w:eastAsia="Palatino Linotype" w:hAnsi="Palatino Linotype" w:cs="Palatino Linotype"/>
          <w:b/>
          <w:bCs/>
        </w:rPr>
        <w:t>XXXX</w:t>
      </w:r>
      <w:r w:rsidRPr="00985300">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985300">
        <w:rPr>
          <w:rFonts w:ascii="Palatino Linotype" w:eastAsia="Palatino Linotype" w:hAnsi="Palatino Linotype" w:cs="Palatino Linotype"/>
          <w:b/>
          <w:bCs/>
          <w:color w:val="000000"/>
        </w:rPr>
        <w:t>EL RECURRENTE</w:t>
      </w:r>
      <w:r w:rsidRPr="00985300">
        <w:rPr>
          <w:rFonts w:ascii="Palatino Linotype" w:eastAsia="Palatino Linotype" w:hAnsi="Palatino Linotype" w:cs="Palatino Linotype"/>
          <w:color w:val="000000"/>
        </w:rPr>
        <w:t xml:space="preserve">, en contra de las respuestas de la </w:t>
      </w:r>
      <w:r w:rsidRPr="00985300">
        <w:rPr>
          <w:rFonts w:ascii="Palatino Linotype" w:eastAsia="Palatino Linotype" w:hAnsi="Palatino Linotype" w:cs="Palatino Linotype"/>
          <w:b/>
          <w:bCs/>
          <w:color w:val="000000"/>
        </w:rPr>
        <w:t>Secretaría del Campo</w:t>
      </w:r>
      <w:r w:rsidRPr="00985300">
        <w:rPr>
          <w:rFonts w:ascii="Palatino Linotype" w:eastAsia="Palatino Linotype" w:hAnsi="Palatino Linotype" w:cs="Palatino Linotype"/>
          <w:color w:val="000000"/>
        </w:rPr>
        <w:t xml:space="preserve">, en </w:t>
      </w:r>
      <w:r w:rsidR="00985300">
        <w:rPr>
          <w:rFonts w:ascii="Palatino Linotype" w:eastAsia="Palatino Linotype" w:hAnsi="Palatino Linotype" w:cs="Palatino Linotype"/>
          <w:color w:val="000000"/>
        </w:rPr>
        <w:t>adelante</w:t>
      </w:r>
      <w:r w:rsidRPr="00985300">
        <w:rPr>
          <w:rFonts w:ascii="Palatino Linotype" w:eastAsia="Palatino Linotype" w:hAnsi="Palatino Linotype" w:cs="Palatino Linotype"/>
          <w:color w:val="000000"/>
        </w:rPr>
        <w:t xml:space="preserve"> </w:t>
      </w:r>
      <w:r w:rsidRPr="00985300">
        <w:rPr>
          <w:rFonts w:ascii="Palatino Linotype" w:eastAsia="Palatino Linotype" w:hAnsi="Palatino Linotype" w:cs="Palatino Linotype"/>
          <w:b/>
          <w:bCs/>
          <w:color w:val="000000"/>
        </w:rPr>
        <w:t>EL SUJETO OBLIGADO</w:t>
      </w:r>
      <w:r w:rsidRPr="00985300">
        <w:rPr>
          <w:rFonts w:ascii="Palatino Linotype" w:eastAsia="Palatino Linotype" w:hAnsi="Palatino Linotype" w:cs="Palatino Linotype"/>
          <w:color w:val="000000"/>
        </w:rPr>
        <w:t>, se procede a dictar la presente resolución, con base en los siguientes:</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keepNext/>
        <w:keepLines/>
        <w:tabs>
          <w:tab w:val="left" w:pos="0"/>
        </w:tabs>
        <w:spacing w:line="360" w:lineRule="auto"/>
        <w:jc w:val="center"/>
        <w:rPr>
          <w:rFonts w:ascii="Palatino Linotype" w:eastAsia="Palatino Linotype" w:hAnsi="Palatino Linotype" w:cs="Palatino Linotype"/>
          <w:b/>
          <w:bCs/>
        </w:rPr>
      </w:pPr>
      <w:bookmarkStart w:id="1" w:name="_heading=h.l02leh2hntws" w:colFirst="0" w:colLast="0"/>
      <w:bookmarkEnd w:id="1"/>
      <w:r w:rsidRPr="00985300">
        <w:rPr>
          <w:rFonts w:ascii="Palatino Linotype" w:eastAsia="Palatino Linotype" w:hAnsi="Palatino Linotype" w:cs="Palatino Linotype"/>
          <w:b/>
          <w:bCs/>
        </w:rPr>
        <w:t>A</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N</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T</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E</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C</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E</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D</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E</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N</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T</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E</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S</w:t>
      </w:r>
    </w:p>
    <w:p w:rsidR="002D485F" w:rsidRPr="00985300" w:rsidRDefault="002D485F">
      <w:pPr>
        <w:keepNext/>
        <w:keepLines/>
        <w:tabs>
          <w:tab w:val="left" w:pos="0"/>
        </w:tabs>
        <w:spacing w:line="360" w:lineRule="auto"/>
        <w:jc w:val="center"/>
        <w:rPr>
          <w:rFonts w:ascii="Palatino Linotype" w:eastAsia="Palatino Linotype" w:hAnsi="Palatino Linotype" w:cs="Palatino Linotype"/>
          <w:b/>
          <w:bCs/>
        </w:rPr>
      </w:pPr>
    </w:p>
    <w:p w:rsidR="002D485F" w:rsidRPr="00985300" w:rsidRDefault="00F36AD2">
      <w:pPr>
        <w:numPr>
          <w:ilvl w:val="0"/>
          <w:numId w:val="1"/>
        </w:numPr>
        <w:tabs>
          <w:tab w:val="left" w:pos="0"/>
        </w:tabs>
        <w:spacing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El </w:t>
      </w:r>
      <w:r w:rsidRPr="00985300">
        <w:rPr>
          <w:rFonts w:ascii="Palatino Linotype" w:eastAsia="Palatino Linotype" w:hAnsi="Palatino Linotype" w:cs="Palatino Linotype"/>
          <w:b/>
          <w:bCs/>
        </w:rPr>
        <w:t>quince de julio de dos mil veinticinco</w:t>
      </w:r>
      <w:r w:rsidRPr="00985300">
        <w:rPr>
          <w:rFonts w:ascii="Palatino Linotype" w:eastAsia="Palatino Linotype" w:hAnsi="Palatino Linotype" w:cs="Palatino Linotype"/>
        </w:rPr>
        <w:t>, la</w:t>
      </w:r>
      <w:r w:rsidRP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rPr>
        <w:t>solicitante</w:t>
      </w:r>
      <w:r w:rsidRP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rPr>
        <w:t>presentó</w:t>
      </w:r>
      <w:r w:rsidRP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rPr>
        <w:t xml:space="preserve">ante el </w:t>
      </w:r>
      <w:r w:rsidRPr="00985300">
        <w:rPr>
          <w:rFonts w:ascii="Palatino Linotype" w:eastAsia="Palatino Linotype" w:hAnsi="Palatino Linotype" w:cs="Palatino Linotype"/>
          <w:b/>
          <w:bCs/>
        </w:rPr>
        <w:t>SUJETO OBLIGADO,</w:t>
      </w:r>
      <w:r w:rsidRPr="00985300">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985300">
        <w:rPr>
          <w:rFonts w:ascii="Palatino Linotype" w:eastAsia="Palatino Linotype" w:hAnsi="Palatino Linotype" w:cs="Palatino Linotype"/>
          <w:b/>
          <w:bCs/>
        </w:rPr>
        <w:t>00069/SECCAM/IP/2025</w:t>
      </w:r>
      <w:r w:rsidRPr="00985300">
        <w:rPr>
          <w:rFonts w:ascii="Palatino Linotype" w:eastAsia="Palatino Linotype" w:hAnsi="Palatino Linotype" w:cs="Palatino Linotype"/>
        </w:rPr>
        <w:t xml:space="preserve">, </w:t>
      </w:r>
      <w:r w:rsidR="00985300">
        <w:rPr>
          <w:rFonts w:ascii="Palatino Linotype" w:eastAsia="Palatino Linotype" w:hAnsi="Palatino Linotype" w:cs="Palatino Linotype"/>
        </w:rPr>
        <w:t>en la que</w:t>
      </w:r>
      <w:r w:rsidRPr="00985300">
        <w:rPr>
          <w:rFonts w:ascii="Palatino Linotype" w:eastAsia="Palatino Linotype" w:hAnsi="Palatino Linotype" w:cs="Palatino Linotype"/>
        </w:rPr>
        <w:t xml:space="preserve"> se solicitó:</w:t>
      </w:r>
    </w:p>
    <w:p w:rsidR="002D485F" w:rsidRPr="00985300" w:rsidRDefault="002D485F">
      <w:pPr>
        <w:pBdr>
          <w:top w:val="nil"/>
          <w:left w:val="nil"/>
          <w:bottom w:val="nil"/>
          <w:right w:val="nil"/>
          <w:between w:val="nil"/>
        </w:pBdr>
        <w:tabs>
          <w:tab w:val="left" w:pos="1005"/>
        </w:tabs>
        <w:ind w:left="567" w:right="567"/>
        <w:jc w:val="both"/>
        <w:rPr>
          <w:rFonts w:ascii="Palatino Linotype" w:eastAsia="Palatino Linotype" w:hAnsi="Palatino Linotype" w:cs="Palatino Linotype"/>
          <w:b/>
          <w:bCs/>
          <w:i/>
          <w:iCs/>
          <w:color w:val="000000"/>
        </w:rPr>
      </w:pPr>
    </w:p>
    <w:p w:rsidR="002D485F" w:rsidRPr="00985300" w:rsidRDefault="00F36AD2">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“1. Informe el número de solicitudes autorizadas y sus folios, relacionadas con los programas "Transformando el Campo" y "Por el Recate del Campo" del año 2025. 2. Informe el número de solicitudes autorizadas que se les ha entregado el apoyo, relacionadas con los programas "Transformando el Campo" y "Por el Recate del Campo" del año 2025, refiriendo: Folio de la solicitud; Concepto solicitado (bien o servicio); Nombre del proveedor designado y/o autorizado por la SECAMPO del concepto solicitado (bien o servicio); Monto del apoyo (aportación SECAMPO); Monto de la aportación por cada beneficiario (aportación beneficiario); y, Precio que la SECAMPO tomó de referencia para establecer el monto del apoyo y la aportación del beneficiario. 3. Respecto de las solicitudes autorizadas que aún no se les ha entregado el apoyo, informe: Folio de la solicitud; Concepto solicitado (bien o servicio); Nombre del proveedor designado y/o autorizado por la SECAMPO del concepto solicitado (bien o servicio); Precio del bien o servicio de acuerdo al proveedor </w:t>
      </w:r>
      <w:r w:rsidRPr="00985300">
        <w:rPr>
          <w:rFonts w:ascii="Palatino Linotype" w:eastAsia="Palatino Linotype" w:hAnsi="Palatino Linotype" w:cs="Palatino Linotype"/>
          <w:i/>
          <w:iCs/>
          <w:color w:val="000000"/>
        </w:rPr>
        <w:lastRenderedPageBreak/>
        <w:t>designado y/o autorizado por la SECAMPO; Monto del apoyo (aportación SECAMPO); y, Monto de la aportación por cada beneficiario (aportación beneficiario). El lugar, fecha y hora en que se hará entrega de los apoyos; y, La forma en que se hará entrega. 4. Explique el procedimiento y criterios de selección que se establecieron para determinar a los proveedores de las solicitudes autorizadas de los programas "Transformando el Campo" y "Por el Recate del Campo" del año 2025 . 5. Informe si el/los proveedor(es) otorgó algún beneficio (capacitación, mantenimiento, asesoría, garantía extendida, etc.) o precio preferencial de los bienes y/o servicios y si este beneficio o precio preferencial se está haciendo extensivo a los beneficiarios y de qué forma. Todo lo anterior relacionado con los programas "Transformando el Campo" y "Por el Recate del Campo" del año 2025, distinguiendo por delegaciones. En el supuesto que la autoridad refiera que no cuenta con la información, deberá explicar el motivo por el cual, en redes sociales oficiales de la autoridad y en diferentes medios de comunicación, han anunciado la entrega de los apoyos de los programas "Transformando el Campo" y "Por el Recate del Campo" del año 2025, como se puede apreciar en las siguientes ligas: https://www.facebook.com/share/p/1CFktqmPaA/ https://www.facebook.com/share/p/19fTKgLvzG/ (en esta liga, al fondo se aprecia que se refiere a la entrega de los programas por al año 2025) https://www.facebook.com/share/p/1SDDRwrs6Y/ https://www.facebook.com/share/p/1Bz7fcEHVv/ https://www.facebook.com/share/p/1931UjvYrL.”. (Sic.)</w:t>
      </w:r>
    </w:p>
    <w:p w:rsidR="002D485F" w:rsidRPr="00985300" w:rsidRDefault="002D485F">
      <w:pPr>
        <w:tabs>
          <w:tab w:val="left" w:pos="0"/>
        </w:tabs>
        <w:spacing w:line="360" w:lineRule="auto"/>
        <w:ind w:right="49"/>
        <w:jc w:val="both"/>
        <w:rPr>
          <w:rFonts w:ascii="Palatino Linotype" w:eastAsia="Palatino Linotype" w:hAnsi="Palatino Linotype" w:cs="Palatino Linotype"/>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color w:val="000000"/>
        </w:rPr>
        <w:t>Se hace constar que se señaló como modalidad de entrega de la información a través de SAIMEX.</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2D485F" w:rsidRPr="00985300" w:rsidRDefault="00F36AD2">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El </w:t>
      </w:r>
      <w:r w:rsidRPr="00985300">
        <w:rPr>
          <w:rFonts w:ascii="Palatino Linotype" w:eastAsia="Palatino Linotype" w:hAnsi="Palatino Linotype" w:cs="Palatino Linotype"/>
          <w:b/>
          <w:bCs/>
        </w:rPr>
        <w:t>seis de agosto de dos mil veinticinco</w:t>
      </w:r>
      <w:r w:rsidRPr="00985300">
        <w:rPr>
          <w:rFonts w:ascii="Palatino Linotype" w:eastAsia="Palatino Linotype" w:hAnsi="Palatino Linotype" w:cs="Palatino Linotype"/>
        </w:rPr>
        <w:t>, el Sujeto Obligado dio respuesta a la solicitud de información en el siguiente sentido:</w:t>
      </w:r>
    </w:p>
    <w:p w:rsidR="002D485F" w:rsidRPr="00985300" w:rsidRDefault="002D485F">
      <w:pPr>
        <w:tabs>
          <w:tab w:val="left" w:pos="0"/>
        </w:tabs>
        <w:ind w:right="34"/>
        <w:jc w:val="both"/>
        <w:rPr>
          <w:rFonts w:ascii="Palatino Linotype" w:eastAsia="Palatino Linotype" w:hAnsi="Palatino Linotype" w:cs="Palatino Linotype"/>
        </w:rPr>
      </w:pPr>
    </w:p>
    <w:p w:rsidR="002D485F" w:rsidRPr="00985300" w:rsidRDefault="00F36AD2">
      <w:pPr>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“SE ANEXA RESPUESTA” (Sic)</w:t>
      </w:r>
    </w:p>
    <w:p w:rsidR="002D485F" w:rsidRPr="00985300" w:rsidRDefault="002D485F">
      <w:pPr>
        <w:tabs>
          <w:tab w:val="left" w:pos="0"/>
        </w:tabs>
        <w:spacing w:line="360" w:lineRule="auto"/>
        <w:ind w:right="34"/>
        <w:jc w:val="both"/>
        <w:rPr>
          <w:rFonts w:ascii="Palatino Linotype" w:eastAsia="Palatino Linotype" w:hAnsi="Palatino Linotype" w:cs="Palatino Linotype"/>
        </w:rPr>
      </w:pPr>
      <w:bookmarkStart w:id="2" w:name="_heading=h.uokf3nnmo4f" w:colFirst="0" w:colLast="0"/>
      <w:bookmarkEnd w:id="2"/>
    </w:p>
    <w:p w:rsidR="00985300" w:rsidRDefault="00985300">
      <w:pPr>
        <w:tabs>
          <w:tab w:val="left" w:pos="0"/>
        </w:tabs>
        <w:spacing w:line="360" w:lineRule="auto"/>
        <w:ind w:right="34"/>
        <w:jc w:val="both"/>
        <w:rPr>
          <w:rFonts w:ascii="Palatino Linotype" w:eastAsia="Palatino Linotype" w:hAnsi="Palatino Linotype" w:cs="Palatino Linotype"/>
        </w:rPr>
      </w:pPr>
    </w:p>
    <w:p w:rsidR="00985300" w:rsidRDefault="00985300">
      <w:pPr>
        <w:tabs>
          <w:tab w:val="left" w:pos="0"/>
        </w:tabs>
        <w:spacing w:line="360" w:lineRule="auto"/>
        <w:ind w:right="34"/>
        <w:jc w:val="both"/>
        <w:rPr>
          <w:rFonts w:ascii="Palatino Linotype" w:eastAsia="Palatino Linotype" w:hAnsi="Palatino Linotype" w:cs="Palatino Linotype"/>
        </w:rPr>
      </w:pPr>
    </w:p>
    <w:p w:rsidR="002D485F" w:rsidRPr="00985300" w:rsidRDefault="00F36AD2">
      <w:pPr>
        <w:tabs>
          <w:tab w:val="left" w:pos="0"/>
        </w:tabs>
        <w:spacing w:line="360" w:lineRule="auto"/>
        <w:ind w:right="34"/>
        <w:jc w:val="both"/>
        <w:rPr>
          <w:rFonts w:ascii="Palatino Linotype" w:eastAsia="Palatino Linotype" w:hAnsi="Palatino Linotype" w:cs="Palatino Linotype"/>
          <w:b/>
        </w:rPr>
      </w:pPr>
      <w:r w:rsidRPr="00985300">
        <w:rPr>
          <w:rFonts w:ascii="Palatino Linotype" w:eastAsia="Palatino Linotype" w:hAnsi="Palatino Linotype" w:cs="Palatino Linotype"/>
          <w:b/>
        </w:rPr>
        <w:lastRenderedPageBreak/>
        <w:t>Se adjuntaron los siguientes archivos electrónicos:</w:t>
      </w:r>
    </w:p>
    <w:p w:rsidR="002D485F" w:rsidRPr="00985300" w:rsidRDefault="00F36AD2">
      <w:pPr>
        <w:numPr>
          <w:ilvl w:val="0"/>
          <w:numId w:val="2"/>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 xml:space="preserve">SAIMEX 0069-SECCAM-IP-2025.pdf: </w:t>
      </w:r>
      <w:r w:rsidRPr="00985300">
        <w:rPr>
          <w:rFonts w:ascii="Palatino Linotype" w:eastAsia="Palatino Linotype" w:hAnsi="Palatino Linotype" w:cs="Palatino Linotype"/>
          <w:color w:val="000000"/>
        </w:rPr>
        <w:t>Documento constante de doce páginas</w:t>
      </w:r>
      <w:r w:rsidRPr="00985300">
        <w:rPr>
          <w:rFonts w:ascii="Palatino Linotype" w:eastAsia="Palatino Linotype" w:hAnsi="Palatino Linotype" w:cs="Palatino Linotype"/>
          <w:b/>
          <w:bCs/>
          <w:color w:val="000000"/>
        </w:rPr>
        <w:t xml:space="preserve">, </w:t>
      </w:r>
      <w:r w:rsidRPr="00985300">
        <w:rPr>
          <w:rFonts w:ascii="Palatino Linotype" w:eastAsia="Palatino Linotype" w:hAnsi="Palatino Linotype" w:cs="Palatino Linotype"/>
          <w:color w:val="000000"/>
        </w:rPr>
        <w:t>referente al programa de apoyo denominado “Transformando el Campo”, del que se advierte el folio de la solicitud, clave del apoyo, concepto de apoyo, aportación del beneficiario, delegación y estatus de las solicitudes autorizadas.</w:t>
      </w:r>
    </w:p>
    <w:p w:rsidR="002D485F" w:rsidRPr="00985300" w:rsidRDefault="00F36AD2">
      <w:pPr>
        <w:numPr>
          <w:ilvl w:val="0"/>
          <w:numId w:val="2"/>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 xml:space="preserve">Solicitud SAIMEX 00069.pdf: </w:t>
      </w:r>
      <w:r w:rsidRPr="00985300">
        <w:rPr>
          <w:rFonts w:ascii="Palatino Linotype" w:eastAsia="Palatino Linotype" w:hAnsi="Palatino Linotype" w:cs="Palatino Linotype"/>
          <w:color w:val="000000"/>
        </w:rPr>
        <w:t>Oficio 22500012000000L/DGDAyPS-0412/2025 de fecha cuatro de agosto de dos mil veinticinco, suscrito por la Directora General de Desarrollo Agrario y Rural Sostenible, mediante el cual refiere brindar respuesta al punto tres de la solicitud, por tanto agrega un documento en el que precisa que a la fecha de la solicitud se han autorizado 1169 solicitudes por el CAyS, referente al Programa “Por el rescate del Campo”; haciendo alusión que a la fecha de la solicitud, no se habían entregado apoyos, así mismo, indicó que en relación a la solicitudes autorizadas que aún no se les han entregado el apoyo, adjunta el documento, haciendo alusión que se encuentran en proceso, por lo que aún no se establecía la fecha, hora, lugar y la forma en que se hará la entrega; no omite mencionar que respecto a los procedimientos y criterios de selección que se establecieron para determinar a los proveedores de las solicitudes autorizadas y si el proveedor otorgó algún  a a cargo de la Coordinación Administración de la Secretaria del Campo.</w:t>
      </w:r>
    </w:p>
    <w:p w:rsidR="002D485F" w:rsidRPr="00985300" w:rsidRDefault="00F36AD2">
      <w:pPr>
        <w:numPr>
          <w:ilvl w:val="0"/>
          <w:numId w:val="2"/>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 xml:space="preserve">Oficio 0288 DGDAAAA SAIMEX.pdf: </w:t>
      </w:r>
      <w:r w:rsidRPr="00985300">
        <w:rPr>
          <w:rFonts w:ascii="Palatino Linotype" w:eastAsia="Palatino Linotype" w:hAnsi="Palatino Linotype" w:cs="Palatino Linotype"/>
          <w:color w:val="000000"/>
        </w:rPr>
        <w:t xml:space="preserve">Oficio 22500011000000L/0288/2025 de fecha treinta de julio de dos mil veinticinco, signado por el Director General para un Desarrollo Agropecuario Adaptativo y Autosuficiencia Alimentaria, mediante el cual informa que a la fecha de la solicitud, se tenían 969 solicitudes de productores autorizadas en distintas sesiones en el Comité de Admisión y Seguimiento de los Programas Estatales de la Secretaría del Campo, relacionado con el Programa </w:t>
      </w:r>
      <w:r w:rsidRPr="00985300">
        <w:rPr>
          <w:rFonts w:ascii="Palatino Linotype" w:eastAsia="Palatino Linotype" w:hAnsi="Palatino Linotype" w:cs="Palatino Linotype"/>
          <w:color w:val="000000"/>
        </w:rPr>
        <w:lastRenderedPageBreak/>
        <w:t>“Transformando el Campo”, haciendo alusión que por lo que respecta a la información requerida con el número de solicitudes autorizadas que se les ha entregado el apoyo; así como a los que no se les ha entregado el apoyo, precisando que remite anexos con la información solicitada.</w:t>
      </w:r>
    </w:p>
    <w:p w:rsidR="002D485F" w:rsidRPr="00985300" w:rsidRDefault="00F36AD2">
      <w:pPr>
        <w:numPr>
          <w:ilvl w:val="0"/>
          <w:numId w:val="2"/>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Respuesta 3 de la Solicitud de información SAIMEX, 00069-SECCAM-IP-2025.pdf:</w:t>
      </w:r>
      <w:r w:rsidRPr="00985300">
        <w:rPr>
          <w:rFonts w:ascii="Palatino Linotype" w:eastAsia="Palatino Linotype" w:hAnsi="Palatino Linotype" w:cs="Palatino Linotype"/>
          <w:color w:val="000000"/>
        </w:rPr>
        <w:t xml:space="preserve"> Documento en el que se advierten 1169 solicitudes aceptadas, del que se especifica el concepto solicitado (bien o servicio) y el monto de aportación por cada beneficiario; sin embargo se precisa que el nombre del proveedor designado y autorizado por la SECAMPO, el precio del bien o servicio de acuerdo a proveedor designado y el monto del apoyo, a la fecha de la solicitud, se encontraba en proceso.</w:t>
      </w:r>
    </w:p>
    <w:p w:rsidR="002D485F" w:rsidRPr="00985300" w:rsidRDefault="00F36AD2">
      <w:pPr>
        <w:numPr>
          <w:ilvl w:val="0"/>
          <w:numId w:val="2"/>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 xml:space="preserve">Saimex.pdf: </w:t>
      </w:r>
      <w:r w:rsidRPr="00985300">
        <w:rPr>
          <w:rFonts w:ascii="Palatino Linotype" w:eastAsia="Palatino Linotype" w:hAnsi="Palatino Linotype" w:cs="Palatino Linotype"/>
          <w:color w:val="000000"/>
        </w:rPr>
        <w:t>Oficio 22500013000000L/0286/2025 de fecha cuatro de agosto de dos mil veinticinco, suscrito por el Director General de Sanidad e Inocuidad Alimentaria, mediante el cual refiere que su única intervención en relación al Programa “Transformando el Campo “, es exclusivamente conforme a lo dispuesto en el Anexo Técnico de las Reglas de Operación, en calidad de instancia técnica y operativa, brindando acompañamiento a campañas fitozoosanitarias conforme a la suficiencia presupuestal, sin intervenir en la validación de solicitudes, asignación de recursos o selección de proveedores.</w:t>
      </w:r>
    </w:p>
    <w:p w:rsidR="002D485F" w:rsidRPr="00985300" w:rsidRDefault="002D485F">
      <w:pPr>
        <w:pBdr>
          <w:top w:val="nil"/>
          <w:left w:val="nil"/>
          <w:bottom w:val="nil"/>
          <w:right w:val="nil"/>
          <w:between w:val="nil"/>
        </w:pBdr>
        <w:tabs>
          <w:tab w:val="left" w:pos="0"/>
        </w:tabs>
        <w:spacing w:line="360" w:lineRule="auto"/>
        <w:ind w:left="720" w:right="34"/>
        <w:jc w:val="both"/>
        <w:rPr>
          <w:rFonts w:ascii="Palatino Linotype" w:eastAsia="Palatino Linotype" w:hAnsi="Palatino Linotype" w:cs="Palatino Linotype"/>
          <w:b/>
          <w:bCs/>
          <w:color w:val="000000"/>
        </w:rPr>
      </w:pPr>
    </w:p>
    <w:p w:rsidR="002D485F" w:rsidRPr="00985300" w:rsidRDefault="00F36AD2" w:rsidP="0098530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El </w:t>
      </w:r>
      <w:r w:rsidRPr="00985300">
        <w:rPr>
          <w:rFonts w:ascii="Palatino Linotype" w:eastAsia="Palatino Linotype" w:hAnsi="Palatino Linotype" w:cs="Palatino Linotype"/>
          <w:b/>
          <w:bCs/>
          <w:color w:val="000000"/>
        </w:rPr>
        <w:t>seis de agosto de dos mil veinticinco</w:t>
      </w:r>
      <w:r w:rsidRPr="00985300">
        <w:rPr>
          <w:rFonts w:ascii="Palatino Linotype" w:eastAsia="Palatino Linotype" w:hAnsi="Palatino Linotype" w:cs="Palatino Linotype"/>
          <w:color w:val="000000"/>
        </w:rPr>
        <w:t xml:space="preserve">, el solicitante interpuso recurso de revisión en la solicitud de información </w:t>
      </w:r>
      <w:r w:rsidRPr="00985300">
        <w:rPr>
          <w:rFonts w:ascii="Palatino Linotype" w:eastAsia="Palatino Linotype" w:hAnsi="Palatino Linotype" w:cs="Palatino Linotype"/>
          <w:b/>
          <w:bCs/>
          <w:color w:val="000000"/>
        </w:rPr>
        <w:t xml:space="preserve">00069/SECCAM/IP/2025, </w:t>
      </w:r>
      <w:r w:rsidRPr="00985300">
        <w:rPr>
          <w:rFonts w:ascii="Palatino Linotype" w:eastAsia="Palatino Linotype" w:hAnsi="Palatino Linotype" w:cs="Palatino Linotype"/>
          <w:color w:val="000000"/>
        </w:rPr>
        <w:t xml:space="preserve">en contra de la respuesta emitida por 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señalando las siguientes razones o motivos de inconformidad:</w:t>
      </w:r>
    </w:p>
    <w:p w:rsidR="002D485F" w:rsidRDefault="002D485F">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985300" w:rsidRPr="00985300" w:rsidRDefault="00985300">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2D485F" w:rsidRPr="00985300" w:rsidRDefault="00985300" w:rsidP="00985300">
      <w:pPr>
        <w:pStyle w:val="Prrafodelista"/>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4"/>
        </w:rPr>
      </w:pPr>
      <w:r w:rsidRPr="00985300">
        <w:rPr>
          <w:rFonts w:ascii="Palatino Linotype" w:eastAsia="Palatino Linotype" w:hAnsi="Palatino Linotype" w:cs="Palatino Linotype"/>
          <w:b/>
          <w:bCs/>
          <w:color w:val="000000"/>
          <w:sz w:val="24"/>
        </w:rPr>
        <w:lastRenderedPageBreak/>
        <w:t>ACTO IMPUGNADO</w:t>
      </w:r>
    </w:p>
    <w:p w:rsidR="002D485F" w:rsidRDefault="00F36AD2" w:rsidP="00985300">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“Respuesta a la solicitud 00069/SECCAM/IP/2025” (Sic.)</w:t>
      </w:r>
    </w:p>
    <w:p w:rsidR="00985300" w:rsidRPr="00985300" w:rsidRDefault="00985300" w:rsidP="00985300">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2D485F" w:rsidRPr="00985300" w:rsidRDefault="00985300" w:rsidP="00985300">
      <w:pPr>
        <w:pStyle w:val="Prrafodelista"/>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8"/>
        </w:rPr>
      </w:pPr>
      <w:r w:rsidRPr="00985300">
        <w:rPr>
          <w:rFonts w:ascii="Palatino Linotype" w:eastAsia="Palatino Linotype" w:hAnsi="Palatino Linotype" w:cs="Palatino Linotype"/>
          <w:b/>
          <w:bCs/>
          <w:color w:val="000000"/>
          <w:sz w:val="24"/>
        </w:rPr>
        <w:t>RAZONES O MOTIVOS DE LA INCONFORMIDAD</w:t>
      </w:r>
    </w:p>
    <w:p w:rsidR="002D485F" w:rsidRPr="00985300" w:rsidRDefault="00F36AD2" w:rsidP="00985300">
      <w:pPr>
        <w:pBdr>
          <w:top w:val="nil"/>
          <w:left w:val="nil"/>
          <w:bottom w:val="nil"/>
          <w:right w:val="nil"/>
          <w:between w:val="nil"/>
        </w:pBdr>
        <w:ind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“La autoridad, proporciona la información solicitada de manera parcial, ya que del contenido de los anexos a la respuesta se puede advertir que refiere que no la proporcionan la totalidad de las dependencias que conforman al sujeto obligado, pues en algunos puntos refiere que la información se encuentra en poder de la Coordinación Administración de la Secretaria del Campo, sin que exista respuesta de ésta, por lo que resulta evidente que la información proporcionada es parcial, en cuanto a que no todas las áreas de la Secretaria del Campo realizaron la búsqueda y se refirieron a cada uno de los puntos solicitados. De igual forma la información es contradictoria, ya que por un lado refieren 1,169 solicitudes autorizadas (sin referir el concepto, monto de apoyo, aportación del beneficiario, etc. y todos los elementos solicitados) y por otro 969, sin precisar el motivo de la discrepancia. Además, se advierte la información solo de algunas delegaciones y no de la totalidad de las delegaciones de la SECAMPO. Por lo que se deberá ordenar la búsqueda en la totalidad de las áreas que conforman la Secretaria del Campo quienes deberán referirse a la totalidad de los puntos requeridos.” (Sic.)</w:t>
      </w:r>
    </w:p>
    <w:p w:rsidR="002D485F" w:rsidRPr="00985300" w:rsidRDefault="002D485F">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985300">
        <w:rPr>
          <w:rFonts w:ascii="Palatino Linotype" w:eastAsia="Palatino Linotype" w:hAnsi="Palatino Linotype" w:cs="Palatino Linotype"/>
          <w:b/>
          <w:bCs/>
        </w:rPr>
        <w:t>Comisionada María del Rosario Mejía Ayala</w:t>
      </w:r>
      <w:r w:rsidR="00985300">
        <w:rPr>
          <w:rFonts w:ascii="Palatino Linotype" w:eastAsia="Palatino Linotype" w:hAnsi="Palatino Linotype" w:cs="Palatino Linotype"/>
          <w:b/>
          <w:bCs/>
        </w:rPr>
        <w:t>,</w:t>
      </w:r>
      <w:r w:rsidRPr="00985300">
        <w:rPr>
          <w:rFonts w:ascii="Palatino Linotype" w:eastAsia="Palatino Linotype" w:hAnsi="Palatino Linotype" w:cs="Palatino Linotype"/>
        </w:rPr>
        <w:t xml:space="preserve"> </w:t>
      </w:r>
      <w:r w:rsidR="00985300">
        <w:rPr>
          <w:rFonts w:ascii="Palatino Linotype" w:eastAsia="Palatino Linotype" w:hAnsi="Palatino Linotype" w:cs="Palatino Linotype"/>
        </w:rPr>
        <w:t>para</w:t>
      </w:r>
      <w:r w:rsidRPr="00985300">
        <w:rPr>
          <w:rFonts w:ascii="Palatino Linotype" w:eastAsia="Palatino Linotype" w:hAnsi="Palatino Linotype" w:cs="Palatino Linotype"/>
        </w:rPr>
        <w:t xml:space="preserve"> su análisis.</w:t>
      </w:r>
    </w:p>
    <w:p w:rsidR="002D485F" w:rsidRPr="00985300" w:rsidRDefault="002D485F">
      <w:pPr>
        <w:spacing w:line="360" w:lineRule="auto"/>
        <w:jc w:val="both"/>
        <w:rPr>
          <w:rFonts w:ascii="Palatino Linotype" w:eastAsia="Palatino Linotype" w:hAnsi="Palatino Linotype" w:cs="Palatino Linotype"/>
          <w:i/>
          <w:iCs/>
          <w:color w:val="000000"/>
        </w:rPr>
      </w:pPr>
    </w:p>
    <w:p w:rsidR="002D485F" w:rsidRPr="00985300" w:rsidRDefault="00985300">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La Comisionada p</w:t>
      </w:r>
      <w:r w:rsidR="00F36AD2" w:rsidRPr="00985300">
        <w:rPr>
          <w:rFonts w:ascii="Palatino Linotype" w:eastAsia="Palatino Linotype" w:hAnsi="Palatino Linotype" w:cs="Palatino Linotype"/>
          <w:color w:val="000000"/>
        </w:rPr>
        <w:t xml:space="preserve">onente con fundamento en lo dispuesto por el artículo 185 </w:t>
      </w:r>
      <w:r w:rsidR="00F36AD2" w:rsidRPr="00985300">
        <w:rPr>
          <w:rFonts w:ascii="Palatino Linotype" w:eastAsia="Palatino Linotype" w:hAnsi="Palatino Linotype" w:cs="Palatino Linotype"/>
        </w:rPr>
        <w:t>fracción</w:t>
      </w:r>
      <w:r w:rsidR="00F36AD2" w:rsidRPr="00985300">
        <w:rPr>
          <w:rFonts w:ascii="Palatino Linotype" w:eastAsia="Palatino Linotype" w:hAnsi="Palatino Linotype" w:cs="Palatino Linotype"/>
          <w:color w:val="000000"/>
        </w:rPr>
        <w:t xml:space="preserve"> II de la ley de la materia, a través del </w:t>
      </w:r>
      <w:r w:rsidR="00F36AD2" w:rsidRPr="00985300">
        <w:rPr>
          <w:rFonts w:ascii="Palatino Linotype" w:eastAsia="Palatino Linotype" w:hAnsi="Palatino Linotype" w:cs="Palatino Linotype"/>
          <w:b/>
          <w:bCs/>
          <w:color w:val="000000"/>
        </w:rPr>
        <w:t xml:space="preserve">acuerdo de admisión </w:t>
      </w:r>
      <w:r w:rsidR="00F36AD2" w:rsidRPr="00985300">
        <w:rPr>
          <w:rFonts w:ascii="Palatino Linotype" w:eastAsia="Palatino Linotype" w:hAnsi="Palatino Linotype" w:cs="Palatino Linotype"/>
          <w:color w:val="000000"/>
        </w:rPr>
        <w:t xml:space="preserve">de fecha </w:t>
      </w:r>
      <w:r w:rsidR="00F36AD2" w:rsidRPr="00985300">
        <w:rPr>
          <w:rFonts w:ascii="Palatino Linotype" w:eastAsia="Palatino Linotype" w:hAnsi="Palatino Linotype" w:cs="Palatino Linotype"/>
          <w:b/>
          <w:bCs/>
          <w:color w:val="000000"/>
        </w:rPr>
        <w:t>once de agosto de dos mil veinticinco</w:t>
      </w:r>
      <w:r w:rsidR="00F36AD2" w:rsidRPr="00985300">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00F36AD2" w:rsidRPr="00985300">
        <w:rPr>
          <w:rFonts w:ascii="Palatino Linotype" w:eastAsia="Palatino Linotype" w:hAnsi="Palatino Linotype" w:cs="Palatino Linotype"/>
          <w:b/>
          <w:bCs/>
          <w:color w:val="000000"/>
        </w:rPr>
        <w:t xml:space="preserve">SUJETO OBLIGADO </w:t>
      </w:r>
      <w:r w:rsidR="00F36AD2" w:rsidRPr="00985300">
        <w:rPr>
          <w:rFonts w:ascii="Palatino Linotype" w:eastAsia="Palatino Linotype" w:hAnsi="Palatino Linotype" w:cs="Palatino Linotype"/>
          <w:color w:val="000000"/>
        </w:rPr>
        <w:t>presentara el Informe Justificado procedente.</w:t>
      </w:r>
    </w:p>
    <w:p w:rsidR="002D485F" w:rsidRPr="00985300" w:rsidRDefault="00F36AD2">
      <w:pPr>
        <w:numPr>
          <w:ilvl w:val="0"/>
          <w:numId w:val="1"/>
        </w:numPr>
        <w:pBdr>
          <w:top w:val="nil"/>
          <w:left w:val="nil"/>
          <w:bottom w:val="nil"/>
          <w:right w:val="nil"/>
          <w:between w:val="nil"/>
        </w:pBdr>
        <w:tabs>
          <w:tab w:val="left" w:pos="0"/>
        </w:tabs>
        <w:spacing w:line="360" w:lineRule="auto"/>
        <w:ind w:left="0" w:right="-144"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lastRenderedPageBreak/>
        <w:t xml:space="preserve">El </w:t>
      </w:r>
      <w:r w:rsidRPr="00985300">
        <w:rPr>
          <w:rFonts w:ascii="Palatino Linotype" w:eastAsia="Palatino Linotype" w:hAnsi="Palatino Linotype" w:cs="Palatino Linotype"/>
          <w:b/>
          <w:bCs/>
          <w:color w:val="000000"/>
        </w:rPr>
        <w:t>veinte de agosto de dos mil veinticinco,</w:t>
      </w:r>
      <w:r w:rsidRPr="00985300">
        <w:rPr>
          <w:rFonts w:ascii="Palatino Linotype" w:eastAsia="Palatino Linotype" w:hAnsi="Palatino Linotype" w:cs="Palatino Linotype"/>
          <w:color w:val="000000"/>
        </w:rPr>
        <w:t xml:space="preserve"> el </w:t>
      </w:r>
      <w:r w:rsidRPr="00985300">
        <w:rPr>
          <w:rFonts w:ascii="Palatino Linotype" w:eastAsia="Palatino Linotype" w:hAnsi="Palatino Linotype" w:cs="Palatino Linotype"/>
          <w:b/>
          <w:bCs/>
          <w:color w:val="000000"/>
        </w:rPr>
        <w:t xml:space="preserve">RECURRENTE, </w:t>
      </w:r>
      <w:r w:rsidRPr="00985300">
        <w:rPr>
          <w:rFonts w:ascii="Palatino Linotype" w:eastAsia="Palatino Linotype" w:hAnsi="Palatino Linotype" w:cs="Palatino Linotype"/>
          <w:color w:val="000000"/>
        </w:rPr>
        <w:t>en la etapa de manifestaciones, en la que refiere entre otras cosas lo siguiente:</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985300">
        <w:rPr>
          <w:rFonts w:ascii="Palatino Linotype" w:eastAsia="Palatino Linotype" w:hAnsi="Palatino Linotype" w:cs="Palatino Linotype"/>
          <w:i/>
          <w:iCs/>
          <w:color w:val="000000"/>
        </w:rPr>
        <w:t xml:space="preserve"> </w:t>
      </w:r>
      <w:r w:rsidRPr="00985300">
        <w:rPr>
          <w:rFonts w:ascii="Palatino Linotype" w:eastAsia="Palatino Linotype" w:hAnsi="Palatino Linotype" w:cs="Palatino Linotype"/>
          <w:b/>
          <w:bCs/>
          <w:i/>
          <w:iCs/>
          <w:color w:val="000000"/>
        </w:rPr>
        <w:t xml:space="preserve">II. Omisiones e inconsistencias en la respuesta de la autoridad. </w:t>
      </w:r>
    </w:p>
    <w:p w:rsidR="002D485F" w:rsidRPr="00985300" w:rsidRDefault="002D485F">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La SECAMPO proporcionó una respuesta </w:t>
      </w:r>
      <w:r w:rsidRPr="00985300">
        <w:rPr>
          <w:rFonts w:ascii="Palatino Linotype" w:eastAsia="Palatino Linotype" w:hAnsi="Palatino Linotype" w:cs="Palatino Linotype"/>
          <w:b/>
          <w:bCs/>
          <w:i/>
          <w:iCs/>
          <w:color w:val="000000"/>
        </w:rPr>
        <w:t>parcial y contradictoria</w:t>
      </w:r>
      <w:r w:rsidRPr="00985300">
        <w:rPr>
          <w:rFonts w:ascii="Palatino Linotype" w:eastAsia="Palatino Linotype" w:hAnsi="Palatino Linotype" w:cs="Palatino Linotype"/>
          <w:i/>
          <w:iCs/>
          <w:color w:val="000000"/>
        </w:rPr>
        <w:t xml:space="preserve">, ya que: </w:t>
      </w:r>
    </w:p>
    <w:p w:rsidR="002D485F" w:rsidRPr="00985300" w:rsidRDefault="002D485F">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D485F" w:rsidRPr="00985300" w:rsidRDefault="00F36AD2">
      <w:pPr>
        <w:numPr>
          <w:ilvl w:val="0"/>
          <w:numId w:val="6"/>
        </w:numPr>
        <w:pBdr>
          <w:top w:val="nil"/>
          <w:left w:val="nil"/>
          <w:bottom w:val="nil"/>
          <w:right w:val="nil"/>
          <w:between w:val="nil"/>
        </w:pBdr>
        <w:spacing w:after="229"/>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Únicamente refirió cifras globales de solicitudes autorizadas (1,169 en un punto y 969 en otro), </w:t>
      </w:r>
      <w:r w:rsidRPr="00985300">
        <w:rPr>
          <w:rFonts w:ascii="Palatino Linotype" w:eastAsia="Palatino Linotype" w:hAnsi="Palatino Linotype" w:cs="Palatino Linotype"/>
          <w:b/>
          <w:bCs/>
          <w:i/>
          <w:iCs/>
          <w:color w:val="000000"/>
        </w:rPr>
        <w:t xml:space="preserve">sin explicar la discrepancia numérica </w:t>
      </w:r>
      <w:r w:rsidRPr="00985300">
        <w:rPr>
          <w:rFonts w:ascii="Palatino Linotype" w:eastAsia="Palatino Linotype" w:hAnsi="Palatino Linotype" w:cs="Palatino Linotype"/>
          <w:i/>
          <w:iCs/>
          <w:color w:val="000000"/>
        </w:rPr>
        <w:t xml:space="preserve">ni detallar los elementos solicitados (concepto, proveedor, montos, etc.). </w:t>
      </w:r>
    </w:p>
    <w:p w:rsidR="002D485F" w:rsidRPr="00985300" w:rsidRDefault="00F36AD2">
      <w:pPr>
        <w:numPr>
          <w:ilvl w:val="0"/>
          <w:numId w:val="6"/>
        </w:numPr>
        <w:pBdr>
          <w:top w:val="nil"/>
          <w:left w:val="nil"/>
          <w:bottom w:val="nil"/>
          <w:right w:val="nil"/>
          <w:between w:val="nil"/>
        </w:pBdr>
        <w:spacing w:after="229"/>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Limitó la información a </w:t>
      </w:r>
      <w:r w:rsidRPr="00985300">
        <w:rPr>
          <w:rFonts w:ascii="Palatino Linotype" w:eastAsia="Palatino Linotype" w:hAnsi="Palatino Linotype" w:cs="Palatino Linotype"/>
          <w:b/>
          <w:bCs/>
          <w:i/>
          <w:iCs/>
          <w:color w:val="000000"/>
        </w:rPr>
        <w:t>ciertas delegaciones</w:t>
      </w:r>
      <w:r w:rsidRPr="00985300">
        <w:rPr>
          <w:rFonts w:ascii="Palatino Linotype" w:eastAsia="Palatino Linotype" w:hAnsi="Palatino Linotype" w:cs="Palatino Linotype"/>
          <w:i/>
          <w:iCs/>
          <w:color w:val="000000"/>
        </w:rPr>
        <w:t xml:space="preserve">, omitiendo otras. </w:t>
      </w:r>
    </w:p>
    <w:p w:rsidR="002D485F" w:rsidRPr="00985300" w:rsidRDefault="00F36AD2">
      <w:pPr>
        <w:numPr>
          <w:ilvl w:val="0"/>
          <w:numId w:val="6"/>
        </w:numPr>
        <w:pBdr>
          <w:top w:val="nil"/>
          <w:left w:val="nil"/>
          <w:bottom w:val="nil"/>
          <w:right w:val="nil"/>
          <w:between w:val="nil"/>
        </w:pBdr>
        <w:spacing w:after="229"/>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Señaló que parte de la información obra en poder de la Coordinación de Administración de la propia Secretaría, </w:t>
      </w:r>
      <w:r w:rsidRPr="00985300">
        <w:rPr>
          <w:rFonts w:ascii="Palatino Linotype" w:eastAsia="Palatino Linotype" w:hAnsi="Palatino Linotype" w:cs="Palatino Linotype"/>
          <w:b/>
          <w:bCs/>
          <w:i/>
          <w:iCs/>
          <w:color w:val="000000"/>
        </w:rPr>
        <w:t>sin que se haya incorporado respuesta de dicha área</w:t>
      </w:r>
      <w:r w:rsidRPr="00985300">
        <w:rPr>
          <w:rFonts w:ascii="Palatino Linotype" w:eastAsia="Palatino Linotype" w:hAnsi="Palatino Linotype" w:cs="Palatino Linotype"/>
          <w:i/>
          <w:iCs/>
          <w:color w:val="000000"/>
        </w:rPr>
        <w:t xml:space="preserve">, lo que evidencia una </w:t>
      </w:r>
      <w:r w:rsidRPr="00985300">
        <w:rPr>
          <w:rFonts w:ascii="Palatino Linotype" w:eastAsia="Palatino Linotype" w:hAnsi="Palatino Linotype" w:cs="Palatino Linotype"/>
          <w:b/>
          <w:bCs/>
          <w:i/>
          <w:iCs/>
          <w:color w:val="000000"/>
        </w:rPr>
        <w:t>búsqueda incompleta</w:t>
      </w:r>
      <w:r w:rsidRPr="00985300">
        <w:rPr>
          <w:rFonts w:ascii="Palatino Linotype" w:eastAsia="Palatino Linotype" w:hAnsi="Palatino Linotype" w:cs="Palatino Linotype"/>
          <w:i/>
          <w:iCs/>
          <w:color w:val="000000"/>
        </w:rPr>
        <w:t xml:space="preserve">. </w:t>
      </w:r>
    </w:p>
    <w:p w:rsidR="002D485F" w:rsidRPr="00985300" w:rsidRDefault="00F36AD2">
      <w:pPr>
        <w:numPr>
          <w:ilvl w:val="0"/>
          <w:numId w:val="6"/>
        </w:num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Pese a que en sus redes sociales y en medios de comunicación oficiales la propia SECAMPO ha publicitado la entrega de apoyos de ambos programas en el año 2025 (v. gr. [ligas oficiales]), niega contar con información integral que, por lógica administrativa y de control presupuestal, necesariamente debe obrar en sus archivos. </w:t>
      </w:r>
    </w:p>
    <w:p w:rsidR="002D485F" w:rsidRPr="00985300" w:rsidRDefault="002D485F">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w:t>
      </w:r>
    </w:p>
    <w:p w:rsidR="002D485F" w:rsidRPr="00985300" w:rsidRDefault="002D485F">
      <w:pPr>
        <w:pBdr>
          <w:top w:val="nil"/>
          <w:left w:val="nil"/>
          <w:bottom w:val="nil"/>
          <w:right w:val="nil"/>
          <w:between w:val="nil"/>
        </w:pBdr>
        <w:rPr>
          <w:rFonts w:ascii="Calibri" w:eastAsia="Calibri" w:hAnsi="Calibri" w:cs="Calibri"/>
          <w:color w:val="000000"/>
        </w:rPr>
      </w:pPr>
    </w:p>
    <w:p w:rsidR="002D485F" w:rsidRPr="00985300" w:rsidRDefault="00F36AD2">
      <w:pPr>
        <w:numPr>
          <w:ilvl w:val="0"/>
          <w:numId w:val="7"/>
        </w:numPr>
        <w:pBdr>
          <w:top w:val="nil"/>
          <w:left w:val="nil"/>
          <w:bottom w:val="nil"/>
          <w:right w:val="nil"/>
          <w:between w:val="nil"/>
        </w:pBdr>
        <w:spacing w:after="229"/>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Precise con certeza el número total de solicitudes autorizadas y sus folios, explicando la discrepancia detectada en las cifras previamente reportadas. </w:t>
      </w:r>
    </w:p>
    <w:p w:rsidR="002D485F" w:rsidRPr="00985300" w:rsidRDefault="00F36AD2">
      <w:pPr>
        <w:numPr>
          <w:ilvl w:val="0"/>
          <w:numId w:val="7"/>
        </w:num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Entregue la información completa de las solicitudes con apoyo entregado (folio, concepto, proveedor, monto del apoyo, aportación del beneficiario, precio de referencia). </w:t>
      </w:r>
    </w:p>
    <w:p w:rsidR="002D485F" w:rsidRPr="00985300" w:rsidRDefault="002D485F">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D485F" w:rsidRPr="00985300" w:rsidRDefault="00F36AD2">
      <w:pPr>
        <w:numPr>
          <w:ilvl w:val="0"/>
          <w:numId w:val="8"/>
        </w:numPr>
        <w:pBdr>
          <w:top w:val="nil"/>
          <w:left w:val="nil"/>
          <w:bottom w:val="nil"/>
          <w:right w:val="nil"/>
          <w:between w:val="nil"/>
        </w:pBdr>
        <w:spacing w:after="229"/>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Entregue la información completa de las solicitudes autorizadas sin entrega (folio, concepto, proveedor, precio, montos, fecha, lugar, hora y forma de entrega programada). </w:t>
      </w:r>
    </w:p>
    <w:p w:rsidR="002D485F" w:rsidRPr="00985300" w:rsidRDefault="00F36AD2">
      <w:pPr>
        <w:numPr>
          <w:ilvl w:val="0"/>
          <w:numId w:val="8"/>
        </w:numPr>
        <w:pBdr>
          <w:top w:val="nil"/>
          <w:left w:val="nil"/>
          <w:bottom w:val="nil"/>
          <w:right w:val="nil"/>
          <w:between w:val="nil"/>
        </w:pBdr>
        <w:spacing w:after="229"/>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Exponga de manera clara el procedimiento y criterios de selección de proveedores. </w:t>
      </w:r>
    </w:p>
    <w:p w:rsidR="002D485F" w:rsidRPr="00985300" w:rsidRDefault="00F36AD2">
      <w:pPr>
        <w:numPr>
          <w:ilvl w:val="0"/>
          <w:numId w:val="8"/>
        </w:numPr>
        <w:pBdr>
          <w:top w:val="nil"/>
          <w:left w:val="nil"/>
          <w:bottom w:val="nil"/>
          <w:right w:val="nil"/>
          <w:between w:val="nil"/>
        </w:pBdr>
        <w:spacing w:after="229"/>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Detalle los beneficios adicionales o precios preferenciales que los proveedores hayan otorgado y cómo éstos se han hecho extensivos a los beneficiarios. </w:t>
      </w:r>
    </w:p>
    <w:p w:rsidR="002D485F" w:rsidRPr="00985300" w:rsidRDefault="00F36AD2">
      <w:pPr>
        <w:numPr>
          <w:ilvl w:val="0"/>
          <w:numId w:val="8"/>
        </w:num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Integre la información de todas las delegaciones, no solo de algunas.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lastRenderedPageBreak/>
        <w:t>En el supuesto de que la Secretaría insista en que no cuenta con la información, deberá justificar con precisión la razón por la cual, en medios oficiales, ha publicitado la entrega de apoyos en 2025, pues de lo contrario se acreditaría una falta de veracidad en su respuesta, contraria al derecho de acceso a la información pública.</w:t>
      </w:r>
    </w:p>
    <w:p w:rsidR="002D485F" w:rsidRPr="00985300" w:rsidRDefault="002D485F">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rPr>
        <w:t xml:space="preserve">De lo anterior el </w:t>
      </w:r>
      <w:r w:rsidRPr="00985300">
        <w:rPr>
          <w:rFonts w:ascii="Palatino Linotype" w:eastAsia="Palatino Linotype" w:hAnsi="Palatino Linotype" w:cs="Palatino Linotype"/>
          <w:b/>
          <w:bCs/>
        </w:rPr>
        <w:t xml:space="preserve">SUJETO OLIGADO </w:t>
      </w:r>
      <w:r w:rsidRPr="00985300">
        <w:rPr>
          <w:rFonts w:ascii="Palatino Linotype" w:eastAsia="Palatino Linotype" w:hAnsi="Palatino Linotype" w:cs="Palatino Linotype"/>
        </w:rPr>
        <w:t xml:space="preserve">dejó de realizar manifestaciones que a su derecho conviniera y asistiera, respectivamente en el recurso de revisión. </w:t>
      </w:r>
    </w:p>
    <w:p w:rsidR="002D485F" w:rsidRPr="00985300" w:rsidRDefault="002D485F">
      <w:pPr>
        <w:spacing w:line="360" w:lineRule="auto"/>
        <w:jc w:val="both"/>
        <w:rPr>
          <w:rFonts w:ascii="Palatino Linotype" w:eastAsia="Palatino Linotype" w:hAnsi="Palatino Linotype" w:cs="Palatino Linotype"/>
          <w:i/>
          <w:iCs/>
          <w:color w:val="000000"/>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rPr>
        <w:t xml:space="preserve">El </w:t>
      </w:r>
      <w:r w:rsidRPr="00985300">
        <w:rPr>
          <w:rFonts w:ascii="Palatino Linotype" w:eastAsia="Palatino Linotype" w:hAnsi="Palatino Linotype" w:cs="Palatino Linotype"/>
          <w:b/>
          <w:bCs/>
        </w:rPr>
        <w:t>veintiséis de enero de dos mil veintiséis</w:t>
      </w:r>
      <w:r w:rsidRPr="00985300">
        <w:rPr>
          <w:rFonts w:ascii="Palatino Linotype" w:eastAsia="Palatino Linotype" w:hAnsi="Palatino Linotype" w:cs="Palatino Linotype"/>
        </w:rPr>
        <w:t>, se notificó el acuerdo mediante el cual se amplió el plazo para emitir resolución por un término de 15 días adicionales.</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rPr>
        <w:t xml:space="preserve">Finalmente, la Comisionada Ponente mediante acuerdo del </w:t>
      </w:r>
      <w:r w:rsidRPr="00985300">
        <w:rPr>
          <w:rFonts w:ascii="Palatino Linotype" w:eastAsia="Palatino Linotype" w:hAnsi="Palatino Linotype" w:cs="Palatino Linotype"/>
          <w:b/>
          <w:bCs/>
        </w:rPr>
        <w:t>tres de marzo de dos mil veintiséis</w:t>
      </w:r>
      <w:r w:rsidRPr="00985300">
        <w:rPr>
          <w:rFonts w:ascii="Palatino Linotype" w:eastAsia="Palatino Linotype" w:hAnsi="Palatino Linotype" w:cs="Palatino Linotype"/>
        </w:rPr>
        <w:t>, decretó el cierre de instrucción del expediente, por lo que no habiendo más que hacer constar, y</w:t>
      </w:r>
    </w:p>
    <w:p w:rsidR="002D485F" w:rsidRPr="00985300" w:rsidRDefault="00F36AD2">
      <w:pPr>
        <w:keepNext/>
        <w:keepLines/>
        <w:spacing w:line="360" w:lineRule="auto"/>
        <w:jc w:val="center"/>
        <w:rPr>
          <w:rFonts w:ascii="Palatino Linotype" w:eastAsia="Palatino Linotype" w:hAnsi="Palatino Linotype" w:cs="Palatino Linotype"/>
          <w:b/>
          <w:bCs/>
        </w:rPr>
      </w:pPr>
      <w:bookmarkStart w:id="3" w:name="_heading=h.nycjt733ex46" w:colFirst="0" w:colLast="0"/>
      <w:bookmarkEnd w:id="3"/>
      <w:r w:rsidRPr="00985300">
        <w:rPr>
          <w:rFonts w:ascii="Palatino Linotype" w:eastAsia="Palatino Linotype" w:hAnsi="Palatino Linotype" w:cs="Palatino Linotype"/>
          <w:b/>
          <w:bCs/>
        </w:rPr>
        <w:t>C</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O</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N</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S</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I</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D</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E</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R</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A</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N</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D</w:t>
      </w:r>
      <w:r w:rsid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b/>
          <w:bCs/>
        </w:rPr>
        <w:t>O</w:t>
      </w:r>
      <w:r w:rsidR="00985300">
        <w:rPr>
          <w:rFonts w:ascii="Palatino Linotype" w:eastAsia="Palatino Linotype" w:hAnsi="Palatino Linotype" w:cs="Palatino Linotype"/>
          <w:b/>
          <w:bCs/>
        </w:rPr>
        <w:t xml:space="preserve"> </w:t>
      </w:r>
    </w:p>
    <w:p w:rsidR="002D485F" w:rsidRPr="00985300" w:rsidRDefault="002D485F">
      <w:pPr>
        <w:keepNext/>
        <w:keepLines/>
        <w:spacing w:line="360" w:lineRule="auto"/>
        <w:jc w:val="center"/>
        <w:rPr>
          <w:rFonts w:ascii="Palatino Linotype" w:eastAsia="Palatino Linotype" w:hAnsi="Palatino Linotype" w:cs="Palatino Linotype"/>
          <w:b/>
          <w:bCs/>
        </w:rPr>
      </w:pPr>
    </w:p>
    <w:p w:rsidR="002D485F" w:rsidRPr="00985300" w:rsidRDefault="00F36AD2">
      <w:pPr>
        <w:keepNext/>
        <w:keepLines/>
        <w:spacing w:line="360" w:lineRule="auto"/>
        <w:rPr>
          <w:rFonts w:ascii="Palatino Linotype" w:eastAsia="Palatino Linotype" w:hAnsi="Palatino Linotype" w:cs="Palatino Linotype"/>
          <w:b/>
          <w:bCs/>
        </w:rPr>
      </w:pPr>
      <w:bookmarkStart w:id="4" w:name="_heading=h.vvdyk6mpgkhy" w:colFirst="0" w:colLast="0"/>
      <w:bookmarkEnd w:id="4"/>
      <w:r w:rsidRPr="00985300">
        <w:rPr>
          <w:rFonts w:ascii="Palatino Linotype" w:eastAsia="Palatino Linotype" w:hAnsi="Palatino Linotype" w:cs="Palatino Linotype"/>
          <w:b/>
          <w:bCs/>
        </w:rPr>
        <w:t>PRIMERO. De la competencia.</w:t>
      </w:r>
    </w:p>
    <w:p w:rsidR="002D485F" w:rsidRPr="00985300" w:rsidRDefault="00F36AD2">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985300">
        <w:rPr>
          <w:rFonts w:ascii="Palatino Linotype" w:eastAsia="Palatino Linotype" w:hAnsi="Palatino Linotype" w:cs="Palatino Linotype"/>
          <w:b/>
          <w:bCs/>
          <w:color w:val="000000"/>
          <w:highlight w:val="white"/>
        </w:rPr>
        <w:t>Constitución Política de los Estados Unidos Mexicanos</w:t>
      </w:r>
      <w:r w:rsidRPr="00985300">
        <w:rPr>
          <w:rFonts w:ascii="Palatino Linotype" w:eastAsia="Palatino Linotype" w:hAnsi="Palatino Linotype" w:cs="Palatino Linotype"/>
          <w:color w:val="000000"/>
          <w:highlight w:val="white"/>
        </w:rPr>
        <w:t>; 5, párrafos trigésimo segundo, trigésimo tercero y trigésimo cuarto fracciones IV y V de la </w:t>
      </w:r>
      <w:r w:rsidRPr="00985300">
        <w:rPr>
          <w:rFonts w:ascii="Palatino Linotype" w:eastAsia="Palatino Linotype" w:hAnsi="Palatino Linotype" w:cs="Palatino Linotype"/>
          <w:b/>
          <w:bCs/>
          <w:color w:val="000000"/>
          <w:highlight w:val="white"/>
        </w:rPr>
        <w:t>Constitución Política del Estado Libre y Soberano de México</w:t>
      </w:r>
      <w:r w:rsidRPr="00985300">
        <w:rPr>
          <w:rFonts w:ascii="Palatino Linotype" w:eastAsia="Palatino Linotype" w:hAnsi="Palatino Linotype" w:cs="Palatino Linotype"/>
          <w:color w:val="000000"/>
          <w:highlight w:val="white"/>
        </w:rPr>
        <w:t>; artículos 1, 2 fracción II, 13, 29, 36 fracciones I y II, 176, 178, 179, 181 párrafo tercero y 185 de la </w:t>
      </w:r>
      <w:r w:rsidRPr="00985300">
        <w:rPr>
          <w:rFonts w:ascii="Palatino Linotype" w:eastAsia="Palatino Linotype" w:hAnsi="Palatino Linotype" w:cs="Palatino Linotype"/>
          <w:b/>
          <w:bCs/>
          <w:color w:val="000000"/>
          <w:highlight w:val="white"/>
        </w:rPr>
        <w:t>Ley de Transparencia y Acceso a la Información Pública del Estado de México y Municipios</w:t>
      </w:r>
      <w:r w:rsidRPr="00985300">
        <w:rPr>
          <w:rFonts w:ascii="Palatino Linotype" w:eastAsia="Palatino Linotype" w:hAnsi="Palatino Linotype" w:cs="Palatino Linotype"/>
          <w:color w:val="000000"/>
          <w:highlight w:val="white"/>
        </w:rPr>
        <w:t>; y 7, 9 fracciones I y XXIII, y 11 del </w:t>
      </w:r>
      <w:r w:rsidRPr="00985300">
        <w:rPr>
          <w:rFonts w:ascii="Palatino Linotype" w:eastAsia="Palatino Linotype" w:hAnsi="Palatino Linotype" w:cs="Palatino Linotype"/>
          <w:b/>
          <w:bCs/>
          <w:color w:val="000000"/>
          <w:highlight w:val="white"/>
        </w:rPr>
        <w:t xml:space="preserve">Reglamento Interior del </w:t>
      </w:r>
      <w:r w:rsidRPr="00985300">
        <w:rPr>
          <w:rFonts w:ascii="Palatino Linotype" w:eastAsia="Palatino Linotype" w:hAnsi="Palatino Linotype" w:cs="Palatino Linotype"/>
          <w:b/>
          <w:bCs/>
          <w:color w:val="000000"/>
          <w:highlight w:val="white"/>
        </w:rPr>
        <w:lastRenderedPageBreak/>
        <w:t>Instituto de Transparencia, Acceso a la Información Pública y Protección de Datos Personales del Estado de México y Municipios</w:t>
      </w:r>
      <w:r w:rsidRPr="00985300">
        <w:rPr>
          <w:rFonts w:ascii="Palatino Linotype" w:eastAsia="Palatino Linotype" w:hAnsi="Palatino Linotype" w:cs="Palatino Linotype"/>
          <w:color w:val="000000"/>
          <w:highlight w:val="white"/>
        </w:rPr>
        <w:t>.</w:t>
      </w:r>
    </w:p>
    <w:p w:rsidR="002D485F" w:rsidRPr="00985300" w:rsidRDefault="00F36AD2">
      <w:pPr>
        <w:keepNext/>
        <w:keepLines/>
        <w:spacing w:line="360" w:lineRule="auto"/>
        <w:rPr>
          <w:rFonts w:ascii="Palatino Linotype" w:eastAsia="Palatino Linotype" w:hAnsi="Palatino Linotype" w:cs="Palatino Linotype"/>
          <w:b/>
          <w:bCs/>
        </w:rPr>
      </w:pPr>
      <w:bookmarkStart w:id="5" w:name="_heading=h.etnyxwv71yh3" w:colFirst="0" w:colLast="0"/>
      <w:bookmarkEnd w:id="5"/>
      <w:r w:rsidRPr="00985300">
        <w:rPr>
          <w:rFonts w:ascii="Palatino Linotype" w:eastAsia="Palatino Linotype" w:hAnsi="Palatino Linotype" w:cs="Palatino Linotype"/>
          <w:b/>
          <w:bCs/>
        </w:rPr>
        <w:t>SEGUNDO. De la oportunidad y procedencia.</w:t>
      </w:r>
    </w:p>
    <w:p w:rsidR="002D485F" w:rsidRPr="00985300" w:rsidRDefault="00F36AD2">
      <w:pPr>
        <w:numPr>
          <w:ilvl w:val="0"/>
          <w:numId w:val="1"/>
        </w:numPr>
        <w:spacing w:line="360" w:lineRule="auto"/>
        <w:ind w:left="0" w:right="48"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El medio de impugnación fue presentado a través del </w:t>
      </w:r>
      <w:r w:rsidRPr="00985300">
        <w:rPr>
          <w:rFonts w:ascii="Palatino Linotype" w:eastAsia="Palatino Linotype" w:hAnsi="Palatino Linotype" w:cs="Palatino Linotype"/>
          <w:b/>
          <w:bCs/>
        </w:rPr>
        <w:t>SAIMEX,</w:t>
      </w:r>
      <w:r w:rsidRPr="00985300">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985300">
        <w:rPr>
          <w:rFonts w:ascii="Palatino Linotype" w:eastAsia="Palatino Linotype" w:hAnsi="Palatino Linotype" w:cs="Palatino Linotype"/>
          <w:b/>
          <w:bCs/>
        </w:rPr>
        <w:t>SUJETO OBLIGADO</w:t>
      </w:r>
      <w:r w:rsidRPr="00985300">
        <w:rPr>
          <w:rFonts w:ascii="Palatino Linotype" w:eastAsia="Palatino Linotype" w:hAnsi="Palatino Linotype" w:cs="Palatino Linotype"/>
        </w:rPr>
        <w:t xml:space="preserve"> entregó respuesta el día </w:t>
      </w:r>
      <w:r w:rsidRPr="00985300">
        <w:rPr>
          <w:rFonts w:ascii="Palatino Linotype" w:eastAsia="Palatino Linotype" w:hAnsi="Palatino Linotype" w:cs="Palatino Linotype"/>
          <w:b/>
          <w:bCs/>
        </w:rPr>
        <w:t>seis de agosto de dos mil veinticinco</w:t>
      </w:r>
      <w:r w:rsidRPr="00985300">
        <w:rPr>
          <w:rFonts w:ascii="Palatino Linotype" w:eastAsia="Palatino Linotype" w:hAnsi="Palatino Linotype" w:cs="Palatino Linotype"/>
        </w:rPr>
        <w:t xml:space="preserve">, de tal forma que el plazo para interponer el recurso transcurrió del </w:t>
      </w:r>
      <w:r w:rsidRPr="00985300">
        <w:rPr>
          <w:rFonts w:ascii="Palatino Linotype" w:eastAsia="Palatino Linotype" w:hAnsi="Palatino Linotype" w:cs="Palatino Linotype"/>
          <w:b/>
          <w:bCs/>
        </w:rPr>
        <w:t>siete al veintisiete de agosto de dos mil veinticinco</w:t>
      </w:r>
      <w:r w:rsidRPr="00985300">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985300">
        <w:rPr>
          <w:rFonts w:ascii="Palatino Linotype" w:eastAsia="Palatino Linotype" w:hAnsi="Palatino Linotype" w:cs="Palatino Linotype"/>
          <w:b/>
          <w:bCs/>
        </w:rPr>
        <w:t>seis de agosto de dos mil veinticinco</w:t>
      </w:r>
      <w:r w:rsidRPr="00985300">
        <w:rPr>
          <w:rFonts w:ascii="Palatino Linotype" w:eastAsia="Palatino Linotype" w:hAnsi="Palatino Linotype" w:cs="Palatino Linotype"/>
        </w:rPr>
        <w:t xml:space="preserve">, se encuentra dentro de los márgenes temporales previstos en el artículo 178 de la </w:t>
      </w:r>
      <w:r w:rsidRPr="00985300">
        <w:rPr>
          <w:rFonts w:ascii="Palatino Linotype" w:eastAsia="Palatino Linotype" w:hAnsi="Palatino Linotype" w:cs="Palatino Linotype"/>
          <w:b/>
          <w:bCs/>
        </w:rPr>
        <w:t xml:space="preserve">Ley de Transparencia y Acceso a la Información Pública del Estado de México y Municipios </w:t>
      </w:r>
      <w:r w:rsidRPr="00985300">
        <w:rPr>
          <w:rFonts w:ascii="Palatino Linotype" w:eastAsia="Palatino Linotype" w:hAnsi="Palatino Linotype" w:cs="Palatino Linotype"/>
        </w:rPr>
        <w:t xml:space="preserve">vigente. </w:t>
      </w:r>
    </w:p>
    <w:p w:rsidR="002D485F" w:rsidRPr="00985300" w:rsidRDefault="002D485F">
      <w:pPr>
        <w:spacing w:line="360" w:lineRule="auto"/>
        <w:ind w:right="48"/>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color w:val="555555"/>
        </w:rPr>
      </w:pPr>
      <w:r w:rsidRPr="00985300">
        <w:rPr>
          <w:rFonts w:ascii="Palatino Linotype" w:eastAsia="Palatino Linotype" w:hAnsi="Palatino Linotype" w:cs="Palatino Linotype"/>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“RECURSO DE RECLAMACIÓN. SU INTERPOSICIÓN NO ES EXTEMPORÁNEA SI SE REALIZA ANTES DE QUE INICIE EL PLAZO PARA HACERLO</w:t>
      </w:r>
      <w:r w:rsidRPr="00985300">
        <w:rPr>
          <w:rFonts w:ascii="Palatino Linotype" w:eastAsia="Palatino Linotype" w:hAnsi="Palatino Linotype" w:cs="Palatino Linotype"/>
          <w:i/>
          <w:iCs/>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i/>
          <w:iCs/>
        </w:rPr>
      </w:pPr>
      <w:r w:rsidRPr="00985300">
        <w:rPr>
          <w:rFonts w:ascii="Palatino Linotype" w:eastAsia="Palatino Linotype" w:hAnsi="Palatino Linotype" w:cs="Palatino Linotype"/>
        </w:rPr>
        <w:t xml:space="preserve">Esto es así porque en primer lugar es necesario que </w:t>
      </w:r>
      <w:r w:rsidRPr="00985300">
        <w:rPr>
          <w:rFonts w:ascii="Palatino Linotype" w:eastAsia="Palatino Linotype" w:hAnsi="Palatino Linotype" w:cs="Palatino Linotype"/>
          <w:b/>
          <w:bCs/>
        </w:rPr>
        <w:t>EL RECURRENTE</w:t>
      </w:r>
      <w:r w:rsidRPr="00985300">
        <w:rPr>
          <w:rFonts w:ascii="Palatino Linotype" w:eastAsia="Palatino Linotype" w:hAnsi="Palatino Linotype" w:cs="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sidRPr="00985300">
        <w:rPr>
          <w:rFonts w:ascii="Palatino Linotype" w:eastAsia="Palatino Linotype" w:hAnsi="Palatino Linotype" w:cs="Palatino Linotype"/>
          <w:b/>
          <w:bCs/>
        </w:rPr>
        <w:t>notificada EL RECURRENTE</w:t>
      </w:r>
      <w:r w:rsidRPr="00985300">
        <w:rPr>
          <w:rFonts w:ascii="Palatino Linotype" w:eastAsia="Palatino Linotype" w:hAnsi="Palatino Linotype" w:cs="Palatino Linotype"/>
        </w:rPr>
        <w:t xml:space="preserve"> actúe, ya que al contrario lo que demuestra es el interés del mismo para ejercer su derecho bajo el principio constitucional de justicia expedita.</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i/>
          <w:iCs/>
        </w:rPr>
      </w:pPr>
      <w:r w:rsidRPr="00985300">
        <w:rPr>
          <w:rFonts w:ascii="Palatino Linotype" w:eastAsia="Palatino Linotype" w:hAnsi="Palatino Linotype" w:cs="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i/>
          <w:iCs/>
          <w:color w:val="000000"/>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i/>
          <w:iCs/>
        </w:rPr>
      </w:pPr>
      <w:r w:rsidRPr="00985300">
        <w:rPr>
          <w:rFonts w:ascii="Palatino Linotype" w:eastAsia="Palatino Linotype" w:hAnsi="Palatino Linotype" w:cs="Palatino Linotype"/>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985300">
        <w:rPr>
          <w:rFonts w:ascii="Palatino Linotype" w:eastAsia="Palatino Linotype" w:hAnsi="Palatino Linotype" w:cs="Palatino Linotype"/>
          <w:b/>
          <w:bCs/>
        </w:rPr>
        <w:t>SUJETO OBLIGADO.</w:t>
      </w:r>
    </w:p>
    <w:p w:rsidR="002D485F" w:rsidRPr="00985300" w:rsidRDefault="002D485F">
      <w:pPr>
        <w:spacing w:line="360" w:lineRule="auto"/>
        <w:ind w:right="49"/>
        <w:jc w:val="both"/>
        <w:rPr>
          <w:rFonts w:ascii="Palatino Linotype" w:eastAsia="Palatino Linotype" w:hAnsi="Palatino Linotype" w:cs="Palatino Linotype"/>
          <w:b/>
          <w:bCs/>
        </w:rPr>
      </w:pP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b/>
          <w:bCs/>
        </w:rPr>
      </w:pPr>
      <w:r w:rsidRPr="00985300">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b/>
          <w:bCs/>
          <w:color w:val="000000"/>
        </w:rPr>
      </w:pPr>
    </w:p>
    <w:p w:rsidR="002D485F" w:rsidRPr="00985300" w:rsidRDefault="00F36AD2">
      <w:pPr>
        <w:keepNext/>
        <w:keepLines/>
        <w:spacing w:line="360" w:lineRule="auto"/>
        <w:ind w:right="48"/>
        <w:rPr>
          <w:rFonts w:ascii="Palatino Linotype" w:eastAsia="Palatino Linotype" w:hAnsi="Palatino Linotype" w:cs="Palatino Linotype"/>
          <w:b/>
          <w:bCs/>
        </w:rPr>
      </w:pPr>
      <w:bookmarkStart w:id="6" w:name="_heading=h.khldgl3s9huc" w:colFirst="0" w:colLast="0"/>
      <w:bookmarkEnd w:id="6"/>
      <w:r w:rsidRPr="00985300">
        <w:rPr>
          <w:rFonts w:ascii="Palatino Linotype" w:eastAsia="Palatino Linotype" w:hAnsi="Palatino Linotype" w:cs="Palatino Linotype"/>
          <w:b/>
          <w:bCs/>
        </w:rPr>
        <w:t>TERCERO. Planteamiento de la Litis.</w:t>
      </w:r>
    </w:p>
    <w:p w:rsidR="002D485F" w:rsidRPr="00985300" w:rsidRDefault="00F36AD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color w:val="000000"/>
        </w:rPr>
        <w:t xml:space="preserve">El particular solicito de los </w:t>
      </w:r>
      <w:r w:rsidRPr="00985300">
        <w:rPr>
          <w:rFonts w:ascii="Palatino Linotype" w:eastAsia="Palatino Linotype" w:hAnsi="Palatino Linotype" w:cs="Palatino Linotype"/>
          <w:b/>
          <w:bCs/>
          <w:color w:val="000000"/>
        </w:rPr>
        <w:t>Programas  de Apoyo “Transformando el Campo” y “Por el Rescate del Campo” 2025, precisado por delegaciones lo siguiente:</w:t>
      </w:r>
    </w:p>
    <w:p w:rsidR="002D485F" w:rsidRPr="00985300" w:rsidRDefault="00F36AD2">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Número de solicitudes autorizadas y sus folios</w:t>
      </w:r>
    </w:p>
    <w:p w:rsidR="002D485F" w:rsidRPr="00985300" w:rsidRDefault="00F36AD2">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Número de solicitudes autorizadas que ya se les haya entregado el apoyo, en el que se precise:</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Folio de la solicitud</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Concepto solicitado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Nombre del proveedor designado autorizado por la SECAMPO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del apoyo (Aportación SECAMPO)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 la aportación de cada beneficiario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 xml:space="preserve">Precio que la SECAMPO tomó de referencia para establecer el monto del apoyo y la aportación del beneficiario. </w:t>
      </w:r>
    </w:p>
    <w:p w:rsidR="002D485F" w:rsidRPr="00985300" w:rsidRDefault="00F36AD2">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 xml:space="preserve">Respecto de las solicitudes autorizadas que aún no se les entrega el apoyo precisar: </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Folio de la solicitud</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Concepto solicitado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lastRenderedPageBreak/>
        <w:t>Nombre del proveedor designado autorizado por la SECAMPO del concepto solicitado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Precio del bien o servicio de acuerdo al proveedor designado y/o autorizado por la SECAMPO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del apoyo (Aportación SECAMPO)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 la aportación por cada beneficiario</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Lugar, fecha y hora en que se hará entrega de los apoyos</w:t>
      </w:r>
    </w:p>
    <w:p w:rsidR="002D485F" w:rsidRPr="00985300" w:rsidRDefault="00F36AD2">
      <w:pPr>
        <w:numPr>
          <w:ilvl w:val="1"/>
          <w:numId w:val="3"/>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Forma de entrega de los apoyos</w:t>
      </w:r>
    </w:p>
    <w:p w:rsidR="002D485F" w:rsidRPr="00985300" w:rsidRDefault="00F36AD2">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Procedimiento y criterios de selección que se establecieron para determinar a los proveedores de las solicitudes autorizadas de los Programas</w:t>
      </w:r>
    </w:p>
    <w:p w:rsidR="002D485F" w:rsidRPr="00985300" w:rsidRDefault="00F36AD2">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Informar si el proveedor otorgo algún beneficio (capacitación, mantenimiento, asesoría, garantía extendida, etc.) o precio preferencial de los bienes y servicios y si este precio se está siendo extensivo a los beneficiarios y de qué forma</w:t>
      </w:r>
    </w:p>
    <w:p w:rsidR="002D485F" w:rsidRPr="00985300" w:rsidRDefault="002D485F">
      <w:pPr>
        <w:spacing w:line="360" w:lineRule="auto"/>
        <w:ind w:left="360" w:right="48"/>
        <w:jc w:val="both"/>
        <w:rPr>
          <w:rFonts w:ascii="Palatino Linotype" w:eastAsia="Palatino Linotype" w:hAnsi="Palatino Linotype" w:cs="Palatino Linotype"/>
          <w:b/>
          <w:bCs/>
          <w:color w:val="000000"/>
        </w:rPr>
      </w:pPr>
    </w:p>
    <w:p w:rsidR="002D485F" w:rsidRPr="00985300" w:rsidRDefault="00F36AD2">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En el supuesto de que la autoridad no cuente con la información, deberá explicar el motivo por el las redes sociales oficiales  y en diferentes medios de comunicación han anunciado la entrega de apoyos de los programas de referencia.</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En respuesta, 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brindó respuesta en términos del numeral 3 de esta resolución. </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FF0000"/>
        </w:rPr>
      </w:pPr>
      <w:r w:rsidRPr="00985300">
        <w:rPr>
          <w:rFonts w:ascii="Palatino Linotype" w:eastAsia="Palatino Linotype" w:hAnsi="Palatino Linotype" w:cs="Palatino Linotype"/>
          <w:color w:val="000000"/>
        </w:rPr>
        <w:t xml:space="preserve">El </w:t>
      </w:r>
      <w:r w:rsidRPr="00985300">
        <w:rPr>
          <w:rFonts w:ascii="Palatino Linotype" w:eastAsia="Palatino Linotype" w:hAnsi="Palatino Linotype" w:cs="Palatino Linotype"/>
          <w:b/>
          <w:bCs/>
          <w:color w:val="000000"/>
        </w:rPr>
        <w:t>RECURRENTE</w:t>
      </w:r>
      <w:r w:rsidRPr="00985300">
        <w:rPr>
          <w:rFonts w:ascii="Palatino Linotype" w:eastAsia="Palatino Linotype" w:hAnsi="Palatino Linotype" w:cs="Palatino Linotype"/>
          <w:color w:val="000000"/>
        </w:rPr>
        <w:t xml:space="preserve">, se inconformó por la entrega de información incompleta, en los siguientes términos: </w:t>
      </w:r>
      <w:r w:rsidRPr="00985300">
        <w:rPr>
          <w:rFonts w:ascii="Palatino Linotype" w:eastAsia="Palatino Linotype" w:hAnsi="Palatino Linotype" w:cs="Palatino Linotype"/>
          <w:i/>
          <w:iCs/>
          <w:color w:val="000000"/>
        </w:rPr>
        <w:t xml:space="preserve">“La autoridad, proporciona la información solicitada de manera parcial, ya que del contenido de los anexos a la respuesta se puede advertir que refiere que no la proporcionan la totalidad de las dependencias que conforman al sujeto obligado, pues en algunos puntos refiere que la información se encuentra en poder de la Coordinación Administración de la Secretaria del Campo, sin </w:t>
      </w:r>
      <w:r w:rsidRPr="00985300">
        <w:rPr>
          <w:rFonts w:ascii="Palatino Linotype" w:eastAsia="Palatino Linotype" w:hAnsi="Palatino Linotype" w:cs="Palatino Linotype"/>
          <w:i/>
          <w:iCs/>
          <w:color w:val="000000"/>
        </w:rPr>
        <w:lastRenderedPageBreak/>
        <w:t>que exista respuesta de ésta, por lo que resulta evidente que la información proporcionada es parcial, en cuanto a que no todas las áreas de la Secretaria del Campo realizaron la búsqueda y se refirieron a cada uno de los puntos solicitados. De igual forma la información es contradictoria, ya que por un lado refieren 1,169 solicitudes autorizadas (sin referir el concepto, monto de apoyo, aportación del beneficiario, etc. y todos los elementos solicitados) y por otro 969, sin precisar el motivo de la discrepancia. Además, se advierte la información solo de algunas delegaciones y no de la totalidad de las delegaciones de la SECAMPO. Por lo que se deberá ordenar la búsqueda en la totalidad de las áreas que conforman la Secretaria del Campo quienes deberán referirse a la totalidad de los puntos requeridos..” (Sic)</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rsidR="002D485F" w:rsidRPr="00985300" w:rsidRDefault="00F36AD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color w:val="000000"/>
        </w:rPr>
        <w:t xml:space="preserve">En dichas condiciones, la </w:t>
      </w:r>
      <w:r w:rsidRPr="00985300">
        <w:rPr>
          <w:rFonts w:ascii="Palatino Linotype" w:eastAsia="Palatino Linotype" w:hAnsi="Palatino Linotype" w:cs="Palatino Linotype"/>
          <w:i/>
          <w:iCs/>
          <w:color w:val="000000"/>
        </w:rPr>
        <w:t>Litis</w:t>
      </w:r>
      <w:r w:rsidRPr="00985300">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985300">
        <w:rPr>
          <w:rFonts w:ascii="Palatino Linotype" w:eastAsia="Palatino Linotype" w:hAnsi="Palatino Linotype" w:cs="Palatino Linotype"/>
          <w:b/>
          <w:bCs/>
          <w:color w:val="000000"/>
        </w:rPr>
        <w:t xml:space="preserve">fracción V </w:t>
      </w:r>
      <w:r w:rsidRPr="00985300">
        <w:rPr>
          <w:rFonts w:ascii="Palatino Linotype" w:eastAsia="Palatino Linotype" w:hAnsi="Palatino Linotype" w:cs="Palatino Linotype"/>
          <w:color w:val="000000"/>
        </w:rPr>
        <w:t>de la Ley</w:t>
      </w:r>
      <w:r w:rsidRPr="00985300">
        <w:rPr>
          <w:rFonts w:ascii="Palatino Linotype" w:eastAsia="Palatino Linotype" w:hAnsi="Palatino Linotype" w:cs="Palatino Linotype"/>
          <w:b/>
          <w:bCs/>
          <w:color w:val="000000"/>
        </w:rPr>
        <w:t xml:space="preserve"> de Transparencia y Acceso a la Información Pública del Estado de </w:t>
      </w:r>
      <w:r w:rsidRPr="00985300">
        <w:rPr>
          <w:rFonts w:ascii="Palatino Linotype" w:eastAsia="Palatino Linotype" w:hAnsi="Palatino Linotype" w:cs="Palatino Linotype"/>
          <w:color w:val="000000"/>
        </w:rPr>
        <w:t>México</w:t>
      </w:r>
      <w:r w:rsidRPr="00985300">
        <w:rPr>
          <w:rFonts w:ascii="Palatino Linotype" w:eastAsia="Palatino Linotype" w:hAnsi="Palatino Linotype" w:cs="Palatino Linotype"/>
          <w:b/>
          <w:bCs/>
          <w:color w:val="000000"/>
        </w:rPr>
        <w:t xml:space="preserve"> y Municipios</w:t>
      </w:r>
      <w:r w:rsidRPr="00985300">
        <w:rPr>
          <w:rFonts w:ascii="Palatino Linotype" w:eastAsia="Palatino Linotype" w:hAnsi="Palatino Linotype" w:cs="Palatino Linotype"/>
          <w:color w:val="000000"/>
        </w:rPr>
        <w:t xml:space="preserve">; fracción que determina la hipótesis jurídica relativa a </w:t>
      </w:r>
      <w:r w:rsidRPr="00985300">
        <w:rPr>
          <w:rFonts w:ascii="Palatino Linotype" w:eastAsia="Palatino Linotype" w:hAnsi="Palatino Linotype" w:cs="Palatino Linotype"/>
          <w:b/>
          <w:bCs/>
          <w:color w:val="000000"/>
        </w:rPr>
        <w:t xml:space="preserve">la entrega de información incompleta </w:t>
      </w:r>
      <w:r w:rsidRPr="00985300">
        <w:rPr>
          <w:rFonts w:ascii="Palatino Linotype" w:eastAsia="Palatino Linotype" w:hAnsi="Palatino Linotype" w:cs="Palatino Linotype"/>
          <w:color w:val="000000"/>
        </w:rPr>
        <w:t xml:space="preserve">por 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contexto del cual se dolió </w:t>
      </w:r>
      <w:r w:rsidRPr="00985300">
        <w:rPr>
          <w:rFonts w:ascii="Palatino Linotype" w:eastAsia="Palatino Linotype" w:hAnsi="Palatino Linotype" w:cs="Palatino Linotype"/>
          <w:b/>
          <w:bCs/>
          <w:color w:val="000000"/>
        </w:rPr>
        <w:t xml:space="preserve">EL RECURRENTE </w:t>
      </w:r>
      <w:r w:rsidRPr="00985300">
        <w:rPr>
          <w:rFonts w:ascii="Palatino Linotype" w:eastAsia="Palatino Linotype" w:hAnsi="Palatino Linotype" w:cs="Palatino Linotype"/>
          <w:color w:val="000000"/>
        </w:rPr>
        <w:t>al momento de interponer su inconformidad.</w:t>
      </w:r>
    </w:p>
    <w:p w:rsidR="002D485F" w:rsidRPr="00985300" w:rsidRDefault="002D485F">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2D485F" w:rsidRPr="00985300" w:rsidRDefault="00F36AD2">
      <w:pPr>
        <w:pStyle w:val="Ttulo1"/>
        <w:spacing w:before="0" w:line="360" w:lineRule="auto"/>
        <w:rPr>
          <w:rFonts w:ascii="Palatino Linotype" w:eastAsia="Palatino Linotype" w:hAnsi="Palatino Linotype" w:cs="Palatino Linotype"/>
          <w:b/>
          <w:bCs/>
          <w:color w:val="000000"/>
          <w:sz w:val="24"/>
          <w:szCs w:val="24"/>
        </w:rPr>
      </w:pPr>
      <w:bookmarkStart w:id="7" w:name="_heading=h.exp1f2h0sjn9" w:colFirst="0" w:colLast="0"/>
      <w:bookmarkEnd w:id="7"/>
      <w:r w:rsidRPr="00985300">
        <w:rPr>
          <w:rFonts w:ascii="Palatino Linotype" w:eastAsia="Palatino Linotype" w:hAnsi="Palatino Linotype" w:cs="Palatino Linotype"/>
          <w:b/>
          <w:bCs/>
          <w:color w:val="000000"/>
          <w:sz w:val="24"/>
          <w:szCs w:val="24"/>
        </w:rPr>
        <w:t>CUARTO. Del estudio y resolución del recurso de revisión.</w:t>
      </w:r>
    </w:p>
    <w:p w:rsidR="002D485F" w:rsidRPr="00985300" w:rsidRDefault="00F36AD2">
      <w:pPr>
        <w:keepNext/>
        <w:keepLines/>
        <w:numPr>
          <w:ilvl w:val="0"/>
          <w:numId w:val="16"/>
        </w:numPr>
        <w:spacing w:after="240" w:line="360" w:lineRule="auto"/>
        <w:ind w:left="786"/>
        <w:rPr>
          <w:rFonts w:ascii="Palatino Linotype" w:eastAsia="Palatino Linotype" w:hAnsi="Palatino Linotype" w:cs="Palatino Linotype"/>
          <w:b/>
          <w:bCs/>
        </w:rPr>
      </w:pPr>
      <w:r w:rsidRPr="00985300">
        <w:rPr>
          <w:rFonts w:ascii="Palatino Linotype" w:eastAsia="Palatino Linotype" w:hAnsi="Palatino Linotype" w:cs="Palatino Linotype"/>
          <w:b/>
          <w:bCs/>
        </w:rPr>
        <w:t>Del derecho de acceso a la información.</w:t>
      </w: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Definiendo el Derecho de Acceso a la Información Pública como: </w:t>
      </w:r>
      <w:r w:rsidRPr="00985300">
        <w:rPr>
          <w:rFonts w:ascii="Palatino Linotype" w:eastAsia="Palatino Linotype" w:hAnsi="Palatino Linotype" w:cs="Palatino Linotype"/>
          <w:i/>
          <w:iCs/>
          <w:color w:val="000000"/>
        </w:rPr>
        <w:t>La igualdad de oportunidades para recibir, buscar e impartir información</w:t>
      </w:r>
      <w:r w:rsidRPr="00985300">
        <w:rPr>
          <w:rFonts w:ascii="Century Gothic" w:eastAsia="Century Gothic" w:hAnsi="Century Gothic" w:cs="Century Gothic"/>
          <w:i/>
          <w:iCs/>
          <w:color w:val="000000"/>
          <w:vertAlign w:val="superscript"/>
        </w:rPr>
        <w:footnoteReference w:id="1"/>
      </w:r>
      <w:r w:rsidRPr="00985300">
        <w:rPr>
          <w:rFonts w:ascii="Palatino Linotype" w:eastAsia="Palatino Linotype" w:hAnsi="Palatino Linotype" w:cs="Palatino Linotype"/>
          <w:i/>
          <w:iCs/>
          <w:color w:val="000000"/>
        </w:rPr>
        <w:t xml:space="preserve">en posesión de cualquier autoridad, entidad, </w:t>
      </w:r>
      <w:r w:rsidRPr="00985300">
        <w:rPr>
          <w:rFonts w:ascii="Palatino Linotype" w:eastAsia="Palatino Linotype" w:hAnsi="Palatino Linotype" w:cs="Palatino Linotype"/>
          <w:i/>
          <w:iCs/>
          <w:color w:val="000000"/>
        </w:rPr>
        <w:lastRenderedPageBreak/>
        <w:t>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85300">
        <w:rPr>
          <w:rFonts w:ascii="Century Gothic" w:eastAsia="Century Gothic" w:hAnsi="Century Gothic" w:cs="Century Gothic"/>
          <w:i/>
          <w:iCs/>
          <w:color w:val="000000"/>
          <w:vertAlign w:val="superscript"/>
        </w:rPr>
        <w:footnoteReference w:id="2"/>
      </w:r>
      <w:r w:rsidRPr="00985300">
        <w:rPr>
          <w:rFonts w:ascii="Palatino Linotype" w:eastAsia="Palatino Linotype" w:hAnsi="Palatino Linotype" w:cs="Palatino Linotype"/>
          <w:color w:val="000000"/>
        </w:rPr>
        <w:t>que se constituye como una herramienta fundamental para ejercer</w:t>
      </w:r>
      <w:r w:rsidRPr="00985300">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985300">
        <w:rPr>
          <w:rFonts w:ascii="Century Gothic" w:eastAsia="Century Gothic" w:hAnsi="Century Gothic" w:cs="Century Gothic"/>
          <w:i/>
          <w:iCs/>
          <w:color w:val="000000"/>
          <w:vertAlign w:val="superscript"/>
        </w:rPr>
        <w:footnoteReference w:id="3"/>
      </w:r>
      <w:r w:rsidRPr="00985300">
        <w:rPr>
          <w:rFonts w:ascii="Palatino Linotype" w:eastAsia="Palatino Linotype" w:hAnsi="Palatino Linotype" w:cs="Palatino Linotype"/>
          <w:color w:val="000000"/>
        </w:rPr>
        <w:t>fomentando</w:t>
      </w:r>
      <w:r w:rsidRPr="00985300">
        <w:rPr>
          <w:rFonts w:ascii="Palatino Linotype" w:eastAsia="Palatino Linotype" w:hAnsi="Palatino Linotype" w:cs="Palatino Linotype"/>
          <w:i/>
          <w:iCs/>
          <w:color w:val="000000"/>
        </w:rPr>
        <w:t xml:space="preserve"> la transparencia de las actividades estatales y </w:t>
      </w:r>
      <w:r w:rsidRPr="00985300">
        <w:rPr>
          <w:rFonts w:ascii="Palatino Linotype" w:eastAsia="Palatino Linotype" w:hAnsi="Palatino Linotype" w:cs="Palatino Linotype"/>
          <w:color w:val="000000"/>
        </w:rPr>
        <w:t>promoviendo</w:t>
      </w:r>
      <w:r w:rsidRPr="00985300">
        <w:rPr>
          <w:rFonts w:ascii="Palatino Linotype" w:eastAsia="Palatino Linotype" w:hAnsi="Palatino Linotype" w:cs="Palatino Linotype"/>
          <w:i/>
          <w:iCs/>
          <w:color w:val="000000"/>
        </w:rPr>
        <w:t xml:space="preserve"> la responsabilidad de los funcionarios sobre su gestión pública,</w:t>
      </w:r>
      <w:r w:rsidRPr="00985300">
        <w:rPr>
          <w:rFonts w:ascii="Century Gothic" w:eastAsia="Century Gothic" w:hAnsi="Century Gothic" w:cs="Century Gothic"/>
          <w:i/>
          <w:iCs/>
          <w:color w:val="000000"/>
          <w:vertAlign w:val="superscript"/>
        </w:rPr>
        <w:footnoteReference w:id="4"/>
      </w:r>
      <w:r w:rsidRPr="00985300">
        <w:rPr>
          <w:rFonts w:ascii="Palatino Linotype" w:eastAsia="Palatino Linotype" w:hAnsi="Palatino Linotype" w:cs="Palatino Linotype"/>
          <w:color w:val="000000"/>
        </w:rPr>
        <w:t>que permite</w:t>
      </w:r>
      <w:r w:rsidRPr="00985300">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2D485F" w:rsidRPr="00985300" w:rsidRDefault="00F36AD2">
      <w:pPr>
        <w:tabs>
          <w:tab w:val="left" w:pos="7655"/>
        </w:tabs>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r w:rsidRPr="00985300">
        <w:rPr>
          <w:rFonts w:ascii="Palatino Linotype" w:eastAsia="Palatino Linotype" w:hAnsi="Palatino Linotype" w:cs="Palatino Linotype"/>
          <w:b/>
          <w:bCs/>
          <w:i/>
          <w:iCs/>
        </w:rPr>
        <w:t>Artículo 1.-</w:t>
      </w:r>
      <w:r w:rsidRPr="00985300">
        <w:rPr>
          <w:rFonts w:ascii="Palatino Linotype" w:eastAsia="Palatino Linotype" w:hAnsi="Palatino Linotype" w:cs="Palatino Linotype"/>
          <w:i/>
          <w:iCs/>
        </w:rPr>
        <w:t xml:space="preserve"> </w:t>
      </w:r>
    </w:p>
    <w:p w:rsidR="002D485F" w:rsidRPr="00985300" w:rsidRDefault="00F36AD2">
      <w:pPr>
        <w:tabs>
          <w:tab w:val="left" w:pos="7655"/>
        </w:tabs>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tabs>
          <w:tab w:val="left" w:pos="7655"/>
        </w:tabs>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Todas las</w:t>
      </w:r>
      <w:r w:rsidRPr="00985300">
        <w:rPr>
          <w:rFonts w:ascii="Palatino Linotype" w:eastAsia="Palatino Linotype" w:hAnsi="Palatino Linotype" w:cs="Palatino Linotype"/>
        </w:rPr>
        <w:t xml:space="preserve"> </w:t>
      </w:r>
      <w:r w:rsidRPr="00985300">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D485F" w:rsidRPr="00985300" w:rsidRDefault="00F36AD2">
      <w:pPr>
        <w:tabs>
          <w:tab w:val="left" w:pos="7655"/>
        </w:tabs>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i/>
          <w:iCs/>
        </w:rPr>
        <w:t>(…)</w:t>
      </w:r>
      <w:r w:rsidRPr="00985300">
        <w:rPr>
          <w:rFonts w:ascii="Palatino Linotype" w:eastAsia="Palatino Linotype" w:hAnsi="Palatino Linotype" w:cs="Palatino Linotype"/>
        </w:rPr>
        <w:t>”.</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Por lo anterior, se deduce que el Derecho de Acceso a la Información Pública es un Derecho Humano de Fuente Internacional y Constitucionalmente reconocido. Además del </w:t>
      </w:r>
      <w:r w:rsidRPr="00985300">
        <w:rPr>
          <w:rFonts w:ascii="Palatino Linotype" w:eastAsia="Palatino Linotype" w:hAnsi="Palatino Linotype" w:cs="Palatino Linotype"/>
        </w:rPr>
        <w:lastRenderedPageBreak/>
        <w:t>derecho, también se reconocen garantías para su protección, lo que vincula con el mandato del párrafo tercero del mismo artículo.</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2D485F" w:rsidRPr="00985300" w:rsidRDefault="00F36AD2">
      <w:pPr>
        <w:spacing w:after="240"/>
        <w:ind w:left="567" w:right="567"/>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Constitución Política de los Estados Unidos Mexicanos</w:t>
      </w:r>
    </w:p>
    <w:p w:rsidR="002D485F" w:rsidRPr="00985300" w:rsidRDefault="00F36AD2">
      <w:pPr>
        <w:spacing w:before="240" w:after="240"/>
        <w:ind w:left="567" w:right="567"/>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“Artículo 6.</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Para efectos de lo dispuesto en el presente artículo se observará lo siguiente:</w:t>
      </w:r>
    </w:p>
    <w:p w:rsidR="002D485F" w:rsidRPr="00985300" w:rsidRDefault="00F36AD2">
      <w:pPr>
        <w:spacing w:before="240" w:after="240"/>
        <w:ind w:left="567" w:right="567"/>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A</w:t>
      </w: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rPr>
        <w:t>Para el ejercicio del derecho de acceso a la información</w:t>
      </w:r>
      <w:r w:rsidRPr="00985300">
        <w:rPr>
          <w:rFonts w:ascii="Palatino Linotype" w:eastAsia="Palatino Linotype" w:hAnsi="Palatino Linotype" w:cs="Palatino Linotype"/>
          <w:i/>
          <w:iCs/>
        </w:rPr>
        <w:t xml:space="preserve">, la Federación y </w:t>
      </w:r>
      <w:r w:rsidRPr="00985300">
        <w:rPr>
          <w:rFonts w:ascii="Palatino Linotype" w:eastAsia="Palatino Linotype" w:hAnsi="Palatino Linotype" w:cs="Palatino Linotype"/>
          <w:b/>
          <w:bCs/>
          <w:i/>
          <w:iCs/>
        </w:rPr>
        <w:t>las entidades federativas, en el ámbito de sus respectivas competencias, se regirán por los siguientes principios y bases:</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I. Toda la información en posesión de cualquier</w:t>
      </w: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rPr>
        <w:t>autoridad</w:t>
      </w:r>
      <w:r w:rsidRPr="00985300">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85300">
        <w:rPr>
          <w:rFonts w:ascii="Palatino Linotype" w:eastAsia="Palatino Linotype" w:hAnsi="Palatino Linotype" w:cs="Palatino Linotype"/>
          <w:b/>
          <w:bCs/>
          <w:i/>
          <w:iCs/>
        </w:rPr>
        <w:t>municipal</w:t>
      </w: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rPr>
        <w:t>es pública</w:t>
      </w:r>
      <w:r w:rsidRPr="00985300">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985300">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985300">
        <w:rPr>
          <w:rFonts w:ascii="Palatino Linotype" w:eastAsia="Palatino Linotype" w:hAnsi="Palatino Linotype" w:cs="Palatino Linotype"/>
          <w:i/>
          <w:iCs/>
        </w:rPr>
        <w:t>, la ley determinará los supuestos específicos bajo los cuales procederá la declaración de inexistencia de la información.”</w:t>
      </w:r>
    </w:p>
    <w:p w:rsidR="002D485F" w:rsidRPr="00985300" w:rsidRDefault="00F36AD2">
      <w:pPr>
        <w:spacing w:after="240"/>
        <w:ind w:left="567" w:right="567"/>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Constitución Política del Estado Libre y Soberano de México</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5</w:t>
      </w:r>
      <w:r w:rsidRPr="00985300">
        <w:rPr>
          <w:rFonts w:ascii="Palatino Linotype" w:eastAsia="Palatino Linotype" w:hAnsi="Palatino Linotype" w:cs="Palatino Linotype"/>
          <w:i/>
          <w:iCs/>
        </w:rPr>
        <w:t xml:space="preserve">.- </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985300">
        <w:rPr>
          <w:rFonts w:ascii="Palatino Linotype" w:eastAsia="Palatino Linotype" w:hAnsi="Palatino Linotype" w:cs="Palatino Linotype"/>
          <w:i/>
          <w:iCs/>
        </w:rPr>
        <w:t>.</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D485F" w:rsidRPr="00985300" w:rsidRDefault="00F36AD2">
      <w:pPr>
        <w:spacing w:before="240" w:after="240"/>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Este derecho se regirá por los principios y bases siguientes</w:t>
      </w:r>
      <w:r w:rsidRPr="00985300">
        <w:rPr>
          <w:rFonts w:ascii="Palatino Linotype" w:eastAsia="Palatino Linotype" w:hAnsi="Palatino Linotype" w:cs="Palatino Linotype"/>
          <w:i/>
          <w:iCs/>
        </w:rPr>
        <w:t>:</w:t>
      </w:r>
    </w:p>
    <w:p w:rsidR="002D485F" w:rsidRPr="00985300" w:rsidRDefault="00F36AD2" w:rsidP="00985300">
      <w:pPr>
        <w:pStyle w:val="Prrafodelista"/>
        <w:numPr>
          <w:ilvl w:val="0"/>
          <w:numId w:val="18"/>
        </w:numPr>
        <w:spacing w:before="240" w:after="240"/>
        <w:ind w:right="567"/>
        <w:jc w:val="both"/>
        <w:rPr>
          <w:rFonts w:ascii="Palatino Linotype" w:eastAsia="Palatino Linotype" w:hAnsi="Palatino Linotype" w:cs="Palatino Linotype"/>
          <w:i/>
          <w:iCs/>
          <w:sz w:val="24"/>
        </w:rPr>
      </w:pPr>
      <w:r w:rsidRPr="00985300">
        <w:rPr>
          <w:rFonts w:ascii="Palatino Linotype" w:eastAsia="Palatino Linotype" w:hAnsi="Palatino Linotype" w:cs="Palatino Linotype"/>
          <w:b/>
          <w:bCs/>
          <w:i/>
          <w:iCs/>
          <w:sz w:val="24"/>
        </w:rPr>
        <w:t>Toda la información en posesión de cualquier autoridad, entidad, órgano y organismos de los</w:t>
      </w:r>
      <w:r w:rsidRPr="00985300">
        <w:rPr>
          <w:rFonts w:ascii="Palatino Linotype" w:eastAsia="Palatino Linotype" w:hAnsi="Palatino Linotype" w:cs="Palatino Linotype"/>
          <w:i/>
          <w:iCs/>
          <w:sz w:val="24"/>
        </w:rPr>
        <w:t xml:space="preserve"> Poderes Ejecutivo, Legislativo y Judicial, órganos autónomos, partidos políticos, fideicomisos y fondos públicos estatales y </w:t>
      </w:r>
      <w:r w:rsidRPr="00985300">
        <w:rPr>
          <w:rFonts w:ascii="Palatino Linotype" w:eastAsia="Palatino Linotype" w:hAnsi="Palatino Linotype" w:cs="Palatino Linotype"/>
          <w:b/>
          <w:bCs/>
          <w:i/>
          <w:iCs/>
          <w:sz w:val="24"/>
        </w:rPr>
        <w:t>municipales</w:t>
      </w:r>
      <w:r w:rsidRPr="00985300">
        <w:rPr>
          <w:rFonts w:ascii="Palatino Linotype" w:eastAsia="Palatino Linotype" w:hAnsi="Palatino Linotype" w:cs="Palatino Linotype"/>
          <w:i/>
          <w:iCs/>
          <w:sz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85300">
        <w:rPr>
          <w:rFonts w:ascii="Palatino Linotype" w:eastAsia="Palatino Linotype" w:hAnsi="Palatino Linotype" w:cs="Palatino Linotype"/>
          <w:b/>
          <w:bCs/>
          <w:i/>
          <w:iCs/>
          <w:sz w:val="24"/>
        </w:rPr>
        <w:t>es pública</w:t>
      </w:r>
      <w:r w:rsidRPr="00985300">
        <w:rPr>
          <w:rFonts w:ascii="Palatino Linotype" w:eastAsia="Palatino Linotype" w:hAnsi="Palatino Linotype" w:cs="Palatino Linotype"/>
          <w:i/>
          <w:iCs/>
          <w:sz w:val="24"/>
        </w:rPr>
        <w:t xml:space="preserve"> y sólo podrá ser reservada temporalmente por razones previstas en la Constitución Política de los Estados Unidos Mexicanos de interés público y seguridad, en los términos que fijen las leyes. </w:t>
      </w:r>
      <w:r w:rsidRPr="00985300">
        <w:rPr>
          <w:rFonts w:ascii="Palatino Linotype" w:eastAsia="Palatino Linotype" w:hAnsi="Palatino Linotype" w:cs="Palatino Linotype"/>
          <w:b/>
          <w:bCs/>
          <w:i/>
          <w:iCs/>
          <w:sz w:val="24"/>
        </w:rPr>
        <w:t>En la interpretación de este derecho deberá prevalecer el principio de máxima publicidad</w:t>
      </w:r>
      <w:r w:rsidRPr="00985300">
        <w:rPr>
          <w:rFonts w:ascii="Palatino Linotype" w:eastAsia="Palatino Linotype" w:hAnsi="Palatino Linotype" w:cs="Palatino Linotype"/>
          <w:i/>
          <w:iCs/>
          <w:sz w:val="24"/>
        </w:rPr>
        <w:t xml:space="preserve">. </w:t>
      </w:r>
      <w:r w:rsidRPr="00985300">
        <w:rPr>
          <w:rFonts w:ascii="Palatino Linotype" w:eastAsia="Palatino Linotype" w:hAnsi="Palatino Linotype" w:cs="Palatino Linotype"/>
          <w:b/>
          <w:bCs/>
          <w:i/>
          <w:iCs/>
          <w:sz w:val="24"/>
        </w:rPr>
        <w:t>Los sujetos obligados deberán documentar todo acto que derive del ejercicio de sus facultades, competencias o funciones</w:t>
      </w:r>
      <w:r w:rsidRPr="00985300">
        <w:rPr>
          <w:rFonts w:ascii="Palatino Linotype" w:eastAsia="Palatino Linotype" w:hAnsi="Palatino Linotype" w:cs="Palatino Linotype"/>
          <w:i/>
          <w:iCs/>
          <w:sz w:val="24"/>
        </w:rPr>
        <w:t>, la ley determinará los supuestos específicos bajo los cuales procederá la declaración de inexistencia de la información.”</w:t>
      </w:r>
    </w:p>
    <w:p w:rsidR="00985300" w:rsidRPr="00985300" w:rsidRDefault="00985300" w:rsidP="00985300">
      <w:pPr>
        <w:pStyle w:val="Prrafodelista"/>
        <w:spacing w:before="240" w:after="240"/>
        <w:ind w:left="1287" w:right="567"/>
        <w:jc w:val="both"/>
        <w:rPr>
          <w:rFonts w:ascii="Palatino Linotype" w:eastAsia="Palatino Linotype" w:hAnsi="Palatino Linotype" w:cs="Palatino Linotype"/>
          <w:i/>
          <w:iCs/>
        </w:rPr>
      </w:pPr>
    </w:p>
    <w:p w:rsidR="002D485F" w:rsidRDefault="00F36AD2">
      <w:pPr>
        <w:numPr>
          <w:ilvl w:val="0"/>
          <w:numId w:val="1"/>
        </w:numPr>
        <w:spacing w:before="240"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985300">
        <w:rPr>
          <w:rFonts w:ascii="Palatino Linotype" w:eastAsia="Palatino Linotype" w:hAnsi="Palatino Linotype" w:cs="Palatino Linotype"/>
          <w:i/>
          <w:iCs/>
        </w:rPr>
        <w:t>por los principios de simplicidad, rapidez gratuidad del procedimiento, auxilio y orientación a los particulares</w:t>
      </w:r>
      <w:r w:rsidRPr="00985300">
        <w:rPr>
          <w:rFonts w:ascii="Palatino Linotype" w:eastAsia="Palatino Linotype" w:hAnsi="Palatino Linotype" w:cs="Palatino Linotype"/>
        </w:rPr>
        <w:t>, contemplando el derecho de las personas con discapacidad y hablantes de lengua indígena.</w:t>
      </w:r>
    </w:p>
    <w:p w:rsidR="00A129A7" w:rsidRPr="00985300" w:rsidRDefault="00A129A7" w:rsidP="00A129A7">
      <w:pPr>
        <w:spacing w:before="240" w:line="360" w:lineRule="auto"/>
        <w:ind w:right="49"/>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lastRenderedPageBreak/>
        <w:t xml:space="preserve">El Derecho de Acceso a la Información se garantiza y respeta oportunamente, y según lo que dispone la Ley, las </w:t>
      </w:r>
      <w:r w:rsidRPr="00985300">
        <w:rPr>
          <w:rFonts w:ascii="Palatino Linotype" w:eastAsia="Palatino Linotype" w:hAnsi="Palatino Linotype" w:cs="Palatino Linotype"/>
          <w:i/>
          <w:iCs/>
        </w:rPr>
        <w:t>solicitudes de acceso a la información</w:t>
      </w:r>
      <w:r w:rsidRPr="00985300">
        <w:rPr>
          <w:rFonts w:ascii="Palatino Linotype" w:eastAsia="Palatino Linotype" w:hAnsi="Palatino Linotype" w:cs="Palatino Linotype"/>
        </w:rPr>
        <w:t>.</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Así entonces, se procede analizar, en primer lugar, si el </w:t>
      </w:r>
      <w:r w:rsidRPr="00985300">
        <w:rPr>
          <w:rFonts w:ascii="Palatino Linotype" w:eastAsia="Palatino Linotype" w:hAnsi="Palatino Linotype" w:cs="Palatino Linotype"/>
          <w:b/>
          <w:bCs/>
        </w:rPr>
        <w:t>SUJETO OBLIGADO</w:t>
      </w:r>
      <w:r w:rsidRPr="00985300">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keepNext/>
        <w:keepLines/>
        <w:spacing w:after="240" w:line="360" w:lineRule="auto"/>
        <w:rPr>
          <w:rFonts w:ascii="Palatino Linotype" w:eastAsia="Palatino Linotype" w:hAnsi="Palatino Linotype" w:cs="Palatino Linotype"/>
          <w:b/>
          <w:bCs/>
        </w:rPr>
      </w:pPr>
      <w:r w:rsidRPr="00985300">
        <w:rPr>
          <w:rFonts w:ascii="Palatino Linotype" w:eastAsia="Palatino Linotype" w:hAnsi="Palatino Linotype" w:cs="Palatino Linotype"/>
          <w:b/>
          <w:bCs/>
        </w:rPr>
        <w:t>II. De la información solicitada y la respuesta del SUJETO OBLIGADO</w:t>
      </w: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color w:val="000000"/>
        </w:rPr>
        <w:t xml:space="preserve">Para efectos de estudio es conveniente reiterar que el solicitante requirió de los </w:t>
      </w:r>
      <w:r w:rsidRPr="00985300">
        <w:rPr>
          <w:rFonts w:ascii="Palatino Linotype" w:eastAsia="Palatino Linotype" w:hAnsi="Palatino Linotype" w:cs="Palatino Linotype"/>
          <w:b/>
          <w:bCs/>
          <w:color w:val="000000"/>
        </w:rPr>
        <w:t>Programas de Apoyo “Transformando el Campo” y “Por el Rescate del Campo” 2025, precisado por delegaciones lo siguiente:</w:t>
      </w:r>
    </w:p>
    <w:p w:rsidR="002D485F" w:rsidRPr="00985300" w:rsidRDefault="00F36AD2">
      <w:pPr>
        <w:numPr>
          <w:ilvl w:val="3"/>
          <w:numId w:val="1"/>
        </w:numPr>
        <w:pBdr>
          <w:top w:val="nil"/>
          <w:left w:val="nil"/>
          <w:bottom w:val="nil"/>
          <w:right w:val="nil"/>
          <w:between w:val="nil"/>
        </w:pBdr>
        <w:spacing w:line="360" w:lineRule="auto"/>
        <w:ind w:left="709" w:right="48"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Número de solicitudes autorizadas y sus folios</w:t>
      </w:r>
    </w:p>
    <w:p w:rsidR="002D485F" w:rsidRPr="00985300" w:rsidRDefault="00F36AD2">
      <w:pPr>
        <w:numPr>
          <w:ilvl w:val="3"/>
          <w:numId w:val="1"/>
        </w:numPr>
        <w:pBdr>
          <w:top w:val="nil"/>
          <w:left w:val="nil"/>
          <w:bottom w:val="nil"/>
          <w:right w:val="nil"/>
          <w:between w:val="nil"/>
        </w:pBdr>
        <w:spacing w:line="360" w:lineRule="auto"/>
        <w:ind w:left="709" w:right="48"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Número de solicitudes autorizadas que ya se les haya entregado el apoyo, en el que se precise:</w:t>
      </w:r>
    </w:p>
    <w:p w:rsidR="002D485F" w:rsidRPr="00985300" w:rsidRDefault="00F36AD2">
      <w:pPr>
        <w:numPr>
          <w:ilvl w:val="0"/>
          <w:numId w:val="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Folio de la solicitud</w:t>
      </w:r>
    </w:p>
    <w:p w:rsidR="002D485F" w:rsidRPr="00985300" w:rsidRDefault="00F36AD2">
      <w:pPr>
        <w:numPr>
          <w:ilvl w:val="0"/>
          <w:numId w:val="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Concepto solicitado</w:t>
      </w:r>
    </w:p>
    <w:p w:rsidR="002D485F" w:rsidRPr="00985300" w:rsidRDefault="00F36AD2">
      <w:pPr>
        <w:numPr>
          <w:ilvl w:val="0"/>
          <w:numId w:val="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lastRenderedPageBreak/>
        <w:t>Nombre del proveedor designado autorizado por la SECAMPO</w:t>
      </w:r>
    </w:p>
    <w:p w:rsidR="002D485F" w:rsidRPr="00985300" w:rsidRDefault="00F36AD2">
      <w:pPr>
        <w:numPr>
          <w:ilvl w:val="0"/>
          <w:numId w:val="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del apoyo (Aportación SECAMPO)</w:t>
      </w:r>
    </w:p>
    <w:p w:rsidR="002D485F" w:rsidRPr="00985300" w:rsidRDefault="00F36AD2">
      <w:pPr>
        <w:numPr>
          <w:ilvl w:val="0"/>
          <w:numId w:val="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 la aportación de cada beneficiario</w:t>
      </w:r>
    </w:p>
    <w:p w:rsidR="002D485F" w:rsidRPr="00985300" w:rsidRDefault="00F36AD2">
      <w:pPr>
        <w:numPr>
          <w:ilvl w:val="0"/>
          <w:numId w:val="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 xml:space="preserve">Precio que la SECAMPO tomó de referencia para establecer el monto del apoyo y la aportación del beneficiario. </w:t>
      </w:r>
    </w:p>
    <w:p w:rsidR="002D485F" w:rsidRPr="00985300" w:rsidRDefault="00F36AD2">
      <w:pPr>
        <w:numPr>
          <w:ilvl w:val="3"/>
          <w:numId w:val="1"/>
        </w:numPr>
        <w:pBdr>
          <w:top w:val="nil"/>
          <w:left w:val="nil"/>
          <w:bottom w:val="nil"/>
          <w:right w:val="nil"/>
          <w:between w:val="nil"/>
        </w:pBdr>
        <w:spacing w:line="360" w:lineRule="auto"/>
        <w:ind w:left="567" w:right="4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 xml:space="preserve">Respecto de las solicitudes autorizadas que aún no se les entrega el apoyo precisar: </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Folio de la solicitud</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Concepto solicitado</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Nombre del proveedor designado autorizado por la SECAMPO del concepto solicitado</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Precio del bien o servicio de acuerdo al proveedor designado y/o autorizado por la SECAMPO</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del apoyo (Aportación SECAMPO)</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Monto de la aportación por cada beneficiario</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Lugar, fecha y hora en que se hará entrega de los apoyos</w:t>
      </w:r>
    </w:p>
    <w:p w:rsidR="002D485F" w:rsidRPr="00985300" w:rsidRDefault="00F36AD2">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Forma de entrega de los apoyos</w:t>
      </w:r>
    </w:p>
    <w:p w:rsidR="002D485F" w:rsidRPr="00985300" w:rsidRDefault="00F36AD2">
      <w:pPr>
        <w:numPr>
          <w:ilvl w:val="3"/>
          <w:numId w:val="1"/>
        </w:numPr>
        <w:pBdr>
          <w:top w:val="nil"/>
          <w:left w:val="nil"/>
          <w:bottom w:val="nil"/>
          <w:right w:val="nil"/>
          <w:between w:val="nil"/>
        </w:pBdr>
        <w:spacing w:line="360" w:lineRule="auto"/>
        <w:ind w:left="567"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Procedimiento y criterios de selección que se establecieron para determinar a los proveedores de las solicitudes autorizadas de los Programas</w:t>
      </w:r>
    </w:p>
    <w:p w:rsidR="002D485F" w:rsidRPr="00985300" w:rsidRDefault="00F36AD2">
      <w:pPr>
        <w:numPr>
          <w:ilvl w:val="3"/>
          <w:numId w:val="1"/>
        </w:numPr>
        <w:pBdr>
          <w:top w:val="nil"/>
          <w:left w:val="nil"/>
          <w:bottom w:val="nil"/>
          <w:right w:val="nil"/>
          <w:between w:val="nil"/>
        </w:pBdr>
        <w:spacing w:line="360" w:lineRule="auto"/>
        <w:ind w:left="567"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Informar si el proveedor otorgo algún beneficio (capacitación, mantenimiento, asesoría, garantía extendida, etc.) o precio preferencial de los bienes y servicios y si este precio se está siendo extensivo a los beneficiarios y de qué forma</w:t>
      </w:r>
    </w:p>
    <w:p w:rsidR="002D485F" w:rsidRPr="00985300" w:rsidRDefault="00F36AD2">
      <w:pPr>
        <w:numPr>
          <w:ilvl w:val="3"/>
          <w:numId w:val="1"/>
        </w:numPr>
        <w:pBdr>
          <w:top w:val="nil"/>
          <w:left w:val="nil"/>
          <w:bottom w:val="nil"/>
          <w:right w:val="nil"/>
          <w:between w:val="nil"/>
        </w:pBdr>
        <w:spacing w:line="360" w:lineRule="auto"/>
        <w:ind w:left="567"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En el supuesto de que la autoridad no cuente con la información, deberá explicar el motivo por el las redes sociales oficiales  y en diferentes medios de comunicación han anunciado la entrega de apoyos de los programas de referencia.</w:t>
      </w: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lastRenderedPageBreak/>
        <w:t xml:space="preserve">De lo anterior el </w:t>
      </w:r>
      <w:r w:rsidRPr="00985300">
        <w:rPr>
          <w:rFonts w:ascii="Palatino Linotype" w:eastAsia="Palatino Linotype" w:hAnsi="Palatino Linotype" w:cs="Palatino Linotype"/>
          <w:b/>
          <w:bCs/>
          <w:color w:val="000000"/>
        </w:rPr>
        <w:t xml:space="preserve">SUJETO OBLIGADO, </w:t>
      </w:r>
      <w:r w:rsidRPr="00985300">
        <w:rPr>
          <w:rFonts w:ascii="Palatino Linotype" w:eastAsia="Palatino Linotype" w:hAnsi="Palatino Linotype" w:cs="Palatino Linotype"/>
          <w:color w:val="000000"/>
        </w:rPr>
        <w:t>a través de los servidores públicos habilitados,</w:t>
      </w:r>
      <w:r w:rsidRPr="00985300">
        <w:rPr>
          <w:rFonts w:ascii="Palatino Linotype" w:eastAsia="Palatino Linotype" w:hAnsi="Palatino Linotype" w:cs="Palatino Linotype"/>
          <w:b/>
          <w:bCs/>
          <w:color w:val="000000"/>
        </w:rPr>
        <w:t xml:space="preserve"> </w:t>
      </w:r>
      <w:r w:rsidRPr="00985300">
        <w:rPr>
          <w:rFonts w:ascii="Palatino Linotype" w:eastAsia="Palatino Linotype" w:hAnsi="Palatino Linotype" w:cs="Palatino Linotype"/>
          <w:color w:val="000000"/>
        </w:rPr>
        <w:t>remitió un documento en el que se advierten 969 solicitudes autorizadas para el programa denominado “Transformando el Campo”, de ente los cuales 475 se encuentran en proceso de entrega, sin pronunciarse respecto a las solitudes que a la fecha de la solicitud se han entregado los apoyos, cabe precisar que del documento remitido se advierte el folio de solicitud, concepto de apoyo, aportación del beneficiario, delegación, y el estatus de las solicitudes autorizadas; así mismo, informo que en relación al Programa “Por el Rescate del Campo”, se han autorizado 1169 solicitudes, sin embargo a la fecha de la solicitud, aún no se entrega el apoyo, por lo tanto no se tiene fecha, hora, lugar y forma de entrega de los mismos.</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0"/>
          <w:tab w:val="left" w:pos="567"/>
        </w:tabs>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985300">
        <w:rPr>
          <w:rFonts w:ascii="Palatino Linotype" w:eastAsia="Palatino Linotype" w:hAnsi="Palatino Linotype" w:cs="Palatino Linotype"/>
          <w:b/>
          <w:bCs/>
        </w:rPr>
        <w:t>SUJETO OBLIGADO</w:t>
      </w:r>
      <w:r w:rsidRPr="00985300">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En este sentido se inserta el siguiente cuadro de análisis:</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tbl>
      <w:tblPr>
        <w:tblStyle w:val="a"/>
        <w:tblpPr w:leftFromText="141" w:rightFromText="141" w:vertAnchor="text" w:tblpX="137" w:tblpY="1"/>
        <w:tblW w:w="97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25"/>
        <w:gridCol w:w="2973"/>
        <w:gridCol w:w="144"/>
        <w:gridCol w:w="1415"/>
        <w:gridCol w:w="572"/>
        <w:gridCol w:w="1701"/>
      </w:tblGrid>
      <w:tr w:rsidR="002D485F" w:rsidRPr="00985300" w:rsidTr="005732CD">
        <w:tc>
          <w:tcPr>
            <w:tcW w:w="2547" w:type="dxa"/>
            <w:shd w:val="clear" w:color="auto" w:fill="D9D9D9"/>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 xml:space="preserve">Información Solicitada </w:t>
            </w:r>
          </w:p>
        </w:tc>
        <w:tc>
          <w:tcPr>
            <w:tcW w:w="3542" w:type="dxa"/>
            <w:gridSpan w:val="3"/>
            <w:shd w:val="clear" w:color="auto" w:fill="D9D9D9"/>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 xml:space="preserve">Respuesta </w:t>
            </w:r>
          </w:p>
        </w:tc>
        <w:tc>
          <w:tcPr>
            <w:tcW w:w="1987" w:type="dxa"/>
            <w:gridSpan w:val="2"/>
            <w:shd w:val="clear" w:color="auto" w:fill="D9D9D9"/>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 xml:space="preserve">Informe Justificado </w:t>
            </w:r>
          </w:p>
        </w:tc>
        <w:tc>
          <w:tcPr>
            <w:tcW w:w="1701" w:type="dxa"/>
            <w:shd w:val="clear" w:color="auto" w:fill="D9D9D9"/>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Comentario</w:t>
            </w:r>
          </w:p>
        </w:tc>
      </w:tr>
      <w:tr w:rsidR="002D485F" w:rsidRPr="00985300" w:rsidTr="005732CD">
        <w:tc>
          <w:tcPr>
            <w:tcW w:w="9777" w:type="dxa"/>
            <w:gridSpan w:val="7"/>
            <w:shd w:val="clear" w:color="auto" w:fill="auto"/>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Programa Transformando el Campo</w:t>
            </w:r>
          </w:p>
        </w:tc>
      </w:tr>
      <w:tr w:rsidR="002D485F" w:rsidRPr="00985300" w:rsidTr="005732CD">
        <w:tc>
          <w:tcPr>
            <w:tcW w:w="2547" w:type="dxa"/>
          </w:tcPr>
          <w:p w:rsidR="002D485F" w:rsidRPr="00985300" w:rsidRDefault="00F36AD2">
            <w:pPr>
              <w:numPr>
                <w:ilvl w:val="0"/>
                <w:numId w:val="4"/>
              </w:numPr>
              <w:ind w:left="283" w:right="-4"/>
              <w:jc w:val="both"/>
              <w:rPr>
                <w:rFonts w:ascii="Palatino Linotype" w:eastAsia="Palatino Linotype" w:hAnsi="Palatino Linotype" w:cs="Palatino Linotype"/>
              </w:rPr>
            </w:pPr>
            <w:r w:rsidRPr="00985300">
              <w:rPr>
                <w:rFonts w:ascii="Palatino Linotype" w:eastAsia="Palatino Linotype" w:hAnsi="Palatino Linotype" w:cs="Palatino Linotype"/>
              </w:rPr>
              <w:t>Número de Solicitudes autorizadas y sus folios</w:t>
            </w:r>
          </w:p>
        </w:tc>
        <w:tc>
          <w:tcPr>
            <w:tcW w:w="3542" w:type="dxa"/>
            <w:gridSpan w:val="3"/>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de la Dirección General para un Desarrollo Agropecuario Adaptativo y autosuficiencia Alimentaria, informó que a la fecha de la solicitud se tienen 969 solicitudes autorizadas</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rPr>
            </w:pPr>
          </w:p>
        </w:tc>
        <w:tc>
          <w:tcPr>
            <w:tcW w:w="1987"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presenta Informe Justificado</w:t>
            </w:r>
          </w:p>
        </w:tc>
        <w:tc>
          <w:tcPr>
            <w:tcW w:w="1701"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Si colma</w:t>
            </w:r>
          </w:p>
        </w:tc>
      </w:tr>
      <w:tr w:rsidR="002D485F" w:rsidRPr="00985300" w:rsidTr="005732CD">
        <w:tc>
          <w:tcPr>
            <w:tcW w:w="9777" w:type="dxa"/>
            <w:gridSpan w:val="7"/>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b/>
                <w:bCs/>
              </w:rPr>
            </w:pPr>
            <w:r w:rsidRPr="00985300">
              <w:rPr>
                <w:rFonts w:ascii="Palatino Linotype" w:eastAsia="Palatino Linotype" w:hAnsi="Palatino Linotype" w:cs="Palatino Linotype"/>
                <w:b/>
                <w:bCs/>
              </w:rPr>
              <w:lastRenderedPageBreak/>
              <w:t>Solicitudes autorizadas que ya se les haya entregado el apoyo</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 w:hanging="29"/>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Folio de la solicitud</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rPr>
            </w:pP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Concepto solicitado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rPr>
            </w:pP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Nombre del Proveedor designado y autorizado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rPr>
            </w:pP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Monto del Apoyo (Aportación SECAMPO)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rPr>
            </w:pP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Monto de Aportación por cada beneficiario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rPr>
            </w:pP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Precio que la SECAMPO tomo de referencia para establecer el monto del apoyo y la aportación del beneficiario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Derecho de petición</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Delegaciones</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rPr>
            </w:pPr>
          </w:p>
        </w:tc>
      </w:tr>
      <w:tr w:rsidR="002D485F" w:rsidRPr="00985300" w:rsidTr="005732CD">
        <w:tc>
          <w:tcPr>
            <w:tcW w:w="9777" w:type="dxa"/>
            <w:gridSpan w:val="7"/>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b/>
                <w:bCs/>
              </w:rPr>
            </w:pPr>
            <w:r w:rsidRPr="00985300">
              <w:rPr>
                <w:rFonts w:ascii="Palatino Linotype" w:eastAsia="Palatino Linotype" w:hAnsi="Palatino Linotype" w:cs="Palatino Linotype"/>
                <w:b/>
                <w:bCs/>
              </w:rPr>
              <w:t>Solicitudes autorizadas que aún no se les entrega el apoyo</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Folio de la solicitud</w:t>
            </w:r>
          </w:p>
        </w:tc>
        <w:tc>
          <w:tcPr>
            <w:tcW w:w="3542" w:type="dxa"/>
            <w:gridSpan w:val="3"/>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Del documento remitido por el servidor público habilitado, se advierten 475 solicitudes</w:t>
            </w:r>
          </w:p>
        </w:tc>
        <w:tc>
          <w:tcPr>
            <w:tcW w:w="1987"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1701"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Si colma</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 xml:space="preserve">Concepto solicitado </w:t>
            </w:r>
          </w:p>
        </w:tc>
        <w:tc>
          <w:tcPr>
            <w:tcW w:w="3542" w:type="dxa"/>
            <w:gridSpan w:val="3"/>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Del documento remitido por el servidor público habilitado, se advierte el concepto del apoyo otorgado</w:t>
            </w:r>
          </w:p>
        </w:tc>
        <w:tc>
          <w:tcPr>
            <w:tcW w:w="1987"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1701"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Si colma</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Nombre del Proveedor designado y autorizado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No se pronuncia</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lastRenderedPageBreak/>
              <w:t>Precio del bien o servicio de acuerdo al proveedor designado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No se pronuncia</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Monto del Apoyo (aportación SECAMPO)</w:t>
            </w:r>
          </w:p>
        </w:tc>
        <w:tc>
          <w:tcPr>
            <w:tcW w:w="7230" w:type="dxa"/>
            <w:gridSpan w:val="6"/>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No se pronuncia</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Monto de la aportación por cada beneficiario</w:t>
            </w:r>
          </w:p>
        </w:tc>
        <w:tc>
          <w:tcPr>
            <w:tcW w:w="3542" w:type="dxa"/>
            <w:gridSpan w:val="3"/>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Del documento remitido por el servidor público habilitado, se advierte la aportación entregada por cada beneficiario</w:t>
            </w:r>
          </w:p>
        </w:tc>
        <w:tc>
          <w:tcPr>
            <w:tcW w:w="1987"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1701"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Si colma</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Legar, fecha, hora y forma en que se hará la entrega de apoyos</w:t>
            </w:r>
          </w:p>
        </w:tc>
        <w:tc>
          <w:tcPr>
            <w:tcW w:w="3542" w:type="dxa"/>
            <w:gridSpan w:val="3"/>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En virtud de que a la fecha de la solicitud de la información aún no se realizaban las entregas de los apoyos, no se cuenta con información al respecto</w:t>
            </w:r>
          </w:p>
        </w:tc>
        <w:tc>
          <w:tcPr>
            <w:tcW w:w="1987"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o remite informe justificado</w:t>
            </w:r>
          </w:p>
        </w:tc>
        <w:tc>
          <w:tcPr>
            <w:tcW w:w="1701"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b/>
                <w:bCs/>
              </w:rPr>
              <w:t>Si colma</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29" w:right="48"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Delegaciones</w:t>
            </w:r>
          </w:p>
        </w:tc>
        <w:tc>
          <w:tcPr>
            <w:tcW w:w="3542" w:type="dxa"/>
            <w:gridSpan w:val="3"/>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Del documento remitido por el servidor público habilitado, se advierte la Delegación Regional al que pertenece el beneficiario</w:t>
            </w:r>
          </w:p>
        </w:tc>
        <w:tc>
          <w:tcPr>
            <w:tcW w:w="1987"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1701"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b/>
                <w:bCs/>
              </w:rPr>
              <w:t>Si colma</w:t>
            </w:r>
          </w:p>
        </w:tc>
      </w:tr>
      <w:tr w:rsidR="002D485F" w:rsidRPr="00985300" w:rsidTr="005732CD">
        <w:tc>
          <w:tcPr>
            <w:tcW w:w="9777" w:type="dxa"/>
            <w:gridSpan w:val="7"/>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b/>
                <w:bCs/>
              </w:rPr>
            </w:pPr>
            <w:r w:rsidRPr="00985300">
              <w:rPr>
                <w:rFonts w:ascii="Palatino Linotype" w:eastAsia="Palatino Linotype" w:hAnsi="Palatino Linotype" w:cs="Palatino Linotype"/>
                <w:b/>
                <w:bCs/>
              </w:rPr>
              <w:t>“Por el Rescate del Campo”</w:t>
            </w:r>
          </w:p>
        </w:tc>
      </w:tr>
      <w:tr w:rsidR="002D485F" w:rsidRPr="00985300" w:rsidTr="005732CD">
        <w:tc>
          <w:tcPr>
            <w:tcW w:w="2547" w:type="dxa"/>
          </w:tcPr>
          <w:p w:rsidR="002D485F" w:rsidRPr="00985300" w:rsidRDefault="00F36AD2">
            <w:pPr>
              <w:numPr>
                <w:ilvl w:val="0"/>
                <w:numId w:val="4"/>
              </w:numPr>
              <w:pBdr>
                <w:top w:val="nil"/>
                <w:left w:val="nil"/>
                <w:bottom w:val="nil"/>
                <w:right w:val="nil"/>
                <w:between w:val="nil"/>
              </w:pBdr>
              <w:ind w:left="0" w:right="-4"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color w:val="000000"/>
              </w:rPr>
              <w:t>Número de Solicitudes autorizadas y sus folios</w:t>
            </w:r>
          </w:p>
        </w:tc>
        <w:tc>
          <w:tcPr>
            <w:tcW w:w="3542" w:type="dxa"/>
            <w:gridSpan w:val="3"/>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indicó que se han autorizado 1169 solicitudes</w:t>
            </w:r>
          </w:p>
          <w:p w:rsidR="002D485F" w:rsidRPr="00985300" w:rsidRDefault="002D485F">
            <w:pPr>
              <w:pBdr>
                <w:top w:val="nil"/>
                <w:left w:val="nil"/>
                <w:bottom w:val="nil"/>
                <w:right w:val="nil"/>
                <w:between w:val="nil"/>
              </w:pBdr>
              <w:ind w:right="-4"/>
              <w:jc w:val="both"/>
              <w:rPr>
                <w:rFonts w:ascii="Palatino Linotype" w:eastAsia="Palatino Linotype" w:hAnsi="Palatino Linotype" w:cs="Palatino Linotype"/>
                <w:b/>
                <w:bCs/>
              </w:rPr>
            </w:pPr>
          </w:p>
        </w:tc>
        <w:tc>
          <w:tcPr>
            <w:tcW w:w="1987"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rPr>
              <w:t>No Remite Informe Justificado</w:t>
            </w:r>
          </w:p>
        </w:tc>
        <w:tc>
          <w:tcPr>
            <w:tcW w:w="1701"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rPr>
              <w:t>Si colma</w:t>
            </w:r>
          </w:p>
        </w:tc>
      </w:tr>
      <w:tr w:rsidR="002D485F" w:rsidRPr="00985300" w:rsidTr="005732CD">
        <w:tc>
          <w:tcPr>
            <w:tcW w:w="9777" w:type="dxa"/>
            <w:gridSpan w:val="7"/>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b/>
                <w:bCs/>
              </w:rPr>
            </w:pPr>
            <w:r w:rsidRPr="00985300">
              <w:rPr>
                <w:rFonts w:ascii="Palatino Linotype" w:eastAsia="Palatino Linotype" w:hAnsi="Palatino Linotype" w:cs="Palatino Linotype"/>
                <w:b/>
                <w:bCs/>
              </w:rPr>
              <w:t>Solicitudes autorizadas que ya se les entrego el Apoyo</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Folio de la solicitud</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indicó que a la fecha de la solicitud, no se han entregado apoyos.</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Concepto solicitado</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El Servidor Público habilitado, indicó que a la </w:t>
            </w:r>
            <w:r w:rsidRPr="00985300">
              <w:rPr>
                <w:rFonts w:ascii="Palatino Linotype" w:eastAsia="Palatino Linotype" w:hAnsi="Palatino Linotype" w:cs="Palatino Linotype"/>
              </w:rPr>
              <w:lastRenderedPageBreak/>
              <w:t>fecha de la solicitud, no se han entregado apoyos.</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lastRenderedPageBreak/>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Nombre del Proveedor designado y autorizado</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indicó que a la fecha de la solicitud, no se han entregado apoyos.</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Monto del Apoyo (Aportación SECAMPO)</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indicó que a la fecha de la solicitud, no se han entregado apoyos.</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Monto de Aportación por cada beneficiario</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indicó que a la fecha de la solicitud, no se han entregado apoyos.</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Delegaciones</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indicó que a la fecha de la solicitud, no se han entregado apoyos.</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9777" w:type="dxa"/>
            <w:gridSpan w:val="7"/>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b/>
                <w:bCs/>
              </w:rPr>
            </w:pPr>
            <w:r w:rsidRPr="00985300">
              <w:rPr>
                <w:rFonts w:ascii="Palatino Linotype" w:eastAsia="Palatino Linotype" w:hAnsi="Palatino Linotype" w:cs="Palatino Linotype"/>
                <w:b/>
                <w:bCs/>
              </w:rPr>
              <w:t>Solicitudes autorizadas que aún no se les entrega el apoyo</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rPr>
              <w:t>Folio de la solicitud</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refirió agregar un documento Excel con el folio, concepto solicitado, nombre del proveedor, precio del bien o servicio, monto de apoyo (aportación SECAMPO) y el monto de aportación por cada beneficiario</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b/>
                <w:bCs/>
              </w:rPr>
              <w:t>Si colma</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rPr>
              <w:t xml:space="preserve">Concepto solicitado </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Del documento remitido por el Servidor Público Habilitado, se advierte el concepto solicitado</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Si colma</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rPr>
              <w:lastRenderedPageBreak/>
              <w:t>Nombre del Proveedor designado y autorizado</w:t>
            </w:r>
          </w:p>
        </w:tc>
        <w:tc>
          <w:tcPr>
            <w:tcW w:w="6805" w:type="dxa"/>
            <w:gridSpan w:val="5"/>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rPr>
              <w:t>Precio del bien o servicio de acuerdo al proveedor designado</w:t>
            </w:r>
          </w:p>
        </w:tc>
        <w:tc>
          <w:tcPr>
            <w:tcW w:w="6805" w:type="dxa"/>
            <w:gridSpan w:val="5"/>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Omitió Pronunciarse</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rPr>
              <w:t>Monto del Apoyo (aportación SECAMPO)</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Del documento remitido por el Servidor Público Habilitado, se advierte que la información se encuentra en proceso </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rPr>
              <w:t>Monto de la aportación por cada beneficiario</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Del documento remitido por el Servidor Público Habilitado, se advierte el monto de aportación por cada beneficiario</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Si colma</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rPr>
              <w:t>Legar, fecha, hora y forma en que se hará la entrega de apoyos</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habilitado, refirió que la información está en proceso.</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Hechos futuros e inciertos</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Delegaciones</w:t>
            </w:r>
          </w:p>
        </w:tc>
        <w:tc>
          <w:tcPr>
            <w:tcW w:w="6805" w:type="dxa"/>
            <w:gridSpan w:val="5"/>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No se pronuncia</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Procedimientos y criterios de selección que se establecieron para determinar a los proveedores de las solicitudes autorizadas del Programa</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de la Dirección General de Desarrollo agrario y Rural Sostenible, refiere que esa información está a cargo de la Coordinación de Administración</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remite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 xml:space="preserve">No colma, </w:t>
            </w:r>
            <w:r w:rsidRPr="00985300">
              <w:rPr>
                <w:rFonts w:ascii="Palatino Linotype" w:eastAsia="Palatino Linotype" w:hAnsi="Palatino Linotype" w:cs="Palatino Linotype"/>
              </w:rPr>
              <w:t>toda vez que la Coordinación de Administración no se pronuncia</w:t>
            </w:r>
          </w:p>
        </w:tc>
      </w:tr>
      <w:tr w:rsidR="002D485F" w:rsidRPr="00985300" w:rsidTr="005732CD">
        <w:tc>
          <w:tcPr>
            <w:tcW w:w="2972" w:type="dxa"/>
            <w:gridSpan w:val="2"/>
          </w:tcPr>
          <w:p w:rsidR="002D485F" w:rsidRPr="00985300" w:rsidRDefault="00F36AD2">
            <w:pPr>
              <w:numPr>
                <w:ilvl w:val="0"/>
                <w:numId w:val="4"/>
              </w:numPr>
              <w:ind w:left="0" w:right="-4"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Informar si el proveedor otorgo algún beneficio (capacitación, mantenimiento, asesoría, garantía extendida, etc. )</w:t>
            </w:r>
          </w:p>
        </w:tc>
        <w:tc>
          <w:tcPr>
            <w:tcW w:w="2973" w:type="dxa"/>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El Servidor Público de la  Dirección General de Desarrollo agrario y Rural Sostenible, refiere que esa información está a cargo de la Coordinación de Administración</w:t>
            </w:r>
          </w:p>
        </w:tc>
        <w:tc>
          <w:tcPr>
            <w:tcW w:w="1559"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rPr>
              <w:t>No rindió Informe Justificado</w:t>
            </w:r>
          </w:p>
        </w:tc>
        <w:tc>
          <w:tcPr>
            <w:tcW w:w="2273" w:type="dxa"/>
            <w:gridSpan w:val="2"/>
          </w:tcPr>
          <w:p w:rsidR="002D485F" w:rsidRPr="00985300" w:rsidRDefault="00F36AD2">
            <w:pPr>
              <w:pBdr>
                <w:top w:val="nil"/>
                <w:left w:val="nil"/>
                <w:bottom w:val="nil"/>
                <w:right w:val="nil"/>
                <w:between w:val="nil"/>
              </w:pBdr>
              <w:ind w:right="-4"/>
              <w:jc w:val="both"/>
              <w:rPr>
                <w:rFonts w:ascii="Palatino Linotype" w:eastAsia="Palatino Linotype" w:hAnsi="Palatino Linotype" w:cs="Palatino Linotype"/>
              </w:rPr>
            </w:pPr>
            <w:r w:rsidRPr="00985300">
              <w:rPr>
                <w:rFonts w:ascii="Palatino Linotype" w:eastAsia="Palatino Linotype" w:hAnsi="Palatino Linotype" w:cs="Palatino Linotype"/>
                <w:b/>
                <w:bCs/>
              </w:rPr>
              <w:t xml:space="preserve">No colma, </w:t>
            </w:r>
            <w:r w:rsidRPr="00985300">
              <w:rPr>
                <w:rFonts w:ascii="Palatino Linotype" w:eastAsia="Palatino Linotype" w:hAnsi="Palatino Linotype" w:cs="Palatino Linotype"/>
              </w:rPr>
              <w:t>toda vez que la Coordinación de Administración no se pronuncia</w:t>
            </w:r>
          </w:p>
        </w:tc>
      </w:tr>
      <w:tr w:rsidR="002D485F" w:rsidRPr="00985300" w:rsidTr="005732CD">
        <w:tc>
          <w:tcPr>
            <w:tcW w:w="2972" w:type="dxa"/>
            <w:gridSpan w:val="2"/>
          </w:tcPr>
          <w:p w:rsidR="002D485F" w:rsidRPr="00985300" w:rsidRDefault="00F36AD2">
            <w:pPr>
              <w:pBdr>
                <w:top w:val="nil"/>
                <w:left w:val="nil"/>
                <w:bottom w:val="nil"/>
                <w:right w:val="nil"/>
                <w:between w:val="nil"/>
              </w:pBdr>
              <w:ind w:right="48"/>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lastRenderedPageBreak/>
              <w:t xml:space="preserve">34. </w:t>
            </w:r>
            <w:r w:rsidRPr="00985300">
              <w:rPr>
                <w:rFonts w:ascii="Palatino Linotype" w:eastAsia="Palatino Linotype" w:hAnsi="Palatino Linotype" w:cs="Palatino Linotype"/>
                <w:color w:val="000000"/>
              </w:rPr>
              <w:t>En el supuesto de que la autoridad no cuente con la información, deberá explicar el motivo por el las redes sociales oficiales  y en diferentes medios de comunicación han anunciado la entrega de apoyos de los programas de referencia.</w:t>
            </w:r>
          </w:p>
          <w:p w:rsidR="002D485F" w:rsidRPr="00985300" w:rsidRDefault="002D485F">
            <w:pPr>
              <w:ind w:right="-4"/>
              <w:jc w:val="both"/>
              <w:rPr>
                <w:rFonts w:ascii="Palatino Linotype" w:eastAsia="Palatino Linotype" w:hAnsi="Palatino Linotype" w:cs="Palatino Linotype"/>
              </w:rPr>
            </w:pPr>
          </w:p>
        </w:tc>
        <w:tc>
          <w:tcPr>
            <w:tcW w:w="6805" w:type="dxa"/>
            <w:gridSpan w:val="5"/>
          </w:tcPr>
          <w:p w:rsidR="002D485F" w:rsidRPr="00985300" w:rsidRDefault="00F36AD2">
            <w:pPr>
              <w:pBdr>
                <w:top w:val="nil"/>
                <w:left w:val="nil"/>
                <w:bottom w:val="nil"/>
                <w:right w:val="nil"/>
                <w:between w:val="nil"/>
              </w:pBdr>
              <w:ind w:right="-4"/>
              <w:jc w:val="center"/>
              <w:rPr>
                <w:rFonts w:ascii="Palatino Linotype" w:eastAsia="Palatino Linotype" w:hAnsi="Palatino Linotype" w:cs="Palatino Linotype"/>
              </w:rPr>
            </w:pPr>
            <w:r w:rsidRPr="00985300">
              <w:rPr>
                <w:rFonts w:ascii="Palatino Linotype" w:eastAsia="Palatino Linotype" w:hAnsi="Palatino Linotype" w:cs="Palatino Linotype"/>
              </w:rPr>
              <w:t>Derecho de petición</w:t>
            </w:r>
          </w:p>
        </w:tc>
      </w:tr>
    </w:tbl>
    <w:p w:rsidR="002D485F" w:rsidRPr="00985300" w:rsidRDefault="002D485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De lo expuesto en el cuadro descriptivo, se advierte que se atendieron los puntos marcados con los números 1, 9, 10, 14, 15, 16, 17, 24, 25 y 29, toda vez que 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informó que se tienen 969 solicitudes autorizadas para el programa denominado “Transformando el Campo”, de ente los cuales 475 se encuentran en proceso de entrega, cabe precisar que del documento remitido se advierte el folio de solicitud, concepto de apoyo, aportación del beneficiario, delegación, y el estatus de las solicitudes autorizadas; así mismo, informo que en relación al Programa “Por el Rescate del Campo”, se han autorizado 1169 solicitudes, sin embargo a la fecha de la solicitud, aún no se entrega el apoyo, por lo tanto no se tiene fecha, hora, lugar y forma de entrega de los mismos. </w:t>
      </w:r>
    </w:p>
    <w:p w:rsidR="002D485F" w:rsidRPr="00985300" w:rsidRDefault="002D485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Al respecto, es ineludible señalar que la información sobre hechos que aún no se han generado debido a la temporalidad, son hechos futuros e inciertos, los cuales no se pueden determinar ya que están supeditados a la conclusión de los mismos; por lo que no es procedente que los Sujetos Obligados proporcionen dicha información.</w:t>
      </w:r>
    </w:p>
    <w:p w:rsidR="002D485F" w:rsidRPr="00985300" w:rsidRDefault="002D485F">
      <w:pPr>
        <w:pBdr>
          <w:top w:val="nil"/>
          <w:left w:val="nil"/>
          <w:bottom w:val="nil"/>
          <w:right w:val="nil"/>
          <w:between w:val="nil"/>
        </w:pBdr>
        <w:spacing w:line="360" w:lineRule="auto"/>
        <w:ind w:left="360"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lastRenderedPageBreak/>
        <w:t>Lo anterior se robustece con la Tesis Aislada con número de registro 209001 , de la Suprema Corte de Justicia de la Nación, emitida por los Tribunales Colegiados de Circuito,  que a la letra señala:</w:t>
      </w:r>
    </w:p>
    <w:p w:rsidR="002D485F" w:rsidRPr="00985300" w:rsidRDefault="00F36AD2">
      <w:p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“ACTOS FUTUROS DE REALIZACION INCIERTA. NO PROCEDE EL JUICIO DE AMPARO CONTRA LOS. Contra actos futuros de realización incierta no procede el juicio de garantías.”</w:t>
      </w:r>
    </w:p>
    <w:p w:rsidR="002D485F" w:rsidRPr="00985300" w:rsidRDefault="002D485F">
      <w:pPr>
        <w:pBdr>
          <w:top w:val="nil"/>
          <w:left w:val="nil"/>
          <w:bottom w:val="nil"/>
          <w:right w:val="nil"/>
          <w:between w:val="nil"/>
        </w:pBdr>
        <w:spacing w:line="360" w:lineRule="auto"/>
        <w:ind w:left="360"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En ese sentido, en el caso concreto no es procedente la exigencia de la parte Recurrente de que 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atienda el requerimiento en los términos solicitados, es decir, al mes de abril de dos mil veinticinco, pues dicha autoridad únicamente está constreñida a proporcionar la información pública que genere en uso de sus atribuciones de derecho público con anterioridad a la fecha en la que se presenten las solicitudes de información, en el caso concreto, al treinta y uno de marzo de dos mil veinticinco, lo cual no sucede en el caso de los recibos de nómina requeridos por el particular, como ya se acreditó.</w:t>
      </w:r>
    </w:p>
    <w:p w:rsidR="002D485F" w:rsidRPr="00985300" w:rsidRDefault="002D485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Descrito lo anterior, se precisa que el presente estudio versara únicamente respecto a los numerales 2, 3, 4, 5, 6, 7, 8, 11, 12, 13, 26, 27, 31, 32 y 33 del cuadro descriptivo.</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1"/>
        </w:num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Punto 2, 3, 6, 8 y 31 del cuadro descriptivo</w:t>
      </w:r>
    </w:p>
    <w:p w:rsidR="002D485F" w:rsidRPr="00985300" w:rsidRDefault="00F36AD2">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Al respecto resulta necesario referir que, el </w:t>
      </w:r>
      <w:r w:rsidRPr="00985300">
        <w:rPr>
          <w:rFonts w:ascii="Palatino Linotype" w:eastAsia="Palatino Linotype" w:hAnsi="Palatino Linotype" w:cs="Palatino Linotype"/>
          <w:b/>
          <w:bCs/>
          <w:color w:val="000000"/>
        </w:rPr>
        <w:t xml:space="preserve">SUJETO OBLIGADO </w:t>
      </w:r>
      <w:r w:rsidRPr="00985300">
        <w:rPr>
          <w:rFonts w:ascii="Palatino Linotype" w:eastAsia="Palatino Linotype" w:hAnsi="Palatino Linotype" w:cs="Palatino Linotype"/>
          <w:color w:val="000000"/>
        </w:rPr>
        <w:t xml:space="preserve">asume de manera expresa que genera, posee y administra lo solicitado, tan es así que informa que se han autorizado 969 solicitudes, de entre los cuales 475 solicitudes autorizadas que aún no se entrega el apoyo, en donde precisa el folio, concepto solicitado, monto de aportación por cada beneficiario, precisando las delegaciones beneficiadas con el Programa denominado “Transformando el Campo”, lo que advierte que 494 solicitudes autorizadas ya se realizó la </w:t>
      </w:r>
      <w:r w:rsidRPr="00985300">
        <w:rPr>
          <w:rFonts w:ascii="Palatino Linotype" w:eastAsia="Palatino Linotype" w:hAnsi="Palatino Linotype" w:cs="Palatino Linotype"/>
          <w:color w:val="000000"/>
        </w:rPr>
        <w:lastRenderedPageBreak/>
        <w:t xml:space="preserve">entrega del apoyo, no obstante omitió pronunciarse respecto al folio, concepto solicitado y monto de aportación de estas. </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Aclarado lo anterior, un segundo aspecto que resulta importante establecer, es que debido a que el mismo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 solicitud, pues al remitir diverso información relacionada, este reconoce contar con la misma.</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rPr>
        <w:t xml:space="preserve">En ese sentido, y de la revisión a la información entregada en respuesta, el </w:t>
      </w:r>
      <w:r w:rsidRPr="00985300">
        <w:rPr>
          <w:rFonts w:ascii="Palatino Linotype" w:eastAsia="Palatino Linotype" w:hAnsi="Palatino Linotype" w:cs="Palatino Linotype"/>
          <w:b/>
          <w:bCs/>
        </w:rPr>
        <w:t xml:space="preserve">Sujeto Obligado </w:t>
      </w:r>
      <w:r w:rsidRPr="00985300">
        <w:rPr>
          <w:rFonts w:ascii="Palatino Linotype" w:eastAsia="Palatino Linotype" w:hAnsi="Palatino Linotype" w:cs="Palatino Linotype"/>
        </w:rPr>
        <w:t xml:space="preserve">sólo se concretó a entregar información respecto a las solicitudes autorizadas que </w:t>
      </w:r>
      <w:r w:rsidR="00DB6241" w:rsidRPr="00985300">
        <w:rPr>
          <w:rFonts w:ascii="Palatino Linotype" w:eastAsia="Palatino Linotype" w:hAnsi="Palatino Linotype" w:cs="Palatino Linotype"/>
        </w:rPr>
        <w:t>aún</w:t>
      </w:r>
      <w:r w:rsidRPr="00985300">
        <w:rPr>
          <w:rFonts w:ascii="Palatino Linotype" w:eastAsia="Palatino Linotype" w:hAnsi="Palatino Linotype" w:cs="Palatino Linotype"/>
        </w:rPr>
        <w:t xml:space="preserve"> no se les entrega el apoyo, omitiendo pronunciarse respecto a las que ya fueron entregadas derivado del Programa denominado “Transformando el Campo”, situación de la que se duele el impetrante; de ahí que, la respuesta careció de los principios de congruencia y exhaustividad, como refuerzo de lo anterior, resulta crucial el Criterio orientador 02/17, emitido por el entonces Instituto Nacional de Transparencia y Acceso a la Información y Protección de Datos Personales, de título y texto siguientes:</w:t>
      </w:r>
    </w:p>
    <w:p w:rsidR="002D485F" w:rsidRPr="00985300" w:rsidRDefault="00F36AD2">
      <w:pPr>
        <w:spacing w:before="80" w:after="240"/>
        <w:ind w:left="567" w:right="900"/>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“Congruencia y exhaustividad. Sus alcances para garantizar el derecho de acceso a la información. </w:t>
      </w:r>
      <w:r w:rsidRPr="00985300">
        <w:rPr>
          <w:rFonts w:ascii="Palatino Linotype" w:eastAsia="Palatino Linotype" w:hAnsi="Palatino Linotype" w:cs="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85300">
        <w:rPr>
          <w:rFonts w:ascii="Palatino Linotype" w:eastAsia="Palatino Linotype" w:hAnsi="Palatino Linotype" w:cs="Palatino Linotype"/>
          <w:b/>
          <w:bCs/>
          <w:i/>
          <w:iCs/>
        </w:rPr>
        <w:t>la congruencia implica que exista concordancia entre el requerimiento formulado por el particular y la respuesta proporcionada por el sujeto obligado</w:t>
      </w:r>
      <w:r w:rsidRPr="00985300">
        <w:rPr>
          <w:rFonts w:ascii="Palatino Linotype" w:eastAsia="Palatino Linotype" w:hAnsi="Palatino Linotype" w:cs="Palatino Linotype"/>
          <w:i/>
          <w:iCs/>
        </w:rPr>
        <w:t xml:space="preserve">; mientras que </w:t>
      </w:r>
      <w:r w:rsidRPr="00985300">
        <w:rPr>
          <w:rFonts w:ascii="Palatino Linotype" w:eastAsia="Palatino Linotype" w:hAnsi="Palatino Linotype" w:cs="Palatino Linotype"/>
          <w:b/>
          <w:bCs/>
          <w:i/>
          <w:iCs/>
        </w:rPr>
        <w:t>la exhaustividad significa que dicha respuesta se refiera expresamente a cada uno de los puntos solicitados</w:t>
      </w:r>
      <w:r w:rsidRPr="00985300">
        <w:rPr>
          <w:rFonts w:ascii="Palatino Linotype" w:eastAsia="Palatino Linotype" w:hAnsi="Palatino Linotype" w:cs="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lastRenderedPageBreak/>
        <w:t xml:space="preserve">Razones por las cuales lo procedente es ordenar, previa búsqueda exhaustiva y razonable, el o los documentos que den cuenta folio de solicitud, concepto solicitado y monto de aportación por cada beneficiario de las solicitudes autorizadas que ya se haya entregado el apoyo del Programa denominado “Transformando el Campo”. </w:t>
      </w:r>
    </w:p>
    <w:p w:rsidR="002D485F" w:rsidRPr="00985300" w:rsidRDefault="002D485F">
      <w:pPr>
        <w:pBdr>
          <w:top w:val="nil"/>
          <w:left w:val="nil"/>
          <w:bottom w:val="nil"/>
          <w:right w:val="nil"/>
          <w:between w:val="nil"/>
        </w:pBdr>
        <w:spacing w:line="360" w:lineRule="auto"/>
        <w:ind w:left="360" w:right="-28"/>
        <w:jc w:val="both"/>
        <w:rPr>
          <w:rFonts w:ascii="Palatino Linotype" w:eastAsia="Palatino Linotype" w:hAnsi="Palatino Linotype" w:cs="Palatino Linotype"/>
          <w:color w:val="000000"/>
        </w:rPr>
      </w:pPr>
    </w:p>
    <w:p w:rsidR="002D485F" w:rsidRPr="00985300" w:rsidRDefault="00F36AD2">
      <w:pPr>
        <w:numPr>
          <w:ilvl w:val="0"/>
          <w:numId w:val="5"/>
        </w:numPr>
        <w:pBdr>
          <w:top w:val="nil"/>
          <w:left w:val="nil"/>
          <w:bottom w:val="nil"/>
          <w:right w:val="nil"/>
          <w:between w:val="nil"/>
        </w:pBdr>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 xml:space="preserve">Punto número 4, 11, 12, 26, 27 y 33 del cuadro descriptivo </w:t>
      </w:r>
    </w:p>
    <w:p w:rsidR="002D485F" w:rsidRPr="00985300" w:rsidRDefault="002D485F">
      <w:pPr>
        <w:pBdr>
          <w:top w:val="nil"/>
          <w:left w:val="nil"/>
          <w:bottom w:val="nil"/>
          <w:right w:val="nil"/>
          <w:between w:val="nil"/>
        </w:pBdr>
        <w:ind w:left="144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continuidad, respecto al proveedor designado y autorizado por el </w:t>
      </w:r>
      <w:r w:rsidRPr="00985300">
        <w:rPr>
          <w:rFonts w:ascii="Palatino Linotype" w:eastAsia="Palatino Linotype" w:hAnsi="Palatino Linotype" w:cs="Palatino Linotype"/>
          <w:b/>
          <w:bCs/>
        </w:rPr>
        <w:t xml:space="preserve">SUJETO OBLIGADO, </w:t>
      </w:r>
      <w:r w:rsidRPr="00985300">
        <w:rPr>
          <w:rFonts w:ascii="Palatino Linotype" w:eastAsia="Palatino Linotype" w:hAnsi="Palatino Linotype" w:cs="Palatino Linotype"/>
        </w:rPr>
        <w:t xml:space="preserve">conviene señalar que </w:t>
      </w:r>
      <w:r w:rsidRPr="00985300">
        <w:rPr>
          <w:rFonts w:ascii="Palatino Linotype" w:eastAsia="Palatino Linotype" w:hAnsi="Palatino Linotype" w:cs="Palatino Linotype"/>
          <w:color w:val="000000"/>
        </w:rPr>
        <w:t>el Anexo Técnico de los Programas</w:t>
      </w:r>
      <w:r w:rsidRPr="00985300">
        <w:rPr>
          <w:rFonts w:ascii="Palatino Linotype" w:eastAsia="Palatino Linotype" w:hAnsi="Palatino Linotype" w:cs="Palatino Linotype"/>
          <w:i/>
          <w:iCs/>
        </w:rPr>
        <w:t>"Transformando el Campo"</w:t>
      </w:r>
      <w:r w:rsidRPr="00985300">
        <w:rPr>
          <w:rFonts w:ascii="Palatino Linotype" w:eastAsia="Palatino Linotype" w:hAnsi="Palatino Linotype" w:cs="Palatino Linotype"/>
        </w:rPr>
        <w:t xml:space="preserve"> y </w:t>
      </w:r>
      <w:r w:rsidRPr="00985300">
        <w:rPr>
          <w:rFonts w:ascii="Palatino Linotype" w:eastAsia="Palatino Linotype" w:hAnsi="Palatino Linotype" w:cs="Palatino Linotype"/>
          <w:i/>
          <w:iCs/>
        </w:rPr>
        <w:t>“Por el Rescate del Campo”</w:t>
      </w:r>
      <w:r w:rsidRPr="00985300">
        <w:rPr>
          <w:rFonts w:ascii="Palatino Linotype" w:eastAsia="Palatino Linotype" w:hAnsi="Palatino Linotype" w:cs="Palatino Linotype"/>
        </w:rPr>
        <w:t xml:space="preserve"> en el Estado de México, establecen que los proveedores son seleccionados principalmente a través de un registro gestionado por la Coordinación Administrativa de la Secretaría del Campo, quien verifica su capacidad económica y de suministro; mismos que deben estar inscritos en el padrón de proveedores del programa y cumplir con los requisitos establecidos en las reglas de operación para garantizar la calidad de los bienes y servicios otorgados; estableciendo los siguiente:</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8.1 OBLIGACIONES DE LAS PERSONAS PROVEEDORAS </w:t>
      </w:r>
    </w:p>
    <w:p w:rsidR="002D485F" w:rsidRPr="00985300" w:rsidRDefault="002D485F">
      <w:pPr>
        <w:pBdr>
          <w:top w:val="nil"/>
          <w:left w:val="nil"/>
          <w:bottom w:val="nil"/>
          <w:right w:val="nil"/>
          <w:between w:val="nil"/>
        </w:pBdr>
        <w:ind w:left="567" w:right="539"/>
        <w:jc w:val="both"/>
        <w:rPr>
          <w:rFonts w:ascii="Palatino Linotype" w:eastAsia="Palatino Linotype" w:hAnsi="Palatino Linotype" w:cs="Palatino Linotype"/>
          <w:i/>
          <w:iCs/>
        </w:rPr>
      </w:pP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Las personas proveedoras, deberán estar inscritas preferentemente en el Padrón de proveedores del Programa, mediante el Formato de Registro de Proveedores del Programa, que administrará la Coordinación Administrativa de la Secretaría del Campo, quien verificará su capacidad económica y de suministro de bienes y servicios previo a su incorporación al padrón en mención; asimismo, informará sobre sus derechos, obligaciones, para ser sujeto a considerarse como proveedor de este programa.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Las personas proveedoras deberán cumplir con lo establecido en el numeral 8.2.2 de la Reglas de Operación del Programa Transformando el Campo. Las personas proveedoras deberán entregar la facturación en términos del Código Fiscal de la Federación y las disposiciones administrativas que se determinen por la instancia responsable, previo a solicitar el trámite del pago por monto total del bien entregado.</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8.2 INTEGRACIÓN DEL EXPEDIENTE</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1. Documento de Autorización del subsidio (original) de la persona productora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2. Escrito libre para su inscripción al Programa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3. Identificación oficial vigente;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4. Clave Única de Registro de Población (CURP);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5. Comprobante de domicilio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6. Constancia de productor agropecuario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7. Cotización del bien solicitado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8. Formato Único de Registro (FUR);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9. Croquis de localización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10. Factura vigente con el importe total a nombre de la persona productora con las leyendas “Para la adquisición del bien que ampara la presente factura, el GEM aporta la cantidad de $ Cantidad en número (Cantidad en letra), la diferencia es aportación del productor” y “Bien y/o servicio recibido a entera satisfacción”. Además, de plasmar en la factura la firma de la persona productora de recibido a entera satisfacción, firma de revisado, por parte del Delegado Regional o Subdelegado de Fomento Agropecuario, así como la firma de autorización de ejecución del recurso por parte del titular de la Instancia Responsable o Director de Área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11. Validación impresa del CFDI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12. Constancia de situación fiscal, cédula fiscal del proveedor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13. Caratula del estado de cuenta de la institución bancaria del proveedor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14. Comprobante de la aportación del productor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15. Documentación zoosanitaria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16. Certificado de calidad genética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17. Certificado de calidad, pureza y germinación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18. Registros de pureza racial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19. Diagnóstico de gestación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20. Copia de la póliza del seguro ganadero de radicación (cuando aplique);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21. Acta Entrega-Recepción debidamente requisada; y </w:t>
      </w:r>
    </w:p>
    <w:p w:rsidR="002D485F" w:rsidRPr="00985300" w:rsidRDefault="00F36AD2">
      <w:pPr>
        <w:pBdr>
          <w:top w:val="nil"/>
          <w:left w:val="nil"/>
          <w:bottom w:val="nil"/>
          <w:right w:val="nil"/>
          <w:between w:val="nil"/>
        </w:pBd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22. Evidencia fotográfica de la entrega del bien con la presencia del productor (cuando aplique).</w:t>
      </w:r>
    </w:p>
    <w:p w:rsidR="002D485F" w:rsidRPr="00985300" w:rsidRDefault="002D485F">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En este sentido, debe decirse que los proveedores, se encuentra considerada como una de las obligaciones de transparencias comunes que los Sujetos Obligados tienen el deber de poner a disposición del público de manera permanente y actualizada de forma sencilla, </w:t>
      </w:r>
      <w:r w:rsidRPr="00985300">
        <w:rPr>
          <w:rFonts w:ascii="Palatino Linotype" w:eastAsia="Palatino Linotype" w:hAnsi="Palatino Linotype" w:cs="Palatino Linotype"/>
          <w:color w:val="000000"/>
        </w:rPr>
        <w:lastRenderedPageBreak/>
        <w:t>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“Artículo 92. </w:t>
      </w:r>
      <w:r w:rsidRPr="00985300">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i/>
          <w:iCs/>
        </w:rPr>
        <w:t>(…)</w:t>
      </w:r>
    </w:p>
    <w:p w:rsidR="002D485F" w:rsidRPr="00985300" w:rsidRDefault="002D485F">
      <w:pPr>
        <w:spacing w:line="360" w:lineRule="auto"/>
        <w:ind w:left="851" w:right="822"/>
        <w:jc w:val="both"/>
        <w:rPr>
          <w:rFonts w:ascii="Palatino Linotype" w:eastAsia="Palatino Linotype" w:hAnsi="Palatino Linotype" w:cs="Palatino Linotype"/>
          <w:b/>
          <w:bCs/>
          <w:i/>
          <w:iCs/>
        </w:rPr>
      </w:pP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XXIX. </w:t>
      </w:r>
      <w:r w:rsidRPr="00985300">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w:t>
      </w:r>
      <w:r w:rsidRPr="00985300">
        <w:rPr>
          <w:rFonts w:ascii="Palatino Linotype" w:eastAsia="Palatino Linotype" w:hAnsi="Palatino Linotype" w:cs="Palatino Linotype"/>
          <w:b/>
          <w:bCs/>
          <w:i/>
          <w:iCs/>
        </w:rPr>
        <w:t>incluyendo la versión pública del expediente respectivo y de los contratos</w:t>
      </w:r>
      <w:r w:rsidRPr="00985300">
        <w:rPr>
          <w:rFonts w:ascii="Palatino Linotype" w:eastAsia="Palatino Linotype" w:hAnsi="Palatino Linotype" w:cs="Palatino Linotype"/>
          <w:i/>
          <w:iCs/>
        </w:rPr>
        <w:t> celebrados, que deberán contener, por los menos, lo siguiente:</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a) </w:t>
      </w:r>
      <w:r w:rsidRPr="00985300">
        <w:rPr>
          <w:rFonts w:ascii="Palatino Linotype" w:eastAsia="Palatino Linotype" w:hAnsi="Palatino Linotype" w:cs="Palatino Linotype"/>
          <w:i/>
          <w:iCs/>
        </w:rPr>
        <w:t>De licitaciones públicas o procedimientos de invitación restringida:</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1)</w:t>
      </w:r>
      <w:r w:rsidRPr="00985300">
        <w:rPr>
          <w:rFonts w:ascii="Palatino Linotype" w:eastAsia="Palatino Linotype" w:hAnsi="Palatino Linotype" w:cs="Palatino Linotype"/>
          <w:i/>
          <w:iCs/>
        </w:rPr>
        <w:t> La convocatoria o invitación emitida, así como los fundamentos legales aplicados para llevarla a cabo;</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2) </w:t>
      </w:r>
      <w:r w:rsidRPr="00985300">
        <w:rPr>
          <w:rFonts w:ascii="Palatino Linotype" w:eastAsia="Palatino Linotype" w:hAnsi="Palatino Linotype" w:cs="Palatino Linotype"/>
          <w:i/>
          <w:iCs/>
        </w:rPr>
        <w:t>Los nombres de los participantes o invitados;</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3)</w:t>
      </w:r>
      <w:r w:rsidRPr="00985300">
        <w:rPr>
          <w:rFonts w:ascii="Palatino Linotype" w:eastAsia="Palatino Linotype" w:hAnsi="Palatino Linotype" w:cs="Palatino Linotype"/>
          <w:i/>
          <w:iCs/>
        </w:rPr>
        <w:t> El nombre del ganador y las razones que lo justifican;</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4) </w:t>
      </w:r>
      <w:r w:rsidRPr="00985300">
        <w:rPr>
          <w:rFonts w:ascii="Palatino Linotype" w:eastAsia="Palatino Linotype" w:hAnsi="Palatino Linotype" w:cs="Palatino Linotype"/>
          <w:i/>
          <w:iCs/>
        </w:rPr>
        <w:t>El área solicitante y la responsable de su ejecución;</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5) </w:t>
      </w:r>
      <w:r w:rsidRPr="00985300">
        <w:rPr>
          <w:rFonts w:ascii="Palatino Linotype" w:eastAsia="Palatino Linotype" w:hAnsi="Palatino Linotype" w:cs="Palatino Linotype"/>
          <w:i/>
          <w:iCs/>
        </w:rPr>
        <w:t>Las convocatorias e invitaciones emitidas;</w:t>
      </w:r>
    </w:p>
    <w:p w:rsidR="002D485F" w:rsidRPr="00985300" w:rsidRDefault="00F36AD2">
      <w:pPr>
        <w:spacing w:line="360" w:lineRule="auto"/>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6) Los dictámenes y fallo de adjudicación;</w:t>
      </w:r>
    </w:p>
    <w:p w:rsidR="002D485F" w:rsidRPr="00985300" w:rsidRDefault="00F36AD2">
      <w:pPr>
        <w:spacing w:line="360" w:lineRule="auto"/>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7) El contrato y, en su caso, sus anexos;</w:t>
      </w:r>
    </w:p>
    <w:p w:rsidR="002D485F" w:rsidRPr="00985300" w:rsidRDefault="00F36AD2">
      <w:pPr>
        <w:spacing w:line="360" w:lineRule="auto"/>
        <w:ind w:left="567" w:right="567"/>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8) Los mecanismos de vigilancia y supervisión, incluyendo en su caso, los estudios de impacto urbano y ambiental, según corresponda;</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9) </w:t>
      </w:r>
      <w:r w:rsidRPr="00985300">
        <w:rPr>
          <w:rFonts w:ascii="Palatino Linotype" w:eastAsia="Palatino Linotype" w:hAnsi="Palatino Linotype" w:cs="Palatino Linotype"/>
          <w:i/>
          <w:iCs/>
        </w:rPr>
        <w:t>La partida presupuestal, de conformidad con el clasificador por objeto del gasto, en el caso de ser aplicable;</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11) </w:t>
      </w:r>
      <w:r w:rsidRPr="00985300">
        <w:rPr>
          <w:rFonts w:ascii="Palatino Linotype" w:eastAsia="Palatino Linotype" w:hAnsi="Palatino Linotype" w:cs="Palatino Linotype"/>
          <w:i/>
          <w:iCs/>
        </w:rPr>
        <w:t>Los convenios modificatorios que, en su caso, sean firmados, precisando el objeto y la fecha de celebración;</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12) </w:t>
      </w:r>
      <w:r w:rsidRPr="00985300">
        <w:rPr>
          <w:rFonts w:ascii="Palatino Linotype" w:eastAsia="Palatino Linotype" w:hAnsi="Palatino Linotype" w:cs="Palatino Linotype"/>
          <w:i/>
          <w:iCs/>
        </w:rPr>
        <w:t>Los informes de avance físico y financiero sobre las obras o servicios contratados;</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13) </w:t>
      </w:r>
      <w:r w:rsidRPr="00985300">
        <w:rPr>
          <w:rFonts w:ascii="Palatino Linotype" w:eastAsia="Palatino Linotype" w:hAnsi="Palatino Linotype" w:cs="Palatino Linotype"/>
          <w:i/>
          <w:iCs/>
        </w:rPr>
        <w:t>El convenio de terminación; y</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14) </w:t>
      </w:r>
      <w:r w:rsidRPr="00985300">
        <w:rPr>
          <w:rFonts w:ascii="Palatino Linotype" w:eastAsia="Palatino Linotype" w:hAnsi="Palatino Linotype" w:cs="Palatino Linotype"/>
          <w:i/>
          <w:iCs/>
        </w:rPr>
        <w:t>El finiquito.</w:t>
      </w:r>
    </w:p>
    <w:p w:rsidR="002D485F" w:rsidRPr="00985300" w:rsidRDefault="00F36AD2">
      <w:pPr>
        <w:spacing w:line="360" w:lineRule="auto"/>
        <w:ind w:left="567" w:right="567"/>
        <w:jc w:val="both"/>
        <w:rPr>
          <w:rFonts w:ascii="Palatino Linotype" w:eastAsia="Palatino Linotype" w:hAnsi="Palatino Linotype" w:cs="Palatino Linotype"/>
          <w:b/>
          <w:bCs/>
        </w:rPr>
      </w:pPr>
      <w:r w:rsidRPr="00985300">
        <w:rPr>
          <w:rFonts w:ascii="Palatino Linotype" w:eastAsia="Palatino Linotype" w:hAnsi="Palatino Linotype" w:cs="Palatino Linotype"/>
          <w:b/>
          <w:bCs/>
          <w:i/>
          <w:iCs/>
        </w:rPr>
        <w:t>b) De las adjudicaciones directas:</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1) </w:t>
      </w:r>
      <w:r w:rsidRPr="00985300">
        <w:rPr>
          <w:rFonts w:ascii="Palatino Linotype" w:eastAsia="Palatino Linotype" w:hAnsi="Palatino Linotype" w:cs="Palatino Linotype"/>
          <w:i/>
          <w:iCs/>
        </w:rPr>
        <w:t>La propuesta enviada por el participante;</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2) </w:t>
      </w:r>
      <w:r w:rsidRPr="00985300">
        <w:rPr>
          <w:rFonts w:ascii="Palatino Linotype" w:eastAsia="Palatino Linotype" w:hAnsi="Palatino Linotype" w:cs="Palatino Linotype"/>
          <w:i/>
          <w:iCs/>
        </w:rPr>
        <w:t>Los motivos y fundamentos legales aplicados para llevarla a cabo;</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3) </w:t>
      </w:r>
      <w:r w:rsidRPr="00985300">
        <w:rPr>
          <w:rFonts w:ascii="Palatino Linotype" w:eastAsia="Palatino Linotype" w:hAnsi="Palatino Linotype" w:cs="Palatino Linotype"/>
          <w:i/>
          <w:iCs/>
        </w:rPr>
        <w:t>La autorización del ejercicio de la opción;</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i/>
          <w:iCs/>
        </w:rPr>
        <w:t>4</w:t>
      </w:r>
      <w:r w:rsidRPr="00985300">
        <w:rPr>
          <w:rFonts w:ascii="Palatino Linotype" w:eastAsia="Palatino Linotype" w:hAnsi="Palatino Linotype" w:cs="Palatino Linotype"/>
          <w:b/>
          <w:bCs/>
          <w:i/>
          <w:iCs/>
          <w:u w:val="single"/>
        </w:rPr>
        <w:t>) En su caso, las cotizaciones consideradas, especificando los nombres de los proveedores y sus montos;</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5) </w:t>
      </w:r>
      <w:r w:rsidRPr="00985300">
        <w:rPr>
          <w:rFonts w:ascii="Palatino Linotype" w:eastAsia="Palatino Linotype" w:hAnsi="Palatino Linotype" w:cs="Palatino Linotype"/>
          <w:i/>
          <w:iCs/>
        </w:rPr>
        <w:t>El nombre de la persona física o jurídica colectiva adjudicada;</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6) </w:t>
      </w:r>
      <w:r w:rsidRPr="00985300">
        <w:rPr>
          <w:rFonts w:ascii="Palatino Linotype" w:eastAsia="Palatino Linotype" w:hAnsi="Palatino Linotype" w:cs="Palatino Linotype"/>
          <w:i/>
          <w:iCs/>
        </w:rPr>
        <w:t>La unidad administrativa solicitante y la responsable de su ejecución;</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7)</w:t>
      </w:r>
      <w:r w:rsidRPr="00985300">
        <w:rPr>
          <w:rFonts w:ascii="Palatino Linotype" w:eastAsia="Palatino Linotype" w:hAnsi="Palatino Linotype" w:cs="Palatino Linotype"/>
          <w:i/>
          <w:iCs/>
        </w:rPr>
        <w:t> </w:t>
      </w:r>
      <w:r w:rsidRPr="00985300">
        <w:rPr>
          <w:rFonts w:ascii="Palatino Linotype" w:eastAsia="Palatino Linotype" w:hAnsi="Palatino Linotype" w:cs="Palatino Linotype"/>
          <w:b/>
          <w:bCs/>
          <w:i/>
          <w:iCs/>
        </w:rPr>
        <w:t>El número, fecha, el monto del contrato y el plazo de entrega o de ejecución de los servicios u obra;</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8) </w:t>
      </w:r>
      <w:r w:rsidRPr="00985300">
        <w:rPr>
          <w:rFonts w:ascii="Palatino Linotype" w:eastAsia="Palatino Linotype" w:hAnsi="Palatino Linotype" w:cs="Palatino Linotype"/>
          <w:i/>
          <w:iCs/>
        </w:rPr>
        <w:t>Los mecanismos de vigilancia y supervisión, incluyendo, en su caso, los estudios de impacto urbano y ambiental, según corresponda;</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9) </w:t>
      </w:r>
      <w:r w:rsidRPr="00985300">
        <w:rPr>
          <w:rFonts w:ascii="Palatino Linotype" w:eastAsia="Palatino Linotype" w:hAnsi="Palatino Linotype" w:cs="Palatino Linotype"/>
          <w:i/>
          <w:iCs/>
        </w:rPr>
        <w:t>Los informes de avance sobre las obras o servicios contratados;</w:t>
      </w:r>
    </w:p>
    <w:p w:rsidR="002D485F" w:rsidRPr="00985300" w:rsidRDefault="00F36AD2">
      <w:pPr>
        <w:spacing w:line="360" w:lineRule="auto"/>
        <w:ind w:left="567" w:right="567"/>
        <w:jc w:val="both"/>
        <w:rPr>
          <w:rFonts w:ascii="Palatino Linotype" w:eastAsia="Palatino Linotype" w:hAnsi="Palatino Linotype" w:cs="Palatino Linotype"/>
        </w:rPr>
      </w:pPr>
      <w:r w:rsidRPr="00985300">
        <w:rPr>
          <w:rFonts w:ascii="Palatino Linotype" w:eastAsia="Palatino Linotype" w:hAnsi="Palatino Linotype" w:cs="Palatino Linotype"/>
          <w:b/>
          <w:bCs/>
          <w:i/>
          <w:iCs/>
        </w:rPr>
        <w:t>10) </w:t>
      </w:r>
      <w:r w:rsidRPr="00985300">
        <w:rPr>
          <w:rFonts w:ascii="Palatino Linotype" w:eastAsia="Palatino Linotype" w:hAnsi="Palatino Linotype" w:cs="Palatino Linotype"/>
          <w:i/>
          <w:iCs/>
        </w:rPr>
        <w:t>El convenio de terminación; y</w:t>
      </w:r>
    </w:p>
    <w:p w:rsidR="002D485F" w:rsidRPr="00985300" w:rsidRDefault="00F36AD2">
      <w:pPr>
        <w:spacing w:line="360" w:lineRule="auto"/>
        <w:ind w:left="567" w:right="567"/>
        <w:jc w:val="both"/>
        <w:rPr>
          <w:rFonts w:ascii="Palatino Linotype" w:eastAsia="Palatino Linotype" w:hAnsi="Palatino Linotype" w:cs="Palatino Linotype"/>
          <w:b/>
          <w:bCs/>
          <w:i/>
          <w:iCs/>
          <w:u w:val="single"/>
        </w:rPr>
      </w:pPr>
      <w:r w:rsidRPr="00985300">
        <w:rPr>
          <w:rFonts w:ascii="Palatino Linotype" w:eastAsia="Palatino Linotype" w:hAnsi="Palatino Linotype" w:cs="Palatino Linotype"/>
          <w:b/>
          <w:bCs/>
          <w:i/>
          <w:iCs/>
          <w:u w:val="single"/>
        </w:rPr>
        <w:lastRenderedPageBreak/>
        <w:t>11) El finiquito.”</w:t>
      </w:r>
    </w:p>
    <w:p w:rsidR="002D485F" w:rsidRPr="00985300" w:rsidRDefault="002D485F">
      <w:pPr>
        <w:ind w:left="851" w:right="850"/>
        <w:jc w:val="both"/>
        <w:rPr>
          <w:rFonts w:ascii="Palatino Linotype" w:eastAsia="Palatino Linotype" w:hAnsi="Palatino Linotype" w:cs="Palatino Linotype"/>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En consecuencia, se determina que existe fuente obligacional para celebrar contratos con proveedores asignados y autorizados por el </w:t>
      </w:r>
      <w:r w:rsidRPr="00985300">
        <w:rPr>
          <w:rFonts w:ascii="Palatino Linotype" w:eastAsia="Palatino Linotype" w:hAnsi="Palatino Linotype" w:cs="Palatino Linotype"/>
          <w:b/>
          <w:bCs/>
          <w:color w:val="000000"/>
        </w:rPr>
        <w:t xml:space="preserve">SUJETO OBLIGADO, </w:t>
      </w:r>
      <w:r w:rsidRPr="00985300">
        <w:rPr>
          <w:rFonts w:ascii="Palatino Linotype" w:eastAsia="Palatino Linotype" w:hAnsi="Palatino Linotype" w:cs="Palatino Linotype"/>
          <w:color w:val="000000"/>
        </w:rPr>
        <w:t>relacionados con los apoyos de referencia, existe la obligación de hacer pública la información relacionada con las mismas, de acuerdo al artículo 92 de la Ley de Transparencia Local, ya que existe un interés colectivo de conocer el uso y destino de los recursos públicos.</w:t>
      </w:r>
    </w:p>
    <w:p w:rsidR="002D485F" w:rsidRPr="00985300" w:rsidRDefault="002D485F">
      <w:pPr>
        <w:spacing w:line="360" w:lineRule="auto"/>
        <w:ind w:right="49"/>
        <w:jc w:val="both"/>
        <w:rPr>
          <w:rFonts w:ascii="Palatino Linotype" w:eastAsia="Palatino Linotype" w:hAnsi="Palatino Linotype" w:cs="Palatino Linotype"/>
        </w:rPr>
      </w:pPr>
    </w:p>
    <w:p w:rsidR="002D485F" w:rsidRPr="00985300" w:rsidRDefault="00F36AD2">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Punto 5 y 13 del cuadro descriptivo</w:t>
      </w: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relación al Monto de Apoyo, las Reglas de Operación del Programa refieren que el presupuesto destinado a la operación, entrega de apoyos, subsisdios y servicios de los programas son en sus totalidad de origen Estatal, los cuales pueden ser en especie; así mismo en su artículo 7.2, que los conceptos y montos de apoyo se darán a conocer a través de las convocatorias correspondientes, mismo que podrán ser consultados en los Anexos Técnicos para cada apoyo otorgado, que a manera de ejemplo se muestra en la siguiente captura de pantalla: </w:t>
      </w:r>
    </w:p>
    <w:p w:rsidR="002D485F" w:rsidRPr="00985300" w:rsidRDefault="00F36AD2">
      <w:pPr>
        <w:spacing w:line="360" w:lineRule="auto"/>
        <w:ind w:right="49"/>
        <w:jc w:val="both"/>
        <w:rPr>
          <w:rFonts w:ascii="Palatino Linotype" w:eastAsia="Palatino Linotype" w:hAnsi="Palatino Linotype" w:cs="Palatino Linotype"/>
        </w:rPr>
      </w:pPr>
      <w:r w:rsidRPr="00985300">
        <w:rPr>
          <w:rFonts w:ascii="Palatino Linotype" w:eastAsia="Palatino Linotype" w:hAnsi="Palatino Linotype" w:cs="Palatino Linotype"/>
          <w:noProof/>
        </w:rPr>
        <w:drawing>
          <wp:inline distT="0" distB="0" distL="0" distR="0">
            <wp:extent cx="5742940" cy="255206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42940" cy="2552065"/>
                    </a:xfrm>
                    <a:prstGeom prst="rect">
                      <a:avLst/>
                    </a:prstGeom>
                    <a:ln/>
                  </pic:spPr>
                </pic:pic>
              </a:graphicData>
            </a:graphic>
          </wp:inline>
        </w:drawing>
      </w: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lastRenderedPageBreak/>
        <w:t xml:space="preserve">En consecuencia, se determina que existe documental que dé cuenta de lo solicitado por el particular, no obstante el </w:t>
      </w:r>
      <w:r w:rsidRPr="00985300">
        <w:rPr>
          <w:rFonts w:ascii="Palatino Linotype" w:eastAsia="Palatino Linotype" w:hAnsi="Palatino Linotype" w:cs="Palatino Linotype"/>
          <w:b/>
          <w:bCs/>
          <w:color w:val="000000"/>
        </w:rPr>
        <w:t xml:space="preserve">SUJETO OBLIGADO, </w:t>
      </w:r>
      <w:r w:rsidRPr="00985300">
        <w:rPr>
          <w:rFonts w:ascii="Palatino Linotype" w:eastAsia="Palatino Linotype" w:hAnsi="Palatino Linotype" w:cs="Palatino Linotype"/>
          <w:color w:val="000000"/>
        </w:rPr>
        <w:t xml:space="preserve"> no garantizó el derecho de acceso a la información del particular, toda vez que omitió pronunciarse, por tanto lo procedente es ordenar la entrega de los montos de apoyo aportados por la Secretaría.</w:t>
      </w:r>
    </w:p>
    <w:p w:rsidR="002D485F" w:rsidRPr="00985300" w:rsidRDefault="002D485F">
      <w:pPr>
        <w:pBdr>
          <w:top w:val="nil"/>
          <w:left w:val="nil"/>
          <w:bottom w:val="nil"/>
          <w:right w:val="nil"/>
          <w:between w:val="nil"/>
        </w:pBdr>
        <w:spacing w:line="360" w:lineRule="auto"/>
        <w:ind w:left="360" w:right="49"/>
        <w:jc w:val="both"/>
        <w:rPr>
          <w:rFonts w:ascii="Palatino Linotype" w:eastAsia="Palatino Linotype" w:hAnsi="Palatino Linotype" w:cs="Palatino Linotype"/>
          <w:color w:val="000000"/>
        </w:rPr>
      </w:pPr>
    </w:p>
    <w:p w:rsidR="002D485F" w:rsidRPr="00985300" w:rsidRDefault="00F36AD2">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 xml:space="preserve">Punto 8 y 31 del cuadro descriptivo </w:t>
      </w: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Al respecto el Anexo Técnico de referencia, refiere que los Programas se ejecutaran en los 125 municipios de la entidad, a través de las 11 Delegaciones Regionales de la Secretaría del campo, ello en función de la vocación y potencial productivo de cada región; así como los que presenten contingencia o zonas a tención prioritarias integradas y propuestas por el Consejo de Investigación y Evaluación de la Política Social, donde se atenderán las solicitudes individuales o grupales que presenten los ciudadanos de manera oportuna; información que se corrobora con lo establecido en las convocatorias, pues señalan los siguiente:</w:t>
      </w:r>
    </w:p>
    <w:p w:rsidR="002D485F" w:rsidRDefault="00F36AD2">
      <w:pPr>
        <w:spacing w:line="360" w:lineRule="auto"/>
        <w:ind w:right="49"/>
        <w:jc w:val="center"/>
        <w:rPr>
          <w:rFonts w:ascii="Palatino Linotype" w:eastAsia="Palatino Linotype" w:hAnsi="Palatino Linotype" w:cs="Palatino Linotype"/>
        </w:rPr>
      </w:pPr>
      <w:r w:rsidRPr="00985300">
        <w:rPr>
          <w:rFonts w:ascii="Palatino Linotype" w:eastAsia="Palatino Linotype" w:hAnsi="Palatino Linotype" w:cs="Palatino Linotype"/>
          <w:noProof/>
        </w:rPr>
        <w:lastRenderedPageBreak/>
        <w:drawing>
          <wp:inline distT="0" distB="0" distL="0" distR="0">
            <wp:extent cx="4317953" cy="406968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17953" cy="4069685"/>
                    </a:xfrm>
                    <a:prstGeom prst="rect">
                      <a:avLst/>
                    </a:prstGeom>
                    <a:ln/>
                  </pic:spPr>
                </pic:pic>
              </a:graphicData>
            </a:graphic>
          </wp:inline>
        </w:drawing>
      </w:r>
    </w:p>
    <w:p w:rsidR="005732CD" w:rsidRPr="00985300" w:rsidRDefault="005732CD">
      <w:pPr>
        <w:spacing w:line="360" w:lineRule="auto"/>
        <w:ind w:right="49"/>
        <w:jc w:val="center"/>
        <w:rPr>
          <w:rFonts w:ascii="Palatino Linotype" w:eastAsia="Palatino Linotype" w:hAnsi="Palatino Linotype" w:cs="Palatino Linotype"/>
        </w:rPr>
      </w:pPr>
    </w:p>
    <w:p w:rsidR="002D485F" w:rsidRPr="00985300" w:rsidRDefault="00F36AD2">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Punto 32 del cuadro descriptivo</w:t>
      </w: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relación al </w:t>
      </w:r>
      <w:r w:rsidRPr="00985300">
        <w:rPr>
          <w:rFonts w:ascii="Palatino Linotype" w:eastAsia="Palatino Linotype" w:hAnsi="Palatino Linotype" w:cs="Palatino Linotype"/>
          <w:color w:val="000000"/>
        </w:rPr>
        <w:t>procedimiento y criterios de selección que se establecieron para determinar a los proveedores de las solicitudes autorizadas de los Programas, el Manual General de Organización de la Secretaria del Campo, nos establece en la nomenclatura 22500003000000S, el Objetivo y funciones de la Coordinación de Administración y Finanzas, refiriendo lo siguiente:</w:t>
      </w:r>
    </w:p>
    <w:p w:rsidR="002D485F" w:rsidRPr="00985300" w:rsidRDefault="00F36AD2">
      <w:pPr>
        <w:spacing w:line="360" w:lineRule="auto"/>
        <w:ind w:right="49"/>
        <w:jc w:val="both"/>
      </w:pPr>
      <w:r w:rsidRPr="00985300">
        <w:t xml:space="preserve">OBJETIVO: </w:t>
      </w:r>
    </w:p>
    <w:p w:rsidR="002D485F" w:rsidRPr="00985300" w:rsidRDefault="00F36AD2">
      <w:pPr>
        <w:spacing w:line="360" w:lineRule="auto"/>
        <w:ind w:right="49"/>
        <w:jc w:val="both"/>
        <w:rPr>
          <w:rFonts w:ascii="Palatino Linotype" w:eastAsia="Palatino Linotype" w:hAnsi="Palatino Linotype" w:cs="Palatino Linotype"/>
          <w:color w:val="000000"/>
        </w:rPr>
      </w:pPr>
      <w:r w:rsidRPr="00985300">
        <w:t>Coordinar las acciones tendientes al oportuno aprovisionamiento y control del personal, de los recursos financieros, materiales y servicios generales que requieran las unidades administrativas de la Secretaría, así como planear y administrar los recursos asignados a la dependencia, con base en la correcta aplicación de la normatividad en la materia.</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FUNCIONES: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Administrar</w:t>
      </w:r>
      <w:r w:rsidRPr="00985300">
        <w:rPr>
          <w:rFonts w:ascii="Palatino Linotype" w:eastAsia="Palatino Linotype" w:hAnsi="Palatino Linotype" w:cs="Palatino Linotype"/>
          <w:i/>
          <w:iCs/>
        </w:rPr>
        <w:t xml:space="preserve"> al personal, los </w:t>
      </w:r>
      <w:r w:rsidRPr="00985300">
        <w:rPr>
          <w:rFonts w:ascii="Palatino Linotype" w:eastAsia="Palatino Linotype" w:hAnsi="Palatino Linotype" w:cs="Palatino Linotype"/>
          <w:b/>
          <w:bCs/>
          <w:i/>
          <w:iCs/>
        </w:rPr>
        <w:t>recursos materiales y financieros</w:t>
      </w:r>
      <w:r w:rsidRPr="00985300">
        <w:rPr>
          <w:rFonts w:ascii="Palatino Linotype" w:eastAsia="Palatino Linotype" w:hAnsi="Palatino Linotype" w:cs="Palatino Linotype"/>
          <w:i/>
          <w:iCs/>
        </w:rPr>
        <w:t xml:space="preserve"> en forma adecuada y oportuna, para satisfacer los requerimientos y las necesidades de operación de las diferentes unidades administrativas de la Secretaría.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 − Vigilar y controlar que los recursos presupuestales de gasto corriente e inversión, así como los bienes y valores de la Secretaría, se manejen con base en la normatividad y contribuya a su racionalización.</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Supervisar la correcta operación del Sistema de Contabilidad Gubernamental para la emisión oportuna de la información financiera que coadyuve a la toma de decisiones adecuadas.</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Coordinar las acciones para el registro y resguardo de la documentación comprobatoria de los Fideicomisos Fondo Alianza para el Campo en el Estado de México (FACEM) y Fideicomiso para el Desarrollo Agropecuario (FIDAGRO), con base en los acuerdos de los Comités Técnicos y en las reglas de operación.</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u w:val="single"/>
        </w:rPr>
        <w:t>− Supervisar los procedimientos adquisitivos de la Secretaría del Campo</w:t>
      </w:r>
      <w:r w:rsidRPr="00985300">
        <w:rPr>
          <w:rFonts w:ascii="Palatino Linotype" w:eastAsia="Palatino Linotype" w:hAnsi="Palatino Linotype" w:cs="Palatino Linotype"/>
          <w:i/>
          <w:iCs/>
        </w:rPr>
        <w:t xml:space="preserve">, de acuerdo con la normatividad aplicable en la materia y vigilar su adecuado funcionamiento.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u w:val="single"/>
        </w:rPr>
        <w:t xml:space="preserve">Coordinar las acciones relativas a las adquisiciones de bienes, arrendamientos, mantenimientos </w:t>
      </w:r>
      <w:r w:rsidRPr="00985300">
        <w:rPr>
          <w:rFonts w:ascii="Palatino Linotype" w:eastAsia="Palatino Linotype" w:hAnsi="Palatino Linotype" w:cs="Palatino Linotype"/>
          <w:i/>
          <w:iCs/>
        </w:rPr>
        <w:t xml:space="preserve">y servicios generales con las delegaciones administrativas adscritas a la Secretaría, así como la integración del Programa Anual de Adquisiciones y la suscripción de los contratos en los mejores términos para el Gobierno del Estado.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u w:val="single"/>
        </w:rPr>
        <w:t>Celebrar convenios, acuerdos y contratos derivados de los procesos administrativos de la Secretaría y verificar su cumplimiento con base en la normatividad aplicable</w:t>
      </w:r>
      <w:r w:rsidRPr="00985300">
        <w:rPr>
          <w:rFonts w:ascii="Palatino Linotype" w:eastAsia="Palatino Linotype" w:hAnsi="Palatino Linotype" w:cs="Palatino Linotype"/>
          <w:i/>
          <w:iCs/>
        </w:rPr>
        <w:t xml:space="preserve">.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 − Coordinar la aplicación de normas y lineamientos para la operación de los programas sectoriales de modernización administrativa, mejora regulatoria, gobierno digital y gestión de la calidad para la ejecución y cumplimiento de los programas de la Secretaría.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rPr>
        <w:t xml:space="preserve"> − Desarrollar las demás funciones inherentes al área de su competencia.</w:t>
      </w:r>
    </w:p>
    <w:p w:rsidR="002D485F" w:rsidRPr="00985300" w:rsidRDefault="002D485F">
      <w:pPr>
        <w:spacing w:line="360" w:lineRule="auto"/>
        <w:ind w:right="49"/>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right="49"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Con lo anterior se advierte que la Unidad Administrativa, encargada de celebrar convenios y contratos relativos a las adquisiciones y arrendamientos corresponde a la </w:t>
      </w:r>
      <w:r w:rsidRPr="00985300">
        <w:rPr>
          <w:rFonts w:ascii="Palatino Linotype" w:eastAsia="Palatino Linotype" w:hAnsi="Palatino Linotype" w:cs="Palatino Linotype"/>
        </w:rPr>
        <w:lastRenderedPageBreak/>
        <w:t>Coordinación de Administración y Finanzas, toda vez que es la administradora de los recursos presupuestales.</w:t>
      </w:r>
    </w:p>
    <w:p w:rsidR="002D485F" w:rsidRPr="00985300" w:rsidRDefault="002D485F">
      <w:pPr>
        <w:spacing w:line="360" w:lineRule="auto"/>
        <w:ind w:right="49"/>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En este sentido los artículos 1, fracción III, y 4 de la Ley de la de Contratación Pública del Estado de México y Municipios, especifica que los Ayuntamientos y sus organismos serán los encargados de realizar los actos relativos a la planeación, programación, presupuestación, ejecución y control de la adquisición (bienes muebles e inmuebles), arrendamiento (bienes muebles e inmuebles), y la contratación de servicios de cualquier naturaleza.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4.- </w:t>
      </w:r>
      <w:r w:rsidRPr="00985300">
        <w:rPr>
          <w:rFonts w:ascii="Palatino Linotype" w:eastAsia="Palatino Linotype" w:hAnsi="Palatino Linotype" w:cs="Palatino Linotype"/>
          <w:i/>
          <w:iCs/>
        </w:rPr>
        <w:t>Para los efectos de esta Ley, en las adquisiciones, enajenaciones, arrendamientos y servicios, quedan comprendidos:</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V. </w:t>
      </w:r>
      <w:r w:rsidRPr="00985300">
        <w:rPr>
          <w:rFonts w:ascii="Palatino Linotype" w:eastAsia="Palatino Linotype" w:hAnsi="Palatino Linotype" w:cs="Palatino Linotype"/>
          <w:i/>
          <w:iCs/>
        </w:rPr>
        <w:t xml:space="preserve">La contratación de los servicios, relacionados con bienes muebles que se encuentran incorporados o adheridos a bienes inmuebles, cuya instalación o mantenimiento no implique modificación al bien inmueble.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 La contratación de los servicios de reconstrucción y mantenimiento de bienes muebles.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VII. La contratación de los servicios de maquila, seguros y transportación, así como de los de limpieza y vigilancia de bienes inmuebles.</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En general, otros actos que impliquen la contratación de servicios de cualquier naturaleza.</w:t>
      </w:r>
    </w:p>
    <w:p w:rsidR="002D485F" w:rsidRPr="00985300" w:rsidRDefault="00F36AD2">
      <w:pPr>
        <w:ind w:left="567" w:right="539"/>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b/>
          <w:bCs/>
          <w:i/>
          <w:iCs/>
        </w:rPr>
        <w:t>…</w:t>
      </w:r>
    </w:p>
    <w:p w:rsidR="002D485F" w:rsidRPr="00985300" w:rsidRDefault="002D485F">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En ese contexto las adquisiciones, arrendamientos y servicios, se adjudicarán a través de procedimientos de licitación pública, invitación restringida y adjudicación directa.</w:t>
      </w:r>
    </w:p>
    <w:p w:rsidR="002D485F" w:rsidRPr="00985300" w:rsidRDefault="002D485F">
      <w:pPr>
        <w:spacing w:line="360" w:lineRule="auto"/>
        <w:ind w:right="-787"/>
        <w:jc w:val="both"/>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este orden de ideas, la Ley de Contratación Pública del Estado de México prevé que las adquisiciones, arrendamientos y servicios se adjudicarán mediante licitación pública, esto </w:t>
      </w:r>
      <w:r w:rsidRPr="00985300">
        <w:rPr>
          <w:rFonts w:ascii="Palatino Linotype" w:eastAsia="Palatino Linotype" w:hAnsi="Palatino Linotype" w:cs="Palatino Linotype"/>
        </w:rPr>
        <w:lastRenderedPageBreak/>
        <w:t xml:space="preserve">previa emisión de una convocatoria pública; invitación restringida o adjudicación directa , asimismo la legislación en análisis regula lo siguiente sobre el tópico en estudio: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35.- </w:t>
      </w:r>
      <w:r w:rsidRPr="00985300">
        <w:rPr>
          <w:rFonts w:ascii="Palatino Linotype" w:eastAsia="Palatino Linotype" w:hAnsi="Palatino Linotype" w:cs="Palatino Linotype"/>
          <w:i/>
          <w:iCs/>
        </w:rPr>
        <w:t xml:space="preserve">En los </w:t>
      </w:r>
      <w:r w:rsidRPr="00985300">
        <w:rPr>
          <w:rFonts w:ascii="Palatino Linotype" w:eastAsia="Palatino Linotype" w:hAnsi="Palatino Linotype" w:cs="Palatino Linotype"/>
          <w:b/>
          <w:bCs/>
          <w:i/>
          <w:iCs/>
        </w:rPr>
        <w:t>procedimientos de licitación pública</w:t>
      </w:r>
      <w:r w:rsidRPr="00985300">
        <w:rPr>
          <w:rFonts w:ascii="Palatino Linotype" w:eastAsia="Palatino Linotype" w:hAnsi="Palatino Linotype" w:cs="Palatino Linotype"/>
          <w:i/>
          <w:iCs/>
        </w:rPr>
        <w:t xml:space="preserve"> se observará lo siguiente: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I. </w:t>
      </w:r>
      <w:r w:rsidRPr="00985300">
        <w:rPr>
          <w:rFonts w:ascii="Palatino Linotype" w:eastAsia="Palatino Linotype" w:hAnsi="Palatino Linotype" w:cs="Palatino Linotype"/>
          <w:i/>
          <w:iCs/>
        </w:rPr>
        <w:t xml:space="preserve">El acto de presentación y apertura de propuestas se llevará a cabo por el servidor público que designe la convocante, conforme al procedimiento que se establezca en el reglamento de esta Ley. </w:t>
      </w:r>
    </w:p>
    <w:p w:rsidR="002D485F" w:rsidRPr="00985300" w:rsidRDefault="00F36AD2">
      <w:pPr>
        <w:ind w:left="567" w:right="539"/>
        <w:jc w:val="both"/>
        <w:rPr>
          <w:rFonts w:ascii="Palatino Linotype" w:eastAsia="Palatino Linotype" w:hAnsi="Palatino Linotype" w:cs="Palatino Linotype"/>
          <w:b/>
          <w:bCs/>
          <w:i/>
          <w:iCs/>
          <w:u w:val="single"/>
        </w:rPr>
      </w:pPr>
      <w:r w:rsidRPr="00985300">
        <w:rPr>
          <w:rFonts w:ascii="Palatino Linotype" w:eastAsia="Palatino Linotype" w:hAnsi="Palatino Linotype" w:cs="Palatino Linotype"/>
          <w:b/>
          <w:bCs/>
          <w:i/>
          <w:iCs/>
        </w:rPr>
        <w:t xml:space="preserve">II. </w:t>
      </w:r>
      <w:r w:rsidRPr="00985300">
        <w:rPr>
          <w:rFonts w:ascii="Palatino Linotype" w:eastAsia="Palatino Linotype" w:hAnsi="Palatino Linotype" w:cs="Palatino Linotype"/>
          <w:i/>
          <w:iCs/>
        </w:rPr>
        <w:t>El comité de adquisiciones y servicios evaluará y analizará las propuestas técnicas y económicas presentadas por los licitantes en el ámbito de las respectivas competencias de sus integrantes, y emitirá el dictamen de adjudicación.</w:t>
      </w:r>
      <w:r w:rsidRPr="00985300">
        <w:rPr>
          <w:rFonts w:ascii="Palatino Linotype" w:eastAsia="Palatino Linotype" w:hAnsi="Palatino Linotype" w:cs="Palatino Linotype"/>
          <w:b/>
          <w:bCs/>
          <w:i/>
          <w:iCs/>
          <w:u w:val="single"/>
        </w:rPr>
        <w:t xml:space="preserve">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III. </w:t>
      </w:r>
      <w:r w:rsidRPr="00985300">
        <w:rPr>
          <w:rFonts w:ascii="Palatino Linotype" w:eastAsia="Palatino Linotype" w:hAnsi="Palatino Linotype" w:cs="Palatino Linotype"/>
          <w:i/>
          <w:iCs/>
        </w:rPr>
        <w:t xml:space="preserve">Las bases de licitación se pondrán a la venta a partir de la fecha de publicación de la convocatoria y hasta el día hábil anterior a la fecha de celebración de la junta de aclaraciones o, en su defecto, del acto de presentación y apertura de propuestas.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IV. </w:t>
      </w:r>
      <w:r w:rsidRPr="00985300">
        <w:rPr>
          <w:rFonts w:ascii="Palatino Linotype" w:eastAsia="Palatino Linotype" w:hAnsi="Palatino Linotype" w:cs="Palatino Linotype"/>
          <w:i/>
          <w:iCs/>
        </w:rPr>
        <w:t>Las convocantes podrán modificar los plazos y términos establecidos en la convocatoria o en las bases de licitación, hasta cinco días hábiles anteriores a la fecha de la celebración del acto de presentación y apertura de propuestas.</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V. </w:t>
      </w:r>
      <w:r w:rsidRPr="00985300">
        <w:rPr>
          <w:rFonts w:ascii="Palatino Linotype" w:eastAsia="Palatino Linotype" w:hAnsi="Palatino Linotype" w:cs="Palatino Linotype"/>
          <w:i/>
          <w:iCs/>
        </w:rPr>
        <w:t xml:space="preserve">Las modificaciones no podrán limitar el número de licitantes, sustituir o variar sustancialmente los bienes o servicios convocados originalmente, ni adicionar otros distintos.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VI. </w:t>
      </w:r>
      <w:r w:rsidRPr="00985300">
        <w:rPr>
          <w:rFonts w:ascii="Palatino Linotype" w:eastAsia="Palatino Linotype" w:hAnsi="Palatino Linotype" w:cs="Palatino Linotype"/>
          <w:i/>
          <w:iCs/>
        </w:rPr>
        <w:t xml:space="preserve">Las modificaciones a la convocatoria o a las bases se harán del conocimiento de los interesados hasta tres días hábiles antes de la fecha señalada para el acto de presentación y apertura de propuestas.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VII. </w:t>
      </w:r>
      <w:r w:rsidRPr="00985300">
        <w:rPr>
          <w:rFonts w:ascii="Palatino Linotype" w:eastAsia="Palatino Linotype" w:hAnsi="Palatino Linotype" w:cs="Palatino Linotype"/>
          <w:i/>
          <w:iCs/>
        </w:rPr>
        <w:t xml:space="preserve">Se emitirá el fallo dentro de los 15 días hábiles siguientes a la publicación de la convocatoria.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VIII. </w:t>
      </w:r>
      <w:r w:rsidRPr="00985300">
        <w:rPr>
          <w:rFonts w:ascii="Palatino Linotype" w:eastAsia="Palatino Linotype" w:hAnsi="Palatino Linotype" w:cs="Palatino Linotype"/>
          <w:i/>
          <w:iCs/>
        </w:rPr>
        <w:t>Los licitantes se podrán registrar hasta el día y la hora fijados para el acto de presentación y apertura de propuestas.</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DE LA INVITACIÓN RESTRINGIDA</w:t>
      </w:r>
    </w:p>
    <w:p w:rsidR="002D485F" w:rsidRPr="00985300" w:rsidRDefault="002D485F">
      <w:pPr>
        <w:ind w:left="567" w:right="539"/>
        <w:jc w:val="center"/>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44</w:t>
      </w:r>
      <w:r w:rsidRPr="00985300">
        <w:rPr>
          <w:rFonts w:ascii="Palatino Linotype" w:eastAsia="Palatino Linotype" w:hAnsi="Palatino Linotype" w:cs="Palatino Linotype"/>
          <w:i/>
          <w:iCs/>
        </w:rPr>
        <w:t xml:space="preserve">.- La Oficialía Mayor, las entidades, los tribunales administrativos y los ayuntamientos podrán adquirir y contratar servicios mediante invitación restringida, cuando: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 Se hubiere declarado desierto un procedimiento de licitación, o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 El importe de la operación no exceda de los montos establecidos por el Presupuesto de Egresos del Gobierno del Estado de México del ejercicio correspondiente.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La Oficialía Mayor,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En la invitación deberá especificarse si en el proceso de asignación aplicará la modalidad de subasta inversa.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45</w:t>
      </w:r>
      <w:r w:rsidRPr="00985300">
        <w:rPr>
          <w:rFonts w:ascii="Palatino Linotype" w:eastAsia="Palatino Linotype" w:hAnsi="Palatino Linotype" w:cs="Palatino Linotype"/>
          <w:i/>
          <w:iCs/>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46</w:t>
      </w:r>
      <w:r w:rsidRPr="00985300">
        <w:rPr>
          <w:rFonts w:ascii="Palatino Linotype" w:eastAsia="Palatino Linotype" w:hAnsi="Palatino Linotype" w:cs="Palatino Linotype"/>
          <w:i/>
          <w:iCs/>
        </w:rPr>
        <w:t>.- El procedimiento de invitación restringida se desarrollará en los términos de la licitación pública, a excepción de la publicación de la convocatoria.</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DE LA ADJUDICACIÓN DIRECTA</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48.-</w:t>
      </w:r>
      <w:r w:rsidRPr="00985300">
        <w:rPr>
          <w:rFonts w:ascii="Palatino Linotype" w:eastAsia="Palatino Linotype" w:hAnsi="Palatino Linotype" w:cs="Palatino Linotype"/>
          <w:i/>
          <w:iCs/>
        </w:rPr>
        <w:t xml:space="preserve"> La Oficialía Mayor, las entidades, los tribunales administrativos y los ayuntamientos podrán adquirir bienes, arrendar bienes muebles e inmuebles y contratar servicios, mediante adjudicación directa, cuando: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 La adquisición o el servicio sólo puedan realizarse con una determinada persona, por tratarse de obras de arte, titularidad de patentes, registros, marcas específicas, derechos de autor u otros derechos exclusivos.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w:t>
      </w:r>
      <w:r w:rsidRPr="00985300">
        <w:rPr>
          <w:rFonts w:ascii="Palatino Linotype" w:eastAsia="Palatino Linotype" w:hAnsi="Palatino Linotype" w:cs="Palatino Linotype"/>
          <w:i/>
          <w:iCs/>
        </w:rPr>
        <w:lastRenderedPageBreak/>
        <w:t xml:space="preserve">población para atender necesidades apremiantes, o concurra alguna causa similar de interés público.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 Existan circunstancias que puedan provocar pérdidas o costos adicionales importantes al erario.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 Pueda comprometerse información de naturaleza confidencial para el Estado o municipios, por razones de seguridad pública.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VII. Existan circunstancias extraordinarias o imprevisibles derivadas de riesgo o desastre. En este supuesto, la adquisición, arrendamiento y servicio deberá limitarse a lo estrictamente necesario para enfrentar tal eventualidad.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IX. Se hubiere declarado desierto un procedimiento de invitación restringida.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X. Cuando se aseguren condiciones financieras que permitan al Estado o a los municipios cumplir con la obligación de pago de manera diferida, sin que ello implique un costo financiero adicional o que habiéndolo, sea inferior al del mercado, o</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rsidR="002D485F" w:rsidRPr="00985300" w:rsidRDefault="002D485F">
      <w:pPr>
        <w:spacing w:line="360" w:lineRule="auto"/>
        <w:ind w:right="-787"/>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right="113"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lastRenderedPageBreak/>
        <w:t xml:space="preserve">Posteriormente los entes públicos deberán ceñirse al procedimiento dispuesto por el Reglamento de la legislación en referencia, el cual se cita a continuación para mejor proveer del estudio: </w:t>
      </w:r>
    </w:p>
    <w:p w:rsidR="002D485F" w:rsidRPr="00985300" w:rsidRDefault="00F36AD2">
      <w:pPr>
        <w:ind w:left="567"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“TÍTULO SEXTO</w:t>
      </w:r>
    </w:p>
    <w:p w:rsidR="002D485F" w:rsidRPr="00985300" w:rsidRDefault="00F36AD2">
      <w:pPr>
        <w:ind w:left="567"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DE LOS PROCEDIMIENTOS DE ADQUISICIÓN</w:t>
      </w:r>
    </w:p>
    <w:p w:rsidR="002D485F" w:rsidRPr="00985300" w:rsidRDefault="00F36AD2">
      <w:pPr>
        <w:ind w:left="567"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CAPÍTULO PRIMERO</w:t>
      </w:r>
    </w:p>
    <w:p w:rsidR="002D485F" w:rsidRPr="00985300" w:rsidRDefault="00F36AD2">
      <w:pPr>
        <w:ind w:left="567"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DE LA LICITACIÓN PÚBLICA</w:t>
      </w:r>
    </w:p>
    <w:p w:rsidR="002D485F" w:rsidRPr="00985300" w:rsidRDefault="00F36AD2">
      <w:pPr>
        <w:ind w:left="567"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SECCIÓN PRIMERA</w:t>
      </w: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GENERALIDADES</w:t>
      </w:r>
    </w:p>
    <w:p w:rsidR="002D485F" w:rsidRPr="00985300" w:rsidRDefault="002D485F">
      <w:pPr>
        <w:ind w:left="567" w:right="539"/>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b/>
          <w:bCs/>
          <w:i/>
          <w:iCs/>
          <w:u w:val="single"/>
        </w:rPr>
      </w:pPr>
      <w:r w:rsidRPr="00985300">
        <w:rPr>
          <w:rFonts w:ascii="Palatino Linotype" w:eastAsia="Palatino Linotype" w:hAnsi="Palatino Linotype" w:cs="Palatino Linotype"/>
          <w:b/>
          <w:bCs/>
          <w:i/>
          <w:iCs/>
        </w:rPr>
        <w:t xml:space="preserve">Artículo 61.- </w:t>
      </w:r>
      <w:r w:rsidRPr="00985300">
        <w:rPr>
          <w:rFonts w:ascii="Palatino Linotype" w:eastAsia="Palatino Linotype" w:hAnsi="Palatino Linotype" w:cs="Palatino Linotype"/>
          <w:i/>
          <w:iCs/>
        </w:rPr>
        <w:t xml:space="preserve">La Secretaría, organismos auxiliares, tribunales administrativos y </w:t>
      </w:r>
      <w:r w:rsidRPr="00985300">
        <w:rPr>
          <w:rFonts w:ascii="Palatino Linotype" w:eastAsia="Palatino Linotype" w:hAnsi="Palatino Linotype" w:cs="Palatino Linotype"/>
          <w:b/>
          <w:bCs/>
          <w:i/>
          <w:iCs/>
          <w:u w:val="single"/>
        </w:rPr>
        <w:t xml:space="preserve">municipios podrán realizar licitaciones públicas, para la adquisición, arrendamiento de bienes y la contratación de servicios de cualquier naturaleza, conforme a las previsiones y disposiciones presupuestarias respectivas. </w:t>
      </w:r>
    </w:p>
    <w:p w:rsidR="002D485F" w:rsidRPr="00985300" w:rsidRDefault="002D485F">
      <w:pPr>
        <w:ind w:left="567" w:right="539"/>
        <w:jc w:val="both"/>
        <w:rPr>
          <w:rFonts w:ascii="Palatino Linotype" w:eastAsia="Palatino Linotype" w:hAnsi="Palatino Linotype" w:cs="Palatino Linotype"/>
          <w:b/>
          <w:bCs/>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62.- </w:t>
      </w:r>
      <w:r w:rsidRPr="00985300">
        <w:rPr>
          <w:rFonts w:ascii="Palatino Linotype" w:eastAsia="Palatino Linotype" w:hAnsi="Palatino Linotype" w:cs="Palatino Linotype"/>
          <w:b/>
          <w:bCs/>
          <w:i/>
          <w:iCs/>
          <w:u w:val="single"/>
        </w:rPr>
        <w:t>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985300">
        <w:rPr>
          <w:rFonts w:ascii="Palatino Linotype" w:eastAsia="Palatino Linotype" w:hAnsi="Palatino Linotype" w:cs="Palatino Linotype"/>
          <w:i/>
          <w:iCs/>
        </w:rPr>
        <w:t xml:space="preserve">.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67.- </w:t>
      </w:r>
      <w:r w:rsidRPr="00985300">
        <w:rPr>
          <w:rFonts w:ascii="Palatino Linotype" w:eastAsia="Palatino Linotype" w:hAnsi="Palatino Linotype" w:cs="Palatino Linotype"/>
          <w:i/>
          <w:iCs/>
        </w:rPr>
        <w:t xml:space="preserve">El procedimiento de licitación pública comprende las siguientes fases: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 Publicación de la convocatoria;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 Venta de las bases de licitación;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III. Visita, en su caso, al sitio donde se vayan a suministrar los bienes o a prestar los servicios;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IV. Junta de aclaraciones, en su caso;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 Acto de presentación y apertura de propuestas;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 Análisis y evaluación de propuestas;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VII. Dictamen de adjudicación;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VIII. Fallo;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IX. Suscripción del contrato; y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X. Suministro de los bienes o inicio de la prestación del servicio.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68.- </w:t>
      </w:r>
      <w:r w:rsidRPr="00985300">
        <w:rPr>
          <w:rFonts w:ascii="Palatino Linotype" w:eastAsia="Palatino Linotype" w:hAnsi="Palatino Linotype" w:cs="Palatino Linotype"/>
          <w:i/>
          <w:iCs/>
        </w:rPr>
        <w:t xml:space="preserve">En el procedimiento de licitación pública se observará lo siguiente: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 La venta de bases iniciará a partir del día de publicación de la convocatoria y concluirá el día hábil anterior al día de celebración de la junta de aclaraciones.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Cuando no se celebre junta de aclaraciones, la venta de bases concluirá el día hábil anterior a la celebración del acto de presentación y apertura de propuestas.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En todo caso, el plazo de venta de bases no será menor a tres días hábiles contados a partir del día de la publicación de la convocatoria;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69.- </w:t>
      </w:r>
      <w:r w:rsidRPr="00985300">
        <w:rPr>
          <w:rFonts w:ascii="Palatino Linotype" w:eastAsia="Palatino Linotype" w:hAnsi="Palatino Linotype" w:cs="Palatino Linotype"/>
          <w:i/>
          <w:iCs/>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CAPÍTULO SEGUNDO</w:t>
      </w: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DE LAS EXCEPCIONES A LA LICITACION PÚBLICA</w:t>
      </w: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SECCIÓN PRIMERA</w:t>
      </w: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DE LA INVITACIÓN RESTRINGIDA</w:t>
      </w:r>
    </w:p>
    <w:p w:rsidR="002D485F" w:rsidRPr="00985300" w:rsidRDefault="002D485F">
      <w:pPr>
        <w:ind w:left="567" w:right="539"/>
        <w:jc w:val="center"/>
        <w:rPr>
          <w:rFonts w:ascii="Palatino Linotype" w:eastAsia="Palatino Linotype" w:hAnsi="Palatino Linotype" w:cs="Palatino Linotype"/>
          <w:b/>
          <w:bCs/>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lastRenderedPageBreak/>
        <w:t>Artículo 90</w:t>
      </w:r>
      <w:r w:rsidRPr="00985300">
        <w:rPr>
          <w:rFonts w:ascii="Palatino Linotype" w:eastAsia="Palatino Linotype" w:hAnsi="Palatino Linotype" w:cs="Palatino Linotype"/>
          <w:i/>
          <w:iCs/>
        </w:rPr>
        <w:t xml:space="preserve">.- En el procedimiento de invitación restringida se deberá observar lo siguiente: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 Se invitará a un mínimo de tres personas seleccionadas de entre las que se encuentren inscritas en el catálogo de proveedores y de prestadores de servicios.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Se podrá invitar a personas que no se encuentren inscritas, cuando en el giro correspondiente del catálogo de proveedores y prestadores de servicios no exista el registro mínimo de personas requeridas para tal modalidad;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 Las bases de la invitación restringida indicarán los aspectos de la adquisición o contratación; y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III. Serán aplicables, en lo conducente, las disposiciones de la licitación pública.</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SECCIÓN SEGUNDA</w:t>
      </w:r>
    </w:p>
    <w:p w:rsidR="002D485F" w:rsidRPr="00985300" w:rsidRDefault="00F36AD2">
      <w:pPr>
        <w:ind w:left="567" w:right="539"/>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DE LA ADJUDICACIÓN DIRECTA</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91</w:t>
      </w:r>
      <w:r w:rsidRPr="00985300">
        <w:rPr>
          <w:rFonts w:ascii="Palatino Linotype" w:eastAsia="Palatino Linotype" w:hAnsi="Palatino Linotype" w:cs="Palatino Linotype"/>
          <w:i/>
          <w:iCs/>
        </w:rPr>
        <w:t xml:space="preserve">.- La Secretaría, organismos auxiliares, tribunales administrativos y </w:t>
      </w:r>
      <w:r w:rsidRPr="00985300">
        <w:rPr>
          <w:rFonts w:ascii="Palatino Linotype" w:eastAsia="Palatino Linotype" w:hAnsi="Palatino Linotype" w:cs="Palatino Linotype"/>
          <w:b/>
          <w:bCs/>
          <w:i/>
          <w:iCs/>
        </w:rPr>
        <w:t>municipios</w:t>
      </w: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rPr>
        <w:t>podrán</w:t>
      </w:r>
      <w:r w:rsidRPr="00985300">
        <w:rPr>
          <w:rFonts w:ascii="Palatino Linotype" w:eastAsia="Palatino Linotype" w:hAnsi="Palatino Linotype" w:cs="Palatino Linotype"/>
          <w:i/>
          <w:iCs/>
        </w:rPr>
        <w:t xml:space="preserve"> adquirir, arrendar o enajenar bienes, y contra</w:t>
      </w:r>
      <w:r w:rsidRPr="00985300">
        <w:rPr>
          <w:rFonts w:ascii="Palatino Linotype" w:eastAsia="Palatino Linotype" w:hAnsi="Palatino Linotype" w:cs="Palatino Linotype"/>
          <w:b/>
          <w:bCs/>
          <w:i/>
          <w:iCs/>
        </w:rPr>
        <w:t>tar servicios, mediante el procedimiento de adjudicación directa</w:t>
      </w:r>
      <w:r w:rsidRPr="00985300">
        <w:rPr>
          <w:rFonts w:ascii="Palatino Linotype" w:eastAsia="Palatino Linotype" w:hAnsi="Palatino Linotype" w:cs="Palatino Linotype"/>
          <w:i/>
          <w:iCs/>
        </w:rPr>
        <w:t xml:space="preserve"> en los términos establecidos por la Ley.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92</w:t>
      </w: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rPr>
        <w:t>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w:t>
      </w:r>
      <w:r w:rsidRPr="00985300">
        <w:rPr>
          <w:rFonts w:ascii="Palatino Linotype" w:eastAsia="Palatino Linotype" w:hAnsi="Palatino Linotype" w:cs="Palatino Linotype"/>
          <w:i/>
          <w:iCs/>
        </w:rPr>
        <w:t xml:space="preserve">, sin que sea necesario observar las disposiciones de los demás artículos de esta Sección.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En el caso de los municipios, las cotizaciones deberán obtenerse a través de sus áreas de administración.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93</w:t>
      </w:r>
      <w:r w:rsidRPr="00985300">
        <w:rPr>
          <w:rFonts w:ascii="Palatino Linotype" w:eastAsia="Palatino Linotype" w:hAnsi="Palatino Linotype" w:cs="Palatino Linotype"/>
          <w:i/>
          <w:iCs/>
        </w:rPr>
        <w:t xml:space="preserve">.- La Secretaría, organismos auxiliares, tribunales administrativos y municipios, solicitarán al comité el dictamen de procedencia del procedimiento de adjudicación directa, acreditando previamente: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 La descripción general de los bienes a adquirir o el servicio a contratar;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 La justificación o conveniencia de llevar a cabo la adjudicación directa; y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III. Certificación de suficiencia presupuestaria.</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El oficio justificatorio a que se refiere la fracción II, deberá formularse por el titular de la unidad administrativa interesada en la adquisición de los bienes, la contratación de servicios o el arrendamiento.</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 xml:space="preserve">Artículo 94.- En el procedimiento de adjudicación directa se observará lo siguiente: </w:t>
      </w:r>
    </w:p>
    <w:p w:rsidR="002D485F" w:rsidRPr="00985300" w:rsidRDefault="002D485F">
      <w:pPr>
        <w:ind w:left="567" w:right="539"/>
        <w:jc w:val="both"/>
        <w:rPr>
          <w:rFonts w:ascii="Palatino Linotype" w:eastAsia="Palatino Linotype" w:hAnsi="Palatino Linotype" w:cs="Palatino Linotype"/>
          <w:i/>
          <w:iCs/>
        </w:rPr>
      </w:pP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 III. La solicitud de participación contendrá, como mínimo, la descripción y cantidad de los bienes o servicios requeridos, lugar, plazo de entrega o duración del servicio y forma de pago;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IV. La solicitud de participación deberá señalar el día, hora y lugar en que tendrá verificativo el acto de presentación y apertura de ofertas;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 Atendiendo a la naturaleza de los bienes o servicios, la convocante podrá optar entre celebrar o no junta de aclaraciones, en términos de lo dispuesto por este Reglamento;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VI. El servidor público designado por la convocante será el responsable de llevar a cabo el acto de presentación y apertura de propuestas;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VII. Se observarán, en lo conducente, las disposiciones relativas a la contraoferta; y </w:t>
      </w:r>
    </w:p>
    <w:p w:rsidR="002D485F" w:rsidRPr="00985300" w:rsidRDefault="00F36AD2">
      <w:pPr>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VIII. El comité será responsable de emitir el dictamen de adjudicación que servirá de base para el fallo de adjudicación; correspondiendo a la convocante emitir dicho fallo, quien lo hará del conocimiento de los licitantes. Los actos referidos en los incisos anteriores deberán documentarse en el acta correspondiente y publicarse en el sistema COMPRAMEX. Artículo 95.- En los procedimientos de adjudicación directa, previa dictaminación del Comité respectivo, la convocante podrá adjudicar el contrato al oferente que reúna el mayor número de requisitos solicitados.</w:t>
      </w:r>
    </w:p>
    <w:p w:rsidR="002D485F" w:rsidRPr="00985300" w:rsidRDefault="002D485F">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Conforme al artículo 65, de la Ley de Contratación Pública del Estado de México y Municipios, </w:t>
      </w:r>
      <w:r w:rsidRPr="00985300">
        <w:rPr>
          <w:rFonts w:ascii="Palatino Linotype" w:eastAsia="Palatino Linotype" w:hAnsi="Palatino Linotype" w:cs="Palatino Linotype"/>
          <w:b/>
          <w:bCs/>
          <w:color w:val="000000"/>
        </w:rPr>
        <w:t>la adjudicación de un procedimiento de adquisición y arrendamiento de bienes y contratación de servicios se realizará mediante la suscripción de un contrato</w:t>
      </w:r>
      <w:r w:rsidRPr="00985300">
        <w:rPr>
          <w:rFonts w:ascii="Palatino Linotype" w:eastAsia="Palatino Linotype" w:hAnsi="Palatino Linotype" w:cs="Palatino Linotype"/>
          <w:color w:val="000000"/>
        </w:rPr>
        <w:t>, entre el Sujeto Obligado y la persona a la cual haya ganado el procedimiento respectivo, dentro de los diez días hábiles siguientes a la notificación del fallo.</w:t>
      </w:r>
    </w:p>
    <w:p w:rsidR="002D485F" w:rsidRPr="00985300" w:rsidRDefault="002D485F">
      <w:pPr>
        <w:spacing w:line="360" w:lineRule="auto"/>
        <w:ind w:right="-787"/>
        <w:jc w:val="both"/>
        <w:rPr>
          <w:rFonts w:ascii="Palatino Linotype" w:eastAsia="Palatino Linotype" w:hAnsi="Palatino Linotype" w:cs="Palatino Linotype"/>
          <w:color w:val="000000"/>
        </w:rPr>
      </w:pPr>
    </w:p>
    <w:p w:rsidR="002D485F" w:rsidRPr="00985300" w:rsidRDefault="00F36AD2">
      <w:pPr>
        <w:numPr>
          <w:ilvl w:val="0"/>
          <w:numId w:val="1"/>
        </w:numPr>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color w:val="000000"/>
        </w:rPr>
        <w:t>Ahora</w:t>
      </w:r>
      <w:r w:rsidRPr="00985300">
        <w:rPr>
          <w:rFonts w:ascii="Palatino Linotype" w:eastAsia="Palatino Linotype" w:hAnsi="Palatino Linotype" w:cs="Palatino Linotype"/>
        </w:rPr>
        <w:t xml:space="preserve"> bien, por cuanto hace a los contratos que emanan de los procedimientos que regula la Ley de Contratación Pública del Estado de México y Municipios, el Reglamento de esta, establece que los instrumentos jurídicos vinculantes deberán reunir los siguientes elementos: </w:t>
      </w:r>
    </w:p>
    <w:p w:rsidR="002D485F" w:rsidRPr="00985300" w:rsidRDefault="00F36AD2">
      <w:pPr>
        <w:ind w:left="566"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“TÍTULO NOVENO</w:t>
      </w:r>
    </w:p>
    <w:p w:rsidR="002D485F" w:rsidRPr="00985300" w:rsidRDefault="00F36AD2">
      <w:pPr>
        <w:ind w:left="566" w:right="539"/>
        <w:jc w:val="center"/>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DE LOS CONTRATOS</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120.- Los contratos relacionados con las materias reguladas por la Ley referirán, como mínimo, lo siguiente:</w:t>
      </w:r>
      <w:r w:rsidRPr="00985300">
        <w:rPr>
          <w:rFonts w:ascii="Palatino Linotype" w:eastAsia="Palatino Linotype" w:hAnsi="Palatino Linotype" w:cs="Palatino Linotype"/>
          <w:i/>
          <w:iCs/>
        </w:rPr>
        <w:t xml:space="preserve">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 Objeto;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 Fecha de suministro de los bienes o período de prestación del servicio;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III. Datos del procedimiento que dio origen al contrato;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IV. Importe total;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 Porcentajes, número y fechas de las exhibiciones y amortización de los anticipos que se otorguen;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VI. Formalidades para el otorgamiento y cobro de garantías;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VIII. Términos en que el proveedor o prestador del servicio, en su caso, reintegrará las cantidades que, en cualquier forma, hubiere recibido en exceso por la contratación;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IX. Causales por las que la Secretaría, organismos auxiliares, tribunales administrativos o municipios podrán dar por rescindido el contrato y sus efectos;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X. Las consecuencias de la cancelación o terminación anticipada por causas imputables al proveedor o prestador del servicio;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XI. Señalamiento del domicilio de las partes, ubicado en el territorio del Estado, o bien, domicilio para oír y recibir notificaciones; y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XII. Renuncia expresa al fuero que les pudiera corresponder en función de su domicilio o vecindad presente o futuro.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121.- </w:t>
      </w:r>
      <w:r w:rsidRPr="00985300">
        <w:rPr>
          <w:rFonts w:ascii="Palatino Linotype" w:eastAsia="Palatino Linotype" w:hAnsi="Palatino Linotype" w:cs="Palatino Linotype"/>
          <w:i/>
          <w:iCs/>
        </w:rPr>
        <w:t xml:space="preserve">Cuando el contrato sea adjudicado a varios participantes, deberá ser firmado por todos, especificando las obligaciones que a cada uno correspondan.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122.- </w:t>
      </w:r>
      <w:r w:rsidRPr="00985300">
        <w:rPr>
          <w:rFonts w:ascii="Palatino Linotype" w:eastAsia="Palatino Linotype" w:hAnsi="Palatino Linotype" w:cs="Palatino Linotype"/>
          <w:i/>
          <w:iCs/>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123.- </w:t>
      </w:r>
      <w:r w:rsidRPr="00985300">
        <w:rPr>
          <w:rFonts w:ascii="Palatino Linotype" w:eastAsia="Palatino Linotype" w:hAnsi="Palatino Linotype" w:cs="Palatino Linotype"/>
          <w:i/>
          <w:iCs/>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No se generará el pago de gastos o recargos por parte de la contratante, si durante el plazo para emitir la resolución de la transmisión de los derechos de cobro, se origina un retraso en el pago pactado.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124.- </w:t>
      </w:r>
      <w:r w:rsidRPr="00985300">
        <w:rPr>
          <w:rFonts w:ascii="Palatino Linotype" w:eastAsia="Palatino Linotype" w:hAnsi="Palatino Linotype" w:cs="Palatino Linotype"/>
          <w:i/>
          <w:iCs/>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lastRenderedPageBreak/>
        <w:t xml:space="preserve">Artículo 125.- </w:t>
      </w:r>
      <w:r w:rsidRPr="00985300">
        <w:rPr>
          <w:rFonts w:ascii="Palatino Linotype" w:eastAsia="Palatino Linotype" w:hAnsi="Palatino Linotype" w:cs="Palatino Linotype"/>
          <w:i/>
          <w:iCs/>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Igual porcentaje se aplicará a las modificaciones o prórrogas que se hagan respecto a la vigencia de los contratos de prestación de servicios.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126.- </w:t>
      </w:r>
      <w:r w:rsidRPr="00985300">
        <w:rPr>
          <w:rFonts w:ascii="Palatino Linotype" w:eastAsia="Palatino Linotype" w:hAnsi="Palatino Linotype" w:cs="Palatino Linotype"/>
          <w:i/>
          <w:iCs/>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 xml:space="preserve">Artículo 127.- </w:t>
      </w:r>
      <w:r w:rsidRPr="00985300">
        <w:rPr>
          <w:rFonts w:ascii="Palatino Linotype" w:eastAsia="Palatino Linotype" w:hAnsi="Palatino Linotype" w:cs="Palatino Linotype"/>
          <w:i/>
          <w:iCs/>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Al escrito por medio del cual se informe el cumplimiento o incumplimiento del proveedor o prestador del servicio, se adjuntarán copia de las facturas que acrediten el suministro de los bienes o prestación de los servicios relativos. </w:t>
      </w:r>
    </w:p>
    <w:p w:rsidR="002D485F" w:rsidRPr="00985300" w:rsidRDefault="00F36AD2">
      <w:pPr>
        <w:ind w:left="566"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Lo anterior, podrá ser informado a través del sistema COMPRAMEX.”</w:t>
      </w:r>
    </w:p>
    <w:p w:rsidR="002D485F" w:rsidRPr="00985300" w:rsidRDefault="002D485F">
      <w:pPr>
        <w:spacing w:line="360" w:lineRule="auto"/>
        <w:ind w:right="-787"/>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right="113"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Dentro del procedimiento de la licitación pública una de las últimas fases es la suscripción del contrato. </w:t>
      </w:r>
      <w:r w:rsidRPr="00985300">
        <w:rPr>
          <w:rFonts w:ascii="Palatino Linotype" w:eastAsia="Palatino Linotype" w:hAnsi="Palatino Linotype" w:cs="Palatino Linotype"/>
          <w:color w:val="000000"/>
        </w:rPr>
        <w:t xml:space="preserve">Luego entonces </w:t>
      </w:r>
      <w:r w:rsidRPr="00985300">
        <w:rPr>
          <w:rFonts w:ascii="Palatino Linotype" w:eastAsia="Palatino Linotype" w:hAnsi="Palatino Linotype" w:cs="Palatino Linotype"/>
          <w:b/>
          <w:bCs/>
          <w:color w:val="000000"/>
        </w:rPr>
        <w:t>la adjudicación de un procedimiento de adquisición de bienes y servicios se realizará mediante la suscripción de un contrato</w:t>
      </w:r>
      <w:r w:rsidRPr="00985300">
        <w:rPr>
          <w:rFonts w:ascii="Palatino Linotype" w:eastAsia="Palatino Linotype" w:hAnsi="Palatino Linotype" w:cs="Palatino Linotype"/>
          <w:color w:val="000000"/>
        </w:rPr>
        <w:t>.</w:t>
      </w:r>
      <w:r w:rsidRPr="00985300">
        <w:rPr>
          <w:rFonts w:ascii="Palatino Linotype" w:eastAsia="Palatino Linotype" w:hAnsi="Palatino Linotype" w:cs="Palatino Linotype"/>
        </w:rPr>
        <w:t xml:space="preserve"> </w:t>
      </w:r>
    </w:p>
    <w:p w:rsidR="002D485F" w:rsidRPr="00985300" w:rsidRDefault="002D485F">
      <w:pPr>
        <w:spacing w:line="360" w:lineRule="auto"/>
        <w:ind w:right="-787"/>
        <w:jc w:val="both"/>
        <w:rPr>
          <w:rFonts w:ascii="Palatino Linotype" w:eastAsia="Palatino Linotype" w:hAnsi="Palatino Linotype" w:cs="Palatino Linotype"/>
        </w:rPr>
      </w:pPr>
    </w:p>
    <w:p w:rsidR="002D485F" w:rsidRPr="00985300" w:rsidRDefault="00F36AD2">
      <w:pPr>
        <w:numPr>
          <w:ilvl w:val="0"/>
          <w:numId w:val="1"/>
        </w:numPr>
        <w:spacing w:line="360" w:lineRule="auto"/>
        <w:ind w:left="0" w:right="113"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este mismo sentido se tiene como obligación de transparencia común la de poner a disposición la información relativa a las concesiones, </w:t>
      </w:r>
      <w:r w:rsidRPr="00985300">
        <w:rPr>
          <w:rFonts w:ascii="Palatino Linotype" w:eastAsia="Palatino Linotype" w:hAnsi="Palatino Linotype" w:cs="Palatino Linotype"/>
          <w:b/>
          <w:bCs/>
        </w:rPr>
        <w:t>contratos</w:t>
      </w:r>
      <w:r w:rsidRPr="00985300">
        <w:rPr>
          <w:rFonts w:ascii="Palatino Linotype" w:eastAsia="Palatino Linotype" w:hAnsi="Palatino Linotype" w:cs="Palatino Linotype"/>
        </w:rPr>
        <w:t xml:space="preserve">, convenios, permisos, licencias o autorizaciones otorgados, especificando los titulares de aquéllos, debiendo publicarse su objeto, nombre o razón social del titular, vigencia, tipo, términos, condiciones, </w:t>
      </w:r>
      <w:r w:rsidRPr="00985300">
        <w:rPr>
          <w:rFonts w:ascii="Palatino Linotype" w:eastAsia="Palatino Linotype" w:hAnsi="Palatino Linotype" w:cs="Palatino Linotype"/>
        </w:rPr>
        <w:lastRenderedPageBreak/>
        <w:t>monto y modificaciones, así como si el procedimiento involucra el aprovechamiento de bienes, servicios y/o recursos públicos, tal como lo señala el artículo 92, de la Ley de Transparencia y Acceso a la Información Pública del Estado de México y Municipios:</w:t>
      </w:r>
    </w:p>
    <w:p w:rsidR="002D485F" w:rsidRPr="00985300" w:rsidRDefault="00F36AD2">
      <w:pPr>
        <w:ind w:left="567" w:right="680"/>
        <w:jc w:val="center"/>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De las Obligaciones de Transparencia Comunes</w:t>
      </w:r>
    </w:p>
    <w:p w:rsidR="002D485F" w:rsidRPr="00985300" w:rsidRDefault="002D485F">
      <w:pPr>
        <w:ind w:left="567" w:right="680"/>
        <w:jc w:val="both"/>
        <w:rPr>
          <w:rFonts w:ascii="Palatino Linotype" w:eastAsia="Palatino Linotype" w:hAnsi="Palatino Linotype" w:cs="Palatino Linotype"/>
          <w:i/>
          <w:iCs/>
        </w:rPr>
      </w:pP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Artículo 92</w:t>
      </w:r>
      <w:r w:rsidRPr="00985300">
        <w:rPr>
          <w:rFonts w:ascii="Palatino Linotype" w:eastAsia="Palatino Linotype" w:hAnsi="Palatino Linotype" w:cs="Palatino Linotype"/>
          <w:i/>
          <w:iC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XXIX</w:t>
      </w:r>
      <w:r w:rsidRPr="00985300">
        <w:rPr>
          <w:rFonts w:ascii="Palatino Linotype" w:eastAsia="Palatino Linotype" w:hAnsi="Palatino Linotype" w:cs="Palatino Linotype"/>
          <w:i/>
          <w:iCs/>
        </w:rPr>
        <w:t xml:space="preserve">. </w:t>
      </w:r>
      <w:r w:rsidRPr="00985300">
        <w:rPr>
          <w:rFonts w:ascii="Palatino Linotype" w:eastAsia="Palatino Linotype" w:hAnsi="Palatino Linotype" w:cs="Palatino Linotype"/>
          <w:b/>
          <w:bCs/>
          <w:i/>
          <w:iCs/>
        </w:rPr>
        <w:t xml:space="preserve">La información sobre los procesos y resultados sobre procedimientos de adjudicación directa, invitación restringida y licitación de cualquier naturaleza, </w:t>
      </w:r>
      <w:r w:rsidRPr="00985300">
        <w:rPr>
          <w:rFonts w:ascii="Palatino Linotype" w:eastAsia="Palatino Linotype" w:hAnsi="Palatino Linotype" w:cs="Palatino Linotype"/>
          <w:b/>
          <w:bCs/>
          <w:i/>
          <w:iCs/>
          <w:u w:val="single"/>
        </w:rPr>
        <w:t>incluyendo la versión pública del expediente respectivo y de los contratos celebrados</w:t>
      </w:r>
      <w:r w:rsidRPr="00985300">
        <w:rPr>
          <w:rFonts w:ascii="Palatino Linotype" w:eastAsia="Palatino Linotype" w:hAnsi="Palatino Linotype" w:cs="Palatino Linotype"/>
          <w:i/>
          <w:iCs/>
        </w:rPr>
        <w:t xml:space="preserve">, que deberán contener, por los menos, lo siguiente: </w:t>
      </w:r>
    </w:p>
    <w:p w:rsidR="002D485F" w:rsidRPr="00985300" w:rsidRDefault="002D485F">
      <w:pPr>
        <w:ind w:left="567" w:right="680"/>
        <w:jc w:val="both"/>
        <w:rPr>
          <w:rFonts w:ascii="Palatino Linotype" w:eastAsia="Palatino Linotype" w:hAnsi="Palatino Linotype" w:cs="Palatino Linotype"/>
          <w:i/>
          <w:iCs/>
        </w:rPr>
      </w:pPr>
    </w:p>
    <w:p w:rsidR="002D485F" w:rsidRPr="00985300" w:rsidRDefault="00F36AD2">
      <w:pPr>
        <w:ind w:left="567" w:right="680"/>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 xml:space="preserve">a) De licitaciones públicas o procedimientos de invitación restringida: </w:t>
      </w:r>
    </w:p>
    <w:p w:rsidR="002D485F" w:rsidRPr="00985300" w:rsidRDefault="002D485F">
      <w:pPr>
        <w:ind w:left="567" w:right="680"/>
        <w:jc w:val="both"/>
        <w:rPr>
          <w:rFonts w:ascii="Palatino Linotype" w:eastAsia="Palatino Linotype" w:hAnsi="Palatino Linotype" w:cs="Palatino Linotype"/>
          <w:i/>
          <w:iCs/>
        </w:rPr>
      </w:pP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 La convocatoria o invitación emitida, así como los fundamentos legales aplicados para llevarla a cabo;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2) Los nombres de los participantes o invitados;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3) El nombre del ganador y las razones que lo justifican;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4) El área solicitante y la responsable de su ejecución;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5) Las convocatorias e invitaciones emitidas;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6) Los dictámenes y fallo de adjudicación;</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7) El contrato y, en su caso, sus anexos;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9) La partida presupuestal, de conformidad con el clasificador por objeto del gasto, en el caso de ser aplicable;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10) Origen de los recursos especificando si son federales, estatales o municipales, así como el tipo de fondo de participación o aportación respectiva;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11) Los convenios modificatorios que, en su caso, sean firmados, precisando el objeto y la fecha de celebración;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12) Los informes de avance físico y financiero sobre las obras o servicios contratados;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 xml:space="preserve">13) El convenio de terminación; y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14) El finiquito. </w:t>
      </w:r>
    </w:p>
    <w:p w:rsidR="002D485F" w:rsidRPr="00985300" w:rsidRDefault="002D485F">
      <w:pPr>
        <w:ind w:left="567" w:right="680"/>
        <w:jc w:val="both"/>
        <w:rPr>
          <w:rFonts w:ascii="Palatino Linotype" w:eastAsia="Palatino Linotype" w:hAnsi="Palatino Linotype" w:cs="Palatino Linotype"/>
          <w:i/>
          <w:iCs/>
        </w:rPr>
      </w:pPr>
    </w:p>
    <w:p w:rsidR="002D485F" w:rsidRPr="00985300" w:rsidRDefault="00F36AD2">
      <w:pPr>
        <w:ind w:left="567" w:right="680"/>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 xml:space="preserve">b) De las adjudicaciones directas: </w:t>
      </w:r>
    </w:p>
    <w:p w:rsidR="002D485F" w:rsidRPr="00985300" w:rsidRDefault="002D485F">
      <w:pPr>
        <w:ind w:left="567" w:right="680"/>
        <w:jc w:val="both"/>
        <w:rPr>
          <w:rFonts w:ascii="Palatino Linotype" w:eastAsia="Palatino Linotype" w:hAnsi="Palatino Linotype" w:cs="Palatino Linotype"/>
          <w:i/>
          <w:iCs/>
        </w:rPr>
      </w:pP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 La propuesta enviada por el participante;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2) Los motivos y fundamentos legales aplicados para llevarla a cabo;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3) La autorización del ejercicio de la opción;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4) En su caso, las cotizaciones consideradas, especificando los nombres de los proveedores y sus montos;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5) El nombre de la persona física o jurídica colectiva adjudicada;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6) La unidad administrativa solicitante y la responsable de su ejecución;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7) El número, fecha, el monto del contrato y el plazo de entrega o de ejecución de los servicios u obra;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9) Los informes de avance sobre las obras o servicios contratados;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 xml:space="preserve">10) El convenio de terminación; y </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11) El finiquito.</w:t>
      </w:r>
    </w:p>
    <w:p w:rsidR="002D485F" w:rsidRPr="00985300" w:rsidRDefault="002D485F">
      <w:pPr>
        <w:ind w:left="567" w:right="680"/>
        <w:jc w:val="both"/>
        <w:rPr>
          <w:rFonts w:ascii="Palatino Linotype" w:eastAsia="Palatino Linotype" w:hAnsi="Palatino Linotype" w:cs="Palatino Linotype"/>
          <w:i/>
          <w:iCs/>
        </w:rPr>
      </w:pP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2D485F">
      <w:pPr>
        <w:ind w:left="567" w:right="680"/>
        <w:jc w:val="both"/>
        <w:rPr>
          <w:rFonts w:ascii="Palatino Linotype" w:eastAsia="Palatino Linotype" w:hAnsi="Palatino Linotype" w:cs="Palatino Linotype"/>
          <w:i/>
          <w:iCs/>
        </w:rPr>
      </w:pP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XXXII</w:t>
      </w:r>
      <w:r w:rsidRPr="00985300">
        <w:rPr>
          <w:rFonts w:ascii="Palatino Linotype" w:eastAsia="Palatino Linotype" w:hAnsi="Palatino Linotype" w:cs="Palatino Linotype"/>
          <w:i/>
          <w:iCs/>
        </w:rPr>
        <w:t xml:space="preserve">. Las concesiones, </w:t>
      </w:r>
      <w:r w:rsidRPr="00985300">
        <w:rPr>
          <w:rFonts w:ascii="Palatino Linotype" w:eastAsia="Palatino Linotype" w:hAnsi="Palatino Linotype" w:cs="Palatino Linotype"/>
          <w:b/>
          <w:bCs/>
          <w:i/>
          <w:iCs/>
        </w:rPr>
        <w:t>contratos</w:t>
      </w:r>
      <w:r w:rsidRPr="00985300">
        <w:rPr>
          <w:rFonts w:ascii="Palatino Linotype" w:eastAsia="Palatino Linotype" w:hAnsi="Palatino Linotype" w:cs="Palatino Linotype"/>
          <w:i/>
          <w:iCs/>
        </w:rPr>
        <w:t xml:space="preserve">, convenios, permisos, licencias o autorizaciones otorgados, especificando los titulares de aquéllos, debiendo publicarse su objeto, nombre o razón social del titular, vigencia, tipo, términos, condiciones, monto y modificaciones, </w:t>
      </w:r>
      <w:r w:rsidRPr="00985300">
        <w:rPr>
          <w:rFonts w:ascii="Palatino Linotype" w:eastAsia="Palatino Linotype" w:hAnsi="Palatino Linotype" w:cs="Palatino Linotype"/>
          <w:b/>
          <w:bCs/>
          <w:i/>
          <w:iCs/>
        </w:rPr>
        <w:t>así como si el procedimiento involucra el aprovechamiento de bienes, servicios y/o recursos públicos</w:t>
      </w:r>
      <w:r w:rsidRPr="00985300">
        <w:rPr>
          <w:rFonts w:ascii="Palatino Linotype" w:eastAsia="Palatino Linotype" w:hAnsi="Palatino Linotype" w:cs="Palatino Linotype"/>
          <w:i/>
          <w:iCs/>
        </w:rPr>
        <w:t>;</w:t>
      </w:r>
    </w:p>
    <w:p w:rsidR="002D485F" w:rsidRPr="00985300" w:rsidRDefault="00F36AD2">
      <w:pPr>
        <w:ind w:left="567" w:right="680"/>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2D485F">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En este sentido, debe decirse que el </w:t>
      </w:r>
      <w:r w:rsidRPr="00985300">
        <w:rPr>
          <w:rFonts w:ascii="Palatino Linotype" w:eastAsia="Palatino Linotype" w:hAnsi="Palatino Linotype" w:cs="Palatino Linotype"/>
          <w:b/>
          <w:bCs/>
          <w:color w:val="000000"/>
        </w:rPr>
        <w:t xml:space="preserve">SUJETO OBLIGADO, </w:t>
      </w:r>
      <w:r w:rsidRPr="00985300">
        <w:rPr>
          <w:rFonts w:ascii="Palatino Linotype" w:eastAsia="Palatino Linotype" w:hAnsi="Palatino Linotype" w:cs="Palatino Linotype"/>
          <w:color w:val="000000"/>
        </w:rPr>
        <w:t>existe fuente obligacional, que evidencia el deber de poseer, administrar y generar la información requerida por el particular, no obstante no se pronunció al respecto.</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DB6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lastRenderedPageBreak/>
        <w:t xml:space="preserve">Así las cosas, cabe </w:t>
      </w:r>
      <w:r w:rsidR="00F36AD2" w:rsidRPr="00985300">
        <w:rPr>
          <w:rFonts w:ascii="Palatino Linotype" w:eastAsia="Palatino Linotype" w:hAnsi="Palatino Linotype" w:cs="Palatino Linotype"/>
          <w:color w:val="000000"/>
        </w:rPr>
        <w:t>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D485F" w:rsidRPr="00985300" w:rsidRDefault="002D485F">
      <w:pPr>
        <w:pBdr>
          <w:top w:val="nil"/>
          <w:left w:val="nil"/>
          <w:bottom w:val="nil"/>
          <w:right w:val="nil"/>
          <w:between w:val="nil"/>
        </w:pBdr>
        <w:tabs>
          <w:tab w:val="left" w:pos="2475"/>
        </w:tabs>
        <w:spacing w:line="360" w:lineRule="auto"/>
        <w:ind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0"/>
          <w:tab w:val="left" w:pos="567"/>
        </w:tabs>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985300">
        <w:rPr>
          <w:rFonts w:ascii="Century Gothic" w:eastAsia="Century Gothic" w:hAnsi="Century Gothic" w:cs="Century Gothic"/>
          <w:color w:val="000000"/>
          <w:vertAlign w:val="superscript"/>
        </w:rPr>
        <w:footnoteReference w:id="5"/>
      </w:r>
      <w:r w:rsidRPr="00985300">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985300">
        <w:rPr>
          <w:rFonts w:ascii="Palatino Linotype" w:eastAsia="Palatino Linotype" w:hAnsi="Palatino Linotype" w:cs="Palatino Linotype"/>
          <w:b/>
          <w:bCs/>
          <w:color w:val="000000"/>
        </w:rPr>
        <w:t xml:space="preserve"> </w:t>
      </w:r>
      <w:r w:rsidRPr="00985300">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985300">
        <w:rPr>
          <w:rFonts w:ascii="Century Gothic" w:eastAsia="Century Gothic" w:hAnsi="Century Gothic" w:cs="Century Gothic"/>
          <w:color w:val="000000"/>
          <w:vertAlign w:val="superscript"/>
        </w:rPr>
        <w:footnoteReference w:id="6"/>
      </w:r>
      <w:r w:rsidRPr="00985300">
        <w:rPr>
          <w:rFonts w:ascii="Palatino Linotype" w:eastAsia="Palatino Linotype" w:hAnsi="Palatino Linotype" w:cs="Palatino Linotype"/>
          <w:color w:val="000000"/>
        </w:rPr>
        <w:t>.</w:t>
      </w:r>
    </w:p>
    <w:p w:rsidR="002D485F" w:rsidRPr="00985300" w:rsidRDefault="002D485F">
      <w:pPr>
        <w:ind w:right="-28"/>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rsidR="002D485F" w:rsidRPr="00985300" w:rsidRDefault="00F36AD2">
      <w:pPr>
        <w:numPr>
          <w:ilvl w:val="1"/>
          <w:numId w:val="12"/>
        </w:numPr>
        <w:pBdr>
          <w:top w:val="nil"/>
          <w:left w:val="nil"/>
          <w:bottom w:val="nil"/>
          <w:right w:val="nil"/>
          <w:between w:val="nil"/>
        </w:pBdr>
        <w:ind w:left="709" w:right="-28"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Recibir, tramitar y dar respuesta a las solicitudes de acceso a la información;</w:t>
      </w:r>
    </w:p>
    <w:p w:rsidR="002D485F" w:rsidRPr="00985300" w:rsidRDefault="00F36AD2">
      <w:pPr>
        <w:numPr>
          <w:ilvl w:val="1"/>
          <w:numId w:val="12"/>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rsidR="002D485F" w:rsidRPr="00985300" w:rsidRDefault="00F36AD2">
      <w:pPr>
        <w:numPr>
          <w:ilvl w:val="1"/>
          <w:numId w:val="12"/>
        </w:numPr>
        <w:pBdr>
          <w:top w:val="nil"/>
          <w:left w:val="nil"/>
          <w:bottom w:val="nil"/>
          <w:right w:val="nil"/>
          <w:between w:val="nil"/>
        </w:pBdr>
        <w:ind w:left="709" w:right="-28"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Entregar, en su caso, a los particulares la información solicitada; y </w:t>
      </w:r>
    </w:p>
    <w:p w:rsidR="002D485F" w:rsidRDefault="00F36AD2">
      <w:pPr>
        <w:numPr>
          <w:ilvl w:val="1"/>
          <w:numId w:val="12"/>
        </w:numPr>
        <w:pBdr>
          <w:top w:val="nil"/>
          <w:left w:val="nil"/>
          <w:bottom w:val="nil"/>
          <w:right w:val="nil"/>
          <w:between w:val="nil"/>
        </w:pBdr>
        <w:spacing w:after="240"/>
        <w:ind w:left="709" w:right="-28"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lastRenderedPageBreak/>
        <w:t>Efectuar las notificaciones a los solicitantes.</w:t>
      </w:r>
    </w:p>
    <w:p w:rsidR="005732CD" w:rsidRPr="00985300" w:rsidRDefault="005732CD" w:rsidP="005732CD">
      <w:pPr>
        <w:pBdr>
          <w:top w:val="nil"/>
          <w:left w:val="nil"/>
          <w:bottom w:val="nil"/>
          <w:right w:val="nil"/>
          <w:between w:val="nil"/>
        </w:pBdr>
        <w:spacing w:after="240"/>
        <w:ind w:left="709"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985300">
        <w:rPr>
          <w:rFonts w:ascii="Palatino Linotype" w:eastAsia="Palatino Linotype" w:hAnsi="Palatino Linotype" w:cs="Palatino Linotype"/>
          <w:b/>
          <w:bCs/>
          <w:color w:val="000000"/>
        </w:rPr>
        <w:t xml:space="preserve">SUJETO OBLIGADO </w:t>
      </w:r>
      <w:r w:rsidRPr="00985300">
        <w:rPr>
          <w:rFonts w:ascii="Palatino Linotype" w:eastAsia="Palatino Linotype" w:hAnsi="Palatino Linotype" w:cs="Palatino Linotype"/>
          <w:color w:val="000000"/>
        </w:rPr>
        <w:t>a propuesta del responsable de la Unidad de Transparencia</w:t>
      </w:r>
      <w:r w:rsidRPr="00985300">
        <w:rPr>
          <w:rFonts w:ascii="Palatino Linotype" w:eastAsia="Palatino Linotype" w:hAnsi="Palatino Linotype" w:cs="Palatino Linotype"/>
          <w:color w:val="000000"/>
          <w:vertAlign w:val="superscript"/>
        </w:rPr>
        <w:footnoteReference w:id="7"/>
      </w:r>
      <w:r w:rsidRPr="00985300">
        <w:rPr>
          <w:rFonts w:ascii="Palatino Linotype" w:eastAsia="Palatino Linotype" w:hAnsi="Palatino Linotype" w:cs="Palatino Linotype"/>
          <w:color w:val="000000"/>
        </w:rPr>
        <w:t xml:space="preserve"> y tendrán, entre sus atribuciones, las siguientes</w:t>
      </w:r>
      <w:r w:rsidRPr="00985300">
        <w:rPr>
          <w:rFonts w:ascii="Palatino Linotype" w:eastAsia="Palatino Linotype" w:hAnsi="Palatino Linotype" w:cs="Palatino Linotype"/>
          <w:color w:val="000000"/>
          <w:vertAlign w:val="superscript"/>
        </w:rPr>
        <w:footnoteReference w:id="8"/>
      </w:r>
      <w:r w:rsidRPr="00985300">
        <w:rPr>
          <w:rFonts w:ascii="Palatino Linotype" w:eastAsia="Palatino Linotype" w:hAnsi="Palatino Linotype" w:cs="Palatino Linotype"/>
          <w:color w:val="000000"/>
        </w:rPr>
        <w:t>:</w:t>
      </w:r>
    </w:p>
    <w:p w:rsidR="002D485F" w:rsidRPr="00985300" w:rsidRDefault="00F36AD2">
      <w:pPr>
        <w:numPr>
          <w:ilvl w:val="1"/>
          <w:numId w:val="13"/>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Localizar la información que le solicite la Unidad de Transparencia; y</w:t>
      </w:r>
    </w:p>
    <w:p w:rsidR="002D485F" w:rsidRPr="00985300" w:rsidRDefault="00F36AD2">
      <w:pPr>
        <w:numPr>
          <w:ilvl w:val="1"/>
          <w:numId w:val="13"/>
        </w:numPr>
        <w:pBdr>
          <w:top w:val="nil"/>
          <w:left w:val="nil"/>
          <w:bottom w:val="nil"/>
          <w:right w:val="nil"/>
          <w:between w:val="nil"/>
        </w:pBdr>
        <w:spacing w:after="240"/>
        <w:ind w:left="709" w:right="539" w:hanging="142"/>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Proporcionar la información que obre en los archivos y que le sea solicitada por la Unidad de Transparencia.</w:t>
      </w:r>
    </w:p>
    <w:p w:rsidR="002D485F" w:rsidRPr="00985300" w:rsidRDefault="002D485F">
      <w:pPr>
        <w:tabs>
          <w:tab w:val="left" w:pos="426"/>
          <w:tab w:val="left" w:pos="567"/>
        </w:tabs>
        <w:ind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color w:val="000000"/>
        </w:rPr>
        <w:t xml:space="preserve">De tal manera que cada una de las áreas administrativas del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2D485F" w:rsidRPr="00985300" w:rsidRDefault="002D485F">
      <w:pPr>
        <w:ind w:right="-28"/>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b/>
          <w:bCs/>
          <w:i/>
          <w:iCs/>
          <w:color w:val="000000"/>
        </w:rPr>
        <w:t>“Artículo 53</w:t>
      </w:r>
      <w:r w:rsidRPr="00985300">
        <w:rPr>
          <w:rFonts w:ascii="Palatino Linotype" w:eastAsia="Palatino Linotype" w:hAnsi="Palatino Linotype" w:cs="Palatino Linotype"/>
          <w:i/>
          <w:iCs/>
          <w:color w:val="000000"/>
        </w:rPr>
        <w:t xml:space="preserve">. Las Unidades de Transparencia tendrán las siguientes funciones: </w:t>
      </w:r>
    </w:p>
    <w:p w:rsidR="002D485F" w:rsidRPr="00985300" w:rsidRDefault="002D485F">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w:t>
      </w:r>
      <w:r w:rsidRPr="00985300">
        <w:rPr>
          <w:rFonts w:ascii="Palatino Linotype" w:eastAsia="Palatino Linotype" w:hAnsi="Palatino Linotype" w:cs="Palatino Linotype"/>
          <w:i/>
          <w:iCs/>
          <w:color w:val="000000"/>
        </w:rPr>
        <w:lastRenderedPageBreak/>
        <w:t xml:space="preserve">Instituto y las demás disposiciones de la materia, así como propiciar que las áreas la actualicen periódicamente conforme a la normatividad aplicable;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985300">
        <w:rPr>
          <w:rFonts w:ascii="Palatino Linotype" w:eastAsia="Palatino Linotype" w:hAnsi="Palatino Linotype" w:cs="Palatino Linotype"/>
          <w:b/>
          <w:bCs/>
          <w:i/>
          <w:iCs/>
          <w:color w:val="000000"/>
        </w:rPr>
        <w:t xml:space="preserve">II. Recibir, tramitar y dar respuesta a las solicitudes de acceso a la información;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985300">
        <w:rPr>
          <w:rFonts w:ascii="Palatino Linotype" w:eastAsia="Palatino Linotype" w:hAnsi="Palatino Linotype" w:cs="Palatino Linotype"/>
          <w:b/>
          <w:bCs/>
          <w:i/>
          <w:iCs/>
          <w:color w:val="000000"/>
        </w:rPr>
        <w:t xml:space="preserve">IV. Realizar, con efectividad, los trámites internos necesarios para la atención de las solicitudes de acceso a la información;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V. Entregar, en su caso, a los particulares la información solicitada;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VI. Efectuar las notificaciones a los solicitantes;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985300">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X. Presentar ante el Comité, el proyecto de clasificación de información;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XI. Promover e implementar políticas de transparencia proactiva procurando su accesibilidad;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XII. Fomentar la transparencia y accesibilidad al interior del sujeto obligado; </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rsidR="002D485F" w:rsidRPr="00985300" w:rsidRDefault="00F36AD2">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2D485F" w:rsidRPr="00985300" w:rsidRDefault="00F36AD2">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2D485F" w:rsidRPr="00985300" w:rsidRDefault="002D485F">
      <w:pPr>
        <w:tabs>
          <w:tab w:val="left" w:pos="426"/>
        </w:tabs>
        <w:spacing w:before="240" w:after="240"/>
        <w:ind w:right="-28"/>
        <w:jc w:val="both"/>
        <w:rPr>
          <w:rFonts w:ascii="Palatino Linotype" w:eastAsia="Palatino Linotype" w:hAnsi="Palatino Linotype" w:cs="Palatino Linotype"/>
          <w:i/>
          <w:iCs/>
        </w:rPr>
      </w:pPr>
    </w:p>
    <w:p w:rsidR="002D485F" w:rsidRPr="00985300" w:rsidRDefault="00F36AD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85300">
        <w:rPr>
          <w:rFonts w:ascii="Palatino Linotype" w:eastAsia="Palatino Linotype" w:hAnsi="Palatino Linotype" w:cs="Palatino Linotype"/>
          <w:color w:val="000000"/>
        </w:rPr>
        <w:lastRenderedPageBreak/>
        <w:t>De lo expuesto y con relación a lo solicitado, se tiene que, la Unidad de Transparencia es la encargada de recibir, tramitar y dar respuesta a las solicitudes de acceso a la información.</w:t>
      </w:r>
    </w:p>
    <w:p w:rsidR="002D485F" w:rsidRPr="00985300" w:rsidRDefault="002D485F">
      <w:pPr>
        <w:pBdr>
          <w:top w:val="nil"/>
          <w:left w:val="nil"/>
          <w:bottom w:val="nil"/>
          <w:right w:val="nil"/>
          <w:between w:val="nil"/>
        </w:pBdr>
        <w:tabs>
          <w:tab w:val="left" w:pos="426"/>
          <w:tab w:val="left" w:pos="567"/>
        </w:tabs>
        <w:spacing w:line="360" w:lineRule="auto"/>
        <w:ind w:right="-28"/>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b/>
          <w:bCs/>
        </w:rPr>
      </w:pPr>
      <w:r w:rsidRPr="00985300">
        <w:rPr>
          <w:rFonts w:ascii="Palatino Linotype" w:eastAsia="Palatino Linotype" w:hAnsi="Palatino Linotype" w:cs="Palatino Linotype"/>
          <w:color w:val="000000"/>
        </w:rPr>
        <w:t xml:space="preserve">En este sentido, se advierte que, 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no cumplió con el procedimiento de búsqueda exhaustiva y razonable, pues no gestionó la solicitud de información en la unidad en donde </w:t>
      </w:r>
      <w:r w:rsidRPr="00985300">
        <w:rPr>
          <w:rFonts w:ascii="Palatino Linotype" w:eastAsia="Palatino Linotype" w:hAnsi="Palatino Linotype" w:cs="Palatino Linotype"/>
          <w:color w:val="000000"/>
          <w:u w:val="single"/>
        </w:rPr>
        <w:t>pudiera</w:t>
      </w:r>
      <w:r w:rsidRPr="00985300">
        <w:rPr>
          <w:rFonts w:ascii="Palatino Linotype" w:eastAsia="Palatino Linotype" w:hAnsi="Palatino Linotype" w:cs="Palatino Linotype"/>
          <w:color w:val="000000"/>
        </w:rPr>
        <w:t xml:space="preserve"> obrar la citada información, siendo esta: </w:t>
      </w:r>
      <w:r w:rsidRPr="00985300">
        <w:rPr>
          <w:rFonts w:ascii="Palatino Linotype" w:eastAsia="Palatino Linotype" w:hAnsi="Palatino Linotype" w:cs="Palatino Linotype"/>
          <w:b/>
          <w:bCs/>
          <w:color w:val="000000"/>
        </w:rPr>
        <w:t>la Coordinación de Administración y Finanzas</w:t>
      </w:r>
      <w:r w:rsidRPr="00985300">
        <w:rPr>
          <w:rFonts w:ascii="Palatino Linotype" w:eastAsia="Palatino Linotype" w:hAnsi="Palatino Linotype" w:cs="Palatino Linotype"/>
          <w:color w:val="000000"/>
        </w:rPr>
        <w:t>, por tanto resulta viable ordenar la búsqueda exhaustiva a fin de que se pronuncie respecto al numeral 32 del cuadro descriptivo</w:t>
      </w:r>
      <w:r w:rsidRPr="00985300">
        <w:rPr>
          <w:rFonts w:ascii="Palatino Linotype" w:eastAsia="Palatino Linotype" w:hAnsi="Palatino Linotype" w:cs="Palatino Linotype"/>
          <w:b/>
          <w:bCs/>
          <w:color w:val="000000"/>
        </w:rPr>
        <w:t>.</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5"/>
        </w:numPr>
        <w:pBdr>
          <w:top w:val="nil"/>
          <w:left w:val="nil"/>
          <w:bottom w:val="nil"/>
          <w:right w:val="nil"/>
          <w:between w:val="nil"/>
        </w:pBdr>
        <w:rPr>
          <w:rFonts w:ascii="Palatino Linotype" w:eastAsia="Palatino Linotype" w:hAnsi="Palatino Linotype" w:cs="Palatino Linotype"/>
          <w:color w:val="000000"/>
        </w:rPr>
      </w:pPr>
      <w:r w:rsidRPr="00985300">
        <w:rPr>
          <w:rFonts w:ascii="Palatino Linotype" w:eastAsia="Palatino Linotype" w:hAnsi="Palatino Linotype" w:cs="Palatino Linotype"/>
          <w:b/>
          <w:bCs/>
          <w:color w:val="000000"/>
        </w:rPr>
        <w:t>Punto 7 y 34 del cuadro descriptivo</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color w:val="000000"/>
        </w:rPr>
        <w:t xml:space="preserve">En este tenor, por lo que se refiere a la manifestación del particular, </w:t>
      </w:r>
      <w:r w:rsidRPr="00985300">
        <w:rPr>
          <w:rFonts w:ascii="Palatino Linotype" w:eastAsia="Palatino Linotype" w:hAnsi="Palatino Linotype" w:cs="Palatino Linotype"/>
          <w:b/>
          <w:bCs/>
          <w:color w:val="000000"/>
        </w:rPr>
        <w:t>Precio que la SECAMPO tomo de referencia para establecer el monto del apoyo y la aportación del beneficiario y En el supuesto de que la autoridad no cuente con la información, deberá explicar el motivo por el las redes sociales oficiales  y en diferentes medios de comunicación han anunciado la entrega de apoyos de los programas de referencia.,</w:t>
      </w:r>
      <w:r w:rsidRPr="00985300">
        <w:rPr>
          <w:rFonts w:ascii="Palatino Linotype" w:eastAsia="Palatino Linotype" w:hAnsi="Palatino Linotype" w:cs="Palatino Linotype"/>
          <w:color w:val="000000"/>
        </w:rPr>
        <w:t xml:space="preserve"> conlleva a precisar que con tal pronunciamiento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w:t>
      </w:r>
    </w:p>
    <w:p w:rsidR="002D485F" w:rsidRPr="00985300" w:rsidRDefault="002D485F">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p>
    <w:p w:rsidR="002D485F"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Po lo anterior, del análisis realizado al expediente electrónico, se advierte que el requerimiento en cuestión no constituye un derecho de acceso a la información y por lo tanto </w:t>
      </w:r>
      <w:r w:rsidRPr="00985300">
        <w:rPr>
          <w:rFonts w:ascii="Palatino Linotype" w:eastAsia="Palatino Linotype" w:hAnsi="Palatino Linotype" w:cs="Palatino Linotype"/>
          <w:color w:val="000000"/>
        </w:rPr>
        <w:lastRenderedPageBreak/>
        <w:t xml:space="preserve">no es 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y en todo caso a un derecho de petición. </w:t>
      </w:r>
    </w:p>
    <w:p w:rsidR="005732CD" w:rsidRPr="00985300" w:rsidRDefault="005732CD" w:rsidP="005732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985300">
        <w:rPr>
          <w:rFonts w:ascii="Palatino Linotype" w:eastAsia="Palatino Linotype" w:hAnsi="Palatino Linotype" w:cs="Palatino Linotype"/>
          <w:color w:val="000000"/>
        </w:rPr>
        <w:t xml:space="preserve">A efecto de sustentar lo anterior, es preciso mencionar que David Cienfuegos Salgado, concibe al derecho de petición como </w:t>
      </w:r>
      <w:r w:rsidRPr="00985300">
        <w:rPr>
          <w:rFonts w:ascii="Palatino Linotype" w:eastAsia="Palatino Linotype" w:hAnsi="Palatino Linotype" w:cs="Palatino Linotype"/>
          <w:i/>
          <w:iCs/>
          <w:color w:val="000000"/>
        </w:rPr>
        <w:t>“</w:t>
      </w:r>
      <w:r w:rsidRPr="00985300">
        <w:rPr>
          <w:rFonts w:ascii="Palatino Linotype" w:eastAsia="Palatino Linotype" w:hAnsi="Palatino Linotype" w:cs="Palatino Linotype"/>
          <w:b/>
          <w:bCs/>
          <w:i/>
          <w:iCs/>
          <w:color w:val="000000"/>
          <w:u w:val="single"/>
        </w:rPr>
        <w:t>el derecho de toda persona a ser escuchado por quienes ejercen el poder públic</w:t>
      </w:r>
      <w:r w:rsidRPr="00985300">
        <w:rPr>
          <w:rFonts w:ascii="Palatino Linotype" w:eastAsia="Palatino Linotype" w:hAnsi="Palatino Linotype" w:cs="Palatino Linotype"/>
          <w:i/>
          <w:iCs/>
          <w:color w:val="000000"/>
        </w:rPr>
        <w:t>o.</w:t>
      </w:r>
      <w:r w:rsidRPr="00985300">
        <w:rPr>
          <w:rFonts w:ascii="Palatino Linotype" w:eastAsia="Palatino Linotype" w:hAnsi="Palatino Linotype" w:cs="Palatino Linotype"/>
          <w:i/>
          <w:iCs/>
          <w:color w:val="000000"/>
          <w:vertAlign w:val="superscript"/>
        </w:rPr>
        <w:t xml:space="preserve"> </w:t>
      </w:r>
      <w:r w:rsidRPr="00985300">
        <w:rPr>
          <w:rFonts w:ascii="Century Gothic" w:eastAsia="Century Gothic" w:hAnsi="Century Gothic" w:cs="Century Gothic"/>
          <w:i/>
          <w:iCs/>
          <w:color w:val="000000"/>
          <w:vertAlign w:val="superscript"/>
        </w:rPr>
        <w:footnoteReference w:id="9"/>
      </w:r>
      <w:r w:rsidRPr="00985300">
        <w:rPr>
          <w:rFonts w:ascii="Palatino Linotype" w:eastAsia="Palatino Linotype" w:hAnsi="Palatino Linotype" w:cs="Palatino Linotype"/>
          <w:i/>
          <w:iCs/>
          <w:color w:val="000000"/>
        </w:rPr>
        <w:t xml:space="preserve">” (Sic) </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De la misma manera, Miguel Carbonell en su libro “Los derechos fundamentales” refiere que el </w:t>
      </w:r>
      <w:r w:rsidRPr="00985300">
        <w:rPr>
          <w:rFonts w:ascii="Palatino Linotype" w:eastAsia="Palatino Linotype" w:hAnsi="Palatino Linotype" w:cs="Palatino Linotype"/>
          <w:color w:val="000000"/>
          <w:u w:val="single"/>
        </w:rPr>
        <w:t>derecho de petición se ha entendido de dos distintitas maneras</w:t>
      </w:r>
      <w:r w:rsidRPr="00985300">
        <w:rPr>
          <w:rFonts w:ascii="Palatino Linotype" w:eastAsia="Palatino Linotype" w:hAnsi="Palatino Linotype" w:cs="Palatino Linotype"/>
          <w:color w:val="000000"/>
        </w:rPr>
        <w:t xml:space="preserve">, a saber: como un derecho fundamental de participación política ya que </w:t>
      </w:r>
      <w:r w:rsidRPr="00985300">
        <w:rPr>
          <w:rFonts w:ascii="Palatino Linotype" w:eastAsia="Palatino Linotype" w:hAnsi="Palatino Linotype" w:cs="Palatino Linotype"/>
          <w:color w:val="000000"/>
          <w:u w:val="single"/>
        </w:rPr>
        <w:t xml:space="preserve">permite a los particulares trasladar a las autoridades sus </w:t>
      </w:r>
      <w:r w:rsidRPr="00985300">
        <w:rPr>
          <w:rFonts w:ascii="Palatino Linotype" w:eastAsia="Palatino Linotype" w:hAnsi="Palatino Linotype" w:cs="Palatino Linotype"/>
          <w:b/>
          <w:bCs/>
          <w:color w:val="000000"/>
          <w:u w:val="single"/>
        </w:rPr>
        <w:t>inquietudes, quejas</w:t>
      </w:r>
      <w:r w:rsidRPr="00985300">
        <w:rPr>
          <w:rFonts w:ascii="Palatino Linotype" w:eastAsia="Palatino Linotype" w:hAnsi="Palatino Linotype" w:cs="Palatino Linotype"/>
          <w:color w:val="000000"/>
          <w:u w:val="single"/>
        </w:rPr>
        <w:t>, sugerencias</w:t>
      </w:r>
      <w:r w:rsidRPr="00985300">
        <w:rPr>
          <w:rFonts w:ascii="Palatino Linotype" w:eastAsia="Palatino Linotype" w:hAnsi="Palatino Linotype" w:cs="Palatino Linotype"/>
          <w:color w:val="000000"/>
        </w:rPr>
        <w:t xml:space="preserve"> y requerimientos en cualquier materia o asunto; y como una </w:t>
      </w:r>
      <w:r w:rsidRPr="00985300">
        <w:rPr>
          <w:rFonts w:ascii="Palatino Linotype" w:eastAsia="Palatino Linotype" w:hAnsi="Palatino Linotype" w:cs="Palatino Linotype"/>
          <w:b/>
          <w:bCs/>
          <w:color w:val="000000"/>
        </w:rPr>
        <w:t>forma específica de la libertad de expresión</w:t>
      </w:r>
      <w:r w:rsidRPr="00985300">
        <w:rPr>
          <w:rFonts w:ascii="Palatino Linotype" w:eastAsia="Palatino Linotype" w:hAnsi="Palatino Linotype" w:cs="Palatino Linotype"/>
          <w:color w:val="000000"/>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985300">
        <w:rPr>
          <w:rFonts w:ascii="Century Gothic" w:eastAsia="Century Gothic" w:hAnsi="Century Gothic" w:cs="Century Gothic"/>
          <w:color w:val="000000"/>
          <w:vertAlign w:val="superscript"/>
        </w:rPr>
        <w:footnoteReference w:id="10"/>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Por otro lado, el autor anteriormente citado, indica que el </w:t>
      </w:r>
      <w:r w:rsidRPr="00985300">
        <w:rPr>
          <w:rFonts w:ascii="Palatino Linotype" w:eastAsia="Palatino Linotype" w:hAnsi="Palatino Linotype" w:cs="Palatino Linotype"/>
          <w:b/>
          <w:bCs/>
          <w:color w:val="000000"/>
          <w:u w:val="single"/>
        </w:rPr>
        <w:t>derecho de acceso a la información pública</w:t>
      </w:r>
      <w:r w:rsidRPr="00985300">
        <w:rPr>
          <w:rFonts w:ascii="Palatino Linotype" w:eastAsia="Palatino Linotype" w:hAnsi="Palatino Linotype" w:cs="Palatino Linotype"/>
          <w:color w:val="000000"/>
        </w:rPr>
        <w:t xml:space="preserve"> es el derecho de conocer la </w:t>
      </w:r>
      <w:r w:rsidRPr="00985300">
        <w:rPr>
          <w:rFonts w:ascii="Palatino Linotype" w:eastAsia="Palatino Linotype" w:hAnsi="Palatino Linotype" w:cs="Palatino Linotype"/>
          <w:color w:val="000000"/>
          <w:u w:val="single"/>
        </w:rPr>
        <w:t>información de carácter público que se genera o está en posesión de los órganos del poder público</w:t>
      </w:r>
      <w:r w:rsidRPr="00985300">
        <w:rPr>
          <w:rFonts w:ascii="Palatino Linotype" w:eastAsia="Palatino Linotype" w:hAnsi="Palatino Linotype" w:cs="Palatino Linotype"/>
          <w:color w:val="000000"/>
        </w:rPr>
        <w:t xml:space="preserve"> o de los sujetos que utilizan o se </w:t>
      </w:r>
      <w:r w:rsidRPr="00985300">
        <w:rPr>
          <w:rFonts w:ascii="Palatino Linotype" w:eastAsia="Palatino Linotype" w:hAnsi="Palatino Linotype" w:cs="Palatino Linotype"/>
          <w:color w:val="000000"/>
        </w:rPr>
        <w:lastRenderedPageBreak/>
        <w:t>benefician con recursos provenientes del Estado, es el derecho que tienen los ciudadanos para acceder a documentos y datos que obren en el poder del gobierno.</w:t>
      </w:r>
    </w:p>
    <w:p w:rsidR="002D485F" w:rsidRPr="00985300" w:rsidRDefault="002D485F">
      <w:pPr>
        <w:pBdr>
          <w:top w:val="nil"/>
          <w:left w:val="nil"/>
          <w:bottom w:val="nil"/>
          <w:right w:val="nil"/>
          <w:between w:val="nil"/>
        </w:pBdr>
        <w:spacing w:line="360" w:lineRule="auto"/>
        <w:ind w:right="99"/>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985300">
        <w:rPr>
          <w:rFonts w:ascii="Century Gothic" w:eastAsia="Century Gothic" w:hAnsi="Century Gothic" w:cs="Century Gothic"/>
          <w:color w:val="000000"/>
          <w:vertAlign w:val="superscript"/>
        </w:rPr>
        <w:footnoteReference w:id="11"/>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De lo anterior se puede concluir que la distinción entre el </w:t>
      </w:r>
      <w:r w:rsidRPr="00985300">
        <w:rPr>
          <w:rFonts w:ascii="Palatino Linotype" w:eastAsia="Palatino Linotype" w:hAnsi="Palatino Linotype" w:cs="Palatino Linotype"/>
          <w:b/>
          <w:bCs/>
          <w:color w:val="000000"/>
        </w:rPr>
        <w:t>derecho de petición</w:t>
      </w:r>
      <w:r w:rsidRPr="00985300">
        <w:rPr>
          <w:rFonts w:ascii="Palatino Linotype" w:eastAsia="Palatino Linotype" w:hAnsi="Palatino Linotype" w:cs="Palatino Linotype"/>
          <w:color w:val="000000"/>
        </w:rPr>
        <w:t xml:space="preserve"> y el derecho de acceso a la información descansa, principalmente, en que </w:t>
      </w:r>
      <w:r w:rsidRPr="00985300">
        <w:rPr>
          <w:rFonts w:ascii="Palatino Linotype" w:eastAsia="Palatino Linotype" w:hAnsi="Palatino Linotype" w:cs="Palatino Linotype"/>
          <w:color w:val="000000"/>
          <w:u w:val="single"/>
        </w:rPr>
        <w:t xml:space="preserve">la pretensión del peticionario consiste generalmente en obligar a la autoridad responsable a que actúe </w:t>
      </w:r>
      <w:r w:rsidRPr="00985300">
        <w:rPr>
          <w:rFonts w:ascii="Palatino Linotype" w:eastAsia="Palatino Linotype" w:hAnsi="Palatino Linotype" w:cs="Palatino Linotype"/>
          <w:color w:val="000000"/>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Con base a lo anterior, tenemos que la parte </w:t>
      </w:r>
      <w:r w:rsidRPr="00985300">
        <w:rPr>
          <w:rFonts w:ascii="Palatino Linotype" w:eastAsia="Palatino Linotype" w:hAnsi="Palatino Linotype" w:cs="Palatino Linotype"/>
          <w:b/>
          <w:bCs/>
          <w:color w:val="000000"/>
        </w:rPr>
        <w:t>Recurrente</w:t>
      </w:r>
      <w:r w:rsidRPr="00985300">
        <w:rPr>
          <w:rFonts w:ascii="Palatino Linotype" w:eastAsia="Palatino Linotype" w:hAnsi="Palatino Linotype" w:cs="Palatino Linotype"/>
          <w:color w:val="000000"/>
        </w:rPr>
        <w:t xml:space="preserve">, a través de un planteamiento subjetivo basado en una percepción personal, requirió conocer el por qué se instaura un Programa de Regularización de estatus de los usuarios de los servicios de agua, es decir, pretende que el </w:t>
      </w:r>
      <w:r w:rsidRPr="00985300">
        <w:rPr>
          <w:rFonts w:ascii="Palatino Linotype" w:eastAsia="Palatino Linotype" w:hAnsi="Palatino Linotype" w:cs="Palatino Linotype"/>
          <w:b/>
          <w:bCs/>
          <w:color w:val="000000"/>
        </w:rPr>
        <w:t xml:space="preserve">Sujeto Obligado </w:t>
      </w:r>
      <w:r w:rsidRPr="00985300">
        <w:rPr>
          <w:rFonts w:ascii="Palatino Linotype" w:eastAsia="Palatino Linotype" w:hAnsi="Palatino Linotype" w:cs="Palatino Linotype"/>
          <w:color w:val="000000"/>
        </w:rPr>
        <w:t xml:space="preserve">exponga las razones, circunstancias o los motivos que justifican o permiten llevar a cabo, la implementación del Programa de referencia, por consiguiente, la entrega de una razón o la respuesta o atención a pronunciamientos que no </w:t>
      </w:r>
      <w:r w:rsidRPr="00985300">
        <w:rPr>
          <w:rFonts w:ascii="Palatino Linotype" w:eastAsia="Palatino Linotype" w:hAnsi="Palatino Linotype" w:cs="Palatino Linotype"/>
          <w:color w:val="000000"/>
        </w:rPr>
        <w:lastRenderedPageBreak/>
        <w:t xml:space="preserve">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985300">
        <w:rPr>
          <w:rFonts w:ascii="Palatino Linotype" w:eastAsia="Palatino Linotype" w:hAnsi="Palatino Linotype" w:cs="Palatino Linotype"/>
          <w:b/>
          <w:bCs/>
          <w:color w:val="000000"/>
          <w:u w:val="single"/>
        </w:rPr>
        <w:t>interrogantes, inquietudes, quejas y manifestaciones</w:t>
      </w:r>
      <w:r w:rsidRPr="00985300">
        <w:rPr>
          <w:rFonts w:ascii="Palatino Linotype" w:eastAsia="Palatino Linotype" w:hAnsi="Palatino Linotype" w:cs="Palatino Linotype"/>
          <w:color w:val="000000"/>
        </w:rPr>
        <w:t xml:space="preserve"> resultan estar encaminadas a ser satisfechas en ejercicio del derecho de petición.</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985300">
        <w:rPr>
          <w:rFonts w:ascii="Palatino Linotype" w:eastAsia="Palatino Linotype" w:hAnsi="Palatino Linotype" w:cs="Palatino Linotype"/>
          <w:b/>
          <w:bCs/>
          <w:color w:val="000000"/>
        </w:rPr>
        <w:t>Recurrente,</w:t>
      </w:r>
      <w:r w:rsidRPr="00985300">
        <w:rPr>
          <w:rFonts w:ascii="Palatino Linotype" w:eastAsia="Palatino Linotype" w:hAnsi="Palatino Linotype" w:cs="Palatino Linotype"/>
          <w:color w:val="000000"/>
        </w:rPr>
        <w:t xml:space="preserve"> esencialmente en virtud de que se advierte que las mismas se tratan de aseveraciones que pudieran ser consideradas de carácter subjetivo hechas sin un soporte que las sustente; es decir, la solicitud de la persona solicitante es tendente a que el </w:t>
      </w:r>
      <w:r w:rsidRPr="00985300">
        <w:rPr>
          <w:rFonts w:ascii="Palatino Linotype" w:eastAsia="Palatino Linotype" w:hAnsi="Palatino Linotype" w:cs="Palatino Linotype"/>
          <w:b/>
          <w:bCs/>
          <w:color w:val="000000"/>
        </w:rPr>
        <w:t xml:space="preserve">Sujeto </w:t>
      </w:r>
      <w:r w:rsidRPr="00985300">
        <w:rPr>
          <w:rFonts w:ascii="Palatino Linotype" w:eastAsia="Palatino Linotype" w:hAnsi="Palatino Linotype" w:cs="Palatino Linotype"/>
          <w:b/>
          <w:bCs/>
          <w:color w:val="000000"/>
        </w:rPr>
        <w:lastRenderedPageBreak/>
        <w:t>Obligado</w:t>
      </w:r>
      <w:r w:rsidRPr="00985300">
        <w:rPr>
          <w:rFonts w:ascii="Palatino Linotype" w:eastAsia="Palatino Linotype" w:hAnsi="Palatino Linotype" w:cs="Palatino Linotype"/>
          <w:color w:val="000000"/>
        </w:rPr>
        <w:t xml:space="preserve"> aclare o actué sobre una inquietud, en consecuencia no es procedente ordenar la entrega de documento alguno, toda vez que no se pretendió el acceso a documentos previamente generados, sino un pronunciamiento del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w:t>
      </w:r>
    </w:p>
    <w:p w:rsidR="002D485F" w:rsidRPr="00985300" w:rsidRDefault="002D485F">
      <w:pPr>
        <w:pBdr>
          <w:top w:val="nil"/>
          <w:left w:val="nil"/>
          <w:bottom w:val="nil"/>
          <w:right w:val="nil"/>
          <w:between w:val="nil"/>
        </w:pBdr>
        <w:spacing w:line="360" w:lineRule="auto"/>
        <w:ind w:right="99"/>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Ahora bien,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r w:rsidRPr="00985300">
        <w:rPr>
          <w:rFonts w:ascii="Palatino Linotype" w:eastAsia="Palatino Linotype" w:hAnsi="Palatino Linotype" w:cs="Palatino Linotype"/>
          <w:b/>
          <w:bCs/>
          <w:i/>
          <w:iCs/>
        </w:rPr>
        <w:t>Artículo 4</w:t>
      </w:r>
      <w:r w:rsidRPr="00985300">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D485F" w:rsidRPr="00985300" w:rsidRDefault="00F36AD2">
      <w:pPr>
        <w:spacing w:before="240" w:after="240"/>
        <w:ind w:left="708" w:right="539" w:hanging="141"/>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Los sujetos obligados deben poner en práctica, políticas y programas de acceso a la información que se apeguen a criterios de publicidad, veracidad, oportunidad, precisión y suficiencia en beneficio de los solicitantes.”(Sic)</w:t>
      </w:r>
    </w:p>
    <w:p w:rsidR="002D485F" w:rsidRPr="00985300" w:rsidRDefault="00F36AD2">
      <w:pPr>
        <w:numPr>
          <w:ilvl w:val="0"/>
          <w:numId w:val="1"/>
        </w:numPr>
        <w:spacing w:before="240"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2D485F" w:rsidRPr="00985300" w:rsidRDefault="00F36AD2">
      <w:pPr>
        <w:spacing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r w:rsidRPr="00985300">
        <w:rPr>
          <w:rFonts w:ascii="Palatino Linotype" w:eastAsia="Palatino Linotype" w:hAnsi="Palatino Linotype" w:cs="Palatino Linotype"/>
          <w:b/>
          <w:bCs/>
          <w:i/>
          <w:iCs/>
        </w:rPr>
        <w:t>Artículo 12</w:t>
      </w:r>
      <w:r w:rsidRPr="00985300">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2D485F" w:rsidRPr="00985300" w:rsidRDefault="00F36AD2">
      <w:pPr>
        <w:numPr>
          <w:ilvl w:val="0"/>
          <w:numId w:val="1"/>
        </w:numPr>
        <w:spacing w:before="240"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985300">
        <w:rPr>
          <w:rFonts w:ascii="Palatino Linotype" w:eastAsia="Palatino Linotype" w:hAnsi="Palatino Linotype" w:cs="Palatino Linotype"/>
          <w:i/>
          <w:iCs/>
        </w:rPr>
        <w:t>ad hoc</w:t>
      </w:r>
      <w:r w:rsidRPr="00985300">
        <w:rPr>
          <w:rFonts w:ascii="Palatino Linotype" w:eastAsia="Palatino Linotype" w:hAnsi="Palatino Linotype" w:cs="Palatino Linotype"/>
        </w:rPr>
        <w:t>, para satisfacer el derecho de acceso a la información pública, como así lo establece</w:t>
      </w:r>
      <w:r w:rsidRPr="00985300">
        <w:rPr>
          <w:rFonts w:ascii="Palatino Linotype" w:eastAsia="Palatino Linotype" w:hAnsi="Palatino Linotype" w:cs="Palatino Linotype"/>
          <w:strike/>
          <w:color w:val="FF0000"/>
        </w:rPr>
        <w:t xml:space="preserve"> </w:t>
      </w:r>
      <w:r w:rsidRPr="00985300">
        <w:rPr>
          <w:rFonts w:ascii="Palatino Linotype" w:eastAsia="Palatino Linotype" w:hAnsi="Palatino Linotype" w:cs="Palatino Linotype"/>
        </w:rPr>
        <w:t>el criterio 03/17 emitido por el Instituto Nacional de Transparencia, Acceso a la Información Pública y Protección de Datos Personales, los cuales señalan lo siguiente:</w:t>
      </w:r>
    </w:p>
    <w:p w:rsidR="002D485F" w:rsidRPr="00985300" w:rsidRDefault="00F36AD2">
      <w:pPr>
        <w:spacing w:after="240"/>
        <w:ind w:left="567" w:right="539"/>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03/17</w:t>
      </w:r>
    </w:p>
    <w:p w:rsidR="002D485F" w:rsidRPr="00985300" w:rsidRDefault="00F36AD2">
      <w:pPr>
        <w:spacing w:before="240" w:after="240"/>
        <w:ind w:left="567" w:right="539"/>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t>“NO EXISTE OBLIGACIÓN DE ELABORAR DOCUMENTOS AD HOC PARA ATENDER LAS SOLICITUDES DE ACCESO A LA INFORMACIÓN.</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lastRenderedPageBreak/>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2D485F" w:rsidRPr="00985300" w:rsidRDefault="00F36AD2">
      <w:pPr>
        <w:numPr>
          <w:ilvl w:val="0"/>
          <w:numId w:val="1"/>
        </w:numPr>
        <w:spacing w:before="240"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D485F" w:rsidRPr="00985300" w:rsidRDefault="002D485F">
      <w:pPr>
        <w:spacing w:after="240" w:line="360" w:lineRule="auto"/>
        <w:jc w:val="both"/>
        <w:rPr>
          <w:rFonts w:ascii="Palatino Linotype" w:eastAsia="Palatino Linotype" w:hAnsi="Palatino Linotype" w:cs="Palatino Linotype"/>
        </w:rPr>
      </w:pPr>
    </w:p>
    <w:p w:rsidR="002D485F" w:rsidRPr="00985300" w:rsidRDefault="00F36AD2">
      <w:pPr>
        <w:numPr>
          <w:ilvl w:val="0"/>
          <w:numId w:val="1"/>
        </w:numPr>
        <w:spacing w:before="240"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D485F" w:rsidRPr="00985300" w:rsidRDefault="002D485F">
      <w:pPr>
        <w:spacing w:line="360" w:lineRule="auto"/>
        <w:ind w:left="708"/>
        <w:rPr>
          <w:rFonts w:ascii="Palatino Linotype" w:eastAsia="Palatino Linotype" w:hAnsi="Palatino Linotype" w:cs="Palatino Linotype"/>
        </w:rPr>
      </w:pP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w:t>
      </w:r>
      <w:r w:rsidRPr="00985300">
        <w:rPr>
          <w:rFonts w:ascii="Palatino Linotype" w:eastAsia="Palatino Linotype" w:hAnsi="Palatino Linotype" w:cs="Palatino Linotype"/>
          <w:b/>
          <w:bCs/>
          <w:u w:val="single"/>
        </w:rPr>
        <w:t>oficios</w:t>
      </w:r>
      <w:r w:rsidRPr="00985300">
        <w:rPr>
          <w:rFonts w:ascii="Palatino Linotype" w:eastAsia="Palatino Linotype" w:hAnsi="Palatino Linotype" w:cs="Palatino Linotype"/>
        </w:rPr>
        <w:t xml:space="preserve">, correspondencia, acuerdos, directivas, directrices, circulares, contratos, convenios, instructivos, notas, memorandos, </w:t>
      </w:r>
      <w:r w:rsidRPr="00985300">
        <w:rPr>
          <w:rFonts w:ascii="Palatino Linotype" w:eastAsia="Palatino Linotype" w:hAnsi="Palatino Linotype" w:cs="Palatino Linotype"/>
        </w:rPr>
        <w:lastRenderedPageBreak/>
        <w:t xml:space="preserve">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D485F" w:rsidRPr="00985300" w:rsidRDefault="00F36AD2">
      <w:pPr>
        <w:spacing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r w:rsidRPr="00985300">
        <w:rPr>
          <w:rFonts w:ascii="Palatino Linotype" w:eastAsia="Palatino Linotype" w:hAnsi="Palatino Linotype" w:cs="Palatino Linotype"/>
          <w:b/>
          <w:bCs/>
          <w:i/>
          <w:iCs/>
        </w:rPr>
        <w:t xml:space="preserve">Artículo 3. </w:t>
      </w:r>
      <w:r w:rsidRPr="00985300">
        <w:rPr>
          <w:rFonts w:ascii="Palatino Linotype" w:eastAsia="Palatino Linotype" w:hAnsi="Palatino Linotype" w:cs="Palatino Linotype"/>
          <w:i/>
          <w:iCs/>
        </w:rPr>
        <w:t>Para los efectos de la presente Ley se entenderá por:</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XI. Documento:</w:t>
      </w:r>
      <w:r w:rsidRPr="00985300">
        <w:rPr>
          <w:rFonts w:ascii="Palatino Linotype" w:eastAsia="Palatino Linotype" w:hAnsi="Palatino Linotype" w:cs="Palatino Linotype"/>
          <w:i/>
          <w:iCs/>
        </w:rPr>
        <w:t xml:space="preserve"> Los expedientes, reportes, estudios, </w:t>
      </w:r>
      <w:r w:rsidRPr="00985300">
        <w:rPr>
          <w:rFonts w:ascii="Palatino Linotype" w:eastAsia="Palatino Linotype" w:hAnsi="Palatino Linotype" w:cs="Palatino Linotype"/>
          <w:b/>
          <w:bCs/>
          <w:i/>
          <w:iCs/>
        </w:rPr>
        <w:t>actas,</w:t>
      </w:r>
      <w:r w:rsidRPr="00985300">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85300">
        <w:rPr>
          <w:rFonts w:ascii="Palatino Linotype" w:eastAsia="Palatino Linotype" w:hAnsi="Palatino Linotype" w:cs="Palatino Linotype"/>
          <w:b/>
          <w:bCs/>
          <w:i/>
          <w:iCs/>
        </w:rPr>
        <w:t>…</w:t>
      </w:r>
      <w:r w:rsidRPr="00985300">
        <w:rPr>
          <w:rFonts w:ascii="Palatino Linotype" w:eastAsia="Palatino Linotype" w:hAnsi="Palatino Linotype" w:cs="Palatino Linotype"/>
          <w:i/>
          <w:iCs/>
        </w:rPr>
        <w:t>” (Sic)</w:t>
      </w:r>
    </w:p>
    <w:p w:rsidR="002D485F" w:rsidRPr="00985300" w:rsidRDefault="00F36AD2">
      <w:pPr>
        <w:numPr>
          <w:ilvl w:val="0"/>
          <w:numId w:val="1"/>
        </w:numPr>
        <w:spacing w:before="240" w:line="360" w:lineRule="auto"/>
        <w:ind w:left="0" w:firstLine="0"/>
        <w:jc w:val="both"/>
        <w:rPr>
          <w:rFonts w:ascii="Palatino Linotype" w:eastAsia="Palatino Linotype" w:hAnsi="Palatino Linotype" w:cs="Palatino Linotype"/>
        </w:rPr>
      </w:pPr>
      <w:r w:rsidRPr="0098530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D485F" w:rsidRPr="00985300" w:rsidRDefault="00F36AD2">
      <w:pPr>
        <w:spacing w:after="240"/>
        <w:ind w:left="567" w:right="539"/>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rPr>
        <w:t>“</w:t>
      </w:r>
      <w:r w:rsidRPr="00985300">
        <w:rPr>
          <w:rFonts w:ascii="Palatino Linotype" w:eastAsia="Palatino Linotype" w:hAnsi="Palatino Linotype" w:cs="Palatino Linotype"/>
          <w:b/>
          <w:bCs/>
          <w:i/>
          <w:iCs/>
        </w:rPr>
        <w:t>CRITERIO 0002-11</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985300">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485F" w:rsidRPr="00985300" w:rsidRDefault="00F36AD2">
      <w:p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En consecuencia el acceso a la información se refiere a que se cumplan cualquiera de los siguientes tres supuestos:</w:t>
      </w:r>
    </w:p>
    <w:p w:rsidR="002D485F" w:rsidRPr="00985300" w:rsidRDefault="00F36AD2">
      <w:pPr>
        <w:numPr>
          <w:ilvl w:val="0"/>
          <w:numId w:val="14"/>
        </w:numPr>
        <w:spacing w:before="240" w:after="240"/>
        <w:ind w:left="567" w:right="539"/>
        <w:jc w:val="both"/>
        <w:rPr>
          <w:rFonts w:ascii="Palatino Linotype" w:eastAsia="Palatino Linotype" w:hAnsi="Palatino Linotype" w:cs="Palatino Linotype"/>
          <w:b/>
          <w:bCs/>
          <w:i/>
          <w:iCs/>
        </w:rPr>
      </w:pPr>
      <w:r w:rsidRPr="00985300">
        <w:rPr>
          <w:rFonts w:ascii="Palatino Linotype" w:eastAsia="Palatino Linotype" w:hAnsi="Palatino Linotype" w:cs="Palatino Linotype"/>
          <w:b/>
          <w:bCs/>
          <w:i/>
          <w:iCs/>
        </w:rPr>
        <w:lastRenderedPageBreak/>
        <w:t>Que se trate de información registrada en cualquier soporte documental, que en ejercicio de las atribuciones conferidas, sea generada por los Sujetos Obligados;</w:t>
      </w:r>
    </w:p>
    <w:p w:rsidR="002D485F" w:rsidRPr="00985300" w:rsidRDefault="00F36AD2">
      <w:pPr>
        <w:numPr>
          <w:ilvl w:val="0"/>
          <w:numId w:val="14"/>
        </w:numPr>
        <w:spacing w:before="240" w:after="240"/>
        <w:ind w:left="567" w:right="539"/>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rsidR="002D485F" w:rsidRPr="00985300" w:rsidRDefault="00F36AD2">
      <w:pPr>
        <w:spacing w:before="240" w:after="240"/>
        <w:ind w:left="567" w:right="539" w:hanging="284"/>
        <w:jc w:val="both"/>
        <w:rPr>
          <w:rFonts w:ascii="Palatino Linotype" w:eastAsia="Palatino Linotype" w:hAnsi="Palatino Linotype" w:cs="Palatino Linotype"/>
          <w:i/>
          <w:iCs/>
        </w:rPr>
      </w:pPr>
      <w:r w:rsidRPr="00985300">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 (Sic)</w:t>
      </w:r>
    </w:p>
    <w:p w:rsidR="002D485F" w:rsidRPr="00985300" w:rsidRDefault="00F36AD2">
      <w:pPr>
        <w:numPr>
          <w:ilvl w:val="0"/>
          <w:numId w:val="1"/>
        </w:numP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rPr>
        <w:t xml:space="preserve">De ahí que </w:t>
      </w:r>
      <w:r w:rsidRPr="00985300">
        <w:rPr>
          <w:rFonts w:ascii="Palatino Linotype" w:eastAsia="Palatino Linotype" w:hAnsi="Palatino Linotype" w:cs="Palatino Linotype"/>
          <w:b/>
          <w:bCs/>
        </w:rPr>
        <w:t>EL</w:t>
      </w:r>
      <w:r w:rsidRPr="00985300">
        <w:rPr>
          <w:rFonts w:ascii="Palatino Linotype" w:eastAsia="Palatino Linotype" w:hAnsi="Palatino Linotype" w:cs="Palatino Linotype"/>
        </w:rPr>
        <w:t xml:space="preserve"> </w:t>
      </w:r>
      <w:r w:rsidRPr="00985300">
        <w:rPr>
          <w:rFonts w:ascii="Palatino Linotype" w:eastAsia="Palatino Linotype" w:hAnsi="Palatino Linotype" w:cs="Palatino Linotype"/>
          <w:b/>
          <w:bCs/>
        </w:rPr>
        <w:t>SUJETO OBLIGADO</w:t>
      </w:r>
      <w:r w:rsidRPr="0098530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985300">
        <w:rPr>
          <w:rFonts w:ascii="Palatino Linotype" w:eastAsia="Palatino Linotype" w:hAnsi="Palatino Linotype" w:cs="Palatino Linotype"/>
          <w:vertAlign w:val="superscript"/>
        </w:rPr>
        <w:footnoteReference w:id="12"/>
      </w:r>
      <w:r w:rsidRPr="0098530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85300">
        <w:rPr>
          <w:rFonts w:ascii="Palatino Linotype" w:eastAsia="Palatino Linotype" w:hAnsi="Palatino Linotype" w:cs="Palatino Linotype"/>
          <w:vertAlign w:val="superscript"/>
        </w:rPr>
        <w:footnoteReference w:id="13"/>
      </w:r>
      <w:r w:rsidRPr="00985300">
        <w:rPr>
          <w:rFonts w:ascii="Palatino Linotype" w:eastAsia="Palatino Linotype" w:hAnsi="Palatino Linotype" w:cs="Palatino Linotype"/>
        </w:rPr>
        <w:t>.</w:t>
      </w:r>
    </w:p>
    <w:p w:rsidR="002D485F" w:rsidRPr="00985300" w:rsidRDefault="002D485F">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Por lo anteriormente señalado, se advierte que el </w:t>
      </w:r>
      <w:r w:rsidRPr="00985300">
        <w:rPr>
          <w:rFonts w:ascii="Palatino Linotype" w:eastAsia="Palatino Linotype" w:hAnsi="Palatino Linotype" w:cs="Palatino Linotype"/>
          <w:b/>
          <w:bCs/>
          <w:color w:val="000000"/>
        </w:rPr>
        <w:t>SUJETO OBLIGADO</w:t>
      </w:r>
      <w:r w:rsidRPr="00985300">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fundadas las razones o motivos de inconformidad hechos valer por el </w:t>
      </w:r>
      <w:r w:rsidRPr="00985300">
        <w:rPr>
          <w:rFonts w:ascii="Palatino Linotype" w:eastAsia="Palatino Linotype" w:hAnsi="Palatino Linotype" w:cs="Palatino Linotype"/>
          <w:b/>
          <w:bCs/>
          <w:color w:val="000000"/>
        </w:rPr>
        <w:t>RECURRENTE</w:t>
      </w:r>
      <w:r w:rsidRPr="00985300">
        <w:rPr>
          <w:rFonts w:ascii="Palatino Linotype" w:eastAsia="Palatino Linotype" w:hAnsi="Palatino Linotype" w:cs="Palatino Linotype"/>
          <w:color w:val="000000"/>
        </w:rPr>
        <w:t xml:space="preserve"> dentro del recurso de revisión </w:t>
      </w:r>
      <w:r w:rsidRPr="00985300">
        <w:rPr>
          <w:rFonts w:ascii="Palatino Linotype" w:eastAsia="Palatino Linotype" w:hAnsi="Palatino Linotype" w:cs="Palatino Linotype"/>
          <w:b/>
          <w:bCs/>
          <w:color w:val="000000"/>
        </w:rPr>
        <w:t>9208/INFOEM/IP/RR/2025</w:t>
      </w:r>
      <w:r w:rsidRPr="00985300">
        <w:rPr>
          <w:rFonts w:ascii="Palatino Linotype" w:eastAsia="Palatino Linotype" w:hAnsi="Palatino Linotype" w:cs="Palatino Linotype"/>
          <w:color w:val="000000"/>
        </w:rPr>
        <w:t xml:space="preserve">; por ello, y con fundamento en la fracción III del numeral 186 de la Ley de Transparencia y Acceso a la </w:t>
      </w:r>
      <w:r w:rsidRPr="00985300">
        <w:rPr>
          <w:rFonts w:ascii="Palatino Linotype" w:eastAsia="Palatino Linotype" w:hAnsi="Palatino Linotype" w:cs="Palatino Linotype"/>
          <w:color w:val="000000"/>
        </w:rPr>
        <w:lastRenderedPageBreak/>
        <w:t xml:space="preserve">Información Pública del Estado de México y Municipios, se </w:t>
      </w:r>
      <w:r w:rsidRPr="00985300">
        <w:rPr>
          <w:rFonts w:ascii="Palatino Linotype" w:eastAsia="Palatino Linotype" w:hAnsi="Palatino Linotype" w:cs="Palatino Linotype"/>
          <w:b/>
          <w:bCs/>
          <w:color w:val="000000"/>
        </w:rPr>
        <w:t>MODIFICA</w:t>
      </w:r>
      <w:r w:rsidRPr="00985300">
        <w:rPr>
          <w:rFonts w:ascii="Palatino Linotype" w:eastAsia="Palatino Linotype" w:hAnsi="Palatino Linotype" w:cs="Palatino Linotype"/>
          <w:color w:val="000000"/>
        </w:rPr>
        <w:t xml:space="preserve"> la respuesta del Sujeto Obligado. </w:t>
      </w:r>
    </w:p>
    <w:p w:rsidR="002D485F" w:rsidRPr="00985300" w:rsidRDefault="002D485F">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D485F" w:rsidRPr="00985300" w:rsidRDefault="00F36AD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QUINTO. De la versión pública.</w:t>
      </w:r>
    </w:p>
    <w:p w:rsidR="002D485F" w:rsidRPr="00985300" w:rsidRDefault="00F36AD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Debe destacarse que, debido a la naturaleza de la información solicitada</w:t>
      </w:r>
      <w:r w:rsidRPr="00985300">
        <w:rPr>
          <w:rFonts w:ascii="Palatino Linotype" w:eastAsia="Palatino Linotype" w:hAnsi="Palatino Linotype" w:cs="Palatino Linotype"/>
          <w:b/>
          <w:bCs/>
          <w:color w:val="000000"/>
        </w:rPr>
        <w:t xml:space="preserve"> </w:t>
      </w:r>
      <w:r w:rsidRPr="00985300">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2D485F" w:rsidRPr="00985300" w:rsidRDefault="002D48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rsidR="002D485F" w:rsidRPr="00985300" w:rsidRDefault="002D48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0"/>
        <w:tblW w:w="977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2"/>
        <w:gridCol w:w="6804"/>
      </w:tblGrid>
      <w:tr w:rsidR="002D485F" w:rsidRPr="00985300" w:rsidTr="005732CD">
        <w:tc>
          <w:tcPr>
            <w:tcW w:w="2972" w:type="dxa"/>
          </w:tcPr>
          <w:p w:rsidR="002D485F" w:rsidRPr="00985300" w:rsidRDefault="00F36AD2">
            <w:pPr>
              <w:spacing w:line="360" w:lineRule="auto"/>
              <w:rPr>
                <w:rFonts w:ascii="Palatino Linotype" w:eastAsia="Palatino Linotype" w:hAnsi="Palatino Linotype" w:cs="Palatino Linotype"/>
              </w:rPr>
            </w:pPr>
            <w:r w:rsidRPr="00985300">
              <w:rPr>
                <w:rFonts w:ascii="Palatino Linotype" w:eastAsia="Palatino Linotype" w:hAnsi="Palatino Linotype" w:cs="Palatino Linotype"/>
              </w:rPr>
              <w:t>a) Requisitos previos.</w:t>
            </w:r>
          </w:p>
        </w:tc>
        <w:tc>
          <w:tcPr>
            <w:tcW w:w="6804" w:type="dxa"/>
          </w:tcPr>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Al hacerlo tienen que precisar de qué información se trata, señalando el supuesto de clasificación (confidencialidad o reserva).</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lastRenderedPageBreak/>
              <w:t>Además, se debe señalar el procedimiento, de los tres que establecen los artículos 132 y 106 de la Ley Estatal y General, respectivamente.</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985300">
              <w:rPr>
                <w:rFonts w:ascii="Palatino Linotype" w:eastAsia="Palatino Linotype" w:hAnsi="Palatino Linotype" w:cs="Palatino Linotype"/>
                <w:u w:val="single"/>
              </w:rPr>
              <w:t xml:space="preserve">no se puede hacer un acuerdo para clasificar de manera general todos los documentos de un expediente o área,  </w:t>
            </w:r>
            <w:r w:rsidRPr="00985300">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2D485F" w:rsidRPr="00985300" w:rsidTr="005732CD">
        <w:tc>
          <w:tcPr>
            <w:tcW w:w="2972" w:type="dxa"/>
          </w:tcPr>
          <w:p w:rsidR="002D485F" w:rsidRPr="00985300" w:rsidRDefault="00F36AD2">
            <w:pPr>
              <w:spacing w:line="360" w:lineRule="auto"/>
              <w:rPr>
                <w:rFonts w:ascii="Palatino Linotype" w:eastAsia="Palatino Linotype" w:hAnsi="Palatino Linotype" w:cs="Palatino Linotype"/>
              </w:rPr>
            </w:pPr>
            <w:r w:rsidRPr="00985300">
              <w:rPr>
                <w:rFonts w:ascii="Palatino Linotype" w:eastAsia="Palatino Linotype" w:hAnsi="Palatino Linotype" w:cs="Palatino Linotype"/>
              </w:rPr>
              <w:lastRenderedPageBreak/>
              <w:t>b) Supuestos de clasificación.</w:t>
            </w:r>
          </w:p>
        </w:tc>
        <w:tc>
          <w:tcPr>
            <w:tcW w:w="6804" w:type="dxa"/>
          </w:tcPr>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lastRenderedPageBreak/>
              <w:t xml:space="preserve">El </w:t>
            </w:r>
            <w:r w:rsidRPr="00985300">
              <w:rPr>
                <w:rFonts w:ascii="Palatino Linotype" w:eastAsia="Palatino Linotype" w:hAnsi="Palatino Linotype" w:cs="Palatino Linotype"/>
                <w:b/>
                <w:bCs/>
              </w:rPr>
              <w:t>SUJETO OBLIGADO</w:t>
            </w:r>
            <w:r w:rsidRPr="00985300">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D485F" w:rsidRPr="00985300" w:rsidTr="005732CD">
        <w:tc>
          <w:tcPr>
            <w:tcW w:w="2972" w:type="dxa"/>
          </w:tcPr>
          <w:p w:rsidR="002D485F" w:rsidRPr="00985300" w:rsidRDefault="00F36AD2">
            <w:pPr>
              <w:spacing w:line="360" w:lineRule="auto"/>
              <w:rPr>
                <w:rFonts w:ascii="Palatino Linotype" w:eastAsia="Palatino Linotype" w:hAnsi="Palatino Linotype" w:cs="Palatino Linotype"/>
              </w:rPr>
            </w:pPr>
            <w:r w:rsidRPr="00985300">
              <w:rPr>
                <w:rFonts w:ascii="Palatino Linotype" w:eastAsia="Palatino Linotype" w:hAnsi="Palatino Linotype" w:cs="Palatino Linotype"/>
              </w:rPr>
              <w:lastRenderedPageBreak/>
              <w:t>c) Formalidades para emitir el acuerdo de clasificación.</w:t>
            </w:r>
          </w:p>
        </w:tc>
        <w:tc>
          <w:tcPr>
            <w:tcW w:w="6804" w:type="dxa"/>
          </w:tcPr>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Es necesario que </w:t>
            </w:r>
            <w:r w:rsidRPr="00985300">
              <w:rPr>
                <w:rFonts w:ascii="Palatino Linotype" w:eastAsia="Palatino Linotype" w:hAnsi="Palatino Linotype" w:cs="Palatino Linotype"/>
                <w:b/>
                <w:bCs/>
                <w:u w:val="single"/>
              </w:rPr>
              <w:t>el acto reúna con los requisitos elementales</w:t>
            </w:r>
            <w:r w:rsidRPr="00985300">
              <w:rPr>
                <w:rFonts w:ascii="Palatino Linotype" w:eastAsia="Palatino Linotype" w:hAnsi="Palatino Linotype" w:cs="Palatino Linotype"/>
              </w:rPr>
              <w:t>, entre ellos, que la autoridad que va a emitir el acto de autoridad sea la legalmente facultada para ello.</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D485F" w:rsidRPr="00985300" w:rsidTr="005732CD">
        <w:tc>
          <w:tcPr>
            <w:tcW w:w="2972" w:type="dxa"/>
          </w:tcPr>
          <w:p w:rsidR="002D485F" w:rsidRPr="00985300" w:rsidRDefault="002D485F">
            <w:pPr>
              <w:spacing w:line="360" w:lineRule="auto"/>
              <w:rPr>
                <w:rFonts w:ascii="Palatino Linotype" w:eastAsia="Palatino Linotype" w:hAnsi="Palatino Linotype" w:cs="Palatino Linotype"/>
              </w:rPr>
            </w:pP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d) Requisitos de fondo del acuerdo de clasificación. </w:t>
            </w:r>
          </w:p>
        </w:tc>
        <w:tc>
          <w:tcPr>
            <w:tcW w:w="6804" w:type="dxa"/>
          </w:tcPr>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w:t>
            </w:r>
            <w:r w:rsidRPr="00985300">
              <w:rPr>
                <w:rFonts w:ascii="Palatino Linotype" w:eastAsia="Palatino Linotype" w:hAnsi="Palatino Linotype" w:cs="Palatino Linotype"/>
              </w:rPr>
              <w:lastRenderedPageBreak/>
              <w:t xml:space="preserve">otro. Ahora, en esta parte del procedimiento, que se desahoga en sede del Comité de Transparencia, la ley señala que la carga de la prueba, para justificar las restricciones, corresponde a los </w:t>
            </w:r>
            <w:r w:rsidRPr="00985300">
              <w:rPr>
                <w:rFonts w:ascii="Palatino Linotype" w:eastAsia="Palatino Linotype" w:hAnsi="Palatino Linotype" w:cs="Palatino Linotype"/>
                <w:b/>
                <w:bCs/>
              </w:rPr>
              <w:t>Sujetos Obligados</w:t>
            </w:r>
            <w:r w:rsidRPr="00985300">
              <w:rPr>
                <w:rFonts w:ascii="Palatino Linotype" w:eastAsia="Palatino Linotype" w:hAnsi="Palatino Linotype" w:cs="Palatino Linotype"/>
              </w:rPr>
              <w:t xml:space="preserve">, por lo que deberán fundar y motivar debidamente la clasificación. </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De lo anterior, se desprende que para una correcta </w:t>
            </w:r>
            <w:r w:rsidRPr="00985300">
              <w:rPr>
                <w:rFonts w:ascii="Palatino Linotype" w:eastAsia="Palatino Linotype" w:hAnsi="Palatino Linotype" w:cs="Palatino Linotype"/>
                <w:b/>
                <w:bCs/>
              </w:rPr>
              <w:t>clasificación total o parcial</w:t>
            </w:r>
            <w:r w:rsidRPr="00985300">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ese mismo sentido, el numeral trigésimo tercero fracción V de los Lineamientos Generales, precisa que para motivar la </w:t>
            </w:r>
            <w:r w:rsidRPr="00985300">
              <w:rPr>
                <w:rFonts w:ascii="Palatino Linotype" w:eastAsia="Palatino Linotype" w:hAnsi="Palatino Linotype" w:cs="Palatino Linotype"/>
              </w:rPr>
              <w:lastRenderedPageBreak/>
              <w:t>clasificación se deben acreditar las circunstancias de tiempo, modo y lugar.</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Ahora bien, </w:t>
            </w:r>
            <w:r w:rsidRPr="00985300">
              <w:rPr>
                <w:rFonts w:ascii="Palatino Linotype" w:eastAsia="Palatino Linotype" w:hAnsi="Palatino Linotype" w:cs="Palatino Linotype"/>
                <w:b/>
                <w:bCs/>
                <w:u w:val="single"/>
              </w:rPr>
              <w:t>para cada caso además de fundar y motivar</w:t>
            </w:r>
            <w:r w:rsidRPr="00985300">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D485F" w:rsidRPr="00985300" w:rsidTr="005732CD">
        <w:tc>
          <w:tcPr>
            <w:tcW w:w="2972" w:type="dxa"/>
          </w:tcPr>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lastRenderedPageBreak/>
              <w:t xml:space="preserve">e) Condiciones especiales de la clasificación de la información como confidencial. </w:t>
            </w:r>
          </w:p>
          <w:p w:rsidR="002D485F" w:rsidRPr="00985300" w:rsidRDefault="002D485F">
            <w:pPr>
              <w:spacing w:line="360" w:lineRule="auto"/>
              <w:rPr>
                <w:rFonts w:ascii="Palatino Linotype" w:eastAsia="Palatino Linotype" w:hAnsi="Palatino Linotype" w:cs="Palatino Linotype"/>
              </w:rPr>
            </w:pPr>
          </w:p>
        </w:tc>
        <w:tc>
          <w:tcPr>
            <w:tcW w:w="6804" w:type="dxa"/>
          </w:tcPr>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D485F" w:rsidRPr="00985300" w:rsidRDefault="00F36AD2">
            <w:pPr>
              <w:spacing w:line="360" w:lineRule="auto"/>
              <w:rPr>
                <w:rFonts w:ascii="Palatino Linotype" w:eastAsia="Palatino Linotype" w:hAnsi="Palatino Linotype" w:cs="Palatino Linotype"/>
              </w:rPr>
            </w:pPr>
            <w:r w:rsidRPr="00985300">
              <w:rPr>
                <w:rFonts w:ascii="Palatino Linotype" w:eastAsia="Palatino Linotype" w:hAnsi="Palatino Linotype" w:cs="Palatino Linotype"/>
              </w:rPr>
              <w:t xml:space="preserve">Pero si la información que se pretende clasificar como confidencial no se encuentra en los supuestos de los artículos señalados y es posible, se deberá consultar al titular de los datos si permite o no el acceso. De no ser posible, la </w:t>
            </w:r>
            <w:r w:rsidRPr="00985300">
              <w:rPr>
                <w:rFonts w:ascii="Palatino Linotype" w:eastAsia="Palatino Linotype" w:hAnsi="Palatino Linotype" w:cs="Palatino Linotype"/>
              </w:rPr>
              <w:lastRenderedPageBreak/>
              <w:t>realización de la consulta, procede, fundando y motivando, la clasificación.</w:t>
            </w:r>
          </w:p>
        </w:tc>
      </w:tr>
    </w:tbl>
    <w:p w:rsidR="002D485F" w:rsidRPr="00985300" w:rsidRDefault="002D485F">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D485F" w:rsidRPr="00985300" w:rsidRDefault="002D48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485F" w:rsidRPr="00985300" w:rsidRDefault="00F36AD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 xml:space="preserve">Por lo anteriormente expuesto y fundado, este </w:t>
      </w:r>
      <w:r w:rsidRPr="00985300">
        <w:rPr>
          <w:rFonts w:ascii="Palatino Linotype" w:eastAsia="Palatino Linotype" w:hAnsi="Palatino Linotype" w:cs="Palatino Linotype"/>
          <w:b/>
          <w:bCs/>
          <w:color w:val="000000"/>
        </w:rPr>
        <w:t>ÓRGANO GARANTE</w:t>
      </w:r>
      <w:r w:rsidRPr="00985300">
        <w:rPr>
          <w:rFonts w:ascii="Palatino Linotype" w:eastAsia="Palatino Linotype" w:hAnsi="Palatino Linotype" w:cs="Palatino Linotype"/>
          <w:color w:val="000000"/>
        </w:rPr>
        <w:t xml:space="preserve"> emite los siguientes:</w:t>
      </w:r>
    </w:p>
    <w:p w:rsidR="002D485F" w:rsidRPr="00985300" w:rsidRDefault="00F36AD2">
      <w:pPr>
        <w:keepNext/>
        <w:keepLines/>
        <w:spacing w:line="360" w:lineRule="auto"/>
        <w:jc w:val="center"/>
        <w:rPr>
          <w:rFonts w:ascii="Palatino Linotype" w:eastAsia="Palatino Linotype" w:hAnsi="Palatino Linotype" w:cs="Palatino Linotype"/>
          <w:b/>
          <w:bCs/>
          <w:color w:val="000000"/>
        </w:rPr>
      </w:pPr>
      <w:bookmarkStart w:id="8" w:name="_heading=h.yn3xjrzfdnf" w:colFirst="0" w:colLast="0"/>
      <w:bookmarkEnd w:id="8"/>
      <w:r w:rsidRPr="00985300">
        <w:rPr>
          <w:rFonts w:ascii="Palatino Linotype" w:eastAsia="Palatino Linotype" w:hAnsi="Palatino Linotype" w:cs="Palatino Linotype"/>
          <w:b/>
          <w:bCs/>
          <w:color w:val="000000"/>
        </w:rPr>
        <w:t>R E S O L U T I V O S</w:t>
      </w:r>
    </w:p>
    <w:p w:rsidR="002D485F" w:rsidRPr="00985300" w:rsidRDefault="002D485F">
      <w:pPr>
        <w:keepNext/>
        <w:keepLines/>
        <w:spacing w:line="360" w:lineRule="auto"/>
        <w:jc w:val="center"/>
        <w:rPr>
          <w:rFonts w:ascii="Palatino Linotype" w:eastAsia="Palatino Linotype" w:hAnsi="Palatino Linotype" w:cs="Palatino Linotype"/>
          <w:b/>
          <w:bCs/>
          <w:color w:val="000000"/>
        </w:rPr>
      </w:pPr>
    </w:p>
    <w:p w:rsidR="002D485F" w:rsidRPr="00985300" w:rsidRDefault="00F36AD2">
      <w:pPr>
        <w:spacing w:line="360" w:lineRule="auto"/>
        <w:ind w:right="48"/>
        <w:jc w:val="both"/>
        <w:rPr>
          <w:rFonts w:ascii="Palatino Linotype" w:eastAsia="Palatino Linotype" w:hAnsi="Palatino Linotype" w:cs="Palatino Linotype"/>
        </w:rPr>
      </w:pPr>
      <w:r w:rsidRPr="00985300">
        <w:rPr>
          <w:rFonts w:ascii="Palatino Linotype" w:eastAsia="Palatino Linotype" w:hAnsi="Palatino Linotype" w:cs="Palatino Linotype"/>
          <w:b/>
          <w:bCs/>
        </w:rPr>
        <w:t xml:space="preserve">PRIMERO. </w:t>
      </w:r>
      <w:r w:rsidRPr="00985300">
        <w:rPr>
          <w:rFonts w:ascii="Palatino Linotype" w:eastAsia="Palatino Linotype" w:hAnsi="Palatino Linotype" w:cs="Palatino Linotype"/>
        </w:rPr>
        <w:t>Resultan fundadas las</w:t>
      </w:r>
      <w:r w:rsidRPr="00985300">
        <w:rPr>
          <w:rFonts w:ascii="Palatino Linotype" w:eastAsia="Palatino Linotype" w:hAnsi="Palatino Linotype" w:cs="Palatino Linotype"/>
          <w:b/>
          <w:bCs/>
        </w:rPr>
        <w:t xml:space="preserve"> </w:t>
      </w:r>
      <w:r w:rsidRPr="00985300">
        <w:rPr>
          <w:rFonts w:ascii="Palatino Linotype" w:eastAsia="Palatino Linotype" w:hAnsi="Palatino Linotype" w:cs="Palatino Linotype"/>
        </w:rPr>
        <w:t xml:space="preserve">razones o motivos de inconformidad hechos valer en el recurso de revisión </w:t>
      </w:r>
      <w:r w:rsidRPr="00985300">
        <w:rPr>
          <w:rFonts w:ascii="Palatino Linotype" w:eastAsia="Palatino Linotype" w:hAnsi="Palatino Linotype" w:cs="Palatino Linotype"/>
          <w:b/>
          <w:bCs/>
        </w:rPr>
        <w:t xml:space="preserve">09208/INFOEM/IP/RR/2025, </w:t>
      </w:r>
      <w:r w:rsidRPr="00985300">
        <w:rPr>
          <w:rFonts w:ascii="Palatino Linotype" w:eastAsia="Palatino Linotype" w:hAnsi="Palatino Linotype" w:cs="Palatino Linotype"/>
        </w:rPr>
        <w:t xml:space="preserve">en términos del </w:t>
      </w:r>
      <w:r w:rsidRPr="00985300">
        <w:rPr>
          <w:rFonts w:ascii="Palatino Linotype" w:eastAsia="Palatino Linotype" w:hAnsi="Palatino Linotype" w:cs="Palatino Linotype"/>
          <w:b/>
          <w:bCs/>
        </w:rPr>
        <w:t>Considerando</w:t>
      </w:r>
      <w:r w:rsidRPr="00985300">
        <w:rPr>
          <w:rFonts w:ascii="Palatino Linotype" w:eastAsia="Palatino Linotype" w:hAnsi="Palatino Linotype" w:cs="Palatino Linotype"/>
        </w:rPr>
        <w:t xml:space="preserve"> </w:t>
      </w:r>
      <w:r w:rsidRPr="00985300">
        <w:rPr>
          <w:rFonts w:ascii="Palatino Linotype" w:eastAsia="Palatino Linotype" w:hAnsi="Palatino Linotype" w:cs="Palatino Linotype"/>
          <w:b/>
          <w:bCs/>
        </w:rPr>
        <w:t xml:space="preserve">CUARTO y QUINTO  </w:t>
      </w:r>
      <w:r w:rsidRPr="00985300">
        <w:rPr>
          <w:rFonts w:ascii="Palatino Linotype" w:eastAsia="Palatino Linotype" w:hAnsi="Palatino Linotype" w:cs="Palatino Linotype"/>
        </w:rPr>
        <w:t>de la presente resolución.</w:t>
      </w:r>
    </w:p>
    <w:p w:rsidR="002D485F" w:rsidRPr="00985300" w:rsidRDefault="002D485F">
      <w:pPr>
        <w:spacing w:line="360" w:lineRule="auto"/>
        <w:ind w:right="48"/>
        <w:jc w:val="both"/>
        <w:rPr>
          <w:rFonts w:ascii="Palatino Linotype" w:eastAsia="Palatino Linotype" w:hAnsi="Palatino Linotype" w:cs="Palatino Linotype"/>
        </w:rPr>
      </w:pPr>
    </w:p>
    <w:p w:rsidR="002D485F" w:rsidRPr="00985300" w:rsidRDefault="00F36AD2">
      <w:pPr>
        <w:spacing w:line="360" w:lineRule="auto"/>
        <w:ind w:right="48"/>
        <w:jc w:val="both"/>
        <w:rPr>
          <w:rFonts w:ascii="Palatino Linotype" w:eastAsia="Palatino Linotype" w:hAnsi="Palatino Linotype" w:cs="Palatino Linotype"/>
        </w:rPr>
      </w:pPr>
      <w:bookmarkStart w:id="9" w:name="_heading=h.42qsc61fiudi" w:colFirst="0" w:colLast="0"/>
      <w:bookmarkEnd w:id="9"/>
      <w:r w:rsidRPr="00985300">
        <w:rPr>
          <w:rFonts w:ascii="Palatino Linotype" w:eastAsia="Palatino Linotype" w:hAnsi="Palatino Linotype" w:cs="Palatino Linotype"/>
          <w:b/>
          <w:bCs/>
        </w:rPr>
        <w:t>SEGUNDO.</w:t>
      </w:r>
      <w:r w:rsidRPr="00985300">
        <w:rPr>
          <w:rFonts w:ascii="Palatino Linotype" w:eastAsia="Palatino Linotype" w:hAnsi="Palatino Linotype" w:cs="Palatino Linotype"/>
          <w:color w:val="2F5496"/>
        </w:rPr>
        <w:t xml:space="preserve"> </w:t>
      </w:r>
      <w:r w:rsidRPr="00985300">
        <w:rPr>
          <w:rFonts w:ascii="Palatino Linotype" w:eastAsia="Palatino Linotype" w:hAnsi="Palatino Linotype" w:cs="Palatino Linotype"/>
        </w:rPr>
        <w:t>Se</w:t>
      </w:r>
      <w:r w:rsidRPr="00985300">
        <w:rPr>
          <w:rFonts w:ascii="Palatino Linotype" w:eastAsia="Palatino Linotype" w:hAnsi="Palatino Linotype" w:cs="Palatino Linotype"/>
          <w:b/>
          <w:bCs/>
        </w:rPr>
        <w:t xml:space="preserve"> MODIFICA </w:t>
      </w:r>
      <w:r w:rsidRPr="00985300">
        <w:rPr>
          <w:rFonts w:ascii="Palatino Linotype" w:eastAsia="Palatino Linotype" w:hAnsi="Palatino Linotype" w:cs="Palatino Linotype"/>
        </w:rPr>
        <w:t xml:space="preserve">la respuesta emitida por la </w:t>
      </w:r>
      <w:r w:rsidRPr="00985300">
        <w:rPr>
          <w:rFonts w:ascii="Palatino Linotype" w:eastAsia="Palatino Linotype" w:hAnsi="Palatino Linotype" w:cs="Palatino Linotype"/>
          <w:b/>
          <w:bCs/>
        </w:rPr>
        <w:t xml:space="preserve">Secretaría del Campo </w:t>
      </w:r>
      <w:r w:rsidRPr="00985300">
        <w:rPr>
          <w:rFonts w:ascii="Palatino Linotype" w:eastAsia="Palatino Linotype" w:hAnsi="Palatino Linotype" w:cs="Palatino Linotype"/>
        </w:rPr>
        <w:t>y se</w:t>
      </w:r>
      <w:r w:rsidRPr="00985300">
        <w:rPr>
          <w:rFonts w:ascii="Palatino Linotype" w:eastAsia="Palatino Linotype" w:hAnsi="Palatino Linotype" w:cs="Palatino Linotype"/>
          <w:b/>
          <w:bCs/>
        </w:rPr>
        <w:t xml:space="preserve"> ORDENA </w:t>
      </w:r>
      <w:r w:rsidRPr="00985300">
        <w:rPr>
          <w:rFonts w:ascii="Palatino Linotype" w:eastAsia="Palatino Linotype" w:hAnsi="Palatino Linotype" w:cs="Palatino Linotype"/>
        </w:rPr>
        <w:t>entregar vía Sistema de Accesos a la Información Mexiquense (SAIMEX), previa búsqueda exhaustiva  en versión pública, la siguiente información:</w:t>
      </w:r>
    </w:p>
    <w:p w:rsidR="002D485F" w:rsidRPr="00985300" w:rsidRDefault="002D485F">
      <w:pPr>
        <w:spacing w:line="360" w:lineRule="auto"/>
        <w:ind w:right="48"/>
        <w:jc w:val="both"/>
        <w:rPr>
          <w:rFonts w:ascii="Palatino Linotype" w:eastAsia="Palatino Linotype" w:hAnsi="Palatino Linotype" w:cs="Palatino Linotype"/>
        </w:rPr>
      </w:pPr>
    </w:p>
    <w:p w:rsidR="002D485F" w:rsidRPr="00985300" w:rsidRDefault="00F36AD2">
      <w:pPr>
        <w:spacing w:line="360" w:lineRule="auto"/>
        <w:ind w:right="539"/>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Del Programa “Transformando el Campo” del uno de enero al 15 de julio de 2025</w:t>
      </w:r>
    </w:p>
    <w:p w:rsidR="002D485F" w:rsidRPr="00985300" w:rsidRDefault="00F36AD2">
      <w:pPr>
        <w:numPr>
          <w:ilvl w:val="0"/>
          <w:numId w:val="5"/>
        </w:numPr>
        <w:pBdr>
          <w:top w:val="nil"/>
          <w:left w:val="nil"/>
          <w:bottom w:val="nil"/>
          <w:right w:val="nil"/>
          <w:between w:val="nil"/>
        </w:pBdr>
        <w:spacing w:line="360" w:lineRule="auto"/>
        <w:ind w:right="539"/>
        <w:jc w:val="both"/>
        <w:rPr>
          <w:rFonts w:ascii="Century Gothic" w:eastAsia="Century Gothic" w:hAnsi="Century Gothic" w:cs="Century Gothic"/>
          <w:b/>
          <w:bCs/>
          <w:color w:val="000000"/>
        </w:rPr>
      </w:pPr>
      <w:r w:rsidRPr="00985300">
        <w:rPr>
          <w:rFonts w:ascii="Palatino Linotype" w:eastAsia="Palatino Linotype" w:hAnsi="Palatino Linotype" w:cs="Palatino Linotype"/>
          <w:b/>
          <w:bCs/>
          <w:color w:val="000000"/>
        </w:rPr>
        <w:t>De las solicitudes autorizadas que ya se les haya entregado el apoyo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Century Gothic" w:eastAsia="Century Gothic" w:hAnsi="Century Gothic" w:cs="Century Gothic"/>
          <w:color w:val="000000"/>
        </w:rPr>
      </w:pPr>
      <w:r w:rsidRPr="00985300">
        <w:rPr>
          <w:rFonts w:ascii="Palatino Linotype" w:eastAsia="Palatino Linotype" w:hAnsi="Palatino Linotype" w:cs="Palatino Linotype"/>
          <w:color w:val="000000"/>
        </w:rPr>
        <w:t>Folio de la solicitud</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Concepto solicitado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Century Gothic" w:eastAsia="Century Gothic" w:hAnsi="Century Gothic" w:cs="Century Gothic"/>
          <w:color w:val="000000"/>
        </w:rPr>
      </w:pPr>
      <w:r w:rsidRPr="00985300">
        <w:rPr>
          <w:rFonts w:ascii="Palatino Linotype" w:eastAsia="Palatino Linotype" w:hAnsi="Palatino Linotype" w:cs="Palatino Linotype"/>
          <w:color w:val="000000"/>
        </w:rPr>
        <w:lastRenderedPageBreak/>
        <w:t>Nombre del Proveedor designado y autorizado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Monto del Apoyo (Aportación SECAMPO)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Monto de Aportación por cada beneficiario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Delegaciones</w:t>
      </w:r>
    </w:p>
    <w:p w:rsidR="002D485F" w:rsidRPr="00985300" w:rsidRDefault="00F36AD2">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De las solicitudes autorizadas que aún no se les entrega el apoyo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Nombre del Proveedor designado y autorizado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Precio del bien o servicio de acuerdo al proveedor designado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Monto del Apoyo (aportación SECAMPO)</w:t>
      </w:r>
    </w:p>
    <w:p w:rsidR="002D485F" w:rsidRPr="00985300" w:rsidRDefault="002D485F">
      <w:pPr>
        <w:pBdr>
          <w:top w:val="nil"/>
          <w:left w:val="nil"/>
          <w:bottom w:val="nil"/>
          <w:right w:val="nil"/>
          <w:between w:val="nil"/>
        </w:pBdr>
        <w:spacing w:line="360" w:lineRule="auto"/>
        <w:ind w:left="1560" w:right="539"/>
        <w:jc w:val="both"/>
        <w:rPr>
          <w:rFonts w:ascii="Palatino Linotype" w:eastAsia="Palatino Linotype" w:hAnsi="Palatino Linotype" w:cs="Palatino Linotype"/>
          <w:color w:val="000000"/>
        </w:rPr>
      </w:pPr>
    </w:p>
    <w:p w:rsidR="002D485F" w:rsidRPr="00985300" w:rsidRDefault="00F36AD2">
      <w:pPr>
        <w:spacing w:line="360" w:lineRule="auto"/>
        <w:ind w:right="539"/>
        <w:jc w:val="both"/>
        <w:rPr>
          <w:rFonts w:ascii="Palatino Linotype" w:eastAsia="Palatino Linotype" w:hAnsi="Palatino Linotype" w:cs="Palatino Linotype"/>
          <w:b/>
          <w:bCs/>
        </w:rPr>
      </w:pPr>
      <w:r w:rsidRPr="00985300">
        <w:rPr>
          <w:rFonts w:ascii="Palatino Linotype" w:eastAsia="Palatino Linotype" w:hAnsi="Palatino Linotype" w:cs="Palatino Linotype"/>
          <w:b/>
          <w:bCs/>
        </w:rPr>
        <w:t>Del Programa “Por el Rescate del Campo” del uno de enero al 15 de julio de 2025</w:t>
      </w:r>
    </w:p>
    <w:p w:rsidR="002D485F" w:rsidRPr="00985300" w:rsidRDefault="002D485F">
      <w:pPr>
        <w:spacing w:line="360" w:lineRule="auto"/>
        <w:ind w:right="539"/>
        <w:jc w:val="both"/>
        <w:rPr>
          <w:rFonts w:ascii="Palatino Linotype" w:eastAsia="Palatino Linotype" w:hAnsi="Palatino Linotype" w:cs="Palatino Linotype"/>
        </w:rPr>
      </w:pPr>
    </w:p>
    <w:p w:rsidR="002D485F" w:rsidRPr="00985300" w:rsidRDefault="00F36AD2">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000000"/>
        </w:rPr>
      </w:pPr>
      <w:r w:rsidRPr="00985300">
        <w:rPr>
          <w:rFonts w:ascii="Palatino Linotype" w:eastAsia="Palatino Linotype" w:hAnsi="Palatino Linotype" w:cs="Palatino Linotype"/>
          <w:b/>
          <w:bCs/>
          <w:color w:val="000000"/>
        </w:rPr>
        <w:t>De las solicitudes autorizadas que aún no se les entrega el apoyo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Nombre del Proveedor designado y autorizado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Precio del bien o servicio de acuerdo al proveedor designado</w:t>
      </w:r>
    </w:p>
    <w:p w:rsidR="002D485F" w:rsidRPr="00985300" w:rsidRDefault="00F36AD2">
      <w:pPr>
        <w:numPr>
          <w:ilvl w:val="0"/>
          <w:numId w:val="15"/>
        </w:numPr>
        <w:pBdr>
          <w:top w:val="nil"/>
          <w:left w:val="nil"/>
          <w:bottom w:val="nil"/>
          <w:right w:val="nil"/>
          <w:between w:val="nil"/>
        </w:pBdr>
        <w:spacing w:line="360" w:lineRule="auto"/>
        <w:ind w:left="1560"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Delegaciones</w:t>
      </w:r>
    </w:p>
    <w:p w:rsidR="002D485F" w:rsidRPr="00985300" w:rsidRDefault="002D485F">
      <w:pPr>
        <w:spacing w:line="360" w:lineRule="auto"/>
        <w:ind w:left="1560" w:right="539"/>
        <w:jc w:val="both"/>
        <w:rPr>
          <w:rFonts w:ascii="Palatino Linotype" w:eastAsia="Palatino Linotype" w:hAnsi="Palatino Linotype" w:cs="Palatino Linotype"/>
        </w:rPr>
      </w:pPr>
    </w:p>
    <w:p w:rsidR="002D485F" w:rsidRPr="00985300" w:rsidRDefault="00F36AD2">
      <w:pPr>
        <w:numPr>
          <w:ilvl w:val="0"/>
          <w:numId w:val="15"/>
        </w:numPr>
        <w:pBdr>
          <w:top w:val="nil"/>
          <w:left w:val="nil"/>
          <w:bottom w:val="nil"/>
          <w:right w:val="nil"/>
          <w:between w:val="nil"/>
        </w:pBdr>
        <w:spacing w:line="360" w:lineRule="auto"/>
        <w:ind w:left="993"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El o los documentos donde conste el procedimientos y criterios de selección que se establecieron para determinar a los proveedores de las solicitudes autorizadas del Programa</w:t>
      </w:r>
    </w:p>
    <w:p w:rsidR="002D485F" w:rsidRPr="00985300" w:rsidRDefault="002D485F">
      <w:pPr>
        <w:pBdr>
          <w:top w:val="nil"/>
          <w:left w:val="nil"/>
          <w:bottom w:val="nil"/>
          <w:right w:val="nil"/>
          <w:between w:val="nil"/>
        </w:pBdr>
        <w:ind w:left="720"/>
        <w:rPr>
          <w:rFonts w:ascii="Palatino Linotype" w:eastAsia="Palatino Linotype" w:hAnsi="Palatino Linotype" w:cs="Palatino Linotype"/>
          <w:color w:val="000000"/>
        </w:rPr>
      </w:pPr>
    </w:p>
    <w:p w:rsidR="002D485F" w:rsidRPr="00985300" w:rsidRDefault="00F36AD2">
      <w:pPr>
        <w:numPr>
          <w:ilvl w:val="0"/>
          <w:numId w:val="15"/>
        </w:numPr>
        <w:pBdr>
          <w:top w:val="nil"/>
          <w:left w:val="nil"/>
          <w:bottom w:val="nil"/>
          <w:right w:val="nil"/>
          <w:between w:val="nil"/>
        </w:pBdr>
        <w:spacing w:line="360" w:lineRule="auto"/>
        <w:ind w:left="993" w:right="539" w:firstLine="0"/>
        <w:jc w:val="both"/>
        <w:rPr>
          <w:rFonts w:ascii="Palatino Linotype" w:eastAsia="Palatino Linotype" w:hAnsi="Palatino Linotype" w:cs="Palatino Linotype"/>
          <w:color w:val="000000"/>
        </w:rPr>
      </w:pPr>
      <w:r w:rsidRPr="00985300">
        <w:rPr>
          <w:rFonts w:ascii="Palatino Linotype" w:eastAsia="Palatino Linotype" w:hAnsi="Palatino Linotype" w:cs="Palatino Linotype"/>
          <w:color w:val="000000"/>
        </w:rPr>
        <w:t>El o los documentos donde se advierta si el proveedor otorgo algún beneficio (capacitación, mantenimiento, ase</w:t>
      </w:r>
      <w:r w:rsidR="00DB6241" w:rsidRPr="00985300">
        <w:rPr>
          <w:rFonts w:ascii="Palatino Linotype" w:eastAsia="Palatino Linotype" w:hAnsi="Palatino Linotype" w:cs="Palatino Linotype"/>
          <w:color w:val="000000"/>
        </w:rPr>
        <w:t>soría, garantía extendida, etc.</w:t>
      </w:r>
      <w:r w:rsidRPr="00985300">
        <w:rPr>
          <w:rFonts w:ascii="Palatino Linotype" w:eastAsia="Palatino Linotype" w:hAnsi="Palatino Linotype" w:cs="Palatino Linotype"/>
          <w:color w:val="000000"/>
        </w:rPr>
        <w:t>)</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w:t>
      </w:r>
      <w:r w:rsidRPr="00985300">
        <w:rPr>
          <w:rFonts w:ascii="Palatino Linotype" w:eastAsia="Palatino Linotype" w:hAnsi="Palatino Linotype" w:cs="Palatino Linotype"/>
        </w:rPr>
        <w:lastRenderedPageBreak/>
        <w:t>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spacing w:line="360" w:lineRule="auto"/>
        <w:jc w:val="both"/>
        <w:rPr>
          <w:rFonts w:ascii="Palatino Linotype" w:eastAsia="Palatino Linotype" w:hAnsi="Palatino Linotype" w:cs="Palatino Linotype"/>
        </w:rPr>
      </w:pPr>
      <w:r w:rsidRPr="00985300">
        <w:rPr>
          <w:rFonts w:ascii="Palatino Linotype" w:eastAsia="Palatino Linotype" w:hAnsi="Palatino Linotype" w:cs="Palatino Linotype"/>
        </w:rPr>
        <w:t>Para el caso de que la información que se ordena entregar respecto al numeral 14 que se ordena,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rsidR="002D485F" w:rsidRPr="00985300" w:rsidRDefault="002D485F">
      <w:pPr>
        <w:spacing w:line="360" w:lineRule="auto"/>
        <w:jc w:val="both"/>
        <w:rPr>
          <w:rFonts w:ascii="Palatino Linotype" w:eastAsia="Palatino Linotype" w:hAnsi="Palatino Linotype" w:cs="Palatino Linotype"/>
        </w:rPr>
      </w:pPr>
    </w:p>
    <w:p w:rsidR="002D485F" w:rsidRPr="00985300" w:rsidRDefault="00F36AD2">
      <w:pPr>
        <w:tabs>
          <w:tab w:val="left" w:pos="8080"/>
        </w:tabs>
        <w:spacing w:line="360" w:lineRule="auto"/>
        <w:ind w:right="48"/>
        <w:jc w:val="both"/>
        <w:rPr>
          <w:rFonts w:ascii="Palatino Linotype" w:eastAsia="Palatino Linotype" w:hAnsi="Palatino Linotype" w:cs="Palatino Linotype"/>
          <w:color w:val="222222"/>
          <w:highlight w:val="white"/>
        </w:rPr>
      </w:pPr>
      <w:r w:rsidRPr="00985300">
        <w:rPr>
          <w:rFonts w:ascii="Palatino Linotype" w:eastAsia="Palatino Linotype" w:hAnsi="Palatino Linotype" w:cs="Palatino Linotype"/>
          <w:b/>
          <w:bCs/>
        </w:rPr>
        <w:t xml:space="preserve">TERCERO. Notifíquese </w:t>
      </w:r>
      <w:r w:rsidRPr="00985300">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985300">
        <w:rPr>
          <w:rFonts w:ascii="Palatino Linotype" w:eastAsia="Palatino Linotype" w:hAnsi="Palatino Linotype" w:cs="Palatino Linotype"/>
          <w:b/>
        </w:rPr>
        <w:t>dé cumplimiento a lo ordenado dentro del plazo de diez días hábiles</w:t>
      </w:r>
      <w:r w:rsidRPr="00985300">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D485F" w:rsidRPr="00985300" w:rsidRDefault="002D485F">
      <w:pPr>
        <w:tabs>
          <w:tab w:val="left" w:pos="8080"/>
        </w:tabs>
        <w:spacing w:line="360" w:lineRule="auto"/>
        <w:ind w:right="48"/>
        <w:jc w:val="both"/>
        <w:rPr>
          <w:rFonts w:ascii="Palatino Linotype" w:eastAsia="Palatino Linotype" w:hAnsi="Palatino Linotype" w:cs="Palatino Linotype"/>
          <w:color w:val="222222"/>
          <w:highlight w:val="white"/>
        </w:rPr>
      </w:pPr>
    </w:p>
    <w:p w:rsidR="002D485F" w:rsidRPr="00985300" w:rsidRDefault="00F36AD2">
      <w:pPr>
        <w:shd w:val="clear" w:color="auto" w:fill="FFFFFF"/>
        <w:spacing w:line="360" w:lineRule="auto"/>
        <w:ind w:right="48"/>
        <w:jc w:val="both"/>
        <w:rPr>
          <w:rFonts w:ascii="Palatino Linotype" w:eastAsia="Palatino Linotype" w:hAnsi="Palatino Linotype" w:cs="Palatino Linotype"/>
        </w:rPr>
      </w:pPr>
      <w:r w:rsidRPr="00985300">
        <w:rPr>
          <w:rFonts w:ascii="Palatino Linotype" w:eastAsia="Palatino Linotype" w:hAnsi="Palatino Linotype" w:cs="Palatino Linotype"/>
          <w:b/>
          <w:bCs/>
        </w:rPr>
        <w:t>CUARTO. Notifíquese al RECURRENTE</w:t>
      </w:r>
      <w:r w:rsidRPr="00985300">
        <w:rPr>
          <w:rFonts w:ascii="Palatino Linotype" w:eastAsia="Palatino Linotype" w:hAnsi="Palatino Linotype" w:cs="Palatino Linotype"/>
        </w:rPr>
        <w:t xml:space="preserve"> la presente resolución vía SAIMEX.</w:t>
      </w:r>
    </w:p>
    <w:p w:rsidR="002D485F" w:rsidRPr="00985300" w:rsidRDefault="002D485F">
      <w:pPr>
        <w:shd w:val="clear" w:color="auto" w:fill="FFFFFF"/>
        <w:spacing w:line="360" w:lineRule="auto"/>
        <w:ind w:right="48"/>
        <w:jc w:val="both"/>
        <w:rPr>
          <w:rFonts w:ascii="Palatino Linotype" w:eastAsia="Palatino Linotype" w:hAnsi="Palatino Linotype" w:cs="Palatino Linotype"/>
          <w:b/>
          <w:bCs/>
          <w:color w:val="FF0000"/>
        </w:rPr>
      </w:pPr>
    </w:p>
    <w:p w:rsidR="002D485F" w:rsidRPr="00985300" w:rsidRDefault="00F36AD2">
      <w:pPr>
        <w:spacing w:line="360" w:lineRule="auto"/>
        <w:ind w:right="48"/>
        <w:jc w:val="both"/>
        <w:rPr>
          <w:rFonts w:ascii="Palatino Linotype" w:eastAsia="Palatino Linotype" w:hAnsi="Palatino Linotype" w:cs="Palatino Linotype"/>
        </w:rPr>
      </w:pPr>
      <w:r w:rsidRPr="00985300">
        <w:rPr>
          <w:rFonts w:ascii="Palatino Linotype" w:eastAsia="Palatino Linotype" w:hAnsi="Palatino Linotype" w:cs="Palatino Linotype"/>
          <w:b/>
          <w:bCs/>
        </w:rPr>
        <w:t>QUINTO.</w:t>
      </w:r>
      <w:r w:rsidRPr="00985300">
        <w:rPr>
          <w:rFonts w:ascii="Palatino Linotype" w:eastAsia="Palatino Linotype" w:hAnsi="Palatino Linotype" w:cs="Palatino Linotype"/>
        </w:rPr>
        <w:t xml:space="preserve"> Se hace del conocimiento del </w:t>
      </w:r>
      <w:r w:rsidRPr="00985300">
        <w:rPr>
          <w:rFonts w:ascii="Palatino Linotype" w:eastAsia="Palatino Linotype" w:hAnsi="Palatino Linotype" w:cs="Palatino Linotype"/>
          <w:b/>
          <w:bCs/>
        </w:rPr>
        <w:t>RECURRENTE</w:t>
      </w:r>
      <w:r w:rsidRPr="00985300">
        <w:rPr>
          <w:rFonts w:ascii="Palatino Linotype" w:eastAsia="Palatino Linotype" w:hAnsi="Palatino Linotype" w:cs="Palatino Linotype"/>
        </w:rPr>
        <w:t xml:space="preserve"> que de conformidad con lo establecido en el artículo 196 de la Ley de Transparencia y Acceso a la Información Pública </w:t>
      </w:r>
      <w:r w:rsidRPr="00985300">
        <w:rPr>
          <w:rFonts w:ascii="Palatino Linotype" w:eastAsia="Palatino Linotype" w:hAnsi="Palatino Linotype" w:cs="Palatino Linotype"/>
        </w:rPr>
        <w:lastRenderedPageBreak/>
        <w:t>del Estado de México y Municipios, en caso de que considere que la resolución le cause algún perjuicio podrá impugnarla vía juicio de amparo en los términos de las leyes aplicables.</w:t>
      </w:r>
    </w:p>
    <w:p w:rsidR="002D485F" w:rsidRPr="00985300" w:rsidRDefault="002D485F">
      <w:pPr>
        <w:spacing w:line="360" w:lineRule="auto"/>
        <w:ind w:right="48"/>
        <w:jc w:val="both"/>
        <w:rPr>
          <w:rFonts w:ascii="Palatino Linotype" w:eastAsia="Palatino Linotype" w:hAnsi="Palatino Linotype" w:cs="Palatino Linotype"/>
          <w:color w:val="000000"/>
          <w:highlight w:val="white"/>
        </w:rPr>
      </w:pPr>
    </w:p>
    <w:p w:rsidR="002D485F" w:rsidRPr="00985300" w:rsidRDefault="00F36AD2">
      <w:pPr>
        <w:spacing w:line="360" w:lineRule="auto"/>
        <w:ind w:right="48"/>
        <w:jc w:val="both"/>
        <w:rPr>
          <w:rFonts w:ascii="Palatino Linotype" w:eastAsia="Palatino Linotype" w:hAnsi="Palatino Linotype" w:cs="Palatino Linotype"/>
        </w:rPr>
      </w:pPr>
      <w:r w:rsidRPr="00985300">
        <w:rPr>
          <w:rFonts w:ascii="Palatino Linotype" w:eastAsia="Palatino Linotype" w:hAnsi="Palatino Linotype" w:cs="Palatino Linotype"/>
          <w:b/>
          <w:bCs/>
          <w:color w:val="000000"/>
          <w:highlight w:val="white"/>
        </w:rPr>
        <w:t xml:space="preserve">SEXTO. </w:t>
      </w:r>
      <w:r w:rsidRPr="00985300">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D485F" w:rsidRPr="00985300" w:rsidRDefault="002D485F">
      <w:pPr>
        <w:shd w:val="clear" w:color="auto" w:fill="FFFFFF"/>
        <w:spacing w:line="360" w:lineRule="auto"/>
        <w:jc w:val="both"/>
        <w:rPr>
          <w:rFonts w:ascii="Palatino Linotype" w:eastAsia="Palatino Linotype" w:hAnsi="Palatino Linotype" w:cs="Palatino Linotype"/>
        </w:rPr>
      </w:pPr>
    </w:p>
    <w:p w:rsidR="00DB6241" w:rsidRPr="00985300" w:rsidRDefault="00DB6241" w:rsidP="00DB6241">
      <w:pPr>
        <w:spacing w:before="240" w:after="240" w:line="360" w:lineRule="auto"/>
        <w:ind w:firstLine="1"/>
        <w:jc w:val="both"/>
        <w:rPr>
          <w:rFonts w:ascii="Palatino Linotype" w:hAnsi="Palatino Linotype"/>
        </w:rPr>
      </w:pPr>
      <w:bookmarkStart w:id="10" w:name="_heading=h.tmhhji9ocihn" w:colFirst="0" w:colLast="0"/>
      <w:bookmarkStart w:id="11" w:name="_Hlk99014733"/>
      <w:bookmarkEnd w:id="10"/>
      <w:r w:rsidRPr="00985300">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985300">
        <w:rPr>
          <w:rFonts w:ascii="Palatino Linotype" w:hAnsi="Palatino Linotype" w:cs="Palatino Linotype"/>
          <w:color w:val="000000" w:themeColor="text1"/>
        </w:rPr>
        <w:t>ALEXIS TAPIA RAMÍREZ.</w:t>
      </w:r>
    </w:p>
    <w:bookmarkEnd w:id="11"/>
    <w:p w:rsidR="002D485F" w:rsidRPr="00985300" w:rsidRDefault="002D485F">
      <w:pPr>
        <w:rPr>
          <w:rFonts w:ascii="Palatino Linotype" w:eastAsia="Palatino Linotype" w:hAnsi="Palatino Linotype" w:cs="Palatino Linotype"/>
        </w:rPr>
      </w:pPr>
    </w:p>
    <w:p w:rsidR="002D485F" w:rsidRPr="00985300" w:rsidRDefault="002D485F">
      <w:pPr>
        <w:rPr>
          <w:rFonts w:ascii="Palatino Linotype" w:eastAsia="Palatino Linotype" w:hAnsi="Palatino Linotype" w:cs="Palatino Linotype"/>
        </w:rPr>
      </w:pPr>
    </w:p>
    <w:p w:rsidR="002D485F" w:rsidRPr="00985300" w:rsidRDefault="002D485F">
      <w:pPr>
        <w:rPr>
          <w:rFonts w:ascii="Palatino Linotype" w:eastAsia="Palatino Linotype" w:hAnsi="Palatino Linotype" w:cs="Palatino Linotype"/>
        </w:rPr>
      </w:pPr>
    </w:p>
    <w:p w:rsidR="002D485F" w:rsidRPr="00985300" w:rsidRDefault="002D485F">
      <w:pPr>
        <w:rPr>
          <w:rFonts w:ascii="Palatino Linotype" w:eastAsia="Palatino Linotype" w:hAnsi="Palatino Linotype" w:cs="Palatino Linotype"/>
        </w:rPr>
      </w:pPr>
    </w:p>
    <w:p w:rsidR="002D485F" w:rsidRPr="00985300" w:rsidRDefault="002D485F">
      <w:pPr>
        <w:rPr>
          <w:rFonts w:ascii="Palatino Linotype" w:eastAsia="Palatino Linotype" w:hAnsi="Palatino Linotype" w:cs="Palatino Linotype"/>
        </w:rPr>
      </w:pPr>
    </w:p>
    <w:p w:rsidR="002D485F" w:rsidRPr="00985300" w:rsidRDefault="002D485F">
      <w:pPr>
        <w:rPr>
          <w:rFonts w:ascii="Palatino Linotype" w:eastAsia="Palatino Linotype" w:hAnsi="Palatino Linotype" w:cs="Palatino Linotype"/>
        </w:rPr>
      </w:pPr>
    </w:p>
    <w:p w:rsidR="002D485F" w:rsidRPr="00985300" w:rsidRDefault="002D485F">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p w:rsidR="003F57BD" w:rsidRPr="00985300" w:rsidRDefault="003F57BD">
      <w:pPr>
        <w:rPr>
          <w:rFonts w:ascii="Palatino Linotype" w:eastAsia="Palatino Linotype" w:hAnsi="Palatino Linotype" w:cs="Palatino Linotype"/>
        </w:rPr>
      </w:pPr>
    </w:p>
    <w:sectPr w:rsidR="003F57BD" w:rsidRPr="00985300" w:rsidSect="00985300">
      <w:headerReference w:type="even" r:id="rId10"/>
      <w:headerReference w:type="default" r:id="rId11"/>
      <w:footerReference w:type="default" r:id="rId12"/>
      <w:headerReference w:type="first" r:id="rId13"/>
      <w:footerReference w:type="first" r:id="rId14"/>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DD6" w:rsidRDefault="001F0DD6">
      <w:r>
        <w:separator/>
      </w:r>
    </w:p>
  </w:endnote>
  <w:endnote w:type="continuationSeparator" w:id="0">
    <w:p w:rsidR="001F0DD6" w:rsidRDefault="001F0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4C6D9A03-BAED-4C8F-A632-E3F00131A3F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5B70E27-196D-4FD4-B4B2-DC548720BB18}"/>
    <w:embedBold r:id="rId3" w:fontKey="{B1698A03-8AB8-4503-BC90-DF7000DE7DE0}"/>
    <w:embedItalic r:id="rId4" w:fontKey="{3FC067FE-8AE3-4A47-ACA8-D2F77EE0849B}"/>
    <w:embedBoldItalic r:id="rId5" w:fontKey="{DA1D3C9E-A2BA-4A3B-B8FB-C97F7E52C22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C645BA9-14D2-4E8E-8FE4-C108A483632A}"/>
    <w:embedItalic r:id="rId7" w:fontKey="{A8F52451-75DE-44C1-9373-D49773660398}"/>
  </w:font>
  <w:font w:name="Calibri Light">
    <w:panose1 w:val="020F0302020204030204"/>
    <w:charset w:val="00"/>
    <w:family w:val="swiss"/>
    <w:pitch w:val="variable"/>
    <w:sig w:usb0="E4002EFF" w:usb1="C200247B" w:usb2="00000009" w:usb3="00000000" w:csb0="000001FF" w:csb1="00000000"/>
    <w:embedRegular r:id="rId8" w:fontKey="{3FB4E71A-5FDB-450A-8EDD-64E0243E3AA3}"/>
  </w:font>
  <w:font w:name="Century Gothic">
    <w:panose1 w:val="020B0502020202020204"/>
    <w:charset w:val="00"/>
    <w:family w:val="swiss"/>
    <w:pitch w:val="variable"/>
    <w:sig w:usb0="00000287" w:usb1="00000000" w:usb2="00000000" w:usb3="00000000" w:csb0="0000009F" w:csb1="00000000"/>
    <w:embedRegular r:id="rId9" w:fontKey="{0A73E6D7-BCEB-4FB3-9C10-3334F9CB7F64}"/>
    <w:embedBold r:id="rId10" w:fontKey="{994969EF-EEF1-433B-9A20-0E2F7D2D3BDE}"/>
    <w:embedItalic r:id="rId11" w:fontKey="{3C4D4788-1881-4FBB-B000-B54FF505683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2C468542-4E2F-4FB9-BDC2-82717EBBA0A9}"/>
  </w:font>
  <w:font w:name="Cambria">
    <w:panose1 w:val="02040503050406030204"/>
    <w:charset w:val="00"/>
    <w:family w:val="roman"/>
    <w:pitch w:val="variable"/>
    <w:sig w:usb0="E00006FF" w:usb1="420024FF" w:usb2="02000000" w:usb3="00000000" w:csb0="0000019F" w:csb1="00000000"/>
    <w:embedRegular r:id="rId13" w:fontKey="{7686AB92-55DB-47BA-8C0C-C12A8D1DB4A2}"/>
  </w:font>
  <w:font w:name="Garamond">
    <w:panose1 w:val="02020404030301010803"/>
    <w:charset w:val="00"/>
    <w:family w:val="roman"/>
    <w:pitch w:val="variable"/>
    <w:sig w:usb0="00000287" w:usb1="00000000" w:usb2="00000000" w:usb3="00000000" w:csb0="0000009F" w:csb1="00000000"/>
    <w:embedRegular r:id="rId14" w:fontKey="{B2B6AB6B-8839-4B78-822D-6E9B37F54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300" w:rsidRPr="00985300" w:rsidRDefault="00985300">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985300">
      <w:rPr>
        <w:rFonts w:ascii="Palatino Linotype" w:hAnsi="Palatino Linotype"/>
        <w:b/>
        <w:color w:val="000000"/>
        <w:sz w:val="22"/>
      </w:rPr>
      <w:t xml:space="preserve">Página </w:t>
    </w:r>
    <w:r w:rsidRPr="00985300">
      <w:rPr>
        <w:rFonts w:ascii="Palatino Linotype" w:hAnsi="Palatino Linotype"/>
        <w:b/>
        <w:bCs/>
        <w:color w:val="000000"/>
        <w:sz w:val="22"/>
      </w:rPr>
      <w:fldChar w:fldCharType="begin"/>
    </w:r>
    <w:r w:rsidRPr="00985300">
      <w:rPr>
        <w:rFonts w:ascii="Palatino Linotype" w:hAnsi="Palatino Linotype"/>
        <w:b/>
        <w:bCs/>
        <w:color w:val="000000"/>
        <w:sz w:val="22"/>
      </w:rPr>
      <w:instrText>PAGE</w:instrText>
    </w:r>
    <w:r w:rsidRPr="00985300">
      <w:rPr>
        <w:rFonts w:ascii="Palatino Linotype" w:hAnsi="Palatino Linotype"/>
        <w:b/>
        <w:bCs/>
        <w:color w:val="000000"/>
        <w:sz w:val="22"/>
      </w:rPr>
      <w:fldChar w:fldCharType="separate"/>
    </w:r>
    <w:r w:rsidR="00A129A7">
      <w:rPr>
        <w:rFonts w:ascii="Palatino Linotype" w:hAnsi="Palatino Linotype"/>
        <w:b/>
        <w:bCs/>
        <w:noProof/>
        <w:color w:val="000000"/>
        <w:sz w:val="22"/>
      </w:rPr>
      <w:t>21</w:t>
    </w:r>
    <w:r w:rsidRPr="00985300">
      <w:rPr>
        <w:rFonts w:ascii="Palatino Linotype" w:hAnsi="Palatino Linotype"/>
        <w:b/>
        <w:bCs/>
        <w:color w:val="000000"/>
        <w:sz w:val="22"/>
      </w:rPr>
      <w:fldChar w:fldCharType="end"/>
    </w:r>
    <w:r w:rsidRPr="00985300">
      <w:rPr>
        <w:rFonts w:ascii="Palatino Linotype" w:hAnsi="Palatino Linotype"/>
        <w:b/>
        <w:color w:val="000000"/>
        <w:sz w:val="22"/>
      </w:rPr>
      <w:t xml:space="preserve"> de </w:t>
    </w:r>
    <w:r w:rsidRPr="00985300">
      <w:rPr>
        <w:rFonts w:ascii="Palatino Linotype" w:hAnsi="Palatino Linotype"/>
        <w:b/>
        <w:bCs/>
        <w:color w:val="000000"/>
        <w:sz w:val="22"/>
      </w:rPr>
      <w:fldChar w:fldCharType="begin"/>
    </w:r>
    <w:r w:rsidRPr="00985300">
      <w:rPr>
        <w:rFonts w:ascii="Palatino Linotype" w:hAnsi="Palatino Linotype"/>
        <w:b/>
        <w:bCs/>
        <w:color w:val="000000"/>
        <w:sz w:val="22"/>
      </w:rPr>
      <w:instrText>NUMPAGES</w:instrText>
    </w:r>
    <w:r w:rsidRPr="00985300">
      <w:rPr>
        <w:rFonts w:ascii="Palatino Linotype" w:hAnsi="Palatino Linotype"/>
        <w:b/>
        <w:bCs/>
        <w:color w:val="000000"/>
        <w:sz w:val="22"/>
      </w:rPr>
      <w:fldChar w:fldCharType="separate"/>
    </w:r>
    <w:r w:rsidR="00A129A7">
      <w:rPr>
        <w:rFonts w:ascii="Palatino Linotype" w:hAnsi="Palatino Linotype"/>
        <w:b/>
        <w:bCs/>
        <w:noProof/>
        <w:color w:val="000000"/>
        <w:sz w:val="22"/>
      </w:rPr>
      <w:t>68</w:t>
    </w:r>
    <w:r w:rsidRPr="00985300">
      <w:rPr>
        <w:rFonts w:ascii="Palatino Linotype" w:hAnsi="Palatino Linotype"/>
        <w:b/>
        <w:bCs/>
        <w:color w:val="000000"/>
        <w:sz w:val="22"/>
      </w:rPr>
      <w:fldChar w:fldCharType="end"/>
    </w:r>
  </w:p>
  <w:p w:rsidR="00985300" w:rsidRDefault="0098530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300" w:rsidRPr="00985300" w:rsidRDefault="00985300">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985300">
      <w:rPr>
        <w:rFonts w:ascii="Palatino Linotype" w:hAnsi="Palatino Linotype"/>
        <w:b/>
        <w:color w:val="000000"/>
        <w:sz w:val="22"/>
      </w:rPr>
      <w:t xml:space="preserve">Página </w:t>
    </w:r>
    <w:r w:rsidRPr="00985300">
      <w:rPr>
        <w:rFonts w:ascii="Palatino Linotype" w:hAnsi="Palatino Linotype"/>
        <w:b/>
        <w:bCs/>
        <w:color w:val="000000"/>
        <w:sz w:val="22"/>
      </w:rPr>
      <w:fldChar w:fldCharType="begin"/>
    </w:r>
    <w:r w:rsidRPr="00985300">
      <w:rPr>
        <w:rFonts w:ascii="Palatino Linotype" w:hAnsi="Palatino Linotype"/>
        <w:b/>
        <w:bCs/>
        <w:color w:val="000000"/>
        <w:sz w:val="22"/>
      </w:rPr>
      <w:instrText>PAGE</w:instrText>
    </w:r>
    <w:r w:rsidRPr="00985300">
      <w:rPr>
        <w:rFonts w:ascii="Palatino Linotype" w:hAnsi="Palatino Linotype"/>
        <w:b/>
        <w:bCs/>
        <w:color w:val="000000"/>
        <w:sz w:val="22"/>
      </w:rPr>
      <w:fldChar w:fldCharType="separate"/>
    </w:r>
    <w:r w:rsidR="00A129A7">
      <w:rPr>
        <w:rFonts w:ascii="Palatino Linotype" w:hAnsi="Palatino Linotype"/>
        <w:b/>
        <w:bCs/>
        <w:noProof/>
        <w:color w:val="000000"/>
        <w:sz w:val="22"/>
      </w:rPr>
      <w:t>1</w:t>
    </w:r>
    <w:r w:rsidRPr="00985300">
      <w:rPr>
        <w:rFonts w:ascii="Palatino Linotype" w:hAnsi="Palatino Linotype"/>
        <w:b/>
        <w:bCs/>
        <w:color w:val="000000"/>
        <w:sz w:val="22"/>
      </w:rPr>
      <w:fldChar w:fldCharType="end"/>
    </w:r>
    <w:r w:rsidRPr="00985300">
      <w:rPr>
        <w:rFonts w:ascii="Palatino Linotype" w:hAnsi="Palatino Linotype"/>
        <w:b/>
        <w:color w:val="000000"/>
        <w:sz w:val="22"/>
      </w:rPr>
      <w:t xml:space="preserve"> de </w:t>
    </w:r>
    <w:r w:rsidRPr="00985300">
      <w:rPr>
        <w:rFonts w:ascii="Palatino Linotype" w:hAnsi="Palatino Linotype"/>
        <w:b/>
        <w:bCs/>
        <w:color w:val="000000"/>
        <w:sz w:val="22"/>
      </w:rPr>
      <w:fldChar w:fldCharType="begin"/>
    </w:r>
    <w:r w:rsidRPr="00985300">
      <w:rPr>
        <w:rFonts w:ascii="Palatino Linotype" w:hAnsi="Palatino Linotype"/>
        <w:b/>
        <w:bCs/>
        <w:color w:val="000000"/>
        <w:sz w:val="22"/>
      </w:rPr>
      <w:instrText>NUMPAGES</w:instrText>
    </w:r>
    <w:r w:rsidRPr="00985300">
      <w:rPr>
        <w:rFonts w:ascii="Palatino Linotype" w:hAnsi="Palatino Linotype"/>
        <w:b/>
        <w:bCs/>
        <w:color w:val="000000"/>
        <w:sz w:val="22"/>
      </w:rPr>
      <w:fldChar w:fldCharType="separate"/>
    </w:r>
    <w:r w:rsidR="00A129A7">
      <w:rPr>
        <w:rFonts w:ascii="Palatino Linotype" w:hAnsi="Palatino Linotype"/>
        <w:b/>
        <w:bCs/>
        <w:noProof/>
        <w:color w:val="000000"/>
        <w:sz w:val="22"/>
      </w:rPr>
      <w:t>68</w:t>
    </w:r>
    <w:r w:rsidRPr="00985300">
      <w:rPr>
        <w:rFonts w:ascii="Palatino Linotype" w:hAnsi="Palatino Linotype"/>
        <w:b/>
        <w:bCs/>
        <w:color w:val="000000"/>
        <w:sz w:val="22"/>
      </w:rPr>
      <w:fldChar w:fldCharType="end"/>
    </w:r>
  </w:p>
  <w:p w:rsidR="00985300" w:rsidRDefault="0098530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DD6" w:rsidRDefault="001F0DD6">
      <w:r>
        <w:separator/>
      </w:r>
    </w:p>
  </w:footnote>
  <w:footnote w:type="continuationSeparator" w:id="0">
    <w:p w:rsidR="001F0DD6" w:rsidRDefault="001F0DD6">
      <w:r>
        <w:continuationSeparator/>
      </w:r>
    </w:p>
  </w:footnote>
  <w:footnote w:id="1">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985300" w:rsidRDefault="009853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rsidR="00985300" w:rsidRDefault="00985300">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10">
    <w:p w:rsidR="00985300" w:rsidRDefault="00985300">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11">
    <w:p w:rsidR="00985300" w:rsidRDefault="009853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 w:id="12">
    <w:p w:rsidR="00985300" w:rsidRDefault="00985300">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13">
    <w:p w:rsidR="00985300" w:rsidRDefault="00985300">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300" w:rsidRDefault="001F0DD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065" w:type="dxa"/>
      <w:tblInd w:w="0" w:type="dxa"/>
      <w:tblLayout w:type="fixed"/>
      <w:tblLook w:val="0400" w:firstRow="0" w:lastRow="0" w:firstColumn="0" w:lastColumn="0" w:noHBand="0" w:noVBand="1"/>
    </w:tblPr>
    <w:tblGrid>
      <w:gridCol w:w="2268"/>
      <w:gridCol w:w="7797"/>
    </w:tblGrid>
    <w:tr w:rsidR="00985300" w:rsidTr="00985300">
      <w:trPr>
        <w:trHeight w:val="1435"/>
      </w:trPr>
      <w:tc>
        <w:tcPr>
          <w:tcW w:w="2268" w:type="dxa"/>
          <w:shd w:val="clear" w:color="auto" w:fill="auto"/>
        </w:tcPr>
        <w:p w:rsidR="00985300" w:rsidRDefault="00985300">
          <w:pPr>
            <w:tabs>
              <w:tab w:val="right" w:pos="4273"/>
            </w:tabs>
            <w:rPr>
              <w:rFonts w:ascii="Garamond" w:eastAsia="Garamond" w:hAnsi="Garamond" w:cs="Garamond"/>
              <w:sz w:val="16"/>
              <w:szCs w:val="16"/>
            </w:rPr>
          </w:pPr>
        </w:p>
      </w:tc>
      <w:tc>
        <w:tcPr>
          <w:tcW w:w="7797" w:type="dxa"/>
          <w:shd w:val="clear" w:color="auto" w:fill="auto"/>
        </w:tcPr>
        <w:tbl>
          <w:tblPr>
            <w:tblStyle w:val="a2"/>
            <w:tblW w:w="7075" w:type="dxa"/>
            <w:tblInd w:w="878" w:type="dxa"/>
            <w:tblLayout w:type="fixed"/>
            <w:tblLook w:val="0400" w:firstRow="0" w:lastRow="0" w:firstColumn="0" w:lastColumn="0" w:noHBand="0" w:noVBand="1"/>
          </w:tblPr>
          <w:tblGrid>
            <w:gridCol w:w="2964"/>
            <w:gridCol w:w="4111"/>
          </w:tblGrid>
          <w:tr w:rsidR="00985300" w:rsidTr="00985300">
            <w:trPr>
              <w:trHeight w:val="150"/>
            </w:trPr>
            <w:tc>
              <w:tcPr>
                <w:tcW w:w="2964" w:type="dxa"/>
                <w:shd w:val="clear" w:color="auto" w:fill="auto"/>
              </w:tcPr>
              <w:p w:rsidR="00985300" w:rsidRPr="00985300" w:rsidRDefault="00985300">
                <w:pPr>
                  <w:tabs>
                    <w:tab w:val="right" w:pos="8838"/>
                  </w:tabs>
                  <w:ind w:right="-105"/>
                  <w:rPr>
                    <w:rFonts w:ascii="Palatino Linotype" w:eastAsia="Palatino Linotype" w:hAnsi="Palatino Linotype" w:cs="Palatino Linotype"/>
                    <w:b/>
                    <w:bCs/>
                    <w:szCs w:val="22"/>
                  </w:rPr>
                </w:pPr>
                <w:r w:rsidRPr="00985300">
                  <w:rPr>
                    <w:rFonts w:ascii="Palatino Linotype" w:eastAsia="Palatino Linotype" w:hAnsi="Palatino Linotype" w:cs="Palatino Linotype"/>
                    <w:b/>
                    <w:bCs/>
                    <w:szCs w:val="22"/>
                  </w:rPr>
                  <w:t>Recurso de Revisión:</w:t>
                </w:r>
              </w:p>
            </w:tc>
            <w:tc>
              <w:tcPr>
                <w:tcW w:w="4111" w:type="dxa"/>
                <w:shd w:val="clear" w:color="auto" w:fill="auto"/>
              </w:tcPr>
              <w:p w:rsidR="00985300" w:rsidRPr="00985300" w:rsidRDefault="00985300">
                <w:pPr>
                  <w:tabs>
                    <w:tab w:val="right" w:pos="8838"/>
                  </w:tabs>
                  <w:ind w:left="-108" w:right="-102"/>
                  <w:jc w:val="both"/>
                  <w:rPr>
                    <w:rFonts w:ascii="Palatino Linotype" w:eastAsia="Palatino Linotype" w:hAnsi="Palatino Linotype" w:cs="Palatino Linotype"/>
                    <w:szCs w:val="22"/>
                  </w:rPr>
                </w:pPr>
                <w:r w:rsidRPr="00985300">
                  <w:rPr>
                    <w:rFonts w:ascii="Palatino Linotype" w:eastAsia="Palatino Linotype" w:hAnsi="Palatino Linotype" w:cs="Palatino Linotype"/>
                    <w:szCs w:val="22"/>
                  </w:rPr>
                  <w:t>09208/INFOEM/IP/RR/2025</w:t>
                </w:r>
              </w:p>
            </w:tc>
          </w:tr>
          <w:tr w:rsidR="00985300" w:rsidTr="00985300">
            <w:trPr>
              <w:trHeight w:val="295"/>
            </w:trPr>
            <w:tc>
              <w:tcPr>
                <w:tcW w:w="2964" w:type="dxa"/>
                <w:shd w:val="clear" w:color="auto" w:fill="auto"/>
              </w:tcPr>
              <w:p w:rsidR="00985300" w:rsidRPr="00985300" w:rsidRDefault="00985300">
                <w:pPr>
                  <w:tabs>
                    <w:tab w:val="right" w:pos="8838"/>
                  </w:tabs>
                  <w:ind w:right="-105"/>
                  <w:rPr>
                    <w:rFonts w:ascii="Palatino Linotype" w:eastAsia="Palatino Linotype" w:hAnsi="Palatino Linotype" w:cs="Palatino Linotype"/>
                    <w:b/>
                    <w:bCs/>
                    <w:szCs w:val="22"/>
                  </w:rPr>
                </w:pPr>
                <w:r w:rsidRPr="00985300">
                  <w:rPr>
                    <w:rFonts w:ascii="Palatino Linotype" w:eastAsia="Palatino Linotype" w:hAnsi="Palatino Linotype" w:cs="Palatino Linotype"/>
                    <w:b/>
                    <w:bCs/>
                    <w:szCs w:val="22"/>
                  </w:rPr>
                  <w:t>Sujeto Obligado:</w:t>
                </w:r>
              </w:p>
            </w:tc>
            <w:tc>
              <w:tcPr>
                <w:tcW w:w="4111" w:type="dxa"/>
                <w:shd w:val="clear" w:color="auto" w:fill="auto"/>
              </w:tcPr>
              <w:p w:rsidR="00985300" w:rsidRPr="00985300" w:rsidRDefault="00985300">
                <w:pPr>
                  <w:tabs>
                    <w:tab w:val="left" w:pos="2834"/>
                    <w:tab w:val="right" w:pos="8838"/>
                  </w:tabs>
                  <w:ind w:left="-108" w:right="-102"/>
                  <w:jc w:val="both"/>
                  <w:rPr>
                    <w:rFonts w:ascii="Palatino Linotype" w:eastAsia="Palatino Linotype" w:hAnsi="Palatino Linotype" w:cs="Palatino Linotype"/>
                    <w:szCs w:val="22"/>
                  </w:rPr>
                </w:pPr>
                <w:r w:rsidRPr="00985300">
                  <w:rPr>
                    <w:rFonts w:ascii="Palatino Linotype" w:eastAsia="Palatino Linotype" w:hAnsi="Palatino Linotype" w:cs="Palatino Linotype"/>
                    <w:szCs w:val="22"/>
                  </w:rPr>
                  <w:t>Secretaría del Campo</w:t>
                </w:r>
              </w:p>
            </w:tc>
          </w:tr>
          <w:tr w:rsidR="00985300" w:rsidTr="00985300">
            <w:trPr>
              <w:trHeight w:val="295"/>
            </w:trPr>
            <w:tc>
              <w:tcPr>
                <w:tcW w:w="2964" w:type="dxa"/>
                <w:shd w:val="clear" w:color="auto" w:fill="auto"/>
              </w:tcPr>
              <w:p w:rsidR="00985300" w:rsidRPr="00985300" w:rsidRDefault="00985300">
                <w:pPr>
                  <w:tabs>
                    <w:tab w:val="right" w:pos="8838"/>
                  </w:tabs>
                  <w:ind w:right="-105"/>
                  <w:rPr>
                    <w:rFonts w:ascii="Palatino Linotype" w:eastAsia="Palatino Linotype" w:hAnsi="Palatino Linotype" w:cs="Palatino Linotype"/>
                    <w:b/>
                    <w:bCs/>
                    <w:szCs w:val="22"/>
                  </w:rPr>
                </w:pPr>
                <w:r w:rsidRPr="00985300">
                  <w:rPr>
                    <w:rFonts w:ascii="Palatino Linotype" w:eastAsia="Palatino Linotype" w:hAnsi="Palatino Linotype" w:cs="Palatino Linotype"/>
                    <w:b/>
                    <w:bCs/>
                    <w:szCs w:val="22"/>
                  </w:rPr>
                  <w:t>Comisionada ponente:</w:t>
                </w:r>
              </w:p>
            </w:tc>
            <w:tc>
              <w:tcPr>
                <w:tcW w:w="4111" w:type="dxa"/>
                <w:shd w:val="clear" w:color="auto" w:fill="auto"/>
              </w:tcPr>
              <w:p w:rsidR="00985300" w:rsidRPr="00985300" w:rsidRDefault="00985300">
                <w:pPr>
                  <w:tabs>
                    <w:tab w:val="right" w:pos="8838"/>
                  </w:tabs>
                  <w:ind w:left="-108" w:right="171"/>
                  <w:jc w:val="both"/>
                  <w:rPr>
                    <w:rFonts w:ascii="Palatino Linotype" w:eastAsia="Palatino Linotype" w:hAnsi="Palatino Linotype" w:cs="Palatino Linotype"/>
                    <w:szCs w:val="22"/>
                  </w:rPr>
                </w:pPr>
                <w:r w:rsidRPr="00985300">
                  <w:rPr>
                    <w:rFonts w:ascii="Palatino Linotype" w:eastAsia="Palatino Linotype" w:hAnsi="Palatino Linotype" w:cs="Palatino Linotype"/>
                    <w:szCs w:val="22"/>
                  </w:rPr>
                  <w:t>María del Rosario Mejía Ayala</w:t>
                </w:r>
              </w:p>
              <w:p w:rsidR="00985300" w:rsidRPr="00985300" w:rsidRDefault="00985300">
                <w:pPr>
                  <w:tabs>
                    <w:tab w:val="right" w:pos="8838"/>
                  </w:tabs>
                  <w:ind w:left="-108" w:right="171"/>
                  <w:jc w:val="both"/>
                  <w:rPr>
                    <w:rFonts w:ascii="Palatino Linotype" w:eastAsia="Palatino Linotype" w:hAnsi="Palatino Linotype" w:cs="Palatino Linotype"/>
                    <w:b/>
                    <w:bCs/>
                    <w:szCs w:val="22"/>
                  </w:rPr>
                </w:pPr>
              </w:p>
            </w:tc>
          </w:tr>
        </w:tbl>
        <w:p w:rsidR="00985300" w:rsidRDefault="00985300">
          <w:pPr>
            <w:tabs>
              <w:tab w:val="right" w:pos="8838"/>
            </w:tabs>
            <w:ind w:left="-28"/>
            <w:jc w:val="both"/>
            <w:rPr>
              <w:rFonts w:ascii="Arial" w:eastAsia="Arial" w:hAnsi="Arial" w:cs="Arial"/>
              <w:b/>
              <w:bCs/>
              <w:sz w:val="22"/>
              <w:szCs w:val="22"/>
            </w:rPr>
          </w:pPr>
        </w:p>
      </w:tc>
    </w:tr>
  </w:tbl>
  <w:p w:rsidR="00985300" w:rsidRDefault="001F0DD6">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206" w:type="dxa"/>
      <w:tblInd w:w="0" w:type="dxa"/>
      <w:tblLayout w:type="fixed"/>
      <w:tblLook w:val="0400" w:firstRow="0" w:lastRow="0" w:firstColumn="0" w:lastColumn="0" w:noHBand="0" w:noVBand="1"/>
    </w:tblPr>
    <w:tblGrid>
      <w:gridCol w:w="2268"/>
      <w:gridCol w:w="7938"/>
    </w:tblGrid>
    <w:tr w:rsidR="00985300" w:rsidTr="00985300">
      <w:trPr>
        <w:trHeight w:val="1435"/>
      </w:trPr>
      <w:tc>
        <w:tcPr>
          <w:tcW w:w="2268" w:type="dxa"/>
          <w:shd w:val="clear" w:color="auto" w:fill="auto"/>
        </w:tcPr>
        <w:p w:rsidR="00985300" w:rsidRDefault="00985300">
          <w:pPr>
            <w:tabs>
              <w:tab w:val="right" w:pos="4273"/>
            </w:tabs>
            <w:rPr>
              <w:rFonts w:ascii="Garamond" w:eastAsia="Garamond" w:hAnsi="Garamond" w:cs="Garamond"/>
              <w:sz w:val="22"/>
              <w:szCs w:val="22"/>
            </w:rPr>
          </w:pPr>
        </w:p>
      </w:tc>
      <w:tc>
        <w:tcPr>
          <w:tcW w:w="7938" w:type="dxa"/>
          <w:shd w:val="clear" w:color="auto" w:fill="auto"/>
        </w:tcPr>
        <w:tbl>
          <w:tblPr>
            <w:tblStyle w:val="a4"/>
            <w:tblW w:w="6898" w:type="dxa"/>
            <w:tblInd w:w="1303" w:type="dxa"/>
            <w:tblLayout w:type="fixed"/>
            <w:tblLook w:val="0400" w:firstRow="0" w:lastRow="0" w:firstColumn="0" w:lastColumn="0" w:noHBand="0" w:noVBand="1"/>
          </w:tblPr>
          <w:tblGrid>
            <w:gridCol w:w="2680"/>
            <w:gridCol w:w="4218"/>
          </w:tblGrid>
          <w:tr w:rsidR="00985300" w:rsidTr="00985300">
            <w:trPr>
              <w:trHeight w:val="144"/>
            </w:trPr>
            <w:tc>
              <w:tcPr>
                <w:tcW w:w="2680" w:type="dxa"/>
                <w:shd w:val="clear" w:color="auto" w:fill="auto"/>
              </w:tcPr>
              <w:p w:rsidR="00985300" w:rsidRPr="00985300" w:rsidRDefault="00985300">
                <w:pPr>
                  <w:tabs>
                    <w:tab w:val="right" w:pos="8838"/>
                  </w:tabs>
                  <w:ind w:left="-264" w:right="-105" w:firstLine="195"/>
                  <w:rPr>
                    <w:rFonts w:ascii="Palatino Linotype" w:eastAsia="Palatino Linotype" w:hAnsi="Palatino Linotype" w:cs="Palatino Linotype"/>
                    <w:b/>
                    <w:bCs/>
                    <w:szCs w:val="22"/>
                  </w:rPr>
                </w:pPr>
                <w:r w:rsidRPr="00985300">
                  <w:rPr>
                    <w:rFonts w:ascii="Palatino Linotype" w:eastAsia="Palatino Linotype" w:hAnsi="Palatino Linotype" w:cs="Palatino Linotype"/>
                    <w:b/>
                    <w:bCs/>
                    <w:szCs w:val="22"/>
                  </w:rPr>
                  <w:t>Recurso de Revisión:</w:t>
                </w:r>
              </w:p>
            </w:tc>
            <w:tc>
              <w:tcPr>
                <w:tcW w:w="4218" w:type="dxa"/>
                <w:shd w:val="clear" w:color="auto" w:fill="auto"/>
              </w:tcPr>
              <w:p w:rsidR="00985300" w:rsidRPr="00985300" w:rsidRDefault="00985300">
                <w:pPr>
                  <w:tabs>
                    <w:tab w:val="right" w:pos="8838"/>
                  </w:tabs>
                  <w:ind w:left="-74" w:right="-105"/>
                  <w:jc w:val="both"/>
                  <w:rPr>
                    <w:rFonts w:ascii="Palatino Linotype" w:eastAsia="Palatino Linotype" w:hAnsi="Palatino Linotype" w:cs="Palatino Linotype"/>
                    <w:bCs/>
                    <w:szCs w:val="22"/>
                  </w:rPr>
                </w:pPr>
                <w:r w:rsidRPr="00985300">
                  <w:rPr>
                    <w:rFonts w:ascii="Palatino Linotype" w:eastAsia="Palatino Linotype" w:hAnsi="Palatino Linotype" w:cs="Palatino Linotype"/>
                    <w:bCs/>
                    <w:szCs w:val="22"/>
                  </w:rPr>
                  <w:t>09208/INFOEM/IP/RR/2025</w:t>
                </w:r>
              </w:p>
            </w:tc>
          </w:tr>
          <w:tr w:rsidR="00985300" w:rsidTr="00985300">
            <w:trPr>
              <w:trHeight w:val="144"/>
            </w:trPr>
            <w:tc>
              <w:tcPr>
                <w:tcW w:w="2680" w:type="dxa"/>
                <w:shd w:val="clear" w:color="auto" w:fill="auto"/>
              </w:tcPr>
              <w:p w:rsidR="00985300" w:rsidRPr="00985300" w:rsidRDefault="00985300">
                <w:pPr>
                  <w:tabs>
                    <w:tab w:val="right" w:pos="8838"/>
                  </w:tabs>
                  <w:ind w:left="-74" w:right="-105"/>
                  <w:rPr>
                    <w:rFonts w:ascii="Palatino Linotype" w:eastAsia="Palatino Linotype" w:hAnsi="Palatino Linotype" w:cs="Palatino Linotype"/>
                    <w:b/>
                    <w:bCs/>
                    <w:szCs w:val="22"/>
                  </w:rPr>
                </w:pPr>
                <w:r w:rsidRPr="00985300">
                  <w:rPr>
                    <w:rFonts w:ascii="Palatino Linotype" w:eastAsia="Palatino Linotype" w:hAnsi="Palatino Linotype" w:cs="Palatino Linotype"/>
                    <w:b/>
                    <w:bCs/>
                    <w:szCs w:val="22"/>
                  </w:rPr>
                  <w:t>Recurrente:</w:t>
                </w:r>
              </w:p>
            </w:tc>
            <w:tc>
              <w:tcPr>
                <w:tcW w:w="4218" w:type="dxa"/>
                <w:shd w:val="clear" w:color="auto" w:fill="auto"/>
              </w:tcPr>
              <w:p w:rsidR="00985300" w:rsidRPr="00985300" w:rsidRDefault="00A129A7" w:rsidP="00DB6241">
                <w:pPr>
                  <w:tabs>
                    <w:tab w:val="left" w:pos="3122"/>
                    <w:tab w:val="right" w:pos="8838"/>
                  </w:tabs>
                  <w:ind w:left="-74" w:right="-105"/>
                  <w:jc w:val="both"/>
                  <w:rPr>
                    <w:rFonts w:ascii="Palatino Linotype" w:eastAsia="Palatino Linotype" w:hAnsi="Palatino Linotype" w:cs="Palatino Linotype"/>
                    <w:bCs/>
                    <w:szCs w:val="22"/>
                  </w:rPr>
                </w:pPr>
                <w:r>
                  <w:rPr>
                    <w:rFonts w:ascii="Palatino Linotype" w:eastAsia="Palatino Linotype" w:hAnsi="Palatino Linotype" w:cs="Palatino Linotype"/>
                    <w:bCs/>
                    <w:szCs w:val="22"/>
                  </w:rPr>
                  <w:t>XXXX</w:t>
                </w:r>
              </w:p>
            </w:tc>
          </w:tr>
          <w:tr w:rsidR="00985300" w:rsidTr="00985300">
            <w:trPr>
              <w:trHeight w:val="283"/>
            </w:trPr>
            <w:tc>
              <w:tcPr>
                <w:tcW w:w="2680" w:type="dxa"/>
                <w:shd w:val="clear" w:color="auto" w:fill="auto"/>
              </w:tcPr>
              <w:p w:rsidR="00985300" w:rsidRPr="00985300" w:rsidRDefault="00985300">
                <w:pPr>
                  <w:tabs>
                    <w:tab w:val="right" w:pos="8838"/>
                  </w:tabs>
                  <w:ind w:left="-74" w:right="-105"/>
                  <w:rPr>
                    <w:rFonts w:ascii="Palatino Linotype" w:eastAsia="Palatino Linotype" w:hAnsi="Palatino Linotype" w:cs="Palatino Linotype"/>
                    <w:b/>
                    <w:bCs/>
                    <w:szCs w:val="22"/>
                  </w:rPr>
                </w:pPr>
                <w:r w:rsidRPr="00985300">
                  <w:rPr>
                    <w:rFonts w:ascii="Palatino Linotype" w:eastAsia="Palatino Linotype" w:hAnsi="Palatino Linotype" w:cs="Palatino Linotype"/>
                    <w:b/>
                    <w:bCs/>
                    <w:szCs w:val="22"/>
                  </w:rPr>
                  <w:t>Sujeto Obligado:</w:t>
                </w:r>
              </w:p>
            </w:tc>
            <w:tc>
              <w:tcPr>
                <w:tcW w:w="4218" w:type="dxa"/>
                <w:shd w:val="clear" w:color="auto" w:fill="auto"/>
              </w:tcPr>
              <w:p w:rsidR="00985300" w:rsidRPr="00985300" w:rsidRDefault="00985300" w:rsidP="00985300">
                <w:pPr>
                  <w:tabs>
                    <w:tab w:val="left" w:pos="2834"/>
                    <w:tab w:val="right" w:pos="8838"/>
                  </w:tabs>
                  <w:ind w:left="-115" w:right="-105"/>
                  <w:jc w:val="both"/>
                  <w:rPr>
                    <w:rFonts w:ascii="Palatino Linotype" w:eastAsia="Palatino Linotype" w:hAnsi="Palatino Linotype" w:cs="Palatino Linotype"/>
                    <w:bCs/>
                    <w:szCs w:val="22"/>
                  </w:rPr>
                </w:pPr>
                <w:r w:rsidRPr="00985300">
                  <w:rPr>
                    <w:rFonts w:ascii="Palatino Linotype" w:eastAsia="Palatino Linotype" w:hAnsi="Palatino Linotype" w:cs="Palatino Linotype"/>
                    <w:bCs/>
                    <w:szCs w:val="22"/>
                  </w:rPr>
                  <w:t>Secretaría del Campo</w:t>
                </w:r>
              </w:p>
            </w:tc>
          </w:tr>
          <w:tr w:rsidR="00985300" w:rsidTr="00985300">
            <w:trPr>
              <w:trHeight w:val="283"/>
            </w:trPr>
            <w:tc>
              <w:tcPr>
                <w:tcW w:w="2680" w:type="dxa"/>
                <w:shd w:val="clear" w:color="auto" w:fill="auto"/>
              </w:tcPr>
              <w:p w:rsidR="00985300" w:rsidRPr="00985300" w:rsidRDefault="00985300">
                <w:pPr>
                  <w:tabs>
                    <w:tab w:val="right" w:pos="8838"/>
                  </w:tabs>
                  <w:ind w:left="-74" w:right="-105"/>
                  <w:rPr>
                    <w:rFonts w:ascii="Palatino Linotype" w:eastAsia="Palatino Linotype" w:hAnsi="Palatino Linotype" w:cs="Palatino Linotype"/>
                    <w:b/>
                    <w:bCs/>
                    <w:szCs w:val="22"/>
                  </w:rPr>
                </w:pPr>
                <w:r w:rsidRPr="00985300">
                  <w:rPr>
                    <w:rFonts w:ascii="Palatino Linotype" w:eastAsia="Palatino Linotype" w:hAnsi="Palatino Linotype" w:cs="Palatino Linotype"/>
                    <w:b/>
                    <w:bCs/>
                    <w:szCs w:val="22"/>
                  </w:rPr>
                  <w:t>Comisionada ponente:</w:t>
                </w:r>
              </w:p>
            </w:tc>
            <w:tc>
              <w:tcPr>
                <w:tcW w:w="4218" w:type="dxa"/>
                <w:shd w:val="clear" w:color="auto" w:fill="auto"/>
              </w:tcPr>
              <w:p w:rsidR="00985300" w:rsidRPr="00985300" w:rsidRDefault="00985300">
                <w:pPr>
                  <w:tabs>
                    <w:tab w:val="right" w:pos="8838"/>
                  </w:tabs>
                  <w:ind w:left="-74" w:right="-105"/>
                  <w:jc w:val="both"/>
                  <w:rPr>
                    <w:rFonts w:ascii="Palatino Linotype" w:eastAsia="Palatino Linotype" w:hAnsi="Palatino Linotype" w:cs="Palatino Linotype"/>
                    <w:bCs/>
                    <w:szCs w:val="22"/>
                  </w:rPr>
                </w:pPr>
                <w:r w:rsidRPr="00985300">
                  <w:rPr>
                    <w:rFonts w:ascii="Palatino Linotype" w:eastAsia="Palatino Linotype" w:hAnsi="Palatino Linotype" w:cs="Palatino Linotype"/>
                    <w:bCs/>
                    <w:szCs w:val="22"/>
                  </w:rPr>
                  <w:t>María del Rosario Mejía Ayala</w:t>
                </w:r>
              </w:p>
              <w:p w:rsidR="00985300" w:rsidRPr="00985300" w:rsidRDefault="00985300">
                <w:pPr>
                  <w:tabs>
                    <w:tab w:val="right" w:pos="8838"/>
                  </w:tabs>
                  <w:ind w:left="-74" w:right="-105"/>
                  <w:jc w:val="both"/>
                  <w:rPr>
                    <w:rFonts w:ascii="Palatino Linotype" w:eastAsia="Palatino Linotype" w:hAnsi="Palatino Linotype" w:cs="Palatino Linotype"/>
                    <w:bCs/>
                    <w:szCs w:val="22"/>
                  </w:rPr>
                </w:pPr>
              </w:p>
            </w:tc>
          </w:tr>
        </w:tbl>
        <w:p w:rsidR="00985300" w:rsidRDefault="00985300">
          <w:pPr>
            <w:tabs>
              <w:tab w:val="right" w:pos="8838"/>
            </w:tabs>
            <w:ind w:left="-28"/>
            <w:jc w:val="both"/>
            <w:rPr>
              <w:rFonts w:ascii="Arial" w:eastAsia="Arial" w:hAnsi="Arial" w:cs="Arial"/>
              <w:b/>
              <w:bCs/>
              <w:sz w:val="22"/>
              <w:szCs w:val="22"/>
            </w:rPr>
          </w:pPr>
        </w:p>
      </w:tc>
    </w:tr>
  </w:tbl>
  <w:p w:rsidR="00985300" w:rsidRDefault="001F0DD6">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D0CDD"/>
    <w:multiLevelType w:val="multilevel"/>
    <w:tmpl w:val="40E4F3B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61A442F"/>
    <w:multiLevelType w:val="multilevel"/>
    <w:tmpl w:val="0E7E3FA8"/>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D57D7F"/>
    <w:multiLevelType w:val="multilevel"/>
    <w:tmpl w:val="67BC0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9D55DE"/>
    <w:multiLevelType w:val="multilevel"/>
    <w:tmpl w:val="E16A2AC0"/>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0B870EE"/>
    <w:multiLevelType w:val="multilevel"/>
    <w:tmpl w:val="70364D7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145CA1"/>
    <w:multiLevelType w:val="hybridMultilevel"/>
    <w:tmpl w:val="CB783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F9190D"/>
    <w:multiLevelType w:val="multilevel"/>
    <w:tmpl w:val="89608A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F7C3D0E"/>
    <w:multiLevelType w:val="multilevel"/>
    <w:tmpl w:val="228C9C54"/>
    <w:lvl w:ilvl="0">
      <w:start w:val="1"/>
      <w:numFmt w:val="lowerLetter"/>
      <w:lvlText w:val="%1)"/>
      <w:lvlJc w:val="left"/>
      <w:pPr>
        <w:ind w:left="1800" w:hanging="360"/>
      </w:pPr>
      <w:rPr>
        <w:b/>
        <w:bC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477107A2"/>
    <w:multiLevelType w:val="multilevel"/>
    <w:tmpl w:val="3B44F968"/>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107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0E56A4"/>
    <w:multiLevelType w:val="multilevel"/>
    <w:tmpl w:val="1122A5B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15:restartNumberingAfterBreak="0">
    <w:nsid w:val="5D4C7DC4"/>
    <w:multiLevelType w:val="multilevel"/>
    <w:tmpl w:val="55D41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032007"/>
    <w:multiLevelType w:val="multilevel"/>
    <w:tmpl w:val="D124F64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592136"/>
    <w:multiLevelType w:val="hybridMultilevel"/>
    <w:tmpl w:val="E92A7BCC"/>
    <w:lvl w:ilvl="0" w:tplc="FEE40BE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69FC3473"/>
    <w:multiLevelType w:val="multilevel"/>
    <w:tmpl w:val="B9E8AE58"/>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A9D4D65"/>
    <w:multiLevelType w:val="multilevel"/>
    <w:tmpl w:val="CF1E4920"/>
    <w:lvl w:ilvl="0">
      <w:start w:val="1"/>
      <w:numFmt w:val="decimal"/>
      <w:lvlText w:val="%1."/>
      <w:lvlJc w:val="left"/>
      <w:pPr>
        <w:ind w:left="1440"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E6B48BE"/>
    <w:multiLevelType w:val="multilevel"/>
    <w:tmpl w:val="DD883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9378C2"/>
    <w:multiLevelType w:val="multilevel"/>
    <w:tmpl w:val="16D67E18"/>
    <w:lvl w:ilvl="0">
      <w:start w:val="1"/>
      <w:numFmt w:val="upperLetter"/>
      <w:lvlText w:val="%1)"/>
      <w:lvlJc w:val="left"/>
      <w:pPr>
        <w:ind w:left="1800" w:hanging="360"/>
      </w:pPr>
      <w:rPr>
        <w:b/>
        <w:bC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7DCA74F7"/>
    <w:multiLevelType w:val="multilevel"/>
    <w:tmpl w:val="E6700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0"/>
  </w:num>
  <w:num w:numId="3">
    <w:abstractNumId w:val="15"/>
  </w:num>
  <w:num w:numId="4">
    <w:abstractNumId w:val="2"/>
  </w:num>
  <w:num w:numId="5">
    <w:abstractNumId w:val="3"/>
  </w:num>
  <w:num w:numId="6">
    <w:abstractNumId w:val="6"/>
  </w:num>
  <w:num w:numId="7">
    <w:abstractNumId w:val="13"/>
  </w:num>
  <w:num w:numId="8">
    <w:abstractNumId w:val="1"/>
  </w:num>
  <w:num w:numId="9">
    <w:abstractNumId w:val="7"/>
  </w:num>
  <w:num w:numId="10">
    <w:abstractNumId w:val="16"/>
  </w:num>
  <w:num w:numId="11">
    <w:abstractNumId w:val="17"/>
  </w:num>
  <w:num w:numId="12">
    <w:abstractNumId w:val="4"/>
  </w:num>
  <w:num w:numId="13">
    <w:abstractNumId w:val="11"/>
  </w:num>
  <w:num w:numId="14">
    <w:abstractNumId w:val="0"/>
  </w:num>
  <w:num w:numId="15">
    <w:abstractNumId w:val="14"/>
  </w:num>
  <w:num w:numId="16">
    <w:abstractNumId w:val="9"/>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85F"/>
    <w:rsid w:val="001F0DD6"/>
    <w:rsid w:val="00201117"/>
    <w:rsid w:val="002D485F"/>
    <w:rsid w:val="003A00DE"/>
    <w:rsid w:val="003F57BD"/>
    <w:rsid w:val="005732CD"/>
    <w:rsid w:val="00985300"/>
    <w:rsid w:val="009B6CED"/>
    <w:rsid w:val="00A129A7"/>
    <w:rsid w:val="00DB6241"/>
    <w:rsid w:val="00EB1E90"/>
    <w:rsid w:val="00F36A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F3D9D65-1563-4835-945F-CDE1EACD1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pBdr>
        <w:top w:val="nil"/>
        <w:left w:val="nil"/>
        <w:bottom w:val="nil"/>
        <w:right w:val="nil"/>
        <w:between w:val="nil"/>
      </w:pBdr>
      <w:ind w:left="567" w:right="567" w:hanging="567"/>
      <w:jc w:val="both"/>
    </w:pPr>
    <w:rPr>
      <w:rFonts w:ascii="Palatino Linotype" w:eastAsia="Palatino Linotype" w:hAnsi="Palatino Linotype" w:cs="Palatino Linotype"/>
      <w:i/>
      <w:iCs/>
      <w:color w:val="000000"/>
      <w:sz w:val="22"/>
      <w:szCs w:val="22"/>
    </w:rPr>
  </w:style>
  <w:style w:type="character" w:customStyle="1" w:styleId="Ttulo1Car">
    <w:name w:val="Título 1 Car"/>
    <w:basedOn w:val="Fuentedeprrafopredeter"/>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rPr>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customStyle="1" w:styleId="PuestoCar">
    <w:name w:val="Puesto Car"/>
    <w:aliases w:val="Cita textual Car"/>
    <w:basedOn w:val="Fuentedeprrafopredeter"/>
    <w:uiPriority w:val="10"/>
    <w:rsid w:val="00A74FD9"/>
    <w:rPr>
      <w:rFonts w:ascii="Palatino Linotype" w:eastAsiaTheme="majorEastAsia" w:hAnsi="Palatino Linotype" w:cstheme="majorBidi"/>
      <w:i/>
      <w:kern w:val="28"/>
      <w:szCs w:val="56"/>
      <w:lang w:eastAsia="es-ES"/>
    </w:rPr>
  </w:style>
  <w:style w:type="paragraph" w:customStyle="1" w:styleId="Citas">
    <w:name w:val="Citas"/>
    <w:basedOn w:val="Normal"/>
    <w:qFormat/>
    <w:rsid w:val="00E863F2"/>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Default">
    <w:name w:val="Default"/>
    <w:rsid w:val="001E23BA"/>
    <w:pPr>
      <w:autoSpaceDE w:val="0"/>
      <w:autoSpaceDN w:val="0"/>
      <w:adjustRightInd w:val="0"/>
    </w:pPr>
    <w:rPr>
      <w:rFonts w:ascii="Calibri" w:hAnsi="Calibri" w:cs="Calibri"/>
      <w:color w:val="00000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Wm6G43QMngv6zbolBDPxUvTfaA==">CgMxLjAyDmgubDAybGVoMmhudHdzMg1oLnVva2Yzbm5tbzRmMg5oLm55Y2p0NzMzZXg0NjIOaC52dmR5azZtcGdraHkyDmguZXRueXh3djcxeWgzMg5oLmtobGRnbDNzOWh1YzIOaC5leHAxZjJoMHNqbjkyDWgueW4zeGpyemZkbmYyDmguNDJxc2M2MWZpdWRpMg5oLnRtaGhqaTlvY2lobjgAciExWllWT09VcFVPOEZmQkl6RTFXUWI2RVR2blR4ZDUta0s=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68</Pages>
  <Words>17735</Words>
  <Characters>97547</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7</cp:revision>
  <cp:lastPrinted>2026-03-12T23:16:00Z</cp:lastPrinted>
  <dcterms:created xsi:type="dcterms:W3CDTF">2026-03-04T02:21:00Z</dcterms:created>
  <dcterms:modified xsi:type="dcterms:W3CDTF">2026-03-23T17:27:00Z</dcterms:modified>
</cp:coreProperties>
</file>