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3CB" w:rsidRPr="00A910A1" w:rsidRDefault="00230BE6">
      <w:pPr>
        <w:tabs>
          <w:tab w:val="left" w:pos="0"/>
        </w:tabs>
        <w:spacing w:line="360" w:lineRule="auto"/>
        <w:jc w:val="both"/>
        <w:rPr>
          <w:rFonts w:ascii="Palatino Linotype" w:eastAsia="Palatino Linotype" w:hAnsi="Palatino Linotype" w:cs="Palatino Linotype"/>
        </w:rPr>
      </w:pPr>
      <w:bookmarkStart w:id="0" w:name="_GoBack"/>
      <w:bookmarkEnd w:id="0"/>
      <w:r w:rsidRPr="00A910A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A910A1">
        <w:rPr>
          <w:rFonts w:ascii="Palatino Linotype" w:eastAsia="Palatino Linotype" w:hAnsi="Palatino Linotype" w:cs="Palatino Linotype"/>
        </w:rPr>
        <w:t xml:space="preserve">n Metepec, Estado de México; </w:t>
      </w:r>
      <w:r w:rsidR="00A910A1" w:rsidRPr="00A910A1">
        <w:rPr>
          <w:rFonts w:ascii="Palatino Linotype" w:eastAsia="Palatino Linotype" w:hAnsi="Palatino Linotype" w:cs="Palatino Linotype"/>
          <w:b/>
        </w:rPr>
        <w:t>de fecha</w:t>
      </w:r>
      <w:r w:rsidRPr="00A910A1">
        <w:rPr>
          <w:rFonts w:ascii="Palatino Linotype" w:eastAsia="Palatino Linotype" w:hAnsi="Palatino Linotype" w:cs="Palatino Linotype"/>
        </w:rPr>
        <w:t xml:space="preserve"> </w:t>
      </w:r>
      <w:r w:rsidRPr="00A910A1">
        <w:rPr>
          <w:rFonts w:ascii="Palatino Linotype" w:eastAsia="Palatino Linotype" w:hAnsi="Palatino Linotype" w:cs="Palatino Linotype"/>
          <w:b/>
          <w:bCs/>
        </w:rPr>
        <w:t xml:space="preserve">once </w:t>
      </w:r>
      <w:r w:rsidR="00A910A1">
        <w:rPr>
          <w:rFonts w:ascii="Palatino Linotype" w:eastAsia="Palatino Linotype" w:hAnsi="Palatino Linotype" w:cs="Palatino Linotype"/>
          <w:b/>
          <w:bCs/>
        </w:rPr>
        <w:t xml:space="preserve">(11) </w:t>
      </w:r>
      <w:r w:rsidRPr="00A910A1">
        <w:rPr>
          <w:rFonts w:ascii="Palatino Linotype" w:eastAsia="Palatino Linotype" w:hAnsi="Palatino Linotype" w:cs="Palatino Linotype"/>
          <w:b/>
          <w:bCs/>
        </w:rPr>
        <w:t>de marzo de dos mil veintiséis.</w:t>
      </w:r>
      <w:r w:rsidRPr="00A910A1">
        <w:rPr>
          <w:rFonts w:ascii="Palatino Linotype" w:eastAsia="Palatino Linotype" w:hAnsi="Palatino Linotype" w:cs="Palatino Linotype"/>
        </w:rPr>
        <w:t xml:space="preserve"> </w:t>
      </w:r>
    </w:p>
    <w:p w:rsidR="000843CB" w:rsidRPr="00A910A1" w:rsidRDefault="000843CB">
      <w:pPr>
        <w:tabs>
          <w:tab w:val="left" w:pos="0"/>
        </w:tabs>
        <w:spacing w:line="360" w:lineRule="auto"/>
        <w:jc w:val="both"/>
        <w:rPr>
          <w:rFonts w:ascii="Palatino Linotype" w:eastAsia="Palatino Linotype" w:hAnsi="Palatino Linotype" w:cs="Palatino Linotype"/>
        </w:rPr>
      </w:pPr>
    </w:p>
    <w:p w:rsidR="000843CB" w:rsidRPr="00A910A1" w:rsidRDefault="00230BE6">
      <w:pPr>
        <w:spacing w:line="360" w:lineRule="auto"/>
        <w:jc w:val="both"/>
        <w:rPr>
          <w:rFonts w:ascii="Palatino Linotype" w:eastAsia="Palatino Linotype" w:hAnsi="Palatino Linotype" w:cs="Palatino Linotype"/>
        </w:rPr>
      </w:pPr>
      <w:r w:rsidRPr="00A910A1">
        <w:rPr>
          <w:rFonts w:ascii="Palatino Linotype" w:eastAsia="Palatino Linotype" w:hAnsi="Palatino Linotype" w:cs="Palatino Linotype"/>
          <w:b/>
          <w:bCs/>
        </w:rPr>
        <w:t>VISTO</w:t>
      </w:r>
      <w:r w:rsidRPr="00A910A1">
        <w:rPr>
          <w:rFonts w:ascii="Palatino Linotype" w:eastAsia="Palatino Linotype" w:hAnsi="Palatino Linotype" w:cs="Palatino Linotype"/>
        </w:rPr>
        <w:t xml:space="preserve"> el expediente electrónico formado con motivo del recurso de revisión </w:t>
      </w:r>
      <w:r w:rsidRPr="00A910A1">
        <w:rPr>
          <w:rFonts w:ascii="Palatino Linotype" w:eastAsia="Palatino Linotype" w:hAnsi="Palatino Linotype" w:cs="Palatino Linotype"/>
          <w:b/>
          <w:bCs/>
        </w:rPr>
        <w:t xml:space="preserve">12073/INFOEM/IP/RR/2025, </w:t>
      </w:r>
      <w:r w:rsidRPr="00A910A1">
        <w:rPr>
          <w:rFonts w:ascii="Palatino Linotype" w:eastAsia="Palatino Linotype" w:hAnsi="Palatino Linotype" w:cs="Palatino Linotype"/>
        </w:rPr>
        <w:t xml:space="preserve">promovido por </w:t>
      </w:r>
      <w:r w:rsidR="00B93BA0">
        <w:rPr>
          <w:rFonts w:ascii="Palatino Linotype" w:eastAsia="Palatino Linotype" w:hAnsi="Palatino Linotype" w:cs="Palatino Linotype"/>
          <w:b/>
          <w:bCs/>
        </w:rPr>
        <w:t>XXXX</w:t>
      </w:r>
      <w:r w:rsidRPr="00A910A1">
        <w:rPr>
          <w:rFonts w:ascii="Palatino Linotype" w:eastAsia="Palatino Linotype" w:hAnsi="Palatino Linotype" w:cs="Palatino Linotype"/>
        </w:rPr>
        <w:t xml:space="preserve">, </w:t>
      </w:r>
      <w:r w:rsidR="00A910A1">
        <w:rPr>
          <w:rFonts w:ascii="Palatino Linotype" w:eastAsia="Palatino Linotype" w:hAnsi="Palatino Linotype" w:cs="Palatino Linotype"/>
        </w:rPr>
        <w:t xml:space="preserve">a </w:t>
      </w:r>
      <w:r w:rsidRPr="00A910A1">
        <w:rPr>
          <w:rFonts w:ascii="Palatino Linotype" w:eastAsia="Palatino Linotype" w:hAnsi="Palatino Linotype" w:cs="Palatino Linotype"/>
        </w:rPr>
        <w:t xml:space="preserve">quien en lo sucesivo se le identificara como </w:t>
      </w:r>
      <w:r w:rsidRPr="00A910A1">
        <w:rPr>
          <w:rFonts w:ascii="Palatino Linotype" w:eastAsia="Palatino Linotype" w:hAnsi="Palatino Linotype" w:cs="Palatino Linotype"/>
          <w:b/>
          <w:bCs/>
        </w:rPr>
        <w:t>RECURRENTE</w:t>
      </w:r>
      <w:r w:rsidRPr="00A910A1">
        <w:rPr>
          <w:rFonts w:ascii="Palatino Linotype" w:eastAsia="Palatino Linotype" w:hAnsi="Palatino Linotype" w:cs="Palatino Linotype"/>
        </w:rPr>
        <w:t xml:space="preserve">, en contra de la respuesta del </w:t>
      </w:r>
      <w:r w:rsidRPr="00A910A1">
        <w:rPr>
          <w:rFonts w:ascii="Palatino Linotype" w:eastAsia="Palatino Linotype" w:hAnsi="Palatino Linotype" w:cs="Palatino Linotype"/>
          <w:b/>
          <w:bCs/>
        </w:rPr>
        <w:t xml:space="preserve">Instituto Mexiquense de la Infraestructura Física Educativa, </w:t>
      </w:r>
      <w:r w:rsidRPr="00A910A1">
        <w:rPr>
          <w:rFonts w:ascii="Palatino Linotype" w:eastAsia="Palatino Linotype" w:hAnsi="Palatino Linotype" w:cs="Palatino Linotype"/>
        </w:rPr>
        <w:t xml:space="preserve">en </w:t>
      </w:r>
      <w:r w:rsidR="00A910A1">
        <w:rPr>
          <w:rFonts w:ascii="Palatino Linotype" w:eastAsia="Palatino Linotype" w:hAnsi="Palatino Linotype" w:cs="Palatino Linotype"/>
        </w:rPr>
        <w:t>adelante</w:t>
      </w:r>
      <w:r w:rsidRPr="00A910A1">
        <w:rPr>
          <w:rFonts w:ascii="Palatino Linotype" w:eastAsia="Palatino Linotype" w:hAnsi="Palatino Linotype" w:cs="Palatino Linotype"/>
        </w:rPr>
        <w:t xml:space="preserve"> el</w:t>
      </w:r>
      <w:r w:rsidRPr="00A910A1">
        <w:rPr>
          <w:rFonts w:ascii="Palatino Linotype" w:eastAsia="Palatino Linotype" w:hAnsi="Palatino Linotype" w:cs="Palatino Linotype"/>
          <w:b/>
          <w:bCs/>
        </w:rPr>
        <w:t xml:space="preserve"> SUJETO OBLIGADO, </w:t>
      </w:r>
      <w:r w:rsidRPr="00A910A1">
        <w:rPr>
          <w:rFonts w:ascii="Palatino Linotype" w:eastAsia="Palatino Linotype" w:hAnsi="Palatino Linotype" w:cs="Palatino Linotype"/>
        </w:rPr>
        <w:t xml:space="preserve">se procede a dictar la presente resolución, con base en los siguientes: </w:t>
      </w:r>
    </w:p>
    <w:p w:rsidR="000843CB" w:rsidRPr="00A910A1" w:rsidRDefault="000843CB">
      <w:pPr>
        <w:spacing w:line="360" w:lineRule="auto"/>
        <w:jc w:val="both"/>
        <w:rPr>
          <w:rFonts w:ascii="Palatino Linotype" w:eastAsia="Palatino Linotype" w:hAnsi="Palatino Linotype" w:cs="Palatino Linotype"/>
        </w:rPr>
      </w:pPr>
    </w:p>
    <w:p w:rsidR="000843CB" w:rsidRPr="00A910A1" w:rsidRDefault="00230BE6">
      <w:pPr>
        <w:keepNext/>
        <w:keepLines/>
        <w:tabs>
          <w:tab w:val="left" w:pos="0"/>
        </w:tabs>
        <w:spacing w:line="360" w:lineRule="auto"/>
        <w:jc w:val="center"/>
        <w:rPr>
          <w:rFonts w:ascii="Palatino Linotype" w:eastAsia="Palatino Linotype" w:hAnsi="Palatino Linotype" w:cs="Palatino Linotype"/>
          <w:b/>
          <w:bCs/>
        </w:rPr>
      </w:pPr>
      <w:bookmarkStart w:id="1" w:name="_heading=h.xc1gp2nxfqpm" w:colFirst="0" w:colLast="0"/>
      <w:bookmarkEnd w:id="1"/>
      <w:r w:rsidRPr="00A910A1">
        <w:rPr>
          <w:rFonts w:ascii="Palatino Linotype" w:eastAsia="Palatino Linotype" w:hAnsi="Palatino Linotype" w:cs="Palatino Linotype"/>
          <w:b/>
          <w:bCs/>
        </w:rPr>
        <w:t>A</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N</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T</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E</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C</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E</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D</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E</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N</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T</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E</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S</w:t>
      </w:r>
      <w:r w:rsidR="00A910A1">
        <w:rPr>
          <w:rFonts w:ascii="Palatino Linotype" w:eastAsia="Palatino Linotype" w:hAnsi="Palatino Linotype" w:cs="Palatino Linotype"/>
          <w:b/>
          <w:bCs/>
        </w:rPr>
        <w:t xml:space="preserve"> </w:t>
      </w:r>
    </w:p>
    <w:p w:rsidR="000843CB" w:rsidRPr="00A910A1" w:rsidRDefault="000843CB">
      <w:pPr>
        <w:keepNext/>
        <w:keepLines/>
        <w:tabs>
          <w:tab w:val="left" w:pos="0"/>
        </w:tabs>
        <w:spacing w:line="360" w:lineRule="auto"/>
        <w:jc w:val="center"/>
        <w:rPr>
          <w:rFonts w:ascii="Palatino Linotype" w:eastAsia="Palatino Linotype" w:hAnsi="Palatino Linotype" w:cs="Palatino Linotype"/>
          <w:b/>
          <w:bCs/>
        </w:rPr>
      </w:pPr>
    </w:p>
    <w:p w:rsidR="000843CB" w:rsidRPr="00A910A1" w:rsidRDefault="00230BE6">
      <w:pPr>
        <w:numPr>
          <w:ilvl w:val="0"/>
          <w:numId w:val="1"/>
        </w:numPr>
        <w:tabs>
          <w:tab w:val="left" w:pos="0"/>
        </w:tabs>
        <w:spacing w:line="360" w:lineRule="auto"/>
        <w:ind w:left="0" w:firstLine="0"/>
        <w:jc w:val="both"/>
        <w:rPr>
          <w:rFonts w:ascii="Palatino Linotype" w:eastAsia="Palatino Linotype" w:hAnsi="Palatino Linotype" w:cs="Palatino Linotype"/>
        </w:rPr>
      </w:pPr>
      <w:r w:rsidRPr="00A910A1">
        <w:rPr>
          <w:rFonts w:ascii="Palatino Linotype" w:eastAsia="Palatino Linotype" w:hAnsi="Palatino Linotype" w:cs="Palatino Linotype"/>
        </w:rPr>
        <w:t xml:space="preserve">El </w:t>
      </w:r>
      <w:r w:rsidRPr="00A910A1">
        <w:rPr>
          <w:rFonts w:ascii="Palatino Linotype" w:eastAsia="Palatino Linotype" w:hAnsi="Palatino Linotype" w:cs="Palatino Linotype"/>
          <w:b/>
          <w:bCs/>
        </w:rPr>
        <w:t>ocho de octubre de dos mil veinticinco</w:t>
      </w:r>
      <w:r w:rsidRPr="00A910A1">
        <w:rPr>
          <w:rFonts w:ascii="Palatino Linotype" w:eastAsia="Palatino Linotype" w:hAnsi="Palatino Linotype" w:cs="Palatino Linotype"/>
        </w:rPr>
        <w:t>, el</w:t>
      </w:r>
      <w:r w:rsidRP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rPr>
        <w:t>solicitante</w:t>
      </w:r>
      <w:r w:rsidRP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rPr>
        <w:t>presentó</w:t>
      </w:r>
      <w:r w:rsidRP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rPr>
        <w:t xml:space="preserve">ante el </w:t>
      </w:r>
      <w:r w:rsidRPr="00A910A1">
        <w:rPr>
          <w:rFonts w:ascii="Palatino Linotype" w:eastAsia="Palatino Linotype" w:hAnsi="Palatino Linotype" w:cs="Palatino Linotype"/>
          <w:b/>
          <w:bCs/>
        </w:rPr>
        <w:t>SUJETO OBLIGADO,</w:t>
      </w:r>
      <w:r w:rsidRPr="00A910A1">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A910A1">
        <w:rPr>
          <w:rFonts w:ascii="Palatino Linotype" w:eastAsia="Palatino Linotype" w:hAnsi="Palatino Linotype" w:cs="Palatino Linotype"/>
          <w:b/>
          <w:bCs/>
        </w:rPr>
        <w:t> 00057/CIEEM/IP/2025</w:t>
      </w:r>
      <w:r w:rsidRPr="00A910A1">
        <w:rPr>
          <w:rFonts w:ascii="Palatino Linotype" w:eastAsia="Palatino Linotype" w:hAnsi="Palatino Linotype" w:cs="Palatino Linotype"/>
        </w:rPr>
        <w:t xml:space="preserve">, </w:t>
      </w:r>
      <w:r w:rsidR="00A910A1">
        <w:rPr>
          <w:rFonts w:ascii="Palatino Linotype" w:eastAsia="Palatino Linotype" w:hAnsi="Palatino Linotype" w:cs="Palatino Linotype"/>
        </w:rPr>
        <w:t xml:space="preserve">en la que </w:t>
      </w:r>
      <w:r w:rsidRPr="00A910A1">
        <w:rPr>
          <w:rFonts w:ascii="Palatino Linotype" w:eastAsia="Palatino Linotype" w:hAnsi="Palatino Linotype" w:cs="Palatino Linotype"/>
        </w:rPr>
        <w:t>se solicitó:</w:t>
      </w:r>
    </w:p>
    <w:p w:rsidR="000843CB" w:rsidRPr="00A910A1" w:rsidRDefault="000843CB">
      <w:pPr>
        <w:tabs>
          <w:tab w:val="left" w:pos="0"/>
        </w:tabs>
        <w:spacing w:line="360" w:lineRule="auto"/>
        <w:ind w:left="360"/>
        <w:jc w:val="both"/>
        <w:rPr>
          <w:rFonts w:ascii="Palatino Linotype" w:eastAsia="Palatino Linotype" w:hAnsi="Palatino Linotype" w:cs="Palatino Linotype"/>
        </w:rPr>
      </w:pPr>
    </w:p>
    <w:p w:rsidR="000843CB" w:rsidRPr="00A910A1" w:rsidRDefault="00230BE6">
      <w:pPr>
        <w:tabs>
          <w:tab w:val="left" w:pos="0"/>
        </w:tabs>
        <w:spacing w:line="360" w:lineRule="auto"/>
        <w:ind w:left="567" w:right="822"/>
        <w:jc w:val="both"/>
        <w:rPr>
          <w:rFonts w:ascii="Palatino Linotype" w:eastAsia="Palatino Linotype" w:hAnsi="Palatino Linotype" w:cs="Palatino Linotype"/>
          <w:i/>
          <w:iCs/>
        </w:rPr>
      </w:pPr>
      <w:r w:rsidRPr="00A910A1">
        <w:rPr>
          <w:rFonts w:ascii="Palatino Linotype" w:eastAsia="Palatino Linotype" w:hAnsi="Palatino Linotype" w:cs="Palatino Linotype"/>
          <w:i/>
          <w:iCs/>
        </w:rPr>
        <w:t>“</w:t>
      </w:r>
      <w:r w:rsidRPr="00A910A1">
        <w:rPr>
          <w:rFonts w:ascii="Palatino Linotype" w:eastAsia="Palatino Linotype" w:hAnsi="Palatino Linotype" w:cs="Palatino Linotype"/>
          <w:i/>
          <w:iCs/>
          <w:color w:val="000000"/>
        </w:rPr>
        <w:t>solicito las actas de los diferentes niveles de procesos, sea licitación, notificación, etimación o cualquier otra, donde interviene el ING MANUEL VERA DAVILA a nombre de las empresas MULTICONSTRUCCIONES CALVARIO SA DE CV, CARROCOT DISEÑO Y CONSTRUCCION SA DE CV, Y SOLUCIONES CONSTRUCTIVAS MONTERO en el IMIFE</w:t>
      </w:r>
      <w:r w:rsidRPr="00A910A1">
        <w:rPr>
          <w:rFonts w:ascii="Palatino Linotype" w:eastAsia="Palatino Linotype" w:hAnsi="Palatino Linotype" w:cs="Palatino Linotype"/>
          <w:i/>
          <w:iCs/>
        </w:rPr>
        <w:t>” (Sic)</w:t>
      </w:r>
    </w:p>
    <w:p w:rsidR="000843CB" w:rsidRPr="00A910A1" w:rsidRDefault="000843CB">
      <w:pPr>
        <w:tabs>
          <w:tab w:val="left" w:pos="0"/>
        </w:tabs>
        <w:spacing w:line="360" w:lineRule="auto"/>
        <w:ind w:right="49"/>
        <w:jc w:val="both"/>
        <w:rPr>
          <w:rFonts w:ascii="Palatino Linotype" w:eastAsia="Palatino Linotype" w:hAnsi="Palatino Linotype" w:cs="Palatino Linotype"/>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color w:val="000000"/>
        </w:rPr>
        <w:lastRenderedPageBreak/>
        <w:t>Se hace constar que se señaló como modalidad de entrega de la información a través de SAIMEX.</w:t>
      </w:r>
    </w:p>
    <w:p w:rsidR="000843CB" w:rsidRPr="00A910A1" w:rsidRDefault="000843CB">
      <w:pPr>
        <w:spacing w:line="360" w:lineRule="auto"/>
        <w:rPr>
          <w:rFonts w:ascii="Palatino Linotype" w:eastAsia="Palatino Linotype" w:hAnsi="Palatino Linotype" w:cs="Palatino Linotype"/>
        </w:rPr>
      </w:pPr>
    </w:p>
    <w:p w:rsidR="000843CB" w:rsidRPr="00A910A1" w:rsidRDefault="00230BE6">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A910A1">
        <w:rPr>
          <w:rFonts w:ascii="Palatino Linotype" w:eastAsia="Palatino Linotype" w:hAnsi="Palatino Linotype" w:cs="Palatino Linotype"/>
        </w:rPr>
        <w:t xml:space="preserve">El </w:t>
      </w:r>
      <w:r w:rsidRPr="00A910A1">
        <w:rPr>
          <w:rFonts w:ascii="Palatino Linotype" w:eastAsia="Palatino Linotype" w:hAnsi="Palatino Linotype" w:cs="Palatino Linotype"/>
          <w:b/>
          <w:bCs/>
        </w:rPr>
        <w:t>diecisiete de octubre de dos mil veinticinco</w:t>
      </w:r>
      <w:r w:rsidRPr="00A910A1">
        <w:rPr>
          <w:rFonts w:ascii="Palatino Linotype" w:eastAsia="Palatino Linotype" w:hAnsi="Palatino Linotype" w:cs="Palatino Linotype"/>
        </w:rPr>
        <w:t>, el Sujeto Obligado dio respuesta a la solicitud de información en el siguiente sentido:</w:t>
      </w:r>
    </w:p>
    <w:p w:rsidR="000843CB" w:rsidRPr="00A910A1" w:rsidRDefault="000843CB">
      <w:pPr>
        <w:tabs>
          <w:tab w:val="left" w:pos="0"/>
        </w:tabs>
        <w:spacing w:line="360" w:lineRule="auto"/>
        <w:ind w:right="34"/>
        <w:jc w:val="both"/>
        <w:rPr>
          <w:rFonts w:ascii="Palatino Linotype" w:eastAsia="Palatino Linotype" w:hAnsi="Palatino Linotype" w:cs="Palatino Linotype"/>
        </w:rPr>
      </w:pPr>
    </w:p>
    <w:tbl>
      <w:tblPr>
        <w:tblStyle w:val="a"/>
        <w:tblW w:w="7593" w:type="dxa"/>
        <w:jc w:val="center"/>
        <w:tblInd w:w="0" w:type="dxa"/>
        <w:tblLayout w:type="fixed"/>
        <w:tblLook w:val="0400" w:firstRow="0" w:lastRow="0" w:firstColumn="0" w:lastColumn="0" w:noHBand="0" w:noVBand="1"/>
      </w:tblPr>
      <w:tblGrid>
        <w:gridCol w:w="7593"/>
      </w:tblGrid>
      <w:tr w:rsidR="000843CB" w:rsidRPr="00A910A1">
        <w:trPr>
          <w:trHeight w:val="289"/>
          <w:jc w:val="center"/>
        </w:trPr>
        <w:tc>
          <w:tcPr>
            <w:tcW w:w="7593" w:type="dxa"/>
            <w:vAlign w:val="center"/>
          </w:tcPr>
          <w:p w:rsidR="000843CB" w:rsidRPr="00A910A1" w:rsidRDefault="00230BE6">
            <w:pPr>
              <w:jc w:val="right"/>
              <w:rPr>
                <w:rFonts w:ascii="Palatino Linotype" w:eastAsia="Palatino Linotype" w:hAnsi="Palatino Linotype" w:cs="Palatino Linotype"/>
                <w:i/>
                <w:iCs/>
              </w:rPr>
            </w:pPr>
            <w:r w:rsidRPr="00A910A1">
              <w:rPr>
                <w:rFonts w:ascii="Palatino Linotype" w:eastAsia="Palatino Linotype" w:hAnsi="Palatino Linotype" w:cs="Palatino Linotype"/>
                <w:i/>
                <w:iCs/>
              </w:rPr>
              <w:t>“Metepec, México a 17 de Octubre de 2025</w:t>
            </w:r>
          </w:p>
        </w:tc>
      </w:tr>
      <w:tr w:rsidR="000843CB" w:rsidRPr="00A910A1">
        <w:trPr>
          <w:trHeight w:val="289"/>
          <w:jc w:val="center"/>
        </w:trPr>
        <w:tc>
          <w:tcPr>
            <w:tcW w:w="7593" w:type="dxa"/>
            <w:vAlign w:val="center"/>
          </w:tcPr>
          <w:p w:rsidR="000843CB" w:rsidRPr="00A910A1" w:rsidRDefault="00230BE6">
            <w:pPr>
              <w:jc w:val="right"/>
              <w:rPr>
                <w:rFonts w:ascii="Palatino Linotype" w:eastAsia="Palatino Linotype" w:hAnsi="Palatino Linotype" w:cs="Palatino Linotype"/>
                <w:i/>
                <w:iCs/>
              </w:rPr>
            </w:pPr>
            <w:r w:rsidRPr="00A910A1">
              <w:rPr>
                <w:rFonts w:ascii="Palatino Linotype" w:eastAsia="Palatino Linotype" w:hAnsi="Palatino Linotype" w:cs="Palatino Linotype"/>
                <w:i/>
                <w:iCs/>
              </w:rPr>
              <w:t>Nombre del solicitante: C. Solicitante</w:t>
            </w:r>
          </w:p>
        </w:tc>
      </w:tr>
      <w:tr w:rsidR="000843CB" w:rsidRPr="00A910A1">
        <w:trPr>
          <w:trHeight w:val="289"/>
          <w:jc w:val="center"/>
        </w:trPr>
        <w:tc>
          <w:tcPr>
            <w:tcW w:w="7593" w:type="dxa"/>
            <w:vAlign w:val="center"/>
          </w:tcPr>
          <w:p w:rsidR="000843CB" w:rsidRPr="00A910A1" w:rsidRDefault="00230BE6">
            <w:pPr>
              <w:jc w:val="right"/>
              <w:rPr>
                <w:rFonts w:ascii="Palatino Linotype" w:eastAsia="Palatino Linotype" w:hAnsi="Palatino Linotype" w:cs="Palatino Linotype"/>
                <w:i/>
                <w:iCs/>
              </w:rPr>
            </w:pPr>
            <w:r w:rsidRPr="00A910A1">
              <w:rPr>
                <w:rFonts w:ascii="Palatino Linotype" w:eastAsia="Palatino Linotype" w:hAnsi="Palatino Linotype" w:cs="Palatino Linotype"/>
                <w:i/>
                <w:iCs/>
              </w:rPr>
              <w:t>Folio de la solicitud: 00057/CIEEM/IP/2025</w:t>
            </w:r>
          </w:p>
        </w:tc>
      </w:tr>
      <w:tr w:rsidR="000843CB" w:rsidRPr="00A910A1">
        <w:trPr>
          <w:trHeight w:val="434"/>
          <w:jc w:val="center"/>
        </w:trPr>
        <w:tc>
          <w:tcPr>
            <w:tcW w:w="7593" w:type="dxa"/>
            <w:vAlign w:val="center"/>
          </w:tcPr>
          <w:p w:rsidR="000843CB" w:rsidRPr="00A910A1" w:rsidRDefault="000843CB">
            <w:pPr>
              <w:jc w:val="right"/>
              <w:rPr>
                <w:rFonts w:ascii="Palatino Linotype" w:eastAsia="Palatino Linotype" w:hAnsi="Palatino Linotype" w:cs="Palatino Linotype"/>
                <w:i/>
                <w:iCs/>
              </w:rPr>
            </w:pPr>
          </w:p>
        </w:tc>
      </w:tr>
      <w:tr w:rsidR="000843CB" w:rsidRPr="00A910A1">
        <w:trPr>
          <w:trHeight w:val="144"/>
          <w:jc w:val="center"/>
        </w:trPr>
        <w:tc>
          <w:tcPr>
            <w:tcW w:w="7593" w:type="dxa"/>
            <w:vAlign w:val="center"/>
          </w:tcPr>
          <w:p w:rsidR="000843CB" w:rsidRPr="00A910A1" w:rsidRDefault="000843CB">
            <w:pPr>
              <w:jc w:val="center"/>
              <w:rPr>
                <w:rFonts w:ascii="Palatino Linotype" w:eastAsia="Palatino Linotype" w:hAnsi="Palatino Linotype" w:cs="Palatino Linotype"/>
                <w:i/>
                <w:iCs/>
              </w:rPr>
            </w:pPr>
          </w:p>
        </w:tc>
      </w:tr>
      <w:tr w:rsidR="000843CB" w:rsidRPr="00A910A1">
        <w:trPr>
          <w:trHeight w:val="362"/>
          <w:jc w:val="center"/>
        </w:trPr>
        <w:tc>
          <w:tcPr>
            <w:tcW w:w="7593" w:type="dxa"/>
            <w:vAlign w:val="center"/>
          </w:tcPr>
          <w:p w:rsidR="000843CB" w:rsidRPr="00A910A1" w:rsidRDefault="000843CB">
            <w:pPr>
              <w:rPr>
                <w:rFonts w:ascii="Palatino Linotype" w:eastAsia="Palatino Linotype" w:hAnsi="Palatino Linotype" w:cs="Palatino Linotype"/>
                <w:i/>
                <w:iCs/>
              </w:rPr>
            </w:pPr>
          </w:p>
        </w:tc>
      </w:tr>
      <w:tr w:rsidR="000843CB" w:rsidRPr="00A910A1">
        <w:trPr>
          <w:trHeight w:val="144"/>
          <w:jc w:val="center"/>
        </w:trPr>
        <w:tc>
          <w:tcPr>
            <w:tcW w:w="7593" w:type="dxa"/>
            <w:vAlign w:val="center"/>
          </w:tcPr>
          <w:p w:rsidR="000843CB" w:rsidRPr="00A910A1" w:rsidRDefault="00230BE6">
            <w:pPr>
              <w:rPr>
                <w:rFonts w:ascii="Palatino Linotype" w:eastAsia="Palatino Linotype" w:hAnsi="Palatino Linotype" w:cs="Palatino Linotype"/>
                <w:i/>
                <w:iCs/>
              </w:rPr>
            </w:pPr>
            <w:r w:rsidRPr="00A910A1">
              <w:rPr>
                <w:rFonts w:ascii="Palatino Linotype" w:eastAsia="Palatino Linotype" w:hAnsi="Palatino Linotype" w:cs="Palatino Linotype"/>
                <w:i/>
                <w:iCs/>
              </w:rPr>
              <w:t>Sobre el particular sírvase encontrar copia del oficio número 228C1501020100S/0792/2025 de fecha 15 de octubre de 2025, a través del cual se otorga respuesta a la solicitud de información número 00057/CIEEM/IP/2025.</w:t>
            </w:r>
          </w:p>
        </w:tc>
      </w:tr>
      <w:tr w:rsidR="000843CB" w:rsidRPr="00A910A1">
        <w:trPr>
          <w:trHeight w:val="362"/>
          <w:jc w:val="center"/>
        </w:trPr>
        <w:tc>
          <w:tcPr>
            <w:tcW w:w="7593" w:type="dxa"/>
            <w:vAlign w:val="center"/>
          </w:tcPr>
          <w:p w:rsidR="000843CB" w:rsidRPr="00A910A1" w:rsidRDefault="000843CB">
            <w:pPr>
              <w:rPr>
                <w:rFonts w:ascii="Palatino Linotype" w:eastAsia="Palatino Linotype" w:hAnsi="Palatino Linotype" w:cs="Palatino Linotype"/>
                <w:i/>
                <w:iCs/>
              </w:rPr>
            </w:pPr>
          </w:p>
        </w:tc>
      </w:tr>
      <w:tr w:rsidR="000843CB" w:rsidRPr="00A910A1">
        <w:trPr>
          <w:trHeight w:val="144"/>
          <w:jc w:val="center"/>
        </w:trPr>
        <w:tc>
          <w:tcPr>
            <w:tcW w:w="7593" w:type="dxa"/>
            <w:vAlign w:val="center"/>
          </w:tcPr>
          <w:p w:rsidR="000843CB" w:rsidRPr="00A910A1" w:rsidRDefault="000843CB">
            <w:pPr>
              <w:jc w:val="center"/>
              <w:rPr>
                <w:rFonts w:ascii="Palatino Linotype" w:eastAsia="Palatino Linotype" w:hAnsi="Palatino Linotype" w:cs="Palatino Linotype"/>
                <w:i/>
                <w:iCs/>
              </w:rPr>
            </w:pPr>
          </w:p>
        </w:tc>
      </w:tr>
      <w:tr w:rsidR="000843CB" w:rsidRPr="00A910A1">
        <w:trPr>
          <w:trHeight w:val="144"/>
          <w:jc w:val="center"/>
        </w:trPr>
        <w:tc>
          <w:tcPr>
            <w:tcW w:w="7593" w:type="dxa"/>
            <w:vAlign w:val="center"/>
          </w:tcPr>
          <w:p w:rsidR="000843CB" w:rsidRPr="00A910A1" w:rsidRDefault="000843CB">
            <w:pPr>
              <w:rPr>
                <w:rFonts w:ascii="Palatino Linotype" w:eastAsia="Palatino Linotype" w:hAnsi="Palatino Linotype" w:cs="Palatino Linotype"/>
                <w:i/>
                <w:iCs/>
              </w:rPr>
            </w:pPr>
          </w:p>
        </w:tc>
      </w:tr>
      <w:tr w:rsidR="000843CB" w:rsidRPr="00A910A1">
        <w:trPr>
          <w:trHeight w:val="144"/>
          <w:jc w:val="center"/>
        </w:trPr>
        <w:tc>
          <w:tcPr>
            <w:tcW w:w="7593" w:type="dxa"/>
            <w:vAlign w:val="center"/>
          </w:tcPr>
          <w:p w:rsidR="000843CB" w:rsidRPr="00A910A1" w:rsidRDefault="00230BE6">
            <w:pPr>
              <w:rPr>
                <w:rFonts w:ascii="Palatino Linotype" w:eastAsia="Palatino Linotype" w:hAnsi="Palatino Linotype" w:cs="Palatino Linotype"/>
                <w:i/>
                <w:iCs/>
              </w:rPr>
            </w:pPr>
            <w:r w:rsidRPr="00A910A1">
              <w:rPr>
                <w:rFonts w:ascii="Palatino Linotype" w:eastAsia="Palatino Linotype" w:hAnsi="Palatino Linotype" w:cs="Palatino Linotype"/>
                <w:i/>
                <w:iCs/>
              </w:rPr>
              <w:t>ATENTAMENTE</w:t>
            </w:r>
          </w:p>
        </w:tc>
      </w:tr>
      <w:tr w:rsidR="000843CB" w:rsidRPr="00A910A1">
        <w:trPr>
          <w:trHeight w:val="217"/>
          <w:jc w:val="center"/>
        </w:trPr>
        <w:tc>
          <w:tcPr>
            <w:tcW w:w="7593" w:type="dxa"/>
            <w:vAlign w:val="center"/>
          </w:tcPr>
          <w:p w:rsidR="000843CB" w:rsidRPr="00A910A1" w:rsidRDefault="000843CB">
            <w:pPr>
              <w:rPr>
                <w:rFonts w:ascii="Palatino Linotype" w:eastAsia="Palatino Linotype" w:hAnsi="Palatino Linotype" w:cs="Palatino Linotype"/>
                <w:i/>
                <w:iCs/>
              </w:rPr>
            </w:pPr>
          </w:p>
        </w:tc>
      </w:tr>
      <w:tr w:rsidR="000843CB" w:rsidRPr="00A910A1">
        <w:trPr>
          <w:trHeight w:val="144"/>
          <w:jc w:val="center"/>
        </w:trPr>
        <w:tc>
          <w:tcPr>
            <w:tcW w:w="7593" w:type="dxa"/>
            <w:vAlign w:val="center"/>
          </w:tcPr>
          <w:p w:rsidR="000843CB" w:rsidRPr="00A910A1" w:rsidRDefault="00230BE6">
            <w:pPr>
              <w:rPr>
                <w:rFonts w:ascii="Palatino Linotype" w:eastAsia="Palatino Linotype" w:hAnsi="Palatino Linotype" w:cs="Palatino Linotype"/>
                <w:i/>
                <w:iCs/>
              </w:rPr>
            </w:pPr>
            <w:r w:rsidRPr="00A910A1">
              <w:rPr>
                <w:rFonts w:ascii="Palatino Linotype" w:eastAsia="Palatino Linotype" w:hAnsi="Palatino Linotype" w:cs="Palatino Linotype"/>
                <w:i/>
                <w:iCs/>
              </w:rPr>
              <w:t>L.D. NALLALALY MITCHEL GARCÍA MONTERO”</w:t>
            </w:r>
          </w:p>
        </w:tc>
      </w:tr>
    </w:tbl>
    <w:p w:rsidR="000843CB" w:rsidRPr="00A910A1" w:rsidRDefault="000843CB">
      <w:pPr>
        <w:tabs>
          <w:tab w:val="left" w:pos="0"/>
        </w:tabs>
        <w:spacing w:line="360" w:lineRule="auto"/>
        <w:ind w:right="34"/>
        <w:jc w:val="both"/>
        <w:rPr>
          <w:rFonts w:ascii="Palatino Linotype" w:eastAsia="Palatino Linotype" w:hAnsi="Palatino Linotype" w:cs="Palatino Linotype"/>
        </w:rPr>
      </w:pPr>
    </w:p>
    <w:p w:rsidR="000843CB" w:rsidRPr="00A910A1" w:rsidRDefault="00230BE6" w:rsidP="00CE235F">
      <w:pPr>
        <w:numPr>
          <w:ilvl w:val="0"/>
          <w:numId w:val="2"/>
        </w:numPr>
        <w:pBdr>
          <w:top w:val="nil"/>
          <w:left w:val="nil"/>
          <w:bottom w:val="nil"/>
          <w:right w:val="nil"/>
          <w:between w:val="nil"/>
        </w:pBdr>
        <w:tabs>
          <w:tab w:val="left" w:pos="0"/>
        </w:tabs>
        <w:spacing w:line="360" w:lineRule="auto"/>
        <w:ind w:left="0" w:right="34" w:firstLine="0"/>
        <w:jc w:val="both"/>
        <w:rPr>
          <w:rFonts w:ascii="Palatino Linotype" w:eastAsia="Palatino Linotype" w:hAnsi="Palatino Linotype" w:cs="Palatino Linotype"/>
          <w:color w:val="000000"/>
        </w:rPr>
      </w:pPr>
      <w:bookmarkStart w:id="2" w:name="_heading=h.i8zq3vfv6ur5" w:colFirst="0" w:colLast="0"/>
      <w:bookmarkEnd w:id="2"/>
      <w:r w:rsidRPr="00A910A1">
        <w:rPr>
          <w:rFonts w:ascii="Palatino Linotype" w:eastAsia="Palatino Linotype" w:hAnsi="Palatino Linotype" w:cs="Palatino Linotype"/>
          <w:color w:val="000000"/>
        </w:rPr>
        <w:t xml:space="preserve">A la respuesta se adjuntó el archivo </w:t>
      </w:r>
      <w:hyperlink r:id="rId8">
        <w:r w:rsidRPr="00A910A1">
          <w:rPr>
            <w:rFonts w:ascii="Palatino Linotype" w:eastAsia="Palatino Linotype" w:hAnsi="Palatino Linotype" w:cs="Palatino Linotype"/>
            <w:b/>
            <w:bCs/>
            <w:color w:val="0563C1"/>
            <w:u w:val="single"/>
          </w:rPr>
          <w:t>R SOL 57-25.pdf</w:t>
        </w:r>
      </w:hyperlink>
      <w:r w:rsidRPr="00A910A1">
        <w:rPr>
          <w:rFonts w:ascii="Palatino Linotype" w:eastAsia="Palatino Linotype" w:hAnsi="Palatino Linotype" w:cs="Palatino Linotype"/>
          <w:color w:val="000000"/>
        </w:rPr>
        <w:t xml:space="preserve">, en el que se advierten los documentos que, </w:t>
      </w:r>
      <w:r w:rsidRPr="00A910A1">
        <w:rPr>
          <w:rFonts w:ascii="Palatino Linotype" w:eastAsia="Palatino Linotype" w:hAnsi="Palatino Linotype" w:cs="Palatino Linotype"/>
          <w:i/>
          <w:iCs/>
          <w:color w:val="000000"/>
        </w:rPr>
        <w:t>grosso modo</w:t>
      </w:r>
      <w:r w:rsidRPr="00A910A1">
        <w:rPr>
          <w:rFonts w:ascii="Palatino Linotype" w:eastAsia="Palatino Linotype" w:hAnsi="Palatino Linotype" w:cs="Palatino Linotype"/>
          <w:color w:val="000000"/>
        </w:rPr>
        <w:t>, refieren lo siguiente:</w:t>
      </w:r>
    </w:p>
    <w:p w:rsidR="000843CB" w:rsidRPr="00A910A1" w:rsidRDefault="000843CB">
      <w:pPr>
        <w:pBdr>
          <w:top w:val="nil"/>
          <w:left w:val="nil"/>
          <w:bottom w:val="nil"/>
          <w:right w:val="nil"/>
          <w:between w:val="nil"/>
        </w:pBdr>
        <w:tabs>
          <w:tab w:val="left" w:pos="0"/>
        </w:tabs>
        <w:spacing w:line="360" w:lineRule="auto"/>
        <w:ind w:left="720" w:right="34"/>
        <w:jc w:val="both"/>
        <w:rPr>
          <w:rFonts w:ascii="Palatino Linotype" w:eastAsia="Palatino Linotype" w:hAnsi="Palatino Linotype" w:cs="Palatino Linotype"/>
          <w:color w:val="000000"/>
        </w:rPr>
      </w:pPr>
    </w:p>
    <w:p w:rsidR="000843CB" w:rsidRPr="00A910A1" w:rsidRDefault="00230BE6" w:rsidP="00A910A1">
      <w:pPr>
        <w:numPr>
          <w:ilvl w:val="0"/>
          <w:numId w:val="3"/>
        </w:numPr>
        <w:pBdr>
          <w:top w:val="nil"/>
          <w:left w:val="nil"/>
          <w:bottom w:val="nil"/>
          <w:right w:val="nil"/>
          <w:between w:val="nil"/>
        </w:pBdr>
        <w:tabs>
          <w:tab w:val="left" w:pos="0"/>
        </w:tabs>
        <w:spacing w:line="360" w:lineRule="auto"/>
        <w:ind w:left="0" w:right="34"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Oficio número </w:t>
      </w:r>
      <w:r w:rsidRPr="00A910A1">
        <w:rPr>
          <w:rFonts w:ascii="Palatino Linotype" w:eastAsia="Palatino Linotype" w:hAnsi="Palatino Linotype" w:cs="Palatino Linotype"/>
          <w:b/>
          <w:bCs/>
          <w:color w:val="000000"/>
        </w:rPr>
        <w:t>228C1501020100S/0792/2025</w:t>
      </w:r>
      <w:r w:rsidRPr="00A910A1">
        <w:rPr>
          <w:rFonts w:ascii="Palatino Linotype" w:eastAsia="Palatino Linotype" w:hAnsi="Palatino Linotype" w:cs="Palatino Linotype"/>
          <w:color w:val="000000"/>
        </w:rPr>
        <w:t>, de fecha quince de octubre de dos mil veinticinco, suscrito por el Titular de la Unidad de Información, Planeación, Programación y Evaluación y Titular de la Unidad de Transparencia, quien señaló “</w:t>
      </w:r>
      <w:r w:rsidRPr="00A910A1">
        <w:rPr>
          <w:rFonts w:ascii="Palatino Linotype" w:eastAsia="Palatino Linotype" w:hAnsi="Palatino Linotype" w:cs="Palatino Linotype"/>
          <w:i/>
          <w:iCs/>
          <w:color w:val="000000"/>
        </w:rPr>
        <w:t xml:space="preserve">Sobre el particular, atendiendo </w:t>
      </w:r>
      <w:r w:rsidRPr="00A910A1">
        <w:rPr>
          <w:rFonts w:ascii="Palatino Linotype" w:eastAsia="Palatino Linotype" w:hAnsi="Palatino Linotype" w:cs="Palatino Linotype"/>
          <w:i/>
          <w:iCs/>
          <w:color w:val="000000"/>
        </w:rPr>
        <w:lastRenderedPageBreak/>
        <w:t>a lo establecido por el artículo 12 de la Ley de Transparencia y Acceso a la Información Pública del Estado de México y Municipios, mismo que estipula, que los sujetos obligados sólo proporcionarán la información pública que obre en sus archivos y en el estado en que ésta se encuentre, se adjunta en archivo electrónico, los oficios números 228C1501030000L/1321/2025 y 228C1501020000L/1837/2025, signados por el Coordinador de Administración y Finanzas y el Coordinador de Obra, a través de los cuales, se detalla lo referente a su solicitud y se otorga respuesta. Es importantes destacar que, el período de búsqueda de la información realizada por este sujeto obligado, atiende a lo estipulado por el criterio orientador No. 3/19, emitido por la otrora Instituto Nacional de Transparencia, Acceso a la Información y Protección de Datos Personales; el cual refiere que, cuando la persona solicitante no señale el periodo respecto del cual requiere la información se considerará que el requerimiento se refiere al año inmediato anterior, contado a partir de la fecha de recepción de la solicitud</w:t>
      </w:r>
      <w:r w:rsidRPr="00A910A1">
        <w:rPr>
          <w:rFonts w:ascii="Palatino Linotype" w:eastAsia="Palatino Linotype" w:hAnsi="Palatino Linotype" w:cs="Palatino Linotype"/>
          <w:color w:val="000000"/>
        </w:rPr>
        <w:t>.”</w:t>
      </w:r>
    </w:p>
    <w:p w:rsidR="000843CB" w:rsidRPr="00A910A1" w:rsidRDefault="000843CB">
      <w:pPr>
        <w:pBdr>
          <w:top w:val="nil"/>
          <w:left w:val="nil"/>
          <w:bottom w:val="nil"/>
          <w:right w:val="nil"/>
          <w:between w:val="nil"/>
        </w:pBdr>
        <w:tabs>
          <w:tab w:val="left" w:pos="0"/>
        </w:tabs>
        <w:spacing w:line="360" w:lineRule="auto"/>
        <w:ind w:left="1080" w:right="34"/>
        <w:jc w:val="both"/>
        <w:rPr>
          <w:rFonts w:ascii="Palatino Linotype" w:eastAsia="Palatino Linotype" w:hAnsi="Palatino Linotype" w:cs="Palatino Linotype"/>
          <w:color w:val="000000"/>
        </w:rPr>
      </w:pPr>
    </w:p>
    <w:p w:rsidR="000843CB" w:rsidRPr="00A910A1" w:rsidRDefault="00230BE6" w:rsidP="00A910A1">
      <w:pPr>
        <w:numPr>
          <w:ilvl w:val="0"/>
          <w:numId w:val="3"/>
        </w:numPr>
        <w:pBdr>
          <w:top w:val="nil"/>
          <w:left w:val="nil"/>
          <w:bottom w:val="nil"/>
          <w:right w:val="nil"/>
          <w:between w:val="nil"/>
        </w:pBdr>
        <w:tabs>
          <w:tab w:val="left" w:pos="0"/>
        </w:tabs>
        <w:spacing w:line="360" w:lineRule="auto"/>
        <w:ind w:left="0" w:right="34"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Oficio número </w:t>
      </w:r>
      <w:r w:rsidRPr="00A910A1">
        <w:rPr>
          <w:rFonts w:ascii="Palatino Linotype" w:eastAsia="Palatino Linotype" w:hAnsi="Palatino Linotype" w:cs="Palatino Linotype"/>
          <w:b/>
          <w:bCs/>
          <w:color w:val="000000"/>
        </w:rPr>
        <w:t>228C1501020000L/1837/2025</w:t>
      </w:r>
      <w:r w:rsidRPr="00A910A1">
        <w:rPr>
          <w:rFonts w:ascii="Palatino Linotype" w:eastAsia="Palatino Linotype" w:hAnsi="Palatino Linotype" w:cs="Palatino Linotype"/>
          <w:color w:val="000000"/>
        </w:rPr>
        <w:t xml:space="preserve"> de fecha quince de octubre de dos mil veinticinco, suscrito por el Coordinador de Obra, quien señaló “</w:t>
      </w:r>
      <w:r w:rsidRPr="00A910A1">
        <w:rPr>
          <w:rFonts w:ascii="Palatino Linotype" w:eastAsia="Palatino Linotype" w:hAnsi="Palatino Linotype" w:cs="Palatino Linotype"/>
          <w:i/>
          <w:iCs/>
          <w:color w:val="000000"/>
        </w:rPr>
        <w:t>Con fundamento en lo establecido en los artículos 1, 3 fracción XXXIX, 4 segundo párrafo, 12 segundo párrafo, y 59 fracciones I, II y III de la Ley de Transparencia y Acceso a la Información Pública del Estado de México y Municipios y derivado de una búsqueda exhaustiva y razonada los archivos de esta Unidad Administrativa, hago de su conocimiento que, derivado de una búsqueda exhaustiva y razonada en los archivos de esta Unidad Administrativa, no se localizó información donde intervenga el ING MANUEL VERA DAVILA a nombre de las empresas MULTICONSTRUCCIONES CALVARIO SA DE CV, CARROCOT DISEÑO Y CONSTRUCCION SA DE CV, Y SOLUCIONES CONSTRUCTIVAS MONTERO en el IMIFE, durante el año inmediato anterior, de conformidad con el periodo de búsqueda establecido en el criterio orientador número 3/19, emitido por la otrora Instituto Nacional de Transparencia, Acceso a la Información y Protección de Datos</w:t>
      </w:r>
      <w:r w:rsidRPr="00A910A1">
        <w:rPr>
          <w:rFonts w:ascii="Palatino Linotype" w:eastAsia="Palatino Linotype" w:hAnsi="Palatino Linotype" w:cs="Palatino Linotype"/>
          <w:color w:val="000000"/>
        </w:rPr>
        <w:t xml:space="preserve">”. </w:t>
      </w:r>
    </w:p>
    <w:p w:rsidR="000843CB" w:rsidRPr="00A910A1" w:rsidRDefault="00230BE6" w:rsidP="00A910A1">
      <w:pPr>
        <w:numPr>
          <w:ilvl w:val="0"/>
          <w:numId w:val="3"/>
        </w:numPr>
        <w:pBdr>
          <w:top w:val="nil"/>
          <w:left w:val="nil"/>
          <w:bottom w:val="nil"/>
          <w:right w:val="nil"/>
          <w:between w:val="nil"/>
        </w:pBdr>
        <w:tabs>
          <w:tab w:val="left" w:pos="0"/>
        </w:tabs>
        <w:spacing w:line="360" w:lineRule="auto"/>
        <w:ind w:left="0" w:right="34"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lastRenderedPageBreak/>
        <w:t xml:space="preserve">Oficio número </w:t>
      </w:r>
      <w:r w:rsidRPr="00A910A1">
        <w:rPr>
          <w:rFonts w:ascii="Palatino Linotype" w:eastAsia="Palatino Linotype" w:hAnsi="Palatino Linotype" w:cs="Palatino Linotype"/>
          <w:b/>
          <w:bCs/>
          <w:color w:val="000000"/>
        </w:rPr>
        <w:t>228C1501030000L/1321/2025</w:t>
      </w:r>
      <w:r w:rsidRPr="00A910A1">
        <w:rPr>
          <w:rFonts w:ascii="Palatino Linotype" w:eastAsia="Palatino Linotype" w:hAnsi="Palatino Linotype" w:cs="Palatino Linotype"/>
          <w:color w:val="000000"/>
        </w:rPr>
        <w:t xml:space="preserve"> de fecha catorce de octubre de dos mil veinticinco, suscrito por el Coordinador de Administración y Finanzas, quien señaló “</w:t>
      </w:r>
      <w:r w:rsidRPr="00A910A1">
        <w:rPr>
          <w:rFonts w:ascii="Palatino Linotype" w:eastAsia="Palatino Linotype" w:hAnsi="Palatino Linotype" w:cs="Palatino Linotype"/>
          <w:i/>
          <w:iCs/>
          <w:color w:val="000000"/>
        </w:rPr>
        <w:t>Al respecto, informo a usted que, en la revisión del archivo contable del año inmediato anterior. referente a los procesos que se llevan a cabo en del Departamento de Adquisiciones; ni el Ing. Manuel Vera Dávila ni las empresas referenciadas tienen contratos relacionados con la adquisición de bienes y/o servicios, registrados en el Instituto</w:t>
      </w:r>
      <w:r w:rsidRPr="00A910A1">
        <w:rPr>
          <w:rFonts w:ascii="Palatino Linotype" w:eastAsia="Palatino Linotype" w:hAnsi="Palatino Linotype" w:cs="Palatino Linotype"/>
          <w:color w:val="000000"/>
        </w:rPr>
        <w:t xml:space="preserve">”. </w:t>
      </w:r>
    </w:p>
    <w:p w:rsidR="000843CB" w:rsidRPr="00A910A1" w:rsidRDefault="000843CB">
      <w:pPr>
        <w:tabs>
          <w:tab w:val="left" w:pos="0"/>
        </w:tabs>
        <w:spacing w:line="360" w:lineRule="auto"/>
        <w:ind w:right="34"/>
        <w:jc w:val="both"/>
        <w:rPr>
          <w:rFonts w:ascii="Palatino Linotype" w:eastAsia="Palatino Linotype" w:hAnsi="Palatino Linotype" w:cs="Palatino Linotype"/>
        </w:rPr>
      </w:pPr>
    </w:p>
    <w:p w:rsidR="000843CB" w:rsidRPr="00A910A1" w:rsidRDefault="00230B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bCs/>
          <w:color w:val="000000"/>
        </w:rPr>
      </w:pPr>
      <w:r w:rsidRPr="00A910A1">
        <w:rPr>
          <w:rFonts w:ascii="Palatino Linotype" w:eastAsia="Palatino Linotype" w:hAnsi="Palatino Linotype" w:cs="Palatino Linotype"/>
          <w:color w:val="000000"/>
        </w:rPr>
        <w:t xml:space="preserve">En lo sucesivo el </w:t>
      </w:r>
      <w:r w:rsidRPr="00A910A1">
        <w:rPr>
          <w:rFonts w:ascii="Palatino Linotype" w:eastAsia="Palatino Linotype" w:hAnsi="Palatino Linotype" w:cs="Palatino Linotype"/>
          <w:b/>
          <w:bCs/>
          <w:color w:val="000000"/>
        </w:rPr>
        <w:t>diecinueve de octubre de dos mil veinticinco,</w:t>
      </w:r>
      <w:r w:rsidRPr="00A910A1">
        <w:rPr>
          <w:rFonts w:ascii="Palatino Linotype" w:eastAsia="Palatino Linotype" w:hAnsi="Palatino Linotype" w:cs="Palatino Linotype"/>
          <w:color w:val="000000"/>
        </w:rPr>
        <w:t xml:space="preserve"> </w:t>
      </w:r>
      <w:r w:rsidRPr="00A910A1">
        <w:rPr>
          <w:rFonts w:ascii="Palatino Linotype" w:eastAsia="Palatino Linotype" w:hAnsi="Palatino Linotype" w:cs="Palatino Linotype"/>
          <w:b/>
          <w:bCs/>
          <w:color w:val="000000"/>
        </w:rPr>
        <w:t xml:space="preserve"> </w:t>
      </w:r>
      <w:r w:rsidRPr="00A910A1">
        <w:rPr>
          <w:rFonts w:ascii="Palatino Linotype" w:eastAsia="Palatino Linotype" w:hAnsi="Palatino Linotype" w:cs="Palatino Linotype"/>
          <w:color w:val="000000"/>
        </w:rPr>
        <w:t>el solicitante interpuso el recurso de revisión, señalando como:</w:t>
      </w:r>
    </w:p>
    <w:p w:rsidR="000843CB" w:rsidRPr="00A910A1" w:rsidRDefault="000843C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bCs/>
          <w:color w:val="000000"/>
        </w:rPr>
      </w:pPr>
    </w:p>
    <w:p w:rsidR="000843CB" w:rsidRPr="00A910A1" w:rsidRDefault="00A910A1" w:rsidP="00CE235F">
      <w:pPr>
        <w:pStyle w:val="Prrafodelista"/>
        <w:numPr>
          <w:ilvl w:val="0"/>
          <w:numId w:val="4"/>
        </w:numPr>
        <w:tabs>
          <w:tab w:val="left" w:pos="8222"/>
        </w:tabs>
        <w:spacing w:line="360" w:lineRule="auto"/>
        <w:ind w:left="567" w:right="567"/>
        <w:jc w:val="both"/>
        <w:rPr>
          <w:rFonts w:ascii="Palatino Linotype" w:eastAsia="Palatino Linotype" w:hAnsi="Palatino Linotype" w:cs="Palatino Linotype"/>
          <w:i/>
          <w:iCs/>
          <w:sz w:val="24"/>
        </w:rPr>
      </w:pPr>
      <w:r w:rsidRPr="00A910A1">
        <w:rPr>
          <w:rFonts w:ascii="Palatino Linotype" w:eastAsia="Palatino Linotype" w:hAnsi="Palatino Linotype" w:cs="Palatino Linotype"/>
          <w:b/>
          <w:bCs/>
          <w:sz w:val="24"/>
        </w:rPr>
        <w:t>ACTO IMPUGNADO</w:t>
      </w:r>
      <w:r w:rsidR="00230BE6" w:rsidRPr="00A910A1">
        <w:rPr>
          <w:rFonts w:ascii="Palatino Linotype" w:eastAsia="Palatino Linotype" w:hAnsi="Palatino Linotype" w:cs="Palatino Linotype"/>
          <w:b/>
          <w:bCs/>
          <w:sz w:val="24"/>
        </w:rPr>
        <w:t>:</w:t>
      </w:r>
      <w:r w:rsidR="00230BE6" w:rsidRPr="00A910A1">
        <w:rPr>
          <w:rFonts w:ascii="Palatino Linotype" w:eastAsia="Palatino Linotype" w:hAnsi="Palatino Linotype" w:cs="Palatino Linotype"/>
          <w:i/>
          <w:iCs/>
          <w:sz w:val="24"/>
        </w:rPr>
        <w:t xml:space="preserve"> </w:t>
      </w:r>
      <w:r w:rsidR="00230BE6" w:rsidRPr="00A910A1">
        <w:rPr>
          <w:rFonts w:ascii="Palatino Linotype" w:eastAsia="Palatino Linotype" w:hAnsi="Palatino Linotype" w:cs="Palatino Linotype"/>
          <w:sz w:val="24"/>
        </w:rPr>
        <w:t>“</w:t>
      </w:r>
      <w:r w:rsidR="00230BE6" w:rsidRPr="00A910A1">
        <w:rPr>
          <w:rFonts w:ascii="Palatino Linotype" w:eastAsia="Palatino Linotype" w:hAnsi="Palatino Linotype" w:cs="Palatino Linotype"/>
          <w:i/>
          <w:iCs/>
          <w:color w:val="000000"/>
          <w:sz w:val="24"/>
        </w:rPr>
        <w:t>se solicita nuevamente la información desde año 2018 a2023”</w:t>
      </w:r>
      <w:r w:rsidR="00230BE6" w:rsidRPr="00A910A1">
        <w:rPr>
          <w:rFonts w:ascii="Palatino Linotype" w:eastAsia="Palatino Linotype" w:hAnsi="Palatino Linotype" w:cs="Palatino Linotype"/>
          <w:i/>
          <w:iCs/>
          <w:sz w:val="24"/>
        </w:rPr>
        <w:t xml:space="preserve"> (Sic) </w:t>
      </w:r>
    </w:p>
    <w:p w:rsidR="000843CB" w:rsidRPr="00A910A1" w:rsidRDefault="000843CB" w:rsidP="00CE235F">
      <w:pPr>
        <w:tabs>
          <w:tab w:val="left" w:pos="0"/>
        </w:tabs>
        <w:spacing w:line="360" w:lineRule="auto"/>
        <w:ind w:left="567" w:hanging="141"/>
        <w:rPr>
          <w:rFonts w:ascii="Palatino Linotype" w:eastAsia="Palatino Linotype" w:hAnsi="Palatino Linotype" w:cs="Palatino Linotype"/>
          <w:i/>
          <w:iCs/>
        </w:rPr>
      </w:pPr>
    </w:p>
    <w:p w:rsidR="000843CB" w:rsidRPr="00A910A1" w:rsidRDefault="00CE235F" w:rsidP="00CE235F">
      <w:pPr>
        <w:pStyle w:val="Prrafodelista"/>
        <w:numPr>
          <w:ilvl w:val="0"/>
          <w:numId w:val="4"/>
        </w:numPr>
        <w:tabs>
          <w:tab w:val="left" w:pos="851"/>
        </w:tabs>
        <w:spacing w:line="360" w:lineRule="auto"/>
        <w:ind w:left="567" w:right="567"/>
        <w:jc w:val="both"/>
        <w:rPr>
          <w:rFonts w:ascii="Palatino Linotype" w:eastAsia="Palatino Linotype" w:hAnsi="Palatino Linotype" w:cs="Palatino Linotype"/>
          <w:i/>
          <w:iCs/>
          <w:sz w:val="24"/>
        </w:rPr>
      </w:pPr>
      <w:r w:rsidRPr="00A910A1">
        <w:rPr>
          <w:rFonts w:ascii="Palatino Linotype" w:eastAsia="Palatino Linotype" w:hAnsi="Palatino Linotype" w:cs="Palatino Linotype"/>
          <w:b/>
          <w:bCs/>
          <w:sz w:val="24"/>
        </w:rPr>
        <w:t>RAZONES O MOTIVOS DE INCONFORMIDAD</w:t>
      </w:r>
      <w:r w:rsidR="00230BE6" w:rsidRPr="00A910A1">
        <w:rPr>
          <w:rFonts w:ascii="Palatino Linotype" w:eastAsia="Palatino Linotype" w:hAnsi="Palatino Linotype" w:cs="Palatino Linotype"/>
          <w:b/>
          <w:bCs/>
          <w:sz w:val="24"/>
        </w:rPr>
        <w:t xml:space="preserve">: </w:t>
      </w:r>
      <w:r w:rsidR="00230BE6" w:rsidRPr="00A910A1">
        <w:rPr>
          <w:rFonts w:ascii="Palatino Linotype" w:eastAsia="Palatino Linotype" w:hAnsi="Palatino Linotype" w:cs="Palatino Linotype"/>
          <w:sz w:val="24"/>
        </w:rPr>
        <w:t>“</w:t>
      </w:r>
      <w:r w:rsidR="00230BE6" w:rsidRPr="00A910A1">
        <w:rPr>
          <w:rFonts w:ascii="Palatino Linotype" w:eastAsia="Palatino Linotype" w:hAnsi="Palatino Linotype" w:cs="Palatino Linotype"/>
          <w:i/>
          <w:iCs/>
          <w:sz w:val="24"/>
        </w:rPr>
        <w:t>buscar desde 2018 a 2023” (sic)</w:t>
      </w:r>
    </w:p>
    <w:p w:rsidR="000843CB" w:rsidRPr="00A910A1" w:rsidRDefault="000843CB">
      <w:pPr>
        <w:tabs>
          <w:tab w:val="left" w:pos="851"/>
        </w:tabs>
        <w:spacing w:line="360" w:lineRule="auto"/>
        <w:ind w:right="567"/>
        <w:jc w:val="both"/>
        <w:rPr>
          <w:rFonts w:ascii="Palatino Linotype" w:eastAsia="Palatino Linotype" w:hAnsi="Palatino Linotype" w:cs="Palatino Linotype"/>
        </w:rPr>
      </w:pPr>
    </w:p>
    <w:p w:rsidR="000843CB" w:rsidRPr="00A910A1" w:rsidRDefault="00230BE6">
      <w:pPr>
        <w:numPr>
          <w:ilvl w:val="0"/>
          <w:numId w:val="1"/>
        </w:numPr>
        <w:spacing w:line="360" w:lineRule="auto"/>
        <w:ind w:left="0" w:firstLine="0"/>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A910A1">
        <w:rPr>
          <w:rFonts w:ascii="Palatino Linotype" w:eastAsia="Palatino Linotype" w:hAnsi="Palatino Linotype" w:cs="Palatino Linotype"/>
          <w:b/>
          <w:bCs/>
        </w:rPr>
        <w:t>Comisionada María del Rosario Mejía Ayala</w:t>
      </w:r>
      <w:r w:rsidR="00A910A1">
        <w:rPr>
          <w:rFonts w:ascii="Palatino Linotype" w:eastAsia="Palatino Linotype" w:hAnsi="Palatino Linotype" w:cs="Palatino Linotype"/>
          <w:b/>
          <w:bCs/>
        </w:rPr>
        <w:t>,</w:t>
      </w:r>
      <w:r w:rsidRPr="00A910A1">
        <w:rPr>
          <w:rFonts w:ascii="Palatino Linotype" w:eastAsia="Palatino Linotype" w:hAnsi="Palatino Linotype" w:cs="Palatino Linotype"/>
        </w:rPr>
        <w:t xml:space="preserve"> </w:t>
      </w:r>
      <w:r w:rsidR="00A910A1">
        <w:rPr>
          <w:rFonts w:ascii="Palatino Linotype" w:eastAsia="Palatino Linotype" w:hAnsi="Palatino Linotype" w:cs="Palatino Linotype"/>
        </w:rPr>
        <w:t>para</w:t>
      </w:r>
      <w:r w:rsidRPr="00A910A1">
        <w:rPr>
          <w:rFonts w:ascii="Palatino Linotype" w:eastAsia="Palatino Linotype" w:hAnsi="Palatino Linotype" w:cs="Palatino Linotype"/>
        </w:rPr>
        <w:t xml:space="preserve"> su análisis.</w:t>
      </w:r>
    </w:p>
    <w:p w:rsidR="000843CB" w:rsidRPr="00A910A1" w:rsidRDefault="000843CB">
      <w:pPr>
        <w:spacing w:line="360" w:lineRule="auto"/>
        <w:jc w:val="both"/>
        <w:rPr>
          <w:rFonts w:ascii="Palatino Linotype" w:eastAsia="Palatino Linotype" w:hAnsi="Palatino Linotype" w:cs="Palatino Linotype"/>
          <w:i/>
          <w:iCs/>
          <w:color w:val="000000"/>
        </w:rPr>
      </w:pPr>
    </w:p>
    <w:p w:rsidR="000843CB" w:rsidRPr="00A910A1" w:rsidRDefault="00A910A1">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La Comisionada p</w:t>
      </w:r>
      <w:r w:rsidR="00230BE6" w:rsidRPr="00A910A1">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230BE6" w:rsidRPr="00A910A1">
        <w:rPr>
          <w:rFonts w:ascii="Palatino Linotype" w:eastAsia="Palatino Linotype" w:hAnsi="Palatino Linotype" w:cs="Palatino Linotype"/>
          <w:b/>
          <w:bCs/>
        </w:rPr>
        <w:t>veinticuatro de octubre  de dos mil veinticinco</w:t>
      </w:r>
      <w:r w:rsidR="00230BE6" w:rsidRPr="00A910A1">
        <w:rPr>
          <w:rFonts w:ascii="Palatino Linotype" w:eastAsia="Palatino Linotype" w:hAnsi="Palatino Linotype" w:cs="Palatino Linotype"/>
        </w:rPr>
        <w:t xml:space="preserve">, puso a disposición de las partes el expediente electrónico vía Sistema de Acceso a la Información Mexiquense </w:t>
      </w:r>
      <w:r w:rsidR="00230BE6" w:rsidRPr="00A910A1">
        <w:rPr>
          <w:rFonts w:ascii="Palatino Linotype" w:eastAsia="Palatino Linotype" w:hAnsi="Palatino Linotype" w:cs="Palatino Linotype"/>
          <w:b/>
          <w:bCs/>
        </w:rPr>
        <w:t xml:space="preserve">(SAIMEX) </w:t>
      </w:r>
      <w:r w:rsidR="00230BE6" w:rsidRPr="00A910A1">
        <w:rPr>
          <w:rFonts w:ascii="Palatino Linotype" w:eastAsia="Palatino Linotype" w:hAnsi="Palatino Linotype" w:cs="Palatino Linotype"/>
        </w:rPr>
        <w:t xml:space="preserve">a efecto de que en un plazo máximo de siete días </w:t>
      </w:r>
      <w:r w:rsidR="00230BE6" w:rsidRPr="00A910A1">
        <w:rPr>
          <w:rFonts w:ascii="Palatino Linotype" w:eastAsia="Palatino Linotype" w:hAnsi="Palatino Linotype" w:cs="Palatino Linotype"/>
        </w:rPr>
        <w:lastRenderedPageBreak/>
        <w:t xml:space="preserve">manifestaran lo que a derecho convinieran, ofrecieran pruebas y alegatos según corresponda al caso concreto, de esta forma para que el </w:t>
      </w:r>
      <w:r w:rsidR="00230BE6" w:rsidRPr="00A910A1">
        <w:rPr>
          <w:rFonts w:ascii="Palatino Linotype" w:eastAsia="Palatino Linotype" w:hAnsi="Palatino Linotype" w:cs="Palatino Linotype"/>
          <w:b/>
          <w:bCs/>
        </w:rPr>
        <w:t>SUJETO OBLIGADO</w:t>
      </w:r>
      <w:r w:rsidR="00230BE6" w:rsidRPr="00A910A1">
        <w:rPr>
          <w:rFonts w:ascii="Palatino Linotype" w:eastAsia="Palatino Linotype" w:hAnsi="Palatino Linotype" w:cs="Palatino Linotype"/>
        </w:rPr>
        <w:t xml:space="preserve"> presentara el Informe Justificado procedente.  </w:t>
      </w:r>
    </w:p>
    <w:p w:rsidR="000843CB" w:rsidRPr="00A910A1" w:rsidRDefault="000843C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43CB" w:rsidRPr="00A910A1" w:rsidRDefault="00230BE6">
      <w:pPr>
        <w:numPr>
          <w:ilvl w:val="0"/>
          <w:numId w:val="1"/>
        </w:numPr>
        <w:spacing w:line="360" w:lineRule="auto"/>
        <w:ind w:left="0" w:firstLine="0"/>
        <w:jc w:val="both"/>
        <w:rPr>
          <w:rFonts w:ascii="Palatino Linotype" w:eastAsia="Palatino Linotype" w:hAnsi="Palatino Linotype" w:cs="Palatino Linotype"/>
          <w:b/>
          <w:bCs/>
        </w:rPr>
      </w:pPr>
      <w:r w:rsidRPr="00A910A1">
        <w:rPr>
          <w:rFonts w:ascii="Palatino Linotype" w:eastAsia="Palatino Linotype" w:hAnsi="Palatino Linotype" w:cs="Palatino Linotype"/>
        </w:rPr>
        <w:t xml:space="preserve">De las constancias que obran en el expediente electrónico SAIMEX, se advierte que el particular no realizó manifestaciones que a su derecho convinieran; por su parte, el Sujeto Obligado entregó informe justificado el veintinueve de octubre de dos mil veinticinco, mismo que fue puesto a la vista del Recurrente el cinco de marzo de dos mil veintiséis, a través del archivo electrónico denominado </w:t>
      </w:r>
      <w:hyperlink r:id="rId9">
        <w:r w:rsidRPr="00A910A1">
          <w:rPr>
            <w:rFonts w:ascii="Palatino Linotype" w:eastAsia="Palatino Linotype" w:hAnsi="Palatino Linotype" w:cs="Palatino Linotype"/>
            <w:b/>
            <w:bCs/>
            <w:color w:val="0563C1"/>
            <w:u w:val="single"/>
          </w:rPr>
          <w:t>INFORME JUSTIFICADO SOL 57-25.pdf</w:t>
        </w:r>
      </w:hyperlink>
      <w:r w:rsidRPr="00A910A1">
        <w:rPr>
          <w:rFonts w:ascii="Palatino Linotype" w:eastAsia="Palatino Linotype" w:hAnsi="Palatino Linotype" w:cs="Palatino Linotype"/>
        </w:rPr>
        <w:t xml:space="preserve">, en el que ratificó su respuesta. </w:t>
      </w:r>
    </w:p>
    <w:p w:rsidR="000843CB" w:rsidRPr="00A910A1" w:rsidRDefault="000843CB">
      <w:pPr>
        <w:rPr>
          <w:rFonts w:ascii="Palatino Linotype" w:eastAsia="Palatino Linotype" w:hAnsi="Palatino Linotype" w:cs="Palatino Linotype"/>
          <w:color w:val="000000"/>
        </w:rPr>
      </w:pPr>
    </w:p>
    <w:p w:rsidR="000843CB" w:rsidRPr="00A910A1" w:rsidRDefault="00230BE6">
      <w:pPr>
        <w:numPr>
          <w:ilvl w:val="0"/>
          <w:numId w:val="1"/>
        </w:numPr>
        <w:spacing w:line="360" w:lineRule="auto"/>
        <w:ind w:left="0" w:firstLine="0"/>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color w:val="000000"/>
        </w:rPr>
        <w:t xml:space="preserve">El </w:t>
      </w:r>
      <w:r w:rsidRPr="00A910A1">
        <w:rPr>
          <w:rFonts w:ascii="Palatino Linotype" w:eastAsia="Palatino Linotype" w:hAnsi="Palatino Linotype" w:cs="Palatino Linotype"/>
          <w:b/>
          <w:bCs/>
          <w:color w:val="000000"/>
        </w:rPr>
        <w:t>cinco de marzo de dos mil veinticinco</w:t>
      </w:r>
      <w:r w:rsidRPr="00A910A1">
        <w:rPr>
          <w:rFonts w:ascii="Palatino Linotype" w:eastAsia="Palatino Linotype" w:hAnsi="Palatino Linotype" w:cs="Palatino Linotype"/>
          <w:color w:val="000000"/>
        </w:rPr>
        <w:t xml:space="preserve">, se notificó el acuerdo a través del cual se aprobó la ampliación de plazo para emitir la resolución por un periodo de quince días. </w:t>
      </w:r>
    </w:p>
    <w:p w:rsidR="000843CB" w:rsidRPr="00A910A1" w:rsidRDefault="000843CB">
      <w:pPr>
        <w:pBdr>
          <w:top w:val="nil"/>
          <w:left w:val="nil"/>
          <w:bottom w:val="nil"/>
          <w:right w:val="nil"/>
          <w:between w:val="nil"/>
        </w:pBdr>
        <w:ind w:left="720"/>
        <w:rPr>
          <w:rFonts w:ascii="Palatino Linotype" w:eastAsia="Palatino Linotype" w:hAnsi="Palatino Linotype" w:cs="Palatino Linotype"/>
          <w:i/>
          <w:iCs/>
          <w:color w:val="000000"/>
        </w:rPr>
      </w:pPr>
    </w:p>
    <w:p w:rsidR="000843CB" w:rsidRPr="00A910A1" w:rsidRDefault="00230BE6">
      <w:pPr>
        <w:numPr>
          <w:ilvl w:val="0"/>
          <w:numId w:val="1"/>
        </w:numPr>
        <w:spacing w:line="360" w:lineRule="auto"/>
        <w:ind w:left="0" w:firstLine="0"/>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color w:val="000000"/>
        </w:rPr>
        <w:t xml:space="preserve">El </w:t>
      </w:r>
      <w:r w:rsidRPr="00A910A1">
        <w:rPr>
          <w:rFonts w:ascii="Palatino Linotype" w:eastAsia="Palatino Linotype" w:hAnsi="Palatino Linotype" w:cs="Palatino Linotype"/>
          <w:b/>
          <w:bCs/>
          <w:color w:val="000000"/>
        </w:rPr>
        <w:t>once de marzo de dos mil veintiséis,</w:t>
      </w:r>
      <w:r w:rsidRPr="00A910A1">
        <w:rPr>
          <w:rFonts w:ascii="Palatino Linotype" w:eastAsia="Palatino Linotype" w:hAnsi="Palatino Linotype" w:cs="Palatino Linotype"/>
          <w:color w:val="000000"/>
        </w:rPr>
        <w:t xml:space="preserve"> se notificó acuerdo mediante el cual se decretó el cierre de instrucción. </w:t>
      </w:r>
    </w:p>
    <w:p w:rsidR="000843CB" w:rsidRPr="00A910A1" w:rsidRDefault="000843CB">
      <w:pPr>
        <w:spacing w:line="360" w:lineRule="auto"/>
        <w:jc w:val="both"/>
        <w:rPr>
          <w:rFonts w:ascii="Palatino Linotype" w:eastAsia="Palatino Linotype" w:hAnsi="Palatino Linotype" w:cs="Palatino Linotype"/>
          <w:b/>
          <w:bCs/>
        </w:rPr>
      </w:pPr>
    </w:p>
    <w:p w:rsidR="000843CB" w:rsidRPr="00A910A1" w:rsidRDefault="00230BE6">
      <w:pPr>
        <w:keepNext/>
        <w:keepLines/>
        <w:spacing w:line="360" w:lineRule="auto"/>
        <w:jc w:val="center"/>
        <w:rPr>
          <w:rFonts w:ascii="Palatino Linotype" w:eastAsia="Palatino Linotype" w:hAnsi="Palatino Linotype" w:cs="Palatino Linotype"/>
          <w:b/>
          <w:bCs/>
        </w:rPr>
      </w:pPr>
      <w:bookmarkStart w:id="3" w:name="_heading=h.1u7mb4kheuo8" w:colFirst="0" w:colLast="0"/>
      <w:bookmarkEnd w:id="3"/>
      <w:r w:rsidRPr="00A910A1">
        <w:rPr>
          <w:rFonts w:ascii="Palatino Linotype" w:eastAsia="Palatino Linotype" w:hAnsi="Palatino Linotype" w:cs="Palatino Linotype"/>
          <w:b/>
          <w:bCs/>
        </w:rPr>
        <w:t>C</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O</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N</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S</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I</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D</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E</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R</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A</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N</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D</w:t>
      </w:r>
      <w:r w:rsidR="00A910A1">
        <w:rPr>
          <w:rFonts w:ascii="Palatino Linotype" w:eastAsia="Palatino Linotype" w:hAnsi="Palatino Linotype" w:cs="Palatino Linotype"/>
          <w:b/>
          <w:bCs/>
        </w:rPr>
        <w:t xml:space="preserve"> </w:t>
      </w:r>
      <w:r w:rsidRPr="00A910A1">
        <w:rPr>
          <w:rFonts w:ascii="Palatino Linotype" w:eastAsia="Palatino Linotype" w:hAnsi="Palatino Linotype" w:cs="Palatino Linotype"/>
          <w:b/>
          <w:bCs/>
        </w:rPr>
        <w:t>O</w:t>
      </w:r>
      <w:r w:rsidR="00A910A1">
        <w:rPr>
          <w:rFonts w:ascii="Palatino Linotype" w:eastAsia="Palatino Linotype" w:hAnsi="Palatino Linotype" w:cs="Palatino Linotype"/>
          <w:b/>
          <w:bCs/>
        </w:rPr>
        <w:t xml:space="preserve"> </w:t>
      </w:r>
    </w:p>
    <w:p w:rsidR="000843CB" w:rsidRPr="00A910A1" w:rsidRDefault="000843CB">
      <w:pPr>
        <w:keepNext/>
        <w:keepLines/>
        <w:spacing w:line="360" w:lineRule="auto"/>
        <w:jc w:val="center"/>
        <w:rPr>
          <w:rFonts w:ascii="Palatino Linotype" w:eastAsia="Palatino Linotype" w:hAnsi="Palatino Linotype" w:cs="Palatino Linotype"/>
          <w:b/>
          <w:bCs/>
        </w:rPr>
      </w:pPr>
    </w:p>
    <w:p w:rsidR="000843CB" w:rsidRPr="00A910A1" w:rsidRDefault="00230BE6">
      <w:pPr>
        <w:keepNext/>
        <w:keepLines/>
        <w:spacing w:line="360" w:lineRule="auto"/>
        <w:rPr>
          <w:rFonts w:ascii="Palatino Linotype" w:eastAsia="Palatino Linotype" w:hAnsi="Palatino Linotype" w:cs="Palatino Linotype"/>
          <w:b/>
          <w:bCs/>
        </w:rPr>
      </w:pPr>
      <w:bookmarkStart w:id="4" w:name="_heading=h.b18feqqremju" w:colFirst="0" w:colLast="0"/>
      <w:bookmarkEnd w:id="4"/>
      <w:r w:rsidRPr="00A910A1">
        <w:rPr>
          <w:rFonts w:ascii="Palatino Linotype" w:eastAsia="Palatino Linotype" w:hAnsi="Palatino Linotype" w:cs="Palatino Linotype"/>
          <w:b/>
          <w:bCs/>
        </w:rPr>
        <w:t>PRIMERO. De la competencia.</w:t>
      </w:r>
    </w:p>
    <w:p w:rsidR="000843CB" w:rsidRPr="00A910A1" w:rsidRDefault="00230BE6">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910A1">
        <w:rPr>
          <w:rFonts w:ascii="Palatino Linotype" w:eastAsia="Palatino Linotype" w:hAnsi="Palatino Linotype" w:cs="Palatino Linotype"/>
          <w:b/>
          <w:bCs/>
          <w:color w:val="000000"/>
        </w:rPr>
        <w:t>Constitución Política de los Estados Unidos Mexicanos</w:t>
      </w:r>
      <w:r w:rsidRPr="00A910A1">
        <w:rPr>
          <w:rFonts w:ascii="Palatino Linotype" w:eastAsia="Palatino Linotype" w:hAnsi="Palatino Linotype" w:cs="Palatino Linotype"/>
          <w:color w:val="000000"/>
        </w:rPr>
        <w:t xml:space="preserve">; 5, párrafos trigésimo séptimo, trigésimo octavo y </w:t>
      </w:r>
      <w:r w:rsidRPr="00A910A1">
        <w:rPr>
          <w:rFonts w:ascii="Palatino Linotype" w:eastAsia="Palatino Linotype" w:hAnsi="Palatino Linotype" w:cs="Palatino Linotype"/>
          <w:color w:val="000000"/>
        </w:rPr>
        <w:lastRenderedPageBreak/>
        <w:t xml:space="preserve">trigésimo noveno, fracciones IV y V, de la </w:t>
      </w:r>
      <w:r w:rsidRPr="00A910A1">
        <w:rPr>
          <w:rFonts w:ascii="Palatino Linotype" w:eastAsia="Palatino Linotype" w:hAnsi="Palatino Linotype" w:cs="Palatino Linotype"/>
          <w:b/>
          <w:bCs/>
          <w:color w:val="000000"/>
        </w:rPr>
        <w:t>Constitución Política del Estado Libre y Soberano de México</w:t>
      </w:r>
      <w:r w:rsidRPr="00A910A1">
        <w:rPr>
          <w:rFonts w:ascii="Palatino Linotype" w:eastAsia="Palatino Linotype" w:hAnsi="Palatino Linotype" w:cs="Palatino Linotype"/>
          <w:color w:val="000000"/>
        </w:rPr>
        <w:t xml:space="preserve">; artículos 1, 2 fracción II, 13, 29, 36 fracciones I y II, 176, 178, 179, 181 párrafo tercero y 185 de la </w:t>
      </w:r>
      <w:r w:rsidRPr="00A910A1">
        <w:rPr>
          <w:rFonts w:ascii="Palatino Linotype" w:eastAsia="Palatino Linotype" w:hAnsi="Palatino Linotype" w:cs="Palatino Linotype"/>
          <w:b/>
          <w:bCs/>
          <w:color w:val="000000"/>
        </w:rPr>
        <w:t>Ley de Transparencia y Acceso a la Información Pública del Estado de México y Municipios</w:t>
      </w:r>
      <w:r w:rsidRPr="00A910A1">
        <w:rPr>
          <w:rFonts w:ascii="Palatino Linotype" w:eastAsia="Palatino Linotype" w:hAnsi="Palatino Linotype" w:cs="Palatino Linotype"/>
          <w:color w:val="000000"/>
        </w:rPr>
        <w:t xml:space="preserve">; y 7, 9 fracciones I y XXIII, y 11 del </w:t>
      </w:r>
      <w:r w:rsidRPr="00A910A1">
        <w:rPr>
          <w:rFonts w:ascii="Palatino Linotype" w:eastAsia="Palatino Linotype" w:hAnsi="Palatino Linotype" w:cs="Palatino Linotype"/>
          <w:b/>
          <w:bCs/>
          <w:color w:val="000000"/>
        </w:rPr>
        <w:t>Reglamento Interior del Instituto de Transparencia, Acceso a la Información Pública y Protección de Datos Personales del Estado de México y Municipios.</w:t>
      </w:r>
    </w:p>
    <w:p w:rsidR="000843CB" w:rsidRPr="00A910A1" w:rsidRDefault="00230BE6">
      <w:pPr>
        <w:keepNext/>
        <w:keepLines/>
        <w:spacing w:line="360" w:lineRule="auto"/>
        <w:rPr>
          <w:rFonts w:ascii="Palatino Linotype" w:eastAsia="Palatino Linotype" w:hAnsi="Palatino Linotype" w:cs="Palatino Linotype"/>
          <w:b/>
          <w:bCs/>
        </w:rPr>
      </w:pPr>
      <w:bookmarkStart w:id="5" w:name="_heading=h.mx56k9rzr4e9" w:colFirst="0" w:colLast="0"/>
      <w:bookmarkEnd w:id="5"/>
      <w:r w:rsidRPr="00A910A1">
        <w:rPr>
          <w:rFonts w:ascii="Palatino Linotype" w:eastAsia="Palatino Linotype" w:hAnsi="Palatino Linotype" w:cs="Palatino Linotype"/>
          <w:b/>
          <w:bCs/>
        </w:rPr>
        <w:t>SEGUNDO. De la oportunidad y procedencia.</w:t>
      </w:r>
    </w:p>
    <w:p w:rsidR="000843CB" w:rsidRPr="00A910A1" w:rsidRDefault="00230BE6">
      <w:pPr>
        <w:numPr>
          <w:ilvl w:val="0"/>
          <w:numId w:val="1"/>
        </w:numPr>
        <w:spacing w:line="360" w:lineRule="auto"/>
        <w:ind w:left="0" w:right="48" w:firstLine="0"/>
        <w:jc w:val="both"/>
        <w:rPr>
          <w:rFonts w:ascii="Palatino Linotype" w:eastAsia="Palatino Linotype" w:hAnsi="Palatino Linotype" w:cs="Palatino Linotype"/>
        </w:rPr>
      </w:pPr>
      <w:r w:rsidRPr="00A910A1">
        <w:rPr>
          <w:rFonts w:ascii="Palatino Linotype" w:eastAsia="Palatino Linotype" w:hAnsi="Palatino Linotype" w:cs="Palatino Linotype"/>
        </w:rPr>
        <w:t xml:space="preserve">El medio de impugnación fue presentado a través del </w:t>
      </w:r>
      <w:r w:rsidRPr="00A910A1">
        <w:rPr>
          <w:rFonts w:ascii="Palatino Linotype" w:eastAsia="Palatino Linotype" w:hAnsi="Palatino Linotype" w:cs="Palatino Linotype"/>
          <w:b/>
          <w:bCs/>
        </w:rPr>
        <w:t>SAIMEX,</w:t>
      </w:r>
      <w:r w:rsidRPr="00A910A1">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A910A1">
        <w:rPr>
          <w:rFonts w:ascii="Palatino Linotype" w:eastAsia="Palatino Linotype" w:hAnsi="Palatino Linotype" w:cs="Palatino Linotype"/>
          <w:b/>
          <w:bCs/>
        </w:rPr>
        <w:t>SUJETO OBLIGADO</w:t>
      </w:r>
      <w:r w:rsidRPr="00A910A1">
        <w:rPr>
          <w:rFonts w:ascii="Palatino Linotype" w:eastAsia="Palatino Linotype" w:hAnsi="Palatino Linotype" w:cs="Palatino Linotype"/>
        </w:rPr>
        <w:t xml:space="preserve"> entregó respuesta el día </w:t>
      </w:r>
      <w:r w:rsidRPr="00A910A1">
        <w:rPr>
          <w:rFonts w:ascii="Palatino Linotype" w:eastAsia="Palatino Linotype" w:hAnsi="Palatino Linotype" w:cs="Palatino Linotype"/>
          <w:b/>
          <w:bCs/>
        </w:rPr>
        <w:t>diecisiete d octubre de dos mil veinticinco</w:t>
      </w:r>
      <w:r w:rsidRPr="00A910A1">
        <w:rPr>
          <w:rFonts w:ascii="Palatino Linotype" w:eastAsia="Palatino Linotype" w:hAnsi="Palatino Linotype" w:cs="Palatino Linotype"/>
        </w:rPr>
        <w:t xml:space="preserve">, de tal forma que el plazo para interponer el recurso transcurrió del </w:t>
      </w:r>
      <w:r w:rsidRPr="00A910A1">
        <w:rPr>
          <w:rFonts w:ascii="Palatino Linotype" w:eastAsia="Palatino Linotype" w:hAnsi="Palatino Linotype" w:cs="Palatino Linotype"/>
          <w:b/>
          <w:bCs/>
        </w:rPr>
        <w:t>veinte de octubre al siete de noviembre de dos mil veinticinco</w:t>
      </w:r>
      <w:r w:rsidRPr="00A910A1">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w:t>
      </w:r>
      <w:r w:rsidRPr="00A910A1">
        <w:rPr>
          <w:rFonts w:ascii="Palatino Linotype" w:eastAsia="Palatino Linotype" w:hAnsi="Palatino Linotype" w:cs="Palatino Linotype"/>
          <w:b/>
          <w:bCs/>
        </w:rPr>
        <w:t>diecinueve de octubre de dos mil veinticinco</w:t>
      </w:r>
      <w:r w:rsidRPr="00A910A1">
        <w:rPr>
          <w:rFonts w:ascii="Palatino Linotype" w:eastAsia="Palatino Linotype" w:hAnsi="Palatino Linotype" w:cs="Palatino Linotype"/>
        </w:rPr>
        <w:t xml:space="preserve">, se encuentra dentro de los márgenes temporales previstos en el artículo 178 de la </w:t>
      </w:r>
      <w:r w:rsidRPr="00A910A1">
        <w:rPr>
          <w:rFonts w:ascii="Palatino Linotype" w:eastAsia="Palatino Linotype" w:hAnsi="Palatino Linotype" w:cs="Palatino Linotype"/>
          <w:b/>
          <w:bCs/>
        </w:rPr>
        <w:t xml:space="preserve">Ley de Transparencia y Acceso a la Información Pública del Estado de México y Municipios </w:t>
      </w:r>
      <w:r w:rsidRPr="00A910A1">
        <w:rPr>
          <w:rFonts w:ascii="Palatino Linotype" w:eastAsia="Palatino Linotype" w:hAnsi="Palatino Linotype" w:cs="Palatino Linotype"/>
        </w:rPr>
        <w:t>vigente.</w:t>
      </w:r>
    </w:p>
    <w:p w:rsidR="000843CB" w:rsidRPr="00A910A1" w:rsidRDefault="000843CB">
      <w:pPr>
        <w:rPr>
          <w:rFonts w:ascii="Palatino Linotype" w:eastAsia="Palatino Linotype" w:hAnsi="Palatino Linotype" w:cs="Palatino Linotype"/>
        </w:rPr>
      </w:pPr>
    </w:p>
    <w:p w:rsidR="000843CB" w:rsidRPr="00A910A1" w:rsidRDefault="00230BE6">
      <w:pPr>
        <w:numPr>
          <w:ilvl w:val="0"/>
          <w:numId w:val="1"/>
        </w:numPr>
        <w:spacing w:line="360" w:lineRule="auto"/>
        <w:ind w:left="0" w:right="49" w:firstLine="0"/>
        <w:jc w:val="both"/>
        <w:rPr>
          <w:rFonts w:ascii="Palatino Linotype" w:eastAsia="Palatino Linotype" w:hAnsi="Palatino Linotype" w:cs="Palatino Linotype"/>
          <w:b/>
          <w:bCs/>
        </w:rPr>
      </w:pPr>
      <w:bookmarkStart w:id="6" w:name="_heading=h.9vc69q6tk6ho" w:colFirst="0" w:colLast="0"/>
      <w:bookmarkEnd w:id="6"/>
      <w:r w:rsidRPr="00A910A1">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843CB" w:rsidRDefault="000843CB">
      <w:pPr>
        <w:pBdr>
          <w:top w:val="nil"/>
          <w:left w:val="nil"/>
          <w:bottom w:val="nil"/>
          <w:right w:val="nil"/>
          <w:between w:val="nil"/>
        </w:pBdr>
        <w:ind w:left="720"/>
        <w:rPr>
          <w:rFonts w:ascii="Palatino Linotype" w:eastAsia="Palatino Linotype" w:hAnsi="Palatino Linotype" w:cs="Palatino Linotype"/>
          <w:b/>
          <w:bCs/>
          <w:color w:val="000000"/>
        </w:rPr>
      </w:pPr>
    </w:p>
    <w:p w:rsidR="00B93BA0" w:rsidRDefault="00B93BA0">
      <w:pPr>
        <w:pBdr>
          <w:top w:val="nil"/>
          <w:left w:val="nil"/>
          <w:bottom w:val="nil"/>
          <w:right w:val="nil"/>
          <w:between w:val="nil"/>
        </w:pBdr>
        <w:ind w:left="720"/>
        <w:rPr>
          <w:rFonts w:ascii="Palatino Linotype" w:eastAsia="Palatino Linotype" w:hAnsi="Palatino Linotype" w:cs="Palatino Linotype"/>
          <w:b/>
          <w:bCs/>
          <w:color w:val="000000"/>
        </w:rPr>
      </w:pPr>
    </w:p>
    <w:p w:rsidR="00B93BA0" w:rsidRPr="00A910A1" w:rsidRDefault="00B93BA0">
      <w:pPr>
        <w:pBdr>
          <w:top w:val="nil"/>
          <w:left w:val="nil"/>
          <w:bottom w:val="nil"/>
          <w:right w:val="nil"/>
          <w:between w:val="nil"/>
        </w:pBdr>
        <w:ind w:left="720"/>
        <w:rPr>
          <w:rFonts w:ascii="Palatino Linotype" w:eastAsia="Palatino Linotype" w:hAnsi="Palatino Linotype" w:cs="Palatino Linotype"/>
          <w:b/>
          <w:bCs/>
          <w:color w:val="000000"/>
        </w:rPr>
      </w:pPr>
    </w:p>
    <w:p w:rsidR="000843CB" w:rsidRPr="00A910A1" w:rsidRDefault="00230BE6">
      <w:pPr>
        <w:spacing w:line="360" w:lineRule="auto"/>
        <w:ind w:right="49"/>
        <w:jc w:val="both"/>
        <w:rPr>
          <w:rFonts w:ascii="Palatino Linotype" w:eastAsia="Palatino Linotype" w:hAnsi="Palatino Linotype" w:cs="Palatino Linotype"/>
          <w:b/>
          <w:bCs/>
        </w:rPr>
      </w:pPr>
      <w:r w:rsidRPr="00A910A1">
        <w:rPr>
          <w:rFonts w:ascii="Palatino Linotype" w:eastAsia="Palatino Linotype" w:hAnsi="Palatino Linotype" w:cs="Palatino Linotype"/>
          <w:b/>
          <w:bCs/>
        </w:rPr>
        <w:lastRenderedPageBreak/>
        <w:t>TERCERO. De las causales del sobreseimiento.</w:t>
      </w:r>
    </w:p>
    <w:p w:rsidR="000843CB" w:rsidRPr="00A910A1" w:rsidRDefault="00230BE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A910A1">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A910A1">
        <w:rPr>
          <w:rFonts w:ascii="Palatino Linotype" w:eastAsia="Palatino Linotype" w:hAnsi="Palatino Linotype" w:cs="Palatino Linotype"/>
          <w:b/>
          <w:bCs/>
          <w:color w:val="000000"/>
          <w:u w:val="single"/>
        </w:rPr>
        <w:t>sobreseimiento</w:t>
      </w:r>
      <w:r w:rsidRPr="00A910A1">
        <w:rPr>
          <w:rFonts w:ascii="Palatino Linotype" w:eastAsia="Palatino Linotype" w:hAnsi="Palatino Linotype" w:cs="Palatino Linotype"/>
          <w:color w:val="000000"/>
        </w:rPr>
        <w:t xml:space="preserve">; y, en su caso, ordenar la entrega de la información respecto a la falta de respuesta por parte del </w:t>
      </w:r>
      <w:r w:rsidRPr="00A910A1">
        <w:rPr>
          <w:rFonts w:ascii="Palatino Linotype" w:eastAsia="Palatino Linotype" w:hAnsi="Palatino Linotype" w:cs="Palatino Linotype"/>
          <w:b/>
          <w:bCs/>
          <w:color w:val="000000"/>
        </w:rPr>
        <w:t>SUJETO</w:t>
      </w:r>
      <w:r w:rsidRPr="00A910A1">
        <w:rPr>
          <w:rFonts w:ascii="Palatino Linotype" w:eastAsia="Palatino Linotype" w:hAnsi="Palatino Linotype" w:cs="Palatino Linotype"/>
          <w:color w:val="000000"/>
        </w:rPr>
        <w:t xml:space="preserve"> </w:t>
      </w:r>
      <w:r w:rsidRPr="00A910A1">
        <w:rPr>
          <w:rFonts w:ascii="Palatino Linotype" w:eastAsia="Palatino Linotype" w:hAnsi="Palatino Linotype" w:cs="Palatino Linotype"/>
          <w:b/>
          <w:bCs/>
          <w:color w:val="000000"/>
        </w:rPr>
        <w:t>OBLIGADO</w:t>
      </w:r>
      <w:r w:rsidRPr="00A910A1">
        <w:rPr>
          <w:rFonts w:ascii="Palatino Linotype" w:eastAsia="Palatino Linotype" w:hAnsi="Palatino Linotype" w:cs="Palatino Linotype"/>
          <w:color w:val="000000"/>
        </w:rPr>
        <w:t>.</w:t>
      </w:r>
    </w:p>
    <w:p w:rsidR="00A910A1" w:rsidRPr="00A910A1" w:rsidRDefault="00A910A1" w:rsidP="00A910A1">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p>
    <w:p w:rsidR="000843CB" w:rsidRPr="00A910A1" w:rsidRDefault="00230BE6">
      <w:pPr>
        <w:keepNext/>
        <w:keepLines/>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bookmarkStart w:id="7" w:name="_heading=h.ket80wd0382z" w:colFirst="0" w:colLast="0"/>
      <w:bookmarkEnd w:id="7"/>
      <w:r w:rsidRPr="00A910A1">
        <w:rPr>
          <w:rFonts w:ascii="Palatino Linotype" w:eastAsia="Palatino Linotype" w:hAnsi="Palatino Linotype" w:cs="Palatino Linotype"/>
          <w:color w:val="000000"/>
        </w:rPr>
        <w:t>Así, debemos recordar que el particular solicitó las actas de los diferentes niveles de procesos, sea licitación, notificación, estimación o cualquier otra, donde interviene el ING MANUEL VERA DAVILA a nombre de las empresas MULTICONSTRUCCIONES CALVARIO SA DE CV, CARROCOT DISEÑO Y CONSTRUCCION SA DE CV, Y SOLUCIONES CONSTRUCTIVAS MONTERO en el IMIFE.</w:t>
      </w:r>
    </w:p>
    <w:p w:rsidR="000843CB" w:rsidRPr="00A910A1" w:rsidRDefault="00230BE6">
      <w:pPr>
        <w:numPr>
          <w:ilvl w:val="0"/>
          <w:numId w:val="1"/>
        </w:numPr>
        <w:tabs>
          <w:tab w:val="left" w:pos="0"/>
        </w:tabs>
        <w:spacing w:before="240" w:line="360" w:lineRule="auto"/>
        <w:ind w:left="0" w:right="49" w:firstLine="0"/>
        <w:jc w:val="both"/>
        <w:rPr>
          <w:rFonts w:ascii="Palatino Linotype" w:eastAsia="Palatino Linotype" w:hAnsi="Palatino Linotype" w:cs="Palatino Linotype"/>
        </w:rPr>
      </w:pPr>
      <w:r w:rsidRPr="00A910A1">
        <w:rPr>
          <w:rFonts w:ascii="Palatino Linotype" w:eastAsia="Palatino Linotype" w:hAnsi="Palatino Linotype" w:cs="Palatino Linotype"/>
        </w:rPr>
        <w:t>Así las cosas, este Instituto de Transparencia, de conformidad con los principios de eficacia y profesionalismo</w:t>
      </w:r>
      <w:r w:rsidRPr="00A910A1">
        <w:rPr>
          <w:rFonts w:ascii="Palatino Linotype" w:eastAsia="Palatino Linotype" w:hAnsi="Palatino Linotype" w:cs="Palatino Linotype"/>
          <w:vertAlign w:val="superscript"/>
        </w:rPr>
        <w:footnoteReference w:id="1"/>
      </w:r>
      <w:r w:rsidRPr="00A910A1">
        <w:rPr>
          <w:rFonts w:ascii="Palatino Linotype" w:eastAsia="Palatino Linotype" w:hAnsi="Palatino Linotype" w:cs="Palatino Linotype"/>
        </w:rPr>
        <w:t xml:space="preserve">, procederá a verificar la información remitida por el </w:t>
      </w:r>
      <w:r w:rsidRPr="00A910A1">
        <w:rPr>
          <w:rFonts w:ascii="Palatino Linotype" w:eastAsia="Palatino Linotype" w:hAnsi="Palatino Linotype" w:cs="Palatino Linotype"/>
          <w:b/>
          <w:bCs/>
        </w:rPr>
        <w:t>SUJETO OBLIGADO y</w:t>
      </w:r>
      <w:r w:rsidRPr="00A910A1">
        <w:rPr>
          <w:rFonts w:ascii="Palatino Linotype" w:eastAsia="Palatino Linotype" w:hAnsi="Palatino Linotype" w:cs="Palatino Linotype"/>
        </w:rPr>
        <w:t xml:space="preserve"> las manifestaciones realizadas por el </w:t>
      </w:r>
      <w:r w:rsidRPr="00A910A1">
        <w:rPr>
          <w:rFonts w:ascii="Palatino Linotype" w:eastAsia="Palatino Linotype" w:hAnsi="Palatino Linotype" w:cs="Palatino Linotype"/>
          <w:b/>
          <w:bCs/>
        </w:rPr>
        <w:t xml:space="preserve">SOLICTANTE </w:t>
      </w:r>
      <w:r w:rsidRPr="00A910A1">
        <w:rPr>
          <w:rFonts w:ascii="Palatino Linotype" w:eastAsia="Palatino Linotype" w:hAnsi="Palatino Linotype" w:cs="Palatino Linotype"/>
        </w:rPr>
        <w:t xml:space="preserve">a efecto de determinar si la información remitida se encuentra apegada a lo que establece la Ley en materia de transparencia. </w:t>
      </w:r>
    </w:p>
    <w:p w:rsidR="000843CB" w:rsidRPr="00A910A1" w:rsidRDefault="000843CB">
      <w:pPr>
        <w:spacing w:line="360" w:lineRule="auto"/>
        <w:rPr>
          <w:rFonts w:ascii="Palatino Linotype" w:eastAsia="Palatino Linotype" w:hAnsi="Palatino Linotype" w:cs="Palatino Linotype"/>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lastRenderedPageBreak/>
        <w:t>En tal contexto, el Sujeto Obligado dio respuesta a través de la Dirección de Administración y Finanzas y la Coordinación de Obra, quienes tiene las siguientes atribuciones:</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“Artículo 17.- Corresponde a la Coordinación de Administración y Finanzas: </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I. Planear, administrar y controlar los recursos humanos, financieros, técnicos y materiales del Organismo, para su adecuado funcionamiento, en términos del Código Financiero del Estado de México y Municipios, Código Administrativo del Estado de México, el presente Reglamento y demás ordenamientos legales aplicables en la materia. </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II. Administrar y ejercer los recursos autorizados al Organismo para la ejecución de obra pública y del avance presupuestal de la construcción, reparación, mantenimiento y equipamiento de la infraestructura física educativa, así como proponer las modificaciones presupuestales y ajustes correspondientes a suficiencias y economías. </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IV. Integrar y controlar los anteproyectos de ingresos y de egresos del Organismo, en coordinación con las unidades administrativas que lo integran, vinculándolos con los programas de trabajo previstos y someterlos a la consideración del Director General. </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VIII. Supervisar la elaboración y publicación de convocatorias para los concursos de equipamiento de la obra a cargo del Organismo, así como coordinar los concursos y contratos de adjudicación correspondientes. </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IX. Formular y suscribir los contratos de adquisición de bienes y contratación de servicios del Organismo, vigilando su cumplimiento y pago en términos de las disposiciones aplicables.</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XVI. Coordinar y controlar la elaboración del Programa Anual de Adquisición de Bienes y Contratación de Servicios, con base en la normatividad aplicable en la materia, así como autorizar los pagos a contratistas, proveedores de servicios y demás conceptos que generen las operaciones que lleve a cabo el Organismo. </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XXI. Presidir el Comité de Arrendamientos, adquisiciones de Inmuebles y Enajenaciones, así como el Comité de Adquisiciones y Servicios; en términos de la normatividad aplicable.</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lastRenderedPageBreak/>
        <w:t>…”</w:t>
      </w:r>
    </w:p>
    <w:p w:rsidR="000843CB" w:rsidRPr="00A910A1" w:rsidRDefault="000843CB">
      <w:pPr>
        <w:pBdr>
          <w:top w:val="nil"/>
          <w:left w:val="nil"/>
          <w:bottom w:val="nil"/>
          <w:right w:val="nil"/>
          <w:between w:val="nil"/>
        </w:pBdr>
        <w:spacing w:line="276" w:lineRule="auto"/>
        <w:jc w:val="both"/>
        <w:rPr>
          <w:rFonts w:ascii="Palatino Linotype" w:eastAsia="Palatino Linotype" w:hAnsi="Palatino Linotype" w:cs="Palatino Linotype"/>
          <w:color w:val="000000"/>
        </w:rPr>
      </w:pP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“Artículo 16.- Corresponde a la Coordinación de Obra:</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XXV. Adjudicar mediante licitación pública, directa, o invitación restringida, los contratos para la construcción, reparación y mantenimiento de las obras y los servicios relacionados con la misma.  </w:t>
      </w:r>
    </w:p>
    <w:p w:rsidR="000843CB" w:rsidRPr="00A910A1" w:rsidRDefault="00230BE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XXVI. Realizar los procedimientos de licitación pública mediante los que se llevará a cabo la adjudicación de los contratos para la construcción, reparación y mantenimiento de las obras y los servicios relacionados con la misma.”</w:t>
      </w:r>
    </w:p>
    <w:p w:rsidR="000843CB" w:rsidRPr="00A910A1" w:rsidRDefault="000843CB">
      <w:pPr>
        <w:pBdr>
          <w:top w:val="nil"/>
          <w:left w:val="nil"/>
          <w:bottom w:val="nil"/>
          <w:right w:val="nil"/>
          <w:between w:val="nil"/>
        </w:pBdr>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spacing w:after="160" w:line="360" w:lineRule="auto"/>
        <w:ind w:left="0" w:firstLine="0"/>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color w:val="000000"/>
        </w:rPr>
        <w:t>Como se desprende de los preceptos legales señalados, la Dirección de Administración y Finanzas, como la Coordinación de Obra tienen atribuciones para conocer de los procedimientos de adjudicación y licitación, es decir, que la respuesta fue emitida por el servidor público habilitado con facultades para generar, poseer y administrar la información solicitada en términos del artículo 162 de la Ley de Transparencia y Acceso a la Información Pública del Estado de México y Municipios que establece:</w:t>
      </w:r>
    </w:p>
    <w:p w:rsidR="000843CB" w:rsidRPr="00A910A1" w:rsidRDefault="00230BE6">
      <w:pPr>
        <w:spacing w:line="276" w:lineRule="auto"/>
        <w:ind w:left="851" w:right="822"/>
        <w:jc w:val="both"/>
        <w:rPr>
          <w:rFonts w:ascii="Palatino Linotype" w:eastAsia="Palatino Linotype" w:hAnsi="Palatino Linotype" w:cs="Palatino Linotype"/>
          <w:i/>
          <w:iCs/>
        </w:rPr>
      </w:pPr>
      <w:r w:rsidRPr="00A910A1">
        <w:rPr>
          <w:rFonts w:ascii="Palatino Linotype" w:eastAsia="Palatino Linotype" w:hAnsi="Palatino Linotype" w:cs="Palatino Linotype"/>
          <w:b/>
          <w:bCs/>
          <w:i/>
          <w:iCs/>
        </w:rPr>
        <w:t xml:space="preserve">Artículo 162. </w:t>
      </w:r>
      <w:r w:rsidRPr="00A910A1">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843CB" w:rsidRPr="00A910A1" w:rsidRDefault="000843CB">
      <w:pPr>
        <w:rPr>
          <w:rFonts w:ascii="Palatino Linotype" w:eastAsia="Palatino Linotype" w:hAnsi="Palatino Linotype" w:cs="Palatino Linotype"/>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Ahora bien, como lo refirió el Sujeto Obligado en su respuesta, realizó una búsqueda de la información en razón del Criterio Orientador 03-19, emitido por el Instituto Nacional de Transparencia, Acceso a la Información y Protección de Datos Personales, que dice:</w:t>
      </w:r>
      <w:r w:rsidRPr="00A910A1">
        <w:rPr>
          <w:rFonts w:ascii="Palatino Linotype" w:eastAsia="Palatino Linotype" w:hAnsi="Palatino Linotype" w:cs="Palatino Linotype"/>
          <w:b/>
          <w:bCs/>
          <w:color w:val="000000"/>
        </w:rPr>
        <w:t xml:space="preserve"> </w:t>
      </w:r>
    </w:p>
    <w:p w:rsidR="000843CB" w:rsidRPr="00A910A1" w:rsidRDefault="00230BE6">
      <w:pPr>
        <w:pBdr>
          <w:top w:val="nil"/>
          <w:left w:val="nil"/>
          <w:bottom w:val="nil"/>
          <w:right w:val="nil"/>
          <w:between w:val="nil"/>
        </w:pBdr>
        <w:spacing w:line="360" w:lineRule="auto"/>
        <w:ind w:left="851" w:right="822"/>
        <w:rPr>
          <w:rFonts w:ascii="Palatino Linotype" w:eastAsia="Palatino Linotype" w:hAnsi="Palatino Linotype" w:cs="Palatino Linotype"/>
          <w:i/>
          <w:iCs/>
          <w:color w:val="000000"/>
        </w:rPr>
      </w:pPr>
      <w:r w:rsidRPr="00A910A1">
        <w:rPr>
          <w:rFonts w:ascii="Palatino Linotype" w:eastAsia="Palatino Linotype" w:hAnsi="Palatino Linotype" w:cs="Palatino Linotype"/>
          <w:b/>
          <w:bCs/>
          <w:i/>
          <w:iCs/>
          <w:color w:val="000000"/>
        </w:rPr>
        <w:t>“Periodo de búsqueda de la información.</w:t>
      </w:r>
      <w:r w:rsidRPr="00A910A1">
        <w:rPr>
          <w:rFonts w:ascii="Palatino Linotype" w:eastAsia="Palatino Linotype" w:hAnsi="Palatino Linotype" w:cs="Palatino Linotype"/>
          <w:i/>
          <w:iCs/>
          <w:color w:val="000000"/>
        </w:rPr>
        <w:t xml:space="preserve"> En el supuesto de que el particular no haya señalado el periodo respecto del cual requiere la información, o bien, de la solicitud presentada no se adviertan elementos que permitan identificarlo, deberá </w:t>
      </w:r>
      <w:r w:rsidRPr="00A910A1">
        <w:rPr>
          <w:rFonts w:ascii="Palatino Linotype" w:eastAsia="Palatino Linotype" w:hAnsi="Palatino Linotype" w:cs="Palatino Linotype"/>
          <w:i/>
          <w:iCs/>
          <w:color w:val="000000"/>
        </w:rPr>
        <w:lastRenderedPageBreak/>
        <w:t>considerarse, para efectos de la búsqueda de la información, que el requerimiento se refiere al año inmediato anterior, contado a partir de la fecha en que se presentó la solicitud.</w:t>
      </w:r>
    </w:p>
    <w:p w:rsidR="000843CB" w:rsidRPr="00A910A1" w:rsidRDefault="000843CB">
      <w:pPr>
        <w:pBdr>
          <w:top w:val="nil"/>
          <w:left w:val="nil"/>
          <w:bottom w:val="nil"/>
          <w:right w:val="nil"/>
          <w:between w:val="nil"/>
        </w:pBdr>
        <w:spacing w:line="360" w:lineRule="auto"/>
        <w:ind w:left="851" w:right="822"/>
        <w:rPr>
          <w:rFonts w:ascii="Palatino Linotype" w:eastAsia="Palatino Linotype" w:hAnsi="Palatino Linotype" w:cs="Palatino Linotype"/>
          <w:i/>
          <w:iCs/>
          <w:color w:val="000000"/>
        </w:rPr>
      </w:pPr>
    </w:p>
    <w:p w:rsidR="000843CB"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Es así que, el periodo de búsqueda del </w:t>
      </w:r>
      <w:r w:rsidRPr="00A910A1">
        <w:rPr>
          <w:rFonts w:ascii="Palatino Linotype" w:eastAsia="Palatino Linotype" w:hAnsi="Palatino Linotype" w:cs="Palatino Linotype"/>
          <w:b/>
          <w:bCs/>
          <w:color w:val="000000"/>
        </w:rPr>
        <w:t xml:space="preserve">SUJETO OBLIGADO </w:t>
      </w:r>
      <w:r w:rsidRPr="00A910A1">
        <w:rPr>
          <w:rFonts w:ascii="Palatino Linotype" w:eastAsia="Palatino Linotype" w:hAnsi="Palatino Linotype" w:cs="Palatino Linotype"/>
          <w:color w:val="000000"/>
        </w:rPr>
        <w:t xml:space="preserve">atiende el derecho de acceso a la información; ello en razón de que el particular omitió precisar la temporalidad de la información requerida, razón por la cual, la búsqueda se limita a un año anterior a la fecha de la solicitud. </w:t>
      </w:r>
    </w:p>
    <w:p w:rsidR="00CE235F" w:rsidRPr="00A910A1" w:rsidRDefault="00CE235F" w:rsidP="00CE23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En consecuencia a la respuesta del Sujeto obligado, el particular presentó el Recurso de Revisión de mérito, en el que señaló lo siguiente:</w:t>
      </w:r>
    </w:p>
    <w:p w:rsidR="000843CB" w:rsidRPr="00A910A1" w:rsidRDefault="000843CB">
      <w:pPr>
        <w:pBdr>
          <w:top w:val="nil"/>
          <w:left w:val="nil"/>
          <w:bottom w:val="nil"/>
          <w:right w:val="nil"/>
          <w:between w:val="nil"/>
        </w:pBdr>
        <w:ind w:left="720"/>
        <w:rPr>
          <w:rFonts w:ascii="Palatino Linotype" w:eastAsia="Palatino Linotype" w:hAnsi="Palatino Linotype" w:cs="Palatino Linotype"/>
          <w:color w:val="000000"/>
        </w:rPr>
      </w:pPr>
    </w:p>
    <w:p w:rsidR="000843CB" w:rsidRPr="00A910A1" w:rsidRDefault="00A910A1" w:rsidP="00A910A1">
      <w:pPr>
        <w:pStyle w:val="Prrafodelista"/>
        <w:numPr>
          <w:ilvl w:val="0"/>
          <w:numId w:val="5"/>
        </w:numPr>
        <w:pBdr>
          <w:top w:val="nil"/>
          <w:left w:val="nil"/>
          <w:bottom w:val="nil"/>
          <w:right w:val="nil"/>
          <w:between w:val="nil"/>
        </w:pBdr>
        <w:ind w:left="993" w:right="822"/>
        <w:rPr>
          <w:rFonts w:ascii="Palatino Linotype" w:eastAsia="Palatino Linotype" w:hAnsi="Palatino Linotype" w:cs="Palatino Linotype"/>
          <w:i/>
          <w:iCs/>
          <w:color w:val="000000"/>
          <w:sz w:val="24"/>
        </w:rPr>
      </w:pPr>
      <w:r w:rsidRPr="00A910A1">
        <w:rPr>
          <w:rFonts w:ascii="Palatino Linotype" w:eastAsia="Palatino Linotype" w:hAnsi="Palatino Linotype" w:cs="Palatino Linotype"/>
          <w:b/>
          <w:bCs/>
          <w:color w:val="000000"/>
          <w:sz w:val="24"/>
        </w:rPr>
        <w:t>ACTO IMPUGNADO</w:t>
      </w:r>
      <w:r w:rsidR="00230BE6" w:rsidRPr="00A910A1">
        <w:rPr>
          <w:rFonts w:ascii="Palatino Linotype" w:eastAsia="Palatino Linotype" w:hAnsi="Palatino Linotype" w:cs="Palatino Linotype"/>
          <w:b/>
          <w:bCs/>
          <w:color w:val="000000"/>
          <w:sz w:val="24"/>
        </w:rPr>
        <w:t>:</w:t>
      </w:r>
      <w:r w:rsidR="00230BE6" w:rsidRPr="00A910A1">
        <w:rPr>
          <w:rFonts w:ascii="Palatino Linotype" w:eastAsia="Palatino Linotype" w:hAnsi="Palatino Linotype" w:cs="Palatino Linotype"/>
          <w:i/>
          <w:iCs/>
          <w:color w:val="000000"/>
          <w:sz w:val="24"/>
        </w:rPr>
        <w:t xml:space="preserve"> </w:t>
      </w:r>
      <w:r w:rsidR="00230BE6" w:rsidRPr="00A910A1">
        <w:rPr>
          <w:rFonts w:ascii="Palatino Linotype" w:eastAsia="Palatino Linotype" w:hAnsi="Palatino Linotype" w:cs="Palatino Linotype"/>
          <w:color w:val="000000"/>
          <w:sz w:val="24"/>
        </w:rPr>
        <w:t>“</w:t>
      </w:r>
      <w:r w:rsidR="00230BE6" w:rsidRPr="00A910A1">
        <w:rPr>
          <w:rFonts w:ascii="Palatino Linotype" w:eastAsia="Palatino Linotype" w:hAnsi="Palatino Linotype" w:cs="Palatino Linotype"/>
          <w:i/>
          <w:iCs/>
          <w:color w:val="000000"/>
          <w:sz w:val="24"/>
        </w:rPr>
        <w:t xml:space="preserve">se solicita nuevamente la información desde año 2018 a2023” (Sic) </w:t>
      </w:r>
    </w:p>
    <w:p w:rsidR="000843CB" w:rsidRPr="00A910A1" w:rsidRDefault="000843CB" w:rsidP="00A910A1">
      <w:pPr>
        <w:pBdr>
          <w:top w:val="nil"/>
          <w:left w:val="nil"/>
          <w:bottom w:val="nil"/>
          <w:right w:val="nil"/>
          <w:between w:val="nil"/>
        </w:pBdr>
        <w:ind w:left="993" w:right="822"/>
        <w:jc w:val="both"/>
        <w:rPr>
          <w:rFonts w:ascii="Palatino Linotype" w:eastAsia="Palatino Linotype" w:hAnsi="Palatino Linotype" w:cs="Palatino Linotype"/>
          <w:i/>
          <w:iCs/>
          <w:color w:val="000000"/>
          <w:sz w:val="28"/>
        </w:rPr>
      </w:pPr>
    </w:p>
    <w:p w:rsidR="000843CB" w:rsidRPr="00A910A1" w:rsidRDefault="00A910A1" w:rsidP="00A910A1">
      <w:pPr>
        <w:pStyle w:val="Prrafodelista"/>
        <w:numPr>
          <w:ilvl w:val="0"/>
          <w:numId w:val="5"/>
        </w:numPr>
        <w:pBdr>
          <w:top w:val="nil"/>
          <w:left w:val="nil"/>
          <w:bottom w:val="nil"/>
          <w:right w:val="nil"/>
          <w:between w:val="nil"/>
        </w:pBdr>
        <w:ind w:left="993" w:right="822"/>
        <w:rPr>
          <w:rFonts w:ascii="Palatino Linotype" w:eastAsia="Palatino Linotype" w:hAnsi="Palatino Linotype" w:cs="Palatino Linotype"/>
          <w:i/>
          <w:iCs/>
          <w:color w:val="000000"/>
          <w:sz w:val="24"/>
        </w:rPr>
      </w:pPr>
      <w:r w:rsidRPr="00A910A1">
        <w:rPr>
          <w:rFonts w:ascii="Palatino Linotype" w:eastAsia="Palatino Linotype" w:hAnsi="Palatino Linotype" w:cs="Palatino Linotype"/>
          <w:b/>
          <w:bCs/>
          <w:color w:val="000000"/>
          <w:sz w:val="24"/>
        </w:rPr>
        <w:t>RAZONES O MOTIVOS DE INCONFORMIDAD</w:t>
      </w:r>
      <w:r w:rsidR="00230BE6" w:rsidRPr="00A910A1">
        <w:rPr>
          <w:rFonts w:ascii="Palatino Linotype" w:eastAsia="Palatino Linotype" w:hAnsi="Palatino Linotype" w:cs="Palatino Linotype"/>
          <w:b/>
          <w:bCs/>
          <w:color w:val="000000"/>
          <w:sz w:val="24"/>
        </w:rPr>
        <w:t xml:space="preserve">: </w:t>
      </w:r>
      <w:r w:rsidR="00230BE6" w:rsidRPr="00A910A1">
        <w:rPr>
          <w:rFonts w:ascii="Palatino Linotype" w:eastAsia="Palatino Linotype" w:hAnsi="Palatino Linotype" w:cs="Palatino Linotype"/>
          <w:color w:val="000000"/>
          <w:sz w:val="24"/>
        </w:rPr>
        <w:t>“</w:t>
      </w:r>
      <w:r w:rsidR="00230BE6" w:rsidRPr="00A910A1">
        <w:rPr>
          <w:rFonts w:ascii="Palatino Linotype" w:eastAsia="Palatino Linotype" w:hAnsi="Palatino Linotype" w:cs="Palatino Linotype"/>
          <w:i/>
          <w:iCs/>
          <w:color w:val="000000"/>
          <w:sz w:val="24"/>
        </w:rPr>
        <w:t>buscar desde 2018 a 2023” (sic)</w:t>
      </w:r>
    </w:p>
    <w:p w:rsidR="000843CB" w:rsidRPr="00A910A1" w:rsidRDefault="000843C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En ese sentido, este Órgano Garante advierte que del recurso de revisión se desprenden nuevos requerimientos</w:t>
      </w:r>
      <w:r w:rsidRPr="00A910A1">
        <w:rPr>
          <w:rFonts w:ascii="Palatino Linotype" w:eastAsia="Palatino Linotype" w:hAnsi="Palatino Linotype" w:cs="Palatino Linotype"/>
          <w:b/>
          <w:bCs/>
          <w:color w:val="000000"/>
        </w:rPr>
        <w:t xml:space="preserve"> </w:t>
      </w:r>
      <w:r w:rsidRPr="00A910A1">
        <w:rPr>
          <w:rFonts w:ascii="Palatino Linotype" w:eastAsia="Palatino Linotype" w:hAnsi="Palatino Linotype" w:cs="Palatino Linotype"/>
          <w:color w:val="000000"/>
        </w:rPr>
        <w:t xml:space="preserve">mismos que no pueden ser atendidos dado que </w:t>
      </w:r>
      <w:r w:rsidRPr="00A910A1">
        <w:rPr>
          <w:rFonts w:ascii="Palatino Linotype" w:eastAsia="Palatino Linotype" w:hAnsi="Palatino Linotype" w:cs="Palatino Linotype"/>
          <w:b/>
          <w:bCs/>
          <w:color w:val="000000"/>
        </w:rPr>
        <w:t xml:space="preserve">no fueron solicitados inicialmente, a lo que se le conoce también como plus petitio. </w:t>
      </w:r>
    </w:p>
    <w:p w:rsidR="000843CB" w:rsidRPr="00A910A1" w:rsidRDefault="000843C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En ese sentido, es procedente señalar que el hoy Recurrente, en un inicio solicitó únicamente el organigrama, currículum vitae de los servidores públicos, cédula profesional del Presidente Municipal y se certificaciones, y posteriormente solicitó los documentos que acrediten los estudios como las cédulas profesionales de los directores. </w:t>
      </w:r>
    </w:p>
    <w:p w:rsidR="000843CB" w:rsidRPr="00A910A1" w:rsidRDefault="00230B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lastRenderedPageBreak/>
        <w:t>En ese contexto, la información requerida a través del Recurso de revisión, se trata de nuevos requerimientos, los cuales no pueden ser atendidos por no haber sido requeridos en la solicitud primigenia.  Sirve de apoyo a lo anterior por analogía, la Jurisprudencia No. 29 visible a foja 19 del Apéndice al Semanario Judicial de la Federación 1917-1995, Torno VI, Materia Común, Primera Parte, Tesis de la Suprema Corte de Justicia, que enseña:</w:t>
      </w:r>
    </w:p>
    <w:p w:rsidR="000843CB" w:rsidRPr="00A910A1" w:rsidRDefault="00230BE6">
      <w:pPr>
        <w:pBdr>
          <w:top w:val="nil"/>
          <w:left w:val="nil"/>
          <w:bottom w:val="nil"/>
          <w:right w:val="nil"/>
          <w:between w:val="nil"/>
        </w:pBdr>
        <w:spacing w:line="360" w:lineRule="auto"/>
        <w:ind w:left="720" w:right="901"/>
        <w:jc w:val="both"/>
        <w:rPr>
          <w:rFonts w:ascii="Palatino Linotype" w:eastAsia="Palatino Linotype" w:hAnsi="Palatino Linotype" w:cs="Palatino Linotype"/>
          <w:b/>
          <w:bCs/>
          <w:color w:val="000000"/>
        </w:rPr>
      </w:pPr>
      <w:r w:rsidRPr="00A910A1">
        <w:rPr>
          <w:rFonts w:ascii="Palatino Linotype" w:eastAsia="Palatino Linotype" w:hAnsi="Palatino Linotype" w:cs="Palatino Linotype"/>
          <w:b/>
          <w:bCs/>
          <w:color w:val="000000"/>
        </w:rPr>
        <w:t>"</w:t>
      </w:r>
      <w:r w:rsidRPr="00A910A1">
        <w:rPr>
          <w:rFonts w:ascii="Palatino Linotype" w:eastAsia="Palatino Linotype" w:hAnsi="Palatino Linotype" w:cs="Palatino Linotype"/>
          <w:i/>
          <w:iCs/>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A910A1">
        <w:rPr>
          <w:rFonts w:ascii="Palatino Linotype" w:eastAsia="Palatino Linotype" w:hAnsi="Palatino Linotype" w:cs="Palatino Linotype"/>
          <w:b/>
          <w:bCs/>
          <w:color w:val="000000"/>
        </w:rPr>
        <w:t>"</w:t>
      </w:r>
    </w:p>
    <w:p w:rsidR="000843CB" w:rsidRPr="00A910A1" w:rsidRDefault="000843CB">
      <w:pPr>
        <w:pBdr>
          <w:top w:val="nil"/>
          <w:left w:val="nil"/>
          <w:bottom w:val="nil"/>
          <w:right w:val="nil"/>
          <w:between w:val="nil"/>
        </w:pBdr>
        <w:spacing w:line="360" w:lineRule="auto"/>
        <w:ind w:left="720" w:right="901"/>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Asimismo, cabe por analogía en el presente asunto el fallo emitido por el Segundo Tribunal Colegiado del Cuarto Circuito, recaído en el amparo directo 277/88, que establece:</w:t>
      </w:r>
    </w:p>
    <w:p w:rsidR="000843CB" w:rsidRPr="00A910A1" w:rsidRDefault="00230BE6">
      <w:pPr>
        <w:pBdr>
          <w:top w:val="nil"/>
          <w:left w:val="nil"/>
          <w:bottom w:val="nil"/>
          <w:right w:val="nil"/>
          <w:between w:val="nil"/>
        </w:pBdr>
        <w:spacing w:line="360" w:lineRule="auto"/>
        <w:ind w:left="720" w:right="901"/>
        <w:jc w:val="both"/>
        <w:rPr>
          <w:rFonts w:ascii="Palatino Linotype" w:eastAsia="Palatino Linotype" w:hAnsi="Palatino Linotype" w:cs="Palatino Linotype"/>
          <w:b/>
          <w:bCs/>
          <w:color w:val="000000"/>
        </w:rPr>
      </w:pPr>
      <w:r w:rsidRPr="00A910A1">
        <w:rPr>
          <w:rFonts w:ascii="Palatino Linotype" w:eastAsia="Palatino Linotype" w:hAnsi="Palatino Linotype" w:cs="Palatino Linotype"/>
          <w:b/>
          <w:bCs/>
          <w:color w:val="000000"/>
        </w:rPr>
        <w:t>“</w:t>
      </w:r>
      <w:r w:rsidRPr="00A910A1">
        <w:rPr>
          <w:rFonts w:ascii="Palatino Linotype" w:eastAsia="Palatino Linotype" w:hAnsi="Palatino Linotype" w:cs="Palatino Linotype"/>
          <w:i/>
          <w:iCs/>
          <w:color w:val="000000"/>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w:t>
      </w:r>
      <w:r w:rsidRPr="00A910A1">
        <w:rPr>
          <w:rFonts w:ascii="Palatino Linotype" w:eastAsia="Palatino Linotype" w:hAnsi="Palatino Linotype" w:cs="Palatino Linotype"/>
          <w:i/>
          <w:iCs/>
          <w:color w:val="000000"/>
        </w:rPr>
        <w:lastRenderedPageBreak/>
        <w:t>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A910A1">
        <w:rPr>
          <w:rFonts w:ascii="Palatino Linotype" w:eastAsia="Palatino Linotype" w:hAnsi="Palatino Linotype" w:cs="Palatino Linotype"/>
          <w:b/>
          <w:bCs/>
          <w:color w:val="000000"/>
        </w:rPr>
        <w:t>”</w:t>
      </w:r>
    </w:p>
    <w:p w:rsidR="000843CB" w:rsidRPr="00A910A1" w:rsidRDefault="000843CB">
      <w:pPr>
        <w:pBdr>
          <w:top w:val="nil"/>
          <w:left w:val="nil"/>
          <w:bottom w:val="nil"/>
          <w:right w:val="nil"/>
          <w:between w:val="nil"/>
        </w:pBdr>
        <w:ind w:left="720" w:right="901"/>
        <w:jc w:val="both"/>
        <w:rPr>
          <w:rFonts w:ascii="Palatino Linotype" w:eastAsia="Palatino Linotype" w:hAnsi="Palatino Linotype" w:cs="Palatino Linotype"/>
          <w:b/>
          <w:bCs/>
          <w:color w:val="000000"/>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Por lo anterior, se establece que, el recurso de revisión presentado por </w:t>
      </w:r>
      <w:r w:rsidRPr="00A910A1">
        <w:rPr>
          <w:rFonts w:ascii="Palatino Linotype" w:eastAsia="Palatino Linotype" w:hAnsi="Palatino Linotype" w:cs="Palatino Linotype"/>
          <w:b/>
          <w:bCs/>
          <w:color w:val="000000"/>
        </w:rPr>
        <w:t>EL RECURRENTE</w:t>
      </w:r>
      <w:r w:rsidRPr="00A910A1">
        <w:rPr>
          <w:rFonts w:ascii="Palatino Linotype" w:eastAsia="Palatino Linotype" w:hAnsi="Palatino Linotype" w:cs="Palatino Linotype"/>
          <w:color w:val="000000"/>
        </w:rPr>
        <w:t xml:space="preserve"> no debe variar el fondo de la litis, de tal manera que, los argumentos planteados por </w:t>
      </w:r>
      <w:r w:rsidRPr="00A910A1">
        <w:rPr>
          <w:rFonts w:ascii="Palatino Linotype" w:eastAsia="Palatino Linotype" w:hAnsi="Palatino Linotype" w:cs="Palatino Linotype"/>
          <w:b/>
          <w:bCs/>
          <w:color w:val="000000"/>
        </w:rPr>
        <w:t>EL RECURRENTE</w:t>
      </w:r>
      <w:r w:rsidRPr="00A910A1">
        <w:rPr>
          <w:rFonts w:ascii="Palatino Linotype" w:eastAsia="Palatino Linotype" w:hAnsi="Palatino Linotype" w:cs="Palatino Linotype"/>
          <w:color w:val="000000"/>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0843CB" w:rsidRPr="00A910A1" w:rsidRDefault="000843C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0843CB" w:rsidRPr="00A910A1" w:rsidRDefault="000843C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rsidR="000843CB" w:rsidRPr="00A910A1" w:rsidRDefault="00230BE6">
      <w:pPr>
        <w:pBdr>
          <w:top w:val="nil"/>
          <w:left w:val="nil"/>
          <w:bottom w:val="nil"/>
          <w:right w:val="nil"/>
          <w:between w:val="nil"/>
        </w:pBdr>
        <w:shd w:val="clear" w:color="auto" w:fill="FFFFFF"/>
        <w:spacing w:line="360" w:lineRule="auto"/>
        <w:ind w:left="851" w:right="822"/>
        <w:jc w:val="both"/>
        <w:rPr>
          <w:rFonts w:ascii="Palatino Linotype" w:eastAsia="Palatino Linotype" w:hAnsi="Palatino Linotype" w:cs="Palatino Linotype"/>
          <w:b/>
          <w:bCs/>
          <w:i/>
          <w:iCs/>
          <w:color w:val="000000"/>
        </w:rPr>
      </w:pPr>
      <w:r w:rsidRPr="00A910A1">
        <w:rPr>
          <w:rFonts w:ascii="Palatino Linotype" w:eastAsia="Palatino Linotype" w:hAnsi="Palatino Linotype" w:cs="Palatino Linotype"/>
          <w:b/>
          <w:bCs/>
          <w:i/>
          <w:iCs/>
          <w:color w:val="000000"/>
        </w:rPr>
        <w:lastRenderedPageBreak/>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A910A1">
        <w:rPr>
          <w:rFonts w:ascii="Palatino Linotype" w:eastAsia="Palatino Linotype" w:hAnsi="Palatino Linotype" w:cs="Palatino Linotype"/>
          <w:i/>
          <w:iCs/>
          <w:color w:val="000000"/>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A910A1">
        <w:rPr>
          <w:rFonts w:ascii="Palatino Linotype" w:eastAsia="Palatino Linotype" w:hAnsi="Palatino Linotype" w:cs="Palatino Linotype"/>
          <w:i/>
          <w:iCs/>
          <w:color w:val="000000"/>
        </w:rPr>
        <w:br/>
        <w:t>OCTAVO TRIBUNAL COLEGIADO EN MATERIA ADMINISTRATIVA DEL PRIMER CIRCUITO.</w:t>
      </w:r>
      <w:r w:rsidRPr="00A910A1">
        <w:rPr>
          <w:rFonts w:ascii="Palatino Linotype" w:eastAsia="Palatino Linotype" w:hAnsi="Palatino Linotype" w:cs="Palatino Linotype"/>
          <w:b/>
          <w:bCs/>
          <w:i/>
          <w:iCs/>
          <w:color w:val="000000"/>
        </w:rPr>
        <w:t>”</w:t>
      </w:r>
    </w:p>
    <w:p w:rsidR="000843CB" w:rsidRPr="00A910A1" w:rsidRDefault="00230BE6">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lastRenderedPageBreak/>
        <w:t xml:space="preserve">Así mismo ha sido criterio del Instituto Nacional de Transparencia, Acceso a la Información y Protección de Datos Personales bajo el número 27/10, que </w:t>
      </w:r>
      <w:r w:rsidRPr="00A910A1">
        <w:rPr>
          <w:rFonts w:ascii="Palatino Linotype" w:eastAsia="Palatino Linotype" w:hAnsi="Palatino Linotype" w:cs="Palatino Linotype"/>
          <w:color w:val="000000"/>
          <w:u w:val="single"/>
        </w:rPr>
        <w:t>resulta improcedente ampliar las solicitudes de información pública o de datos personales a través de la interposición del recurso de revisión</w:t>
      </w:r>
      <w:r w:rsidRPr="00A910A1">
        <w:rPr>
          <w:rFonts w:ascii="Palatino Linotype" w:eastAsia="Palatino Linotype" w:hAnsi="Palatino Linotype" w:cs="Palatino Linotype"/>
          <w:color w:val="000000"/>
        </w:rPr>
        <w:t xml:space="preserve">, como se estima acontece en el presente asunto, al aumentar datos a la solicitud inicial, </w:t>
      </w:r>
      <w:r w:rsidRPr="00A910A1">
        <w:rPr>
          <w:rFonts w:ascii="Palatino Linotype" w:eastAsia="Palatino Linotype" w:hAnsi="Palatino Linotype" w:cs="Palatino Linotype"/>
          <w:b/>
          <w:bCs/>
          <w:color w:val="000000"/>
        </w:rPr>
        <w:t>por lo que se insiste no se puede entrar al estudio de la información novedosa</w:t>
      </w:r>
      <w:r w:rsidRPr="00A910A1">
        <w:rPr>
          <w:rFonts w:ascii="Palatino Linotype" w:eastAsia="Palatino Linotype" w:hAnsi="Palatino Linotype" w:cs="Palatino Linotype"/>
          <w:color w:val="000000"/>
        </w:rPr>
        <w:t>, criterio que es de la literalidad siguiente:</w:t>
      </w:r>
    </w:p>
    <w:p w:rsidR="000843CB" w:rsidRPr="00A910A1" w:rsidRDefault="00230BE6">
      <w:pPr>
        <w:pBdr>
          <w:top w:val="nil"/>
          <w:left w:val="nil"/>
          <w:bottom w:val="nil"/>
          <w:right w:val="nil"/>
          <w:between w:val="nil"/>
        </w:pBdr>
        <w:shd w:val="clear" w:color="auto" w:fill="FFFFFF"/>
        <w:spacing w:line="360" w:lineRule="auto"/>
        <w:ind w:left="851" w:right="822"/>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b/>
          <w:bCs/>
          <w:i/>
          <w:iCs/>
          <w:color w:val="000000"/>
        </w:rPr>
        <w:t>“Es improcedente ampliar las solicitudes de acceso a información pública o datos personales, a través de la interposición del recurso de revisión.</w:t>
      </w:r>
      <w:r w:rsidRPr="00A910A1">
        <w:rPr>
          <w:rFonts w:ascii="Palatino Linotype" w:eastAsia="Palatino Linotype" w:hAnsi="Palatino Linotype" w:cs="Palatino Linotype"/>
          <w:i/>
          <w:iCs/>
          <w:color w:val="000000"/>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0843CB" w:rsidRPr="00A910A1" w:rsidRDefault="00230BE6">
      <w:pPr>
        <w:pBdr>
          <w:top w:val="nil"/>
          <w:left w:val="nil"/>
          <w:bottom w:val="nil"/>
          <w:right w:val="nil"/>
          <w:between w:val="nil"/>
        </w:pBdr>
        <w:shd w:val="clear" w:color="auto" w:fill="FFFFFF"/>
        <w:spacing w:line="360" w:lineRule="auto"/>
        <w:ind w:left="851" w:right="822"/>
        <w:jc w:val="both"/>
        <w:rPr>
          <w:rFonts w:ascii="Palatino Linotype" w:eastAsia="Palatino Linotype" w:hAnsi="Palatino Linotype" w:cs="Palatino Linotype"/>
          <w:b/>
          <w:bCs/>
          <w:i/>
          <w:iCs/>
          <w:color w:val="000000"/>
        </w:rPr>
      </w:pPr>
      <w:r w:rsidRPr="00A910A1">
        <w:rPr>
          <w:rFonts w:ascii="Palatino Linotype" w:eastAsia="Palatino Linotype" w:hAnsi="Palatino Linotype" w:cs="Palatino Linotype"/>
          <w:i/>
          <w:iCs/>
          <w:color w:val="000000"/>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A910A1">
        <w:rPr>
          <w:rFonts w:ascii="Palatino Linotype" w:eastAsia="Palatino Linotype" w:hAnsi="Palatino Linotype" w:cs="Palatino Linotype"/>
          <w:b/>
          <w:bCs/>
          <w:i/>
          <w:iCs/>
          <w:color w:val="000000"/>
        </w:rPr>
        <w:t>”</w:t>
      </w:r>
    </w:p>
    <w:p w:rsidR="000843CB" w:rsidRPr="00A910A1" w:rsidRDefault="000843CB">
      <w:pPr>
        <w:pBdr>
          <w:top w:val="nil"/>
          <w:left w:val="nil"/>
          <w:bottom w:val="nil"/>
          <w:right w:val="nil"/>
          <w:between w:val="nil"/>
        </w:pBdr>
        <w:shd w:val="clear" w:color="auto" w:fill="FFFFFF"/>
        <w:ind w:left="720" w:right="899"/>
        <w:jc w:val="both"/>
        <w:rPr>
          <w:rFonts w:ascii="Palatino Linotype" w:eastAsia="Palatino Linotype" w:hAnsi="Palatino Linotype" w:cs="Palatino Linotype"/>
          <w:b/>
          <w:bCs/>
          <w:color w:val="000000"/>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En tal virtud, resulta procedente </w:t>
      </w:r>
      <w:r w:rsidRPr="00A910A1">
        <w:rPr>
          <w:rFonts w:ascii="Palatino Linotype" w:eastAsia="Palatino Linotype" w:hAnsi="Palatino Linotype" w:cs="Palatino Linotype"/>
          <w:b/>
          <w:bCs/>
          <w:color w:val="000000"/>
        </w:rPr>
        <w:t>DESECHAR</w:t>
      </w:r>
      <w:r w:rsidRPr="00A910A1">
        <w:rPr>
          <w:rFonts w:ascii="Palatino Linotype" w:eastAsia="Palatino Linotype" w:hAnsi="Palatino Linotype" w:cs="Palatino Linotype"/>
          <w:color w:val="000000"/>
        </w:rPr>
        <w:t xml:space="preserve"> el presente recurso, en términos del artículo 191, fracción VII de la de la Ley de Transparencia y Acceso a la Información Pública del Estado de México y Municipios, que literalmente establece:</w:t>
      </w:r>
    </w:p>
    <w:p w:rsidR="000843CB" w:rsidRPr="00A910A1" w:rsidRDefault="000843CB">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0843CB" w:rsidRPr="00A910A1" w:rsidRDefault="00230BE6">
      <w:pPr>
        <w:pBdr>
          <w:top w:val="nil"/>
          <w:left w:val="nil"/>
          <w:bottom w:val="nil"/>
          <w:right w:val="nil"/>
          <w:between w:val="nil"/>
        </w:pBdr>
        <w:spacing w:line="360" w:lineRule="auto"/>
        <w:ind w:left="720" w:right="901"/>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b/>
          <w:bCs/>
          <w:i/>
          <w:iCs/>
          <w:color w:val="000000"/>
        </w:rPr>
        <w:lastRenderedPageBreak/>
        <w:t xml:space="preserve">“Artículo 191. </w:t>
      </w:r>
      <w:r w:rsidRPr="00A910A1">
        <w:rPr>
          <w:rFonts w:ascii="Palatino Linotype" w:eastAsia="Palatino Linotype" w:hAnsi="Palatino Linotype" w:cs="Palatino Linotype"/>
          <w:i/>
          <w:iCs/>
          <w:color w:val="000000"/>
        </w:rPr>
        <w:t>El recurso será desechado por improcedente cuando:</w:t>
      </w:r>
    </w:p>
    <w:p w:rsidR="000843CB" w:rsidRPr="00A910A1" w:rsidRDefault="00230BE6">
      <w:pPr>
        <w:pBdr>
          <w:top w:val="nil"/>
          <w:left w:val="nil"/>
          <w:bottom w:val="nil"/>
          <w:right w:val="nil"/>
          <w:between w:val="nil"/>
        </w:pBdr>
        <w:spacing w:line="360" w:lineRule="auto"/>
        <w:ind w:left="720" w:right="901"/>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b/>
          <w:bCs/>
          <w:i/>
          <w:iCs/>
          <w:color w:val="000000"/>
        </w:rPr>
        <w:t>…</w:t>
      </w:r>
    </w:p>
    <w:p w:rsidR="000843CB" w:rsidRPr="00A910A1" w:rsidRDefault="00230BE6">
      <w:pPr>
        <w:pBdr>
          <w:top w:val="nil"/>
          <w:left w:val="nil"/>
          <w:bottom w:val="nil"/>
          <w:right w:val="nil"/>
          <w:between w:val="nil"/>
        </w:pBdr>
        <w:spacing w:line="360" w:lineRule="auto"/>
        <w:ind w:left="720" w:right="901"/>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b/>
          <w:bCs/>
          <w:i/>
          <w:iCs/>
          <w:color w:val="000000"/>
        </w:rPr>
        <w:t xml:space="preserve">VII. </w:t>
      </w:r>
      <w:r w:rsidRPr="00A910A1">
        <w:rPr>
          <w:rFonts w:ascii="Palatino Linotype" w:eastAsia="Palatino Linotype" w:hAnsi="Palatino Linotype" w:cs="Palatino Linotype"/>
          <w:i/>
          <w:iCs/>
          <w:color w:val="000000"/>
        </w:rPr>
        <w:t>El recurrente amplíe su solicitud en el recurso de revisión, únicamente respecto de los nuevos contenidos.</w:t>
      </w:r>
    </w:p>
    <w:p w:rsidR="000843CB" w:rsidRPr="00A910A1" w:rsidRDefault="00230BE6">
      <w:pPr>
        <w:pBdr>
          <w:top w:val="nil"/>
          <w:left w:val="nil"/>
          <w:bottom w:val="nil"/>
          <w:right w:val="nil"/>
          <w:between w:val="nil"/>
        </w:pBdr>
        <w:spacing w:line="360" w:lineRule="auto"/>
        <w:ind w:left="720" w:right="901"/>
        <w:jc w:val="both"/>
        <w:rPr>
          <w:rFonts w:ascii="Palatino Linotype" w:eastAsia="Palatino Linotype" w:hAnsi="Palatino Linotype" w:cs="Palatino Linotype"/>
          <w:b/>
          <w:bCs/>
          <w:i/>
          <w:iCs/>
          <w:color w:val="000000"/>
        </w:rPr>
      </w:pPr>
      <w:r w:rsidRPr="00A910A1">
        <w:rPr>
          <w:rFonts w:ascii="Palatino Linotype" w:eastAsia="Palatino Linotype" w:hAnsi="Palatino Linotype" w:cs="Palatino Linotype"/>
          <w:b/>
          <w:bCs/>
          <w:i/>
          <w:iCs/>
          <w:color w:val="000000"/>
        </w:rPr>
        <w:t>…”</w:t>
      </w:r>
    </w:p>
    <w:p w:rsidR="000843CB" w:rsidRPr="00A910A1" w:rsidRDefault="000843CB">
      <w:pPr>
        <w:pBdr>
          <w:top w:val="nil"/>
          <w:left w:val="nil"/>
          <w:bottom w:val="nil"/>
          <w:right w:val="nil"/>
          <w:between w:val="nil"/>
        </w:pBdr>
        <w:ind w:left="720" w:right="901"/>
        <w:jc w:val="both"/>
        <w:rPr>
          <w:rFonts w:ascii="Palatino Linotype" w:eastAsia="Palatino Linotype" w:hAnsi="Palatino Linotype" w:cs="Palatino Linotype"/>
          <w:i/>
          <w:iCs/>
          <w:color w:val="000000"/>
        </w:rPr>
      </w:pPr>
    </w:p>
    <w:p w:rsidR="000843CB" w:rsidRPr="00A910A1" w:rsidRDefault="00230BE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No obstante lo anterior, </w:t>
      </w:r>
      <w:r w:rsidRPr="00A910A1">
        <w:rPr>
          <w:rFonts w:ascii="Palatino Linotype" w:eastAsia="Palatino Linotype" w:hAnsi="Palatino Linotype" w:cs="Palatino Linotype"/>
          <w:b/>
          <w:bCs/>
          <w:color w:val="000000"/>
        </w:rPr>
        <w:t>se dejan a salvo los derechos del RECURRENTE para ejercitar su derecho de acceso a la información pública, realizando una nueva solicitud respecto de la información requerida mediante el recurso de revisión</w:t>
      </w:r>
      <w:r w:rsidRPr="00A910A1">
        <w:rPr>
          <w:rFonts w:ascii="Palatino Linotype" w:eastAsia="Palatino Linotype" w:hAnsi="Palatino Linotype" w:cs="Palatino Linotype"/>
          <w:color w:val="000000"/>
        </w:rPr>
        <w:t>.</w:t>
      </w:r>
    </w:p>
    <w:p w:rsidR="000843CB" w:rsidRPr="00A910A1" w:rsidRDefault="000843CB">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Al no actualizar ninguna causal de procedencia, el recurso de revisión deben ser desechados por improcedentes; sin embargo, una vez admitido, procederá el sobreseimiento de acuerdo a lo que establece el artículo 192 fracción IV, de la multicitada Ley de Transparencia:</w:t>
      </w:r>
    </w:p>
    <w:p w:rsidR="000843CB" w:rsidRPr="00A910A1" w:rsidRDefault="00230BE6">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Artículo 192. El recurso será sobreseído, en todo o en parte, cuando una vez admitido, se actualicen alguno de los siguientes supuestos:</w:t>
      </w:r>
    </w:p>
    <w:p w:rsidR="000843CB" w:rsidRPr="00A910A1" w:rsidRDefault="00230BE6">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I. El recurrente se desista expresamente del recurso; </w:t>
      </w:r>
    </w:p>
    <w:p w:rsidR="000843CB" w:rsidRPr="00A910A1" w:rsidRDefault="00230BE6">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II. El recurrente fallezca o, tratándose de personas jurídicas colectivas, se disuelva; </w:t>
      </w:r>
    </w:p>
    <w:p w:rsidR="000843CB" w:rsidRPr="00A910A1" w:rsidRDefault="00230BE6">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 xml:space="preserve">III. El sujeto obligado responsable del acto lo modifique o revoque de tal manera que el recurso de revisión quede sin materia; </w:t>
      </w:r>
    </w:p>
    <w:p w:rsidR="000843CB" w:rsidRPr="00A910A1" w:rsidRDefault="00230BE6">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b/>
          <w:bCs/>
          <w:i/>
          <w:iCs/>
          <w:color w:val="000000"/>
        </w:rPr>
      </w:pPr>
      <w:r w:rsidRPr="00A910A1">
        <w:rPr>
          <w:rFonts w:ascii="Palatino Linotype" w:eastAsia="Palatino Linotype" w:hAnsi="Palatino Linotype" w:cs="Palatino Linotype"/>
          <w:b/>
          <w:bCs/>
          <w:i/>
          <w:iCs/>
          <w:color w:val="000000"/>
        </w:rPr>
        <w:t xml:space="preserve">IV. Admitido el recurso de revisión, aparezca alguna causal de improcedencia en los términos de la presente Ley; y </w:t>
      </w:r>
    </w:p>
    <w:p w:rsidR="000843CB" w:rsidRPr="00A910A1" w:rsidRDefault="00230BE6">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iCs/>
          <w:color w:val="000000"/>
        </w:rPr>
      </w:pPr>
      <w:r w:rsidRPr="00A910A1">
        <w:rPr>
          <w:rFonts w:ascii="Palatino Linotype" w:eastAsia="Palatino Linotype" w:hAnsi="Palatino Linotype" w:cs="Palatino Linotype"/>
          <w:i/>
          <w:iCs/>
          <w:color w:val="000000"/>
        </w:rPr>
        <w:t>V. Cuando por cualquier motivo quede sin materia el recurso.</w:t>
      </w:r>
    </w:p>
    <w:p w:rsidR="000843CB" w:rsidRPr="00A910A1" w:rsidRDefault="000843CB">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lastRenderedPageBreak/>
        <w:t>Es así que, el recurso de revisión actualiza la causal de sobreseimiento establecida en la fracción IV del artículo 192, en relación a las fracciones III del artículo 191, ambos de la Ley de Transparencia y Acceso a la Información Pública del Estado de México y Municipios.</w:t>
      </w:r>
    </w:p>
    <w:p w:rsidR="000843CB" w:rsidRPr="00A910A1" w:rsidRDefault="000843C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0843CB" w:rsidRPr="00A910A1" w:rsidRDefault="00230BE6">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color w:val="000000"/>
        </w:rPr>
        <w:t xml:space="preserve">Por lo anteriormente expuesto y fundado, este </w:t>
      </w:r>
      <w:r w:rsidRPr="00A910A1">
        <w:rPr>
          <w:rFonts w:ascii="Palatino Linotype" w:eastAsia="Palatino Linotype" w:hAnsi="Palatino Linotype" w:cs="Palatino Linotype"/>
          <w:b/>
          <w:bCs/>
          <w:color w:val="000000"/>
        </w:rPr>
        <w:t>ÓRGANO GARANTE</w:t>
      </w:r>
      <w:r w:rsidRPr="00A910A1">
        <w:rPr>
          <w:rFonts w:ascii="Palatino Linotype" w:eastAsia="Palatino Linotype" w:hAnsi="Palatino Linotype" w:cs="Palatino Linotype"/>
          <w:color w:val="000000"/>
        </w:rPr>
        <w:t xml:space="preserve"> emite los siguientes:</w:t>
      </w:r>
    </w:p>
    <w:p w:rsidR="000843CB" w:rsidRPr="00A910A1" w:rsidRDefault="000843CB">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rPr>
      </w:pPr>
    </w:p>
    <w:p w:rsidR="000843CB" w:rsidRPr="00A910A1" w:rsidRDefault="00230BE6">
      <w:pPr>
        <w:pStyle w:val="Ttulo1"/>
        <w:spacing w:line="360" w:lineRule="auto"/>
        <w:jc w:val="center"/>
        <w:rPr>
          <w:rFonts w:ascii="Palatino Linotype" w:eastAsia="Palatino Linotype" w:hAnsi="Palatino Linotype" w:cs="Palatino Linotype"/>
          <w:b/>
          <w:bCs/>
          <w:color w:val="000000"/>
          <w:sz w:val="24"/>
          <w:szCs w:val="24"/>
        </w:rPr>
      </w:pPr>
      <w:bookmarkStart w:id="8" w:name="_heading=h.75x44rsglm3x" w:colFirst="0" w:colLast="0"/>
      <w:bookmarkEnd w:id="8"/>
      <w:r w:rsidRPr="00A910A1">
        <w:rPr>
          <w:rFonts w:ascii="Palatino Linotype" w:eastAsia="Palatino Linotype" w:hAnsi="Palatino Linotype" w:cs="Palatino Linotype"/>
          <w:b/>
          <w:bCs/>
          <w:color w:val="000000"/>
          <w:sz w:val="24"/>
          <w:szCs w:val="24"/>
        </w:rPr>
        <w:t>R E S O L U T I V O S</w:t>
      </w:r>
    </w:p>
    <w:p w:rsidR="000843CB" w:rsidRPr="00A910A1" w:rsidRDefault="000843CB"/>
    <w:p w:rsidR="000843CB" w:rsidRPr="00A910A1" w:rsidRDefault="00230BE6">
      <w:pPr>
        <w:spacing w:after="240" w:line="360" w:lineRule="auto"/>
        <w:jc w:val="both"/>
        <w:rPr>
          <w:rFonts w:ascii="Palatino Linotype" w:eastAsia="Palatino Linotype" w:hAnsi="Palatino Linotype" w:cs="Palatino Linotype"/>
        </w:rPr>
      </w:pPr>
      <w:bookmarkStart w:id="9" w:name="_heading=h.mtrfk9mgwejl" w:colFirst="0" w:colLast="0"/>
      <w:bookmarkEnd w:id="9"/>
      <w:r w:rsidRPr="00A910A1">
        <w:rPr>
          <w:rFonts w:ascii="Palatino Linotype" w:eastAsia="Palatino Linotype" w:hAnsi="Palatino Linotype" w:cs="Palatino Linotype"/>
          <w:b/>
          <w:bCs/>
        </w:rPr>
        <w:t>PRIMERO.</w:t>
      </w:r>
      <w:r w:rsidRPr="00A910A1">
        <w:rPr>
          <w:rFonts w:ascii="Palatino Linotype" w:eastAsia="Palatino Linotype" w:hAnsi="Palatino Linotype" w:cs="Palatino Linotype"/>
        </w:rPr>
        <w:t xml:space="preserve"> Se </w:t>
      </w:r>
      <w:r w:rsidRPr="00A910A1">
        <w:rPr>
          <w:rFonts w:ascii="Palatino Linotype" w:eastAsia="Palatino Linotype" w:hAnsi="Palatino Linotype" w:cs="Palatino Linotype"/>
          <w:b/>
          <w:bCs/>
        </w:rPr>
        <w:t xml:space="preserve">SOBRESEE el </w:t>
      </w:r>
      <w:r w:rsidRPr="00A910A1">
        <w:rPr>
          <w:rFonts w:ascii="Palatino Linotype" w:eastAsia="Palatino Linotype" w:hAnsi="Palatino Linotype" w:cs="Palatino Linotype"/>
        </w:rPr>
        <w:t xml:space="preserve">recurso de revisión número </w:t>
      </w:r>
      <w:r w:rsidRPr="00A910A1">
        <w:rPr>
          <w:rFonts w:ascii="Palatino Linotype" w:eastAsia="Palatino Linotype" w:hAnsi="Palatino Linotype" w:cs="Palatino Linotype"/>
          <w:b/>
          <w:bCs/>
        </w:rPr>
        <w:t>12073/INFOEM/IP/RR/2025</w:t>
      </w:r>
      <w:r w:rsidRPr="00A910A1">
        <w:rPr>
          <w:rFonts w:ascii="Palatino Linotype" w:eastAsia="Palatino Linotype" w:hAnsi="Palatino Linotype" w:cs="Palatino Linotype"/>
        </w:rPr>
        <w:t xml:space="preserve">, por improcedente conforme al artículo </w:t>
      </w:r>
      <w:r w:rsidRPr="00A910A1">
        <w:rPr>
          <w:rFonts w:ascii="Palatino Linotype" w:eastAsia="Palatino Linotype" w:hAnsi="Palatino Linotype" w:cs="Palatino Linotype"/>
          <w:b/>
          <w:bCs/>
        </w:rPr>
        <w:t>192 fracción IV</w:t>
      </w:r>
      <w:r w:rsidRPr="00A910A1">
        <w:rPr>
          <w:rFonts w:ascii="Palatino Linotype" w:eastAsia="Palatino Linotype" w:hAnsi="Palatino Linotype" w:cs="Palatino Linotype"/>
        </w:rPr>
        <w:t xml:space="preserve">, de la Ley de Transparencia y Acceso a la Información Pública del Estado de México y Municipios, en términos del </w:t>
      </w:r>
      <w:r w:rsidRPr="00A910A1">
        <w:rPr>
          <w:rFonts w:ascii="Palatino Linotype" w:eastAsia="Palatino Linotype" w:hAnsi="Palatino Linotype" w:cs="Palatino Linotype"/>
          <w:b/>
          <w:bCs/>
        </w:rPr>
        <w:t>Considerando TERCERO</w:t>
      </w:r>
      <w:r w:rsidRPr="00A910A1">
        <w:rPr>
          <w:rFonts w:ascii="Palatino Linotype" w:eastAsia="Palatino Linotype" w:hAnsi="Palatino Linotype" w:cs="Palatino Linotype"/>
        </w:rPr>
        <w:t xml:space="preserve"> de la presente resolución.</w:t>
      </w:r>
    </w:p>
    <w:p w:rsidR="000843CB" w:rsidRPr="00A910A1" w:rsidRDefault="00230BE6">
      <w:pPr>
        <w:pBdr>
          <w:top w:val="nil"/>
          <w:left w:val="nil"/>
          <w:bottom w:val="nil"/>
          <w:right w:val="nil"/>
          <w:between w:val="nil"/>
        </w:pBdr>
        <w:spacing w:after="240" w:line="360" w:lineRule="auto"/>
        <w:jc w:val="both"/>
        <w:rPr>
          <w:rFonts w:ascii="Palatino Linotype" w:eastAsia="Palatino Linotype" w:hAnsi="Palatino Linotype" w:cs="Palatino Linotype"/>
          <w:b/>
          <w:bCs/>
          <w:color w:val="000000"/>
        </w:rPr>
      </w:pPr>
      <w:r w:rsidRPr="00A910A1">
        <w:rPr>
          <w:rFonts w:ascii="Palatino Linotype" w:eastAsia="Palatino Linotype" w:hAnsi="Palatino Linotype" w:cs="Palatino Linotype"/>
          <w:b/>
          <w:bCs/>
          <w:color w:val="000000"/>
        </w:rPr>
        <w:t xml:space="preserve">SEGUNDO. </w:t>
      </w:r>
      <w:r w:rsidR="00E32F3D" w:rsidRPr="00A910A1">
        <w:rPr>
          <w:rFonts w:ascii="Palatino Linotype" w:eastAsia="Palatino Linotype" w:hAnsi="Palatino Linotype" w:cs="Palatino Linotype"/>
          <w:b/>
          <w:bCs/>
          <w:color w:val="000000"/>
        </w:rPr>
        <w:t>Notifíquese</w:t>
      </w:r>
      <w:r w:rsidRPr="00A910A1">
        <w:rPr>
          <w:rFonts w:ascii="Palatino Linotype" w:eastAsia="Palatino Linotype" w:hAnsi="Palatino Linotype" w:cs="Palatino Linotype"/>
          <w:b/>
          <w:bCs/>
          <w:color w:val="000000"/>
        </w:rPr>
        <w:t xml:space="preserve"> </w:t>
      </w:r>
      <w:r w:rsidRPr="00A910A1">
        <w:rPr>
          <w:rFonts w:ascii="Palatino Linotype" w:eastAsia="Palatino Linotype" w:hAnsi="Palatino Linotype" w:cs="Palatino Linotype"/>
          <w:color w:val="000000"/>
        </w:rPr>
        <w:t xml:space="preserve">a través del Sistema de Acceso a la Información Mexiquense </w:t>
      </w:r>
      <w:r w:rsidRPr="00A910A1">
        <w:rPr>
          <w:rFonts w:ascii="Palatino Linotype" w:eastAsia="Palatino Linotype" w:hAnsi="Palatino Linotype" w:cs="Palatino Linotype"/>
          <w:b/>
          <w:bCs/>
          <w:color w:val="000000"/>
        </w:rPr>
        <w:t xml:space="preserve">(SAIMEX) </w:t>
      </w:r>
      <w:r w:rsidRPr="00A910A1">
        <w:rPr>
          <w:rFonts w:ascii="Palatino Linotype" w:eastAsia="Palatino Linotype" w:hAnsi="Palatino Linotype" w:cs="Palatino Linotype"/>
          <w:color w:val="000000"/>
        </w:rPr>
        <w:t>la presente resolución al Titular de la Unidad de Transparencia del</w:t>
      </w:r>
      <w:r w:rsidRPr="00A910A1">
        <w:rPr>
          <w:rFonts w:ascii="Palatino Linotype" w:eastAsia="Palatino Linotype" w:hAnsi="Palatino Linotype" w:cs="Palatino Linotype"/>
          <w:b/>
          <w:bCs/>
          <w:color w:val="000000"/>
        </w:rPr>
        <w:t xml:space="preserve"> SUJETO OBLIGADO. </w:t>
      </w:r>
    </w:p>
    <w:p w:rsidR="000843CB" w:rsidRPr="00A910A1" w:rsidRDefault="00230BE6">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b/>
          <w:bCs/>
          <w:color w:val="000000"/>
        </w:rPr>
        <w:t xml:space="preserve">TERCERO. Notifíquese al RECURRENTE </w:t>
      </w:r>
      <w:r w:rsidRPr="00A910A1">
        <w:rPr>
          <w:rFonts w:ascii="Palatino Linotype" w:eastAsia="Palatino Linotype" w:hAnsi="Palatino Linotype" w:cs="Palatino Linotype"/>
          <w:color w:val="000000"/>
        </w:rPr>
        <w:t xml:space="preserve">la presente resolución vía </w:t>
      </w:r>
      <w:r w:rsidRPr="00A910A1">
        <w:rPr>
          <w:rFonts w:ascii="Palatino Linotype" w:eastAsia="Palatino Linotype" w:hAnsi="Palatino Linotype" w:cs="Palatino Linotype"/>
          <w:b/>
          <w:bCs/>
          <w:color w:val="000000"/>
        </w:rPr>
        <w:t>SAIMEX</w:t>
      </w:r>
      <w:r w:rsidRPr="00A910A1">
        <w:rPr>
          <w:rFonts w:ascii="Palatino Linotype" w:eastAsia="Palatino Linotype" w:hAnsi="Palatino Linotype" w:cs="Palatino Linotype"/>
          <w:color w:val="000000"/>
        </w:rPr>
        <w:t>.</w:t>
      </w:r>
    </w:p>
    <w:p w:rsidR="000843CB" w:rsidRPr="00A910A1" w:rsidRDefault="00230BE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910A1">
        <w:rPr>
          <w:rFonts w:ascii="Palatino Linotype" w:eastAsia="Palatino Linotype" w:hAnsi="Palatino Linotype" w:cs="Palatino Linotype"/>
          <w:b/>
          <w:bCs/>
          <w:color w:val="000000"/>
        </w:rPr>
        <w:t>CUARTO.</w:t>
      </w:r>
      <w:r w:rsidRPr="00A910A1">
        <w:rPr>
          <w:rFonts w:ascii="Palatino Linotype" w:eastAsia="Palatino Linotype" w:hAnsi="Palatino Linotype" w:cs="Palatino Linotype"/>
          <w:color w:val="000000"/>
        </w:rPr>
        <w:t xml:space="preserve"> Se hace del conocimiento del </w:t>
      </w:r>
      <w:r w:rsidRPr="00A910A1">
        <w:rPr>
          <w:rFonts w:ascii="Palatino Linotype" w:eastAsia="Palatino Linotype" w:hAnsi="Palatino Linotype" w:cs="Palatino Linotype"/>
          <w:b/>
          <w:bCs/>
          <w:color w:val="000000"/>
        </w:rPr>
        <w:t xml:space="preserve">RECURRENTE </w:t>
      </w:r>
      <w:r w:rsidRPr="00A910A1">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843CB" w:rsidRPr="00A910A1" w:rsidRDefault="000843CB">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E32F3D" w:rsidRPr="00A910A1" w:rsidRDefault="00E32F3D" w:rsidP="00E32F3D">
      <w:pPr>
        <w:spacing w:before="240" w:after="240" w:line="360" w:lineRule="auto"/>
        <w:ind w:firstLine="1"/>
        <w:jc w:val="both"/>
        <w:rPr>
          <w:rFonts w:ascii="Palatino Linotype" w:hAnsi="Palatino Linotype"/>
        </w:rPr>
      </w:pPr>
      <w:bookmarkStart w:id="10" w:name="_Hlk99014733"/>
      <w:r w:rsidRPr="00A910A1">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A910A1">
        <w:rPr>
          <w:rFonts w:ascii="Palatino Linotype" w:hAnsi="Palatino Linotype" w:cs="Palatino Linotype"/>
          <w:color w:val="000000" w:themeColor="text1"/>
        </w:rPr>
        <w:t>ALEXIS TAPIA RAMÍREZ.</w:t>
      </w:r>
    </w:p>
    <w:bookmarkEnd w:id="10"/>
    <w:p w:rsidR="000843CB" w:rsidRPr="00A910A1" w:rsidRDefault="000843CB">
      <w:pPr>
        <w:spacing w:line="360" w:lineRule="auto"/>
      </w:pPr>
    </w:p>
    <w:p w:rsidR="000843CB" w:rsidRPr="00A910A1" w:rsidRDefault="000843CB">
      <w:pPr>
        <w:spacing w:line="360" w:lineRule="auto"/>
      </w:pPr>
    </w:p>
    <w:p w:rsidR="000843CB" w:rsidRPr="00A910A1" w:rsidRDefault="000843CB">
      <w:pPr>
        <w:spacing w:line="360" w:lineRule="auto"/>
      </w:pPr>
    </w:p>
    <w:p w:rsidR="000843CB" w:rsidRPr="00A910A1" w:rsidRDefault="000843CB">
      <w:pPr>
        <w:spacing w:line="360" w:lineRule="auto"/>
      </w:pPr>
    </w:p>
    <w:p w:rsidR="000843CB" w:rsidRPr="00A910A1" w:rsidRDefault="000843CB">
      <w:pPr>
        <w:spacing w:line="360" w:lineRule="auto"/>
      </w:pPr>
    </w:p>
    <w:p w:rsidR="000843CB" w:rsidRPr="00A910A1" w:rsidRDefault="000843CB">
      <w:pPr>
        <w:spacing w:line="360" w:lineRule="auto"/>
      </w:pPr>
    </w:p>
    <w:p w:rsidR="000843CB" w:rsidRPr="00A910A1" w:rsidRDefault="000843CB">
      <w:pPr>
        <w:spacing w:line="360" w:lineRule="auto"/>
      </w:pPr>
    </w:p>
    <w:p w:rsidR="000843CB" w:rsidRPr="00A910A1" w:rsidRDefault="000843CB">
      <w:pPr>
        <w:spacing w:line="360" w:lineRule="auto"/>
      </w:pPr>
    </w:p>
    <w:p w:rsidR="000843CB" w:rsidRPr="00A910A1" w:rsidRDefault="000843CB">
      <w:pPr>
        <w:spacing w:line="360" w:lineRule="auto"/>
      </w:pPr>
    </w:p>
    <w:p w:rsidR="000843CB" w:rsidRPr="00A910A1" w:rsidRDefault="000843CB"/>
    <w:p w:rsidR="000843CB" w:rsidRPr="00A910A1" w:rsidRDefault="000843CB"/>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7720D5" w:rsidRPr="00A910A1" w:rsidRDefault="007720D5"/>
    <w:p w:rsidR="000843CB" w:rsidRPr="00A910A1" w:rsidRDefault="000843CB"/>
    <w:p w:rsidR="000843CB" w:rsidRPr="00A910A1" w:rsidRDefault="000843CB"/>
    <w:sectPr w:rsidR="000843CB" w:rsidRPr="00A910A1" w:rsidSect="00A910A1">
      <w:headerReference w:type="even" r:id="rId10"/>
      <w:headerReference w:type="default" r:id="rId11"/>
      <w:footerReference w:type="default" r:id="rId12"/>
      <w:headerReference w:type="first" r:id="rId13"/>
      <w:footerReference w:type="first" r:id="rId14"/>
      <w:pgSz w:w="12240" w:h="15840"/>
      <w:pgMar w:top="80" w:right="61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87D" w:rsidRDefault="0046187D">
      <w:r>
        <w:separator/>
      </w:r>
    </w:p>
  </w:endnote>
  <w:endnote w:type="continuationSeparator" w:id="0">
    <w:p w:rsidR="0046187D" w:rsidRDefault="00461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8790103-CC95-4E6B-B7FD-CF41006DA5C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7459099-52ED-432A-9F96-E3EF19759FBE}"/>
    <w:embedBold r:id="rId3" w:fontKey="{60AB23B3-9C61-412F-929E-8A539F65E4F9}"/>
    <w:embedItalic r:id="rId4" w:fontKey="{6450E09B-7C00-49D0-9AF6-540E1488E1AB}"/>
    <w:embedBoldItalic r:id="rId5" w:fontKey="{493ED600-4E3F-40F8-B6D0-48F2A8917DD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F9F58243-F038-4EC2-B73D-CE774A089E04}"/>
  </w:font>
  <w:font w:name="Calibri Light">
    <w:panose1 w:val="020F0302020204030204"/>
    <w:charset w:val="00"/>
    <w:family w:val="swiss"/>
    <w:pitch w:val="variable"/>
    <w:sig w:usb0="E4002EFF" w:usb1="C200247B" w:usb2="00000009" w:usb3="00000000" w:csb0="000001FF" w:csb1="00000000"/>
    <w:embedRegular r:id="rId7" w:fontKey="{34842B00-3B6B-4C22-B18D-9BB31F79F198}"/>
  </w:font>
  <w:font w:name="Century Gothic">
    <w:panose1 w:val="020B0502020202020204"/>
    <w:charset w:val="00"/>
    <w:family w:val="swiss"/>
    <w:pitch w:val="variable"/>
    <w:sig w:usb0="00000287" w:usb1="00000000" w:usb2="00000000" w:usb3="00000000" w:csb0="0000009F" w:csb1="00000000"/>
    <w:embedRegular r:id="rId8" w:fontKey="{B94960C8-F037-4E5A-9F0A-80E7FB3820C2}"/>
  </w:font>
  <w:font w:name="Georgia">
    <w:panose1 w:val="02040502050405020303"/>
    <w:charset w:val="00"/>
    <w:family w:val="roman"/>
    <w:pitch w:val="variable"/>
    <w:sig w:usb0="00000287" w:usb1="00000000" w:usb2="00000000" w:usb3="00000000" w:csb0="0000009F" w:csb1="00000000"/>
    <w:embedItalic r:id="rId9" w:fontKey="{E53474A0-E39C-4AAF-B87A-B823BAB6C88A}"/>
  </w:font>
  <w:font w:name="Garamond">
    <w:panose1 w:val="02020404030301010803"/>
    <w:charset w:val="00"/>
    <w:family w:val="roman"/>
    <w:pitch w:val="variable"/>
    <w:sig w:usb0="00000287" w:usb1="00000000" w:usb2="00000000" w:usb3="00000000" w:csb0="0000009F" w:csb1="00000000"/>
    <w:embedRegular r:id="rId10" w:fontKey="{4A536C9A-01EB-440E-8E8A-D3826461374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3CB" w:rsidRPr="00A910A1" w:rsidRDefault="00230BE6">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A910A1">
      <w:rPr>
        <w:rFonts w:ascii="Palatino Linotype" w:hAnsi="Palatino Linotype"/>
        <w:b/>
        <w:color w:val="000000"/>
        <w:sz w:val="22"/>
      </w:rPr>
      <w:t xml:space="preserve">Página </w:t>
    </w:r>
    <w:r w:rsidRPr="00A910A1">
      <w:rPr>
        <w:rFonts w:ascii="Palatino Linotype" w:hAnsi="Palatino Linotype"/>
        <w:b/>
        <w:bCs/>
        <w:color w:val="000000"/>
        <w:sz w:val="22"/>
      </w:rPr>
      <w:fldChar w:fldCharType="begin"/>
    </w:r>
    <w:r w:rsidRPr="00A910A1">
      <w:rPr>
        <w:rFonts w:ascii="Palatino Linotype" w:hAnsi="Palatino Linotype"/>
        <w:b/>
        <w:bCs/>
        <w:color w:val="000000"/>
        <w:sz w:val="22"/>
      </w:rPr>
      <w:instrText>PAGE</w:instrText>
    </w:r>
    <w:r w:rsidRPr="00A910A1">
      <w:rPr>
        <w:rFonts w:ascii="Palatino Linotype" w:hAnsi="Palatino Linotype"/>
        <w:b/>
        <w:bCs/>
        <w:color w:val="000000"/>
        <w:sz w:val="22"/>
      </w:rPr>
      <w:fldChar w:fldCharType="separate"/>
    </w:r>
    <w:r w:rsidR="00B93BA0">
      <w:rPr>
        <w:rFonts w:ascii="Palatino Linotype" w:hAnsi="Palatino Linotype"/>
        <w:b/>
        <w:bCs/>
        <w:noProof/>
        <w:color w:val="000000"/>
        <w:sz w:val="22"/>
      </w:rPr>
      <w:t>18</w:t>
    </w:r>
    <w:r w:rsidRPr="00A910A1">
      <w:rPr>
        <w:rFonts w:ascii="Palatino Linotype" w:hAnsi="Palatino Linotype"/>
        <w:b/>
        <w:bCs/>
        <w:color w:val="000000"/>
        <w:sz w:val="22"/>
      </w:rPr>
      <w:fldChar w:fldCharType="end"/>
    </w:r>
    <w:r w:rsidRPr="00A910A1">
      <w:rPr>
        <w:rFonts w:ascii="Palatino Linotype" w:hAnsi="Palatino Linotype"/>
        <w:b/>
        <w:color w:val="000000"/>
        <w:sz w:val="22"/>
      </w:rPr>
      <w:t xml:space="preserve"> de </w:t>
    </w:r>
    <w:r w:rsidRPr="00A910A1">
      <w:rPr>
        <w:rFonts w:ascii="Palatino Linotype" w:hAnsi="Palatino Linotype"/>
        <w:b/>
        <w:bCs/>
        <w:color w:val="000000"/>
        <w:sz w:val="22"/>
      </w:rPr>
      <w:fldChar w:fldCharType="begin"/>
    </w:r>
    <w:r w:rsidRPr="00A910A1">
      <w:rPr>
        <w:rFonts w:ascii="Palatino Linotype" w:hAnsi="Palatino Linotype"/>
        <w:b/>
        <w:bCs/>
        <w:color w:val="000000"/>
        <w:sz w:val="22"/>
      </w:rPr>
      <w:instrText>NUMPAGES</w:instrText>
    </w:r>
    <w:r w:rsidRPr="00A910A1">
      <w:rPr>
        <w:rFonts w:ascii="Palatino Linotype" w:hAnsi="Palatino Linotype"/>
        <w:b/>
        <w:bCs/>
        <w:color w:val="000000"/>
        <w:sz w:val="22"/>
      </w:rPr>
      <w:fldChar w:fldCharType="separate"/>
    </w:r>
    <w:r w:rsidR="00B93BA0">
      <w:rPr>
        <w:rFonts w:ascii="Palatino Linotype" w:hAnsi="Palatino Linotype"/>
        <w:b/>
        <w:bCs/>
        <w:noProof/>
        <w:color w:val="000000"/>
        <w:sz w:val="22"/>
      </w:rPr>
      <w:t>18</w:t>
    </w:r>
    <w:r w:rsidRPr="00A910A1">
      <w:rPr>
        <w:rFonts w:ascii="Palatino Linotype" w:hAnsi="Palatino Linotype"/>
        <w:b/>
        <w:bCs/>
        <w:color w:val="000000"/>
        <w:sz w:val="22"/>
      </w:rPr>
      <w:fldChar w:fldCharType="end"/>
    </w:r>
  </w:p>
  <w:p w:rsidR="000843CB" w:rsidRDefault="000843C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3CB" w:rsidRPr="00A910A1" w:rsidRDefault="00230BE6">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A910A1">
      <w:rPr>
        <w:rFonts w:ascii="Palatino Linotype" w:hAnsi="Palatino Linotype"/>
        <w:b/>
        <w:color w:val="000000"/>
        <w:sz w:val="22"/>
      </w:rPr>
      <w:t xml:space="preserve">Página </w:t>
    </w:r>
    <w:r w:rsidRPr="00A910A1">
      <w:rPr>
        <w:rFonts w:ascii="Palatino Linotype" w:hAnsi="Palatino Linotype"/>
        <w:b/>
        <w:bCs/>
        <w:color w:val="000000"/>
        <w:sz w:val="22"/>
      </w:rPr>
      <w:fldChar w:fldCharType="begin"/>
    </w:r>
    <w:r w:rsidRPr="00A910A1">
      <w:rPr>
        <w:rFonts w:ascii="Palatino Linotype" w:hAnsi="Palatino Linotype"/>
        <w:b/>
        <w:bCs/>
        <w:color w:val="000000"/>
        <w:sz w:val="22"/>
      </w:rPr>
      <w:instrText>PAGE</w:instrText>
    </w:r>
    <w:r w:rsidRPr="00A910A1">
      <w:rPr>
        <w:rFonts w:ascii="Palatino Linotype" w:hAnsi="Palatino Linotype"/>
        <w:b/>
        <w:bCs/>
        <w:color w:val="000000"/>
        <w:sz w:val="22"/>
      </w:rPr>
      <w:fldChar w:fldCharType="separate"/>
    </w:r>
    <w:r w:rsidR="00B93BA0">
      <w:rPr>
        <w:rFonts w:ascii="Palatino Linotype" w:hAnsi="Palatino Linotype"/>
        <w:b/>
        <w:bCs/>
        <w:noProof/>
        <w:color w:val="000000"/>
        <w:sz w:val="22"/>
      </w:rPr>
      <w:t>1</w:t>
    </w:r>
    <w:r w:rsidRPr="00A910A1">
      <w:rPr>
        <w:rFonts w:ascii="Palatino Linotype" w:hAnsi="Palatino Linotype"/>
        <w:b/>
        <w:bCs/>
        <w:color w:val="000000"/>
        <w:sz w:val="22"/>
      </w:rPr>
      <w:fldChar w:fldCharType="end"/>
    </w:r>
    <w:r w:rsidRPr="00A910A1">
      <w:rPr>
        <w:rFonts w:ascii="Palatino Linotype" w:hAnsi="Palatino Linotype"/>
        <w:b/>
        <w:color w:val="000000"/>
        <w:sz w:val="22"/>
      </w:rPr>
      <w:t xml:space="preserve"> de </w:t>
    </w:r>
    <w:r w:rsidRPr="00A910A1">
      <w:rPr>
        <w:rFonts w:ascii="Palatino Linotype" w:hAnsi="Palatino Linotype"/>
        <w:b/>
        <w:bCs/>
        <w:color w:val="000000"/>
        <w:sz w:val="22"/>
      </w:rPr>
      <w:fldChar w:fldCharType="begin"/>
    </w:r>
    <w:r w:rsidRPr="00A910A1">
      <w:rPr>
        <w:rFonts w:ascii="Palatino Linotype" w:hAnsi="Palatino Linotype"/>
        <w:b/>
        <w:bCs/>
        <w:color w:val="000000"/>
        <w:sz w:val="22"/>
      </w:rPr>
      <w:instrText>NUMPAGES</w:instrText>
    </w:r>
    <w:r w:rsidRPr="00A910A1">
      <w:rPr>
        <w:rFonts w:ascii="Palatino Linotype" w:hAnsi="Palatino Linotype"/>
        <w:b/>
        <w:bCs/>
        <w:color w:val="000000"/>
        <w:sz w:val="22"/>
      </w:rPr>
      <w:fldChar w:fldCharType="separate"/>
    </w:r>
    <w:r w:rsidR="00B93BA0">
      <w:rPr>
        <w:rFonts w:ascii="Palatino Linotype" w:hAnsi="Palatino Linotype"/>
        <w:b/>
        <w:bCs/>
        <w:noProof/>
        <w:color w:val="000000"/>
        <w:sz w:val="22"/>
      </w:rPr>
      <w:t>18</w:t>
    </w:r>
    <w:r w:rsidRPr="00A910A1">
      <w:rPr>
        <w:rFonts w:ascii="Palatino Linotype" w:hAnsi="Palatino Linotype"/>
        <w:b/>
        <w:bCs/>
        <w:color w:val="000000"/>
        <w:sz w:val="22"/>
      </w:rPr>
      <w:fldChar w:fldCharType="end"/>
    </w:r>
  </w:p>
  <w:p w:rsidR="000843CB" w:rsidRDefault="000843C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87D" w:rsidRDefault="0046187D">
      <w:r>
        <w:separator/>
      </w:r>
    </w:p>
  </w:footnote>
  <w:footnote w:type="continuationSeparator" w:id="0">
    <w:p w:rsidR="0046187D" w:rsidRDefault="0046187D">
      <w:r>
        <w:continuationSeparator/>
      </w:r>
    </w:p>
  </w:footnote>
  <w:footnote w:id="1">
    <w:p w:rsidR="000843CB" w:rsidRDefault="00230BE6">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bCs/>
          <w:color w:val="000000"/>
          <w:sz w:val="18"/>
          <w:szCs w:val="18"/>
        </w:rPr>
        <w:t>Artículo 9.</w:t>
      </w:r>
      <w:r>
        <w:rPr>
          <w:rFonts w:ascii="Palatino Linotype" w:eastAsia="Palatino Linotype" w:hAnsi="Palatino Linotype" w:cs="Palatino Linotype"/>
          <w:color w:val="000000"/>
          <w:sz w:val="18"/>
          <w:szCs w:val="18"/>
        </w:rPr>
        <w:t xml:space="preserve"> El Instituto deberá regir su funcionamiento de acuerdo a los siguientes principios:</w:t>
      </w:r>
    </w:p>
    <w:p w:rsidR="000843CB" w:rsidRDefault="00230BE6">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0843CB" w:rsidRDefault="00230BE6">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bCs/>
          <w:color w:val="000000"/>
          <w:sz w:val="18"/>
          <w:szCs w:val="18"/>
        </w:rPr>
        <w:t>II. Eficacia:</w:t>
      </w:r>
      <w:r>
        <w:rPr>
          <w:rFonts w:ascii="Palatino Linotype" w:eastAsia="Palatino Linotype" w:hAnsi="Palatino Linotype" w:cs="Palatino Linotype"/>
          <w:color w:val="000000"/>
          <w:sz w:val="18"/>
          <w:szCs w:val="18"/>
        </w:rPr>
        <w:t xml:space="preserve"> Obligación del Instituto para tutelar, de manera efectiva, el derecho de acceso a la información</w:t>
      </w:r>
    </w:p>
    <w:p w:rsidR="000843CB" w:rsidRDefault="00230BE6">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0843CB" w:rsidRDefault="00230BE6">
      <w:pPr>
        <w:pBdr>
          <w:top w:val="nil"/>
          <w:left w:val="nil"/>
          <w:bottom w:val="nil"/>
          <w:right w:val="nil"/>
          <w:between w:val="nil"/>
        </w:pBdr>
        <w:jc w:val="both"/>
        <w:rPr>
          <w:rFonts w:ascii="Calibri" w:eastAsia="Calibri" w:hAnsi="Calibri" w:cs="Calibri"/>
          <w:color w:val="000000"/>
          <w:sz w:val="20"/>
          <w:szCs w:val="20"/>
        </w:rPr>
      </w:pPr>
      <w:r>
        <w:rPr>
          <w:rFonts w:ascii="Palatino Linotype" w:eastAsia="Palatino Linotype" w:hAnsi="Palatino Linotype" w:cs="Palatino Linotype"/>
          <w:b/>
          <w:bCs/>
          <w:color w:val="000000"/>
          <w:sz w:val="18"/>
          <w:szCs w:val="18"/>
        </w:rPr>
        <w:t>IX. Profesionalismo:</w:t>
      </w:r>
      <w:r>
        <w:rPr>
          <w:rFonts w:ascii="Palatino Linotype" w:eastAsia="Palatino Linotype" w:hAnsi="Palatino Linotype" w:cs="Palatino Linotype"/>
          <w:color w:val="000000"/>
          <w:sz w:val="18"/>
          <w:szCs w:val="18"/>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3CB" w:rsidRDefault="0046187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349" w:type="dxa"/>
      <w:tblInd w:w="0" w:type="dxa"/>
      <w:tblLayout w:type="fixed"/>
      <w:tblLook w:val="0400" w:firstRow="0" w:lastRow="0" w:firstColumn="0" w:lastColumn="0" w:noHBand="0" w:noVBand="1"/>
    </w:tblPr>
    <w:tblGrid>
      <w:gridCol w:w="2552"/>
      <w:gridCol w:w="7797"/>
    </w:tblGrid>
    <w:tr w:rsidR="000843CB" w:rsidTr="00A910A1">
      <w:trPr>
        <w:trHeight w:val="1435"/>
      </w:trPr>
      <w:tc>
        <w:tcPr>
          <w:tcW w:w="2552" w:type="dxa"/>
          <w:shd w:val="clear" w:color="auto" w:fill="auto"/>
        </w:tcPr>
        <w:p w:rsidR="000843CB" w:rsidRDefault="000843CB">
          <w:pPr>
            <w:tabs>
              <w:tab w:val="right" w:pos="4273"/>
            </w:tabs>
            <w:rPr>
              <w:rFonts w:ascii="Garamond" w:eastAsia="Garamond" w:hAnsi="Garamond" w:cs="Garamond"/>
              <w:sz w:val="16"/>
              <w:szCs w:val="16"/>
            </w:rPr>
          </w:pPr>
        </w:p>
      </w:tc>
      <w:tc>
        <w:tcPr>
          <w:tcW w:w="7797" w:type="dxa"/>
          <w:shd w:val="clear" w:color="auto" w:fill="auto"/>
        </w:tcPr>
        <w:tbl>
          <w:tblPr>
            <w:tblStyle w:val="a1"/>
            <w:tblW w:w="7925" w:type="dxa"/>
            <w:tblInd w:w="40" w:type="dxa"/>
            <w:tblLayout w:type="fixed"/>
            <w:tblLook w:val="0400" w:firstRow="0" w:lastRow="0" w:firstColumn="0" w:lastColumn="0" w:noHBand="0" w:noVBand="1"/>
          </w:tblPr>
          <w:tblGrid>
            <w:gridCol w:w="2822"/>
            <w:gridCol w:w="5103"/>
          </w:tblGrid>
          <w:tr w:rsidR="000843CB" w:rsidTr="00A910A1">
            <w:trPr>
              <w:trHeight w:val="150"/>
            </w:trPr>
            <w:tc>
              <w:tcPr>
                <w:tcW w:w="2822" w:type="dxa"/>
                <w:shd w:val="clear" w:color="auto" w:fill="auto"/>
              </w:tcPr>
              <w:p w:rsidR="000843CB" w:rsidRPr="00A910A1" w:rsidRDefault="00230BE6">
                <w:pPr>
                  <w:tabs>
                    <w:tab w:val="right" w:pos="8838"/>
                  </w:tabs>
                  <w:ind w:right="-105"/>
                  <w:rPr>
                    <w:rFonts w:ascii="Palatino Linotype" w:eastAsia="Palatino Linotype" w:hAnsi="Palatino Linotype" w:cs="Palatino Linotype"/>
                    <w:b/>
                    <w:bCs/>
                    <w:szCs w:val="22"/>
                  </w:rPr>
                </w:pPr>
                <w:r w:rsidRPr="00A910A1">
                  <w:rPr>
                    <w:rFonts w:ascii="Palatino Linotype" w:eastAsia="Palatino Linotype" w:hAnsi="Palatino Linotype" w:cs="Palatino Linotype"/>
                    <w:b/>
                    <w:bCs/>
                    <w:szCs w:val="22"/>
                  </w:rPr>
                  <w:t>Recurso de Revisión:</w:t>
                </w:r>
              </w:p>
            </w:tc>
            <w:tc>
              <w:tcPr>
                <w:tcW w:w="5103" w:type="dxa"/>
                <w:shd w:val="clear" w:color="auto" w:fill="auto"/>
              </w:tcPr>
              <w:p w:rsidR="000843CB" w:rsidRPr="00A910A1" w:rsidRDefault="00230BE6" w:rsidP="00A910A1">
                <w:pPr>
                  <w:tabs>
                    <w:tab w:val="right" w:pos="8838"/>
                  </w:tabs>
                  <w:ind w:left="-108" w:right="-102"/>
                  <w:rPr>
                    <w:rFonts w:ascii="Palatino Linotype" w:eastAsia="Palatino Linotype" w:hAnsi="Palatino Linotype" w:cs="Palatino Linotype"/>
                    <w:bCs/>
                    <w:szCs w:val="22"/>
                  </w:rPr>
                </w:pPr>
                <w:r w:rsidRPr="00A910A1">
                  <w:rPr>
                    <w:rFonts w:ascii="Palatino Linotype" w:eastAsia="Palatino Linotype" w:hAnsi="Palatino Linotype" w:cs="Palatino Linotype"/>
                    <w:bCs/>
                    <w:szCs w:val="22"/>
                  </w:rPr>
                  <w:t>12073/INFOEM/IP/RR/2025</w:t>
                </w:r>
              </w:p>
            </w:tc>
          </w:tr>
          <w:tr w:rsidR="000843CB" w:rsidTr="00A910A1">
            <w:trPr>
              <w:trHeight w:val="295"/>
            </w:trPr>
            <w:tc>
              <w:tcPr>
                <w:tcW w:w="2822" w:type="dxa"/>
                <w:shd w:val="clear" w:color="auto" w:fill="auto"/>
              </w:tcPr>
              <w:p w:rsidR="000843CB" w:rsidRPr="00A910A1" w:rsidRDefault="00230BE6">
                <w:pPr>
                  <w:tabs>
                    <w:tab w:val="right" w:pos="8838"/>
                  </w:tabs>
                  <w:ind w:right="-105"/>
                  <w:rPr>
                    <w:rFonts w:ascii="Palatino Linotype" w:eastAsia="Palatino Linotype" w:hAnsi="Palatino Linotype" w:cs="Palatino Linotype"/>
                    <w:b/>
                    <w:bCs/>
                    <w:szCs w:val="22"/>
                  </w:rPr>
                </w:pPr>
                <w:r w:rsidRPr="00A910A1">
                  <w:rPr>
                    <w:rFonts w:ascii="Palatino Linotype" w:eastAsia="Palatino Linotype" w:hAnsi="Palatino Linotype" w:cs="Palatino Linotype"/>
                    <w:b/>
                    <w:bCs/>
                    <w:szCs w:val="22"/>
                  </w:rPr>
                  <w:t>Sujeto Obligado:</w:t>
                </w:r>
              </w:p>
            </w:tc>
            <w:tc>
              <w:tcPr>
                <w:tcW w:w="5103" w:type="dxa"/>
                <w:shd w:val="clear" w:color="auto" w:fill="auto"/>
              </w:tcPr>
              <w:p w:rsidR="000843CB" w:rsidRPr="00A910A1" w:rsidRDefault="00230BE6" w:rsidP="00A910A1">
                <w:pPr>
                  <w:tabs>
                    <w:tab w:val="left" w:pos="2834"/>
                    <w:tab w:val="right" w:pos="8838"/>
                  </w:tabs>
                  <w:ind w:left="-108" w:right="-102"/>
                  <w:rPr>
                    <w:rFonts w:ascii="Palatino Linotype" w:eastAsia="Palatino Linotype" w:hAnsi="Palatino Linotype" w:cs="Palatino Linotype"/>
                    <w:bCs/>
                    <w:szCs w:val="22"/>
                  </w:rPr>
                </w:pPr>
                <w:r w:rsidRPr="00A910A1">
                  <w:rPr>
                    <w:rFonts w:ascii="Palatino Linotype" w:eastAsia="Palatino Linotype" w:hAnsi="Palatino Linotype" w:cs="Palatino Linotype"/>
                    <w:bCs/>
                    <w:szCs w:val="22"/>
                  </w:rPr>
                  <w:t>Instituto Mexiquense de la Infraestructura Física Educativa</w:t>
                </w:r>
              </w:p>
            </w:tc>
          </w:tr>
          <w:tr w:rsidR="000843CB" w:rsidTr="00A910A1">
            <w:trPr>
              <w:trHeight w:val="295"/>
            </w:trPr>
            <w:tc>
              <w:tcPr>
                <w:tcW w:w="2822" w:type="dxa"/>
                <w:shd w:val="clear" w:color="auto" w:fill="auto"/>
              </w:tcPr>
              <w:p w:rsidR="000843CB" w:rsidRPr="00A910A1" w:rsidRDefault="00230BE6">
                <w:pPr>
                  <w:tabs>
                    <w:tab w:val="right" w:pos="8838"/>
                  </w:tabs>
                  <w:ind w:right="-105"/>
                  <w:rPr>
                    <w:rFonts w:ascii="Palatino Linotype" w:eastAsia="Palatino Linotype" w:hAnsi="Palatino Linotype" w:cs="Palatino Linotype"/>
                    <w:b/>
                    <w:bCs/>
                    <w:szCs w:val="22"/>
                  </w:rPr>
                </w:pPr>
                <w:r w:rsidRPr="00A910A1">
                  <w:rPr>
                    <w:rFonts w:ascii="Palatino Linotype" w:eastAsia="Palatino Linotype" w:hAnsi="Palatino Linotype" w:cs="Palatino Linotype"/>
                    <w:b/>
                    <w:bCs/>
                    <w:szCs w:val="22"/>
                  </w:rPr>
                  <w:t>Comisionada ponente:</w:t>
                </w:r>
              </w:p>
            </w:tc>
            <w:tc>
              <w:tcPr>
                <w:tcW w:w="5103" w:type="dxa"/>
                <w:shd w:val="clear" w:color="auto" w:fill="auto"/>
              </w:tcPr>
              <w:p w:rsidR="000843CB" w:rsidRPr="00A910A1" w:rsidRDefault="00230BE6" w:rsidP="00A910A1">
                <w:pPr>
                  <w:tabs>
                    <w:tab w:val="right" w:pos="8838"/>
                  </w:tabs>
                  <w:ind w:left="-108" w:right="171"/>
                  <w:rPr>
                    <w:rFonts w:ascii="Palatino Linotype" w:eastAsia="Palatino Linotype" w:hAnsi="Palatino Linotype" w:cs="Palatino Linotype"/>
                    <w:bCs/>
                    <w:szCs w:val="22"/>
                  </w:rPr>
                </w:pPr>
                <w:r w:rsidRPr="00A910A1">
                  <w:rPr>
                    <w:rFonts w:ascii="Palatino Linotype" w:eastAsia="Palatino Linotype" w:hAnsi="Palatino Linotype" w:cs="Palatino Linotype"/>
                    <w:bCs/>
                    <w:szCs w:val="22"/>
                  </w:rPr>
                  <w:t>María del Rosario Mejía Ayala</w:t>
                </w:r>
              </w:p>
              <w:p w:rsidR="000843CB" w:rsidRPr="00A910A1" w:rsidRDefault="000843CB" w:rsidP="00A910A1">
                <w:pPr>
                  <w:tabs>
                    <w:tab w:val="right" w:pos="8838"/>
                  </w:tabs>
                  <w:ind w:left="-108" w:right="171"/>
                  <w:rPr>
                    <w:rFonts w:ascii="Palatino Linotype" w:eastAsia="Palatino Linotype" w:hAnsi="Palatino Linotype" w:cs="Palatino Linotype"/>
                    <w:bCs/>
                    <w:szCs w:val="22"/>
                  </w:rPr>
                </w:pPr>
              </w:p>
            </w:tc>
          </w:tr>
        </w:tbl>
        <w:p w:rsidR="000843CB" w:rsidRDefault="000843CB">
          <w:pPr>
            <w:tabs>
              <w:tab w:val="right" w:pos="8838"/>
            </w:tabs>
            <w:ind w:left="-28"/>
            <w:jc w:val="both"/>
            <w:rPr>
              <w:rFonts w:ascii="Arial" w:eastAsia="Arial" w:hAnsi="Arial" w:cs="Arial"/>
              <w:b/>
              <w:bCs/>
              <w:sz w:val="22"/>
              <w:szCs w:val="22"/>
            </w:rPr>
          </w:pPr>
        </w:p>
      </w:tc>
    </w:tr>
  </w:tbl>
  <w:p w:rsidR="000843CB" w:rsidRDefault="0046187D">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632" w:type="dxa"/>
      <w:tblInd w:w="0" w:type="dxa"/>
      <w:tblLayout w:type="fixed"/>
      <w:tblLook w:val="0400" w:firstRow="0" w:lastRow="0" w:firstColumn="0" w:lastColumn="0" w:noHBand="0" w:noVBand="1"/>
    </w:tblPr>
    <w:tblGrid>
      <w:gridCol w:w="2694"/>
      <w:gridCol w:w="7938"/>
    </w:tblGrid>
    <w:tr w:rsidR="000843CB" w:rsidTr="00A910A1">
      <w:trPr>
        <w:trHeight w:val="1435"/>
      </w:trPr>
      <w:tc>
        <w:tcPr>
          <w:tcW w:w="2694" w:type="dxa"/>
          <w:shd w:val="clear" w:color="auto" w:fill="auto"/>
        </w:tcPr>
        <w:p w:rsidR="000843CB" w:rsidRDefault="000843CB">
          <w:pPr>
            <w:tabs>
              <w:tab w:val="right" w:pos="4273"/>
            </w:tabs>
            <w:rPr>
              <w:rFonts w:ascii="Garamond" w:eastAsia="Garamond" w:hAnsi="Garamond" w:cs="Garamond"/>
              <w:sz w:val="22"/>
              <w:szCs w:val="22"/>
            </w:rPr>
          </w:pPr>
        </w:p>
      </w:tc>
      <w:tc>
        <w:tcPr>
          <w:tcW w:w="7938" w:type="dxa"/>
          <w:shd w:val="clear" w:color="auto" w:fill="auto"/>
        </w:tcPr>
        <w:tbl>
          <w:tblPr>
            <w:tblStyle w:val="a3"/>
            <w:tblW w:w="7783" w:type="dxa"/>
            <w:tblInd w:w="40" w:type="dxa"/>
            <w:tblLayout w:type="fixed"/>
            <w:tblLook w:val="0400" w:firstRow="0" w:lastRow="0" w:firstColumn="0" w:lastColumn="0" w:noHBand="0" w:noVBand="1"/>
          </w:tblPr>
          <w:tblGrid>
            <w:gridCol w:w="2822"/>
            <w:gridCol w:w="4961"/>
          </w:tblGrid>
          <w:tr w:rsidR="000843CB" w:rsidTr="00A910A1">
            <w:trPr>
              <w:trHeight w:val="144"/>
            </w:trPr>
            <w:tc>
              <w:tcPr>
                <w:tcW w:w="2822" w:type="dxa"/>
                <w:shd w:val="clear" w:color="auto" w:fill="auto"/>
              </w:tcPr>
              <w:p w:rsidR="000843CB" w:rsidRPr="00A910A1" w:rsidRDefault="00230BE6">
                <w:pPr>
                  <w:tabs>
                    <w:tab w:val="right" w:pos="8838"/>
                  </w:tabs>
                  <w:ind w:left="-264" w:right="-105" w:firstLine="195"/>
                  <w:rPr>
                    <w:rFonts w:ascii="Palatino Linotype" w:eastAsia="Palatino Linotype" w:hAnsi="Palatino Linotype" w:cs="Palatino Linotype"/>
                    <w:b/>
                    <w:bCs/>
                    <w:szCs w:val="22"/>
                  </w:rPr>
                </w:pPr>
                <w:r w:rsidRPr="00A910A1">
                  <w:rPr>
                    <w:rFonts w:ascii="Palatino Linotype" w:eastAsia="Palatino Linotype" w:hAnsi="Palatino Linotype" w:cs="Palatino Linotype"/>
                    <w:b/>
                    <w:bCs/>
                    <w:szCs w:val="22"/>
                  </w:rPr>
                  <w:t>Recurso de Revisión:</w:t>
                </w:r>
              </w:p>
            </w:tc>
            <w:tc>
              <w:tcPr>
                <w:tcW w:w="4961" w:type="dxa"/>
                <w:shd w:val="clear" w:color="auto" w:fill="auto"/>
              </w:tcPr>
              <w:p w:rsidR="000843CB" w:rsidRPr="00A910A1" w:rsidRDefault="00230BE6" w:rsidP="00A910A1">
                <w:pPr>
                  <w:tabs>
                    <w:tab w:val="right" w:pos="8838"/>
                  </w:tabs>
                  <w:ind w:left="-74" w:right="-105"/>
                  <w:rPr>
                    <w:rFonts w:ascii="Palatino Linotype" w:eastAsia="Palatino Linotype" w:hAnsi="Palatino Linotype" w:cs="Palatino Linotype"/>
                    <w:bCs/>
                    <w:szCs w:val="22"/>
                  </w:rPr>
                </w:pPr>
                <w:r w:rsidRPr="00A910A1">
                  <w:rPr>
                    <w:rFonts w:ascii="Palatino Linotype" w:eastAsia="Palatino Linotype" w:hAnsi="Palatino Linotype" w:cs="Palatino Linotype"/>
                    <w:bCs/>
                    <w:szCs w:val="22"/>
                  </w:rPr>
                  <w:t>12073/INFOEM/IP/RR/2025</w:t>
                </w:r>
              </w:p>
            </w:tc>
          </w:tr>
          <w:tr w:rsidR="000843CB" w:rsidTr="00A910A1">
            <w:trPr>
              <w:trHeight w:val="144"/>
            </w:trPr>
            <w:tc>
              <w:tcPr>
                <w:tcW w:w="2822" w:type="dxa"/>
                <w:shd w:val="clear" w:color="auto" w:fill="auto"/>
              </w:tcPr>
              <w:p w:rsidR="000843CB" w:rsidRPr="00A910A1" w:rsidRDefault="00230BE6">
                <w:pPr>
                  <w:tabs>
                    <w:tab w:val="right" w:pos="8838"/>
                  </w:tabs>
                  <w:ind w:left="-74" w:right="-105"/>
                  <w:rPr>
                    <w:rFonts w:ascii="Palatino Linotype" w:eastAsia="Palatino Linotype" w:hAnsi="Palatino Linotype" w:cs="Palatino Linotype"/>
                    <w:b/>
                    <w:bCs/>
                    <w:szCs w:val="22"/>
                  </w:rPr>
                </w:pPr>
                <w:r w:rsidRPr="00A910A1">
                  <w:rPr>
                    <w:rFonts w:ascii="Palatino Linotype" w:eastAsia="Palatino Linotype" w:hAnsi="Palatino Linotype" w:cs="Palatino Linotype"/>
                    <w:b/>
                    <w:bCs/>
                    <w:szCs w:val="22"/>
                  </w:rPr>
                  <w:t>Recurrente:</w:t>
                </w:r>
              </w:p>
            </w:tc>
            <w:tc>
              <w:tcPr>
                <w:tcW w:w="4961" w:type="dxa"/>
                <w:shd w:val="clear" w:color="auto" w:fill="auto"/>
              </w:tcPr>
              <w:p w:rsidR="000843CB" w:rsidRPr="00A910A1" w:rsidRDefault="00B93BA0" w:rsidP="00A910A1">
                <w:pPr>
                  <w:tabs>
                    <w:tab w:val="left" w:pos="3122"/>
                    <w:tab w:val="right" w:pos="8838"/>
                  </w:tabs>
                  <w:ind w:left="-74" w:right="-105"/>
                  <w:rPr>
                    <w:rFonts w:ascii="Palatino Linotype" w:eastAsia="Palatino Linotype" w:hAnsi="Palatino Linotype" w:cs="Palatino Linotype"/>
                    <w:bCs/>
                    <w:szCs w:val="22"/>
                  </w:rPr>
                </w:pPr>
                <w:r>
                  <w:rPr>
                    <w:rFonts w:ascii="Palatino Linotype" w:eastAsia="Palatino Linotype" w:hAnsi="Palatino Linotype" w:cs="Palatino Linotype"/>
                    <w:bCs/>
                    <w:szCs w:val="22"/>
                  </w:rPr>
                  <w:t>XXXX</w:t>
                </w:r>
              </w:p>
            </w:tc>
          </w:tr>
          <w:tr w:rsidR="000843CB" w:rsidTr="00A910A1">
            <w:trPr>
              <w:trHeight w:val="283"/>
            </w:trPr>
            <w:tc>
              <w:tcPr>
                <w:tcW w:w="2822" w:type="dxa"/>
                <w:shd w:val="clear" w:color="auto" w:fill="auto"/>
              </w:tcPr>
              <w:p w:rsidR="000843CB" w:rsidRPr="00A910A1" w:rsidRDefault="00230BE6">
                <w:pPr>
                  <w:tabs>
                    <w:tab w:val="right" w:pos="8838"/>
                  </w:tabs>
                  <w:ind w:left="-74" w:right="-105"/>
                  <w:rPr>
                    <w:rFonts w:ascii="Palatino Linotype" w:eastAsia="Palatino Linotype" w:hAnsi="Palatino Linotype" w:cs="Palatino Linotype"/>
                    <w:b/>
                    <w:bCs/>
                    <w:szCs w:val="22"/>
                  </w:rPr>
                </w:pPr>
                <w:r w:rsidRPr="00A910A1">
                  <w:rPr>
                    <w:rFonts w:ascii="Palatino Linotype" w:eastAsia="Palatino Linotype" w:hAnsi="Palatino Linotype" w:cs="Palatino Linotype"/>
                    <w:b/>
                    <w:bCs/>
                    <w:szCs w:val="22"/>
                  </w:rPr>
                  <w:t>Sujeto Obligado:</w:t>
                </w:r>
              </w:p>
            </w:tc>
            <w:tc>
              <w:tcPr>
                <w:tcW w:w="4961" w:type="dxa"/>
                <w:shd w:val="clear" w:color="auto" w:fill="auto"/>
              </w:tcPr>
              <w:p w:rsidR="000843CB" w:rsidRPr="00A910A1" w:rsidRDefault="00230BE6" w:rsidP="00A910A1">
                <w:pPr>
                  <w:tabs>
                    <w:tab w:val="left" w:pos="2834"/>
                    <w:tab w:val="right" w:pos="8838"/>
                  </w:tabs>
                  <w:ind w:left="-74" w:right="-105"/>
                  <w:rPr>
                    <w:rFonts w:ascii="Palatino Linotype" w:eastAsia="Palatino Linotype" w:hAnsi="Palatino Linotype" w:cs="Palatino Linotype"/>
                    <w:bCs/>
                    <w:szCs w:val="22"/>
                  </w:rPr>
                </w:pPr>
                <w:r w:rsidRPr="00A910A1">
                  <w:rPr>
                    <w:rFonts w:ascii="Palatino Linotype" w:eastAsia="Palatino Linotype" w:hAnsi="Palatino Linotype" w:cs="Palatino Linotype"/>
                    <w:bCs/>
                    <w:szCs w:val="22"/>
                  </w:rPr>
                  <w:t>Instituto Mexiquense de la Infraestructura Física Educativa</w:t>
                </w:r>
              </w:p>
            </w:tc>
          </w:tr>
          <w:tr w:rsidR="000843CB" w:rsidTr="00A910A1">
            <w:trPr>
              <w:trHeight w:val="283"/>
            </w:trPr>
            <w:tc>
              <w:tcPr>
                <w:tcW w:w="2822" w:type="dxa"/>
                <w:shd w:val="clear" w:color="auto" w:fill="auto"/>
              </w:tcPr>
              <w:p w:rsidR="000843CB" w:rsidRPr="00A910A1" w:rsidRDefault="00230BE6">
                <w:pPr>
                  <w:tabs>
                    <w:tab w:val="right" w:pos="8838"/>
                  </w:tabs>
                  <w:ind w:left="-74" w:right="-105"/>
                  <w:rPr>
                    <w:rFonts w:ascii="Palatino Linotype" w:eastAsia="Palatino Linotype" w:hAnsi="Palatino Linotype" w:cs="Palatino Linotype"/>
                    <w:b/>
                    <w:bCs/>
                    <w:szCs w:val="22"/>
                  </w:rPr>
                </w:pPr>
                <w:r w:rsidRPr="00A910A1">
                  <w:rPr>
                    <w:rFonts w:ascii="Palatino Linotype" w:eastAsia="Palatino Linotype" w:hAnsi="Palatino Linotype" w:cs="Palatino Linotype"/>
                    <w:b/>
                    <w:bCs/>
                    <w:szCs w:val="22"/>
                  </w:rPr>
                  <w:t>Comisionada ponente:</w:t>
                </w:r>
              </w:p>
            </w:tc>
            <w:tc>
              <w:tcPr>
                <w:tcW w:w="4961" w:type="dxa"/>
                <w:shd w:val="clear" w:color="auto" w:fill="auto"/>
              </w:tcPr>
              <w:p w:rsidR="000843CB" w:rsidRPr="00A910A1" w:rsidRDefault="00230BE6" w:rsidP="00A910A1">
                <w:pPr>
                  <w:tabs>
                    <w:tab w:val="right" w:pos="8838"/>
                  </w:tabs>
                  <w:ind w:left="-74" w:right="-105"/>
                  <w:rPr>
                    <w:rFonts w:ascii="Palatino Linotype" w:eastAsia="Palatino Linotype" w:hAnsi="Palatino Linotype" w:cs="Palatino Linotype"/>
                    <w:bCs/>
                    <w:szCs w:val="22"/>
                  </w:rPr>
                </w:pPr>
                <w:r w:rsidRPr="00A910A1">
                  <w:rPr>
                    <w:rFonts w:ascii="Palatino Linotype" w:eastAsia="Palatino Linotype" w:hAnsi="Palatino Linotype" w:cs="Palatino Linotype"/>
                    <w:bCs/>
                    <w:szCs w:val="22"/>
                  </w:rPr>
                  <w:t>María del Rosario Mejía Ayala</w:t>
                </w:r>
              </w:p>
              <w:p w:rsidR="000843CB" w:rsidRPr="00A910A1" w:rsidRDefault="000843CB" w:rsidP="00A910A1">
                <w:pPr>
                  <w:tabs>
                    <w:tab w:val="right" w:pos="8838"/>
                  </w:tabs>
                  <w:ind w:left="-74" w:right="-105"/>
                  <w:rPr>
                    <w:rFonts w:ascii="Palatino Linotype" w:eastAsia="Palatino Linotype" w:hAnsi="Palatino Linotype" w:cs="Palatino Linotype"/>
                    <w:bCs/>
                    <w:szCs w:val="22"/>
                  </w:rPr>
                </w:pPr>
              </w:p>
            </w:tc>
          </w:tr>
        </w:tbl>
        <w:p w:rsidR="000843CB" w:rsidRDefault="000843CB">
          <w:pPr>
            <w:tabs>
              <w:tab w:val="right" w:pos="8838"/>
            </w:tabs>
            <w:ind w:left="-28"/>
            <w:jc w:val="both"/>
            <w:rPr>
              <w:rFonts w:ascii="Arial" w:eastAsia="Arial" w:hAnsi="Arial" w:cs="Arial"/>
              <w:b/>
              <w:bCs/>
              <w:sz w:val="22"/>
              <w:szCs w:val="22"/>
            </w:rPr>
          </w:pPr>
        </w:p>
      </w:tc>
    </w:tr>
  </w:tbl>
  <w:p w:rsidR="000843CB" w:rsidRDefault="0046187D">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5727"/>
    <w:multiLevelType w:val="multilevel"/>
    <w:tmpl w:val="8F007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981E03"/>
    <w:multiLevelType w:val="multilevel"/>
    <w:tmpl w:val="0C5C6026"/>
    <w:lvl w:ilvl="0">
      <w:start w:val="12"/>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BBC3FC2"/>
    <w:multiLevelType w:val="hybridMultilevel"/>
    <w:tmpl w:val="90A6D64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68252628"/>
    <w:multiLevelType w:val="hybridMultilevel"/>
    <w:tmpl w:val="ECDC44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6C734246"/>
    <w:multiLevelType w:val="multilevel"/>
    <w:tmpl w:val="8FEA7506"/>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3CB"/>
    <w:rsid w:val="000843CB"/>
    <w:rsid w:val="000A2AB0"/>
    <w:rsid w:val="000D36B8"/>
    <w:rsid w:val="00230BE6"/>
    <w:rsid w:val="0046187D"/>
    <w:rsid w:val="007720D5"/>
    <w:rsid w:val="008D0BBB"/>
    <w:rsid w:val="00A910A1"/>
    <w:rsid w:val="00AD4223"/>
    <w:rsid w:val="00B93BA0"/>
    <w:rsid w:val="00CE235F"/>
    <w:rsid w:val="00E32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68AD0FC-7BFE-4E0E-B421-4218FFF5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64315B"/>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64315B"/>
    <w:pPr>
      <w:tabs>
        <w:tab w:val="center" w:pos="4419"/>
        <w:tab w:val="right" w:pos="8838"/>
      </w:tabs>
    </w:pPr>
  </w:style>
  <w:style w:type="character" w:customStyle="1" w:styleId="EncabezadoCar">
    <w:name w:val="Encabezado Car"/>
    <w:basedOn w:val="Fuentedeprrafopredeter"/>
    <w:link w:val="Encabezado"/>
    <w:uiPriority w:val="99"/>
    <w:rsid w:val="0064315B"/>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4315B"/>
    <w:pPr>
      <w:tabs>
        <w:tab w:val="center" w:pos="4419"/>
        <w:tab w:val="right" w:pos="8838"/>
      </w:tabs>
    </w:pPr>
  </w:style>
  <w:style w:type="character" w:customStyle="1" w:styleId="PiedepginaCar">
    <w:name w:val="Pie de página Car"/>
    <w:basedOn w:val="Fuentedeprrafopredeter"/>
    <w:link w:val="Piedepgina"/>
    <w:uiPriority w:val="99"/>
    <w:rsid w:val="0064315B"/>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4315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64315B"/>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64315B"/>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4315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4315B"/>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64315B"/>
    <w:rPr>
      <w:vertAlign w:val="superscript"/>
    </w:rPr>
  </w:style>
  <w:style w:type="paragraph" w:styleId="Sinespaciado">
    <w:name w:val="No Spacing"/>
    <w:aliases w:val="Francesa,INAI"/>
    <w:link w:val="SinespaciadoCar"/>
    <w:uiPriority w:val="1"/>
    <w:qFormat/>
    <w:rsid w:val="0064315B"/>
    <w:rPr>
      <w:lang w:eastAsia="es-ES"/>
    </w:rPr>
  </w:style>
  <w:style w:type="character" w:customStyle="1" w:styleId="SinespaciadoCar">
    <w:name w:val="Sin espaciado Car"/>
    <w:aliases w:val="Francesa Car,INAI Car"/>
    <w:link w:val="Sinespaciado"/>
    <w:uiPriority w:val="1"/>
    <w:locked/>
    <w:rsid w:val="0064315B"/>
    <w:rPr>
      <w:rFonts w:ascii="Times New Roman" w:eastAsia="Times New Roman" w:hAnsi="Times New Roman" w:cs="Times New Roman"/>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594538.p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2605560.pag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9y3LG8qd0K9WqL+XOhXh3wzLQ==">CgMxLjAyDmgueGMxZ3AybnhmcXBtMg5oLmk4enEzdmZ2NnVyNTIOaC4xdTdtYjRraGV1bzgyDmguYjE4ZmVxcXJlbWp1Mg5oLm14NTZrOXJ6cjRlOTIOaC45dmM2OXE2dGs2aG8yDmgua2V0ODB3ZDAzODJ6Mg5oLjc1eDQ0cnNnbG0zeDIOaC5tdHJmazltZ3dlamw4AHIhMWJVQXppOEl5OWNZYjJGRnp3alNKai1RNlpqUTVxc1g1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3982</Words>
  <Characters>21905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10</cp:revision>
  <cp:lastPrinted>2026-03-12T23:20:00Z</cp:lastPrinted>
  <dcterms:created xsi:type="dcterms:W3CDTF">2026-03-05T19:50:00Z</dcterms:created>
  <dcterms:modified xsi:type="dcterms:W3CDTF">2026-03-23T18:53:00Z</dcterms:modified>
</cp:coreProperties>
</file>