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311" w:rsidRPr="00D75450" w:rsidRDefault="00DF6EAE" w:rsidP="00B422AB">
      <w:pPr>
        <w:tabs>
          <w:tab w:val="left" w:pos="3465"/>
        </w:tabs>
        <w:spacing w:line="360" w:lineRule="auto"/>
        <w:jc w:val="both"/>
        <w:rPr>
          <w:rFonts w:ascii="Palatino Linotype" w:eastAsia="Palatino Linotype" w:hAnsi="Palatino Linotype" w:cs="Palatino Linotype"/>
          <w:b/>
        </w:rPr>
      </w:pPr>
      <w:bookmarkStart w:id="0" w:name="_GoBack"/>
      <w:bookmarkEnd w:id="0"/>
      <w:r w:rsidRPr="00D75450">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w:t>
      </w:r>
      <w:r w:rsidR="001660E4" w:rsidRPr="00D75450">
        <w:rPr>
          <w:rFonts w:ascii="Palatino Linotype" w:eastAsia="Palatino Linotype" w:hAnsi="Palatino Linotype" w:cs="Palatino Linotype"/>
        </w:rPr>
        <w:t xml:space="preserve">do de México; </w:t>
      </w:r>
      <w:r w:rsidR="001660E4" w:rsidRPr="00D75450">
        <w:rPr>
          <w:rFonts w:ascii="Palatino Linotype" w:eastAsia="Palatino Linotype" w:hAnsi="Palatino Linotype" w:cs="Palatino Linotype"/>
          <w:b/>
        </w:rPr>
        <w:t xml:space="preserve">de fecha </w:t>
      </w:r>
      <w:r w:rsidR="001163E4" w:rsidRPr="00D75450">
        <w:rPr>
          <w:rFonts w:ascii="Palatino Linotype" w:eastAsia="Palatino Linotype" w:hAnsi="Palatino Linotype" w:cs="Palatino Linotype"/>
          <w:b/>
        </w:rPr>
        <w:t>dieciocho</w:t>
      </w:r>
      <w:r w:rsidR="00D75450" w:rsidRPr="00D75450">
        <w:rPr>
          <w:rFonts w:ascii="Palatino Linotype" w:eastAsia="Palatino Linotype" w:hAnsi="Palatino Linotype" w:cs="Palatino Linotype"/>
          <w:b/>
        </w:rPr>
        <w:t xml:space="preserve"> (18)</w:t>
      </w:r>
      <w:r w:rsidR="001660E4" w:rsidRPr="00D75450">
        <w:rPr>
          <w:rFonts w:ascii="Palatino Linotype" w:eastAsia="Palatino Linotype" w:hAnsi="Palatino Linotype" w:cs="Palatino Linotype"/>
          <w:b/>
        </w:rPr>
        <w:t xml:space="preserve"> de </w:t>
      </w:r>
      <w:r w:rsidR="001163E4" w:rsidRPr="00D75450">
        <w:rPr>
          <w:rFonts w:ascii="Palatino Linotype" w:eastAsia="Palatino Linotype" w:hAnsi="Palatino Linotype" w:cs="Palatino Linotype"/>
          <w:b/>
        </w:rPr>
        <w:t>febrero dos mil veintiséis</w:t>
      </w:r>
      <w:r w:rsidRPr="00D75450">
        <w:rPr>
          <w:rFonts w:ascii="Palatino Linotype" w:eastAsia="Palatino Linotype" w:hAnsi="Palatino Linotype" w:cs="Palatino Linotype"/>
          <w:b/>
        </w:rPr>
        <w:t>.</w:t>
      </w:r>
    </w:p>
    <w:p w:rsidR="00E31311" w:rsidRPr="00D75450" w:rsidRDefault="00E31311" w:rsidP="00B422AB">
      <w:pPr>
        <w:tabs>
          <w:tab w:val="left" w:pos="3465"/>
        </w:tabs>
        <w:spacing w:line="360" w:lineRule="auto"/>
        <w:jc w:val="both"/>
        <w:rPr>
          <w:rFonts w:ascii="Palatino Linotype" w:eastAsia="Palatino Linotype" w:hAnsi="Palatino Linotype" w:cs="Palatino Linotype"/>
        </w:rPr>
      </w:pPr>
    </w:p>
    <w:p w:rsidR="00E31311" w:rsidRPr="00D75450" w:rsidRDefault="00DF6EAE" w:rsidP="00B422AB">
      <w:pPr>
        <w:spacing w:line="360" w:lineRule="auto"/>
        <w:jc w:val="both"/>
        <w:rPr>
          <w:rFonts w:ascii="Palatino Linotype" w:eastAsia="Palatino Linotype" w:hAnsi="Palatino Linotype" w:cs="Palatino Linotype"/>
        </w:rPr>
      </w:pPr>
      <w:r w:rsidRPr="00D75450">
        <w:rPr>
          <w:rFonts w:ascii="Palatino Linotype" w:eastAsia="Palatino Linotype" w:hAnsi="Palatino Linotype" w:cs="Palatino Linotype"/>
          <w:b/>
        </w:rPr>
        <w:t>VISTO</w:t>
      </w:r>
      <w:r w:rsidRPr="00D75450">
        <w:rPr>
          <w:rFonts w:ascii="Palatino Linotype" w:eastAsia="Palatino Linotype" w:hAnsi="Palatino Linotype" w:cs="Palatino Linotype"/>
        </w:rPr>
        <w:t xml:space="preserve"> el expediente elec</w:t>
      </w:r>
      <w:r w:rsidR="00A73D35" w:rsidRPr="00D75450">
        <w:rPr>
          <w:rFonts w:ascii="Palatino Linotype" w:eastAsia="Palatino Linotype" w:hAnsi="Palatino Linotype" w:cs="Palatino Linotype"/>
        </w:rPr>
        <w:t>trónico formado con motivo del Recurso de R</w:t>
      </w:r>
      <w:r w:rsidRPr="00D75450">
        <w:rPr>
          <w:rFonts w:ascii="Palatino Linotype" w:eastAsia="Palatino Linotype" w:hAnsi="Palatino Linotype" w:cs="Palatino Linotype"/>
        </w:rPr>
        <w:t xml:space="preserve">evisión </w:t>
      </w:r>
      <w:r w:rsidR="001163E4" w:rsidRPr="00D75450">
        <w:rPr>
          <w:rFonts w:ascii="Palatino Linotype" w:eastAsia="Palatino Linotype" w:hAnsi="Palatino Linotype" w:cs="Palatino Linotype"/>
          <w:b/>
        </w:rPr>
        <w:t>12108/INFOEM/IP/RR/2025</w:t>
      </w:r>
      <w:r w:rsidRPr="00D75450">
        <w:rPr>
          <w:rFonts w:ascii="Palatino Linotype" w:eastAsia="Palatino Linotype" w:hAnsi="Palatino Linotype" w:cs="Palatino Linotype"/>
          <w:b/>
        </w:rPr>
        <w:t xml:space="preserve">, </w:t>
      </w:r>
      <w:r w:rsidRPr="00D75450">
        <w:rPr>
          <w:rFonts w:ascii="Palatino Linotype" w:eastAsia="Palatino Linotype" w:hAnsi="Palatino Linotype" w:cs="Palatino Linotype"/>
        </w:rPr>
        <w:t>promovido por</w:t>
      </w:r>
      <w:r w:rsidR="001660E4" w:rsidRPr="00D75450">
        <w:rPr>
          <w:rFonts w:ascii="Palatino Linotype" w:eastAsia="Palatino Linotype" w:hAnsi="Palatino Linotype" w:cs="Palatino Linotype"/>
          <w:b/>
        </w:rPr>
        <w:t xml:space="preserve"> </w:t>
      </w:r>
      <w:r w:rsidR="00CD34F9">
        <w:rPr>
          <w:rFonts w:ascii="Palatino Linotype" w:eastAsia="Palatino Linotype" w:hAnsi="Palatino Linotype" w:cs="Palatino Linotype"/>
          <w:b/>
        </w:rPr>
        <w:t>XXXX</w:t>
      </w:r>
      <w:r w:rsidRPr="00D75450">
        <w:rPr>
          <w:rFonts w:ascii="Palatino Linotype" w:eastAsia="Palatino Linotype" w:hAnsi="Palatino Linotype" w:cs="Palatino Linotype"/>
          <w:b/>
        </w:rPr>
        <w:t>,</w:t>
      </w:r>
      <w:r w:rsidRPr="00D75450">
        <w:rPr>
          <w:rFonts w:ascii="Palatino Linotype" w:eastAsia="Palatino Linotype" w:hAnsi="Palatino Linotype" w:cs="Palatino Linotype"/>
        </w:rPr>
        <w:t xml:space="preserve"> a quien en lo s</w:t>
      </w:r>
      <w:r w:rsidR="00D75450">
        <w:rPr>
          <w:rFonts w:ascii="Palatino Linotype" w:eastAsia="Palatino Linotype" w:hAnsi="Palatino Linotype" w:cs="Palatino Linotype"/>
        </w:rPr>
        <w:t>ucesivo se le identificará como</w:t>
      </w:r>
      <w:r w:rsidR="00F80B22" w:rsidRPr="00D75450">
        <w:rPr>
          <w:rFonts w:ascii="Palatino Linotype" w:eastAsia="Palatino Linotype" w:hAnsi="Palatino Linotype" w:cs="Palatino Linotype"/>
          <w:b/>
        </w:rPr>
        <w:t xml:space="preserve"> RECURRENTE</w:t>
      </w:r>
      <w:r w:rsidRPr="00D75450">
        <w:rPr>
          <w:rFonts w:ascii="Palatino Linotype" w:eastAsia="Palatino Linotype" w:hAnsi="Palatino Linotype" w:cs="Palatino Linotype"/>
        </w:rPr>
        <w:t>, en contra de la respuesta de</w:t>
      </w:r>
      <w:r w:rsidR="00DB03DB" w:rsidRPr="00D75450">
        <w:rPr>
          <w:rFonts w:ascii="Palatino Linotype" w:eastAsia="Palatino Linotype" w:hAnsi="Palatino Linotype" w:cs="Palatino Linotype"/>
        </w:rPr>
        <w:t xml:space="preserve"> </w:t>
      </w:r>
      <w:r w:rsidRPr="00D75450">
        <w:rPr>
          <w:rFonts w:ascii="Palatino Linotype" w:eastAsia="Palatino Linotype" w:hAnsi="Palatino Linotype" w:cs="Palatino Linotype"/>
        </w:rPr>
        <w:t>l</w:t>
      </w:r>
      <w:r w:rsidR="00DB03DB" w:rsidRPr="00D75450">
        <w:rPr>
          <w:rFonts w:ascii="Palatino Linotype" w:eastAsia="Palatino Linotype" w:hAnsi="Palatino Linotype" w:cs="Palatino Linotype"/>
        </w:rPr>
        <w:t>a</w:t>
      </w:r>
      <w:r w:rsidRPr="00D75450">
        <w:rPr>
          <w:rFonts w:ascii="Palatino Linotype" w:eastAsia="Palatino Linotype" w:hAnsi="Palatino Linotype" w:cs="Palatino Linotype"/>
        </w:rPr>
        <w:t xml:space="preserve"> </w:t>
      </w:r>
      <w:r w:rsidR="00D10654" w:rsidRPr="00D75450">
        <w:rPr>
          <w:rFonts w:ascii="Palatino Linotype" w:eastAsia="Palatino Linotype" w:hAnsi="Palatino Linotype" w:cs="Palatino Linotype"/>
          <w:b/>
        </w:rPr>
        <w:t>Protectora de Bosques del Estado de México</w:t>
      </w:r>
      <w:r w:rsidRPr="00D75450">
        <w:rPr>
          <w:rFonts w:ascii="Palatino Linotype" w:eastAsia="Palatino Linotype" w:hAnsi="Palatino Linotype" w:cs="Palatino Linotype"/>
          <w:b/>
        </w:rPr>
        <w:t xml:space="preserve">, </w:t>
      </w:r>
      <w:r w:rsidRPr="00D75450">
        <w:rPr>
          <w:rFonts w:ascii="Palatino Linotype" w:eastAsia="Palatino Linotype" w:hAnsi="Palatino Linotype" w:cs="Palatino Linotype"/>
        </w:rPr>
        <w:t>en adelante el</w:t>
      </w:r>
      <w:r w:rsidRPr="00D75450">
        <w:rPr>
          <w:rFonts w:ascii="Palatino Linotype" w:eastAsia="Palatino Linotype" w:hAnsi="Palatino Linotype" w:cs="Palatino Linotype"/>
          <w:b/>
        </w:rPr>
        <w:t xml:space="preserve"> SUJETO OBLIGADO</w:t>
      </w:r>
      <w:r w:rsidRPr="00D75450">
        <w:rPr>
          <w:rFonts w:ascii="Palatino Linotype" w:eastAsia="Palatino Linotype" w:hAnsi="Palatino Linotype" w:cs="Palatino Linotype"/>
        </w:rPr>
        <w:t xml:space="preserve">, se procede a dictar la presente </w:t>
      </w:r>
      <w:r w:rsidR="00A73D35" w:rsidRPr="00D75450">
        <w:rPr>
          <w:rFonts w:ascii="Palatino Linotype" w:eastAsia="Palatino Linotype" w:hAnsi="Palatino Linotype" w:cs="Palatino Linotype"/>
        </w:rPr>
        <w:t>R</w:t>
      </w:r>
      <w:r w:rsidRPr="00D75450">
        <w:rPr>
          <w:rFonts w:ascii="Palatino Linotype" w:eastAsia="Palatino Linotype" w:hAnsi="Palatino Linotype" w:cs="Palatino Linotype"/>
        </w:rPr>
        <w:t>esolución, con base en los siguientes:</w:t>
      </w:r>
    </w:p>
    <w:p w:rsidR="00E31311" w:rsidRPr="00D75450" w:rsidRDefault="00E31311" w:rsidP="00B422AB">
      <w:pPr>
        <w:spacing w:line="360" w:lineRule="auto"/>
        <w:jc w:val="both"/>
        <w:rPr>
          <w:rFonts w:ascii="Palatino Linotype" w:eastAsia="Palatino Linotype" w:hAnsi="Palatino Linotype" w:cs="Palatino Linotype"/>
          <w:b/>
        </w:rPr>
      </w:pPr>
    </w:p>
    <w:p w:rsidR="00E31311" w:rsidRPr="00D75450" w:rsidRDefault="00DF6EAE" w:rsidP="00B422AB">
      <w:pPr>
        <w:pStyle w:val="Ttulo1"/>
        <w:spacing w:before="0" w:line="360" w:lineRule="auto"/>
        <w:jc w:val="center"/>
        <w:rPr>
          <w:rFonts w:ascii="Palatino Linotype" w:eastAsia="Palatino Linotype" w:hAnsi="Palatino Linotype" w:cs="Palatino Linotype"/>
          <w:b/>
          <w:color w:val="000000"/>
          <w:sz w:val="24"/>
          <w:szCs w:val="24"/>
        </w:rPr>
      </w:pPr>
      <w:bookmarkStart w:id="1" w:name="_heading=h.gjdgxs" w:colFirst="0" w:colLast="0"/>
      <w:bookmarkEnd w:id="1"/>
      <w:r w:rsidRPr="00D75450">
        <w:rPr>
          <w:rFonts w:ascii="Palatino Linotype" w:eastAsia="Palatino Linotype" w:hAnsi="Palatino Linotype" w:cs="Palatino Linotype"/>
          <w:b/>
          <w:color w:val="000000"/>
          <w:sz w:val="24"/>
          <w:szCs w:val="24"/>
        </w:rPr>
        <w:t>A N T E C E D E N T E S</w:t>
      </w:r>
    </w:p>
    <w:p w:rsidR="00E31311" w:rsidRPr="00D75450" w:rsidRDefault="00E31311" w:rsidP="00B422AB">
      <w:pPr>
        <w:spacing w:line="360" w:lineRule="auto"/>
        <w:rPr>
          <w:rFonts w:ascii="Palatino Linotype" w:hAnsi="Palatino Linotype"/>
        </w:rPr>
      </w:pPr>
    </w:p>
    <w:p w:rsidR="00E31311" w:rsidRPr="00D75450" w:rsidRDefault="00DF6EAE" w:rsidP="00B422AB">
      <w:pPr>
        <w:numPr>
          <w:ilvl w:val="0"/>
          <w:numId w:val="3"/>
        </w:numPr>
        <w:pBdr>
          <w:top w:val="nil"/>
          <w:left w:val="nil"/>
          <w:bottom w:val="nil"/>
          <w:right w:val="nil"/>
          <w:between w:val="nil"/>
        </w:pBdr>
        <w:spacing w:line="360" w:lineRule="auto"/>
        <w:ind w:left="141" w:firstLine="0"/>
        <w:jc w:val="both"/>
        <w:rPr>
          <w:rFonts w:ascii="Palatino Linotype" w:hAnsi="Palatino Linotype"/>
          <w:color w:val="000000"/>
        </w:rPr>
      </w:pPr>
      <w:r w:rsidRPr="00D75450">
        <w:rPr>
          <w:rFonts w:ascii="Palatino Linotype" w:eastAsia="Palatino Linotype" w:hAnsi="Palatino Linotype" w:cs="Palatino Linotype"/>
          <w:color w:val="000000"/>
        </w:rPr>
        <w:t>El día</w:t>
      </w:r>
      <w:r w:rsidR="001660E4" w:rsidRPr="00D75450">
        <w:rPr>
          <w:rFonts w:ascii="Palatino Linotype" w:eastAsia="Palatino Linotype" w:hAnsi="Palatino Linotype" w:cs="Palatino Linotype"/>
          <w:b/>
          <w:color w:val="000000"/>
        </w:rPr>
        <w:t xml:space="preserve"> </w:t>
      </w:r>
      <w:r w:rsidR="001163E4" w:rsidRPr="00D75450">
        <w:rPr>
          <w:rFonts w:ascii="Palatino Linotype" w:eastAsia="Palatino Linotype" w:hAnsi="Palatino Linotype" w:cs="Palatino Linotype"/>
          <w:b/>
          <w:color w:val="000000"/>
        </w:rPr>
        <w:t>nueve de octubre</w:t>
      </w:r>
      <w:r w:rsidR="00BB66B2" w:rsidRPr="00D75450">
        <w:rPr>
          <w:rFonts w:ascii="Palatino Linotype" w:eastAsia="Palatino Linotype" w:hAnsi="Palatino Linotype" w:cs="Palatino Linotype"/>
          <w:b/>
          <w:color w:val="000000"/>
        </w:rPr>
        <w:t xml:space="preserve"> de dos mil veinticinco</w:t>
      </w:r>
      <w:r w:rsidRPr="00D75450">
        <w:rPr>
          <w:rFonts w:ascii="Palatino Linotype" w:eastAsia="Palatino Linotype" w:hAnsi="Palatino Linotype" w:cs="Palatino Linotype"/>
          <w:b/>
          <w:color w:val="000000"/>
        </w:rPr>
        <w:t xml:space="preserve">, </w:t>
      </w:r>
      <w:r w:rsidRPr="00D75450">
        <w:rPr>
          <w:rFonts w:ascii="Palatino Linotype" w:eastAsia="Palatino Linotype" w:hAnsi="Palatino Linotype" w:cs="Palatino Linotype"/>
          <w:color w:val="000000"/>
        </w:rPr>
        <w:t xml:space="preserve">se presentó ante el </w:t>
      </w:r>
      <w:r w:rsidRPr="00D75450">
        <w:rPr>
          <w:rFonts w:ascii="Palatino Linotype" w:eastAsia="Palatino Linotype" w:hAnsi="Palatino Linotype" w:cs="Palatino Linotype"/>
          <w:b/>
          <w:color w:val="000000"/>
        </w:rPr>
        <w:t>SUJETO OBLIGADO</w:t>
      </w:r>
      <w:r w:rsidR="00A87FF1" w:rsidRPr="00D75450">
        <w:rPr>
          <w:rFonts w:ascii="Palatino Linotype" w:eastAsia="Palatino Linotype" w:hAnsi="Palatino Linotype" w:cs="Palatino Linotype"/>
          <w:color w:val="000000"/>
        </w:rPr>
        <w:t xml:space="preserve"> vía</w:t>
      </w:r>
      <w:r w:rsidR="005706CE" w:rsidRPr="00D75450">
        <w:rPr>
          <w:rFonts w:ascii="Palatino Linotype" w:eastAsia="Palatino Linotype" w:hAnsi="Palatino Linotype" w:cs="Palatino Linotype"/>
          <w:color w:val="000000"/>
        </w:rPr>
        <w:t xml:space="preserve"> </w:t>
      </w:r>
      <w:r w:rsidR="00A87FF1" w:rsidRPr="00D75450">
        <w:rPr>
          <w:rFonts w:ascii="Palatino Linotype" w:eastAsia="Palatino Linotype" w:hAnsi="Palatino Linotype" w:cs="Palatino Linotype"/>
          <w:color w:val="000000"/>
        </w:rPr>
        <w:t>Sistema de Acceso a la Información Mexiquense</w:t>
      </w:r>
      <w:r w:rsidR="005706CE" w:rsidRPr="00D75450">
        <w:rPr>
          <w:rFonts w:ascii="Palatino Linotype" w:eastAsia="Palatino Linotype" w:hAnsi="Palatino Linotype" w:cs="Palatino Linotype"/>
          <w:color w:val="000000"/>
        </w:rPr>
        <w:t xml:space="preserve"> (SAIMEX)</w:t>
      </w:r>
      <w:r w:rsidRPr="00D75450">
        <w:rPr>
          <w:rFonts w:ascii="Palatino Linotype" w:eastAsia="Palatino Linotype" w:hAnsi="Palatino Linotype" w:cs="Palatino Linotype"/>
          <w:color w:val="000000"/>
        </w:rPr>
        <w:t>, la solicitud de información pública registrada con el número</w:t>
      </w:r>
      <w:r w:rsidRPr="00D75450">
        <w:rPr>
          <w:rFonts w:ascii="Palatino Linotype" w:eastAsia="Palatino Linotype" w:hAnsi="Palatino Linotype" w:cs="Palatino Linotype"/>
          <w:b/>
          <w:color w:val="000000"/>
        </w:rPr>
        <w:t xml:space="preserve">  </w:t>
      </w:r>
      <w:r w:rsidR="001163E4" w:rsidRPr="00D75450">
        <w:rPr>
          <w:rFonts w:ascii="Palatino Linotype" w:eastAsia="Palatino Linotype" w:hAnsi="Palatino Linotype" w:cs="Palatino Linotype"/>
          <w:b/>
          <w:color w:val="000000"/>
        </w:rPr>
        <w:t>00111/PROBOSQUE/IP/2025</w:t>
      </w:r>
      <w:r w:rsidRPr="00D75450">
        <w:rPr>
          <w:rFonts w:ascii="Palatino Linotype" w:eastAsia="Palatino Linotype" w:hAnsi="Palatino Linotype" w:cs="Palatino Linotype"/>
          <w:b/>
          <w:color w:val="000000"/>
        </w:rPr>
        <w:t xml:space="preserve">; </w:t>
      </w:r>
      <w:r w:rsidRPr="00D75450">
        <w:rPr>
          <w:rFonts w:ascii="Palatino Linotype" w:eastAsia="Palatino Linotype" w:hAnsi="Palatino Linotype" w:cs="Palatino Linotype"/>
        </w:rPr>
        <w:t xml:space="preserve">en la que </w:t>
      </w:r>
      <w:r w:rsidRPr="00D75450">
        <w:rPr>
          <w:rFonts w:ascii="Palatino Linotype" w:eastAsia="Palatino Linotype" w:hAnsi="Palatino Linotype" w:cs="Palatino Linotype"/>
          <w:color w:val="000000"/>
        </w:rPr>
        <w:t>se solicitó la siguiente información:</w:t>
      </w:r>
    </w:p>
    <w:p w:rsidR="00E31311" w:rsidRPr="00D75450" w:rsidRDefault="00E31311" w:rsidP="00B422AB">
      <w:pPr>
        <w:pBdr>
          <w:top w:val="nil"/>
          <w:left w:val="nil"/>
          <w:bottom w:val="nil"/>
          <w:right w:val="nil"/>
          <w:between w:val="nil"/>
        </w:pBdr>
        <w:spacing w:line="360" w:lineRule="auto"/>
        <w:ind w:left="360"/>
        <w:jc w:val="both"/>
        <w:rPr>
          <w:rFonts w:ascii="Palatino Linotype" w:eastAsia="Palatino Linotype" w:hAnsi="Palatino Linotype" w:cs="Palatino Linotype"/>
          <w:color w:val="000000"/>
        </w:rPr>
      </w:pPr>
    </w:p>
    <w:p w:rsidR="00E31311" w:rsidRPr="00D75450" w:rsidRDefault="00A87FF1" w:rsidP="00B422AB">
      <w:pPr>
        <w:pBdr>
          <w:top w:val="nil"/>
          <w:left w:val="nil"/>
          <w:bottom w:val="nil"/>
          <w:right w:val="nil"/>
          <w:between w:val="nil"/>
        </w:pBdr>
        <w:spacing w:line="360" w:lineRule="auto"/>
        <w:ind w:left="426" w:right="476"/>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i/>
          <w:color w:val="000000"/>
        </w:rPr>
        <w:t>“</w:t>
      </w:r>
      <w:r w:rsidR="001163E4" w:rsidRPr="00D75450">
        <w:rPr>
          <w:rFonts w:ascii="Palatino Linotype" w:eastAsia="Palatino Linotype" w:hAnsi="Palatino Linotype" w:cs="Palatino Linotype"/>
          <w:i/>
          <w:color w:val="000000"/>
        </w:rPr>
        <w:t>Se solicita proyecto de construcción de jardinera en la parte de enfrente de oficinas del director General, así como de autorización de obra de construcción por las instancias pertinentes como las municipales, estatales y federales. ya que es una propiedad de Gobierno del Estado</w:t>
      </w:r>
      <w:r w:rsidR="00DF6EAE" w:rsidRPr="00D75450">
        <w:rPr>
          <w:rFonts w:ascii="Palatino Linotype" w:eastAsia="Palatino Linotype" w:hAnsi="Palatino Linotype" w:cs="Palatino Linotype"/>
          <w:i/>
          <w:color w:val="000000"/>
        </w:rPr>
        <w:t>”</w:t>
      </w:r>
    </w:p>
    <w:p w:rsidR="00D61D82" w:rsidRPr="00D75450" w:rsidRDefault="00D61D82" w:rsidP="00B422AB">
      <w:pPr>
        <w:pBdr>
          <w:top w:val="nil"/>
          <w:left w:val="nil"/>
          <w:bottom w:val="nil"/>
          <w:right w:val="nil"/>
          <w:between w:val="nil"/>
        </w:pBdr>
        <w:spacing w:line="360" w:lineRule="auto"/>
        <w:ind w:left="426" w:right="476"/>
        <w:jc w:val="both"/>
        <w:rPr>
          <w:rFonts w:ascii="Palatino Linotype" w:eastAsia="Palatino Linotype" w:hAnsi="Palatino Linotype" w:cs="Palatino Linotype"/>
          <w:i/>
          <w:color w:val="000000"/>
        </w:rPr>
      </w:pPr>
    </w:p>
    <w:p w:rsidR="00E31311" w:rsidRDefault="00A87FF1" w:rsidP="00D75450">
      <w:pPr>
        <w:numPr>
          <w:ilvl w:val="0"/>
          <w:numId w:val="4"/>
        </w:numPr>
        <w:pBdr>
          <w:top w:val="nil"/>
          <w:left w:val="nil"/>
          <w:bottom w:val="nil"/>
          <w:right w:val="nil"/>
          <w:between w:val="nil"/>
        </w:pBdr>
        <w:spacing w:line="360" w:lineRule="auto"/>
        <w:ind w:left="0" w:right="34" w:firstLine="0"/>
        <w:jc w:val="both"/>
        <w:rPr>
          <w:rFonts w:ascii="Palatino Linotype" w:eastAsia="Palatino Linotype" w:hAnsi="Palatino Linotype" w:cs="Palatino Linotype"/>
          <w:b/>
          <w:color w:val="000000"/>
        </w:rPr>
      </w:pPr>
      <w:r w:rsidRPr="00D75450">
        <w:rPr>
          <w:rFonts w:ascii="Palatino Linotype" w:eastAsia="Palatino Linotype" w:hAnsi="Palatino Linotype" w:cs="Palatino Linotype"/>
          <w:color w:val="000000"/>
        </w:rPr>
        <w:t>Se eligió como modalidad de entrega</w:t>
      </w:r>
      <w:r w:rsidR="00370DEE" w:rsidRPr="00D75450">
        <w:rPr>
          <w:rFonts w:ascii="Palatino Linotype" w:eastAsia="Palatino Linotype" w:hAnsi="Palatino Linotype" w:cs="Palatino Linotype"/>
          <w:color w:val="000000"/>
        </w:rPr>
        <w:t>:</w:t>
      </w:r>
      <w:r w:rsidRPr="00D75450">
        <w:rPr>
          <w:rFonts w:ascii="Palatino Linotype" w:eastAsia="Palatino Linotype" w:hAnsi="Palatino Linotype" w:cs="Palatino Linotype"/>
          <w:color w:val="000000"/>
        </w:rPr>
        <w:t xml:space="preserve"> </w:t>
      </w:r>
      <w:r w:rsidRPr="00D75450">
        <w:rPr>
          <w:rFonts w:ascii="Palatino Linotype" w:eastAsia="Palatino Linotype" w:hAnsi="Palatino Linotype" w:cs="Palatino Linotype"/>
          <w:b/>
          <w:color w:val="000000"/>
        </w:rPr>
        <w:t>SAIMEX</w:t>
      </w:r>
    </w:p>
    <w:p w:rsidR="00D75450" w:rsidRPr="00D75450" w:rsidRDefault="00D75450" w:rsidP="00D75450">
      <w:pPr>
        <w:pBdr>
          <w:top w:val="nil"/>
          <w:left w:val="nil"/>
          <w:bottom w:val="nil"/>
          <w:right w:val="nil"/>
          <w:between w:val="nil"/>
        </w:pBdr>
        <w:spacing w:line="360" w:lineRule="auto"/>
        <w:ind w:right="34"/>
        <w:jc w:val="both"/>
        <w:rPr>
          <w:rFonts w:ascii="Palatino Linotype" w:eastAsia="Palatino Linotype" w:hAnsi="Palatino Linotype" w:cs="Palatino Linotype"/>
          <w:b/>
          <w:color w:val="000000"/>
        </w:rPr>
      </w:pPr>
    </w:p>
    <w:p w:rsidR="00125BCA" w:rsidRPr="00D75450" w:rsidRDefault="001660E4" w:rsidP="00B422AB">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D75450">
        <w:rPr>
          <w:rFonts w:ascii="Palatino Linotype" w:eastAsia="Palatino Linotype" w:hAnsi="Palatino Linotype" w:cs="Palatino Linotype"/>
          <w:color w:val="000000"/>
        </w:rPr>
        <w:lastRenderedPageBreak/>
        <w:t xml:space="preserve">En fecha </w:t>
      </w:r>
      <w:r w:rsidR="001163E4" w:rsidRPr="00D75450">
        <w:rPr>
          <w:rFonts w:ascii="Palatino Linotype" w:eastAsia="Palatino Linotype" w:hAnsi="Palatino Linotype" w:cs="Palatino Linotype"/>
          <w:color w:val="000000"/>
        </w:rPr>
        <w:t>veintiuno de octubre</w:t>
      </w:r>
      <w:r w:rsidR="00DF6EAE" w:rsidRPr="00D75450">
        <w:rPr>
          <w:rFonts w:ascii="Palatino Linotype" w:eastAsia="Palatino Linotype" w:hAnsi="Palatino Linotype" w:cs="Palatino Linotype"/>
          <w:color w:val="000000"/>
        </w:rPr>
        <w:t xml:space="preserve"> dos mil </w:t>
      </w:r>
      <w:r w:rsidR="005B3943" w:rsidRPr="00D75450">
        <w:rPr>
          <w:rFonts w:ascii="Palatino Linotype" w:eastAsia="Palatino Linotype" w:hAnsi="Palatino Linotype" w:cs="Palatino Linotype"/>
          <w:color w:val="000000"/>
        </w:rPr>
        <w:t>veinticinco</w:t>
      </w:r>
      <w:r w:rsidR="00DF6EAE" w:rsidRPr="00D75450">
        <w:rPr>
          <w:rFonts w:ascii="Palatino Linotype" w:eastAsia="Palatino Linotype" w:hAnsi="Palatino Linotype" w:cs="Palatino Linotype"/>
          <w:color w:val="000000"/>
        </w:rPr>
        <w:t xml:space="preserve"> el </w:t>
      </w:r>
      <w:r w:rsidR="00DF6EAE" w:rsidRPr="00D75450">
        <w:rPr>
          <w:rFonts w:ascii="Palatino Linotype" w:eastAsia="Palatino Linotype" w:hAnsi="Palatino Linotype" w:cs="Palatino Linotype"/>
          <w:b/>
          <w:color w:val="000000"/>
        </w:rPr>
        <w:t>SUJETO OBLIGADO,</w:t>
      </w:r>
      <w:r w:rsidR="00DF6EAE" w:rsidRPr="00D75450">
        <w:rPr>
          <w:rFonts w:ascii="Palatino Linotype" w:eastAsia="Palatino Linotype" w:hAnsi="Palatino Linotype" w:cs="Palatino Linotype"/>
          <w:color w:val="000000"/>
        </w:rPr>
        <w:t xml:space="preserve"> dio respuesta a la solicitud</w:t>
      </w:r>
      <w:r w:rsidR="003142E9" w:rsidRPr="00D75450">
        <w:rPr>
          <w:rFonts w:ascii="Palatino Linotype" w:eastAsia="Palatino Linotype" w:hAnsi="Palatino Linotype" w:cs="Palatino Linotype"/>
          <w:color w:val="000000"/>
        </w:rPr>
        <w:t>,</w:t>
      </w:r>
      <w:r w:rsidR="00125BCA" w:rsidRPr="00D75450">
        <w:rPr>
          <w:rFonts w:ascii="Palatino Linotype" w:eastAsia="Palatino Linotype" w:hAnsi="Palatino Linotype" w:cs="Palatino Linotype"/>
          <w:color w:val="000000"/>
        </w:rPr>
        <w:t xml:space="preserve"> </w:t>
      </w:r>
      <w:r w:rsidR="001163E4" w:rsidRPr="00D75450">
        <w:rPr>
          <w:rFonts w:ascii="Palatino Linotype" w:eastAsia="Palatino Linotype" w:hAnsi="Palatino Linotype" w:cs="Palatino Linotype"/>
          <w:color w:val="000000"/>
        </w:rPr>
        <w:t xml:space="preserve">a través de dos archivos electrónico denominados </w:t>
      </w:r>
      <w:r w:rsidR="001163E4" w:rsidRPr="00D75450">
        <w:rPr>
          <w:rFonts w:ascii="Palatino Linotype" w:eastAsia="Palatino Linotype" w:hAnsi="Palatino Linotype" w:cs="Palatino Linotype"/>
          <w:b/>
          <w:color w:val="000000"/>
        </w:rPr>
        <w:t>225C0201040000L-2348-2025 SAIMEX 00111.pdf</w:t>
      </w:r>
      <w:r w:rsidR="001163E4" w:rsidRPr="00D75450">
        <w:rPr>
          <w:rFonts w:ascii="Palatino Linotype" w:eastAsia="Palatino Linotype" w:hAnsi="Palatino Linotype" w:cs="Palatino Linotype"/>
          <w:color w:val="000000"/>
        </w:rPr>
        <w:t xml:space="preserve"> y, </w:t>
      </w:r>
      <w:r w:rsidR="001163E4" w:rsidRPr="00D75450">
        <w:rPr>
          <w:rFonts w:ascii="Palatino Linotype" w:eastAsia="Palatino Linotype" w:hAnsi="Palatino Linotype" w:cs="Palatino Linotype"/>
          <w:b/>
          <w:color w:val="000000"/>
        </w:rPr>
        <w:t xml:space="preserve">U.T.RESPUESTA SAIMEX 00111.pdf, </w:t>
      </w:r>
      <w:r w:rsidR="001163E4" w:rsidRPr="00D75450">
        <w:rPr>
          <w:rFonts w:ascii="Palatino Linotype" w:eastAsia="Palatino Linotype" w:hAnsi="Palatino Linotype" w:cs="Palatino Linotype"/>
          <w:color w:val="000000"/>
        </w:rPr>
        <w:t>que corresponden a dos oficios</w:t>
      </w:r>
      <w:r w:rsidR="00907C8F" w:rsidRPr="00D75450">
        <w:rPr>
          <w:rFonts w:ascii="Palatino Linotype" w:eastAsia="Palatino Linotype" w:hAnsi="Palatino Linotype" w:cs="Palatino Linotype"/>
          <w:color w:val="000000"/>
        </w:rPr>
        <w:t>:</w:t>
      </w:r>
      <w:r w:rsidR="001163E4" w:rsidRPr="00D75450">
        <w:rPr>
          <w:rFonts w:ascii="Palatino Linotype" w:eastAsia="Palatino Linotype" w:hAnsi="Palatino Linotype" w:cs="Palatino Linotype"/>
          <w:color w:val="000000"/>
        </w:rPr>
        <w:t xml:space="preserve"> el primero signado por la Encargada del Despacho de la Dirección de Administración, Finanzas y de Gestión Documental, mediante el cual informa que luego de una búsqueda exhaustiva</w:t>
      </w:r>
      <w:r w:rsidR="00907C8F" w:rsidRPr="00D75450">
        <w:rPr>
          <w:rFonts w:ascii="Palatino Linotype" w:eastAsia="Palatino Linotype" w:hAnsi="Palatino Linotype" w:cs="Palatino Linotype"/>
          <w:color w:val="000000"/>
        </w:rPr>
        <w:t xml:space="preserve"> y razonable, </w:t>
      </w:r>
      <w:r w:rsidR="001163E4" w:rsidRPr="00D75450">
        <w:rPr>
          <w:rFonts w:ascii="Palatino Linotype" w:eastAsia="Palatino Linotype" w:hAnsi="Palatino Linotype" w:cs="Palatino Linotype"/>
          <w:color w:val="000000"/>
        </w:rPr>
        <w:t xml:space="preserve">no se encontró registro de </w:t>
      </w:r>
      <w:r w:rsidR="00907C8F" w:rsidRPr="00D75450">
        <w:rPr>
          <w:rFonts w:ascii="Palatino Linotype" w:eastAsia="Palatino Linotype" w:hAnsi="Palatino Linotype" w:cs="Palatino Linotype"/>
          <w:color w:val="000000"/>
        </w:rPr>
        <w:t xml:space="preserve">la </w:t>
      </w:r>
      <w:r w:rsidR="001163E4" w:rsidRPr="00D75450">
        <w:rPr>
          <w:rFonts w:ascii="Palatino Linotype" w:eastAsia="Palatino Linotype" w:hAnsi="Palatino Linotype" w:cs="Palatino Linotype"/>
          <w:color w:val="000000"/>
        </w:rPr>
        <w:t>información</w:t>
      </w:r>
      <w:r w:rsidR="00907C8F" w:rsidRPr="00D75450">
        <w:rPr>
          <w:rFonts w:ascii="Palatino Linotype" w:eastAsia="Palatino Linotype" w:hAnsi="Palatino Linotype" w:cs="Palatino Linotype"/>
          <w:color w:val="000000"/>
        </w:rPr>
        <w:t xml:space="preserve"> solicitada</w:t>
      </w:r>
      <w:r w:rsidR="001163E4" w:rsidRPr="00D75450">
        <w:rPr>
          <w:rFonts w:ascii="Palatino Linotype" w:eastAsia="Palatino Linotype" w:hAnsi="Palatino Linotype" w:cs="Palatino Linotype"/>
          <w:color w:val="000000"/>
        </w:rPr>
        <w:t>; y el oficio restante</w:t>
      </w:r>
      <w:r w:rsidR="00907C8F" w:rsidRPr="00D75450">
        <w:rPr>
          <w:rFonts w:ascii="Palatino Linotype" w:eastAsia="Palatino Linotype" w:hAnsi="Palatino Linotype" w:cs="Palatino Linotype"/>
          <w:color w:val="000000"/>
        </w:rPr>
        <w:t>,</w:t>
      </w:r>
      <w:r w:rsidR="001163E4" w:rsidRPr="00D75450">
        <w:rPr>
          <w:rFonts w:ascii="Palatino Linotype" w:eastAsia="Palatino Linotype" w:hAnsi="Palatino Linotype" w:cs="Palatino Linotype"/>
          <w:color w:val="000000"/>
        </w:rPr>
        <w:t xml:space="preserve"> </w:t>
      </w:r>
      <w:r w:rsidR="00907C8F" w:rsidRPr="00D75450">
        <w:rPr>
          <w:rFonts w:ascii="Palatino Linotype" w:eastAsia="Palatino Linotype" w:hAnsi="Palatino Linotype" w:cs="Palatino Linotype"/>
          <w:color w:val="000000"/>
        </w:rPr>
        <w:t>suscrito</w:t>
      </w:r>
      <w:r w:rsidR="001163E4" w:rsidRPr="00D75450">
        <w:rPr>
          <w:rFonts w:ascii="Palatino Linotype" w:eastAsia="Palatino Linotype" w:hAnsi="Palatino Linotype" w:cs="Palatino Linotype"/>
          <w:color w:val="000000"/>
        </w:rPr>
        <w:t xml:space="preserve"> por la </w:t>
      </w:r>
      <w:r w:rsidR="00907C8F" w:rsidRPr="00D75450">
        <w:rPr>
          <w:rFonts w:ascii="Palatino Linotype" w:eastAsia="Palatino Linotype" w:hAnsi="Palatino Linotype" w:cs="Palatino Linotype"/>
          <w:color w:val="000000"/>
        </w:rPr>
        <w:t>Titular</w:t>
      </w:r>
      <w:r w:rsidR="001163E4" w:rsidRPr="00D75450">
        <w:rPr>
          <w:rFonts w:ascii="Palatino Linotype" w:eastAsia="Palatino Linotype" w:hAnsi="Palatino Linotype" w:cs="Palatino Linotype"/>
          <w:color w:val="000000"/>
        </w:rPr>
        <w:t xml:space="preserve"> de la </w:t>
      </w:r>
      <w:r w:rsidR="00907C8F" w:rsidRPr="00D75450">
        <w:rPr>
          <w:rFonts w:ascii="Palatino Linotype" w:eastAsia="Palatino Linotype" w:hAnsi="Palatino Linotype" w:cs="Palatino Linotype"/>
          <w:color w:val="000000"/>
        </w:rPr>
        <w:t>Unidad</w:t>
      </w:r>
      <w:r w:rsidR="001163E4" w:rsidRPr="00D75450">
        <w:rPr>
          <w:rFonts w:ascii="Palatino Linotype" w:eastAsia="Palatino Linotype" w:hAnsi="Palatino Linotype" w:cs="Palatino Linotype"/>
          <w:color w:val="000000"/>
        </w:rPr>
        <w:t xml:space="preserve"> de </w:t>
      </w:r>
      <w:r w:rsidR="00907C8F" w:rsidRPr="00D75450">
        <w:rPr>
          <w:rFonts w:ascii="Palatino Linotype" w:eastAsia="Palatino Linotype" w:hAnsi="Palatino Linotype" w:cs="Palatino Linotype"/>
          <w:color w:val="000000"/>
        </w:rPr>
        <w:t>Transparencia</w:t>
      </w:r>
      <w:r w:rsidR="001163E4" w:rsidRPr="00D75450">
        <w:rPr>
          <w:rFonts w:ascii="Palatino Linotype" w:eastAsia="Palatino Linotype" w:hAnsi="Palatino Linotype" w:cs="Palatino Linotype"/>
          <w:color w:val="000000"/>
        </w:rPr>
        <w:t xml:space="preserve">, mediante el cual informa al solicitante de la respuesta emitida por la Servidora </w:t>
      </w:r>
      <w:r w:rsidR="00907C8F" w:rsidRPr="00D75450">
        <w:rPr>
          <w:rFonts w:ascii="Palatino Linotype" w:eastAsia="Palatino Linotype" w:hAnsi="Palatino Linotype" w:cs="Palatino Linotype"/>
          <w:color w:val="000000"/>
        </w:rPr>
        <w:t>Pública</w:t>
      </w:r>
      <w:r w:rsidR="001163E4" w:rsidRPr="00D75450">
        <w:rPr>
          <w:rFonts w:ascii="Palatino Linotype" w:eastAsia="Palatino Linotype" w:hAnsi="Palatino Linotype" w:cs="Palatino Linotype"/>
          <w:color w:val="000000"/>
        </w:rPr>
        <w:t xml:space="preserve"> Habilitada.</w:t>
      </w:r>
    </w:p>
    <w:p w:rsidR="001163E4" w:rsidRPr="00D75450" w:rsidRDefault="001163E4" w:rsidP="00B422AB">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rsidR="00E31311" w:rsidRPr="00D75450" w:rsidRDefault="00AE1941" w:rsidP="00B422AB">
      <w:pPr>
        <w:numPr>
          <w:ilvl w:val="0"/>
          <w:numId w:val="3"/>
        </w:numPr>
        <w:pBdr>
          <w:top w:val="nil"/>
          <w:left w:val="nil"/>
          <w:bottom w:val="nil"/>
          <w:right w:val="nil"/>
          <w:between w:val="nil"/>
        </w:pBdr>
        <w:tabs>
          <w:tab w:val="left" w:pos="0"/>
        </w:tabs>
        <w:spacing w:line="360" w:lineRule="auto"/>
        <w:ind w:left="0" w:right="49" w:firstLine="0"/>
        <w:jc w:val="both"/>
        <w:rPr>
          <w:rFonts w:ascii="Palatino Linotype" w:hAnsi="Palatino Linotype"/>
          <w:color w:val="000000"/>
        </w:rPr>
      </w:pPr>
      <w:r w:rsidRPr="00D75450">
        <w:rPr>
          <w:rFonts w:ascii="Palatino Linotype" w:eastAsia="Palatino Linotype" w:hAnsi="Palatino Linotype" w:cs="Palatino Linotype"/>
          <w:color w:val="000000"/>
        </w:rPr>
        <w:t xml:space="preserve">Inconforme con la respuesta el </w:t>
      </w:r>
      <w:r w:rsidR="005B3943" w:rsidRPr="00D75450">
        <w:rPr>
          <w:rFonts w:ascii="Palatino Linotype" w:eastAsia="Palatino Linotype" w:hAnsi="Palatino Linotype" w:cs="Palatino Linotype"/>
          <w:b/>
          <w:color w:val="000000"/>
        </w:rPr>
        <w:t>veinti</w:t>
      </w:r>
      <w:r w:rsidR="00907C8F" w:rsidRPr="00D75450">
        <w:rPr>
          <w:rFonts w:ascii="Palatino Linotype" w:eastAsia="Palatino Linotype" w:hAnsi="Palatino Linotype" w:cs="Palatino Linotype"/>
          <w:b/>
          <w:color w:val="000000"/>
        </w:rPr>
        <w:t>un</w:t>
      </w:r>
      <w:r w:rsidR="005B3943" w:rsidRPr="00D75450">
        <w:rPr>
          <w:rFonts w:ascii="Palatino Linotype" w:eastAsia="Palatino Linotype" w:hAnsi="Palatino Linotype" w:cs="Palatino Linotype"/>
          <w:b/>
          <w:color w:val="000000"/>
        </w:rPr>
        <w:t>o</w:t>
      </w:r>
      <w:r w:rsidR="00125BCA" w:rsidRPr="00D75450">
        <w:rPr>
          <w:rFonts w:ascii="Palatino Linotype" w:eastAsia="Palatino Linotype" w:hAnsi="Palatino Linotype" w:cs="Palatino Linotype"/>
          <w:b/>
          <w:color w:val="000000"/>
        </w:rPr>
        <w:t xml:space="preserve"> de </w:t>
      </w:r>
      <w:r w:rsidR="00907C8F" w:rsidRPr="00D75450">
        <w:rPr>
          <w:rFonts w:ascii="Palatino Linotype" w:eastAsia="Palatino Linotype" w:hAnsi="Palatino Linotype" w:cs="Palatino Linotype"/>
          <w:b/>
          <w:color w:val="000000"/>
        </w:rPr>
        <w:t>octubre</w:t>
      </w:r>
      <w:r w:rsidRPr="00D75450">
        <w:rPr>
          <w:rFonts w:ascii="Palatino Linotype" w:eastAsia="Palatino Linotype" w:hAnsi="Palatino Linotype" w:cs="Palatino Linotype"/>
          <w:b/>
          <w:color w:val="000000"/>
        </w:rPr>
        <w:t xml:space="preserve"> de</w:t>
      </w:r>
      <w:r w:rsidR="00907C8F" w:rsidRPr="00D75450">
        <w:rPr>
          <w:rFonts w:ascii="Palatino Linotype" w:eastAsia="Palatino Linotype" w:hAnsi="Palatino Linotype" w:cs="Palatino Linotype"/>
          <w:b/>
          <w:color w:val="000000"/>
        </w:rPr>
        <w:t xml:space="preserve"> dos mil veinticinco</w:t>
      </w:r>
      <w:r w:rsidRPr="00D75450">
        <w:rPr>
          <w:rFonts w:ascii="Palatino Linotype" w:eastAsia="Palatino Linotype" w:hAnsi="Palatino Linotype" w:cs="Palatino Linotype"/>
          <w:color w:val="000000"/>
        </w:rPr>
        <w:t xml:space="preserve">, </w:t>
      </w:r>
      <w:r w:rsidR="00DF6EAE" w:rsidRPr="00D75450">
        <w:rPr>
          <w:rFonts w:ascii="Palatino Linotype" w:eastAsia="Palatino Linotype" w:hAnsi="Palatino Linotype" w:cs="Palatino Linotype"/>
          <w:color w:val="000000"/>
        </w:rPr>
        <w:t>interpuso el recurso de revisión en contra de la respuesta, manifestando las siguientes razones o motivos de inconformidad:</w:t>
      </w:r>
    </w:p>
    <w:p w:rsidR="00A87FF1" w:rsidRPr="00D75450" w:rsidRDefault="00A87FF1" w:rsidP="00B422AB">
      <w:pPr>
        <w:pBdr>
          <w:top w:val="nil"/>
          <w:left w:val="nil"/>
          <w:bottom w:val="nil"/>
          <w:right w:val="nil"/>
          <w:between w:val="nil"/>
        </w:pBdr>
        <w:tabs>
          <w:tab w:val="left" w:pos="0"/>
        </w:tabs>
        <w:spacing w:line="360" w:lineRule="auto"/>
        <w:ind w:right="49"/>
        <w:jc w:val="both"/>
        <w:rPr>
          <w:rFonts w:ascii="Palatino Linotype" w:hAnsi="Palatino Linotype"/>
          <w:color w:val="000000"/>
        </w:rPr>
      </w:pPr>
    </w:p>
    <w:p w:rsidR="00E31311" w:rsidRPr="00D75450" w:rsidRDefault="00D75450" w:rsidP="00B422AB">
      <w:pPr>
        <w:numPr>
          <w:ilvl w:val="0"/>
          <w:numId w:val="4"/>
        </w:numPr>
        <w:pBdr>
          <w:top w:val="nil"/>
          <w:left w:val="nil"/>
          <w:bottom w:val="nil"/>
          <w:right w:val="nil"/>
          <w:between w:val="nil"/>
        </w:pBdr>
        <w:spacing w:line="360" w:lineRule="auto"/>
        <w:ind w:left="993" w:right="426"/>
        <w:jc w:val="both"/>
        <w:rPr>
          <w:rFonts w:ascii="Palatino Linotype" w:eastAsia="Palatino Linotype" w:hAnsi="Palatino Linotype" w:cs="Palatino Linotype"/>
          <w:i/>
          <w:color w:val="000000"/>
        </w:rPr>
      </w:pPr>
      <w:bookmarkStart w:id="2" w:name="_heading=h.30j0zll" w:colFirst="0" w:colLast="0"/>
      <w:bookmarkEnd w:id="2"/>
      <w:r w:rsidRPr="00D75450">
        <w:rPr>
          <w:rFonts w:ascii="Palatino Linotype" w:eastAsia="Palatino Linotype" w:hAnsi="Palatino Linotype" w:cs="Palatino Linotype"/>
          <w:b/>
          <w:color w:val="000000"/>
        </w:rPr>
        <w:t>ACTO IMPUGNADO</w:t>
      </w:r>
      <w:r w:rsidR="00DF6EAE" w:rsidRPr="00D75450">
        <w:rPr>
          <w:rFonts w:ascii="Palatino Linotype" w:eastAsia="Palatino Linotype" w:hAnsi="Palatino Linotype" w:cs="Palatino Linotype"/>
          <w:b/>
          <w:color w:val="000000"/>
        </w:rPr>
        <w:t xml:space="preserve">: </w:t>
      </w:r>
      <w:r w:rsidR="00A87FF1" w:rsidRPr="00D75450">
        <w:rPr>
          <w:rFonts w:ascii="Palatino Linotype" w:eastAsia="Palatino Linotype" w:hAnsi="Palatino Linotype" w:cs="Palatino Linotype"/>
          <w:i/>
          <w:color w:val="000000"/>
        </w:rPr>
        <w:t>“</w:t>
      </w:r>
      <w:r w:rsidR="00907C8F" w:rsidRPr="00D75450">
        <w:rPr>
          <w:rFonts w:ascii="Palatino Linotype" w:eastAsia="Palatino Linotype" w:hAnsi="Palatino Linotype" w:cs="Palatino Linotype"/>
          <w:i/>
          <w:color w:val="000000"/>
        </w:rPr>
        <w:t>La información proporcionada de que no cuentan con información al respecto de las autorizaciones por autorida para la construcción de la jardiner, están dando por hecho de que no solicitaron autorización, acto que se puede convertir en infracción administrativa por la realización de una obra sin autorización?, dicho lo anterior es imposible que un sector Gobierno como PROBOSQUE no haya hecho ningun trámite ante las instancias correspondientes para dicha obra, o lo que es más factible no proporcionar información al respecto por no evidenciarse de que hicieron obra, ya que para toda obra es estrictamente necesario hacer algún tipo de adquisición, solo no aparecen las cosas, y señalo directamenteentonces la falta administrativa por omisión del Director de PROBOSQUE Alejandro Santiago Sánchez Vélez.</w:t>
      </w:r>
      <w:r w:rsidR="00DF6EAE" w:rsidRPr="00D75450">
        <w:rPr>
          <w:rFonts w:ascii="Palatino Linotype" w:eastAsia="Palatino Linotype" w:hAnsi="Palatino Linotype" w:cs="Palatino Linotype"/>
          <w:i/>
          <w:color w:val="000000"/>
        </w:rPr>
        <w:t>”</w:t>
      </w:r>
    </w:p>
    <w:p w:rsidR="00A87FF1" w:rsidRPr="00D75450" w:rsidRDefault="00A87FF1" w:rsidP="00B422AB">
      <w:pPr>
        <w:pBdr>
          <w:top w:val="nil"/>
          <w:left w:val="nil"/>
          <w:bottom w:val="nil"/>
          <w:right w:val="nil"/>
          <w:between w:val="nil"/>
        </w:pBdr>
        <w:spacing w:line="360" w:lineRule="auto"/>
        <w:ind w:left="993" w:right="426"/>
        <w:jc w:val="both"/>
        <w:rPr>
          <w:rFonts w:ascii="Palatino Linotype" w:eastAsia="Palatino Linotype" w:hAnsi="Palatino Linotype" w:cs="Palatino Linotype"/>
          <w:i/>
          <w:color w:val="000000"/>
        </w:rPr>
      </w:pPr>
    </w:p>
    <w:p w:rsidR="00E31311" w:rsidRPr="00D75450" w:rsidRDefault="00D75450" w:rsidP="00B422AB">
      <w:pPr>
        <w:numPr>
          <w:ilvl w:val="0"/>
          <w:numId w:val="4"/>
        </w:numPr>
        <w:pBdr>
          <w:top w:val="nil"/>
          <w:left w:val="nil"/>
          <w:bottom w:val="nil"/>
          <w:right w:val="nil"/>
          <w:between w:val="nil"/>
        </w:pBdr>
        <w:spacing w:line="360" w:lineRule="auto"/>
        <w:ind w:left="993" w:right="426"/>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b/>
          <w:color w:val="000000"/>
        </w:rPr>
        <w:lastRenderedPageBreak/>
        <w:t>RAZONES O MOTIVOS DE INCONFORMIDAD</w:t>
      </w:r>
      <w:r w:rsidR="00DF6EAE" w:rsidRPr="00D75450">
        <w:rPr>
          <w:rFonts w:ascii="Palatino Linotype" w:eastAsia="Palatino Linotype" w:hAnsi="Palatino Linotype" w:cs="Palatino Linotype"/>
          <w:b/>
          <w:color w:val="000000"/>
        </w:rPr>
        <w:t>:</w:t>
      </w:r>
      <w:r w:rsidR="00A87FF1" w:rsidRPr="00D75450">
        <w:rPr>
          <w:rFonts w:ascii="Palatino Linotype" w:eastAsia="Palatino Linotype" w:hAnsi="Palatino Linotype" w:cs="Palatino Linotype"/>
          <w:i/>
          <w:color w:val="000000"/>
        </w:rPr>
        <w:t xml:space="preserve"> “</w:t>
      </w:r>
      <w:r w:rsidR="00907C8F" w:rsidRPr="00D75450">
        <w:rPr>
          <w:rFonts w:ascii="Palatino Linotype" w:eastAsia="Palatino Linotype" w:hAnsi="Palatino Linotype" w:cs="Palatino Linotype"/>
          <w:i/>
          <w:color w:val="000000"/>
        </w:rPr>
        <w:t>La información proporcionada de que no cuentan con información al respecto de las autorizaciones por autorida para la construcción de la jardiner, están dando por hecho de que no solicitaron autorización, acto que se puede convertir en infracción administrativa por la realización de una obra sin autorización?, dicho lo anterior es imposible que un sector Gobierno como PROBOSQUE no haya hecho ningun trámite ante las instancias correspondientes para dicha obra, o lo que es más factible no proporcionar información al respecto por no evidenciarse de que hicieron obra, ya que para toda obra es estrictamente necesario hacer algún tipo de adquisición, solo no aparecen las cosas, y señalo directamenteentonces la falta administrativa por omisión del Director de PROBOSQUE Alejandro Santiago Sánchez Vélez.</w:t>
      </w:r>
      <w:r w:rsidR="00DF6EAE" w:rsidRPr="00D75450">
        <w:rPr>
          <w:rFonts w:ascii="Palatino Linotype" w:eastAsia="Palatino Linotype" w:hAnsi="Palatino Linotype" w:cs="Palatino Linotype"/>
          <w:i/>
          <w:color w:val="000000"/>
        </w:rPr>
        <w:t>”</w:t>
      </w:r>
    </w:p>
    <w:p w:rsidR="00A87FF1" w:rsidRPr="00D75450" w:rsidRDefault="00A87FF1" w:rsidP="00B422AB">
      <w:pPr>
        <w:spacing w:line="360" w:lineRule="auto"/>
        <w:jc w:val="both"/>
        <w:rPr>
          <w:rFonts w:ascii="Palatino Linotype" w:eastAsia="Palatino Linotype" w:hAnsi="Palatino Linotype" w:cs="Palatino Linotype"/>
          <w:b/>
          <w:color w:val="000000"/>
        </w:rPr>
      </w:pPr>
    </w:p>
    <w:p w:rsidR="00E31311" w:rsidRPr="00D75450" w:rsidRDefault="00D75450" w:rsidP="00B422AB">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Pr>
          <w:rFonts w:ascii="Palatino Linotype" w:eastAsia="Palatino Linotype" w:hAnsi="Palatino Linotype" w:cs="Palatino Linotype"/>
          <w:color w:val="000000"/>
        </w:rPr>
        <w:t>La Comisionada p</w:t>
      </w:r>
      <w:r w:rsidR="00DF6EAE" w:rsidRPr="00D75450">
        <w:rPr>
          <w:rFonts w:ascii="Palatino Linotype" w:eastAsia="Palatino Linotype" w:hAnsi="Palatino Linotype" w:cs="Palatino Linotype"/>
          <w:color w:val="000000"/>
        </w:rPr>
        <w:t>onente con fundamento en lo dispuesto por el artículo 185 fracción II de la ley de la materia, a través del a</w:t>
      </w:r>
      <w:r w:rsidR="00A87FF1" w:rsidRPr="00D75450">
        <w:rPr>
          <w:rFonts w:ascii="Palatino Linotype" w:eastAsia="Palatino Linotype" w:hAnsi="Palatino Linotype" w:cs="Palatino Linotype"/>
          <w:color w:val="000000"/>
        </w:rPr>
        <w:t xml:space="preserve">cuerdo de admisión de fecha </w:t>
      </w:r>
      <w:r w:rsidR="00907C8F" w:rsidRPr="00D75450">
        <w:rPr>
          <w:rFonts w:ascii="Palatino Linotype" w:eastAsia="Palatino Linotype" w:hAnsi="Palatino Linotype" w:cs="Palatino Linotype"/>
          <w:b/>
          <w:color w:val="000000"/>
        </w:rPr>
        <w:t>veintiocho de octubre</w:t>
      </w:r>
      <w:r w:rsidR="00DF6EAE" w:rsidRPr="00D75450">
        <w:rPr>
          <w:rFonts w:ascii="Palatino Linotype" w:eastAsia="Palatino Linotype" w:hAnsi="Palatino Linotype" w:cs="Palatino Linotype"/>
          <w:b/>
          <w:color w:val="000000"/>
        </w:rPr>
        <w:t xml:space="preserve"> </w:t>
      </w:r>
      <w:r w:rsidR="002008D5" w:rsidRPr="00D75450">
        <w:rPr>
          <w:rFonts w:ascii="Palatino Linotype" w:eastAsia="Palatino Linotype" w:hAnsi="Palatino Linotype" w:cs="Palatino Linotype"/>
          <w:b/>
          <w:color w:val="000000"/>
        </w:rPr>
        <w:t>de dos mil veinticinc</w:t>
      </w:r>
      <w:r w:rsidR="00DF6EAE" w:rsidRPr="00D75450">
        <w:rPr>
          <w:rFonts w:ascii="Palatino Linotype" w:eastAsia="Palatino Linotype" w:hAnsi="Palatino Linotype" w:cs="Palatino Linotype"/>
          <w:b/>
          <w:color w:val="000000"/>
        </w:rPr>
        <w:t>o</w:t>
      </w:r>
      <w:r w:rsidR="00DF6EAE" w:rsidRPr="00D75450">
        <w:rPr>
          <w:rFonts w:ascii="Palatino Linotype" w:eastAsia="Palatino Linotype" w:hAnsi="Palatino Linotype" w:cs="Palatino Linotype"/>
          <w:color w:val="000000"/>
        </w:rPr>
        <w:t xml:space="preserve">, puso a disposición de las partes el expediente electrónico vía </w:t>
      </w:r>
      <w:r w:rsidR="00DF6EAE" w:rsidRPr="00D75450">
        <w:rPr>
          <w:rFonts w:ascii="Palatino Linotype" w:eastAsia="Palatino Linotype" w:hAnsi="Palatino Linotype" w:cs="Palatino Linotype"/>
          <w:b/>
          <w:color w:val="000000"/>
        </w:rPr>
        <w:t xml:space="preserve">SAIMEX </w:t>
      </w:r>
      <w:r w:rsidR="00DF6EAE" w:rsidRPr="00D75450">
        <w:rPr>
          <w:rFonts w:ascii="Palatino Linotype" w:eastAsia="Palatino Linotype" w:hAnsi="Palatino Linotype" w:cs="Palatino Linotype"/>
          <w:color w:val="000000"/>
        </w:rPr>
        <w:t xml:space="preserve">a efecto de que en un plazo máximo de siete días </w:t>
      </w:r>
      <w:r w:rsidR="00DF6EAE" w:rsidRPr="00D75450">
        <w:rPr>
          <w:rFonts w:ascii="Palatino Linotype" w:eastAsia="Palatino Linotype" w:hAnsi="Palatino Linotype" w:cs="Palatino Linotype"/>
        </w:rPr>
        <w:t>manifestara</w:t>
      </w:r>
      <w:r w:rsidR="00DF6EAE" w:rsidRPr="00D75450">
        <w:rPr>
          <w:rFonts w:ascii="Palatino Linotype" w:eastAsia="Palatino Linotype" w:hAnsi="Palatino Linotype" w:cs="Palatino Linotype"/>
          <w:color w:val="000000"/>
        </w:rPr>
        <w:t xml:space="preserve"> lo que a su derecho conviniera, </w:t>
      </w:r>
      <w:r w:rsidR="00DF6EAE" w:rsidRPr="00D75450">
        <w:rPr>
          <w:rFonts w:ascii="Palatino Linotype" w:eastAsia="Palatino Linotype" w:hAnsi="Palatino Linotype" w:cs="Palatino Linotype"/>
        </w:rPr>
        <w:t>ofreciera</w:t>
      </w:r>
      <w:r w:rsidR="00DF6EAE" w:rsidRPr="00D75450">
        <w:rPr>
          <w:rFonts w:ascii="Palatino Linotype" w:eastAsia="Palatino Linotype" w:hAnsi="Palatino Linotype" w:cs="Palatino Linotype"/>
          <w:color w:val="000000"/>
        </w:rPr>
        <w:t xml:space="preserve"> pruebas y alegatos según corresponda a los casos concretos, y el </w:t>
      </w:r>
      <w:r w:rsidR="00DF6EAE" w:rsidRPr="00D75450">
        <w:rPr>
          <w:rFonts w:ascii="Palatino Linotype" w:eastAsia="Palatino Linotype" w:hAnsi="Palatino Linotype" w:cs="Palatino Linotype"/>
          <w:b/>
          <w:color w:val="000000"/>
        </w:rPr>
        <w:t>SUJETO OBLIGADO</w:t>
      </w:r>
      <w:r w:rsidR="00DF6EAE" w:rsidRPr="00D75450">
        <w:rPr>
          <w:rFonts w:ascii="Palatino Linotype" w:eastAsia="Palatino Linotype" w:hAnsi="Palatino Linotype" w:cs="Palatino Linotype"/>
          <w:color w:val="000000"/>
        </w:rPr>
        <w:t xml:space="preserve"> presentará el Informe Justificado procedente.</w:t>
      </w:r>
    </w:p>
    <w:p w:rsidR="00D75450" w:rsidRPr="00D75450" w:rsidRDefault="00D75450" w:rsidP="00D75450">
      <w:pPr>
        <w:pBdr>
          <w:top w:val="nil"/>
          <w:left w:val="nil"/>
          <w:bottom w:val="nil"/>
          <w:right w:val="nil"/>
          <w:between w:val="nil"/>
        </w:pBdr>
        <w:spacing w:line="360" w:lineRule="auto"/>
        <w:jc w:val="both"/>
        <w:rPr>
          <w:rFonts w:ascii="Palatino Linotype" w:hAnsi="Palatino Linotype"/>
          <w:color w:val="000000"/>
        </w:rPr>
      </w:pPr>
    </w:p>
    <w:p w:rsidR="00EB4233" w:rsidRPr="00D75450" w:rsidRDefault="00DF6EAE"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 xml:space="preserve">De lo anterior, el </w:t>
      </w:r>
      <w:r w:rsidRPr="00D75450">
        <w:rPr>
          <w:rFonts w:ascii="Palatino Linotype" w:eastAsia="Palatino Linotype" w:hAnsi="Palatino Linotype" w:cs="Palatino Linotype"/>
          <w:b/>
          <w:color w:val="000000"/>
        </w:rPr>
        <w:t xml:space="preserve">SUJETO OBLIGADO </w:t>
      </w:r>
      <w:r w:rsidR="00907C8F" w:rsidRPr="00D75450">
        <w:rPr>
          <w:rFonts w:ascii="Palatino Linotype" w:eastAsia="Palatino Linotype" w:hAnsi="Palatino Linotype" w:cs="Palatino Linotype"/>
          <w:color w:val="000000"/>
        </w:rPr>
        <w:t>fue omiso en emitir el informe justificado correspondiente</w:t>
      </w:r>
      <w:r w:rsidR="00EB4233" w:rsidRPr="00D75450">
        <w:rPr>
          <w:rFonts w:ascii="Palatino Linotype" w:eastAsia="Palatino Linotype" w:hAnsi="Palatino Linotype" w:cs="Palatino Linotype"/>
          <w:color w:val="000000"/>
        </w:rPr>
        <w:t>. Por su parte el solicitante fue omiso en realizar manifestaciones que a su derecho conviniera y asistiera.</w:t>
      </w:r>
    </w:p>
    <w:p w:rsidR="00EB4233" w:rsidRPr="00D75450" w:rsidRDefault="00EB4233" w:rsidP="00B422AB">
      <w:pPr>
        <w:pStyle w:val="Prrafodelista"/>
        <w:spacing w:line="360" w:lineRule="auto"/>
        <w:rPr>
          <w:rFonts w:ascii="Palatino Linotype" w:eastAsia="Palatino Linotype" w:hAnsi="Palatino Linotype" w:cs="Palatino Linotype"/>
          <w:color w:val="000000"/>
        </w:rPr>
      </w:pPr>
    </w:p>
    <w:p w:rsidR="00E31311" w:rsidRPr="00D75450" w:rsidRDefault="00DF6EAE"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b/>
          <w:color w:val="000000"/>
        </w:rPr>
      </w:pPr>
      <w:bookmarkStart w:id="3" w:name="_heading=h.1fob9te" w:colFirst="0" w:colLast="0"/>
      <w:bookmarkEnd w:id="3"/>
      <w:r w:rsidRPr="00D75450">
        <w:rPr>
          <w:rFonts w:ascii="Palatino Linotype" w:eastAsia="Palatino Linotype" w:hAnsi="Palatino Linotype" w:cs="Palatino Linotype"/>
          <w:color w:val="000000"/>
        </w:rPr>
        <w:lastRenderedPageBreak/>
        <w:t xml:space="preserve">Seguidamente, mediante </w:t>
      </w:r>
      <w:r w:rsidR="00D746B0" w:rsidRPr="00D75450">
        <w:rPr>
          <w:rFonts w:ascii="Palatino Linotype" w:eastAsia="Palatino Linotype" w:hAnsi="Palatino Linotype" w:cs="Palatino Linotype"/>
          <w:color w:val="000000"/>
        </w:rPr>
        <w:t xml:space="preserve">acuerdo de fecha </w:t>
      </w:r>
      <w:r w:rsidR="00F84CF6" w:rsidRPr="00D75450">
        <w:rPr>
          <w:rFonts w:ascii="Palatino Linotype" w:eastAsia="Palatino Linotype" w:hAnsi="Palatino Linotype" w:cs="Palatino Linotype"/>
          <w:b/>
          <w:color w:val="000000"/>
        </w:rPr>
        <w:t>do</w:t>
      </w:r>
      <w:r w:rsidR="00907C8F" w:rsidRPr="00D75450">
        <w:rPr>
          <w:rFonts w:ascii="Palatino Linotype" w:eastAsia="Palatino Linotype" w:hAnsi="Palatino Linotype" w:cs="Palatino Linotype"/>
          <w:b/>
          <w:color w:val="000000"/>
        </w:rPr>
        <w:t>ce</w:t>
      </w:r>
      <w:r w:rsidR="00F84CF6" w:rsidRPr="00D75450">
        <w:rPr>
          <w:rFonts w:ascii="Palatino Linotype" w:eastAsia="Palatino Linotype" w:hAnsi="Palatino Linotype" w:cs="Palatino Linotype"/>
          <w:b/>
          <w:color w:val="000000"/>
        </w:rPr>
        <w:t xml:space="preserve"> de </w:t>
      </w:r>
      <w:r w:rsidR="00907C8F" w:rsidRPr="00D75450">
        <w:rPr>
          <w:rFonts w:ascii="Palatino Linotype" w:eastAsia="Palatino Linotype" w:hAnsi="Palatino Linotype" w:cs="Palatino Linotype"/>
          <w:b/>
          <w:color w:val="000000"/>
        </w:rPr>
        <w:t>febrero</w:t>
      </w:r>
      <w:r w:rsidR="0090601E" w:rsidRPr="00D75450">
        <w:rPr>
          <w:rFonts w:ascii="Palatino Linotype" w:eastAsia="Palatino Linotype" w:hAnsi="Palatino Linotype" w:cs="Palatino Linotype"/>
          <w:b/>
          <w:color w:val="000000"/>
        </w:rPr>
        <w:t xml:space="preserve"> de dos mil </w:t>
      </w:r>
      <w:r w:rsidR="00907C8F" w:rsidRPr="00D75450">
        <w:rPr>
          <w:rFonts w:ascii="Palatino Linotype" w:eastAsia="Palatino Linotype" w:hAnsi="Palatino Linotype" w:cs="Palatino Linotype"/>
          <w:b/>
          <w:color w:val="000000"/>
        </w:rPr>
        <w:t>veintiséis</w:t>
      </w:r>
      <w:r w:rsidRPr="00D75450">
        <w:rPr>
          <w:rFonts w:ascii="Palatino Linotype" w:eastAsia="Palatino Linotype" w:hAnsi="Palatino Linotype" w:cs="Palatino Linotype"/>
          <w:color w:val="000000"/>
        </w:rPr>
        <w:t xml:space="preserve"> se </w:t>
      </w:r>
      <w:r w:rsidR="005D1B66" w:rsidRPr="00D75450">
        <w:rPr>
          <w:rFonts w:ascii="Palatino Linotype" w:eastAsia="Palatino Linotype" w:hAnsi="Palatino Linotype" w:cs="Palatino Linotype"/>
          <w:color w:val="000000"/>
        </w:rPr>
        <w:t xml:space="preserve">amplió el termino para resolver, </w:t>
      </w:r>
      <w:r w:rsidR="00271F83" w:rsidRPr="00D75450">
        <w:rPr>
          <w:rFonts w:ascii="Palatino Linotype" w:eastAsia="Palatino Linotype" w:hAnsi="Palatino Linotype" w:cs="Palatino Linotype"/>
          <w:color w:val="000000"/>
        </w:rPr>
        <w:t>consecu</w:t>
      </w:r>
      <w:r w:rsidR="00F84CF6" w:rsidRPr="00D75450">
        <w:rPr>
          <w:rFonts w:ascii="Palatino Linotype" w:eastAsia="Palatino Linotype" w:hAnsi="Palatino Linotype" w:cs="Palatino Linotype"/>
          <w:color w:val="000000"/>
        </w:rPr>
        <w:t xml:space="preserve">tivamente </w:t>
      </w:r>
      <w:r w:rsidR="00907C8F" w:rsidRPr="00D75450">
        <w:rPr>
          <w:rFonts w:ascii="Palatino Linotype" w:eastAsia="Palatino Linotype" w:hAnsi="Palatino Linotype" w:cs="Palatino Linotype"/>
          <w:color w:val="000000"/>
        </w:rPr>
        <w:t>mediante Acuerdo de misma fecha</w:t>
      </w:r>
      <w:r w:rsidR="00C41F10" w:rsidRPr="00D75450">
        <w:rPr>
          <w:rFonts w:ascii="Palatino Linotype" w:eastAsia="Palatino Linotype" w:hAnsi="Palatino Linotype" w:cs="Palatino Linotype"/>
          <w:color w:val="000000"/>
        </w:rPr>
        <w:t>,</w:t>
      </w:r>
      <w:r w:rsidR="00271F83" w:rsidRPr="00D75450">
        <w:rPr>
          <w:rFonts w:ascii="Palatino Linotype" w:eastAsia="Palatino Linotype" w:hAnsi="Palatino Linotype" w:cs="Palatino Linotype"/>
          <w:color w:val="000000"/>
        </w:rPr>
        <w:t xml:space="preserve"> se </w:t>
      </w:r>
      <w:r w:rsidRPr="00D75450">
        <w:rPr>
          <w:rFonts w:ascii="Palatino Linotype" w:eastAsia="Palatino Linotype" w:hAnsi="Palatino Linotype" w:cs="Palatino Linotype"/>
          <w:color w:val="000000"/>
        </w:rPr>
        <w:t>decretó el cierre de instrucción, por lo que no habiendo más que hacer constar, y</w:t>
      </w:r>
    </w:p>
    <w:p w:rsidR="00E31311" w:rsidRPr="00D75450" w:rsidRDefault="00E31311" w:rsidP="00B422AB">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rsidR="00E31311" w:rsidRPr="00D75450" w:rsidRDefault="00DF6EAE" w:rsidP="00B422AB">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r w:rsidRPr="00D75450">
        <w:rPr>
          <w:rFonts w:ascii="Palatino Linotype" w:eastAsia="Palatino Linotype" w:hAnsi="Palatino Linotype" w:cs="Palatino Linotype"/>
          <w:b/>
          <w:color w:val="000000"/>
        </w:rPr>
        <w:t>C O N S I D E R A N D O</w:t>
      </w:r>
    </w:p>
    <w:p w:rsidR="00E31311" w:rsidRPr="00D75450" w:rsidRDefault="00E31311" w:rsidP="00B422AB">
      <w:pPr>
        <w:pBdr>
          <w:top w:val="nil"/>
          <w:left w:val="nil"/>
          <w:bottom w:val="nil"/>
          <w:right w:val="nil"/>
          <w:between w:val="nil"/>
        </w:pBdr>
        <w:spacing w:line="360" w:lineRule="auto"/>
        <w:jc w:val="center"/>
        <w:rPr>
          <w:rFonts w:ascii="Palatino Linotype" w:eastAsia="Palatino Linotype" w:hAnsi="Palatino Linotype" w:cs="Palatino Linotype"/>
          <w:b/>
          <w:color w:val="000000"/>
        </w:rPr>
      </w:pPr>
    </w:p>
    <w:p w:rsidR="00E31311" w:rsidRPr="00D75450" w:rsidRDefault="00DF6EAE" w:rsidP="00B422AB">
      <w:pPr>
        <w:pStyle w:val="Ttulo2"/>
        <w:spacing w:before="0" w:line="360" w:lineRule="auto"/>
        <w:rPr>
          <w:rFonts w:ascii="Palatino Linotype" w:eastAsia="Palatino Linotype" w:hAnsi="Palatino Linotype" w:cs="Palatino Linotype"/>
          <w:b/>
          <w:color w:val="000000"/>
          <w:sz w:val="24"/>
          <w:szCs w:val="24"/>
        </w:rPr>
      </w:pPr>
      <w:bookmarkStart w:id="4" w:name="_heading=h.3znysh7" w:colFirst="0" w:colLast="0"/>
      <w:bookmarkEnd w:id="4"/>
      <w:r w:rsidRPr="00D75450">
        <w:rPr>
          <w:rFonts w:ascii="Palatino Linotype" w:eastAsia="Palatino Linotype" w:hAnsi="Palatino Linotype" w:cs="Palatino Linotype"/>
          <w:b/>
          <w:color w:val="000000"/>
          <w:sz w:val="24"/>
          <w:szCs w:val="24"/>
        </w:rPr>
        <w:t>PRIMERO. De la competencia</w:t>
      </w:r>
    </w:p>
    <w:p w:rsidR="00E31311" w:rsidRPr="00D75450" w:rsidRDefault="00C41F10" w:rsidP="00B422AB">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D75450">
        <w:rPr>
          <w:rFonts w:ascii="Palatino Linotype" w:eastAsia="Palatino Linotype" w:hAnsi="Palatino Linotype" w:cs="Palatino Linotype"/>
          <w:color w:val="000000"/>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E31311" w:rsidRPr="00D75450" w:rsidRDefault="00E31311" w:rsidP="00B422A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E31311" w:rsidRPr="00D75450" w:rsidRDefault="00DF6EAE" w:rsidP="00B422AB">
      <w:pPr>
        <w:pStyle w:val="Ttulo2"/>
        <w:spacing w:before="0" w:line="360" w:lineRule="auto"/>
        <w:rPr>
          <w:rFonts w:ascii="Palatino Linotype" w:eastAsia="Palatino Linotype" w:hAnsi="Palatino Linotype" w:cs="Palatino Linotype"/>
          <w:b/>
          <w:color w:val="000000"/>
          <w:sz w:val="24"/>
          <w:szCs w:val="24"/>
        </w:rPr>
      </w:pPr>
      <w:bookmarkStart w:id="5" w:name="_heading=h.2et92p0" w:colFirst="0" w:colLast="0"/>
      <w:bookmarkEnd w:id="5"/>
      <w:r w:rsidRPr="00D75450">
        <w:rPr>
          <w:rFonts w:ascii="Palatino Linotype" w:eastAsia="Palatino Linotype" w:hAnsi="Palatino Linotype" w:cs="Palatino Linotype"/>
          <w:b/>
          <w:color w:val="000000"/>
          <w:sz w:val="24"/>
          <w:szCs w:val="24"/>
        </w:rPr>
        <w:t>SEGUNDO. De la oportunidad y procedencia.</w:t>
      </w:r>
    </w:p>
    <w:p w:rsidR="006B1EE0" w:rsidRPr="00D75450" w:rsidRDefault="006B1EE0"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 xml:space="preserve">Este Órgano Garante considera que el medio de impugnación reúne los requisitos de procedencia </w:t>
      </w:r>
      <w:r w:rsidRPr="00D75450">
        <w:rPr>
          <w:rFonts w:ascii="Palatino Linotype" w:eastAsia="Palatino Linotype" w:hAnsi="Palatino Linotype" w:cs="Palatino Linotype"/>
          <w:color w:val="000000"/>
        </w:rPr>
        <w:t xml:space="preserve">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w:t>
      </w:r>
      <w:r w:rsidR="00F80B22" w:rsidRPr="00D75450">
        <w:rPr>
          <w:rFonts w:ascii="Palatino Linotype" w:eastAsia="Palatino Linotype" w:hAnsi="Palatino Linotype" w:cs="Palatino Linotype"/>
          <w:b/>
          <w:color w:val="000000"/>
        </w:rPr>
        <w:t>LA RECURRENTE</w:t>
      </w:r>
      <w:r w:rsidRPr="00D75450">
        <w:rPr>
          <w:rFonts w:ascii="Palatino Linotype" w:eastAsia="Palatino Linotype" w:hAnsi="Palatino Linotype" w:cs="Palatino Linotype"/>
          <w:color w:val="000000"/>
        </w:rPr>
        <w:t xml:space="preserve"> ante otra instancia.</w:t>
      </w:r>
    </w:p>
    <w:p w:rsidR="006B1EE0" w:rsidRPr="00D75450" w:rsidRDefault="006B1EE0" w:rsidP="00B422AB">
      <w:pPr>
        <w:spacing w:line="360" w:lineRule="auto"/>
        <w:ind w:right="-929"/>
        <w:jc w:val="both"/>
        <w:rPr>
          <w:rFonts w:ascii="Palatino Linotype" w:eastAsia="Palatino Linotype" w:hAnsi="Palatino Linotype" w:cs="Palatino Linotype"/>
        </w:rPr>
      </w:pPr>
    </w:p>
    <w:p w:rsidR="006B1EE0" w:rsidRPr="00D75450" w:rsidRDefault="006B1EE0"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lastRenderedPageBreak/>
        <w:t>Finalmente, el escrito contiene las formalidades previstas por el artículo 180 último párrafo de la citada Ley de la materia, por lo que es procedente que este Instituto conozca y resuelva el presente recurso.</w:t>
      </w:r>
    </w:p>
    <w:p w:rsidR="00405DED" w:rsidRPr="00D75450" w:rsidRDefault="00405DED" w:rsidP="00B422AB">
      <w:pPr>
        <w:pStyle w:val="Prrafodelista"/>
        <w:spacing w:line="360" w:lineRule="auto"/>
        <w:rPr>
          <w:rFonts w:ascii="Palatino Linotype" w:eastAsia="Palatino Linotype" w:hAnsi="Palatino Linotype" w:cs="Palatino Linotype"/>
        </w:rPr>
      </w:pPr>
    </w:p>
    <w:p w:rsidR="00E31311" w:rsidRPr="00D75450" w:rsidRDefault="00DF6EAE" w:rsidP="00B422AB">
      <w:pPr>
        <w:pStyle w:val="Ttulo1"/>
        <w:spacing w:before="0" w:line="360" w:lineRule="auto"/>
        <w:rPr>
          <w:rFonts w:ascii="Palatino Linotype" w:eastAsia="Palatino Linotype" w:hAnsi="Palatino Linotype" w:cs="Palatino Linotype"/>
          <w:b/>
          <w:color w:val="000000"/>
          <w:sz w:val="24"/>
          <w:szCs w:val="24"/>
        </w:rPr>
      </w:pPr>
      <w:bookmarkStart w:id="6" w:name="_heading=h.tyjcwt" w:colFirst="0" w:colLast="0"/>
      <w:bookmarkEnd w:id="6"/>
      <w:r w:rsidRPr="00D75450">
        <w:rPr>
          <w:rFonts w:ascii="Palatino Linotype" w:eastAsia="Palatino Linotype" w:hAnsi="Palatino Linotype" w:cs="Palatino Linotype"/>
          <w:b/>
          <w:color w:val="000000"/>
          <w:sz w:val="24"/>
          <w:szCs w:val="24"/>
        </w:rPr>
        <w:t xml:space="preserve">TERCERO. Del planteamiento de la </w:t>
      </w:r>
      <w:r w:rsidRPr="00D75450">
        <w:rPr>
          <w:rFonts w:ascii="Palatino Linotype" w:eastAsia="Palatino Linotype" w:hAnsi="Palatino Linotype" w:cs="Palatino Linotype"/>
          <w:b/>
          <w:i/>
          <w:color w:val="000000"/>
          <w:sz w:val="24"/>
          <w:szCs w:val="24"/>
        </w:rPr>
        <w:t>Litis</w:t>
      </w:r>
      <w:r w:rsidRPr="00D75450">
        <w:rPr>
          <w:rFonts w:ascii="Palatino Linotype" w:eastAsia="Palatino Linotype" w:hAnsi="Palatino Linotype" w:cs="Palatino Linotype"/>
          <w:b/>
          <w:color w:val="000000"/>
          <w:sz w:val="24"/>
          <w:szCs w:val="24"/>
        </w:rPr>
        <w:t>.</w:t>
      </w:r>
    </w:p>
    <w:p w:rsidR="00E31311" w:rsidRPr="00D75450" w:rsidRDefault="00DF6EAE" w:rsidP="00B422AB">
      <w:pPr>
        <w:numPr>
          <w:ilvl w:val="0"/>
          <w:numId w:val="3"/>
        </w:numPr>
        <w:pBdr>
          <w:top w:val="nil"/>
          <w:left w:val="nil"/>
          <w:bottom w:val="nil"/>
          <w:right w:val="nil"/>
          <w:between w:val="nil"/>
        </w:pBdr>
        <w:spacing w:line="360" w:lineRule="auto"/>
        <w:ind w:left="0" w:firstLine="0"/>
        <w:jc w:val="both"/>
        <w:rPr>
          <w:rFonts w:ascii="Palatino Linotype" w:hAnsi="Palatino Linotype"/>
          <w:color w:val="000000"/>
        </w:rPr>
      </w:pPr>
      <w:r w:rsidRPr="00D75450">
        <w:rPr>
          <w:rFonts w:ascii="Palatino Linotype" w:eastAsia="Palatino Linotype" w:hAnsi="Palatino Linotype" w:cs="Palatino Linotype"/>
          <w:color w:val="000000"/>
        </w:rPr>
        <w:t>Se solicitó tener acceso, a la información que a continuación se desagrega:</w:t>
      </w:r>
    </w:p>
    <w:p w:rsidR="001A5A2D" w:rsidRPr="00D75450" w:rsidRDefault="00907C8F" w:rsidP="00B422AB">
      <w:pPr>
        <w:pStyle w:val="Prrafodelista"/>
        <w:numPr>
          <w:ilvl w:val="0"/>
          <w:numId w:val="8"/>
        </w:numPr>
        <w:pBdr>
          <w:top w:val="nil"/>
          <w:left w:val="nil"/>
          <w:bottom w:val="nil"/>
          <w:right w:val="nil"/>
          <w:between w:val="nil"/>
        </w:pBdr>
        <w:spacing w:line="360" w:lineRule="auto"/>
        <w:ind w:right="567"/>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Proyecto de construcción de jardinera ubicada en la parte frontal de la oficina del Director General y, la autorización de obra de construcción, municipal, estatal y federal</w:t>
      </w:r>
      <w:r w:rsidR="00D62C5E" w:rsidRPr="00D75450">
        <w:rPr>
          <w:rFonts w:ascii="Palatino Linotype" w:eastAsia="Palatino Linotype" w:hAnsi="Palatino Linotype" w:cs="Palatino Linotype"/>
          <w:color w:val="000000"/>
        </w:rPr>
        <w:t>.</w:t>
      </w:r>
    </w:p>
    <w:p w:rsidR="001A5A2D" w:rsidRPr="00D75450" w:rsidRDefault="001A5A2D" w:rsidP="00B422AB">
      <w:pPr>
        <w:pBdr>
          <w:top w:val="nil"/>
          <w:left w:val="nil"/>
          <w:bottom w:val="nil"/>
          <w:right w:val="nil"/>
          <w:between w:val="nil"/>
        </w:pBdr>
        <w:spacing w:line="360" w:lineRule="auto"/>
        <w:jc w:val="both"/>
        <w:rPr>
          <w:rFonts w:ascii="Palatino Linotype" w:eastAsia="Palatino Linotype" w:hAnsi="Palatino Linotype" w:cs="Palatino Linotype"/>
          <w:b/>
          <w:color w:val="000000"/>
        </w:rPr>
      </w:pPr>
    </w:p>
    <w:p w:rsidR="006B1EE0" w:rsidRPr="00D75450" w:rsidRDefault="006B1EE0" w:rsidP="00B422AB">
      <w:pPr>
        <w:numPr>
          <w:ilvl w:val="0"/>
          <w:numId w:val="3"/>
        </w:numP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rPr>
        <w:t xml:space="preserve">En respuesta, el </w:t>
      </w:r>
      <w:r w:rsidRPr="00D75450">
        <w:rPr>
          <w:rFonts w:ascii="Palatino Linotype" w:eastAsia="Palatino Linotype" w:hAnsi="Palatino Linotype" w:cs="Palatino Linotype"/>
          <w:b/>
        </w:rPr>
        <w:t xml:space="preserve">SUJETO OBLIGADO </w:t>
      </w:r>
      <w:r w:rsidRPr="00D75450">
        <w:rPr>
          <w:rFonts w:ascii="Palatino Linotype" w:eastAsia="Palatino Linotype" w:hAnsi="Palatino Linotype" w:cs="Palatino Linotype"/>
        </w:rPr>
        <w:t>remitió la información ya descrita en e</w:t>
      </w:r>
      <w:r w:rsidR="00150225" w:rsidRPr="00D75450">
        <w:rPr>
          <w:rFonts w:ascii="Palatino Linotype" w:eastAsia="Palatino Linotype" w:hAnsi="Palatino Linotype" w:cs="Palatino Linotype"/>
        </w:rPr>
        <w:t>l párrafo 2. Inconforme con la misma</w:t>
      </w:r>
      <w:r w:rsidRPr="00D75450">
        <w:rPr>
          <w:rFonts w:ascii="Palatino Linotype" w:eastAsia="Palatino Linotype" w:hAnsi="Palatino Linotype" w:cs="Palatino Linotype"/>
        </w:rPr>
        <w:t xml:space="preserve">, se interpuso recurso de revisión </w:t>
      </w:r>
      <w:r w:rsidR="00150225" w:rsidRPr="00D75450">
        <w:rPr>
          <w:rFonts w:ascii="Palatino Linotype" w:eastAsia="Palatino Linotype" w:hAnsi="Palatino Linotype" w:cs="Palatino Linotype"/>
        </w:rPr>
        <w:t xml:space="preserve">en contra de la </w:t>
      </w:r>
      <w:r w:rsidR="00D62C5E" w:rsidRPr="00D75450">
        <w:rPr>
          <w:rFonts w:ascii="Palatino Linotype" w:eastAsia="Palatino Linotype" w:hAnsi="Palatino Linotype" w:cs="Palatino Linotype"/>
        </w:rPr>
        <w:t xml:space="preserve">entrega de la información incompleta, al no anexarse </w:t>
      </w:r>
      <w:r w:rsidR="00907C8F" w:rsidRPr="00D75450">
        <w:rPr>
          <w:rFonts w:ascii="Palatino Linotype" w:eastAsia="Palatino Linotype" w:hAnsi="Palatino Linotype" w:cs="Palatino Linotype"/>
        </w:rPr>
        <w:t>las autorizaciones solicitadas</w:t>
      </w:r>
      <w:r w:rsidR="00C41F10" w:rsidRPr="00D75450">
        <w:rPr>
          <w:rFonts w:ascii="Palatino Linotype" w:eastAsia="Palatino Linotype" w:hAnsi="Palatino Linotype" w:cs="Palatino Linotype"/>
        </w:rPr>
        <w:t>.</w:t>
      </w:r>
    </w:p>
    <w:p w:rsidR="00E31311" w:rsidRPr="00D75450" w:rsidRDefault="00E31311" w:rsidP="00B422AB">
      <w:pPr>
        <w:tabs>
          <w:tab w:val="left" w:pos="933"/>
        </w:tabs>
        <w:spacing w:line="360" w:lineRule="auto"/>
        <w:jc w:val="both"/>
        <w:rPr>
          <w:rFonts w:ascii="Palatino Linotype" w:eastAsia="Palatino Linotype" w:hAnsi="Palatino Linotype" w:cs="Palatino Linotype"/>
        </w:rPr>
      </w:pPr>
    </w:p>
    <w:p w:rsidR="00E31311" w:rsidRPr="00D75450" w:rsidRDefault="00DF6EAE" w:rsidP="00B422AB">
      <w:pPr>
        <w:numPr>
          <w:ilvl w:val="0"/>
          <w:numId w:val="3"/>
        </w:numPr>
        <w:spacing w:line="360" w:lineRule="auto"/>
        <w:ind w:left="0" w:firstLine="0"/>
        <w:jc w:val="both"/>
        <w:rPr>
          <w:rFonts w:ascii="Palatino Linotype" w:hAnsi="Palatino Linotype"/>
        </w:rPr>
      </w:pPr>
      <w:r w:rsidRPr="00D75450">
        <w:rPr>
          <w:rFonts w:ascii="Palatino Linotype" w:eastAsia="Palatino Linotype" w:hAnsi="Palatino Linotype" w:cs="Palatino Linotype"/>
        </w:rPr>
        <w:t>En dichas condiciones</w:t>
      </w:r>
      <w:r w:rsidR="00E938F5" w:rsidRPr="00D75450">
        <w:rPr>
          <w:rFonts w:ascii="Palatino Linotype" w:eastAsia="Palatino Linotype" w:hAnsi="Palatino Linotype" w:cs="Palatino Linotype"/>
        </w:rPr>
        <w:t xml:space="preserve"> </w:t>
      </w:r>
      <w:r w:rsidRPr="00D75450">
        <w:rPr>
          <w:rFonts w:ascii="Palatino Linotype" w:eastAsia="Palatino Linotype" w:hAnsi="Palatino Linotype" w:cs="Palatino Linotype"/>
        </w:rPr>
        <w:t xml:space="preserve">la </w:t>
      </w:r>
      <w:r w:rsidRPr="00D75450">
        <w:rPr>
          <w:rFonts w:ascii="Palatino Linotype" w:eastAsia="Palatino Linotype" w:hAnsi="Palatino Linotype" w:cs="Palatino Linotype"/>
          <w:i/>
        </w:rPr>
        <w:t>Litis</w:t>
      </w:r>
      <w:r w:rsidR="00D62C5E" w:rsidRPr="00D75450">
        <w:rPr>
          <w:rFonts w:ascii="Palatino Linotype" w:eastAsia="Palatino Linotype" w:hAnsi="Palatino Linotype" w:cs="Palatino Linotype"/>
        </w:rPr>
        <w:t xml:space="preserve"> a resolver en este R</w:t>
      </w:r>
      <w:r w:rsidRPr="00D75450">
        <w:rPr>
          <w:rFonts w:ascii="Palatino Linotype" w:eastAsia="Palatino Linotype" w:hAnsi="Palatino Linotype" w:cs="Palatino Linotype"/>
        </w:rPr>
        <w:t xml:space="preserve">ecurso se circunscribe a determinar si se actualiza la causal de procedencia prevista en el artículo 179, </w:t>
      </w:r>
      <w:r w:rsidRPr="00D75450">
        <w:rPr>
          <w:rFonts w:ascii="Palatino Linotype" w:eastAsia="Palatino Linotype" w:hAnsi="Palatino Linotype" w:cs="Palatino Linotype"/>
          <w:b/>
        </w:rPr>
        <w:t xml:space="preserve">fracción </w:t>
      </w:r>
      <w:r w:rsidR="00D62C5E" w:rsidRPr="00D75450">
        <w:rPr>
          <w:rFonts w:ascii="Palatino Linotype" w:eastAsia="Palatino Linotype" w:hAnsi="Palatino Linotype" w:cs="Palatino Linotype"/>
          <w:b/>
        </w:rPr>
        <w:t>V</w:t>
      </w:r>
      <w:r w:rsidRPr="00D75450">
        <w:rPr>
          <w:rFonts w:ascii="Palatino Linotype" w:eastAsia="Palatino Linotype" w:hAnsi="Palatino Linotype" w:cs="Palatino Linotype"/>
          <w:b/>
        </w:rPr>
        <w:t xml:space="preserve"> </w:t>
      </w:r>
      <w:r w:rsidRPr="00D75450">
        <w:rPr>
          <w:rFonts w:ascii="Palatino Linotype" w:eastAsia="Palatino Linotype" w:hAnsi="Palatino Linotype" w:cs="Palatino Linotype"/>
        </w:rPr>
        <w:t xml:space="preserve">de la </w:t>
      </w:r>
      <w:r w:rsidRPr="00D75450">
        <w:rPr>
          <w:rFonts w:ascii="Palatino Linotype" w:eastAsia="Palatino Linotype" w:hAnsi="Palatino Linotype" w:cs="Palatino Linotype"/>
          <w:b/>
        </w:rPr>
        <w:t>Ley de Transparencia y Acceso a la Información Pública del Estado de México y Municipios</w:t>
      </w:r>
      <w:r w:rsidRPr="00D75450">
        <w:rPr>
          <w:rFonts w:ascii="Palatino Linotype" w:eastAsia="Palatino Linotype" w:hAnsi="Palatino Linotype" w:cs="Palatino Linotype"/>
          <w:color w:val="000000" w:themeColor="text1"/>
        </w:rPr>
        <w:t>;</w:t>
      </w:r>
      <w:r w:rsidRPr="00D75450">
        <w:rPr>
          <w:rFonts w:ascii="Palatino Linotype" w:eastAsia="Palatino Linotype" w:hAnsi="Palatino Linotype" w:cs="Palatino Linotype"/>
        </w:rPr>
        <w:t xml:space="preserve"> fracción que determina la hipót</w:t>
      </w:r>
      <w:r w:rsidR="00677898" w:rsidRPr="00D75450">
        <w:rPr>
          <w:rFonts w:ascii="Palatino Linotype" w:eastAsia="Palatino Linotype" w:hAnsi="Palatino Linotype" w:cs="Palatino Linotype"/>
        </w:rPr>
        <w:t xml:space="preserve">esis jurídica relativa a </w:t>
      </w:r>
      <w:r w:rsidR="00150225" w:rsidRPr="00D75450">
        <w:rPr>
          <w:rFonts w:ascii="Palatino Linotype" w:eastAsia="Palatino Linotype" w:hAnsi="Palatino Linotype" w:cs="Palatino Linotype"/>
        </w:rPr>
        <w:t xml:space="preserve">la </w:t>
      </w:r>
      <w:r w:rsidR="00D62C5E" w:rsidRPr="00D75450">
        <w:rPr>
          <w:rFonts w:ascii="Palatino Linotype" w:eastAsia="Palatino Linotype" w:hAnsi="Palatino Linotype" w:cs="Palatino Linotype"/>
        </w:rPr>
        <w:t>entrega de información incompleta</w:t>
      </w:r>
      <w:r w:rsidRPr="00D75450">
        <w:rPr>
          <w:rFonts w:ascii="Palatino Linotype" w:eastAsia="Palatino Linotype" w:hAnsi="Palatino Linotype" w:cs="Palatino Linotype"/>
        </w:rPr>
        <w:t xml:space="preserve">; contexto del cual se dolió </w:t>
      </w:r>
      <w:r w:rsidR="00BB66B2" w:rsidRPr="00D75450">
        <w:rPr>
          <w:rFonts w:ascii="Palatino Linotype" w:eastAsia="Palatino Linotype" w:hAnsi="Palatino Linotype" w:cs="Palatino Linotype"/>
          <w:b/>
        </w:rPr>
        <w:t>LA RECURRENTE</w:t>
      </w:r>
      <w:r w:rsidRPr="00D75450">
        <w:rPr>
          <w:rFonts w:ascii="Palatino Linotype" w:eastAsia="Palatino Linotype" w:hAnsi="Palatino Linotype" w:cs="Palatino Linotype"/>
          <w:b/>
        </w:rPr>
        <w:t xml:space="preserve"> </w:t>
      </w:r>
      <w:r w:rsidRPr="00D75450">
        <w:rPr>
          <w:rFonts w:ascii="Palatino Linotype" w:eastAsia="Palatino Linotype" w:hAnsi="Palatino Linotype" w:cs="Palatino Linotype"/>
        </w:rPr>
        <w:t>al momento de interponer su inconformidad.</w:t>
      </w:r>
    </w:p>
    <w:p w:rsidR="00150225" w:rsidRPr="00D75450" w:rsidRDefault="00150225" w:rsidP="00B422AB">
      <w:pPr>
        <w:pStyle w:val="Prrafodelista"/>
        <w:spacing w:line="360" w:lineRule="auto"/>
        <w:rPr>
          <w:rFonts w:ascii="Palatino Linotype" w:hAnsi="Palatino Linotype"/>
        </w:rPr>
      </w:pPr>
    </w:p>
    <w:p w:rsidR="00E31311" w:rsidRPr="00D75450" w:rsidRDefault="00DF6EAE" w:rsidP="00B422AB">
      <w:pPr>
        <w:numPr>
          <w:ilvl w:val="0"/>
          <w:numId w:val="3"/>
        </w:numPr>
        <w:spacing w:line="360" w:lineRule="auto"/>
        <w:ind w:left="0" w:firstLine="0"/>
        <w:jc w:val="both"/>
        <w:rPr>
          <w:rFonts w:ascii="Palatino Linotype" w:hAnsi="Palatino Linotype"/>
        </w:rPr>
      </w:pPr>
      <w:r w:rsidRPr="00D75450">
        <w:rPr>
          <w:rFonts w:ascii="Palatino Linotype" w:eastAsia="Palatino Linotype" w:hAnsi="Palatino Linotype" w:cs="Palatino Linotype"/>
          <w:color w:val="000000"/>
        </w:rPr>
        <w:t xml:space="preserve">De modo tal que el presente </w:t>
      </w:r>
      <w:r w:rsidR="00D62C5E" w:rsidRPr="00D75450">
        <w:rPr>
          <w:rFonts w:ascii="Palatino Linotype" w:eastAsia="Palatino Linotype" w:hAnsi="Palatino Linotype" w:cs="Palatino Linotype"/>
          <w:color w:val="000000"/>
        </w:rPr>
        <w:t>R</w:t>
      </w:r>
      <w:r w:rsidRPr="00D75450">
        <w:rPr>
          <w:rFonts w:ascii="Palatino Linotype" w:eastAsia="Palatino Linotype" w:hAnsi="Palatino Linotype" w:cs="Palatino Linotype"/>
          <w:color w:val="000000"/>
        </w:rPr>
        <w:t xml:space="preserve">ecurso de </w:t>
      </w:r>
      <w:r w:rsidR="00D62C5E" w:rsidRPr="00D75450">
        <w:rPr>
          <w:rFonts w:ascii="Palatino Linotype" w:eastAsia="Palatino Linotype" w:hAnsi="Palatino Linotype" w:cs="Palatino Linotype"/>
          <w:color w:val="000000"/>
        </w:rPr>
        <w:t>R</w:t>
      </w:r>
      <w:r w:rsidRPr="00D75450">
        <w:rPr>
          <w:rFonts w:ascii="Palatino Linotype" w:eastAsia="Palatino Linotype" w:hAnsi="Palatino Linotype" w:cs="Palatino Linotype"/>
          <w:color w:val="000000"/>
        </w:rPr>
        <w:t xml:space="preserve">evisión se </w:t>
      </w:r>
      <w:r w:rsidRPr="00D75450">
        <w:rPr>
          <w:rFonts w:ascii="Palatino Linotype" w:eastAsia="Palatino Linotype" w:hAnsi="Palatino Linotype" w:cs="Palatino Linotype"/>
        </w:rPr>
        <w:t>abocará</w:t>
      </w:r>
      <w:r w:rsidRPr="00D75450">
        <w:rPr>
          <w:rFonts w:ascii="Palatino Linotype" w:eastAsia="Palatino Linotype" w:hAnsi="Palatino Linotype" w:cs="Palatino Linotype"/>
          <w:color w:val="000000"/>
        </w:rPr>
        <w:t xml:space="preserve"> en determinar si el </w:t>
      </w:r>
      <w:r w:rsidRPr="00D75450">
        <w:rPr>
          <w:rFonts w:ascii="Palatino Linotype" w:eastAsia="Palatino Linotype" w:hAnsi="Palatino Linotype" w:cs="Palatino Linotype"/>
          <w:b/>
          <w:color w:val="000000"/>
        </w:rPr>
        <w:t>SUJETO</w:t>
      </w:r>
      <w:r w:rsidRPr="00D75450">
        <w:rPr>
          <w:rFonts w:ascii="Palatino Linotype" w:eastAsia="Palatino Linotype" w:hAnsi="Palatino Linotype" w:cs="Palatino Linotype"/>
          <w:color w:val="000000"/>
        </w:rPr>
        <w:t xml:space="preserve"> </w:t>
      </w:r>
      <w:r w:rsidRPr="00D75450">
        <w:rPr>
          <w:rFonts w:ascii="Palatino Linotype" w:eastAsia="Palatino Linotype" w:hAnsi="Palatino Linotype" w:cs="Palatino Linotype"/>
          <w:b/>
          <w:color w:val="000000"/>
        </w:rPr>
        <w:t>OBLIGADO</w:t>
      </w:r>
      <w:r w:rsidRPr="00D75450">
        <w:rPr>
          <w:rFonts w:ascii="Palatino Linotype" w:eastAsia="Palatino Linotype" w:hAnsi="Palatino Linotype" w:cs="Palatino Linotype"/>
          <w:color w:val="000000"/>
        </w:rPr>
        <w:t xml:space="preserve"> con su respuesta ciertamente actualiza la causal de procedencia</w:t>
      </w:r>
      <w:r w:rsidRPr="00D75450">
        <w:rPr>
          <w:rFonts w:ascii="Palatino Linotype" w:eastAsia="Palatino Linotype" w:hAnsi="Palatino Linotype" w:cs="Palatino Linotype"/>
          <w:b/>
          <w:color w:val="000000"/>
        </w:rPr>
        <w:t xml:space="preserve"> </w:t>
      </w:r>
      <w:r w:rsidRPr="00D75450">
        <w:rPr>
          <w:rFonts w:ascii="Palatino Linotype" w:eastAsia="Palatino Linotype" w:hAnsi="Palatino Linotype" w:cs="Palatino Linotype"/>
          <w:color w:val="000000"/>
        </w:rPr>
        <w:t xml:space="preserve">antes señalada. </w:t>
      </w:r>
    </w:p>
    <w:p w:rsidR="00E31311" w:rsidRPr="00D75450" w:rsidRDefault="00E31311" w:rsidP="00B422AB">
      <w:pPr>
        <w:spacing w:line="360" w:lineRule="auto"/>
        <w:jc w:val="both"/>
        <w:rPr>
          <w:rFonts w:ascii="Palatino Linotype" w:eastAsia="Palatino Linotype" w:hAnsi="Palatino Linotype" w:cs="Palatino Linotype"/>
          <w:color w:val="000000"/>
        </w:rPr>
      </w:pPr>
    </w:p>
    <w:p w:rsidR="00E31311" w:rsidRPr="00D75450" w:rsidRDefault="00DF6EAE" w:rsidP="00B422AB">
      <w:pPr>
        <w:pStyle w:val="Ttulo2"/>
        <w:spacing w:before="0" w:line="360" w:lineRule="auto"/>
        <w:rPr>
          <w:rFonts w:ascii="Palatino Linotype" w:eastAsia="Palatino Linotype" w:hAnsi="Palatino Linotype" w:cs="Palatino Linotype"/>
          <w:b/>
          <w:color w:val="000000"/>
          <w:sz w:val="24"/>
          <w:szCs w:val="24"/>
        </w:rPr>
      </w:pPr>
      <w:bookmarkStart w:id="7" w:name="_heading=h.3dy6vkm" w:colFirst="0" w:colLast="0"/>
      <w:bookmarkEnd w:id="7"/>
      <w:r w:rsidRPr="00D75450">
        <w:rPr>
          <w:rFonts w:ascii="Palatino Linotype" w:eastAsia="Palatino Linotype" w:hAnsi="Palatino Linotype" w:cs="Palatino Linotype"/>
          <w:b/>
          <w:color w:val="000000"/>
          <w:sz w:val="24"/>
          <w:szCs w:val="24"/>
        </w:rPr>
        <w:lastRenderedPageBreak/>
        <w:t>CUARTO. Del estudio y resolución del asunto.</w:t>
      </w:r>
    </w:p>
    <w:p w:rsidR="006B1EE0" w:rsidRPr="00D75450" w:rsidRDefault="006B1EE0"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w:t>
      </w:r>
      <w:r w:rsidRPr="00D75450">
        <w:rPr>
          <w:rFonts w:ascii="Palatino Linotype" w:eastAsia="Palatino Linotype" w:hAnsi="Palatino Linotype" w:cs="Palatino Linotype"/>
          <w:color w:val="000000"/>
        </w:rPr>
        <w:t>determina</w:t>
      </w:r>
      <w:r w:rsidRPr="00D75450">
        <w:rPr>
          <w:rFonts w:ascii="Palatino Linotype" w:eastAsia="Palatino Linotype" w:hAnsi="Palatino Linotype" w:cs="Palatino Linotype"/>
        </w:rPr>
        <w:t>,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6B1EE0" w:rsidRPr="00D75450" w:rsidRDefault="006B1EE0" w:rsidP="00B422AB">
      <w:pPr>
        <w:spacing w:line="360" w:lineRule="auto"/>
        <w:ind w:right="-929"/>
        <w:jc w:val="both"/>
        <w:rPr>
          <w:rFonts w:ascii="Palatino Linotype" w:eastAsia="Palatino Linotype" w:hAnsi="Palatino Linotype" w:cs="Palatino Linotype"/>
        </w:rPr>
      </w:pPr>
    </w:p>
    <w:p w:rsidR="006B1EE0" w:rsidRPr="00D75450" w:rsidRDefault="006B1EE0"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6B1EE0" w:rsidRPr="00D75450" w:rsidRDefault="006B1EE0" w:rsidP="00B422AB">
      <w:pPr>
        <w:pBdr>
          <w:top w:val="nil"/>
          <w:left w:val="nil"/>
          <w:bottom w:val="nil"/>
          <w:right w:val="nil"/>
          <w:between w:val="nil"/>
        </w:pBdr>
        <w:spacing w:line="360" w:lineRule="auto"/>
        <w:ind w:left="720" w:right="-929"/>
        <w:rPr>
          <w:rFonts w:ascii="Palatino Linotype" w:eastAsia="Palatino Linotype" w:hAnsi="Palatino Linotype" w:cs="Palatino Linotype"/>
          <w:color w:val="000000"/>
        </w:rPr>
      </w:pPr>
    </w:p>
    <w:p w:rsidR="006B1EE0" w:rsidRPr="00D75450" w:rsidRDefault="006B1EE0"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 xml:space="preserve">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w:t>
      </w:r>
      <w:r w:rsidRPr="00D75450">
        <w:rPr>
          <w:rFonts w:ascii="Palatino Linotype" w:eastAsia="Palatino Linotype" w:hAnsi="Palatino Linotype" w:cs="Palatino Linotype"/>
        </w:rPr>
        <w:lastRenderedPageBreak/>
        <w:t>información, siempre y cuando no encuadre en una de las excepciones contempladas por la ley.</w:t>
      </w:r>
    </w:p>
    <w:p w:rsidR="005B0623" w:rsidRPr="00D75450" w:rsidRDefault="005B0623" w:rsidP="00B422AB">
      <w:pPr>
        <w:pStyle w:val="Prrafodelista"/>
        <w:spacing w:line="360" w:lineRule="auto"/>
        <w:rPr>
          <w:rFonts w:ascii="Palatino Linotype" w:eastAsia="Palatino Linotype" w:hAnsi="Palatino Linotype" w:cs="Palatino Linotype"/>
        </w:rPr>
      </w:pPr>
    </w:p>
    <w:p w:rsidR="00650B28" w:rsidRPr="00D75450" w:rsidRDefault="006B1EE0"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 xml:space="preserve">Una vez sentado lo anterior, resulta oportuno </w:t>
      </w:r>
      <w:r w:rsidR="00014868" w:rsidRPr="00D75450">
        <w:rPr>
          <w:rFonts w:ascii="Palatino Linotype" w:eastAsia="Palatino Linotype" w:hAnsi="Palatino Linotype" w:cs="Palatino Linotype"/>
        </w:rPr>
        <w:t xml:space="preserve">recordar </w:t>
      </w:r>
      <w:r w:rsidR="00907C8F" w:rsidRPr="00D75450">
        <w:rPr>
          <w:rFonts w:ascii="Palatino Linotype" w:eastAsia="Palatino Linotype" w:hAnsi="Palatino Linotype" w:cs="Palatino Linotype"/>
        </w:rPr>
        <w:t>los motivos de inconformidad; toda vez que estos son tendientes a impugnar únicamente la parte relativa a la autorización, consintiendo el rubro tocante al proyecto de obra.</w:t>
      </w:r>
    </w:p>
    <w:p w:rsidR="00605B20" w:rsidRPr="00D75450" w:rsidRDefault="00605B20" w:rsidP="00B422AB">
      <w:pPr>
        <w:pStyle w:val="Prrafodelista"/>
        <w:spacing w:line="360" w:lineRule="auto"/>
        <w:rPr>
          <w:rFonts w:ascii="Palatino Linotype" w:eastAsia="Palatino Linotype" w:hAnsi="Palatino Linotype" w:cs="Palatino Linotype"/>
        </w:rPr>
      </w:pPr>
    </w:p>
    <w:p w:rsidR="00605B20" w:rsidRPr="00D75450" w:rsidRDefault="00605B20"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 xml:space="preserve">De tal forma que, la parte de la solicitud que no fue impugnada debe declararse consentida, toda vez que al no realizar manifestaciones de inconformidad; no pueden producirse efectos jurídicos tendentes a revocar, confirmar o modificar el acto reclamado, ya que no realizó manifestación alguna al respecto. </w:t>
      </w:r>
    </w:p>
    <w:p w:rsidR="00605B20" w:rsidRPr="00D75450" w:rsidRDefault="00605B20" w:rsidP="00B422AB">
      <w:pPr>
        <w:pStyle w:val="Prrafodelista"/>
        <w:spacing w:line="360" w:lineRule="auto"/>
        <w:rPr>
          <w:rFonts w:ascii="Palatino Linotype" w:eastAsia="Palatino Linotype" w:hAnsi="Palatino Linotype" w:cs="Palatino Linotype"/>
        </w:rPr>
      </w:pPr>
    </w:p>
    <w:p w:rsidR="00605B20" w:rsidRPr="00D75450" w:rsidRDefault="00605B20"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Sirve de sustento, la tesis jurisprudencial número VI.3o.C. J/60, publicada en el Semanario Judicial de la Federación y su Gaceta bajo el número de registro 176,608 que a la letra dice:</w:t>
      </w:r>
    </w:p>
    <w:p w:rsidR="00605B20" w:rsidRPr="00D75450" w:rsidRDefault="00605B20" w:rsidP="00B422AB">
      <w:pPr>
        <w:tabs>
          <w:tab w:val="left" w:pos="851"/>
        </w:tabs>
        <w:spacing w:line="360" w:lineRule="auto"/>
        <w:ind w:left="851" w:right="616"/>
        <w:jc w:val="both"/>
        <w:rPr>
          <w:rFonts w:ascii="Palatino Linotype" w:eastAsia="Palatino Linotype" w:hAnsi="Palatino Linotype" w:cs="Palatino Linotype"/>
          <w:i/>
        </w:rPr>
      </w:pPr>
      <w:r w:rsidRPr="00D75450">
        <w:rPr>
          <w:rFonts w:ascii="Palatino Linotype" w:eastAsia="Palatino Linotype" w:hAnsi="Palatino Linotype" w:cs="Palatino Linotype"/>
          <w:b/>
          <w:i/>
        </w:rPr>
        <w:t xml:space="preserve">“ACTOS CONSENTIDOS. SON LOS QUE NO SE IMPUGNAN MEDIANTE EL RECURSO IDÓNEO. </w:t>
      </w:r>
      <w:r w:rsidRPr="00D75450">
        <w:rPr>
          <w:rFonts w:ascii="Palatino Linotype" w:eastAsia="Palatino Linotype" w:hAnsi="Palatino Linotype" w:cs="Palatino Linotype"/>
          <w:i/>
        </w:rPr>
        <w:t>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605B20" w:rsidRPr="00D75450" w:rsidRDefault="00605B20" w:rsidP="00B422AB">
      <w:pPr>
        <w:tabs>
          <w:tab w:val="left" w:pos="851"/>
        </w:tabs>
        <w:spacing w:line="360" w:lineRule="auto"/>
        <w:ind w:left="851" w:right="616"/>
        <w:jc w:val="both"/>
        <w:rPr>
          <w:rFonts w:ascii="Palatino Linotype" w:eastAsia="Palatino Linotype" w:hAnsi="Palatino Linotype" w:cs="Palatino Linotype"/>
          <w:i/>
        </w:rPr>
      </w:pPr>
    </w:p>
    <w:p w:rsidR="00D75450" w:rsidRDefault="00605B20" w:rsidP="00D75450">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 xml:space="preserve">De la interpretación del criterio antes citado, se advierte que cuando el particular impugnó la respuesta del </w:t>
      </w:r>
      <w:r w:rsidRPr="00D75450">
        <w:rPr>
          <w:rFonts w:ascii="Palatino Linotype" w:eastAsia="Palatino Linotype" w:hAnsi="Palatino Linotype" w:cs="Palatino Linotype"/>
          <w:b/>
        </w:rPr>
        <w:t>SUJETO OBLIGADO</w:t>
      </w:r>
      <w:r w:rsidRPr="00D75450">
        <w:rPr>
          <w:rFonts w:ascii="Palatino Linotype" w:eastAsia="Palatino Linotype" w:hAnsi="Palatino Linotype" w:cs="Palatino Linotype"/>
        </w:rPr>
        <w:t xml:space="preserve">, no expresó razón o motivo de inconformidad </w:t>
      </w:r>
      <w:r w:rsidRPr="00D75450">
        <w:rPr>
          <w:rFonts w:ascii="Palatino Linotype" w:eastAsia="Palatino Linotype" w:hAnsi="Palatino Linotype" w:cs="Palatino Linotype"/>
        </w:rPr>
        <w:lastRenderedPageBreak/>
        <w:t xml:space="preserve">en contra de todos los rubros solicitados, por tanto estos deben declararse atendidos, pues se entiende que </w:t>
      </w:r>
      <w:r w:rsidRPr="00D75450">
        <w:rPr>
          <w:rFonts w:ascii="Palatino Linotype" w:eastAsia="Palatino Linotype" w:hAnsi="Palatino Linotype" w:cs="Palatino Linotype"/>
          <w:b/>
        </w:rPr>
        <w:t>EL RECURRENTE</w:t>
      </w:r>
      <w:r w:rsidRPr="00D75450">
        <w:rPr>
          <w:rFonts w:ascii="Palatino Linotype" w:eastAsia="Palatino Linotype" w:hAnsi="Palatino Linotype" w:cs="Palatino Linotype"/>
        </w:rPr>
        <w:t xml:space="preserve"> está conforme con la respuesta proporcionada por </w:t>
      </w:r>
      <w:r w:rsidRPr="00D75450">
        <w:rPr>
          <w:rFonts w:ascii="Palatino Linotype" w:eastAsia="Palatino Linotype" w:hAnsi="Palatino Linotype" w:cs="Palatino Linotype"/>
          <w:b/>
        </w:rPr>
        <w:t>EL SUJETO OBLIGADO,</w:t>
      </w:r>
      <w:r w:rsidRPr="00D75450">
        <w:rPr>
          <w:rFonts w:ascii="Palatino Linotype" w:eastAsia="Palatino Linotype" w:hAnsi="Palatino Linotype" w:cs="Palatino Linotype"/>
        </w:rPr>
        <w:t xml:space="preserve"> al no contravenir la misma. </w:t>
      </w:r>
    </w:p>
    <w:p w:rsidR="00D75450" w:rsidRPr="00D75450" w:rsidRDefault="00D75450" w:rsidP="00D75450">
      <w:pPr>
        <w:spacing w:line="360" w:lineRule="auto"/>
        <w:jc w:val="both"/>
        <w:rPr>
          <w:rFonts w:ascii="Palatino Linotype" w:eastAsia="Palatino Linotype" w:hAnsi="Palatino Linotype" w:cs="Palatino Linotype"/>
        </w:rPr>
      </w:pPr>
    </w:p>
    <w:p w:rsidR="00605B20" w:rsidRPr="00D75450" w:rsidRDefault="00605B20"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Atento a ello, es importante traer a contexto la Tesis Jurisprudencial Número 3ª./J.7/91, Publicada en el Semanario Judicial de la Federación y su Gaceta bajo el número de registro 174,177, que establece lo siguiente:</w:t>
      </w:r>
    </w:p>
    <w:p w:rsidR="00605B20" w:rsidRPr="00D75450" w:rsidRDefault="00605B20" w:rsidP="00B422AB">
      <w:pPr>
        <w:tabs>
          <w:tab w:val="left" w:pos="7937"/>
          <w:tab w:val="left" w:pos="8222"/>
        </w:tabs>
        <w:spacing w:line="360" w:lineRule="auto"/>
        <w:ind w:left="851" w:right="901"/>
        <w:jc w:val="both"/>
        <w:rPr>
          <w:rFonts w:ascii="Palatino Linotype" w:eastAsia="Palatino Linotype" w:hAnsi="Palatino Linotype" w:cs="Palatino Linotype"/>
          <w:i/>
        </w:rPr>
      </w:pPr>
      <w:r w:rsidRPr="00D75450">
        <w:rPr>
          <w:rFonts w:ascii="Palatino Linotype" w:eastAsia="Palatino Linotype" w:hAnsi="Palatino Linotype" w:cs="Palatino Linotype"/>
          <w:b/>
          <w:i/>
        </w:rPr>
        <w:t xml:space="preserve">“REVISIÓN EN AMPARO. LOS RESOLUTIVOS NO COMBATIDOS DEBEN DECLARARSE FIRMES. </w:t>
      </w:r>
      <w:r w:rsidRPr="00D75450">
        <w:rPr>
          <w:rFonts w:ascii="Palatino Linotype" w:eastAsia="Palatino Linotype" w:hAnsi="Palatino Linotype" w:cs="Palatino Linotype"/>
          <w:i/>
        </w:rPr>
        <w:t>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605B20" w:rsidRPr="00D75450" w:rsidRDefault="00605B20" w:rsidP="00B422AB">
      <w:pPr>
        <w:tabs>
          <w:tab w:val="left" w:pos="7937"/>
          <w:tab w:val="left" w:pos="8222"/>
        </w:tabs>
        <w:spacing w:line="360" w:lineRule="auto"/>
        <w:ind w:left="851" w:right="901"/>
        <w:jc w:val="both"/>
        <w:rPr>
          <w:rFonts w:ascii="Palatino Linotype" w:eastAsia="Palatino Linotype" w:hAnsi="Palatino Linotype" w:cs="Palatino Linotype"/>
          <w:i/>
        </w:rPr>
      </w:pPr>
    </w:p>
    <w:p w:rsidR="00605B20" w:rsidRPr="00D75450" w:rsidRDefault="00605B20"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 xml:space="preserve">En consecuencia que los demás fundamentos remitidos en respuesta. Se consideran un acto consentido y, en consecuencia, este Órgano Resolutor no entrará al estudio del mismo por las razones hasta aquí expuestas. </w:t>
      </w:r>
    </w:p>
    <w:p w:rsidR="00605B20" w:rsidRPr="00D75450" w:rsidRDefault="00605B20" w:rsidP="00B422AB">
      <w:pPr>
        <w:spacing w:line="360" w:lineRule="auto"/>
        <w:jc w:val="both"/>
        <w:rPr>
          <w:rFonts w:ascii="Palatino Linotype" w:eastAsia="Palatino Linotype" w:hAnsi="Palatino Linotype" w:cs="Palatino Linotype"/>
        </w:rPr>
      </w:pPr>
    </w:p>
    <w:p w:rsidR="008A54F3" w:rsidRPr="00D75450" w:rsidRDefault="00605B20" w:rsidP="00B422AB">
      <w:pPr>
        <w:numPr>
          <w:ilvl w:val="0"/>
          <w:numId w:val="3"/>
        </w:numPr>
        <w:spacing w:line="360" w:lineRule="auto"/>
        <w:ind w:left="0" w:firstLine="0"/>
        <w:jc w:val="both"/>
        <w:rPr>
          <w:rFonts w:ascii="Palatino Linotype" w:hAnsi="Palatino Linotype"/>
          <w:b/>
          <w:color w:val="000000"/>
        </w:rPr>
      </w:pPr>
      <w:r w:rsidRPr="00D75450">
        <w:rPr>
          <w:rFonts w:ascii="Palatino Linotype" w:eastAsia="Palatino Linotype" w:hAnsi="Palatino Linotype" w:cs="Palatino Linotype"/>
        </w:rPr>
        <w:t>Ahora bie</w:t>
      </w:r>
      <w:r w:rsidR="00FF4915" w:rsidRPr="00D75450">
        <w:rPr>
          <w:rFonts w:ascii="Palatino Linotype" w:eastAsia="Palatino Linotype" w:hAnsi="Palatino Linotype" w:cs="Palatino Linotype"/>
        </w:rPr>
        <w:t xml:space="preserve">n, respecto del rubro combatido, se emitió un pronunciamiento por el área de la Dirección de Administración y Finanzas y Gestión Documental, en el sentido de no localizar registro alguno respecto de lo solicitado. De lo anterior es dable primeramente señalar que </w:t>
      </w:r>
      <w:r w:rsidR="00A90367" w:rsidRPr="00D75450">
        <w:rPr>
          <w:rFonts w:ascii="Palatino Linotype" w:eastAsia="Palatino Linotype" w:hAnsi="Palatino Linotype" w:cs="Palatino Linotype"/>
        </w:rPr>
        <w:t xml:space="preserve">de </w:t>
      </w:r>
      <w:r w:rsidR="00A90367" w:rsidRPr="00D75450">
        <w:rPr>
          <w:rFonts w:ascii="Palatino Linotype" w:eastAsia="Palatino Linotype" w:hAnsi="Palatino Linotype" w:cs="Palatino Linotype"/>
        </w:rPr>
        <w:lastRenderedPageBreak/>
        <w:t xml:space="preserve">dicha contestación </w:t>
      </w:r>
      <w:r w:rsidR="008A54F3" w:rsidRPr="00D75450">
        <w:rPr>
          <w:rFonts w:ascii="Palatino Linotype" w:eastAsia="Palatino Linotype" w:hAnsi="Palatino Linotype" w:cs="Palatino Linotype"/>
        </w:rPr>
        <w:t xml:space="preserve">es de explorado derecho que este Órgano Garante carece de facultades para dudar de la veracidad de la respuesta emitida. </w:t>
      </w:r>
      <w:r w:rsidR="008A54F3" w:rsidRPr="00D75450">
        <w:rPr>
          <w:rFonts w:ascii="Palatino Linotype" w:hAnsi="Palatino Linotype" w:cs="Arial"/>
        </w:rPr>
        <w:t xml:space="preserve">Por lo anterior resulta necesario puntualizar con claridad que éste Órgano Garante no está facultado para pronunciarse sobre la veracidad de la información que los Sujetos Obligados ponen a disposición de los solicitantes; situación que se aleja de las atribuciones de este Instituto </w:t>
      </w:r>
      <w:r w:rsidR="008A54F3" w:rsidRPr="00D75450">
        <w:rPr>
          <w:rFonts w:ascii="Palatino Linotype" w:hAnsi="Palatino Linotype"/>
          <w:i/>
          <w:color w:val="000000"/>
        </w:rPr>
        <w:t>máxime</w:t>
      </w:r>
      <w:r w:rsidR="008A54F3" w:rsidRPr="00D75450">
        <w:rPr>
          <w:rFonts w:ascii="Palatino Linotype" w:hAnsi="Palatino Linotype"/>
          <w:color w:val="000000"/>
        </w:rPr>
        <w:t xml:space="preserve"> que </w:t>
      </w:r>
      <w:r w:rsidR="008A54F3" w:rsidRPr="00D75450">
        <w:rPr>
          <w:rFonts w:ascii="Palatino Linotype" w:hAnsi="Palatino Linotype"/>
          <w:b/>
          <w:color w:val="000000"/>
          <w:u w:val="single"/>
        </w:rPr>
        <w:t>al momento que ponen a disposición ésta, la misma tiene el carácter oficial y se presume veraz, tan es así que la misma queda registrada en el Sistema de Acceso a la Información Mexiquense (SAIMEX).</w:t>
      </w:r>
    </w:p>
    <w:p w:rsidR="008A54F3" w:rsidRPr="00D75450" w:rsidRDefault="008A54F3" w:rsidP="00B422AB">
      <w:pPr>
        <w:pStyle w:val="Default"/>
        <w:spacing w:line="360" w:lineRule="auto"/>
        <w:ind w:left="851" w:right="850"/>
        <w:jc w:val="both"/>
        <w:rPr>
          <w:rFonts w:ascii="Palatino Linotype" w:hAnsi="Palatino Linotype"/>
          <w:i/>
        </w:rPr>
      </w:pPr>
    </w:p>
    <w:p w:rsidR="008A54F3" w:rsidRPr="00D75450" w:rsidRDefault="008A54F3" w:rsidP="00B422AB">
      <w:pPr>
        <w:numPr>
          <w:ilvl w:val="0"/>
          <w:numId w:val="3"/>
        </w:numPr>
        <w:spacing w:line="360" w:lineRule="auto"/>
        <w:ind w:left="0" w:firstLine="0"/>
        <w:jc w:val="both"/>
        <w:rPr>
          <w:rFonts w:ascii="Palatino Linotype" w:hAnsi="Palatino Linotype" w:cs="Arial"/>
        </w:rPr>
      </w:pPr>
      <w:r w:rsidRPr="00D75450">
        <w:rPr>
          <w:rFonts w:ascii="Palatino Linotype" w:hAnsi="Palatino Linotype" w:cs="Arial"/>
        </w:rPr>
        <w:t xml:space="preserve">Así mismo, la </w:t>
      </w:r>
      <w:r w:rsidRPr="00D75450">
        <w:rPr>
          <w:rFonts w:ascii="Palatino Linotype" w:hAnsi="Palatino Linotype" w:cs="Arial"/>
          <w:b/>
        </w:rPr>
        <w:t>Ley de Transparencia y Acceso a la Información Pública del Estado de México y Municipios</w:t>
      </w:r>
      <w:r w:rsidRPr="00D75450">
        <w:rPr>
          <w:rFonts w:ascii="Palatino Linotype" w:hAnsi="Palatino Linotype" w:cs="Arial"/>
        </w:rPr>
        <w:t xml:space="preserve">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8A54F3" w:rsidRPr="00D75450" w:rsidRDefault="008A54F3" w:rsidP="00B422AB">
      <w:pPr>
        <w:pStyle w:val="Prrafodelista"/>
        <w:spacing w:line="360" w:lineRule="auto"/>
        <w:ind w:left="644" w:right="902"/>
        <w:jc w:val="both"/>
        <w:rPr>
          <w:rFonts w:ascii="Palatino Linotype" w:hAnsi="Palatino Linotype" w:cs="Arial"/>
          <w:b/>
          <w:i/>
        </w:rPr>
      </w:pPr>
      <w:r w:rsidRPr="00D75450">
        <w:rPr>
          <w:rFonts w:ascii="Palatino Linotype" w:hAnsi="Palatino Linotype" w:cs="Arial"/>
          <w:i/>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D75450">
        <w:rPr>
          <w:rFonts w:ascii="Palatino Linotype" w:hAnsi="Palatino Linotype" w:cs="Arial"/>
          <w:b/>
          <w:i/>
        </w:rPr>
        <w:t>Los Sujetos Obligados deben poner en práctica, políticas y programas de acceso a la información que se apeguen a criterios de publicidad, veracidad, oportunidad, precisión y suficiencia en beneficio de los solicitantes.</w:t>
      </w:r>
    </w:p>
    <w:p w:rsidR="008A54F3" w:rsidRPr="00D75450" w:rsidRDefault="008A54F3" w:rsidP="00B422AB">
      <w:pPr>
        <w:spacing w:line="360" w:lineRule="auto"/>
        <w:ind w:right="902"/>
        <w:jc w:val="both"/>
        <w:rPr>
          <w:rFonts w:ascii="Palatino Linotype" w:hAnsi="Palatino Linotype" w:cs="Arial"/>
          <w:b/>
          <w:i/>
        </w:rPr>
      </w:pPr>
    </w:p>
    <w:p w:rsidR="008A54F3" w:rsidRPr="00D75450" w:rsidRDefault="008A54F3" w:rsidP="00B422AB">
      <w:pPr>
        <w:numPr>
          <w:ilvl w:val="0"/>
          <w:numId w:val="3"/>
        </w:numPr>
        <w:spacing w:line="360" w:lineRule="auto"/>
        <w:ind w:left="0" w:firstLine="0"/>
        <w:jc w:val="both"/>
        <w:rPr>
          <w:rFonts w:ascii="Palatino Linotype" w:hAnsi="Palatino Linotype" w:cs="Arial"/>
          <w:noProof/>
        </w:rPr>
      </w:pPr>
      <w:r w:rsidRPr="00D75450">
        <w:rPr>
          <w:rFonts w:ascii="Palatino Linotype" w:hAnsi="Palatino Linotype" w:cs="Arial"/>
          <w:noProof/>
        </w:rPr>
        <w:t xml:space="preserve">Numerales que compelen al </w:t>
      </w:r>
      <w:r w:rsidRPr="00D75450">
        <w:rPr>
          <w:rFonts w:ascii="Palatino Linotype" w:hAnsi="Palatino Linotype" w:cs="Arial"/>
          <w:b/>
          <w:noProof/>
        </w:rPr>
        <w:t>SUJETO OBLIGADO</w:t>
      </w:r>
      <w:r w:rsidRPr="00D75450">
        <w:rPr>
          <w:rFonts w:ascii="Palatino Linotype" w:hAnsi="Palatino Linotype" w:cs="Arial"/>
          <w:noProof/>
        </w:rPr>
        <w:t xml:space="preserve"> a apegarse en todo momento a los </w:t>
      </w:r>
      <w:r w:rsidRPr="00D75450">
        <w:rPr>
          <w:rFonts w:ascii="Palatino Linotype" w:hAnsi="Palatino Linotype" w:cs="Arial"/>
        </w:rPr>
        <w:t>criterios</w:t>
      </w:r>
      <w:r w:rsidRPr="00D75450">
        <w:rPr>
          <w:rFonts w:ascii="Palatino Linotype" w:hAnsi="Palatino Linotype" w:cs="Arial"/>
          <w:noProof/>
        </w:rPr>
        <w:t xml:space="preserve"> ya expuestos, imipidiendo a este Órgano Colegiado cuestionar la veracidad de la información. En ese contexto, en razón del artículo 166 de la Ley de Transparencia y Acceso a </w:t>
      </w:r>
      <w:r w:rsidRPr="00D75450">
        <w:rPr>
          <w:rFonts w:ascii="Palatino Linotype" w:hAnsi="Palatino Linotype" w:cs="Arial"/>
          <w:noProof/>
        </w:rPr>
        <w:lastRenderedPageBreak/>
        <w:t>la Información Pública del Estado de México y Municipios, que establece que la obligación de acceso a la información pública se tendrá por cumplida cuando el solicitante tenga a su disposición la información requerida, se tiene por colmado el derecho de acceso a la información pública del particular</w:t>
      </w:r>
      <w:r w:rsidRPr="00D75450">
        <w:rPr>
          <w:rFonts w:ascii="Palatino Linotype" w:eastAsia="MS Gothic" w:hAnsi="Palatino Linotype" w:cstheme="majorBidi"/>
        </w:rPr>
        <w:t>.</w:t>
      </w:r>
    </w:p>
    <w:p w:rsidR="008A54F3" w:rsidRPr="00D75450" w:rsidRDefault="008A54F3" w:rsidP="00B422AB">
      <w:pPr>
        <w:spacing w:line="360" w:lineRule="auto"/>
        <w:jc w:val="both"/>
        <w:rPr>
          <w:rFonts w:ascii="Palatino Linotype" w:hAnsi="Palatino Linotype" w:cs="Arial"/>
          <w:noProof/>
        </w:rPr>
      </w:pPr>
    </w:p>
    <w:p w:rsidR="004D3DAC" w:rsidRPr="00D75450" w:rsidRDefault="008A54F3" w:rsidP="00B422AB">
      <w:pPr>
        <w:numPr>
          <w:ilvl w:val="0"/>
          <w:numId w:val="3"/>
        </w:numPr>
        <w:spacing w:line="360" w:lineRule="auto"/>
        <w:ind w:left="0" w:firstLine="0"/>
        <w:jc w:val="both"/>
        <w:rPr>
          <w:rFonts w:ascii="Palatino Linotype" w:hAnsi="Palatino Linotype" w:cs="Arial"/>
        </w:rPr>
      </w:pPr>
      <w:r w:rsidRPr="00D75450">
        <w:rPr>
          <w:rFonts w:ascii="Palatino Linotype" w:eastAsia="Palatino Linotype" w:hAnsi="Palatino Linotype" w:cs="Palatino Linotype"/>
        </w:rPr>
        <w:t>Otro aspecto relevante que resulta de dicha contestación, es que se actualiza un hecho negativo</w:t>
      </w:r>
      <w:r w:rsidR="004D3DAC" w:rsidRPr="00D75450">
        <w:rPr>
          <w:rFonts w:ascii="Palatino Linotype" w:eastAsia="Palatino Linotype" w:hAnsi="Palatino Linotype" w:cs="Palatino Linotype"/>
        </w:rPr>
        <w:t xml:space="preserve">; </w:t>
      </w:r>
      <w:r w:rsidR="004D3DAC" w:rsidRPr="00D75450">
        <w:rPr>
          <w:rFonts w:ascii="Palatino Linotype" w:hAnsi="Palatino Linotype" w:cs="Arial"/>
          <w:lang w:eastAsia="es-MX"/>
        </w:rPr>
        <w:t>toda vez que</w:t>
      </w:r>
      <w:r w:rsidR="00B422AB" w:rsidRPr="00D75450">
        <w:rPr>
          <w:rFonts w:ascii="Palatino Linotype" w:hAnsi="Palatino Linotype" w:cs="Arial"/>
          <w:lang w:eastAsia="es-MX"/>
        </w:rPr>
        <w:t xml:space="preserve"> se aduce que el </w:t>
      </w:r>
      <w:r w:rsidR="00B422AB" w:rsidRPr="00D75450">
        <w:rPr>
          <w:rFonts w:ascii="Palatino Linotype" w:hAnsi="Palatino Linotype" w:cs="Arial"/>
          <w:b/>
          <w:lang w:eastAsia="es-MX"/>
        </w:rPr>
        <w:t>SUJETO OBLIGADO</w:t>
      </w:r>
      <w:r w:rsidR="004D3DAC" w:rsidRPr="00D75450">
        <w:rPr>
          <w:rFonts w:ascii="Palatino Linotype" w:hAnsi="Palatino Linotype" w:cs="Arial"/>
          <w:lang w:eastAsia="es-MX"/>
        </w:rPr>
        <w:t xml:space="preserve"> no posee, administra ni genera la información requerida por el particular,</w:t>
      </w:r>
      <w:r w:rsidR="004D3DAC" w:rsidRPr="00D75450">
        <w:rPr>
          <w:rFonts w:ascii="Palatino Linotype" w:hAnsi="Palatino Linotype" w:cs="Times New Roman"/>
        </w:rPr>
        <w:t xml:space="preserve"> constituye un hecho negativo. Entonces, </w:t>
      </w:r>
      <w:r w:rsidR="004D3DAC" w:rsidRPr="00D75450">
        <w:rPr>
          <w:rFonts w:ascii="Palatino Linotype" w:hAnsi="Palatino Linotype" w:cs="Arial"/>
        </w:rPr>
        <w:t xml:space="preserve">si se considera el hecho negativo, es obvio que éste no puede fácticamente obrar en los archivos del </w:t>
      </w:r>
      <w:r w:rsidR="004D3DAC" w:rsidRPr="00D75450">
        <w:rPr>
          <w:rFonts w:ascii="Palatino Linotype" w:hAnsi="Palatino Linotype" w:cs="Arial"/>
          <w:b/>
        </w:rPr>
        <w:t>SUJETO OBLIGADO</w:t>
      </w:r>
      <w:r w:rsidR="004D3DAC" w:rsidRPr="00D75450">
        <w:rPr>
          <w:rFonts w:ascii="Palatino Linotype" w:hAnsi="Palatino Linotype" w:cs="Arial"/>
        </w:rPr>
        <w:t>, ya que no puede probarse por ser lógica y materialmente imposible.</w:t>
      </w:r>
    </w:p>
    <w:p w:rsidR="004D3DAC" w:rsidRPr="00D75450" w:rsidRDefault="004D3DAC" w:rsidP="00B422AB">
      <w:pPr>
        <w:spacing w:line="360" w:lineRule="auto"/>
        <w:contextualSpacing/>
        <w:jc w:val="both"/>
        <w:rPr>
          <w:rFonts w:ascii="Palatino Linotype" w:hAnsi="Palatino Linotype" w:cs="Arial"/>
        </w:rPr>
      </w:pPr>
    </w:p>
    <w:p w:rsidR="004D3DAC" w:rsidRPr="00D75450" w:rsidRDefault="004D3DAC" w:rsidP="00B422AB">
      <w:pPr>
        <w:numPr>
          <w:ilvl w:val="0"/>
          <w:numId w:val="3"/>
        </w:numPr>
        <w:spacing w:line="360" w:lineRule="auto"/>
        <w:ind w:left="0" w:firstLine="0"/>
        <w:jc w:val="both"/>
        <w:rPr>
          <w:rFonts w:ascii="Palatino Linotype" w:hAnsi="Palatino Linotype" w:cs="Arial"/>
        </w:rPr>
      </w:pPr>
      <w:r w:rsidRPr="00D75450">
        <w:rPr>
          <w:rFonts w:ascii="Palatino Linotype" w:hAnsi="Palatino Linotype" w:cs="Arial"/>
        </w:rPr>
        <w:t xml:space="preserve">Asimismo, no se trata de un caso por el cual la negación del hecho implique la afirmación del </w:t>
      </w:r>
      <w:r w:rsidRPr="00D75450">
        <w:rPr>
          <w:rFonts w:ascii="Palatino Linotype" w:eastAsia="Palatino Linotype" w:hAnsi="Palatino Linotype" w:cs="Palatino Linotype"/>
        </w:rPr>
        <w:t>mismo</w:t>
      </w:r>
      <w:r w:rsidRPr="00D75450">
        <w:rPr>
          <w:rFonts w:ascii="Palatino Linotype" w:hAnsi="Palatino Linotype" w:cs="Arial"/>
        </w:rPr>
        <w:t>, simplemente se está ante una notoria y evidente inexistencia fáctica de la información solicitada.</w:t>
      </w:r>
    </w:p>
    <w:p w:rsidR="004D3DAC" w:rsidRPr="00D75450" w:rsidRDefault="004D3DAC" w:rsidP="00B422AB">
      <w:pPr>
        <w:pStyle w:val="Prrafodelista"/>
        <w:spacing w:line="360" w:lineRule="auto"/>
        <w:rPr>
          <w:rFonts w:ascii="Palatino Linotype" w:hAnsi="Palatino Linotype" w:cs="Arial"/>
        </w:rPr>
      </w:pPr>
    </w:p>
    <w:p w:rsidR="004D3DAC" w:rsidRPr="00D75450" w:rsidRDefault="004D3DAC" w:rsidP="00B422AB">
      <w:pPr>
        <w:numPr>
          <w:ilvl w:val="0"/>
          <w:numId w:val="3"/>
        </w:numPr>
        <w:spacing w:line="360" w:lineRule="auto"/>
        <w:ind w:left="0" w:firstLine="0"/>
        <w:jc w:val="both"/>
        <w:rPr>
          <w:rFonts w:ascii="Palatino Linotype" w:hAnsi="Palatino Linotype" w:cs="Arial"/>
        </w:rPr>
      </w:pPr>
      <w:r w:rsidRPr="00D75450">
        <w:rPr>
          <w:rFonts w:ascii="Palatino Linotype" w:hAnsi="Palatino Linotype" w:cs="Times New Roman"/>
        </w:rPr>
        <w:t xml:space="preserve">Encontrándonos ante un hecho negativo, destacando entonces que el Pleno de este </w:t>
      </w:r>
      <w:r w:rsidRPr="00D75450">
        <w:rPr>
          <w:rFonts w:ascii="Palatino Linotype" w:hAnsi="Palatino Linotype" w:cs="Arial"/>
        </w:rPr>
        <w:t>Organismo</w:t>
      </w:r>
      <w:r w:rsidRPr="00D75450">
        <w:rPr>
          <w:rFonts w:ascii="Palatino Linotype" w:hAnsi="Palatino Linotype" w:cs="Times New Roman"/>
        </w:rPr>
        <w:t xml:space="preserve"> Garante, ha sostenido que ante la presencia de un hecho negativo, resultaría innecesaria una declaratoria de inexistencia en términos de los artículos 19, 169 y 170 de la Ley de Transparencia y Acceso a la Información Pública del Estado de México y Municipios, y ante una hecho negativo resulta aplicable la siguiente tesis:</w:t>
      </w:r>
    </w:p>
    <w:p w:rsidR="004D3DAC" w:rsidRPr="00D75450" w:rsidRDefault="004D3DAC" w:rsidP="00B422AB">
      <w:pPr>
        <w:spacing w:line="360" w:lineRule="auto"/>
        <w:ind w:left="851" w:right="567"/>
        <w:jc w:val="both"/>
        <w:rPr>
          <w:rFonts w:ascii="Palatino Linotype" w:hAnsi="Palatino Linotype" w:cs="Times New Roman"/>
          <w:b/>
          <w:i/>
        </w:rPr>
      </w:pPr>
      <w:r w:rsidRPr="00D75450">
        <w:rPr>
          <w:rFonts w:ascii="Palatino Linotype" w:hAnsi="Palatino Linotype" w:cs="Times New Roman"/>
          <w:b/>
          <w:i/>
        </w:rPr>
        <w:t xml:space="preserve">HECHOS NEGATIVOS, NO SON SUSCEPTIBLES DE DEMOSTRACIÓN. </w:t>
      </w:r>
    </w:p>
    <w:p w:rsidR="004D3DAC" w:rsidRPr="00D75450" w:rsidRDefault="004D3DAC" w:rsidP="00B422AB">
      <w:pPr>
        <w:spacing w:line="360" w:lineRule="auto"/>
        <w:ind w:left="851" w:right="567"/>
        <w:jc w:val="both"/>
        <w:rPr>
          <w:rFonts w:ascii="Palatino Linotype" w:hAnsi="Palatino Linotype" w:cs="Times New Roman"/>
          <w:i/>
        </w:rPr>
      </w:pPr>
      <w:r w:rsidRPr="00D75450">
        <w:rPr>
          <w:rFonts w:ascii="Palatino Linotype" w:hAnsi="Palatino Linotype" w:cs="Times New Roman"/>
          <w:i/>
        </w:rPr>
        <w:t>Tratándose de un hecho negativo, el Juez no tiene por que invocar prueba alguna de la que se desprenda, ya que es bien sabido que esta clase de hechos no son susceptibles de demostración.</w:t>
      </w:r>
    </w:p>
    <w:p w:rsidR="004D3DAC" w:rsidRPr="00D75450" w:rsidRDefault="004D3DAC" w:rsidP="00B422AB">
      <w:pPr>
        <w:spacing w:line="360" w:lineRule="auto"/>
        <w:ind w:left="851" w:right="567"/>
        <w:jc w:val="both"/>
        <w:rPr>
          <w:rFonts w:ascii="Palatino Linotype" w:hAnsi="Palatino Linotype" w:cs="Times New Roman"/>
          <w:i/>
        </w:rPr>
      </w:pPr>
      <w:r w:rsidRPr="00D75450">
        <w:rPr>
          <w:rFonts w:ascii="Palatino Linotype" w:hAnsi="Palatino Linotype" w:cs="Times New Roman"/>
          <w:i/>
        </w:rPr>
        <w:lastRenderedPageBreak/>
        <w:t>Amparo en revisión 2022/61. José García Florín (Menor). 9 de octubre de 1961. Cinco votos. Ponente: José Rivera Pérez Campos.”</w:t>
      </w:r>
    </w:p>
    <w:p w:rsidR="004D3DAC" w:rsidRPr="00D75450" w:rsidRDefault="004D3DAC" w:rsidP="00B422AB">
      <w:pPr>
        <w:spacing w:line="360" w:lineRule="auto"/>
        <w:ind w:left="709" w:right="758"/>
        <w:jc w:val="both"/>
        <w:rPr>
          <w:rFonts w:ascii="Palatino Linotype" w:hAnsi="Palatino Linotype" w:cs="Times New Roman"/>
          <w:i/>
        </w:rPr>
      </w:pPr>
    </w:p>
    <w:p w:rsidR="004D3DAC" w:rsidRPr="00D75450" w:rsidRDefault="004D3DAC" w:rsidP="00B422AB">
      <w:pPr>
        <w:numPr>
          <w:ilvl w:val="0"/>
          <w:numId w:val="3"/>
        </w:numPr>
        <w:spacing w:line="360" w:lineRule="auto"/>
        <w:ind w:left="0" w:firstLine="0"/>
        <w:jc w:val="both"/>
        <w:rPr>
          <w:rFonts w:ascii="Palatino Linotype" w:hAnsi="Palatino Linotype" w:cs="Times New Roman"/>
        </w:rPr>
      </w:pPr>
      <w:r w:rsidRPr="00D75450">
        <w:rPr>
          <w:rFonts w:ascii="Palatino Linotype" w:hAnsi="Palatino Linotype" w:cs="Times New Roman"/>
        </w:rPr>
        <w:t xml:space="preserve">Además, y de conformidad con lo establecido en el artículo 12 de la </w:t>
      </w:r>
      <w:r w:rsidRPr="00D75450">
        <w:rPr>
          <w:rFonts w:ascii="Palatino Linotype" w:hAnsi="Palatino Linotype" w:cs="Times New Roman"/>
          <w:b/>
        </w:rPr>
        <w:t>Ley de Transparencia y Acceso a la Información Pública del Estado de México y Municipios</w:t>
      </w:r>
      <w:r w:rsidRPr="00D75450">
        <w:rPr>
          <w:rFonts w:ascii="Palatino Linotype" w:hAnsi="Palatino Linotype" w:cs="Times New Roman"/>
        </w:rPr>
        <w:t xml:space="preserve">, anteriormente invocado, el </w:t>
      </w:r>
      <w:r w:rsidRPr="00D75450">
        <w:rPr>
          <w:rFonts w:ascii="Palatino Linotype" w:hAnsi="Palatino Linotype" w:cs="Times New Roman"/>
          <w:b/>
        </w:rPr>
        <w:t>SUJETO OBLIGADO</w:t>
      </w:r>
      <w:r w:rsidRPr="00D75450">
        <w:rPr>
          <w:rFonts w:ascii="Palatino Linotype" w:hAnsi="Palatino Linotype" w:cs="Times New Roman"/>
        </w:rPr>
        <w:t xml:space="preserve"> únicamente proporcionará la información que obra en sus archivos, lo que a</w:t>
      </w:r>
      <w:r w:rsidRPr="00D75450">
        <w:rPr>
          <w:rFonts w:ascii="Palatino Linotype" w:hAnsi="Palatino Linotype" w:cs="Times New Roman"/>
          <w:i/>
        </w:rPr>
        <w:t xml:space="preserve"> contrario sensu</w:t>
      </w:r>
      <w:r w:rsidRPr="00D75450">
        <w:rPr>
          <w:rFonts w:ascii="Palatino Linotype" w:hAnsi="Palatino Linotype" w:cs="Times New Roman"/>
        </w:rPr>
        <w:t xml:space="preserve"> significa que no se está obligado a proporcionar lo que no obre en sus archivos. </w:t>
      </w:r>
    </w:p>
    <w:p w:rsidR="004D3DAC" w:rsidRPr="00D75450" w:rsidRDefault="004D3DAC" w:rsidP="00B422AB">
      <w:pPr>
        <w:spacing w:line="360" w:lineRule="auto"/>
        <w:jc w:val="both"/>
        <w:rPr>
          <w:rFonts w:ascii="Palatino Linotype" w:hAnsi="Palatino Linotype" w:cs="Times New Roman"/>
        </w:rPr>
      </w:pPr>
    </w:p>
    <w:p w:rsidR="004D3DAC" w:rsidRPr="00D75450" w:rsidRDefault="004D3DAC"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 xml:space="preserve">En ese orden de ideas, podemos llegar a la conclusión de la inexistencia del acto reclamado, al acreditarse con las constancias que integran el expediente, que el </w:t>
      </w:r>
      <w:r w:rsidR="00B422AB" w:rsidRPr="00D75450">
        <w:rPr>
          <w:rFonts w:ascii="Palatino Linotype" w:eastAsia="Palatino Linotype" w:hAnsi="Palatino Linotype" w:cs="Palatino Linotype"/>
          <w:b/>
        </w:rPr>
        <w:t>SUJETO OBLIGADO</w:t>
      </w:r>
      <w:r w:rsidR="00B422AB" w:rsidRPr="00D75450">
        <w:rPr>
          <w:rFonts w:ascii="Palatino Linotype" w:eastAsia="Palatino Linotype" w:hAnsi="Palatino Linotype" w:cs="Palatino Linotype"/>
        </w:rPr>
        <w:t xml:space="preserve"> no cuenta con lo solicitado al haberse emitido un pronunciamiento del servidor público habilitado competente.</w:t>
      </w:r>
    </w:p>
    <w:p w:rsidR="004D3DAC" w:rsidRPr="00D75450" w:rsidRDefault="004D3DAC" w:rsidP="00B422AB">
      <w:pPr>
        <w:pStyle w:val="Prrafodelista"/>
        <w:spacing w:line="360" w:lineRule="auto"/>
        <w:rPr>
          <w:rFonts w:ascii="Palatino Linotype" w:eastAsia="Palatino Linotype" w:hAnsi="Palatino Linotype" w:cs="Palatino Linotype"/>
        </w:rPr>
      </w:pPr>
    </w:p>
    <w:p w:rsidR="004D3DAC" w:rsidRPr="00D75450" w:rsidRDefault="004D3DAC" w:rsidP="00B422AB">
      <w:pPr>
        <w:numPr>
          <w:ilvl w:val="0"/>
          <w:numId w:val="3"/>
        </w:numP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rPr>
        <w:t xml:space="preserve">Contestación de la que </w:t>
      </w:r>
      <w:r w:rsidR="00B422AB" w:rsidRPr="00D75450">
        <w:rPr>
          <w:rFonts w:ascii="Palatino Linotype" w:eastAsia="Palatino Linotype" w:hAnsi="Palatino Linotype" w:cs="Palatino Linotype"/>
        </w:rPr>
        <w:t>se insiste</w:t>
      </w:r>
      <w:r w:rsidRPr="00D75450">
        <w:rPr>
          <w:rFonts w:ascii="Palatino Linotype" w:eastAsia="Palatino Linotype" w:hAnsi="Palatino Linotype" w:cs="Palatino Linotype"/>
        </w:rPr>
        <w:t xml:space="preserve">, fue emitida por </w:t>
      </w:r>
      <w:r w:rsidR="008F00EE" w:rsidRPr="00D75450">
        <w:rPr>
          <w:rFonts w:ascii="Palatino Linotype" w:eastAsia="Palatino Linotype" w:hAnsi="Palatino Linotype" w:cs="Palatino Linotype"/>
        </w:rPr>
        <w:t>el</w:t>
      </w:r>
      <w:r w:rsidRPr="00D75450">
        <w:rPr>
          <w:rFonts w:ascii="Palatino Linotype" w:eastAsia="Palatino Linotype" w:hAnsi="Palatino Linotype" w:cs="Palatino Linotype"/>
        </w:rPr>
        <w:t xml:space="preserve"> servidor público habilitado</w:t>
      </w:r>
      <w:r w:rsidR="008F00EE" w:rsidRPr="00D75450">
        <w:rPr>
          <w:rFonts w:ascii="Palatino Linotype" w:eastAsia="Palatino Linotype" w:hAnsi="Palatino Linotype" w:cs="Palatino Linotype"/>
        </w:rPr>
        <w:t xml:space="preserve"> competente</w:t>
      </w:r>
      <w:r w:rsidRPr="00D75450">
        <w:rPr>
          <w:rFonts w:ascii="Palatino Linotype" w:eastAsia="Palatino Linotype" w:hAnsi="Palatino Linotype" w:cs="Palatino Linotype"/>
        </w:rPr>
        <w:t xml:space="preserve"> como lo es la Encargada de Despacho de la Dirección de Administración, Finanzas y de Gestión Documental, quien de conformidad Reglamento Interno de la Protectora de Bosques del Estado de México, detenta las siguientes atribuciones</w:t>
      </w:r>
      <w:r w:rsidR="008F00EE" w:rsidRPr="00D75450">
        <w:rPr>
          <w:rFonts w:ascii="Palatino Linotype" w:eastAsia="Palatino Linotype" w:hAnsi="Palatino Linotype" w:cs="Palatino Linotype"/>
        </w:rPr>
        <w:t xml:space="preserve"> al caso concreto</w:t>
      </w:r>
      <w:r w:rsidRPr="00D75450">
        <w:rPr>
          <w:rFonts w:ascii="Palatino Linotype" w:eastAsia="Palatino Linotype" w:hAnsi="Palatino Linotype" w:cs="Palatino Linotype"/>
        </w:rPr>
        <w:t>:</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 xml:space="preserve">“Artículo 16.- Corresponde a la Dirección de Administración, Finanzas y de Gestión Documental: </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 xml:space="preserve">VIII. Vigilar el cumplimiento de las disposiciones legales en materia de adquisiciones, administración de servicios generales y recursos materiales. </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lastRenderedPageBreak/>
        <w:t xml:space="preserve">XI. Presidir los Comités de Adquisiciones y Servicios, y de Arrendamientos, Adquisiciones de Inmuebles y Enajenaciones de PROBOSQUE, en términos de la normatividad aplicable; </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 xml:space="preserve">XII. Coordinar y ejecutar los procedimientos de adquisiciones y servicios, arrendamientos, adquisiciones de inmuebles y enajenaciones y servicios generales de los bienes muebles e inmuebles de PROBOSQUE. </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 xml:space="preserve">XIII. Suscribir convenios y contratos derivados de los procedimientos adquisitivos de bienes y servicios, arrendamientos, adquisiciones de inmuebles y enajenaciones y servicios generales de los bienes muebles e inmuebles de PROBOSQUE, con base en la normatividad aplicable, previo acuerdo de la persona titular de la Dirección General; </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 xml:space="preserve">XXI. Supervisar el registro, control, mantenimiento y conservación de los bienes muebles e inmuebles asignados a las unidades administrativas de PROBOSQUE. </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 xml:space="preserve">XXIV. Coordinar al interior de PROBOSQUE el cumplimiento de las disposiciones en materia archivística y de administración de documentos establecidas en la Ley de Archivos y Administración de Documentos del Estado de México y Municipios y en otras disposiciones jurídicas aplicables; </w:t>
      </w:r>
    </w:p>
    <w:p w:rsidR="008F00EE"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 xml:space="preserve">XXV. Informar a la persona titular de la Dirección General, para su debida autorización, los procedimientos para la adquisición de bienes y servicios, y  </w:t>
      </w:r>
    </w:p>
    <w:p w:rsidR="004D3DAC" w:rsidRPr="00D75450" w:rsidRDefault="008F00EE" w:rsidP="00B422AB">
      <w:pPr>
        <w:pStyle w:val="Prrafodelista"/>
        <w:spacing w:line="360" w:lineRule="auto"/>
        <w:ind w:left="567" w:right="567"/>
        <w:jc w:val="both"/>
        <w:rPr>
          <w:rFonts w:ascii="Palatino Linotype" w:eastAsia="Palatino Linotype" w:hAnsi="Palatino Linotype" w:cs="Palatino Linotype"/>
          <w:i/>
        </w:rPr>
      </w:pPr>
      <w:r w:rsidRPr="00D75450">
        <w:rPr>
          <w:rFonts w:ascii="Palatino Linotype" w:eastAsia="Palatino Linotype" w:hAnsi="Palatino Linotype" w:cs="Palatino Linotype"/>
          <w:i/>
        </w:rPr>
        <w:t>XXVI. Las demás que le confieran otras disposiciones jurídicas aplicables y aquellas que le encomiende la persona titular de la Dirección General.”</w:t>
      </w:r>
    </w:p>
    <w:p w:rsidR="00650B28" w:rsidRPr="00D75450" w:rsidRDefault="00650B28" w:rsidP="00B422AB">
      <w:pPr>
        <w:pStyle w:val="Prrafodelista"/>
        <w:spacing w:line="360" w:lineRule="auto"/>
        <w:rPr>
          <w:rFonts w:ascii="Palatino Linotype" w:eastAsia="Palatino Linotype" w:hAnsi="Palatino Linotype" w:cs="Palatino Linotype"/>
        </w:rPr>
      </w:pPr>
    </w:p>
    <w:p w:rsidR="00543AAD" w:rsidRPr="00D75450" w:rsidRDefault="00543AAD" w:rsidP="00B422AB">
      <w:pPr>
        <w:numPr>
          <w:ilvl w:val="0"/>
          <w:numId w:val="3"/>
        </w:numP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 xml:space="preserve">Ahora bien, es necesario precisar que el acceso a la información pública, es un derecho que versa sobre documentos, mismos que debieron generarse, poseer o administrarse previo a </w:t>
      </w:r>
      <w:r w:rsidRPr="00D75450">
        <w:rPr>
          <w:rFonts w:ascii="Palatino Linotype" w:eastAsia="Palatino Linotype" w:hAnsi="Palatino Linotype" w:cs="Palatino Linotype"/>
          <w:color w:val="000000"/>
        </w:rPr>
        <w:lastRenderedPageBreak/>
        <w:t xml:space="preserve">la solicitud de información, por lo que si en el presente caso no se generó, posee y administró, sin que para tal efecto exista una fuente obligacional que determine que es información que </w:t>
      </w:r>
      <w:r w:rsidR="00B422AB" w:rsidRPr="00D75450">
        <w:rPr>
          <w:rFonts w:ascii="Palatino Linotype" w:eastAsia="Palatino Linotype" w:hAnsi="Palatino Linotype" w:cs="Palatino Linotype"/>
          <w:color w:val="000000"/>
        </w:rPr>
        <w:t>infaliblemente</w:t>
      </w:r>
      <w:r w:rsidRPr="00D75450">
        <w:rPr>
          <w:rFonts w:ascii="Palatino Linotype" w:eastAsia="Palatino Linotype" w:hAnsi="Palatino Linotype" w:cs="Palatino Linotype"/>
          <w:color w:val="000000"/>
        </w:rPr>
        <w:t xml:space="preserve"> deb</w:t>
      </w:r>
      <w:r w:rsidR="00B422AB" w:rsidRPr="00D75450">
        <w:rPr>
          <w:rFonts w:ascii="Palatino Linotype" w:eastAsia="Palatino Linotype" w:hAnsi="Palatino Linotype" w:cs="Palatino Linotype"/>
          <w:color w:val="000000"/>
        </w:rPr>
        <w:t>iera</w:t>
      </w:r>
      <w:r w:rsidRPr="00D75450">
        <w:rPr>
          <w:rFonts w:ascii="Palatino Linotype" w:eastAsia="Palatino Linotype" w:hAnsi="Palatino Linotype" w:cs="Palatino Linotype"/>
          <w:color w:val="000000"/>
        </w:rPr>
        <w:t xml:space="preserve"> contar la Protectora de Bosques del Estado de México,</w:t>
      </w:r>
      <w:r w:rsidR="00B422AB" w:rsidRPr="00D75450">
        <w:rPr>
          <w:rFonts w:ascii="Palatino Linotype" w:eastAsia="Palatino Linotype" w:hAnsi="Palatino Linotype" w:cs="Palatino Linotype"/>
          <w:color w:val="000000"/>
        </w:rPr>
        <w:t xml:space="preserve"> por tanto</w:t>
      </w:r>
      <w:r w:rsidRPr="00D75450">
        <w:rPr>
          <w:rFonts w:ascii="Palatino Linotype" w:eastAsia="Palatino Linotype" w:hAnsi="Palatino Linotype" w:cs="Palatino Linotype"/>
          <w:color w:val="000000"/>
        </w:rPr>
        <w:t xml:space="preserve"> lo procedente es confirmar la respuesta inicial; toda vez que es respecto de lo que este Órgano Garante tiene competencia para pronunciarse.</w:t>
      </w:r>
    </w:p>
    <w:p w:rsidR="00543AAD" w:rsidRPr="00D75450" w:rsidRDefault="00543AAD" w:rsidP="00B422AB">
      <w:pPr>
        <w:spacing w:line="360" w:lineRule="auto"/>
        <w:jc w:val="both"/>
        <w:rPr>
          <w:rFonts w:ascii="Palatino Linotype" w:eastAsia="Palatino Linotype" w:hAnsi="Palatino Linotype" w:cs="Palatino Linotype"/>
          <w:color w:val="000000"/>
        </w:rPr>
      </w:pPr>
    </w:p>
    <w:p w:rsidR="00543AAD" w:rsidRPr="00D75450" w:rsidRDefault="00543AAD" w:rsidP="00B422AB">
      <w:pPr>
        <w:numPr>
          <w:ilvl w:val="0"/>
          <w:numId w:val="3"/>
        </w:numP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 xml:space="preserve">Lo anterior se trae a colación, a propósito del motivo de </w:t>
      </w:r>
      <w:r w:rsidR="00B422AB" w:rsidRPr="00D75450">
        <w:rPr>
          <w:rFonts w:ascii="Palatino Linotype" w:eastAsia="Palatino Linotype" w:hAnsi="Palatino Linotype" w:cs="Palatino Linotype"/>
          <w:color w:val="000000"/>
        </w:rPr>
        <w:t>inconformidad</w:t>
      </w:r>
      <w:r w:rsidRPr="00D75450">
        <w:rPr>
          <w:rFonts w:ascii="Palatino Linotype" w:eastAsia="Palatino Linotype" w:hAnsi="Palatino Linotype" w:cs="Palatino Linotype"/>
          <w:color w:val="000000"/>
        </w:rPr>
        <w:t xml:space="preserve"> en donde se expresa lo siguiente: </w:t>
      </w:r>
      <w:r w:rsidRPr="00D75450">
        <w:rPr>
          <w:rFonts w:ascii="Palatino Linotype" w:eastAsia="Palatino Linotype" w:hAnsi="Palatino Linotype" w:cs="Palatino Linotype"/>
          <w:b/>
          <w:color w:val="000000"/>
        </w:rPr>
        <w:t>“…señalo directamenteentonces la falta administrativa por omisión del Director de PROBOSQUE Alejandro Santiago Sánchez Vélez.</w:t>
      </w:r>
      <w:r w:rsidRPr="00D75450">
        <w:rPr>
          <w:rFonts w:ascii="Palatino Linotype" w:eastAsia="Palatino Linotype" w:hAnsi="Palatino Linotype" w:cs="Palatino Linotype"/>
          <w:color w:val="000000"/>
        </w:rPr>
        <w:t>” (Sic)</w:t>
      </w:r>
    </w:p>
    <w:p w:rsidR="00B422AB" w:rsidRPr="00D75450" w:rsidRDefault="00B422AB" w:rsidP="00B422AB">
      <w:pPr>
        <w:pStyle w:val="Prrafodelista"/>
        <w:rPr>
          <w:rFonts w:ascii="Palatino Linotype" w:eastAsia="Palatino Linotype" w:hAnsi="Palatino Linotype" w:cs="Palatino Linotype"/>
          <w:color w:val="000000"/>
        </w:rPr>
      </w:pPr>
    </w:p>
    <w:p w:rsidR="00B422AB" w:rsidRPr="00D75450" w:rsidRDefault="00B422AB" w:rsidP="00B422AB">
      <w:pPr>
        <w:numPr>
          <w:ilvl w:val="0"/>
          <w:numId w:val="3"/>
        </w:numP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Luego entonces, al ser el recurso de revisión la garantía secundaria mediante la cual se pretende reparar cualquier posible afectación al derecho de acceso a la información pública, funcionando como un medio de protección legal que la Ley otorga a los particulares para impugnar la respuesta de los sujetos obligados y, no así un medio para interponer quejas o denuncias, es que resultan inatendibles, las expresiones subjetivas vertidas por el particular relacionadas con la respuesta emitida; no obstante se dejan a salvo sus derechos para interponer la denuncia que a sus intereses convenga por lo que considera hecho constitutivo de probable falta administrativa, ante las autoridades competentes.</w:t>
      </w:r>
    </w:p>
    <w:p w:rsidR="00B422AB" w:rsidRPr="00D75450" w:rsidRDefault="00B422AB" w:rsidP="00B422AB">
      <w:pPr>
        <w:pStyle w:val="Prrafodelista"/>
        <w:spacing w:line="360" w:lineRule="auto"/>
        <w:rPr>
          <w:rFonts w:ascii="Palatino Linotype" w:eastAsia="Palatino Linotype" w:hAnsi="Palatino Linotype" w:cs="Palatino Linotype"/>
          <w:color w:val="000000"/>
        </w:rPr>
      </w:pPr>
    </w:p>
    <w:p w:rsidR="00955CFD" w:rsidRPr="00D75450" w:rsidRDefault="00EC4D71"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rPr>
        <w:t xml:space="preserve">Con la determinación anterior se considera que quedara por colmado el </w:t>
      </w:r>
      <w:r w:rsidR="00955CFD" w:rsidRPr="00D75450">
        <w:rPr>
          <w:rFonts w:ascii="Palatino Linotype" w:eastAsia="Palatino Linotype" w:hAnsi="Palatino Linotype" w:cs="Palatino Linotype"/>
          <w:color w:val="000000"/>
        </w:rPr>
        <w:t>dere</w:t>
      </w:r>
      <w:r w:rsidR="005E7C16" w:rsidRPr="00D75450">
        <w:rPr>
          <w:rFonts w:ascii="Palatino Linotype" w:eastAsia="Palatino Linotype" w:hAnsi="Palatino Linotype" w:cs="Palatino Linotype"/>
          <w:color w:val="000000"/>
        </w:rPr>
        <w:t>cho de acceso a la información</w:t>
      </w:r>
      <w:r w:rsidRPr="00D75450">
        <w:rPr>
          <w:rFonts w:ascii="Palatino Linotype" w:eastAsia="Palatino Linotype" w:hAnsi="Palatino Linotype" w:cs="Palatino Linotype"/>
          <w:color w:val="000000"/>
        </w:rPr>
        <w:t xml:space="preserve"> del hoy </w:t>
      </w:r>
      <w:r w:rsidRPr="00D75450">
        <w:rPr>
          <w:rFonts w:ascii="Palatino Linotype" w:eastAsia="Palatino Linotype" w:hAnsi="Palatino Linotype" w:cs="Palatino Linotype"/>
          <w:b/>
          <w:color w:val="000000"/>
        </w:rPr>
        <w:t>RECURRENTE</w:t>
      </w:r>
      <w:r w:rsidR="005E7C16" w:rsidRPr="00D75450">
        <w:rPr>
          <w:rFonts w:ascii="Palatino Linotype" w:eastAsia="Palatino Linotype" w:hAnsi="Palatino Linotype" w:cs="Palatino Linotype"/>
          <w:color w:val="000000"/>
        </w:rPr>
        <w:t>, el cual</w:t>
      </w:r>
      <w:r w:rsidR="00955CFD" w:rsidRPr="00D75450">
        <w:rPr>
          <w:rFonts w:ascii="Palatino Linotype" w:eastAsia="Palatino Linotype" w:hAnsi="Palatino Linotype" w:cs="Palatino Linotype"/>
          <w:color w:val="000000"/>
        </w:rPr>
        <w:t xml:space="preserve"> </w:t>
      </w:r>
      <w:r w:rsidR="00955CFD" w:rsidRPr="00D75450">
        <w:rPr>
          <w:rFonts w:ascii="Palatino Linotype" w:eastAsia="Palatino Linotype" w:hAnsi="Palatino Linotype" w:cs="Palatino Linotype"/>
          <w:color w:val="000000" w:themeColor="text1"/>
        </w:rPr>
        <w:t>corresponde</w:t>
      </w:r>
      <w:r w:rsidR="00955CFD" w:rsidRPr="00D75450">
        <w:rPr>
          <w:rFonts w:ascii="Palatino Linotype" w:eastAsia="Palatino Linotype" w:hAnsi="Palatino Linotype" w:cs="Palatino Linotype"/>
          <w:color w:val="000000"/>
        </w:rPr>
        <w:t xml:space="preserve"> a la  </w:t>
      </w:r>
      <w:r w:rsidR="00955CFD" w:rsidRPr="00D75450">
        <w:rPr>
          <w:rFonts w:ascii="Palatino Linotype" w:eastAsia="Palatino Linotype" w:hAnsi="Palatino Linotype" w:cs="Palatino Linotype"/>
          <w:i/>
          <w:color w:val="000000"/>
        </w:rPr>
        <w:t>igualdad de oportunidades para recibir, buscar e impartir información</w:t>
      </w:r>
      <w:r w:rsidR="00955CFD" w:rsidRPr="00D75450">
        <w:rPr>
          <w:rFonts w:ascii="Palatino Linotype" w:eastAsia="Palatino Linotype" w:hAnsi="Palatino Linotype" w:cs="Palatino Linotype"/>
          <w:i/>
          <w:color w:val="000000"/>
          <w:vertAlign w:val="superscript"/>
        </w:rPr>
        <w:footnoteReference w:id="1"/>
      </w:r>
      <w:r w:rsidR="00955CFD" w:rsidRPr="00D75450">
        <w:rPr>
          <w:rFonts w:ascii="Palatino Linotype" w:eastAsia="Palatino Linotype" w:hAnsi="Palatino Linotype" w:cs="Palatino Linotype"/>
          <w:i/>
          <w:color w:val="000000"/>
        </w:rPr>
        <w:t xml:space="preserve"> en posesión de cualquier autoridad, entidad, </w:t>
      </w:r>
      <w:r w:rsidR="00955CFD" w:rsidRPr="00D75450">
        <w:rPr>
          <w:rFonts w:ascii="Palatino Linotype" w:eastAsia="Palatino Linotype" w:hAnsi="Palatino Linotype" w:cs="Palatino Linotype"/>
          <w:i/>
          <w:color w:val="000000"/>
        </w:rPr>
        <w:lastRenderedPageBreak/>
        <w:t xml:space="preserve">órgano y organismo de los </w:t>
      </w:r>
      <w:r w:rsidR="00955CFD" w:rsidRPr="00D75450">
        <w:rPr>
          <w:rFonts w:ascii="Palatino Linotype" w:eastAsia="Palatino Linotype" w:hAnsi="Palatino Linotype" w:cs="Palatino Linotype"/>
        </w:rPr>
        <w:t>poderes</w:t>
      </w:r>
      <w:r w:rsidR="00955CFD" w:rsidRPr="00D75450">
        <w:rPr>
          <w:rFonts w:ascii="Palatino Linotype" w:eastAsia="Palatino Linotype" w:hAnsi="Palatino Linotype" w:cs="Palatino Linotype"/>
          <w:i/>
          <w:color w:val="000000"/>
        </w:rPr>
        <w:t xml:space="preserve">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00955CFD" w:rsidRPr="00D75450">
        <w:rPr>
          <w:rFonts w:ascii="Palatino Linotype" w:eastAsia="Palatino Linotype" w:hAnsi="Palatino Linotype" w:cs="Palatino Linotype"/>
          <w:color w:val="000000"/>
          <w:vertAlign w:val="superscript"/>
        </w:rPr>
        <w:footnoteReference w:id="2"/>
      </w:r>
      <w:r w:rsidR="00955CFD" w:rsidRPr="00D75450">
        <w:rPr>
          <w:rFonts w:ascii="Palatino Linotype" w:eastAsia="Palatino Linotype" w:hAnsi="Palatino Linotype" w:cs="Palatino Linotype"/>
          <w:i/>
          <w:color w:val="000000"/>
        </w:rPr>
        <w:t xml:space="preserve"> </w:t>
      </w:r>
      <w:r w:rsidR="00955CFD" w:rsidRPr="00D75450">
        <w:rPr>
          <w:rFonts w:ascii="Palatino Linotype" w:eastAsia="Palatino Linotype" w:hAnsi="Palatino Linotype" w:cs="Palatino Linotype"/>
          <w:color w:val="000000"/>
        </w:rPr>
        <w:t xml:space="preserve">que se constituye como una herramienta fundamental para </w:t>
      </w:r>
      <w:r w:rsidR="00955CFD" w:rsidRPr="00D75450">
        <w:rPr>
          <w:rFonts w:ascii="Palatino Linotype" w:eastAsia="Palatino Linotype" w:hAnsi="Palatino Linotype" w:cs="Palatino Linotype"/>
          <w:i/>
          <w:color w:val="000000"/>
        </w:rPr>
        <w:t>ejercer control democrático de las gestiones estatales, de forma tal que puedan cuestionar, indagar y considerar si se está dando un adecuado cumplimiento de las funciones públicas,</w:t>
      </w:r>
      <w:r w:rsidR="00955CFD" w:rsidRPr="00D75450">
        <w:rPr>
          <w:rFonts w:ascii="Palatino Linotype" w:eastAsia="Palatino Linotype" w:hAnsi="Palatino Linotype" w:cs="Palatino Linotype"/>
          <w:i/>
          <w:color w:val="000000"/>
          <w:vertAlign w:val="superscript"/>
        </w:rPr>
        <w:footnoteReference w:id="3"/>
      </w:r>
      <w:r w:rsidR="00955CFD" w:rsidRPr="00D75450">
        <w:rPr>
          <w:rFonts w:ascii="Palatino Linotype" w:eastAsia="Palatino Linotype" w:hAnsi="Palatino Linotype" w:cs="Palatino Linotype"/>
          <w:color w:val="000000"/>
        </w:rPr>
        <w:t>fomentando</w:t>
      </w:r>
      <w:r w:rsidR="00955CFD" w:rsidRPr="00D75450">
        <w:rPr>
          <w:rFonts w:ascii="Palatino Linotype" w:eastAsia="Palatino Linotype" w:hAnsi="Palatino Linotype" w:cs="Palatino Linotype"/>
          <w:i/>
          <w:color w:val="000000"/>
        </w:rPr>
        <w:t xml:space="preserve"> la transparencia de las actividades estatales y</w:t>
      </w:r>
      <w:r w:rsidR="00955CFD" w:rsidRPr="00D75450">
        <w:rPr>
          <w:rFonts w:ascii="Palatino Linotype" w:eastAsia="Palatino Linotype" w:hAnsi="Palatino Linotype" w:cs="Palatino Linotype"/>
          <w:color w:val="000000"/>
        </w:rPr>
        <w:t xml:space="preserve"> promoviendo</w:t>
      </w:r>
      <w:r w:rsidR="00955CFD" w:rsidRPr="00D75450">
        <w:rPr>
          <w:rFonts w:ascii="Palatino Linotype" w:eastAsia="Palatino Linotype" w:hAnsi="Palatino Linotype" w:cs="Palatino Linotype"/>
          <w:i/>
          <w:color w:val="000000"/>
        </w:rPr>
        <w:t xml:space="preserve"> la responsabilidad de los funcionarios sobre su gestión pública</w:t>
      </w:r>
      <w:r w:rsidR="00955CFD" w:rsidRPr="00D75450">
        <w:rPr>
          <w:rFonts w:ascii="Palatino Linotype" w:eastAsia="Palatino Linotype" w:hAnsi="Palatino Linotype" w:cs="Palatino Linotype"/>
          <w:i/>
          <w:color w:val="000000"/>
          <w:vertAlign w:val="superscript"/>
        </w:rPr>
        <w:footnoteReference w:id="4"/>
      </w:r>
      <w:r w:rsidR="00955CFD" w:rsidRPr="00D75450">
        <w:rPr>
          <w:rFonts w:ascii="Palatino Linotype" w:eastAsia="Palatino Linotype" w:hAnsi="Palatino Linotype" w:cs="Palatino Linotype"/>
          <w:i/>
          <w:color w:val="000000"/>
        </w:rPr>
        <w:t xml:space="preserve"> </w:t>
      </w:r>
      <w:r w:rsidR="00955CFD" w:rsidRPr="00D75450">
        <w:rPr>
          <w:rFonts w:ascii="Palatino Linotype" w:eastAsia="Palatino Linotype" w:hAnsi="Palatino Linotype" w:cs="Palatino Linotype"/>
          <w:color w:val="000000"/>
        </w:rPr>
        <w:t>que permite</w:t>
      </w:r>
      <w:r w:rsidR="00955CFD" w:rsidRPr="00D75450">
        <w:rPr>
          <w:rFonts w:ascii="Palatino Linotype" w:eastAsia="Palatino Linotype" w:hAnsi="Palatino Linotype" w:cs="Palatino Linotype"/>
          <w:i/>
          <w:color w:val="000000"/>
        </w:rPr>
        <w:t xml:space="preserve"> saber qué están haciendo los gobiernos por sus pueblos, sin lo cual la verdad languidecería y la participación en el gobierno permanecería fragmentada.</w:t>
      </w:r>
      <w:r w:rsidR="00955CFD" w:rsidRPr="00D75450">
        <w:rPr>
          <w:rFonts w:ascii="Palatino Linotype" w:eastAsia="Palatino Linotype" w:hAnsi="Palatino Linotype" w:cs="Palatino Linotype"/>
          <w:i/>
          <w:color w:val="000000"/>
          <w:vertAlign w:val="superscript"/>
        </w:rPr>
        <w:footnoteReference w:id="5"/>
      </w:r>
      <w:r w:rsidR="00955CFD" w:rsidRPr="00D75450">
        <w:rPr>
          <w:rFonts w:ascii="Palatino Linotype" w:eastAsia="Palatino Linotype" w:hAnsi="Palatino Linotype" w:cs="Palatino Linotype"/>
          <w:color w:val="000000"/>
        </w:rPr>
        <w:t xml:space="preserve"> ” </w:t>
      </w:r>
    </w:p>
    <w:p w:rsidR="00973ACD" w:rsidRPr="00D75450" w:rsidRDefault="00973ACD" w:rsidP="00973AC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55CFD" w:rsidRDefault="00955CFD"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 xml:space="preserve">Para entender los alcances de la información pública se considera importante citar el criterio de interpretación </w:t>
      </w:r>
      <w:r w:rsidRPr="00D75450">
        <w:rPr>
          <w:rFonts w:ascii="Palatino Linotype" w:eastAsia="Palatino Linotype" w:hAnsi="Palatino Linotype" w:cs="Palatino Linotype"/>
        </w:rPr>
        <w:t>en</w:t>
      </w:r>
      <w:r w:rsidRPr="00D75450">
        <w:rPr>
          <w:rFonts w:ascii="Palatino Linotype" w:eastAsia="Palatino Linotype" w:hAnsi="Palatino Linotype" w:cs="Palatino Linotype"/>
          <w:color w:val="000000"/>
        </w:rPr>
        <w:t xml:space="preserve"> el orden administrativo número 0002-11, emitido por Acuerdo del Pleno de este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D75450" w:rsidRDefault="00D75450" w:rsidP="00D75450">
      <w:pPr>
        <w:pStyle w:val="Prrafodelista"/>
        <w:rPr>
          <w:rFonts w:ascii="Palatino Linotype" w:eastAsia="Palatino Linotype" w:hAnsi="Palatino Linotype" w:cs="Palatino Linotype"/>
          <w:color w:val="000000"/>
        </w:rPr>
      </w:pPr>
    </w:p>
    <w:p w:rsidR="00D75450" w:rsidRDefault="00D75450" w:rsidP="00D7545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D75450" w:rsidRPr="00D75450" w:rsidRDefault="00D75450" w:rsidP="00D7545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955CFD" w:rsidRPr="00D75450" w:rsidRDefault="00955CFD" w:rsidP="00B422AB">
      <w:pPr>
        <w:spacing w:line="360" w:lineRule="auto"/>
        <w:ind w:left="426" w:right="709"/>
        <w:jc w:val="both"/>
        <w:rPr>
          <w:rFonts w:ascii="Palatino Linotype" w:eastAsia="Palatino Linotype" w:hAnsi="Palatino Linotype" w:cs="Palatino Linotype"/>
          <w:b/>
          <w:i/>
          <w:color w:val="000000"/>
        </w:rPr>
      </w:pPr>
      <w:r w:rsidRPr="00D75450">
        <w:rPr>
          <w:rFonts w:ascii="Palatino Linotype" w:eastAsia="Palatino Linotype" w:hAnsi="Palatino Linotype" w:cs="Palatino Linotype"/>
          <w:b/>
          <w:i/>
          <w:color w:val="000000"/>
        </w:rPr>
        <w:lastRenderedPageBreak/>
        <w:t>“CRITERIO 0002-11</w:t>
      </w:r>
    </w:p>
    <w:p w:rsidR="00955CFD" w:rsidRPr="00D75450" w:rsidRDefault="00955CFD" w:rsidP="00B422AB">
      <w:pPr>
        <w:spacing w:line="360" w:lineRule="auto"/>
        <w:ind w:left="426" w:right="709"/>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b/>
          <w:i/>
          <w:color w:val="000000"/>
        </w:rPr>
        <w:t>INFORMACIÓN PÚBLICA, CONCEPTO DE, EN MATERIA DE TRANSPARENCIA. INTERPRETACIÓN TEMÁTICA DE LOS ARTÍCULOS 2, FRACCIÓN V, XV, Y XVI, 3, 4,11 Y 41.</w:t>
      </w:r>
      <w:r w:rsidRPr="00D75450">
        <w:rPr>
          <w:rFonts w:ascii="Palatino Linotype" w:eastAsia="Palatino Linotype" w:hAnsi="Palatino Linotype" w:cs="Palatino Linotype"/>
          <w:i/>
          <w:color w:val="000000"/>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955CFD" w:rsidRPr="00D75450" w:rsidRDefault="00955CFD" w:rsidP="00B422AB">
      <w:pPr>
        <w:spacing w:line="360" w:lineRule="auto"/>
        <w:ind w:left="426" w:right="709"/>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i/>
          <w:color w:val="000000"/>
        </w:rPr>
        <w:t>En consecuencia el acceso a la información se refiere a que se cumplan cualquiera de los siguientes tres supuestos:</w:t>
      </w:r>
    </w:p>
    <w:p w:rsidR="00955CFD" w:rsidRPr="00D75450" w:rsidRDefault="00955CFD" w:rsidP="00B422AB">
      <w:pPr>
        <w:spacing w:line="360" w:lineRule="auto"/>
        <w:ind w:left="426" w:right="709"/>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i/>
          <w:color w:val="000000"/>
        </w:rPr>
        <w:t>Que se trate de información registrada en cualquier soporte documental, que en ejercicio de las atribuciones conferidas, sea generada por los Sujetos Obligados;</w:t>
      </w:r>
    </w:p>
    <w:p w:rsidR="00955CFD" w:rsidRPr="00D75450" w:rsidRDefault="00955CFD" w:rsidP="00B422AB">
      <w:pPr>
        <w:spacing w:line="360" w:lineRule="auto"/>
        <w:ind w:left="426" w:right="709"/>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i/>
          <w:color w:val="000000"/>
        </w:rPr>
        <w:t>Que se trate de información registrada en cualquier soporte documental, que en ejercicio de las atribuciones conferidas, sea administrada por los Sujetos Obligados, y</w:t>
      </w:r>
    </w:p>
    <w:p w:rsidR="00955CFD" w:rsidRPr="00D75450" w:rsidRDefault="00955CFD" w:rsidP="00B422AB">
      <w:pPr>
        <w:spacing w:line="360" w:lineRule="auto"/>
        <w:ind w:left="426" w:right="709"/>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i/>
          <w:color w:val="000000"/>
        </w:rPr>
        <w:t>Que se trate de información registrada en cualquier soporte documental, que en ejercicio de las atribuciones conferidas, se encuentre en posesión de los Sujetos Obligados.”</w:t>
      </w:r>
    </w:p>
    <w:p w:rsidR="00955CFD" w:rsidRPr="00D75450" w:rsidRDefault="00955CFD" w:rsidP="00B422AB">
      <w:pPr>
        <w:spacing w:line="360" w:lineRule="auto"/>
        <w:ind w:left="567" w:right="-929"/>
        <w:jc w:val="both"/>
        <w:rPr>
          <w:rFonts w:ascii="Palatino Linotype" w:eastAsia="Palatino Linotype" w:hAnsi="Palatino Linotype" w:cs="Palatino Linotype"/>
          <w:i/>
          <w:color w:val="000000"/>
        </w:rPr>
      </w:pPr>
    </w:p>
    <w:p w:rsidR="00955CFD" w:rsidRPr="00D75450" w:rsidRDefault="00955CFD"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El derecho de acceso a la información encuentra su materia elemental en los documentos, y la Ley de Transparencia local  nos brinda el siguiente concepto, para darnos un mejor panorama:</w:t>
      </w:r>
    </w:p>
    <w:p w:rsidR="00955CFD" w:rsidRPr="00D75450" w:rsidRDefault="00955CFD" w:rsidP="00B422AB">
      <w:pPr>
        <w:spacing w:line="360" w:lineRule="auto"/>
        <w:ind w:left="426" w:right="567"/>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b/>
          <w:i/>
          <w:color w:val="000000"/>
        </w:rPr>
        <w:t xml:space="preserve">XI. Documento: </w:t>
      </w:r>
      <w:r w:rsidRPr="00D75450">
        <w:rPr>
          <w:rFonts w:ascii="Palatino Linotype" w:eastAsia="Palatino Linotype" w:hAnsi="Palatino Linotype" w:cs="Palatino Linotype"/>
          <w:i/>
          <w:color w:val="000000"/>
        </w:rPr>
        <w:t xml:space="preserve">Los expedientes, reportes, estudios, actas, resoluciones, oficios, correspondencia, acuerdos, directivas, directrices, circulares, contratos, convenios, instructivos, notas, memorandos, estadísticas o bien, </w:t>
      </w:r>
      <w:r w:rsidRPr="00D75450">
        <w:rPr>
          <w:rFonts w:ascii="Palatino Linotype" w:eastAsia="Palatino Linotype" w:hAnsi="Palatino Linotype" w:cs="Palatino Linotype"/>
          <w:b/>
          <w:i/>
          <w:color w:val="000000"/>
        </w:rPr>
        <w:t>cualquier otro registro</w:t>
      </w:r>
      <w:r w:rsidRPr="00D75450">
        <w:rPr>
          <w:rFonts w:ascii="Palatino Linotype" w:eastAsia="Palatino Linotype" w:hAnsi="Palatino Linotype" w:cs="Palatino Linotype"/>
          <w:i/>
          <w:color w:val="000000"/>
        </w:rPr>
        <w:t xml:space="preserve"> que documente el ejercicio de las facultades, funciones y competencias de los sujetos obligados, sus servidores </w:t>
      </w:r>
      <w:r w:rsidRPr="00D75450">
        <w:rPr>
          <w:rFonts w:ascii="Palatino Linotype" w:eastAsia="Palatino Linotype" w:hAnsi="Palatino Linotype" w:cs="Palatino Linotype"/>
          <w:i/>
          <w:color w:val="000000"/>
        </w:rPr>
        <w:lastRenderedPageBreak/>
        <w:t>públicos e integrantes, sin importar su fuente o fecha de elaboración. Los documentos podrán estar en cualquier medio, sea escrito, impreso, sonoro, visual, electrónico, informático u holográfico;</w:t>
      </w:r>
    </w:p>
    <w:p w:rsidR="00955CFD" w:rsidRPr="00D75450" w:rsidRDefault="00955CFD" w:rsidP="00B422AB">
      <w:pPr>
        <w:spacing w:line="360" w:lineRule="auto"/>
        <w:ind w:left="567" w:right="-929"/>
        <w:jc w:val="both"/>
        <w:rPr>
          <w:rFonts w:ascii="Palatino Linotype" w:eastAsia="Palatino Linotype" w:hAnsi="Palatino Linotype" w:cs="Palatino Linotype"/>
          <w:i/>
          <w:color w:val="000000"/>
        </w:rPr>
      </w:pPr>
    </w:p>
    <w:p w:rsidR="00955CFD" w:rsidRPr="00D75450" w:rsidRDefault="00955CFD"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 xml:space="preserve">Es así que, todos los actos de autoridad que realicen los Sujetos Obligados </w:t>
      </w:r>
      <w:r w:rsidRPr="00D75450">
        <w:rPr>
          <w:rFonts w:ascii="Palatino Linotype" w:eastAsia="Palatino Linotype" w:hAnsi="Palatino Linotype" w:cs="Palatino Linotype"/>
          <w:b/>
          <w:color w:val="000000"/>
        </w:rPr>
        <w:t xml:space="preserve">deben estar </w:t>
      </w:r>
      <w:r w:rsidRPr="00D75450">
        <w:rPr>
          <w:rFonts w:ascii="Palatino Linotype" w:eastAsia="Palatino Linotype" w:hAnsi="Palatino Linotype" w:cs="Palatino Linotype"/>
          <w:color w:val="000000"/>
        </w:rPr>
        <w:t>documentados y, bajo el más alto estándar de transparencia deberán poner toda la información que se encuentre en su posesión, a disposición de los particulares que la soliciten.</w:t>
      </w:r>
    </w:p>
    <w:p w:rsidR="00955CFD" w:rsidRPr="00D75450" w:rsidRDefault="00955CFD" w:rsidP="00B422AB">
      <w:pPr>
        <w:pBdr>
          <w:top w:val="nil"/>
          <w:left w:val="nil"/>
          <w:bottom w:val="nil"/>
          <w:right w:val="nil"/>
          <w:between w:val="nil"/>
        </w:pBdr>
        <w:tabs>
          <w:tab w:val="left" w:pos="284"/>
        </w:tabs>
        <w:spacing w:line="360" w:lineRule="auto"/>
        <w:ind w:right="-929"/>
        <w:jc w:val="both"/>
        <w:rPr>
          <w:rFonts w:ascii="Palatino Linotype" w:eastAsia="Palatino Linotype" w:hAnsi="Palatino Linotype" w:cs="Palatino Linotype"/>
          <w:color w:val="000000"/>
        </w:rPr>
      </w:pPr>
    </w:p>
    <w:p w:rsidR="00955CFD" w:rsidRPr="00D75450" w:rsidRDefault="00955CFD"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Además, debemos tomar en cuenta los artículos 4 y 12 (antes transcrito), de la Ley de Transparencia y Acceso a la Información Pública del Estado de México y Municipios, los cuales establecen lo siguiente:</w:t>
      </w:r>
    </w:p>
    <w:p w:rsidR="00955CFD" w:rsidRPr="00D75450" w:rsidRDefault="00955CFD" w:rsidP="00B422AB">
      <w:pPr>
        <w:spacing w:line="360" w:lineRule="auto"/>
        <w:ind w:left="426" w:right="709"/>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b/>
          <w:i/>
          <w:color w:val="000000"/>
        </w:rPr>
        <w:t xml:space="preserve">“Artículo 4. </w:t>
      </w:r>
      <w:r w:rsidRPr="00D75450">
        <w:rPr>
          <w:rFonts w:ascii="Palatino Linotype" w:eastAsia="Palatino Linotype" w:hAnsi="Palatino Linotype" w:cs="Palatino Linotype"/>
          <w:i/>
          <w:color w:val="000000"/>
        </w:rPr>
        <w:t>El derecho humano de acceso a la información pública es la prerrogativa de las personas para buscar, difundir, investigar, recabar, recibir y solicitar información pública, sin necesidad de acreditar personalidad ni interés jurídico.</w:t>
      </w:r>
    </w:p>
    <w:p w:rsidR="00955CFD" w:rsidRPr="00D75450" w:rsidRDefault="00955CFD" w:rsidP="00B422AB">
      <w:pPr>
        <w:spacing w:line="360" w:lineRule="auto"/>
        <w:ind w:left="426" w:right="709"/>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b/>
          <w:i/>
          <w:color w:val="000000"/>
        </w:rPr>
        <w:t>Toda la información</w:t>
      </w:r>
      <w:r w:rsidRPr="00D75450">
        <w:rPr>
          <w:rFonts w:ascii="Palatino Linotype" w:eastAsia="Palatino Linotype" w:hAnsi="Palatino Linotype" w:cs="Palatino Linotype"/>
          <w:i/>
          <w:color w:val="000000"/>
        </w:rPr>
        <w:t xml:space="preserve"> generada, obtenida, adquirida, transformada, administrada o </w:t>
      </w:r>
      <w:r w:rsidRPr="00D75450">
        <w:rPr>
          <w:rFonts w:ascii="Palatino Linotype" w:eastAsia="Palatino Linotype" w:hAnsi="Palatino Linotype" w:cs="Palatino Linotype"/>
          <w:b/>
          <w:i/>
          <w:color w:val="000000"/>
        </w:rPr>
        <w:t>en posesión de los sujetos obligados es pública</w:t>
      </w:r>
      <w:r w:rsidRPr="00D75450">
        <w:rPr>
          <w:rFonts w:ascii="Palatino Linotype" w:eastAsia="Palatino Linotype" w:hAnsi="Palatino Linotype" w:cs="Palatino Linotype"/>
          <w:i/>
          <w:color w:val="000000"/>
        </w:rPr>
        <w:t xml:space="preserve">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55CFD" w:rsidRPr="00D75450" w:rsidRDefault="00955CFD" w:rsidP="00B422AB">
      <w:pPr>
        <w:spacing w:line="360" w:lineRule="auto"/>
        <w:ind w:left="426" w:right="709"/>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i/>
          <w:color w:val="000000"/>
        </w:rPr>
        <w:lastRenderedPageBreak/>
        <w:t>Los sujetos obligados deben poner en práctica, políticas y programas de acceso a la información que se apeguen a criterios de publicidad, veracidad, oportunidad, precisión y suficiencia en beneficio de los solicitantes.”</w:t>
      </w:r>
    </w:p>
    <w:p w:rsidR="00955CFD" w:rsidRPr="00D75450" w:rsidRDefault="00955CFD" w:rsidP="00B422AB">
      <w:pPr>
        <w:spacing w:line="360" w:lineRule="auto"/>
        <w:ind w:left="567" w:right="-929"/>
        <w:jc w:val="both"/>
        <w:rPr>
          <w:rFonts w:ascii="Palatino Linotype" w:eastAsia="Palatino Linotype" w:hAnsi="Palatino Linotype" w:cs="Palatino Linotype"/>
          <w:i/>
          <w:color w:val="000000"/>
        </w:rPr>
      </w:pPr>
    </w:p>
    <w:p w:rsidR="00955CFD" w:rsidRPr="00D75450" w:rsidRDefault="00955CFD"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Es así que, por un lado se tiene la obligación de documentar todos los actos que se lleven a cabo en el ejercicio de sus funciones, atribuciones y competencias, mientras que por otro, se ven impuestos por la obligación de hacer pública toda aquella información que se encuentre en su posesión en estricto apego a los principios de eficacia</w:t>
      </w:r>
      <w:r w:rsidRPr="00D75450">
        <w:rPr>
          <w:rFonts w:ascii="Palatino Linotype" w:eastAsia="Palatino Linotype" w:hAnsi="Palatino Linotype" w:cs="Palatino Linotype"/>
          <w:color w:val="000000"/>
          <w:vertAlign w:val="superscript"/>
        </w:rPr>
        <w:footnoteReference w:id="6"/>
      </w:r>
      <w:r w:rsidRPr="00D75450">
        <w:rPr>
          <w:rFonts w:ascii="Palatino Linotype" w:eastAsia="Palatino Linotype" w:hAnsi="Palatino Linotype" w:cs="Palatino Linotype"/>
          <w:color w:val="000000"/>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rsidR="00955CFD" w:rsidRPr="00D75450" w:rsidRDefault="00955CFD" w:rsidP="00B422AB">
      <w:pPr>
        <w:spacing w:line="360" w:lineRule="auto"/>
        <w:ind w:right="-929"/>
        <w:jc w:val="both"/>
        <w:rPr>
          <w:rFonts w:ascii="Palatino Linotype" w:eastAsia="Palatino Linotype" w:hAnsi="Palatino Linotype" w:cs="Palatino Linotype"/>
          <w:color w:val="000000"/>
        </w:rPr>
      </w:pPr>
    </w:p>
    <w:p w:rsidR="00955CFD" w:rsidRPr="00D75450" w:rsidRDefault="00955CFD"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75450">
        <w:rPr>
          <w:rFonts w:ascii="Palatino Linotype" w:eastAsia="Palatino Linotype" w:hAnsi="Palatino Linotype" w:cs="Palatino Linotype"/>
          <w:color w:val="000000"/>
        </w:rPr>
        <w:t>Robustece lo anterior la Tesis aislada identificada con la clave I.4º.A.40 A del Cuarto Tribunal colegiado en Materia Administrativa del Primer Circuito, publicada en el Seminario Judicial de la Federación y su Gaceta en el libro XVIII, Marzo 2013, Página 1899.</w:t>
      </w:r>
    </w:p>
    <w:p w:rsidR="00955CFD" w:rsidRPr="00D75450" w:rsidRDefault="00955CFD" w:rsidP="00B422AB">
      <w:pPr>
        <w:pBdr>
          <w:top w:val="nil"/>
          <w:left w:val="nil"/>
          <w:bottom w:val="nil"/>
          <w:right w:val="nil"/>
          <w:between w:val="nil"/>
        </w:pBdr>
        <w:tabs>
          <w:tab w:val="left" w:pos="851"/>
        </w:tabs>
        <w:spacing w:line="360" w:lineRule="auto"/>
        <w:ind w:left="425" w:right="426"/>
        <w:jc w:val="both"/>
        <w:rPr>
          <w:rFonts w:ascii="Palatino Linotype" w:eastAsia="Palatino Linotype" w:hAnsi="Palatino Linotype" w:cs="Palatino Linotype"/>
          <w:i/>
          <w:color w:val="000000"/>
        </w:rPr>
      </w:pPr>
      <w:r w:rsidRPr="00D75450">
        <w:rPr>
          <w:rFonts w:ascii="Palatino Linotype" w:eastAsia="Palatino Linotype" w:hAnsi="Palatino Linotype" w:cs="Palatino Linotype"/>
          <w:b/>
          <w:i/>
          <w:color w:val="000000"/>
        </w:rPr>
        <w:t>ACCESO A LA INFORMACIÓN. IMPLICACIÓN DEL PRINCIPIO DE MÁXIMA PUBLICIDAD EN EL DERECHO FUNDAMENTAL RELATIVO.</w:t>
      </w:r>
      <w:r w:rsidRPr="00D75450">
        <w:rPr>
          <w:rFonts w:ascii="Palatino Linotype" w:eastAsia="Palatino Linotype" w:hAnsi="Palatino Linotype" w:cs="Palatino Linotype"/>
          <w:i/>
          <w:color w:val="000000"/>
        </w:rPr>
        <w:t xml:space="preserve"> Del artículo 6o. de la Constitución Política de los Estados Unidos Mexicanos se advierte que el Estado Mexicano está constreñido a publicitar sus actos, pues se reconoce el derecho fundamental de los ciudadanos a acceder a la información que obra en poder de la autoridad, que como lo ha expuesto el Pleno de la Suprema Corte de Justicia de la Nación en la tesis P./J. 54/2008, publicada en el Semanario </w:t>
      </w:r>
      <w:r w:rsidRPr="00D75450">
        <w:rPr>
          <w:rFonts w:ascii="Palatino Linotype" w:eastAsia="Palatino Linotype" w:hAnsi="Palatino Linotype" w:cs="Palatino Linotype"/>
          <w:i/>
          <w:color w:val="000000"/>
        </w:rPr>
        <w:lastRenderedPageBreak/>
        <w:t>Judicial de la Federación y su Gaceta, Novena Época, Tomo XXVII, junio de 2008, página 743, de rubro: "ACCESO A LA INFORMACIÓN. SU NATURALEZA COMO GARANTÍAS INDIVIDUAL Y SOCIAL.", contiene una doble dimensión: individual y social. En su primer aspecto, cumple con la función de maximizar el campo de la autonomía personal, posibilitando el ejercicio de la libertad de expresión en un contexto de mayor diversidad de datos, voces y opiniones, mientras que en el segundo, brinda un derecho colectivo o social que tiende a revelar el empleo instrumental de la información no sólo como factor de autorrealización personal, sino como un mecanismo de control institucional, pues se trata de un derecho fundado en una de las características principales del gobierno republicano, que es la publicidad de los actos de gobierno y la transparencia en el actuar de la administración, conducente y necesaria para la rendición de cuentas. Por ello, el principio de máxima publicidad incorporado en el texto constitucional, implica para cualquier autoridad, realizar un manejo de la información bajo la premisa inicial que toda ella es pública y sólo por excepción, en los casos expresamente previstos en la legislación secundaria y justificados bajo determinadas circunstancias, se podrá clasificar como confidencial o reservada, esto es, considerarla con una calidad diversa. “</w:t>
      </w:r>
    </w:p>
    <w:p w:rsidR="00721BFD" w:rsidRPr="00D75450" w:rsidRDefault="00721BFD" w:rsidP="00B422AB">
      <w:pPr>
        <w:pBdr>
          <w:top w:val="nil"/>
          <w:left w:val="nil"/>
          <w:bottom w:val="nil"/>
          <w:right w:val="nil"/>
          <w:between w:val="nil"/>
        </w:pBdr>
        <w:tabs>
          <w:tab w:val="left" w:pos="851"/>
        </w:tabs>
        <w:spacing w:line="360" w:lineRule="auto"/>
        <w:ind w:right="426"/>
        <w:jc w:val="both"/>
        <w:rPr>
          <w:rFonts w:ascii="Palatino Linotype" w:eastAsia="Palatino Linotype" w:hAnsi="Palatino Linotype" w:cs="Palatino Linotype"/>
          <w:color w:val="000000"/>
        </w:rPr>
      </w:pPr>
    </w:p>
    <w:p w:rsidR="00955CFD" w:rsidRPr="00D75450" w:rsidRDefault="00955CFD" w:rsidP="00B422AB">
      <w:pPr>
        <w:numPr>
          <w:ilvl w:val="0"/>
          <w:numId w:val="3"/>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D75450">
        <w:rPr>
          <w:rFonts w:ascii="Palatino Linotype" w:eastAsia="Palatino Linotype" w:hAnsi="Palatino Linotype" w:cs="Palatino Linotype"/>
          <w:color w:val="222222"/>
        </w:rPr>
        <w:t xml:space="preserve">Por lo </w:t>
      </w:r>
      <w:r w:rsidRPr="00D75450">
        <w:rPr>
          <w:rFonts w:ascii="Palatino Linotype" w:eastAsia="Palatino Linotype" w:hAnsi="Palatino Linotype" w:cs="Palatino Linotype"/>
          <w:color w:val="000000"/>
        </w:rPr>
        <w:t>anteriormente</w:t>
      </w:r>
      <w:r w:rsidRPr="00D75450">
        <w:rPr>
          <w:rFonts w:ascii="Palatino Linotype" w:eastAsia="Palatino Linotype" w:hAnsi="Palatino Linotype" w:cs="Palatino Linotype"/>
          <w:color w:val="222222"/>
        </w:rPr>
        <w:t xml:space="preserve"> expuesto y fundado, este </w:t>
      </w:r>
      <w:r w:rsidRPr="00D75450">
        <w:rPr>
          <w:rFonts w:ascii="Palatino Linotype" w:eastAsia="Palatino Linotype" w:hAnsi="Palatino Linotype" w:cs="Palatino Linotype"/>
          <w:b/>
          <w:color w:val="222222"/>
        </w:rPr>
        <w:t>ÓRGANO GARANTE</w:t>
      </w:r>
      <w:r w:rsidRPr="00D75450">
        <w:rPr>
          <w:rFonts w:ascii="Palatino Linotype" w:eastAsia="Palatino Linotype" w:hAnsi="Palatino Linotype" w:cs="Palatino Linotype"/>
          <w:color w:val="222222"/>
        </w:rPr>
        <w:t xml:space="preserve"> emite los siguientes:</w:t>
      </w:r>
      <w:r w:rsidR="00D75450">
        <w:rPr>
          <w:rFonts w:ascii="Palatino Linotype" w:eastAsia="Palatino Linotype" w:hAnsi="Palatino Linotype" w:cs="Palatino Linotype"/>
          <w:color w:val="222222"/>
        </w:rPr>
        <w:t>--------------------------------------------------------------------------------------------------------------</w:t>
      </w:r>
    </w:p>
    <w:p w:rsidR="00D75450" w:rsidRDefault="00D75450" w:rsidP="00D7545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rsidR="00D75450" w:rsidRDefault="00D75450" w:rsidP="00D7545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rsidR="00D75450" w:rsidRDefault="00D75450" w:rsidP="00D7545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rsidR="00D75450" w:rsidRDefault="00D75450" w:rsidP="00D75450">
      <w:pPr>
        <w:pBdr>
          <w:top w:val="nil"/>
          <w:left w:val="nil"/>
          <w:bottom w:val="nil"/>
          <w:right w:val="nil"/>
          <w:between w:val="nil"/>
        </w:pBdr>
        <w:spacing w:line="360" w:lineRule="auto"/>
        <w:jc w:val="both"/>
        <w:rPr>
          <w:rFonts w:ascii="Palatino Linotype" w:eastAsia="Palatino Linotype" w:hAnsi="Palatino Linotype" w:cs="Palatino Linotype"/>
          <w:color w:val="222222"/>
        </w:rPr>
      </w:pPr>
    </w:p>
    <w:p w:rsidR="00D75450" w:rsidRPr="00D75450" w:rsidRDefault="00D75450" w:rsidP="00D75450">
      <w:pPr>
        <w:pBdr>
          <w:top w:val="nil"/>
          <w:left w:val="nil"/>
          <w:bottom w:val="nil"/>
          <w:right w:val="nil"/>
          <w:between w:val="nil"/>
        </w:pBdr>
        <w:spacing w:line="360" w:lineRule="auto"/>
        <w:jc w:val="both"/>
        <w:rPr>
          <w:rFonts w:ascii="Palatino Linotype" w:eastAsia="Palatino Linotype" w:hAnsi="Palatino Linotype" w:cs="Palatino Linotype"/>
        </w:rPr>
      </w:pPr>
    </w:p>
    <w:p w:rsidR="00955CFD" w:rsidRPr="00D75450" w:rsidRDefault="00955CFD" w:rsidP="000F3F9B">
      <w:pPr>
        <w:keepNext/>
        <w:keepLines/>
        <w:spacing w:line="360" w:lineRule="auto"/>
        <w:ind w:right="-929"/>
        <w:jc w:val="center"/>
        <w:rPr>
          <w:rFonts w:ascii="Palatino Linotype" w:eastAsia="Palatino Linotype" w:hAnsi="Palatino Linotype" w:cs="Palatino Linotype"/>
          <w:b/>
          <w:color w:val="000000"/>
        </w:rPr>
      </w:pPr>
      <w:r w:rsidRPr="00D75450">
        <w:rPr>
          <w:rFonts w:ascii="Palatino Linotype" w:eastAsia="Palatino Linotype" w:hAnsi="Palatino Linotype" w:cs="Palatino Linotype"/>
          <w:b/>
          <w:color w:val="000000"/>
        </w:rPr>
        <w:lastRenderedPageBreak/>
        <w:t>R E S O L U T I V O S</w:t>
      </w:r>
    </w:p>
    <w:p w:rsidR="00955CFD" w:rsidRPr="00D75450" w:rsidRDefault="00955CFD" w:rsidP="00B422AB">
      <w:pPr>
        <w:spacing w:line="360" w:lineRule="auto"/>
        <w:ind w:right="-929"/>
        <w:jc w:val="both"/>
        <w:rPr>
          <w:rFonts w:ascii="Palatino Linotype" w:eastAsia="Palatino Linotype" w:hAnsi="Palatino Linotype" w:cs="Palatino Linotype"/>
          <w:b/>
        </w:rPr>
      </w:pPr>
      <w:r w:rsidRPr="00D75450">
        <w:rPr>
          <w:rFonts w:ascii="Palatino Linotype" w:eastAsia="Palatino Linotype" w:hAnsi="Palatino Linotype" w:cs="Palatino Linotype"/>
          <w:b/>
        </w:rPr>
        <w:tab/>
      </w:r>
    </w:p>
    <w:p w:rsidR="000F3F9B" w:rsidRPr="00D75450" w:rsidRDefault="000F3F9B" w:rsidP="000F3F9B">
      <w:pPr>
        <w:spacing w:line="360" w:lineRule="auto"/>
        <w:jc w:val="both"/>
        <w:rPr>
          <w:rFonts w:ascii="Palatino Linotype" w:hAnsi="Palatino Linotype" w:cs="Arial"/>
          <w:bCs/>
        </w:rPr>
      </w:pPr>
      <w:r w:rsidRPr="00D75450">
        <w:rPr>
          <w:rFonts w:ascii="Palatino Linotype" w:hAnsi="Palatino Linotype" w:cs="Arial"/>
          <w:b/>
          <w:bCs/>
        </w:rPr>
        <w:t>PRIMERO</w:t>
      </w:r>
      <w:r w:rsidRPr="00D75450">
        <w:rPr>
          <w:rFonts w:ascii="Palatino Linotype" w:hAnsi="Palatino Linotype" w:cs="Arial"/>
        </w:rPr>
        <w:t xml:space="preserve">. Resultan infundadas las </w:t>
      </w:r>
      <w:r w:rsidRPr="00D75450">
        <w:rPr>
          <w:rFonts w:ascii="Palatino Linotype" w:hAnsi="Palatino Linotype" w:cs="Arial"/>
          <w:lang w:val="es-ES"/>
        </w:rPr>
        <w:t xml:space="preserve">razones o motivos de </w:t>
      </w:r>
      <w:r w:rsidRPr="00D75450">
        <w:rPr>
          <w:rFonts w:ascii="Palatino Linotype" w:eastAsia="Palatino Linotype" w:hAnsi="Palatino Linotype" w:cs="Palatino Linotype"/>
        </w:rPr>
        <w:t>inconformidad</w:t>
      </w:r>
      <w:r w:rsidRPr="00D75450">
        <w:rPr>
          <w:rFonts w:ascii="Palatino Linotype" w:hAnsi="Palatino Linotype" w:cs="Arial"/>
          <w:lang w:val="es-ES"/>
        </w:rPr>
        <w:t xml:space="preserve"> hechos valer en los Recursos de Revisión </w:t>
      </w:r>
      <w:r w:rsidRPr="00D75450">
        <w:rPr>
          <w:rFonts w:ascii="Palatino Linotype" w:eastAsia="Calibri" w:hAnsi="Palatino Linotype" w:cs="Tahoma"/>
          <w:b/>
        </w:rPr>
        <w:t>12108/INFOEM/IP/RR/2025</w:t>
      </w:r>
      <w:r w:rsidRPr="00D75450">
        <w:rPr>
          <w:rFonts w:ascii="Palatino Linotype" w:hAnsi="Palatino Linotype" w:cs="Arial"/>
          <w:bCs/>
        </w:rPr>
        <w:t xml:space="preserve">, en términos del Considerando </w:t>
      </w:r>
      <w:r w:rsidRPr="00D75450">
        <w:rPr>
          <w:rFonts w:ascii="Palatino Linotype" w:hAnsi="Palatino Linotype" w:cs="Arial"/>
          <w:b/>
          <w:bCs/>
        </w:rPr>
        <w:t>CUARTO</w:t>
      </w:r>
      <w:r w:rsidRPr="00D75450">
        <w:rPr>
          <w:rFonts w:ascii="Palatino Linotype" w:hAnsi="Palatino Linotype" w:cs="Arial"/>
          <w:bCs/>
        </w:rPr>
        <w:t xml:space="preserve"> de la presente Resolución.</w:t>
      </w:r>
    </w:p>
    <w:p w:rsidR="000F3F9B" w:rsidRPr="00D75450" w:rsidRDefault="000F3F9B" w:rsidP="000F3F9B">
      <w:pPr>
        <w:spacing w:line="360" w:lineRule="auto"/>
        <w:jc w:val="both"/>
        <w:rPr>
          <w:rFonts w:ascii="Palatino Linotype" w:hAnsi="Palatino Linotype" w:cs="Arial"/>
          <w:bCs/>
        </w:rPr>
      </w:pPr>
    </w:p>
    <w:p w:rsidR="000F3F9B" w:rsidRPr="00D75450" w:rsidRDefault="000F3F9B" w:rsidP="000F3F9B">
      <w:pPr>
        <w:spacing w:line="360" w:lineRule="auto"/>
        <w:jc w:val="both"/>
        <w:rPr>
          <w:rFonts w:ascii="Palatino Linotype" w:hAnsi="Palatino Linotype" w:cs="Arial"/>
          <w:b/>
          <w:bCs/>
        </w:rPr>
      </w:pPr>
      <w:r w:rsidRPr="00D75450">
        <w:rPr>
          <w:rFonts w:ascii="Palatino Linotype" w:hAnsi="Palatino Linotype" w:cs="Arial"/>
          <w:b/>
        </w:rPr>
        <w:t>SEGUNDO</w:t>
      </w:r>
      <w:r w:rsidRPr="00D75450">
        <w:rPr>
          <w:rFonts w:ascii="Palatino Linotype" w:hAnsi="Palatino Linotype" w:cs="Arial"/>
        </w:rPr>
        <w:t xml:space="preserve">. </w:t>
      </w:r>
      <w:r w:rsidRPr="00D75450">
        <w:rPr>
          <w:rFonts w:ascii="Palatino Linotype" w:hAnsi="Palatino Linotype" w:cs="Arial"/>
          <w:lang w:val="es-ES"/>
        </w:rPr>
        <w:t xml:space="preserve">Se </w:t>
      </w:r>
      <w:r w:rsidRPr="00D75450">
        <w:rPr>
          <w:rFonts w:ascii="Palatino Linotype" w:hAnsi="Palatino Linotype" w:cs="Arial"/>
          <w:b/>
          <w:lang w:val="es-ES"/>
        </w:rPr>
        <w:t>CONFIRMA</w:t>
      </w:r>
      <w:r w:rsidRPr="00D75450">
        <w:rPr>
          <w:rFonts w:ascii="Palatino Linotype" w:hAnsi="Palatino Linotype" w:cs="Arial"/>
          <w:lang w:val="es-ES"/>
        </w:rPr>
        <w:t xml:space="preserve"> la respuesta emitida por la </w:t>
      </w:r>
      <w:r w:rsidRPr="00D75450">
        <w:rPr>
          <w:rFonts w:ascii="Palatino Linotype" w:eastAsia="Palatino Linotype" w:hAnsi="Palatino Linotype" w:cs="Palatino Linotype"/>
          <w:color w:val="000000"/>
        </w:rPr>
        <w:t>Protectora de Bosques del Estado de México</w:t>
      </w:r>
      <w:r w:rsidRPr="00D75450">
        <w:rPr>
          <w:rFonts w:ascii="Palatino Linotype" w:hAnsi="Palatino Linotype" w:cs="Arial"/>
          <w:b/>
          <w:lang w:val="es-ES"/>
        </w:rPr>
        <w:t xml:space="preserve">, </w:t>
      </w:r>
      <w:r w:rsidRPr="00D75450">
        <w:rPr>
          <w:rFonts w:ascii="Palatino Linotype" w:hAnsi="Palatino Linotype" w:cs="Arial"/>
          <w:lang w:val="es-ES"/>
        </w:rPr>
        <w:t>en la Solicitud de Acceso a la Información Pública:</w:t>
      </w:r>
      <w:r w:rsidRPr="00D75450">
        <w:rPr>
          <w:rFonts w:ascii="Palatino Linotype" w:hAnsi="Palatino Linotype" w:cs="Arial"/>
          <w:b/>
          <w:bCs/>
        </w:rPr>
        <w:t> 00111/PROBOSQUE/IP/2025.</w:t>
      </w:r>
    </w:p>
    <w:p w:rsidR="000F3F9B" w:rsidRPr="00D75450" w:rsidRDefault="000F3F9B" w:rsidP="000F3F9B">
      <w:pPr>
        <w:spacing w:line="360" w:lineRule="auto"/>
        <w:jc w:val="both"/>
        <w:rPr>
          <w:rFonts w:ascii="Palatino Linotype" w:hAnsi="Palatino Linotype" w:cs="Arial"/>
          <w:b/>
          <w:bCs/>
        </w:rPr>
      </w:pPr>
    </w:p>
    <w:p w:rsidR="000F3F9B" w:rsidRPr="00D75450" w:rsidRDefault="000F3F9B" w:rsidP="000F3F9B">
      <w:pPr>
        <w:spacing w:line="360" w:lineRule="auto"/>
        <w:jc w:val="both"/>
        <w:rPr>
          <w:rFonts w:ascii="Palatino Linotype" w:eastAsia="Palatino Linotype" w:hAnsi="Palatino Linotype" w:cs="Palatino Linotype"/>
        </w:rPr>
      </w:pPr>
      <w:r w:rsidRPr="00D75450">
        <w:rPr>
          <w:rFonts w:ascii="Palatino Linotype" w:eastAsia="Palatino Linotype" w:hAnsi="Palatino Linotype" w:cs="Palatino Linotype"/>
          <w:b/>
        </w:rPr>
        <w:t>TERCERO.</w:t>
      </w:r>
      <w:r w:rsidRPr="00D75450">
        <w:rPr>
          <w:rFonts w:ascii="Palatino Linotype" w:eastAsia="Palatino Linotype" w:hAnsi="Palatino Linotype" w:cs="Palatino Linotype"/>
        </w:rPr>
        <w:t xml:space="preserve"> Notifíquese al Titular de la Unidad de Transparencia del</w:t>
      </w:r>
      <w:r w:rsidRPr="00D75450">
        <w:rPr>
          <w:rFonts w:ascii="Palatino Linotype" w:eastAsia="Palatino Linotype" w:hAnsi="Palatino Linotype" w:cs="Palatino Linotype"/>
          <w:b/>
        </w:rPr>
        <w:t xml:space="preserve"> SUJETO OBLIGADO</w:t>
      </w:r>
      <w:r w:rsidRPr="00D75450">
        <w:rPr>
          <w:rFonts w:ascii="Palatino Linotype" w:eastAsia="Palatino Linotype" w:hAnsi="Palatino Linotype" w:cs="Palatino Linotype"/>
        </w:rPr>
        <w:t xml:space="preserve"> vía </w:t>
      </w:r>
      <w:r w:rsidRPr="00D75450">
        <w:rPr>
          <w:rFonts w:ascii="Palatino Linotype" w:eastAsia="Palatino Linotype" w:hAnsi="Palatino Linotype" w:cs="Palatino Linotype"/>
          <w:b/>
        </w:rPr>
        <w:t>SAIMEX</w:t>
      </w:r>
      <w:r w:rsidRPr="00D75450">
        <w:rPr>
          <w:rFonts w:ascii="Palatino Linotype" w:eastAsia="Palatino Linotype" w:hAnsi="Palatino Linotype" w:cs="Palatino Linotype"/>
        </w:rPr>
        <w:t>, para su conocimiento.</w:t>
      </w:r>
    </w:p>
    <w:p w:rsidR="000F3F9B" w:rsidRPr="00D75450" w:rsidRDefault="000F3F9B" w:rsidP="000F3F9B">
      <w:pPr>
        <w:shd w:val="clear" w:color="auto" w:fill="FFFFFF"/>
        <w:spacing w:line="360" w:lineRule="auto"/>
        <w:jc w:val="both"/>
        <w:rPr>
          <w:rFonts w:ascii="Palatino Linotype" w:eastAsia="Palatino Linotype" w:hAnsi="Palatino Linotype" w:cs="Palatino Linotype"/>
        </w:rPr>
      </w:pPr>
    </w:p>
    <w:p w:rsidR="000F3F9B" w:rsidRPr="00D75450" w:rsidRDefault="000F3F9B" w:rsidP="000F3F9B">
      <w:pPr>
        <w:shd w:val="clear" w:color="auto" w:fill="FFFFFF"/>
        <w:spacing w:line="360" w:lineRule="auto"/>
        <w:jc w:val="both"/>
        <w:rPr>
          <w:rFonts w:ascii="Palatino Linotype" w:eastAsia="Palatino Linotype" w:hAnsi="Palatino Linotype" w:cs="Palatino Linotype"/>
        </w:rPr>
      </w:pPr>
      <w:r w:rsidRPr="00D75450">
        <w:rPr>
          <w:rFonts w:ascii="Palatino Linotype" w:eastAsia="Palatino Linotype" w:hAnsi="Palatino Linotype" w:cs="Palatino Linotype"/>
          <w:b/>
        </w:rPr>
        <w:t>CUARTO.</w:t>
      </w:r>
      <w:r w:rsidR="00DB03DB" w:rsidRPr="00D75450">
        <w:rPr>
          <w:rFonts w:ascii="Palatino Linotype" w:eastAsia="Palatino Linotype" w:hAnsi="Palatino Linotype" w:cs="Palatino Linotype"/>
        </w:rPr>
        <w:t xml:space="preserve"> Notifíquese al</w:t>
      </w:r>
      <w:r w:rsidRPr="00D75450">
        <w:rPr>
          <w:rFonts w:ascii="Palatino Linotype" w:eastAsia="Palatino Linotype" w:hAnsi="Palatino Linotype" w:cs="Palatino Linotype"/>
          <w:b/>
        </w:rPr>
        <w:t xml:space="preserve"> RECURRENTE</w:t>
      </w:r>
      <w:r w:rsidRPr="00D75450">
        <w:rPr>
          <w:rFonts w:ascii="Palatino Linotype" w:eastAsia="Palatino Linotype" w:hAnsi="Palatino Linotype" w:cs="Palatino Linotype"/>
        </w:rPr>
        <w:t xml:space="preserve"> la presente Resolución vía SAIMEX.</w:t>
      </w:r>
    </w:p>
    <w:p w:rsidR="000F3F9B" w:rsidRPr="00D75450" w:rsidRDefault="000F3F9B" w:rsidP="000F3F9B">
      <w:pPr>
        <w:shd w:val="clear" w:color="auto" w:fill="FFFFFF"/>
        <w:spacing w:line="360" w:lineRule="auto"/>
        <w:jc w:val="both"/>
        <w:rPr>
          <w:rFonts w:ascii="Palatino Linotype" w:eastAsia="Palatino Linotype" w:hAnsi="Palatino Linotype" w:cs="Palatino Linotype"/>
          <w:b/>
        </w:rPr>
      </w:pPr>
    </w:p>
    <w:p w:rsidR="000F3F9B" w:rsidRPr="00D75450" w:rsidRDefault="000F3F9B" w:rsidP="000F3F9B">
      <w:pPr>
        <w:shd w:val="clear" w:color="auto" w:fill="FFFFFF"/>
        <w:spacing w:line="360" w:lineRule="auto"/>
        <w:jc w:val="both"/>
        <w:rPr>
          <w:rFonts w:ascii="Palatino Linotype" w:eastAsia="Palatino Linotype" w:hAnsi="Palatino Linotype" w:cs="Palatino Linotype"/>
        </w:rPr>
      </w:pPr>
      <w:r w:rsidRPr="00D75450">
        <w:rPr>
          <w:rFonts w:ascii="Palatino Linotype" w:eastAsia="Palatino Linotype" w:hAnsi="Palatino Linotype" w:cs="Palatino Linotype"/>
          <w:b/>
        </w:rPr>
        <w:t xml:space="preserve">QUINTO. </w:t>
      </w:r>
      <w:r w:rsidRPr="00D75450">
        <w:rPr>
          <w:rFonts w:ascii="Palatino Linotype" w:eastAsia="Times New Roman" w:hAnsi="Palatino Linotype" w:cs="Times New Roman"/>
        </w:rPr>
        <w:t>Se hace del conocimiento de la</w:t>
      </w:r>
      <w:r w:rsidRPr="00D75450">
        <w:rPr>
          <w:rFonts w:ascii="Palatino Linotype" w:eastAsia="Times New Roman" w:hAnsi="Palatino Linotype" w:cs="Times New Roman"/>
          <w:b/>
        </w:rPr>
        <w:t xml:space="preserve"> RECURRENTE</w:t>
      </w:r>
      <w:r w:rsidRPr="00D75450">
        <w:rPr>
          <w:rFonts w:ascii="Palatino Linotype" w:eastAsia="Times New Roman" w:hAnsi="Palatino Linotype" w:cs="Times New Roman"/>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D75450">
        <w:rPr>
          <w:rFonts w:ascii="Palatino Linotype" w:eastAsia="Times New Roman" w:hAnsi="Palatino Linotype" w:cs="Times New Roman"/>
          <w:bCs/>
        </w:rPr>
        <w:t>vía juicio de amparo</w:t>
      </w:r>
      <w:r w:rsidRPr="00D75450">
        <w:rPr>
          <w:rFonts w:ascii="Palatino Linotype" w:eastAsia="Times New Roman" w:hAnsi="Palatino Linotype" w:cs="Times New Roman"/>
        </w:rPr>
        <w:t> en los términos de las leyes aplicables.</w:t>
      </w:r>
    </w:p>
    <w:p w:rsidR="00ED15A2" w:rsidRPr="00D75450" w:rsidRDefault="00ED15A2" w:rsidP="00B422AB">
      <w:pPr>
        <w:shd w:val="clear" w:color="auto" w:fill="FFFFFF"/>
        <w:spacing w:line="360" w:lineRule="auto"/>
        <w:jc w:val="both"/>
        <w:rPr>
          <w:rFonts w:ascii="Palatino Linotype" w:eastAsia="Calibri" w:hAnsi="Palatino Linotype"/>
          <w:color w:val="000000" w:themeColor="text1"/>
          <w:lang w:val="es-MX" w:eastAsia="en-US"/>
        </w:rPr>
      </w:pPr>
    </w:p>
    <w:p w:rsidR="00DB03DB" w:rsidRPr="00D75450" w:rsidRDefault="00DB03DB" w:rsidP="00DB03DB">
      <w:pPr>
        <w:spacing w:before="240" w:after="240" w:line="360" w:lineRule="auto"/>
        <w:ind w:firstLine="1"/>
        <w:jc w:val="both"/>
        <w:rPr>
          <w:rFonts w:ascii="Palatino Linotype" w:hAnsi="Palatino Linotype"/>
        </w:rPr>
      </w:pPr>
      <w:bookmarkStart w:id="8" w:name="_Hlk99014733"/>
      <w:r w:rsidRPr="00D75450">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w:t>
      </w:r>
      <w:r w:rsidRPr="00D75450">
        <w:rPr>
          <w:rFonts w:ascii="Palatino Linotype" w:hAnsi="Palatino Linotype" w:cs="Palatino Linotype"/>
        </w:rPr>
        <w:lastRenderedPageBreak/>
        <w:t xml:space="preserve">SHARON CRISTINA MORALES MARTÍNEZ, LUIS GUSTAVO PARRA NORIEGA Y GUADALUPE RAMÍREZ PEÑA; EN LA SEXTA SESIÓN ORDINARIA, CELEBRADA EL DIECIOCHO (18) DE FEBRERO DE DOS MIL VEINTISÉIS, ANTE EL SECRETARIO TÉCNICO DEL PLENO </w:t>
      </w:r>
      <w:r w:rsidRPr="00D75450">
        <w:rPr>
          <w:rFonts w:ascii="Palatino Linotype" w:hAnsi="Palatino Linotype" w:cs="Palatino Linotype"/>
          <w:color w:val="000000" w:themeColor="text1"/>
        </w:rPr>
        <w:t>ALEXIS TAPIA RAMÍREZ.</w:t>
      </w:r>
    </w:p>
    <w:bookmarkEnd w:id="8"/>
    <w:p w:rsidR="00E31311" w:rsidRPr="00D75450" w:rsidRDefault="00E31311" w:rsidP="00B422AB">
      <w:pPr>
        <w:spacing w:line="360" w:lineRule="auto"/>
        <w:jc w:val="both"/>
        <w:rPr>
          <w:rFonts w:ascii="Palatino Linotype" w:eastAsia="Palatino Linotype" w:hAnsi="Palatino Linotype" w:cs="Palatino Linotype"/>
        </w:rPr>
      </w:pPr>
    </w:p>
    <w:p w:rsidR="00E31311" w:rsidRPr="00D75450" w:rsidRDefault="00E31311" w:rsidP="00B422AB">
      <w:pPr>
        <w:spacing w:line="360" w:lineRule="auto"/>
        <w:jc w:val="both"/>
        <w:rPr>
          <w:rFonts w:ascii="Palatino Linotype" w:eastAsia="Palatino Linotype" w:hAnsi="Palatino Linotype" w:cs="Palatino Linotype"/>
        </w:rPr>
      </w:pPr>
    </w:p>
    <w:p w:rsidR="00E31311" w:rsidRPr="00D75450" w:rsidRDefault="00E31311" w:rsidP="00B422AB">
      <w:pPr>
        <w:spacing w:line="360" w:lineRule="auto"/>
        <w:jc w:val="both"/>
        <w:rPr>
          <w:rFonts w:ascii="Palatino Linotype" w:eastAsia="Palatino Linotype" w:hAnsi="Palatino Linotype" w:cs="Palatino Linotype"/>
        </w:rPr>
      </w:pPr>
    </w:p>
    <w:p w:rsidR="00E31311" w:rsidRPr="00D75450" w:rsidRDefault="00E31311" w:rsidP="00B422AB">
      <w:pPr>
        <w:spacing w:line="360" w:lineRule="auto"/>
        <w:jc w:val="both"/>
        <w:rPr>
          <w:rFonts w:ascii="Palatino Linotype" w:eastAsia="Palatino Linotype" w:hAnsi="Palatino Linotype" w:cs="Palatino Linotype"/>
        </w:rPr>
      </w:pPr>
    </w:p>
    <w:p w:rsidR="00E31311" w:rsidRPr="00D75450" w:rsidRDefault="00E31311" w:rsidP="00B422AB">
      <w:pPr>
        <w:spacing w:line="360" w:lineRule="auto"/>
        <w:jc w:val="both"/>
        <w:rPr>
          <w:rFonts w:ascii="Palatino Linotype" w:eastAsia="Palatino Linotype" w:hAnsi="Palatino Linotype" w:cs="Palatino Linotype"/>
        </w:rPr>
      </w:pPr>
    </w:p>
    <w:p w:rsidR="00E31311" w:rsidRPr="00D75450" w:rsidRDefault="00E31311" w:rsidP="00B422AB">
      <w:pPr>
        <w:spacing w:line="360" w:lineRule="auto"/>
        <w:jc w:val="both"/>
        <w:rPr>
          <w:rFonts w:ascii="Palatino Linotype" w:eastAsia="Palatino Linotype" w:hAnsi="Palatino Linotype" w:cs="Palatino Linotype"/>
        </w:rPr>
      </w:pPr>
    </w:p>
    <w:p w:rsidR="00E31311" w:rsidRPr="00D75450" w:rsidRDefault="00E31311" w:rsidP="00B422AB">
      <w:pPr>
        <w:spacing w:line="360" w:lineRule="auto"/>
        <w:jc w:val="both"/>
        <w:rPr>
          <w:rFonts w:ascii="Palatino Linotype" w:eastAsia="Palatino Linotype" w:hAnsi="Palatino Linotype" w:cs="Palatino Linotype"/>
        </w:rPr>
      </w:pPr>
    </w:p>
    <w:p w:rsidR="00E31311" w:rsidRPr="00D75450" w:rsidRDefault="00E31311" w:rsidP="00B422AB">
      <w:pPr>
        <w:spacing w:line="360" w:lineRule="auto"/>
        <w:jc w:val="both"/>
        <w:rPr>
          <w:rFonts w:ascii="Palatino Linotype" w:eastAsia="Palatino Linotype" w:hAnsi="Palatino Linotype" w:cs="Palatino Linotype"/>
        </w:rPr>
      </w:pPr>
    </w:p>
    <w:p w:rsidR="00E31311" w:rsidRPr="00D75450" w:rsidRDefault="00E31311" w:rsidP="00B422AB">
      <w:pPr>
        <w:spacing w:line="360" w:lineRule="auto"/>
        <w:jc w:val="both"/>
        <w:rPr>
          <w:rFonts w:ascii="Palatino Linotype" w:eastAsia="Palatino Linotype" w:hAnsi="Palatino Linotype" w:cs="Palatino Linotype"/>
        </w:rPr>
      </w:pPr>
    </w:p>
    <w:p w:rsidR="00E31311" w:rsidRPr="00D75450" w:rsidRDefault="00E31311" w:rsidP="00B422AB">
      <w:pPr>
        <w:spacing w:line="360" w:lineRule="auto"/>
        <w:rPr>
          <w:rFonts w:ascii="Palatino Linotype" w:eastAsia="Palatino Linotype" w:hAnsi="Palatino Linotype" w:cs="Palatino Linotype"/>
        </w:rPr>
      </w:pPr>
    </w:p>
    <w:p w:rsidR="00E31311" w:rsidRPr="00D75450" w:rsidRDefault="00E31311" w:rsidP="00B422AB">
      <w:pPr>
        <w:spacing w:line="360" w:lineRule="auto"/>
        <w:rPr>
          <w:rFonts w:ascii="Palatino Linotype" w:eastAsia="Palatino Linotype" w:hAnsi="Palatino Linotype" w:cs="Palatino Linotype"/>
        </w:rPr>
      </w:pPr>
    </w:p>
    <w:p w:rsidR="00E31311" w:rsidRPr="00D75450" w:rsidRDefault="00E31311" w:rsidP="00B422AB">
      <w:pPr>
        <w:spacing w:line="360" w:lineRule="auto"/>
        <w:rPr>
          <w:rFonts w:ascii="Palatino Linotype" w:eastAsia="Palatino Linotype" w:hAnsi="Palatino Linotype" w:cs="Palatino Linotype"/>
        </w:rPr>
      </w:pPr>
    </w:p>
    <w:p w:rsidR="00E31311" w:rsidRPr="00D75450" w:rsidRDefault="00E31311" w:rsidP="00B422AB">
      <w:pPr>
        <w:spacing w:line="360" w:lineRule="auto"/>
        <w:rPr>
          <w:rFonts w:ascii="Palatino Linotype" w:eastAsia="Palatino Linotype" w:hAnsi="Palatino Linotype" w:cs="Palatino Linotype"/>
        </w:rPr>
      </w:pPr>
    </w:p>
    <w:p w:rsidR="00E31311" w:rsidRPr="00D75450" w:rsidRDefault="00E31311" w:rsidP="00B422AB">
      <w:pPr>
        <w:spacing w:line="360" w:lineRule="auto"/>
        <w:rPr>
          <w:rFonts w:ascii="Palatino Linotype" w:eastAsia="Palatino Linotype" w:hAnsi="Palatino Linotype" w:cs="Palatino Linotype"/>
        </w:rPr>
      </w:pPr>
    </w:p>
    <w:p w:rsidR="00E31311" w:rsidRPr="00D75450" w:rsidRDefault="00E31311" w:rsidP="00B422AB">
      <w:pPr>
        <w:spacing w:line="360" w:lineRule="auto"/>
        <w:rPr>
          <w:rFonts w:ascii="Palatino Linotype" w:eastAsia="Palatino Linotype" w:hAnsi="Palatino Linotype" w:cs="Palatino Linotype"/>
        </w:rPr>
      </w:pPr>
    </w:p>
    <w:p w:rsidR="00E31311" w:rsidRPr="00D75450" w:rsidRDefault="00E31311" w:rsidP="00B422AB">
      <w:pPr>
        <w:spacing w:line="360" w:lineRule="auto"/>
        <w:rPr>
          <w:rFonts w:ascii="Palatino Linotype" w:eastAsia="Palatino Linotype" w:hAnsi="Palatino Linotype" w:cs="Palatino Linotype"/>
        </w:rPr>
      </w:pPr>
    </w:p>
    <w:p w:rsidR="00E31311" w:rsidRPr="00D75450" w:rsidRDefault="00DF6EAE" w:rsidP="00B422AB">
      <w:pPr>
        <w:tabs>
          <w:tab w:val="left" w:pos="3374"/>
        </w:tabs>
        <w:spacing w:line="360" w:lineRule="auto"/>
        <w:rPr>
          <w:rFonts w:ascii="Palatino Linotype" w:eastAsia="Palatino Linotype" w:hAnsi="Palatino Linotype" w:cs="Palatino Linotype"/>
        </w:rPr>
      </w:pPr>
      <w:r w:rsidRPr="00D75450">
        <w:rPr>
          <w:rFonts w:ascii="Palatino Linotype" w:eastAsia="Palatino Linotype" w:hAnsi="Palatino Linotype" w:cs="Palatino Linotype"/>
        </w:rPr>
        <w:tab/>
      </w: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tabs>
          <w:tab w:val="left" w:pos="3374"/>
        </w:tabs>
        <w:spacing w:line="360" w:lineRule="auto"/>
        <w:rPr>
          <w:rFonts w:ascii="Palatino Linotype" w:eastAsia="Palatino Linotype" w:hAnsi="Palatino Linotype" w:cs="Palatino Linotype"/>
        </w:rPr>
      </w:pPr>
    </w:p>
    <w:p w:rsidR="00E31311" w:rsidRPr="00D75450" w:rsidRDefault="00E31311" w:rsidP="00B422AB">
      <w:pPr>
        <w:spacing w:line="360" w:lineRule="auto"/>
        <w:rPr>
          <w:rFonts w:ascii="Palatino Linotype" w:hAnsi="Palatino Linotype"/>
        </w:rPr>
      </w:pPr>
    </w:p>
    <w:sectPr w:rsidR="00E31311" w:rsidRPr="00D75450" w:rsidSect="00D75450">
      <w:headerReference w:type="even" r:id="rId8"/>
      <w:headerReference w:type="default" r:id="rId9"/>
      <w:footerReference w:type="default" r:id="rId10"/>
      <w:headerReference w:type="first" r:id="rId11"/>
      <w:footerReference w:type="first" r:id="rId12"/>
      <w:pgSz w:w="12240" w:h="15840"/>
      <w:pgMar w:top="2268" w:right="616"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48B6" w:rsidRDefault="00DC48B6">
      <w:r>
        <w:separator/>
      </w:r>
    </w:p>
  </w:endnote>
  <w:endnote w:type="continuationSeparator" w:id="0">
    <w:p w:rsidR="00DC48B6" w:rsidRDefault="00DC4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AAD" w:rsidRPr="00D75450" w:rsidRDefault="00543AAD">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75450">
      <w:rPr>
        <w:rFonts w:ascii="Palatino Linotype" w:eastAsia="Palatino Linotype" w:hAnsi="Palatino Linotype" w:cs="Palatino Linotype"/>
        <w:b/>
        <w:color w:val="000000"/>
        <w:sz w:val="22"/>
        <w:szCs w:val="20"/>
      </w:rPr>
      <w:t xml:space="preserve">Página </w:t>
    </w:r>
    <w:r w:rsidRPr="00D75450">
      <w:rPr>
        <w:rFonts w:ascii="Palatino Linotype" w:eastAsia="Palatino Linotype" w:hAnsi="Palatino Linotype" w:cs="Palatino Linotype"/>
        <w:b/>
        <w:color w:val="000000"/>
        <w:sz w:val="22"/>
        <w:szCs w:val="20"/>
      </w:rPr>
      <w:fldChar w:fldCharType="begin"/>
    </w:r>
    <w:r w:rsidRPr="00D75450">
      <w:rPr>
        <w:rFonts w:ascii="Palatino Linotype" w:eastAsia="Palatino Linotype" w:hAnsi="Palatino Linotype" w:cs="Palatino Linotype"/>
        <w:b/>
        <w:color w:val="000000"/>
        <w:sz w:val="22"/>
        <w:szCs w:val="20"/>
      </w:rPr>
      <w:instrText>PAGE</w:instrText>
    </w:r>
    <w:r w:rsidRPr="00D75450">
      <w:rPr>
        <w:rFonts w:ascii="Palatino Linotype" w:eastAsia="Palatino Linotype" w:hAnsi="Palatino Linotype" w:cs="Palatino Linotype"/>
        <w:b/>
        <w:color w:val="000000"/>
        <w:sz w:val="22"/>
        <w:szCs w:val="20"/>
      </w:rPr>
      <w:fldChar w:fldCharType="separate"/>
    </w:r>
    <w:r w:rsidR="00CD34F9">
      <w:rPr>
        <w:rFonts w:ascii="Palatino Linotype" w:eastAsia="Palatino Linotype" w:hAnsi="Palatino Linotype" w:cs="Palatino Linotype"/>
        <w:b/>
        <w:noProof/>
        <w:color w:val="000000"/>
        <w:sz w:val="22"/>
        <w:szCs w:val="20"/>
      </w:rPr>
      <w:t>21</w:t>
    </w:r>
    <w:r w:rsidRPr="00D75450">
      <w:rPr>
        <w:rFonts w:ascii="Palatino Linotype" w:eastAsia="Palatino Linotype" w:hAnsi="Palatino Linotype" w:cs="Palatino Linotype"/>
        <w:b/>
        <w:color w:val="000000"/>
        <w:sz w:val="22"/>
        <w:szCs w:val="20"/>
      </w:rPr>
      <w:fldChar w:fldCharType="end"/>
    </w:r>
    <w:r w:rsidRPr="00D75450">
      <w:rPr>
        <w:rFonts w:ascii="Palatino Linotype" w:eastAsia="Palatino Linotype" w:hAnsi="Palatino Linotype" w:cs="Palatino Linotype"/>
        <w:b/>
        <w:color w:val="000000"/>
        <w:sz w:val="22"/>
        <w:szCs w:val="20"/>
      </w:rPr>
      <w:t xml:space="preserve"> de </w:t>
    </w:r>
    <w:r w:rsidRPr="00D75450">
      <w:rPr>
        <w:rFonts w:ascii="Palatino Linotype" w:eastAsia="Palatino Linotype" w:hAnsi="Palatino Linotype" w:cs="Palatino Linotype"/>
        <w:b/>
        <w:color w:val="000000"/>
        <w:sz w:val="22"/>
        <w:szCs w:val="20"/>
      </w:rPr>
      <w:fldChar w:fldCharType="begin"/>
    </w:r>
    <w:r w:rsidRPr="00D75450">
      <w:rPr>
        <w:rFonts w:ascii="Palatino Linotype" w:eastAsia="Palatino Linotype" w:hAnsi="Palatino Linotype" w:cs="Palatino Linotype"/>
        <w:b/>
        <w:color w:val="000000"/>
        <w:sz w:val="22"/>
        <w:szCs w:val="20"/>
      </w:rPr>
      <w:instrText>NUMPAGES</w:instrText>
    </w:r>
    <w:r w:rsidRPr="00D75450">
      <w:rPr>
        <w:rFonts w:ascii="Palatino Linotype" w:eastAsia="Palatino Linotype" w:hAnsi="Palatino Linotype" w:cs="Palatino Linotype"/>
        <w:b/>
        <w:color w:val="000000"/>
        <w:sz w:val="22"/>
        <w:szCs w:val="20"/>
      </w:rPr>
      <w:fldChar w:fldCharType="separate"/>
    </w:r>
    <w:r w:rsidR="00CD34F9">
      <w:rPr>
        <w:rFonts w:ascii="Palatino Linotype" w:eastAsia="Palatino Linotype" w:hAnsi="Palatino Linotype" w:cs="Palatino Linotype"/>
        <w:b/>
        <w:noProof/>
        <w:color w:val="000000"/>
        <w:sz w:val="22"/>
        <w:szCs w:val="20"/>
      </w:rPr>
      <w:t>21</w:t>
    </w:r>
    <w:r w:rsidRPr="00D75450">
      <w:rPr>
        <w:rFonts w:ascii="Palatino Linotype" w:eastAsia="Palatino Linotype" w:hAnsi="Palatino Linotype" w:cs="Palatino Linotype"/>
        <w:b/>
        <w:color w:val="000000"/>
        <w:sz w:val="22"/>
        <w:szCs w:val="20"/>
      </w:rPr>
      <w:fldChar w:fldCharType="end"/>
    </w:r>
  </w:p>
  <w:p w:rsidR="00543AAD" w:rsidRPr="00D75450" w:rsidRDefault="00543AAD">
    <w:pPr>
      <w:pBdr>
        <w:top w:val="nil"/>
        <w:left w:val="nil"/>
        <w:bottom w:val="nil"/>
        <w:right w:val="nil"/>
        <w:between w:val="nil"/>
      </w:pBdr>
      <w:tabs>
        <w:tab w:val="center" w:pos="4419"/>
        <w:tab w:val="right" w:pos="8838"/>
      </w:tabs>
      <w:rPr>
        <w:rFonts w:eastAsia="Calibri"/>
        <w:b/>
        <w:color w:val="000000"/>
        <w:sz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AAD" w:rsidRPr="00D75450" w:rsidRDefault="00543AAD">
    <w:pPr>
      <w:pBdr>
        <w:top w:val="nil"/>
        <w:left w:val="nil"/>
        <w:bottom w:val="nil"/>
        <w:right w:val="nil"/>
        <w:between w:val="nil"/>
      </w:pBdr>
      <w:tabs>
        <w:tab w:val="center" w:pos="4419"/>
        <w:tab w:val="right" w:pos="8838"/>
      </w:tabs>
      <w:jc w:val="right"/>
      <w:rPr>
        <w:rFonts w:ascii="Palatino Linotype" w:eastAsia="Palatino Linotype" w:hAnsi="Palatino Linotype" w:cs="Palatino Linotype"/>
        <w:b/>
        <w:color w:val="000000"/>
        <w:sz w:val="22"/>
        <w:szCs w:val="20"/>
      </w:rPr>
    </w:pPr>
    <w:r w:rsidRPr="00D75450">
      <w:rPr>
        <w:rFonts w:ascii="Palatino Linotype" w:eastAsia="Palatino Linotype" w:hAnsi="Palatino Linotype" w:cs="Palatino Linotype"/>
        <w:b/>
        <w:color w:val="000000"/>
        <w:sz w:val="22"/>
        <w:szCs w:val="20"/>
      </w:rPr>
      <w:t xml:space="preserve">Página </w:t>
    </w:r>
    <w:r w:rsidRPr="00D75450">
      <w:rPr>
        <w:rFonts w:ascii="Palatino Linotype" w:eastAsia="Palatino Linotype" w:hAnsi="Palatino Linotype" w:cs="Palatino Linotype"/>
        <w:b/>
        <w:color w:val="000000"/>
        <w:sz w:val="22"/>
        <w:szCs w:val="20"/>
      </w:rPr>
      <w:fldChar w:fldCharType="begin"/>
    </w:r>
    <w:r w:rsidRPr="00D75450">
      <w:rPr>
        <w:rFonts w:ascii="Palatino Linotype" w:eastAsia="Palatino Linotype" w:hAnsi="Palatino Linotype" w:cs="Palatino Linotype"/>
        <w:b/>
        <w:color w:val="000000"/>
        <w:sz w:val="22"/>
        <w:szCs w:val="20"/>
      </w:rPr>
      <w:instrText>PAGE</w:instrText>
    </w:r>
    <w:r w:rsidRPr="00D75450">
      <w:rPr>
        <w:rFonts w:ascii="Palatino Linotype" w:eastAsia="Palatino Linotype" w:hAnsi="Palatino Linotype" w:cs="Palatino Linotype"/>
        <w:b/>
        <w:color w:val="000000"/>
        <w:sz w:val="22"/>
        <w:szCs w:val="20"/>
      </w:rPr>
      <w:fldChar w:fldCharType="separate"/>
    </w:r>
    <w:r w:rsidR="00CD34F9">
      <w:rPr>
        <w:rFonts w:ascii="Palatino Linotype" w:eastAsia="Palatino Linotype" w:hAnsi="Palatino Linotype" w:cs="Palatino Linotype"/>
        <w:b/>
        <w:noProof/>
        <w:color w:val="000000"/>
        <w:sz w:val="22"/>
        <w:szCs w:val="20"/>
      </w:rPr>
      <w:t>1</w:t>
    </w:r>
    <w:r w:rsidRPr="00D75450">
      <w:rPr>
        <w:rFonts w:ascii="Palatino Linotype" w:eastAsia="Palatino Linotype" w:hAnsi="Palatino Linotype" w:cs="Palatino Linotype"/>
        <w:b/>
        <w:color w:val="000000"/>
        <w:sz w:val="22"/>
        <w:szCs w:val="20"/>
      </w:rPr>
      <w:fldChar w:fldCharType="end"/>
    </w:r>
    <w:r w:rsidRPr="00D75450">
      <w:rPr>
        <w:rFonts w:ascii="Palatino Linotype" w:eastAsia="Palatino Linotype" w:hAnsi="Palatino Linotype" w:cs="Palatino Linotype"/>
        <w:b/>
        <w:color w:val="000000"/>
        <w:sz w:val="22"/>
        <w:szCs w:val="20"/>
      </w:rPr>
      <w:t xml:space="preserve"> de </w:t>
    </w:r>
    <w:r w:rsidRPr="00D75450">
      <w:rPr>
        <w:rFonts w:ascii="Palatino Linotype" w:eastAsia="Palatino Linotype" w:hAnsi="Palatino Linotype" w:cs="Palatino Linotype"/>
        <w:b/>
        <w:color w:val="000000"/>
        <w:sz w:val="22"/>
        <w:szCs w:val="20"/>
      </w:rPr>
      <w:fldChar w:fldCharType="begin"/>
    </w:r>
    <w:r w:rsidRPr="00D75450">
      <w:rPr>
        <w:rFonts w:ascii="Palatino Linotype" w:eastAsia="Palatino Linotype" w:hAnsi="Palatino Linotype" w:cs="Palatino Linotype"/>
        <w:b/>
        <w:color w:val="000000"/>
        <w:sz w:val="22"/>
        <w:szCs w:val="20"/>
      </w:rPr>
      <w:instrText>NUMPAGES</w:instrText>
    </w:r>
    <w:r w:rsidRPr="00D75450">
      <w:rPr>
        <w:rFonts w:ascii="Palatino Linotype" w:eastAsia="Palatino Linotype" w:hAnsi="Palatino Linotype" w:cs="Palatino Linotype"/>
        <w:b/>
        <w:color w:val="000000"/>
        <w:sz w:val="22"/>
        <w:szCs w:val="20"/>
      </w:rPr>
      <w:fldChar w:fldCharType="separate"/>
    </w:r>
    <w:r w:rsidR="00CD34F9">
      <w:rPr>
        <w:rFonts w:ascii="Palatino Linotype" w:eastAsia="Palatino Linotype" w:hAnsi="Palatino Linotype" w:cs="Palatino Linotype"/>
        <w:b/>
        <w:noProof/>
        <w:color w:val="000000"/>
        <w:sz w:val="22"/>
        <w:szCs w:val="20"/>
      </w:rPr>
      <w:t>21</w:t>
    </w:r>
    <w:r w:rsidRPr="00D75450">
      <w:rPr>
        <w:rFonts w:ascii="Palatino Linotype" w:eastAsia="Palatino Linotype" w:hAnsi="Palatino Linotype" w:cs="Palatino Linotype"/>
        <w:b/>
        <w:color w:val="000000"/>
        <w:sz w:val="22"/>
        <w:szCs w:val="20"/>
      </w:rPr>
      <w:fldChar w:fldCharType="end"/>
    </w:r>
  </w:p>
  <w:p w:rsidR="00543AAD" w:rsidRDefault="00543AAD">
    <w:pPr>
      <w:pBdr>
        <w:top w:val="nil"/>
        <w:left w:val="nil"/>
        <w:bottom w:val="nil"/>
        <w:right w:val="nil"/>
        <w:between w:val="nil"/>
      </w:pBdr>
      <w:tabs>
        <w:tab w:val="center" w:pos="4419"/>
        <w:tab w:val="right" w:pos="8838"/>
      </w:tabs>
      <w:rPr>
        <w:rFonts w:eastAsia="Calibri"/>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48B6" w:rsidRDefault="00DC48B6">
      <w:r>
        <w:separator/>
      </w:r>
    </w:p>
  </w:footnote>
  <w:footnote w:type="continuationSeparator" w:id="0">
    <w:p w:rsidR="00DC48B6" w:rsidRDefault="00DC48B6">
      <w:r>
        <w:continuationSeparator/>
      </w:r>
    </w:p>
  </w:footnote>
  <w:footnote w:id="1">
    <w:p w:rsidR="00543AAD" w:rsidRDefault="00543AAD" w:rsidP="00955CF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Convención Americana sobre Derechos Humanos. Artículo 13.</w:t>
      </w:r>
    </w:p>
  </w:footnote>
  <w:footnote w:id="2">
    <w:p w:rsidR="00543AAD" w:rsidRDefault="00543AAD" w:rsidP="00955CFD">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Constitución Política de los Estados Unidos Mexicanos. Artículo sexto, sección A, Fracción I.</w:t>
      </w:r>
    </w:p>
  </w:footnote>
  <w:footnote w:id="3">
    <w:p w:rsidR="00543AAD" w:rsidRDefault="00543AAD" w:rsidP="00955CFD">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Corte Interamericana de Derechos Humanos. Caso Claude Reyes y otros vs Chile. Sentencia de 19 de septiembre de 2006. Serie C. No. 151. Párr. 86.</w:t>
      </w:r>
    </w:p>
  </w:footnote>
  <w:footnote w:id="4">
    <w:p w:rsidR="00543AAD" w:rsidRDefault="00543AAD" w:rsidP="00955CFD">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Ibídem. Párr. 87.</w:t>
      </w:r>
    </w:p>
  </w:footnote>
  <w:footnote w:id="5">
    <w:p w:rsidR="00543AAD" w:rsidRDefault="00543AAD" w:rsidP="00955CFD">
      <w:pPr>
        <w:pBdr>
          <w:top w:val="nil"/>
          <w:left w:val="nil"/>
          <w:bottom w:val="nil"/>
          <w:right w:val="nil"/>
          <w:between w:val="nil"/>
        </w:pBdr>
        <w:rPr>
          <w:color w:val="000000"/>
          <w:sz w:val="20"/>
          <w:szCs w:val="20"/>
        </w:rPr>
      </w:pPr>
      <w:r>
        <w:rPr>
          <w:vertAlign w:val="superscript"/>
        </w:rPr>
        <w:footnoteRef/>
      </w:r>
      <w:r>
        <w:rPr>
          <w:rFonts w:ascii="Palatino Linotype" w:eastAsia="Palatino Linotype" w:hAnsi="Palatino Linotype" w:cs="Palatino Linotype"/>
          <w:color w:val="000000"/>
          <w:sz w:val="18"/>
          <w:szCs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r>
          <w:rPr>
            <w:rFonts w:ascii="Palatino Linotype" w:eastAsia="Palatino Linotype" w:hAnsi="Palatino Linotype" w:cs="Palatino Linotype"/>
            <w:color w:val="0000FF"/>
            <w:sz w:val="18"/>
            <w:szCs w:val="18"/>
            <w:u w:val="single"/>
          </w:rPr>
          <w:t>http://www.oas.org/es/cidh/expresion/documentos_basicos/declaraciones.asp</w:t>
        </w:r>
      </w:hyperlink>
      <w:r>
        <w:rPr>
          <w:rFonts w:ascii="Palatino Linotype" w:eastAsia="Palatino Linotype" w:hAnsi="Palatino Linotype" w:cs="Palatino Linotype"/>
          <w:color w:val="000000"/>
          <w:sz w:val="18"/>
          <w:szCs w:val="18"/>
        </w:rPr>
        <w:t>.</w:t>
      </w:r>
    </w:p>
  </w:footnote>
  <w:footnote w:id="6">
    <w:p w:rsidR="00543AAD" w:rsidRDefault="00543AAD" w:rsidP="00955CFD">
      <w:pPr>
        <w:pBdr>
          <w:top w:val="nil"/>
          <w:left w:val="nil"/>
          <w:bottom w:val="nil"/>
          <w:right w:val="nil"/>
          <w:between w:val="nil"/>
        </w:pBdr>
        <w:rPr>
          <w:rFonts w:ascii="Palatino Linotype" w:eastAsia="Palatino Linotype" w:hAnsi="Palatino Linotype" w:cs="Palatino Linotype"/>
          <w:color w:val="000000"/>
          <w:sz w:val="18"/>
          <w:szCs w:val="18"/>
        </w:rPr>
      </w:pPr>
      <w:r>
        <w:rPr>
          <w:vertAlign w:val="superscript"/>
        </w:rPr>
        <w:footnoteRef/>
      </w:r>
      <w:r>
        <w:rPr>
          <w:rFonts w:ascii="Palatino Linotype" w:eastAsia="Palatino Linotype" w:hAnsi="Palatino Linotype" w:cs="Palatino Linotype"/>
          <w:color w:val="000000"/>
          <w:sz w:val="18"/>
          <w:szCs w:val="18"/>
        </w:rPr>
        <w:t xml:space="preserve"> Ley de Transparencia y Acceso a la Información Pública del Estado de México y Municipios. Artículo 9. …</w:t>
      </w:r>
    </w:p>
    <w:p w:rsidR="00543AAD" w:rsidRDefault="00543AAD" w:rsidP="00955CFD">
      <w:pPr>
        <w:pBdr>
          <w:top w:val="nil"/>
          <w:left w:val="nil"/>
          <w:bottom w:val="nil"/>
          <w:right w:val="nil"/>
          <w:between w:val="nil"/>
        </w:pBd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II. Eficacia: Obligación del Instituto para tutelar, de manera efectiva, el derecho de acceso a la información;</w:t>
      </w:r>
    </w:p>
    <w:p w:rsidR="00543AAD" w:rsidRDefault="00543AAD" w:rsidP="00955CFD">
      <w:pPr>
        <w:pBdr>
          <w:top w:val="nil"/>
          <w:left w:val="nil"/>
          <w:bottom w:val="nil"/>
          <w:right w:val="nil"/>
          <w:between w:val="nil"/>
        </w:pBdr>
        <w:rPr>
          <w:color w:val="000000"/>
          <w:sz w:val="20"/>
          <w:szCs w:val="20"/>
        </w:rPr>
      </w:pPr>
      <w:r>
        <w:rPr>
          <w:color w:val="000000"/>
          <w:sz w:val="20"/>
          <w:szCs w:val="20"/>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AAD" w:rsidRDefault="00DC48B6">
    <w:pPr>
      <w:pBdr>
        <w:top w:val="nil"/>
        <w:left w:val="nil"/>
        <w:bottom w:val="nil"/>
        <w:right w:val="nil"/>
        <w:between w:val="nil"/>
      </w:pBdr>
      <w:tabs>
        <w:tab w:val="center" w:pos="4419"/>
        <w:tab w:val="right" w:pos="8838"/>
      </w:tabs>
      <w:rPr>
        <w:rFonts w:eastAsia="Calibri"/>
        <w:color w:val="000000"/>
      </w:rPr>
    </w:pPr>
    <w:r>
      <w:rPr>
        <w:rFonts w:eastAsia="Calibri"/>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4"/>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8363" w:type="dxa"/>
      <w:tblInd w:w="2268" w:type="dxa"/>
      <w:tblLayout w:type="fixed"/>
      <w:tblLook w:val="0400" w:firstRow="0" w:lastRow="0" w:firstColumn="0" w:lastColumn="0" w:noHBand="0" w:noVBand="1"/>
    </w:tblPr>
    <w:tblGrid>
      <w:gridCol w:w="2976"/>
      <w:gridCol w:w="5387"/>
    </w:tblGrid>
    <w:tr w:rsidR="00543AAD" w:rsidTr="00D75450">
      <w:trPr>
        <w:trHeight w:val="227"/>
      </w:trPr>
      <w:tc>
        <w:tcPr>
          <w:tcW w:w="2976" w:type="dxa"/>
          <w:vAlign w:val="center"/>
        </w:tcPr>
        <w:p w:rsidR="00543AAD" w:rsidRPr="00D75450" w:rsidRDefault="00543AAD">
          <w:pPr>
            <w:ind w:right="34"/>
            <w:jc w:val="right"/>
            <w:rPr>
              <w:rFonts w:ascii="Palatino Linotype" w:eastAsia="Palatino Linotype" w:hAnsi="Palatino Linotype" w:cs="Palatino Linotype"/>
              <w:b/>
              <w:szCs w:val="22"/>
            </w:rPr>
          </w:pPr>
          <w:r w:rsidRPr="00D75450">
            <w:rPr>
              <w:rFonts w:ascii="Palatino Linotype" w:eastAsia="Palatino Linotype" w:hAnsi="Palatino Linotype" w:cs="Palatino Linotype"/>
              <w:b/>
              <w:szCs w:val="22"/>
            </w:rPr>
            <w:t>Recurso de Revisión:</w:t>
          </w:r>
        </w:p>
      </w:tc>
      <w:tc>
        <w:tcPr>
          <w:tcW w:w="5387" w:type="dxa"/>
          <w:vAlign w:val="center"/>
        </w:tcPr>
        <w:p w:rsidR="00543AAD" w:rsidRPr="00D75450" w:rsidRDefault="000F3F9B" w:rsidP="00D75450">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75450">
            <w:rPr>
              <w:rFonts w:ascii="Palatino Linotype" w:eastAsia="Palatino Linotype" w:hAnsi="Palatino Linotype" w:cs="Palatino Linotype"/>
              <w:color w:val="000000"/>
              <w:szCs w:val="22"/>
            </w:rPr>
            <w:t>12108</w:t>
          </w:r>
          <w:r w:rsidR="00543AAD" w:rsidRPr="00D75450">
            <w:rPr>
              <w:rFonts w:ascii="Palatino Linotype" w:eastAsia="Palatino Linotype" w:hAnsi="Palatino Linotype" w:cs="Palatino Linotype"/>
              <w:color w:val="000000"/>
              <w:szCs w:val="22"/>
            </w:rPr>
            <w:t>/INFOEM/IP/RR/2025</w:t>
          </w:r>
        </w:p>
      </w:tc>
    </w:tr>
    <w:tr w:rsidR="00543AAD" w:rsidTr="00D75450">
      <w:trPr>
        <w:trHeight w:val="242"/>
      </w:trPr>
      <w:tc>
        <w:tcPr>
          <w:tcW w:w="2976" w:type="dxa"/>
          <w:vAlign w:val="center"/>
        </w:tcPr>
        <w:p w:rsidR="00543AAD" w:rsidRPr="00D75450" w:rsidRDefault="00543AAD">
          <w:pPr>
            <w:ind w:right="34"/>
            <w:jc w:val="right"/>
            <w:rPr>
              <w:rFonts w:ascii="Palatino Linotype" w:eastAsia="Palatino Linotype" w:hAnsi="Palatino Linotype" w:cs="Palatino Linotype"/>
              <w:b/>
              <w:szCs w:val="22"/>
            </w:rPr>
          </w:pPr>
          <w:r w:rsidRPr="00D75450">
            <w:rPr>
              <w:rFonts w:ascii="Palatino Linotype" w:eastAsia="Palatino Linotype" w:hAnsi="Palatino Linotype" w:cs="Palatino Linotype"/>
              <w:b/>
              <w:szCs w:val="22"/>
            </w:rPr>
            <w:t>Sujeto Obligado:</w:t>
          </w:r>
        </w:p>
      </w:tc>
      <w:tc>
        <w:tcPr>
          <w:tcW w:w="5387" w:type="dxa"/>
          <w:vAlign w:val="center"/>
        </w:tcPr>
        <w:p w:rsidR="00543AAD" w:rsidRPr="00D75450" w:rsidRDefault="00543AAD" w:rsidP="00D75450">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75450">
            <w:rPr>
              <w:rFonts w:ascii="Palatino Linotype" w:eastAsia="Palatino Linotype" w:hAnsi="Palatino Linotype" w:cs="Palatino Linotype"/>
              <w:color w:val="000000"/>
              <w:szCs w:val="22"/>
            </w:rPr>
            <w:t>Protectora de Bosques del Estado de México</w:t>
          </w:r>
        </w:p>
      </w:tc>
    </w:tr>
    <w:tr w:rsidR="00543AAD" w:rsidTr="00D75450">
      <w:trPr>
        <w:trHeight w:val="342"/>
      </w:trPr>
      <w:tc>
        <w:tcPr>
          <w:tcW w:w="2976" w:type="dxa"/>
          <w:vAlign w:val="center"/>
        </w:tcPr>
        <w:p w:rsidR="00543AAD" w:rsidRPr="00D75450" w:rsidRDefault="00543AAD">
          <w:pPr>
            <w:ind w:right="34"/>
            <w:jc w:val="right"/>
            <w:rPr>
              <w:rFonts w:ascii="Palatino Linotype" w:eastAsia="Palatino Linotype" w:hAnsi="Palatino Linotype" w:cs="Palatino Linotype"/>
              <w:b/>
              <w:szCs w:val="22"/>
            </w:rPr>
          </w:pPr>
          <w:r w:rsidRPr="00D75450">
            <w:rPr>
              <w:rFonts w:ascii="Palatino Linotype" w:eastAsia="Palatino Linotype" w:hAnsi="Palatino Linotype" w:cs="Palatino Linotype"/>
              <w:b/>
              <w:szCs w:val="22"/>
            </w:rPr>
            <w:t>Comisionada Ponente:</w:t>
          </w:r>
        </w:p>
      </w:tc>
      <w:tc>
        <w:tcPr>
          <w:tcW w:w="5387" w:type="dxa"/>
          <w:vAlign w:val="center"/>
        </w:tcPr>
        <w:p w:rsidR="00543AAD" w:rsidRPr="00D75450" w:rsidRDefault="00543AAD" w:rsidP="00D75450">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D75450">
            <w:rPr>
              <w:rFonts w:ascii="Palatino Linotype" w:eastAsia="Palatino Linotype" w:hAnsi="Palatino Linotype" w:cs="Palatino Linotype"/>
              <w:color w:val="000000"/>
              <w:szCs w:val="22"/>
            </w:rPr>
            <w:t>María del Rosario Mejía Ayala</w:t>
          </w:r>
        </w:p>
      </w:tc>
    </w:tr>
  </w:tbl>
  <w:p w:rsidR="00543AAD" w:rsidRDefault="00DC48B6">
    <w:pPr>
      <w:pBdr>
        <w:top w:val="nil"/>
        <w:left w:val="nil"/>
        <w:bottom w:val="nil"/>
        <w:right w:val="nil"/>
        <w:between w:val="nil"/>
      </w:pBdr>
      <w:tabs>
        <w:tab w:val="center" w:pos="4419"/>
        <w:tab w:val="right" w:pos="8838"/>
        <w:tab w:val="left" w:pos="6005"/>
      </w:tabs>
      <w:rPr>
        <w:rFonts w:eastAsia="Calibri"/>
        <w:color w:val="000000"/>
        <w:sz w:val="14"/>
        <w:szCs w:val="14"/>
      </w:rPr>
    </w:pPr>
    <w:r>
      <w:rPr>
        <w:rFonts w:eastAsia="Calibri"/>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79.65pt;margin-top:-131.9pt;width:609.4pt;height:793.75pt;z-index:-251659776;mso-position-horizontal-relative:margin;mso-position-vertical-relative:margin">
          <v:imagedata r:id="rId1" o:title="image14"/>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938" w:type="dxa"/>
      <w:tblInd w:w="2127" w:type="dxa"/>
      <w:tblLayout w:type="fixed"/>
      <w:tblLook w:val="0400" w:firstRow="0" w:lastRow="0" w:firstColumn="0" w:lastColumn="0" w:noHBand="0" w:noVBand="1"/>
    </w:tblPr>
    <w:tblGrid>
      <w:gridCol w:w="2977"/>
      <w:gridCol w:w="4961"/>
    </w:tblGrid>
    <w:tr w:rsidR="00543AAD" w:rsidTr="00D75450">
      <w:trPr>
        <w:trHeight w:val="227"/>
      </w:trPr>
      <w:tc>
        <w:tcPr>
          <w:tcW w:w="2977" w:type="dxa"/>
          <w:vAlign w:val="center"/>
        </w:tcPr>
        <w:p w:rsidR="00543AAD" w:rsidRPr="00D75450" w:rsidRDefault="00543AAD">
          <w:pPr>
            <w:jc w:val="right"/>
            <w:rPr>
              <w:rFonts w:ascii="Palatino Linotype" w:eastAsia="Palatino Linotype" w:hAnsi="Palatino Linotype" w:cs="Palatino Linotype"/>
              <w:b/>
              <w:szCs w:val="22"/>
            </w:rPr>
          </w:pPr>
          <w:r w:rsidRPr="00D75450">
            <w:rPr>
              <w:rFonts w:ascii="Palatino Linotype" w:eastAsia="Palatino Linotype" w:hAnsi="Palatino Linotype" w:cs="Palatino Linotype"/>
              <w:b/>
              <w:szCs w:val="22"/>
            </w:rPr>
            <w:t>Recurso de Revisión:</w:t>
          </w:r>
        </w:p>
      </w:tc>
      <w:tc>
        <w:tcPr>
          <w:tcW w:w="4961" w:type="dxa"/>
          <w:vAlign w:val="center"/>
        </w:tcPr>
        <w:p w:rsidR="00543AAD" w:rsidRPr="00D75450" w:rsidRDefault="00543AAD" w:rsidP="00D75450">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75450">
            <w:rPr>
              <w:rFonts w:ascii="Palatino Linotype" w:eastAsia="Palatino Linotype" w:hAnsi="Palatino Linotype" w:cs="Palatino Linotype"/>
              <w:color w:val="000000"/>
              <w:szCs w:val="22"/>
            </w:rPr>
            <w:t>12108/INFOEM/IP/RR/2025</w:t>
          </w:r>
        </w:p>
      </w:tc>
    </w:tr>
    <w:tr w:rsidR="00543AAD" w:rsidTr="00D75450">
      <w:trPr>
        <w:trHeight w:val="242"/>
      </w:trPr>
      <w:tc>
        <w:tcPr>
          <w:tcW w:w="2977" w:type="dxa"/>
          <w:vAlign w:val="center"/>
        </w:tcPr>
        <w:p w:rsidR="00543AAD" w:rsidRPr="00D75450" w:rsidRDefault="00543AAD">
          <w:pPr>
            <w:jc w:val="right"/>
            <w:rPr>
              <w:rFonts w:ascii="Palatino Linotype" w:eastAsia="Palatino Linotype" w:hAnsi="Palatino Linotype" w:cs="Palatino Linotype"/>
              <w:b/>
              <w:szCs w:val="22"/>
            </w:rPr>
          </w:pPr>
          <w:r w:rsidRPr="00D75450">
            <w:rPr>
              <w:rFonts w:ascii="Palatino Linotype" w:eastAsia="Palatino Linotype" w:hAnsi="Palatino Linotype" w:cs="Palatino Linotype"/>
              <w:b/>
              <w:szCs w:val="22"/>
            </w:rPr>
            <w:t>Recurrente:</w:t>
          </w:r>
        </w:p>
      </w:tc>
      <w:tc>
        <w:tcPr>
          <w:tcW w:w="4961" w:type="dxa"/>
        </w:tcPr>
        <w:p w:rsidR="00543AAD" w:rsidRPr="00D75450" w:rsidRDefault="00CD34F9" w:rsidP="00D75450">
          <w:pPr>
            <w:pBdr>
              <w:top w:val="nil"/>
              <w:left w:val="nil"/>
              <w:bottom w:val="nil"/>
              <w:right w:val="nil"/>
              <w:between w:val="nil"/>
            </w:pBdr>
            <w:tabs>
              <w:tab w:val="right" w:pos="8838"/>
              <w:tab w:val="left" w:pos="521"/>
            </w:tabs>
            <w:rPr>
              <w:rFonts w:ascii="Palatino Linotype" w:eastAsia="Palatino Linotype" w:hAnsi="Palatino Linotype" w:cs="Palatino Linotype"/>
              <w:szCs w:val="22"/>
              <w:highlight w:val="green"/>
            </w:rPr>
          </w:pPr>
          <w:r>
            <w:rPr>
              <w:rFonts w:ascii="Palatino Linotype" w:eastAsia="Palatino Linotype" w:hAnsi="Palatino Linotype" w:cs="Palatino Linotype"/>
              <w:szCs w:val="22"/>
            </w:rPr>
            <w:t>XXXX</w:t>
          </w:r>
        </w:p>
      </w:tc>
    </w:tr>
    <w:tr w:rsidR="00543AAD" w:rsidTr="00D75450">
      <w:trPr>
        <w:trHeight w:val="342"/>
      </w:trPr>
      <w:tc>
        <w:tcPr>
          <w:tcW w:w="2977" w:type="dxa"/>
          <w:vAlign w:val="center"/>
        </w:tcPr>
        <w:p w:rsidR="00543AAD" w:rsidRPr="00D75450" w:rsidRDefault="00543AAD">
          <w:pPr>
            <w:jc w:val="right"/>
            <w:rPr>
              <w:rFonts w:ascii="Palatino Linotype" w:eastAsia="Palatino Linotype" w:hAnsi="Palatino Linotype" w:cs="Palatino Linotype"/>
              <w:b/>
              <w:szCs w:val="22"/>
            </w:rPr>
          </w:pPr>
          <w:r w:rsidRPr="00D75450">
            <w:rPr>
              <w:rFonts w:ascii="Palatino Linotype" w:eastAsia="Palatino Linotype" w:hAnsi="Palatino Linotype" w:cs="Palatino Linotype"/>
              <w:b/>
              <w:szCs w:val="22"/>
            </w:rPr>
            <w:t>Sujeto Obligado:</w:t>
          </w:r>
        </w:p>
      </w:tc>
      <w:tc>
        <w:tcPr>
          <w:tcW w:w="4961" w:type="dxa"/>
          <w:vAlign w:val="center"/>
        </w:tcPr>
        <w:p w:rsidR="00543AAD" w:rsidRPr="00D75450" w:rsidRDefault="00543AAD" w:rsidP="00D75450">
          <w:pPr>
            <w:pBdr>
              <w:top w:val="nil"/>
              <w:left w:val="nil"/>
              <w:bottom w:val="nil"/>
              <w:right w:val="nil"/>
              <w:between w:val="nil"/>
            </w:pBdr>
            <w:tabs>
              <w:tab w:val="right" w:pos="8838"/>
            </w:tabs>
            <w:rPr>
              <w:rFonts w:ascii="Palatino Linotype" w:eastAsia="Palatino Linotype" w:hAnsi="Palatino Linotype" w:cs="Palatino Linotype"/>
              <w:color w:val="000000"/>
              <w:szCs w:val="22"/>
              <w:highlight w:val="green"/>
            </w:rPr>
          </w:pPr>
          <w:r w:rsidRPr="00D75450">
            <w:rPr>
              <w:rFonts w:ascii="Palatino Linotype" w:eastAsia="Palatino Linotype" w:hAnsi="Palatino Linotype" w:cs="Palatino Linotype"/>
              <w:color w:val="000000"/>
              <w:szCs w:val="22"/>
            </w:rPr>
            <w:t>Protectora de Bosques del Estado de México</w:t>
          </w:r>
        </w:p>
      </w:tc>
    </w:tr>
    <w:tr w:rsidR="00543AAD" w:rsidTr="00D75450">
      <w:trPr>
        <w:trHeight w:val="342"/>
      </w:trPr>
      <w:tc>
        <w:tcPr>
          <w:tcW w:w="2977" w:type="dxa"/>
          <w:vAlign w:val="center"/>
        </w:tcPr>
        <w:p w:rsidR="00543AAD" w:rsidRPr="00D75450" w:rsidRDefault="00543AAD">
          <w:pPr>
            <w:jc w:val="right"/>
            <w:rPr>
              <w:rFonts w:ascii="Palatino Linotype" w:eastAsia="Palatino Linotype" w:hAnsi="Palatino Linotype" w:cs="Palatino Linotype"/>
              <w:b/>
              <w:szCs w:val="22"/>
            </w:rPr>
          </w:pPr>
          <w:r w:rsidRPr="00D75450">
            <w:rPr>
              <w:rFonts w:ascii="Palatino Linotype" w:eastAsia="Palatino Linotype" w:hAnsi="Palatino Linotype" w:cs="Palatino Linotype"/>
              <w:b/>
              <w:szCs w:val="22"/>
            </w:rPr>
            <w:t>Comisionada Ponente:</w:t>
          </w:r>
        </w:p>
      </w:tc>
      <w:tc>
        <w:tcPr>
          <w:tcW w:w="4961" w:type="dxa"/>
          <w:vAlign w:val="center"/>
        </w:tcPr>
        <w:p w:rsidR="00543AAD" w:rsidRPr="00D75450" w:rsidRDefault="00543AAD" w:rsidP="00D75450">
          <w:pPr>
            <w:pBdr>
              <w:top w:val="nil"/>
              <w:left w:val="nil"/>
              <w:bottom w:val="nil"/>
              <w:right w:val="nil"/>
              <w:between w:val="nil"/>
            </w:pBdr>
            <w:tabs>
              <w:tab w:val="right" w:pos="8838"/>
            </w:tabs>
            <w:rPr>
              <w:rFonts w:ascii="Palatino Linotype" w:eastAsia="Palatino Linotype" w:hAnsi="Palatino Linotype" w:cs="Palatino Linotype"/>
              <w:color w:val="000000"/>
              <w:szCs w:val="22"/>
            </w:rPr>
          </w:pPr>
          <w:r w:rsidRPr="00D75450">
            <w:rPr>
              <w:rFonts w:ascii="Palatino Linotype" w:eastAsia="Palatino Linotype" w:hAnsi="Palatino Linotype" w:cs="Palatino Linotype"/>
              <w:color w:val="000000"/>
              <w:szCs w:val="22"/>
            </w:rPr>
            <w:t>María del Rosario Mejía Ayala</w:t>
          </w:r>
        </w:p>
      </w:tc>
    </w:tr>
  </w:tbl>
  <w:p w:rsidR="00543AAD" w:rsidRDefault="00DC48B6">
    <w:pPr>
      <w:pBdr>
        <w:top w:val="nil"/>
        <w:left w:val="nil"/>
        <w:bottom w:val="nil"/>
        <w:right w:val="nil"/>
        <w:between w:val="nil"/>
      </w:pBdr>
      <w:tabs>
        <w:tab w:val="center" w:pos="4419"/>
        <w:tab w:val="right" w:pos="8838"/>
      </w:tabs>
      <w:rPr>
        <w:rFonts w:eastAsia="Calibri"/>
        <w:color w:val="000000"/>
        <w:sz w:val="16"/>
        <w:szCs w:val="16"/>
      </w:rPr>
    </w:pPr>
    <w:r>
      <w:rPr>
        <w:rFonts w:eastAsia="Calibri"/>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3pt;margin-top:-115.9pt;width:609.4pt;height:793.75pt;z-index:-251658752;mso-position-horizontal-relative:margin;mso-position-vertical-relative:margin">
          <v:imagedata r:id="rId1" o:title="image14"/>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D3A1E"/>
    <w:multiLevelType w:val="multilevel"/>
    <w:tmpl w:val="8698D6B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199350E5"/>
    <w:multiLevelType w:val="hybridMultilevel"/>
    <w:tmpl w:val="2EDC351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1A7D6BF8"/>
    <w:multiLevelType w:val="hybridMultilevel"/>
    <w:tmpl w:val="BD4490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 w15:restartNumberingAfterBreak="0">
    <w:nsid w:val="1B2D5048"/>
    <w:multiLevelType w:val="multilevel"/>
    <w:tmpl w:val="4FACD004"/>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upperRoman"/>
      <w:lvlText w:val="%2."/>
      <w:lvlJc w:val="left"/>
      <w:pPr>
        <w:ind w:left="1800" w:hanging="720"/>
      </w:pPr>
      <w:rPr>
        <w:rFonts w:ascii="Palatino Linotype" w:eastAsia="Palatino Linotype" w:hAnsi="Palatino Linotype" w:cs="Palatino Linotype"/>
        <w:b/>
        <w:color w:val="000000"/>
        <w:sz w:val="24"/>
        <w:szCs w:val="24"/>
      </w:rPr>
    </w:lvl>
    <w:lvl w:ilvl="2">
      <w:start w:val="4"/>
      <w:numFmt w:val="lowerRoman"/>
      <w:lvlText w:val="%3."/>
      <w:lvlJc w:val="right"/>
      <w:pPr>
        <w:ind w:left="2160" w:hanging="180"/>
      </w:pPr>
    </w:lvl>
    <w:lvl w:ilvl="3">
      <w:start w:val="1"/>
      <w:numFmt w:val="lowerLetter"/>
      <w:lvlText w:val="%4)"/>
      <w:lvlJc w:val="left"/>
      <w:pPr>
        <w:ind w:left="644" w:hanging="358"/>
      </w:pPr>
    </w:lvl>
    <w:lvl w:ilvl="4">
      <w:start w:val="104"/>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1B66C04"/>
    <w:multiLevelType w:val="hybridMultilevel"/>
    <w:tmpl w:val="517A1F8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27163173"/>
    <w:multiLevelType w:val="hybridMultilevel"/>
    <w:tmpl w:val="A73E920E"/>
    <w:lvl w:ilvl="0" w:tplc="080A0017">
      <w:start w:val="1"/>
      <w:numFmt w:val="lowerLetter"/>
      <w:lvlText w:val="%1)"/>
      <w:lvlJc w:val="left"/>
      <w:pPr>
        <w:ind w:left="1865" w:hanging="360"/>
      </w:pPr>
    </w:lvl>
    <w:lvl w:ilvl="1" w:tplc="080A0019" w:tentative="1">
      <w:start w:val="1"/>
      <w:numFmt w:val="lowerLetter"/>
      <w:lvlText w:val="%2."/>
      <w:lvlJc w:val="left"/>
      <w:pPr>
        <w:ind w:left="2585" w:hanging="360"/>
      </w:pPr>
    </w:lvl>
    <w:lvl w:ilvl="2" w:tplc="080A001B" w:tentative="1">
      <w:start w:val="1"/>
      <w:numFmt w:val="lowerRoman"/>
      <w:lvlText w:val="%3."/>
      <w:lvlJc w:val="right"/>
      <w:pPr>
        <w:ind w:left="3305" w:hanging="180"/>
      </w:pPr>
    </w:lvl>
    <w:lvl w:ilvl="3" w:tplc="080A000F" w:tentative="1">
      <w:start w:val="1"/>
      <w:numFmt w:val="decimal"/>
      <w:lvlText w:val="%4."/>
      <w:lvlJc w:val="left"/>
      <w:pPr>
        <w:ind w:left="4025" w:hanging="360"/>
      </w:pPr>
    </w:lvl>
    <w:lvl w:ilvl="4" w:tplc="080A0019" w:tentative="1">
      <w:start w:val="1"/>
      <w:numFmt w:val="lowerLetter"/>
      <w:lvlText w:val="%5."/>
      <w:lvlJc w:val="left"/>
      <w:pPr>
        <w:ind w:left="4745" w:hanging="360"/>
      </w:pPr>
    </w:lvl>
    <w:lvl w:ilvl="5" w:tplc="080A001B" w:tentative="1">
      <w:start w:val="1"/>
      <w:numFmt w:val="lowerRoman"/>
      <w:lvlText w:val="%6."/>
      <w:lvlJc w:val="right"/>
      <w:pPr>
        <w:ind w:left="5465" w:hanging="180"/>
      </w:pPr>
    </w:lvl>
    <w:lvl w:ilvl="6" w:tplc="080A000F" w:tentative="1">
      <w:start w:val="1"/>
      <w:numFmt w:val="decimal"/>
      <w:lvlText w:val="%7."/>
      <w:lvlJc w:val="left"/>
      <w:pPr>
        <w:ind w:left="6185" w:hanging="360"/>
      </w:pPr>
    </w:lvl>
    <w:lvl w:ilvl="7" w:tplc="080A0019" w:tentative="1">
      <w:start w:val="1"/>
      <w:numFmt w:val="lowerLetter"/>
      <w:lvlText w:val="%8."/>
      <w:lvlJc w:val="left"/>
      <w:pPr>
        <w:ind w:left="6905" w:hanging="360"/>
      </w:pPr>
    </w:lvl>
    <w:lvl w:ilvl="8" w:tplc="080A001B" w:tentative="1">
      <w:start w:val="1"/>
      <w:numFmt w:val="lowerRoman"/>
      <w:lvlText w:val="%9."/>
      <w:lvlJc w:val="right"/>
      <w:pPr>
        <w:ind w:left="7625" w:hanging="180"/>
      </w:pPr>
    </w:lvl>
  </w:abstractNum>
  <w:abstractNum w:abstractNumId="6" w15:restartNumberingAfterBreak="0">
    <w:nsid w:val="28365323"/>
    <w:multiLevelType w:val="multilevel"/>
    <w:tmpl w:val="4434E6B8"/>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342298C"/>
    <w:multiLevelType w:val="multilevel"/>
    <w:tmpl w:val="531E0EEA"/>
    <w:lvl w:ilvl="0">
      <w:start w:val="1"/>
      <w:numFmt w:val="decimal"/>
      <w:lvlText w:val="%1."/>
      <w:lvlJc w:val="left"/>
      <w:pPr>
        <w:ind w:left="359" w:hanging="359"/>
      </w:pPr>
      <w:rPr>
        <w:rFonts w:ascii="Palatino Linotype" w:eastAsia="Palatino Linotype" w:hAnsi="Palatino Linotype" w:cs="Palatino Linotype"/>
        <w:b/>
        <w:i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3196" w:hanging="360"/>
      </w:pPr>
    </w:lvl>
    <w:lvl w:ilvl="4">
      <w:start w:val="104"/>
      <w:numFmt w:val="decimal"/>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4317490"/>
    <w:multiLevelType w:val="hybridMultilevel"/>
    <w:tmpl w:val="5ECC0B94"/>
    <w:lvl w:ilvl="0" w:tplc="7EE0C6EC">
      <w:start w:val="1"/>
      <w:numFmt w:val="decimal"/>
      <w:lvlText w:val="%1."/>
      <w:lvlJc w:val="left"/>
      <w:pPr>
        <w:ind w:left="0" w:firstLine="0"/>
      </w:pPr>
      <w:rPr>
        <w:rFonts w:ascii="Palatino Linotype" w:hAnsi="Palatino Linotype" w:hint="default"/>
        <w:b/>
        <w:i w:val="0"/>
        <w:sz w:val="24"/>
      </w:rPr>
    </w:lvl>
    <w:lvl w:ilvl="1" w:tplc="080A0017">
      <w:start w:val="1"/>
      <w:numFmt w:val="lowerLetter"/>
      <w:lvlText w:val="%2)"/>
      <w:lvlJc w:val="left"/>
      <w:pPr>
        <w:ind w:left="1440" w:hanging="360"/>
      </w:pPr>
      <w:rPr>
        <w:rFonts w:hint="default"/>
        <w:b/>
        <w:bCs/>
        <w:i w:val="0"/>
        <w:iCs w:val="0"/>
      </w:rPr>
    </w:lvl>
    <w:lvl w:ilvl="2" w:tplc="080A000B">
      <w:start w:val="1"/>
      <w:numFmt w:val="bullet"/>
      <w:lvlText w:val=""/>
      <w:lvlJc w:val="left"/>
      <w:pPr>
        <w:ind w:left="2340" w:hanging="360"/>
      </w:pPr>
      <w:rPr>
        <w:rFonts w:ascii="Wingdings" w:hAnsi="Wingdings" w:cs="Wingdings" w:hint="default"/>
        <w:strike w:val="0"/>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F561888"/>
    <w:multiLevelType w:val="multilevel"/>
    <w:tmpl w:val="ACCC93AE"/>
    <w:lvl w:ilvl="0">
      <w:start w:val="1"/>
      <w:numFmt w:val="decimal"/>
      <w:lvlText w:val="%1."/>
      <w:lvlJc w:val="left"/>
      <w:pPr>
        <w:ind w:left="644" w:hanging="359"/>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3606DC1"/>
    <w:multiLevelType w:val="hybridMultilevel"/>
    <w:tmpl w:val="9DA08CAC"/>
    <w:lvl w:ilvl="0" w:tplc="080A0017">
      <w:start w:val="1"/>
      <w:numFmt w:val="lowerLetter"/>
      <w:lvlText w:val="%1)"/>
      <w:lvlJc w:val="left"/>
      <w:pPr>
        <w:ind w:left="1429" w:hanging="360"/>
      </w:p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1" w15:restartNumberingAfterBreak="0">
    <w:nsid w:val="49162466"/>
    <w:multiLevelType w:val="multilevel"/>
    <w:tmpl w:val="35CAE1EE"/>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2" w15:restartNumberingAfterBreak="0">
    <w:nsid w:val="49481B3B"/>
    <w:multiLevelType w:val="hybridMultilevel"/>
    <w:tmpl w:val="346429AE"/>
    <w:lvl w:ilvl="0" w:tplc="E17E4876">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13" w15:restartNumberingAfterBreak="0">
    <w:nsid w:val="590B3B35"/>
    <w:multiLevelType w:val="multilevel"/>
    <w:tmpl w:val="551200D6"/>
    <w:lvl w:ilvl="0">
      <w:start w:val="1"/>
      <w:numFmt w:val="bullet"/>
      <w:lvlText w:val="●"/>
      <w:lvlJc w:val="left"/>
      <w:pPr>
        <w:ind w:left="778" w:hanging="360"/>
      </w:pPr>
      <w:rPr>
        <w:rFonts w:ascii="Noto Sans Symbols" w:eastAsia="Noto Sans Symbols" w:hAnsi="Noto Sans Symbols" w:cs="Noto Sans Symbols"/>
      </w:rPr>
    </w:lvl>
    <w:lvl w:ilvl="1">
      <w:start w:val="1"/>
      <w:numFmt w:val="bullet"/>
      <w:lvlText w:val="o"/>
      <w:lvlJc w:val="left"/>
      <w:pPr>
        <w:ind w:left="1498" w:hanging="360"/>
      </w:pPr>
      <w:rPr>
        <w:rFonts w:ascii="Courier New" w:eastAsia="Courier New" w:hAnsi="Courier New" w:cs="Courier New"/>
      </w:rPr>
    </w:lvl>
    <w:lvl w:ilvl="2">
      <w:start w:val="1"/>
      <w:numFmt w:val="bullet"/>
      <w:lvlText w:val="▪"/>
      <w:lvlJc w:val="left"/>
      <w:pPr>
        <w:ind w:left="2218" w:hanging="360"/>
      </w:pPr>
      <w:rPr>
        <w:rFonts w:ascii="Noto Sans Symbols" w:eastAsia="Noto Sans Symbols" w:hAnsi="Noto Sans Symbols" w:cs="Noto Sans Symbols"/>
      </w:rPr>
    </w:lvl>
    <w:lvl w:ilvl="3">
      <w:start w:val="1"/>
      <w:numFmt w:val="bullet"/>
      <w:lvlText w:val="●"/>
      <w:lvlJc w:val="left"/>
      <w:pPr>
        <w:ind w:left="2938" w:hanging="360"/>
      </w:pPr>
      <w:rPr>
        <w:rFonts w:ascii="Noto Sans Symbols" w:eastAsia="Noto Sans Symbols" w:hAnsi="Noto Sans Symbols" w:cs="Noto Sans Symbols"/>
      </w:rPr>
    </w:lvl>
    <w:lvl w:ilvl="4">
      <w:start w:val="1"/>
      <w:numFmt w:val="bullet"/>
      <w:lvlText w:val="o"/>
      <w:lvlJc w:val="left"/>
      <w:pPr>
        <w:ind w:left="3658" w:hanging="360"/>
      </w:pPr>
      <w:rPr>
        <w:rFonts w:ascii="Courier New" w:eastAsia="Courier New" w:hAnsi="Courier New" w:cs="Courier New"/>
      </w:rPr>
    </w:lvl>
    <w:lvl w:ilvl="5">
      <w:start w:val="1"/>
      <w:numFmt w:val="bullet"/>
      <w:lvlText w:val="▪"/>
      <w:lvlJc w:val="left"/>
      <w:pPr>
        <w:ind w:left="4378" w:hanging="360"/>
      </w:pPr>
      <w:rPr>
        <w:rFonts w:ascii="Noto Sans Symbols" w:eastAsia="Noto Sans Symbols" w:hAnsi="Noto Sans Symbols" w:cs="Noto Sans Symbols"/>
      </w:rPr>
    </w:lvl>
    <w:lvl w:ilvl="6">
      <w:start w:val="1"/>
      <w:numFmt w:val="bullet"/>
      <w:lvlText w:val="●"/>
      <w:lvlJc w:val="left"/>
      <w:pPr>
        <w:ind w:left="5098" w:hanging="360"/>
      </w:pPr>
      <w:rPr>
        <w:rFonts w:ascii="Noto Sans Symbols" w:eastAsia="Noto Sans Symbols" w:hAnsi="Noto Sans Symbols" w:cs="Noto Sans Symbols"/>
      </w:rPr>
    </w:lvl>
    <w:lvl w:ilvl="7">
      <w:start w:val="1"/>
      <w:numFmt w:val="bullet"/>
      <w:lvlText w:val="o"/>
      <w:lvlJc w:val="left"/>
      <w:pPr>
        <w:ind w:left="5818" w:hanging="360"/>
      </w:pPr>
      <w:rPr>
        <w:rFonts w:ascii="Courier New" w:eastAsia="Courier New" w:hAnsi="Courier New" w:cs="Courier New"/>
      </w:rPr>
    </w:lvl>
    <w:lvl w:ilvl="8">
      <w:start w:val="1"/>
      <w:numFmt w:val="bullet"/>
      <w:lvlText w:val="▪"/>
      <w:lvlJc w:val="left"/>
      <w:pPr>
        <w:ind w:left="6538" w:hanging="360"/>
      </w:pPr>
      <w:rPr>
        <w:rFonts w:ascii="Noto Sans Symbols" w:eastAsia="Noto Sans Symbols" w:hAnsi="Noto Sans Symbols" w:cs="Noto Sans Symbols"/>
      </w:rPr>
    </w:lvl>
  </w:abstractNum>
  <w:abstractNum w:abstractNumId="14" w15:restartNumberingAfterBreak="0">
    <w:nsid w:val="5A177B67"/>
    <w:multiLevelType w:val="multilevel"/>
    <w:tmpl w:val="D236FA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A287CD9"/>
    <w:multiLevelType w:val="hybridMultilevel"/>
    <w:tmpl w:val="9D2AE84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60DB781E"/>
    <w:multiLevelType w:val="hybridMultilevel"/>
    <w:tmpl w:val="1518774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1A9686B"/>
    <w:multiLevelType w:val="multilevel"/>
    <w:tmpl w:val="4064CE7E"/>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18" w15:restartNumberingAfterBreak="0">
    <w:nsid w:val="665A5835"/>
    <w:multiLevelType w:val="multilevel"/>
    <w:tmpl w:val="BAD63276"/>
    <w:lvl w:ilvl="0">
      <w:start w:val="24"/>
      <w:numFmt w:val="decimal"/>
      <w:lvlText w:val="%1."/>
      <w:lvlJc w:val="left"/>
      <w:pPr>
        <w:ind w:left="720" w:hanging="360"/>
      </w:pPr>
      <w:rPr>
        <w:rFonts w:ascii="Palatino Linotype" w:hAnsi="Palatino Linotype" w:hint="default"/>
        <w:b/>
        <w:i w:val="0"/>
        <w:sz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68374AB5"/>
    <w:multiLevelType w:val="hybridMultilevel"/>
    <w:tmpl w:val="60C6E0EA"/>
    <w:lvl w:ilvl="0" w:tplc="3A646C4A">
      <w:start w:val="9"/>
      <w:numFmt w:val="decimal"/>
      <w:lvlText w:val="%1."/>
      <w:lvlJc w:val="left"/>
      <w:pPr>
        <w:ind w:left="720" w:hanging="360"/>
      </w:pPr>
      <w:rPr>
        <w:rFonts w:hint="default"/>
        <w:b/>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687C262F"/>
    <w:multiLevelType w:val="hybridMultilevel"/>
    <w:tmpl w:val="61A21540"/>
    <w:lvl w:ilvl="0" w:tplc="956A67EC">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21" w15:restartNumberingAfterBreak="0">
    <w:nsid w:val="72451CE5"/>
    <w:multiLevelType w:val="multilevel"/>
    <w:tmpl w:val="700E4C1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2" w15:restartNumberingAfterBreak="0">
    <w:nsid w:val="75C26308"/>
    <w:multiLevelType w:val="multilevel"/>
    <w:tmpl w:val="CC5CA2F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A891DE8"/>
    <w:multiLevelType w:val="hybridMultilevel"/>
    <w:tmpl w:val="611A79E6"/>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22"/>
  </w:num>
  <w:num w:numId="2">
    <w:abstractNumId w:val="13"/>
  </w:num>
  <w:num w:numId="3">
    <w:abstractNumId w:val="6"/>
  </w:num>
  <w:num w:numId="4">
    <w:abstractNumId w:val="17"/>
  </w:num>
  <w:num w:numId="5">
    <w:abstractNumId w:val="0"/>
  </w:num>
  <w:num w:numId="6">
    <w:abstractNumId w:val="1"/>
  </w:num>
  <w:num w:numId="7">
    <w:abstractNumId w:val="23"/>
  </w:num>
  <w:num w:numId="8">
    <w:abstractNumId w:val="2"/>
  </w:num>
  <w:num w:numId="9">
    <w:abstractNumId w:val="8"/>
  </w:num>
  <w:num w:numId="10">
    <w:abstractNumId w:val="7"/>
  </w:num>
  <w:num w:numId="11">
    <w:abstractNumId w:val="12"/>
  </w:num>
  <w:num w:numId="12">
    <w:abstractNumId w:val="10"/>
  </w:num>
  <w:num w:numId="13">
    <w:abstractNumId w:val="14"/>
  </w:num>
  <w:num w:numId="14">
    <w:abstractNumId w:val="9"/>
  </w:num>
  <w:num w:numId="15">
    <w:abstractNumId w:val="11"/>
  </w:num>
  <w:num w:numId="16">
    <w:abstractNumId w:val="4"/>
  </w:num>
  <w:num w:numId="17">
    <w:abstractNumId w:val="16"/>
  </w:num>
  <w:num w:numId="18">
    <w:abstractNumId w:val="21"/>
  </w:num>
  <w:num w:numId="19">
    <w:abstractNumId w:val="15"/>
  </w:num>
  <w:num w:numId="20">
    <w:abstractNumId w:val="19"/>
  </w:num>
  <w:num w:numId="21">
    <w:abstractNumId w:val="5"/>
  </w:num>
  <w:num w:numId="22">
    <w:abstractNumId w:val="3"/>
  </w:num>
  <w:num w:numId="23">
    <w:abstractNumId w:val="18"/>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311"/>
    <w:rsid w:val="00014868"/>
    <w:rsid w:val="00021D00"/>
    <w:rsid w:val="00021E33"/>
    <w:rsid w:val="00035F7A"/>
    <w:rsid w:val="00036E30"/>
    <w:rsid w:val="00053794"/>
    <w:rsid w:val="00065F9B"/>
    <w:rsid w:val="0007156C"/>
    <w:rsid w:val="000B1552"/>
    <w:rsid w:val="000F3F9B"/>
    <w:rsid w:val="000F4089"/>
    <w:rsid w:val="00110519"/>
    <w:rsid w:val="001155F8"/>
    <w:rsid w:val="001163E4"/>
    <w:rsid w:val="00125BCA"/>
    <w:rsid w:val="00141693"/>
    <w:rsid w:val="00150225"/>
    <w:rsid w:val="00153693"/>
    <w:rsid w:val="00157515"/>
    <w:rsid w:val="001660E4"/>
    <w:rsid w:val="001751BA"/>
    <w:rsid w:val="001A1F32"/>
    <w:rsid w:val="001A34B4"/>
    <w:rsid w:val="001A5A2D"/>
    <w:rsid w:val="001C2DE1"/>
    <w:rsid w:val="001D1014"/>
    <w:rsid w:val="002008D5"/>
    <w:rsid w:val="00225E9D"/>
    <w:rsid w:val="00250144"/>
    <w:rsid w:val="00271F83"/>
    <w:rsid w:val="00290D51"/>
    <w:rsid w:val="002A206D"/>
    <w:rsid w:val="002A7958"/>
    <w:rsid w:val="002E46FD"/>
    <w:rsid w:val="002F26CC"/>
    <w:rsid w:val="002F71A2"/>
    <w:rsid w:val="002F7B34"/>
    <w:rsid w:val="003142E9"/>
    <w:rsid w:val="003213C3"/>
    <w:rsid w:val="00345480"/>
    <w:rsid w:val="0036354B"/>
    <w:rsid w:val="00370DEE"/>
    <w:rsid w:val="00383965"/>
    <w:rsid w:val="003906A4"/>
    <w:rsid w:val="003B3844"/>
    <w:rsid w:val="003B42C1"/>
    <w:rsid w:val="004011B5"/>
    <w:rsid w:val="00405DED"/>
    <w:rsid w:val="004140A4"/>
    <w:rsid w:val="00423492"/>
    <w:rsid w:val="004274A4"/>
    <w:rsid w:val="00447D97"/>
    <w:rsid w:val="004806A0"/>
    <w:rsid w:val="00492E9C"/>
    <w:rsid w:val="004B3254"/>
    <w:rsid w:val="004C1112"/>
    <w:rsid w:val="004D3DAC"/>
    <w:rsid w:val="004F56EF"/>
    <w:rsid w:val="00514616"/>
    <w:rsid w:val="00515C62"/>
    <w:rsid w:val="00533334"/>
    <w:rsid w:val="00543AAD"/>
    <w:rsid w:val="00552084"/>
    <w:rsid w:val="005706CE"/>
    <w:rsid w:val="005906E6"/>
    <w:rsid w:val="0059798B"/>
    <w:rsid w:val="005B0623"/>
    <w:rsid w:val="005B176B"/>
    <w:rsid w:val="005B3943"/>
    <w:rsid w:val="005C1FD9"/>
    <w:rsid w:val="005D1B66"/>
    <w:rsid w:val="005D3ED6"/>
    <w:rsid w:val="005E7C16"/>
    <w:rsid w:val="00605B20"/>
    <w:rsid w:val="006130D8"/>
    <w:rsid w:val="006229E4"/>
    <w:rsid w:val="00627319"/>
    <w:rsid w:val="00650B28"/>
    <w:rsid w:val="00671354"/>
    <w:rsid w:val="00677898"/>
    <w:rsid w:val="006A04DE"/>
    <w:rsid w:val="006A7088"/>
    <w:rsid w:val="006B1EE0"/>
    <w:rsid w:val="006C5D09"/>
    <w:rsid w:val="00714D10"/>
    <w:rsid w:val="00720536"/>
    <w:rsid w:val="00721BFD"/>
    <w:rsid w:val="007504D1"/>
    <w:rsid w:val="0075546E"/>
    <w:rsid w:val="00763608"/>
    <w:rsid w:val="00766ED5"/>
    <w:rsid w:val="00767598"/>
    <w:rsid w:val="007731BA"/>
    <w:rsid w:val="0077640B"/>
    <w:rsid w:val="00776BC5"/>
    <w:rsid w:val="007B2482"/>
    <w:rsid w:val="0080628F"/>
    <w:rsid w:val="00814C93"/>
    <w:rsid w:val="00825533"/>
    <w:rsid w:val="008620E5"/>
    <w:rsid w:val="00874C3A"/>
    <w:rsid w:val="0089147A"/>
    <w:rsid w:val="008947F4"/>
    <w:rsid w:val="008A54F3"/>
    <w:rsid w:val="008A7920"/>
    <w:rsid w:val="008B645E"/>
    <w:rsid w:val="008D0878"/>
    <w:rsid w:val="008E1C98"/>
    <w:rsid w:val="008F00EE"/>
    <w:rsid w:val="0090601E"/>
    <w:rsid w:val="00907C8F"/>
    <w:rsid w:val="00917F48"/>
    <w:rsid w:val="009525DD"/>
    <w:rsid w:val="00953AF6"/>
    <w:rsid w:val="00955CFD"/>
    <w:rsid w:val="00961B5F"/>
    <w:rsid w:val="00965430"/>
    <w:rsid w:val="00973ACD"/>
    <w:rsid w:val="0097764D"/>
    <w:rsid w:val="009A02E8"/>
    <w:rsid w:val="009B5169"/>
    <w:rsid w:val="009F25B7"/>
    <w:rsid w:val="00A170D1"/>
    <w:rsid w:val="00A25319"/>
    <w:rsid w:val="00A30B7E"/>
    <w:rsid w:val="00A345A7"/>
    <w:rsid w:val="00A441F1"/>
    <w:rsid w:val="00A45C7A"/>
    <w:rsid w:val="00A462F0"/>
    <w:rsid w:val="00A511FE"/>
    <w:rsid w:val="00A618FC"/>
    <w:rsid w:val="00A73D35"/>
    <w:rsid w:val="00A80C86"/>
    <w:rsid w:val="00A87FF1"/>
    <w:rsid w:val="00A90367"/>
    <w:rsid w:val="00A93333"/>
    <w:rsid w:val="00AC66DE"/>
    <w:rsid w:val="00AD40CD"/>
    <w:rsid w:val="00AE1941"/>
    <w:rsid w:val="00AE3312"/>
    <w:rsid w:val="00AF7FC4"/>
    <w:rsid w:val="00B16ACF"/>
    <w:rsid w:val="00B366CD"/>
    <w:rsid w:val="00B422AB"/>
    <w:rsid w:val="00B8054A"/>
    <w:rsid w:val="00B81C16"/>
    <w:rsid w:val="00B8290A"/>
    <w:rsid w:val="00B83E02"/>
    <w:rsid w:val="00BB0E91"/>
    <w:rsid w:val="00BB2C89"/>
    <w:rsid w:val="00BB66B2"/>
    <w:rsid w:val="00BB76B5"/>
    <w:rsid w:val="00BE75E0"/>
    <w:rsid w:val="00C043FD"/>
    <w:rsid w:val="00C225B1"/>
    <w:rsid w:val="00C41F10"/>
    <w:rsid w:val="00C42379"/>
    <w:rsid w:val="00C76EC4"/>
    <w:rsid w:val="00CB204B"/>
    <w:rsid w:val="00CC3262"/>
    <w:rsid w:val="00CD237B"/>
    <w:rsid w:val="00CD2423"/>
    <w:rsid w:val="00CD34F9"/>
    <w:rsid w:val="00D10654"/>
    <w:rsid w:val="00D22B72"/>
    <w:rsid w:val="00D275EF"/>
    <w:rsid w:val="00D44622"/>
    <w:rsid w:val="00D522AB"/>
    <w:rsid w:val="00D61D82"/>
    <w:rsid w:val="00D62C5E"/>
    <w:rsid w:val="00D703E9"/>
    <w:rsid w:val="00D746B0"/>
    <w:rsid w:val="00D75450"/>
    <w:rsid w:val="00D9308A"/>
    <w:rsid w:val="00DB03DB"/>
    <w:rsid w:val="00DB2263"/>
    <w:rsid w:val="00DC3FEC"/>
    <w:rsid w:val="00DC48B6"/>
    <w:rsid w:val="00DC6624"/>
    <w:rsid w:val="00DD5D2D"/>
    <w:rsid w:val="00DF6E12"/>
    <w:rsid w:val="00DF6EAE"/>
    <w:rsid w:val="00E31311"/>
    <w:rsid w:val="00E31D41"/>
    <w:rsid w:val="00E377B3"/>
    <w:rsid w:val="00E37824"/>
    <w:rsid w:val="00E76B45"/>
    <w:rsid w:val="00E85BC6"/>
    <w:rsid w:val="00E938F5"/>
    <w:rsid w:val="00EA2B04"/>
    <w:rsid w:val="00EB4233"/>
    <w:rsid w:val="00EC4D71"/>
    <w:rsid w:val="00ED15A2"/>
    <w:rsid w:val="00EF13AD"/>
    <w:rsid w:val="00F37149"/>
    <w:rsid w:val="00F40924"/>
    <w:rsid w:val="00F5344F"/>
    <w:rsid w:val="00F80B22"/>
    <w:rsid w:val="00F84CF6"/>
    <w:rsid w:val="00F92427"/>
    <w:rsid w:val="00FA1C25"/>
    <w:rsid w:val="00FA4C43"/>
    <w:rsid w:val="00FB567C"/>
    <w:rsid w:val="00FF3918"/>
    <w:rsid w:val="00FF491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0AD45E22-F306-495E-BA3A-0420B7B5A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31B4"/>
    <w:rPr>
      <w:rFonts w:eastAsiaTheme="minorEastAsia"/>
      <w:lang w:eastAsia="es-ES"/>
    </w:rPr>
  </w:style>
  <w:style w:type="paragraph" w:styleId="Ttulo1">
    <w:name w:val="heading 1"/>
    <w:basedOn w:val="Normal"/>
    <w:next w:val="Normal"/>
    <w:link w:val="Ttulo1Car"/>
    <w:uiPriority w:val="1"/>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unhideWhenUsed/>
    <w:rsid w:val="004C20DC"/>
    <w:pPr>
      <w:spacing w:before="120" w:after="120"/>
      <w:ind w:left="283"/>
      <w:jc w:val="center"/>
    </w:pPr>
    <w:rPr>
      <w:rFonts w:eastAsia="Calibri" w:cs="Times New Roman"/>
      <w:sz w:val="22"/>
      <w:szCs w:val="22"/>
      <w:lang w:val="x-none" w:eastAsia="en-US"/>
    </w:rPr>
  </w:style>
  <w:style w:type="character" w:customStyle="1" w:styleId="SangradetextonormalCar">
    <w:name w:val="Sangría de texto normal Car"/>
    <w:basedOn w:val="Fuentedeprrafopredeter"/>
    <w:link w:val="Sangradetextonormal"/>
    <w:rsid w:val="004C20DC"/>
    <w:rPr>
      <w:rFonts w:ascii="Calibri" w:eastAsia="Calibri" w:hAnsi="Calibri" w:cs="Times New Roman"/>
      <w:lang w:val="x-none"/>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 w:type="paragraph" w:styleId="Sinespaciado">
    <w:name w:val="No Spacing"/>
    <w:aliases w:val="Francesa,INAI"/>
    <w:link w:val="SinespaciadoCar"/>
    <w:uiPriority w:val="1"/>
    <w:qFormat/>
    <w:rsid w:val="00157515"/>
    <w:rPr>
      <w:rFonts w:ascii="Times New Roman" w:eastAsia="Times New Roman" w:hAnsi="Times New Roman" w:cs="Times New Roman"/>
      <w:lang w:val="es-MX" w:eastAsia="es-ES"/>
    </w:rPr>
  </w:style>
  <w:style w:type="character" w:customStyle="1" w:styleId="SinespaciadoCar">
    <w:name w:val="Sin espaciado Car"/>
    <w:aliases w:val="Francesa Car,INAI Car"/>
    <w:link w:val="Sinespaciado"/>
    <w:uiPriority w:val="1"/>
    <w:locked/>
    <w:rsid w:val="00157515"/>
    <w:rPr>
      <w:rFonts w:ascii="Times New Roman" w:eastAsia="Times New Roman" w:hAnsi="Times New Roman" w:cs="Times New Roman"/>
      <w:lang w:val="es-MX" w:eastAsia="es-ES"/>
    </w:rPr>
  </w:style>
  <w:style w:type="paragraph" w:customStyle="1" w:styleId="Citas">
    <w:name w:val="Citas"/>
    <w:basedOn w:val="Normal"/>
    <w:qFormat/>
    <w:rsid w:val="00157515"/>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Default">
    <w:name w:val="Default"/>
    <w:qFormat/>
    <w:rsid w:val="00515C62"/>
    <w:pPr>
      <w:autoSpaceDE w:val="0"/>
      <w:autoSpaceDN w:val="0"/>
      <w:adjustRightInd w:val="0"/>
    </w:pPr>
    <w:rPr>
      <w:rFonts w:ascii="Arial" w:eastAsiaTheme="minorHAnsi" w:hAnsi="Arial" w:cs="Arial"/>
      <w:color w:val="000000"/>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xtir3TVLr3cTl888M9WsI9OyqA==">CgMxLjAyCGguZ2pkZ3hzMgloLjMwajB6bGwyCWguMWZvYjl0ZTIJaC4zem55c2g3MgloLjJldDkycDAyCGgudHlqY3d0MgloLjNkeTZ2a20yCWguMXQzaDVzZjIJaC40ZDM0b2c4OAByITFPc2MtYUNmaC1NV0NnRXBOSVZuN2R3UEFKbW5sRTU0SQ==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21</Pages>
  <Words>4582</Words>
  <Characters>25207</Characters>
  <Application>Microsoft Office Word</Application>
  <DocSecurity>0</DocSecurity>
  <Lines>210</Lines>
  <Paragraphs>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10</cp:revision>
  <cp:lastPrinted>2026-02-20T16:09:00Z</cp:lastPrinted>
  <dcterms:created xsi:type="dcterms:W3CDTF">2026-02-16T19:31:00Z</dcterms:created>
  <dcterms:modified xsi:type="dcterms:W3CDTF">2026-02-26T23:53:00Z</dcterms:modified>
</cp:coreProperties>
</file>