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54A5A0E" w14:textId="39C5AC6A" w:rsidR="00611EC6" w:rsidRPr="00AF7742" w:rsidRDefault="00947C3B" w:rsidP="00A42539">
      <w:pPr>
        <w:tabs>
          <w:tab w:val="left" w:pos="3465"/>
        </w:tabs>
        <w:spacing w:line="360" w:lineRule="auto"/>
        <w:jc w:val="both"/>
        <w:rPr>
          <w:rFonts w:ascii="Palatino Linotype" w:hAnsi="Palatino Linotype"/>
          <w:color w:val="000000" w:themeColor="text1"/>
          <w:lang w:val="es-MX"/>
        </w:rPr>
      </w:pPr>
      <w:r w:rsidRPr="00AF7742">
        <w:rPr>
          <w:rFonts w:ascii="Palatino Linotype" w:hAnsi="Palatino Linotype"/>
        </w:rPr>
        <w:t xml:space="preserve">Resolución del Pleno del Instituto de Transparencia, Acceso a la Información Pública y Protección de Datos Personales del Estado de México y Municipios, con domicilio en Metepec, Estado de México; de fecha </w:t>
      </w:r>
      <w:r w:rsidR="00AC54CB" w:rsidRPr="00AF7742">
        <w:rPr>
          <w:rFonts w:ascii="Palatino Linotype" w:hAnsi="Palatino Linotype"/>
          <w:color w:val="000000" w:themeColor="text1"/>
        </w:rPr>
        <w:t>tre</w:t>
      </w:r>
      <w:r w:rsidR="001F4A04" w:rsidRPr="00AF7742">
        <w:rPr>
          <w:rFonts w:ascii="Palatino Linotype" w:hAnsi="Palatino Linotype"/>
          <w:color w:val="000000" w:themeColor="text1"/>
        </w:rPr>
        <w:t>ce</w:t>
      </w:r>
      <w:r w:rsidR="0041452A" w:rsidRPr="00AF7742">
        <w:rPr>
          <w:rFonts w:ascii="Palatino Linotype" w:hAnsi="Palatino Linotype"/>
          <w:color w:val="000000" w:themeColor="text1"/>
        </w:rPr>
        <w:t xml:space="preserve"> </w:t>
      </w:r>
      <w:r w:rsidR="00AF7742">
        <w:rPr>
          <w:rFonts w:ascii="Palatino Linotype" w:hAnsi="Palatino Linotype"/>
          <w:color w:val="000000" w:themeColor="text1"/>
        </w:rPr>
        <w:t xml:space="preserve">(13) </w:t>
      </w:r>
      <w:r w:rsidR="0041452A" w:rsidRPr="00AF7742">
        <w:rPr>
          <w:rFonts w:ascii="Palatino Linotype" w:hAnsi="Palatino Linotype"/>
          <w:color w:val="000000" w:themeColor="text1"/>
        </w:rPr>
        <w:t xml:space="preserve">de </w:t>
      </w:r>
      <w:r w:rsidR="001F4A04" w:rsidRPr="00AF7742">
        <w:rPr>
          <w:rFonts w:ascii="Palatino Linotype" w:hAnsi="Palatino Linotype"/>
          <w:color w:val="000000" w:themeColor="text1"/>
        </w:rPr>
        <w:t>mayo</w:t>
      </w:r>
      <w:r w:rsidR="00C86A6F" w:rsidRPr="00AF7742">
        <w:rPr>
          <w:rFonts w:ascii="Palatino Linotype" w:hAnsi="Palatino Linotype"/>
          <w:color w:val="000000" w:themeColor="text1"/>
        </w:rPr>
        <w:t xml:space="preserve"> de </w:t>
      </w:r>
      <w:r w:rsidR="00F94620" w:rsidRPr="00AF7742">
        <w:rPr>
          <w:rFonts w:ascii="Palatino Linotype" w:hAnsi="Palatino Linotype"/>
          <w:color w:val="000000" w:themeColor="text1"/>
        </w:rPr>
        <w:t>dos mil veintiséis</w:t>
      </w:r>
      <w:r w:rsidR="00611EC6" w:rsidRPr="00AF7742">
        <w:rPr>
          <w:rFonts w:ascii="Palatino Linotype" w:hAnsi="Palatino Linotype"/>
          <w:color w:val="000000" w:themeColor="text1"/>
        </w:rPr>
        <w:t>.</w:t>
      </w:r>
    </w:p>
    <w:p w14:paraId="70BA5E97" w14:textId="77777777" w:rsidR="00947C3B" w:rsidRPr="00AF7742" w:rsidRDefault="00947C3B" w:rsidP="00A42539">
      <w:pPr>
        <w:tabs>
          <w:tab w:val="left" w:pos="3465"/>
        </w:tabs>
        <w:spacing w:line="360" w:lineRule="auto"/>
        <w:jc w:val="both"/>
        <w:rPr>
          <w:rFonts w:ascii="Palatino Linotype" w:hAnsi="Palatino Linotype"/>
        </w:rPr>
      </w:pPr>
    </w:p>
    <w:p w14:paraId="38CBC7E2" w14:textId="7FBCFC99" w:rsidR="00947C3B" w:rsidRPr="00AF7742" w:rsidRDefault="00947C3B" w:rsidP="00A42539">
      <w:pPr>
        <w:spacing w:line="360" w:lineRule="auto"/>
        <w:jc w:val="both"/>
        <w:rPr>
          <w:rFonts w:ascii="Palatino Linotype" w:hAnsi="Palatino Linotype"/>
        </w:rPr>
      </w:pPr>
      <w:r w:rsidRPr="00AF7742">
        <w:rPr>
          <w:rFonts w:ascii="Palatino Linotype" w:hAnsi="Palatino Linotype"/>
          <w:b/>
        </w:rPr>
        <w:t>VISTO</w:t>
      </w:r>
      <w:r w:rsidRPr="00AF7742">
        <w:rPr>
          <w:rFonts w:ascii="Palatino Linotype" w:hAnsi="Palatino Linotype"/>
        </w:rPr>
        <w:t xml:space="preserve"> el expediente elec</w:t>
      </w:r>
      <w:r w:rsidR="00C57378" w:rsidRPr="00AF7742">
        <w:rPr>
          <w:rFonts w:ascii="Palatino Linotype" w:hAnsi="Palatino Linotype"/>
        </w:rPr>
        <w:t>trónico formado con motivo del R</w:t>
      </w:r>
      <w:r w:rsidRPr="00AF7742">
        <w:rPr>
          <w:rFonts w:ascii="Palatino Linotype" w:hAnsi="Palatino Linotype"/>
        </w:rPr>
        <w:t xml:space="preserve">ecurso de </w:t>
      </w:r>
      <w:r w:rsidR="00C57378" w:rsidRPr="00AF7742">
        <w:rPr>
          <w:rFonts w:ascii="Palatino Linotype" w:hAnsi="Palatino Linotype"/>
        </w:rPr>
        <w:t>R</w:t>
      </w:r>
      <w:r w:rsidRPr="00AF7742">
        <w:rPr>
          <w:rFonts w:ascii="Palatino Linotype" w:hAnsi="Palatino Linotype"/>
        </w:rPr>
        <w:t xml:space="preserve">evisión </w:t>
      </w:r>
      <w:r w:rsidR="001F4A04" w:rsidRPr="00AF7742">
        <w:rPr>
          <w:rFonts w:ascii="Palatino Linotype" w:hAnsi="Palatino Linotype"/>
          <w:b/>
        </w:rPr>
        <w:t>10673/INFOEM/IP/RR/2025</w:t>
      </w:r>
      <w:r w:rsidRPr="00AF7742">
        <w:rPr>
          <w:rFonts w:ascii="Palatino Linotype" w:hAnsi="Palatino Linotype"/>
        </w:rPr>
        <w:t>,</w:t>
      </w:r>
      <w:r w:rsidRPr="00AF7742">
        <w:rPr>
          <w:rFonts w:ascii="Palatino Linotype" w:hAnsi="Palatino Linotype" w:cs="Arial"/>
          <w:b/>
          <w:bCs/>
        </w:rPr>
        <w:t xml:space="preserve"> </w:t>
      </w:r>
      <w:r w:rsidRPr="00AF7742">
        <w:rPr>
          <w:rFonts w:ascii="Palatino Linotype" w:hAnsi="Palatino Linotype"/>
        </w:rPr>
        <w:t xml:space="preserve">promovido por </w:t>
      </w:r>
      <w:r w:rsidR="006E6FA3" w:rsidRPr="00AF7742">
        <w:rPr>
          <w:rFonts w:ascii="Palatino Linotype" w:hAnsi="Palatino Linotype"/>
          <w:b/>
        </w:rPr>
        <w:t>una persona que no proporcionó datos de identificación</w:t>
      </w:r>
      <w:r w:rsidRPr="00AF7742">
        <w:rPr>
          <w:rFonts w:ascii="Palatino Linotype" w:hAnsi="Palatino Linotype"/>
          <w:b/>
        </w:rPr>
        <w:t>,</w:t>
      </w:r>
      <w:r w:rsidRPr="00AF7742">
        <w:rPr>
          <w:rFonts w:ascii="Palatino Linotype" w:hAnsi="Palatino Linotype"/>
        </w:rPr>
        <w:t xml:space="preserve"> a quien en lo sucesivo se le identificará como </w:t>
      </w:r>
      <w:r w:rsidR="00C862A5" w:rsidRPr="00AF7742">
        <w:rPr>
          <w:rFonts w:ascii="Palatino Linotype" w:hAnsi="Palatino Linotype"/>
          <w:b/>
        </w:rPr>
        <w:t>EL RECURRENTE</w:t>
      </w:r>
      <w:r w:rsidRPr="00AF7742">
        <w:rPr>
          <w:rFonts w:ascii="Palatino Linotype" w:hAnsi="Palatino Linotype" w:cs="Arial"/>
        </w:rPr>
        <w:t>, en contra de la respuesta de</w:t>
      </w:r>
      <w:r w:rsidR="000F6F38" w:rsidRPr="00AF7742">
        <w:rPr>
          <w:rFonts w:ascii="Palatino Linotype" w:hAnsi="Palatino Linotype" w:cs="Arial"/>
        </w:rPr>
        <w:t xml:space="preserve"> </w:t>
      </w:r>
      <w:r w:rsidRPr="00AF7742">
        <w:rPr>
          <w:rFonts w:ascii="Palatino Linotype" w:hAnsi="Palatino Linotype" w:cs="Arial"/>
        </w:rPr>
        <w:t>l</w:t>
      </w:r>
      <w:r w:rsidR="000F6F38" w:rsidRPr="00AF7742">
        <w:rPr>
          <w:rFonts w:ascii="Palatino Linotype" w:hAnsi="Palatino Linotype" w:cs="Arial"/>
        </w:rPr>
        <w:t>a</w:t>
      </w:r>
      <w:r w:rsidRPr="00AF7742">
        <w:rPr>
          <w:rFonts w:ascii="Palatino Linotype" w:hAnsi="Palatino Linotype" w:cs="Arial"/>
        </w:rPr>
        <w:t xml:space="preserve"> </w:t>
      </w:r>
      <w:r w:rsidR="0065237A" w:rsidRPr="00AF7742">
        <w:rPr>
          <w:rFonts w:ascii="Palatino Linotype" w:hAnsi="Palatino Linotype" w:cs="Arial"/>
          <w:b/>
          <w:bCs/>
        </w:rPr>
        <w:t>Secretaría de Movilidad</w:t>
      </w:r>
      <w:r w:rsidRPr="00AF7742">
        <w:rPr>
          <w:rFonts w:ascii="Palatino Linotype" w:hAnsi="Palatino Linotype" w:cs="Arial"/>
          <w:b/>
        </w:rPr>
        <w:t>,</w:t>
      </w:r>
      <w:r w:rsidRPr="00AF7742">
        <w:rPr>
          <w:rFonts w:ascii="Palatino Linotype" w:hAnsi="Palatino Linotype"/>
          <w:b/>
        </w:rPr>
        <w:t xml:space="preserve"> </w:t>
      </w:r>
      <w:r w:rsidRPr="00AF7742">
        <w:rPr>
          <w:rFonts w:ascii="Palatino Linotype" w:hAnsi="Palatino Linotype"/>
        </w:rPr>
        <w:t xml:space="preserve">en </w:t>
      </w:r>
      <w:r w:rsidR="00AF7742">
        <w:rPr>
          <w:rFonts w:ascii="Palatino Linotype" w:hAnsi="Palatino Linotype"/>
        </w:rPr>
        <w:t>adelante</w:t>
      </w:r>
      <w:r w:rsidRPr="00AF7742">
        <w:rPr>
          <w:rFonts w:ascii="Palatino Linotype" w:hAnsi="Palatino Linotype"/>
        </w:rPr>
        <w:t xml:space="preserve"> el</w:t>
      </w:r>
      <w:r w:rsidRPr="00AF7742">
        <w:rPr>
          <w:rFonts w:ascii="Palatino Linotype" w:hAnsi="Palatino Linotype"/>
          <w:b/>
        </w:rPr>
        <w:t xml:space="preserve"> SUJETO OBLIGADO</w:t>
      </w:r>
      <w:r w:rsidRPr="00AF7742">
        <w:rPr>
          <w:rFonts w:ascii="Palatino Linotype" w:hAnsi="Palatino Linotype"/>
        </w:rPr>
        <w:t xml:space="preserve">, se procede a dictar la presente </w:t>
      </w:r>
      <w:r w:rsidR="009366E5" w:rsidRPr="00AF7742">
        <w:rPr>
          <w:rFonts w:ascii="Palatino Linotype" w:hAnsi="Palatino Linotype"/>
        </w:rPr>
        <w:t>R</w:t>
      </w:r>
      <w:r w:rsidRPr="00AF7742">
        <w:rPr>
          <w:rFonts w:ascii="Palatino Linotype" w:hAnsi="Palatino Linotype"/>
        </w:rPr>
        <w:t>esolución, con base en los siguientes:</w:t>
      </w:r>
    </w:p>
    <w:p w14:paraId="7CBFFAD8" w14:textId="77777777" w:rsidR="00947C3B" w:rsidRPr="00AF7742" w:rsidRDefault="00947C3B" w:rsidP="00A42539">
      <w:pPr>
        <w:spacing w:line="360" w:lineRule="auto"/>
        <w:jc w:val="both"/>
        <w:rPr>
          <w:rFonts w:ascii="Palatino Linotype" w:hAnsi="Palatino Linotype"/>
        </w:rPr>
      </w:pPr>
    </w:p>
    <w:p w14:paraId="6C073730" w14:textId="46C7C4BA" w:rsidR="00947C3B" w:rsidRPr="00AF7742" w:rsidRDefault="00947C3B" w:rsidP="00A42539">
      <w:pPr>
        <w:pStyle w:val="Ttulo1"/>
        <w:spacing w:before="0" w:line="360" w:lineRule="auto"/>
        <w:jc w:val="center"/>
        <w:rPr>
          <w:rFonts w:ascii="Palatino Linotype" w:hAnsi="Palatino Linotype"/>
          <w:b/>
          <w:color w:val="000000" w:themeColor="text1"/>
          <w:sz w:val="24"/>
          <w:szCs w:val="24"/>
        </w:rPr>
      </w:pPr>
      <w:bookmarkStart w:id="0" w:name="_Toc461555884"/>
      <w:bookmarkStart w:id="1" w:name="_Toc466371847"/>
      <w:bookmarkStart w:id="2" w:name="_Toc83128575"/>
      <w:r w:rsidRPr="00AF7742">
        <w:rPr>
          <w:rFonts w:ascii="Palatino Linotype" w:hAnsi="Palatino Linotype"/>
          <w:b/>
          <w:color w:val="000000" w:themeColor="text1"/>
          <w:sz w:val="24"/>
          <w:szCs w:val="24"/>
        </w:rPr>
        <w:t>A</w:t>
      </w:r>
      <w:r w:rsidR="00AF7742">
        <w:rPr>
          <w:rFonts w:ascii="Palatino Linotype" w:hAnsi="Palatino Linotype"/>
          <w:b/>
          <w:color w:val="000000" w:themeColor="text1"/>
          <w:sz w:val="24"/>
          <w:szCs w:val="24"/>
        </w:rPr>
        <w:t xml:space="preserve"> </w:t>
      </w:r>
      <w:r w:rsidRPr="00AF7742">
        <w:rPr>
          <w:rFonts w:ascii="Palatino Linotype" w:hAnsi="Palatino Linotype"/>
          <w:b/>
          <w:color w:val="000000" w:themeColor="text1"/>
          <w:sz w:val="24"/>
          <w:szCs w:val="24"/>
        </w:rPr>
        <w:t>N</w:t>
      </w:r>
      <w:r w:rsidR="00AF7742">
        <w:rPr>
          <w:rFonts w:ascii="Palatino Linotype" w:hAnsi="Palatino Linotype"/>
          <w:b/>
          <w:color w:val="000000" w:themeColor="text1"/>
          <w:sz w:val="24"/>
          <w:szCs w:val="24"/>
        </w:rPr>
        <w:t xml:space="preserve"> </w:t>
      </w:r>
      <w:r w:rsidRPr="00AF7742">
        <w:rPr>
          <w:rFonts w:ascii="Palatino Linotype" w:hAnsi="Palatino Linotype"/>
          <w:b/>
          <w:color w:val="000000" w:themeColor="text1"/>
          <w:sz w:val="24"/>
          <w:szCs w:val="24"/>
        </w:rPr>
        <w:t>T</w:t>
      </w:r>
      <w:r w:rsidR="00AF7742">
        <w:rPr>
          <w:rFonts w:ascii="Palatino Linotype" w:hAnsi="Palatino Linotype"/>
          <w:b/>
          <w:color w:val="000000" w:themeColor="text1"/>
          <w:sz w:val="24"/>
          <w:szCs w:val="24"/>
        </w:rPr>
        <w:t xml:space="preserve"> </w:t>
      </w:r>
      <w:r w:rsidRPr="00AF7742">
        <w:rPr>
          <w:rFonts w:ascii="Palatino Linotype" w:hAnsi="Palatino Linotype"/>
          <w:b/>
          <w:color w:val="000000" w:themeColor="text1"/>
          <w:sz w:val="24"/>
          <w:szCs w:val="24"/>
        </w:rPr>
        <w:t>E</w:t>
      </w:r>
      <w:r w:rsidR="00AF7742">
        <w:rPr>
          <w:rFonts w:ascii="Palatino Linotype" w:hAnsi="Palatino Linotype"/>
          <w:b/>
          <w:color w:val="000000" w:themeColor="text1"/>
          <w:sz w:val="24"/>
          <w:szCs w:val="24"/>
        </w:rPr>
        <w:t xml:space="preserve"> </w:t>
      </w:r>
      <w:r w:rsidRPr="00AF7742">
        <w:rPr>
          <w:rFonts w:ascii="Palatino Linotype" w:hAnsi="Palatino Linotype"/>
          <w:b/>
          <w:color w:val="000000" w:themeColor="text1"/>
          <w:sz w:val="24"/>
          <w:szCs w:val="24"/>
        </w:rPr>
        <w:t>C</w:t>
      </w:r>
      <w:r w:rsidR="00AF7742">
        <w:rPr>
          <w:rFonts w:ascii="Palatino Linotype" w:hAnsi="Palatino Linotype"/>
          <w:b/>
          <w:color w:val="000000" w:themeColor="text1"/>
          <w:sz w:val="24"/>
          <w:szCs w:val="24"/>
        </w:rPr>
        <w:t xml:space="preserve"> </w:t>
      </w:r>
      <w:r w:rsidRPr="00AF7742">
        <w:rPr>
          <w:rFonts w:ascii="Palatino Linotype" w:hAnsi="Palatino Linotype"/>
          <w:b/>
          <w:color w:val="000000" w:themeColor="text1"/>
          <w:sz w:val="24"/>
          <w:szCs w:val="24"/>
        </w:rPr>
        <w:t>E</w:t>
      </w:r>
      <w:r w:rsidR="00AF7742">
        <w:rPr>
          <w:rFonts w:ascii="Palatino Linotype" w:hAnsi="Palatino Linotype"/>
          <w:b/>
          <w:color w:val="000000" w:themeColor="text1"/>
          <w:sz w:val="24"/>
          <w:szCs w:val="24"/>
        </w:rPr>
        <w:t xml:space="preserve"> </w:t>
      </w:r>
      <w:r w:rsidRPr="00AF7742">
        <w:rPr>
          <w:rFonts w:ascii="Palatino Linotype" w:hAnsi="Palatino Linotype"/>
          <w:b/>
          <w:color w:val="000000" w:themeColor="text1"/>
          <w:sz w:val="24"/>
          <w:szCs w:val="24"/>
        </w:rPr>
        <w:t>D</w:t>
      </w:r>
      <w:r w:rsidR="00AF7742">
        <w:rPr>
          <w:rFonts w:ascii="Palatino Linotype" w:hAnsi="Palatino Linotype"/>
          <w:b/>
          <w:color w:val="000000" w:themeColor="text1"/>
          <w:sz w:val="24"/>
          <w:szCs w:val="24"/>
        </w:rPr>
        <w:t xml:space="preserve"> </w:t>
      </w:r>
      <w:r w:rsidRPr="00AF7742">
        <w:rPr>
          <w:rFonts w:ascii="Palatino Linotype" w:hAnsi="Palatino Linotype"/>
          <w:b/>
          <w:color w:val="000000" w:themeColor="text1"/>
          <w:sz w:val="24"/>
          <w:szCs w:val="24"/>
        </w:rPr>
        <w:t>E</w:t>
      </w:r>
      <w:r w:rsidR="00AF7742">
        <w:rPr>
          <w:rFonts w:ascii="Palatino Linotype" w:hAnsi="Palatino Linotype"/>
          <w:b/>
          <w:color w:val="000000" w:themeColor="text1"/>
          <w:sz w:val="24"/>
          <w:szCs w:val="24"/>
        </w:rPr>
        <w:t xml:space="preserve"> </w:t>
      </w:r>
      <w:r w:rsidRPr="00AF7742">
        <w:rPr>
          <w:rFonts w:ascii="Palatino Linotype" w:hAnsi="Palatino Linotype"/>
          <w:b/>
          <w:color w:val="000000" w:themeColor="text1"/>
          <w:sz w:val="24"/>
          <w:szCs w:val="24"/>
        </w:rPr>
        <w:t>N</w:t>
      </w:r>
      <w:r w:rsidR="00AF7742">
        <w:rPr>
          <w:rFonts w:ascii="Palatino Linotype" w:hAnsi="Palatino Linotype"/>
          <w:b/>
          <w:color w:val="000000" w:themeColor="text1"/>
          <w:sz w:val="24"/>
          <w:szCs w:val="24"/>
        </w:rPr>
        <w:t xml:space="preserve"> </w:t>
      </w:r>
      <w:r w:rsidRPr="00AF7742">
        <w:rPr>
          <w:rFonts w:ascii="Palatino Linotype" w:hAnsi="Palatino Linotype"/>
          <w:b/>
          <w:color w:val="000000" w:themeColor="text1"/>
          <w:sz w:val="24"/>
          <w:szCs w:val="24"/>
        </w:rPr>
        <w:t>T</w:t>
      </w:r>
      <w:r w:rsidR="00AF7742">
        <w:rPr>
          <w:rFonts w:ascii="Palatino Linotype" w:hAnsi="Palatino Linotype"/>
          <w:b/>
          <w:color w:val="000000" w:themeColor="text1"/>
          <w:sz w:val="24"/>
          <w:szCs w:val="24"/>
        </w:rPr>
        <w:t xml:space="preserve"> </w:t>
      </w:r>
      <w:r w:rsidRPr="00AF7742">
        <w:rPr>
          <w:rFonts w:ascii="Palatino Linotype" w:hAnsi="Palatino Linotype"/>
          <w:b/>
          <w:color w:val="000000" w:themeColor="text1"/>
          <w:sz w:val="24"/>
          <w:szCs w:val="24"/>
        </w:rPr>
        <w:t>E</w:t>
      </w:r>
      <w:r w:rsidR="00AF7742">
        <w:rPr>
          <w:rFonts w:ascii="Palatino Linotype" w:hAnsi="Palatino Linotype"/>
          <w:b/>
          <w:color w:val="000000" w:themeColor="text1"/>
          <w:sz w:val="24"/>
          <w:szCs w:val="24"/>
        </w:rPr>
        <w:t xml:space="preserve"> </w:t>
      </w:r>
      <w:r w:rsidRPr="00AF7742">
        <w:rPr>
          <w:rFonts w:ascii="Palatino Linotype" w:hAnsi="Palatino Linotype"/>
          <w:b/>
          <w:color w:val="000000" w:themeColor="text1"/>
          <w:sz w:val="24"/>
          <w:szCs w:val="24"/>
        </w:rPr>
        <w:t>S</w:t>
      </w:r>
      <w:bookmarkEnd w:id="0"/>
      <w:bookmarkEnd w:id="1"/>
      <w:bookmarkEnd w:id="2"/>
      <w:r w:rsidR="00AF7742">
        <w:rPr>
          <w:rFonts w:ascii="Palatino Linotype" w:hAnsi="Palatino Linotype"/>
          <w:b/>
          <w:color w:val="000000" w:themeColor="text1"/>
          <w:sz w:val="24"/>
          <w:szCs w:val="24"/>
        </w:rPr>
        <w:t xml:space="preserve"> </w:t>
      </w:r>
    </w:p>
    <w:p w14:paraId="6BDD1D0D" w14:textId="77777777" w:rsidR="00947C3B" w:rsidRPr="00AF7742" w:rsidRDefault="00947C3B" w:rsidP="00A42539">
      <w:pPr>
        <w:pStyle w:val="Prrafodelista"/>
        <w:spacing w:line="360" w:lineRule="auto"/>
        <w:ind w:left="0"/>
        <w:jc w:val="both"/>
        <w:rPr>
          <w:rFonts w:ascii="Palatino Linotype" w:eastAsia="Calibri" w:hAnsi="Palatino Linotype" w:cs="Arial"/>
          <w:lang w:val="es-ES"/>
        </w:rPr>
      </w:pPr>
    </w:p>
    <w:p w14:paraId="1CB07C3A" w14:textId="5322D93C" w:rsidR="00947C3B" w:rsidRPr="00AF7742" w:rsidRDefault="00947C3B" w:rsidP="00A42539">
      <w:pPr>
        <w:pStyle w:val="Prrafodelista"/>
        <w:numPr>
          <w:ilvl w:val="0"/>
          <w:numId w:val="1"/>
        </w:numPr>
        <w:spacing w:line="360" w:lineRule="auto"/>
        <w:ind w:left="0" w:firstLine="0"/>
        <w:jc w:val="both"/>
        <w:rPr>
          <w:rFonts w:ascii="Palatino Linotype" w:eastAsia="Calibri" w:hAnsi="Palatino Linotype" w:cs="Arial"/>
          <w:lang w:val="es-ES"/>
        </w:rPr>
      </w:pPr>
      <w:r w:rsidRPr="00AF7742">
        <w:rPr>
          <w:rFonts w:ascii="Palatino Linotype" w:eastAsia="Calibri" w:hAnsi="Palatino Linotype" w:cs="Arial"/>
          <w:lang w:val="es-ES"/>
        </w:rPr>
        <w:t xml:space="preserve">El día </w:t>
      </w:r>
      <w:r w:rsidR="001F4A04" w:rsidRPr="00AF7742">
        <w:rPr>
          <w:rFonts w:ascii="Palatino Linotype" w:eastAsia="Calibri" w:hAnsi="Palatino Linotype" w:cs="Arial"/>
          <w:b/>
          <w:lang w:val="es-ES"/>
        </w:rPr>
        <w:t>diez de junio</w:t>
      </w:r>
      <w:r w:rsidR="00C86A6F" w:rsidRPr="00AF7742">
        <w:rPr>
          <w:rFonts w:ascii="Palatino Linotype" w:eastAsia="Calibri" w:hAnsi="Palatino Linotype" w:cs="Arial"/>
          <w:b/>
          <w:lang w:val="es-ES"/>
        </w:rPr>
        <w:t xml:space="preserve"> de dos mil veinticinco</w:t>
      </w:r>
      <w:r w:rsidRPr="00AF7742">
        <w:rPr>
          <w:rFonts w:ascii="Palatino Linotype" w:hAnsi="Palatino Linotype"/>
          <w:b/>
        </w:rPr>
        <w:t xml:space="preserve">, </w:t>
      </w:r>
      <w:r w:rsidRPr="00AF7742">
        <w:rPr>
          <w:rFonts w:ascii="Palatino Linotype" w:eastAsia="Calibri" w:hAnsi="Palatino Linotype" w:cs="Arial"/>
          <w:lang w:val="es-ES"/>
        </w:rPr>
        <w:t xml:space="preserve">se presentó ante el </w:t>
      </w:r>
      <w:r w:rsidRPr="00AF7742">
        <w:rPr>
          <w:rFonts w:ascii="Palatino Linotype" w:eastAsia="Calibri" w:hAnsi="Palatino Linotype" w:cs="Arial"/>
          <w:b/>
          <w:lang w:val="es-ES"/>
        </w:rPr>
        <w:t>SUJETO OBLIGADO</w:t>
      </w:r>
      <w:r w:rsidRPr="00AF7742">
        <w:rPr>
          <w:rFonts w:ascii="Palatino Linotype" w:eastAsia="Calibri" w:hAnsi="Palatino Linotype" w:cs="Arial"/>
        </w:rPr>
        <w:t xml:space="preserve"> vía </w:t>
      </w:r>
      <w:r w:rsidR="00D177AD" w:rsidRPr="00AF7742">
        <w:rPr>
          <w:rFonts w:ascii="Palatino Linotype" w:eastAsia="Calibri" w:hAnsi="Palatino Linotype" w:cs="Arial"/>
        </w:rPr>
        <w:t>Sistema de Acceso a la Información Mexiquense (</w:t>
      </w:r>
      <w:r w:rsidRPr="00AF7742">
        <w:rPr>
          <w:rFonts w:ascii="Palatino Linotype" w:eastAsia="Calibri" w:hAnsi="Palatino Linotype" w:cs="Arial"/>
          <w:lang w:val="es-ES"/>
        </w:rPr>
        <w:t>SAIMEX</w:t>
      </w:r>
      <w:r w:rsidR="00D177AD" w:rsidRPr="00AF7742">
        <w:rPr>
          <w:rFonts w:ascii="Palatino Linotype" w:eastAsia="Calibri" w:hAnsi="Palatino Linotype" w:cs="Arial"/>
          <w:lang w:val="es-ES"/>
        </w:rPr>
        <w:t>)</w:t>
      </w:r>
      <w:r w:rsidR="00C57378" w:rsidRPr="00AF7742">
        <w:rPr>
          <w:rFonts w:ascii="Palatino Linotype" w:eastAsia="Calibri" w:hAnsi="Palatino Linotype" w:cs="Arial"/>
          <w:lang w:val="es-ES"/>
        </w:rPr>
        <w:t>, la S</w:t>
      </w:r>
      <w:r w:rsidRPr="00AF7742">
        <w:rPr>
          <w:rFonts w:ascii="Palatino Linotype" w:eastAsia="Calibri" w:hAnsi="Palatino Linotype" w:cs="Arial"/>
          <w:lang w:val="es-ES"/>
        </w:rPr>
        <w:t xml:space="preserve">olicitud de </w:t>
      </w:r>
      <w:r w:rsidR="00C57378" w:rsidRPr="00AF7742">
        <w:rPr>
          <w:rFonts w:ascii="Palatino Linotype" w:eastAsia="Calibri" w:hAnsi="Palatino Linotype" w:cs="Arial"/>
          <w:lang w:val="es-ES"/>
        </w:rPr>
        <w:t>I</w:t>
      </w:r>
      <w:r w:rsidRPr="00AF7742">
        <w:rPr>
          <w:rFonts w:ascii="Palatino Linotype" w:eastAsia="Calibri" w:hAnsi="Palatino Linotype" w:cs="Arial"/>
          <w:lang w:val="es-ES"/>
        </w:rPr>
        <w:t xml:space="preserve">nformación </w:t>
      </w:r>
      <w:r w:rsidR="00C57378" w:rsidRPr="00AF7742">
        <w:rPr>
          <w:rFonts w:ascii="Palatino Linotype" w:eastAsia="Calibri" w:hAnsi="Palatino Linotype" w:cs="Arial"/>
          <w:lang w:val="es-ES"/>
        </w:rPr>
        <w:t>P</w:t>
      </w:r>
      <w:r w:rsidRPr="00AF7742">
        <w:rPr>
          <w:rFonts w:ascii="Palatino Linotype" w:eastAsia="Calibri" w:hAnsi="Palatino Linotype" w:cs="Arial"/>
          <w:lang w:val="es-ES"/>
        </w:rPr>
        <w:t>ública registrada con el número</w:t>
      </w:r>
      <w:r w:rsidRPr="00AF7742">
        <w:rPr>
          <w:rFonts w:ascii="Palatino Linotype" w:hAnsi="Palatino Linotype"/>
          <w:b/>
          <w:bCs/>
          <w:color w:val="000000" w:themeColor="text1"/>
        </w:rPr>
        <w:t xml:space="preserve"> </w:t>
      </w:r>
      <w:r w:rsidR="001F4A04" w:rsidRPr="00AF7742">
        <w:rPr>
          <w:rFonts w:ascii="Palatino Linotype" w:hAnsi="Palatino Linotype"/>
          <w:b/>
          <w:bCs/>
          <w:color w:val="000000" w:themeColor="text1"/>
        </w:rPr>
        <w:t>00398/SMOV/IP/2025</w:t>
      </w:r>
      <w:r w:rsidRPr="00AF7742">
        <w:rPr>
          <w:rFonts w:ascii="Palatino Linotype" w:hAnsi="Palatino Linotype"/>
          <w:b/>
          <w:bCs/>
          <w:color w:val="000000" w:themeColor="text1"/>
        </w:rPr>
        <w:t xml:space="preserve">; </w:t>
      </w:r>
      <w:r w:rsidRPr="00AF7742">
        <w:rPr>
          <w:rFonts w:ascii="Palatino Linotype" w:eastAsia="Calibri" w:hAnsi="Palatino Linotype" w:cs="Arial"/>
          <w:lang w:val="es-ES"/>
        </w:rPr>
        <w:t>mediante la cual se solicitó la siguiente información:</w:t>
      </w:r>
    </w:p>
    <w:p w14:paraId="6B526C57" w14:textId="77777777" w:rsidR="005F346E" w:rsidRPr="00AF7742" w:rsidRDefault="005F346E" w:rsidP="00A42539">
      <w:pPr>
        <w:pStyle w:val="Prrafodelista"/>
        <w:spacing w:line="360" w:lineRule="auto"/>
        <w:ind w:left="0"/>
        <w:jc w:val="both"/>
        <w:rPr>
          <w:rFonts w:ascii="Palatino Linotype" w:eastAsia="Calibri" w:hAnsi="Palatino Linotype" w:cs="Arial"/>
          <w:lang w:val="es-ES"/>
        </w:rPr>
      </w:pPr>
    </w:p>
    <w:p w14:paraId="399A8454" w14:textId="5E6A6A3B" w:rsidR="00947C3B" w:rsidRPr="00AF7742" w:rsidRDefault="00C86A6F" w:rsidP="00A42539">
      <w:pPr>
        <w:pStyle w:val="Prrafodelista"/>
        <w:spacing w:line="360" w:lineRule="auto"/>
        <w:ind w:left="426" w:right="474"/>
        <w:jc w:val="both"/>
        <w:rPr>
          <w:rFonts w:ascii="Palatino Linotype" w:hAnsi="Palatino Linotype"/>
          <w:i/>
        </w:rPr>
      </w:pPr>
      <w:r w:rsidRPr="00AF7742">
        <w:rPr>
          <w:rFonts w:ascii="Palatino Linotype" w:hAnsi="Palatino Linotype"/>
          <w:i/>
        </w:rPr>
        <w:t>“</w:t>
      </w:r>
      <w:r w:rsidR="001F4A04" w:rsidRPr="00AF7742">
        <w:rPr>
          <w:rFonts w:ascii="Palatino Linotype" w:hAnsi="Palatino Linotype"/>
          <w:i/>
        </w:rPr>
        <w:t xml:space="preserve">SE SOLICITA CONFORME A MI DERECHO DE ACCESO A LA INFORMACION TUTELADO EN LA CPEUM -CURRICULUM VITAE -FUMP (FORMATO UNICO DE MOVIMIENTOS DE PERSONAL) -ACTAS ADMINISTRATIVAS POR FALTAS NO GRAVES O GRAVES,DURANTE SU PERIODO LABORAL ,EL TIEMPO QUE LLEVAN LABORANDO A LA FECHA EL PROCESO Y SEGUIMIENTO DE BERENICE BIFFANO RODRIGUEZ, KAREN AZUCENA RAMIREZ SILVA, </w:t>
      </w:r>
      <w:r w:rsidR="001F4A04" w:rsidRPr="00AF7742">
        <w:rPr>
          <w:rFonts w:ascii="Palatino Linotype" w:hAnsi="Palatino Linotype"/>
          <w:i/>
        </w:rPr>
        <w:lastRenderedPageBreak/>
        <w:t>VALENTINA RESENDIZ TOVAR ADSCIPTAS AL REGISTRO DE LICENCIAS Y OPERADORES DE DICHA SEMOV EDOMEXX</w:t>
      </w:r>
      <w:r w:rsidR="00947C3B" w:rsidRPr="00AF7742">
        <w:rPr>
          <w:rFonts w:ascii="Palatino Linotype" w:hAnsi="Palatino Linotype"/>
          <w:i/>
        </w:rPr>
        <w:t>”</w:t>
      </w:r>
    </w:p>
    <w:p w14:paraId="27DADE49" w14:textId="77777777" w:rsidR="00F6643E" w:rsidRPr="00AF7742" w:rsidRDefault="00F6643E" w:rsidP="00A42539">
      <w:pPr>
        <w:pStyle w:val="Prrafodelista"/>
        <w:spacing w:line="360" w:lineRule="auto"/>
        <w:ind w:left="426" w:right="474"/>
        <w:jc w:val="both"/>
        <w:rPr>
          <w:rFonts w:ascii="Palatino Linotype" w:hAnsi="Palatino Linotype"/>
          <w:i/>
        </w:rPr>
      </w:pPr>
    </w:p>
    <w:p w14:paraId="3D5318FE" w14:textId="4CB298F4" w:rsidR="00F46CF8" w:rsidRPr="00AF7742" w:rsidRDefault="00F443D1" w:rsidP="00A42539">
      <w:pPr>
        <w:pStyle w:val="Prrafodelista"/>
        <w:numPr>
          <w:ilvl w:val="0"/>
          <w:numId w:val="3"/>
        </w:numPr>
        <w:spacing w:line="360" w:lineRule="auto"/>
        <w:ind w:left="993" w:hanging="284"/>
        <w:jc w:val="both"/>
        <w:rPr>
          <w:rFonts w:ascii="Palatino Linotype" w:hAnsi="Palatino Linotype" w:cs="Arial"/>
          <w:lang w:val="es-ES"/>
        </w:rPr>
      </w:pPr>
      <w:r w:rsidRPr="00AF7742">
        <w:rPr>
          <w:rFonts w:ascii="Palatino Linotype" w:hAnsi="Palatino Linotype" w:cs="Arial"/>
          <w:lang w:val="es-ES"/>
        </w:rPr>
        <w:t>Modalidad de entrega de la información</w:t>
      </w:r>
      <w:r w:rsidR="00F46CF8" w:rsidRPr="00AF7742">
        <w:rPr>
          <w:rFonts w:ascii="Palatino Linotype" w:hAnsi="Palatino Linotype" w:cs="Arial"/>
          <w:lang w:val="es-ES"/>
        </w:rPr>
        <w:t xml:space="preserve">: </w:t>
      </w:r>
      <w:r w:rsidR="00BC2E4D" w:rsidRPr="00AF7742">
        <w:rPr>
          <w:rFonts w:ascii="Palatino Linotype" w:hAnsi="Palatino Linotype" w:cs="Arial"/>
          <w:lang w:val="es-ES"/>
        </w:rPr>
        <w:t>Vía SAIMEX</w:t>
      </w:r>
      <w:r w:rsidR="001B7993" w:rsidRPr="00AF7742">
        <w:rPr>
          <w:rFonts w:ascii="Palatino Linotype" w:hAnsi="Palatino Linotype" w:cs="Arial"/>
          <w:lang w:val="es-ES"/>
        </w:rPr>
        <w:t>.</w:t>
      </w:r>
    </w:p>
    <w:p w14:paraId="7A46BAB4" w14:textId="77777777" w:rsidR="004C674D" w:rsidRPr="00AF7742" w:rsidRDefault="004C674D" w:rsidP="00A42539">
      <w:pPr>
        <w:spacing w:line="360" w:lineRule="auto"/>
        <w:jc w:val="both"/>
        <w:rPr>
          <w:rFonts w:ascii="Palatino Linotype" w:hAnsi="Palatino Linotype" w:cs="Arial"/>
          <w:color w:val="000000" w:themeColor="text1"/>
        </w:rPr>
      </w:pPr>
    </w:p>
    <w:p w14:paraId="337A37EB" w14:textId="7A1D62FB" w:rsidR="001F4A04" w:rsidRPr="00AF7742" w:rsidRDefault="001F4A04" w:rsidP="001F4A04">
      <w:pPr>
        <w:pStyle w:val="Prrafodelista"/>
        <w:numPr>
          <w:ilvl w:val="0"/>
          <w:numId w:val="1"/>
        </w:numPr>
        <w:spacing w:line="360" w:lineRule="auto"/>
        <w:ind w:left="0" w:firstLine="0"/>
        <w:jc w:val="both"/>
        <w:rPr>
          <w:rFonts w:ascii="Palatino Linotype" w:eastAsia="Palatino Linotype" w:hAnsi="Palatino Linotype" w:cs="Palatino Linotype"/>
          <w:b/>
          <w:color w:val="000000"/>
        </w:rPr>
      </w:pPr>
      <w:r w:rsidRPr="00AF7742">
        <w:rPr>
          <w:rFonts w:ascii="Palatino Linotype" w:eastAsia="Palatino Linotype" w:hAnsi="Palatino Linotype" w:cs="Palatino Linotype"/>
          <w:color w:val="000000"/>
        </w:rPr>
        <w:t xml:space="preserve">El </w:t>
      </w:r>
      <w:r w:rsidRPr="00AF7742">
        <w:rPr>
          <w:rFonts w:ascii="Palatino Linotype" w:eastAsia="Palatino Linotype" w:hAnsi="Palatino Linotype" w:cs="Palatino Linotype"/>
          <w:b/>
          <w:color w:val="000000"/>
        </w:rPr>
        <w:t xml:space="preserve">catorce de agosto de dos mil veinticinco </w:t>
      </w:r>
      <w:r w:rsidRPr="00AF7742">
        <w:rPr>
          <w:rFonts w:ascii="Palatino Linotype" w:eastAsia="Palatino Linotype" w:hAnsi="Palatino Linotype" w:cs="Palatino Linotype"/>
          <w:color w:val="000000"/>
        </w:rPr>
        <w:t xml:space="preserve">el </w:t>
      </w:r>
      <w:r w:rsidRPr="00AF7742">
        <w:rPr>
          <w:rFonts w:ascii="Palatino Linotype" w:eastAsia="Palatino Linotype" w:hAnsi="Palatino Linotype" w:cs="Palatino Linotype"/>
          <w:b/>
          <w:color w:val="000000"/>
        </w:rPr>
        <w:t>SUJETO OBLIGADO</w:t>
      </w:r>
      <w:r w:rsidRPr="00AF7742">
        <w:rPr>
          <w:rFonts w:ascii="Palatino Linotype" w:eastAsia="Palatino Linotype" w:hAnsi="Palatino Linotype" w:cs="Palatino Linotype"/>
          <w:color w:val="000000"/>
        </w:rPr>
        <w:t xml:space="preserve"> solicitó una prórroga para dar atención a la solicitud de información de siete días hábiles </w:t>
      </w:r>
      <w:r w:rsidRPr="00AF7742">
        <w:rPr>
          <w:rFonts w:ascii="Palatino Linotype" w:eastAsia="Palatino Linotype" w:hAnsi="Palatino Linotype" w:cs="Palatino Linotype"/>
          <w:bCs/>
          <w:color w:val="000000"/>
        </w:rPr>
        <w:t>ordinarios</w:t>
      </w:r>
      <w:r w:rsidRPr="00AF7742">
        <w:rPr>
          <w:rFonts w:ascii="Palatino Linotype" w:eastAsia="Palatino Linotype" w:hAnsi="Palatino Linotype" w:cs="Palatino Linotype"/>
          <w:color w:val="000000"/>
        </w:rPr>
        <w:t xml:space="preserve"> adicionales al plazo ordinario mediante resolución del Comité de Transparencia, a través del acuerdo CT/SM/ORD/11-04/25.</w:t>
      </w:r>
    </w:p>
    <w:p w14:paraId="72C00E15" w14:textId="77777777" w:rsidR="001F4A04" w:rsidRPr="00AF7742" w:rsidRDefault="001F4A04" w:rsidP="001F4A04">
      <w:pPr>
        <w:pStyle w:val="Prrafodelista"/>
        <w:spacing w:line="360" w:lineRule="auto"/>
        <w:ind w:left="0"/>
        <w:jc w:val="both"/>
        <w:rPr>
          <w:rFonts w:ascii="Palatino Linotype" w:eastAsia="Palatino Linotype" w:hAnsi="Palatino Linotype" w:cs="Palatino Linotype"/>
          <w:b/>
          <w:color w:val="000000"/>
        </w:rPr>
      </w:pPr>
    </w:p>
    <w:p w14:paraId="0C8BF61D" w14:textId="418886E3" w:rsidR="00C86A6F" w:rsidRPr="00AF7742" w:rsidRDefault="00C86A6F" w:rsidP="00857AFB">
      <w:pPr>
        <w:pStyle w:val="Prrafodelista"/>
        <w:numPr>
          <w:ilvl w:val="0"/>
          <w:numId w:val="1"/>
        </w:numPr>
        <w:spacing w:line="360" w:lineRule="auto"/>
        <w:ind w:left="0" w:firstLine="0"/>
        <w:jc w:val="both"/>
        <w:rPr>
          <w:rFonts w:ascii="Palatino Linotype" w:eastAsia="Palatino Linotype" w:hAnsi="Palatino Linotype" w:cs="Palatino Linotype"/>
          <w:b/>
          <w:color w:val="000000"/>
        </w:rPr>
      </w:pPr>
      <w:r w:rsidRPr="00AF7742">
        <w:rPr>
          <w:rFonts w:ascii="Palatino Linotype" w:eastAsia="Palatino Linotype" w:hAnsi="Palatino Linotype" w:cs="Palatino Linotype"/>
          <w:bCs/>
          <w:color w:val="000000"/>
        </w:rPr>
        <w:t>E</w:t>
      </w:r>
      <w:r w:rsidRPr="00AF7742">
        <w:rPr>
          <w:rFonts w:ascii="Palatino Linotype" w:hAnsi="Palatino Linotype" w:cs="Arial"/>
          <w:bCs/>
        </w:rPr>
        <w:t xml:space="preserve">l </w:t>
      </w:r>
      <w:r w:rsidRPr="00AF7742">
        <w:rPr>
          <w:rFonts w:ascii="Palatino Linotype" w:hAnsi="Palatino Linotype" w:cs="Arial"/>
          <w:b/>
        </w:rPr>
        <w:t>Sujeto</w:t>
      </w:r>
      <w:r w:rsidRPr="00AF7742">
        <w:rPr>
          <w:rFonts w:ascii="Palatino Linotype" w:hAnsi="Palatino Linotype" w:cs="Arial"/>
          <w:color w:val="000000" w:themeColor="text1"/>
        </w:rPr>
        <w:t xml:space="preserve"> </w:t>
      </w:r>
      <w:r w:rsidRPr="00AF7742">
        <w:rPr>
          <w:rFonts w:ascii="Palatino Linotype" w:hAnsi="Palatino Linotype" w:cs="Arial"/>
          <w:b/>
        </w:rPr>
        <w:t>Obligado</w:t>
      </w:r>
      <w:r w:rsidRPr="00AF7742">
        <w:rPr>
          <w:rFonts w:ascii="Palatino Linotype" w:hAnsi="Palatino Linotype" w:cs="Arial"/>
        </w:rPr>
        <w:t xml:space="preserve"> proporcionó respuesta </w:t>
      </w:r>
      <w:r w:rsidR="00F6643E" w:rsidRPr="00AF7742">
        <w:rPr>
          <w:rFonts w:ascii="Palatino Linotype" w:hAnsi="Palatino Linotype" w:cs="Arial"/>
        </w:rPr>
        <w:t xml:space="preserve">mediante el archivo denominado </w:t>
      </w:r>
      <w:r w:rsidR="00964E7A" w:rsidRPr="00AF7742">
        <w:rPr>
          <w:rFonts w:ascii="Palatino Linotype" w:hAnsi="Palatino Linotype" w:cs="Arial"/>
          <w:b/>
          <w:i/>
        </w:rPr>
        <w:t>SAIMEX 2025 - 00398 CH.pdf</w:t>
      </w:r>
      <w:r w:rsidR="00F6643E" w:rsidRPr="00AF7742">
        <w:rPr>
          <w:rFonts w:ascii="Palatino Linotype" w:eastAsia="Palatino Linotype" w:hAnsi="Palatino Linotype" w:cs="Palatino Linotype"/>
          <w:color w:val="000000"/>
        </w:rPr>
        <w:t xml:space="preserve">, </w:t>
      </w:r>
      <w:r w:rsidR="00857AFB" w:rsidRPr="00AF7742">
        <w:rPr>
          <w:rFonts w:ascii="Palatino Linotype" w:eastAsia="Palatino Linotype" w:hAnsi="Palatino Linotype" w:cs="Palatino Linotype"/>
          <w:color w:val="000000"/>
        </w:rPr>
        <w:t>que de manera general contiene el Formato Único de Movimiento de Personal y el Curriculum Vitae de las tres servidoras publicas referidas en la solicitud de información.</w:t>
      </w:r>
    </w:p>
    <w:p w14:paraId="780DCDB3" w14:textId="77777777" w:rsidR="006E6FA3" w:rsidRPr="00AF7742" w:rsidRDefault="006E6FA3" w:rsidP="00A42539">
      <w:pPr>
        <w:pStyle w:val="Prrafodelista"/>
        <w:spacing w:line="360" w:lineRule="auto"/>
        <w:ind w:left="851"/>
        <w:jc w:val="both"/>
        <w:rPr>
          <w:rFonts w:ascii="Palatino Linotype" w:hAnsi="Palatino Linotype" w:cs="Arial"/>
          <w:color w:val="000000" w:themeColor="text1"/>
        </w:rPr>
      </w:pPr>
    </w:p>
    <w:p w14:paraId="7231C6E3" w14:textId="2915B4C7" w:rsidR="00C86A6F" w:rsidRPr="00AF7742" w:rsidRDefault="00C02200" w:rsidP="00A42539">
      <w:pPr>
        <w:pStyle w:val="Prrafodelista"/>
        <w:numPr>
          <w:ilvl w:val="0"/>
          <w:numId w:val="1"/>
        </w:numPr>
        <w:spacing w:line="360" w:lineRule="auto"/>
        <w:ind w:left="0" w:firstLine="0"/>
        <w:jc w:val="both"/>
        <w:rPr>
          <w:rFonts w:ascii="Palatino Linotype" w:hAnsi="Palatino Linotype" w:cs="Arial"/>
        </w:rPr>
      </w:pPr>
      <w:r w:rsidRPr="00AF7742">
        <w:rPr>
          <w:rFonts w:ascii="Palatino Linotype" w:hAnsi="Palatino Linotype" w:cs="Arial"/>
          <w:bCs/>
        </w:rPr>
        <w:t>Inconforme con la respuesta,</w:t>
      </w:r>
      <w:r w:rsidR="00C86A6F" w:rsidRPr="00AF7742">
        <w:rPr>
          <w:rFonts w:ascii="Palatino Linotype" w:hAnsi="Palatino Linotype" w:cs="Arial"/>
        </w:rPr>
        <w:t xml:space="preserve"> </w:t>
      </w:r>
      <w:r w:rsidRPr="00AF7742">
        <w:rPr>
          <w:rFonts w:ascii="Palatino Linotype" w:hAnsi="Palatino Linotype" w:cs="Arial"/>
        </w:rPr>
        <w:t>el solicitante interpuso</w:t>
      </w:r>
      <w:r w:rsidR="00C86A6F" w:rsidRPr="00AF7742">
        <w:rPr>
          <w:rFonts w:ascii="Palatino Linotype" w:hAnsi="Palatino Linotype" w:cs="Arial"/>
        </w:rPr>
        <w:t xml:space="preserve"> </w:t>
      </w:r>
      <w:r w:rsidR="00C57378" w:rsidRPr="00AF7742">
        <w:rPr>
          <w:rFonts w:ascii="Palatino Linotype" w:hAnsi="Palatino Linotype" w:cs="Arial"/>
        </w:rPr>
        <w:t xml:space="preserve">el </w:t>
      </w:r>
      <w:r w:rsidR="00C86A6F" w:rsidRPr="00AF7742">
        <w:rPr>
          <w:rFonts w:ascii="Palatino Linotype" w:hAnsi="Palatino Linotype" w:cs="Arial"/>
        </w:rPr>
        <w:t xml:space="preserve">Recurso de Revisión </w:t>
      </w:r>
      <w:r w:rsidR="00C57378" w:rsidRPr="00AF7742">
        <w:rPr>
          <w:rFonts w:ascii="Palatino Linotype" w:hAnsi="Palatino Linotype" w:cs="Arial"/>
        </w:rPr>
        <w:t>de mérito en fecha</w:t>
      </w:r>
      <w:r w:rsidR="00C86A6F" w:rsidRPr="00AF7742">
        <w:rPr>
          <w:rFonts w:ascii="Palatino Linotype" w:hAnsi="Palatino Linotype" w:cs="Arial"/>
        </w:rPr>
        <w:t xml:space="preserve"> </w:t>
      </w:r>
      <w:r w:rsidR="001F4A04" w:rsidRPr="00AF7742">
        <w:rPr>
          <w:rFonts w:ascii="Palatino Linotype" w:hAnsi="Palatino Linotype" w:cs="Arial"/>
          <w:b/>
        </w:rPr>
        <w:t>diez de septiembre</w:t>
      </w:r>
      <w:r w:rsidR="00C86A6F" w:rsidRPr="00AF7742">
        <w:rPr>
          <w:rFonts w:ascii="Palatino Linotype" w:hAnsi="Palatino Linotype" w:cs="Arial"/>
          <w:b/>
        </w:rPr>
        <w:t xml:space="preserve"> dos mil </w:t>
      </w:r>
      <w:r w:rsidR="00C86A6F" w:rsidRPr="00AF7742">
        <w:rPr>
          <w:rFonts w:ascii="Palatino Linotype" w:eastAsia="Palatino Linotype" w:hAnsi="Palatino Linotype" w:cs="Palatino Linotype"/>
          <w:b/>
          <w:bCs/>
          <w:color w:val="000000"/>
        </w:rPr>
        <w:t>veinticinco</w:t>
      </w:r>
      <w:r w:rsidR="00C86A6F" w:rsidRPr="00AF7742">
        <w:rPr>
          <w:rFonts w:ascii="Palatino Linotype" w:hAnsi="Palatino Linotype" w:cs="Arial"/>
        </w:rPr>
        <w:t>, señalando como acto impugnado y razones o motivos de inconformidad, lo siguiente:</w:t>
      </w:r>
    </w:p>
    <w:p w14:paraId="63133CBC" w14:textId="77777777" w:rsidR="007D6876" w:rsidRPr="00AF7742" w:rsidRDefault="007D6876" w:rsidP="00A42539">
      <w:pPr>
        <w:pStyle w:val="Prrafodelista"/>
        <w:spacing w:line="360" w:lineRule="auto"/>
        <w:ind w:left="0"/>
        <w:jc w:val="both"/>
        <w:rPr>
          <w:rFonts w:ascii="Palatino Linotype" w:hAnsi="Palatino Linotype" w:cs="Arial"/>
          <w:i/>
          <w:color w:val="000000" w:themeColor="text1"/>
        </w:rPr>
      </w:pPr>
    </w:p>
    <w:p w14:paraId="715FE325" w14:textId="77777777" w:rsidR="005B5644" w:rsidRPr="00AF7742" w:rsidRDefault="005B5644" w:rsidP="00A42539">
      <w:pPr>
        <w:pBdr>
          <w:top w:val="nil"/>
          <w:left w:val="nil"/>
          <w:bottom w:val="nil"/>
          <w:right w:val="nil"/>
          <w:between w:val="nil"/>
        </w:pBdr>
        <w:spacing w:line="360" w:lineRule="auto"/>
        <w:ind w:left="426" w:right="426"/>
        <w:jc w:val="both"/>
        <w:rPr>
          <w:rFonts w:ascii="Palatino Linotype" w:eastAsia="Palatino Linotype" w:hAnsi="Palatino Linotype" w:cs="Palatino Linotype"/>
          <w:b/>
          <w:color w:val="000000"/>
        </w:rPr>
      </w:pPr>
      <w:bookmarkStart w:id="3" w:name="_Toc466982515"/>
      <w:bookmarkStart w:id="4" w:name="_Toc27589209"/>
      <w:bookmarkStart w:id="5" w:name="_Toc29395023"/>
      <w:bookmarkStart w:id="6" w:name="_Toc29481468"/>
      <w:bookmarkStart w:id="7" w:name="_Toc33113912"/>
      <w:bookmarkStart w:id="8" w:name="_Toc33643060"/>
      <w:bookmarkStart w:id="9" w:name="_Toc33724992"/>
      <w:bookmarkStart w:id="10" w:name="_Toc33726435"/>
      <w:bookmarkStart w:id="11" w:name="_Toc34157663"/>
      <w:bookmarkStart w:id="12" w:name="_Toc35003616"/>
      <w:bookmarkStart w:id="13" w:name="_Toc35535692"/>
      <w:bookmarkStart w:id="14" w:name="_Toc51262526"/>
      <w:bookmarkStart w:id="15" w:name="_Toc471908127"/>
      <w:bookmarkStart w:id="16" w:name="_Toc491791301"/>
      <w:bookmarkStart w:id="17" w:name="_Toc496726171"/>
      <w:bookmarkStart w:id="18" w:name="_Toc497242135"/>
      <w:bookmarkStart w:id="19" w:name="_Toc497292518"/>
      <w:bookmarkStart w:id="20" w:name="_Toc498503717"/>
      <w:bookmarkStart w:id="21" w:name="_Toc499568661"/>
      <w:bookmarkStart w:id="22" w:name="_Toc499568694"/>
      <w:bookmarkStart w:id="23" w:name="_Toc499665453"/>
      <w:bookmarkStart w:id="24" w:name="_Toc499729820"/>
      <w:bookmarkStart w:id="25" w:name="_Toc499835025"/>
      <w:bookmarkStart w:id="26" w:name="_Toc499835836"/>
      <w:bookmarkStart w:id="27" w:name="_Toc499835859"/>
      <w:bookmarkStart w:id="28" w:name="_Toc500264538"/>
      <w:bookmarkStart w:id="29" w:name="_Toc503290276"/>
      <w:bookmarkStart w:id="30" w:name="_Toc524009638"/>
      <w:bookmarkStart w:id="31" w:name="_Toc524009673"/>
      <w:bookmarkStart w:id="32" w:name="_Toc524602721"/>
      <w:bookmarkStart w:id="33" w:name="_Toc526365280"/>
      <w:bookmarkStart w:id="34" w:name="_Toc526365338"/>
      <w:bookmarkStart w:id="35" w:name="_Toc530067665"/>
      <w:bookmarkStart w:id="36" w:name="_Toc530067693"/>
      <w:bookmarkStart w:id="37" w:name="_Toc530067940"/>
      <w:bookmarkStart w:id="38" w:name="_Toc530590421"/>
      <w:bookmarkStart w:id="39" w:name="_Toc530593952"/>
      <w:bookmarkStart w:id="40" w:name="_Toc531190249"/>
      <w:bookmarkStart w:id="41" w:name="_Toc531190296"/>
      <w:bookmarkStart w:id="42" w:name="_Toc534908209"/>
      <w:bookmarkStart w:id="43" w:name="_Toc534909345"/>
      <w:bookmarkStart w:id="44" w:name="_Toc535353306"/>
      <w:bookmarkStart w:id="45" w:name="_Toc535353792"/>
      <w:bookmarkStart w:id="46" w:name="_Toc18436352"/>
      <w:bookmarkStart w:id="47" w:name="_Toc18436386"/>
      <w:bookmarkStart w:id="48" w:name="_Toc18513478"/>
      <w:bookmarkStart w:id="49" w:name="_Toc18513504"/>
      <w:bookmarkStart w:id="50" w:name="_Toc18606802"/>
      <w:bookmarkStart w:id="51" w:name="_Toc19723537"/>
      <w:bookmarkStart w:id="52" w:name="_Toc20322796"/>
      <w:bookmarkStart w:id="53" w:name="_Toc20323053"/>
      <w:bookmarkStart w:id="54" w:name="_Toc20323182"/>
      <w:bookmarkStart w:id="55" w:name="_Toc20420592"/>
      <w:bookmarkStart w:id="56" w:name="_Toc20421580"/>
      <w:bookmarkStart w:id="57" w:name="_Toc21027317"/>
      <w:bookmarkStart w:id="58" w:name="_Toc22660653"/>
      <w:bookmarkStart w:id="59" w:name="_Toc22811624"/>
      <w:bookmarkStart w:id="60" w:name="_Toc26436016"/>
      <w:bookmarkStart w:id="61" w:name="_Toc51854303"/>
      <w:r w:rsidRPr="00AF7742">
        <w:rPr>
          <w:rFonts w:ascii="Palatino Linotype" w:eastAsia="Palatino Linotype" w:hAnsi="Palatino Linotype" w:cs="Palatino Linotype"/>
          <w:b/>
          <w:color w:val="000000"/>
        </w:rPr>
        <w:t>ACTO IMPUGNADO:</w:t>
      </w:r>
    </w:p>
    <w:p w14:paraId="0699E547" w14:textId="5CD64019" w:rsidR="005B5644" w:rsidRPr="00AF7742" w:rsidRDefault="005B5644" w:rsidP="00A42539">
      <w:pPr>
        <w:pBdr>
          <w:top w:val="nil"/>
          <w:left w:val="nil"/>
          <w:bottom w:val="nil"/>
          <w:right w:val="nil"/>
          <w:between w:val="nil"/>
        </w:pBdr>
        <w:spacing w:line="360" w:lineRule="auto"/>
        <w:ind w:left="426" w:right="426"/>
        <w:jc w:val="both"/>
        <w:rPr>
          <w:rFonts w:ascii="Palatino Linotype" w:eastAsia="Palatino Linotype" w:hAnsi="Palatino Linotype" w:cs="Palatino Linotype"/>
          <w:i/>
          <w:color w:val="000000"/>
        </w:rPr>
      </w:pPr>
      <w:r w:rsidRPr="00AF7742">
        <w:rPr>
          <w:rFonts w:ascii="Palatino Linotype" w:eastAsia="Palatino Linotype" w:hAnsi="Palatino Linotype" w:cs="Palatino Linotype"/>
          <w:i/>
          <w:color w:val="000000"/>
        </w:rPr>
        <w:t>“</w:t>
      </w:r>
      <w:r w:rsidR="001F4A04" w:rsidRPr="00AF7742">
        <w:rPr>
          <w:rFonts w:ascii="Palatino Linotype" w:eastAsia="Palatino Linotype" w:hAnsi="Palatino Linotype" w:cs="Palatino Linotype"/>
          <w:i/>
          <w:color w:val="000000"/>
        </w:rPr>
        <w:t>ENTREGA DE INFORMACION INCOMPLETA</w:t>
      </w:r>
      <w:r w:rsidRPr="00AF7742">
        <w:rPr>
          <w:rFonts w:ascii="Palatino Linotype" w:eastAsia="Palatino Linotype" w:hAnsi="Palatino Linotype" w:cs="Palatino Linotype"/>
          <w:i/>
          <w:color w:val="000000"/>
        </w:rPr>
        <w:t>”</w:t>
      </w:r>
    </w:p>
    <w:p w14:paraId="58FD7862" w14:textId="77777777" w:rsidR="005B5644" w:rsidRDefault="005B5644" w:rsidP="00A42539">
      <w:pPr>
        <w:pBdr>
          <w:top w:val="nil"/>
          <w:left w:val="nil"/>
          <w:bottom w:val="nil"/>
          <w:right w:val="nil"/>
          <w:between w:val="nil"/>
        </w:pBdr>
        <w:spacing w:line="360" w:lineRule="auto"/>
        <w:ind w:left="426" w:right="426"/>
        <w:jc w:val="both"/>
        <w:rPr>
          <w:rFonts w:ascii="Palatino Linotype" w:eastAsia="Palatino Linotype" w:hAnsi="Palatino Linotype" w:cs="Palatino Linotype"/>
          <w:i/>
          <w:color w:val="000000"/>
        </w:rPr>
      </w:pPr>
    </w:p>
    <w:p w14:paraId="416BEA62" w14:textId="77777777" w:rsidR="008F243A" w:rsidRPr="00AF7742" w:rsidRDefault="008F243A" w:rsidP="00A42539">
      <w:pPr>
        <w:pBdr>
          <w:top w:val="nil"/>
          <w:left w:val="nil"/>
          <w:bottom w:val="nil"/>
          <w:right w:val="nil"/>
          <w:between w:val="nil"/>
        </w:pBdr>
        <w:spacing w:line="360" w:lineRule="auto"/>
        <w:ind w:left="426" w:right="426"/>
        <w:jc w:val="both"/>
        <w:rPr>
          <w:rFonts w:ascii="Palatino Linotype" w:eastAsia="Palatino Linotype" w:hAnsi="Palatino Linotype" w:cs="Palatino Linotype"/>
          <w:i/>
          <w:color w:val="000000"/>
        </w:rPr>
      </w:pPr>
      <w:bookmarkStart w:id="62" w:name="_GoBack"/>
      <w:bookmarkEnd w:id="62"/>
    </w:p>
    <w:p w14:paraId="0F002C29" w14:textId="77777777" w:rsidR="005B5644" w:rsidRPr="00AF7742" w:rsidRDefault="005B5644" w:rsidP="00A42539">
      <w:pPr>
        <w:pBdr>
          <w:top w:val="nil"/>
          <w:left w:val="nil"/>
          <w:bottom w:val="nil"/>
          <w:right w:val="nil"/>
          <w:between w:val="nil"/>
        </w:pBdr>
        <w:spacing w:line="360" w:lineRule="auto"/>
        <w:ind w:left="426" w:right="426"/>
        <w:jc w:val="both"/>
        <w:rPr>
          <w:rFonts w:ascii="Palatino Linotype" w:eastAsia="Palatino Linotype" w:hAnsi="Palatino Linotype" w:cs="Palatino Linotype"/>
          <w:b/>
          <w:color w:val="000000"/>
        </w:rPr>
      </w:pPr>
      <w:r w:rsidRPr="00AF7742">
        <w:rPr>
          <w:rFonts w:ascii="Palatino Linotype" w:eastAsia="Palatino Linotype" w:hAnsi="Palatino Linotype" w:cs="Palatino Linotype"/>
          <w:b/>
          <w:color w:val="000000"/>
        </w:rPr>
        <w:lastRenderedPageBreak/>
        <w:t>RAZONES O MOTIVOS DE LA INCONFORMIDAD</w:t>
      </w:r>
      <w:r w:rsidRPr="00AF7742">
        <w:rPr>
          <w:rFonts w:ascii="Palatino Linotype" w:eastAsia="Palatino Linotype" w:hAnsi="Palatino Linotype" w:cs="Palatino Linotype"/>
          <w:b/>
          <w:color w:val="000000"/>
        </w:rPr>
        <w:tab/>
      </w:r>
    </w:p>
    <w:p w14:paraId="14AACB3B" w14:textId="72136051" w:rsidR="005B5644" w:rsidRPr="00AF7742" w:rsidRDefault="005B5644" w:rsidP="00A42539">
      <w:pPr>
        <w:pBdr>
          <w:top w:val="nil"/>
          <w:left w:val="nil"/>
          <w:bottom w:val="nil"/>
          <w:right w:val="nil"/>
          <w:between w:val="nil"/>
        </w:pBdr>
        <w:spacing w:line="360" w:lineRule="auto"/>
        <w:ind w:left="426" w:right="426"/>
        <w:jc w:val="both"/>
        <w:rPr>
          <w:rFonts w:ascii="Palatino Linotype" w:eastAsia="Palatino Linotype" w:hAnsi="Palatino Linotype" w:cs="Palatino Linotype"/>
          <w:i/>
          <w:color w:val="000000"/>
        </w:rPr>
      </w:pPr>
      <w:r w:rsidRPr="00AF7742">
        <w:rPr>
          <w:rFonts w:ascii="Palatino Linotype" w:eastAsia="Palatino Linotype" w:hAnsi="Palatino Linotype" w:cs="Palatino Linotype"/>
          <w:i/>
          <w:color w:val="000000"/>
        </w:rPr>
        <w:t>“</w:t>
      </w:r>
      <w:r w:rsidR="001F4A04" w:rsidRPr="00AF7742">
        <w:rPr>
          <w:rFonts w:ascii="Palatino Linotype" w:eastAsia="Palatino Linotype" w:hAnsi="Palatino Linotype" w:cs="Palatino Linotype"/>
          <w:i/>
          <w:color w:val="000000"/>
        </w:rPr>
        <w:t>FALTA DE INFORMACION</w:t>
      </w:r>
      <w:r w:rsidRPr="00AF7742">
        <w:rPr>
          <w:rFonts w:ascii="Palatino Linotype" w:eastAsia="Palatino Linotype" w:hAnsi="Palatino Linotype" w:cs="Palatino Linotype"/>
          <w:i/>
          <w:color w:val="000000"/>
        </w:rPr>
        <w:t>”</w:t>
      </w:r>
    </w:p>
    <w:p w14:paraId="0EE8D61B" w14:textId="77777777" w:rsidR="00067EAC" w:rsidRPr="00AF7742" w:rsidRDefault="00067EAC" w:rsidP="00A42539">
      <w:pPr>
        <w:pStyle w:val="Prrafodelista"/>
        <w:spacing w:line="360" w:lineRule="auto"/>
        <w:ind w:left="426" w:right="426"/>
        <w:jc w:val="both"/>
        <w:rPr>
          <w:rStyle w:val="Ttulo2Car"/>
          <w:rFonts w:ascii="Palatino Linotype" w:hAnsi="Palatino Linotype"/>
          <w:i/>
          <w:color w:val="000000" w:themeColor="text1"/>
          <w:sz w:val="24"/>
          <w:szCs w:val="24"/>
        </w:rPr>
      </w:pPr>
    </w:p>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p w14:paraId="18B25A9D" w14:textId="3BACDB1C" w:rsidR="005B5644" w:rsidRPr="00AF7742" w:rsidRDefault="005B5644" w:rsidP="00A42539">
      <w:pPr>
        <w:pStyle w:val="Prrafodelista"/>
        <w:numPr>
          <w:ilvl w:val="0"/>
          <w:numId w:val="1"/>
        </w:numPr>
        <w:spacing w:line="360" w:lineRule="auto"/>
        <w:ind w:left="0" w:firstLine="0"/>
        <w:jc w:val="both"/>
        <w:rPr>
          <w:rFonts w:ascii="Palatino Linotype" w:eastAsia="Palatino Linotype" w:hAnsi="Palatino Linotype" w:cs="Palatino Linotype"/>
          <w:i/>
          <w:color w:val="000000"/>
        </w:rPr>
      </w:pPr>
      <w:r w:rsidRPr="00AF7742">
        <w:rPr>
          <w:rFonts w:ascii="Palatino Linotype" w:eastAsia="Palatino Linotype" w:hAnsi="Palatino Linotype" w:cs="Palatino Linotype"/>
          <w:color w:val="000000"/>
        </w:rPr>
        <w:t xml:space="preserve">La Comisionada Ponente con fundamento en lo dispuesto por el artículo 185 </w:t>
      </w:r>
      <w:r w:rsidRPr="00AF7742">
        <w:rPr>
          <w:rFonts w:ascii="Palatino Linotype" w:hAnsi="Palatino Linotype" w:cs="Arial"/>
          <w:bCs/>
        </w:rPr>
        <w:t>fracción</w:t>
      </w:r>
      <w:r w:rsidRPr="00AF7742">
        <w:rPr>
          <w:rFonts w:ascii="Palatino Linotype" w:eastAsia="Palatino Linotype" w:hAnsi="Palatino Linotype" w:cs="Palatino Linotype"/>
          <w:color w:val="000000"/>
        </w:rPr>
        <w:t xml:space="preserve"> II de la ley de la materia, a través del acuerdo de admisión de fecha </w:t>
      </w:r>
      <w:r w:rsidR="00857AFB" w:rsidRPr="00AF7742">
        <w:rPr>
          <w:rFonts w:ascii="Palatino Linotype" w:eastAsia="Palatino Linotype" w:hAnsi="Palatino Linotype" w:cs="Palatino Linotype"/>
          <w:b/>
          <w:color w:val="000000"/>
        </w:rPr>
        <w:t>doce de septiembre</w:t>
      </w:r>
      <w:r w:rsidR="0000568E" w:rsidRPr="00AF7742">
        <w:rPr>
          <w:rFonts w:ascii="Palatino Linotype" w:eastAsia="Palatino Linotype" w:hAnsi="Palatino Linotype" w:cs="Palatino Linotype"/>
          <w:b/>
          <w:color w:val="000000"/>
        </w:rPr>
        <w:t xml:space="preserve"> </w:t>
      </w:r>
      <w:r w:rsidRPr="00AF7742">
        <w:rPr>
          <w:rFonts w:ascii="Palatino Linotype" w:eastAsia="Palatino Linotype" w:hAnsi="Palatino Linotype" w:cs="Palatino Linotype"/>
          <w:b/>
          <w:color w:val="000000"/>
        </w:rPr>
        <w:t>dos mil veinticinco</w:t>
      </w:r>
      <w:r w:rsidRPr="00AF7742">
        <w:rPr>
          <w:rFonts w:ascii="Palatino Linotype" w:eastAsia="Palatino Linotype" w:hAnsi="Palatino Linotype" w:cs="Palatino Linotype"/>
          <w:color w:val="000000"/>
        </w:rPr>
        <w:t xml:space="preserve">, puso a disposición de las partes el expediente electrónico vía </w:t>
      </w:r>
      <w:r w:rsidRPr="00AF7742">
        <w:rPr>
          <w:rFonts w:ascii="Palatino Linotype" w:eastAsia="Palatino Linotype" w:hAnsi="Palatino Linotype" w:cs="Palatino Linotype"/>
          <w:b/>
          <w:color w:val="000000"/>
        </w:rPr>
        <w:t xml:space="preserve">SAIMEX </w:t>
      </w:r>
      <w:r w:rsidRPr="00AF7742">
        <w:rPr>
          <w:rFonts w:ascii="Palatino Linotype" w:eastAsia="Palatino Linotype" w:hAnsi="Palatino Linotype" w:cs="Palatino Linotype"/>
          <w:color w:val="000000"/>
        </w:rPr>
        <w:t xml:space="preserve">a efecto de que en un plazo máximo de siete días manifestaran lo que a su derecho conviniera, ofrecieran pruebas y alegatos según corresponda a los casos concretos, y el </w:t>
      </w:r>
      <w:r w:rsidRPr="00AF7742">
        <w:rPr>
          <w:rFonts w:ascii="Palatino Linotype" w:eastAsia="Palatino Linotype" w:hAnsi="Palatino Linotype" w:cs="Palatino Linotype"/>
          <w:b/>
          <w:color w:val="000000"/>
        </w:rPr>
        <w:t>SUJETO OBLIGADO</w:t>
      </w:r>
      <w:r w:rsidRPr="00AF7742">
        <w:rPr>
          <w:rFonts w:ascii="Palatino Linotype" w:eastAsia="Palatino Linotype" w:hAnsi="Palatino Linotype" w:cs="Palatino Linotype"/>
          <w:color w:val="000000"/>
        </w:rPr>
        <w:t xml:space="preserve"> presentará el informe justificado procedente.</w:t>
      </w:r>
    </w:p>
    <w:p w14:paraId="0D4B03BE" w14:textId="77777777" w:rsidR="005B5644" w:rsidRPr="00AF7742" w:rsidRDefault="005B5644" w:rsidP="00A42539">
      <w:pPr>
        <w:pBdr>
          <w:top w:val="nil"/>
          <w:left w:val="nil"/>
          <w:bottom w:val="nil"/>
          <w:right w:val="nil"/>
          <w:between w:val="nil"/>
        </w:pBdr>
        <w:spacing w:line="360" w:lineRule="auto"/>
        <w:jc w:val="both"/>
        <w:rPr>
          <w:rFonts w:ascii="Palatino Linotype" w:eastAsia="Palatino Linotype" w:hAnsi="Palatino Linotype" w:cs="Palatino Linotype"/>
          <w:i/>
          <w:color w:val="000000"/>
        </w:rPr>
      </w:pPr>
    </w:p>
    <w:p w14:paraId="318D6751" w14:textId="76F77436" w:rsidR="005B5644" w:rsidRPr="00AF7742" w:rsidRDefault="005B5644" w:rsidP="00985A63">
      <w:pPr>
        <w:pStyle w:val="Prrafodelista"/>
        <w:numPr>
          <w:ilvl w:val="0"/>
          <w:numId w:val="1"/>
        </w:numPr>
        <w:spacing w:line="360" w:lineRule="auto"/>
        <w:ind w:left="0" w:firstLine="0"/>
        <w:jc w:val="both"/>
        <w:rPr>
          <w:rFonts w:ascii="Palatino Linotype" w:eastAsia="Palatino Linotype" w:hAnsi="Palatino Linotype" w:cs="Palatino Linotype"/>
          <w:color w:val="000000"/>
        </w:rPr>
      </w:pPr>
      <w:r w:rsidRPr="00AF7742">
        <w:rPr>
          <w:rFonts w:ascii="Palatino Linotype" w:eastAsia="Palatino Linotype" w:hAnsi="Palatino Linotype" w:cs="Palatino Linotype"/>
          <w:color w:val="000000"/>
        </w:rPr>
        <w:t xml:space="preserve">El </w:t>
      </w:r>
      <w:r w:rsidRPr="00AF7742">
        <w:rPr>
          <w:rFonts w:ascii="Palatino Linotype" w:eastAsia="Palatino Linotype" w:hAnsi="Palatino Linotype" w:cs="Palatino Linotype"/>
          <w:b/>
          <w:color w:val="000000"/>
        </w:rPr>
        <w:t>SUJETO OBLIGADO</w:t>
      </w:r>
      <w:r w:rsidR="00857AFB" w:rsidRPr="00AF7742">
        <w:rPr>
          <w:rFonts w:ascii="Palatino Linotype" w:eastAsia="Palatino Linotype" w:hAnsi="Palatino Linotype" w:cs="Palatino Linotype"/>
          <w:color w:val="000000"/>
        </w:rPr>
        <w:t xml:space="preserve"> el</w:t>
      </w:r>
      <w:r w:rsidRPr="00AF7742">
        <w:rPr>
          <w:rFonts w:ascii="Palatino Linotype" w:eastAsia="Palatino Linotype" w:hAnsi="Palatino Linotype" w:cs="Palatino Linotype"/>
          <w:color w:val="000000"/>
        </w:rPr>
        <w:t xml:space="preserve"> día </w:t>
      </w:r>
      <w:r w:rsidR="00857AFB" w:rsidRPr="00AF7742">
        <w:rPr>
          <w:rFonts w:ascii="Palatino Linotype" w:eastAsia="Palatino Linotype" w:hAnsi="Palatino Linotype" w:cs="Palatino Linotype"/>
          <w:b/>
          <w:color w:val="000000"/>
        </w:rPr>
        <w:t>veintitrés de septiembre</w:t>
      </w:r>
      <w:r w:rsidRPr="00AF7742">
        <w:rPr>
          <w:rFonts w:ascii="Palatino Linotype" w:eastAsia="Palatino Linotype" w:hAnsi="Palatino Linotype" w:cs="Palatino Linotype"/>
          <w:b/>
          <w:color w:val="000000"/>
        </w:rPr>
        <w:t xml:space="preserve"> de dos mil veinticinco</w:t>
      </w:r>
      <w:r w:rsidRPr="00AF7742">
        <w:rPr>
          <w:rFonts w:ascii="Palatino Linotype" w:eastAsia="Palatino Linotype" w:hAnsi="Palatino Linotype" w:cs="Palatino Linotype"/>
          <w:color w:val="000000"/>
        </w:rPr>
        <w:t xml:space="preserve">, rindió el informe justificado, </w:t>
      </w:r>
      <w:r w:rsidR="00985A63" w:rsidRPr="00AF7742">
        <w:rPr>
          <w:rFonts w:ascii="Palatino Linotype" w:eastAsia="Palatino Linotype" w:hAnsi="Palatino Linotype" w:cs="Palatino Linotype"/>
          <w:color w:val="000000"/>
        </w:rPr>
        <w:t>a través de tres archivos que corresponden al Acta del Comité de Transparencia que sustenta la versión pública de la información entregada en respuesta y, dos oficios</w:t>
      </w:r>
      <w:r w:rsidR="0029711F" w:rsidRPr="00AF7742">
        <w:rPr>
          <w:rFonts w:ascii="Palatino Linotype" w:eastAsia="Palatino Linotype" w:hAnsi="Palatino Linotype" w:cs="Palatino Linotype"/>
          <w:color w:val="000000"/>
        </w:rPr>
        <w:t>:</w:t>
      </w:r>
      <w:r w:rsidR="00985A63" w:rsidRPr="00AF7742">
        <w:rPr>
          <w:rFonts w:ascii="Palatino Linotype" w:eastAsia="Palatino Linotype" w:hAnsi="Palatino Linotype" w:cs="Palatino Linotype"/>
          <w:color w:val="000000"/>
        </w:rPr>
        <w:t xml:space="preserve"> el primero signado por el Titular de la Unidad de Transparencia y Coordinadora de Control Técnico, en el que manifiesta que respecto al tiempo que lleva laborando, al entregarse el FUMP, la solicitante puede de propia cuenta conocer o computar el tiempo que llevan laborando a la fecha de la solicitud, al ya conocer su fecha de ingreso; así como el oficio suscrito por el Director General del Registro Estatal de Transporte Público, en el que refiere que luego de una búsqueda en los </w:t>
      </w:r>
      <w:r w:rsidR="0029711F" w:rsidRPr="00AF7742">
        <w:rPr>
          <w:rFonts w:ascii="Palatino Linotype" w:eastAsia="Palatino Linotype" w:hAnsi="Palatino Linotype" w:cs="Palatino Linotype"/>
          <w:color w:val="000000"/>
        </w:rPr>
        <w:t>archivos</w:t>
      </w:r>
      <w:r w:rsidR="00985A63" w:rsidRPr="00AF7742">
        <w:rPr>
          <w:rFonts w:ascii="Palatino Linotype" w:eastAsia="Palatino Linotype" w:hAnsi="Palatino Linotype" w:cs="Palatino Linotype"/>
          <w:color w:val="000000"/>
        </w:rPr>
        <w:t xml:space="preserve"> de esa Dirección y las demás unidades administrativas adscritas a la misma, no se localizó antecedente documental que advierta actas administrativas para las personas referidas en la solicitud de información.</w:t>
      </w:r>
    </w:p>
    <w:p w14:paraId="18C15024" w14:textId="77777777" w:rsidR="005B5644" w:rsidRPr="00AF7742" w:rsidRDefault="005B5644" w:rsidP="00A42539">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35B7A536" w14:textId="1A80148A" w:rsidR="002C5785" w:rsidRPr="00AF7742" w:rsidRDefault="005B5644" w:rsidP="00A42539">
      <w:pPr>
        <w:pStyle w:val="Prrafodelista"/>
        <w:numPr>
          <w:ilvl w:val="0"/>
          <w:numId w:val="1"/>
        </w:numPr>
        <w:spacing w:line="360" w:lineRule="auto"/>
        <w:ind w:left="0" w:firstLine="0"/>
        <w:jc w:val="both"/>
        <w:rPr>
          <w:rFonts w:ascii="Palatino Linotype" w:eastAsia="Palatino Linotype" w:hAnsi="Palatino Linotype" w:cs="Palatino Linotype"/>
          <w:b/>
          <w:color w:val="000000"/>
        </w:rPr>
      </w:pPr>
      <w:r w:rsidRPr="00AF7742">
        <w:rPr>
          <w:rFonts w:ascii="Palatino Linotype" w:eastAsia="Palatino Linotype" w:hAnsi="Palatino Linotype" w:cs="Palatino Linotype"/>
          <w:color w:val="000000"/>
        </w:rPr>
        <w:lastRenderedPageBreak/>
        <w:t xml:space="preserve">Por su parte el ahora </w:t>
      </w:r>
      <w:r w:rsidRPr="00AF7742">
        <w:rPr>
          <w:rFonts w:ascii="Palatino Linotype" w:eastAsia="Palatino Linotype" w:hAnsi="Palatino Linotype" w:cs="Palatino Linotype"/>
          <w:b/>
          <w:color w:val="000000"/>
        </w:rPr>
        <w:t xml:space="preserve">RECURRENTE </w:t>
      </w:r>
      <w:r w:rsidRPr="00AF7742">
        <w:rPr>
          <w:rFonts w:ascii="Palatino Linotype" w:eastAsia="Palatino Linotype" w:hAnsi="Palatino Linotype" w:cs="Palatino Linotype"/>
          <w:color w:val="000000"/>
        </w:rPr>
        <w:t xml:space="preserve">fue omiso en realizar manifestaciones que a su derecho conviniera y asistiera. Seguidamente al no existir pendientes o diligencia por desahogar, mediante Acuerdo de día </w:t>
      </w:r>
      <w:r w:rsidR="0029711F" w:rsidRPr="00AF7742">
        <w:rPr>
          <w:rFonts w:ascii="Palatino Linotype" w:eastAsia="Palatino Linotype" w:hAnsi="Palatino Linotype" w:cs="Palatino Linotype"/>
          <w:b/>
          <w:color w:val="000000"/>
        </w:rPr>
        <w:t>doce</w:t>
      </w:r>
      <w:r w:rsidR="00F1549F" w:rsidRPr="00AF7742">
        <w:rPr>
          <w:rFonts w:ascii="Palatino Linotype" w:eastAsia="Palatino Linotype" w:hAnsi="Palatino Linotype" w:cs="Palatino Linotype"/>
          <w:b/>
          <w:color w:val="000000"/>
        </w:rPr>
        <w:t xml:space="preserve"> de </w:t>
      </w:r>
      <w:r w:rsidR="0029711F" w:rsidRPr="00AF7742">
        <w:rPr>
          <w:rFonts w:ascii="Palatino Linotype" w:eastAsia="Palatino Linotype" w:hAnsi="Palatino Linotype" w:cs="Palatino Linotype"/>
          <w:b/>
          <w:color w:val="000000"/>
        </w:rPr>
        <w:t>mayo</w:t>
      </w:r>
      <w:r w:rsidRPr="00AF7742">
        <w:rPr>
          <w:rFonts w:ascii="Palatino Linotype" w:eastAsia="Palatino Linotype" w:hAnsi="Palatino Linotype" w:cs="Palatino Linotype"/>
          <w:b/>
          <w:color w:val="000000"/>
        </w:rPr>
        <w:t xml:space="preserve"> del año en curso</w:t>
      </w:r>
      <w:r w:rsidRPr="00AF7742">
        <w:rPr>
          <w:rFonts w:ascii="Palatino Linotype" w:eastAsia="Palatino Linotype" w:hAnsi="Palatino Linotype" w:cs="Palatino Linotype"/>
          <w:color w:val="000000"/>
        </w:rPr>
        <w:t xml:space="preserve">, </w:t>
      </w:r>
      <w:r w:rsidR="00EB23FD" w:rsidRPr="00AF7742">
        <w:rPr>
          <w:rFonts w:ascii="Palatino Linotype" w:eastAsia="Palatino Linotype" w:hAnsi="Palatino Linotype" w:cs="Palatino Linotype"/>
          <w:color w:val="000000"/>
        </w:rPr>
        <w:t xml:space="preserve">se </w:t>
      </w:r>
      <w:r w:rsidRPr="00AF7742">
        <w:rPr>
          <w:rFonts w:ascii="Palatino Linotype" w:eastAsia="Palatino Linotype" w:hAnsi="Palatino Linotype" w:cs="Palatino Linotype"/>
          <w:color w:val="000000"/>
        </w:rPr>
        <w:t>decretó el cierre de instrucción</w:t>
      </w:r>
      <w:r w:rsidR="00EB23FD" w:rsidRPr="00AF7742">
        <w:rPr>
          <w:rFonts w:ascii="Palatino Linotype" w:eastAsia="Palatino Linotype" w:hAnsi="Palatino Linotype" w:cs="Palatino Linotype"/>
          <w:color w:val="000000"/>
        </w:rPr>
        <w:t>, seguidamente mediante acuerdo de misma fecha</w:t>
      </w:r>
      <w:r w:rsidR="00727A6D" w:rsidRPr="00AF7742">
        <w:rPr>
          <w:rFonts w:ascii="Palatino Linotype" w:eastAsia="Palatino Linotype" w:hAnsi="Palatino Linotype" w:cs="Palatino Linotype"/>
          <w:color w:val="000000"/>
        </w:rPr>
        <w:t xml:space="preserve"> se amplió el </w:t>
      </w:r>
      <w:r w:rsidR="002C5785" w:rsidRPr="00AF7742">
        <w:rPr>
          <w:rFonts w:ascii="Palatino Linotype" w:eastAsia="Palatino Linotype" w:hAnsi="Palatino Linotype" w:cs="Palatino Linotype"/>
          <w:color w:val="000000"/>
        </w:rPr>
        <w:t>término</w:t>
      </w:r>
      <w:r w:rsidR="00727A6D" w:rsidRPr="00AF7742">
        <w:rPr>
          <w:rFonts w:ascii="Palatino Linotype" w:eastAsia="Palatino Linotype" w:hAnsi="Palatino Linotype" w:cs="Palatino Linotype"/>
          <w:color w:val="000000"/>
        </w:rPr>
        <w:t xml:space="preserve"> para resolver</w:t>
      </w:r>
      <w:r w:rsidR="002C5785" w:rsidRPr="00AF7742">
        <w:rPr>
          <w:rFonts w:ascii="Palatino Linotype" w:eastAsia="Palatino Linotype" w:hAnsi="Palatino Linotype" w:cs="Palatino Linotype"/>
          <w:color w:val="000000"/>
        </w:rPr>
        <w:t>.</w:t>
      </w:r>
      <w:r w:rsidRPr="00AF7742">
        <w:rPr>
          <w:rFonts w:ascii="Palatino Linotype" w:eastAsia="Palatino Linotype" w:hAnsi="Palatino Linotype" w:cs="Palatino Linotype"/>
          <w:color w:val="000000"/>
        </w:rPr>
        <w:t xml:space="preserve"> </w:t>
      </w:r>
      <w:r w:rsidR="002C5785" w:rsidRPr="00AF7742">
        <w:rPr>
          <w:rFonts w:ascii="Palatino Linotype" w:eastAsia="Palatino Linotype" w:hAnsi="Palatino Linotype" w:cs="Palatino Linotype"/>
          <w:color w:val="000000"/>
        </w:rPr>
        <w:t>Por ello, es menester precisar que, si bien se ha excedido el plazo para resolver el presente medio de impugnación, de conformidad con la ley de la materia, dicha dilación es de carácter excepcional y se encuentra justificada en los elementos para medir la razonabilidad del plazo de resolución de asuntos conforme a los parámetros establecidos por diversos órganos jurisdiccionales federales, aplicables también en procedimientos análogos, como el que nos ocupa.</w:t>
      </w:r>
    </w:p>
    <w:p w14:paraId="61ACD7FB" w14:textId="77777777" w:rsidR="00EB23FD" w:rsidRPr="00AF7742" w:rsidRDefault="00EB23FD" w:rsidP="00A42539">
      <w:pPr>
        <w:pStyle w:val="Prrafodelista"/>
        <w:spacing w:line="360" w:lineRule="auto"/>
        <w:rPr>
          <w:rFonts w:ascii="Palatino Linotype" w:eastAsia="Palatino Linotype" w:hAnsi="Palatino Linotype" w:cs="Palatino Linotype"/>
          <w:b/>
          <w:color w:val="000000"/>
        </w:rPr>
      </w:pPr>
    </w:p>
    <w:p w14:paraId="5DFB1682" w14:textId="77777777" w:rsidR="002C5785" w:rsidRPr="00AF7742" w:rsidRDefault="002C5785" w:rsidP="00A42539">
      <w:pPr>
        <w:pStyle w:val="Prrafodelista"/>
        <w:numPr>
          <w:ilvl w:val="0"/>
          <w:numId w:val="1"/>
        </w:numPr>
        <w:spacing w:line="360" w:lineRule="auto"/>
        <w:ind w:left="0" w:firstLine="0"/>
        <w:jc w:val="both"/>
        <w:rPr>
          <w:rFonts w:ascii="Palatino Linotype" w:eastAsia="Palatino Linotype" w:hAnsi="Palatino Linotype" w:cs="Palatino Linotype"/>
          <w:b/>
          <w:color w:val="000000"/>
        </w:rPr>
      </w:pPr>
      <w:r w:rsidRPr="00AF7742">
        <w:rPr>
          <w:rFonts w:ascii="Palatino Linotype" w:eastAsia="Palatino Linotype" w:hAnsi="Palatino Linotype" w:cs="Palatino Linotype"/>
          <w:color w:val="000000"/>
        </w:rPr>
        <w:t>De modo que, cuando se trate de un asunto excepcional, por alguna o todas las características mencionadas o bien, cuando el ingreso de asuntos al órgano jurisdiccional o cuasi jurisdiccional respectivo supere notoriamente al que podría considerarse normal, debe concluirse que es una excluyente de responsabilidad en relación con la actuación del funcionario, como ha acontecido en el caso que nos ocupa.</w:t>
      </w:r>
    </w:p>
    <w:p w14:paraId="78D2E863" w14:textId="77777777" w:rsidR="00AF7742" w:rsidRPr="00AF7742" w:rsidRDefault="00AF7742" w:rsidP="00AF7742">
      <w:pPr>
        <w:pStyle w:val="Prrafodelista"/>
        <w:spacing w:line="360" w:lineRule="auto"/>
        <w:ind w:left="0"/>
        <w:jc w:val="both"/>
        <w:rPr>
          <w:rFonts w:ascii="Palatino Linotype" w:eastAsia="Palatino Linotype" w:hAnsi="Palatino Linotype" w:cs="Palatino Linotype"/>
          <w:b/>
          <w:color w:val="000000"/>
        </w:rPr>
      </w:pPr>
    </w:p>
    <w:p w14:paraId="72F2657D" w14:textId="7689FA75" w:rsidR="004C3E30" w:rsidRPr="00AF7742" w:rsidRDefault="002C5785" w:rsidP="00A42539">
      <w:pPr>
        <w:pStyle w:val="Prrafodelista"/>
        <w:numPr>
          <w:ilvl w:val="0"/>
          <w:numId w:val="1"/>
        </w:numPr>
        <w:spacing w:line="360" w:lineRule="auto"/>
        <w:ind w:left="0" w:firstLine="0"/>
        <w:jc w:val="both"/>
        <w:rPr>
          <w:rFonts w:ascii="Palatino Linotype" w:eastAsia="Palatino Linotype" w:hAnsi="Palatino Linotype" w:cs="Palatino Linotype"/>
          <w:color w:val="000000"/>
        </w:rPr>
      </w:pPr>
      <w:r w:rsidRPr="00AF7742">
        <w:rPr>
          <w:rFonts w:ascii="Palatino Linotype" w:eastAsia="Palatino Linotype" w:hAnsi="Palatino Linotype" w:cs="Palatino Linotype"/>
          <w:color w:val="000000"/>
        </w:rPr>
        <w:t>Así, en términos de lo que establecen los artículos 8.1 y 25 de la Convención Americana sobre Derechos Humanos, los recursos deben ser sencillos y resolverse en el menor tiempo posible, tomando en consideración la dilación total del procedimiento; esto es, en un plazo razonable, así las cosas se emite la presente Resolución al tenor de los siguientes</w:t>
      </w:r>
      <w:r w:rsidR="005B5644" w:rsidRPr="00AF7742">
        <w:rPr>
          <w:rFonts w:ascii="Palatino Linotype" w:eastAsia="Palatino Linotype" w:hAnsi="Palatino Linotype" w:cs="Palatino Linotype"/>
          <w:color w:val="000000"/>
        </w:rPr>
        <w:t>: ----------</w:t>
      </w:r>
      <w:r w:rsidR="00727A6D" w:rsidRPr="00AF7742">
        <w:rPr>
          <w:rFonts w:ascii="Palatino Linotype" w:eastAsia="Palatino Linotype" w:hAnsi="Palatino Linotype" w:cs="Palatino Linotype"/>
          <w:color w:val="000000"/>
        </w:rPr>
        <w:t>---------</w:t>
      </w:r>
      <w:r w:rsidRPr="00AF7742">
        <w:rPr>
          <w:rFonts w:ascii="Palatino Linotype" w:eastAsia="Palatino Linotype" w:hAnsi="Palatino Linotype" w:cs="Palatino Linotype"/>
          <w:color w:val="000000"/>
        </w:rPr>
        <w:t>------------</w:t>
      </w:r>
      <w:r w:rsidR="00AF7742">
        <w:rPr>
          <w:rFonts w:ascii="Palatino Linotype" w:eastAsia="Palatino Linotype" w:hAnsi="Palatino Linotype" w:cs="Palatino Linotype"/>
          <w:color w:val="000000"/>
        </w:rPr>
        <w:t>--------------------------------------------------------------------------</w:t>
      </w:r>
    </w:p>
    <w:p w14:paraId="79D46D78" w14:textId="77777777" w:rsidR="005B5644" w:rsidRPr="00AF7742" w:rsidRDefault="005B5644" w:rsidP="00A42539">
      <w:pPr>
        <w:pStyle w:val="Prrafodelista"/>
        <w:spacing w:line="360" w:lineRule="auto"/>
        <w:jc w:val="both"/>
        <w:rPr>
          <w:rFonts w:ascii="Palatino Linotype" w:hAnsi="Palatino Linotype"/>
          <w:color w:val="000000"/>
        </w:rPr>
      </w:pPr>
    </w:p>
    <w:p w14:paraId="6967D00B" w14:textId="70826546" w:rsidR="00947C3B" w:rsidRPr="00AF7742" w:rsidRDefault="00947C3B" w:rsidP="00A42539">
      <w:pPr>
        <w:pStyle w:val="Ttulo1"/>
        <w:spacing w:before="0" w:line="360" w:lineRule="auto"/>
        <w:jc w:val="center"/>
        <w:rPr>
          <w:rFonts w:ascii="Palatino Linotype" w:hAnsi="Palatino Linotype"/>
          <w:b/>
          <w:color w:val="000000" w:themeColor="text1"/>
          <w:sz w:val="24"/>
          <w:szCs w:val="24"/>
        </w:rPr>
      </w:pPr>
      <w:bookmarkStart w:id="63" w:name="_Toc491791302"/>
      <w:bookmarkStart w:id="64" w:name="_Toc83128578"/>
      <w:r w:rsidRPr="00AF7742">
        <w:rPr>
          <w:rFonts w:ascii="Palatino Linotype" w:hAnsi="Palatino Linotype"/>
          <w:b/>
          <w:color w:val="000000" w:themeColor="text1"/>
          <w:sz w:val="24"/>
          <w:szCs w:val="24"/>
        </w:rPr>
        <w:lastRenderedPageBreak/>
        <w:t>C</w:t>
      </w:r>
      <w:r w:rsidR="002C5785" w:rsidRPr="00AF7742">
        <w:rPr>
          <w:rFonts w:ascii="Palatino Linotype" w:hAnsi="Palatino Linotype"/>
          <w:b/>
          <w:color w:val="000000" w:themeColor="text1"/>
          <w:sz w:val="24"/>
          <w:szCs w:val="24"/>
        </w:rPr>
        <w:t xml:space="preserve"> </w:t>
      </w:r>
      <w:r w:rsidRPr="00AF7742">
        <w:rPr>
          <w:rFonts w:ascii="Palatino Linotype" w:hAnsi="Palatino Linotype"/>
          <w:b/>
          <w:color w:val="000000" w:themeColor="text1"/>
          <w:sz w:val="24"/>
          <w:szCs w:val="24"/>
        </w:rPr>
        <w:t>O</w:t>
      </w:r>
      <w:r w:rsidR="002C5785" w:rsidRPr="00AF7742">
        <w:rPr>
          <w:rFonts w:ascii="Palatino Linotype" w:hAnsi="Palatino Linotype"/>
          <w:b/>
          <w:color w:val="000000" w:themeColor="text1"/>
          <w:sz w:val="24"/>
          <w:szCs w:val="24"/>
        </w:rPr>
        <w:t xml:space="preserve"> </w:t>
      </w:r>
      <w:r w:rsidRPr="00AF7742">
        <w:rPr>
          <w:rFonts w:ascii="Palatino Linotype" w:hAnsi="Palatino Linotype"/>
          <w:b/>
          <w:color w:val="000000" w:themeColor="text1"/>
          <w:sz w:val="24"/>
          <w:szCs w:val="24"/>
        </w:rPr>
        <w:t>N</w:t>
      </w:r>
      <w:r w:rsidR="002C5785" w:rsidRPr="00AF7742">
        <w:rPr>
          <w:rFonts w:ascii="Palatino Linotype" w:hAnsi="Palatino Linotype"/>
          <w:b/>
          <w:color w:val="000000" w:themeColor="text1"/>
          <w:sz w:val="24"/>
          <w:szCs w:val="24"/>
        </w:rPr>
        <w:t xml:space="preserve"> </w:t>
      </w:r>
      <w:r w:rsidRPr="00AF7742">
        <w:rPr>
          <w:rFonts w:ascii="Palatino Linotype" w:hAnsi="Palatino Linotype"/>
          <w:b/>
          <w:color w:val="000000" w:themeColor="text1"/>
          <w:sz w:val="24"/>
          <w:szCs w:val="24"/>
        </w:rPr>
        <w:t>S</w:t>
      </w:r>
      <w:r w:rsidR="002C5785" w:rsidRPr="00AF7742">
        <w:rPr>
          <w:rFonts w:ascii="Palatino Linotype" w:hAnsi="Palatino Linotype"/>
          <w:b/>
          <w:color w:val="000000" w:themeColor="text1"/>
          <w:sz w:val="24"/>
          <w:szCs w:val="24"/>
        </w:rPr>
        <w:t xml:space="preserve"> </w:t>
      </w:r>
      <w:r w:rsidRPr="00AF7742">
        <w:rPr>
          <w:rFonts w:ascii="Palatino Linotype" w:hAnsi="Palatino Linotype"/>
          <w:b/>
          <w:color w:val="000000" w:themeColor="text1"/>
          <w:sz w:val="24"/>
          <w:szCs w:val="24"/>
        </w:rPr>
        <w:t>I</w:t>
      </w:r>
      <w:r w:rsidR="002C5785" w:rsidRPr="00AF7742">
        <w:rPr>
          <w:rFonts w:ascii="Palatino Linotype" w:hAnsi="Palatino Linotype"/>
          <w:b/>
          <w:color w:val="000000" w:themeColor="text1"/>
          <w:sz w:val="24"/>
          <w:szCs w:val="24"/>
        </w:rPr>
        <w:t xml:space="preserve"> </w:t>
      </w:r>
      <w:r w:rsidRPr="00AF7742">
        <w:rPr>
          <w:rFonts w:ascii="Palatino Linotype" w:hAnsi="Palatino Linotype"/>
          <w:b/>
          <w:color w:val="000000" w:themeColor="text1"/>
          <w:sz w:val="24"/>
          <w:szCs w:val="24"/>
        </w:rPr>
        <w:t>D</w:t>
      </w:r>
      <w:r w:rsidR="002C5785" w:rsidRPr="00AF7742">
        <w:rPr>
          <w:rFonts w:ascii="Palatino Linotype" w:hAnsi="Palatino Linotype"/>
          <w:b/>
          <w:color w:val="000000" w:themeColor="text1"/>
          <w:sz w:val="24"/>
          <w:szCs w:val="24"/>
        </w:rPr>
        <w:t xml:space="preserve"> </w:t>
      </w:r>
      <w:r w:rsidRPr="00AF7742">
        <w:rPr>
          <w:rFonts w:ascii="Palatino Linotype" w:hAnsi="Palatino Linotype"/>
          <w:b/>
          <w:color w:val="000000" w:themeColor="text1"/>
          <w:sz w:val="24"/>
          <w:szCs w:val="24"/>
        </w:rPr>
        <w:t>E</w:t>
      </w:r>
      <w:r w:rsidR="002C5785" w:rsidRPr="00AF7742">
        <w:rPr>
          <w:rFonts w:ascii="Palatino Linotype" w:hAnsi="Palatino Linotype"/>
          <w:b/>
          <w:color w:val="000000" w:themeColor="text1"/>
          <w:sz w:val="24"/>
          <w:szCs w:val="24"/>
        </w:rPr>
        <w:t xml:space="preserve"> </w:t>
      </w:r>
      <w:r w:rsidRPr="00AF7742">
        <w:rPr>
          <w:rFonts w:ascii="Palatino Linotype" w:hAnsi="Palatino Linotype"/>
          <w:b/>
          <w:color w:val="000000" w:themeColor="text1"/>
          <w:sz w:val="24"/>
          <w:szCs w:val="24"/>
        </w:rPr>
        <w:t>R</w:t>
      </w:r>
      <w:r w:rsidR="002C5785" w:rsidRPr="00AF7742">
        <w:rPr>
          <w:rFonts w:ascii="Palatino Linotype" w:hAnsi="Palatino Linotype"/>
          <w:b/>
          <w:color w:val="000000" w:themeColor="text1"/>
          <w:sz w:val="24"/>
          <w:szCs w:val="24"/>
        </w:rPr>
        <w:t xml:space="preserve"> </w:t>
      </w:r>
      <w:r w:rsidRPr="00AF7742">
        <w:rPr>
          <w:rFonts w:ascii="Palatino Linotype" w:hAnsi="Palatino Linotype"/>
          <w:b/>
          <w:color w:val="000000" w:themeColor="text1"/>
          <w:sz w:val="24"/>
          <w:szCs w:val="24"/>
        </w:rPr>
        <w:t>A</w:t>
      </w:r>
      <w:r w:rsidR="002C5785" w:rsidRPr="00AF7742">
        <w:rPr>
          <w:rFonts w:ascii="Palatino Linotype" w:hAnsi="Palatino Linotype"/>
          <w:b/>
          <w:color w:val="000000" w:themeColor="text1"/>
          <w:sz w:val="24"/>
          <w:szCs w:val="24"/>
        </w:rPr>
        <w:t xml:space="preserve"> </w:t>
      </w:r>
      <w:r w:rsidRPr="00AF7742">
        <w:rPr>
          <w:rFonts w:ascii="Palatino Linotype" w:hAnsi="Palatino Linotype"/>
          <w:b/>
          <w:color w:val="000000" w:themeColor="text1"/>
          <w:sz w:val="24"/>
          <w:szCs w:val="24"/>
        </w:rPr>
        <w:t>N</w:t>
      </w:r>
      <w:r w:rsidR="002C5785" w:rsidRPr="00AF7742">
        <w:rPr>
          <w:rFonts w:ascii="Palatino Linotype" w:hAnsi="Palatino Linotype"/>
          <w:b/>
          <w:color w:val="000000" w:themeColor="text1"/>
          <w:sz w:val="24"/>
          <w:szCs w:val="24"/>
        </w:rPr>
        <w:t xml:space="preserve"> </w:t>
      </w:r>
      <w:r w:rsidRPr="00AF7742">
        <w:rPr>
          <w:rFonts w:ascii="Palatino Linotype" w:hAnsi="Palatino Linotype"/>
          <w:b/>
          <w:color w:val="000000" w:themeColor="text1"/>
          <w:sz w:val="24"/>
          <w:szCs w:val="24"/>
        </w:rPr>
        <w:t>D</w:t>
      </w:r>
      <w:r w:rsidR="002C5785" w:rsidRPr="00AF7742">
        <w:rPr>
          <w:rFonts w:ascii="Palatino Linotype" w:hAnsi="Palatino Linotype"/>
          <w:b/>
          <w:color w:val="000000" w:themeColor="text1"/>
          <w:sz w:val="24"/>
          <w:szCs w:val="24"/>
        </w:rPr>
        <w:t xml:space="preserve"> </w:t>
      </w:r>
      <w:r w:rsidRPr="00AF7742">
        <w:rPr>
          <w:rFonts w:ascii="Palatino Linotype" w:hAnsi="Palatino Linotype"/>
          <w:b/>
          <w:color w:val="000000" w:themeColor="text1"/>
          <w:sz w:val="24"/>
          <w:szCs w:val="24"/>
        </w:rPr>
        <w:t>O</w:t>
      </w:r>
      <w:bookmarkEnd w:id="63"/>
      <w:bookmarkEnd w:id="64"/>
      <w:r w:rsidR="002C5785" w:rsidRPr="00AF7742">
        <w:rPr>
          <w:rFonts w:ascii="Palatino Linotype" w:hAnsi="Palatino Linotype"/>
          <w:b/>
          <w:color w:val="000000" w:themeColor="text1"/>
          <w:sz w:val="24"/>
          <w:szCs w:val="24"/>
        </w:rPr>
        <w:t xml:space="preserve"> S</w:t>
      </w:r>
    </w:p>
    <w:p w14:paraId="4EA515D4" w14:textId="77777777" w:rsidR="00947C3B" w:rsidRPr="00AF7742" w:rsidRDefault="00947C3B" w:rsidP="00A42539">
      <w:pPr>
        <w:pStyle w:val="Ttulo2"/>
        <w:spacing w:before="0" w:line="360" w:lineRule="auto"/>
        <w:rPr>
          <w:rFonts w:ascii="Palatino Linotype" w:hAnsi="Palatino Linotype"/>
          <w:b/>
          <w:color w:val="auto"/>
          <w:sz w:val="24"/>
          <w:szCs w:val="24"/>
        </w:rPr>
      </w:pPr>
      <w:bookmarkStart w:id="65" w:name="_Toc491791303"/>
      <w:bookmarkStart w:id="66" w:name="_Toc83128579"/>
    </w:p>
    <w:p w14:paraId="2E434C12" w14:textId="77777777" w:rsidR="00947C3B" w:rsidRPr="00AF7742" w:rsidRDefault="00947C3B" w:rsidP="00A42539">
      <w:pPr>
        <w:pStyle w:val="Ttulo2"/>
        <w:spacing w:before="0" w:line="360" w:lineRule="auto"/>
        <w:rPr>
          <w:rFonts w:ascii="Palatino Linotype" w:hAnsi="Palatino Linotype"/>
          <w:b/>
          <w:color w:val="auto"/>
          <w:sz w:val="24"/>
          <w:szCs w:val="24"/>
        </w:rPr>
      </w:pPr>
      <w:r w:rsidRPr="00AF7742">
        <w:rPr>
          <w:rFonts w:ascii="Palatino Linotype" w:hAnsi="Palatino Linotype"/>
          <w:b/>
          <w:color w:val="auto"/>
          <w:sz w:val="24"/>
          <w:szCs w:val="24"/>
        </w:rPr>
        <w:t>PRIMERO. De la competencia</w:t>
      </w:r>
      <w:bookmarkEnd w:id="65"/>
      <w:bookmarkEnd w:id="66"/>
    </w:p>
    <w:p w14:paraId="66CA1126" w14:textId="560D9028" w:rsidR="00947C3B" w:rsidRPr="00AF7742" w:rsidRDefault="00EB23FD" w:rsidP="00A42539">
      <w:pPr>
        <w:numPr>
          <w:ilvl w:val="0"/>
          <w:numId w:val="1"/>
        </w:numPr>
        <w:spacing w:line="360" w:lineRule="auto"/>
        <w:ind w:left="0" w:firstLine="0"/>
        <w:contextualSpacing/>
        <w:jc w:val="both"/>
        <w:rPr>
          <w:rFonts w:ascii="Palatino Linotype" w:hAnsi="Palatino Linotype"/>
          <w:color w:val="000000" w:themeColor="text1"/>
        </w:rPr>
      </w:pPr>
      <w:r w:rsidRPr="00AF7742">
        <w:rPr>
          <w:rFonts w:ascii="Palatino Linotype" w:hAnsi="Palatino Linotype"/>
          <w:color w:val="000000" w:themeColor="text1"/>
        </w:rPr>
        <w:t xml:space="preserve">Este Instituto de Transparencia, Acceso a la Información Pública y Protección de Datos Personales del Estado de México y Municipios es competente para conocer y resolver el presente Recurso de Revisión, conforme a lo dispuesto en </w:t>
      </w:r>
      <w:r w:rsidRPr="00AF7742">
        <w:rPr>
          <w:rFonts w:ascii="Palatino Linotype" w:eastAsia="Calibri" w:hAnsi="Palatino Linotype" w:cs="Arial"/>
        </w:rPr>
        <w:t>el</w:t>
      </w:r>
      <w:r w:rsidRPr="00AF7742">
        <w:rPr>
          <w:rFonts w:ascii="Palatino Linotype" w:hAnsi="Palatino Linotype"/>
          <w:color w:val="000000" w:themeColor="text1"/>
        </w:rPr>
        <w:t xml:space="preserve"> artículo 5, párrafos trigésimo séptimo, trigésimo octavo y trigésimo noveno fracciones IV y V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2E4166AF" w14:textId="77777777" w:rsidR="00C47088" w:rsidRPr="00AF7742" w:rsidRDefault="00C47088" w:rsidP="00A42539">
      <w:pPr>
        <w:spacing w:line="360" w:lineRule="auto"/>
        <w:contextualSpacing/>
        <w:jc w:val="both"/>
        <w:rPr>
          <w:rFonts w:ascii="Palatino Linotype" w:hAnsi="Palatino Linotype"/>
          <w:color w:val="000000" w:themeColor="text1"/>
        </w:rPr>
      </w:pPr>
    </w:p>
    <w:p w14:paraId="4678A3EE" w14:textId="1F5DA7A0" w:rsidR="00947C3B" w:rsidRPr="00AF7742" w:rsidRDefault="00947C3B" w:rsidP="00A42539">
      <w:pPr>
        <w:spacing w:line="360" w:lineRule="auto"/>
        <w:contextualSpacing/>
        <w:jc w:val="both"/>
        <w:rPr>
          <w:rFonts w:ascii="Palatino Linotype" w:hAnsi="Palatino Linotype"/>
          <w:b/>
        </w:rPr>
      </w:pPr>
      <w:r w:rsidRPr="00AF7742">
        <w:rPr>
          <w:rFonts w:ascii="Palatino Linotype" w:hAnsi="Palatino Linotype"/>
          <w:color w:val="000000" w:themeColor="text1"/>
        </w:rPr>
        <w:t xml:space="preserve"> </w:t>
      </w:r>
      <w:bookmarkStart w:id="67" w:name="_Toc491791304"/>
      <w:bookmarkStart w:id="68" w:name="_Toc83128580"/>
      <w:r w:rsidRPr="00AF7742">
        <w:rPr>
          <w:rFonts w:ascii="Palatino Linotype" w:hAnsi="Palatino Linotype"/>
          <w:b/>
        </w:rPr>
        <w:t>SEGUNDO. De la oportunidad y procedencia.</w:t>
      </w:r>
      <w:bookmarkEnd w:id="67"/>
      <w:bookmarkEnd w:id="68"/>
    </w:p>
    <w:p w14:paraId="60E72AD3" w14:textId="77777777" w:rsidR="00A72EED" w:rsidRPr="00AF7742" w:rsidRDefault="00A72EED" w:rsidP="00A42539">
      <w:pPr>
        <w:numPr>
          <w:ilvl w:val="0"/>
          <w:numId w:val="1"/>
        </w:numPr>
        <w:spacing w:line="360" w:lineRule="auto"/>
        <w:ind w:left="0" w:firstLine="0"/>
        <w:contextualSpacing/>
        <w:jc w:val="both"/>
        <w:rPr>
          <w:rFonts w:ascii="Palatino Linotype" w:hAnsi="Palatino Linotype"/>
        </w:rPr>
      </w:pPr>
      <w:r w:rsidRPr="00AF7742">
        <w:rPr>
          <w:rFonts w:ascii="Palatino Linotype" w:eastAsia="Calibri" w:hAnsi="Palatino Linotype" w:cs="Arial"/>
        </w:rPr>
        <w:t xml:space="preserve">Este Órgano Garante considera que el medio de impugnación reúne los requisitos de procedencia </w:t>
      </w:r>
      <w:r w:rsidRPr="00AF7742">
        <w:rPr>
          <w:rFonts w:ascii="Palatino Linotype" w:eastAsia="Calibri" w:hAnsi="Palatino Linotype" w:cs="Tahoma"/>
          <w:color w:val="000000"/>
          <w:lang w:eastAsia="es-MX"/>
        </w:rPr>
        <w:t xml:space="preserve">toda vez que: el recurso fue presentado dentro del plazo establecido en el artículo 178 de la Ley de Transparencia y Acceso a la Información Pública del Estado de México y Municipios; asimismo no se tiene conocimiento de que se encuentre en trámite algún medio de defensa presentado por </w:t>
      </w:r>
      <w:r w:rsidRPr="00AF7742">
        <w:rPr>
          <w:rFonts w:ascii="Palatino Linotype" w:eastAsia="Calibri" w:hAnsi="Palatino Linotype" w:cs="Tahoma"/>
          <w:b/>
          <w:color w:val="000000"/>
          <w:lang w:eastAsia="es-MX"/>
        </w:rPr>
        <w:t>LA RECURRENTE</w:t>
      </w:r>
      <w:r w:rsidRPr="00AF7742">
        <w:rPr>
          <w:rFonts w:ascii="Palatino Linotype" w:eastAsia="Calibri" w:hAnsi="Palatino Linotype" w:cs="Tahoma"/>
          <w:color w:val="000000"/>
          <w:lang w:eastAsia="es-MX"/>
        </w:rPr>
        <w:t xml:space="preserve"> ante otra instancia.</w:t>
      </w:r>
    </w:p>
    <w:p w14:paraId="1F62D159" w14:textId="77777777" w:rsidR="00A72EED" w:rsidRPr="00AF7742" w:rsidRDefault="00A72EED" w:rsidP="00A42539">
      <w:pPr>
        <w:spacing w:line="360" w:lineRule="auto"/>
        <w:contextualSpacing/>
        <w:jc w:val="both"/>
        <w:rPr>
          <w:rFonts w:ascii="Palatino Linotype" w:hAnsi="Palatino Linotype"/>
        </w:rPr>
      </w:pPr>
    </w:p>
    <w:p w14:paraId="1C46471B" w14:textId="77777777" w:rsidR="008A5B46" w:rsidRPr="00AF7742" w:rsidRDefault="008A5B46" w:rsidP="00A42539">
      <w:pPr>
        <w:numPr>
          <w:ilvl w:val="0"/>
          <w:numId w:val="1"/>
        </w:numPr>
        <w:spacing w:line="360" w:lineRule="auto"/>
        <w:ind w:left="0" w:firstLine="0"/>
        <w:contextualSpacing/>
        <w:jc w:val="both"/>
        <w:rPr>
          <w:rFonts w:ascii="Palatino Linotype" w:eastAsia="Palatino Linotype" w:hAnsi="Palatino Linotype" w:cs="Palatino Linotype"/>
        </w:rPr>
      </w:pPr>
      <w:r w:rsidRPr="00AF7742">
        <w:rPr>
          <w:rFonts w:ascii="Palatino Linotype" w:eastAsia="Palatino Linotype" w:hAnsi="Palatino Linotype" w:cs="Palatino Linotype"/>
        </w:rPr>
        <w:t xml:space="preserve">Por otro lado, es de suma importancia señalar que la parte recurrente no proporciona un nombre o datos de identificación como se advierte en el detalle de seguimiento del SAIMEX, no obstante lo anterior, no proporcionar el nombre completo no es motivo para </w:t>
      </w:r>
      <w:r w:rsidRPr="00AF7742">
        <w:rPr>
          <w:rFonts w:ascii="Palatino Linotype" w:eastAsia="Calibri" w:hAnsi="Palatino Linotype" w:cs="Arial"/>
        </w:rPr>
        <w:lastRenderedPageBreak/>
        <w:t>archivar</w:t>
      </w:r>
      <w:r w:rsidRPr="00AF7742">
        <w:rPr>
          <w:rFonts w:ascii="Palatino Linotype" w:eastAsia="Palatino Linotype" w:hAnsi="Palatino Linotype" w:cs="Palatino Linotype"/>
        </w:rPr>
        <w:t xml:space="preserve"> la solicitud de acceso a la información pública como concluida, conforme a lo previsto en el artículo 155, penúltimo párrafo de la Ley de Transparencia y Acceso a la Información Pública del Estado de México y Municipios que establece lo siguiente:</w:t>
      </w:r>
    </w:p>
    <w:p w14:paraId="65311A73" w14:textId="77777777" w:rsidR="008A5B46" w:rsidRPr="00AF7742" w:rsidRDefault="008A5B46" w:rsidP="00A42539">
      <w:pPr>
        <w:pStyle w:val="Prrafodelista"/>
        <w:spacing w:line="360" w:lineRule="auto"/>
        <w:rPr>
          <w:rFonts w:ascii="Palatino Linotype" w:eastAsia="Palatino Linotype" w:hAnsi="Palatino Linotype" w:cs="Palatino Linotype"/>
        </w:rPr>
      </w:pPr>
    </w:p>
    <w:p w14:paraId="4F22900E" w14:textId="77777777" w:rsidR="008A5B46" w:rsidRPr="00AF7742" w:rsidRDefault="008A5B46" w:rsidP="00A42539">
      <w:pPr>
        <w:spacing w:line="360" w:lineRule="auto"/>
        <w:ind w:left="567" w:right="567"/>
        <w:jc w:val="both"/>
        <w:rPr>
          <w:rFonts w:ascii="Palatino Linotype" w:eastAsia="Palatino Linotype" w:hAnsi="Palatino Linotype" w:cs="Palatino Linotype"/>
          <w:i/>
        </w:rPr>
      </w:pPr>
      <w:r w:rsidRPr="00AF7742">
        <w:rPr>
          <w:rFonts w:ascii="Palatino Linotype" w:eastAsia="Palatino Linotype" w:hAnsi="Palatino Linotype" w:cs="Palatino Linotype"/>
          <w:i/>
        </w:rPr>
        <w:t>"</w:t>
      </w:r>
      <w:r w:rsidRPr="00AF7742">
        <w:rPr>
          <w:rFonts w:ascii="Palatino Linotype" w:eastAsia="Palatino Linotype" w:hAnsi="Palatino Linotype" w:cs="Palatino Linotype"/>
          <w:b/>
          <w:i/>
        </w:rPr>
        <w:t>Las solicitudes anónimas</w:t>
      </w:r>
      <w:r w:rsidRPr="00AF7742">
        <w:rPr>
          <w:rFonts w:ascii="Palatino Linotype" w:eastAsia="Palatino Linotype" w:hAnsi="Palatino Linotype" w:cs="Palatino Linotype"/>
          <w:i/>
        </w:rPr>
        <w:t xml:space="preserve">, con nombre incompleto o seudónimo </w:t>
      </w:r>
      <w:r w:rsidRPr="00AF7742">
        <w:rPr>
          <w:rFonts w:ascii="Palatino Linotype" w:eastAsia="Palatino Linotype" w:hAnsi="Palatino Linotype" w:cs="Palatino Linotype"/>
          <w:b/>
          <w:i/>
        </w:rPr>
        <w:t>serán procedentes para su trámite por parte del sujeto obligado ante quien se presente</w:t>
      </w:r>
      <w:r w:rsidRPr="00AF7742">
        <w:rPr>
          <w:rFonts w:ascii="Palatino Linotype" w:eastAsia="Palatino Linotype" w:hAnsi="Palatino Linotype" w:cs="Palatino Linotype"/>
          <w:i/>
        </w:rPr>
        <w:t>. No podrá requerirse información adicional con motivo del nombre proporcionado por el solicitante."</w:t>
      </w:r>
    </w:p>
    <w:p w14:paraId="0CA475C2" w14:textId="77777777" w:rsidR="008A5B46" w:rsidRPr="00AF7742" w:rsidRDefault="008A5B46" w:rsidP="00A42539">
      <w:pPr>
        <w:pStyle w:val="Prrafodelista"/>
        <w:spacing w:line="360" w:lineRule="auto"/>
        <w:rPr>
          <w:rFonts w:ascii="Palatino Linotype" w:eastAsia="Calibri" w:hAnsi="Palatino Linotype" w:cs="Arial"/>
        </w:rPr>
      </w:pPr>
    </w:p>
    <w:p w14:paraId="2D05FE01" w14:textId="77777777" w:rsidR="00A72EED" w:rsidRPr="00AF7742" w:rsidRDefault="00A72EED" w:rsidP="00A42539">
      <w:pPr>
        <w:numPr>
          <w:ilvl w:val="0"/>
          <w:numId w:val="1"/>
        </w:numPr>
        <w:spacing w:line="360" w:lineRule="auto"/>
        <w:ind w:left="0" w:firstLine="0"/>
        <w:contextualSpacing/>
        <w:jc w:val="both"/>
        <w:rPr>
          <w:rFonts w:ascii="Palatino Linotype" w:eastAsia="Calibri" w:hAnsi="Palatino Linotype" w:cs="Arial"/>
        </w:rPr>
      </w:pPr>
      <w:r w:rsidRPr="00AF7742">
        <w:rPr>
          <w:rFonts w:ascii="Palatino Linotype" w:eastAsia="Calibri" w:hAnsi="Palatino Linotype" w:cs="Arial"/>
        </w:rPr>
        <w:t>Finalmente, el escrito contiene las formalidades previstas por el artículo 180 último párrafo de la citada Ley de la materia, por lo que es procedente que este Instituto conozca y resuelva el presente Recurso.</w:t>
      </w:r>
    </w:p>
    <w:p w14:paraId="016C3D4C" w14:textId="77777777" w:rsidR="00947C3B" w:rsidRPr="00AF7742" w:rsidRDefault="00947C3B" w:rsidP="00A42539">
      <w:pPr>
        <w:pStyle w:val="Ttulo2"/>
        <w:spacing w:before="0" w:line="360" w:lineRule="auto"/>
        <w:rPr>
          <w:rFonts w:ascii="Palatino Linotype" w:hAnsi="Palatino Linotype"/>
          <w:b/>
          <w:color w:val="000000" w:themeColor="text1"/>
          <w:sz w:val="24"/>
          <w:szCs w:val="24"/>
        </w:rPr>
      </w:pPr>
      <w:bookmarkStart w:id="69" w:name="_Toc34246179"/>
      <w:bookmarkStart w:id="70" w:name="_Toc50033991"/>
      <w:bookmarkStart w:id="71" w:name="_Toc51259588"/>
      <w:bookmarkStart w:id="72" w:name="_Toc83128581"/>
      <w:r w:rsidRPr="00AF7742">
        <w:rPr>
          <w:rFonts w:ascii="Palatino Linotype" w:hAnsi="Palatino Linotype"/>
          <w:b/>
          <w:color w:val="000000" w:themeColor="text1"/>
          <w:sz w:val="24"/>
          <w:szCs w:val="24"/>
        </w:rPr>
        <w:t xml:space="preserve">TERCERO. </w:t>
      </w:r>
      <w:bookmarkEnd w:id="69"/>
      <w:bookmarkEnd w:id="70"/>
      <w:bookmarkEnd w:id="71"/>
      <w:bookmarkEnd w:id="72"/>
      <w:r w:rsidRPr="00AF7742">
        <w:rPr>
          <w:rFonts w:ascii="Palatino Linotype" w:hAnsi="Palatino Linotype"/>
          <w:b/>
          <w:color w:val="000000" w:themeColor="text1"/>
          <w:sz w:val="24"/>
          <w:szCs w:val="24"/>
        </w:rPr>
        <w:t>Del planteamiento de la</w:t>
      </w:r>
      <w:r w:rsidRPr="00AF7742">
        <w:rPr>
          <w:rFonts w:ascii="Palatino Linotype" w:hAnsi="Palatino Linotype"/>
          <w:b/>
          <w:i/>
          <w:color w:val="000000" w:themeColor="text1"/>
          <w:sz w:val="24"/>
          <w:szCs w:val="24"/>
        </w:rPr>
        <w:t xml:space="preserve"> Litis</w:t>
      </w:r>
    </w:p>
    <w:p w14:paraId="3078336C" w14:textId="77777777" w:rsidR="00947C3B" w:rsidRPr="00AF7742" w:rsidRDefault="00947C3B" w:rsidP="00A42539">
      <w:pPr>
        <w:spacing w:line="360" w:lineRule="auto"/>
        <w:rPr>
          <w:rFonts w:ascii="Palatino Linotype" w:hAnsi="Palatino Linotype"/>
          <w:lang w:val="es-MX" w:eastAsia="en-US"/>
        </w:rPr>
      </w:pPr>
    </w:p>
    <w:p w14:paraId="0E599386" w14:textId="3EB1C0D1" w:rsidR="00947C3B" w:rsidRPr="00AF7742" w:rsidRDefault="00947C3B" w:rsidP="0029711F">
      <w:pPr>
        <w:numPr>
          <w:ilvl w:val="0"/>
          <w:numId w:val="1"/>
        </w:numPr>
        <w:spacing w:line="360" w:lineRule="auto"/>
        <w:ind w:left="0" w:firstLine="0"/>
        <w:contextualSpacing/>
        <w:jc w:val="both"/>
        <w:rPr>
          <w:rFonts w:ascii="Palatino Linotype" w:hAnsi="Palatino Linotype" w:cs="Arial"/>
        </w:rPr>
      </w:pPr>
      <w:r w:rsidRPr="00AF7742">
        <w:rPr>
          <w:rFonts w:ascii="Palatino Linotype" w:hAnsi="Palatino Linotype" w:cs="Arial"/>
        </w:rPr>
        <w:t xml:space="preserve">Se </w:t>
      </w:r>
      <w:r w:rsidRPr="00AF7742">
        <w:rPr>
          <w:rFonts w:ascii="Palatino Linotype" w:eastAsia="Calibri" w:hAnsi="Palatino Linotype" w:cs="Arial"/>
        </w:rPr>
        <w:t>solicitó</w:t>
      </w:r>
      <w:r w:rsidRPr="00AF7742">
        <w:rPr>
          <w:rFonts w:ascii="Palatino Linotype" w:hAnsi="Palatino Linotype" w:cs="Arial"/>
        </w:rPr>
        <w:t xml:space="preserve"> tener acceso, a la información que a continuación se desagrega</w:t>
      </w:r>
      <w:r w:rsidR="004A3774" w:rsidRPr="00AF7742">
        <w:rPr>
          <w:rFonts w:ascii="Palatino Linotype" w:hAnsi="Palatino Linotype" w:cs="Arial"/>
        </w:rPr>
        <w:t xml:space="preserve"> de</w:t>
      </w:r>
      <w:r w:rsidR="0029711F" w:rsidRPr="00AF7742">
        <w:rPr>
          <w:rFonts w:ascii="Palatino Linotype" w:hAnsi="Palatino Linotype" w:cs="Arial"/>
        </w:rPr>
        <w:t xml:space="preserve"> las CC. Berenice Biffano Rodríguez; Karen Azucena Ramírez Silva; y, Valentina Reséndiz Tovar:</w:t>
      </w:r>
    </w:p>
    <w:p w14:paraId="28B60B43" w14:textId="77777777" w:rsidR="003B2BC8" w:rsidRPr="00AF7742" w:rsidRDefault="003B2BC8" w:rsidP="00A42539">
      <w:pPr>
        <w:pStyle w:val="Prrafodelista"/>
        <w:spacing w:line="360" w:lineRule="auto"/>
        <w:ind w:left="0"/>
        <w:jc w:val="both"/>
        <w:rPr>
          <w:rFonts w:ascii="Palatino Linotype" w:hAnsi="Palatino Linotype" w:cs="Arial"/>
        </w:rPr>
      </w:pPr>
    </w:p>
    <w:p w14:paraId="6B1A4730" w14:textId="2B7A88B3" w:rsidR="0029711F" w:rsidRPr="00AF7742" w:rsidRDefault="0029711F" w:rsidP="0029711F">
      <w:pPr>
        <w:pStyle w:val="Prrafodelista"/>
        <w:numPr>
          <w:ilvl w:val="0"/>
          <w:numId w:val="3"/>
        </w:numPr>
        <w:spacing w:line="360" w:lineRule="auto"/>
        <w:jc w:val="both"/>
        <w:rPr>
          <w:rFonts w:ascii="Palatino Linotype" w:hAnsi="Palatino Linotype" w:cs="Arial"/>
        </w:rPr>
      </w:pPr>
      <w:r w:rsidRPr="00AF7742">
        <w:rPr>
          <w:rFonts w:ascii="Palatino Linotype" w:hAnsi="Palatino Linotype" w:cs="Arial"/>
        </w:rPr>
        <w:t>Curriculum vitae</w:t>
      </w:r>
      <w:r w:rsidR="005F3222" w:rsidRPr="00AF7742">
        <w:rPr>
          <w:rFonts w:ascii="Palatino Linotype" w:hAnsi="Palatino Linotype" w:cs="Arial"/>
        </w:rPr>
        <w:t>;</w:t>
      </w:r>
    </w:p>
    <w:p w14:paraId="5C570421" w14:textId="16DB0FC6" w:rsidR="0029711F" w:rsidRPr="00AF7742" w:rsidRDefault="0029711F" w:rsidP="0029711F">
      <w:pPr>
        <w:pStyle w:val="Prrafodelista"/>
        <w:numPr>
          <w:ilvl w:val="0"/>
          <w:numId w:val="3"/>
        </w:numPr>
        <w:spacing w:line="360" w:lineRule="auto"/>
        <w:jc w:val="both"/>
        <w:rPr>
          <w:rFonts w:ascii="Palatino Linotype" w:hAnsi="Palatino Linotype" w:cs="Arial"/>
        </w:rPr>
      </w:pPr>
      <w:r w:rsidRPr="00AF7742">
        <w:rPr>
          <w:rFonts w:ascii="Palatino Linotype" w:hAnsi="Palatino Linotype" w:cs="Arial"/>
        </w:rPr>
        <w:t>Formato Único de Movimientos de Personal (FUMP)</w:t>
      </w:r>
      <w:r w:rsidR="005F3222" w:rsidRPr="00AF7742">
        <w:rPr>
          <w:rFonts w:ascii="Palatino Linotype" w:hAnsi="Palatino Linotype" w:cs="Arial"/>
        </w:rPr>
        <w:t>;</w:t>
      </w:r>
    </w:p>
    <w:p w14:paraId="4083E58E" w14:textId="232DB49E" w:rsidR="0029711F" w:rsidRPr="00AF7742" w:rsidRDefault="0029711F" w:rsidP="0029711F">
      <w:pPr>
        <w:pStyle w:val="Prrafodelista"/>
        <w:numPr>
          <w:ilvl w:val="0"/>
          <w:numId w:val="3"/>
        </w:numPr>
        <w:spacing w:line="360" w:lineRule="auto"/>
        <w:jc w:val="both"/>
        <w:rPr>
          <w:rFonts w:ascii="Palatino Linotype" w:hAnsi="Palatino Linotype" w:cs="Arial"/>
        </w:rPr>
      </w:pPr>
      <w:r w:rsidRPr="00AF7742">
        <w:rPr>
          <w:rFonts w:ascii="Palatino Linotype" w:hAnsi="Palatino Linotype" w:cs="Arial"/>
        </w:rPr>
        <w:t>Actas administrativas por faltas no graves o graves;</w:t>
      </w:r>
      <w:r w:rsidR="005F3222" w:rsidRPr="00AF7742">
        <w:rPr>
          <w:rFonts w:ascii="Palatino Linotype" w:hAnsi="Palatino Linotype" w:cs="Arial"/>
        </w:rPr>
        <w:t xml:space="preserve"> y</w:t>
      </w:r>
    </w:p>
    <w:p w14:paraId="7809A2B0" w14:textId="0DFFDAD3" w:rsidR="0029711F" w:rsidRPr="00AF7742" w:rsidRDefault="0029711F" w:rsidP="0029711F">
      <w:pPr>
        <w:pStyle w:val="Prrafodelista"/>
        <w:numPr>
          <w:ilvl w:val="0"/>
          <w:numId w:val="3"/>
        </w:numPr>
        <w:spacing w:line="360" w:lineRule="auto"/>
        <w:jc w:val="both"/>
        <w:rPr>
          <w:rFonts w:ascii="Palatino Linotype" w:hAnsi="Palatino Linotype" w:cs="Arial"/>
        </w:rPr>
      </w:pPr>
      <w:r w:rsidRPr="00AF7742">
        <w:rPr>
          <w:rFonts w:ascii="Palatino Linotype" w:hAnsi="Palatino Linotype" w:cs="Arial"/>
        </w:rPr>
        <w:t>Tiempo que llevan laborando a la fecha</w:t>
      </w:r>
      <w:r w:rsidR="005F3222" w:rsidRPr="00AF7742">
        <w:rPr>
          <w:rFonts w:ascii="Palatino Linotype" w:hAnsi="Palatino Linotype" w:cs="Arial"/>
        </w:rPr>
        <w:t xml:space="preserve"> de presentación de la solicitud de información.</w:t>
      </w:r>
    </w:p>
    <w:p w14:paraId="44DBF4D8" w14:textId="77777777" w:rsidR="0029711F" w:rsidRPr="00AF7742" w:rsidRDefault="0029711F" w:rsidP="00A42539">
      <w:pPr>
        <w:pStyle w:val="Prrafodelista"/>
        <w:spacing w:line="360" w:lineRule="auto"/>
        <w:ind w:left="993"/>
        <w:jc w:val="both"/>
        <w:rPr>
          <w:rFonts w:ascii="Palatino Linotype" w:hAnsi="Palatino Linotype" w:cs="Arial"/>
          <w:b/>
        </w:rPr>
      </w:pPr>
    </w:p>
    <w:p w14:paraId="08D07717" w14:textId="14D2D4BA" w:rsidR="00947C3B" w:rsidRPr="00AF7742" w:rsidRDefault="00947C3B" w:rsidP="00A42539">
      <w:pPr>
        <w:numPr>
          <w:ilvl w:val="0"/>
          <w:numId w:val="1"/>
        </w:numPr>
        <w:spacing w:line="360" w:lineRule="auto"/>
        <w:ind w:left="0" w:firstLine="0"/>
        <w:contextualSpacing/>
        <w:jc w:val="both"/>
        <w:rPr>
          <w:rFonts w:ascii="Palatino Linotype" w:eastAsia="MS Mincho" w:hAnsi="Palatino Linotype" w:cs="Arial"/>
        </w:rPr>
      </w:pPr>
      <w:r w:rsidRPr="00AF7742">
        <w:rPr>
          <w:rFonts w:ascii="Palatino Linotype" w:hAnsi="Palatino Linotype" w:cs="Arial"/>
        </w:rPr>
        <w:lastRenderedPageBreak/>
        <w:t xml:space="preserve">En respuesta, el </w:t>
      </w:r>
      <w:r w:rsidRPr="00AF7742">
        <w:rPr>
          <w:rFonts w:ascii="Palatino Linotype" w:hAnsi="Palatino Linotype" w:cs="Arial"/>
          <w:b/>
        </w:rPr>
        <w:t xml:space="preserve">SUJETO OBLIGADO </w:t>
      </w:r>
      <w:r w:rsidR="007B20F5" w:rsidRPr="00AF7742">
        <w:rPr>
          <w:rFonts w:ascii="Palatino Linotype" w:hAnsi="Palatino Linotype" w:cs="Arial"/>
        </w:rPr>
        <w:t xml:space="preserve">remitió </w:t>
      </w:r>
      <w:r w:rsidR="000550ED" w:rsidRPr="00AF7742">
        <w:rPr>
          <w:rFonts w:ascii="Palatino Linotype" w:hAnsi="Palatino Linotype" w:cs="Arial"/>
        </w:rPr>
        <w:t>e</w:t>
      </w:r>
      <w:r w:rsidR="00822FD3" w:rsidRPr="00AF7742">
        <w:rPr>
          <w:rFonts w:ascii="Palatino Linotype" w:hAnsi="Palatino Linotype" w:cs="Arial"/>
        </w:rPr>
        <w:t>l</w:t>
      </w:r>
      <w:r w:rsidR="003C7116" w:rsidRPr="00AF7742">
        <w:rPr>
          <w:rFonts w:ascii="Palatino Linotype" w:hAnsi="Palatino Linotype" w:cs="Arial"/>
        </w:rPr>
        <w:t xml:space="preserve"> archivo</w:t>
      </w:r>
      <w:r w:rsidR="00CF045D" w:rsidRPr="00AF7742">
        <w:rPr>
          <w:rFonts w:ascii="Palatino Linotype" w:hAnsi="Palatino Linotype" w:cs="Arial"/>
        </w:rPr>
        <w:t xml:space="preserve"> ya descrito</w:t>
      </w:r>
      <w:r w:rsidR="00B77121" w:rsidRPr="00AF7742">
        <w:rPr>
          <w:rFonts w:ascii="Palatino Linotype" w:hAnsi="Palatino Linotype" w:cs="Arial"/>
        </w:rPr>
        <w:t xml:space="preserve"> en el </w:t>
      </w:r>
      <w:r w:rsidR="00B77121" w:rsidRPr="00AF7742">
        <w:rPr>
          <w:rFonts w:ascii="Palatino Linotype" w:eastAsia="Calibri" w:hAnsi="Palatino Linotype" w:cs="Arial"/>
        </w:rPr>
        <w:t>anterior</w:t>
      </w:r>
      <w:r w:rsidR="00B77121" w:rsidRPr="00AF7742">
        <w:rPr>
          <w:rFonts w:ascii="Palatino Linotype" w:hAnsi="Palatino Linotype" w:cs="Arial"/>
        </w:rPr>
        <w:t xml:space="preserve"> Párrafo 2; n</w:t>
      </w:r>
      <w:r w:rsidR="008A7A76" w:rsidRPr="00AF7742">
        <w:rPr>
          <w:rFonts w:ascii="Palatino Linotype" w:eastAsia="MS Mincho" w:hAnsi="Palatino Linotype" w:cs="Arial"/>
        </w:rPr>
        <w:t>o obstante el particular se inconform</w:t>
      </w:r>
      <w:r w:rsidR="003C7116" w:rsidRPr="00AF7742">
        <w:rPr>
          <w:rFonts w:ascii="Palatino Linotype" w:eastAsia="MS Mincho" w:hAnsi="Palatino Linotype" w:cs="Arial"/>
        </w:rPr>
        <w:t>ó</w:t>
      </w:r>
      <w:r w:rsidR="000E6238" w:rsidRPr="00AF7742">
        <w:rPr>
          <w:rFonts w:ascii="Palatino Linotype" w:eastAsia="MS Mincho" w:hAnsi="Palatino Linotype" w:cs="Arial"/>
        </w:rPr>
        <w:t xml:space="preserve">, </w:t>
      </w:r>
      <w:r w:rsidR="003C7116" w:rsidRPr="00AF7742">
        <w:rPr>
          <w:rFonts w:ascii="Palatino Linotype" w:eastAsia="MS Mincho" w:hAnsi="Palatino Linotype" w:cs="Arial"/>
        </w:rPr>
        <w:t xml:space="preserve">por </w:t>
      </w:r>
      <w:r w:rsidR="007A56A3" w:rsidRPr="00AF7742">
        <w:rPr>
          <w:rFonts w:ascii="Palatino Linotype" w:eastAsia="MS Mincho" w:hAnsi="Palatino Linotype" w:cs="Arial"/>
        </w:rPr>
        <w:t>el cambio de modalidad de entrega de la información</w:t>
      </w:r>
      <w:r w:rsidR="000E6238" w:rsidRPr="00AF7742">
        <w:rPr>
          <w:rFonts w:ascii="Palatino Linotype" w:eastAsia="MS Mincho" w:hAnsi="Palatino Linotype" w:cs="Arial"/>
        </w:rPr>
        <w:t>; e</w:t>
      </w:r>
      <w:r w:rsidRPr="00AF7742">
        <w:rPr>
          <w:rFonts w:ascii="Palatino Linotype" w:eastAsia="MS Mincho" w:hAnsi="Palatino Linotype" w:cs="Arial"/>
        </w:rPr>
        <w:t xml:space="preserve">n </w:t>
      </w:r>
      <w:r w:rsidRPr="00AF7742">
        <w:rPr>
          <w:rFonts w:ascii="Palatino Linotype" w:hAnsi="Palatino Linotype" w:cs="Arial"/>
          <w:lang w:eastAsia="es-MX"/>
        </w:rPr>
        <w:t>dichas</w:t>
      </w:r>
      <w:r w:rsidRPr="00AF7742">
        <w:rPr>
          <w:rFonts w:ascii="Palatino Linotype" w:eastAsia="Times New Roman" w:hAnsi="Palatino Linotype" w:cs="Arial"/>
        </w:rPr>
        <w:t xml:space="preserve"> condiciones, la </w:t>
      </w:r>
      <w:r w:rsidRPr="00AF7742">
        <w:rPr>
          <w:rFonts w:ascii="Palatino Linotype" w:eastAsia="Times New Roman" w:hAnsi="Palatino Linotype" w:cs="Arial"/>
          <w:i/>
        </w:rPr>
        <w:t>Litis</w:t>
      </w:r>
      <w:r w:rsidR="003C4C55" w:rsidRPr="00AF7742">
        <w:rPr>
          <w:rFonts w:ascii="Palatino Linotype" w:eastAsia="Times New Roman" w:hAnsi="Palatino Linotype" w:cs="Arial"/>
        </w:rPr>
        <w:t xml:space="preserve"> a resolver en el</w:t>
      </w:r>
      <w:r w:rsidR="000550ED" w:rsidRPr="00AF7742">
        <w:rPr>
          <w:rFonts w:ascii="Palatino Linotype" w:eastAsia="Times New Roman" w:hAnsi="Palatino Linotype" w:cs="Arial"/>
        </w:rPr>
        <w:t xml:space="preserve"> R</w:t>
      </w:r>
      <w:r w:rsidRPr="00AF7742">
        <w:rPr>
          <w:rFonts w:ascii="Palatino Linotype" w:eastAsia="Times New Roman" w:hAnsi="Palatino Linotype" w:cs="Arial"/>
        </w:rPr>
        <w:t>ecurso</w:t>
      </w:r>
      <w:r w:rsidR="000550ED" w:rsidRPr="00AF7742">
        <w:rPr>
          <w:rFonts w:ascii="Palatino Linotype" w:eastAsia="Times New Roman" w:hAnsi="Palatino Linotype" w:cs="Arial"/>
        </w:rPr>
        <w:t xml:space="preserve"> de R</w:t>
      </w:r>
      <w:r w:rsidR="003C4C55" w:rsidRPr="00AF7742">
        <w:rPr>
          <w:rFonts w:ascii="Palatino Linotype" w:eastAsia="Times New Roman" w:hAnsi="Palatino Linotype" w:cs="Arial"/>
        </w:rPr>
        <w:t>evisión</w:t>
      </w:r>
      <w:r w:rsidRPr="00AF7742">
        <w:rPr>
          <w:rFonts w:ascii="Palatino Linotype" w:eastAsia="Times New Roman" w:hAnsi="Palatino Linotype" w:cs="Arial"/>
        </w:rPr>
        <w:t xml:space="preserve"> se circunscribe a determinar si </w:t>
      </w:r>
      <w:r w:rsidRPr="00AF7742">
        <w:rPr>
          <w:rFonts w:ascii="Palatino Linotype" w:hAnsi="Palatino Linotype" w:cs="Arial"/>
        </w:rPr>
        <w:t>se</w:t>
      </w:r>
      <w:r w:rsidRPr="00AF7742">
        <w:rPr>
          <w:rFonts w:ascii="Palatino Linotype" w:eastAsia="MS Mincho" w:hAnsi="Palatino Linotype" w:cs="Arial"/>
        </w:rPr>
        <w:t xml:space="preserve"> actualiza la </w:t>
      </w:r>
      <w:r w:rsidR="00822FD3" w:rsidRPr="00AF7742">
        <w:rPr>
          <w:rFonts w:ascii="Palatino Linotype" w:eastAsia="MS Mincho" w:hAnsi="Palatino Linotype" w:cs="Arial"/>
        </w:rPr>
        <w:t>causal</w:t>
      </w:r>
      <w:r w:rsidRPr="00AF7742">
        <w:rPr>
          <w:rFonts w:ascii="Palatino Linotype" w:eastAsia="MS Mincho" w:hAnsi="Palatino Linotype" w:cs="Arial"/>
        </w:rPr>
        <w:t xml:space="preserve"> de procedencia prevista en el artículo 179, </w:t>
      </w:r>
      <w:r w:rsidR="00822FD3" w:rsidRPr="00AF7742">
        <w:rPr>
          <w:rFonts w:ascii="Palatino Linotype" w:eastAsia="MS Mincho" w:hAnsi="Palatino Linotype" w:cs="Arial"/>
          <w:b/>
        </w:rPr>
        <w:t>fracción</w:t>
      </w:r>
      <w:r w:rsidRPr="00AF7742">
        <w:rPr>
          <w:rFonts w:ascii="Palatino Linotype" w:eastAsia="MS Mincho" w:hAnsi="Palatino Linotype" w:cs="Arial"/>
          <w:b/>
        </w:rPr>
        <w:t xml:space="preserve"> </w:t>
      </w:r>
      <w:r w:rsidR="0029711F" w:rsidRPr="00AF7742">
        <w:rPr>
          <w:rFonts w:ascii="Palatino Linotype" w:eastAsia="MS Mincho" w:hAnsi="Palatino Linotype" w:cs="Arial"/>
          <w:b/>
        </w:rPr>
        <w:t>V</w:t>
      </w:r>
      <w:r w:rsidR="00887A07" w:rsidRPr="00AF7742">
        <w:rPr>
          <w:rFonts w:ascii="Palatino Linotype" w:eastAsia="MS Mincho" w:hAnsi="Palatino Linotype" w:cs="Arial"/>
          <w:b/>
        </w:rPr>
        <w:t xml:space="preserve"> </w:t>
      </w:r>
      <w:r w:rsidRPr="00AF7742">
        <w:rPr>
          <w:rFonts w:ascii="Palatino Linotype" w:eastAsia="MS Mincho" w:hAnsi="Palatino Linotype" w:cs="Arial"/>
        </w:rPr>
        <w:t xml:space="preserve">de la </w:t>
      </w:r>
      <w:r w:rsidRPr="00AF7742">
        <w:rPr>
          <w:rFonts w:ascii="Palatino Linotype" w:eastAsia="MS Mincho" w:hAnsi="Palatino Linotype" w:cs="Arial"/>
          <w:b/>
        </w:rPr>
        <w:t xml:space="preserve">Ley de </w:t>
      </w:r>
      <w:r w:rsidRPr="00AF7742">
        <w:rPr>
          <w:rFonts w:ascii="Palatino Linotype" w:eastAsia="Times New Roman" w:hAnsi="Palatino Linotype" w:cs="Arial"/>
          <w:color w:val="000000" w:themeColor="text1"/>
          <w:lang w:val="es-ES" w:eastAsia="es-MX"/>
        </w:rPr>
        <w:t>Transparencia</w:t>
      </w:r>
      <w:r w:rsidRPr="00AF7742">
        <w:rPr>
          <w:rFonts w:ascii="Palatino Linotype" w:eastAsia="MS Mincho" w:hAnsi="Palatino Linotype" w:cs="Arial"/>
          <w:b/>
        </w:rPr>
        <w:t xml:space="preserve"> y Acceso a la Información Pública del Estado de México y Municipios</w:t>
      </w:r>
      <w:r w:rsidRPr="00AF7742">
        <w:rPr>
          <w:rFonts w:ascii="Palatino Linotype" w:eastAsia="MS Mincho" w:hAnsi="Palatino Linotype" w:cs="Arial"/>
        </w:rPr>
        <w:t xml:space="preserve">; </w:t>
      </w:r>
      <w:r w:rsidR="008A5B46" w:rsidRPr="00AF7742">
        <w:rPr>
          <w:rFonts w:ascii="Palatino Linotype" w:eastAsia="Times New Roman" w:hAnsi="Palatino Linotype" w:cs="Arial"/>
          <w:color w:val="000000" w:themeColor="text1"/>
          <w:lang w:val="es-ES" w:eastAsia="es-MX"/>
        </w:rPr>
        <w:t>fracción</w:t>
      </w:r>
      <w:r w:rsidRPr="00AF7742">
        <w:rPr>
          <w:rFonts w:ascii="Palatino Linotype" w:eastAsia="Times New Roman" w:hAnsi="Palatino Linotype" w:cs="Arial"/>
          <w:color w:val="000000" w:themeColor="text1"/>
          <w:lang w:val="es-ES" w:eastAsia="es-MX"/>
        </w:rPr>
        <w:t xml:space="preserve"> que</w:t>
      </w:r>
      <w:r w:rsidR="00E0091E" w:rsidRPr="00AF7742">
        <w:rPr>
          <w:rFonts w:ascii="Palatino Linotype" w:eastAsia="Times New Roman" w:hAnsi="Palatino Linotype" w:cs="Arial"/>
          <w:color w:val="000000" w:themeColor="text1"/>
          <w:lang w:val="es-ES" w:eastAsia="es-MX"/>
        </w:rPr>
        <w:t xml:space="preserve"> determina la</w:t>
      </w:r>
      <w:r w:rsidRPr="00AF7742">
        <w:rPr>
          <w:rFonts w:ascii="Palatino Linotype" w:eastAsia="Times New Roman" w:hAnsi="Palatino Linotype" w:cs="Arial"/>
          <w:color w:val="000000" w:themeColor="text1"/>
          <w:lang w:val="es-ES" w:eastAsia="es-MX"/>
        </w:rPr>
        <w:t xml:space="preserve"> hipótesis jurídica relativa a </w:t>
      </w:r>
      <w:r w:rsidR="00E0091E" w:rsidRPr="00AF7742">
        <w:rPr>
          <w:rFonts w:ascii="Palatino Linotype" w:eastAsia="Times New Roman" w:hAnsi="Palatino Linotype" w:cs="Arial"/>
          <w:color w:val="000000" w:themeColor="text1"/>
          <w:lang w:val="es-ES" w:eastAsia="es-MX"/>
        </w:rPr>
        <w:t>la</w:t>
      </w:r>
      <w:r w:rsidR="00822FD3" w:rsidRPr="00AF7742">
        <w:rPr>
          <w:rFonts w:ascii="Palatino Linotype" w:eastAsia="Times New Roman" w:hAnsi="Palatino Linotype" w:cs="Arial"/>
          <w:color w:val="000000" w:themeColor="text1"/>
          <w:lang w:val="es-ES" w:eastAsia="es-MX"/>
        </w:rPr>
        <w:t xml:space="preserve"> </w:t>
      </w:r>
      <w:r w:rsidR="00A4189D" w:rsidRPr="00AF7742">
        <w:rPr>
          <w:rFonts w:ascii="Palatino Linotype" w:eastAsia="Times New Roman" w:hAnsi="Palatino Linotype" w:cs="Arial"/>
          <w:color w:val="000000" w:themeColor="text1"/>
          <w:lang w:val="es-ES" w:eastAsia="es-MX"/>
        </w:rPr>
        <w:t xml:space="preserve">entrega </w:t>
      </w:r>
      <w:r w:rsidR="0029711F" w:rsidRPr="00AF7742">
        <w:rPr>
          <w:rFonts w:ascii="Palatino Linotype" w:eastAsia="Times New Roman" w:hAnsi="Palatino Linotype" w:cs="Arial"/>
          <w:color w:val="000000" w:themeColor="text1"/>
          <w:lang w:val="es-ES" w:eastAsia="es-MX"/>
        </w:rPr>
        <w:t>de información incompleta</w:t>
      </w:r>
      <w:r w:rsidR="00E0091E" w:rsidRPr="00AF7742">
        <w:rPr>
          <w:rFonts w:ascii="Palatino Linotype" w:eastAsia="Times New Roman" w:hAnsi="Palatino Linotype" w:cs="Arial"/>
          <w:color w:val="000000" w:themeColor="text1"/>
          <w:lang w:val="es-ES" w:eastAsia="es-MX"/>
        </w:rPr>
        <w:t>;</w:t>
      </w:r>
      <w:r w:rsidRPr="00AF7742">
        <w:rPr>
          <w:rFonts w:ascii="Palatino Linotype" w:eastAsia="Times New Roman" w:hAnsi="Palatino Linotype" w:cs="Arial"/>
          <w:color w:val="000000" w:themeColor="text1"/>
          <w:lang w:val="es-ES" w:eastAsia="es-MX"/>
        </w:rPr>
        <w:t xml:space="preserve"> </w:t>
      </w:r>
      <w:r w:rsidRPr="00AF7742">
        <w:rPr>
          <w:rFonts w:ascii="Palatino Linotype" w:eastAsia="MS Mincho" w:hAnsi="Palatino Linotype" w:cs="Arial"/>
        </w:rPr>
        <w:t xml:space="preserve">contexto del cual se dolió </w:t>
      </w:r>
      <w:r w:rsidR="00C862A5" w:rsidRPr="00AF7742">
        <w:rPr>
          <w:rFonts w:ascii="Palatino Linotype" w:eastAsia="MS Mincho" w:hAnsi="Palatino Linotype" w:cs="Arial"/>
          <w:b/>
        </w:rPr>
        <w:t>EL RECURRENTE</w:t>
      </w:r>
      <w:r w:rsidRPr="00AF7742">
        <w:rPr>
          <w:rFonts w:ascii="Palatino Linotype" w:eastAsia="MS Mincho" w:hAnsi="Palatino Linotype" w:cs="Arial"/>
          <w:b/>
        </w:rPr>
        <w:t xml:space="preserve"> </w:t>
      </w:r>
      <w:r w:rsidRPr="00AF7742">
        <w:rPr>
          <w:rFonts w:ascii="Palatino Linotype" w:eastAsia="MS Mincho" w:hAnsi="Palatino Linotype" w:cs="Arial"/>
        </w:rPr>
        <w:t>al momento de interponer su inconformidad.</w:t>
      </w:r>
      <w:r w:rsidRPr="00AF7742">
        <w:rPr>
          <w:rFonts w:ascii="Palatino Linotype" w:eastAsia="Times New Roman" w:hAnsi="Palatino Linotype" w:cs="Arial"/>
          <w:color w:val="000000" w:themeColor="text1"/>
          <w:lang w:val="es-ES" w:eastAsia="es-MX"/>
        </w:rPr>
        <w:t xml:space="preserve"> </w:t>
      </w:r>
    </w:p>
    <w:p w14:paraId="40755C56" w14:textId="77777777" w:rsidR="00947C3B" w:rsidRPr="00AF7742" w:rsidRDefault="00947C3B" w:rsidP="00A42539">
      <w:pPr>
        <w:pStyle w:val="Prrafodelista"/>
        <w:spacing w:line="360" w:lineRule="auto"/>
        <w:rPr>
          <w:rFonts w:ascii="Palatino Linotype" w:eastAsia="Times New Roman" w:hAnsi="Palatino Linotype" w:cs="Arial"/>
          <w:color w:val="000000" w:themeColor="text1"/>
          <w:lang w:val="es-ES" w:eastAsia="es-MX"/>
        </w:rPr>
      </w:pPr>
    </w:p>
    <w:p w14:paraId="716424CF" w14:textId="394C59EC" w:rsidR="00947C3B" w:rsidRPr="00AF7742" w:rsidRDefault="00947C3B" w:rsidP="00A42539">
      <w:pPr>
        <w:numPr>
          <w:ilvl w:val="0"/>
          <w:numId w:val="1"/>
        </w:numPr>
        <w:spacing w:line="360" w:lineRule="auto"/>
        <w:ind w:left="0" w:firstLine="0"/>
        <w:contextualSpacing/>
        <w:jc w:val="both"/>
        <w:rPr>
          <w:rFonts w:ascii="Palatino Linotype" w:eastAsia="MS Mincho" w:hAnsi="Palatino Linotype" w:cs="Arial"/>
        </w:rPr>
      </w:pPr>
      <w:r w:rsidRPr="00AF7742">
        <w:rPr>
          <w:rFonts w:ascii="Palatino Linotype" w:eastAsia="Times New Roman" w:hAnsi="Palatino Linotype" w:cs="Arial"/>
          <w:color w:val="000000" w:themeColor="text1"/>
          <w:lang w:val="es-ES" w:eastAsia="es-MX"/>
        </w:rPr>
        <w:t xml:space="preserve">De modo tal </w:t>
      </w:r>
      <w:r w:rsidRPr="00AF7742">
        <w:rPr>
          <w:rFonts w:ascii="Palatino Linotype" w:hAnsi="Palatino Linotype" w:cs="Arial"/>
          <w:color w:val="000000" w:themeColor="text1"/>
        </w:rPr>
        <w:t xml:space="preserve">que el presente </w:t>
      </w:r>
      <w:r w:rsidR="00A4189D" w:rsidRPr="00AF7742">
        <w:rPr>
          <w:rFonts w:ascii="Palatino Linotype" w:hAnsi="Palatino Linotype" w:cs="Arial"/>
          <w:color w:val="000000" w:themeColor="text1"/>
        </w:rPr>
        <w:t>Recurso de R</w:t>
      </w:r>
      <w:r w:rsidRPr="00AF7742">
        <w:rPr>
          <w:rFonts w:ascii="Palatino Linotype" w:hAnsi="Palatino Linotype" w:cs="Arial"/>
          <w:color w:val="000000" w:themeColor="text1"/>
        </w:rPr>
        <w:t xml:space="preserve">evisión se abocara en determinar si el </w:t>
      </w:r>
      <w:r w:rsidRPr="00AF7742">
        <w:rPr>
          <w:rFonts w:ascii="Palatino Linotype" w:hAnsi="Palatino Linotype" w:cs="Arial"/>
          <w:b/>
          <w:color w:val="000000" w:themeColor="text1"/>
        </w:rPr>
        <w:t>SUJETO</w:t>
      </w:r>
      <w:r w:rsidRPr="00AF7742">
        <w:rPr>
          <w:rFonts w:ascii="Palatino Linotype" w:hAnsi="Palatino Linotype" w:cs="Arial"/>
          <w:color w:val="000000" w:themeColor="text1"/>
        </w:rPr>
        <w:t xml:space="preserve"> </w:t>
      </w:r>
      <w:r w:rsidRPr="00AF7742">
        <w:rPr>
          <w:rFonts w:ascii="Palatino Linotype" w:hAnsi="Palatino Linotype" w:cs="Arial"/>
          <w:b/>
          <w:color w:val="000000" w:themeColor="text1"/>
        </w:rPr>
        <w:t>OBLIGADO</w:t>
      </w:r>
      <w:r w:rsidRPr="00AF7742">
        <w:rPr>
          <w:rFonts w:ascii="Palatino Linotype" w:hAnsi="Palatino Linotype" w:cs="Arial"/>
          <w:color w:val="000000" w:themeColor="text1"/>
        </w:rPr>
        <w:t xml:space="preserve"> con su respuesta ciertamente </w:t>
      </w:r>
      <w:r w:rsidRPr="00AF7742">
        <w:rPr>
          <w:rFonts w:ascii="Palatino Linotype" w:eastAsia="Times New Roman" w:hAnsi="Palatino Linotype"/>
          <w:color w:val="000000" w:themeColor="text1"/>
        </w:rPr>
        <w:t>actualiza la</w:t>
      </w:r>
      <w:r w:rsidR="008A5B46" w:rsidRPr="00AF7742">
        <w:rPr>
          <w:rFonts w:ascii="Palatino Linotype" w:eastAsia="Times New Roman" w:hAnsi="Palatino Linotype"/>
          <w:color w:val="000000" w:themeColor="text1"/>
        </w:rPr>
        <w:t xml:space="preserve"> causal</w:t>
      </w:r>
      <w:r w:rsidRPr="00AF7742">
        <w:rPr>
          <w:rFonts w:ascii="Palatino Linotype" w:eastAsia="Times New Roman" w:hAnsi="Palatino Linotype"/>
          <w:color w:val="000000" w:themeColor="text1"/>
        </w:rPr>
        <w:t xml:space="preserve"> de procedencia</w:t>
      </w:r>
      <w:r w:rsidRPr="00AF7742">
        <w:rPr>
          <w:rFonts w:ascii="Palatino Linotype" w:eastAsia="Times New Roman" w:hAnsi="Palatino Linotype"/>
          <w:b/>
          <w:color w:val="000000" w:themeColor="text1"/>
        </w:rPr>
        <w:t xml:space="preserve"> </w:t>
      </w:r>
      <w:r w:rsidR="008A5B46" w:rsidRPr="00AF7742">
        <w:rPr>
          <w:rFonts w:ascii="Palatino Linotype" w:eastAsia="Times New Roman" w:hAnsi="Palatino Linotype" w:cs="Arial"/>
          <w:color w:val="000000" w:themeColor="text1"/>
          <w:lang w:eastAsia="es-MX"/>
        </w:rPr>
        <w:t>antes señalada</w:t>
      </w:r>
      <w:r w:rsidRPr="00AF7742">
        <w:rPr>
          <w:rFonts w:ascii="Palatino Linotype" w:hAnsi="Palatino Linotype" w:cs="Arial"/>
          <w:color w:val="000000" w:themeColor="text1"/>
        </w:rPr>
        <w:t>; asimismo, determinar si se vulnera el derecho de acceso a la información del particular por la inobservancia a los principios contenidos en el artículo 11 de la Ley de Transparencia y Acceso a la Información Pública del Estado de México y Municipios, los cuales señala entre otros, que en la generación y entrega de información se deberá garantizar que sea oportuna, expedita, completa e integral.</w:t>
      </w:r>
    </w:p>
    <w:p w14:paraId="1A685743" w14:textId="77777777" w:rsidR="000E62C2" w:rsidRPr="00AF7742" w:rsidRDefault="000E62C2" w:rsidP="00A42539">
      <w:pPr>
        <w:pStyle w:val="Prrafodelista"/>
        <w:spacing w:line="360" w:lineRule="auto"/>
        <w:rPr>
          <w:rFonts w:ascii="Palatino Linotype" w:eastAsia="MS Mincho" w:hAnsi="Palatino Linotype" w:cs="Arial"/>
        </w:rPr>
      </w:pPr>
    </w:p>
    <w:p w14:paraId="51CABBAB" w14:textId="77777777" w:rsidR="00947C3B" w:rsidRPr="00AF7742" w:rsidRDefault="00947C3B" w:rsidP="00A42539">
      <w:pPr>
        <w:pStyle w:val="Ttulo2"/>
        <w:spacing w:before="0" w:line="360" w:lineRule="auto"/>
        <w:rPr>
          <w:rFonts w:ascii="Palatino Linotype" w:hAnsi="Palatino Linotype"/>
          <w:b/>
          <w:color w:val="000000" w:themeColor="text1"/>
          <w:sz w:val="24"/>
          <w:szCs w:val="24"/>
        </w:rPr>
      </w:pPr>
      <w:r w:rsidRPr="00AF7742">
        <w:rPr>
          <w:rFonts w:ascii="Palatino Linotype" w:hAnsi="Palatino Linotype"/>
          <w:b/>
          <w:color w:val="000000" w:themeColor="text1"/>
          <w:sz w:val="24"/>
          <w:szCs w:val="24"/>
        </w:rPr>
        <w:t>CUARTO. Del estudio y resolución del estudio</w:t>
      </w:r>
    </w:p>
    <w:p w14:paraId="23FA3F75" w14:textId="77777777" w:rsidR="008176E4" w:rsidRPr="00AF7742" w:rsidRDefault="008176E4" w:rsidP="00A42539">
      <w:pPr>
        <w:numPr>
          <w:ilvl w:val="0"/>
          <w:numId w:val="1"/>
        </w:numPr>
        <w:spacing w:line="360" w:lineRule="auto"/>
        <w:ind w:left="0" w:firstLine="0"/>
        <w:contextualSpacing/>
        <w:jc w:val="both"/>
        <w:rPr>
          <w:rFonts w:ascii="Palatino Linotype" w:eastAsia="Palatino Linotype" w:hAnsi="Palatino Linotype" w:cs="Palatino Linotype"/>
        </w:rPr>
      </w:pPr>
      <w:r w:rsidRPr="00AF7742">
        <w:rPr>
          <w:rFonts w:ascii="Palatino Linotype" w:eastAsia="Palatino Linotype" w:hAnsi="Palatino Linotype" w:cs="Palatino Linotype"/>
        </w:rPr>
        <w:t xml:space="preserve">Determinado lo anterior; revisaremos la atención otorgada por el Sujeto Obligado a la solicitud que dio origen a este recurso, considerando imprescindible establecer lo que la regulación determina, por ello, en primer lugar, vamos a revisar lo que mandata nuestra Ley de </w:t>
      </w:r>
      <w:r w:rsidRPr="00AF7742">
        <w:rPr>
          <w:rFonts w:ascii="Palatino Linotype" w:eastAsia="Times New Roman" w:hAnsi="Palatino Linotype" w:cs="Arial"/>
          <w:color w:val="000000" w:themeColor="text1"/>
          <w:lang w:val="es-ES" w:eastAsia="es-MX"/>
        </w:rPr>
        <w:t>Transparencia</w:t>
      </w:r>
      <w:r w:rsidRPr="00AF7742">
        <w:rPr>
          <w:rFonts w:ascii="Palatino Linotype" w:eastAsia="Palatino Linotype" w:hAnsi="Palatino Linotype" w:cs="Palatino Linotype"/>
        </w:rPr>
        <w:t xml:space="preserve"> local, en su artículo 12, el cual establece que quienes generen, recopilen, administren, manejen, procesen, archiven o conserven información pública serán </w:t>
      </w:r>
      <w:r w:rsidRPr="00AF7742">
        <w:rPr>
          <w:rFonts w:ascii="Palatino Linotype" w:eastAsia="Palatino Linotype" w:hAnsi="Palatino Linotype" w:cs="Palatino Linotype"/>
        </w:rPr>
        <w:lastRenderedPageBreak/>
        <w:t>responsables de la misma, del mismo modo, el artículo 18 establece que los Sujetos Obligados deberán documentar todo acto que derive del ejercicio de sus facultades, competencias o funciones desde su origen la eventual publicidad y reutilización de la información que generen.</w:t>
      </w:r>
    </w:p>
    <w:p w14:paraId="52613D7A" w14:textId="77777777" w:rsidR="008176E4" w:rsidRPr="00AF7742" w:rsidRDefault="008176E4" w:rsidP="00A42539">
      <w:pPr>
        <w:spacing w:line="360" w:lineRule="auto"/>
        <w:ind w:right="49"/>
        <w:jc w:val="both"/>
        <w:rPr>
          <w:rFonts w:ascii="Palatino Linotype" w:eastAsia="Palatino Linotype" w:hAnsi="Palatino Linotype" w:cs="Palatino Linotype"/>
        </w:rPr>
      </w:pPr>
    </w:p>
    <w:p w14:paraId="77804037" w14:textId="77777777" w:rsidR="008176E4" w:rsidRPr="00AF7742" w:rsidRDefault="008176E4" w:rsidP="00A42539">
      <w:pPr>
        <w:numPr>
          <w:ilvl w:val="0"/>
          <w:numId w:val="1"/>
        </w:numPr>
        <w:spacing w:line="360" w:lineRule="auto"/>
        <w:ind w:left="0" w:firstLine="0"/>
        <w:contextualSpacing/>
        <w:jc w:val="both"/>
        <w:rPr>
          <w:rFonts w:ascii="Palatino Linotype" w:eastAsia="Palatino Linotype" w:hAnsi="Palatino Linotype" w:cs="Palatino Linotype"/>
        </w:rPr>
      </w:pPr>
      <w:r w:rsidRPr="00AF7742">
        <w:rPr>
          <w:rFonts w:ascii="Palatino Linotype" w:eastAsia="Palatino Linotype" w:hAnsi="Palatino Linotype" w:cs="Palatino Linotype"/>
        </w:rPr>
        <w:t>Asimismo, es relevante mencionar que el artículo 19 del ordenamiento local de la materia señala que se presume que la información debe existir si se refiere a las facultades, competencias y funciones que los ordenamientos jurídicos aplicables otorgan a los sujetos obligados y en caso de que dichas facultades no se hayan ejercido, se deberá motivar la respuesta en función de las causas que motivaron tal circunstancia.</w:t>
      </w:r>
    </w:p>
    <w:p w14:paraId="0E2C8874" w14:textId="77777777" w:rsidR="008176E4" w:rsidRPr="00AF7742" w:rsidRDefault="008176E4" w:rsidP="00A42539">
      <w:pPr>
        <w:pStyle w:val="Prrafodelista"/>
        <w:spacing w:line="360" w:lineRule="auto"/>
        <w:rPr>
          <w:rFonts w:ascii="Palatino Linotype" w:eastAsia="Palatino Linotype" w:hAnsi="Palatino Linotype" w:cs="Palatino Linotype"/>
        </w:rPr>
      </w:pPr>
    </w:p>
    <w:p w14:paraId="768EDD26" w14:textId="0740E9A9" w:rsidR="005F346E" w:rsidRPr="00AF7742" w:rsidRDefault="008176E4" w:rsidP="00A42539">
      <w:pPr>
        <w:numPr>
          <w:ilvl w:val="0"/>
          <w:numId w:val="1"/>
        </w:numPr>
        <w:spacing w:line="360" w:lineRule="auto"/>
        <w:ind w:left="0" w:firstLine="0"/>
        <w:contextualSpacing/>
        <w:jc w:val="both"/>
        <w:rPr>
          <w:rFonts w:ascii="Palatino Linotype" w:eastAsia="Palatino Linotype" w:hAnsi="Palatino Linotype" w:cs="Palatino Linotype"/>
        </w:rPr>
      </w:pPr>
      <w:r w:rsidRPr="00AF7742">
        <w:rPr>
          <w:rFonts w:ascii="Palatino Linotype" w:eastAsia="Palatino Linotype" w:hAnsi="Palatino Linotype" w:cs="Palatino Linotype"/>
        </w:rPr>
        <w:t>Los artículos antes citados, refieren que el derecho de acceso a la información pública es un derecho humano que abarca el solicitar, investigar, difundir y buscar información que se encuentre en los archivos de los sujetos obligados, ya sea porque estos las generaron o la poseen en atención a sus funciones, por lo que se le considera un bien común de dominio público, toda vez que al tratarse de acciones ejercidas por un servidor público, este lo hace en representación del Estado, por lo que le pertenece a todos y debe ser accesible a cualquier persona, ya sea que los particulares la puedan consultar por encontrarse publicada en cualquier medio de difusión o porque la requieren a través de una solicitud de acceso a la información, siempre y cuando no encuadre en una de las excepciones contempladas por la ley.</w:t>
      </w:r>
    </w:p>
    <w:p w14:paraId="4FB37AFE" w14:textId="77777777" w:rsidR="000550ED" w:rsidRPr="00AF7742" w:rsidRDefault="000550ED" w:rsidP="00A42539">
      <w:pPr>
        <w:pStyle w:val="Prrafodelista"/>
        <w:spacing w:line="360" w:lineRule="auto"/>
        <w:rPr>
          <w:rFonts w:ascii="Palatino Linotype" w:eastAsia="Palatino Linotype" w:hAnsi="Palatino Linotype" w:cs="Palatino Linotype"/>
        </w:rPr>
      </w:pPr>
    </w:p>
    <w:p w14:paraId="3EBCF09B" w14:textId="08E1CF75" w:rsidR="00362CC3" w:rsidRDefault="002B117D" w:rsidP="00362CC3">
      <w:pPr>
        <w:pStyle w:val="Prrafodelista"/>
        <w:numPr>
          <w:ilvl w:val="0"/>
          <w:numId w:val="1"/>
        </w:numPr>
        <w:spacing w:line="360" w:lineRule="auto"/>
        <w:ind w:left="0" w:firstLine="0"/>
        <w:jc w:val="both"/>
        <w:rPr>
          <w:rFonts w:ascii="Palatino Linotype" w:eastAsia="Palatino Linotype" w:hAnsi="Palatino Linotype" w:cs="Palatino Linotype"/>
          <w:color w:val="000000"/>
        </w:rPr>
      </w:pPr>
      <w:r w:rsidRPr="00AF7742">
        <w:rPr>
          <w:rFonts w:ascii="Palatino Linotype" w:eastAsia="Palatino Linotype" w:hAnsi="Palatino Linotype" w:cs="Palatino Linotype"/>
        </w:rPr>
        <w:lastRenderedPageBreak/>
        <w:t xml:space="preserve">Acotado lo anterior, es dable primeramente </w:t>
      </w:r>
      <w:r w:rsidR="00027E0A" w:rsidRPr="00AF7742">
        <w:rPr>
          <w:rFonts w:ascii="Palatino Linotype" w:eastAsia="Palatino Linotype" w:hAnsi="Palatino Linotype" w:cs="Palatino Linotype"/>
        </w:rPr>
        <w:t>recordar</w:t>
      </w:r>
      <w:r w:rsidR="0094220B" w:rsidRPr="00AF7742">
        <w:rPr>
          <w:rFonts w:ascii="Palatino Linotype" w:eastAsia="Palatino Linotype" w:hAnsi="Palatino Linotype" w:cs="Palatino Linotype"/>
        </w:rPr>
        <w:t xml:space="preserve"> que el motivo de inconformidad versa sobre la </w:t>
      </w:r>
      <w:r w:rsidR="007026AB" w:rsidRPr="00AF7742">
        <w:rPr>
          <w:rFonts w:ascii="Palatino Linotype" w:eastAsia="Palatino Linotype" w:hAnsi="Palatino Linotype" w:cs="Palatino Linotype"/>
        </w:rPr>
        <w:t xml:space="preserve">entrega </w:t>
      </w:r>
      <w:r w:rsidR="00362CC3" w:rsidRPr="00AF7742">
        <w:rPr>
          <w:rFonts w:ascii="Palatino Linotype" w:eastAsia="Palatino Linotype" w:hAnsi="Palatino Linotype" w:cs="Palatino Linotype"/>
        </w:rPr>
        <w:t>de información incompleta</w:t>
      </w:r>
      <w:r w:rsidR="000550ED" w:rsidRPr="00AF7742">
        <w:rPr>
          <w:rFonts w:ascii="Palatino Linotype" w:eastAsia="Palatino Linotype" w:hAnsi="Palatino Linotype" w:cs="Palatino Linotype"/>
          <w:color w:val="000000"/>
        </w:rPr>
        <w:t>.</w:t>
      </w:r>
      <w:r w:rsidR="00362CC3" w:rsidRPr="00AF7742">
        <w:rPr>
          <w:rFonts w:ascii="Palatino Linotype" w:eastAsia="Palatino Linotype" w:hAnsi="Palatino Linotype" w:cs="Palatino Linotype"/>
          <w:color w:val="000000"/>
        </w:rPr>
        <w:t xml:space="preserve"> Por lo que resulta procedente analizar lo remitido en respuesta a efecto de determinar si se actualiza dicho contexto.</w:t>
      </w:r>
    </w:p>
    <w:p w14:paraId="265A413C" w14:textId="77777777" w:rsidR="00AF7742" w:rsidRPr="00AF7742" w:rsidRDefault="00AF7742" w:rsidP="00AF7742">
      <w:pPr>
        <w:pStyle w:val="Prrafodelista"/>
        <w:spacing w:line="360" w:lineRule="auto"/>
        <w:ind w:left="0"/>
        <w:jc w:val="both"/>
        <w:rPr>
          <w:rFonts w:ascii="Palatino Linotype" w:eastAsia="Palatino Linotype" w:hAnsi="Palatino Linotype" w:cs="Palatino Linotype"/>
          <w:color w:val="000000"/>
        </w:rPr>
      </w:pPr>
    </w:p>
    <w:p w14:paraId="59E06E61" w14:textId="07AD5514" w:rsidR="00362CC3" w:rsidRPr="00AF7742" w:rsidRDefault="007839D1" w:rsidP="00362CC3">
      <w:pPr>
        <w:pStyle w:val="Prrafodelista"/>
        <w:numPr>
          <w:ilvl w:val="0"/>
          <w:numId w:val="1"/>
        </w:numPr>
        <w:spacing w:line="360" w:lineRule="auto"/>
        <w:ind w:left="0" w:firstLine="0"/>
        <w:jc w:val="both"/>
        <w:rPr>
          <w:rFonts w:ascii="Palatino Linotype" w:eastAsia="Palatino Linotype" w:hAnsi="Palatino Linotype" w:cs="Palatino Linotype"/>
          <w:color w:val="000000"/>
        </w:rPr>
      </w:pPr>
      <w:r w:rsidRPr="00AF7742">
        <w:rPr>
          <w:rFonts w:ascii="Palatino Linotype" w:eastAsia="Palatino Linotype" w:hAnsi="Palatino Linotype" w:cs="Palatino Linotype"/>
          <w:color w:val="000000"/>
        </w:rPr>
        <w:t>Respecto del rubro de curriculum vitae, se advierte que se entregan tres fichas curriculares, que si bien en estricto sentido no corresponden a un curriculum vitae, resultan suficientes para tener por atendido el rubro en comento por las siguientes consideraciones.</w:t>
      </w:r>
    </w:p>
    <w:p w14:paraId="2CA08307" w14:textId="77777777" w:rsidR="007839D1" w:rsidRPr="00AF7742" w:rsidRDefault="007839D1" w:rsidP="007839D1">
      <w:pPr>
        <w:pStyle w:val="Prrafodelista"/>
        <w:rPr>
          <w:rFonts w:ascii="Palatino Linotype" w:eastAsia="Palatino Linotype" w:hAnsi="Palatino Linotype" w:cs="Palatino Linotype"/>
          <w:color w:val="000000"/>
        </w:rPr>
      </w:pPr>
    </w:p>
    <w:p w14:paraId="507EADE6" w14:textId="305F9172" w:rsidR="00EB5222" w:rsidRPr="00AF7742" w:rsidRDefault="00EB5222" w:rsidP="00EB5222">
      <w:pPr>
        <w:pStyle w:val="Prrafodelista"/>
        <w:numPr>
          <w:ilvl w:val="0"/>
          <w:numId w:val="1"/>
        </w:numPr>
        <w:spacing w:line="360" w:lineRule="auto"/>
        <w:ind w:left="0" w:firstLine="0"/>
        <w:jc w:val="both"/>
        <w:rPr>
          <w:rFonts w:ascii="Palatino Linotype" w:eastAsia="Calibri" w:hAnsi="Palatino Linotype" w:cs="Tahoma"/>
          <w:bCs/>
          <w:lang w:eastAsia="en-US"/>
        </w:rPr>
      </w:pPr>
      <w:r w:rsidRPr="00AF7742">
        <w:rPr>
          <w:rFonts w:ascii="Palatino Linotype" w:eastAsia="Calibri" w:hAnsi="Palatino Linotype" w:cs="Tahoma"/>
          <w:bCs/>
          <w:lang w:eastAsia="en-US"/>
        </w:rPr>
        <w:t xml:space="preserve">Se debe indicar que el rubro de referencia se trata de información pública, pues </w:t>
      </w:r>
      <w:r w:rsidRPr="00AF7742">
        <w:rPr>
          <w:rFonts w:ascii="Palatino Linotype" w:hAnsi="Palatino Linotype" w:cs="Arial"/>
        </w:rPr>
        <w:t>corresponde</w:t>
      </w:r>
      <w:r w:rsidRPr="00AF7742">
        <w:rPr>
          <w:rFonts w:ascii="Palatino Linotype" w:eastAsia="Calibri" w:hAnsi="Palatino Linotype" w:cs="Tahoma"/>
          <w:bCs/>
          <w:lang w:eastAsia="en-US"/>
        </w:rPr>
        <w:t xml:space="preserve"> a las obligaciones de </w:t>
      </w:r>
      <w:r w:rsidRPr="00AF7742">
        <w:rPr>
          <w:rFonts w:ascii="Palatino Linotype" w:eastAsia="Palatino Linotype" w:hAnsi="Palatino Linotype" w:cs="Palatino Linotype"/>
          <w:color w:val="000000"/>
        </w:rPr>
        <w:t>transparencia</w:t>
      </w:r>
      <w:r w:rsidRPr="00AF7742">
        <w:rPr>
          <w:rFonts w:ascii="Palatino Linotype" w:eastAsia="Calibri" w:hAnsi="Palatino Linotype" w:cs="Tahoma"/>
          <w:bCs/>
          <w:lang w:eastAsia="en-US"/>
        </w:rPr>
        <w:t>, de acuerdo a lo señalado en el artículo 92, fracción XXI, de la Ley de Transparencia y Acceso a la Información Pública del Estado de México y Municipios, que se transcribe a continuación:</w:t>
      </w:r>
    </w:p>
    <w:p w14:paraId="26E2211B" w14:textId="77777777" w:rsidR="00EB5222" w:rsidRPr="00AF7742" w:rsidRDefault="00EB5222" w:rsidP="00EB5222">
      <w:pPr>
        <w:spacing w:line="360" w:lineRule="auto"/>
        <w:ind w:right="-93"/>
        <w:jc w:val="both"/>
        <w:rPr>
          <w:rFonts w:ascii="Palatino Linotype" w:eastAsia="Calibri" w:hAnsi="Palatino Linotype" w:cs="Tahoma"/>
          <w:bCs/>
          <w:lang w:eastAsia="en-US"/>
        </w:rPr>
      </w:pPr>
    </w:p>
    <w:p w14:paraId="4C1CC666" w14:textId="77777777" w:rsidR="00EB5222" w:rsidRPr="00AF7742" w:rsidRDefault="00EB5222" w:rsidP="00EB5222">
      <w:pPr>
        <w:spacing w:line="360" w:lineRule="auto"/>
        <w:ind w:left="567" w:right="539"/>
        <w:jc w:val="center"/>
        <w:rPr>
          <w:rFonts w:ascii="Palatino Linotype" w:hAnsi="Palatino Linotype"/>
          <w:b/>
          <w:i/>
        </w:rPr>
      </w:pPr>
      <w:r w:rsidRPr="00AF7742">
        <w:rPr>
          <w:rFonts w:ascii="Palatino Linotype" w:hAnsi="Palatino Linotype"/>
          <w:b/>
          <w:i/>
        </w:rPr>
        <w:t>Capítulo II</w:t>
      </w:r>
    </w:p>
    <w:p w14:paraId="06F41CBC" w14:textId="77777777" w:rsidR="00EB5222" w:rsidRPr="00AF7742" w:rsidRDefault="00EB5222" w:rsidP="00EB5222">
      <w:pPr>
        <w:spacing w:line="360" w:lineRule="auto"/>
        <w:ind w:left="567" w:right="539"/>
        <w:jc w:val="center"/>
        <w:rPr>
          <w:rFonts w:ascii="Palatino Linotype" w:hAnsi="Palatino Linotype"/>
          <w:b/>
          <w:i/>
        </w:rPr>
      </w:pPr>
      <w:r w:rsidRPr="00AF7742">
        <w:rPr>
          <w:rFonts w:ascii="Palatino Linotype" w:hAnsi="Palatino Linotype"/>
          <w:b/>
          <w:i/>
        </w:rPr>
        <w:t>De las Obligaciones de Transparencia Comunes</w:t>
      </w:r>
    </w:p>
    <w:p w14:paraId="5DFF1E6E" w14:textId="77777777" w:rsidR="00EB5222" w:rsidRPr="00AF7742" w:rsidRDefault="00EB5222" w:rsidP="00EB5222">
      <w:pPr>
        <w:spacing w:line="360" w:lineRule="auto"/>
        <w:ind w:left="567" w:right="539"/>
        <w:jc w:val="both"/>
        <w:rPr>
          <w:rFonts w:ascii="Palatino Linotype" w:hAnsi="Palatino Linotype"/>
          <w:i/>
        </w:rPr>
      </w:pPr>
      <w:r w:rsidRPr="00AF7742">
        <w:rPr>
          <w:rFonts w:ascii="Palatino Linotype" w:hAnsi="Palatino Linotype"/>
          <w:b/>
          <w:i/>
        </w:rPr>
        <w:t>Artículo 92.</w:t>
      </w:r>
      <w:r w:rsidRPr="00AF7742">
        <w:rPr>
          <w:rFonts w:ascii="Palatino Linotype" w:hAnsi="Palatino Linotype"/>
          <w:i/>
        </w:rPr>
        <w:t xml:space="preserve"> Los sujetos obligados deberán poner a disposición del público de manera permanente y actualizada de forma sencilla, precisa y entendible, en los respectivos medios electrónicos, de acuerdo con sus facultades, atribuciones, funciones u objeto social, según corresponda, la información, por lo menos, de los temas, documentos y políticas que a continuación se señalan:</w:t>
      </w:r>
    </w:p>
    <w:p w14:paraId="1F3F3C67" w14:textId="77777777" w:rsidR="00EB5222" w:rsidRPr="00AF7742" w:rsidRDefault="00EB5222" w:rsidP="00EB5222">
      <w:pPr>
        <w:spacing w:line="360" w:lineRule="auto"/>
        <w:ind w:left="567" w:right="539"/>
        <w:jc w:val="both"/>
        <w:rPr>
          <w:rFonts w:ascii="Palatino Linotype" w:hAnsi="Palatino Linotype"/>
          <w:i/>
        </w:rPr>
      </w:pPr>
    </w:p>
    <w:p w14:paraId="57FCF81C" w14:textId="77777777" w:rsidR="00EB5222" w:rsidRPr="00AF7742" w:rsidRDefault="00EB5222" w:rsidP="00EB5222">
      <w:pPr>
        <w:spacing w:line="360" w:lineRule="auto"/>
        <w:ind w:left="567" w:right="539"/>
        <w:jc w:val="both"/>
        <w:rPr>
          <w:rFonts w:ascii="Palatino Linotype" w:hAnsi="Palatino Linotype"/>
          <w:b/>
          <w:i/>
        </w:rPr>
      </w:pPr>
      <w:r w:rsidRPr="00AF7742">
        <w:rPr>
          <w:rFonts w:ascii="Palatino Linotype" w:hAnsi="Palatino Linotype"/>
          <w:i/>
        </w:rPr>
        <w:tab/>
      </w:r>
      <w:r w:rsidRPr="00AF7742">
        <w:rPr>
          <w:rFonts w:ascii="Palatino Linotype" w:hAnsi="Palatino Linotype"/>
          <w:b/>
          <w:i/>
        </w:rPr>
        <w:t xml:space="preserve">I </w:t>
      </w:r>
      <w:r w:rsidRPr="00AF7742">
        <w:rPr>
          <w:rFonts w:ascii="Palatino Linotype" w:hAnsi="Palatino Linotype"/>
          <w:i/>
        </w:rPr>
        <w:t>al</w:t>
      </w:r>
      <w:r w:rsidRPr="00AF7742">
        <w:rPr>
          <w:rFonts w:ascii="Palatino Linotype" w:hAnsi="Palatino Linotype"/>
          <w:b/>
          <w:i/>
        </w:rPr>
        <w:t xml:space="preserve"> XX…</w:t>
      </w:r>
    </w:p>
    <w:p w14:paraId="1EC728F5" w14:textId="77777777" w:rsidR="00EB5222" w:rsidRPr="00AF7742" w:rsidRDefault="00EB5222" w:rsidP="00EB5222">
      <w:pPr>
        <w:spacing w:line="360" w:lineRule="auto"/>
        <w:ind w:left="567" w:right="539"/>
        <w:jc w:val="both"/>
        <w:rPr>
          <w:rFonts w:ascii="Palatino Linotype" w:hAnsi="Palatino Linotype"/>
          <w:b/>
          <w:i/>
        </w:rPr>
      </w:pPr>
    </w:p>
    <w:p w14:paraId="597B103A" w14:textId="77777777" w:rsidR="00EB5222" w:rsidRPr="00AF7742" w:rsidRDefault="00EB5222" w:rsidP="00EB5222">
      <w:pPr>
        <w:spacing w:line="360" w:lineRule="auto"/>
        <w:ind w:left="567" w:right="539"/>
        <w:jc w:val="both"/>
        <w:rPr>
          <w:rFonts w:ascii="Palatino Linotype" w:hAnsi="Palatino Linotype"/>
          <w:i/>
        </w:rPr>
      </w:pPr>
      <w:r w:rsidRPr="00AF7742">
        <w:rPr>
          <w:rFonts w:ascii="Palatino Linotype" w:hAnsi="Palatino Linotype"/>
          <w:b/>
          <w:i/>
        </w:rPr>
        <w:lastRenderedPageBreak/>
        <w:t>XXI.</w:t>
      </w:r>
      <w:r w:rsidRPr="00AF7742">
        <w:rPr>
          <w:rFonts w:ascii="Palatino Linotype" w:hAnsi="Palatino Linotype"/>
          <w:i/>
        </w:rPr>
        <w:t xml:space="preserve"> </w:t>
      </w:r>
      <w:r w:rsidRPr="00AF7742">
        <w:rPr>
          <w:rFonts w:ascii="Palatino Linotype" w:hAnsi="Palatino Linotype"/>
          <w:b/>
          <w:i/>
        </w:rPr>
        <w:t>La información curricular</w:t>
      </w:r>
      <w:r w:rsidRPr="00AF7742">
        <w:rPr>
          <w:rFonts w:ascii="Palatino Linotype" w:hAnsi="Palatino Linotype"/>
          <w:i/>
        </w:rPr>
        <w:t>, desde el nivel de jefe de departamento o equivalente, hasta el titular del sujeto obligado, así como, en su caso, las sanciones administrativas de que haya sido objeto;</w:t>
      </w:r>
    </w:p>
    <w:p w14:paraId="612A5703" w14:textId="2981F2C8" w:rsidR="00EB5222" w:rsidRPr="00AF7742" w:rsidRDefault="00EB5222" w:rsidP="00EB5222">
      <w:pPr>
        <w:spacing w:line="360" w:lineRule="auto"/>
        <w:ind w:left="567" w:right="539"/>
        <w:jc w:val="both"/>
        <w:rPr>
          <w:rFonts w:ascii="Palatino Linotype" w:hAnsi="Palatino Linotype"/>
          <w:b/>
          <w:i/>
        </w:rPr>
      </w:pPr>
      <w:r w:rsidRPr="00AF7742">
        <w:rPr>
          <w:rFonts w:ascii="Palatino Linotype" w:hAnsi="Palatino Linotype"/>
          <w:b/>
          <w:i/>
        </w:rPr>
        <w:t xml:space="preserve">XXII </w:t>
      </w:r>
      <w:r w:rsidRPr="00AF7742">
        <w:rPr>
          <w:rFonts w:ascii="Palatino Linotype" w:hAnsi="Palatino Linotype"/>
          <w:i/>
        </w:rPr>
        <w:t xml:space="preserve">a </w:t>
      </w:r>
      <w:r w:rsidRPr="00AF7742">
        <w:rPr>
          <w:rFonts w:ascii="Palatino Linotype" w:hAnsi="Palatino Linotype"/>
          <w:b/>
          <w:i/>
        </w:rPr>
        <w:t>XLII…</w:t>
      </w:r>
      <w:r w:rsidR="005F3222" w:rsidRPr="00AF7742">
        <w:rPr>
          <w:rFonts w:ascii="Palatino Linotype" w:hAnsi="Palatino Linotype"/>
          <w:b/>
          <w:i/>
        </w:rPr>
        <w:t>”</w:t>
      </w:r>
    </w:p>
    <w:p w14:paraId="794BB79F" w14:textId="77777777" w:rsidR="005F3222" w:rsidRPr="00AF7742" w:rsidRDefault="005F3222" w:rsidP="00EB5222">
      <w:pPr>
        <w:spacing w:line="360" w:lineRule="auto"/>
        <w:ind w:left="567" w:right="539"/>
        <w:jc w:val="both"/>
        <w:rPr>
          <w:rFonts w:ascii="Palatino Linotype" w:eastAsia="Calibri" w:hAnsi="Palatino Linotype" w:cs="Tahoma"/>
          <w:bCs/>
          <w:i/>
          <w:lang w:eastAsia="en-US"/>
        </w:rPr>
      </w:pPr>
    </w:p>
    <w:p w14:paraId="5FBD7080" w14:textId="77777777" w:rsidR="00EB5222" w:rsidRPr="00AF7742" w:rsidRDefault="00EB5222" w:rsidP="00EB5222">
      <w:pPr>
        <w:pStyle w:val="Prrafodelista"/>
        <w:numPr>
          <w:ilvl w:val="0"/>
          <w:numId w:val="1"/>
        </w:numPr>
        <w:spacing w:line="360" w:lineRule="auto"/>
        <w:ind w:left="0" w:firstLine="0"/>
        <w:jc w:val="both"/>
        <w:rPr>
          <w:rFonts w:ascii="Palatino Linotype" w:eastAsia="Calibri" w:hAnsi="Palatino Linotype" w:cs="Tahoma"/>
          <w:bCs/>
          <w:lang w:eastAsia="en-US"/>
        </w:rPr>
      </w:pPr>
      <w:r w:rsidRPr="00AF7742">
        <w:rPr>
          <w:rFonts w:ascii="Palatino Linotype" w:eastAsia="Calibri" w:hAnsi="Palatino Linotype" w:cs="Tahoma"/>
          <w:bCs/>
          <w:lang w:eastAsia="en-US"/>
        </w:rPr>
        <w:t xml:space="preserve">En este mismo sentido, se </w:t>
      </w:r>
      <w:r w:rsidRPr="00AF7742">
        <w:rPr>
          <w:rFonts w:ascii="Palatino Linotype" w:hAnsi="Palatino Linotype" w:cs="Arial"/>
        </w:rPr>
        <w:t>pronunció</w:t>
      </w:r>
      <w:r w:rsidRPr="00AF7742">
        <w:rPr>
          <w:rFonts w:ascii="Palatino Linotype" w:eastAsia="Calibri" w:hAnsi="Palatino Linotype" w:cs="Tahoma"/>
          <w:bCs/>
          <w:lang w:eastAsia="en-US"/>
        </w:rPr>
        <w:t xml:space="preserve"> el entonces Instituto Nacional de Transparencia, Acceso a la Información y Protección de Datos Personales (INAI), al establecer en el </w:t>
      </w:r>
      <w:r w:rsidRPr="00AF7742">
        <w:rPr>
          <w:rFonts w:ascii="Palatino Linotype" w:eastAsia="Calibri" w:hAnsi="Palatino Linotype" w:cs="Tahoma"/>
          <w:lang w:eastAsia="en-US"/>
        </w:rPr>
        <w:t>Criterio  03/2009</w:t>
      </w:r>
      <w:r w:rsidRPr="00AF7742">
        <w:rPr>
          <w:rFonts w:ascii="Palatino Linotype" w:eastAsia="Calibri" w:hAnsi="Palatino Linotype" w:cs="Tahoma"/>
          <w:bCs/>
          <w:lang w:eastAsia="en-US"/>
        </w:rPr>
        <w:t xml:space="preserve"> que una de las formas en la que los ciudadanos pueden evaluar las aptitudes de los servidores públicos para desempeñar  el cargo público que le ha sido encomendado, es mediante la publicidad de ciertos datos contenidos en la </w:t>
      </w:r>
      <w:r w:rsidRPr="00AF7742">
        <w:rPr>
          <w:rFonts w:ascii="Palatino Linotype" w:eastAsia="Calibri" w:hAnsi="Palatino Linotype" w:cs="Tahoma"/>
          <w:bCs/>
          <w:i/>
          <w:lang w:eastAsia="en-US"/>
        </w:rPr>
        <w:t xml:space="preserve">curricula vitae, </w:t>
      </w:r>
      <w:r w:rsidRPr="00AF7742">
        <w:rPr>
          <w:rFonts w:ascii="Palatino Linotype" w:eastAsia="Calibri" w:hAnsi="Palatino Linotype" w:cs="Tahoma"/>
          <w:bCs/>
          <w:lang w:eastAsia="en-US"/>
        </w:rPr>
        <w:t>o bien, en las solicitudes de empleo, el cual para mejor referencia se  transcribe a continuación:</w:t>
      </w:r>
    </w:p>
    <w:p w14:paraId="0191BF9C" w14:textId="77777777" w:rsidR="00EB5222" w:rsidRPr="00AF7742" w:rsidRDefault="00EB5222" w:rsidP="00EB5222">
      <w:pPr>
        <w:pStyle w:val="Prrafodelista"/>
        <w:spacing w:line="360" w:lineRule="auto"/>
        <w:ind w:left="1428" w:right="-93"/>
        <w:jc w:val="both"/>
        <w:rPr>
          <w:rFonts w:ascii="Palatino Linotype" w:hAnsi="Palatino Linotype" w:cs="Tahoma"/>
          <w:bCs/>
        </w:rPr>
      </w:pPr>
    </w:p>
    <w:p w14:paraId="4F7086BB" w14:textId="77777777" w:rsidR="00EB5222" w:rsidRPr="00AF7742" w:rsidRDefault="00EB5222" w:rsidP="00EB5222">
      <w:pPr>
        <w:pStyle w:val="Prrafodelista"/>
        <w:spacing w:line="360" w:lineRule="auto"/>
        <w:ind w:left="567" w:right="567"/>
        <w:jc w:val="both"/>
        <w:rPr>
          <w:rFonts w:ascii="Palatino Linotype" w:hAnsi="Palatino Linotype" w:cs="Tahoma"/>
          <w:bCs/>
          <w:i/>
        </w:rPr>
      </w:pPr>
      <w:r w:rsidRPr="00AF7742">
        <w:rPr>
          <w:rFonts w:ascii="Palatino Linotype" w:hAnsi="Palatino Linotype" w:cs="Tahoma"/>
          <w:b/>
          <w:bCs/>
          <w:i/>
        </w:rPr>
        <w:t>“Curriculum Vitae de servidores públicos. Es obligación de los sujetos obligados otorgar acceso a versiones públicas de los mismos ante una solicitud de acceso.</w:t>
      </w:r>
      <w:r w:rsidRPr="00AF7742">
        <w:rPr>
          <w:rFonts w:ascii="Palatino Linotype" w:hAnsi="Palatino Linotype" w:cs="Tahoma"/>
          <w:bCs/>
          <w:i/>
        </w:rPr>
        <w:t xml:space="preserve"> Uno de los objetivos de la Ley Federal de Transparencia y Acceso a la Información Pública Gubernamental, de acuerdo con su artículo 4, fracción IV, es favorecer la rendición de cuentas a las personas, de manera que puedan valorar el desempeño de los sujetos obligados. Si bien en el curriculum vitae se describe información de una persona relacionada con su formación académica,  trayectoria  profesional, datos de  contacto, datos biográficos,  entre otros, los cuales constituyen datos personales, de acuerdo con lo previsto en el artículo 3, fracción II de la Ley Federal de Transparencia y Acceso a la Información Pública Gubernamental, y en consecuencia, representan información confidencial, en términos de lo establecido en el artículo 18, fracción II de la Ley Federal </w:t>
      </w:r>
      <w:r w:rsidRPr="00AF7742">
        <w:rPr>
          <w:rFonts w:ascii="Palatino Linotype" w:hAnsi="Palatino Linotype" w:cs="Tahoma"/>
          <w:bCs/>
          <w:i/>
        </w:rPr>
        <w:lastRenderedPageBreak/>
        <w:t>de Transparencia y Acceso a la Información Pública Gubernamental, tratándose del curriculum vitae de un servidor público, una de las formas en que los ciudadanos pueden evaluar sus aptitudes para desempeñar el cargo público que le ha sido encomendado, es mediante la publicidad de ciertos datos de los ahí contenidos. En esa tesitura, entre los datos personales del curriculum vitae de un servidor público susceptibles de hacerse del conocimiento público, ante una solicitud de acceso,  se  encuentran  los  relativos  a  su  trayectoria  académica,  profesional, laboral, así como todos aquellos que acrediten su capacidad, habilidades o pericia para ocupar el cargo público.”</w:t>
      </w:r>
    </w:p>
    <w:p w14:paraId="2AEDA394" w14:textId="77777777" w:rsidR="00EB5222" w:rsidRPr="00AF7742" w:rsidRDefault="00EB5222" w:rsidP="00EB5222">
      <w:pPr>
        <w:spacing w:line="360" w:lineRule="auto"/>
        <w:jc w:val="both"/>
        <w:rPr>
          <w:rFonts w:ascii="Palatino Linotype" w:hAnsi="Palatino Linotype" w:cs="Tahoma"/>
          <w:lang w:val="es-MX"/>
        </w:rPr>
      </w:pPr>
    </w:p>
    <w:p w14:paraId="79A93C6E" w14:textId="5F94B8ED" w:rsidR="00EB5222" w:rsidRDefault="00EB5222" w:rsidP="00EB5222">
      <w:pPr>
        <w:pStyle w:val="Prrafodelista"/>
        <w:numPr>
          <w:ilvl w:val="0"/>
          <w:numId w:val="1"/>
        </w:numPr>
        <w:spacing w:line="360" w:lineRule="auto"/>
        <w:ind w:left="0" w:firstLine="0"/>
        <w:jc w:val="both"/>
        <w:rPr>
          <w:rFonts w:ascii="Palatino Linotype" w:hAnsi="Palatino Linotype" w:cs="Tahoma"/>
          <w:lang w:val="es-MX"/>
        </w:rPr>
      </w:pPr>
      <w:r w:rsidRPr="00AF7742">
        <w:rPr>
          <w:rFonts w:ascii="Palatino Linotype" w:hAnsi="Palatino Linotype" w:cs="Tahoma"/>
          <w:lang w:val="es-MX"/>
        </w:rPr>
        <w:t xml:space="preserve">De acuerdo con lo </w:t>
      </w:r>
      <w:r w:rsidRPr="00AF7742">
        <w:rPr>
          <w:rFonts w:ascii="Palatino Linotype" w:eastAsia="Calibri" w:hAnsi="Palatino Linotype" w:cs="Tahoma"/>
          <w:bCs/>
          <w:lang w:eastAsia="en-US"/>
        </w:rPr>
        <w:t>expuesto</w:t>
      </w:r>
      <w:r w:rsidRPr="00AF7742">
        <w:rPr>
          <w:rFonts w:ascii="Palatino Linotype" w:hAnsi="Palatino Linotype" w:cs="Tahoma"/>
          <w:lang w:val="es-MX"/>
        </w:rPr>
        <w:t xml:space="preserve"> el </w:t>
      </w:r>
      <w:r w:rsidRPr="00AF7742">
        <w:rPr>
          <w:rFonts w:ascii="Palatino Linotype" w:hAnsi="Palatino Linotype" w:cs="Tahoma"/>
          <w:i/>
          <w:lang w:val="es-MX"/>
        </w:rPr>
        <w:t xml:space="preserve">curriculum vitae </w:t>
      </w:r>
      <w:r w:rsidRPr="00AF7742">
        <w:rPr>
          <w:rFonts w:ascii="Palatino Linotype" w:hAnsi="Palatino Linotype" w:cs="Tahoma"/>
          <w:lang w:val="es-MX"/>
        </w:rPr>
        <w:t xml:space="preserve">o ficha curricular de servidores públicos es información de </w:t>
      </w:r>
      <w:r w:rsidRPr="00AF7742">
        <w:rPr>
          <w:rFonts w:ascii="Palatino Linotype" w:eastAsia="Calibri" w:hAnsi="Palatino Linotype" w:cs="Tahoma"/>
          <w:bCs/>
          <w:lang w:eastAsia="en-US"/>
        </w:rPr>
        <w:t>naturaleza</w:t>
      </w:r>
      <w:r w:rsidRPr="00AF7742">
        <w:rPr>
          <w:rFonts w:ascii="Palatino Linotype" w:hAnsi="Palatino Linotype" w:cs="Tahoma"/>
          <w:lang w:val="es-MX"/>
        </w:rPr>
        <w:t xml:space="preserve"> pública, en su caso en versión pública. Con base en lo expuesto, es que se tiene por </w:t>
      </w:r>
      <w:r w:rsidR="0006705E" w:rsidRPr="00AF7742">
        <w:rPr>
          <w:rFonts w:ascii="Palatino Linotype" w:hAnsi="Palatino Linotype" w:cs="Tahoma"/>
          <w:lang w:val="es-MX"/>
        </w:rPr>
        <w:t xml:space="preserve">parcialmente </w:t>
      </w:r>
      <w:r w:rsidRPr="00AF7742">
        <w:rPr>
          <w:rFonts w:ascii="Palatino Linotype" w:hAnsi="Palatino Linotype" w:cs="Tahoma"/>
          <w:lang w:val="es-MX"/>
        </w:rPr>
        <w:t>atendido el rubro de referencia</w:t>
      </w:r>
      <w:r w:rsidR="007666E7" w:rsidRPr="00AF7742">
        <w:rPr>
          <w:rFonts w:ascii="Palatino Linotype" w:hAnsi="Palatino Linotype" w:cs="Tahoma"/>
          <w:lang w:val="es-MX"/>
        </w:rPr>
        <w:t>; toda vez que si bien lo ordenado corresponde a lo solicitado; también lo es que una de las fichas curriculares fue remitida en versión pública, sin que para tal efecto se remitiera el acuerdo del Comité de Transparencia, en el que de manera fundada y motivada se sustentara su elaboración.</w:t>
      </w:r>
    </w:p>
    <w:p w14:paraId="6CE91212" w14:textId="77777777" w:rsidR="00AF7742" w:rsidRPr="00AF7742" w:rsidRDefault="00AF7742" w:rsidP="00AF7742">
      <w:pPr>
        <w:pStyle w:val="Prrafodelista"/>
        <w:spacing w:line="360" w:lineRule="auto"/>
        <w:ind w:left="0"/>
        <w:jc w:val="both"/>
        <w:rPr>
          <w:rFonts w:ascii="Palatino Linotype" w:hAnsi="Palatino Linotype" w:cs="Tahoma"/>
          <w:lang w:val="es-MX"/>
        </w:rPr>
      </w:pPr>
    </w:p>
    <w:p w14:paraId="6FBFBCB7" w14:textId="5E4769D4" w:rsidR="007666E7" w:rsidRPr="00AF7742" w:rsidRDefault="007666E7" w:rsidP="00EE4FF8">
      <w:pPr>
        <w:pStyle w:val="Prrafodelista"/>
        <w:numPr>
          <w:ilvl w:val="0"/>
          <w:numId w:val="1"/>
        </w:numPr>
        <w:spacing w:line="360" w:lineRule="auto"/>
        <w:ind w:left="0" w:firstLine="0"/>
        <w:jc w:val="both"/>
        <w:rPr>
          <w:rFonts w:ascii="Palatino Linotype" w:hAnsi="Palatino Linotype" w:cs="Tahoma"/>
          <w:lang w:val="es-MX"/>
        </w:rPr>
      </w:pPr>
      <w:r w:rsidRPr="00AF7742">
        <w:rPr>
          <w:rFonts w:ascii="Palatino Linotype" w:hAnsi="Palatino Linotype" w:cs="Tahoma"/>
          <w:lang w:val="es-MX"/>
        </w:rPr>
        <w:t xml:space="preserve">No obstante en un hecho posterior a la interposición del recurso de revisión, en la etapa de Manifestaciones, el </w:t>
      </w:r>
      <w:r w:rsidRPr="00AF7742">
        <w:rPr>
          <w:rFonts w:ascii="Palatino Linotype" w:hAnsi="Palatino Linotype" w:cs="Tahoma"/>
          <w:b/>
          <w:lang w:val="es-MX"/>
        </w:rPr>
        <w:t>SUJETO OBLIGADO</w:t>
      </w:r>
      <w:r w:rsidRPr="00AF7742">
        <w:rPr>
          <w:rFonts w:ascii="Palatino Linotype" w:hAnsi="Palatino Linotype"/>
        </w:rPr>
        <w:t xml:space="preserve"> modificó su respuesta</w:t>
      </w:r>
      <w:r w:rsidR="00EE4FF8" w:rsidRPr="00AF7742">
        <w:rPr>
          <w:rFonts w:ascii="Palatino Linotype" w:hAnsi="Palatino Linotype"/>
        </w:rPr>
        <w:t xml:space="preserve"> </w:t>
      </w:r>
      <w:r w:rsidR="00EE4FF8" w:rsidRPr="00AF7742">
        <w:rPr>
          <w:rFonts w:ascii="Palatino Linotype" w:hAnsi="Palatino Linotype" w:cs="Tahoma"/>
          <w:lang w:val="es-MX"/>
        </w:rPr>
        <w:t>remitiendo</w:t>
      </w:r>
      <w:r w:rsidR="00EE4FF8" w:rsidRPr="00AF7742">
        <w:rPr>
          <w:rFonts w:ascii="Palatino Linotype" w:hAnsi="Palatino Linotype"/>
        </w:rPr>
        <w:t xml:space="preserve"> el archivo </w:t>
      </w:r>
      <w:r w:rsidR="00EE4FF8" w:rsidRPr="00AF7742">
        <w:rPr>
          <w:rFonts w:ascii="Palatino Linotype" w:hAnsi="Palatino Linotype"/>
          <w:i/>
        </w:rPr>
        <w:t>Acta 12 Ord _ firma_Scanned.pdf</w:t>
      </w:r>
      <w:r w:rsidR="00EE4FF8" w:rsidRPr="00AF7742">
        <w:rPr>
          <w:rFonts w:ascii="Palatino Linotype" w:hAnsi="Palatino Linotype"/>
        </w:rPr>
        <w:t>, cuyo contenido corresponde al Acta mediante la cual se aprueba la versión pública de la información remitida en la Solicitud de Información 00398/SMOV/IP/2025. De tal forma que se tiene por atendido el rubro de mérito.</w:t>
      </w:r>
    </w:p>
    <w:p w14:paraId="6C8035BA" w14:textId="77777777" w:rsidR="00EB5222" w:rsidRPr="00AF7742" w:rsidRDefault="00EB5222" w:rsidP="00EB5222">
      <w:pPr>
        <w:spacing w:line="360" w:lineRule="auto"/>
        <w:ind w:right="49"/>
        <w:jc w:val="both"/>
        <w:rPr>
          <w:rFonts w:ascii="Palatino Linotype" w:hAnsi="Palatino Linotype" w:cs="Tahoma"/>
          <w:lang w:val="es-MX"/>
        </w:rPr>
      </w:pPr>
    </w:p>
    <w:p w14:paraId="0760E50F" w14:textId="5243701A" w:rsidR="0006705E" w:rsidRPr="00AF7742" w:rsidRDefault="00EB5222" w:rsidP="0006705E">
      <w:pPr>
        <w:pStyle w:val="Prrafodelista"/>
        <w:numPr>
          <w:ilvl w:val="0"/>
          <w:numId w:val="1"/>
        </w:numPr>
        <w:spacing w:line="360" w:lineRule="auto"/>
        <w:ind w:left="0" w:firstLine="0"/>
        <w:jc w:val="both"/>
        <w:rPr>
          <w:rFonts w:ascii="Palatino Linotype" w:eastAsia="Palatino Linotype" w:hAnsi="Palatino Linotype" w:cs="Palatino Linotype"/>
          <w:b/>
          <w:u w:val="single"/>
        </w:rPr>
      </w:pPr>
      <w:r w:rsidRPr="00AF7742">
        <w:rPr>
          <w:rFonts w:ascii="Palatino Linotype" w:eastAsia="Palatino Linotype" w:hAnsi="Palatino Linotype" w:cs="Palatino Linotype"/>
          <w:color w:val="000000"/>
        </w:rPr>
        <w:lastRenderedPageBreak/>
        <w:t>Seguidamente, respecto del FUMP, se remiten tres formatos de lo</w:t>
      </w:r>
      <w:r w:rsidR="0097233A" w:rsidRPr="00AF7742">
        <w:rPr>
          <w:rFonts w:ascii="Palatino Linotype" w:eastAsia="Palatino Linotype" w:hAnsi="Palatino Linotype" w:cs="Palatino Linotype"/>
          <w:color w:val="000000"/>
        </w:rPr>
        <w:t>s</w:t>
      </w:r>
      <w:r w:rsidRPr="00AF7742">
        <w:rPr>
          <w:rFonts w:ascii="Palatino Linotype" w:eastAsia="Palatino Linotype" w:hAnsi="Palatino Linotype" w:cs="Palatino Linotype"/>
          <w:color w:val="000000"/>
        </w:rPr>
        <w:t xml:space="preserve"> solicitados, correspondientes a las tres servidoras </w:t>
      </w:r>
      <w:r w:rsidR="0097233A" w:rsidRPr="00AF7742">
        <w:rPr>
          <w:rFonts w:ascii="Palatino Linotype" w:eastAsia="Palatino Linotype" w:hAnsi="Palatino Linotype" w:cs="Palatino Linotype"/>
          <w:color w:val="000000"/>
        </w:rPr>
        <w:t>públicas</w:t>
      </w:r>
      <w:r w:rsidRPr="00AF7742">
        <w:rPr>
          <w:rFonts w:ascii="Palatino Linotype" w:eastAsia="Palatino Linotype" w:hAnsi="Palatino Linotype" w:cs="Palatino Linotype"/>
          <w:color w:val="000000"/>
        </w:rPr>
        <w:t xml:space="preserve"> de las que solicitan</w:t>
      </w:r>
      <w:r w:rsidR="0006705E" w:rsidRPr="00AF7742">
        <w:rPr>
          <w:rFonts w:ascii="Palatino Linotype" w:eastAsia="Palatino Linotype" w:hAnsi="Palatino Linotype" w:cs="Palatino Linotype"/>
          <w:color w:val="000000"/>
        </w:rPr>
        <w:t xml:space="preserve">. Al respecto, </w:t>
      </w:r>
      <w:r w:rsidR="0006705E" w:rsidRPr="00AF7742">
        <w:rPr>
          <w:rFonts w:ascii="Palatino Linotype" w:eastAsia="Palatino Linotype" w:hAnsi="Palatino Linotype" w:cs="Palatino Linotype"/>
        </w:rPr>
        <w:t xml:space="preserve">es de </w:t>
      </w:r>
      <w:r w:rsidR="0006705E" w:rsidRPr="00AF7742">
        <w:rPr>
          <w:rFonts w:ascii="Palatino Linotype" w:hAnsi="Palatino Linotype" w:cs="Tahoma"/>
          <w:lang w:val="es-MX"/>
        </w:rPr>
        <w:t>recordar</w:t>
      </w:r>
      <w:r w:rsidR="0006705E" w:rsidRPr="00AF7742">
        <w:rPr>
          <w:rFonts w:ascii="Palatino Linotype" w:eastAsia="Palatino Linotype" w:hAnsi="Palatino Linotype" w:cs="Palatino Linotype"/>
        </w:rPr>
        <w:t xml:space="preserve"> que de conformidad con la Ley de Trabajo de los Servidores Públicos del Estado de México y Municipios, la relación de trabajo puede ser establecida por</w:t>
      </w:r>
      <w:r w:rsidR="0006705E" w:rsidRPr="00AF7742">
        <w:rPr>
          <w:rFonts w:ascii="Palatino Linotype" w:eastAsia="Palatino Linotype" w:hAnsi="Palatino Linotype" w:cs="Palatino Linotype"/>
          <w:b/>
        </w:rPr>
        <w:t xml:space="preserve"> </w:t>
      </w:r>
      <w:r w:rsidR="0006705E" w:rsidRPr="00AF7742">
        <w:rPr>
          <w:rFonts w:ascii="Palatino Linotype" w:eastAsia="Palatino Linotype" w:hAnsi="Palatino Linotype" w:cs="Palatino Linotype"/>
          <w:b/>
          <w:u w:val="single"/>
        </w:rPr>
        <w:t xml:space="preserve">nombramiento, formato único de movimiento de personal, contrato o por cualquier otro </w:t>
      </w:r>
      <w:r w:rsidR="0006705E" w:rsidRPr="00AF7742">
        <w:rPr>
          <w:rFonts w:ascii="Palatino Linotype" w:eastAsia="Palatino Linotype" w:hAnsi="Palatino Linotype" w:cs="Palatino Linotype"/>
        </w:rPr>
        <w:t xml:space="preserve">que tenga como consecuencia la prestación personal subordinada del servicio y percepción de un sueldo. </w:t>
      </w:r>
    </w:p>
    <w:p w14:paraId="2B40268D" w14:textId="77777777" w:rsidR="0006705E" w:rsidRPr="00AF7742" w:rsidRDefault="0006705E" w:rsidP="0006705E">
      <w:pPr>
        <w:spacing w:line="360" w:lineRule="auto"/>
        <w:ind w:right="49"/>
        <w:jc w:val="both"/>
        <w:rPr>
          <w:rFonts w:ascii="Palatino Linotype" w:eastAsia="Palatino Linotype" w:hAnsi="Palatino Linotype" w:cs="Palatino Linotype"/>
          <w:b/>
          <w:u w:val="single"/>
        </w:rPr>
      </w:pPr>
    </w:p>
    <w:p w14:paraId="41951A35" w14:textId="4CF002E8" w:rsidR="0006705E" w:rsidRPr="00AF7742" w:rsidRDefault="0006705E" w:rsidP="0006705E">
      <w:pPr>
        <w:pStyle w:val="Prrafodelista"/>
        <w:numPr>
          <w:ilvl w:val="0"/>
          <w:numId w:val="1"/>
        </w:numPr>
        <w:spacing w:line="360" w:lineRule="auto"/>
        <w:ind w:left="0" w:firstLine="0"/>
        <w:jc w:val="both"/>
        <w:rPr>
          <w:rFonts w:ascii="Palatino Linotype" w:eastAsia="Palatino Linotype" w:hAnsi="Palatino Linotype" w:cs="Palatino Linotype"/>
        </w:rPr>
      </w:pPr>
      <w:r w:rsidRPr="00AF7742">
        <w:rPr>
          <w:rFonts w:ascii="Palatino Linotype" w:eastAsia="Palatino Linotype" w:hAnsi="Palatino Linotype" w:cs="Palatino Linotype"/>
        </w:rPr>
        <w:t xml:space="preserve">En el presente asunto, la pretensión de la parte Recurrente era obtener el puntualmente el FUMP y, no solo el documento que diera cuenta de la relación de trabajo entre las servidoras públicas y el </w:t>
      </w:r>
      <w:r w:rsidRPr="00AF7742">
        <w:rPr>
          <w:rFonts w:ascii="Palatino Linotype" w:eastAsia="Palatino Linotype" w:hAnsi="Palatino Linotype" w:cs="Palatino Linotype"/>
          <w:b/>
        </w:rPr>
        <w:t>SUJETO OBLIGADO</w:t>
      </w:r>
      <w:r w:rsidRPr="00AF7742">
        <w:rPr>
          <w:rFonts w:ascii="Palatino Linotype" w:eastAsia="Palatino Linotype" w:hAnsi="Palatino Linotype" w:cs="Palatino Linotype"/>
        </w:rPr>
        <w:t>, por lo que al ya haber asumido que si cuenta en estricto sentido con el documento solicitado, resulta redundante realizar un estudio pormenorizado de la fuente obligacional de la Secretaria de Movilidad a efecto de determinar si genera, posee o administra documentales que ya han sido entregadas.</w:t>
      </w:r>
    </w:p>
    <w:p w14:paraId="0011F2C0" w14:textId="77777777" w:rsidR="0006705E" w:rsidRPr="00AF7742" w:rsidRDefault="0006705E" w:rsidP="0006705E">
      <w:pPr>
        <w:spacing w:line="360" w:lineRule="auto"/>
        <w:ind w:right="49"/>
        <w:jc w:val="both"/>
        <w:rPr>
          <w:rFonts w:ascii="Palatino Linotype" w:eastAsia="Palatino Linotype" w:hAnsi="Palatino Linotype" w:cs="Palatino Linotype"/>
          <w:b/>
          <w:u w:val="single"/>
        </w:rPr>
      </w:pPr>
    </w:p>
    <w:p w14:paraId="7EF1AC68" w14:textId="237ED4E5" w:rsidR="000550ED" w:rsidRPr="00AF7742" w:rsidRDefault="0006705E" w:rsidP="0006705E">
      <w:pPr>
        <w:pStyle w:val="Prrafodelista"/>
        <w:numPr>
          <w:ilvl w:val="0"/>
          <w:numId w:val="1"/>
        </w:numPr>
        <w:spacing w:line="360" w:lineRule="auto"/>
        <w:ind w:left="0" w:firstLine="0"/>
        <w:jc w:val="both"/>
        <w:rPr>
          <w:rFonts w:ascii="Palatino Linotype" w:eastAsia="Palatino Linotype" w:hAnsi="Palatino Linotype" w:cs="Palatino Linotype"/>
          <w:color w:val="000000"/>
        </w:rPr>
      </w:pPr>
      <w:r w:rsidRPr="00AF7742">
        <w:rPr>
          <w:rFonts w:ascii="Palatino Linotype" w:eastAsia="Palatino Linotype" w:hAnsi="Palatino Linotype" w:cs="Palatino Linotype"/>
          <w:color w:val="000000"/>
        </w:rPr>
        <w:t>No obstante lo anterior, si bien lo ordenado corresponde a lo solicitado; también lo es que su entr</w:t>
      </w:r>
      <w:r w:rsidRPr="00AF7742">
        <w:rPr>
          <w:rFonts w:ascii="Palatino Linotype" w:eastAsia="Palatino Linotype" w:hAnsi="Palatino Linotype" w:cs="Palatino Linotype"/>
        </w:rPr>
        <w:t>e</w:t>
      </w:r>
      <w:r w:rsidRPr="00AF7742">
        <w:rPr>
          <w:rFonts w:ascii="Palatino Linotype" w:eastAsia="Palatino Linotype" w:hAnsi="Palatino Linotype" w:cs="Palatino Linotype"/>
          <w:color w:val="000000"/>
        </w:rPr>
        <w:t>ga resulta incompleta, toda vez que estas se encuentra en versión pública al haberse testado datos personales como son de manera enunciativa más no limitativa: domicilio, estado de nacimiento, RFC, fecha de nacimiento, CURP, estado civil. Datos que ciertamente debieron ser protegidos, sin embargo</w:t>
      </w:r>
      <w:r w:rsidR="00EE4FF8" w:rsidRPr="00AF7742">
        <w:rPr>
          <w:rFonts w:ascii="Palatino Linotype" w:eastAsia="Palatino Linotype" w:hAnsi="Palatino Linotype" w:cs="Palatino Linotype"/>
          <w:color w:val="000000"/>
        </w:rPr>
        <w:t xml:space="preserve"> se aprecia que también fue testada de la firma de las servidoras públicas, dato que se estima debe ser público por las siguientes consideraciones.</w:t>
      </w:r>
    </w:p>
    <w:p w14:paraId="256F3CD3" w14:textId="77777777" w:rsidR="00EE4FF8" w:rsidRPr="00AF7742" w:rsidRDefault="00EE4FF8" w:rsidP="00EE4FF8">
      <w:pPr>
        <w:pStyle w:val="Prrafodelista"/>
        <w:rPr>
          <w:rFonts w:ascii="Palatino Linotype" w:eastAsia="Palatino Linotype" w:hAnsi="Palatino Linotype" w:cs="Palatino Linotype"/>
          <w:color w:val="000000"/>
        </w:rPr>
      </w:pPr>
    </w:p>
    <w:p w14:paraId="08248B7D" w14:textId="7CFEE263" w:rsidR="00D62750" w:rsidRPr="00AF7742" w:rsidRDefault="00D62750" w:rsidP="00D62750">
      <w:pPr>
        <w:pStyle w:val="Prrafodelista"/>
        <w:numPr>
          <w:ilvl w:val="0"/>
          <w:numId w:val="1"/>
        </w:numPr>
        <w:spacing w:line="360" w:lineRule="auto"/>
        <w:ind w:left="0" w:firstLine="0"/>
        <w:jc w:val="both"/>
        <w:rPr>
          <w:rFonts w:ascii="Palatino Linotype" w:hAnsi="Palatino Linotype" w:cs="Arial"/>
        </w:rPr>
      </w:pPr>
      <w:r w:rsidRPr="00AF7742">
        <w:rPr>
          <w:rFonts w:ascii="Palatino Linotype" w:hAnsi="Palatino Linotype" w:cs="Arial"/>
        </w:rPr>
        <w:t xml:space="preserve">La </w:t>
      </w:r>
      <w:r w:rsidRPr="00AF7742">
        <w:rPr>
          <w:rFonts w:ascii="Palatino Linotype" w:eastAsia="Palatino Linotype" w:hAnsi="Palatino Linotype" w:cs="Palatino Linotype"/>
          <w:color w:val="000000"/>
        </w:rPr>
        <w:t>publicidad</w:t>
      </w:r>
      <w:r w:rsidRPr="00AF7742">
        <w:rPr>
          <w:rFonts w:ascii="Palatino Linotype" w:hAnsi="Palatino Linotype" w:cs="Arial"/>
        </w:rPr>
        <w:t xml:space="preserve"> de la firma resulta de interés público, dado que entre las atribuciones que tienen estos servidores públicos esta realizar actos de autoridad, los cuales por regla </w:t>
      </w:r>
      <w:r w:rsidRPr="00AF7742">
        <w:rPr>
          <w:rFonts w:ascii="Palatino Linotype" w:hAnsi="Palatino Linotype" w:cs="Arial"/>
        </w:rPr>
        <w:lastRenderedPageBreak/>
        <w:t>general se deben documentar, y por ende la firma se constituye como prueba del consentimiento de su titular al momento de ejercer las atribuciones que le son conferidas, las cuales otorgan validez a las actuaciones.</w:t>
      </w:r>
    </w:p>
    <w:p w14:paraId="7D07E976" w14:textId="77777777" w:rsidR="00D62750" w:rsidRPr="00AF7742" w:rsidRDefault="00D62750" w:rsidP="00D62750">
      <w:pPr>
        <w:pStyle w:val="Prrafodelista"/>
        <w:tabs>
          <w:tab w:val="left" w:pos="142"/>
          <w:tab w:val="left" w:pos="426"/>
        </w:tabs>
        <w:spacing w:line="360" w:lineRule="auto"/>
        <w:ind w:left="0" w:right="49"/>
        <w:jc w:val="both"/>
        <w:rPr>
          <w:rFonts w:ascii="Palatino Linotype" w:hAnsi="Palatino Linotype" w:cs="Arial"/>
        </w:rPr>
      </w:pPr>
    </w:p>
    <w:p w14:paraId="339456C5" w14:textId="77777777" w:rsidR="00D62750" w:rsidRDefault="00D62750" w:rsidP="00D62750">
      <w:pPr>
        <w:pStyle w:val="Prrafodelista"/>
        <w:numPr>
          <w:ilvl w:val="0"/>
          <w:numId w:val="1"/>
        </w:numPr>
        <w:spacing w:line="360" w:lineRule="auto"/>
        <w:ind w:left="0" w:firstLine="0"/>
        <w:jc w:val="both"/>
        <w:rPr>
          <w:rFonts w:ascii="Palatino Linotype" w:hAnsi="Palatino Linotype" w:cs="Arial"/>
        </w:rPr>
      </w:pPr>
      <w:r w:rsidRPr="00AF7742">
        <w:rPr>
          <w:rFonts w:ascii="Palatino Linotype" w:hAnsi="Palatino Linotype" w:cs="Arial"/>
        </w:rPr>
        <w:t>La firma, no puede ser testada en razón de las funciones que se desempeñan, toda vez que, como se ha mencionado, cualquier acto de autoridad que se emane, éste deberá constatar por escrito y a la vez firmado para su respectiva validez; de tal circunstancia se desprende que la firma plasmada en los documentos solicitados por el particular puede ser corroborada en aquellos documentos solicitados por el particular puede ser corroborada en aquellos documentos que haya suscrito el servidor público de acuerdo a sus funciones que desempeña, por lo tanto no se puede considerar como un dato personal confidencial, en razón de que se ejercen actos de autoridad.</w:t>
      </w:r>
    </w:p>
    <w:p w14:paraId="44672823" w14:textId="77777777" w:rsidR="00AF7742" w:rsidRPr="00AF7742" w:rsidRDefault="00AF7742" w:rsidP="00AF7742">
      <w:pPr>
        <w:pStyle w:val="Prrafodelista"/>
        <w:spacing w:line="360" w:lineRule="auto"/>
        <w:ind w:left="0"/>
        <w:jc w:val="both"/>
        <w:rPr>
          <w:rFonts w:ascii="Palatino Linotype" w:hAnsi="Palatino Linotype" w:cs="Arial"/>
        </w:rPr>
      </w:pPr>
    </w:p>
    <w:p w14:paraId="6CB39CF0" w14:textId="77777777" w:rsidR="00D62750" w:rsidRPr="00AF7742" w:rsidRDefault="00D62750" w:rsidP="00D62750">
      <w:pPr>
        <w:pStyle w:val="Prrafodelista"/>
        <w:numPr>
          <w:ilvl w:val="0"/>
          <w:numId w:val="1"/>
        </w:numPr>
        <w:spacing w:line="360" w:lineRule="auto"/>
        <w:ind w:left="0" w:firstLine="0"/>
        <w:jc w:val="both"/>
        <w:rPr>
          <w:rFonts w:ascii="Palatino Linotype" w:hAnsi="Palatino Linotype" w:cs="Arial"/>
        </w:rPr>
      </w:pPr>
      <w:r w:rsidRPr="00AF7742">
        <w:rPr>
          <w:rFonts w:ascii="Palatino Linotype" w:eastAsia="MS Mincho" w:hAnsi="Palatino Linotype" w:cstheme="majorBidi"/>
        </w:rPr>
        <w:t>En términos similares, el entonces Instituto Federal de Acceso a la Información Pública (IFAI) ahora Instituto Nacional de Transparencia, Acceso a la Información y Protección de Datos Personales emitió el criterio número 010-10, que es de la literalidad siguiente:</w:t>
      </w:r>
    </w:p>
    <w:p w14:paraId="4198A124" w14:textId="77777777" w:rsidR="00D62750" w:rsidRPr="00AF7742" w:rsidRDefault="00D62750" w:rsidP="00D62750">
      <w:pPr>
        <w:spacing w:line="360" w:lineRule="auto"/>
        <w:ind w:left="567" w:right="616"/>
        <w:contextualSpacing/>
        <w:jc w:val="both"/>
        <w:rPr>
          <w:rFonts w:ascii="Palatino Linotype" w:eastAsia="MS Mincho" w:hAnsi="Palatino Linotype" w:cstheme="majorBidi"/>
        </w:rPr>
      </w:pPr>
    </w:p>
    <w:p w14:paraId="176AC8F5" w14:textId="77777777" w:rsidR="00D62750" w:rsidRPr="00AF7742" w:rsidRDefault="00D62750" w:rsidP="00D62750">
      <w:pPr>
        <w:ind w:left="567" w:right="616"/>
        <w:contextualSpacing/>
        <w:jc w:val="both"/>
        <w:rPr>
          <w:rFonts w:ascii="Palatino Linotype" w:eastAsia="MS Mincho" w:hAnsi="Palatino Linotype" w:cstheme="majorBidi"/>
          <w:i/>
        </w:rPr>
      </w:pPr>
      <w:r w:rsidRPr="00AF7742">
        <w:rPr>
          <w:rFonts w:ascii="Palatino Linotype" w:eastAsia="MS Mincho" w:hAnsi="Palatino Linotype" w:cstheme="majorBidi"/>
          <w:i/>
        </w:rPr>
        <w:t>“</w:t>
      </w:r>
      <w:r w:rsidRPr="00AF7742">
        <w:rPr>
          <w:rFonts w:ascii="Palatino Linotype" w:eastAsia="MS Mincho" w:hAnsi="Palatino Linotype" w:cstheme="majorBidi"/>
          <w:b/>
          <w:i/>
        </w:rPr>
        <w:t>La firma de los servidores públicos es información de carácter público cuando ésta es utilizada en el ejercicio de las facultades conferidas para el desempeño del servicio público</w:t>
      </w:r>
      <w:r w:rsidRPr="00AF7742">
        <w:rPr>
          <w:rFonts w:ascii="Palatino Linotype" w:eastAsia="MS Mincho" w:hAnsi="Palatino Linotype" w:cstheme="majorBidi"/>
          <w:i/>
        </w:rPr>
        <w:t xml:space="preserve">. Si bien la firma es un dato personal confidencial, en tanto que identifica o hace identificable a su titular, cuando un servidor público emite un acto como autoridad, en ejercicio de las funciones que tiene conferidas, la firma mediante la cual valida dicho acto es pública. Lo anterior, en virtud de que se realizó en cumplimiento de las obligaciones que le corresponden en términos de las disposiciones jurídicas aplicables. Por tanto, la firma de los servidores públicos, vinculada al ejercicio de la función pública, </w:t>
      </w:r>
      <w:r w:rsidRPr="00AF7742">
        <w:rPr>
          <w:rFonts w:ascii="Palatino Linotype" w:eastAsia="MS Mincho" w:hAnsi="Palatino Linotype" w:cstheme="majorBidi"/>
          <w:i/>
        </w:rPr>
        <w:lastRenderedPageBreak/>
        <w:t>es información de naturaleza pública, dado que documenta y rinde cuentas sobre el debido ejercicio de sus atribuciones con motivo del empleo, cargo o comisión que le han sido encomendados.</w:t>
      </w:r>
    </w:p>
    <w:p w14:paraId="76AC218A" w14:textId="77777777" w:rsidR="00D62750" w:rsidRPr="00AF7742" w:rsidRDefault="00D62750" w:rsidP="00D62750">
      <w:pPr>
        <w:spacing w:line="360" w:lineRule="auto"/>
        <w:ind w:left="567" w:right="616"/>
        <w:contextualSpacing/>
        <w:jc w:val="both"/>
        <w:rPr>
          <w:rFonts w:ascii="Palatino Linotype" w:eastAsia="MS Mincho" w:hAnsi="Palatino Linotype" w:cstheme="majorBidi"/>
        </w:rPr>
      </w:pPr>
    </w:p>
    <w:p w14:paraId="448F905C" w14:textId="14EF1B84" w:rsidR="00D62750" w:rsidRPr="00AF7742" w:rsidRDefault="00D62750" w:rsidP="00D62750">
      <w:pPr>
        <w:pStyle w:val="Prrafodelista"/>
        <w:numPr>
          <w:ilvl w:val="0"/>
          <w:numId w:val="1"/>
        </w:numPr>
        <w:spacing w:line="360" w:lineRule="auto"/>
        <w:ind w:left="0" w:firstLine="0"/>
        <w:jc w:val="both"/>
        <w:rPr>
          <w:rFonts w:ascii="Palatino Linotype" w:eastAsia="MS Mincho" w:hAnsi="Palatino Linotype" w:cstheme="majorBidi"/>
        </w:rPr>
      </w:pPr>
      <w:r w:rsidRPr="00AF7742">
        <w:rPr>
          <w:rFonts w:ascii="Palatino Linotype" w:eastAsia="MS Mincho" w:hAnsi="Palatino Linotype" w:cstheme="majorBidi"/>
        </w:rPr>
        <w:t>Así, la firma del servidor público que emite el acto de autoridad, dichos elementos en su conjunto, brindan certeza jurídica a los particulares, dado que rinde cuentas sobre el debido ejercicio de sus atribuciones con motivo del empleo, cargo o comisión que al servidor público le han sido encomendados.</w:t>
      </w:r>
    </w:p>
    <w:p w14:paraId="52A2028C" w14:textId="77777777" w:rsidR="00D62750" w:rsidRPr="00AF7742" w:rsidRDefault="00D62750" w:rsidP="00D62750">
      <w:pPr>
        <w:pStyle w:val="Prrafodelista"/>
        <w:tabs>
          <w:tab w:val="left" w:pos="142"/>
          <w:tab w:val="left" w:pos="426"/>
        </w:tabs>
        <w:spacing w:line="360" w:lineRule="auto"/>
        <w:ind w:left="0" w:right="49"/>
        <w:jc w:val="both"/>
        <w:rPr>
          <w:rFonts w:ascii="Palatino Linotype" w:hAnsi="Palatino Linotype" w:cs="Arial"/>
        </w:rPr>
      </w:pPr>
    </w:p>
    <w:p w14:paraId="2C4888A1" w14:textId="5CB91F69" w:rsidR="00D62750" w:rsidRPr="00AF7742" w:rsidRDefault="00D62750" w:rsidP="00D62750">
      <w:pPr>
        <w:pStyle w:val="Prrafodelista"/>
        <w:numPr>
          <w:ilvl w:val="0"/>
          <w:numId w:val="1"/>
        </w:numPr>
        <w:spacing w:line="360" w:lineRule="auto"/>
        <w:ind w:left="0" w:firstLine="0"/>
        <w:jc w:val="both"/>
        <w:rPr>
          <w:rFonts w:ascii="Palatino Linotype" w:hAnsi="Palatino Linotype" w:cs="Arial"/>
        </w:rPr>
      </w:pPr>
      <w:r w:rsidRPr="00AF7742">
        <w:rPr>
          <w:rFonts w:ascii="Palatino Linotype" w:hAnsi="Palatino Linotype" w:cs="Arial"/>
        </w:rPr>
        <w:t xml:space="preserve">En ese sentido, se considera que las personas que deciden incursionar al servicio público, conlleva a permitir cierta intromisión en </w:t>
      </w:r>
      <w:r w:rsidRPr="00AF7742">
        <w:rPr>
          <w:rFonts w:ascii="Palatino Linotype" w:eastAsia="MS Mincho" w:hAnsi="Palatino Linotype" w:cstheme="majorBidi"/>
        </w:rPr>
        <w:t>la</w:t>
      </w:r>
      <w:r w:rsidRPr="00AF7742">
        <w:rPr>
          <w:rFonts w:ascii="Palatino Linotype" w:hAnsi="Palatino Linotype" w:cs="Arial"/>
        </w:rPr>
        <w:t xml:space="preserve"> vida privada de los mismos, es decir, la restricción a sus datos personales es menor a una persona que no realiza actos de autoridad, dado que cuando la información reviste relevancia por o para el ejercicio de sus funciones, se tiene que permitir la publicidad del dato personal como lo es la firma, máxime cuando derivado de las atribuciones son los responsables de autorizarlos o bien otorgar atención al público.</w:t>
      </w:r>
    </w:p>
    <w:p w14:paraId="75AE652C" w14:textId="77777777" w:rsidR="00D62750" w:rsidRPr="00AF7742" w:rsidRDefault="00D62750" w:rsidP="00D62750">
      <w:pPr>
        <w:pStyle w:val="Prrafodelista"/>
        <w:tabs>
          <w:tab w:val="left" w:pos="142"/>
          <w:tab w:val="left" w:pos="426"/>
        </w:tabs>
        <w:spacing w:line="360" w:lineRule="auto"/>
        <w:ind w:left="0" w:right="49"/>
        <w:jc w:val="both"/>
        <w:rPr>
          <w:rFonts w:ascii="Palatino Linotype" w:hAnsi="Palatino Linotype" w:cs="Arial"/>
        </w:rPr>
      </w:pPr>
    </w:p>
    <w:p w14:paraId="57F6AEF2" w14:textId="3AFE6168" w:rsidR="00D62750" w:rsidRPr="00AF7742" w:rsidRDefault="00D62750" w:rsidP="00B24087">
      <w:pPr>
        <w:pStyle w:val="Prrafodelista"/>
        <w:numPr>
          <w:ilvl w:val="0"/>
          <w:numId w:val="1"/>
        </w:numPr>
        <w:spacing w:line="360" w:lineRule="auto"/>
        <w:ind w:left="0" w:firstLine="0"/>
        <w:jc w:val="both"/>
        <w:rPr>
          <w:rFonts w:ascii="Palatino Linotype" w:hAnsi="Palatino Linotype" w:cs="Arial"/>
        </w:rPr>
      </w:pPr>
      <w:r w:rsidRPr="00AF7742">
        <w:rPr>
          <w:rFonts w:ascii="Palatino Linotype" w:hAnsi="Palatino Linotype" w:cs="Arial"/>
        </w:rPr>
        <w:t>Considerar la firma como un dato personal confidencial, susceptible de clasificarse como recibido de conformidad en el FUMP, resulta un argumento restrictivo e inaplicable al caso concreto</w:t>
      </w:r>
      <w:r w:rsidR="00B24087" w:rsidRPr="00AF7742">
        <w:rPr>
          <w:rFonts w:ascii="Palatino Linotype" w:hAnsi="Palatino Linotype" w:cs="Arial"/>
        </w:rPr>
        <w:t xml:space="preserve">. </w:t>
      </w:r>
      <w:r w:rsidRPr="00AF7742">
        <w:rPr>
          <w:rFonts w:ascii="Palatino Linotype" w:hAnsi="Palatino Linotype" w:cs="Arial"/>
        </w:rPr>
        <w:t xml:space="preserve">Por lo anterior, no se considera procedente la clasificación de la firma de un servidor público, </w:t>
      </w:r>
      <w:r w:rsidR="00B24087" w:rsidRPr="00AF7742">
        <w:rPr>
          <w:rFonts w:ascii="Palatino Linotype" w:hAnsi="Palatino Linotype" w:cs="Arial"/>
        </w:rPr>
        <w:t>aun y</w:t>
      </w:r>
      <w:r w:rsidRPr="00AF7742">
        <w:rPr>
          <w:rFonts w:ascii="Palatino Linotype" w:hAnsi="Palatino Linotype" w:cs="Arial"/>
        </w:rPr>
        <w:t xml:space="preserve"> cuando </w:t>
      </w:r>
      <w:r w:rsidR="00B24087" w:rsidRPr="00AF7742">
        <w:rPr>
          <w:rFonts w:ascii="Palatino Linotype" w:hAnsi="Palatino Linotype" w:cs="Arial"/>
        </w:rPr>
        <w:t xml:space="preserve">no </w:t>
      </w:r>
      <w:r w:rsidRPr="00AF7742">
        <w:rPr>
          <w:rFonts w:ascii="Palatino Linotype" w:hAnsi="Palatino Linotype" w:cs="Arial"/>
        </w:rPr>
        <w:t>tenga nivel medio o superior, pues resulta mayor el beneficio de conocer que el dato que permite identificar que la persona a quien se le expidió la patente para ejercer su profesión, es la misma que emitió el acto de autoridad.</w:t>
      </w:r>
    </w:p>
    <w:p w14:paraId="68425D5F" w14:textId="77777777" w:rsidR="00D62750" w:rsidRPr="00AF7742" w:rsidRDefault="00D62750" w:rsidP="00D62750">
      <w:pPr>
        <w:pStyle w:val="Prrafodelista"/>
        <w:rPr>
          <w:rFonts w:ascii="Palatino Linotype" w:hAnsi="Palatino Linotype" w:cs="Arial"/>
        </w:rPr>
      </w:pPr>
    </w:p>
    <w:p w14:paraId="5B024AC3" w14:textId="77777777" w:rsidR="00D62750" w:rsidRPr="00AF7742" w:rsidRDefault="00D62750" w:rsidP="00B24087">
      <w:pPr>
        <w:pStyle w:val="Prrafodelista"/>
        <w:numPr>
          <w:ilvl w:val="0"/>
          <w:numId w:val="1"/>
        </w:numPr>
        <w:spacing w:line="360" w:lineRule="auto"/>
        <w:ind w:left="0" w:firstLine="0"/>
        <w:jc w:val="both"/>
        <w:rPr>
          <w:rFonts w:ascii="Palatino Linotype" w:hAnsi="Palatino Linotype" w:cs="Arial"/>
        </w:rPr>
      </w:pPr>
      <w:r w:rsidRPr="00AF7742">
        <w:rPr>
          <w:rFonts w:ascii="Palatino Linotype" w:hAnsi="Palatino Linotype" w:cs="Arial"/>
          <w:color w:val="000000" w:themeColor="text1"/>
        </w:rPr>
        <w:lastRenderedPageBreak/>
        <w:t xml:space="preserve">Podría señalarse que el criterio que he sostenido constituye una restricción al derecho de protección de datos personales de las personas que desempeñan alguna función </w:t>
      </w:r>
      <w:r w:rsidRPr="00AF7742">
        <w:rPr>
          <w:rFonts w:ascii="Palatino Linotype" w:hAnsi="Palatino Linotype" w:cs="Arial"/>
        </w:rPr>
        <w:t>pública</w:t>
      </w:r>
      <w:r w:rsidRPr="00AF7742">
        <w:rPr>
          <w:rFonts w:ascii="Palatino Linotype" w:hAnsi="Palatino Linotype" w:cs="Arial"/>
          <w:color w:val="000000" w:themeColor="text1"/>
        </w:rPr>
        <w:t>, lo cual es cierto ya que las mismas disposiciones señalan que ningún derecho es absoluto y es dable establecer límites, siempre y cuando se sujeten a procedimientos estrictos para la adecuada defensa de la dignidad humana y la propia viabilidad de la sociedad democrática, pero además, que exista un esfuerzo adecuado y proporcional de los titulares del derecho para propiciar su debido ejercicio.</w:t>
      </w:r>
    </w:p>
    <w:p w14:paraId="01FAF7D4" w14:textId="77777777" w:rsidR="00D62750" w:rsidRPr="00AF7742" w:rsidRDefault="00D62750" w:rsidP="00D62750">
      <w:pPr>
        <w:pStyle w:val="Prrafodelista"/>
        <w:tabs>
          <w:tab w:val="left" w:pos="142"/>
          <w:tab w:val="left" w:pos="426"/>
        </w:tabs>
        <w:spacing w:line="360" w:lineRule="auto"/>
        <w:ind w:left="0" w:right="49"/>
        <w:jc w:val="both"/>
        <w:rPr>
          <w:rFonts w:ascii="Palatino Linotype" w:hAnsi="Palatino Linotype" w:cs="Arial"/>
        </w:rPr>
      </w:pPr>
    </w:p>
    <w:p w14:paraId="49DFDF59" w14:textId="7050FEF3" w:rsidR="00B24087" w:rsidRPr="00AF7742" w:rsidRDefault="00D62750" w:rsidP="00B24087">
      <w:pPr>
        <w:pStyle w:val="Prrafodelista"/>
        <w:numPr>
          <w:ilvl w:val="0"/>
          <w:numId w:val="1"/>
        </w:numPr>
        <w:spacing w:line="360" w:lineRule="auto"/>
        <w:ind w:left="0" w:firstLine="0"/>
        <w:jc w:val="both"/>
        <w:rPr>
          <w:rFonts w:ascii="Palatino Linotype" w:hAnsi="Palatino Linotype" w:cs="Arial"/>
        </w:rPr>
      </w:pPr>
      <w:r w:rsidRPr="00AF7742">
        <w:rPr>
          <w:rFonts w:ascii="Palatino Linotype" w:hAnsi="Palatino Linotype" w:cs="Arial"/>
          <w:color w:val="000000" w:themeColor="text1"/>
        </w:rPr>
        <w:t>En el caso que nos ocupa se trata de personas que, al decidir incursionar en el ejercicio de responsabilidades públicas, han decidido, por sí mismas, someterse al escrutinio de una sociedad democrática. Además y como ya se ha señalado, el dato personal contenido en ellos como lo es la firma es información de interés público, que acredita que la persona a quien s</w:t>
      </w:r>
      <w:r w:rsidR="00B24087" w:rsidRPr="00AF7742">
        <w:rPr>
          <w:rFonts w:ascii="Palatino Linotype" w:hAnsi="Palatino Linotype" w:cs="Arial"/>
          <w:color w:val="000000" w:themeColor="text1"/>
        </w:rPr>
        <w:t>e le expidió dichos documentos</w:t>
      </w:r>
      <w:r w:rsidR="00B24087" w:rsidRPr="00AF7742">
        <w:rPr>
          <w:rFonts w:ascii="Palatino Linotype" w:hAnsi="Palatino Linotype" w:cs="Arial"/>
        </w:rPr>
        <w:t>.</w:t>
      </w:r>
    </w:p>
    <w:p w14:paraId="4ED53177" w14:textId="77777777" w:rsidR="00B24087" w:rsidRPr="00AF7742" w:rsidRDefault="00B24087" w:rsidP="00B24087">
      <w:pPr>
        <w:pStyle w:val="Prrafodelista"/>
        <w:rPr>
          <w:rFonts w:ascii="Palatino Linotype" w:hAnsi="Palatino Linotype" w:cs="Arial"/>
        </w:rPr>
      </w:pPr>
    </w:p>
    <w:p w14:paraId="36FD35DA" w14:textId="5F801774" w:rsidR="00D62750" w:rsidRPr="00AF7742" w:rsidRDefault="00D62750" w:rsidP="00B24087">
      <w:pPr>
        <w:pStyle w:val="Prrafodelista"/>
        <w:numPr>
          <w:ilvl w:val="0"/>
          <w:numId w:val="1"/>
        </w:numPr>
        <w:spacing w:line="360" w:lineRule="auto"/>
        <w:ind w:left="0" w:firstLine="0"/>
        <w:jc w:val="both"/>
        <w:rPr>
          <w:rFonts w:ascii="Palatino Linotype" w:hAnsi="Palatino Linotype" w:cs="Arial"/>
        </w:rPr>
      </w:pPr>
      <w:r w:rsidRPr="00AF7742">
        <w:rPr>
          <w:rFonts w:ascii="Palatino Linotype" w:hAnsi="Palatino Linotype"/>
        </w:rPr>
        <w:t>Por tanto</w:t>
      </w:r>
      <w:r w:rsidRPr="00AF7742">
        <w:rPr>
          <w:rFonts w:ascii="Palatino Linotype" w:eastAsia="Times New Roman" w:hAnsi="Palatino Linotype" w:cs="Arial"/>
          <w:lang w:val="es-ES" w:eastAsia="es-MX"/>
        </w:rPr>
        <w:t>, en es</w:t>
      </w:r>
      <w:r w:rsidR="00B24087" w:rsidRPr="00AF7742">
        <w:rPr>
          <w:rFonts w:ascii="Palatino Linotype" w:eastAsia="Times New Roman" w:hAnsi="Palatino Linotype" w:cs="Arial"/>
          <w:lang w:val="es-ES" w:eastAsia="es-MX"/>
        </w:rPr>
        <w:t>t</w:t>
      </w:r>
      <w:r w:rsidRPr="00AF7742">
        <w:rPr>
          <w:rFonts w:ascii="Palatino Linotype" w:eastAsia="Times New Roman" w:hAnsi="Palatino Linotype" w:cs="Arial"/>
          <w:lang w:val="es-ES" w:eastAsia="es-MX"/>
        </w:rPr>
        <w:t>os casos, la firma no puede constitu</w:t>
      </w:r>
      <w:r w:rsidR="00B24087" w:rsidRPr="00AF7742">
        <w:rPr>
          <w:rFonts w:ascii="Palatino Linotype" w:eastAsia="Times New Roman" w:hAnsi="Palatino Linotype" w:cs="Arial"/>
          <w:lang w:val="es-ES" w:eastAsia="es-MX"/>
        </w:rPr>
        <w:t>ir un dato personal que requiera</w:t>
      </w:r>
      <w:r w:rsidRPr="00AF7742">
        <w:rPr>
          <w:rFonts w:ascii="Palatino Linotype" w:eastAsia="Times New Roman" w:hAnsi="Palatino Linotype" w:cs="Arial"/>
          <w:lang w:val="es-ES" w:eastAsia="es-MX"/>
        </w:rPr>
        <w:t xml:space="preserve"> del consentimiento del titular de la información para su difusión, pues constituye un elemento </w:t>
      </w:r>
      <w:r w:rsidRPr="00AF7742">
        <w:rPr>
          <w:rFonts w:ascii="Palatino Linotype" w:hAnsi="Palatino Linotype" w:cs="Arial"/>
          <w:color w:val="000000" w:themeColor="text1"/>
        </w:rPr>
        <w:t>que</w:t>
      </w:r>
      <w:r w:rsidRPr="00AF7742">
        <w:rPr>
          <w:rFonts w:ascii="Palatino Linotype" w:eastAsia="Times New Roman" w:hAnsi="Palatino Linotype" w:cs="Arial"/>
          <w:lang w:val="es-ES" w:eastAsia="es-MX"/>
        </w:rPr>
        <w:t xml:space="preserve"> permite reflejar que la persona que emite un acto de autoridad es la misma a quien se le expidió</w:t>
      </w:r>
      <w:r w:rsidR="00B24087" w:rsidRPr="00AF7742">
        <w:rPr>
          <w:rFonts w:ascii="Palatino Linotype" w:eastAsia="Times New Roman" w:hAnsi="Palatino Linotype" w:cs="Arial"/>
          <w:lang w:val="es-ES" w:eastAsia="es-MX"/>
        </w:rPr>
        <w:t xml:space="preserve"> dichos formatos</w:t>
      </w:r>
      <w:r w:rsidRPr="00AF7742">
        <w:rPr>
          <w:rFonts w:ascii="Palatino Linotype" w:eastAsia="Times New Roman" w:hAnsi="Palatino Linotype" w:cs="Arial"/>
          <w:lang w:val="es-ES" w:eastAsia="es-MX"/>
        </w:rPr>
        <w:t>.</w:t>
      </w:r>
      <w:r w:rsidR="00B24087" w:rsidRPr="00AF7742">
        <w:rPr>
          <w:rFonts w:ascii="Palatino Linotype" w:eastAsia="Times New Roman" w:hAnsi="Palatino Linotype" w:cs="Arial"/>
          <w:lang w:val="es-ES" w:eastAsia="es-MX"/>
        </w:rPr>
        <w:t xml:space="preserve"> De tal manera que se estima dable ordenar las documentales de referencia en correcta versión pública.</w:t>
      </w:r>
    </w:p>
    <w:p w14:paraId="27185162" w14:textId="77777777" w:rsidR="00B24087" w:rsidRPr="00AF7742" w:rsidRDefault="00B24087" w:rsidP="00B24087">
      <w:pPr>
        <w:pStyle w:val="Prrafodelista"/>
        <w:rPr>
          <w:rFonts w:ascii="Palatino Linotype" w:hAnsi="Palatino Linotype" w:cs="Arial"/>
        </w:rPr>
      </w:pPr>
    </w:p>
    <w:p w14:paraId="1E916BDC" w14:textId="7ED2DC69" w:rsidR="007D4D20" w:rsidRPr="00AF7742" w:rsidRDefault="007D4D20" w:rsidP="007D4D20">
      <w:pPr>
        <w:pStyle w:val="Prrafodelista"/>
        <w:numPr>
          <w:ilvl w:val="0"/>
          <w:numId w:val="1"/>
        </w:numPr>
        <w:spacing w:line="360" w:lineRule="auto"/>
        <w:ind w:left="0" w:firstLine="0"/>
        <w:jc w:val="both"/>
        <w:rPr>
          <w:rFonts w:ascii="Palatino Linotype" w:hAnsi="Palatino Linotype"/>
          <w:color w:val="222222"/>
          <w:lang w:eastAsia="es-MX"/>
        </w:rPr>
      </w:pPr>
      <w:r w:rsidRPr="00AF7742">
        <w:rPr>
          <w:rFonts w:ascii="Palatino Linotype" w:hAnsi="Palatino Linotype"/>
          <w:color w:val="222222"/>
          <w:lang w:eastAsia="es-MX"/>
        </w:rPr>
        <w:t>En relación otro dato que se advierte testado y del cual no se advierte la debida motivación y fundamentación, corresponde a la clave de servidor público, el cual constituye un instrumento de control interno que permite a las dependencias y entidades identificar a sus trabajadores y a estos les facilita la realización de gestiones en su carácter de empleado.</w:t>
      </w:r>
    </w:p>
    <w:p w14:paraId="4BE39E67" w14:textId="28F7F36D" w:rsidR="007D4D20" w:rsidRPr="00AF7742" w:rsidRDefault="007D4D20" w:rsidP="007D4D20">
      <w:pPr>
        <w:pStyle w:val="Prrafodelista"/>
        <w:shd w:val="clear" w:color="auto" w:fill="FFFFFF"/>
        <w:spacing w:line="360" w:lineRule="auto"/>
        <w:ind w:left="502"/>
        <w:jc w:val="both"/>
        <w:rPr>
          <w:rFonts w:ascii="Palatino Linotype" w:hAnsi="Palatino Linotype"/>
          <w:color w:val="222222"/>
          <w:lang w:eastAsia="es-MX"/>
        </w:rPr>
      </w:pPr>
    </w:p>
    <w:p w14:paraId="7640BA32" w14:textId="77777777" w:rsidR="007D4D20" w:rsidRPr="00AF7742" w:rsidRDefault="007D4D20" w:rsidP="007D4D20">
      <w:pPr>
        <w:pStyle w:val="Prrafodelista"/>
        <w:numPr>
          <w:ilvl w:val="0"/>
          <w:numId w:val="1"/>
        </w:numPr>
        <w:spacing w:line="360" w:lineRule="auto"/>
        <w:ind w:left="0" w:firstLine="0"/>
        <w:jc w:val="both"/>
        <w:rPr>
          <w:rFonts w:ascii="Palatino Linotype" w:hAnsi="Palatino Linotype"/>
          <w:color w:val="222222"/>
          <w:lang w:eastAsia="es-MX"/>
        </w:rPr>
      </w:pPr>
      <w:r w:rsidRPr="00AF7742">
        <w:rPr>
          <w:rFonts w:ascii="Palatino Linotype" w:hAnsi="Palatino Linotype"/>
          <w:color w:val="222222"/>
          <w:lang w:eastAsia="es-MX"/>
        </w:rPr>
        <w:t>En ese sentido, cuando el número de empleado se integre de datos personales de los trabajadores, procede su clasificación en términos de lo previsto en el artículo 143, fracción I de la Ley de Transparencia y Acceso a la Información Pública del Estado de México y Municipios; sin embargo, cuando dicho dato se conforma de dígitos, letras o símbolos que no revelan datos personales, no reviste el carácter de confidencial, al no dar por sí solo acceso a datos personales.</w:t>
      </w:r>
    </w:p>
    <w:p w14:paraId="2C33F5C5" w14:textId="07BAEBE2" w:rsidR="007D4D20" w:rsidRPr="00AF7742" w:rsidRDefault="007D4D20" w:rsidP="007D4D20">
      <w:pPr>
        <w:pStyle w:val="Prrafodelista"/>
        <w:shd w:val="clear" w:color="auto" w:fill="FFFFFF"/>
        <w:spacing w:line="360" w:lineRule="auto"/>
        <w:ind w:left="502"/>
        <w:rPr>
          <w:rFonts w:ascii="Palatino Linotype" w:hAnsi="Palatino Linotype"/>
          <w:color w:val="222222"/>
          <w:lang w:eastAsia="es-MX"/>
        </w:rPr>
      </w:pPr>
    </w:p>
    <w:p w14:paraId="606845BB" w14:textId="77777777" w:rsidR="007D4D20" w:rsidRPr="00AF7742" w:rsidRDefault="007D4D20" w:rsidP="007D4D20">
      <w:pPr>
        <w:pStyle w:val="Prrafodelista"/>
        <w:numPr>
          <w:ilvl w:val="0"/>
          <w:numId w:val="1"/>
        </w:numPr>
        <w:spacing w:line="360" w:lineRule="auto"/>
        <w:ind w:left="0" w:firstLine="0"/>
        <w:jc w:val="both"/>
        <w:rPr>
          <w:rFonts w:ascii="Palatino Linotype" w:hAnsi="Palatino Linotype"/>
          <w:color w:val="222222"/>
          <w:lang w:eastAsia="es-MX"/>
        </w:rPr>
      </w:pPr>
      <w:r w:rsidRPr="00AF7742">
        <w:rPr>
          <w:rFonts w:ascii="Palatino Linotype" w:hAnsi="Palatino Linotype"/>
          <w:color w:val="222222"/>
          <w:lang w:eastAsia="es-MX"/>
        </w:rPr>
        <w:t>Lo anterior, se robustece con el Criterio 03/14, emitido por el Pleno del entonces Instituto Federal de Acceso a la Información y Protección de Datos, que establece lo siguiente:</w:t>
      </w:r>
    </w:p>
    <w:p w14:paraId="1B47F57F" w14:textId="6EDF4DDC" w:rsidR="007D4D20" w:rsidRPr="00AF7742" w:rsidRDefault="007D4D20" w:rsidP="007D4D20">
      <w:pPr>
        <w:pStyle w:val="Prrafodelista"/>
        <w:shd w:val="clear" w:color="auto" w:fill="FFFFFF"/>
        <w:spacing w:line="360" w:lineRule="auto"/>
        <w:ind w:left="502"/>
        <w:jc w:val="both"/>
        <w:rPr>
          <w:rFonts w:ascii="Palatino Linotype" w:hAnsi="Palatino Linotype"/>
          <w:color w:val="222222"/>
          <w:lang w:eastAsia="es-MX"/>
        </w:rPr>
      </w:pPr>
    </w:p>
    <w:p w14:paraId="32A1C575" w14:textId="77777777" w:rsidR="007D4D20" w:rsidRPr="00AF7742" w:rsidRDefault="007D4D20" w:rsidP="007D4D20">
      <w:pPr>
        <w:pStyle w:val="Prrafodelista"/>
        <w:shd w:val="clear" w:color="auto" w:fill="FFFFFF"/>
        <w:spacing w:line="360" w:lineRule="auto"/>
        <w:ind w:left="502" w:right="567"/>
        <w:jc w:val="both"/>
        <w:rPr>
          <w:rFonts w:ascii="Palatino Linotype" w:hAnsi="Palatino Linotype"/>
          <w:i/>
          <w:color w:val="222222"/>
          <w:lang w:eastAsia="es-MX"/>
        </w:rPr>
      </w:pPr>
      <w:r w:rsidRPr="00AF7742">
        <w:rPr>
          <w:rFonts w:ascii="Palatino Linotype" w:hAnsi="Palatino Linotype"/>
          <w:b/>
          <w:bCs/>
          <w:i/>
          <w:color w:val="222222"/>
          <w:lang w:eastAsia="es-MX"/>
        </w:rPr>
        <w:t>“Número de empleado, o su equivalente, si se integra con datos personales del trabajador o permite acceder a éstos sin necesidad de una contraseña, constituye información confidencial.</w:t>
      </w:r>
      <w:r w:rsidRPr="00AF7742">
        <w:rPr>
          <w:rFonts w:ascii="Palatino Linotype" w:hAnsi="Palatino Linotype"/>
          <w:i/>
          <w:color w:val="222222"/>
          <w:lang w:eastAsia="es-MX"/>
        </w:rPr>
        <w:t xml:space="preserve"> El número de empleado, con independencia del nombre que reciba, constituye un instrumento de control interno que permite a las dependencias y entidades identificar a sus trabajadores, y a éstos les facilita la realización de gestiones en su carácter de empleado. En este sentido, cuando el número de empleado, o su equivalente, se integra con datos personales de los trabajadores; o funciona como una clave de acceso que no requiere adicionalmente de una contraseña para ingresar a sistemas o bases en las que obran datos personales, procede su clasificación en términos de lo previsto en el artículo 18, fracción II de la Ley Federal de Transparencia y Acceso a la Información Pública Gubernamental, en relación con el artículo 3, fracción II de ese mismo </w:t>
      </w:r>
      <w:r w:rsidRPr="00AF7742">
        <w:rPr>
          <w:rFonts w:ascii="Palatino Linotype" w:hAnsi="Palatino Linotype"/>
          <w:i/>
          <w:color w:val="222222"/>
          <w:lang w:eastAsia="es-MX"/>
        </w:rPr>
        <w:lastRenderedPageBreak/>
        <w:t>ordenamiento. Sin embargo, cuando el número de empleado es un elemento que requiere de una contraseña para acceder a sistemas de datos o su conformación no revela datos personales, no reviste el carácter de confidencial, ya que por sí solo no permite el acceso a los datos personales de los servidores públicos.”</w:t>
      </w:r>
    </w:p>
    <w:p w14:paraId="0320D573" w14:textId="2D3BEC27" w:rsidR="007D4D20" w:rsidRPr="00AF7742" w:rsidRDefault="007D4D20" w:rsidP="007D4D20">
      <w:pPr>
        <w:pStyle w:val="Prrafodelista"/>
        <w:shd w:val="clear" w:color="auto" w:fill="FFFFFF"/>
        <w:spacing w:line="360" w:lineRule="auto"/>
        <w:ind w:left="502"/>
        <w:jc w:val="both"/>
        <w:rPr>
          <w:rFonts w:ascii="Palatino Linotype" w:hAnsi="Palatino Linotype"/>
          <w:color w:val="222222"/>
          <w:lang w:eastAsia="es-MX"/>
        </w:rPr>
      </w:pPr>
    </w:p>
    <w:p w14:paraId="1DA95C3E" w14:textId="033E1E93" w:rsidR="007D4D20" w:rsidRPr="00AF7742" w:rsidRDefault="007D4D20" w:rsidP="007D4D20">
      <w:pPr>
        <w:pStyle w:val="Prrafodelista"/>
        <w:numPr>
          <w:ilvl w:val="0"/>
          <w:numId w:val="1"/>
        </w:numPr>
        <w:spacing w:line="360" w:lineRule="auto"/>
        <w:ind w:left="0" w:firstLine="0"/>
        <w:jc w:val="both"/>
        <w:rPr>
          <w:rFonts w:ascii="Palatino Linotype" w:hAnsi="Palatino Linotype"/>
          <w:color w:val="222222"/>
          <w:lang w:eastAsia="es-MX"/>
        </w:rPr>
      </w:pPr>
      <w:r w:rsidRPr="00AF7742">
        <w:rPr>
          <w:rFonts w:ascii="Palatino Linotype" w:hAnsi="Palatino Linotype"/>
          <w:color w:val="222222"/>
          <w:lang w:eastAsia="es-MX"/>
        </w:rPr>
        <w:t>En ese contexto, cabe recordar que en algunos casos la clave de servidor público tiene inmersa la clave de ISSEMyM, lo cual no específica si en el presente asunto se da ese supuesto, o puede corresponder a una serie de dígitos con el único fin de estar en condiciones de identificarlos de forma inmediata en los sistemas de personal; es por ello que se considera, que en el presente caso la clave de servidor público  se deberá hacer publica si únicamente se conforma de números, que de ninguna manera revelan datos personales de los servidores públicos como pueden ser además de claves ISSEMyM, algún tipo de contraseña; por lo tanto, este Instituto considera que no procede la clasificación del número de empleado de los servidores públicos (salvo los supuestos de referencia), en términos del artículo 143, fracción I de la Ley de la materia.</w:t>
      </w:r>
    </w:p>
    <w:p w14:paraId="3418B217" w14:textId="77777777" w:rsidR="007D4D20" w:rsidRPr="00AF7742" w:rsidRDefault="007D4D20" w:rsidP="007D4D20">
      <w:pPr>
        <w:pStyle w:val="Prrafodelista"/>
        <w:rPr>
          <w:rFonts w:ascii="Palatino Linotype" w:hAnsi="Palatino Linotype" w:cs="Arial"/>
        </w:rPr>
      </w:pPr>
    </w:p>
    <w:p w14:paraId="5010945B" w14:textId="71E4C668" w:rsidR="00B24087" w:rsidRPr="00AF7742" w:rsidRDefault="007D4D20" w:rsidP="00B24087">
      <w:pPr>
        <w:pStyle w:val="Prrafodelista"/>
        <w:numPr>
          <w:ilvl w:val="0"/>
          <w:numId w:val="1"/>
        </w:numPr>
        <w:spacing w:line="360" w:lineRule="auto"/>
        <w:ind w:left="0" w:firstLine="0"/>
        <w:jc w:val="both"/>
        <w:rPr>
          <w:rFonts w:ascii="Palatino Linotype" w:hAnsi="Palatino Linotype" w:cs="Arial"/>
        </w:rPr>
      </w:pPr>
      <w:r w:rsidRPr="00AF7742">
        <w:rPr>
          <w:rFonts w:ascii="Palatino Linotype" w:hAnsi="Palatino Linotype" w:cs="Arial"/>
        </w:rPr>
        <w:t>Por otro lado y a</w:t>
      </w:r>
      <w:r w:rsidR="00B24087" w:rsidRPr="00AF7742">
        <w:rPr>
          <w:rFonts w:ascii="Palatino Linotype" w:hAnsi="Palatino Linotype" w:cs="Arial"/>
        </w:rPr>
        <w:t xml:space="preserve"> </w:t>
      </w:r>
      <w:r w:rsidRPr="00AF7742">
        <w:rPr>
          <w:rFonts w:ascii="Palatino Linotype" w:hAnsi="Palatino Linotype" w:cs="Arial"/>
        </w:rPr>
        <w:t>colación</w:t>
      </w:r>
      <w:r w:rsidR="00B24087" w:rsidRPr="00AF7742">
        <w:rPr>
          <w:rFonts w:ascii="Palatino Linotype" w:hAnsi="Palatino Linotype" w:cs="Arial"/>
        </w:rPr>
        <w:t xml:space="preserve"> de dichos Formatos, se estima dable traer a contexto el rubro relativo al tiempo que llevan laborando</w:t>
      </w:r>
      <w:r w:rsidR="00393335" w:rsidRPr="00AF7742">
        <w:rPr>
          <w:rFonts w:ascii="Palatino Linotype" w:hAnsi="Palatino Linotype" w:cs="Arial"/>
        </w:rPr>
        <w:t xml:space="preserve"> a la fecha de la solicitud, rubro del cual si bien no existió pronunciamiento en la respuesta inicial, si lo hubo en calidad de informe justificado, en donde se manifestó que al entregarse el FUMP, el ahora </w:t>
      </w:r>
      <w:r w:rsidR="00393335" w:rsidRPr="00AF7742">
        <w:rPr>
          <w:rFonts w:ascii="Palatino Linotype" w:hAnsi="Palatino Linotype" w:cs="Arial"/>
          <w:b/>
        </w:rPr>
        <w:t>RECURRENTE</w:t>
      </w:r>
      <w:r w:rsidR="00393335" w:rsidRPr="00AF7742">
        <w:rPr>
          <w:rFonts w:ascii="Palatino Linotype" w:hAnsi="Palatino Linotype" w:cs="Arial"/>
        </w:rPr>
        <w:t xml:space="preserve"> puede determinarlo de propia cuenta,</w:t>
      </w:r>
    </w:p>
    <w:p w14:paraId="2F070051" w14:textId="77777777" w:rsidR="00393335" w:rsidRPr="00AF7742" w:rsidRDefault="00393335" w:rsidP="00393335">
      <w:pPr>
        <w:pStyle w:val="Prrafodelista"/>
        <w:rPr>
          <w:rFonts w:ascii="Palatino Linotype" w:hAnsi="Palatino Linotype" w:cs="Arial"/>
        </w:rPr>
      </w:pPr>
    </w:p>
    <w:p w14:paraId="3A3F720C" w14:textId="3D77AE04" w:rsidR="00393335" w:rsidRPr="00AF7742" w:rsidRDefault="00393335" w:rsidP="00B24087">
      <w:pPr>
        <w:pStyle w:val="Prrafodelista"/>
        <w:numPr>
          <w:ilvl w:val="0"/>
          <w:numId w:val="1"/>
        </w:numPr>
        <w:spacing w:line="360" w:lineRule="auto"/>
        <w:ind w:left="0" w:firstLine="0"/>
        <w:jc w:val="both"/>
        <w:rPr>
          <w:rFonts w:ascii="Palatino Linotype" w:hAnsi="Palatino Linotype" w:cs="Arial"/>
        </w:rPr>
      </w:pPr>
      <w:r w:rsidRPr="00AF7742">
        <w:rPr>
          <w:rFonts w:ascii="Palatino Linotype" w:hAnsi="Palatino Linotype" w:cs="Arial"/>
        </w:rPr>
        <w:t xml:space="preserve">Al respecto es de explorado derecho que el acceso a la información pública es un derecho que versa sobre documentos, el cual se colma con la entrega del soporte documental </w:t>
      </w:r>
      <w:r w:rsidRPr="00AF7742">
        <w:rPr>
          <w:rFonts w:ascii="Palatino Linotype" w:hAnsi="Palatino Linotype" w:cs="Arial"/>
        </w:rPr>
        <w:lastRenderedPageBreak/>
        <w:t>en que conste o se advierta lo solicitado sin que para tal efecto los sujetos obligados se encuentren compelidos, a generar o procesar la información a efecto de entregarla conforme a los intereses particulares de los solicitantes.</w:t>
      </w:r>
    </w:p>
    <w:p w14:paraId="2B07C5F6" w14:textId="77777777" w:rsidR="00D62750" w:rsidRPr="00AF7742" w:rsidRDefault="00D62750" w:rsidP="00D62750">
      <w:pPr>
        <w:pStyle w:val="Prrafodelista"/>
        <w:tabs>
          <w:tab w:val="left" w:pos="142"/>
          <w:tab w:val="left" w:pos="426"/>
        </w:tabs>
        <w:spacing w:line="360" w:lineRule="auto"/>
        <w:ind w:left="0" w:right="49"/>
        <w:jc w:val="both"/>
        <w:rPr>
          <w:rFonts w:ascii="Palatino Linotype" w:hAnsi="Palatino Linotype" w:cs="Arial"/>
        </w:rPr>
      </w:pPr>
    </w:p>
    <w:p w14:paraId="499BE2D8" w14:textId="6C928FB1" w:rsidR="00635ACB" w:rsidRPr="00AF7742" w:rsidRDefault="00393335" w:rsidP="007D4D20">
      <w:pPr>
        <w:pStyle w:val="Prrafodelista"/>
        <w:numPr>
          <w:ilvl w:val="0"/>
          <w:numId w:val="1"/>
        </w:numPr>
        <w:spacing w:line="360" w:lineRule="auto"/>
        <w:ind w:left="0" w:firstLine="0"/>
        <w:jc w:val="both"/>
        <w:rPr>
          <w:rFonts w:ascii="Palatino Linotype" w:hAnsi="Palatino Linotype"/>
          <w:color w:val="000000" w:themeColor="text1"/>
        </w:rPr>
      </w:pPr>
      <w:r w:rsidRPr="00AF7742">
        <w:rPr>
          <w:rFonts w:ascii="Palatino Linotype" w:hAnsi="Palatino Linotype" w:cs="Arial"/>
        </w:rPr>
        <w:t xml:space="preserve">En ese sentido al entregar el FUMP, se suscribe que corresponde a una documental en la que de manera enunciativa mas no limitativa puede el solicitante de propia cuenta determinar el lapso temporal que es de su intereses, por lo que se tiene por colmado el rubro en comento, en estricta observancia al </w:t>
      </w:r>
      <w:r w:rsidR="00635ACB" w:rsidRPr="00AF7742">
        <w:rPr>
          <w:rFonts w:ascii="Palatino Linotype" w:hAnsi="Palatino Linotype" w:cs="Arial"/>
          <w:b/>
        </w:rPr>
        <w:t>Criterio 03/17</w:t>
      </w:r>
      <w:r w:rsidR="00635ACB" w:rsidRPr="00AF7742">
        <w:rPr>
          <w:rFonts w:ascii="Palatino Linotype" w:hAnsi="Palatino Linotype" w:cs="Arial"/>
        </w:rPr>
        <w:t>, emitido por el Pleno del Instituto Nacional de Transparencia, Acceso a la Información y Protección de Datos Personales (INAI)</w:t>
      </w:r>
      <w:r w:rsidR="00635ACB" w:rsidRPr="00AF7742">
        <w:rPr>
          <w:rFonts w:ascii="Palatino Linotype" w:hAnsi="Palatino Linotype" w:cs="Arial"/>
          <w:bCs/>
        </w:rPr>
        <w:t>, que a la letra dice:</w:t>
      </w:r>
    </w:p>
    <w:p w14:paraId="7C5A529B" w14:textId="77777777" w:rsidR="00635ACB" w:rsidRPr="00AF7742" w:rsidRDefault="00635ACB" w:rsidP="00635ACB">
      <w:pPr>
        <w:pStyle w:val="Prrafodelista"/>
        <w:spacing w:line="360" w:lineRule="auto"/>
        <w:rPr>
          <w:rFonts w:ascii="Palatino Linotype" w:hAnsi="Palatino Linotype" w:cs="Arial"/>
          <w:i/>
          <w:lang w:eastAsia="es-MX"/>
        </w:rPr>
      </w:pPr>
    </w:p>
    <w:p w14:paraId="301FF1DB" w14:textId="6427D12F" w:rsidR="00635ACB" w:rsidRPr="00AF7742" w:rsidRDefault="00635ACB" w:rsidP="00635ACB">
      <w:pPr>
        <w:pStyle w:val="Prrafodelista"/>
        <w:ind w:left="567" w:right="618"/>
        <w:jc w:val="both"/>
        <w:rPr>
          <w:rFonts w:ascii="Palatino Linotype" w:hAnsi="Palatino Linotype" w:cs="Arial"/>
          <w:bCs/>
          <w:i/>
        </w:rPr>
      </w:pPr>
      <w:r w:rsidRPr="00AF7742">
        <w:rPr>
          <w:rFonts w:ascii="Palatino Linotype" w:hAnsi="Palatino Linotype" w:cs="Arial"/>
          <w:b/>
          <w:bCs/>
          <w:i/>
        </w:rPr>
        <w:t xml:space="preserve">“No existe obligación de elaborar documentos ad hoc para atender las solicitudes de acceso a la información. </w:t>
      </w:r>
      <w:r w:rsidRPr="00AF7742">
        <w:rPr>
          <w:rFonts w:ascii="Palatino Linotype" w:hAnsi="Palatino Linotype" w:cs="Arial"/>
          <w:bCs/>
          <w:i/>
        </w:rPr>
        <w:t>Los artículos 129 de la Ley General de Transparencia y Acceso a la Información Pública y 130, párrafo cuarto, de la Ley Federal de Transparencia y Acceso a la Información Pública, señalan que los sujetos obligados deberán otorgar acceso a los documentos que se encuentren en sus archivos o que estén obligados a documentar, de acuerdo con sus facultades, competencias o funciones, conforme a las características físicas de la información o del lugar donde se encuentre. Por lo anterior, los sujetos obligados deben garantizar el derecho de acceso a la información del particular, proporcionando la información con la que cuentan en el formato en que la misma obre en sus archivos; sin necesidad de elaborar documentos ad hoc para atender las solicitudes de información.”</w:t>
      </w:r>
    </w:p>
    <w:p w14:paraId="6690F248" w14:textId="77777777" w:rsidR="00635ACB" w:rsidRPr="00AF7742" w:rsidRDefault="00635ACB" w:rsidP="00635ACB">
      <w:pPr>
        <w:pStyle w:val="Prrafodelista"/>
        <w:spacing w:line="360" w:lineRule="auto"/>
        <w:ind w:left="567" w:right="618"/>
        <w:jc w:val="both"/>
        <w:rPr>
          <w:rFonts w:ascii="Palatino Linotype" w:hAnsi="Palatino Linotype" w:cs="Arial"/>
          <w:bCs/>
          <w:i/>
        </w:rPr>
      </w:pPr>
    </w:p>
    <w:p w14:paraId="59CACE28" w14:textId="7C6D7AC7" w:rsidR="00393335" w:rsidRPr="00AF7742" w:rsidRDefault="001B0E12" w:rsidP="00163D49">
      <w:pPr>
        <w:pStyle w:val="Prrafodelista"/>
        <w:numPr>
          <w:ilvl w:val="0"/>
          <w:numId w:val="1"/>
        </w:numPr>
        <w:spacing w:line="360" w:lineRule="auto"/>
        <w:ind w:left="0" w:firstLine="0"/>
        <w:jc w:val="both"/>
        <w:rPr>
          <w:rFonts w:ascii="Palatino Linotype" w:hAnsi="Palatino Linotype" w:cs="Arial"/>
        </w:rPr>
      </w:pPr>
      <w:r w:rsidRPr="00AF7742">
        <w:rPr>
          <w:rFonts w:ascii="Palatino Linotype" w:hAnsi="Palatino Linotype" w:cs="Arial"/>
        </w:rPr>
        <w:t>Finalmente, deviene la solicitud de información relativa a las actas por</w:t>
      </w:r>
      <w:r w:rsidR="00163D49" w:rsidRPr="00AF7742">
        <w:rPr>
          <w:rFonts w:ascii="Palatino Linotype" w:hAnsi="Palatino Linotype" w:cs="Arial"/>
        </w:rPr>
        <w:t xml:space="preserve"> faltas graves o no graves, del cual existe un pronunciamiento del servidor público habilitado de la Dirección de Capital Humano y de la Dirección General del Registro Estatal de Transporte </w:t>
      </w:r>
      <w:r w:rsidR="00163D49" w:rsidRPr="00AF7742">
        <w:rPr>
          <w:rFonts w:ascii="Palatino Linotype" w:hAnsi="Palatino Linotype" w:cs="Arial"/>
        </w:rPr>
        <w:lastRenderedPageBreak/>
        <w:t>Público en calidad de informe justificado, que luego de una búsqueda no se localizó información al respecto.</w:t>
      </w:r>
    </w:p>
    <w:p w14:paraId="61341E9F" w14:textId="77777777" w:rsidR="00163D49" w:rsidRPr="00AF7742" w:rsidRDefault="00163D49" w:rsidP="00163D49">
      <w:pPr>
        <w:pStyle w:val="Prrafodelista"/>
        <w:spacing w:line="360" w:lineRule="auto"/>
        <w:ind w:left="0"/>
        <w:jc w:val="both"/>
        <w:rPr>
          <w:rFonts w:ascii="Palatino Linotype" w:hAnsi="Palatino Linotype" w:cs="Arial"/>
        </w:rPr>
      </w:pPr>
    </w:p>
    <w:p w14:paraId="58A9B69F" w14:textId="3BBA2691" w:rsidR="00676FFD" w:rsidRPr="00AF7742" w:rsidRDefault="00163D49" w:rsidP="00676FFD">
      <w:pPr>
        <w:pStyle w:val="Prrafodelista"/>
        <w:numPr>
          <w:ilvl w:val="0"/>
          <w:numId w:val="1"/>
        </w:numPr>
        <w:spacing w:line="360" w:lineRule="auto"/>
        <w:ind w:left="0" w:firstLine="0"/>
        <w:jc w:val="both"/>
        <w:rPr>
          <w:rFonts w:ascii="Palatino Linotype" w:hAnsi="Palatino Linotype" w:cs="Arial"/>
        </w:rPr>
      </w:pPr>
      <w:r w:rsidRPr="00AF7742">
        <w:rPr>
          <w:rFonts w:ascii="Palatino Linotype" w:hAnsi="Palatino Linotype" w:cs="Arial"/>
        </w:rPr>
        <w:t>Si bien dicho rubro puede suponer la actualización de eventuales causales de clasificación de la información</w:t>
      </w:r>
      <w:r w:rsidR="009D7004" w:rsidRPr="00AF7742">
        <w:rPr>
          <w:rFonts w:ascii="Palatino Linotype" w:hAnsi="Palatino Linotype" w:cs="Arial"/>
        </w:rPr>
        <w:t xml:space="preserve"> y</w:t>
      </w:r>
      <w:r w:rsidRPr="00AF7742">
        <w:rPr>
          <w:rFonts w:ascii="Palatino Linotype" w:hAnsi="Palatino Linotype" w:cs="Arial"/>
        </w:rPr>
        <w:t xml:space="preserve">, </w:t>
      </w:r>
      <w:r w:rsidR="009D7004" w:rsidRPr="00AF7742">
        <w:rPr>
          <w:rFonts w:ascii="Palatino Linotype" w:hAnsi="Palatino Linotype" w:cs="Arial"/>
        </w:rPr>
        <w:t xml:space="preserve">de una eventual restricción del acceso a la información pública para el caso de que exista la información dependiendo si se trata de faltas graves o no graves, </w:t>
      </w:r>
      <w:r w:rsidRPr="00AF7742">
        <w:rPr>
          <w:rFonts w:ascii="Palatino Linotype" w:hAnsi="Palatino Linotype" w:cs="Arial"/>
        </w:rPr>
        <w:t>resulta incensario en el caso concreto ingresar al análisis de las mismas</w:t>
      </w:r>
      <w:r w:rsidR="009D7004" w:rsidRPr="00AF7742">
        <w:rPr>
          <w:rFonts w:ascii="Palatino Linotype" w:hAnsi="Palatino Linotype" w:cs="Arial"/>
        </w:rPr>
        <w:t>, derivado que existe un pronunciamiento en sentido negativo de la existencia de dicha información</w:t>
      </w:r>
      <w:r w:rsidR="00676FFD" w:rsidRPr="00AF7742">
        <w:rPr>
          <w:rFonts w:ascii="Palatino Linotype" w:hAnsi="Palatino Linotype" w:cs="Arial"/>
        </w:rPr>
        <w:t xml:space="preserve">. Es decir que se actualiza la figura denominada la figura denominada hecho negativo: </w:t>
      </w:r>
      <w:r w:rsidR="00676FFD" w:rsidRPr="00AF7742">
        <w:rPr>
          <w:rFonts w:ascii="Palatino Linotype" w:eastAsia="Times New Roman" w:hAnsi="Palatino Linotype" w:cs="Tahoma"/>
          <w:bCs/>
          <w:iCs/>
        </w:rPr>
        <w:t>t</w:t>
      </w:r>
      <w:r w:rsidR="00676FFD" w:rsidRPr="00AF7742">
        <w:rPr>
          <w:rFonts w:ascii="Palatino Linotype" w:hAnsi="Palatino Linotype" w:cs="Arial"/>
          <w:lang w:eastAsia="es-MX"/>
        </w:rPr>
        <w:t>oda vez que no posee, administra ni genera la información requerida por el particular,</w:t>
      </w:r>
      <w:r w:rsidR="00676FFD" w:rsidRPr="00AF7742">
        <w:rPr>
          <w:rFonts w:ascii="Palatino Linotype" w:hAnsi="Palatino Linotype" w:cs="Times New Roman"/>
        </w:rPr>
        <w:t xml:space="preserve"> constituye un hecho negativo; entonces, </w:t>
      </w:r>
      <w:r w:rsidR="00676FFD" w:rsidRPr="00AF7742">
        <w:rPr>
          <w:rFonts w:ascii="Palatino Linotype" w:hAnsi="Palatino Linotype" w:cs="Arial"/>
        </w:rPr>
        <w:t xml:space="preserve">si se considera el hecho negativo, es obvio que éste no puede fácticamente obrar en los archivos del </w:t>
      </w:r>
      <w:r w:rsidR="00676FFD" w:rsidRPr="00AF7742">
        <w:rPr>
          <w:rFonts w:ascii="Palatino Linotype" w:hAnsi="Palatino Linotype" w:cs="Arial"/>
          <w:b/>
        </w:rPr>
        <w:t>SUJETO OBLIGADO</w:t>
      </w:r>
      <w:r w:rsidR="00676FFD" w:rsidRPr="00AF7742">
        <w:rPr>
          <w:rFonts w:ascii="Palatino Linotype" w:hAnsi="Palatino Linotype" w:cs="Arial"/>
        </w:rPr>
        <w:t>, ya que no puede probarse por ser lógica y materialmente imposible.</w:t>
      </w:r>
    </w:p>
    <w:p w14:paraId="01CFDE69" w14:textId="77777777" w:rsidR="00676FFD" w:rsidRPr="00AF7742" w:rsidRDefault="00676FFD" w:rsidP="00676FFD">
      <w:pPr>
        <w:spacing w:line="360" w:lineRule="auto"/>
        <w:contextualSpacing/>
        <w:jc w:val="both"/>
        <w:rPr>
          <w:rFonts w:ascii="Palatino Linotype" w:hAnsi="Palatino Linotype" w:cs="Arial"/>
        </w:rPr>
      </w:pPr>
    </w:p>
    <w:p w14:paraId="1E942429" w14:textId="77777777" w:rsidR="00676FFD" w:rsidRPr="00AF7742" w:rsidRDefault="00676FFD" w:rsidP="00676FFD">
      <w:pPr>
        <w:pStyle w:val="Prrafodelista"/>
        <w:numPr>
          <w:ilvl w:val="0"/>
          <w:numId w:val="1"/>
        </w:numPr>
        <w:spacing w:line="360" w:lineRule="auto"/>
        <w:ind w:left="0" w:firstLine="0"/>
        <w:jc w:val="both"/>
        <w:rPr>
          <w:rFonts w:ascii="Palatino Linotype" w:hAnsi="Palatino Linotype" w:cs="Arial"/>
        </w:rPr>
      </w:pPr>
      <w:r w:rsidRPr="00AF7742">
        <w:rPr>
          <w:rFonts w:ascii="Palatino Linotype" w:hAnsi="Palatino Linotype" w:cs="Arial"/>
        </w:rPr>
        <w:t>Asimismo, no se trata de un caso por el cual la negación del hecho implique la afirmación del mismo, simplemente se está ante una notoria y evidente inexistencia fáctica de la información solicitada.</w:t>
      </w:r>
    </w:p>
    <w:p w14:paraId="343BED59" w14:textId="77777777" w:rsidR="00676FFD" w:rsidRPr="00AF7742" w:rsidRDefault="00676FFD" w:rsidP="00676FFD">
      <w:pPr>
        <w:pStyle w:val="Prrafodelista"/>
        <w:spacing w:line="360" w:lineRule="auto"/>
        <w:rPr>
          <w:rFonts w:ascii="Palatino Linotype" w:hAnsi="Palatino Linotype" w:cs="Arial"/>
        </w:rPr>
      </w:pPr>
    </w:p>
    <w:p w14:paraId="7A0D3F81" w14:textId="77777777" w:rsidR="00676FFD" w:rsidRPr="00AF7742" w:rsidRDefault="00676FFD" w:rsidP="00676FFD">
      <w:pPr>
        <w:pStyle w:val="Prrafodelista"/>
        <w:numPr>
          <w:ilvl w:val="0"/>
          <w:numId w:val="1"/>
        </w:numPr>
        <w:spacing w:line="360" w:lineRule="auto"/>
        <w:ind w:left="0" w:firstLine="0"/>
        <w:jc w:val="both"/>
        <w:rPr>
          <w:rFonts w:ascii="Palatino Linotype" w:hAnsi="Palatino Linotype" w:cs="Arial"/>
        </w:rPr>
      </w:pPr>
      <w:r w:rsidRPr="00AF7742">
        <w:rPr>
          <w:rFonts w:ascii="Palatino Linotype" w:hAnsi="Palatino Linotype" w:cs="Arial"/>
        </w:rPr>
        <w:t>Encontrándonos</w:t>
      </w:r>
      <w:r w:rsidRPr="00AF7742">
        <w:rPr>
          <w:rFonts w:ascii="Palatino Linotype" w:hAnsi="Palatino Linotype" w:cs="Times New Roman"/>
        </w:rPr>
        <w:t xml:space="preserve"> ante un hecho negativo, destacando entonces que el Pleno de este </w:t>
      </w:r>
      <w:r w:rsidRPr="00AF7742">
        <w:rPr>
          <w:rFonts w:ascii="Palatino Linotype" w:hAnsi="Palatino Linotype" w:cs="Arial"/>
        </w:rPr>
        <w:t>Organismo</w:t>
      </w:r>
      <w:r w:rsidRPr="00AF7742">
        <w:rPr>
          <w:rFonts w:ascii="Palatino Linotype" w:hAnsi="Palatino Linotype" w:cs="Times New Roman"/>
        </w:rPr>
        <w:t xml:space="preserve"> Garante, ha sostenido que ante la presencia de un hecho negativo, resultaría innecesaria una declaratoria de inexistencia en términos de los artículos 19, 169 y 170 de la Ley de Transparencia y Acceso a la Información Pública del Estado de México y Municipios, y ante una hecho negativo resulta aplicable la siguiente tesis:</w:t>
      </w:r>
    </w:p>
    <w:p w14:paraId="694A1F56" w14:textId="77777777" w:rsidR="00676FFD" w:rsidRPr="00AF7742" w:rsidRDefault="00676FFD" w:rsidP="00676FFD">
      <w:pPr>
        <w:spacing w:line="360" w:lineRule="auto"/>
        <w:ind w:left="851" w:right="567"/>
        <w:jc w:val="both"/>
        <w:rPr>
          <w:rFonts w:ascii="Palatino Linotype" w:hAnsi="Palatino Linotype" w:cs="Times New Roman"/>
          <w:b/>
          <w:i/>
        </w:rPr>
      </w:pPr>
      <w:r w:rsidRPr="00AF7742">
        <w:rPr>
          <w:rFonts w:ascii="Palatino Linotype" w:hAnsi="Palatino Linotype" w:cs="Times New Roman"/>
          <w:b/>
          <w:i/>
        </w:rPr>
        <w:lastRenderedPageBreak/>
        <w:t xml:space="preserve">HECHOS NEGATIVOS, NO SON SUSCEPTIBLES DE DEMOSTRACIÓN. </w:t>
      </w:r>
    </w:p>
    <w:p w14:paraId="5BA12099" w14:textId="77777777" w:rsidR="00676FFD" w:rsidRPr="00AF7742" w:rsidRDefault="00676FFD" w:rsidP="00676FFD">
      <w:pPr>
        <w:spacing w:line="360" w:lineRule="auto"/>
        <w:ind w:left="851" w:right="567"/>
        <w:jc w:val="both"/>
        <w:rPr>
          <w:rFonts w:ascii="Palatino Linotype" w:hAnsi="Palatino Linotype" w:cs="Times New Roman"/>
          <w:i/>
        </w:rPr>
      </w:pPr>
      <w:r w:rsidRPr="00AF7742">
        <w:rPr>
          <w:rFonts w:ascii="Palatino Linotype" w:hAnsi="Palatino Linotype" w:cs="Times New Roman"/>
          <w:i/>
        </w:rPr>
        <w:t>Tratándose de un hecho negativo, el Juez no tiene por que invocar prueba alguna de la que se desprenda, ya que es bien sabido que esta clase de hechos no son susceptibles de demostración.</w:t>
      </w:r>
    </w:p>
    <w:p w14:paraId="4F6C7F2C" w14:textId="77777777" w:rsidR="00676FFD" w:rsidRPr="00AF7742" w:rsidRDefault="00676FFD" w:rsidP="00676FFD">
      <w:pPr>
        <w:spacing w:line="360" w:lineRule="auto"/>
        <w:ind w:left="851" w:right="567"/>
        <w:jc w:val="both"/>
        <w:rPr>
          <w:rFonts w:ascii="Palatino Linotype" w:hAnsi="Palatino Linotype" w:cs="Times New Roman"/>
          <w:i/>
        </w:rPr>
      </w:pPr>
      <w:r w:rsidRPr="00AF7742">
        <w:rPr>
          <w:rFonts w:ascii="Palatino Linotype" w:hAnsi="Palatino Linotype" w:cs="Times New Roman"/>
          <w:i/>
        </w:rPr>
        <w:t>Amparo en revisión 2022/61. José García Florín (Menor). 9 de octubre de 1961. Cinco votos. Ponente: José Rivera Pérez Campos.”</w:t>
      </w:r>
    </w:p>
    <w:p w14:paraId="1057A2EA" w14:textId="77777777" w:rsidR="00676FFD" w:rsidRPr="00AF7742" w:rsidRDefault="00676FFD" w:rsidP="00676FFD">
      <w:pPr>
        <w:spacing w:line="360" w:lineRule="auto"/>
        <w:ind w:left="709" w:right="758"/>
        <w:jc w:val="both"/>
        <w:rPr>
          <w:rFonts w:ascii="Palatino Linotype" w:hAnsi="Palatino Linotype" w:cs="Times New Roman"/>
          <w:i/>
        </w:rPr>
      </w:pPr>
    </w:p>
    <w:p w14:paraId="0D119C04" w14:textId="77777777" w:rsidR="00676FFD" w:rsidRPr="00AF7742" w:rsidRDefault="00676FFD" w:rsidP="00676FFD">
      <w:pPr>
        <w:pStyle w:val="Prrafodelista"/>
        <w:numPr>
          <w:ilvl w:val="0"/>
          <w:numId w:val="1"/>
        </w:numPr>
        <w:spacing w:line="360" w:lineRule="auto"/>
        <w:ind w:left="0" w:firstLine="0"/>
        <w:jc w:val="both"/>
        <w:rPr>
          <w:rFonts w:ascii="Palatino Linotype" w:eastAsia="Palatino Linotype" w:hAnsi="Palatino Linotype" w:cs="Palatino Linotype"/>
        </w:rPr>
      </w:pPr>
      <w:r w:rsidRPr="00AF7742">
        <w:rPr>
          <w:rFonts w:ascii="Palatino Linotype" w:hAnsi="Palatino Linotype" w:cs="Times New Roman"/>
        </w:rPr>
        <w:t xml:space="preserve">Además, y de conformidad con lo establecido en el artículo 12 de la </w:t>
      </w:r>
      <w:r w:rsidRPr="00AF7742">
        <w:rPr>
          <w:rFonts w:ascii="Palatino Linotype" w:hAnsi="Palatino Linotype" w:cs="Times New Roman"/>
          <w:b/>
        </w:rPr>
        <w:t xml:space="preserve">Ley de </w:t>
      </w:r>
      <w:r w:rsidRPr="00AF7742">
        <w:rPr>
          <w:rFonts w:ascii="Palatino Linotype" w:hAnsi="Palatino Linotype" w:cs="Arial"/>
        </w:rPr>
        <w:t>Transparencia</w:t>
      </w:r>
      <w:r w:rsidRPr="00AF7742">
        <w:rPr>
          <w:rFonts w:ascii="Palatino Linotype" w:hAnsi="Palatino Linotype" w:cs="Times New Roman"/>
          <w:b/>
        </w:rPr>
        <w:t xml:space="preserve"> y Acceso a la Información Pública del Estado de México y Municipios</w:t>
      </w:r>
      <w:r w:rsidRPr="00AF7742">
        <w:rPr>
          <w:rFonts w:ascii="Palatino Linotype" w:hAnsi="Palatino Linotype" w:cs="Times New Roman"/>
        </w:rPr>
        <w:t xml:space="preserve">, anteriormente invocado, el </w:t>
      </w:r>
      <w:r w:rsidRPr="00AF7742">
        <w:rPr>
          <w:rFonts w:ascii="Palatino Linotype" w:hAnsi="Palatino Linotype" w:cs="Times New Roman"/>
          <w:b/>
        </w:rPr>
        <w:t>SUJETO OBLIGADO</w:t>
      </w:r>
      <w:r w:rsidRPr="00AF7742">
        <w:rPr>
          <w:rFonts w:ascii="Palatino Linotype" w:hAnsi="Palatino Linotype" w:cs="Times New Roman"/>
        </w:rPr>
        <w:t xml:space="preserve"> únicamente proporcionará la información que obra en sus archivos, lo que a</w:t>
      </w:r>
      <w:r w:rsidRPr="00AF7742">
        <w:rPr>
          <w:rFonts w:ascii="Palatino Linotype" w:hAnsi="Palatino Linotype" w:cs="Times New Roman"/>
          <w:i/>
        </w:rPr>
        <w:t xml:space="preserve"> contrario sensu</w:t>
      </w:r>
      <w:r w:rsidRPr="00AF7742">
        <w:rPr>
          <w:rFonts w:ascii="Palatino Linotype" w:hAnsi="Palatino Linotype" w:cs="Times New Roman"/>
        </w:rPr>
        <w:t xml:space="preserve"> significa que no se está obligado a proporcionar lo que no obre en sus archivos.</w:t>
      </w:r>
    </w:p>
    <w:p w14:paraId="224E8692" w14:textId="77777777" w:rsidR="00676FFD" w:rsidRPr="00AF7742" w:rsidRDefault="00676FFD" w:rsidP="00676FFD">
      <w:pPr>
        <w:pStyle w:val="Prrafodelista"/>
        <w:spacing w:line="360" w:lineRule="auto"/>
        <w:ind w:left="0"/>
        <w:jc w:val="both"/>
        <w:rPr>
          <w:rFonts w:ascii="Palatino Linotype" w:eastAsia="Palatino Linotype" w:hAnsi="Palatino Linotype" w:cs="Palatino Linotype"/>
        </w:rPr>
      </w:pPr>
    </w:p>
    <w:p w14:paraId="33C5AD42" w14:textId="7651E2D8" w:rsidR="0075387A" w:rsidRPr="00AF7742" w:rsidRDefault="00676FFD" w:rsidP="0075387A">
      <w:pPr>
        <w:pStyle w:val="Prrafodelista"/>
        <w:numPr>
          <w:ilvl w:val="0"/>
          <w:numId w:val="1"/>
        </w:numPr>
        <w:spacing w:line="360" w:lineRule="auto"/>
        <w:ind w:left="0" w:firstLine="0"/>
        <w:jc w:val="both"/>
        <w:rPr>
          <w:rFonts w:ascii="Palatino Linotype" w:hAnsi="Palatino Linotype"/>
        </w:rPr>
      </w:pPr>
      <w:r w:rsidRPr="00AF7742">
        <w:rPr>
          <w:rFonts w:ascii="Palatino Linotype" w:hAnsi="Palatino Linotype" w:cs="Arial"/>
        </w:rPr>
        <w:t>Adicional a lo anterior, es de explorado derecho que de dicho pronunciamiento este Órgano Garante carece de facultades para dudar de su veracidad</w:t>
      </w:r>
      <w:r w:rsidR="0075387A" w:rsidRPr="00AF7742">
        <w:rPr>
          <w:rFonts w:ascii="Palatino Linotype" w:eastAsia="Palatino Linotype" w:hAnsi="Palatino Linotype" w:cs="Palatino Linotype"/>
          <w:color w:val="000000"/>
        </w:rPr>
        <w:t xml:space="preserve"> de la </w:t>
      </w:r>
      <w:r w:rsidR="0075387A" w:rsidRPr="00AF7742">
        <w:rPr>
          <w:rFonts w:ascii="Palatino Linotype" w:hAnsi="Palatino Linotype" w:cs="Times New Roman"/>
        </w:rPr>
        <w:t>información</w:t>
      </w:r>
      <w:r w:rsidR="0075387A" w:rsidRPr="00AF7742">
        <w:rPr>
          <w:rFonts w:ascii="Palatino Linotype" w:eastAsia="Palatino Linotype" w:hAnsi="Palatino Linotype" w:cs="Palatino Linotype"/>
          <w:color w:val="000000"/>
        </w:rPr>
        <w:t xml:space="preserve"> que le fue entregada al hoy </w:t>
      </w:r>
      <w:r w:rsidR="0075387A" w:rsidRPr="00AF7742">
        <w:rPr>
          <w:rFonts w:ascii="Palatino Linotype" w:eastAsia="Palatino Linotype" w:hAnsi="Palatino Linotype" w:cs="Palatino Linotype"/>
          <w:b/>
          <w:color w:val="000000"/>
        </w:rPr>
        <w:t>RECURRENTE</w:t>
      </w:r>
      <w:r w:rsidR="0075387A" w:rsidRPr="00AF7742">
        <w:rPr>
          <w:rFonts w:ascii="Palatino Linotype" w:eastAsia="Palatino Linotype" w:hAnsi="Palatino Linotype" w:cs="Palatino Linotype"/>
          <w:color w:val="000000"/>
        </w:rPr>
        <w:t xml:space="preserve"> en el presente asunto, ni de las respuestas, ni de las documentales que ponen a disposición de los solicitantes los sujetos obligados, </w:t>
      </w:r>
      <w:r w:rsidR="0075387A" w:rsidRPr="00AF7742">
        <w:rPr>
          <w:rFonts w:ascii="Palatino Linotype" w:hAnsi="Palatino Linotype" w:cs="Arial"/>
        </w:rPr>
        <w:t xml:space="preserve">situación que se aleja de las atribuciones de este Instituto </w:t>
      </w:r>
      <w:r w:rsidR="0075387A" w:rsidRPr="00AF7742">
        <w:rPr>
          <w:rFonts w:ascii="Palatino Linotype" w:hAnsi="Palatino Linotype"/>
          <w:i/>
          <w:color w:val="000000"/>
        </w:rPr>
        <w:t>máxime</w:t>
      </w:r>
      <w:r w:rsidR="0075387A" w:rsidRPr="00AF7742">
        <w:rPr>
          <w:rFonts w:ascii="Palatino Linotype" w:hAnsi="Palatino Linotype"/>
          <w:color w:val="000000"/>
        </w:rPr>
        <w:t xml:space="preserve"> que al momento que ponen a disposición ésta, la misma tiene el carácter oficial y se presume veraz, tan es así que la misma queda registrada en el Sistema de Acceso a la Información Mexiquense (SAIMEX).</w:t>
      </w:r>
    </w:p>
    <w:p w14:paraId="4194850F" w14:textId="77777777" w:rsidR="0075387A" w:rsidRPr="00AF7742" w:rsidRDefault="0075387A" w:rsidP="0075387A">
      <w:pPr>
        <w:pStyle w:val="Prrafodelista"/>
        <w:spacing w:line="360" w:lineRule="auto"/>
        <w:rPr>
          <w:rFonts w:ascii="Palatino Linotype" w:hAnsi="Palatino Linotype"/>
        </w:rPr>
      </w:pPr>
    </w:p>
    <w:p w14:paraId="79C1603F" w14:textId="77777777" w:rsidR="0075387A" w:rsidRPr="00AF7742" w:rsidRDefault="0075387A" w:rsidP="0075387A">
      <w:pPr>
        <w:pStyle w:val="Prrafodelista"/>
        <w:numPr>
          <w:ilvl w:val="0"/>
          <w:numId w:val="1"/>
        </w:numPr>
        <w:spacing w:line="360" w:lineRule="auto"/>
        <w:ind w:left="0" w:firstLine="0"/>
        <w:jc w:val="both"/>
        <w:rPr>
          <w:rFonts w:ascii="Palatino Linotype" w:hAnsi="Palatino Linotype"/>
        </w:rPr>
      </w:pPr>
      <w:r w:rsidRPr="00AF7742">
        <w:rPr>
          <w:rFonts w:ascii="Palatino Linotype" w:hAnsi="Palatino Linotype"/>
        </w:rPr>
        <w:lastRenderedPageBreak/>
        <w:t xml:space="preserve">Sirviendo de apoyo a lo anterior por analogía, el criterio 31-10 emitido por el </w:t>
      </w:r>
      <w:r w:rsidRPr="00AF7742">
        <w:rPr>
          <w:rFonts w:ascii="Palatino Linotype" w:hAnsi="Palatino Linotype" w:cs="Arial"/>
        </w:rPr>
        <w:t>ahora</w:t>
      </w:r>
      <w:r w:rsidRPr="00AF7742">
        <w:rPr>
          <w:rFonts w:ascii="Palatino Linotype" w:hAnsi="Palatino Linotype"/>
        </w:rPr>
        <w:t xml:space="preserve"> </w:t>
      </w:r>
      <w:r w:rsidRPr="00AF7742">
        <w:rPr>
          <w:rFonts w:ascii="Palatino Linotype" w:eastAsia="Palatino Linotype" w:hAnsi="Palatino Linotype" w:cs="Palatino Linotype"/>
        </w:rPr>
        <w:t>Instituto</w:t>
      </w:r>
      <w:r w:rsidRPr="00AF7742">
        <w:rPr>
          <w:rFonts w:ascii="Palatino Linotype" w:hAnsi="Palatino Linotype"/>
        </w:rPr>
        <w:t xml:space="preserve"> </w:t>
      </w:r>
      <w:r w:rsidRPr="00AF7742">
        <w:rPr>
          <w:rFonts w:ascii="Palatino Linotype" w:eastAsia="Palatino Linotype" w:hAnsi="Palatino Linotype" w:cs="Palatino Linotype"/>
          <w:color w:val="000000"/>
        </w:rPr>
        <w:t>Nacional</w:t>
      </w:r>
      <w:r w:rsidRPr="00AF7742">
        <w:rPr>
          <w:rFonts w:ascii="Palatino Linotype" w:hAnsi="Palatino Linotype"/>
        </w:rPr>
        <w:t xml:space="preserve"> de Transparencia, Acceso a la Información y Protección de Datos Personales, que a la letra dice:</w:t>
      </w:r>
    </w:p>
    <w:p w14:paraId="0A963BE3" w14:textId="77777777" w:rsidR="0075387A" w:rsidRPr="00AF7742" w:rsidRDefault="0075387A" w:rsidP="0075387A">
      <w:pPr>
        <w:pStyle w:val="Prrafodelista"/>
        <w:spacing w:line="360" w:lineRule="auto"/>
        <w:rPr>
          <w:rFonts w:ascii="Palatino Linotype" w:hAnsi="Palatino Linotype"/>
        </w:rPr>
      </w:pPr>
    </w:p>
    <w:p w14:paraId="408435A0" w14:textId="77777777" w:rsidR="0075387A" w:rsidRPr="00AF7742" w:rsidRDefault="0075387A" w:rsidP="0075387A">
      <w:pPr>
        <w:pStyle w:val="Default"/>
        <w:spacing w:line="360" w:lineRule="auto"/>
        <w:ind w:left="567" w:right="616"/>
        <w:jc w:val="both"/>
        <w:rPr>
          <w:rFonts w:ascii="Palatino Linotype" w:hAnsi="Palatino Linotype"/>
          <w:i/>
        </w:rPr>
      </w:pPr>
      <w:r w:rsidRPr="00AF7742">
        <w:rPr>
          <w:rFonts w:ascii="Palatino Linotype" w:hAnsi="Palatino Linotype"/>
          <w:i/>
        </w:rPr>
        <w:t xml:space="preserve">“El Instituto Federal de Acceso a la Información y Protección de Datos </w:t>
      </w:r>
      <w:r w:rsidRPr="00AF7742">
        <w:rPr>
          <w:rFonts w:ascii="Palatino Linotype" w:hAnsi="Palatino Linotype"/>
          <w:b/>
          <w:i/>
        </w:rPr>
        <w:t>no cuenta con facultades para pronunciarse respecto de la veracidad de los documentos proporcionados por los sujetos obligados.</w:t>
      </w:r>
      <w:r w:rsidRPr="00AF7742">
        <w:rPr>
          <w:rFonts w:ascii="Palatino Linotype" w:hAnsi="Palatino Linotype"/>
          <w:i/>
        </w:rPr>
        <w:t xml:space="preserve"> El Instituto Federal de Acceso a la Información y Protección de Datos es un órgano de la Administración Pública Federal con autonomía operativa, presupuestaria y de decisión, encargado de promover y difundir el ejercicio del derecho de acceso a la información; resolver sobre la negativa de las solicitudes de acceso a la información; y proteger los datos personales en poder de las dependencias y entidades. Sin embargo, no está facultado para pronunciarse sobre la veracidad de la información proporcionada por las autoridades en respuesta a las solicitudes de información que les presentan los particulares, en virtud de que en los artículos 49 y 50 de la Ley Federal de Transparencia y Acceso a la Información Pública Gubernamental no se prevé una causal que permita al Instituto Federal de Acceso a la Información y Protección de Datos conocer, vía recurso revisión, al respecto.”</w:t>
      </w:r>
    </w:p>
    <w:p w14:paraId="2B0A23E0" w14:textId="77777777" w:rsidR="0075387A" w:rsidRPr="00AF7742" w:rsidRDefault="0075387A" w:rsidP="0075387A">
      <w:pPr>
        <w:pStyle w:val="Default"/>
        <w:spacing w:line="360" w:lineRule="auto"/>
        <w:ind w:left="851" w:right="850"/>
        <w:jc w:val="both"/>
        <w:rPr>
          <w:rFonts w:ascii="Palatino Linotype" w:hAnsi="Palatino Linotype"/>
          <w:i/>
        </w:rPr>
      </w:pPr>
    </w:p>
    <w:p w14:paraId="3F0F1FAB" w14:textId="77777777" w:rsidR="0075387A" w:rsidRPr="00AF7742" w:rsidRDefault="0075387A" w:rsidP="0075387A">
      <w:pPr>
        <w:pStyle w:val="Prrafodelista"/>
        <w:numPr>
          <w:ilvl w:val="0"/>
          <w:numId w:val="1"/>
        </w:numPr>
        <w:spacing w:line="360" w:lineRule="auto"/>
        <w:ind w:left="0" w:firstLine="0"/>
        <w:jc w:val="both"/>
        <w:rPr>
          <w:rFonts w:ascii="Palatino Linotype" w:hAnsi="Palatino Linotype"/>
          <w:i/>
        </w:rPr>
      </w:pPr>
      <w:r w:rsidRPr="00AF7742">
        <w:rPr>
          <w:rFonts w:ascii="Palatino Linotype" w:hAnsi="Palatino Linotype" w:cs="Arial"/>
        </w:rPr>
        <w:t xml:space="preserve">Así como lo </w:t>
      </w:r>
      <w:r w:rsidRPr="00AF7742">
        <w:rPr>
          <w:rFonts w:ascii="Palatino Linotype" w:hAnsi="Palatino Linotype"/>
        </w:rPr>
        <w:t>dispuesto</w:t>
      </w:r>
      <w:r w:rsidRPr="00AF7742">
        <w:rPr>
          <w:rFonts w:ascii="Palatino Linotype" w:hAnsi="Palatino Linotype" w:cs="Arial"/>
        </w:rPr>
        <w:t xml:space="preserve"> por</w:t>
      </w:r>
      <w:r w:rsidRPr="00AF7742">
        <w:rPr>
          <w:rFonts w:ascii="Palatino Linotype" w:hAnsi="Palatino Linotype"/>
        </w:rPr>
        <w:t xml:space="preserve"> la </w:t>
      </w:r>
      <w:r w:rsidRPr="00AF7742">
        <w:rPr>
          <w:rFonts w:ascii="Palatino Linotype" w:hAnsi="Palatino Linotype"/>
          <w:b/>
        </w:rPr>
        <w:t xml:space="preserve">Ley de Transparencia y Acceso a la Información Pública del </w:t>
      </w:r>
      <w:r w:rsidRPr="00AF7742">
        <w:rPr>
          <w:rFonts w:ascii="Palatino Linotype" w:eastAsia="Palatino Linotype" w:hAnsi="Palatino Linotype" w:cs="Palatino Linotype"/>
          <w:color w:val="000000"/>
        </w:rPr>
        <w:t>Estado</w:t>
      </w:r>
      <w:r w:rsidRPr="00AF7742">
        <w:rPr>
          <w:rFonts w:ascii="Palatino Linotype" w:hAnsi="Palatino Linotype"/>
          <w:b/>
        </w:rPr>
        <w:t xml:space="preserve"> de México y Municipios</w:t>
      </w:r>
      <w:r w:rsidRPr="00AF7742">
        <w:rPr>
          <w:rFonts w:ascii="Palatino Linotype" w:hAnsi="Palatino Linotype"/>
        </w:rPr>
        <w:t xml:space="preserve"> en su artículo 3, el cual establece que la información pública generada, administrada o en posesión de los sujetos obligados en ejercicio de sus atribuciones, será accesible de manera permanente a cualquier persona, privilegiando el principio de máxima publicidad de la información, por lo que deberán </w:t>
      </w:r>
      <w:r w:rsidRPr="00AF7742">
        <w:rPr>
          <w:rFonts w:ascii="Palatino Linotype" w:hAnsi="Palatino Linotype"/>
        </w:rPr>
        <w:lastRenderedPageBreak/>
        <w:t>apegarse en todo momento a los criterios de publicidad, veracidad, oportunidad entre otros, numeral en comento que a la letra señala:</w:t>
      </w:r>
    </w:p>
    <w:p w14:paraId="423EAE0D" w14:textId="77777777" w:rsidR="0075387A" w:rsidRPr="00AF7742" w:rsidRDefault="0075387A" w:rsidP="0075387A">
      <w:pPr>
        <w:pStyle w:val="Prrafodelista"/>
        <w:spacing w:line="360" w:lineRule="auto"/>
        <w:ind w:left="0"/>
        <w:jc w:val="both"/>
        <w:rPr>
          <w:rFonts w:ascii="Palatino Linotype" w:hAnsi="Palatino Linotype"/>
          <w:i/>
        </w:rPr>
      </w:pPr>
    </w:p>
    <w:p w14:paraId="79A7F4C6" w14:textId="77777777" w:rsidR="0075387A" w:rsidRPr="00AF7742" w:rsidRDefault="0075387A" w:rsidP="0075387A">
      <w:pPr>
        <w:pStyle w:val="Prrafodelista"/>
        <w:spacing w:line="360" w:lineRule="auto"/>
        <w:ind w:left="567" w:right="680"/>
        <w:jc w:val="both"/>
        <w:rPr>
          <w:rFonts w:ascii="Palatino Linotype" w:hAnsi="Palatino Linotype" w:cs="Arial"/>
          <w:b/>
          <w:i/>
        </w:rPr>
      </w:pPr>
      <w:r w:rsidRPr="00AF7742">
        <w:rPr>
          <w:rFonts w:ascii="Palatino Linotype" w:hAnsi="Palatino Linotype" w:cs="Arial"/>
          <w:i/>
        </w:rPr>
        <w:t xml:space="preserve">Artículo 3.- La información pública generada, administrada o en posesión de los Sujetos Obligados en ejercicio de sus atribuciones, será accesible de manera permanente a cualquier persona, privilegiando el principio de máxima publicidad de la información. </w:t>
      </w:r>
      <w:r w:rsidRPr="00AF7742">
        <w:rPr>
          <w:rFonts w:ascii="Palatino Linotype" w:hAnsi="Palatino Linotype" w:cs="Arial"/>
          <w:b/>
          <w:i/>
        </w:rPr>
        <w:t>Los Sujetos Obligados deben poner en práctica, políticas y programas de acceso a la información que se apeguen a criterios de publicidad, veracidad, oportunidad, precisión y suficiencia en beneficio de los solicitantes.</w:t>
      </w:r>
    </w:p>
    <w:p w14:paraId="3B6637C8" w14:textId="77777777" w:rsidR="0075387A" w:rsidRPr="00AF7742" w:rsidRDefault="0075387A" w:rsidP="0075387A">
      <w:pPr>
        <w:pStyle w:val="Prrafodelista"/>
        <w:spacing w:line="360" w:lineRule="auto"/>
        <w:ind w:left="567" w:right="680"/>
        <w:jc w:val="both"/>
        <w:rPr>
          <w:rFonts w:ascii="Palatino Linotype" w:hAnsi="Palatino Linotype" w:cs="Arial"/>
          <w:b/>
          <w:i/>
        </w:rPr>
      </w:pPr>
    </w:p>
    <w:p w14:paraId="5B76C434" w14:textId="0F9B776A" w:rsidR="0075387A" w:rsidRPr="00AF7742" w:rsidRDefault="0075387A" w:rsidP="0075387A">
      <w:pPr>
        <w:pStyle w:val="Prrafodelista"/>
        <w:numPr>
          <w:ilvl w:val="0"/>
          <w:numId w:val="1"/>
        </w:numPr>
        <w:spacing w:line="360" w:lineRule="auto"/>
        <w:ind w:left="0" w:firstLine="0"/>
        <w:jc w:val="both"/>
        <w:rPr>
          <w:rFonts w:ascii="Palatino Linotype" w:eastAsia="Palatino Linotype" w:hAnsi="Palatino Linotype" w:cs="Palatino Linotype"/>
          <w:color w:val="000000"/>
        </w:rPr>
      </w:pPr>
      <w:r w:rsidRPr="00AF7742">
        <w:rPr>
          <w:rFonts w:ascii="Palatino Linotype" w:hAnsi="Palatino Linotype" w:cs="Arial"/>
        </w:rPr>
        <w:t>Numerales</w:t>
      </w:r>
      <w:r w:rsidRPr="00AF7742">
        <w:rPr>
          <w:rFonts w:ascii="Palatino Linotype" w:hAnsi="Palatino Linotype" w:cs="Arial"/>
          <w:noProof/>
          <w:lang w:eastAsia="es-MX"/>
        </w:rPr>
        <w:t xml:space="preserve"> que compelen al </w:t>
      </w:r>
      <w:r w:rsidRPr="00AF7742">
        <w:rPr>
          <w:rFonts w:ascii="Palatino Linotype" w:hAnsi="Palatino Linotype" w:cs="Arial"/>
          <w:b/>
          <w:noProof/>
          <w:lang w:eastAsia="es-MX"/>
        </w:rPr>
        <w:t>SUJETO OBLIGADO</w:t>
      </w:r>
      <w:r w:rsidRPr="00AF7742">
        <w:rPr>
          <w:rFonts w:ascii="Palatino Linotype" w:hAnsi="Palatino Linotype" w:cs="Arial"/>
          <w:noProof/>
          <w:lang w:eastAsia="es-MX"/>
        </w:rPr>
        <w:t xml:space="preserve"> apegarse en todo momento a </w:t>
      </w:r>
      <w:r w:rsidRPr="00AF7742">
        <w:rPr>
          <w:rFonts w:ascii="Palatino Linotype" w:hAnsi="Palatino Linotype" w:cs="Arial"/>
        </w:rPr>
        <w:t>los</w:t>
      </w:r>
      <w:r w:rsidRPr="00AF7742">
        <w:rPr>
          <w:rFonts w:ascii="Palatino Linotype" w:hAnsi="Palatino Linotype" w:cs="Arial"/>
          <w:noProof/>
          <w:lang w:eastAsia="es-MX"/>
        </w:rPr>
        <w:t xml:space="preserve"> </w:t>
      </w:r>
      <w:r w:rsidRPr="00AF7742">
        <w:rPr>
          <w:rFonts w:ascii="Palatino Linotype" w:hAnsi="Palatino Linotype" w:cs="Arial"/>
        </w:rPr>
        <w:t>criterios</w:t>
      </w:r>
      <w:r w:rsidRPr="00AF7742">
        <w:rPr>
          <w:rFonts w:ascii="Palatino Linotype" w:hAnsi="Palatino Linotype" w:cs="Arial"/>
          <w:noProof/>
          <w:lang w:eastAsia="es-MX"/>
        </w:rPr>
        <w:t xml:space="preserve"> ya expuestos, impidiendo a este Órgano Colegiado cuestionar la </w:t>
      </w:r>
      <w:r w:rsidRPr="00AF7742">
        <w:rPr>
          <w:rFonts w:ascii="Palatino Linotype" w:hAnsi="Palatino Linotype" w:cs="Arial"/>
        </w:rPr>
        <w:t>veracidad</w:t>
      </w:r>
      <w:r w:rsidRPr="00AF7742">
        <w:rPr>
          <w:rFonts w:ascii="Palatino Linotype" w:hAnsi="Palatino Linotype" w:cs="Arial"/>
          <w:noProof/>
          <w:lang w:eastAsia="es-MX"/>
        </w:rPr>
        <w:t xml:space="preserve"> de la información, por tanto se determina que se tiene por atendido el rubro en comento.</w:t>
      </w:r>
    </w:p>
    <w:p w14:paraId="2E4C1AFB" w14:textId="77777777" w:rsidR="0075387A" w:rsidRPr="00AF7742" w:rsidRDefault="0075387A" w:rsidP="0075387A">
      <w:pPr>
        <w:pStyle w:val="Prrafodelista"/>
        <w:spacing w:line="360" w:lineRule="auto"/>
        <w:ind w:left="0"/>
        <w:jc w:val="both"/>
        <w:rPr>
          <w:rFonts w:ascii="Palatino Linotype" w:eastAsia="Palatino Linotype" w:hAnsi="Palatino Linotype" w:cs="Palatino Linotype"/>
          <w:color w:val="000000"/>
        </w:rPr>
      </w:pPr>
    </w:p>
    <w:p w14:paraId="2E8A1E1D" w14:textId="77777777" w:rsidR="00CA2199" w:rsidRPr="00AF7742" w:rsidRDefault="003C329B" w:rsidP="00A42539">
      <w:pPr>
        <w:pStyle w:val="Prrafodelista"/>
        <w:numPr>
          <w:ilvl w:val="0"/>
          <w:numId w:val="1"/>
        </w:numPr>
        <w:spacing w:line="360" w:lineRule="auto"/>
        <w:ind w:left="0" w:firstLine="0"/>
        <w:jc w:val="both"/>
        <w:rPr>
          <w:rFonts w:ascii="Palatino Linotype" w:eastAsia="Palatino Linotype" w:hAnsi="Palatino Linotype" w:cs="Palatino Linotype"/>
          <w:color w:val="000000"/>
        </w:rPr>
      </w:pPr>
      <w:r w:rsidRPr="00AF7742">
        <w:rPr>
          <w:rFonts w:ascii="Palatino Linotype" w:eastAsia="Palatino Linotype" w:hAnsi="Palatino Linotype" w:cs="Palatino Linotype"/>
          <w:color w:val="000000"/>
        </w:rPr>
        <w:t xml:space="preserve">Con </w:t>
      </w:r>
      <w:r w:rsidRPr="00AF7742">
        <w:rPr>
          <w:rFonts w:ascii="Palatino Linotype" w:hAnsi="Palatino Linotype" w:cs="Arial"/>
          <w:noProof/>
        </w:rPr>
        <w:t>la</w:t>
      </w:r>
      <w:r w:rsidRPr="00AF7742">
        <w:rPr>
          <w:rFonts w:ascii="Palatino Linotype" w:eastAsia="Palatino Linotype" w:hAnsi="Palatino Linotype" w:cs="Palatino Linotype"/>
          <w:color w:val="000000"/>
        </w:rPr>
        <w:t xml:space="preserve"> determinación anterior quedará por colmado el derecho de acceso a la información del ahora </w:t>
      </w:r>
      <w:r w:rsidRPr="00AF7742">
        <w:rPr>
          <w:rFonts w:ascii="Palatino Linotype" w:hAnsi="Palatino Linotype" w:cs="Times New Roman"/>
        </w:rPr>
        <w:t>Recurrente</w:t>
      </w:r>
      <w:r w:rsidRPr="00AF7742">
        <w:rPr>
          <w:rFonts w:ascii="Palatino Linotype" w:eastAsia="Palatino Linotype" w:hAnsi="Palatino Linotype" w:cs="Palatino Linotype"/>
          <w:color w:val="000000"/>
        </w:rPr>
        <w:t xml:space="preserve">; toda vez que el Derecho que tutela este Órgano </w:t>
      </w:r>
      <w:r w:rsidRPr="00AF7742">
        <w:rPr>
          <w:rFonts w:ascii="Palatino Linotype" w:eastAsia="Palatino Linotype" w:hAnsi="Palatino Linotype" w:cs="Palatino Linotype"/>
        </w:rPr>
        <w:t>Garante</w:t>
      </w:r>
      <w:r w:rsidRPr="00AF7742">
        <w:rPr>
          <w:rFonts w:ascii="Palatino Linotype" w:eastAsia="Palatino Linotype" w:hAnsi="Palatino Linotype" w:cs="Palatino Linotype"/>
          <w:color w:val="000000"/>
        </w:rPr>
        <w:t xml:space="preserve"> corresponde a la  </w:t>
      </w:r>
      <w:r w:rsidRPr="00AF7742">
        <w:rPr>
          <w:rFonts w:ascii="Palatino Linotype" w:eastAsia="Palatino Linotype" w:hAnsi="Palatino Linotype" w:cs="Palatino Linotype"/>
          <w:i/>
          <w:color w:val="000000"/>
        </w:rPr>
        <w:t>igualdad de oportunidades para recibir, buscar e impartir información</w:t>
      </w:r>
      <w:r w:rsidRPr="00AF7742">
        <w:rPr>
          <w:rFonts w:ascii="Palatino Linotype" w:eastAsia="Palatino Linotype" w:hAnsi="Palatino Linotype" w:cs="Palatino Linotype"/>
          <w:i/>
          <w:color w:val="000000"/>
          <w:vertAlign w:val="superscript"/>
        </w:rPr>
        <w:footnoteReference w:id="1"/>
      </w:r>
      <w:r w:rsidRPr="00AF7742">
        <w:rPr>
          <w:rFonts w:ascii="Palatino Linotype" w:eastAsia="Palatino Linotype" w:hAnsi="Palatino Linotype" w:cs="Palatino Linotype"/>
          <w:i/>
          <w:color w:val="000000"/>
        </w:rPr>
        <w:t xml:space="preserve"> en posesión de cualquier autoridad, entidad, órgano y organismo de los </w:t>
      </w:r>
      <w:r w:rsidRPr="00AF7742">
        <w:rPr>
          <w:rFonts w:ascii="Palatino Linotype" w:eastAsia="Palatino Linotype" w:hAnsi="Palatino Linotype" w:cs="Palatino Linotype"/>
        </w:rPr>
        <w:t>poderes</w:t>
      </w:r>
      <w:r w:rsidRPr="00AF7742">
        <w:rPr>
          <w:rFonts w:ascii="Palatino Linotype" w:eastAsia="Palatino Linotype" w:hAnsi="Palatino Linotype" w:cs="Palatino Linotype"/>
          <w:i/>
          <w:color w:val="000000"/>
        </w:rPr>
        <w:t xml:space="preserve"> Ejecutivo, Legislativo y Judicial, órganos autónomos, partidos políticos, fideicomisos, y fondos públicos, así como de cualquier persona física, moral o sindicato que reciba y ejerza recursos públicos o realice actos de autoridad en el ámbito federal, estatal y municipal</w:t>
      </w:r>
      <w:r w:rsidRPr="00AF7742">
        <w:rPr>
          <w:rFonts w:ascii="Palatino Linotype" w:eastAsia="Palatino Linotype" w:hAnsi="Palatino Linotype" w:cs="Palatino Linotype"/>
          <w:color w:val="000000"/>
          <w:vertAlign w:val="superscript"/>
        </w:rPr>
        <w:footnoteReference w:id="2"/>
      </w:r>
      <w:r w:rsidRPr="00AF7742">
        <w:rPr>
          <w:rFonts w:ascii="Palatino Linotype" w:eastAsia="Palatino Linotype" w:hAnsi="Palatino Linotype" w:cs="Palatino Linotype"/>
          <w:i/>
          <w:color w:val="000000"/>
        </w:rPr>
        <w:t xml:space="preserve"> </w:t>
      </w:r>
      <w:r w:rsidRPr="00AF7742">
        <w:rPr>
          <w:rFonts w:ascii="Palatino Linotype" w:eastAsia="Palatino Linotype" w:hAnsi="Palatino Linotype" w:cs="Palatino Linotype"/>
          <w:color w:val="000000"/>
        </w:rPr>
        <w:t xml:space="preserve">que se constituye como una herramienta fundamental para </w:t>
      </w:r>
      <w:r w:rsidRPr="00AF7742">
        <w:rPr>
          <w:rFonts w:ascii="Palatino Linotype" w:eastAsia="Palatino Linotype" w:hAnsi="Palatino Linotype" w:cs="Palatino Linotype"/>
          <w:i/>
          <w:color w:val="000000"/>
        </w:rPr>
        <w:t xml:space="preserve">ejercer </w:t>
      </w:r>
      <w:r w:rsidRPr="00AF7742">
        <w:rPr>
          <w:rFonts w:ascii="Palatino Linotype" w:eastAsia="Palatino Linotype" w:hAnsi="Palatino Linotype" w:cs="Palatino Linotype"/>
          <w:i/>
          <w:color w:val="000000"/>
        </w:rPr>
        <w:lastRenderedPageBreak/>
        <w:t>control democrático de las gestiones estatales, de forma tal que puedan cuestionar, indagar y considerar si se está dando un adecuado cumplimiento de las funciones públicas,</w:t>
      </w:r>
      <w:r w:rsidRPr="00AF7742">
        <w:rPr>
          <w:rFonts w:ascii="Palatino Linotype" w:eastAsia="Palatino Linotype" w:hAnsi="Palatino Linotype" w:cs="Palatino Linotype"/>
          <w:i/>
          <w:color w:val="000000"/>
          <w:vertAlign w:val="superscript"/>
        </w:rPr>
        <w:footnoteReference w:id="3"/>
      </w:r>
      <w:r w:rsidRPr="00AF7742">
        <w:rPr>
          <w:rFonts w:ascii="Palatino Linotype" w:eastAsia="Palatino Linotype" w:hAnsi="Palatino Linotype" w:cs="Palatino Linotype"/>
          <w:color w:val="000000"/>
        </w:rPr>
        <w:t>fomentando</w:t>
      </w:r>
      <w:r w:rsidRPr="00AF7742">
        <w:rPr>
          <w:rFonts w:ascii="Palatino Linotype" w:eastAsia="Palatino Linotype" w:hAnsi="Palatino Linotype" w:cs="Palatino Linotype"/>
          <w:i/>
          <w:color w:val="000000"/>
        </w:rPr>
        <w:t xml:space="preserve"> la transparencia de las actividades estatales y</w:t>
      </w:r>
      <w:r w:rsidRPr="00AF7742">
        <w:rPr>
          <w:rFonts w:ascii="Palatino Linotype" w:eastAsia="Palatino Linotype" w:hAnsi="Palatino Linotype" w:cs="Palatino Linotype"/>
          <w:color w:val="000000"/>
        </w:rPr>
        <w:t xml:space="preserve"> promoviendo</w:t>
      </w:r>
      <w:r w:rsidRPr="00AF7742">
        <w:rPr>
          <w:rFonts w:ascii="Palatino Linotype" w:eastAsia="Palatino Linotype" w:hAnsi="Palatino Linotype" w:cs="Palatino Linotype"/>
          <w:i/>
          <w:color w:val="000000"/>
        </w:rPr>
        <w:t xml:space="preserve"> la responsabilidad de los funcionarios sobre su gestión pública</w:t>
      </w:r>
      <w:r w:rsidRPr="00AF7742">
        <w:rPr>
          <w:rFonts w:ascii="Palatino Linotype" w:eastAsia="Palatino Linotype" w:hAnsi="Palatino Linotype" w:cs="Palatino Linotype"/>
          <w:i/>
          <w:color w:val="000000"/>
          <w:vertAlign w:val="superscript"/>
        </w:rPr>
        <w:footnoteReference w:id="4"/>
      </w:r>
      <w:r w:rsidRPr="00AF7742">
        <w:rPr>
          <w:rFonts w:ascii="Palatino Linotype" w:eastAsia="Palatino Linotype" w:hAnsi="Palatino Linotype" w:cs="Palatino Linotype"/>
          <w:i/>
          <w:color w:val="000000"/>
        </w:rPr>
        <w:t xml:space="preserve"> </w:t>
      </w:r>
      <w:r w:rsidRPr="00AF7742">
        <w:rPr>
          <w:rFonts w:ascii="Palatino Linotype" w:eastAsia="Palatino Linotype" w:hAnsi="Palatino Linotype" w:cs="Palatino Linotype"/>
          <w:color w:val="000000"/>
        </w:rPr>
        <w:t>que permite</w:t>
      </w:r>
      <w:r w:rsidRPr="00AF7742">
        <w:rPr>
          <w:rFonts w:ascii="Palatino Linotype" w:eastAsia="Palatino Linotype" w:hAnsi="Palatino Linotype" w:cs="Palatino Linotype"/>
          <w:i/>
          <w:color w:val="000000"/>
        </w:rPr>
        <w:t xml:space="preserve"> saber qué están haciendo los gobiernos por sus pueblos, sin lo cual la verdad languidecería y la participación en el gobierno permanecería fragmentada.</w:t>
      </w:r>
      <w:r w:rsidRPr="00AF7742">
        <w:rPr>
          <w:rFonts w:ascii="Palatino Linotype" w:eastAsia="Palatino Linotype" w:hAnsi="Palatino Linotype" w:cs="Palatino Linotype"/>
          <w:i/>
          <w:color w:val="000000"/>
          <w:vertAlign w:val="superscript"/>
        </w:rPr>
        <w:footnoteReference w:id="5"/>
      </w:r>
      <w:r w:rsidRPr="00AF7742">
        <w:rPr>
          <w:rFonts w:ascii="Palatino Linotype" w:eastAsia="Palatino Linotype" w:hAnsi="Palatino Linotype" w:cs="Palatino Linotype"/>
          <w:color w:val="000000"/>
        </w:rPr>
        <w:t xml:space="preserve"> ”</w:t>
      </w:r>
    </w:p>
    <w:p w14:paraId="3055749E" w14:textId="03B20978" w:rsidR="003C329B" w:rsidRPr="00AF7742" w:rsidRDefault="003C329B" w:rsidP="00CA2199">
      <w:pPr>
        <w:pStyle w:val="Prrafodelista"/>
        <w:spacing w:line="360" w:lineRule="auto"/>
        <w:ind w:left="0"/>
        <w:jc w:val="both"/>
        <w:rPr>
          <w:rFonts w:ascii="Palatino Linotype" w:eastAsia="Palatino Linotype" w:hAnsi="Palatino Linotype" w:cs="Palatino Linotype"/>
          <w:color w:val="000000"/>
        </w:rPr>
      </w:pPr>
      <w:r w:rsidRPr="00AF7742">
        <w:rPr>
          <w:rFonts w:ascii="Palatino Linotype" w:eastAsia="Palatino Linotype" w:hAnsi="Palatino Linotype" w:cs="Palatino Linotype"/>
          <w:color w:val="000000"/>
        </w:rPr>
        <w:t xml:space="preserve"> </w:t>
      </w:r>
    </w:p>
    <w:p w14:paraId="74A6286E" w14:textId="77777777" w:rsidR="003C329B" w:rsidRPr="00AF7742" w:rsidRDefault="003C329B" w:rsidP="00A42539">
      <w:pPr>
        <w:pStyle w:val="Prrafodelista"/>
        <w:numPr>
          <w:ilvl w:val="0"/>
          <w:numId w:val="1"/>
        </w:numPr>
        <w:spacing w:line="360" w:lineRule="auto"/>
        <w:ind w:left="0" w:firstLine="0"/>
        <w:jc w:val="both"/>
        <w:rPr>
          <w:rFonts w:ascii="Palatino Linotype" w:eastAsia="Palatino Linotype" w:hAnsi="Palatino Linotype" w:cs="Palatino Linotype"/>
          <w:i/>
          <w:color w:val="000000"/>
        </w:rPr>
      </w:pPr>
      <w:r w:rsidRPr="00AF7742">
        <w:rPr>
          <w:rFonts w:ascii="Palatino Linotype" w:eastAsia="Palatino Linotype" w:hAnsi="Palatino Linotype" w:cs="Palatino Linotype"/>
          <w:color w:val="000000"/>
        </w:rPr>
        <w:t xml:space="preserve">Para entender los alcances de la información pública se considera importante citar el criterio de interpretación </w:t>
      </w:r>
      <w:r w:rsidRPr="00AF7742">
        <w:rPr>
          <w:rFonts w:ascii="Palatino Linotype" w:hAnsi="Palatino Linotype" w:cs="Times New Roman"/>
        </w:rPr>
        <w:t>en</w:t>
      </w:r>
      <w:r w:rsidRPr="00AF7742">
        <w:rPr>
          <w:rFonts w:ascii="Palatino Linotype" w:eastAsia="Palatino Linotype" w:hAnsi="Palatino Linotype" w:cs="Palatino Linotype"/>
          <w:color w:val="000000"/>
        </w:rPr>
        <w:t xml:space="preserve"> el orden administrativo número 0002-11, emitido por Acuerdo del Pleno de este Instituto de Transparencia y Acceso a la Información Pública del Estado de México y Municipios, publicado en el Periódico </w:t>
      </w:r>
      <w:r w:rsidRPr="00AF7742">
        <w:rPr>
          <w:rFonts w:ascii="Palatino Linotype" w:hAnsi="Palatino Linotype" w:cs="Arial"/>
        </w:rPr>
        <w:t>Oficial</w:t>
      </w:r>
      <w:r w:rsidRPr="00AF7742">
        <w:rPr>
          <w:rFonts w:ascii="Palatino Linotype" w:eastAsia="Palatino Linotype" w:hAnsi="Palatino Linotype" w:cs="Palatino Linotype"/>
          <w:color w:val="000000"/>
        </w:rPr>
        <w:t xml:space="preserve"> del Gobierno del Estado Libre y Soberano de México “Gaceta del Gobierno” el diecinueve de octubre de dos mil once, cuyo rubro y texto dispone:</w:t>
      </w:r>
    </w:p>
    <w:p w14:paraId="2569FE65" w14:textId="77777777" w:rsidR="003C329B" w:rsidRPr="00AF7742" w:rsidRDefault="003C329B" w:rsidP="00A42539">
      <w:pPr>
        <w:spacing w:line="360" w:lineRule="auto"/>
        <w:ind w:left="426" w:right="474"/>
        <w:jc w:val="both"/>
        <w:rPr>
          <w:rFonts w:ascii="Palatino Linotype" w:eastAsia="Palatino Linotype" w:hAnsi="Palatino Linotype" w:cs="Palatino Linotype"/>
          <w:b/>
          <w:i/>
          <w:color w:val="000000"/>
        </w:rPr>
      </w:pPr>
      <w:r w:rsidRPr="00AF7742">
        <w:rPr>
          <w:rFonts w:ascii="Palatino Linotype" w:eastAsia="Palatino Linotype" w:hAnsi="Palatino Linotype" w:cs="Palatino Linotype"/>
          <w:b/>
          <w:i/>
          <w:color w:val="000000"/>
        </w:rPr>
        <w:t>“CRITERIO 0002-11</w:t>
      </w:r>
    </w:p>
    <w:p w14:paraId="6E513B09" w14:textId="77777777" w:rsidR="003C329B" w:rsidRPr="00AF7742" w:rsidRDefault="003C329B" w:rsidP="00A42539">
      <w:pPr>
        <w:spacing w:line="360" w:lineRule="auto"/>
        <w:ind w:left="426" w:right="474"/>
        <w:jc w:val="both"/>
        <w:rPr>
          <w:rFonts w:ascii="Palatino Linotype" w:eastAsia="Palatino Linotype" w:hAnsi="Palatino Linotype" w:cs="Palatino Linotype"/>
          <w:i/>
          <w:color w:val="000000"/>
        </w:rPr>
      </w:pPr>
      <w:r w:rsidRPr="00AF7742">
        <w:rPr>
          <w:rFonts w:ascii="Palatino Linotype" w:eastAsia="Palatino Linotype" w:hAnsi="Palatino Linotype" w:cs="Palatino Linotype"/>
          <w:b/>
          <w:i/>
          <w:color w:val="000000"/>
        </w:rPr>
        <w:t>INFORMACIÓN PÚBLICA, CONCEPTO DE, EN MATERIA DE TRANSPARENCIA. INTERPRETACIÓN TEMÁTICA DE LOS ARTÍCULOS 2, FRACCIÓN V, XV, Y XVI, 3, 4,11 Y 41.</w:t>
      </w:r>
      <w:r w:rsidRPr="00AF7742">
        <w:rPr>
          <w:rFonts w:ascii="Palatino Linotype" w:eastAsia="Palatino Linotype" w:hAnsi="Palatino Linotype" w:cs="Palatino Linotype"/>
          <w:i/>
          <w:color w:val="000000"/>
        </w:rPr>
        <w:t xml:space="preserve"> De conformidad con los artículos antes referidos, el derecho de acceso a la información pública, se define en cuanto a su alcance y resultado material, el acceso a los archivos, registros y documentos públicos, administrados, generados </w:t>
      </w:r>
      <w:r w:rsidRPr="00AF7742">
        <w:rPr>
          <w:rFonts w:ascii="Palatino Linotype" w:eastAsia="Palatino Linotype" w:hAnsi="Palatino Linotype" w:cs="Palatino Linotype"/>
          <w:i/>
          <w:color w:val="000000"/>
        </w:rPr>
        <w:lastRenderedPageBreak/>
        <w:t>o en posesión de los órganos u organismos públicos, en virtud del ejercicio de sus funciones de derecho público, sin importar su fuente, soporte o fecha de elaboración.</w:t>
      </w:r>
    </w:p>
    <w:p w14:paraId="3D52BA03" w14:textId="77777777" w:rsidR="003C329B" w:rsidRPr="00AF7742" w:rsidRDefault="003C329B" w:rsidP="00A42539">
      <w:pPr>
        <w:spacing w:line="360" w:lineRule="auto"/>
        <w:ind w:left="426" w:right="474"/>
        <w:jc w:val="both"/>
        <w:rPr>
          <w:rFonts w:ascii="Palatino Linotype" w:eastAsia="Palatino Linotype" w:hAnsi="Palatino Linotype" w:cs="Palatino Linotype"/>
          <w:i/>
          <w:color w:val="000000"/>
        </w:rPr>
      </w:pPr>
      <w:r w:rsidRPr="00AF7742">
        <w:rPr>
          <w:rFonts w:ascii="Palatino Linotype" w:eastAsia="Palatino Linotype" w:hAnsi="Palatino Linotype" w:cs="Palatino Linotype"/>
          <w:i/>
          <w:color w:val="000000"/>
        </w:rPr>
        <w:t>En consecuencia el acceso a la información se refiere a que se cumplan cualquiera de los siguientes tres supuestos:</w:t>
      </w:r>
    </w:p>
    <w:p w14:paraId="29B6D4BE" w14:textId="77777777" w:rsidR="003C329B" w:rsidRPr="00AF7742" w:rsidRDefault="003C329B" w:rsidP="00A42539">
      <w:pPr>
        <w:spacing w:line="360" w:lineRule="auto"/>
        <w:ind w:left="426" w:right="474"/>
        <w:jc w:val="both"/>
        <w:rPr>
          <w:rFonts w:ascii="Palatino Linotype" w:eastAsia="Palatino Linotype" w:hAnsi="Palatino Linotype" w:cs="Palatino Linotype"/>
          <w:i/>
          <w:color w:val="000000"/>
        </w:rPr>
      </w:pPr>
      <w:r w:rsidRPr="00AF7742">
        <w:rPr>
          <w:rFonts w:ascii="Palatino Linotype" w:eastAsia="Palatino Linotype" w:hAnsi="Palatino Linotype" w:cs="Palatino Linotype"/>
          <w:i/>
          <w:color w:val="000000"/>
        </w:rPr>
        <w:t>Que se trate de información registrada en cualquier soporte documental, que en ejercicio de las atribuciones conferidas, sea generada por los Sujetos Obligados;</w:t>
      </w:r>
    </w:p>
    <w:p w14:paraId="660C33B8" w14:textId="77777777" w:rsidR="003C329B" w:rsidRPr="00AF7742" w:rsidRDefault="003C329B" w:rsidP="00A42539">
      <w:pPr>
        <w:spacing w:line="360" w:lineRule="auto"/>
        <w:ind w:left="426" w:right="474"/>
        <w:jc w:val="both"/>
        <w:rPr>
          <w:rFonts w:ascii="Palatino Linotype" w:eastAsia="Palatino Linotype" w:hAnsi="Palatino Linotype" w:cs="Palatino Linotype"/>
          <w:i/>
          <w:color w:val="000000"/>
        </w:rPr>
      </w:pPr>
      <w:r w:rsidRPr="00AF7742">
        <w:rPr>
          <w:rFonts w:ascii="Palatino Linotype" w:eastAsia="Palatino Linotype" w:hAnsi="Palatino Linotype" w:cs="Palatino Linotype"/>
          <w:i/>
          <w:color w:val="000000"/>
        </w:rPr>
        <w:t>Que se trate de información registrada en cualquier soporte documental, que en ejercicio de las atribuciones conferidas, sea administrada por los Sujetos Obligados, y</w:t>
      </w:r>
    </w:p>
    <w:p w14:paraId="7D290A9B" w14:textId="77777777" w:rsidR="003C329B" w:rsidRPr="00AF7742" w:rsidRDefault="003C329B" w:rsidP="00A42539">
      <w:pPr>
        <w:spacing w:line="360" w:lineRule="auto"/>
        <w:ind w:left="426" w:right="474"/>
        <w:jc w:val="both"/>
        <w:rPr>
          <w:rFonts w:ascii="Palatino Linotype" w:eastAsia="Palatino Linotype" w:hAnsi="Palatino Linotype" w:cs="Palatino Linotype"/>
          <w:i/>
          <w:color w:val="000000"/>
        </w:rPr>
      </w:pPr>
      <w:r w:rsidRPr="00AF7742">
        <w:rPr>
          <w:rFonts w:ascii="Palatino Linotype" w:eastAsia="Palatino Linotype" w:hAnsi="Palatino Linotype" w:cs="Palatino Linotype"/>
          <w:i/>
          <w:color w:val="000000"/>
        </w:rPr>
        <w:t>Que se trate de información registrada en cualquier soporte documental, que en ejercicio de las atribuciones conferidas, se encuentre en posesión de los Sujetos Obligados.”</w:t>
      </w:r>
    </w:p>
    <w:p w14:paraId="2A88EAAD" w14:textId="77777777" w:rsidR="003C329B" w:rsidRPr="00AF7742" w:rsidRDefault="003C329B" w:rsidP="00A42539">
      <w:pPr>
        <w:spacing w:line="360" w:lineRule="auto"/>
        <w:ind w:left="567" w:right="567"/>
        <w:jc w:val="both"/>
        <w:rPr>
          <w:rFonts w:ascii="Palatino Linotype" w:eastAsia="Palatino Linotype" w:hAnsi="Palatino Linotype" w:cs="Palatino Linotype"/>
          <w:i/>
          <w:color w:val="000000"/>
        </w:rPr>
      </w:pPr>
    </w:p>
    <w:p w14:paraId="619FA6D1" w14:textId="77777777" w:rsidR="003C329B" w:rsidRPr="00AF7742" w:rsidRDefault="003C329B" w:rsidP="00A42539">
      <w:pPr>
        <w:pStyle w:val="Prrafodelista"/>
        <w:numPr>
          <w:ilvl w:val="0"/>
          <w:numId w:val="1"/>
        </w:numPr>
        <w:spacing w:line="360" w:lineRule="auto"/>
        <w:ind w:left="0" w:firstLine="0"/>
        <w:jc w:val="both"/>
        <w:rPr>
          <w:rFonts w:ascii="Palatino Linotype" w:eastAsia="Palatino Linotype" w:hAnsi="Palatino Linotype" w:cs="Palatino Linotype"/>
          <w:color w:val="000000"/>
        </w:rPr>
      </w:pPr>
      <w:r w:rsidRPr="00AF7742">
        <w:rPr>
          <w:rFonts w:ascii="Palatino Linotype" w:eastAsia="Palatino Linotype" w:hAnsi="Palatino Linotype" w:cs="Palatino Linotype"/>
          <w:color w:val="000000"/>
        </w:rPr>
        <w:t>El derecho de acceso a la información encuentra su materia elemental en los documentos, y la Ley de Transparencia local  nos brinda el siguiente concepto, para darnos un mejor panorama:</w:t>
      </w:r>
    </w:p>
    <w:p w14:paraId="44CF9411" w14:textId="77777777" w:rsidR="003C329B" w:rsidRPr="00AF7742" w:rsidRDefault="003C329B" w:rsidP="00A42539">
      <w:pPr>
        <w:spacing w:line="360" w:lineRule="auto"/>
        <w:ind w:left="426" w:right="474"/>
        <w:jc w:val="both"/>
        <w:rPr>
          <w:rFonts w:ascii="Palatino Linotype" w:eastAsia="Palatino Linotype" w:hAnsi="Palatino Linotype" w:cs="Palatino Linotype"/>
          <w:i/>
          <w:color w:val="000000"/>
        </w:rPr>
      </w:pPr>
      <w:r w:rsidRPr="00AF7742">
        <w:rPr>
          <w:rFonts w:ascii="Palatino Linotype" w:eastAsia="Palatino Linotype" w:hAnsi="Palatino Linotype" w:cs="Palatino Linotype"/>
          <w:b/>
          <w:i/>
          <w:color w:val="000000"/>
        </w:rPr>
        <w:t xml:space="preserve">XI. Documento: </w:t>
      </w:r>
      <w:r w:rsidRPr="00AF7742">
        <w:rPr>
          <w:rFonts w:ascii="Palatino Linotype" w:eastAsia="Palatino Linotype" w:hAnsi="Palatino Linotype" w:cs="Palatino Linotype"/>
          <w:i/>
          <w:color w:val="000000"/>
        </w:rPr>
        <w:t xml:space="preserve">Los expedientes, reportes, estudios, actas, resoluciones, oficios, correspondencia, acuerdos, directivas, directrices, circulares, contratos, convenios, instructivos, notas, memorandos, estadísticas o bien, </w:t>
      </w:r>
      <w:r w:rsidRPr="00AF7742">
        <w:rPr>
          <w:rFonts w:ascii="Palatino Linotype" w:eastAsia="Palatino Linotype" w:hAnsi="Palatino Linotype" w:cs="Palatino Linotype"/>
          <w:b/>
          <w:i/>
          <w:color w:val="000000"/>
        </w:rPr>
        <w:t>cualquier otro registro</w:t>
      </w:r>
      <w:r w:rsidRPr="00AF7742">
        <w:rPr>
          <w:rFonts w:ascii="Palatino Linotype" w:eastAsia="Palatino Linotype" w:hAnsi="Palatino Linotype" w:cs="Palatino Linotype"/>
          <w:i/>
          <w:color w:val="000000"/>
        </w:rPr>
        <w:t xml:space="preserve"> que documente el ejercicio de las facultades, funciones y competencias de los sujetos obligados, sus servidores públicos e integrantes, sin importar su fuente o fecha de elaboración. Los documentos podrán estar en cualquier medio, sea escrito, impreso, sonoro, visual, electrónico, informático u holográfico;</w:t>
      </w:r>
    </w:p>
    <w:p w14:paraId="6A70187B" w14:textId="77777777" w:rsidR="003C329B" w:rsidRPr="00AF7742" w:rsidRDefault="003C329B" w:rsidP="00A42539">
      <w:pPr>
        <w:spacing w:line="360" w:lineRule="auto"/>
        <w:ind w:left="567" w:right="567"/>
        <w:jc w:val="both"/>
        <w:rPr>
          <w:rFonts w:ascii="Palatino Linotype" w:eastAsia="Palatino Linotype" w:hAnsi="Palatino Linotype" w:cs="Palatino Linotype"/>
          <w:i/>
          <w:color w:val="000000"/>
        </w:rPr>
      </w:pPr>
    </w:p>
    <w:p w14:paraId="69680B63" w14:textId="77777777" w:rsidR="003C329B" w:rsidRPr="00AF7742" w:rsidRDefault="003C329B" w:rsidP="00A42539">
      <w:pPr>
        <w:pStyle w:val="Prrafodelista"/>
        <w:numPr>
          <w:ilvl w:val="0"/>
          <w:numId w:val="1"/>
        </w:numPr>
        <w:spacing w:line="360" w:lineRule="auto"/>
        <w:ind w:left="0" w:firstLine="0"/>
        <w:jc w:val="both"/>
        <w:rPr>
          <w:rFonts w:ascii="Palatino Linotype" w:eastAsia="Palatino Linotype" w:hAnsi="Palatino Linotype" w:cs="Palatino Linotype"/>
          <w:color w:val="000000"/>
        </w:rPr>
      </w:pPr>
      <w:r w:rsidRPr="00AF7742">
        <w:rPr>
          <w:rFonts w:ascii="Palatino Linotype" w:eastAsia="Palatino Linotype" w:hAnsi="Palatino Linotype" w:cs="Palatino Linotype"/>
          <w:color w:val="000000"/>
        </w:rPr>
        <w:lastRenderedPageBreak/>
        <w:t xml:space="preserve">Es así que, todos los actos de autoridad que realicen los Sujetos Obligados </w:t>
      </w:r>
      <w:r w:rsidRPr="00AF7742">
        <w:rPr>
          <w:rFonts w:ascii="Palatino Linotype" w:eastAsia="Palatino Linotype" w:hAnsi="Palatino Linotype" w:cs="Palatino Linotype"/>
          <w:b/>
          <w:color w:val="000000"/>
        </w:rPr>
        <w:t xml:space="preserve">deben estar </w:t>
      </w:r>
      <w:r w:rsidRPr="00AF7742">
        <w:rPr>
          <w:rFonts w:ascii="Palatino Linotype" w:eastAsia="Palatino Linotype" w:hAnsi="Palatino Linotype" w:cs="Palatino Linotype"/>
          <w:color w:val="000000"/>
        </w:rPr>
        <w:t>documentados y, bajo el más alto estándar de transparencia deberán poner toda la información que se encuentre en su posesión, a disposición de los particulares que la soliciten.</w:t>
      </w:r>
    </w:p>
    <w:p w14:paraId="6021E648" w14:textId="77777777" w:rsidR="00CA2199" w:rsidRPr="00AF7742" w:rsidRDefault="00CA2199" w:rsidP="00CA2199">
      <w:pPr>
        <w:pStyle w:val="Prrafodelista"/>
        <w:spacing w:line="360" w:lineRule="auto"/>
        <w:ind w:left="0"/>
        <w:jc w:val="both"/>
        <w:rPr>
          <w:rFonts w:ascii="Palatino Linotype" w:eastAsia="Palatino Linotype" w:hAnsi="Palatino Linotype" w:cs="Palatino Linotype"/>
          <w:color w:val="000000"/>
        </w:rPr>
      </w:pPr>
    </w:p>
    <w:p w14:paraId="5789B399" w14:textId="77777777" w:rsidR="003C329B" w:rsidRPr="00AF7742" w:rsidRDefault="003C329B" w:rsidP="00A42539">
      <w:pPr>
        <w:pStyle w:val="Prrafodelista"/>
        <w:numPr>
          <w:ilvl w:val="0"/>
          <w:numId w:val="1"/>
        </w:numPr>
        <w:spacing w:line="360" w:lineRule="auto"/>
        <w:ind w:left="0" w:firstLine="0"/>
        <w:jc w:val="both"/>
        <w:rPr>
          <w:rFonts w:ascii="Palatino Linotype" w:eastAsia="Palatino Linotype" w:hAnsi="Palatino Linotype" w:cs="Palatino Linotype"/>
          <w:color w:val="000000"/>
        </w:rPr>
      </w:pPr>
      <w:r w:rsidRPr="00AF7742">
        <w:rPr>
          <w:rFonts w:ascii="Palatino Linotype" w:eastAsia="Palatino Linotype" w:hAnsi="Palatino Linotype" w:cs="Palatino Linotype"/>
          <w:color w:val="000000"/>
        </w:rPr>
        <w:t>Además, debemos tomar en cuenta los artículos 4 y 12 (antes transcrito), de la Ley de Transparencia y Acceso a la Información Pública del Estado de México y Municipios, los cuales establecen lo siguiente:</w:t>
      </w:r>
    </w:p>
    <w:p w14:paraId="58BBDE3B" w14:textId="77777777" w:rsidR="003C329B" w:rsidRPr="00AF7742" w:rsidRDefault="003C329B" w:rsidP="00A42539">
      <w:pPr>
        <w:spacing w:line="360" w:lineRule="auto"/>
        <w:ind w:left="426" w:right="567"/>
        <w:jc w:val="both"/>
        <w:rPr>
          <w:rFonts w:ascii="Palatino Linotype" w:eastAsia="Palatino Linotype" w:hAnsi="Palatino Linotype" w:cs="Palatino Linotype"/>
          <w:i/>
          <w:color w:val="000000"/>
        </w:rPr>
      </w:pPr>
      <w:r w:rsidRPr="00AF7742">
        <w:rPr>
          <w:rFonts w:ascii="Palatino Linotype" w:eastAsia="Palatino Linotype" w:hAnsi="Palatino Linotype" w:cs="Palatino Linotype"/>
          <w:b/>
          <w:i/>
          <w:color w:val="000000"/>
        </w:rPr>
        <w:t xml:space="preserve">“Artículo 4. </w:t>
      </w:r>
      <w:r w:rsidRPr="00AF7742">
        <w:rPr>
          <w:rFonts w:ascii="Palatino Linotype" w:eastAsia="Palatino Linotype" w:hAnsi="Palatino Linotype" w:cs="Palatino Linotype"/>
          <w:i/>
          <w:color w:val="000000"/>
        </w:rPr>
        <w:t>El derecho humano de acceso a la información pública es la prerrogativa de las personas para buscar, difundir, investigar, recabar, recibir y solicitar información pública, sin necesidad de acreditar personalidad ni interés jurídico.</w:t>
      </w:r>
    </w:p>
    <w:p w14:paraId="3A495B9E" w14:textId="77777777" w:rsidR="003C329B" w:rsidRPr="00AF7742" w:rsidRDefault="003C329B" w:rsidP="00A42539">
      <w:pPr>
        <w:spacing w:line="360" w:lineRule="auto"/>
        <w:ind w:left="426" w:right="567"/>
        <w:jc w:val="both"/>
        <w:rPr>
          <w:rFonts w:ascii="Palatino Linotype" w:eastAsia="Palatino Linotype" w:hAnsi="Palatino Linotype" w:cs="Palatino Linotype"/>
          <w:i/>
          <w:color w:val="000000"/>
        </w:rPr>
      </w:pPr>
      <w:r w:rsidRPr="00AF7742">
        <w:rPr>
          <w:rFonts w:ascii="Palatino Linotype" w:eastAsia="Palatino Linotype" w:hAnsi="Palatino Linotype" w:cs="Palatino Linotype"/>
          <w:b/>
          <w:i/>
          <w:color w:val="000000"/>
        </w:rPr>
        <w:t>Toda la información</w:t>
      </w:r>
      <w:r w:rsidRPr="00AF7742">
        <w:rPr>
          <w:rFonts w:ascii="Palatino Linotype" w:eastAsia="Palatino Linotype" w:hAnsi="Palatino Linotype" w:cs="Palatino Linotype"/>
          <w:i/>
          <w:color w:val="000000"/>
        </w:rPr>
        <w:t xml:space="preserve"> generada, obtenida, adquirida, transformada, administrada o </w:t>
      </w:r>
      <w:r w:rsidRPr="00AF7742">
        <w:rPr>
          <w:rFonts w:ascii="Palatino Linotype" w:eastAsia="Palatino Linotype" w:hAnsi="Palatino Linotype" w:cs="Palatino Linotype"/>
          <w:b/>
          <w:i/>
          <w:color w:val="000000"/>
        </w:rPr>
        <w:t>en posesión de los sujetos obligados es pública</w:t>
      </w:r>
      <w:r w:rsidRPr="00AF7742">
        <w:rPr>
          <w:rFonts w:ascii="Palatino Linotype" w:eastAsia="Palatino Linotype" w:hAnsi="Palatino Linotype" w:cs="Palatino Linotype"/>
          <w:i/>
          <w:color w:val="000000"/>
        </w:rPr>
        <w:t xml:space="preserve"> y accesible de manera permanente a cualquier persona,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14:paraId="2B4CA29A" w14:textId="77777777" w:rsidR="003C329B" w:rsidRPr="00AF7742" w:rsidRDefault="003C329B" w:rsidP="00A42539">
      <w:pPr>
        <w:spacing w:line="360" w:lineRule="auto"/>
        <w:ind w:left="426" w:right="567"/>
        <w:jc w:val="both"/>
        <w:rPr>
          <w:rFonts w:ascii="Palatino Linotype" w:eastAsia="Palatino Linotype" w:hAnsi="Palatino Linotype" w:cs="Palatino Linotype"/>
          <w:i/>
          <w:color w:val="000000"/>
        </w:rPr>
      </w:pPr>
      <w:r w:rsidRPr="00AF7742">
        <w:rPr>
          <w:rFonts w:ascii="Palatino Linotype" w:eastAsia="Palatino Linotype" w:hAnsi="Palatino Linotype" w:cs="Palatino Linotype"/>
          <w:i/>
          <w:color w:val="000000"/>
        </w:rPr>
        <w:t>Los sujetos obligados deben poner en práctica, políticas y programas de acceso a la información que se apeguen a criterios de publicidad, veracidad, oportunidad, precisión y suficiencia en beneficio de los solicitantes.”</w:t>
      </w:r>
    </w:p>
    <w:p w14:paraId="3606BE7F" w14:textId="77777777" w:rsidR="003C329B" w:rsidRPr="00AF7742" w:rsidRDefault="003C329B" w:rsidP="00A42539">
      <w:pPr>
        <w:spacing w:line="360" w:lineRule="auto"/>
        <w:ind w:left="567" w:right="567"/>
        <w:jc w:val="both"/>
        <w:rPr>
          <w:rFonts w:ascii="Palatino Linotype" w:eastAsia="Palatino Linotype" w:hAnsi="Palatino Linotype" w:cs="Palatino Linotype"/>
          <w:i/>
          <w:color w:val="000000"/>
        </w:rPr>
      </w:pPr>
    </w:p>
    <w:p w14:paraId="3BC6CBBA" w14:textId="77777777" w:rsidR="003C329B" w:rsidRPr="00AF7742" w:rsidRDefault="003C329B" w:rsidP="00A42539">
      <w:pPr>
        <w:pStyle w:val="Prrafodelista"/>
        <w:numPr>
          <w:ilvl w:val="0"/>
          <w:numId w:val="1"/>
        </w:numPr>
        <w:spacing w:line="360" w:lineRule="auto"/>
        <w:ind w:left="0" w:firstLine="0"/>
        <w:jc w:val="both"/>
        <w:rPr>
          <w:rFonts w:ascii="Palatino Linotype" w:eastAsia="Palatino Linotype" w:hAnsi="Palatino Linotype" w:cs="Palatino Linotype"/>
          <w:color w:val="000000"/>
        </w:rPr>
      </w:pPr>
      <w:r w:rsidRPr="00AF7742">
        <w:rPr>
          <w:rFonts w:ascii="Palatino Linotype" w:eastAsia="Palatino Linotype" w:hAnsi="Palatino Linotype" w:cs="Palatino Linotype"/>
          <w:color w:val="000000"/>
        </w:rPr>
        <w:lastRenderedPageBreak/>
        <w:t>Es así que, por un lado se tiene la obligación de documentar todos los actos que se lleven a cabo en el ejercicio de sus funciones, atribuciones y competencias, mientras que por otro, se ven impuestos por la obligación de hacer pública toda aquella información que se encuentre en su posesión en estricto apego a los principios de eficacia</w:t>
      </w:r>
      <w:r w:rsidRPr="00AF7742">
        <w:rPr>
          <w:rFonts w:ascii="Palatino Linotype" w:eastAsia="Palatino Linotype" w:hAnsi="Palatino Linotype" w:cs="Palatino Linotype"/>
          <w:color w:val="000000"/>
          <w:vertAlign w:val="superscript"/>
        </w:rPr>
        <w:footnoteReference w:id="6"/>
      </w:r>
      <w:r w:rsidRPr="00AF7742">
        <w:rPr>
          <w:rFonts w:ascii="Palatino Linotype" w:eastAsia="Palatino Linotype" w:hAnsi="Palatino Linotype" w:cs="Palatino Linotype"/>
          <w:color w:val="000000"/>
        </w:rPr>
        <w:t xml:space="preserve"> y máxima publicidad, sobre éste último se debe poner mayor énfasis, puesto que establece que toda la información en posesión de los Sujetos Obligados será pública, completa, oportuna y accesible, lo que permite que la ciudadanía tenga un amplio acceso sobre lo que es el actuar de las autoridades.</w:t>
      </w:r>
    </w:p>
    <w:p w14:paraId="5482843F" w14:textId="77777777" w:rsidR="003C329B" w:rsidRPr="00AF7742" w:rsidRDefault="003C329B" w:rsidP="00A42539">
      <w:pPr>
        <w:spacing w:line="360" w:lineRule="auto"/>
        <w:ind w:right="49"/>
        <w:jc w:val="both"/>
        <w:rPr>
          <w:rFonts w:ascii="Palatino Linotype" w:eastAsia="Palatino Linotype" w:hAnsi="Palatino Linotype" w:cs="Palatino Linotype"/>
          <w:color w:val="000000"/>
        </w:rPr>
      </w:pPr>
    </w:p>
    <w:p w14:paraId="2E185162" w14:textId="77777777" w:rsidR="003C329B" w:rsidRPr="00AF7742" w:rsidRDefault="003C329B" w:rsidP="00A42539">
      <w:pPr>
        <w:pStyle w:val="Prrafodelista"/>
        <w:numPr>
          <w:ilvl w:val="0"/>
          <w:numId w:val="1"/>
        </w:numPr>
        <w:spacing w:line="360" w:lineRule="auto"/>
        <w:ind w:left="0" w:firstLine="0"/>
        <w:jc w:val="both"/>
        <w:rPr>
          <w:rFonts w:ascii="Palatino Linotype" w:eastAsia="Palatino Linotype" w:hAnsi="Palatino Linotype" w:cs="Palatino Linotype"/>
          <w:color w:val="000000"/>
        </w:rPr>
      </w:pPr>
      <w:r w:rsidRPr="00AF7742">
        <w:rPr>
          <w:rFonts w:ascii="Palatino Linotype" w:eastAsia="Palatino Linotype" w:hAnsi="Palatino Linotype" w:cs="Palatino Linotype"/>
          <w:color w:val="000000"/>
        </w:rPr>
        <w:t>Robustece lo anterior la Tesis aislada identificada con la clave I.4º.A.40 A del Cuarto Tribunal colegiado en Materia Administrativa del Primer Circuito, publicada en el Seminario Judicial de la Federación y su Gaceta en el libro XVIII, Marzo 2013, Página 1899.</w:t>
      </w:r>
    </w:p>
    <w:p w14:paraId="75F6F709" w14:textId="77777777" w:rsidR="003C329B" w:rsidRPr="00AF7742" w:rsidRDefault="003C329B" w:rsidP="00A42539">
      <w:pPr>
        <w:pBdr>
          <w:top w:val="nil"/>
          <w:left w:val="nil"/>
          <w:bottom w:val="nil"/>
          <w:right w:val="nil"/>
          <w:between w:val="nil"/>
        </w:pBdr>
        <w:tabs>
          <w:tab w:val="left" w:pos="851"/>
        </w:tabs>
        <w:spacing w:line="360" w:lineRule="auto"/>
        <w:ind w:left="425" w:right="476"/>
        <w:jc w:val="both"/>
        <w:rPr>
          <w:rFonts w:ascii="Palatino Linotype" w:eastAsia="Palatino Linotype" w:hAnsi="Palatino Linotype" w:cs="Palatino Linotype"/>
          <w:i/>
          <w:color w:val="000000"/>
        </w:rPr>
      </w:pPr>
      <w:r w:rsidRPr="00AF7742">
        <w:rPr>
          <w:rFonts w:ascii="Palatino Linotype" w:eastAsia="Palatino Linotype" w:hAnsi="Palatino Linotype" w:cs="Palatino Linotype"/>
          <w:b/>
          <w:i/>
          <w:color w:val="000000"/>
        </w:rPr>
        <w:t>ACCESO A LA INFORMACIÓN. IMPLICACIÓN DEL PRINCIPIO DE MÁXIMA PUBLICIDAD EN EL DERECHO FUNDAMENTAL RELATIVO.</w:t>
      </w:r>
      <w:r w:rsidRPr="00AF7742">
        <w:rPr>
          <w:rFonts w:ascii="Palatino Linotype" w:eastAsia="Palatino Linotype" w:hAnsi="Palatino Linotype" w:cs="Palatino Linotype"/>
          <w:i/>
          <w:color w:val="000000"/>
        </w:rPr>
        <w:t xml:space="preserve"> Del artículo 6o. de la Constitución Política de los Estados Unidos Mexicanos se advierte que el Estado Mexicano está constreñido a publicitar sus actos, pues se reconoce el derecho fundamental de los ciudadanos a acceder a la información que obra en poder de la autoridad, que como lo ha expuesto el Pleno de la Suprema Corte de Justicia de la Nación en la tesis P./J. 54/2008, publicada en el Semanario Judicial de la Federación y su Gaceta, Novena Época, Tomo XXVII, junio de 2008, página 743, de rubro: "ACCESO A LA INFORMACIÓN. SU NATURALEZA COMO GARANTÍAS INDIVIDUAL Y SOCIAL.", contiene una doble </w:t>
      </w:r>
      <w:r w:rsidRPr="00AF7742">
        <w:rPr>
          <w:rFonts w:ascii="Palatino Linotype" w:eastAsia="Palatino Linotype" w:hAnsi="Palatino Linotype" w:cs="Palatino Linotype"/>
          <w:i/>
          <w:color w:val="000000"/>
        </w:rPr>
        <w:lastRenderedPageBreak/>
        <w:t>dimensión: individual y social. En su primer aspecto, cumple con la función de maximizar el campo de la autonomía personal, posibilitando el ejercicio de la libertad de expresión en un contexto de mayor diversidad de datos, voces y opiniones, mientras que en el segundo, brinda un derecho colectivo o social que tiende a revelar el empleo instrumental de la información no sólo como factor de autorrealización personal, sino como un mecanismo de control institucional, pues se trata de un derecho fundado en una de las características principales del gobierno republicano, que es la publicidad de los actos de gobierno y la transparencia en el actuar de la administración, conducente y necesaria para la rendición de cuentas. Por ello, el principio de máxima publicidad incorporado en el texto constitucional, implica para cualquier autoridad, realizar un manejo de la información bajo la premisa inicial que toda ella es pública y sólo por excepción, en los casos expresamente previstos en la legislación secundaria y justificados bajo determinadas circunstancias, se podrá clasificar como confidencial o reservada, esto es, considerarla con una calidad diversa. “</w:t>
      </w:r>
    </w:p>
    <w:p w14:paraId="291023B7" w14:textId="77777777" w:rsidR="00A068EA" w:rsidRPr="00AF7742" w:rsidRDefault="00A068EA" w:rsidP="00A42539">
      <w:pPr>
        <w:spacing w:line="360" w:lineRule="auto"/>
        <w:contextualSpacing/>
        <w:jc w:val="both"/>
        <w:rPr>
          <w:rFonts w:ascii="Palatino Linotype" w:eastAsia="Calibri" w:hAnsi="Palatino Linotype" w:cs="Tahoma"/>
          <w:bCs/>
          <w:iCs/>
          <w:lang w:val="es-ES"/>
        </w:rPr>
      </w:pPr>
    </w:p>
    <w:p w14:paraId="5622E6A0" w14:textId="77777777" w:rsidR="00E319A7" w:rsidRPr="00AF7742" w:rsidRDefault="00E319A7" w:rsidP="00A42539">
      <w:pPr>
        <w:spacing w:line="360" w:lineRule="auto"/>
        <w:ind w:right="49"/>
        <w:jc w:val="both"/>
        <w:rPr>
          <w:rFonts w:ascii="Palatino Linotype" w:eastAsia="Palatino Linotype" w:hAnsi="Palatino Linotype" w:cs="Palatino Linotype"/>
          <w:b/>
        </w:rPr>
      </w:pPr>
      <w:r w:rsidRPr="00AF7742">
        <w:rPr>
          <w:rFonts w:ascii="Palatino Linotype" w:eastAsia="Palatino Linotype" w:hAnsi="Palatino Linotype" w:cs="Palatino Linotype"/>
          <w:b/>
        </w:rPr>
        <w:t>QUINTO. De la versión pública.</w:t>
      </w:r>
    </w:p>
    <w:p w14:paraId="13F67BAB" w14:textId="6FB3B883" w:rsidR="00E319A7" w:rsidRPr="00AF7742" w:rsidRDefault="00E319A7" w:rsidP="00A42539">
      <w:pPr>
        <w:pStyle w:val="Prrafodelista"/>
        <w:numPr>
          <w:ilvl w:val="0"/>
          <w:numId w:val="1"/>
        </w:numPr>
        <w:spacing w:line="360" w:lineRule="auto"/>
        <w:ind w:left="0" w:firstLine="0"/>
        <w:jc w:val="both"/>
        <w:rPr>
          <w:rFonts w:ascii="Palatino Linotype" w:eastAsia="Palatino Linotype" w:hAnsi="Palatino Linotype" w:cs="Palatino Linotype"/>
        </w:rPr>
      </w:pPr>
      <w:r w:rsidRPr="00AF7742">
        <w:rPr>
          <w:rFonts w:ascii="Palatino Linotype" w:eastAsia="Palatino Linotype" w:hAnsi="Palatino Linotype" w:cs="Palatino Linotype"/>
          <w:color w:val="000000"/>
        </w:rPr>
        <w:t>Finalmente</w:t>
      </w:r>
      <w:r w:rsidRPr="00AF7742">
        <w:rPr>
          <w:rFonts w:ascii="Palatino Linotype" w:eastAsia="Palatino Linotype" w:hAnsi="Palatino Linotype" w:cs="Palatino Linotype"/>
        </w:rPr>
        <w:t>, debe señalarse que</w:t>
      </w:r>
      <w:r w:rsidR="005251B8" w:rsidRPr="00AF7742">
        <w:rPr>
          <w:rFonts w:ascii="Palatino Linotype" w:eastAsia="Palatino Linotype" w:hAnsi="Palatino Linotype" w:cs="Palatino Linotype"/>
        </w:rPr>
        <w:t xml:space="preserve"> dada la propia y especial naturaleza del soporte documental que se ordena entregar, como lo son </w:t>
      </w:r>
      <w:r w:rsidR="00CA2199" w:rsidRPr="00AF7742">
        <w:rPr>
          <w:rFonts w:ascii="Palatino Linotype" w:eastAsia="Palatino Linotype" w:hAnsi="Palatino Linotype" w:cs="Palatino Linotype"/>
        </w:rPr>
        <w:t>oficios</w:t>
      </w:r>
      <w:r w:rsidR="005251B8" w:rsidRPr="00AF7742">
        <w:rPr>
          <w:rFonts w:ascii="Palatino Linotype" w:eastAsia="Palatino Linotype" w:hAnsi="Palatino Linotype" w:cs="Palatino Linotype"/>
        </w:rPr>
        <w:t>, eventualmente pueden obrar datos personales susceptibles de ser clasificados, por lo que</w:t>
      </w:r>
      <w:r w:rsidRPr="00AF7742">
        <w:rPr>
          <w:rFonts w:ascii="Palatino Linotype" w:eastAsia="Palatino Linotype" w:hAnsi="Palatino Linotype" w:cs="Palatino Linotype"/>
        </w:rPr>
        <w:t xml:space="preserve"> de ser el caso en que los documentos que vayan a ser </w:t>
      </w:r>
      <w:r w:rsidRPr="00AF7742">
        <w:rPr>
          <w:rFonts w:ascii="Palatino Linotype" w:hAnsi="Palatino Linotype"/>
          <w:lang w:val="es-ES"/>
        </w:rPr>
        <w:t>entregados</w:t>
      </w:r>
      <w:r w:rsidRPr="00AF7742">
        <w:rPr>
          <w:rFonts w:ascii="Palatino Linotype" w:eastAsia="Palatino Linotype" w:hAnsi="Palatino Linotype" w:cs="Palatino Linotype"/>
        </w:rPr>
        <w:t xml:space="preserve"> por el</w:t>
      </w:r>
      <w:r w:rsidRPr="00AF7742">
        <w:rPr>
          <w:rFonts w:ascii="Palatino Linotype" w:eastAsia="Palatino Linotype" w:hAnsi="Palatino Linotype" w:cs="Palatino Linotype"/>
          <w:b/>
        </w:rPr>
        <w:t xml:space="preserve"> </w:t>
      </w:r>
      <w:r w:rsidRPr="00AF7742">
        <w:rPr>
          <w:rFonts w:ascii="Palatino Linotype" w:eastAsia="Palatino Linotype" w:hAnsi="Palatino Linotype" w:cs="Palatino Linotype"/>
        </w:rPr>
        <w:t xml:space="preserve">sujeto obligado, para dar cumplimiento a la presente resolución, contengan datos que deban ser clasificados, el </w:t>
      </w:r>
      <w:r w:rsidRPr="00AF7742">
        <w:rPr>
          <w:rFonts w:ascii="Palatino Linotype" w:eastAsia="Palatino Linotype" w:hAnsi="Palatino Linotype" w:cs="Palatino Linotype"/>
          <w:b/>
        </w:rPr>
        <w:t>Sujeto Obligado</w:t>
      </w:r>
      <w:r w:rsidRPr="00AF7742">
        <w:rPr>
          <w:rFonts w:ascii="Palatino Linotype" w:eastAsia="Palatino Linotype" w:hAnsi="Palatino Linotype" w:cs="Palatino Linotype"/>
        </w:rPr>
        <w:t xml:space="preserve"> deberá hacer la elaboración de la versión pública de tales documentos a fin de satisfacer el derecho de acceso a la información pública del recurrente sin menoscabo al derecho a la protección de los datos personales de terceros.</w:t>
      </w:r>
    </w:p>
    <w:p w14:paraId="133BB34F" w14:textId="77777777" w:rsidR="00E319A7" w:rsidRPr="00AF7742" w:rsidRDefault="00E319A7" w:rsidP="00A42539">
      <w:pPr>
        <w:pStyle w:val="Prrafodelista"/>
        <w:numPr>
          <w:ilvl w:val="0"/>
          <w:numId w:val="1"/>
        </w:numPr>
        <w:spacing w:line="360" w:lineRule="auto"/>
        <w:ind w:left="0" w:firstLine="0"/>
        <w:jc w:val="both"/>
        <w:rPr>
          <w:rFonts w:ascii="Palatino Linotype" w:eastAsia="Palatino Linotype" w:hAnsi="Palatino Linotype" w:cs="Palatino Linotype"/>
        </w:rPr>
      </w:pPr>
      <w:r w:rsidRPr="00AF7742">
        <w:rPr>
          <w:rFonts w:ascii="Palatino Linotype" w:eastAsia="Palatino Linotype" w:hAnsi="Palatino Linotype" w:cs="Palatino Linotype"/>
        </w:rPr>
        <w:lastRenderedPageBreak/>
        <w:t>Para efectos de la elaboración de la versión pública se deberá observar lo dispuesto por los artículos 3 fracciones IX, XX, XXI y XLV, 91, 132 fracciones II y III, y 143 fracción I de la Ley de Transparencia y Acceso a la Información Pública del Estado de México y Municipios que establecen:</w:t>
      </w:r>
    </w:p>
    <w:p w14:paraId="745A92F8" w14:textId="77777777" w:rsidR="00E319A7" w:rsidRPr="00AF7742" w:rsidRDefault="00E319A7" w:rsidP="00A42539">
      <w:pPr>
        <w:spacing w:line="360" w:lineRule="auto"/>
        <w:ind w:left="851" w:right="902"/>
        <w:jc w:val="both"/>
        <w:rPr>
          <w:rFonts w:ascii="Palatino Linotype" w:eastAsia="Palatino Linotype" w:hAnsi="Palatino Linotype" w:cs="Palatino Linotype"/>
          <w:i/>
        </w:rPr>
      </w:pPr>
      <w:r w:rsidRPr="00AF7742">
        <w:rPr>
          <w:rFonts w:ascii="Palatino Linotype" w:eastAsia="Palatino Linotype" w:hAnsi="Palatino Linotype" w:cs="Palatino Linotype"/>
          <w:i/>
        </w:rPr>
        <w:t>“</w:t>
      </w:r>
      <w:r w:rsidRPr="00AF7742">
        <w:rPr>
          <w:rFonts w:ascii="Palatino Linotype" w:eastAsia="Palatino Linotype" w:hAnsi="Palatino Linotype" w:cs="Palatino Linotype"/>
          <w:b/>
          <w:i/>
        </w:rPr>
        <w:t>Artículo 3</w:t>
      </w:r>
      <w:r w:rsidRPr="00AF7742">
        <w:rPr>
          <w:rFonts w:ascii="Palatino Linotype" w:eastAsia="Palatino Linotype" w:hAnsi="Palatino Linotype" w:cs="Palatino Linotype"/>
          <w:i/>
        </w:rPr>
        <w:t>. Para los efectos de la presente Ley se entenderá por:</w:t>
      </w:r>
    </w:p>
    <w:p w14:paraId="51C539EA" w14:textId="77777777" w:rsidR="00E319A7" w:rsidRPr="00AF7742" w:rsidRDefault="00E319A7" w:rsidP="00A42539">
      <w:pPr>
        <w:spacing w:line="360" w:lineRule="auto"/>
        <w:ind w:left="1134" w:right="902"/>
        <w:jc w:val="both"/>
        <w:rPr>
          <w:rFonts w:ascii="Palatino Linotype" w:eastAsia="Palatino Linotype" w:hAnsi="Palatino Linotype" w:cs="Palatino Linotype"/>
          <w:i/>
        </w:rPr>
      </w:pPr>
      <w:r w:rsidRPr="00AF7742">
        <w:rPr>
          <w:rFonts w:ascii="Palatino Linotype" w:eastAsia="Palatino Linotype" w:hAnsi="Palatino Linotype" w:cs="Palatino Linotype"/>
          <w:i/>
        </w:rPr>
        <w:t>[…]</w:t>
      </w:r>
    </w:p>
    <w:p w14:paraId="164BAFBC" w14:textId="77777777" w:rsidR="00E319A7" w:rsidRPr="00AF7742" w:rsidRDefault="00E319A7" w:rsidP="00A42539">
      <w:pPr>
        <w:spacing w:line="360" w:lineRule="auto"/>
        <w:ind w:left="1134" w:right="902"/>
        <w:jc w:val="both"/>
        <w:rPr>
          <w:rFonts w:ascii="Palatino Linotype" w:eastAsia="Palatino Linotype" w:hAnsi="Palatino Linotype" w:cs="Palatino Linotype"/>
          <w:i/>
        </w:rPr>
      </w:pPr>
      <w:r w:rsidRPr="00AF7742">
        <w:rPr>
          <w:rFonts w:ascii="Palatino Linotype" w:eastAsia="Palatino Linotype" w:hAnsi="Palatino Linotype" w:cs="Palatino Linotype"/>
          <w:b/>
          <w:i/>
        </w:rPr>
        <w:t>IX. Datos personales</w:t>
      </w:r>
      <w:r w:rsidRPr="00AF7742">
        <w:rPr>
          <w:rFonts w:ascii="Palatino Linotype" w:eastAsia="Palatino Linotype" w:hAnsi="Palatino Linotype" w:cs="Palatino Linotype"/>
          <w:i/>
        </w:rPr>
        <w:t xml:space="preserve">: La información concerniente a una persona, identificada o identificable según lo dispuesto por la Ley de Protección de Datos Personales del Estado de México; </w:t>
      </w:r>
    </w:p>
    <w:p w14:paraId="70A17E16" w14:textId="77777777" w:rsidR="00E319A7" w:rsidRPr="00AF7742" w:rsidRDefault="00E319A7" w:rsidP="00A42539">
      <w:pPr>
        <w:spacing w:line="360" w:lineRule="auto"/>
        <w:ind w:left="1134" w:right="902"/>
        <w:jc w:val="both"/>
        <w:rPr>
          <w:rFonts w:ascii="Palatino Linotype" w:eastAsia="Palatino Linotype" w:hAnsi="Palatino Linotype" w:cs="Palatino Linotype"/>
          <w:i/>
        </w:rPr>
      </w:pPr>
      <w:r w:rsidRPr="00AF7742">
        <w:rPr>
          <w:rFonts w:ascii="Palatino Linotype" w:eastAsia="Palatino Linotype" w:hAnsi="Palatino Linotype" w:cs="Palatino Linotype"/>
          <w:b/>
          <w:i/>
        </w:rPr>
        <w:t>XX. Información clasificada</w:t>
      </w:r>
      <w:r w:rsidRPr="00AF7742">
        <w:rPr>
          <w:rFonts w:ascii="Palatino Linotype" w:eastAsia="Palatino Linotype" w:hAnsi="Palatino Linotype" w:cs="Palatino Linotype"/>
          <w:i/>
        </w:rPr>
        <w:t>: Aquella considerada por la presente Ley como reservada o confidencial;</w:t>
      </w:r>
    </w:p>
    <w:p w14:paraId="7E6EF412" w14:textId="77777777" w:rsidR="00E319A7" w:rsidRPr="00AF7742" w:rsidRDefault="00E319A7" w:rsidP="00A42539">
      <w:pPr>
        <w:spacing w:line="360" w:lineRule="auto"/>
        <w:ind w:left="1134" w:right="902"/>
        <w:jc w:val="both"/>
        <w:rPr>
          <w:rFonts w:ascii="Palatino Linotype" w:eastAsia="Palatino Linotype" w:hAnsi="Palatino Linotype" w:cs="Palatino Linotype"/>
          <w:i/>
        </w:rPr>
      </w:pPr>
      <w:r w:rsidRPr="00AF7742">
        <w:rPr>
          <w:rFonts w:ascii="Palatino Linotype" w:eastAsia="Palatino Linotype" w:hAnsi="Palatino Linotype" w:cs="Palatino Linotype"/>
          <w:b/>
          <w:i/>
        </w:rPr>
        <w:t xml:space="preserve">XXI. Información confidencial: </w:t>
      </w:r>
      <w:r w:rsidRPr="00AF7742">
        <w:rPr>
          <w:rFonts w:ascii="Palatino Linotype" w:eastAsia="Palatino Linotype" w:hAnsi="Palatino Linotype" w:cs="Palatino Linotype"/>
          <w:i/>
        </w:rPr>
        <w:t>Se considera como información confidencial los secretos bancario, fiduciario, industrial, comercial, fiscal, bursátil y postal, cuya titularidad corresponda a particulares, sujetos de derecho internacional o a sujetos obligados cuando no involucren el ejercicio de recursos públicos;</w:t>
      </w:r>
    </w:p>
    <w:p w14:paraId="01964DE7" w14:textId="77777777" w:rsidR="00E319A7" w:rsidRPr="00AF7742" w:rsidRDefault="00E319A7" w:rsidP="00A42539">
      <w:pPr>
        <w:spacing w:line="360" w:lineRule="auto"/>
        <w:ind w:left="1134" w:right="902"/>
        <w:jc w:val="both"/>
        <w:rPr>
          <w:rFonts w:ascii="Palatino Linotype" w:eastAsia="Palatino Linotype" w:hAnsi="Palatino Linotype" w:cs="Palatino Linotype"/>
          <w:i/>
        </w:rPr>
      </w:pPr>
      <w:r w:rsidRPr="00AF7742">
        <w:rPr>
          <w:rFonts w:ascii="Palatino Linotype" w:eastAsia="Palatino Linotype" w:hAnsi="Palatino Linotype" w:cs="Palatino Linotype"/>
          <w:b/>
          <w:i/>
        </w:rPr>
        <w:t>XLV. Versión pública:</w:t>
      </w:r>
      <w:r w:rsidRPr="00AF7742">
        <w:rPr>
          <w:rFonts w:ascii="Palatino Linotype" w:eastAsia="Palatino Linotype" w:hAnsi="Palatino Linotype" w:cs="Palatino Linotype"/>
          <w:i/>
        </w:rPr>
        <w:t xml:space="preserve"> Documento en el que se elimine, suprime o borra la información clasificada como reservada o confidencial para permitir su acceso.</w:t>
      </w:r>
    </w:p>
    <w:p w14:paraId="7E375807" w14:textId="77777777" w:rsidR="00E319A7" w:rsidRPr="00AF7742" w:rsidRDefault="00E319A7" w:rsidP="00A42539">
      <w:pPr>
        <w:spacing w:line="360" w:lineRule="auto"/>
        <w:ind w:left="1134" w:right="902"/>
        <w:jc w:val="both"/>
        <w:rPr>
          <w:rFonts w:ascii="Palatino Linotype" w:eastAsia="Palatino Linotype" w:hAnsi="Palatino Linotype" w:cs="Palatino Linotype"/>
          <w:i/>
        </w:rPr>
      </w:pPr>
      <w:r w:rsidRPr="00AF7742">
        <w:rPr>
          <w:rFonts w:ascii="Palatino Linotype" w:eastAsia="Palatino Linotype" w:hAnsi="Palatino Linotype" w:cs="Palatino Linotype"/>
          <w:i/>
        </w:rPr>
        <w:t>[…]</w:t>
      </w:r>
    </w:p>
    <w:p w14:paraId="6D78F74B" w14:textId="77777777" w:rsidR="00A305C9" w:rsidRPr="00AF7742" w:rsidRDefault="00A305C9" w:rsidP="00A42539">
      <w:pPr>
        <w:spacing w:line="360" w:lineRule="auto"/>
        <w:ind w:left="1134" w:right="902"/>
        <w:jc w:val="both"/>
        <w:rPr>
          <w:rFonts w:ascii="Palatino Linotype" w:eastAsia="Palatino Linotype" w:hAnsi="Palatino Linotype" w:cs="Palatino Linotype"/>
          <w:i/>
        </w:rPr>
      </w:pPr>
    </w:p>
    <w:p w14:paraId="2C38FED4" w14:textId="77777777" w:rsidR="00E319A7" w:rsidRPr="00AF7742" w:rsidRDefault="00E319A7" w:rsidP="00A42539">
      <w:pPr>
        <w:spacing w:line="360" w:lineRule="auto"/>
        <w:ind w:left="851" w:right="902"/>
        <w:jc w:val="both"/>
        <w:rPr>
          <w:rFonts w:ascii="Palatino Linotype" w:eastAsia="Palatino Linotype" w:hAnsi="Palatino Linotype" w:cs="Palatino Linotype"/>
          <w:i/>
        </w:rPr>
      </w:pPr>
      <w:r w:rsidRPr="00AF7742">
        <w:rPr>
          <w:rFonts w:ascii="Palatino Linotype" w:eastAsia="Palatino Linotype" w:hAnsi="Palatino Linotype" w:cs="Palatino Linotype"/>
          <w:b/>
          <w:i/>
        </w:rPr>
        <w:t>Artículo 91.</w:t>
      </w:r>
      <w:r w:rsidRPr="00AF7742">
        <w:rPr>
          <w:rFonts w:ascii="Palatino Linotype" w:eastAsia="Palatino Linotype" w:hAnsi="Palatino Linotype" w:cs="Palatino Linotype"/>
          <w:i/>
        </w:rPr>
        <w:t xml:space="preserve"> El acceso a la información pública será restringido excepcionalmente, cuando ésta sea clasificada como reservada o confidencial.</w:t>
      </w:r>
    </w:p>
    <w:p w14:paraId="54B3E677" w14:textId="77777777" w:rsidR="00A305C9" w:rsidRPr="00AF7742" w:rsidRDefault="00A305C9" w:rsidP="00A42539">
      <w:pPr>
        <w:spacing w:line="360" w:lineRule="auto"/>
        <w:ind w:left="851" w:right="902"/>
        <w:jc w:val="both"/>
        <w:rPr>
          <w:rFonts w:ascii="Palatino Linotype" w:eastAsia="Palatino Linotype" w:hAnsi="Palatino Linotype" w:cs="Palatino Linotype"/>
          <w:i/>
        </w:rPr>
      </w:pPr>
    </w:p>
    <w:p w14:paraId="2194DAD1" w14:textId="77777777" w:rsidR="00E319A7" w:rsidRPr="00AF7742" w:rsidRDefault="00E319A7" w:rsidP="00A42539">
      <w:pPr>
        <w:spacing w:line="360" w:lineRule="auto"/>
        <w:ind w:left="851" w:right="902"/>
        <w:jc w:val="both"/>
        <w:rPr>
          <w:rFonts w:ascii="Palatino Linotype" w:eastAsia="Palatino Linotype" w:hAnsi="Palatino Linotype" w:cs="Palatino Linotype"/>
          <w:i/>
        </w:rPr>
      </w:pPr>
      <w:r w:rsidRPr="00AF7742">
        <w:rPr>
          <w:rFonts w:ascii="Palatino Linotype" w:eastAsia="Palatino Linotype" w:hAnsi="Palatino Linotype" w:cs="Palatino Linotype"/>
          <w:b/>
          <w:i/>
        </w:rPr>
        <w:lastRenderedPageBreak/>
        <w:t>Artículo 132.</w:t>
      </w:r>
      <w:r w:rsidRPr="00AF7742">
        <w:rPr>
          <w:rFonts w:ascii="Palatino Linotype" w:eastAsia="Palatino Linotype" w:hAnsi="Palatino Linotype" w:cs="Palatino Linotype"/>
          <w:i/>
        </w:rPr>
        <w:t xml:space="preserve"> La clasificación de la información se llevará a cabo en el momento en que:</w:t>
      </w:r>
    </w:p>
    <w:p w14:paraId="669B488F" w14:textId="77777777" w:rsidR="00E319A7" w:rsidRPr="00AF7742" w:rsidRDefault="00E319A7" w:rsidP="00A42539">
      <w:pPr>
        <w:spacing w:line="360" w:lineRule="auto"/>
        <w:ind w:left="1134" w:right="902"/>
        <w:jc w:val="both"/>
        <w:rPr>
          <w:rFonts w:ascii="Palatino Linotype" w:eastAsia="Palatino Linotype" w:hAnsi="Palatino Linotype" w:cs="Palatino Linotype"/>
          <w:i/>
        </w:rPr>
      </w:pPr>
      <w:r w:rsidRPr="00AF7742">
        <w:rPr>
          <w:rFonts w:ascii="Palatino Linotype" w:eastAsia="Palatino Linotype" w:hAnsi="Palatino Linotype" w:cs="Palatino Linotype"/>
          <w:b/>
          <w:i/>
        </w:rPr>
        <w:t>I</w:t>
      </w:r>
      <w:r w:rsidRPr="00AF7742">
        <w:rPr>
          <w:rFonts w:ascii="Palatino Linotype" w:eastAsia="Palatino Linotype" w:hAnsi="Palatino Linotype" w:cs="Palatino Linotype"/>
          <w:i/>
        </w:rPr>
        <w:t>. Se reciba una solicitud de acceso a la información;</w:t>
      </w:r>
    </w:p>
    <w:p w14:paraId="6E3B7E79" w14:textId="77777777" w:rsidR="00E319A7" w:rsidRPr="00AF7742" w:rsidRDefault="00E319A7" w:rsidP="00A42539">
      <w:pPr>
        <w:spacing w:line="360" w:lineRule="auto"/>
        <w:ind w:left="1134" w:right="902"/>
        <w:jc w:val="both"/>
        <w:rPr>
          <w:rFonts w:ascii="Palatino Linotype" w:eastAsia="Palatino Linotype" w:hAnsi="Palatino Linotype" w:cs="Palatino Linotype"/>
          <w:i/>
        </w:rPr>
      </w:pPr>
      <w:r w:rsidRPr="00AF7742">
        <w:rPr>
          <w:rFonts w:ascii="Palatino Linotype" w:eastAsia="Palatino Linotype" w:hAnsi="Palatino Linotype" w:cs="Palatino Linotype"/>
          <w:b/>
          <w:i/>
        </w:rPr>
        <w:t>II.</w:t>
      </w:r>
      <w:r w:rsidRPr="00AF7742">
        <w:rPr>
          <w:rFonts w:ascii="Palatino Linotype" w:eastAsia="Palatino Linotype" w:hAnsi="Palatino Linotype" w:cs="Palatino Linotype"/>
          <w:i/>
        </w:rPr>
        <w:t xml:space="preserve"> Se determine mediante resolución de autoridad competente; o</w:t>
      </w:r>
    </w:p>
    <w:p w14:paraId="7B6FD0B4" w14:textId="77777777" w:rsidR="00E319A7" w:rsidRPr="00AF7742" w:rsidRDefault="00E319A7" w:rsidP="00A42539">
      <w:pPr>
        <w:spacing w:line="360" w:lineRule="auto"/>
        <w:ind w:left="1134" w:right="902"/>
        <w:jc w:val="both"/>
        <w:rPr>
          <w:rFonts w:ascii="Palatino Linotype" w:eastAsia="Palatino Linotype" w:hAnsi="Palatino Linotype" w:cs="Palatino Linotype"/>
          <w:i/>
        </w:rPr>
      </w:pPr>
      <w:r w:rsidRPr="00AF7742">
        <w:rPr>
          <w:rFonts w:ascii="Palatino Linotype" w:eastAsia="Palatino Linotype" w:hAnsi="Palatino Linotype" w:cs="Palatino Linotype"/>
          <w:b/>
          <w:i/>
        </w:rPr>
        <w:t>III.</w:t>
      </w:r>
      <w:r w:rsidRPr="00AF7742">
        <w:rPr>
          <w:rFonts w:ascii="Palatino Linotype" w:eastAsia="Palatino Linotype" w:hAnsi="Palatino Linotype" w:cs="Palatino Linotype"/>
          <w:i/>
        </w:rPr>
        <w:t xml:space="preserve"> Se generen versiones públicas para dar cumplimiento a las obligaciones de transparencia previstas en esta Ley.</w:t>
      </w:r>
    </w:p>
    <w:p w14:paraId="0BA68733" w14:textId="77777777" w:rsidR="00E319A7" w:rsidRPr="00AF7742" w:rsidRDefault="00E319A7" w:rsidP="00A42539">
      <w:pPr>
        <w:spacing w:line="360" w:lineRule="auto"/>
        <w:ind w:left="851" w:right="902"/>
        <w:jc w:val="both"/>
        <w:rPr>
          <w:rFonts w:ascii="Palatino Linotype" w:eastAsia="Palatino Linotype" w:hAnsi="Palatino Linotype" w:cs="Palatino Linotype"/>
          <w:i/>
        </w:rPr>
      </w:pPr>
      <w:r w:rsidRPr="00AF7742">
        <w:rPr>
          <w:rFonts w:ascii="Palatino Linotype" w:eastAsia="Palatino Linotype" w:hAnsi="Palatino Linotype" w:cs="Palatino Linotype"/>
          <w:i/>
        </w:rPr>
        <w:t>[…]</w:t>
      </w:r>
    </w:p>
    <w:p w14:paraId="149D4491" w14:textId="77777777" w:rsidR="00A305C9" w:rsidRPr="00AF7742" w:rsidRDefault="00A305C9" w:rsidP="00A42539">
      <w:pPr>
        <w:spacing w:line="360" w:lineRule="auto"/>
        <w:ind w:left="851" w:right="902"/>
        <w:jc w:val="both"/>
        <w:rPr>
          <w:rFonts w:ascii="Palatino Linotype" w:eastAsia="Palatino Linotype" w:hAnsi="Palatino Linotype" w:cs="Palatino Linotype"/>
          <w:i/>
        </w:rPr>
      </w:pPr>
    </w:p>
    <w:p w14:paraId="0E9D621B" w14:textId="77777777" w:rsidR="00E319A7" w:rsidRPr="00AF7742" w:rsidRDefault="00E319A7" w:rsidP="00A42539">
      <w:pPr>
        <w:spacing w:line="360" w:lineRule="auto"/>
        <w:ind w:left="851" w:right="902"/>
        <w:jc w:val="both"/>
        <w:rPr>
          <w:rFonts w:ascii="Palatino Linotype" w:eastAsia="Palatino Linotype" w:hAnsi="Palatino Linotype" w:cs="Palatino Linotype"/>
          <w:i/>
        </w:rPr>
      </w:pPr>
      <w:r w:rsidRPr="00AF7742">
        <w:rPr>
          <w:rFonts w:ascii="Palatino Linotype" w:eastAsia="Palatino Linotype" w:hAnsi="Palatino Linotype" w:cs="Palatino Linotype"/>
          <w:b/>
          <w:i/>
        </w:rPr>
        <w:t>Artículo 143</w:t>
      </w:r>
      <w:r w:rsidRPr="00AF7742">
        <w:rPr>
          <w:rFonts w:ascii="Palatino Linotype" w:eastAsia="Palatino Linotype" w:hAnsi="Palatino Linotype" w:cs="Palatino Linotype"/>
          <w:i/>
        </w:rPr>
        <w:t>. Para los efectos de esta Ley se considera información confidencial, la clasificada como tal, de manera permanente, por su naturaleza, cuando:</w:t>
      </w:r>
    </w:p>
    <w:p w14:paraId="46C97096" w14:textId="77777777" w:rsidR="00E319A7" w:rsidRPr="00AF7742" w:rsidRDefault="00E319A7" w:rsidP="00A42539">
      <w:pPr>
        <w:spacing w:line="360" w:lineRule="auto"/>
        <w:ind w:left="1134" w:right="902"/>
        <w:jc w:val="both"/>
        <w:rPr>
          <w:rFonts w:ascii="Palatino Linotype" w:eastAsia="Palatino Linotype" w:hAnsi="Palatino Linotype" w:cs="Palatino Linotype"/>
          <w:i/>
        </w:rPr>
      </w:pPr>
      <w:r w:rsidRPr="00AF7742">
        <w:rPr>
          <w:rFonts w:ascii="Palatino Linotype" w:eastAsia="Palatino Linotype" w:hAnsi="Palatino Linotype" w:cs="Palatino Linotype"/>
          <w:b/>
          <w:i/>
        </w:rPr>
        <w:t>I.</w:t>
      </w:r>
      <w:r w:rsidRPr="00AF7742">
        <w:rPr>
          <w:rFonts w:ascii="Palatino Linotype" w:eastAsia="Palatino Linotype" w:hAnsi="Palatino Linotype" w:cs="Palatino Linotype"/>
          <w:i/>
        </w:rPr>
        <w:t xml:space="preserve"> Se refiera a la información privada y los datos personales concernientes a una persona física o jurídico colectiva identificada o identificable;</w:t>
      </w:r>
    </w:p>
    <w:p w14:paraId="38F10EF9" w14:textId="77777777" w:rsidR="00E319A7" w:rsidRPr="00AF7742" w:rsidRDefault="00E319A7" w:rsidP="00A42539">
      <w:pPr>
        <w:spacing w:line="360" w:lineRule="auto"/>
        <w:ind w:left="1134" w:right="902"/>
        <w:jc w:val="both"/>
        <w:rPr>
          <w:rFonts w:ascii="Palatino Linotype" w:eastAsia="Palatino Linotype" w:hAnsi="Palatino Linotype" w:cs="Palatino Linotype"/>
          <w:i/>
        </w:rPr>
      </w:pPr>
      <w:r w:rsidRPr="00AF7742">
        <w:rPr>
          <w:rFonts w:ascii="Palatino Linotype" w:eastAsia="Palatino Linotype" w:hAnsi="Palatino Linotype" w:cs="Palatino Linotype"/>
          <w:b/>
          <w:i/>
        </w:rPr>
        <w:t>II.</w:t>
      </w:r>
      <w:r w:rsidRPr="00AF7742">
        <w:rPr>
          <w:rFonts w:ascii="Palatino Linotype" w:eastAsia="Palatino Linotype" w:hAnsi="Palatino Linotype" w:cs="Palatino Linotype"/>
          <w:i/>
        </w:rPr>
        <w:t xml:space="preserve"> Los secretos bancario, fiduciario, industrial, comercial, fiscal, bursátil y postal, cuya titularidad corresponda a particulares, sujetos de derecho internacional o a sujetos obligados cuando no involucren el ejercicio de recursos públicos; y</w:t>
      </w:r>
    </w:p>
    <w:p w14:paraId="12D83031" w14:textId="77777777" w:rsidR="00E319A7" w:rsidRPr="00AF7742" w:rsidRDefault="00E319A7" w:rsidP="00A42539">
      <w:pPr>
        <w:spacing w:line="360" w:lineRule="auto"/>
        <w:ind w:left="1134" w:right="902"/>
        <w:jc w:val="both"/>
        <w:rPr>
          <w:rFonts w:ascii="Palatino Linotype" w:eastAsia="Palatino Linotype" w:hAnsi="Palatino Linotype" w:cs="Palatino Linotype"/>
          <w:i/>
        </w:rPr>
      </w:pPr>
      <w:r w:rsidRPr="00AF7742">
        <w:rPr>
          <w:rFonts w:ascii="Palatino Linotype" w:eastAsia="Palatino Linotype" w:hAnsi="Palatino Linotype" w:cs="Palatino Linotype"/>
          <w:b/>
          <w:i/>
        </w:rPr>
        <w:t>III.</w:t>
      </w:r>
      <w:r w:rsidRPr="00AF7742">
        <w:rPr>
          <w:rFonts w:ascii="Palatino Linotype" w:eastAsia="Palatino Linotype" w:hAnsi="Palatino Linotype" w:cs="Palatino Linotype"/>
          <w:i/>
        </w:rPr>
        <w:t xml:space="preserve"> La que presenten los particulares a los sujetos obligados, de conformidad con lo dispuesto por las leyes o los tratados internacionales.</w:t>
      </w:r>
    </w:p>
    <w:p w14:paraId="0ABD7117" w14:textId="77777777" w:rsidR="00E319A7" w:rsidRPr="00AF7742" w:rsidRDefault="00E319A7" w:rsidP="00A42539">
      <w:pPr>
        <w:spacing w:line="360" w:lineRule="auto"/>
        <w:ind w:left="851" w:right="902"/>
        <w:jc w:val="both"/>
        <w:rPr>
          <w:rFonts w:ascii="Palatino Linotype" w:eastAsia="Palatino Linotype" w:hAnsi="Palatino Linotype" w:cs="Palatino Linotype"/>
          <w:i/>
        </w:rPr>
      </w:pPr>
      <w:r w:rsidRPr="00AF7742">
        <w:rPr>
          <w:rFonts w:ascii="Palatino Linotype" w:eastAsia="Palatino Linotype" w:hAnsi="Palatino Linotype" w:cs="Palatino Linotype"/>
          <w:i/>
        </w:rPr>
        <w:t>La información confidencial no estará sujeta a temporalidad alguna y sólo podrán tener acceso a ella los titulares de la misma, sus representantes y los servidores públicos facultados para ello.</w:t>
      </w:r>
    </w:p>
    <w:p w14:paraId="20A8360E" w14:textId="77777777" w:rsidR="00E319A7" w:rsidRPr="00AF7742" w:rsidRDefault="00E319A7" w:rsidP="00A42539">
      <w:pPr>
        <w:spacing w:line="360" w:lineRule="auto"/>
        <w:ind w:left="851" w:right="902"/>
        <w:jc w:val="both"/>
        <w:rPr>
          <w:rFonts w:ascii="Palatino Linotype" w:eastAsia="Palatino Linotype" w:hAnsi="Palatino Linotype" w:cs="Palatino Linotype"/>
          <w:i/>
        </w:rPr>
      </w:pPr>
      <w:r w:rsidRPr="00AF7742">
        <w:rPr>
          <w:rFonts w:ascii="Palatino Linotype" w:eastAsia="Palatino Linotype" w:hAnsi="Palatino Linotype" w:cs="Palatino Linotype"/>
          <w:i/>
        </w:rPr>
        <w:lastRenderedPageBreak/>
        <w:t>No se considerará confidencial la información que se encuentre en los registros públicos o en fuentes de acceso público, ni tampoco la que sea considerada por la presente ley como información pública.”</w:t>
      </w:r>
    </w:p>
    <w:p w14:paraId="09E6C740" w14:textId="77777777" w:rsidR="00E75690" w:rsidRPr="00AF7742" w:rsidRDefault="00E75690" w:rsidP="00A42539">
      <w:pPr>
        <w:spacing w:line="360" w:lineRule="auto"/>
        <w:ind w:left="851" w:right="902"/>
        <w:jc w:val="both"/>
        <w:rPr>
          <w:rFonts w:ascii="Palatino Linotype" w:eastAsia="Palatino Linotype" w:hAnsi="Palatino Linotype" w:cs="Palatino Linotype"/>
          <w:i/>
        </w:rPr>
      </w:pPr>
    </w:p>
    <w:p w14:paraId="432A8069" w14:textId="77777777" w:rsidR="00E319A7" w:rsidRPr="00AF7742" w:rsidRDefault="00E319A7" w:rsidP="00A42539">
      <w:pPr>
        <w:pStyle w:val="Prrafodelista"/>
        <w:numPr>
          <w:ilvl w:val="0"/>
          <w:numId w:val="1"/>
        </w:numPr>
        <w:spacing w:line="360" w:lineRule="auto"/>
        <w:ind w:left="0" w:firstLine="0"/>
        <w:jc w:val="both"/>
        <w:rPr>
          <w:rFonts w:ascii="Palatino Linotype" w:eastAsia="Palatino Linotype" w:hAnsi="Palatino Linotype" w:cs="Palatino Linotype"/>
        </w:rPr>
      </w:pPr>
      <w:r w:rsidRPr="00AF7742">
        <w:rPr>
          <w:rFonts w:ascii="Palatino Linotype" w:eastAsia="Palatino Linotype" w:hAnsi="Palatino Linotype" w:cs="Palatino Linotype"/>
        </w:rPr>
        <w:t>Igualmente, los Lineamientos Generales en Materia de Clasificación y Desclasificación de la Información, así como para la elaboración de Versiones Públicas, emitidos por el Consejo Nacional del Sistema Nacional de Transparencia, Acceso a la Información Pública y Protección de Datos Personales, publicados en el Diario Oficial de la Federación el día quince de abril de dos mil dieciséis, tienen por objeto establecer los criterios con base en los cuales los sujetos obligados clasificarán como reservada o confidencial la información que posean, desclasificarán y generarán, en su caso, versiones públicas de expedientes o documentos que contengan partes o secciones clasificadas.</w:t>
      </w:r>
    </w:p>
    <w:p w14:paraId="508D1A7B" w14:textId="77777777" w:rsidR="00E319A7" w:rsidRPr="00AF7742" w:rsidRDefault="00E319A7" w:rsidP="00A42539">
      <w:pPr>
        <w:pBdr>
          <w:top w:val="nil"/>
          <w:left w:val="nil"/>
          <w:bottom w:val="nil"/>
          <w:right w:val="nil"/>
          <w:between w:val="nil"/>
        </w:pBdr>
        <w:spacing w:line="360" w:lineRule="auto"/>
        <w:ind w:right="49"/>
        <w:jc w:val="both"/>
        <w:rPr>
          <w:rFonts w:ascii="Palatino Linotype" w:eastAsia="Palatino Linotype" w:hAnsi="Palatino Linotype" w:cs="Palatino Linotype"/>
        </w:rPr>
      </w:pPr>
    </w:p>
    <w:p w14:paraId="503DAE75" w14:textId="77777777" w:rsidR="00E319A7" w:rsidRPr="00AF7742" w:rsidRDefault="00E319A7" w:rsidP="00A42539">
      <w:pPr>
        <w:pStyle w:val="Prrafodelista"/>
        <w:numPr>
          <w:ilvl w:val="0"/>
          <w:numId w:val="1"/>
        </w:numPr>
        <w:spacing w:line="360" w:lineRule="auto"/>
        <w:ind w:left="0" w:firstLine="0"/>
        <w:jc w:val="both"/>
        <w:rPr>
          <w:rFonts w:ascii="Palatino Linotype" w:eastAsia="Palatino Linotype" w:hAnsi="Palatino Linotype" w:cs="Palatino Linotype"/>
        </w:rPr>
      </w:pPr>
      <w:r w:rsidRPr="00AF7742">
        <w:rPr>
          <w:rFonts w:ascii="Palatino Linotype" w:eastAsia="Palatino Linotype" w:hAnsi="Palatino Linotype" w:cs="Palatino Linotype"/>
        </w:rPr>
        <w:t>Entorno a lo que aquí nos interesa, los Lineamientos Quincuagésimo sexto, Quincuagésimo séptimo y Quincuagésimo octavo, establecen lo siguiente:</w:t>
      </w:r>
    </w:p>
    <w:p w14:paraId="695AAD2C" w14:textId="77777777" w:rsidR="00E319A7" w:rsidRPr="00AF7742" w:rsidRDefault="00E319A7" w:rsidP="00A42539">
      <w:pPr>
        <w:spacing w:line="360" w:lineRule="auto"/>
        <w:ind w:left="851" w:right="902"/>
        <w:jc w:val="both"/>
        <w:rPr>
          <w:rFonts w:ascii="Palatino Linotype" w:eastAsia="Palatino Linotype" w:hAnsi="Palatino Linotype" w:cs="Palatino Linotype"/>
          <w:i/>
        </w:rPr>
      </w:pPr>
      <w:r w:rsidRPr="00AF7742">
        <w:rPr>
          <w:rFonts w:ascii="Palatino Linotype" w:eastAsia="Palatino Linotype" w:hAnsi="Palatino Linotype" w:cs="Palatino Linotype"/>
          <w:b/>
          <w:i/>
        </w:rPr>
        <w:t>“Quincuagésimo sexto</w:t>
      </w:r>
      <w:r w:rsidRPr="00AF7742">
        <w:rPr>
          <w:rFonts w:ascii="Palatino Linotype" w:eastAsia="Palatino Linotype" w:hAnsi="Palatino Linotype" w:cs="Palatino Linotype"/>
          <w:i/>
        </w:rPr>
        <w:t>. La versión pública del documento o expediente que contenga partes o secciones reservadas o confidenciales, será elaborada por los sujetos obligados, previo pago de los costos de reproducción, a través de sus áreas y deberá ser aprobada por su Comité de Transparencia</w:t>
      </w:r>
    </w:p>
    <w:p w14:paraId="56B255B0" w14:textId="77777777" w:rsidR="00E319A7" w:rsidRPr="00AF7742" w:rsidRDefault="00E319A7" w:rsidP="00A42539">
      <w:pPr>
        <w:spacing w:line="360" w:lineRule="auto"/>
        <w:ind w:left="851" w:right="902"/>
        <w:jc w:val="both"/>
        <w:rPr>
          <w:rFonts w:ascii="Palatino Linotype" w:eastAsia="Palatino Linotype" w:hAnsi="Palatino Linotype" w:cs="Palatino Linotype"/>
          <w:i/>
        </w:rPr>
      </w:pPr>
      <w:r w:rsidRPr="00AF7742">
        <w:rPr>
          <w:rFonts w:ascii="Palatino Linotype" w:eastAsia="Palatino Linotype" w:hAnsi="Palatino Linotype" w:cs="Palatino Linotype"/>
          <w:b/>
          <w:i/>
        </w:rPr>
        <w:t>Quincuagésimo séptimo</w:t>
      </w:r>
      <w:r w:rsidRPr="00AF7742">
        <w:rPr>
          <w:rFonts w:ascii="Palatino Linotype" w:eastAsia="Palatino Linotype" w:hAnsi="Palatino Linotype" w:cs="Palatino Linotype"/>
          <w:i/>
        </w:rPr>
        <w:t xml:space="preserve">. Se considera, en principio, como información pública y no podrá omitirse de las versiones públicas la siguiente: </w:t>
      </w:r>
    </w:p>
    <w:p w14:paraId="128E1F93" w14:textId="77777777" w:rsidR="00E319A7" w:rsidRPr="00AF7742" w:rsidRDefault="00E319A7" w:rsidP="00A42539">
      <w:pPr>
        <w:spacing w:line="360" w:lineRule="auto"/>
        <w:ind w:left="1134" w:right="902"/>
        <w:jc w:val="both"/>
        <w:rPr>
          <w:rFonts w:ascii="Palatino Linotype" w:eastAsia="Palatino Linotype" w:hAnsi="Palatino Linotype" w:cs="Palatino Linotype"/>
          <w:i/>
        </w:rPr>
      </w:pPr>
      <w:r w:rsidRPr="00AF7742">
        <w:rPr>
          <w:rFonts w:ascii="Palatino Linotype" w:eastAsia="Palatino Linotype" w:hAnsi="Palatino Linotype" w:cs="Palatino Linotype"/>
          <w:b/>
          <w:i/>
        </w:rPr>
        <w:t>I.</w:t>
      </w:r>
      <w:r w:rsidRPr="00AF7742">
        <w:rPr>
          <w:rFonts w:ascii="Palatino Linotype" w:eastAsia="Palatino Linotype" w:hAnsi="Palatino Linotype" w:cs="Palatino Linotype"/>
          <w:i/>
        </w:rPr>
        <w:t xml:space="preserve"> La relativa a las Obligaciones de Transparencia que contempla el Título V de la Ley General y las demás disposiciones legales aplicables; </w:t>
      </w:r>
    </w:p>
    <w:p w14:paraId="715E0DAF" w14:textId="77777777" w:rsidR="00E319A7" w:rsidRPr="00AF7742" w:rsidRDefault="00E319A7" w:rsidP="00A42539">
      <w:pPr>
        <w:spacing w:line="360" w:lineRule="auto"/>
        <w:ind w:left="1134" w:right="902"/>
        <w:jc w:val="both"/>
        <w:rPr>
          <w:rFonts w:ascii="Palatino Linotype" w:eastAsia="Palatino Linotype" w:hAnsi="Palatino Linotype" w:cs="Palatino Linotype"/>
          <w:i/>
        </w:rPr>
      </w:pPr>
      <w:r w:rsidRPr="00AF7742">
        <w:rPr>
          <w:rFonts w:ascii="Palatino Linotype" w:eastAsia="Palatino Linotype" w:hAnsi="Palatino Linotype" w:cs="Palatino Linotype"/>
          <w:b/>
          <w:i/>
        </w:rPr>
        <w:lastRenderedPageBreak/>
        <w:t>II.</w:t>
      </w:r>
      <w:r w:rsidRPr="00AF7742">
        <w:rPr>
          <w:rFonts w:ascii="Palatino Linotype" w:eastAsia="Palatino Linotype" w:hAnsi="Palatino Linotype" w:cs="Palatino Linotype"/>
          <w:i/>
        </w:rPr>
        <w:t xml:space="preserve"> El nombre de los servidores públicos en los documentos, y sus firmas autógrafas, cuando sean utilizados en el ejercicio de las facultades conferidas para el desempeño del servicio público, y </w:t>
      </w:r>
    </w:p>
    <w:p w14:paraId="403FF71F" w14:textId="77777777" w:rsidR="00E319A7" w:rsidRPr="00AF7742" w:rsidRDefault="00E319A7" w:rsidP="00A42539">
      <w:pPr>
        <w:spacing w:line="360" w:lineRule="auto"/>
        <w:ind w:left="1134" w:right="902"/>
        <w:jc w:val="both"/>
        <w:rPr>
          <w:rFonts w:ascii="Palatino Linotype" w:eastAsia="Palatino Linotype" w:hAnsi="Palatino Linotype" w:cs="Palatino Linotype"/>
          <w:i/>
        </w:rPr>
      </w:pPr>
      <w:r w:rsidRPr="00AF7742">
        <w:rPr>
          <w:rFonts w:ascii="Palatino Linotype" w:eastAsia="Palatino Linotype" w:hAnsi="Palatino Linotype" w:cs="Palatino Linotype"/>
          <w:b/>
          <w:i/>
        </w:rPr>
        <w:t>III.</w:t>
      </w:r>
      <w:r w:rsidRPr="00AF7742">
        <w:rPr>
          <w:rFonts w:ascii="Palatino Linotype" w:eastAsia="Palatino Linotype" w:hAnsi="Palatino Linotype" w:cs="Palatino Linotype"/>
          <w:i/>
        </w:rPr>
        <w:t xml:space="preserve"> La información que documente decisiones y los actos de autoridad concluidos de los sujetos obligados, así como el ejercicio de las facultades o actividades de los servidores públicos, de manera que se pueda valorar el desempeño de los mismos.</w:t>
      </w:r>
    </w:p>
    <w:p w14:paraId="70F84689" w14:textId="77777777" w:rsidR="00E319A7" w:rsidRPr="00AF7742" w:rsidRDefault="00E319A7" w:rsidP="00A42539">
      <w:pPr>
        <w:spacing w:line="360" w:lineRule="auto"/>
        <w:ind w:left="851" w:right="902"/>
        <w:jc w:val="both"/>
        <w:rPr>
          <w:rFonts w:ascii="Palatino Linotype" w:eastAsia="Palatino Linotype" w:hAnsi="Palatino Linotype" w:cs="Palatino Linotype"/>
          <w:i/>
        </w:rPr>
      </w:pPr>
      <w:r w:rsidRPr="00AF7742">
        <w:rPr>
          <w:rFonts w:ascii="Palatino Linotype" w:eastAsia="Palatino Linotype" w:hAnsi="Palatino Linotype" w:cs="Palatino Linotype"/>
          <w:i/>
        </w:rPr>
        <w:t xml:space="preserve">Lo anterior, siempre y cuando no se acredite alguna causal de clasificación, prevista en las leyes o en los tratados internaciones suscritos por el Estado mexicano. </w:t>
      </w:r>
    </w:p>
    <w:p w14:paraId="7FB6F3A5" w14:textId="77777777" w:rsidR="00E319A7" w:rsidRPr="00AF7742" w:rsidRDefault="00E319A7" w:rsidP="00A42539">
      <w:pPr>
        <w:spacing w:line="360" w:lineRule="auto"/>
        <w:ind w:left="851" w:right="902"/>
        <w:jc w:val="both"/>
        <w:rPr>
          <w:rFonts w:ascii="Palatino Linotype" w:eastAsia="Palatino Linotype" w:hAnsi="Palatino Linotype" w:cs="Palatino Linotype"/>
          <w:i/>
        </w:rPr>
      </w:pPr>
      <w:r w:rsidRPr="00AF7742">
        <w:rPr>
          <w:rFonts w:ascii="Palatino Linotype" w:eastAsia="Palatino Linotype" w:hAnsi="Palatino Linotype" w:cs="Palatino Linotype"/>
          <w:b/>
          <w:i/>
        </w:rPr>
        <w:t>Quincuagésimo octavo</w:t>
      </w:r>
      <w:r w:rsidRPr="00AF7742">
        <w:rPr>
          <w:rFonts w:ascii="Palatino Linotype" w:eastAsia="Palatino Linotype" w:hAnsi="Palatino Linotype" w:cs="Palatino Linotype"/>
          <w:i/>
        </w:rPr>
        <w:t>. Los sujetos obligados garantizarán que los sistemas o medios empleados para eliminar la información en las versiones públicas no permitan la recuperación o visualización de la misma.”</w:t>
      </w:r>
    </w:p>
    <w:p w14:paraId="28AE0724" w14:textId="77777777" w:rsidR="00E319A7" w:rsidRPr="00AF7742" w:rsidRDefault="00E319A7" w:rsidP="00A42539">
      <w:pPr>
        <w:spacing w:line="360" w:lineRule="auto"/>
        <w:ind w:left="851" w:right="902"/>
        <w:jc w:val="both"/>
        <w:rPr>
          <w:rFonts w:ascii="Palatino Linotype" w:eastAsia="Palatino Linotype" w:hAnsi="Palatino Linotype" w:cs="Palatino Linotype"/>
          <w:i/>
        </w:rPr>
      </w:pPr>
    </w:p>
    <w:p w14:paraId="3754AFD8" w14:textId="77777777" w:rsidR="00E319A7" w:rsidRPr="00AF7742" w:rsidRDefault="00E319A7" w:rsidP="00A42539">
      <w:pPr>
        <w:pStyle w:val="Prrafodelista"/>
        <w:numPr>
          <w:ilvl w:val="0"/>
          <w:numId w:val="1"/>
        </w:numPr>
        <w:spacing w:line="360" w:lineRule="auto"/>
        <w:ind w:left="0" w:firstLine="0"/>
        <w:jc w:val="both"/>
        <w:rPr>
          <w:rFonts w:ascii="Palatino Linotype" w:eastAsia="Palatino Linotype" w:hAnsi="Palatino Linotype" w:cs="Palatino Linotype"/>
          <w:color w:val="000000"/>
        </w:rPr>
      </w:pPr>
      <w:r w:rsidRPr="00AF7742">
        <w:rPr>
          <w:rFonts w:ascii="Palatino Linotype" w:eastAsia="Palatino Linotype" w:hAnsi="Palatino Linotype" w:cs="Palatino Linotype"/>
        </w:rPr>
        <w:t xml:space="preserve">Por lo tanto, la entrega de documentos en su versión pública debe acompañarse necesariamente del Acuerdo del Comité de Transparencia que la sustente el cual debe estar debidamente fundado y motivado, en el que se expongan los fundamentos y razonamientos que llevaron al </w:t>
      </w:r>
      <w:r w:rsidRPr="00AF7742">
        <w:rPr>
          <w:rFonts w:ascii="Palatino Linotype" w:eastAsia="Palatino Linotype" w:hAnsi="Palatino Linotype" w:cs="Palatino Linotype"/>
          <w:b/>
        </w:rPr>
        <w:t>Sujeto Obligado</w:t>
      </w:r>
      <w:r w:rsidRPr="00AF7742">
        <w:rPr>
          <w:rFonts w:ascii="Palatino Linotype" w:eastAsia="Palatino Linotype" w:hAnsi="Palatino Linotype" w:cs="Palatino Linotype"/>
        </w:rPr>
        <w:t xml:space="preserve"> a testar, suprimir o eliminar datos de dicho soporte documental, ya que no hacerlo, se reitera que lo entregado no tendría un sustento jurídico ni resultaría ser una versión pública, sino más bien una documentación ilegible, incompleta o tachada; ya que el no justificar las causas o motivos por las que no se aprecian determinados datos -ya sea porque se testan o suprimen- deja al solicitante en estado de incertidumbre, al no conocer o comprender porque no aparecen en la documentación respectiva.</w:t>
      </w:r>
    </w:p>
    <w:p w14:paraId="202965A3" w14:textId="5B4E9A74" w:rsidR="00715AB6" w:rsidRPr="00AF7742" w:rsidRDefault="00715AB6" w:rsidP="00A42539">
      <w:pPr>
        <w:pStyle w:val="Prrafodelista"/>
        <w:numPr>
          <w:ilvl w:val="0"/>
          <w:numId w:val="1"/>
        </w:numPr>
        <w:spacing w:line="360" w:lineRule="auto"/>
        <w:ind w:left="0" w:firstLine="0"/>
        <w:jc w:val="both"/>
        <w:rPr>
          <w:rFonts w:ascii="Palatino Linotype" w:eastAsia="Palatino Linotype" w:hAnsi="Palatino Linotype" w:cs="Palatino Linotype"/>
          <w:color w:val="000000"/>
        </w:rPr>
      </w:pPr>
      <w:r w:rsidRPr="00AF7742">
        <w:rPr>
          <w:rFonts w:ascii="Palatino Linotype" w:eastAsia="Palatino Linotype" w:hAnsi="Palatino Linotype" w:cs="Palatino Linotype"/>
        </w:rPr>
        <w:lastRenderedPageBreak/>
        <w:t xml:space="preserve">Luego entonces en un correo electrónico, se pueden remitir diversos datos personales, dependiendo del contenido y del contexto en el que se envíe. En el caso </w:t>
      </w:r>
      <w:r w:rsidRPr="00AF7742">
        <w:rPr>
          <w:rFonts w:ascii="Palatino Linotype" w:eastAsia="Palatino Linotype" w:hAnsi="Palatino Linotype" w:cs="Palatino Linotype"/>
          <w:color w:val="000000"/>
        </w:rPr>
        <w:t>concreto</w:t>
      </w:r>
      <w:r w:rsidRPr="00AF7742">
        <w:rPr>
          <w:rFonts w:ascii="Palatino Linotype" w:eastAsia="Palatino Linotype" w:hAnsi="Palatino Linotype" w:cs="Palatino Linotype"/>
        </w:rPr>
        <w:t xml:space="preserve"> pudiendo ser de manera enunciativa mas no limitativa, nombres de particulares o terceros, Registro Federal de Contribuyentes (RFC), Clave Única de Registro de Población (CURP), teléfonos particulares, correos electrónicos particulares, domicilios particulares, firma o rúbrica de particulares, fotografías de particulares, códigos de seguridad, nombres de usuario, contraseñas, enlaces a perfiles de redes sociales particulares.</w:t>
      </w:r>
    </w:p>
    <w:p w14:paraId="32A96721" w14:textId="77777777" w:rsidR="005251B8" w:rsidRPr="00AF7742" w:rsidRDefault="005251B8" w:rsidP="00A42539">
      <w:pPr>
        <w:pStyle w:val="Prrafodelista"/>
        <w:spacing w:line="360" w:lineRule="auto"/>
        <w:ind w:left="0"/>
        <w:jc w:val="both"/>
        <w:rPr>
          <w:rFonts w:ascii="Palatino Linotype" w:eastAsia="Palatino Linotype" w:hAnsi="Palatino Linotype" w:cs="Palatino Linotype"/>
          <w:color w:val="000000"/>
        </w:rPr>
      </w:pPr>
    </w:p>
    <w:p w14:paraId="3616A370" w14:textId="494BDCD6" w:rsidR="00E319A7" w:rsidRPr="00AF7742" w:rsidRDefault="00715AB6" w:rsidP="00A42539">
      <w:pPr>
        <w:pStyle w:val="Prrafodelista"/>
        <w:numPr>
          <w:ilvl w:val="0"/>
          <w:numId w:val="1"/>
        </w:numPr>
        <w:spacing w:line="360" w:lineRule="auto"/>
        <w:ind w:left="0" w:firstLine="0"/>
        <w:jc w:val="both"/>
        <w:rPr>
          <w:rFonts w:ascii="Palatino Linotype" w:eastAsia="Palatino Linotype" w:hAnsi="Palatino Linotype" w:cs="Palatino Linotype"/>
          <w:color w:val="000000"/>
        </w:rPr>
      </w:pPr>
      <w:r w:rsidRPr="00AF7742">
        <w:rPr>
          <w:rFonts w:ascii="Palatino Linotype" w:eastAsia="Palatino Linotype" w:hAnsi="Palatino Linotype" w:cs="Palatino Linotype"/>
          <w:color w:val="000000"/>
        </w:rPr>
        <w:t>Luego entonces, el</w:t>
      </w:r>
      <w:r w:rsidR="00E319A7" w:rsidRPr="00AF7742">
        <w:rPr>
          <w:rFonts w:ascii="Palatino Linotype" w:eastAsia="Palatino Linotype" w:hAnsi="Palatino Linotype" w:cs="Palatino Linotype"/>
          <w:color w:val="000000"/>
        </w:rPr>
        <w:t xml:space="preserve"> </w:t>
      </w:r>
      <w:r w:rsidRPr="00AF7742">
        <w:rPr>
          <w:rFonts w:ascii="Palatino Linotype" w:eastAsia="Palatino Linotype" w:hAnsi="Palatino Linotype" w:cs="Palatino Linotype"/>
          <w:b/>
          <w:color w:val="000000"/>
        </w:rPr>
        <w:t>SUJETOS OBLIGADOS</w:t>
      </w:r>
      <w:r w:rsidR="00E319A7" w:rsidRPr="00AF7742">
        <w:rPr>
          <w:rFonts w:ascii="Palatino Linotype" w:eastAsia="Palatino Linotype" w:hAnsi="Palatino Linotype" w:cs="Palatino Linotype"/>
          <w:b/>
          <w:color w:val="000000"/>
        </w:rPr>
        <w:t xml:space="preserve"> </w:t>
      </w:r>
      <w:r w:rsidRPr="00AF7742">
        <w:rPr>
          <w:rFonts w:ascii="Palatino Linotype" w:eastAsia="Palatino Linotype" w:hAnsi="Palatino Linotype" w:cs="Palatino Linotype"/>
          <w:color w:val="000000"/>
        </w:rPr>
        <w:t>será responsable</w:t>
      </w:r>
      <w:r w:rsidR="00E319A7" w:rsidRPr="00AF7742">
        <w:rPr>
          <w:rFonts w:ascii="Palatino Linotype" w:eastAsia="Palatino Linotype" w:hAnsi="Palatino Linotype" w:cs="Palatino Linotype"/>
          <w:color w:val="000000"/>
        </w:rPr>
        <w:t xml:space="preserve"> de los datos personales en su posesión y que, en caso de localizarse datos concernientes a terceros, éstos no podrán difundir, distribuir o comercializar los datos personales.  Cabe destacar que, para la realización de la clasificación de la información, se deben seguir una serie de pasos y procedimientos, por lo que es menester reiterar los mismos:</w:t>
      </w:r>
    </w:p>
    <w:p w14:paraId="1D88BEA1" w14:textId="77777777" w:rsidR="00E319A7" w:rsidRPr="00AF7742" w:rsidRDefault="00E319A7" w:rsidP="00A42539">
      <w:pPr>
        <w:tabs>
          <w:tab w:val="left" w:pos="284"/>
        </w:tabs>
        <w:spacing w:line="360" w:lineRule="auto"/>
        <w:ind w:right="49"/>
        <w:jc w:val="both"/>
        <w:rPr>
          <w:rFonts w:ascii="Palatino Linotype" w:eastAsia="Palatino Linotype" w:hAnsi="Palatino Linotype" w:cs="Palatino Linotype"/>
          <w:color w:val="000000"/>
        </w:rPr>
      </w:pPr>
    </w:p>
    <w:tbl>
      <w:tblPr>
        <w:tblW w:w="977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2689"/>
        <w:gridCol w:w="7087"/>
      </w:tblGrid>
      <w:tr w:rsidR="00E319A7" w:rsidRPr="00AF7742" w14:paraId="3BF77EFB" w14:textId="77777777" w:rsidTr="00AF7742">
        <w:tc>
          <w:tcPr>
            <w:tcW w:w="2689" w:type="dxa"/>
          </w:tcPr>
          <w:p w14:paraId="2205F025" w14:textId="77777777" w:rsidR="00E319A7" w:rsidRPr="00AF7742" w:rsidRDefault="00E319A7" w:rsidP="000249F3">
            <w:pPr>
              <w:tabs>
                <w:tab w:val="left" w:pos="284"/>
              </w:tabs>
              <w:rPr>
                <w:rFonts w:ascii="Palatino Linotype" w:eastAsia="Palatino Linotype" w:hAnsi="Palatino Linotype" w:cs="Palatino Linotype"/>
              </w:rPr>
            </w:pPr>
            <w:r w:rsidRPr="00AF7742">
              <w:rPr>
                <w:rFonts w:ascii="Palatino Linotype" w:eastAsia="Palatino Linotype" w:hAnsi="Palatino Linotype" w:cs="Palatino Linotype"/>
              </w:rPr>
              <w:t>a) Requisitos previos.</w:t>
            </w:r>
          </w:p>
        </w:tc>
        <w:tc>
          <w:tcPr>
            <w:tcW w:w="7087" w:type="dxa"/>
          </w:tcPr>
          <w:p w14:paraId="58DA841F" w14:textId="77777777" w:rsidR="00E319A7" w:rsidRPr="00AF7742" w:rsidRDefault="00E319A7" w:rsidP="000249F3">
            <w:pPr>
              <w:tabs>
                <w:tab w:val="left" w:pos="284"/>
              </w:tabs>
              <w:ind w:right="49"/>
              <w:jc w:val="both"/>
              <w:rPr>
                <w:rFonts w:ascii="Palatino Linotype" w:eastAsia="Palatino Linotype" w:hAnsi="Palatino Linotype" w:cs="Palatino Linotype"/>
                <w:color w:val="000000"/>
              </w:rPr>
            </w:pPr>
            <w:r w:rsidRPr="00AF7742">
              <w:rPr>
                <w:rFonts w:ascii="Palatino Linotype" w:eastAsia="Palatino Linotype" w:hAnsi="Palatino Linotype" w:cs="Palatino Linotype"/>
                <w:color w:val="000000"/>
              </w:rPr>
              <w:t xml:space="preserve">Los artículos 100 y 122 de la Ley Estatal y de la Ley General, respectivamente, señalan que si los Sujetos Obligados determinan que la información actualiza alguno de los supuestos de clasificación, es deber de los titulares de las áreas proponer su clasificación y no del Comité de Transparencia. </w:t>
            </w:r>
          </w:p>
          <w:p w14:paraId="520B7A71" w14:textId="77777777" w:rsidR="00E319A7" w:rsidRPr="00AF7742" w:rsidRDefault="00E319A7" w:rsidP="000249F3">
            <w:pPr>
              <w:tabs>
                <w:tab w:val="left" w:pos="284"/>
              </w:tabs>
              <w:ind w:right="49"/>
              <w:jc w:val="both"/>
              <w:rPr>
                <w:rFonts w:ascii="Palatino Linotype" w:eastAsia="Palatino Linotype" w:hAnsi="Palatino Linotype" w:cs="Palatino Linotype"/>
                <w:color w:val="000000"/>
              </w:rPr>
            </w:pPr>
            <w:r w:rsidRPr="00AF7742">
              <w:rPr>
                <w:rFonts w:ascii="Palatino Linotype" w:eastAsia="Palatino Linotype" w:hAnsi="Palatino Linotype" w:cs="Palatino Linotype"/>
                <w:color w:val="000000"/>
              </w:rPr>
              <w:t>Al hacerlo tienen que precisar de qué información se trata, señalando el supuesto de clasificación (confidencialidad o reserva).</w:t>
            </w:r>
          </w:p>
          <w:p w14:paraId="1D653172" w14:textId="77777777" w:rsidR="00E319A7" w:rsidRPr="00AF7742" w:rsidRDefault="00E319A7" w:rsidP="000249F3">
            <w:pPr>
              <w:tabs>
                <w:tab w:val="left" w:pos="284"/>
              </w:tabs>
              <w:ind w:right="49"/>
              <w:jc w:val="both"/>
              <w:rPr>
                <w:rFonts w:ascii="Palatino Linotype" w:eastAsia="Palatino Linotype" w:hAnsi="Palatino Linotype" w:cs="Palatino Linotype"/>
                <w:color w:val="000000"/>
              </w:rPr>
            </w:pPr>
            <w:r w:rsidRPr="00AF7742">
              <w:rPr>
                <w:rFonts w:ascii="Palatino Linotype" w:eastAsia="Palatino Linotype" w:hAnsi="Palatino Linotype" w:cs="Palatino Linotype"/>
                <w:color w:val="000000"/>
              </w:rPr>
              <w:t>Además, se debe señalar el procedimiento, de los tres que establecen los artículos 132 y 106 de la Ley Estatal y General, respectivamente.</w:t>
            </w:r>
          </w:p>
          <w:p w14:paraId="22437334" w14:textId="77777777" w:rsidR="00E319A7" w:rsidRPr="00AF7742" w:rsidRDefault="00E319A7" w:rsidP="000249F3">
            <w:pPr>
              <w:tabs>
                <w:tab w:val="left" w:pos="284"/>
              </w:tabs>
              <w:jc w:val="both"/>
              <w:rPr>
                <w:rFonts w:ascii="Palatino Linotype" w:eastAsia="Palatino Linotype" w:hAnsi="Palatino Linotype" w:cs="Palatino Linotype"/>
                <w:color w:val="000000"/>
              </w:rPr>
            </w:pPr>
            <w:r w:rsidRPr="00AF7742">
              <w:rPr>
                <w:rFonts w:ascii="Palatino Linotype" w:eastAsia="Palatino Linotype" w:hAnsi="Palatino Linotype" w:cs="Palatino Linotype"/>
                <w:color w:val="000000"/>
              </w:rPr>
              <w:t xml:space="preserve">El último de estos requisitos previos consiste en que no se pueden emitir acuerdos de carácter general ni particular, esto es, </w:t>
            </w:r>
            <w:r w:rsidRPr="00AF7742">
              <w:rPr>
                <w:rFonts w:ascii="Palatino Linotype" w:eastAsia="Palatino Linotype" w:hAnsi="Palatino Linotype" w:cs="Palatino Linotype"/>
                <w:color w:val="000000"/>
                <w:u w:val="single"/>
              </w:rPr>
              <w:t xml:space="preserve">no se puede hacer un acuerdo para clasificar de manera general todos </w:t>
            </w:r>
            <w:r w:rsidRPr="00AF7742">
              <w:rPr>
                <w:rFonts w:ascii="Palatino Linotype" w:eastAsia="Palatino Linotype" w:hAnsi="Palatino Linotype" w:cs="Palatino Linotype"/>
                <w:color w:val="000000"/>
                <w:u w:val="single"/>
              </w:rPr>
              <w:lastRenderedPageBreak/>
              <w:t>los documentos de un expediente o área, sin</w:t>
            </w:r>
            <w:r w:rsidRPr="00AF7742">
              <w:rPr>
                <w:rFonts w:ascii="Palatino Linotype" w:eastAsia="Palatino Linotype" w:hAnsi="Palatino Linotype" w:cs="Palatino Linotype"/>
                <w:color w:val="000000"/>
              </w:rPr>
              <w:t xml:space="preserve"> individualizar su análisis y tampoco se puede hacer un acuerdo por cada dato que se vaya a clasificar dentro de un documento con diez datos, por ejemplo, susceptibles de ser clasificados.</w:t>
            </w:r>
          </w:p>
          <w:p w14:paraId="4E26A793" w14:textId="77777777" w:rsidR="00AC2FBA" w:rsidRPr="00AF7742" w:rsidRDefault="00AC2FBA" w:rsidP="000249F3">
            <w:pPr>
              <w:tabs>
                <w:tab w:val="left" w:pos="284"/>
              </w:tabs>
              <w:jc w:val="both"/>
              <w:rPr>
                <w:rFonts w:ascii="Palatino Linotype" w:eastAsia="Palatino Linotype" w:hAnsi="Palatino Linotype" w:cs="Palatino Linotype"/>
              </w:rPr>
            </w:pPr>
          </w:p>
        </w:tc>
      </w:tr>
      <w:tr w:rsidR="00E319A7" w:rsidRPr="00AF7742" w14:paraId="2DF60FF7" w14:textId="77777777" w:rsidTr="00AF7742">
        <w:tc>
          <w:tcPr>
            <w:tcW w:w="2689" w:type="dxa"/>
          </w:tcPr>
          <w:p w14:paraId="20CF2F17" w14:textId="77777777" w:rsidR="00E319A7" w:rsidRPr="00AF7742" w:rsidRDefault="00E319A7" w:rsidP="000249F3">
            <w:pPr>
              <w:tabs>
                <w:tab w:val="left" w:pos="284"/>
              </w:tabs>
              <w:rPr>
                <w:rFonts w:ascii="Palatino Linotype" w:eastAsia="Palatino Linotype" w:hAnsi="Palatino Linotype" w:cs="Palatino Linotype"/>
              </w:rPr>
            </w:pPr>
            <w:r w:rsidRPr="00AF7742">
              <w:rPr>
                <w:rFonts w:ascii="Palatino Linotype" w:eastAsia="Palatino Linotype" w:hAnsi="Palatino Linotype" w:cs="Palatino Linotype"/>
              </w:rPr>
              <w:lastRenderedPageBreak/>
              <w:t>b) Supuestos de clasificación.</w:t>
            </w:r>
          </w:p>
        </w:tc>
        <w:tc>
          <w:tcPr>
            <w:tcW w:w="7087" w:type="dxa"/>
          </w:tcPr>
          <w:p w14:paraId="474E38E8" w14:textId="77777777" w:rsidR="00E319A7" w:rsidRPr="00AF7742" w:rsidRDefault="00E319A7" w:rsidP="000249F3">
            <w:pPr>
              <w:tabs>
                <w:tab w:val="left" w:pos="284"/>
              </w:tabs>
              <w:ind w:right="49"/>
              <w:jc w:val="both"/>
              <w:rPr>
                <w:rFonts w:ascii="Palatino Linotype" w:eastAsia="Palatino Linotype" w:hAnsi="Palatino Linotype" w:cs="Palatino Linotype"/>
                <w:color w:val="000000"/>
              </w:rPr>
            </w:pPr>
            <w:r w:rsidRPr="00AF7742">
              <w:rPr>
                <w:rFonts w:ascii="Palatino Linotype" w:eastAsia="Palatino Linotype" w:hAnsi="Palatino Linotype" w:cs="Palatino Linotype"/>
                <w:color w:val="000000"/>
              </w:rPr>
              <w:t>Las disposiciones constitucionales y legales en la materia establecen los dos supuestos generales para clasificar la información: por reserva y por confidencialidad.</w:t>
            </w:r>
          </w:p>
          <w:p w14:paraId="1EE9F4EC" w14:textId="77777777" w:rsidR="00E319A7" w:rsidRPr="00AF7742" w:rsidRDefault="00E319A7" w:rsidP="000249F3">
            <w:pPr>
              <w:tabs>
                <w:tab w:val="left" w:pos="284"/>
              </w:tabs>
              <w:ind w:right="49"/>
              <w:jc w:val="both"/>
              <w:rPr>
                <w:rFonts w:ascii="Palatino Linotype" w:eastAsia="Palatino Linotype" w:hAnsi="Palatino Linotype" w:cs="Palatino Linotype"/>
                <w:color w:val="000000"/>
              </w:rPr>
            </w:pPr>
            <w:r w:rsidRPr="00AF7742">
              <w:rPr>
                <w:rFonts w:ascii="Palatino Linotype" w:eastAsia="Palatino Linotype" w:hAnsi="Palatino Linotype" w:cs="Palatino Linotype"/>
                <w:color w:val="000000"/>
              </w:rPr>
              <w:t>Los artículos 116 y 143 de la Ley Estatal y de la Ley General, respectivamente, señalan los supuestos para que la información pueda ser clasificada como confidencial. Mientras que los artículos 105 y 130 de la Ley Estatal y de la Ley General, respectivamente, señalan que la aplicación de estos supuestos debe realizarse de manera restrictiva y limitada, por lo que debe acreditarse que se cumple con esta condición y no se pueden ampliar las excepciones o supuestos de clasificación aduciendo analogía o mayoría de razón.</w:t>
            </w:r>
          </w:p>
          <w:p w14:paraId="10A74D50" w14:textId="77777777" w:rsidR="00E319A7" w:rsidRPr="00AF7742" w:rsidRDefault="00E319A7" w:rsidP="000249F3">
            <w:pPr>
              <w:tabs>
                <w:tab w:val="left" w:pos="284"/>
              </w:tabs>
              <w:jc w:val="both"/>
              <w:rPr>
                <w:rFonts w:ascii="Palatino Linotype" w:eastAsia="Palatino Linotype" w:hAnsi="Palatino Linotype" w:cs="Palatino Linotype"/>
                <w:color w:val="000000"/>
              </w:rPr>
            </w:pPr>
            <w:r w:rsidRPr="00AF7742">
              <w:rPr>
                <w:rFonts w:ascii="Palatino Linotype" w:eastAsia="Palatino Linotype" w:hAnsi="Palatino Linotype" w:cs="Palatino Linotype"/>
                <w:color w:val="000000"/>
              </w:rPr>
              <w:t xml:space="preserve">El </w:t>
            </w:r>
            <w:r w:rsidRPr="00AF7742">
              <w:rPr>
                <w:rFonts w:ascii="Palatino Linotype" w:eastAsia="Palatino Linotype" w:hAnsi="Palatino Linotype" w:cs="Palatino Linotype"/>
                <w:b/>
                <w:color w:val="000000"/>
              </w:rPr>
              <w:t>Sujeto Obligado</w:t>
            </w:r>
            <w:r w:rsidRPr="00AF7742">
              <w:rPr>
                <w:rFonts w:ascii="Palatino Linotype" w:eastAsia="Palatino Linotype" w:hAnsi="Palatino Linotype" w:cs="Palatino Linotype"/>
                <w:color w:val="000000"/>
              </w:rPr>
              <w:t xml:space="preserve"> debe identificar claramente el tipo de información y hacer un juicio de subsunción o encaje para acreditar que el supuesto de hecho corresponde estrictamente con la hipótesis jurídica. Esto también lo debe de realizar el servidor público habilitado y el titular del área que administra la información.</w:t>
            </w:r>
          </w:p>
          <w:p w14:paraId="1065D702" w14:textId="77777777" w:rsidR="00AC2FBA" w:rsidRPr="00AF7742" w:rsidRDefault="00AC2FBA" w:rsidP="000249F3">
            <w:pPr>
              <w:tabs>
                <w:tab w:val="left" w:pos="284"/>
              </w:tabs>
              <w:jc w:val="both"/>
              <w:rPr>
                <w:rFonts w:ascii="Palatino Linotype" w:eastAsia="Palatino Linotype" w:hAnsi="Palatino Linotype" w:cs="Palatino Linotype"/>
              </w:rPr>
            </w:pPr>
          </w:p>
        </w:tc>
      </w:tr>
      <w:tr w:rsidR="00E319A7" w:rsidRPr="00AF7742" w14:paraId="6B9A2040" w14:textId="77777777" w:rsidTr="00AF7742">
        <w:tc>
          <w:tcPr>
            <w:tcW w:w="2689" w:type="dxa"/>
          </w:tcPr>
          <w:p w14:paraId="53CF3EF6" w14:textId="77777777" w:rsidR="00E319A7" w:rsidRPr="00AF7742" w:rsidRDefault="00E319A7" w:rsidP="000249F3">
            <w:pPr>
              <w:tabs>
                <w:tab w:val="left" w:pos="284"/>
              </w:tabs>
              <w:rPr>
                <w:rFonts w:ascii="Palatino Linotype" w:eastAsia="Palatino Linotype" w:hAnsi="Palatino Linotype" w:cs="Palatino Linotype"/>
              </w:rPr>
            </w:pPr>
            <w:r w:rsidRPr="00AF7742">
              <w:rPr>
                <w:rFonts w:ascii="Palatino Linotype" w:eastAsia="Palatino Linotype" w:hAnsi="Palatino Linotype" w:cs="Palatino Linotype"/>
              </w:rPr>
              <w:t>c) Formalidades para emitir el acuerdo de clasificación.</w:t>
            </w:r>
          </w:p>
        </w:tc>
        <w:tc>
          <w:tcPr>
            <w:tcW w:w="7087" w:type="dxa"/>
          </w:tcPr>
          <w:p w14:paraId="50AF411A" w14:textId="77777777" w:rsidR="00E319A7" w:rsidRPr="00AF7742" w:rsidRDefault="00E319A7" w:rsidP="000249F3">
            <w:pPr>
              <w:tabs>
                <w:tab w:val="left" w:pos="284"/>
              </w:tabs>
              <w:ind w:right="49"/>
              <w:jc w:val="both"/>
              <w:rPr>
                <w:rFonts w:ascii="Palatino Linotype" w:eastAsia="Palatino Linotype" w:hAnsi="Palatino Linotype" w:cs="Palatino Linotype"/>
                <w:color w:val="000000"/>
              </w:rPr>
            </w:pPr>
            <w:r w:rsidRPr="00AF7742">
              <w:rPr>
                <w:rFonts w:ascii="Palatino Linotype" w:eastAsia="Palatino Linotype" w:hAnsi="Palatino Linotype" w:cs="Palatino Linotype"/>
                <w:color w:val="000000"/>
              </w:rPr>
              <w:t xml:space="preserve">El Comité de Transparencia, según lo dispuesto en los artículos cuenta con las facultades para aprobar, modificar o revocar la clasificación de la información que haya propuesto. </w:t>
            </w:r>
          </w:p>
          <w:p w14:paraId="6E616533" w14:textId="77777777" w:rsidR="00E319A7" w:rsidRPr="00AF7742" w:rsidRDefault="00E319A7" w:rsidP="000249F3">
            <w:pPr>
              <w:tabs>
                <w:tab w:val="left" w:pos="284"/>
              </w:tabs>
              <w:ind w:right="49"/>
              <w:jc w:val="both"/>
              <w:rPr>
                <w:rFonts w:ascii="Palatino Linotype" w:eastAsia="Palatino Linotype" w:hAnsi="Palatino Linotype" w:cs="Palatino Linotype"/>
                <w:color w:val="000000"/>
              </w:rPr>
            </w:pPr>
            <w:r w:rsidRPr="00AF7742">
              <w:rPr>
                <w:rFonts w:ascii="Palatino Linotype" w:eastAsia="Palatino Linotype" w:hAnsi="Palatino Linotype" w:cs="Palatino Linotype"/>
                <w:color w:val="000000"/>
              </w:rPr>
              <w:t xml:space="preserve">Es necesario que </w:t>
            </w:r>
            <w:r w:rsidRPr="00AF7742">
              <w:rPr>
                <w:rFonts w:ascii="Palatino Linotype" w:eastAsia="Palatino Linotype" w:hAnsi="Palatino Linotype" w:cs="Palatino Linotype"/>
                <w:b/>
                <w:color w:val="000000"/>
                <w:u w:val="single"/>
              </w:rPr>
              <w:t>el acto reúna con los requisitos elementales</w:t>
            </w:r>
            <w:r w:rsidRPr="00AF7742">
              <w:rPr>
                <w:rFonts w:ascii="Palatino Linotype" w:eastAsia="Palatino Linotype" w:hAnsi="Palatino Linotype" w:cs="Palatino Linotype"/>
                <w:color w:val="000000"/>
              </w:rPr>
              <w:t>, entre ellos, que la autoridad que va a emitir el acto de autoridad sea la legalmente facultada para ello.</w:t>
            </w:r>
          </w:p>
          <w:p w14:paraId="7D4DAB1C" w14:textId="77777777" w:rsidR="00E319A7" w:rsidRPr="00AF7742" w:rsidRDefault="00E319A7" w:rsidP="000249F3">
            <w:pPr>
              <w:tabs>
                <w:tab w:val="left" w:pos="284"/>
              </w:tabs>
              <w:jc w:val="both"/>
              <w:rPr>
                <w:rFonts w:ascii="Palatino Linotype" w:eastAsia="Palatino Linotype" w:hAnsi="Palatino Linotype" w:cs="Palatino Linotype"/>
                <w:color w:val="000000"/>
              </w:rPr>
            </w:pPr>
            <w:r w:rsidRPr="00AF7742">
              <w:rPr>
                <w:rFonts w:ascii="Palatino Linotype" w:eastAsia="Palatino Linotype" w:hAnsi="Palatino Linotype" w:cs="Palatino Linotype"/>
                <w:color w:val="000000"/>
              </w:rPr>
              <w:t xml:space="preserve">La decisión de aprobar, modificar o revocar la clasificación deberá de asentarse en un documento que registre la determinación a la que se llegue después de un análisis minucioso a partir de lo propuesto por el Titular del I. área que administra la información, cuyo análisis debe integrarse en la agenda de los </w:t>
            </w:r>
            <w:r w:rsidRPr="00AF7742">
              <w:rPr>
                <w:rFonts w:ascii="Palatino Linotype" w:eastAsia="Palatino Linotype" w:hAnsi="Palatino Linotype" w:cs="Palatino Linotype"/>
                <w:color w:val="000000"/>
              </w:rPr>
              <w:lastRenderedPageBreak/>
              <w:t>asuntos a tratar en las sesiones, se insiste, a partir de las decisiones adoptadas previamente por los titulares de áreas y que son sujetas a control, en primera instancia, por el Comité de Transparencia.</w:t>
            </w:r>
          </w:p>
          <w:p w14:paraId="29743ECE" w14:textId="77777777" w:rsidR="00AC2FBA" w:rsidRPr="00AF7742" w:rsidRDefault="00AC2FBA" w:rsidP="000249F3">
            <w:pPr>
              <w:tabs>
                <w:tab w:val="left" w:pos="284"/>
              </w:tabs>
              <w:jc w:val="both"/>
              <w:rPr>
                <w:rFonts w:ascii="Palatino Linotype" w:eastAsia="Palatino Linotype" w:hAnsi="Palatino Linotype" w:cs="Palatino Linotype"/>
              </w:rPr>
            </w:pPr>
          </w:p>
        </w:tc>
      </w:tr>
      <w:tr w:rsidR="00E319A7" w:rsidRPr="00AF7742" w14:paraId="695273FD" w14:textId="77777777" w:rsidTr="00AF7742">
        <w:tc>
          <w:tcPr>
            <w:tcW w:w="2689" w:type="dxa"/>
          </w:tcPr>
          <w:p w14:paraId="12D43907" w14:textId="77777777" w:rsidR="00E319A7" w:rsidRPr="00AF7742" w:rsidRDefault="00E319A7" w:rsidP="000249F3">
            <w:pPr>
              <w:tabs>
                <w:tab w:val="left" w:pos="284"/>
              </w:tabs>
              <w:rPr>
                <w:rFonts w:ascii="Palatino Linotype" w:eastAsia="Palatino Linotype" w:hAnsi="Palatino Linotype" w:cs="Palatino Linotype"/>
              </w:rPr>
            </w:pPr>
          </w:p>
          <w:p w14:paraId="729C8C18" w14:textId="77777777" w:rsidR="00E319A7" w:rsidRPr="00AF7742" w:rsidRDefault="00E319A7" w:rsidP="000249F3">
            <w:pPr>
              <w:tabs>
                <w:tab w:val="left" w:pos="284"/>
              </w:tabs>
              <w:jc w:val="both"/>
              <w:rPr>
                <w:rFonts w:ascii="Palatino Linotype" w:eastAsia="Palatino Linotype" w:hAnsi="Palatino Linotype" w:cs="Palatino Linotype"/>
              </w:rPr>
            </w:pPr>
            <w:r w:rsidRPr="00AF7742">
              <w:rPr>
                <w:rFonts w:ascii="Palatino Linotype" w:eastAsia="Palatino Linotype" w:hAnsi="Palatino Linotype" w:cs="Palatino Linotype"/>
                <w:color w:val="000000"/>
              </w:rPr>
              <w:t xml:space="preserve">d) Requisitos de fondo del acuerdo de clasificación. </w:t>
            </w:r>
          </w:p>
        </w:tc>
        <w:tc>
          <w:tcPr>
            <w:tcW w:w="7087" w:type="dxa"/>
          </w:tcPr>
          <w:p w14:paraId="7AB76AA7" w14:textId="77777777" w:rsidR="00E319A7" w:rsidRPr="00AF7742" w:rsidRDefault="00E319A7" w:rsidP="000249F3">
            <w:pPr>
              <w:tabs>
                <w:tab w:val="left" w:pos="284"/>
              </w:tabs>
              <w:ind w:right="49"/>
              <w:jc w:val="both"/>
              <w:rPr>
                <w:rFonts w:ascii="Palatino Linotype" w:eastAsia="Palatino Linotype" w:hAnsi="Palatino Linotype" w:cs="Palatino Linotype"/>
                <w:color w:val="000000"/>
              </w:rPr>
            </w:pPr>
            <w:r w:rsidRPr="00AF7742">
              <w:rPr>
                <w:rFonts w:ascii="Palatino Linotype" w:eastAsia="Palatino Linotype" w:hAnsi="Palatino Linotype" w:cs="Palatino Linotype"/>
                <w:color w:val="000000"/>
              </w:rPr>
              <w:t xml:space="preserve">Como se ha señalado antes, al hacer el juicio de subsunción o encaje entre el supuesto de hecho y la hipótesis jurídica, se debe acreditar la estricta correspondencia entre un elemento y otro. Ahora, en esta parte del procedimiento, que se desahoga en sede del Comité de Transparencia, la ley señala que la carga de la prueba, para justificar las restricciones, corresponde a los </w:t>
            </w:r>
            <w:r w:rsidRPr="00AF7742">
              <w:rPr>
                <w:rFonts w:ascii="Palatino Linotype" w:eastAsia="Palatino Linotype" w:hAnsi="Palatino Linotype" w:cs="Palatino Linotype"/>
                <w:b/>
                <w:color w:val="000000"/>
              </w:rPr>
              <w:t>Sujetos Obligados</w:t>
            </w:r>
            <w:r w:rsidRPr="00AF7742">
              <w:rPr>
                <w:rFonts w:ascii="Palatino Linotype" w:eastAsia="Palatino Linotype" w:hAnsi="Palatino Linotype" w:cs="Palatino Linotype"/>
                <w:color w:val="000000"/>
              </w:rPr>
              <w:t xml:space="preserve">, por lo que deberán fundar y motivar debidamente la clasificación. </w:t>
            </w:r>
          </w:p>
          <w:p w14:paraId="69838546" w14:textId="77777777" w:rsidR="00E319A7" w:rsidRPr="00AF7742" w:rsidRDefault="00E319A7" w:rsidP="000249F3">
            <w:pPr>
              <w:tabs>
                <w:tab w:val="left" w:pos="284"/>
              </w:tabs>
              <w:ind w:right="49"/>
              <w:jc w:val="both"/>
              <w:rPr>
                <w:rFonts w:ascii="Palatino Linotype" w:eastAsia="Palatino Linotype" w:hAnsi="Palatino Linotype" w:cs="Palatino Linotype"/>
                <w:color w:val="000000"/>
              </w:rPr>
            </w:pPr>
            <w:r w:rsidRPr="00AF7742">
              <w:rPr>
                <w:rFonts w:ascii="Palatino Linotype" w:eastAsia="Palatino Linotype" w:hAnsi="Palatino Linotype" w:cs="Palatino Linotype"/>
                <w:color w:val="000000"/>
              </w:rPr>
              <w:t xml:space="preserve">De lo anterior, se desprende que para una correcta </w:t>
            </w:r>
            <w:r w:rsidRPr="00AF7742">
              <w:rPr>
                <w:rFonts w:ascii="Palatino Linotype" w:eastAsia="Palatino Linotype" w:hAnsi="Palatino Linotype" w:cs="Palatino Linotype"/>
                <w:b/>
                <w:color w:val="000000"/>
              </w:rPr>
              <w:t>clasificación total o parcial</w:t>
            </w:r>
            <w:r w:rsidRPr="00AF7742">
              <w:rPr>
                <w:rFonts w:ascii="Palatino Linotype" w:eastAsia="Palatino Linotype" w:hAnsi="Palatino Linotype" w:cs="Palatino Linotype"/>
                <w:color w:val="000000"/>
              </w:rPr>
              <w:t>, esto es determinar los datos que se suprimen en las versiones públicas, es necesario fundar y motivar, de manera correcta, la clasificación; considerando que todo acto que la autoridad pronuncie en el ejercicio de sus atribuciones, debe expresar los fundamentos legales que le dieron origen y las razones por las que se deben aplicar al caso concreto.</w:t>
            </w:r>
          </w:p>
          <w:p w14:paraId="759CAAF7" w14:textId="77777777" w:rsidR="00E319A7" w:rsidRPr="00AF7742" w:rsidRDefault="00E319A7" w:rsidP="000249F3">
            <w:pPr>
              <w:tabs>
                <w:tab w:val="left" w:pos="284"/>
              </w:tabs>
              <w:ind w:right="49"/>
              <w:jc w:val="both"/>
              <w:rPr>
                <w:rFonts w:ascii="Palatino Linotype" w:eastAsia="Palatino Linotype" w:hAnsi="Palatino Linotype" w:cs="Palatino Linotype"/>
                <w:color w:val="000000"/>
              </w:rPr>
            </w:pPr>
            <w:r w:rsidRPr="00AF7742">
              <w:rPr>
                <w:rFonts w:ascii="Palatino Linotype" w:eastAsia="Palatino Linotype" w:hAnsi="Palatino Linotype" w:cs="Palatino Linotype"/>
                <w:color w:val="000000"/>
              </w:rPr>
              <w:t>Así, en un acto de autoridad se cumple con la debida fundamentación cuando se cita el precepto legal aplicable al caso concreto y la debida motivación cuando se expresan las razones, motivos o circunstancias que tomó en cuenta la autoridad para adecuar el hecho a los fundamentos de derecho. De este modo, la persona que se sienta afectada pueda impugnar la decisión, permitiéndole una real y auténtica defensa.</w:t>
            </w:r>
          </w:p>
          <w:p w14:paraId="1657AC16" w14:textId="77777777" w:rsidR="00E319A7" w:rsidRPr="00AF7742" w:rsidRDefault="00E319A7" w:rsidP="000249F3">
            <w:pPr>
              <w:tabs>
                <w:tab w:val="left" w:pos="284"/>
              </w:tabs>
              <w:ind w:right="49"/>
              <w:jc w:val="both"/>
              <w:rPr>
                <w:rFonts w:ascii="Palatino Linotype" w:eastAsia="Palatino Linotype" w:hAnsi="Palatino Linotype" w:cs="Palatino Linotype"/>
                <w:color w:val="000000"/>
              </w:rPr>
            </w:pPr>
            <w:r w:rsidRPr="00AF7742">
              <w:rPr>
                <w:rFonts w:ascii="Palatino Linotype" w:eastAsia="Palatino Linotype" w:hAnsi="Palatino Linotype" w:cs="Palatino Linotype"/>
                <w:color w:val="000000"/>
              </w:rPr>
              <w:t>En ese mismo sentido, el numeral trigésimo tercero fracción V de los Lineamientos Generales, precisa que para motivar la clasificación se deben acreditar las circunstancias de tiempo, modo y lugar.</w:t>
            </w:r>
          </w:p>
          <w:p w14:paraId="27AA4217" w14:textId="77777777" w:rsidR="00E319A7" w:rsidRPr="00AF7742" w:rsidRDefault="00E319A7" w:rsidP="000249F3">
            <w:pPr>
              <w:tabs>
                <w:tab w:val="left" w:pos="284"/>
              </w:tabs>
              <w:ind w:right="49"/>
              <w:jc w:val="both"/>
              <w:rPr>
                <w:rFonts w:ascii="Palatino Linotype" w:eastAsia="Palatino Linotype" w:hAnsi="Palatino Linotype" w:cs="Palatino Linotype"/>
                <w:color w:val="000000"/>
              </w:rPr>
            </w:pPr>
            <w:r w:rsidRPr="00AF7742">
              <w:rPr>
                <w:rFonts w:ascii="Palatino Linotype" w:eastAsia="Palatino Linotype" w:hAnsi="Palatino Linotype" w:cs="Palatino Linotype"/>
                <w:color w:val="000000"/>
              </w:rPr>
              <w:t xml:space="preserve">Ahora bien, </w:t>
            </w:r>
            <w:r w:rsidRPr="00AF7742">
              <w:rPr>
                <w:rFonts w:ascii="Palatino Linotype" w:eastAsia="Palatino Linotype" w:hAnsi="Palatino Linotype" w:cs="Palatino Linotype"/>
                <w:b/>
                <w:color w:val="000000"/>
                <w:u w:val="single"/>
              </w:rPr>
              <w:t>para cada caso además de fundar y motivar</w:t>
            </w:r>
            <w:r w:rsidRPr="00AF7742">
              <w:rPr>
                <w:rFonts w:ascii="Palatino Linotype" w:eastAsia="Palatino Linotype" w:hAnsi="Palatino Linotype" w:cs="Palatino Linotype"/>
                <w:color w:val="000000"/>
              </w:rPr>
              <w:t xml:space="preserve">, se debe identificar con claridad que datos contenidos en las documentales que son susceptibles de suprimirse, por ejemplo; Clave Única de Registro de Población (CURP), Registro Federal </w:t>
            </w:r>
            <w:r w:rsidRPr="00AF7742">
              <w:rPr>
                <w:rFonts w:ascii="Palatino Linotype" w:eastAsia="Palatino Linotype" w:hAnsi="Palatino Linotype" w:cs="Palatino Linotype"/>
                <w:color w:val="000000"/>
              </w:rPr>
              <w:lastRenderedPageBreak/>
              <w:t>de Contribuyentes (R.F.C.), claves de seguros, préstamos o descuentos personales, secretos bancario, fiduciario, industrial, comercial, fiscal, bursátil y postal, cuya titularidad corresponda a particulares, entre otros.</w:t>
            </w:r>
          </w:p>
          <w:p w14:paraId="3C718044" w14:textId="77777777" w:rsidR="00AC2FBA" w:rsidRPr="00AF7742" w:rsidRDefault="00AC2FBA" w:rsidP="000249F3">
            <w:pPr>
              <w:tabs>
                <w:tab w:val="left" w:pos="284"/>
              </w:tabs>
              <w:ind w:right="49"/>
              <w:jc w:val="both"/>
              <w:rPr>
                <w:rFonts w:ascii="Palatino Linotype" w:eastAsia="Palatino Linotype" w:hAnsi="Palatino Linotype" w:cs="Palatino Linotype"/>
                <w:color w:val="000000"/>
              </w:rPr>
            </w:pPr>
          </w:p>
        </w:tc>
      </w:tr>
      <w:tr w:rsidR="00E319A7" w:rsidRPr="00AF7742" w14:paraId="51C1A0D9" w14:textId="77777777" w:rsidTr="00AF7742">
        <w:tc>
          <w:tcPr>
            <w:tcW w:w="2689" w:type="dxa"/>
          </w:tcPr>
          <w:p w14:paraId="1B388F19" w14:textId="77777777" w:rsidR="00E319A7" w:rsidRPr="00AF7742" w:rsidRDefault="00E319A7" w:rsidP="000249F3">
            <w:pPr>
              <w:tabs>
                <w:tab w:val="left" w:pos="284"/>
              </w:tabs>
              <w:ind w:right="49"/>
              <w:jc w:val="both"/>
              <w:rPr>
                <w:rFonts w:ascii="Palatino Linotype" w:eastAsia="Palatino Linotype" w:hAnsi="Palatino Linotype" w:cs="Palatino Linotype"/>
              </w:rPr>
            </w:pPr>
            <w:r w:rsidRPr="00AF7742">
              <w:rPr>
                <w:rFonts w:ascii="Palatino Linotype" w:eastAsia="Palatino Linotype" w:hAnsi="Palatino Linotype" w:cs="Palatino Linotype"/>
              </w:rPr>
              <w:lastRenderedPageBreak/>
              <w:t xml:space="preserve">e) Condiciones especiales de la clasificación de la información como confidencial. </w:t>
            </w:r>
          </w:p>
        </w:tc>
        <w:tc>
          <w:tcPr>
            <w:tcW w:w="7087" w:type="dxa"/>
          </w:tcPr>
          <w:p w14:paraId="63D671EB" w14:textId="77777777" w:rsidR="00E319A7" w:rsidRPr="00AF7742" w:rsidRDefault="00E319A7" w:rsidP="000249F3">
            <w:pPr>
              <w:tabs>
                <w:tab w:val="left" w:pos="284"/>
              </w:tabs>
              <w:ind w:right="49"/>
              <w:jc w:val="both"/>
              <w:rPr>
                <w:rFonts w:ascii="Palatino Linotype" w:eastAsia="Palatino Linotype" w:hAnsi="Palatino Linotype" w:cs="Palatino Linotype"/>
                <w:color w:val="000000"/>
              </w:rPr>
            </w:pPr>
            <w:r w:rsidRPr="00AF7742">
              <w:rPr>
                <w:rFonts w:ascii="Palatino Linotype" w:eastAsia="Palatino Linotype" w:hAnsi="Palatino Linotype" w:cs="Palatino Linotype"/>
                <w:color w:val="000000"/>
              </w:rPr>
              <w:t xml:space="preserve">Los artículos 148 y 120 de la Ley Estatal y de la Ley General, respectivamente, establecen que aun tratándose de datos personales, se podrán proporcionar, incluso sin solicitar el consentimiento de su titular. </w:t>
            </w:r>
          </w:p>
          <w:p w14:paraId="34DD3B49" w14:textId="77777777" w:rsidR="00E319A7" w:rsidRPr="00AF7742" w:rsidRDefault="00E319A7" w:rsidP="000249F3">
            <w:pPr>
              <w:tabs>
                <w:tab w:val="left" w:pos="284"/>
              </w:tabs>
              <w:ind w:right="49"/>
              <w:jc w:val="both"/>
              <w:rPr>
                <w:rFonts w:ascii="Palatino Linotype" w:eastAsia="Palatino Linotype" w:hAnsi="Palatino Linotype" w:cs="Palatino Linotype"/>
                <w:color w:val="000000"/>
              </w:rPr>
            </w:pPr>
            <w:r w:rsidRPr="00AF7742">
              <w:rPr>
                <w:rFonts w:ascii="Palatino Linotype" w:eastAsia="Palatino Linotype" w:hAnsi="Palatino Linotype" w:cs="Palatino Linotype"/>
                <w:color w:val="000000"/>
              </w:rPr>
              <w:t xml:space="preserve">En el caso de lo señalado en la fracción IV, será el Instituto quien deba aplicar la prueba de interés público, considerando también que como recientemente ha discutido la Suprema Corte de Justicia de la Nación, los servidores públicos nos encontramos sujetos a un régimen menor de protección. </w:t>
            </w:r>
          </w:p>
          <w:p w14:paraId="49B63C01" w14:textId="77777777" w:rsidR="00E319A7" w:rsidRPr="00AF7742" w:rsidRDefault="00E319A7" w:rsidP="000249F3">
            <w:pPr>
              <w:tabs>
                <w:tab w:val="left" w:pos="284"/>
              </w:tabs>
              <w:rPr>
                <w:rFonts w:ascii="Palatino Linotype" w:eastAsia="Palatino Linotype" w:hAnsi="Palatino Linotype" w:cs="Palatino Linotype"/>
                <w:color w:val="000000"/>
              </w:rPr>
            </w:pPr>
            <w:r w:rsidRPr="00AF7742">
              <w:rPr>
                <w:rFonts w:ascii="Palatino Linotype" w:eastAsia="Palatino Linotype" w:hAnsi="Palatino Linotype" w:cs="Palatino Linotype"/>
                <w:color w:val="000000"/>
              </w:rPr>
              <w:t>Pero si la información que se pretende clasificar como confidencial no se encuentra en los supuestos de los artículos señalados y es posible, se deberá consultar al titular de los datos si permite o no el acceso. De no ser posible, la realización de la consulta, procede, fundando y motivando, la clasificación.</w:t>
            </w:r>
          </w:p>
          <w:p w14:paraId="26381D1D" w14:textId="77777777" w:rsidR="00AC2FBA" w:rsidRPr="00AF7742" w:rsidRDefault="00AC2FBA" w:rsidP="000249F3">
            <w:pPr>
              <w:tabs>
                <w:tab w:val="left" w:pos="284"/>
              </w:tabs>
              <w:rPr>
                <w:rFonts w:ascii="Palatino Linotype" w:eastAsia="Palatino Linotype" w:hAnsi="Palatino Linotype" w:cs="Palatino Linotype"/>
              </w:rPr>
            </w:pPr>
          </w:p>
        </w:tc>
      </w:tr>
    </w:tbl>
    <w:p w14:paraId="7F6768B6" w14:textId="77777777" w:rsidR="007D4D20" w:rsidRPr="00AF7742" w:rsidRDefault="007D4D20" w:rsidP="007D4D20">
      <w:pPr>
        <w:pStyle w:val="Prrafodelista"/>
        <w:spacing w:line="360" w:lineRule="auto"/>
        <w:ind w:left="0"/>
        <w:jc w:val="both"/>
        <w:rPr>
          <w:rFonts w:ascii="Palatino Linotype" w:eastAsia="Palatino Linotype" w:hAnsi="Palatino Linotype" w:cs="Palatino Linotype"/>
          <w:color w:val="000000"/>
        </w:rPr>
      </w:pPr>
    </w:p>
    <w:p w14:paraId="3D881DF4" w14:textId="77777777" w:rsidR="00E319A7" w:rsidRPr="00AF7742" w:rsidRDefault="00E319A7" w:rsidP="00A42539">
      <w:pPr>
        <w:pStyle w:val="Prrafodelista"/>
        <w:numPr>
          <w:ilvl w:val="0"/>
          <w:numId w:val="1"/>
        </w:numPr>
        <w:spacing w:line="360" w:lineRule="auto"/>
        <w:ind w:left="0" w:firstLine="0"/>
        <w:jc w:val="both"/>
        <w:rPr>
          <w:rFonts w:ascii="Palatino Linotype" w:eastAsia="Palatino Linotype" w:hAnsi="Palatino Linotype" w:cs="Palatino Linotype"/>
          <w:color w:val="000000"/>
        </w:rPr>
      </w:pPr>
      <w:r w:rsidRPr="00AF7742">
        <w:rPr>
          <w:rFonts w:ascii="Palatino Linotype" w:eastAsia="Palatino Linotype" w:hAnsi="Palatino Linotype" w:cs="Palatino Linotype"/>
        </w:rPr>
        <w:t xml:space="preserve">Si el </w:t>
      </w:r>
      <w:r w:rsidRPr="00AF7742">
        <w:rPr>
          <w:rFonts w:ascii="Palatino Linotype" w:eastAsia="Palatino Linotype" w:hAnsi="Palatino Linotype" w:cs="Palatino Linotype"/>
          <w:color w:val="000000"/>
        </w:rPr>
        <w:t>servidor</w:t>
      </w:r>
      <w:r w:rsidRPr="00AF7742">
        <w:rPr>
          <w:rFonts w:ascii="Palatino Linotype" w:eastAsia="Palatino Linotype" w:hAnsi="Palatino Linotype" w:cs="Palatino Linotype"/>
        </w:rPr>
        <w:t xml:space="preserve"> público incumple con estas formalidades y entrega la información </w:t>
      </w:r>
      <w:r w:rsidRPr="00AF7742">
        <w:rPr>
          <w:rFonts w:ascii="Palatino Linotype" w:eastAsia="Palatino Linotype" w:hAnsi="Palatino Linotype" w:cs="Palatino Linotype"/>
          <w:color w:val="000000"/>
        </w:rPr>
        <w:t>sin</w:t>
      </w:r>
      <w:r w:rsidRPr="00AF7742">
        <w:rPr>
          <w:rFonts w:ascii="Palatino Linotype" w:eastAsia="Palatino Linotype" w:hAnsi="Palatino Linotype" w:cs="Palatino Linotype"/>
        </w:rPr>
        <w:t xml:space="preserve"> proteger los datos personales incumple con lo que estipula las disposiciones </w:t>
      </w:r>
      <w:r w:rsidRPr="00AF7742">
        <w:rPr>
          <w:rFonts w:ascii="Palatino Linotype" w:eastAsia="Palatino Linotype" w:hAnsi="Palatino Linotype" w:cs="Palatino Linotype"/>
          <w:color w:val="000000"/>
        </w:rPr>
        <w:t>legales</w:t>
      </w:r>
      <w:r w:rsidRPr="00AF7742">
        <w:rPr>
          <w:rFonts w:ascii="Palatino Linotype" w:eastAsia="Palatino Linotype" w:hAnsi="Palatino Linotype" w:cs="Palatino Linotype"/>
        </w:rPr>
        <w:t xml:space="preserve"> </w:t>
      </w:r>
      <w:r w:rsidRPr="00AF7742">
        <w:rPr>
          <w:rFonts w:ascii="Palatino Linotype" w:eastAsia="Palatino Linotype" w:hAnsi="Palatino Linotype" w:cs="Palatino Linotype"/>
          <w:color w:val="000000"/>
        </w:rPr>
        <w:t>establecidas</w:t>
      </w:r>
      <w:r w:rsidRPr="00AF7742">
        <w:rPr>
          <w:rFonts w:ascii="Palatino Linotype" w:eastAsia="Palatino Linotype" w:hAnsi="Palatino Linotype" w:cs="Palatino Linotype"/>
        </w:rPr>
        <w:t>, asimismo que si entrega un documento testado sin el debido acuerdo de clasificación.</w:t>
      </w:r>
    </w:p>
    <w:p w14:paraId="12DA2750" w14:textId="77777777" w:rsidR="00E319A7" w:rsidRPr="00AF7742" w:rsidRDefault="00E319A7" w:rsidP="00A42539">
      <w:pPr>
        <w:spacing w:line="360" w:lineRule="auto"/>
        <w:ind w:right="-1124"/>
        <w:jc w:val="both"/>
        <w:rPr>
          <w:rFonts w:ascii="Palatino Linotype" w:eastAsia="Palatino Linotype" w:hAnsi="Palatino Linotype" w:cs="Palatino Linotype"/>
          <w:b/>
          <w:color w:val="000000"/>
        </w:rPr>
      </w:pPr>
    </w:p>
    <w:p w14:paraId="571A4102" w14:textId="13D2C010" w:rsidR="00BE7C58" w:rsidRPr="00AF7742" w:rsidRDefault="00BE7C58" w:rsidP="00A42539">
      <w:pPr>
        <w:pStyle w:val="Prrafodelista"/>
        <w:numPr>
          <w:ilvl w:val="0"/>
          <w:numId w:val="1"/>
        </w:numPr>
        <w:spacing w:line="360" w:lineRule="auto"/>
        <w:ind w:left="0" w:firstLine="0"/>
        <w:jc w:val="both"/>
        <w:rPr>
          <w:rFonts w:ascii="Palatino Linotype" w:hAnsi="Palatino Linotype"/>
        </w:rPr>
      </w:pPr>
      <w:r w:rsidRPr="00AF7742">
        <w:rPr>
          <w:rFonts w:ascii="Palatino Linotype" w:eastAsia="Palatino Linotype" w:hAnsi="Palatino Linotype" w:cs="Palatino Linotype"/>
        </w:rPr>
        <w:t xml:space="preserve">Por lo anteriormente expuesto y fundado, este </w:t>
      </w:r>
      <w:r w:rsidRPr="00AF7742">
        <w:rPr>
          <w:rFonts w:ascii="Palatino Linotype" w:eastAsia="Palatino Linotype" w:hAnsi="Palatino Linotype" w:cs="Palatino Linotype"/>
          <w:b/>
        </w:rPr>
        <w:t>ÓRGANO GARANTE</w:t>
      </w:r>
      <w:r w:rsidRPr="00AF7742">
        <w:rPr>
          <w:rFonts w:ascii="Palatino Linotype" w:eastAsia="Palatino Linotype" w:hAnsi="Palatino Linotype" w:cs="Palatino Linotype"/>
        </w:rPr>
        <w:t xml:space="preserve"> emite los siguientes: </w:t>
      </w:r>
      <w:r w:rsidR="00AF7742">
        <w:rPr>
          <w:rFonts w:ascii="Palatino Linotype" w:eastAsia="Palatino Linotype" w:hAnsi="Palatino Linotype" w:cs="Palatino Linotype"/>
        </w:rPr>
        <w:t>---------------------------------------------------------------------------------------------------------</w:t>
      </w:r>
    </w:p>
    <w:p w14:paraId="1609D77B" w14:textId="77777777" w:rsidR="00AF7742" w:rsidRPr="00AF7742" w:rsidRDefault="00AF7742" w:rsidP="00AF7742">
      <w:pPr>
        <w:pStyle w:val="Prrafodelista"/>
        <w:rPr>
          <w:rFonts w:ascii="Palatino Linotype" w:hAnsi="Palatino Linotype"/>
        </w:rPr>
      </w:pPr>
    </w:p>
    <w:p w14:paraId="171EDCD0" w14:textId="77777777" w:rsidR="00AF7742" w:rsidRPr="00AF7742" w:rsidRDefault="00AF7742" w:rsidP="00AF7742">
      <w:pPr>
        <w:spacing w:line="360" w:lineRule="auto"/>
        <w:jc w:val="both"/>
        <w:rPr>
          <w:rFonts w:ascii="Palatino Linotype" w:hAnsi="Palatino Linotype"/>
        </w:rPr>
      </w:pPr>
    </w:p>
    <w:p w14:paraId="672354EE" w14:textId="77777777" w:rsidR="00947C3B" w:rsidRPr="00AF7742" w:rsidRDefault="00947C3B" w:rsidP="00A42539">
      <w:pPr>
        <w:keepNext/>
        <w:keepLines/>
        <w:spacing w:line="360" w:lineRule="auto"/>
        <w:jc w:val="center"/>
        <w:outlineLvl w:val="0"/>
        <w:rPr>
          <w:rFonts w:ascii="Palatino Linotype" w:eastAsia="Calibri" w:hAnsi="Palatino Linotype" w:cstheme="majorBidi"/>
          <w:b/>
          <w:color w:val="000000" w:themeColor="text1"/>
          <w:lang w:val="es-ES"/>
        </w:rPr>
      </w:pPr>
      <w:r w:rsidRPr="00AF7742">
        <w:rPr>
          <w:rFonts w:ascii="Palatino Linotype" w:eastAsia="Calibri" w:hAnsi="Palatino Linotype" w:cstheme="majorBidi"/>
          <w:b/>
          <w:color w:val="000000" w:themeColor="text1"/>
          <w:lang w:val="es-ES"/>
        </w:rPr>
        <w:lastRenderedPageBreak/>
        <w:t>R E S O L U T I V O S</w:t>
      </w:r>
    </w:p>
    <w:p w14:paraId="0A6B3BC2" w14:textId="77777777" w:rsidR="00BE7C58" w:rsidRPr="00AF7742" w:rsidRDefault="00BE7C58" w:rsidP="00A42539">
      <w:pPr>
        <w:spacing w:line="360" w:lineRule="auto"/>
        <w:jc w:val="both"/>
        <w:rPr>
          <w:rFonts w:ascii="Palatino Linotype" w:eastAsia="Palatino Linotype" w:hAnsi="Palatino Linotype" w:cs="Palatino Linotype"/>
          <w:b/>
        </w:rPr>
      </w:pPr>
    </w:p>
    <w:p w14:paraId="7E63EB76" w14:textId="35EB53CE" w:rsidR="004A64CC" w:rsidRPr="00AF7742" w:rsidRDefault="004A64CC" w:rsidP="00A42539">
      <w:pPr>
        <w:spacing w:line="360" w:lineRule="auto"/>
        <w:jc w:val="both"/>
        <w:rPr>
          <w:rFonts w:ascii="Palatino Linotype" w:eastAsia="Palatino Linotype" w:hAnsi="Palatino Linotype" w:cs="Palatino Linotype"/>
        </w:rPr>
      </w:pPr>
      <w:r w:rsidRPr="00AF7742">
        <w:rPr>
          <w:rFonts w:ascii="Palatino Linotype" w:eastAsia="Palatino Linotype" w:hAnsi="Palatino Linotype" w:cs="Palatino Linotype"/>
          <w:b/>
        </w:rPr>
        <w:t>PRIMERO</w:t>
      </w:r>
      <w:r w:rsidRPr="00AF7742">
        <w:rPr>
          <w:rFonts w:ascii="Palatino Linotype" w:eastAsia="Palatino Linotype" w:hAnsi="Palatino Linotype" w:cs="Palatino Linotype"/>
        </w:rPr>
        <w:t xml:space="preserve">. Resultan fundadas las razones o motivos de inconformidad hechos valer en </w:t>
      </w:r>
      <w:r w:rsidR="00BE7C58" w:rsidRPr="00AF7742">
        <w:rPr>
          <w:rFonts w:ascii="Palatino Linotype" w:eastAsia="Palatino Linotype" w:hAnsi="Palatino Linotype" w:cs="Palatino Linotype"/>
        </w:rPr>
        <w:t>e</w:t>
      </w:r>
      <w:r w:rsidRPr="00AF7742">
        <w:rPr>
          <w:rFonts w:ascii="Palatino Linotype" w:eastAsia="Palatino Linotype" w:hAnsi="Palatino Linotype" w:cs="Palatino Linotype"/>
        </w:rPr>
        <w:t>l</w:t>
      </w:r>
      <w:r w:rsidR="00BE7C58" w:rsidRPr="00AF7742">
        <w:rPr>
          <w:rFonts w:ascii="Palatino Linotype" w:eastAsia="Palatino Linotype" w:hAnsi="Palatino Linotype" w:cs="Palatino Linotype"/>
        </w:rPr>
        <w:t xml:space="preserve"> Recurso</w:t>
      </w:r>
      <w:r w:rsidRPr="00AF7742">
        <w:rPr>
          <w:rFonts w:ascii="Palatino Linotype" w:eastAsia="Palatino Linotype" w:hAnsi="Palatino Linotype" w:cs="Palatino Linotype"/>
        </w:rPr>
        <w:t xml:space="preserve"> de Revisión </w:t>
      </w:r>
      <w:r w:rsidR="001F4A04" w:rsidRPr="00AF7742">
        <w:rPr>
          <w:rFonts w:ascii="Palatino Linotype" w:eastAsia="Palatino Linotype" w:hAnsi="Palatino Linotype" w:cs="Palatino Linotype"/>
          <w:b/>
        </w:rPr>
        <w:t>10673/INFOEM/IP/RR/2025</w:t>
      </w:r>
      <w:r w:rsidRPr="00AF7742">
        <w:rPr>
          <w:rFonts w:ascii="Palatino Linotype" w:eastAsia="Palatino Linotype" w:hAnsi="Palatino Linotype" w:cs="Palatino Linotype"/>
          <w:b/>
        </w:rPr>
        <w:t xml:space="preserve">, </w:t>
      </w:r>
      <w:r w:rsidRPr="00AF7742">
        <w:rPr>
          <w:rFonts w:ascii="Palatino Linotype" w:eastAsia="Palatino Linotype" w:hAnsi="Palatino Linotype" w:cs="Palatino Linotype"/>
        </w:rPr>
        <w:t>en términos de</w:t>
      </w:r>
      <w:r w:rsidR="00CE5F01" w:rsidRPr="00AF7742">
        <w:rPr>
          <w:rFonts w:ascii="Palatino Linotype" w:eastAsia="Palatino Linotype" w:hAnsi="Palatino Linotype" w:cs="Palatino Linotype"/>
        </w:rPr>
        <w:t xml:space="preserve"> </w:t>
      </w:r>
      <w:r w:rsidRPr="00AF7742">
        <w:rPr>
          <w:rFonts w:ascii="Palatino Linotype" w:eastAsia="Palatino Linotype" w:hAnsi="Palatino Linotype" w:cs="Palatino Linotype"/>
        </w:rPr>
        <w:t>l</w:t>
      </w:r>
      <w:r w:rsidR="00CE5F01" w:rsidRPr="00AF7742">
        <w:rPr>
          <w:rFonts w:ascii="Palatino Linotype" w:eastAsia="Palatino Linotype" w:hAnsi="Palatino Linotype" w:cs="Palatino Linotype"/>
        </w:rPr>
        <w:t>os</w:t>
      </w:r>
      <w:r w:rsidRPr="00AF7742">
        <w:rPr>
          <w:rFonts w:ascii="Palatino Linotype" w:eastAsia="Palatino Linotype" w:hAnsi="Palatino Linotype" w:cs="Palatino Linotype"/>
        </w:rPr>
        <w:t xml:space="preserve"> Considerando</w:t>
      </w:r>
      <w:r w:rsidR="00CE5F01" w:rsidRPr="00AF7742">
        <w:rPr>
          <w:rFonts w:ascii="Palatino Linotype" w:eastAsia="Palatino Linotype" w:hAnsi="Palatino Linotype" w:cs="Palatino Linotype"/>
        </w:rPr>
        <w:t>s</w:t>
      </w:r>
      <w:r w:rsidRPr="00AF7742">
        <w:rPr>
          <w:rFonts w:ascii="Palatino Linotype" w:eastAsia="Palatino Linotype" w:hAnsi="Palatino Linotype" w:cs="Palatino Linotype"/>
        </w:rPr>
        <w:t xml:space="preserve"> </w:t>
      </w:r>
      <w:r w:rsidRPr="00AF7742">
        <w:rPr>
          <w:rFonts w:ascii="Palatino Linotype" w:eastAsia="Palatino Linotype" w:hAnsi="Palatino Linotype" w:cs="Palatino Linotype"/>
          <w:b/>
        </w:rPr>
        <w:t xml:space="preserve">Cuarto </w:t>
      </w:r>
      <w:r w:rsidRPr="00AF7742">
        <w:rPr>
          <w:rFonts w:ascii="Palatino Linotype" w:eastAsia="Palatino Linotype" w:hAnsi="Palatino Linotype" w:cs="Palatino Linotype"/>
        </w:rPr>
        <w:t>y</w:t>
      </w:r>
      <w:r w:rsidRPr="00AF7742">
        <w:rPr>
          <w:rFonts w:ascii="Palatino Linotype" w:eastAsia="Palatino Linotype" w:hAnsi="Palatino Linotype" w:cs="Palatino Linotype"/>
          <w:b/>
        </w:rPr>
        <w:t xml:space="preserve"> Quinto </w:t>
      </w:r>
      <w:r w:rsidRPr="00AF7742">
        <w:rPr>
          <w:rFonts w:ascii="Palatino Linotype" w:eastAsia="Palatino Linotype" w:hAnsi="Palatino Linotype" w:cs="Palatino Linotype"/>
        </w:rPr>
        <w:t xml:space="preserve">de la presente Resolución. </w:t>
      </w:r>
    </w:p>
    <w:p w14:paraId="68D04E36" w14:textId="77777777" w:rsidR="005F3222" w:rsidRPr="00AF7742" w:rsidRDefault="005F3222" w:rsidP="00A42539">
      <w:pPr>
        <w:spacing w:line="360" w:lineRule="auto"/>
        <w:jc w:val="both"/>
        <w:rPr>
          <w:rFonts w:ascii="Palatino Linotype" w:eastAsia="Palatino Linotype" w:hAnsi="Palatino Linotype" w:cs="Palatino Linotype"/>
        </w:rPr>
      </w:pPr>
    </w:p>
    <w:p w14:paraId="389498EA" w14:textId="3ABC56F7" w:rsidR="00715AB6" w:rsidRPr="00AF7742" w:rsidRDefault="00715AB6" w:rsidP="00A42539">
      <w:pPr>
        <w:pBdr>
          <w:top w:val="nil"/>
          <w:left w:val="nil"/>
          <w:bottom w:val="nil"/>
          <w:right w:val="nil"/>
          <w:between w:val="nil"/>
        </w:pBdr>
        <w:tabs>
          <w:tab w:val="left" w:pos="9639"/>
        </w:tabs>
        <w:spacing w:line="360" w:lineRule="auto"/>
        <w:jc w:val="both"/>
        <w:rPr>
          <w:rFonts w:ascii="Palatino Linotype" w:eastAsia="Palatino Linotype" w:hAnsi="Palatino Linotype" w:cs="Palatino Linotype"/>
          <w:color w:val="000000"/>
        </w:rPr>
      </w:pPr>
      <w:bookmarkStart w:id="73" w:name="_heading=h.1ksv4uv" w:colFirst="0" w:colLast="0"/>
      <w:bookmarkEnd w:id="73"/>
      <w:r w:rsidRPr="00AF7742">
        <w:rPr>
          <w:rFonts w:ascii="Palatino Linotype" w:eastAsia="Palatino Linotype" w:hAnsi="Palatino Linotype" w:cs="Palatino Linotype"/>
          <w:b/>
          <w:color w:val="000000"/>
        </w:rPr>
        <w:t xml:space="preserve">SEGUNDO. </w:t>
      </w:r>
      <w:r w:rsidRPr="00AF7742">
        <w:rPr>
          <w:rFonts w:ascii="Palatino Linotype" w:eastAsia="Palatino Linotype" w:hAnsi="Palatino Linotype" w:cs="Palatino Linotype"/>
          <w:color w:val="000000"/>
        </w:rPr>
        <w:t xml:space="preserve">Se </w:t>
      </w:r>
      <w:r w:rsidR="0075387A" w:rsidRPr="00AF7742">
        <w:rPr>
          <w:rFonts w:ascii="Palatino Linotype" w:eastAsia="Palatino Linotype" w:hAnsi="Palatino Linotype" w:cs="Palatino Linotype"/>
          <w:b/>
          <w:color w:val="000000"/>
        </w:rPr>
        <w:t>MODIFICA</w:t>
      </w:r>
      <w:r w:rsidRPr="00AF7742">
        <w:rPr>
          <w:rFonts w:ascii="Palatino Linotype" w:eastAsia="Palatino Linotype" w:hAnsi="Palatino Linotype" w:cs="Palatino Linotype"/>
          <w:color w:val="000000"/>
        </w:rPr>
        <w:t xml:space="preserve"> la respuesta y se </w:t>
      </w:r>
      <w:r w:rsidRPr="00AF7742">
        <w:rPr>
          <w:rFonts w:ascii="Palatino Linotype" w:eastAsia="Palatino Linotype" w:hAnsi="Palatino Linotype" w:cs="Palatino Linotype"/>
          <w:b/>
          <w:color w:val="000000"/>
        </w:rPr>
        <w:t xml:space="preserve">ORDENA </w:t>
      </w:r>
      <w:r w:rsidRPr="00AF7742">
        <w:rPr>
          <w:rFonts w:ascii="Palatino Linotype" w:eastAsia="Palatino Linotype" w:hAnsi="Palatino Linotype" w:cs="Palatino Linotype"/>
          <w:color w:val="000000"/>
        </w:rPr>
        <w:t xml:space="preserve">a la </w:t>
      </w:r>
      <w:r w:rsidR="0065237A" w:rsidRPr="00AF7742">
        <w:rPr>
          <w:rFonts w:ascii="Palatino Linotype" w:hAnsi="Palatino Linotype"/>
          <w:b/>
          <w:bCs/>
          <w:color w:val="000000"/>
        </w:rPr>
        <w:t>Secretaría de Movilidad</w:t>
      </w:r>
      <w:r w:rsidRPr="00AF7742">
        <w:rPr>
          <w:rFonts w:ascii="Palatino Linotype" w:eastAsia="Palatino Linotype" w:hAnsi="Palatino Linotype" w:cs="Palatino Linotype"/>
          <w:b/>
          <w:color w:val="000000"/>
        </w:rPr>
        <w:t xml:space="preserve"> </w:t>
      </w:r>
      <w:r w:rsidRPr="00AF7742">
        <w:rPr>
          <w:rFonts w:ascii="Palatino Linotype" w:eastAsia="Palatino Linotype" w:hAnsi="Palatino Linotype" w:cs="Palatino Linotype"/>
          <w:color w:val="000000"/>
        </w:rPr>
        <w:t>entregar vía Sistema de Acceso a la Información Mexiquense (SAIMEX), la siguiente información:</w:t>
      </w:r>
    </w:p>
    <w:p w14:paraId="37BB28FE" w14:textId="77777777" w:rsidR="00715AB6" w:rsidRPr="00AF7742" w:rsidRDefault="00715AB6" w:rsidP="00A42539">
      <w:pPr>
        <w:pBdr>
          <w:top w:val="nil"/>
          <w:left w:val="nil"/>
          <w:bottom w:val="nil"/>
          <w:right w:val="nil"/>
          <w:between w:val="nil"/>
        </w:pBdr>
        <w:spacing w:line="360" w:lineRule="auto"/>
        <w:rPr>
          <w:rFonts w:ascii="Palatino Linotype" w:eastAsia="Palatino Linotype" w:hAnsi="Palatino Linotype" w:cs="Palatino Linotype"/>
          <w:color w:val="000000"/>
        </w:rPr>
      </w:pPr>
    </w:p>
    <w:p w14:paraId="7903E4CC" w14:textId="507CA67A" w:rsidR="007E6C40" w:rsidRPr="00AF7742" w:rsidRDefault="0075387A" w:rsidP="0075387A">
      <w:pPr>
        <w:pStyle w:val="Prrafodelista"/>
        <w:numPr>
          <w:ilvl w:val="0"/>
          <w:numId w:val="13"/>
        </w:numPr>
        <w:spacing w:line="360" w:lineRule="auto"/>
        <w:ind w:right="567"/>
        <w:jc w:val="both"/>
        <w:rPr>
          <w:rFonts w:ascii="Palatino Linotype" w:hAnsi="Palatino Linotype" w:cs="Arial"/>
          <w:b/>
        </w:rPr>
      </w:pPr>
      <w:r w:rsidRPr="00AF7742">
        <w:rPr>
          <w:rFonts w:ascii="Palatino Linotype" w:hAnsi="Palatino Linotype" w:cs="Arial"/>
          <w:b/>
        </w:rPr>
        <w:t>Los formatos únicos de movimiento de personal, remitido</w:t>
      </w:r>
      <w:r w:rsidR="00300E72" w:rsidRPr="00AF7742">
        <w:rPr>
          <w:rFonts w:ascii="Palatino Linotype" w:hAnsi="Palatino Linotype" w:cs="Arial"/>
          <w:b/>
        </w:rPr>
        <w:t>s</w:t>
      </w:r>
      <w:r w:rsidRPr="00AF7742">
        <w:rPr>
          <w:rFonts w:ascii="Palatino Linotype" w:hAnsi="Palatino Linotype" w:cs="Arial"/>
          <w:b/>
        </w:rPr>
        <w:t xml:space="preserve"> en respuesta a la Solicitud de Información 00398/SMOV/IP/2025, en correcta versión pública.</w:t>
      </w:r>
    </w:p>
    <w:p w14:paraId="52F52D21" w14:textId="77777777" w:rsidR="00DC0156" w:rsidRPr="00AF7742" w:rsidRDefault="00DC0156" w:rsidP="00A42539">
      <w:pPr>
        <w:spacing w:line="360" w:lineRule="auto"/>
        <w:jc w:val="both"/>
        <w:rPr>
          <w:rFonts w:ascii="Palatino Linotype" w:eastAsia="Palatino Linotype" w:hAnsi="Palatino Linotype" w:cs="Palatino Linotype"/>
          <w:bCs/>
          <w:color w:val="000000"/>
        </w:rPr>
      </w:pPr>
    </w:p>
    <w:p w14:paraId="649063E6" w14:textId="77777777" w:rsidR="00715AB6" w:rsidRPr="00AF7742" w:rsidRDefault="00715AB6" w:rsidP="00A42539">
      <w:pPr>
        <w:spacing w:line="360" w:lineRule="auto"/>
        <w:jc w:val="both"/>
        <w:rPr>
          <w:rFonts w:ascii="Palatino Linotype" w:eastAsia="Palatino Linotype" w:hAnsi="Palatino Linotype" w:cs="Palatino Linotype"/>
        </w:rPr>
      </w:pPr>
      <w:r w:rsidRPr="00AF7742">
        <w:rPr>
          <w:rFonts w:ascii="Palatino Linotype" w:eastAsia="Palatino Linotype" w:hAnsi="Palatino Linotype" w:cs="Palatino Linotype"/>
        </w:rPr>
        <w:t xml:space="preserve">Para efectos de lo anterior se deberá emitir el Acuerdo del Comité de Transparencia en términos de los artículos 49 fracción VIII y 132 fracción II de la Ley de Transparencia y Acceso a la Información Pública del Estado de México y Municipios, en el que funde y motive las razones sobre los datos que se supriman o eliminen dentro del soporte documental respectivo objeto de las versiones públicas que se formulen y se ponga a disposición de la parte recurrente. </w:t>
      </w:r>
    </w:p>
    <w:p w14:paraId="12556252" w14:textId="77777777" w:rsidR="00715AB6" w:rsidRPr="00AF7742" w:rsidRDefault="00715AB6" w:rsidP="00A42539">
      <w:pPr>
        <w:spacing w:line="360" w:lineRule="auto"/>
        <w:jc w:val="both"/>
        <w:rPr>
          <w:rFonts w:ascii="Palatino Linotype" w:eastAsia="Palatino Linotype" w:hAnsi="Palatino Linotype" w:cs="Palatino Linotype"/>
        </w:rPr>
      </w:pPr>
    </w:p>
    <w:p w14:paraId="2EC9F3CE" w14:textId="4CE10868" w:rsidR="00715AB6" w:rsidRPr="00AF7742" w:rsidRDefault="00715AB6" w:rsidP="00A42539">
      <w:pPr>
        <w:tabs>
          <w:tab w:val="left" w:pos="284"/>
          <w:tab w:val="left" w:pos="8080"/>
        </w:tabs>
        <w:spacing w:line="360" w:lineRule="auto"/>
        <w:ind w:right="49"/>
        <w:jc w:val="both"/>
        <w:rPr>
          <w:rFonts w:ascii="Palatino Linotype" w:eastAsia="Palatino Linotype" w:hAnsi="Palatino Linotype" w:cs="Palatino Linotype"/>
          <w:color w:val="222222"/>
          <w:highlight w:val="white"/>
        </w:rPr>
      </w:pPr>
      <w:r w:rsidRPr="00AF7742">
        <w:rPr>
          <w:rFonts w:ascii="Palatino Linotype" w:eastAsia="Palatino Linotype" w:hAnsi="Palatino Linotype" w:cs="Palatino Linotype"/>
          <w:b/>
        </w:rPr>
        <w:t xml:space="preserve">TERCERO. </w:t>
      </w:r>
      <w:r w:rsidRPr="00AF7742">
        <w:rPr>
          <w:rFonts w:ascii="Palatino Linotype" w:eastAsia="Palatino Linotype" w:hAnsi="Palatino Linotype" w:cs="Palatino Linotype"/>
          <w:b/>
          <w:color w:val="222222"/>
          <w:highlight w:val="white"/>
        </w:rPr>
        <w:t>NOTIFÍQUESE</w:t>
      </w:r>
      <w:r w:rsidR="003A0DB8" w:rsidRPr="00AF7742">
        <w:rPr>
          <w:rFonts w:ascii="Palatino Linotype" w:eastAsia="Palatino Linotype" w:hAnsi="Palatino Linotype" w:cs="Palatino Linotype"/>
          <w:color w:val="222222"/>
          <w:highlight w:val="white"/>
        </w:rPr>
        <w:t xml:space="preserve"> la presente R</w:t>
      </w:r>
      <w:r w:rsidRPr="00AF7742">
        <w:rPr>
          <w:rFonts w:ascii="Palatino Linotype" w:eastAsia="Palatino Linotype" w:hAnsi="Palatino Linotype" w:cs="Palatino Linotype"/>
          <w:color w:val="222222"/>
          <w:highlight w:val="white"/>
        </w:rPr>
        <w:t xml:space="preserve">esolución al Titular de la Unidad de Transparencia del Sujeto Obligado vía SAIMEX, para que conforme al artículo 186 último párrafo, 189 segundo párrafo y 194 de la Ley de Transparencia y Acceso a la Información </w:t>
      </w:r>
      <w:r w:rsidRPr="00AF7742">
        <w:rPr>
          <w:rFonts w:ascii="Palatino Linotype" w:eastAsia="Palatino Linotype" w:hAnsi="Palatino Linotype" w:cs="Palatino Linotype"/>
          <w:color w:val="222222"/>
          <w:highlight w:val="white"/>
        </w:rPr>
        <w:lastRenderedPageBreak/>
        <w:t xml:space="preserve">Pública del Estado de México y Municipios; </w:t>
      </w:r>
      <w:r w:rsidRPr="00AF7742">
        <w:rPr>
          <w:rFonts w:ascii="Palatino Linotype" w:eastAsia="Palatino Linotype" w:hAnsi="Palatino Linotype" w:cs="Palatino Linotype"/>
          <w:b/>
          <w:color w:val="222222"/>
          <w:highlight w:val="white"/>
        </w:rPr>
        <w:t xml:space="preserve">dé cumplimiento a lo ordenado dentro del plazo de diez días hábiles, </w:t>
      </w:r>
      <w:r w:rsidRPr="00AF7742">
        <w:rPr>
          <w:rFonts w:ascii="Palatino Linotype" w:eastAsia="Palatino Linotype" w:hAnsi="Palatino Linotype" w:cs="Palatino Linotype"/>
          <w:color w:val="222222"/>
          <w:highlight w:val="white"/>
        </w:rPr>
        <w:t>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28F9590F" w14:textId="77777777" w:rsidR="009C59DA" w:rsidRPr="00AF7742" w:rsidRDefault="009C59DA" w:rsidP="00A42539">
      <w:pPr>
        <w:tabs>
          <w:tab w:val="left" w:pos="284"/>
          <w:tab w:val="left" w:pos="8080"/>
        </w:tabs>
        <w:spacing w:line="360" w:lineRule="auto"/>
        <w:ind w:right="49"/>
        <w:jc w:val="both"/>
        <w:rPr>
          <w:rFonts w:ascii="Palatino Linotype" w:eastAsia="Palatino Linotype" w:hAnsi="Palatino Linotype" w:cs="Palatino Linotype"/>
          <w:color w:val="222222"/>
          <w:highlight w:val="white"/>
        </w:rPr>
      </w:pPr>
    </w:p>
    <w:p w14:paraId="6E540965" w14:textId="77777777" w:rsidR="009C59DA" w:rsidRPr="00AF7742" w:rsidRDefault="009C59DA" w:rsidP="00A42539">
      <w:pPr>
        <w:spacing w:line="360" w:lineRule="auto"/>
        <w:jc w:val="both"/>
        <w:rPr>
          <w:rFonts w:ascii="Palatino Linotype" w:eastAsia="Calibri" w:hAnsi="Palatino Linotype" w:cs="Arial"/>
          <w:bCs/>
        </w:rPr>
      </w:pPr>
      <w:r w:rsidRPr="00AF7742">
        <w:rPr>
          <w:rFonts w:ascii="Palatino Linotype" w:hAnsi="Palatino Linotype" w:cs="Arial"/>
          <w:b/>
        </w:rPr>
        <w:t xml:space="preserve">CUARTO. </w:t>
      </w:r>
      <w:r w:rsidRPr="00AF7742">
        <w:rPr>
          <w:rFonts w:ascii="Palatino Linotype" w:eastAsia="Calibri" w:hAnsi="Palatino Linotype" w:cs="Arial"/>
          <w:bCs/>
        </w:rPr>
        <w:t xml:space="preserve">De conformidad con el artículo 198 de la Ley de Transparencia y Acceso a la Información Pública del Estado de México y Municipios, de considerarlo procedente, el </w:t>
      </w:r>
      <w:r w:rsidRPr="00AF7742">
        <w:rPr>
          <w:rFonts w:ascii="Palatino Linotype" w:eastAsia="Calibri" w:hAnsi="Palatino Linotype" w:cs="Arial"/>
          <w:b/>
          <w:bCs/>
        </w:rPr>
        <w:t>SUJETO OBLIGADO</w:t>
      </w:r>
      <w:r w:rsidRPr="00AF7742">
        <w:rPr>
          <w:rFonts w:ascii="Palatino Linotype" w:eastAsia="Calibri" w:hAnsi="Palatino Linotype" w:cs="Arial"/>
          <w:bCs/>
        </w:rPr>
        <w:t xml:space="preserve"> de manera fundada y motivada, podrá solicitar una ampliación de plazo para el cumplimiento de la presente Resolución.</w:t>
      </w:r>
    </w:p>
    <w:p w14:paraId="149B01B3" w14:textId="77777777" w:rsidR="00715AB6" w:rsidRPr="00AF7742" w:rsidRDefault="00715AB6" w:rsidP="00A42539">
      <w:pPr>
        <w:tabs>
          <w:tab w:val="left" w:pos="284"/>
          <w:tab w:val="left" w:pos="8080"/>
        </w:tabs>
        <w:spacing w:line="360" w:lineRule="auto"/>
        <w:ind w:right="49"/>
        <w:jc w:val="both"/>
        <w:rPr>
          <w:rFonts w:ascii="Palatino Linotype" w:eastAsia="Palatino Linotype" w:hAnsi="Palatino Linotype" w:cs="Palatino Linotype"/>
          <w:color w:val="222222"/>
          <w:highlight w:val="white"/>
        </w:rPr>
      </w:pPr>
    </w:p>
    <w:p w14:paraId="199CFE08" w14:textId="4074341E" w:rsidR="00715AB6" w:rsidRPr="00AF7742" w:rsidRDefault="009C59DA" w:rsidP="00A42539">
      <w:pPr>
        <w:shd w:val="clear" w:color="auto" w:fill="FFFFFF"/>
        <w:tabs>
          <w:tab w:val="left" w:pos="284"/>
        </w:tabs>
        <w:spacing w:line="360" w:lineRule="auto"/>
        <w:jc w:val="both"/>
        <w:rPr>
          <w:rFonts w:ascii="Palatino Linotype" w:eastAsia="Palatino Linotype" w:hAnsi="Palatino Linotype" w:cs="Palatino Linotype"/>
        </w:rPr>
      </w:pPr>
      <w:r w:rsidRPr="00AF7742">
        <w:rPr>
          <w:rFonts w:ascii="Palatino Linotype" w:eastAsia="Palatino Linotype" w:hAnsi="Palatino Linotype" w:cs="Palatino Linotype"/>
          <w:b/>
        </w:rPr>
        <w:t>QUIN</w:t>
      </w:r>
      <w:r w:rsidR="00715AB6" w:rsidRPr="00AF7742">
        <w:rPr>
          <w:rFonts w:ascii="Palatino Linotype" w:eastAsia="Palatino Linotype" w:hAnsi="Palatino Linotype" w:cs="Palatino Linotype"/>
          <w:b/>
        </w:rPr>
        <w:t xml:space="preserve">TO. </w:t>
      </w:r>
      <w:r w:rsidR="00715AB6" w:rsidRPr="00AF7742">
        <w:rPr>
          <w:rFonts w:ascii="Palatino Linotype" w:eastAsia="Palatino Linotype" w:hAnsi="Palatino Linotype" w:cs="Palatino Linotype"/>
          <w:b/>
          <w:color w:val="222222"/>
        </w:rPr>
        <w:t xml:space="preserve">Notifíquese </w:t>
      </w:r>
      <w:r w:rsidR="00715AB6" w:rsidRPr="00AF7742">
        <w:rPr>
          <w:rFonts w:ascii="Palatino Linotype" w:eastAsia="Palatino Linotype" w:hAnsi="Palatino Linotype" w:cs="Palatino Linotype"/>
          <w:color w:val="222222"/>
        </w:rPr>
        <w:t xml:space="preserve">al </w:t>
      </w:r>
      <w:r w:rsidR="00715AB6" w:rsidRPr="00AF7742">
        <w:rPr>
          <w:rFonts w:ascii="Palatino Linotype" w:eastAsia="Palatino Linotype" w:hAnsi="Palatino Linotype" w:cs="Palatino Linotype"/>
          <w:b/>
          <w:color w:val="222222"/>
        </w:rPr>
        <w:t xml:space="preserve">RECURRENTE </w:t>
      </w:r>
      <w:r w:rsidR="00715AB6" w:rsidRPr="00AF7742">
        <w:rPr>
          <w:rFonts w:ascii="Palatino Linotype" w:eastAsia="Palatino Linotype" w:hAnsi="Palatino Linotype" w:cs="Palatino Linotype"/>
        </w:rPr>
        <w:t>la presente resolución a través del Sistema de Acceso a la Información Mexiquense (SAIMEX).</w:t>
      </w:r>
    </w:p>
    <w:p w14:paraId="36CA2FC1" w14:textId="77777777" w:rsidR="00715AB6" w:rsidRPr="00AF7742" w:rsidRDefault="00715AB6" w:rsidP="00A42539">
      <w:pPr>
        <w:shd w:val="clear" w:color="auto" w:fill="FFFFFF"/>
        <w:tabs>
          <w:tab w:val="left" w:pos="284"/>
        </w:tabs>
        <w:spacing w:line="360" w:lineRule="auto"/>
        <w:jc w:val="both"/>
        <w:rPr>
          <w:rFonts w:ascii="Palatino Linotype" w:eastAsia="Palatino Linotype" w:hAnsi="Palatino Linotype" w:cs="Palatino Linotype"/>
        </w:rPr>
      </w:pPr>
    </w:p>
    <w:p w14:paraId="1BFCC2A4" w14:textId="037CC40C" w:rsidR="00715AB6" w:rsidRPr="00AF7742" w:rsidRDefault="009C59DA" w:rsidP="00A42539">
      <w:pPr>
        <w:spacing w:line="360" w:lineRule="auto"/>
        <w:jc w:val="both"/>
        <w:rPr>
          <w:rFonts w:ascii="Palatino Linotype" w:eastAsia="Palatino Linotype" w:hAnsi="Palatino Linotype" w:cs="Palatino Linotype"/>
        </w:rPr>
      </w:pPr>
      <w:r w:rsidRPr="00AF7742">
        <w:rPr>
          <w:rFonts w:ascii="Palatino Linotype" w:eastAsia="Palatino Linotype" w:hAnsi="Palatino Linotype" w:cs="Palatino Linotype"/>
          <w:b/>
        </w:rPr>
        <w:t>SEX</w:t>
      </w:r>
      <w:r w:rsidR="00715AB6" w:rsidRPr="00AF7742">
        <w:rPr>
          <w:rFonts w:ascii="Palatino Linotype" w:eastAsia="Palatino Linotype" w:hAnsi="Palatino Linotype" w:cs="Palatino Linotype"/>
          <w:b/>
        </w:rPr>
        <w:t>TO.</w:t>
      </w:r>
      <w:r w:rsidR="00715AB6" w:rsidRPr="00AF7742">
        <w:rPr>
          <w:rFonts w:ascii="Palatino Linotype" w:eastAsia="Palatino Linotype" w:hAnsi="Palatino Linotype" w:cs="Palatino Linotype"/>
          <w:color w:val="222222"/>
        </w:rPr>
        <w:t xml:space="preserve"> </w:t>
      </w:r>
      <w:r w:rsidR="00715AB6" w:rsidRPr="00AF7742">
        <w:rPr>
          <w:rFonts w:ascii="Palatino Linotype" w:eastAsia="Palatino Linotype" w:hAnsi="Palatino Linotype" w:cs="Palatino Linotype"/>
        </w:rPr>
        <w:t xml:space="preserve">Se hace del conocimiento del </w:t>
      </w:r>
      <w:r w:rsidR="00715AB6" w:rsidRPr="00AF7742">
        <w:rPr>
          <w:rFonts w:ascii="Palatino Linotype" w:eastAsia="Palatino Linotype" w:hAnsi="Palatino Linotype" w:cs="Palatino Linotype"/>
          <w:b/>
        </w:rPr>
        <w:t>RECURRENTE</w:t>
      </w:r>
      <w:r w:rsidR="00715AB6" w:rsidRPr="00AF7742">
        <w:rPr>
          <w:rFonts w:ascii="Palatino Linotype" w:eastAsia="Palatino Linotype" w:hAnsi="Palatino Linotype" w:cs="Palatino Linotype"/>
        </w:rPr>
        <w:t xml:space="preserve"> que, de conformidad con lo establecido en el artículo 196 de la Ley de Transparencia y Acceso a la Información Pública del Estado de México y Municipios, </w:t>
      </w:r>
      <w:r w:rsidR="00715AB6" w:rsidRPr="00AF7742">
        <w:rPr>
          <w:rFonts w:ascii="Palatino Linotype" w:eastAsia="Palatino Linotype" w:hAnsi="Palatino Linotype" w:cs="Palatino Linotype"/>
          <w:color w:val="000000"/>
        </w:rPr>
        <w:t xml:space="preserve">en caso de que considere que la resolución le cause algún perjuicio podrá </w:t>
      </w:r>
      <w:r w:rsidR="00715AB6" w:rsidRPr="00AF7742">
        <w:rPr>
          <w:rFonts w:ascii="Palatino Linotype" w:eastAsia="Palatino Linotype" w:hAnsi="Palatino Linotype" w:cs="Palatino Linotype"/>
        </w:rPr>
        <w:t>impugnar vía</w:t>
      </w:r>
      <w:r w:rsidR="00715AB6" w:rsidRPr="00AF7742">
        <w:rPr>
          <w:rFonts w:ascii="Palatino Linotype" w:eastAsia="Palatino Linotype" w:hAnsi="Palatino Linotype" w:cs="Palatino Linotype"/>
          <w:color w:val="000000"/>
        </w:rPr>
        <w:t xml:space="preserve"> </w:t>
      </w:r>
      <w:r w:rsidR="00715AB6" w:rsidRPr="00AF7742">
        <w:rPr>
          <w:rFonts w:ascii="Palatino Linotype" w:eastAsia="Palatino Linotype" w:hAnsi="Palatino Linotype" w:cs="Palatino Linotype"/>
        </w:rPr>
        <w:t>juicio de amparo en los términos de las leyes aplicables.</w:t>
      </w:r>
    </w:p>
    <w:p w14:paraId="5733A033" w14:textId="77777777" w:rsidR="007E6C40" w:rsidRPr="00AF7742" w:rsidRDefault="007E6C40" w:rsidP="00A42539">
      <w:pPr>
        <w:spacing w:line="360" w:lineRule="auto"/>
        <w:jc w:val="both"/>
        <w:rPr>
          <w:rFonts w:ascii="Palatino Linotype" w:eastAsia="Palatino Linotype" w:hAnsi="Palatino Linotype" w:cs="Palatino Linotype"/>
        </w:rPr>
      </w:pPr>
    </w:p>
    <w:p w14:paraId="53A0D5AF" w14:textId="77777777" w:rsidR="00F94620" w:rsidRPr="00AF7742" w:rsidRDefault="00F94620" w:rsidP="00F94620">
      <w:pPr>
        <w:spacing w:before="240" w:after="240" w:line="360" w:lineRule="auto"/>
        <w:ind w:firstLine="1"/>
        <w:jc w:val="both"/>
        <w:rPr>
          <w:rFonts w:ascii="Palatino Linotype" w:hAnsi="Palatino Linotype"/>
        </w:rPr>
      </w:pPr>
      <w:bookmarkStart w:id="74" w:name="_Hlk99014733"/>
      <w:r w:rsidRPr="00AF7742">
        <w:rPr>
          <w:rFonts w:ascii="Palatino Linotype" w:hAnsi="Palatino Linotype" w:cs="Palatino Linotype"/>
        </w:rPr>
        <w:t xml:space="preserve">ASÍ LO RESUELVE, POR UNANIMIDAD DE VOTOS, EL PLENO DEL INSTITUTO DE TRANSPARENCIA, ACCESO A LA INFORMACIÓN PÚBLICA Y PROTECCIÓN DE </w:t>
      </w:r>
      <w:r w:rsidRPr="00AF7742">
        <w:rPr>
          <w:rFonts w:ascii="Palatino Linotype" w:hAnsi="Palatino Linotype" w:cs="Palatino Linotype"/>
        </w:rPr>
        <w:lastRenderedPageBreak/>
        <w:t xml:space="preserve">DATOS PERSONALES DEL ESTADO DE MÉXICO Y MUNICIPIOS, CONFORMADO POR LOS COMISIONADOS JOSÉ MARTÍNEZ VILCHIS, MARÍA DEL ROSARIO MEJÍA AYALA, SHARON CRISTINA MORALES MARTÍNEZ, LUIS GUSTAVO PARRA NORIEGA (AUSENCIA JUSTIFICADA) Y GUADALUPE RAMÍREZ PEÑA (AUSENCIA JUSTIFICADA); EN LA DÉCIMA SÉPTIMA SESIÓN ORDINARIA, CELEBRADA EL TRECE (13) DE MAYO DE DOS MIL VEINTISÉIS, ANTE EL SECRETARIO TÉCNICO DEL PLENO </w:t>
      </w:r>
      <w:r w:rsidRPr="00AF7742">
        <w:rPr>
          <w:rFonts w:ascii="Palatino Linotype" w:hAnsi="Palatino Linotype" w:cs="Palatino Linotype"/>
          <w:color w:val="000000" w:themeColor="text1"/>
        </w:rPr>
        <w:t>ALEXIS TAPIA RAMÍREZ.</w:t>
      </w:r>
    </w:p>
    <w:bookmarkEnd w:id="74"/>
    <w:p w14:paraId="58467F4E" w14:textId="77777777" w:rsidR="00947C3B" w:rsidRPr="00AF7742" w:rsidRDefault="00947C3B" w:rsidP="00A42539">
      <w:pPr>
        <w:spacing w:line="360" w:lineRule="auto"/>
        <w:rPr>
          <w:rFonts w:ascii="Palatino Linotype" w:hAnsi="Palatino Linotype"/>
        </w:rPr>
      </w:pPr>
    </w:p>
    <w:p w14:paraId="238EBC9D" w14:textId="77777777" w:rsidR="00947C3B" w:rsidRPr="00AF7742" w:rsidRDefault="00947C3B" w:rsidP="00A42539">
      <w:pPr>
        <w:spacing w:line="360" w:lineRule="auto"/>
        <w:rPr>
          <w:rFonts w:ascii="Palatino Linotype" w:hAnsi="Palatino Linotype"/>
        </w:rPr>
      </w:pPr>
    </w:p>
    <w:p w14:paraId="35E68E61" w14:textId="77777777" w:rsidR="00947C3B" w:rsidRPr="00AF7742" w:rsidRDefault="00947C3B" w:rsidP="00A42539">
      <w:pPr>
        <w:tabs>
          <w:tab w:val="left" w:pos="3374"/>
        </w:tabs>
        <w:spacing w:line="360" w:lineRule="auto"/>
        <w:rPr>
          <w:rFonts w:ascii="Palatino Linotype" w:hAnsi="Palatino Linotype"/>
        </w:rPr>
      </w:pPr>
      <w:r w:rsidRPr="00AF7742">
        <w:rPr>
          <w:rFonts w:ascii="Palatino Linotype" w:hAnsi="Palatino Linotype"/>
        </w:rPr>
        <w:tab/>
      </w:r>
    </w:p>
    <w:p w14:paraId="68F0F3AE" w14:textId="77777777" w:rsidR="00947C3B" w:rsidRPr="00AF7742" w:rsidRDefault="00947C3B" w:rsidP="00A42539">
      <w:pPr>
        <w:tabs>
          <w:tab w:val="left" w:pos="3374"/>
        </w:tabs>
        <w:spacing w:line="360" w:lineRule="auto"/>
        <w:rPr>
          <w:rFonts w:ascii="Palatino Linotype" w:hAnsi="Palatino Linotype"/>
        </w:rPr>
      </w:pPr>
    </w:p>
    <w:p w14:paraId="7EC14F3F" w14:textId="77777777" w:rsidR="00947C3B" w:rsidRPr="00AF7742" w:rsidRDefault="00947C3B" w:rsidP="00A42539">
      <w:pPr>
        <w:tabs>
          <w:tab w:val="left" w:pos="3374"/>
        </w:tabs>
        <w:spacing w:line="360" w:lineRule="auto"/>
        <w:rPr>
          <w:rFonts w:ascii="Palatino Linotype" w:hAnsi="Palatino Linotype"/>
        </w:rPr>
      </w:pPr>
    </w:p>
    <w:p w14:paraId="590A1973" w14:textId="77777777" w:rsidR="00947C3B" w:rsidRPr="00AF7742" w:rsidRDefault="00947C3B" w:rsidP="00A42539">
      <w:pPr>
        <w:tabs>
          <w:tab w:val="left" w:pos="3374"/>
        </w:tabs>
        <w:spacing w:line="360" w:lineRule="auto"/>
        <w:rPr>
          <w:rFonts w:ascii="Palatino Linotype" w:hAnsi="Palatino Linotype"/>
        </w:rPr>
      </w:pPr>
    </w:p>
    <w:p w14:paraId="737F2A77" w14:textId="77777777" w:rsidR="00947C3B" w:rsidRPr="00AF7742" w:rsidRDefault="00947C3B" w:rsidP="00A42539">
      <w:pPr>
        <w:tabs>
          <w:tab w:val="left" w:pos="3374"/>
        </w:tabs>
        <w:spacing w:line="360" w:lineRule="auto"/>
        <w:rPr>
          <w:rFonts w:ascii="Palatino Linotype" w:hAnsi="Palatino Linotype"/>
        </w:rPr>
      </w:pPr>
    </w:p>
    <w:p w14:paraId="708D0154" w14:textId="77777777" w:rsidR="00947C3B" w:rsidRPr="00AF7742" w:rsidRDefault="00947C3B" w:rsidP="00A42539">
      <w:pPr>
        <w:tabs>
          <w:tab w:val="left" w:pos="3374"/>
        </w:tabs>
        <w:spacing w:line="360" w:lineRule="auto"/>
        <w:rPr>
          <w:rFonts w:ascii="Palatino Linotype" w:hAnsi="Palatino Linotype"/>
        </w:rPr>
      </w:pPr>
    </w:p>
    <w:p w14:paraId="6C78D525" w14:textId="77777777" w:rsidR="00947C3B" w:rsidRPr="00AF7742" w:rsidRDefault="00947C3B" w:rsidP="00A42539">
      <w:pPr>
        <w:tabs>
          <w:tab w:val="left" w:pos="3374"/>
        </w:tabs>
        <w:spacing w:line="360" w:lineRule="auto"/>
        <w:rPr>
          <w:rFonts w:ascii="Palatino Linotype" w:hAnsi="Palatino Linotype"/>
        </w:rPr>
      </w:pPr>
    </w:p>
    <w:p w14:paraId="7295E05A" w14:textId="77777777" w:rsidR="00947C3B" w:rsidRPr="00AF7742" w:rsidRDefault="00947C3B" w:rsidP="00A42539">
      <w:pPr>
        <w:tabs>
          <w:tab w:val="left" w:pos="3374"/>
        </w:tabs>
        <w:spacing w:line="360" w:lineRule="auto"/>
        <w:rPr>
          <w:rFonts w:ascii="Palatino Linotype" w:hAnsi="Palatino Linotype"/>
        </w:rPr>
      </w:pPr>
    </w:p>
    <w:p w14:paraId="7ACCDCE5" w14:textId="77777777" w:rsidR="00947C3B" w:rsidRPr="00AF7742" w:rsidRDefault="00947C3B" w:rsidP="00A42539">
      <w:pPr>
        <w:tabs>
          <w:tab w:val="left" w:pos="3374"/>
        </w:tabs>
        <w:spacing w:line="360" w:lineRule="auto"/>
        <w:rPr>
          <w:rFonts w:ascii="Palatino Linotype" w:hAnsi="Palatino Linotype"/>
        </w:rPr>
      </w:pPr>
    </w:p>
    <w:p w14:paraId="2043354E" w14:textId="77777777" w:rsidR="00947C3B" w:rsidRPr="00AF7742" w:rsidRDefault="00947C3B" w:rsidP="00A42539">
      <w:pPr>
        <w:tabs>
          <w:tab w:val="left" w:pos="3374"/>
        </w:tabs>
        <w:spacing w:line="360" w:lineRule="auto"/>
        <w:rPr>
          <w:rFonts w:ascii="Palatino Linotype" w:hAnsi="Palatino Linotype"/>
        </w:rPr>
      </w:pPr>
    </w:p>
    <w:p w14:paraId="4D60AB68" w14:textId="77777777" w:rsidR="00947C3B" w:rsidRPr="00AF7742" w:rsidRDefault="00947C3B" w:rsidP="00A42539">
      <w:pPr>
        <w:tabs>
          <w:tab w:val="left" w:pos="3374"/>
        </w:tabs>
        <w:spacing w:line="360" w:lineRule="auto"/>
        <w:rPr>
          <w:rFonts w:ascii="Palatino Linotype" w:hAnsi="Palatino Linotype"/>
        </w:rPr>
      </w:pPr>
    </w:p>
    <w:p w14:paraId="109C85DB" w14:textId="77777777" w:rsidR="00947C3B" w:rsidRPr="00AF7742" w:rsidRDefault="00947C3B" w:rsidP="00A42539">
      <w:pPr>
        <w:spacing w:line="360" w:lineRule="auto"/>
        <w:rPr>
          <w:rFonts w:ascii="Palatino Linotype" w:hAnsi="Palatino Linotype"/>
        </w:rPr>
      </w:pPr>
    </w:p>
    <w:p w14:paraId="5FC7EA90" w14:textId="77777777" w:rsidR="00947C3B" w:rsidRPr="00AF7742" w:rsidRDefault="00947C3B" w:rsidP="00A42539">
      <w:pPr>
        <w:spacing w:line="360" w:lineRule="auto"/>
        <w:rPr>
          <w:rFonts w:ascii="Palatino Linotype" w:hAnsi="Palatino Linotype"/>
        </w:rPr>
      </w:pPr>
    </w:p>
    <w:p w14:paraId="2F069714" w14:textId="77777777" w:rsidR="006603F1" w:rsidRPr="00AF7742" w:rsidRDefault="006603F1" w:rsidP="00A42539">
      <w:pPr>
        <w:spacing w:line="360" w:lineRule="auto"/>
        <w:rPr>
          <w:rFonts w:ascii="Palatino Linotype" w:hAnsi="Palatino Linotype"/>
        </w:rPr>
      </w:pPr>
    </w:p>
    <w:p w14:paraId="292C151D" w14:textId="77777777" w:rsidR="00A068EA" w:rsidRPr="00AF7742" w:rsidRDefault="00A068EA" w:rsidP="00A42539">
      <w:pPr>
        <w:spacing w:line="360" w:lineRule="auto"/>
        <w:rPr>
          <w:rFonts w:ascii="Palatino Linotype" w:hAnsi="Palatino Linotype"/>
        </w:rPr>
      </w:pPr>
    </w:p>
    <w:sectPr w:rsidR="00A068EA" w:rsidRPr="00AF7742" w:rsidSect="00AF7742">
      <w:headerReference w:type="even" r:id="rId8"/>
      <w:headerReference w:type="default" r:id="rId9"/>
      <w:footerReference w:type="default" r:id="rId10"/>
      <w:headerReference w:type="first" r:id="rId11"/>
      <w:footerReference w:type="first" r:id="rId12"/>
      <w:pgSz w:w="12240" w:h="15840"/>
      <w:pgMar w:top="2269" w:right="900" w:bottom="2127"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244A5B6" w14:textId="77777777" w:rsidR="00693EAF" w:rsidRDefault="00693EAF" w:rsidP="00947C3B">
      <w:r>
        <w:separator/>
      </w:r>
    </w:p>
  </w:endnote>
  <w:endnote w:type="continuationSeparator" w:id="0">
    <w:p w14:paraId="505CDE6C" w14:textId="77777777" w:rsidR="00693EAF" w:rsidRDefault="00693EAF" w:rsidP="00947C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77456943"/>
      <w:docPartObj>
        <w:docPartGallery w:val="Page Numbers (Bottom of Page)"/>
        <w:docPartUnique/>
      </w:docPartObj>
    </w:sdtPr>
    <w:sdtEndPr/>
    <w:sdtContent>
      <w:sdt>
        <w:sdtPr>
          <w:id w:val="-1769616900"/>
          <w:docPartObj>
            <w:docPartGallery w:val="Page Numbers (Top of Page)"/>
            <w:docPartUnique/>
          </w:docPartObj>
        </w:sdtPr>
        <w:sdtEndPr/>
        <w:sdtContent>
          <w:p w14:paraId="5D5FCC44" w14:textId="77777777" w:rsidR="00635ACB" w:rsidRPr="002D6DD8" w:rsidRDefault="00635ACB" w:rsidP="007B20F5">
            <w:pPr>
              <w:pStyle w:val="Piedepgina"/>
              <w:jc w:val="right"/>
              <w:rPr>
                <w:rFonts w:ascii="Palatino Linotype" w:hAnsi="Palatino Linotype"/>
                <w:sz w:val="20"/>
              </w:rPr>
            </w:pPr>
            <w:r w:rsidRPr="000B69FA">
              <w:rPr>
                <w:rFonts w:ascii="Palatino Linotype" w:hAnsi="Palatino Linotype"/>
                <w:sz w:val="20"/>
              </w:rPr>
              <w:t xml:space="preserve">Página </w:t>
            </w:r>
            <w:r w:rsidRPr="000B69FA">
              <w:rPr>
                <w:rFonts w:ascii="Palatino Linotype" w:hAnsi="Palatino Linotype"/>
                <w:bCs/>
                <w:sz w:val="20"/>
              </w:rPr>
              <w:fldChar w:fldCharType="begin"/>
            </w:r>
            <w:r w:rsidRPr="000B69FA">
              <w:rPr>
                <w:rFonts w:ascii="Palatino Linotype" w:hAnsi="Palatino Linotype"/>
                <w:bCs/>
                <w:sz w:val="20"/>
              </w:rPr>
              <w:instrText>PAGE  \* Arabic  \* MERGEFORMAT</w:instrText>
            </w:r>
            <w:r w:rsidRPr="000B69FA">
              <w:rPr>
                <w:rFonts w:ascii="Palatino Linotype" w:hAnsi="Palatino Linotype"/>
                <w:bCs/>
                <w:sz w:val="20"/>
              </w:rPr>
              <w:fldChar w:fldCharType="separate"/>
            </w:r>
            <w:r w:rsidR="008F243A">
              <w:rPr>
                <w:rFonts w:ascii="Palatino Linotype" w:hAnsi="Palatino Linotype"/>
                <w:bCs/>
                <w:noProof/>
                <w:sz w:val="20"/>
              </w:rPr>
              <w:t>21</w:t>
            </w:r>
            <w:r w:rsidRPr="000B69FA">
              <w:rPr>
                <w:rFonts w:ascii="Palatino Linotype" w:hAnsi="Palatino Linotype"/>
                <w:bCs/>
                <w:sz w:val="20"/>
              </w:rPr>
              <w:fldChar w:fldCharType="end"/>
            </w:r>
            <w:r w:rsidRPr="000B69FA">
              <w:rPr>
                <w:rFonts w:ascii="Palatino Linotype" w:hAnsi="Palatino Linotype"/>
                <w:sz w:val="20"/>
              </w:rPr>
              <w:t xml:space="preserve"> de </w:t>
            </w:r>
            <w:r>
              <w:rPr>
                <w:rFonts w:ascii="Palatino Linotype" w:hAnsi="Palatino Linotype"/>
                <w:bCs/>
                <w:noProof/>
                <w:sz w:val="20"/>
              </w:rPr>
              <w:fldChar w:fldCharType="begin"/>
            </w:r>
            <w:r>
              <w:rPr>
                <w:rFonts w:ascii="Palatino Linotype" w:hAnsi="Palatino Linotype"/>
                <w:bCs/>
                <w:noProof/>
                <w:sz w:val="20"/>
              </w:rPr>
              <w:instrText>NUMPAGES  \* Arabic  \* MERGEFORMAT</w:instrText>
            </w:r>
            <w:r>
              <w:rPr>
                <w:rFonts w:ascii="Palatino Linotype" w:hAnsi="Palatino Linotype"/>
                <w:bCs/>
                <w:noProof/>
                <w:sz w:val="20"/>
              </w:rPr>
              <w:fldChar w:fldCharType="separate"/>
            </w:r>
            <w:r w:rsidR="008F243A">
              <w:rPr>
                <w:rFonts w:ascii="Palatino Linotype" w:hAnsi="Palatino Linotype"/>
                <w:bCs/>
                <w:noProof/>
                <w:sz w:val="20"/>
              </w:rPr>
              <w:t>39</w:t>
            </w:r>
            <w:r>
              <w:rPr>
                <w:rFonts w:ascii="Palatino Linotype" w:hAnsi="Palatino Linotype"/>
                <w:bCs/>
                <w:noProof/>
                <w:sz w:val="20"/>
              </w:rPr>
              <w:fldChar w:fldCharType="end"/>
            </w:r>
          </w:p>
        </w:sdtContent>
      </w:sdt>
    </w:sdtContent>
  </w:sdt>
  <w:p w14:paraId="3F2C2FE9" w14:textId="77777777" w:rsidR="00635ACB" w:rsidRDefault="00635ACB">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A11DA2" w14:textId="77777777" w:rsidR="00635ACB" w:rsidRPr="00AF7742" w:rsidRDefault="00635ACB" w:rsidP="007B20F5">
    <w:pPr>
      <w:pStyle w:val="Piedepgina"/>
      <w:jc w:val="right"/>
      <w:rPr>
        <w:rFonts w:ascii="Palatino Linotype" w:hAnsi="Palatino Linotype"/>
        <w:sz w:val="22"/>
      </w:rPr>
    </w:pPr>
    <w:r w:rsidRPr="00AF7742">
      <w:rPr>
        <w:rFonts w:ascii="Palatino Linotype" w:hAnsi="Palatino Linotype"/>
        <w:sz w:val="22"/>
      </w:rPr>
      <w:t xml:space="preserve">Página </w:t>
    </w:r>
    <w:r w:rsidRPr="00AF7742">
      <w:rPr>
        <w:rFonts w:ascii="Palatino Linotype" w:hAnsi="Palatino Linotype"/>
        <w:bCs/>
        <w:sz w:val="22"/>
      </w:rPr>
      <w:fldChar w:fldCharType="begin"/>
    </w:r>
    <w:r w:rsidRPr="00AF7742">
      <w:rPr>
        <w:rFonts w:ascii="Palatino Linotype" w:hAnsi="Palatino Linotype"/>
        <w:bCs/>
        <w:sz w:val="22"/>
      </w:rPr>
      <w:instrText>PAGE  \* Arabic  \* MERGEFORMAT</w:instrText>
    </w:r>
    <w:r w:rsidRPr="00AF7742">
      <w:rPr>
        <w:rFonts w:ascii="Palatino Linotype" w:hAnsi="Palatino Linotype"/>
        <w:bCs/>
        <w:sz w:val="22"/>
      </w:rPr>
      <w:fldChar w:fldCharType="separate"/>
    </w:r>
    <w:r w:rsidR="008F243A">
      <w:rPr>
        <w:rFonts w:ascii="Palatino Linotype" w:hAnsi="Palatino Linotype"/>
        <w:bCs/>
        <w:noProof/>
        <w:sz w:val="22"/>
      </w:rPr>
      <w:t>1</w:t>
    </w:r>
    <w:r w:rsidRPr="00AF7742">
      <w:rPr>
        <w:rFonts w:ascii="Palatino Linotype" w:hAnsi="Palatino Linotype"/>
        <w:bCs/>
        <w:sz w:val="22"/>
      </w:rPr>
      <w:fldChar w:fldCharType="end"/>
    </w:r>
    <w:r w:rsidRPr="00AF7742">
      <w:rPr>
        <w:rFonts w:ascii="Palatino Linotype" w:hAnsi="Palatino Linotype"/>
        <w:sz w:val="22"/>
      </w:rPr>
      <w:t xml:space="preserve"> de </w:t>
    </w:r>
    <w:r w:rsidRPr="00AF7742">
      <w:rPr>
        <w:rFonts w:ascii="Palatino Linotype" w:hAnsi="Palatino Linotype"/>
        <w:bCs/>
        <w:noProof/>
        <w:sz w:val="22"/>
      </w:rPr>
      <w:fldChar w:fldCharType="begin"/>
    </w:r>
    <w:r w:rsidRPr="00AF7742">
      <w:rPr>
        <w:rFonts w:ascii="Palatino Linotype" w:hAnsi="Palatino Linotype"/>
        <w:bCs/>
        <w:noProof/>
        <w:sz w:val="22"/>
      </w:rPr>
      <w:instrText>NUMPAGES  \* Arabic  \* MERGEFORMAT</w:instrText>
    </w:r>
    <w:r w:rsidRPr="00AF7742">
      <w:rPr>
        <w:rFonts w:ascii="Palatino Linotype" w:hAnsi="Palatino Linotype"/>
        <w:bCs/>
        <w:noProof/>
        <w:sz w:val="22"/>
      </w:rPr>
      <w:fldChar w:fldCharType="separate"/>
    </w:r>
    <w:r w:rsidR="008F243A">
      <w:rPr>
        <w:rFonts w:ascii="Palatino Linotype" w:hAnsi="Palatino Linotype"/>
        <w:bCs/>
        <w:noProof/>
        <w:sz w:val="22"/>
      </w:rPr>
      <w:t>39</w:t>
    </w:r>
    <w:r w:rsidRPr="00AF7742">
      <w:rPr>
        <w:rFonts w:ascii="Palatino Linotype" w:hAnsi="Palatino Linotype"/>
        <w:bCs/>
        <w:noProof/>
        <w:sz w:val="22"/>
      </w:rPr>
      <w:fldChar w:fldCharType="end"/>
    </w:r>
  </w:p>
  <w:p w14:paraId="5CFAB42E" w14:textId="77777777" w:rsidR="00635ACB" w:rsidRDefault="00635ACB">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22C2D2A" w14:textId="77777777" w:rsidR="00693EAF" w:rsidRDefault="00693EAF" w:rsidP="00947C3B">
      <w:r>
        <w:separator/>
      </w:r>
    </w:p>
  </w:footnote>
  <w:footnote w:type="continuationSeparator" w:id="0">
    <w:p w14:paraId="22D4D87F" w14:textId="77777777" w:rsidR="00693EAF" w:rsidRDefault="00693EAF" w:rsidP="00947C3B">
      <w:r>
        <w:continuationSeparator/>
      </w:r>
    </w:p>
  </w:footnote>
  <w:footnote w:id="1">
    <w:p w14:paraId="1E701DB1" w14:textId="77777777" w:rsidR="00635ACB" w:rsidRDefault="00635ACB" w:rsidP="003C329B">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Convención Americana sobre Derechos Humanos. Artículo 13.</w:t>
      </w:r>
    </w:p>
  </w:footnote>
  <w:footnote w:id="2">
    <w:p w14:paraId="4E2FC7DF" w14:textId="77777777" w:rsidR="00635ACB" w:rsidRDefault="00635ACB" w:rsidP="003C329B">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Constitución Política de los Estados Unidos Mexicanos. Artículo sexto, sección A, Fracción I.</w:t>
      </w:r>
    </w:p>
  </w:footnote>
  <w:footnote w:id="3">
    <w:p w14:paraId="1A13952C" w14:textId="77777777" w:rsidR="00635ACB" w:rsidRDefault="00635ACB" w:rsidP="003C329B">
      <w:pPr>
        <w:pBdr>
          <w:top w:val="nil"/>
          <w:left w:val="nil"/>
          <w:bottom w:val="nil"/>
          <w:right w:val="nil"/>
          <w:between w:val="nil"/>
        </w:pBdr>
        <w:rPr>
          <w:rFonts w:ascii="Palatino Linotype" w:eastAsia="Palatino Linotype" w:hAnsi="Palatino Linotype" w:cs="Palatino Linotype"/>
          <w:color w:val="000000"/>
          <w:sz w:val="18"/>
          <w:szCs w:val="18"/>
        </w:rPr>
      </w:pPr>
      <w:r>
        <w:rPr>
          <w:vertAlign w:val="superscript"/>
        </w:rPr>
        <w:footnoteRef/>
      </w:r>
      <w:r>
        <w:rPr>
          <w:rFonts w:ascii="Palatino Linotype" w:eastAsia="Palatino Linotype" w:hAnsi="Palatino Linotype" w:cs="Palatino Linotype"/>
          <w:color w:val="000000"/>
          <w:sz w:val="18"/>
          <w:szCs w:val="18"/>
        </w:rPr>
        <w:t xml:space="preserve"> Corte Interamericana de Derechos Humanos. Caso Claude Reyes y otros vs Chile. Sentencia de 19 de septiembre de 2006. Serie C. No. 151. Párr. 86.</w:t>
      </w:r>
    </w:p>
  </w:footnote>
  <w:footnote w:id="4">
    <w:p w14:paraId="7C4E86AF" w14:textId="77777777" w:rsidR="00635ACB" w:rsidRDefault="00635ACB" w:rsidP="003C329B">
      <w:pPr>
        <w:pBdr>
          <w:top w:val="nil"/>
          <w:left w:val="nil"/>
          <w:bottom w:val="nil"/>
          <w:right w:val="nil"/>
          <w:between w:val="nil"/>
        </w:pBdr>
        <w:rPr>
          <w:rFonts w:ascii="Palatino Linotype" w:eastAsia="Palatino Linotype" w:hAnsi="Palatino Linotype" w:cs="Palatino Linotype"/>
          <w:color w:val="000000"/>
          <w:sz w:val="18"/>
          <w:szCs w:val="18"/>
        </w:rPr>
      </w:pPr>
      <w:r>
        <w:rPr>
          <w:vertAlign w:val="superscript"/>
        </w:rPr>
        <w:footnoteRef/>
      </w:r>
      <w:r>
        <w:rPr>
          <w:rFonts w:ascii="Palatino Linotype" w:eastAsia="Palatino Linotype" w:hAnsi="Palatino Linotype" w:cs="Palatino Linotype"/>
          <w:color w:val="000000"/>
          <w:sz w:val="18"/>
          <w:szCs w:val="18"/>
        </w:rPr>
        <w:t xml:space="preserve"> Ibídem. Párr. 87.</w:t>
      </w:r>
    </w:p>
  </w:footnote>
  <w:footnote w:id="5">
    <w:p w14:paraId="6B91CF46" w14:textId="77777777" w:rsidR="00635ACB" w:rsidRDefault="00635ACB" w:rsidP="003C329B">
      <w:pPr>
        <w:pBdr>
          <w:top w:val="nil"/>
          <w:left w:val="nil"/>
          <w:bottom w:val="nil"/>
          <w:right w:val="nil"/>
          <w:between w:val="nil"/>
        </w:pBdr>
        <w:rPr>
          <w:color w:val="000000"/>
          <w:sz w:val="20"/>
          <w:szCs w:val="20"/>
        </w:rPr>
      </w:pPr>
      <w:r>
        <w:rPr>
          <w:vertAlign w:val="superscript"/>
        </w:rPr>
        <w:footnoteRef/>
      </w:r>
      <w:r>
        <w:rPr>
          <w:rFonts w:ascii="Palatino Linotype" w:eastAsia="Palatino Linotype" w:hAnsi="Palatino Linotype" w:cs="Palatino Linotype"/>
          <w:color w:val="000000"/>
          <w:sz w:val="18"/>
          <w:szCs w:val="18"/>
        </w:rPr>
        <w:t xml:space="preserve"> Declaración conjunta del Relator Especial de las Naciones Unidas (ONU) para la Libertad de Opinión y de Expresión, el Representante para la Libertad de los Medios de Comunicación de la Organización para la Seguridad y la Cooperación en Europa (OSCE) y el Relator Especial de la Organización de los Estados Americanos (OEA) para la Libertad de Expresión (2004), disponible en </w:t>
      </w:r>
      <w:hyperlink r:id="rId1">
        <w:r>
          <w:rPr>
            <w:rFonts w:ascii="Palatino Linotype" w:eastAsia="Palatino Linotype" w:hAnsi="Palatino Linotype" w:cs="Palatino Linotype"/>
            <w:color w:val="0000FF"/>
            <w:sz w:val="18"/>
            <w:szCs w:val="18"/>
            <w:u w:val="single"/>
          </w:rPr>
          <w:t>http://www.oas.org/es/cidh/expresion/documentos_basicos/declaraciones.asp</w:t>
        </w:r>
      </w:hyperlink>
      <w:r>
        <w:rPr>
          <w:rFonts w:ascii="Palatino Linotype" w:eastAsia="Palatino Linotype" w:hAnsi="Palatino Linotype" w:cs="Palatino Linotype"/>
          <w:color w:val="000000"/>
          <w:sz w:val="18"/>
          <w:szCs w:val="18"/>
        </w:rPr>
        <w:t>.</w:t>
      </w:r>
    </w:p>
  </w:footnote>
  <w:footnote w:id="6">
    <w:p w14:paraId="53C99941" w14:textId="77777777" w:rsidR="00635ACB" w:rsidRDefault="00635ACB" w:rsidP="003C329B">
      <w:pPr>
        <w:pBdr>
          <w:top w:val="nil"/>
          <w:left w:val="nil"/>
          <w:bottom w:val="nil"/>
          <w:right w:val="nil"/>
          <w:between w:val="nil"/>
        </w:pBdr>
        <w:rPr>
          <w:rFonts w:ascii="Palatino Linotype" w:eastAsia="Palatino Linotype" w:hAnsi="Palatino Linotype" w:cs="Palatino Linotype"/>
          <w:color w:val="000000"/>
          <w:sz w:val="18"/>
          <w:szCs w:val="18"/>
        </w:rPr>
      </w:pPr>
      <w:r>
        <w:rPr>
          <w:vertAlign w:val="superscript"/>
        </w:rPr>
        <w:footnoteRef/>
      </w:r>
      <w:r>
        <w:rPr>
          <w:rFonts w:ascii="Palatino Linotype" w:eastAsia="Palatino Linotype" w:hAnsi="Palatino Linotype" w:cs="Palatino Linotype"/>
          <w:color w:val="000000"/>
          <w:sz w:val="18"/>
          <w:szCs w:val="18"/>
        </w:rPr>
        <w:t xml:space="preserve"> Ley de Transparencia y Acceso a la Información Pública del Estado de México y Municipios. Artículo 9. …</w:t>
      </w:r>
    </w:p>
    <w:p w14:paraId="780930F2" w14:textId="77777777" w:rsidR="00635ACB" w:rsidRDefault="00635ACB" w:rsidP="003C329B">
      <w:pPr>
        <w:pBdr>
          <w:top w:val="nil"/>
          <w:left w:val="nil"/>
          <w:bottom w:val="nil"/>
          <w:right w:val="nil"/>
          <w:between w:val="nil"/>
        </w:pBdr>
        <w:rPr>
          <w:rFonts w:ascii="Palatino Linotype" w:eastAsia="Palatino Linotype" w:hAnsi="Palatino Linotype" w:cs="Palatino Linotype"/>
          <w:color w:val="000000"/>
          <w:sz w:val="18"/>
          <w:szCs w:val="18"/>
        </w:rPr>
      </w:pPr>
      <w:r>
        <w:rPr>
          <w:rFonts w:ascii="Palatino Linotype" w:eastAsia="Palatino Linotype" w:hAnsi="Palatino Linotype" w:cs="Palatino Linotype"/>
          <w:color w:val="000000"/>
          <w:sz w:val="18"/>
          <w:szCs w:val="18"/>
        </w:rPr>
        <w:t>II. Eficacia: Obligación del Instituto para tutelar, de manera efectiva, el derecho de acceso a la información;</w:t>
      </w:r>
    </w:p>
    <w:p w14:paraId="13A7A80E" w14:textId="77777777" w:rsidR="00635ACB" w:rsidRDefault="00635ACB" w:rsidP="003C329B">
      <w:pPr>
        <w:pBdr>
          <w:top w:val="nil"/>
          <w:left w:val="nil"/>
          <w:bottom w:val="nil"/>
          <w:right w:val="nil"/>
          <w:between w:val="nil"/>
        </w:pBdr>
        <w:rPr>
          <w:color w:val="000000"/>
          <w:sz w:val="20"/>
          <w:szCs w:val="20"/>
        </w:rPr>
      </w:pPr>
      <w:r>
        <w:rPr>
          <w:color w:val="000000"/>
          <w:sz w:val="20"/>
          <w:szCs w:val="20"/>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23BC77" w14:textId="77777777" w:rsidR="00635ACB" w:rsidRDefault="00693EAF">
    <w:pPr>
      <w:pStyle w:val="Encabezado"/>
    </w:pPr>
    <w:r>
      <w:rPr>
        <w:noProof/>
        <w:lang w:eastAsia="es-MX"/>
      </w:rPr>
      <w:pict w14:anchorId="1ABCBFC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89434188" o:spid="_x0000_s2049" type="#_x0000_t75" style="position:absolute;margin-left:0;margin-top:0;width:609.4pt;height:793.75pt;z-index:-251659776;mso-position-horizontal:center;mso-position-horizontal-relative:margin;mso-position-vertical:center;mso-position-vertical-relative:margin" o:allowincell="f">
          <v:imagedata r:id="rId1" o:title="logo infoem (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6519" w:type="dxa"/>
      <w:tblInd w:w="3402" w:type="dxa"/>
      <w:tblCellMar>
        <w:left w:w="70" w:type="dxa"/>
        <w:right w:w="70" w:type="dxa"/>
      </w:tblCellMar>
      <w:tblLook w:val="04A0" w:firstRow="1" w:lastRow="0" w:firstColumn="1" w:lastColumn="0" w:noHBand="0" w:noVBand="1"/>
    </w:tblPr>
    <w:tblGrid>
      <w:gridCol w:w="2976"/>
      <w:gridCol w:w="3543"/>
    </w:tblGrid>
    <w:tr w:rsidR="00635ACB" w14:paraId="10AE6F9E" w14:textId="77777777" w:rsidTr="00AF7742">
      <w:trPr>
        <w:trHeight w:val="227"/>
      </w:trPr>
      <w:tc>
        <w:tcPr>
          <w:tcW w:w="2976" w:type="dxa"/>
          <w:vAlign w:val="center"/>
          <w:hideMark/>
        </w:tcPr>
        <w:p w14:paraId="046C485E" w14:textId="77777777" w:rsidR="00635ACB" w:rsidRPr="00AF7742" w:rsidRDefault="00635ACB" w:rsidP="007B20F5">
          <w:pPr>
            <w:ind w:right="34"/>
            <w:jc w:val="right"/>
            <w:rPr>
              <w:rFonts w:ascii="Palatino Linotype" w:hAnsi="Palatino Linotype"/>
              <w:b/>
            </w:rPr>
          </w:pPr>
          <w:r w:rsidRPr="00AF7742">
            <w:rPr>
              <w:rFonts w:ascii="Palatino Linotype" w:hAnsi="Palatino Linotype"/>
              <w:b/>
            </w:rPr>
            <w:t>Recurso de Revisión:</w:t>
          </w:r>
        </w:p>
      </w:tc>
      <w:tc>
        <w:tcPr>
          <w:tcW w:w="3543" w:type="dxa"/>
          <w:vAlign w:val="center"/>
          <w:hideMark/>
        </w:tcPr>
        <w:p w14:paraId="4920F6F2" w14:textId="2123F69A" w:rsidR="00635ACB" w:rsidRPr="00AF7742" w:rsidRDefault="00635ACB" w:rsidP="00D224B4">
          <w:pPr>
            <w:pStyle w:val="Encabezado"/>
            <w:rPr>
              <w:rFonts w:ascii="Palatino Linotype" w:hAnsi="Palatino Linotype"/>
            </w:rPr>
          </w:pPr>
          <w:r w:rsidRPr="00AF7742">
            <w:rPr>
              <w:rFonts w:ascii="Palatino Linotype" w:hAnsi="Palatino Linotype" w:cs="Arial"/>
              <w:bCs/>
              <w:lang w:eastAsia="es-MX"/>
            </w:rPr>
            <w:t>10673/INFOEM/IP/RR/2025</w:t>
          </w:r>
        </w:p>
      </w:tc>
    </w:tr>
    <w:tr w:rsidR="00635ACB" w14:paraId="700CAD85" w14:textId="77777777" w:rsidTr="00AF7742">
      <w:trPr>
        <w:trHeight w:val="242"/>
      </w:trPr>
      <w:tc>
        <w:tcPr>
          <w:tcW w:w="2976" w:type="dxa"/>
          <w:vAlign w:val="center"/>
          <w:hideMark/>
        </w:tcPr>
        <w:p w14:paraId="0EFCC1BD" w14:textId="77777777" w:rsidR="00635ACB" w:rsidRPr="00AF7742" w:rsidRDefault="00635ACB" w:rsidP="007B20F5">
          <w:pPr>
            <w:ind w:right="34"/>
            <w:jc w:val="right"/>
            <w:rPr>
              <w:rFonts w:ascii="Palatino Linotype" w:hAnsi="Palatino Linotype"/>
              <w:b/>
            </w:rPr>
          </w:pPr>
          <w:r w:rsidRPr="00AF7742">
            <w:rPr>
              <w:rFonts w:ascii="Palatino Linotype" w:hAnsi="Palatino Linotype"/>
              <w:b/>
            </w:rPr>
            <w:t>Sujeto Obligado:</w:t>
          </w:r>
        </w:p>
      </w:tc>
      <w:tc>
        <w:tcPr>
          <w:tcW w:w="3543" w:type="dxa"/>
          <w:vAlign w:val="center"/>
          <w:hideMark/>
        </w:tcPr>
        <w:p w14:paraId="11A13220" w14:textId="15AC69F0" w:rsidR="00635ACB" w:rsidRPr="00AF7742" w:rsidRDefault="00635ACB" w:rsidP="00362AAF">
          <w:pPr>
            <w:pStyle w:val="Encabezado"/>
            <w:ind w:right="212"/>
            <w:jc w:val="both"/>
            <w:rPr>
              <w:rFonts w:ascii="Palatino Linotype" w:hAnsi="Palatino Linotype"/>
            </w:rPr>
          </w:pPr>
          <w:r w:rsidRPr="00AF7742">
            <w:rPr>
              <w:rFonts w:ascii="Palatino Linotype" w:hAnsi="Palatino Linotype"/>
              <w:bCs/>
              <w:color w:val="000000"/>
            </w:rPr>
            <w:t>Secretaría de Movilidad</w:t>
          </w:r>
        </w:p>
      </w:tc>
    </w:tr>
    <w:tr w:rsidR="00635ACB" w14:paraId="459034F1" w14:textId="77777777" w:rsidTr="00AF7742">
      <w:trPr>
        <w:trHeight w:val="342"/>
      </w:trPr>
      <w:tc>
        <w:tcPr>
          <w:tcW w:w="2976" w:type="dxa"/>
          <w:vAlign w:val="center"/>
          <w:hideMark/>
        </w:tcPr>
        <w:p w14:paraId="3169B47D" w14:textId="77777777" w:rsidR="00635ACB" w:rsidRPr="00AF7742" w:rsidRDefault="00635ACB" w:rsidP="007B20F5">
          <w:pPr>
            <w:ind w:right="34"/>
            <w:jc w:val="right"/>
            <w:rPr>
              <w:rFonts w:ascii="Palatino Linotype" w:hAnsi="Palatino Linotype"/>
              <w:b/>
            </w:rPr>
          </w:pPr>
          <w:r w:rsidRPr="00AF7742">
            <w:rPr>
              <w:rFonts w:ascii="Palatino Linotype" w:hAnsi="Palatino Linotype"/>
              <w:b/>
            </w:rPr>
            <w:t>Comisionada Ponente:</w:t>
          </w:r>
        </w:p>
      </w:tc>
      <w:tc>
        <w:tcPr>
          <w:tcW w:w="3543" w:type="dxa"/>
          <w:vAlign w:val="center"/>
          <w:hideMark/>
        </w:tcPr>
        <w:p w14:paraId="3F3DEBEA" w14:textId="77777777" w:rsidR="00635ACB" w:rsidRPr="00AF7742" w:rsidRDefault="00635ACB" w:rsidP="007B20F5">
          <w:pPr>
            <w:pStyle w:val="Encabezado"/>
            <w:rPr>
              <w:rFonts w:ascii="Palatino Linotype" w:hAnsi="Palatino Linotype"/>
            </w:rPr>
          </w:pPr>
          <w:r w:rsidRPr="00AF7742">
            <w:rPr>
              <w:rFonts w:ascii="Palatino Linotype" w:hAnsi="Palatino Linotype"/>
            </w:rPr>
            <w:t>María del Rosario Mejía Ayala</w:t>
          </w:r>
        </w:p>
      </w:tc>
    </w:tr>
  </w:tbl>
  <w:p w14:paraId="484BDF96" w14:textId="77777777" w:rsidR="00635ACB" w:rsidRPr="00AE046A" w:rsidRDefault="00693EAF" w:rsidP="007B20F5">
    <w:pPr>
      <w:pStyle w:val="Encabezado"/>
      <w:tabs>
        <w:tab w:val="clear" w:pos="4419"/>
        <w:tab w:val="clear" w:pos="8838"/>
        <w:tab w:val="left" w:pos="6005"/>
      </w:tabs>
      <w:rPr>
        <w:sz w:val="14"/>
      </w:rPr>
    </w:pPr>
    <w:r>
      <w:rPr>
        <w:noProof/>
        <w:sz w:val="14"/>
        <w:lang w:eastAsia="es-MX"/>
      </w:rPr>
      <w:pict w14:anchorId="56153C2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89434189" o:spid="_x0000_s2050" type="#_x0000_t75" style="position:absolute;margin-left:-75.5pt;margin-top:-127.75pt;width:609.4pt;height:793.75pt;z-index:-251658752;mso-position-horizontal-relative:margin;mso-position-vertical-relative:margin" o:allowincell="f">
          <v:imagedata r:id="rId1" o:title="logo infoem (1)"/>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6661" w:type="dxa"/>
      <w:tblInd w:w="2977" w:type="dxa"/>
      <w:tblCellMar>
        <w:left w:w="70" w:type="dxa"/>
        <w:right w:w="70" w:type="dxa"/>
      </w:tblCellMar>
      <w:tblLook w:val="04A0" w:firstRow="1" w:lastRow="0" w:firstColumn="1" w:lastColumn="0" w:noHBand="0" w:noVBand="1"/>
    </w:tblPr>
    <w:tblGrid>
      <w:gridCol w:w="2977"/>
      <w:gridCol w:w="3684"/>
    </w:tblGrid>
    <w:tr w:rsidR="00635ACB" w14:paraId="524ADC4D" w14:textId="77777777" w:rsidTr="00AF7742">
      <w:trPr>
        <w:trHeight w:val="227"/>
      </w:trPr>
      <w:tc>
        <w:tcPr>
          <w:tcW w:w="2977" w:type="dxa"/>
          <w:vAlign w:val="center"/>
          <w:hideMark/>
        </w:tcPr>
        <w:p w14:paraId="590A2358" w14:textId="77777777" w:rsidR="00635ACB" w:rsidRPr="00AF7742" w:rsidRDefault="00635ACB" w:rsidP="007B20F5">
          <w:pPr>
            <w:jc w:val="right"/>
            <w:rPr>
              <w:rFonts w:ascii="Palatino Linotype" w:hAnsi="Palatino Linotype"/>
              <w:b/>
            </w:rPr>
          </w:pPr>
          <w:r w:rsidRPr="00AF7742">
            <w:rPr>
              <w:rFonts w:ascii="Palatino Linotype" w:hAnsi="Palatino Linotype"/>
              <w:b/>
            </w:rPr>
            <w:t>Recurso de Revisión:</w:t>
          </w:r>
        </w:p>
      </w:tc>
      <w:tc>
        <w:tcPr>
          <w:tcW w:w="3684" w:type="dxa"/>
          <w:vAlign w:val="center"/>
          <w:hideMark/>
        </w:tcPr>
        <w:p w14:paraId="74FABDA8" w14:textId="1BDD48DE" w:rsidR="00635ACB" w:rsidRPr="00AF7742" w:rsidRDefault="00635ACB" w:rsidP="000572A1">
          <w:pPr>
            <w:pStyle w:val="Encabezado"/>
            <w:rPr>
              <w:rFonts w:ascii="Palatino Linotype" w:hAnsi="Palatino Linotype"/>
            </w:rPr>
          </w:pPr>
          <w:r w:rsidRPr="00AF7742">
            <w:rPr>
              <w:rFonts w:ascii="Palatino Linotype" w:hAnsi="Palatino Linotype" w:cs="Arial"/>
              <w:bCs/>
              <w:lang w:eastAsia="es-MX"/>
            </w:rPr>
            <w:t>10673/INFOEM/IP/RR/2025</w:t>
          </w:r>
        </w:p>
      </w:tc>
    </w:tr>
    <w:tr w:rsidR="00635ACB" w14:paraId="579BAB32" w14:textId="77777777" w:rsidTr="00AF7742">
      <w:trPr>
        <w:trHeight w:val="242"/>
      </w:trPr>
      <w:tc>
        <w:tcPr>
          <w:tcW w:w="2977" w:type="dxa"/>
          <w:vAlign w:val="center"/>
          <w:hideMark/>
        </w:tcPr>
        <w:p w14:paraId="1CF262FF" w14:textId="77777777" w:rsidR="00635ACB" w:rsidRPr="00AF7742" w:rsidRDefault="00635ACB" w:rsidP="007B20F5">
          <w:pPr>
            <w:jc w:val="right"/>
            <w:rPr>
              <w:rFonts w:ascii="Palatino Linotype" w:hAnsi="Palatino Linotype"/>
              <w:b/>
            </w:rPr>
          </w:pPr>
          <w:r w:rsidRPr="00AF7742">
            <w:rPr>
              <w:rFonts w:ascii="Palatino Linotype" w:hAnsi="Palatino Linotype"/>
              <w:b/>
            </w:rPr>
            <w:t>Recurrente:</w:t>
          </w:r>
        </w:p>
      </w:tc>
      <w:tc>
        <w:tcPr>
          <w:tcW w:w="3684" w:type="dxa"/>
          <w:hideMark/>
        </w:tcPr>
        <w:p w14:paraId="19CC8F21" w14:textId="19D0CA09" w:rsidR="00635ACB" w:rsidRPr="00AF7742" w:rsidRDefault="00635ACB" w:rsidP="007B20F5">
          <w:pPr>
            <w:pStyle w:val="Encabezado"/>
            <w:tabs>
              <w:tab w:val="left" w:pos="521"/>
            </w:tabs>
            <w:rPr>
              <w:rFonts w:ascii="Palatino Linotype" w:hAnsi="Palatino Linotype"/>
            </w:rPr>
          </w:pPr>
        </w:p>
      </w:tc>
    </w:tr>
    <w:tr w:rsidR="00635ACB" w14:paraId="11EF809E" w14:textId="77777777" w:rsidTr="00AF7742">
      <w:trPr>
        <w:trHeight w:val="342"/>
      </w:trPr>
      <w:tc>
        <w:tcPr>
          <w:tcW w:w="2977" w:type="dxa"/>
          <w:vAlign w:val="center"/>
        </w:tcPr>
        <w:p w14:paraId="0A037E93" w14:textId="77777777" w:rsidR="00635ACB" w:rsidRPr="00AF7742" w:rsidRDefault="00635ACB" w:rsidP="007B20F5">
          <w:pPr>
            <w:jc w:val="right"/>
            <w:rPr>
              <w:rFonts w:ascii="Palatino Linotype" w:hAnsi="Palatino Linotype"/>
              <w:b/>
            </w:rPr>
          </w:pPr>
          <w:r w:rsidRPr="00AF7742">
            <w:rPr>
              <w:rFonts w:ascii="Palatino Linotype" w:hAnsi="Palatino Linotype"/>
              <w:b/>
            </w:rPr>
            <w:t>Sujeto Obligado:</w:t>
          </w:r>
        </w:p>
      </w:tc>
      <w:tc>
        <w:tcPr>
          <w:tcW w:w="3684" w:type="dxa"/>
          <w:vAlign w:val="center"/>
        </w:tcPr>
        <w:p w14:paraId="431B85F9" w14:textId="00ACF58B" w:rsidR="00635ACB" w:rsidRPr="00AF7742" w:rsidRDefault="00635ACB" w:rsidP="007B20F5">
          <w:pPr>
            <w:pStyle w:val="Encabezado"/>
            <w:jc w:val="both"/>
            <w:rPr>
              <w:rFonts w:ascii="Palatino Linotype" w:hAnsi="Palatino Linotype"/>
            </w:rPr>
          </w:pPr>
          <w:r w:rsidRPr="00AF7742">
            <w:rPr>
              <w:rFonts w:ascii="Palatino Linotype" w:hAnsi="Palatino Linotype"/>
              <w:bCs/>
              <w:color w:val="000000"/>
            </w:rPr>
            <w:t>Secretaría de Movilidad</w:t>
          </w:r>
        </w:p>
      </w:tc>
    </w:tr>
    <w:tr w:rsidR="00635ACB" w14:paraId="61FC427B" w14:textId="77777777" w:rsidTr="00AF7742">
      <w:trPr>
        <w:trHeight w:val="342"/>
      </w:trPr>
      <w:tc>
        <w:tcPr>
          <w:tcW w:w="2977" w:type="dxa"/>
          <w:vAlign w:val="center"/>
        </w:tcPr>
        <w:p w14:paraId="2C25FB1A" w14:textId="77777777" w:rsidR="00635ACB" w:rsidRPr="00AF7742" w:rsidRDefault="00635ACB" w:rsidP="007B20F5">
          <w:pPr>
            <w:jc w:val="right"/>
            <w:rPr>
              <w:rFonts w:ascii="Palatino Linotype" w:hAnsi="Palatino Linotype"/>
              <w:b/>
            </w:rPr>
          </w:pPr>
          <w:r w:rsidRPr="00AF7742">
            <w:rPr>
              <w:rFonts w:ascii="Palatino Linotype" w:hAnsi="Palatino Linotype"/>
              <w:b/>
            </w:rPr>
            <w:t>Comisionada Ponente:</w:t>
          </w:r>
        </w:p>
      </w:tc>
      <w:tc>
        <w:tcPr>
          <w:tcW w:w="3684" w:type="dxa"/>
          <w:vAlign w:val="center"/>
        </w:tcPr>
        <w:p w14:paraId="481ED5C8" w14:textId="77777777" w:rsidR="00635ACB" w:rsidRPr="00AF7742" w:rsidRDefault="00635ACB" w:rsidP="007B20F5">
          <w:pPr>
            <w:pStyle w:val="Encabezado"/>
            <w:rPr>
              <w:rFonts w:ascii="Palatino Linotype" w:hAnsi="Palatino Linotype"/>
            </w:rPr>
          </w:pPr>
          <w:r w:rsidRPr="00AF7742">
            <w:rPr>
              <w:rFonts w:ascii="Palatino Linotype" w:hAnsi="Palatino Linotype"/>
            </w:rPr>
            <w:t>María del Rosario Mejía Ayala</w:t>
          </w:r>
        </w:p>
      </w:tc>
    </w:tr>
  </w:tbl>
  <w:p w14:paraId="258F46F2" w14:textId="77777777" w:rsidR="00635ACB" w:rsidRPr="00C222C0" w:rsidRDefault="00693EAF">
    <w:pPr>
      <w:pStyle w:val="Encabezado"/>
      <w:rPr>
        <w:sz w:val="16"/>
      </w:rPr>
    </w:pPr>
    <w:r>
      <w:rPr>
        <w:noProof/>
        <w:sz w:val="16"/>
        <w:lang w:eastAsia="es-MX"/>
      </w:rPr>
      <w:pict w14:anchorId="07B0C93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89434187" o:spid="_x0000_s2051" type="#_x0000_t75" style="position:absolute;margin-left:-84.55pt;margin-top:-122.3pt;width:609.4pt;height:793.75pt;z-index:-251657728;mso-position-horizontal-relative:margin;mso-position-vertical-relative:margin" o:allowincell="f">
          <v:imagedata r:id="rId1" o:title="logo infoem (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267144"/>
    <w:multiLevelType w:val="multilevel"/>
    <w:tmpl w:val="6636B98C"/>
    <w:lvl w:ilvl="0">
      <w:start w:val="1"/>
      <w:numFmt w:val="lowerLetter"/>
      <w:lvlText w:val="%1)"/>
      <w:lvlJc w:val="left"/>
      <w:pPr>
        <w:ind w:left="1440" w:hanging="360"/>
      </w:pPr>
      <w:rPr>
        <w:rFonts w:eastAsia="Calibri" w:hint="default"/>
        <w:b/>
        <w:i w:val="0"/>
        <w:u w:val="none"/>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 w15:restartNumberingAfterBreak="0">
    <w:nsid w:val="16DB0BF5"/>
    <w:multiLevelType w:val="multilevel"/>
    <w:tmpl w:val="E084DBA0"/>
    <w:lvl w:ilvl="0">
      <w:start w:val="1"/>
      <w:numFmt w:val="decimal"/>
      <w:lvlText w:val="%1."/>
      <w:lvlJc w:val="left"/>
      <w:pPr>
        <w:ind w:left="502" w:hanging="360"/>
      </w:pPr>
      <w:rPr>
        <w:rFonts w:ascii="Palatino Linotype" w:eastAsia="Palatino Linotype" w:hAnsi="Palatino Linotype" w:cs="Palatino Linotype"/>
        <w:b/>
        <w:i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4230C67"/>
    <w:multiLevelType w:val="hybridMultilevel"/>
    <w:tmpl w:val="4E4649F8"/>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3" w15:restartNumberingAfterBreak="0">
    <w:nsid w:val="30503968"/>
    <w:multiLevelType w:val="hybridMultilevel"/>
    <w:tmpl w:val="CA9A007C"/>
    <w:lvl w:ilvl="0" w:tplc="D5965A22">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34317490"/>
    <w:multiLevelType w:val="hybridMultilevel"/>
    <w:tmpl w:val="4E50E004"/>
    <w:lvl w:ilvl="0" w:tplc="F5C4018E">
      <w:start w:val="1"/>
      <w:numFmt w:val="decimal"/>
      <w:lvlText w:val="%1."/>
      <w:lvlJc w:val="left"/>
      <w:pPr>
        <w:ind w:left="502" w:hanging="360"/>
      </w:pPr>
      <w:rPr>
        <w:rFonts w:ascii="Palatino Linotype" w:hAnsi="Palatino Linotype" w:hint="default"/>
        <w:b/>
        <w:i w:val="0"/>
        <w:color w:val="auto"/>
        <w:sz w:val="24"/>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3EF44905"/>
    <w:multiLevelType w:val="multilevel"/>
    <w:tmpl w:val="221A92C6"/>
    <w:lvl w:ilvl="0">
      <w:start w:val="1"/>
      <w:numFmt w:val="decimal"/>
      <w:lvlText w:val="%1."/>
      <w:lvlJc w:val="left"/>
      <w:pPr>
        <w:ind w:left="784" w:hanging="357"/>
      </w:pPr>
      <w:rPr>
        <w:rFonts w:ascii="Palatino Linotype" w:eastAsia="Palatino Linotype" w:hAnsi="Palatino Linotype" w:cs="Palatino Linotype"/>
        <w:b/>
        <w:i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425B5C6E"/>
    <w:multiLevelType w:val="multilevel"/>
    <w:tmpl w:val="5B80CAB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53F11811"/>
    <w:multiLevelType w:val="multilevel"/>
    <w:tmpl w:val="0568B9FC"/>
    <w:lvl w:ilvl="0">
      <w:start w:val="1"/>
      <w:numFmt w:val="decimal"/>
      <w:lvlText w:val="%1."/>
      <w:lvlJc w:val="left"/>
      <w:pPr>
        <w:ind w:left="644" w:hanging="358"/>
      </w:pPr>
      <w:rPr>
        <w:rFonts w:ascii="Palatino Linotype" w:eastAsia="Palatino Linotype" w:hAnsi="Palatino Linotype" w:cs="Palatino Linotype"/>
        <w:b/>
        <w:i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562F1B34"/>
    <w:multiLevelType w:val="hybridMultilevel"/>
    <w:tmpl w:val="35C89EFE"/>
    <w:lvl w:ilvl="0" w:tplc="080A0001">
      <w:start w:val="1"/>
      <w:numFmt w:val="bullet"/>
      <w:lvlText w:val=""/>
      <w:lvlJc w:val="left"/>
      <w:pPr>
        <w:ind w:left="778" w:hanging="360"/>
      </w:pPr>
      <w:rPr>
        <w:rFonts w:ascii="Symbol" w:hAnsi="Symbol" w:hint="default"/>
      </w:rPr>
    </w:lvl>
    <w:lvl w:ilvl="1" w:tplc="080A0003" w:tentative="1">
      <w:start w:val="1"/>
      <w:numFmt w:val="bullet"/>
      <w:lvlText w:val="o"/>
      <w:lvlJc w:val="left"/>
      <w:pPr>
        <w:ind w:left="1498" w:hanging="360"/>
      </w:pPr>
      <w:rPr>
        <w:rFonts w:ascii="Courier New" w:hAnsi="Courier New" w:cs="Courier New" w:hint="default"/>
      </w:rPr>
    </w:lvl>
    <w:lvl w:ilvl="2" w:tplc="080A0005" w:tentative="1">
      <w:start w:val="1"/>
      <w:numFmt w:val="bullet"/>
      <w:lvlText w:val=""/>
      <w:lvlJc w:val="left"/>
      <w:pPr>
        <w:ind w:left="2218" w:hanging="360"/>
      </w:pPr>
      <w:rPr>
        <w:rFonts w:ascii="Wingdings" w:hAnsi="Wingdings" w:hint="default"/>
      </w:rPr>
    </w:lvl>
    <w:lvl w:ilvl="3" w:tplc="080A0001" w:tentative="1">
      <w:start w:val="1"/>
      <w:numFmt w:val="bullet"/>
      <w:lvlText w:val=""/>
      <w:lvlJc w:val="left"/>
      <w:pPr>
        <w:ind w:left="2938" w:hanging="360"/>
      </w:pPr>
      <w:rPr>
        <w:rFonts w:ascii="Symbol" w:hAnsi="Symbol" w:hint="default"/>
      </w:rPr>
    </w:lvl>
    <w:lvl w:ilvl="4" w:tplc="080A0003" w:tentative="1">
      <w:start w:val="1"/>
      <w:numFmt w:val="bullet"/>
      <w:lvlText w:val="o"/>
      <w:lvlJc w:val="left"/>
      <w:pPr>
        <w:ind w:left="3658" w:hanging="360"/>
      </w:pPr>
      <w:rPr>
        <w:rFonts w:ascii="Courier New" w:hAnsi="Courier New" w:cs="Courier New" w:hint="default"/>
      </w:rPr>
    </w:lvl>
    <w:lvl w:ilvl="5" w:tplc="080A0005" w:tentative="1">
      <w:start w:val="1"/>
      <w:numFmt w:val="bullet"/>
      <w:lvlText w:val=""/>
      <w:lvlJc w:val="left"/>
      <w:pPr>
        <w:ind w:left="4378" w:hanging="360"/>
      </w:pPr>
      <w:rPr>
        <w:rFonts w:ascii="Wingdings" w:hAnsi="Wingdings" w:hint="default"/>
      </w:rPr>
    </w:lvl>
    <w:lvl w:ilvl="6" w:tplc="080A0001" w:tentative="1">
      <w:start w:val="1"/>
      <w:numFmt w:val="bullet"/>
      <w:lvlText w:val=""/>
      <w:lvlJc w:val="left"/>
      <w:pPr>
        <w:ind w:left="5098" w:hanging="360"/>
      </w:pPr>
      <w:rPr>
        <w:rFonts w:ascii="Symbol" w:hAnsi="Symbol" w:hint="default"/>
      </w:rPr>
    </w:lvl>
    <w:lvl w:ilvl="7" w:tplc="080A0003" w:tentative="1">
      <w:start w:val="1"/>
      <w:numFmt w:val="bullet"/>
      <w:lvlText w:val="o"/>
      <w:lvlJc w:val="left"/>
      <w:pPr>
        <w:ind w:left="5818" w:hanging="360"/>
      </w:pPr>
      <w:rPr>
        <w:rFonts w:ascii="Courier New" w:hAnsi="Courier New" w:cs="Courier New" w:hint="default"/>
      </w:rPr>
    </w:lvl>
    <w:lvl w:ilvl="8" w:tplc="080A0005" w:tentative="1">
      <w:start w:val="1"/>
      <w:numFmt w:val="bullet"/>
      <w:lvlText w:val=""/>
      <w:lvlJc w:val="left"/>
      <w:pPr>
        <w:ind w:left="6538" w:hanging="360"/>
      </w:pPr>
      <w:rPr>
        <w:rFonts w:ascii="Wingdings" w:hAnsi="Wingdings" w:hint="default"/>
      </w:rPr>
    </w:lvl>
  </w:abstractNum>
  <w:abstractNum w:abstractNumId="9" w15:restartNumberingAfterBreak="0">
    <w:nsid w:val="577202FA"/>
    <w:multiLevelType w:val="hybridMultilevel"/>
    <w:tmpl w:val="DF8E0E40"/>
    <w:lvl w:ilvl="0" w:tplc="31920C54">
      <w:start w:val="1"/>
      <w:numFmt w:val="decimal"/>
      <w:lvlText w:val="%1."/>
      <w:lvlJc w:val="left"/>
      <w:pPr>
        <w:ind w:left="502" w:hanging="360"/>
      </w:pPr>
      <w:rPr>
        <w:rFonts w:ascii="Palatino Linotype" w:eastAsia="Times New Roman" w:hAnsi="Palatino Linotype" w:hint="default"/>
        <w:b/>
        <w:i w:val="0"/>
        <w:sz w:val="24"/>
        <w:szCs w:val="24"/>
      </w:rPr>
    </w:lvl>
    <w:lvl w:ilvl="1" w:tplc="080A0019">
      <w:start w:val="1"/>
      <w:numFmt w:val="lowerLetter"/>
      <w:lvlText w:val="%2."/>
      <w:lvlJc w:val="left"/>
      <w:pPr>
        <w:ind w:left="1440" w:hanging="360"/>
      </w:pPr>
    </w:lvl>
    <w:lvl w:ilvl="2" w:tplc="E3DAC860">
      <w:start w:val="1"/>
      <w:numFmt w:val="lowerLetter"/>
      <w:lvlText w:val="%3)"/>
      <w:lvlJc w:val="left"/>
      <w:pPr>
        <w:ind w:left="2670" w:hanging="690"/>
      </w:pPr>
      <w:rPr>
        <w:rFonts w:hint="default"/>
      </w:r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57ED6FB8"/>
    <w:multiLevelType w:val="hybridMultilevel"/>
    <w:tmpl w:val="AE907248"/>
    <w:lvl w:ilvl="0" w:tplc="080A0001">
      <w:start w:val="1"/>
      <w:numFmt w:val="bullet"/>
      <w:lvlText w:val=""/>
      <w:lvlJc w:val="left"/>
      <w:pPr>
        <w:ind w:left="1146" w:hanging="360"/>
      </w:pPr>
      <w:rPr>
        <w:rFonts w:ascii="Symbol" w:hAnsi="Symbol" w:hint="default"/>
      </w:rPr>
    </w:lvl>
    <w:lvl w:ilvl="1" w:tplc="080A0003" w:tentative="1">
      <w:start w:val="1"/>
      <w:numFmt w:val="bullet"/>
      <w:lvlText w:val="o"/>
      <w:lvlJc w:val="left"/>
      <w:pPr>
        <w:ind w:left="1866" w:hanging="360"/>
      </w:pPr>
      <w:rPr>
        <w:rFonts w:ascii="Courier New" w:hAnsi="Courier New" w:cs="Courier New" w:hint="default"/>
      </w:rPr>
    </w:lvl>
    <w:lvl w:ilvl="2" w:tplc="080A0005" w:tentative="1">
      <w:start w:val="1"/>
      <w:numFmt w:val="bullet"/>
      <w:lvlText w:val=""/>
      <w:lvlJc w:val="left"/>
      <w:pPr>
        <w:ind w:left="2586" w:hanging="360"/>
      </w:pPr>
      <w:rPr>
        <w:rFonts w:ascii="Wingdings" w:hAnsi="Wingdings" w:hint="default"/>
      </w:rPr>
    </w:lvl>
    <w:lvl w:ilvl="3" w:tplc="080A0001" w:tentative="1">
      <w:start w:val="1"/>
      <w:numFmt w:val="bullet"/>
      <w:lvlText w:val=""/>
      <w:lvlJc w:val="left"/>
      <w:pPr>
        <w:ind w:left="3306" w:hanging="360"/>
      </w:pPr>
      <w:rPr>
        <w:rFonts w:ascii="Symbol" w:hAnsi="Symbol" w:hint="default"/>
      </w:rPr>
    </w:lvl>
    <w:lvl w:ilvl="4" w:tplc="080A0003" w:tentative="1">
      <w:start w:val="1"/>
      <w:numFmt w:val="bullet"/>
      <w:lvlText w:val="o"/>
      <w:lvlJc w:val="left"/>
      <w:pPr>
        <w:ind w:left="4026" w:hanging="360"/>
      </w:pPr>
      <w:rPr>
        <w:rFonts w:ascii="Courier New" w:hAnsi="Courier New" w:cs="Courier New" w:hint="default"/>
      </w:rPr>
    </w:lvl>
    <w:lvl w:ilvl="5" w:tplc="080A0005" w:tentative="1">
      <w:start w:val="1"/>
      <w:numFmt w:val="bullet"/>
      <w:lvlText w:val=""/>
      <w:lvlJc w:val="left"/>
      <w:pPr>
        <w:ind w:left="4746" w:hanging="360"/>
      </w:pPr>
      <w:rPr>
        <w:rFonts w:ascii="Wingdings" w:hAnsi="Wingdings" w:hint="default"/>
      </w:rPr>
    </w:lvl>
    <w:lvl w:ilvl="6" w:tplc="080A0001" w:tentative="1">
      <w:start w:val="1"/>
      <w:numFmt w:val="bullet"/>
      <w:lvlText w:val=""/>
      <w:lvlJc w:val="left"/>
      <w:pPr>
        <w:ind w:left="5466" w:hanging="360"/>
      </w:pPr>
      <w:rPr>
        <w:rFonts w:ascii="Symbol" w:hAnsi="Symbol" w:hint="default"/>
      </w:rPr>
    </w:lvl>
    <w:lvl w:ilvl="7" w:tplc="080A0003" w:tentative="1">
      <w:start w:val="1"/>
      <w:numFmt w:val="bullet"/>
      <w:lvlText w:val="o"/>
      <w:lvlJc w:val="left"/>
      <w:pPr>
        <w:ind w:left="6186" w:hanging="360"/>
      </w:pPr>
      <w:rPr>
        <w:rFonts w:ascii="Courier New" w:hAnsi="Courier New" w:cs="Courier New" w:hint="default"/>
      </w:rPr>
    </w:lvl>
    <w:lvl w:ilvl="8" w:tplc="080A0005" w:tentative="1">
      <w:start w:val="1"/>
      <w:numFmt w:val="bullet"/>
      <w:lvlText w:val=""/>
      <w:lvlJc w:val="left"/>
      <w:pPr>
        <w:ind w:left="6906" w:hanging="360"/>
      </w:pPr>
      <w:rPr>
        <w:rFonts w:ascii="Wingdings" w:hAnsi="Wingdings" w:hint="default"/>
      </w:rPr>
    </w:lvl>
  </w:abstractNum>
  <w:abstractNum w:abstractNumId="11" w15:restartNumberingAfterBreak="0">
    <w:nsid w:val="5A177B67"/>
    <w:multiLevelType w:val="multilevel"/>
    <w:tmpl w:val="D236FA1A"/>
    <w:lvl w:ilvl="0">
      <w:start w:val="1"/>
      <w:numFmt w:val="decimal"/>
      <w:lvlText w:val="%1."/>
      <w:lvlJc w:val="left"/>
      <w:pPr>
        <w:ind w:left="502" w:hanging="360"/>
      </w:pPr>
      <w:rPr>
        <w:rFonts w:ascii="Palatino Linotype" w:eastAsia="Palatino Linotype" w:hAnsi="Palatino Linotype" w:cs="Palatino Linotype"/>
        <w:b/>
        <w:i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5E0C4DB2"/>
    <w:multiLevelType w:val="multilevel"/>
    <w:tmpl w:val="C5306C46"/>
    <w:lvl w:ilvl="0">
      <w:start w:val="1"/>
      <w:numFmt w:val="low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665A5835"/>
    <w:multiLevelType w:val="multilevel"/>
    <w:tmpl w:val="BAD63276"/>
    <w:lvl w:ilvl="0">
      <w:start w:val="24"/>
      <w:numFmt w:val="decimal"/>
      <w:lvlText w:val="%1."/>
      <w:lvlJc w:val="left"/>
      <w:pPr>
        <w:ind w:left="720" w:hanging="360"/>
      </w:pPr>
      <w:rPr>
        <w:rFonts w:ascii="Palatino Linotype" w:hAnsi="Palatino Linotype" w:hint="default"/>
        <w:b/>
        <w:i w:val="0"/>
        <w:sz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15:restartNumberingAfterBreak="0">
    <w:nsid w:val="6B4E5D21"/>
    <w:multiLevelType w:val="multilevel"/>
    <w:tmpl w:val="F08A9BE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7C4A65A1"/>
    <w:multiLevelType w:val="multilevel"/>
    <w:tmpl w:val="2A127F22"/>
    <w:lvl w:ilvl="0">
      <w:start w:val="1"/>
      <w:numFmt w:val="bullet"/>
      <w:lvlText w:val="●"/>
      <w:lvlJc w:val="left"/>
      <w:pPr>
        <w:ind w:left="1146" w:hanging="360"/>
      </w:pPr>
      <w:rPr>
        <w:rFonts w:ascii="Noto Sans Symbols" w:eastAsia="Noto Sans Symbols" w:hAnsi="Noto Sans Symbols" w:cs="Noto Sans Symbols"/>
      </w:rPr>
    </w:lvl>
    <w:lvl w:ilvl="1">
      <w:start w:val="1"/>
      <w:numFmt w:val="bullet"/>
      <w:lvlText w:val="o"/>
      <w:lvlJc w:val="left"/>
      <w:pPr>
        <w:ind w:left="1866" w:hanging="360"/>
      </w:pPr>
      <w:rPr>
        <w:rFonts w:ascii="Courier New" w:eastAsia="Courier New" w:hAnsi="Courier New" w:cs="Courier New"/>
      </w:rPr>
    </w:lvl>
    <w:lvl w:ilvl="2">
      <w:start w:val="1"/>
      <w:numFmt w:val="bullet"/>
      <w:lvlText w:val="▪"/>
      <w:lvlJc w:val="left"/>
      <w:pPr>
        <w:ind w:left="2586" w:hanging="360"/>
      </w:pPr>
      <w:rPr>
        <w:rFonts w:ascii="Noto Sans Symbols" w:eastAsia="Noto Sans Symbols" w:hAnsi="Noto Sans Symbols" w:cs="Noto Sans Symbols"/>
      </w:rPr>
    </w:lvl>
    <w:lvl w:ilvl="3">
      <w:start w:val="1"/>
      <w:numFmt w:val="bullet"/>
      <w:lvlText w:val="●"/>
      <w:lvlJc w:val="left"/>
      <w:pPr>
        <w:ind w:left="3306" w:hanging="360"/>
      </w:pPr>
      <w:rPr>
        <w:rFonts w:ascii="Noto Sans Symbols" w:eastAsia="Noto Sans Symbols" w:hAnsi="Noto Sans Symbols" w:cs="Noto Sans Symbols"/>
      </w:rPr>
    </w:lvl>
    <w:lvl w:ilvl="4">
      <w:start w:val="1"/>
      <w:numFmt w:val="bullet"/>
      <w:lvlText w:val="o"/>
      <w:lvlJc w:val="left"/>
      <w:pPr>
        <w:ind w:left="4026" w:hanging="360"/>
      </w:pPr>
      <w:rPr>
        <w:rFonts w:ascii="Courier New" w:eastAsia="Courier New" w:hAnsi="Courier New" w:cs="Courier New"/>
      </w:rPr>
    </w:lvl>
    <w:lvl w:ilvl="5">
      <w:start w:val="1"/>
      <w:numFmt w:val="bullet"/>
      <w:lvlText w:val="▪"/>
      <w:lvlJc w:val="left"/>
      <w:pPr>
        <w:ind w:left="4746" w:hanging="360"/>
      </w:pPr>
      <w:rPr>
        <w:rFonts w:ascii="Noto Sans Symbols" w:eastAsia="Noto Sans Symbols" w:hAnsi="Noto Sans Symbols" w:cs="Noto Sans Symbols"/>
      </w:rPr>
    </w:lvl>
    <w:lvl w:ilvl="6">
      <w:start w:val="1"/>
      <w:numFmt w:val="bullet"/>
      <w:lvlText w:val="●"/>
      <w:lvlJc w:val="left"/>
      <w:pPr>
        <w:ind w:left="5466" w:hanging="360"/>
      </w:pPr>
      <w:rPr>
        <w:rFonts w:ascii="Noto Sans Symbols" w:eastAsia="Noto Sans Symbols" w:hAnsi="Noto Sans Symbols" w:cs="Noto Sans Symbols"/>
      </w:rPr>
    </w:lvl>
    <w:lvl w:ilvl="7">
      <w:start w:val="1"/>
      <w:numFmt w:val="bullet"/>
      <w:lvlText w:val="o"/>
      <w:lvlJc w:val="left"/>
      <w:pPr>
        <w:ind w:left="6186" w:hanging="360"/>
      </w:pPr>
      <w:rPr>
        <w:rFonts w:ascii="Courier New" w:eastAsia="Courier New" w:hAnsi="Courier New" w:cs="Courier New"/>
      </w:rPr>
    </w:lvl>
    <w:lvl w:ilvl="8">
      <w:start w:val="1"/>
      <w:numFmt w:val="bullet"/>
      <w:lvlText w:val="▪"/>
      <w:lvlJc w:val="left"/>
      <w:pPr>
        <w:ind w:left="6906" w:hanging="360"/>
      </w:pPr>
      <w:rPr>
        <w:rFonts w:ascii="Noto Sans Symbols" w:eastAsia="Noto Sans Symbols" w:hAnsi="Noto Sans Symbols" w:cs="Noto Sans Symbols"/>
      </w:rPr>
    </w:lvl>
  </w:abstractNum>
  <w:num w:numId="1">
    <w:abstractNumId w:val="4"/>
  </w:num>
  <w:num w:numId="2">
    <w:abstractNumId w:val="8"/>
  </w:num>
  <w:num w:numId="3">
    <w:abstractNumId w:val="10"/>
  </w:num>
  <w:num w:numId="4">
    <w:abstractNumId w:val="6"/>
  </w:num>
  <w:num w:numId="5">
    <w:abstractNumId w:val="0"/>
  </w:num>
  <w:num w:numId="6">
    <w:abstractNumId w:val="2"/>
  </w:num>
  <w:num w:numId="7">
    <w:abstractNumId w:val="1"/>
  </w:num>
  <w:num w:numId="8">
    <w:abstractNumId w:val="15"/>
  </w:num>
  <w:num w:numId="9">
    <w:abstractNumId w:val="7"/>
  </w:num>
  <w:num w:numId="10">
    <w:abstractNumId w:val="14"/>
  </w:num>
  <w:num w:numId="11">
    <w:abstractNumId w:val="11"/>
  </w:num>
  <w:num w:numId="12">
    <w:abstractNumId w:val="12"/>
  </w:num>
  <w:num w:numId="13">
    <w:abstractNumId w:val="3"/>
  </w:num>
  <w:num w:numId="14">
    <w:abstractNumId w:val="5"/>
  </w:num>
  <w:num w:numId="15">
    <w:abstractNumId w:val="13"/>
  </w:num>
  <w:num w:numId="16">
    <w:abstractNumId w:val="9"/>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7C3B"/>
    <w:rsid w:val="0000568E"/>
    <w:rsid w:val="00005AAC"/>
    <w:rsid w:val="0000614D"/>
    <w:rsid w:val="00015D6D"/>
    <w:rsid w:val="00016331"/>
    <w:rsid w:val="00023AFA"/>
    <w:rsid w:val="000249F3"/>
    <w:rsid w:val="00024B16"/>
    <w:rsid w:val="00027E0A"/>
    <w:rsid w:val="000370B4"/>
    <w:rsid w:val="00053504"/>
    <w:rsid w:val="000550ED"/>
    <w:rsid w:val="000572A1"/>
    <w:rsid w:val="000651CC"/>
    <w:rsid w:val="000656BD"/>
    <w:rsid w:val="0006705E"/>
    <w:rsid w:val="0006774A"/>
    <w:rsid w:val="00067EAC"/>
    <w:rsid w:val="00077666"/>
    <w:rsid w:val="00087920"/>
    <w:rsid w:val="00091C25"/>
    <w:rsid w:val="0009753E"/>
    <w:rsid w:val="000A457F"/>
    <w:rsid w:val="000B1E1A"/>
    <w:rsid w:val="000B4836"/>
    <w:rsid w:val="000C5E70"/>
    <w:rsid w:val="000E337A"/>
    <w:rsid w:val="000E4CEE"/>
    <w:rsid w:val="000E6238"/>
    <w:rsid w:val="000E62C2"/>
    <w:rsid w:val="000E7DB1"/>
    <w:rsid w:val="000F3BFD"/>
    <w:rsid w:val="000F6F38"/>
    <w:rsid w:val="000F7E04"/>
    <w:rsid w:val="00107631"/>
    <w:rsid w:val="00110A2B"/>
    <w:rsid w:val="00116ACF"/>
    <w:rsid w:val="00117ECD"/>
    <w:rsid w:val="0012267C"/>
    <w:rsid w:val="00145A9D"/>
    <w:rsid w:val="0015089C"/>
    <w:rsid w:val="00163D49"/>
    <w:rsid w:val="00186EC3"/>
    <w:rsid w:val="00193D79"/>
    <w:rsid w:val="001A4926"/>
    <w:rsid w:val="001A7D36"/>
    <w:rsid w:val="001B0E12"/>
    <w:rsid w:val="001B7993"/>
    <w:rsid w:val="001B7FBD"/>
    <w:rsid w:val="001D1FB9"/>
    <w:rsid w:val="001E53A0"/>
    <w:rsid w:val="001F4A04"/>
    <w:rsid w:val="001F6A02"/>
    <w:rsid w:val="00201F0C"/>
    <w:rsid w:val="00202805"/>
    <w:rsid w:val="002124C5"/>
    <w:rsid w:val="00220F11"/>
    <w:rsid w:val="0023187D"/>
    <w:rsid w:val="00231E77"/>
    <w:rsid w:val="00243834"/>
    <w:rsid w:val="00244077"/>
    <w:rsid w:val="0024462E"/>
    <w:rsid w:val="00270528"/>
    <w:rsid w:val="002714A4"/>
    <w:rsid w:val="00280C2A"/>
    <w:rsid w:val="00295534"/>
    <w:rsid w:val="0029711F"/>
    <w:rsid w:val="002A3EE3"/>
    <w:rsid w:val="002A7860"/>
    <w:rsid w:val="002B002A"/>
    <w:rsid w:val="002B117D"/>
    <w:rsid w:val="002C5785"/>
    <w:rsid w:val="002E6B14"/>
    <w:rsid w:val="00300B38"/>
    <w:rsid w:val="00300E72"/>
    <w:rsid w:val="00323ABF"/>
    <w:rsid w:val="003274B8"/>
    <w:rsid w:val="003320EF"/>
    <w:rsid w:val="00337296"/>
    <w:rsid w:val="00353125"/>
    <w:rsid w:val="00354C09"/>
    <w:rsid w:val="003602F5"/>
    <w:rsid w:val="00362AAF"/>
    <w:rsid w:val="00362CC3"/>
    <w:rsid w:val="00373197"/>
    <w:rsid w:val="003812E3"/>
    <w:rsid w:val="00390A21"/>
    <w:rsid w:val="00393335"/>
    <w:rsid w:val="003A0DB8"/>
    <w:rsid w:val="003B1A04"/>
    <w:rsid w:val="003B2BC8"/>
    <w:rsid w:val="003B304A"/>
    <w:rsid w:val="003C329B"/>
    <w:rsid w:val="003C4C55"/>
    <w:rsid w:val="003C7116"/>
    <w:rsid w:val="003E5C79"/>
    <w:rsid w:val="004016F0"/>
    <w:rsid w:val="004027AF"/>
    <w:rsid w:val="00407F62"/>
    <w:rsid w:val="0041452A"/>
    <w:rsid w:val="00436406"/>
    <w:rsid w:val="004378B2"/>
    <w:rsid w:val="004530C4"/>
    <w:rsid w:val="004721F4"/>
    <w:rsid w:val="004A3774"/>
    <w:rsid w:val="004A64CC"/>
    <w:rsid w:val="004C3E30"/>
    <w:rsid w:val="004C674D"/>
    <w:rsid w:val="004D6240"/>
    <w:rsid w:val="004F19EA"/>
    <w:rsid w:val="0051018B"/>
    <w:rsid w:val="0051023C"/>
    <w:rsid w:val="00523F17"/>
    <w:rsid w:val="005251B8"/>
    <w:rsid w:val="00525D73"/>
    <w:rsid w:val="00540467"/>
    <w:rsid w:val="00555CCB"/>
    <w:rsid w:val="005637D3"/>
    <w:rsid w:val="00582749"/>
    <w:rsid w:val="0058280F"/>
    <w:rsid w:val="005869D0"/>
    <w:rsid w:val="005906CD"/>
    <w:rsid w:val="00593CF1"/>
    <w:rsid w:val="005A4A49"/>
    <w:rsid w:val="005B194E"/>
    <w:rsid w:val="005B5644"/>
    <w:rsid w:val="005C188C"/>
    <w:rsid w:val="005D5543"/>
    <w:rsid w:val="005E75E6"/>
    <w:rsid w:val="005E7AE5"/>
    <w:rsid w:val="005F3222"/>
    <w:rsid w:val="005F346E"/>
    <w:rsid w:val="005F78BC"/>
    <w:rsid w:val="00611EC6"/>
    <w:rsid w:val="00622211"/>
    <w:rsid w:val="00635ACB"/>
    <w:rsid w:val="00637039"/>
    <w:rsid w:val="006376A3"/>
    <w:rsid w:val="00643662"/>
    <w:rsid w:val="006472D6"/>
    <w:rsid w:val="0065237A"/>
    <w:rsid w:val="00660133"/>
    <w:rsid w:val="006603F1"/>
    <w:rsid w:val="00661F45"/>
    <w:rsid w:val="006768B4"/>
    <w:rsid w:val="00676FFD"/>
    <w:rsid w:val="00693EAF"/>
    <w:rsid w:val="00695A84"/>
    <w:rsid w:val="006965A1"/>
    <w:rsid w:val="00697547"/>
    <w:rsid w:val="006A2326"/>
    <w:rsid w:val="006B0BBB"/>
    <w:rsid w:val="006B5DD4"/>
    <w:rsid w:val="006C26B3"/>
    <w:rsid w:val="006C38AA"/>
    <w:rsid w:val="006E0C2E"/>
    <w:rsid w:val="006E0E31"/>
    <w:rsid w:val="006E6FA3"/>
    <w:rsid w:val="006F623F"/>
    <w:rsid w:val="006F755A"/>
    <w:rsid w:val="006F7DAE"/>
    <w:rsid w:val="007026AB"/>
    <w:rsid w:val="007042FD"/>
    <w:rsid w:val="00715AB6"/>
    <w:rsid w:val="00723044"/>
    <w:rsid w:val="00727A6D"/>
    <w:rsid w:val="00735A1B"/>
    <w:rsid w:val="0074386A"/>
    <w:rsid w:val="00743DC9"/>
    <w:rsid w:val="0075387A"/>
    <w:rsid w:val="00755534"/>
    <w:rsid w:val="00764AE2"/>
    <w:rsid w:val="00765947"/>
    <w:rsid w:val="007666E7"/>
    <w:rsid w:val="00767EC8"/>
    <w:rsid w:val="00771683"/>
    <w:rsid w:val="00771DEC"/>
    <w:rsid w:val="0078385D"/>
    <w:rsid w:val="007839D1"/>
    <w:rsid w:val="00783E03"/>
    <w:rsid w:val="00791CEC"/>
    <w:rsid w:val="007931FD"/>
    <w:rsid w:val="007A175A"/>
    <w:rsid w:val="007A3AD3"/>
    <w:rsid w:val="007A56A3"/>
    <w:rsid w:val="007A629C"/>
    <w:rsid w:val="007B20F5"/>
    <w:rsid w:val="007B22F6"/>
    <w:rsid w:val="007B2537"/>
    <w:rsid w:val="007C76F4"/>
    <w:rsid w:val="007D0496"/>
    <w:rsid w:val="007D4D20"/>
    <w:rsid w:val="007D6876"/>
    <w:rsid w:val="007D6E86"/>
    <w:rsid w:val="007E0D11"/>
    <w:rsid w:val="007E6C40"/>
    <w:rsid w:val="007F2CBF"/>
    <w:rsid w:val="00813F39"/>
    <w:rsid w:val="008176E4"/>
    <w:rsid w:val="00820925"/>
    <w:rsid w:val="00822FD3"/>
    <w:rsid w:val="00823289"/>
    <w:rsid w:val="00824847"/>
    <w:rsid w:val="00826670"/>
    <w:rsid w:val="008448FC"/>
    <w:rsid w:val="00850DF2"/>
    <w:rsid w:val="008529B2"/>
    <w:rsid w:val="00857AFB"/>
    <w:rsid w:val="00860785"/>
    <w:rsid w:val="00861658"/>
    <w:rsid w:val="008645A7"/>
    <w:rsid w:val="00871548"/>
    <w:rsid w:val="00872142"/>
    <w:rsid w:val="00876AAB"/>
    <w:rsid w:val="008809BF"/>
    <w:rsid w:val="00887A07"/>
    <w:rsid w:val="008A09B0"/>
    <w:rsid w:val="008A1263"/>
    <w:rsid w:val="008A1551"/>
    <w:rsid w:val="008A5B46"/>
    <w:rsid w:val="008A7A76"/>
    <w:rsid w:val="008B24C3"/>
    <w:rsid w:val="008B4A85"/>
    <w:rsid w:val="008C2A56"/>
    <w:rsid w:val="008C5207"/>
    <w:rsid w:val="008C5CFA"/>
    <w:rsid w:val="008C687E"/>
    <w:rsid w:val="008C77DE"/>
    <w:rsid w:val="008D002B"/>
    <w:rsid w:val="008D17FB"/>
    <w:rsid w:val="008D4874"/>
    <w:rsid w:val="008F243A"/>
    <w:rsid w:val="008F2CA7"/>
    <w:rsid w:val="00902F51"/>
    <w:rsid w:val="00904950"/>
    <w:rsid w:val="00906F69"/>
    <w:rsid w:val="00910CFB"/>
    <w:rsid w:val="0091683C"/>
    <w:rsid w:val="00916F04"/>
    <w:rsid w:val="0093278E"/>
    <w:rsid w:val="0093563F"/>
    <w:rsid w:val="009366E5"/>
    <w:rsid w:val="00940A85"/>
    <w:rsid w:val="0094220B"/>
    <w:rsid w:val="00942849"/>
    <w:rsid w:val="00942B6E"/>
    <w:rsid w:val="00947C3B"/>
    <w:rsid w:val="009544AC"/>
    <w:rsid w:val="0095721E"/>
    <w:rsid w:val="00961A06"/>
    <w:rsid w:val="00964E7A"/>
    <w:rsid w:val="00971D71"/>
    <w:rsid w:val="00971E2D"/>
    <w:rsid w:val="0097233A"/>
    <w:rsid w:val="00985A63"/>
    <w:rsid w:val="009914A9"/>
    <w:rsid w:val="009927BF"/>
    <w:rsid w:val="009A6CD4"/>
    <w:rsid w:val="009B4B73"/>
    <w:rsid w:val="009C59DA"/>
    <w:rsid w:val="009D3983"/>
    <w:rsid w:val="009D7004"/>
    <w:rsid w:val="009E43FB"/>
    <w:rsid w:val="009E4878"/>
    <w:rsid w:val="009E5AB2"/>
    <w:rsid w:val="009E5CB4"/>
    <w:rsid w:val="009F61C2"/>
    <w:rsid w:val="00A00C56"/>
    <w:rsid w:val="00A03B97"/>
    <w:rsid w:val="00A05153"/>
    <w:rsid w:val="00A068EA"/>
    <w:rsid w:val="00A102A9"/>
    <w:rsid w:val="00A14579"/>
    <w:rsid w:val="00A305C9"/>
    <w:rsid w:val="00A4189D"/>
    <w:rsid w:val="00A41960"/>
    <w:rsid w:val="00A42539"/>
    <w:rsid w:val="00A560AE"/>
    <w:rsid w:val="00A579E0"/>
    <w:rsid w:val="00A6642D"/>
    <w:rsid w:val="00A67E0B"/>
    <w:rsid w:val="00A700B0"/>
    <w:rsid w:val="00A72EED"/>
    <w:rsid w:val="00A81A96"/>
    <w:rsid w:val="00A82805"/>
    <w:rsid w:val="00A84391"/>
    <w:rsid w:val="00AA131A"/>
    <w:rsid w:val="00AA713C"/>
    <w:rsid w:val="00AC2FBA"/>
    <w:rsid w:val="00AC54CB"/>
    <w:rsid w:val="00AF07C8"/>
    <w:rsid w:val="00AF4CFE"/>
    <w:rsid w:val="00AF7742"/>
    <w:rsid w:val="00AF780B"/>
    <w:rsid w:val="00B03CB8"/>
    <w:rsid w:val="00B160EF"/>
    <w:rsid w:val="00B20FF8"/>
    <w:rsid w:val="00B21AE5"/>
    <w:rsid w:val="00B24087"/>
    <w:rsid w:val="00B36476"/>
    <w:rsid w:val="00B370BB"/>
    <w:rsid w:val="00B41209"/>
    <w:rsid w:val="00B45097"/>
    <w:rsid w:val="00B57C3C"/>
    <w:rsid w:val="00B57EEB"/>
    <w:rsid w:val="00B6126E"/>
    <w:rsid w:val="00B64346"/>
    <w:rsid w:val="00B72379"/>
    <w:rsid w:val="00B77121"/>
    <w:rsid w:val="00B83228"/>
    <w:rsid w:val="00B90932"/>
    <w:rsid w:val="00B918D2"/>
    <w:rsid w:val="00B951FB"/>
    <w:rsid w:val="00B97622"/>
    <w:rsid w:val="00BA2C7A"/>
    <w:rsid w:val="00BB74FD"/>
    <w:rsid w:val="00BC1ECF"/>
    <w:rsid w:val="00BC2E4D"/>
    <w:rsid w:val="00BC6D2A"/>
    <w:rsid w:val="00BD0375"/>
    <w:rsid w:val="00BD550C"/>
    <w:rsid w:val="00BE7C58"/>
    <w:rsid w:val="00BE7CD2"/>
    <w:rsid w:val="00BF4058"/>
    <w:rsid w:val="00C02200"/>
    <w:rsid w:val="00C07D34"/>
    <w:rsid w:val="00C11B27"/>
    <w:rsid w:val="00C21D25"/>
    <w:rsid w:val="00C26B63"/>
    <w:rsid w:val="00C306A5"/>
    <w:rsid w:val="00C34223"/>
    <w:rsid w:val="00C47088"/>
    <w:rsid w:val="00C47A4B"/>
    <w:rsid w:val="00C57378"/>
    <w:rsid w:val="00C62F90"/>
    <w:rsid w:val="00C8259C"/>
    <w:rsid w:val="00C862A5"/>
    <w:rsid w:val="00C86A6F"/>
    <w:rsid w:val="00C8730C"/>
    <w:rsid w:val="00C95DEC"/>
    <w:rsid w:val="00C96F8E"/>
    <w:rsid w:val="00CA0529"/>
    <w:rsid w:val="00CA0958"/>
    <w:rsid w:val="00CA1D2E"/>
    <w:rsid w:val="00CA2199"/>
    <w:rsid w:val="00CA2CC0"/>
    <w:rsid w:val="00CA2FE8"/>
    <w:rsid w:val="00CA3F0F"/>
    <w:rsid w:val="00CA3F55"/>
    <w:rsid w:val="00CB1F02"/>
    <w:rsid w:val="00CC0DEE"/>
    <w:rsid w:val="00CC2BA9"/>
    <w:rsid w:val="00CD4875"/>
    <w:rsid w:val="00CD4A41"/>
    <w:rsid w:val="00CD6CD8"/>
    <w:rsid w:val="00CE2AF9"/>
    <w:rsid w:val="00CE5F01"/>
    <w:rsid w:val="00CF045D"/>
    <w:rsid w:val="00CF4C30"/>
    <w:rsid w:val="00D01643"/>
    <w:rsid w:val="00D01E18"/>
    <w:rsid w:val="00D0725E"/>
    <w:rsid w:val="00D177AD"/>
    <w:rsid w:val="00D224B4"/>
    <w:rsid w:val="00D27A84"/>
    <w:rsid w:val="00D31E07"/>
    <w:rsid w:val="00D50D01"/>
    <w:rsid w:val="00D51815"/>
    <w:rsid w:val="00D5494C"/>
    <w:rsid w:val="00D56BEC"/>
    <w:rsid w:val="00D62750"/>
    <w:rsid w:val="00D723F7"/>
    <w:rsid w:val="00D90DEC"/>
    <w:rsid w:val="00D964FC"/>
    <w:rsid w:val="00D97B3C"/>
    <w:rsid w:val="00DA13F3"/>
    <w:rsid w:val="00DA5EB8"/>
    <w:rsid w:val="00DB3F94"/>
    <w:rsid w:val="00DB41ED"/>
    <w:rsid w:val="00DC0156"/>
    <w:rsid w:val="00DC5B9D"/>
    <w:rsid w:val="00DD28F1"/>
    <w:rsid w:val="00E0091E"/>
    <w:rsid w:val="00E00AEB"/>
    <w:rsid w:val="00E10C49"/>
    <w:rsid w:val="00E15231"/>
    <w:rsid w:val="00E31399"/>
    <w:rsid w:val="00E319A7"/>
    <w:rsid w:val="00E423BF"/>
    <w:rsid w:val="00E46171"/>
    <w:rsid w:val="00E47E94"/>
    <w:rsid w:val="00E50425"/>
    <w:rsid w:val="00E530B7"/>
    <w:rsid w:val="00E6230C"/>
    <w:rsid w:val="00E7267D"/>
    <w:rsid w:val="00E75690"/>
    <w:rsid w:val="00E82518"/>
    <w:rsid w:val="00E85A61"/>
    <w:rsid w:val="00E876A9"/>
    <w:rsid w:val="00E925BD"/>
    <w:rsid w:val="00EA38A3"/>
    <w:rsid w:val="00EB23FD"/>
    <w:rsid w:val="00EB5222"/>
    <w:rsid w:val="00EB5AC6"/>
    <w:rsid w:val="00EC3AAC"/>
    <w:rsid w:val="00EE4FF8"/>
    <w:rsid w:val="00EE6E9E"/>
    <w:rsid w:val="00F0290D"/>
    <w:rsid w:val="00F0638E"/>
    <w:rsid w:val="00F10B6D"/>
    <w:rsid w:val="00F1549F"/>
    <w:rsid w:val="00F228AF"/>
    <w:rsid w:val="00F37F8C"/>
    <w:rsid w:val="00F43A8B"/>
    <w:rsid w:val="00F443D1"/>
    <w:rsid w:val="00F46CF8"/>
    <w:rsid w:val="00F479F3"/>
    <w:rsid w:val="00F644C2"/>
    <w:rsid w:val="00F65804"/>
    <w:rsid w:val="00F6643E"/>
    <w:rsid w:val="00F72B3D"/>
    <w:rsid w:val="00F823B8"/>
    <w:rsid w:val="00F94620"/>
    <w:rsid w:val="00F97B2C"/>
    <w:rsid w:val="00FA0A6F"/>
    <w:rsid w:val="00FA24B6"/>
    <w:rsid w:val="00FA3831"/>
    <w:rsid w:val="00FA6577"/>
    <w:rsid w:val="00FB2FBB"/>
    <w:rsid w:val="00FC4979"/>
    <w:rsid w:val="00FD2048"/>
    <w:rsid w:val="00FE299E"/>
    <w:rsid w:val="00FE6719"/>
    <w:rsid w:val="00FE7AB1"/>
    <w:rsid w:val="00FF0FBC"/>
    <w:rsid w:val="00FF12FC"/>
    <w:rsid w:val="00FF4C8C"/>
    <w:rsid w:val="00FF552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13E57563"/>
  <w15:chartTrackingRefBased/>
  <w15:docId w15:val="{2CC79969-EC3B-4C37-BFFB-B1511F2768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7C3B"/>
    <w:pPr>
      <w:spacing w:after="0" w:line="240" w:lineRule="auto"/>
    </w:pPr>
    <w:rPr>
      <w:rFonts w:eastAsiaTheme="minorEastAsia"/>
      <w:sz w:val="24"/>
      <w:szCs w:val="24"/>
      <w:lang w:val="es-ES_tradnl" w:eastAsia="es-ES"/>
    </w:rPr>
  </w:style>
  <w:style w:type="paragraph" w:styleId="Ttulo1">
    <w:name w:val="heading 1"/>
    <w:basedOn w:val="Normal"/>
    <w:next w:val="Normal"/>
    <w:link w:val="Ttulo1Car"/>
    <w:uiPriority w:val="9"/>
    <w:qFormat/>
    <w:rsid w:val="00947C3B"/>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947C3B"/>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unhideWhenUsed/>
    <w:qFormat/>
    <w:rsid w:val="00826670"/>
    <w:pPr>
      <w:keepNext/>
      <w:keepLines/>
      <w:spacing w:before="40"/>
      <w:outlineLvl w:val="2"/>
    </w:pPr>
    <w:rPr>
      <w:rFonts w:asciiTheme="majorHAnsi" w:eastAsiaTheme="majorEastAsia" w:hAnsiTheme="majorHAnsi" w:cstheme="majorBidi"/>
      <w:color w:val="1F3763"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947C3B"/>
    <w:rPr>
      <w:rFonts w:asciiTheme="majorHAnsi" w:eastAsiaTheme="majorEastAsia" w:hAnsiTheme="majorHAnsi" w:cstheme="majorBidi"/>
      <w:color w:val="2F5496" w:themeColor="accent1" w:themeShade="BF"/>
      <w:sz w:val="32"/>
      <w:szCs w:val="32"/>
      <w:lang w:val="es-ES_tradnl" w:eastAsia="es-ES"/>
    </w:rPr>
  </w:style>
  <w:style w:type="character" w:customStyle="1" w:styleId="Ttulo2Car">
    <w:name w:val="Título 2 Car"/>
    <w:basedOn w:val="Fuentedeprrafopredeter"/>
    <w:link w:val="Ttulo2"/>
    <w:uiPriority w:val="9"/>
    <w:rsid w:val="00947C3B"/>
    <w:rPr>
      <w:rFonts w:asciiTheme="majorHAnsi" w:eastAsiaTheme="majorEastAsia" w:hAnsiTheme="majorHAnsi" w:cstheme="majorBidi"/>
      <w:color w:val="2F5496" w:themeColor="accent1" w:themeShade="BF"/>
      <w:sz w:val="26"/>
      <w:szCs w:val="26"/>
      <w:lang w:val="es-ES_tradnl" w:eastAsia="es-ES"/>
    </w:rPr>
  </w:style>
  <w:style w:type="paragraph" w:styleId="Encabezado">
    <w:name w:val="header"/>
    <w:basedOn w:val="Normal"/>
    <w:link w:val="EncabezadoCar"/>
    <w:uiPriority w:val="99"/>
    <w:unhideWhenUsed/>
    <w:rsid w:val="00947C3B"/>
    <w:pPr>
      <w:tabs>
        <w:tab w:val="center" w:pos="4419"/>
        <w:tab w:val="right" w:pos="8838"/>
      </w:tabs>
    </w:pPr>
  </w:style>
  <w:style w:type="character" w:customStyle="1" w:styleId="EncabezadoCar">
    <w:name w:val="Encabezado Car"/>
    <w:basedOn w:val="Fuentedeprrafopredeter"/>
    <w:link w:val="Encabezado"/>
    <w:uiPriority w:val="99"/>
    <w:rsid w:val="00947C3B"/>
    <w:rPr>
      <w:rFonts w:eastAsiaTheme="minorEastAsia"/>
      <w:sz w:val="24"/>
      <w:szCs w:val="24"/>
      <w:lang w:val="es-ES_tradnl" w:eastAsia="es-ES"/>
    </w:rPr>
  </w:style>
  <w:style w:type="paragraph" w:styleId="Piedepgina">
    <w:name w:val="footer"/>
    <w:basedOn w:val="Normal"/>
    <w:link w:val="PiedepginaCar"/>
    <w:uiPriority w:val="99"/>
    <w:unhideWhenUsed/>
    <w:rsid w:val="00947C3B"/>
    <w:pPr>
      <w:tabs>
        <w:tab w:val="center" w:pos="4419"/>
        <w:tab w:val="right" w:pos="8838"/>
      </w:tabs>
    </w:pPr>
  </w:style>
  <w:style w:type="character" w:customStyle="1" w:styleId="PiedepginaCar">
    <w:name w:val="Pie de página Car"/>
    <w:basedOn w:val="Fuentedeprrafopredeter"/>
    <w:link w:val="Piedepgina"/>
    <w:uiPriority w:val="99"/>
    <w:rsid w:val="00947C3B"/>
    <w:rPr>
      <w:rFonts w:eastAsiaTheme="minorEastAsia"/>
      <w:sz w:val="24"/>
      <w:szCs w:val="24"/>
      <w:lang w:val="es-ES_tradnl"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947C3B"/>
    <w:pPr>
      <w:ind w:left="720"/>
      <w:contextualSpacing/>
    </w:p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947C3B"/>
    <w:rPr>
      <w:rFonts w:eastAsiaTheme="minorEastAsia"/>
      <w:sz w:val="24"/>
      <w:szCs w:val="24"/>
      <w:lang w:val="es-ES_tradnl" w:eastAsia="es-ES"/>
    </w:rPr>
  </w:style>
  <w:style w:type="character" w:styleId="Hipervnculo">
    <w:name w:val="Hyperlink"/>
    <w:basedOn w:val="Fuentedeprrafopredeter"/>
    <w:uiPriority w:val="99"/>
    <w:unhideWhenUsed/>
    <w:rsid w:val="00947C3B"/>
    <w:rPr>
      <w:color w:val="0000FF"/>
      <w:u w:val="single"/>
    </w:rPr>
  </w:style>
  <w:style w:type="table" w:customStyle="1" w:styleId="Tablanormal12">
    <w:name w:val="Tabla normal 12"/>
    <w:basedOn w:val="Tablanormal"/>
    <w:next w:val="Tablanormal1"/>
    <w:uiPriority w:val="41"/>
    <w:rsid w:val="00947C3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normal1">
    <w:name w:val="Plain Table 1"/>
    <w:basedOn w:val="Tablanormal"/>
    <w:uiPriority w:val="41"/>
    <w:rsid w:val="00947C3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Mencinsinresolver1">
    <w:name w:val="Mención sin resolver1"/>
    <w:basedOn w:val="Fuentedeprrafopredeter"/>
    <w:uiPriority w:val="99"/>
    <w:semiHidden/>
    <w:unhideWhenUsed/>
    <w:rsid w:val="008A09B0"/>
    <w:rPr>
      <w:color w:val="605E5C"/>
      <w:shd w:val="clear" w:color="auto" w:fill="E1DFDD"/>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locked/>
    <w:rsid w:val="005F346E"/>
    <w:rPr>
      <w:sz w:val="20"/>
      <w:szCs w:val="20"/>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5F346E"/>
    <w:rPr>
      <w:rFonts w:eastAsiaTheme="minorHAnsi"/>
      <w:sz w:val="20"/>
      <w:szCs w:val="20"/>
      <w:lang w:val="es-MX" w:eastAsia="en-US"/>
    </w:rPr>
  </w:style>
  <w:style w:type="character" w:customStyle="1" w:styleId="TextonotapieCar1">
    <w:name w:val="Texto nota pie Car1"/>
    <w:basedOn w:val="Fuentedeprrafopredeter"/>
    <w:uiPriority w:val="99"/>
    <w:semiHidden/>
    <w:rsid w:val="005F346E"/>
    <w:rPr>
      <w:rFonts w:eastAsiaTheme="minorEastAsia"/>
      <w:sz w:val="20"/>
      <w:szCs w:val="20"/>
      <w:lang w:val="es-ES_tradnl" w:eastAsia="es-ES"/>
    </w:rPr>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iPriority w:val="99"/>
    <w:unhideWhenUsed/>
    <w:qFormat/>
    <w:rsid w:val="005F346E"/>
    <w:rPr>
      <w:vertAlign w:val="superscript"/>
    </w:rPr>
  </w:style>
  <w:style w:type="paragraph" w:customStyle="1" w:styleId="Citas">
    <w:name w:val="Citas"/>
    <w:basedOn w:val="Normal"/>
    <w:qFormat/>
    <w:rsid w:val="002124C5"/>
    <w:pPr>
      <w:spacing w:before="240" w:after="160" w:line="360" w:lineRule="auto"/>
      <w:ind w:left="851" w:right="851"/>
      <w:jc w:val="both"/>
    </w:pPr>
    <w:rPr>
      <w:rFonts w:ascii="Palatino Linotype" w:eastAsiaTheme="minorHAnsi" w:hAnsi="Palatino Linotype" w:cs="Arial"/>
      <w:i/>
      <w:sz w:val="22"/>
      <w:szCs w:val="22"/>
      <w:lang w:val="es-MX" w:eastAsia="en-US"/>
    </w:rPr>
  </w:style>
  <w:style w:type="paragraph" w:styleId="Sinespaciado">
    <w:name w:val="No Spacing"/>
    <w:aliases w:val="Francesa,INAI"/>
    <w:link w:val="SinespaciadoCar"/>
    <w:uiPriority w:val="1"/>
    <w:qFormat/>
    <w:rsid w:val="00B90932"/>
    <w:pPr>
      <w:spacing w:after="0" w:line="240" w:lineRule="auto"/>
    </w:pPr>
  </w:style>
  <w:style w:type="character" w:customStyle="1" w:styleId="SinespaciadoCar">
    <w:name w:val="Sin espaciado Car"/>
    <w:aliases w:val="Francesa Car,INAI Car"/>
    <w:link w:val="Sinespaciado"/>
    <w:uiPriority w:val="1"/>
    <w:locked/>
    <w:rsid w:val="00B90932"/>
  </w:style>
  <w:style w:type="paragraph" w:customStyle="1" w:styleId="Default">
    <w:name w:val="Default"/>
    <w:qFormat/>
    <w:rsid w:val="008809BF"/>
    <w:pPr>
      <w:autoSpaceDE w:val="0"/>
      <w:autoSpaceDN w:val="0"/>
      <w:adjustRightInd w:val="0"/>
      <w:spacing w:after="0" w:line="240" w:lineRule="auto"/>
    </w:pPr>
    <w:rPr>
      <w:rFonts w:ascii="Arial" w:hAnsi="Arial" w:cs="Arial"/>
      <w:color w:val="000000"/>
      <w:sz w:val="24"/>
      <w:szCs w:val="24"/>
    </w:rPr>
  </w:style>
  <w:style w:type="paragraph" w:styleId="Textoindependiente">
    <w:name w:val="Body Text"/>
    <w:basedOn w:val="Normal"/>
    <w:link w:val="TextoindependienteCar"/>
    <w:rsid w:val="00186EC3"/>
    <w:pPr>
      <w:jc w:val="both"/>
    </w:pPr>
    <w:rPr>
      <w:rFonts w:ascii="Arial" w:eastAsia="Times New Roman" w:hAnsi="Arial" w:cs="Times New Roman"/>
      <w:szCs w:val="20"/>
      <w:lang w:val="es-MX" w:eastAsia="es-ES_tradnl"/>
    </w:rPr>
  </w:style>
  <w:style w:type="character" w:customStyle="1" w:styleId="TextoindependienteCar">
    <w:name w:val="Texto independiente Car"/>
    <w:basedOn w:val="Fuentedeprrafopredeter"/>
    <w:link w:val="Textoindependiente"/>
    <w:rsid w:val="00186EC3"/>
    <w:rPr>
      <w:rFonts w:ascii="Arial" w:eastAsia="Times New Roman" w:hAnsi="Arial" w:cs="Times New Roman"/>
      <w:sz w:val="24"/>
      <w:szCs w:val="20"/>
      <w:lang w:eastAsia="es-ES_tradnl"/>
    </w:rPr>
  </w:style>
  <w:style w:type="character" w:customStyle="1" w:styleId="Ttulo3Car">
    <w:name w:val="Título 3 Car"/>
    <w:basedOn w:val="Fuentedeprrafopredeter"/>
    <w:link w:val="Ttulo3"/>
    <w:uiPriority w:val="9"/>
    <w:rsid w:val="00826670"/>
    <w:rPr>
      <w:rFonts w:asciiTheme="majorHAnsi" w:eastAsiaTheme="majorEastAsia" w:hAnsiTheme="majorHAnsi" w:cstheme="majorBidi"/>
      <w:color w:val="1F3763" w:themeColor="accent1" w:themeShade="7F"/>
      <w:sz w:val="24"/>
      <w:szCs w:val="24"/>
      <w:lang w:val="es-ES_tradnl" w:eastAsia="es-ES"/>
    </w:rPr>
  </w:style>
  <w:style w:type="paragraph" w:customStyle="1" w:styleId="j">
    <w:name w:val="j"/>
    <w:basedOn w:val="Normal"/>
    <w:rsid w:val="00826670"/>
    <w:pPr>
      <w:spacing w:before="100" w:beforeAutospacing="1" w:after="100" w:afterAutospacing="1"/>
    </w:pPr>
    <w:rPr>
      <w:rFonts w:ascii="Times New Roman" w:eastAsia="Times New Roman" w:hAnsi="Times New Roman" w:cs="Times New Roman"/>
      <w:lang w:val="es-MX" w:eastAsia="es-MX"/>
    </w:rPr>
  </w:style>
  <w:style w:type="paragraph" w:customStyle="1" w:styleId="francesa">
    <w:name w:val="francesa"/>
    <w:basedOn w:val="Normal"/>
    <w:rsid w:val="00826670"/>
    <w:pPr>
      <w:spacing w:before="100" w:beforeAutospacing="1" w:after="100" w:afterAutospacing="1"/>
    </w:pPr>
    <w:rPr>
      <w:rFonts w:ascii="Times New Roman" w:eastAsia="Times New Roman" w:hAnsi="Times New Roman" w:cs="Times New Roman"/>
      <w:lang w:val="es-MX" w:eastAsia="es-MX"/>
    </w:rPr>
  </w:style>
  <w:style w:type="character" w:customStyle="1" w:styleId="charoverride-2">
    <w:name w:val="charoverride-2"/>
    <w:basedOn w:val="Fuentedeprrafopredeter"/>
    <w:rsid w:val="00826670"/>
  </w:style>
  <w:style w:type="character" w:customStyle="1" w:styleId="charoverride-1">
    <w:name w:val="charoverride-1"/>
    <w:basedOn w:val="Fuentedeprrafopredeter"/>
    <w:rsid w:val="00826670"/>
  </w:style>
  <w:style w:type="paragraph" w:styleId="NormalWeb">
    <w:name w:val="Normal (Web)"/>
    <w:basedOn w:val="Normal"/>
    <w:uiPriority w:val="99"/>
    <w:unhideWhenUsed/>
    <w:rsid w:val="004A64CC"/>
    <w:pPr>
      <w:spacing w:before="100" w:beforeAutospacing="1" w:after="100" w:afterAutospacing="1"/>
    </w:pPr>
    <w:rPr>
      <w:rFonts w:ascii="Times New Roman" w:eastAsia="Times New Roman" w:hAnsi="Times New Roman" w:cs="Times New Roman"/>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7901708">
      <w:bodyDiv w:val="1"/>
      <w:marLeft w:val="0"/>
      <w:marRight w:val="0"/>
      <w:marTop w:val="0"/>
      <w:marBottom w:val="0"/>
      <w:divBdr>
        <w:top w:val="none" w:sz="0" w:space="0" w:color="auto"/>
        <w:left w:val="none" w:sz="0" w:space="0" w:color="auto"/>
        <w:bottom w:val="none" w:sz="0" w:space="0" w:color="auto"/>
        <w:right w:val="none" w:sz="0" w:space="0" w:color="auto"/>
      </w:divBdr>
      <w:divsChild>
        <w:div w:id="1956060970">
          <w:marLeft w:val="0"/>
          <w:marRight w:val="0"/>
          <w:marTop w:val="15"/>
          <w:marBottom w:val="0"/>
          <w:divBdr>
            <w:top w:val="single" w:sz="48" w:space="0" w:color="auto"/>
            <w:left w:val="single" w:sz="48" w:space="0" w:color="auto"/>
            <w:bottom w:val="single" w:sz="48" w:space="0" w:color="auto"/>
            <w:right w:val="single" w:sz="48" w:space="0" w:color="auto"/>
          </w:divBdr>
          <w:divsChild>
            <w:div w:id="22100886">
              <w:marLeft w:val="0"/>
              <w:marRight w:val="0"/>
              <w:marTop w:val="0"/>
              <w:marBottom w:val="0"/>
              <w:divBdr>
                <w:top w:val="none" w:sz="0" w:space="0" w:color="auto"/>
                <w:left w:val="none" w:sz="0" w:space="0" w:color="auto"/>
                <w:bottom w:val="none" w:sz="0" w:space="0" w:color="auto"/>
                <w:right w:val="none" w:sz="0" w:space="0" w:color="auto"/>
              </w:divBdr>
              <w:divsChild>
                <w:div w:id="12418980">
                  <w:marLeft w:val="0"/>
                  <w:marRight w:val="0"/>
                  <w:marTop w:val="0"/>
                  <w:marBottom w:val="0"/>
                  <w:divBdr>
                    <w:top w:val="none" w:sz="0" w:space="0" w:color="auto"/>
                    <w:left w:val="none" w:sz="0" w:space="0" w:color="auto"/>
                    <w:bottom w:val="none" w:sz="0" w:space="0" w:color="auto"/>
                    <w:right w:val="none" w:sz="0" w:space="0" w:color="auto"/>
                  </w:divBdr>
                </w:div>
                <w:div w:id="152529884">
                  <w:marLeft w:val="0"/>
                  <w:marRight w:val="0"/>
                  <w:marTop w:val="0"/>
                  <w:marBottom w:val="0"/>
                  <w:divBdr>
                    <w:top w:val="none" w:sz="0" w:space="0" w:color="auto"/>
                    <w:left w:val="none" w:sz="0" w:space="0" w:color="auto"/>
                    <w:bottom w:val="none" w:sz="0" w:space="0" w:color="auto"/>
                    <w:right w:val="none" w:sz="0" w:space="0" w:color="auto"/>
                  </w:divBdr>
                </w:div>
                <w:div w:id="237592779">
                  <w:marLeft w:val="0"/>
                  <w:marRight w:val="0"/>
                  <w:marTop w:val="0"/>
                  <w:marBottom w:val="0"/>
                  <w:divBdr>
                    <w:top w:val="none" w:sz="0" w:space="0" w:color="auto"/>
                    <w:left w:val="none" w:sz="0" w:space="0" w:color="auto"/>
                    <w:bottom w:val="none" w:sz="0" w:space="0" w:color="auto"/>
                    <w:right w:val="none" w:sz="0" w:space="0" w:color="auto"/>
                  </w:divBdr>
                </w:div>
                <w:div w:id="265768801">
                  <w:marLeft w:val="0"/>
                  <w:marRight w:val="0"/>
                  <w:marTop w:val="0"/>
                  <w:marBottom w:val="0"/>
                  <w:divBdr>
                    <w:top w:val="none" w:sz="0" w:space="0" w:color="auto"/>
                    <w:left w:val="none" w:sz="0" w:space="0" w:color="auto"/>
                    <w:bottom w:val="none" w:sz="0" w:space="0" w:color="auto"/>
                    <w:right w:val="none" w:sz="0" w:space="0" w:color="auto"/>
                  </w:divBdr>
                </w:div>
                <w:div w:id="539128435">
                  <w:marLeft w:val="0"/>
                  <w:marRight w:val="0"/>
                  <w:marTop w:val="0"/>
                  <w:marBottom w:val="0"/>
                  <w:divBdr>
                    <w:top w:val="none" w:sz="0" w:space="0" w:color="auto"/>
                    <w:left w:val="none" w:sz="0" w:space="0" w:color="auto"/>
                    <w:bottom w:val="none" w:sz="0" w:space="0" w:color="auto"/>
                    <w:right w:val="none" w:sz="0" w:space="0" w:color="auto"/>
                  </w:divBdr>
                </w:div>
                <w:div w:id="906916548">
                  <w:marLeft w:val="0"/>
                  <w:marRight w:val="0"/>
                  <w:marTop w:val="0"/>
                  <w:marBottom w:val="0"/>
                  <w:divBdr>
                    <w:top w:val="none" w:sz="0" w:space="0" w:color="auto"/>
                    <w:left w:val="none" w:sz="0" w:space="0" w:color="auto"/>
                    <w:bottom w:val="none" w:sz="0" w:space="0" w:color="auto"/>
                    <w:right w:val="none" w:sz="0" w:space="0" w:color="auto"/>
                  </w:divBdr>
                </w:div>
                <w:div w:id="1149976107">
                  <w:marLeft w:val="0"/>
                  <w:marRight w:val="0"/>
                  <w:marTop w:val="0"/>
                  <w:marBottom w:val="0"/>
                  <w:divBdr>
                    <w:top w:val="none" w:sz="0" w:space="0" w:color="auto"/>
                    <w:left w:val="none" w:sz="0" w:space="0" w:color="auto"/>
                    <w:bottom w:val="none" w:sz="0" w:space="0" w:color="auto"/>
                    <w:right w:val="none" w:sz="0" w:space="0" w:color="auto"/>
                  </w:divBdr>
                </w:div>
                <w:div w:id="1172767565">
                  <w:marLeft w:val="0"/>
                  <w:marRight w:val="0"/>
                  <w:marTop w:val="0"/>
                  <w:marBottom w:val="0"/>
                  <w:divBdr>
                    <w:top w:val="none" w:sz="0" w:space="0" w:color="auto"/>
                    <w:left w:val="none" w:sz="0" w:space="0" w:color="auto"/>
                    <w:bottom w:val="none" w:sz="0" w:space="0" w:color="auto"/>
                    <w:right w:val="none" w:sz="0" w:space="0" w:color="auto"/>
                  </w:divBdr>
                </w:div>
                <w:div w:id="1252159072">
                  <w:marLeft w:val="0"/>
                  <w:marRight w:val="0"/>
                  <w:marTop w:val="0"/>
                  <w:marBottom w:val="0"/>
                  <w:divBdr>
                    <w:top w:val="none" w:sz="0" w:space="0" w:color="auto"/>
                    <w:left w:val="none" w:sz="0" w:space="0" w:color="auto"/>
                    <w:bottom w:val="none" w:sz="0" w:space="0" w:color="auto"/>
                    <w:right w:val="none" w:sz="0" w:space="0" w:color="auto"/>
                  </w:divBdr>
                </w:div>
                <w:div w:id="1295212864">
                  <w:marLeft w:val="0"/>
                  <w:marRight w:val="0"/>
                  <w:marTop w:val="0"/>
                  <w:marBottom w:val="0"/>
                  <w:divBdr>
                    <w:top w:val="none" w:sz="0" w:space="0" w:color="auto"/>
                    <w:left w:val="none" w:sz="0" w:space="0" w:color="auto"/>
                    <w:bottom w:val="none" w:sz="0" w:space="0" w:color="auto"/>
                    <w:right w:val="none" w:sz="0" w:space="0" w:color="auto"/>
                  </w:divBdr>
                </w:div>
                <w:div w:id="1306469494">
                  <w:marLeft w:val="0"/>
                  <w:marRight w:val="0"/>
                  <w:marTop w:val="0"/>
                  <w:marBottom w:val="0"/>
                  <w:divBdr>
                    <w:top w:val="none" w:sz="0" w:space="0" w:color="auto"/>
                    <w:left w:val="none" w:sz="0" w:space="0" w:color="auto"/>
                    <w:bottom w:val="none" w:sz="0" w:space="0" w:color="auto"/>
                    <w:right w:val="none" w:sz="0" w:space="0" w:color="auto"/>
                  </w:divBdr>
                </w:div>
                <w:div w:id="1593784480">
                  <w:marLeft w:val="0"/>
                  <w:marRight w:val="0"/>
                  <w:marTop w:val="0"/>
                  <w:marBottom w:val="0"/>
                  <w:divBdr>
                    <w:top w:val="none" w:sz="0" w:space="0" w:color="auto"/>
                    <w:left w:val="none" w:sz="0" w:space="0" w:color="auto"/>
                    <w:bottom w:val="none" w:sz="0" w:space="0" w:color="auto"/>
                    <w:right w:val="none" w:sz="0" w:space="0" w:color="auto"/>
                  </w:divBdr>
                </w:div>
                <w:div w:id="1659847219">
                  <w:marLeft w:val="0"/>
                  <w:marRight w:val="0"/>
                  <w:marTop w:val="0"/>
                  <w:marBottom w:val="0"/>
                  <w:divBdr>
                    <w:top w:val="none" w:sz="0" w:space="0" w:color="auto"/>
                    <w:left w:val="none" w:sz="0" w:space="0" w:color="auto"/>
                    <w:bottom w:val="none" w:sz="0" w:space="0" w:color="auto"/>
                    <w:right w:val="none" w:sz="0" w:space="0" w:color="auto"/>
                  </w:divBdr>
                </w:div>
                <w:div w:id="1705786406">
                  <w:marLeft w:val="0"/>
                  <w:marRight w:val="0"/>
                  <w:marTop w:val="0"/>
                  <w:marBottom w:val="0"/>
                  <w:divBdr>
                    <w:top w:val="none" w:sz="0" w:space="0" w:color="auto"/>
                    <w:left w:val="none" w:sz="0" w:space="0" w:color="auto"/>
                    <w:bottom w:val="none" w:sz="0" w:space="0" w:color="auto"/>
                    <w:right w:val="none" w:sz="0" w:space="0" w:color="auto"/>
                  </w:divBdr>
                </w:div>
                <w:div w:id="1714227246">
                  <w:marLeft w:val="0"/>
                  <w:marRight w:val="0"/>
                  <w:marTop w:val="0"/>
                  <w:marBottom w:val="0"/>
                  <w:divBdr>
                    <w:top w:val="none" w:sz="0" w:space="0" w:color="auto"/>
                    <w:left w:val="none" w:sz="0" w:space="0" w:color="auto"/>
                    <w:bottom w:val="none" w:sz="0" w:space="0" w:color="auto"/>
                    <w:right w:val="none" w:sz="0" w:space="0" w:color="auto"/>
                  </w:divBdr>
                </w:div>
                <w:div w:id="1835100593">
                  <w:marLeft w:val="0"/>
                  <w:marRight w:val="0"/>
                  <w:marTop w:val="0"/>
                  <w:marBottom w:val="0"/>
                  <w:divBdr>
                    <w:top w:val="none" w:sz="0" w:space="0" w:color="auto"/>
                    <w:left w:val="none" w:sz="0" w:space="0" w:color="auto"/>
                    <w:bottom w:val="none" w:sz="0" w:space="0" w:color="auto"/>
                    <w:right w:val="none" w:sz="0" w:space="0" w:color="auto"/>
                  </w:divBdr>
                </w:div>
                <w:div w:id="2144500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7076624">
          <w:marLeft w:val="0"/>
          <w:marRight w:val="0"/>
          <w:marTop w:val="15"/>
          <w:marBottom w:val="0"/>
          <w:divBdr>
            <w:top w:val="single" w:sz="48" w:space="0" w:color="auto"/>
            <w:left w:val="single" w:sz="48" w:space="0" w:color="auto"/>
            <w:bottom w:val="single" w:sz="48" w:space="0" w:color="auto"/>
            <w:right w:val="single" w:sz="48" w:space="0" w:color="auto"/>
          </w:divBdr>
          <w:divsChild>
            <w:div w:id="1481001949">
              <w:marLeft w:val="0"/>
              <w:marRight w:val="0"/>
              <w:marTop w:val="0"/>
              <w:marBottom w:val="0"/>
              <w:divBdr>
                <w:top w:val="none" w:sz="0" w:space="0" w:color="auto"/>
                <w:left w:val="none" w:sz="0" w:space="0" w:color="auto"/>
                <w:bottom w:val="none" w:sz="0" w:space="0" w:color="auto"/>
                <w:right w:val="none" w:sz="0" w:space="0" w:color="auto"/>
              </w:divBdr>
              <w:divsChild>
                <w:div w:id="52582994">
                  <w:marLeft w:val="0"/>
                  <w:marRight w:val="0"/>
                  <w:marTop w:val="0"/>
                  <w:marBottom w:val="0"/>
                  <w:divBdr>
                    <w:top w:val="none" w:sz="0" w:space="0" w:color="auto"/>
                    <w:left w:val="none" w:sz="0" w:space="0" w:color="auto"/>
                    <w:bottom w:val="none" w:sz="0" w:space="0" w:color="auto"/>
                    <w:right w:val="none" w:sz="0" w:space="0" w:color="auto"/>
                  </w:divBdr>
                </w:div>
                <w:div w:id="56320687">
                  <w:marLeft w:val="0"/>
                  <w:marRight w:val="0"/>
                  <w:marTop w:val="0"/>
                  <w:marBottom w:val="0"/>
                  <w:divBdr>
                    <w:top w:val="none" w:sz="0" w:space="0" w:color="auto"/>
                    <w:left w:val="none" w:sz="0" w:space="0" w:color="auto"/>
                    <w:bottom w:val="none" w:sz="0" w:space="0" w:color="auto"/>
                    <w:right w:val="none" w:sz="0" w:space="0" w:color="auto"/>
                  </w:divBdr>
                </w:div>
                <w:div w:id="145979114">
                  <w:marLeft w:val="0"/>
                  <w:marRight w:val="0"/>
                  <w:marTop w:val="0"/>
                  <w:marBottom w:val="0"/>
                  <w:divBdr>
                    <w:top w:val="none" w:sz="0" w:space="0" w:color="auto"/>
                    <w:left w:val="none" w:sz="0" w:space="0" w:color="auto"/>
                    <w:bottom w:val="none" w:sz="0" w:space="0" w:color="auto"/>
                    <w:right w:val="none" w:sz="0" w:space="0" w:color="auto"/>
                  </w:divBdr>
                </w:div>
                <w:div w:id="163478527">
                  <w:marLeft w:val="0"/>
                  <w:marRight w:val="0"/>
                  <w:marTop w:val="0"/>
                  <w:marBottom w:val="0"/>
                  <w:divBdr>
                    <w:top w:val="none" w:sz="0" w:space="0" w:color="auto"/>
                    <w:left w:val="none" w:sz="0" w:space="0" w:color="auto"/>
                    <w:bottom w:val="none" w:sz="0" w:space="0" w:color="auto"/>
                    <w:right w:val="none" w:sz="0" w:space="0" w:color="auto"/>
                  </w:divBdr>
                </w:div>
                <w:div w:id="185101183">
                  <w:marLeft w:val="0"/>
                  <w:marRight w:val="0"/>
                  <w:marTop w:val="0"/>
                  <w:marBottom w:val="0"/>
                  <w:divBdr>
                    <w:top w:val="none" w:sz="0" w:space="0" w:color="auto"/>
                    <w:left w:val="none" w:sz="0" w:space="0" w:color="auto"/>
                    <w:bottom w:val="none" w:sz="0" w:space="0" w:color="auto"/>
                    <w:right w:val="none" w:sz="0" w:space="0" w:color="auto"/>
                  </w:divBdr>
                </w:div>
                <w:div w:id="284890429">
                  <w:marLeft w:val="0"/>
                  <w:marRight w:val="0"/>
                  <w:marTop w:val="0"/>
                  <w:marBottom w:val="0"/>
                  <w:divBdr>
                    <w:top w:val="none" w:sz="0" w:space="0" w:color="auto"/>
                    <w:left w:val="none" w:sz="0" w:space="0" w:color="auto"/>
                    <w:bottom w:val="none" w:sz="0" w:space="0" w:color="auto"/>
                    <w:right w:val="none" w:sz="0" w:space="0" w:color="auto"/>
                  </w:divBdr>
                </w:div>
                <w:div w:id="315844141">
                  <w:marLeft w:val="0"/>
                  <w:marRight w:val="0"/>
                  <w:marTop w:val="0"/>
                  <w:marBottom w:val="0"/>
                  <w:divBdr>
                    <w:top w:val="none" w:sz="0" w:space="0" w:color="auto"/>
                    <w:left w:val="none" w:sz="0" w:space="0" w:color="auto"/>
                    <w:bottom w:val="none" w:sz="0" w:space="0" w:color="auto"/>
                    <w:right w:val="none" w:sz="0" w:space="0" w:color="auto"/>
                  </w:divBdr>
                </w:div>
                <w:div w:id="420369871">
                  <w:marLeft w:val="0"/>
                  <w:marRight w:val="0"/>
                  <w:marTop w:val="0"/>
                  <w:marBottom w:val="0"/>
                  <w:divBdr>
                    <w:top w:val="none" w:sz="0" w:space="0" w:color="auto"/>
                    <w:left w:val="none" w:sz="0" w:space="0" w:color="auto"/>
                    <w:bottom w:val="none" w:sz="0" w:space="0" w:color="auto"/>
                    <w:right w:val="none" w:sz="0" w:space="0" w:color="auto"/>
                  </w:divBdr>
                </w:div>
                <w:div w:id="534923562">
                  <w:marLeft w:val="0"/>
                  <w:marRight w:val="0"/>
                  <w:marTop w:val="0"/>
                  <w:marBottom w:val="0"/>
                  <w:divBdr>
                    <w:top w:val="none" w:sz="0" w:space="0" w:color="auto"/>
                    <w:left w:val="none" w:sz="0" w:space="0" w:color="auto"/>
                    <w:bottom w:val="none" w:sz="0" w:space="0" w:color="auto"/>
                    <w:right w:val="none" w:sz="0" w:space="0" w:color="auto"/>
                  </w:divBdr>
                </w:div>
                <w:div w:id="554850275">
                  <w:marLeft w:val="0"/>
                  <w:marRight w:val="0"/>
                  <w:marTop w:val="0"/>
                  <w:marBottom w:val="0"/>
                  <w:divBdr>
                    <w:top w:val="none" w:sz="0" w:space="0" w:color="auto"/>
                    <w:left w:val="none" w:sz="0" w:space="0" w:color="auto"/>
                    <w:bottom w:val="none" w:sz="0" w:space="0" w:color="auto"/>
                    <w:right w:val="none" w:sz="0" w:space="0" w:color="auto"/>
                  </w:divBdr>
                </w:div>
                <w:div w:id="596139411">
                  <w:marLeft w:val="0"/>
                  <w:marRight w:val="0"/>
                  <w:marTop w:val="0"/>
                  <w:marBottom w:val="0"/>
                  <w:divBdr>
                    <w:top w:val="none" w:sz="0" w:space="0" w:color="auto"/>
                    <w:left w:val="none" w:sz="0" w:space="0" w:color="auto"/>
                    <w:bottom w:val="none" w:sz="0" w:space="0" w:color="auto"/>
                    <w:right w:val="none" w:sz="0" w:space="0" w:color="auto"/>
                  </w:divBdr>
                </w:div>
                <w:div w:id="619144325">
                  <w:marLeft w:val="0"/>
                  <w:marRight w:val="0"/>
                  <w:marTop w:val="0"/>
                  <w:marBottom w:val="0"/>
                  <w:divBdr>
                    <w:top w:val="none" w:sz="0" w:space="0" w:color="auto"/>
                    <w:left w:val="none" w:sz="0" w:space="0" w:color="auto"/>
                    <w:bottom w:val="none" w:sz="0" w:space="0" w:color="auto"/>
                    <w:right w:val="none" w:sz="0" w:space="0" w:color="auto"/>
                  </w:divBdr>
                </w:div>
                <w:div w:id="644045052">
                  <w:marLeft w:val="0"/>
                  <w:marRight w:val="0"/>
                  <w:marTop w:val="0"/>
                  <w:marBottom w:val="0"/>
                  <w:divBdr>
                    <w:top w:val="none" w:sz="0" w:space="0" w:color="auto"/>
                    <w:left w:val="none" w:sz="0" w:space="0" w:color="auto"/>
                    <w:bottom w:val="none" w:sz="0" w:space="0" w:color="auto"/>
                    <w:right w:val="none" w:sz="0" w:space="0" w:color="auto"/>
                  </w:divBdr>
                </w:div>
                <w:div w:id="694385553">
                  <w:marLeft w:val="0"/>
                  <w:marRight w:val="0"/>
                  <w:marTop w:val="0"/>
                  <w:marBottom w:val="0"/>
                  <w:divBdr>
                    <w:top w:val="none" w:sz="0" w:space="0" w:color="auto"/>
                    <w:left w:val="none" w:sz="0" w:space="0" w:color="auto"/>
                    <w:bottom w:val="none" w:sz="0" w:space="0" w:color="auto"/>
                    <w:right w:val="none" w:sz="0" w:space="0" w:color="auto"/>
                  </w:divBdr>
                </w:div>
                <w:div w:id="715475137">
                  <w:marLeft w:val="0"/>
                  <w:marRight w:val="0"/>
                  <w:marTop w:val="0"/>
                  <w:marBottom w:val="0"/>
                  <w:divBdr>
                    <w:top w:val="none" w:sz="0" w:space="0" w:color="auto"/>
                    <w:left w:val="none" w:sz="0" w:space="0" w:color="auto"/>
                    <w:bottom w:val="none" w:sz="0" w:space="0" w:color="auto"/>
                    <w:right w:val="none" w:sz="0" w:space="0" w:color="auto"/>
                  </w:divBdr>
                </w:div>
                <w:div w:id="929118402">
                  <w:marLeft w:val="0"/>
                  <w:marRight w:val="0"/>
                  <w:marTop w:val="0"/>
                  <w:marBottom w:val="0"/>
                  <w:divBdr>
                    <w:top w:val="none" w:sz="0" w:space="0" w:color="auto"/>
                    <w:left w:val="none" w:sz="0" w:space="0" w:color="auto"/>
                    <w:bottom w:val="none" w:sz="0" w:space="0" w:color="auto"/>
                    <w:right w:val="none" w:sz="0" w:space="0" w:color="auto"/>
                  </w:divBdr>
                </w:div>
                <w:div w:id="970672265">
                  <w:marLeft w:val="0"/>
                  <w:marRight w:val="0"/>
                  <w:marTop w:val="0"/>
                  <w:marBottom w:val="0"/>
                  <w:divBdr>
                    <w:top w:val="none" w:sz="0" w:space="0" w:color="auto"/>
                    <w:left w:val="none" w:sz="0" w:space="0" w:color="auto"/>
                    <w:bottom w:val="none" w:sz="0" w:space="0" w:color="auto"/>
                    <w:right w:val="none" w:sz="0" w:space="0" w:color="auto"/>
                  </w:divBdr>
                </w:div>
                <w:div w:id="1032802393">
                  <w:marLeft w:val="0"/>
                  <w:marRight w:val="0"/>
                  <w:marTop w:val="0"/>
                  <w:marBottom w:val="0"/>
                  <w:divBdr>
                    <w:top w:val="none" w:sz="0" w:space="0" w:color="auto"/>
                    <w:left w:val="none" w:sz="0" w:space="0" w:color="auto"/>
                    <w:bottom w:val="none" w:sz="0" w:space="0" w:color="auto"/>
                    <w:right w:val="none" w:sz="0" w:space="0" w:color="auto"/>
                  </w:divBdr>
                </w:div>
                <w:div w:id="1199780490">
                  <w:marLeft w:val="0"/>
                  <w:marRight w:val="0"/>
                  <w:marTop w:val="0"/>
                  <w:marBottom w:val="0"/>
                  <w:divBdr>
                    <w:top w:val="none" w:sz="0" w:space="0" w:color="auto"/>
                    <w:left w:val="none" w:sz="0" w:space="0" w:color="auto"/>
                    <w:bottom w:val="none" w:sz="0" w:space="0" w:color="auto"/>
                    <w:right w:val="none" w:sz="0" w:space="0" w:color="auto"/>
                  </w:divBdr>
                </w:div>
                <w:div w:id="1260724823">
                  <w:marLeft w:val="0"/>
                  <w:marRight w:val="0"/>
                  <w:marTop w:val="0"/>
                  <w:marBottom w:val="0"/>
                  <w:divBdr>
                    <w:top w:val="none" w:sz="0" w:space="0" w:color="auto"/>
                    <w:left w:val="none" w:sz="0" w:space="0" w:color="auto"/>
                    <w:bottom w:val="none" w:sz="0" w:space="0" w:color="auto"/>
                    <w:right w:val="none" w:sz="0" w:space="0" w:color="auto"/>
                  </w:divBdr>
                </w:div>
                <w:div w:id="1285892833">
                  <w:marLeft w:val="0"/>
                  <w:marRight w:val="0"/>
                  <w:marTop w:val="0"/>
                  <w:marBottom w:val="0"/>
                  <w:divBdr>
                    <w:top w:val="none" w:sz="0" w:space="0" w:color="auto"/>
                    <w:left w:val="none" w:sz="0" w:space="0" w:color="auto"/>
                    <w:bottom w:val="none" w:sz="0" w:space="0" w:color="auto"/>
                    <w:right w:val="none" w:sz="0" w:space="0" w:color="auto"/>
                  </w:divBdr>
                </w:div>
                <w:div w:id="1300190339">
                  <w:marLeft w:val="0"/>
                  <w:marRight w:val="0"/>
                  <w:marTop w:val="0"/>
                  <w:marBottom w:val="0"/>
                  <w:divBdr>
                    <w:top w:val="none" w:sz="0" w:space="0" w:color="auto"/>
                    <w:left w:val="none" w:sz="0" w:space="0" w:color="auto"/>
                    <w:bottom w:val="none" w:sz="0" w:space="0" w:color="auto"/>
                    <w:right w:val="none" w:sz="0" w:space="0" w:color="auto"/>
                  </w:divBdr>
                </w:div>
                <w:div w:id="1319580986">
                  <w:marLeft w:val="0"/>
                  <w:marRight w:val="0"/>
                  <w:marTop w:val="0"/>
                  <w:marBottom w:val="0"/>
                  <w:divBdr>
                    <w:top w:val="none" w:sz="0" w:space="0" w:color="auto"/>
                    <w:left w:val="none" w:sz="0" w:space="0" w:color="auto"/>
                    <w:bottom w:val="none" w:sz="0" w:space="0" w:color="auto"/>
                    <w:right w:val="none" w:sz="0" w:space="0" w:color="auto"/>
                  </w:divBdr>
                </w:div>
                <w:div w:id="1350108161">
                  <w:marLeft w:val="0"/>
                  <w:marRight w:val="0"/>
                  <w:marTop w:val="0"/>
                  <w:marBottom w:val="0"/>
                  <w:divBdr>
                    <w:top w:val="none" w:sz="0" w:space="0" w:color="auto"/>
                    <w:left w:val="none" w:sz="0" w:space="0" w:color="auto"/>
                    <w:bottom w:val="none" w:sz="0" w:space="0" w:color="auto"/>
                    <w:right w:val="none" w:sz="0" w:space="0" w:color="auto"/>
                  </w:divBdr>
                </w:div>
                <w:div w:id="1527257241">
                  <w:marLeft w:val="0"/>
                  <w:marRight w:val="0"/>
                  <w:marTop w:val="0"/>
                  <w:marBottom w:val="0"/>
                  <w:divBdr>
                    <w:top w:val="none" w:sz="0" w:space="0" w:color="auto"/>
                    <w:left w:val="none" w:sz="0" w:space="0" w:color="auto"/>
                    <w:bottom w:val="none" w:sz="0" w:space="0" w:color="auto"/>
                    <w:right w:val="none" w:sz="0" w:space="0" w:color="auto"/>
                  </w:divBdr>
                </w:div>
                <w:div w:id="1540820020">
                  <w:marLeft w:val="0"/>
                  <w:marRight w:val="0"/>
                  <w:marTop w:val="0"/>
                  <w:marBottom w:val="0"/>
                  <w:divBdr>
                    <w:top w:val="none" w:sz="0" w:space="0" w:color="auto"/>
                    <w:left w:val="none" w:sz="0" w:space="0" w:color="auto"/>
                    <w:bottom w:val="none" w:sz="0" w:space="0" w:color="auto"/>
                    <w:right w:val="none" w:sz="0" w:space="0" w:color="auto"/>
                  </w:divBdr>
                </w:div>
                <w:div w:id="1608082236">
                  <w:marLeft w:val="0"/>
                  <w:marRight w:val="0"/>
                  <w:marTop w:val="0"/>
                  <w:marBottom w:val="0"/>
                  <w:divBdr>
                    <w:top w:val="none" w:sz="0" w:space="0" w:color="auto"/>
                    <w:left w:val="none" w:sz="0" w:space="0" w:color="auto"/>
                    <w:bottom w:val="none" w:sz="0" w:space="0" w:color="auto"/>
                    <w:right w:val="none" w:sz="0" w:space="0" w:color="auto"/>
                  </w:divBdr>
                </w:div>
                <w:div w:id="1643002349">
                  <w:marLeft w:val="0"/>
                  <w:marRight w:val="0"/>
                  <w:marTop w:val="0"/>
                  <w:marBottom w:val="0"/>
                  <w:divBdr>
                    <w:top w:val="none" w:sz="0" w:space="0" w:color="auto"/>
                    <w:left w:val="none" w:sz="0" w:space="0" w:color="auto"/>
                    <w:bottom w:val="none" w:sz="0" w:space="0" w:color="auto"/>
                    <w:right w:val="none" w:sz="0" w:space="0" w:color="auto"/>
                  </w:divBdr>
                </w:div>
                <w:div w:id="1674340300">
                  <w:marLeft w:val="0"/>
                  <w:marRight w:val="0"/>
                  <w:marTop w:val="0"/>
                  <w:marBottom w:val="0"/>
                  <w:divBdr>
                    <w:top w:val="none" w:sz="0" w:space="0" w:color="auto"/>
                    <w:left w:val="none" w:sz="0" w:space="0" w:color="auto"/>
                    <w:bottom w:val="none" w:sz="0" w:space="0" w:color="auto"/>
                    <w:right w:val="none" w:sz="0" w:space="0" w:color="auto"/>
                  </w:divBdr>
                </w:div>
                <w:div w:id="1739549363">
                  <w:marLeft w:val="0"/>
                  <w:marRight w:val="0"/>
                  <w:marTop w:val="0"/>
                  <w:marBottom w:val="0"/>
                  <w:divBdr>
                    <w:top w:val="none" w:sz="0" w:space="0" w:color="auto"/>
                    <w:left w:val="none" w:sz="0" w:space="0" w:color="auto"/>
                    <w:bottom w:val="none" w:sz="0" w:space="0" w:color="auto"/>
                    <w:right w:val="none" w:sz="0" w:space="0" w:color="auto"/>
                  </w:divBdr>
                </w:div>
                <w:div w:id="1798986837">
                  <w:marLeft w:val="0"/>
                  <w:marRight w:val="0"/>
                  <w:marTop w:val="0"/>
                  <w:marBottom w:val="0"/>
                  <w:divBdr>
                    <w:top w:val="none" w:sz="0" w:space="0" w:color="auto"/>
                    <w:left w:val="none" w:sz="0" w:space="0" w:color="auto"/>
                    <w:bottom w:val="none" w:sz="0" w:space="0" w:color="auto"/>
                    <w:right w:val="none" w:sz="0" w:space="0" w:color="auto"/>
                  </w:divBdr>
                </w:div>
                <w:div w:id="1845775675">
                  <w:marLeft w:val="0"/>
                  <w:marRight w:val="0"/>
                  <w:marTop w:val="0"/>
                  <w:marBottom w:val="0"/>
                  <w:divBdr>
                    <w:top w:val="none" w:sz="0" w:space="0" w:color="auto"/>
                    <w:left w:val="none" w:sz="0" w:space="0" w:color="auto"/>
                    <w:bottom w:val="none" w:sz="0" w:space="0" w:color="auto"/>
                    <w:right w:val="none" w:sz="0" w:space="0" w:color="auto"/>
                  </w:divBdr>
                </w:div>
                <w:div w:id="1983997388">
                  <w:marLeft w:val="0"/>
                  <w:marRight w:val="0"/>
                  <w:marTop w:val="0"/>
                  <w:marBottom w:val="0"/>
                  <w:divBdr>
                    <w:top w:val="none" w:sz="0" w:space="0" w:color="auto"/>
                    <w:left w:val="none" w:sz="0" w:space="0" w:color="auto"/>
                    <w:bottom w:val="none" w:sz="0" w:space="0" w:color="auto"/>
                    <w:right w:val="none" w:sz="0" w:space="0" w:color="auto"/>
                  </w:divBdr>
                </w:div>
                <w:div w:id="1985237345">
                  <w:marLeft w:val="0"/>
                  <w:marRight w:val="0"/>
                  <w:marTop w:val="0"/>
                  <w:marBottom w:val="0"/>
                  <w:divBdr>
                    <w:top w:val="none" w:sz="0" w:space="0" w:color="auto"/>
                    <w:left w:val="none" w:sz="0" w:space="0" w:color="auto"/>
                    <w:bottom w:val="none" w:sz="0" w:space="0" w:color="auto"/>
                    <w:right w:val="none" w:sz="0" w:space="0" w:color="auto"/>
                  </w:divBdr>
                </w:div>
                <w:div w:id="1986465778">
                  <w:marLeft w:val="0"/>
                  <w:marRight w:val="0"/>
                  <w:marTop w:val="0"/>
                  <w:marBottom w:val="0"/>
                  <w:divBdr>
                    <w:top w:val="none" w:sz="0" w:space="0" w:color="auto"/>
                    <w:left w:val="none" w:sz="0" w:space="0" w:color="auto"/>
                    <w:bottom w:val="none" w:sz="0" w:space="0" w:color="auto"/>
                    <w:right w:val="none" w:sz="0" w:space="0" w:color="auto"/>
                  </w:divBdr>
                </w:div>
                <w:div w:id="2008551277">
                  <w:marLeft w:val="0"/>
                  <w:marRight w:val="0"/>
                  <w:marTop w:val="0"/>
                  <w:marBottom w:val="0"/>
                  <w:divBdr>
                    <w:top w:val="none" w:sz="0" w:space="0" w:color="auto"/>
                    <w:left w:val="none" w:sz="0" w:space="0" w:color="auto"/>
                    <w:bottom w:val="none" w:sz="0" w:space="0" w:color="auto"/>
                    <w:right w:val="none" w:sz="0" w:space="0" w:color="auto"/>
                  </w:divBdr>
                </w:div>
                <w:div w:id="2038389928">
                  <w:marLeft w:val="0"/>
                  <w:marRight w:val="0"/>
                  <w:marTop w:val="0"/>
                  <w:marBottom w:val="0"/>
                  <w:divBdr>
                    <w:top w:val="none" w:sz="0" w:space="0" w:color="auto"/>
                    <w:left w:val="none" w:sz="0" w:space="0" w:color="auto"/>
                    <w:bottom w:val="none" w:sz="0" w:space="0" w:color="auto"/>
                    <w:right w:val="none" w:sz="0" w:space="0" w:color="auto"/>
                  </w:divBdr>
                </w:div>
                <w:div w:id="2046365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6574040">
      <w:bodyDiv w:val="1"/>
      <w:marLeft w:val="0"/>
      <w:marRight w:val="0"/>
      <w:marTop w:val="0"/>
      <w:marBottom w:val="0"/>
      <w:divBdr>
        <w:top w:val="none" w:sz="0" w:space="0" w:color="auto"/>
        <w:left w:val="none" w:sz="0" w:space="0" w:color="auto"/>
        <w:bottom w:val="none" w:sz="0" w:space="0" w:color="auto"/>
        <w:right w:val="none" w:sz="0" w:space="0" w:color="auto"/>
      </w:divBdr>
    </w:div>
    <w:div w:id="685984485">
      <w:bodyDiv w:val="1"/>
      <w:marLeft w:val="0"/>
      <w:marRight w:val="0"/>
      <w:marTop w:val="0"/>
      <w:marBottom w:val="0"/>
      <w:divBdr>
        <w:top w:val="none" w:sz="0" w:space="0" w:color="auto"/>
        <w:left w:val="none" w:sz="0" w:space="0" w:color="auto"/>
        <w:bottom w:val="none" w:sz="0" w:space="0" w:color="auto"/>
        <w:right w:val="none" w:sz="0" w:space="0" w:color="auto"/>
      </w:divBdr>
    </w:div>
    <w:div w:id="810903708">
      <w:bodyDiv w:val="1"/>
      <w:marLeft w:val="0"/>
      <w:marRight w:val="0"/>
      <w:marTop w:val="0"/>
      <w:marBottom w:val="0"/>
      <w:divBdr>
        <w:top w:val="none" w:sz="0" w:space="0" w:color="auto"/>
        <w:left w:val="none" w:sz="0" w:space="0" w:color="auto"/>
        <w:bottom w:val="none" w:sz="0" w:space="0" w:color="auto"/>
        <w:right w:val="none" w:sz="0" w:space="0" w:color="auto"/>
      </w:divBdr>
    </w:div>
    <w:div w:id="943461313">
      <w:bodyDiv w:val="1"/>
      <w:marLeft w:val="0"/>
      <w:marRight w:val="0"/>
      <w:marTop w:val="0"/>
      <w:marBottom w:val="0"/>
      <w:divBdr>
        <w:top w:val="none" w:sz="0" w:space="0" w:color="auto"/>
        <w:left w:val="none" w:sz="0" w:space="0" w:color="auto"/>
        <w:bottom w:val="none" w:sz="0" w:space="0" w:color="auto"/>
        <w:right w:val="none" w:sz="0" w:space="0" w:color="auto"/>
      </w:divBdr>
    </w:div>
    <w:div w:id="1019551451">
      <w:bodyDiv w:val="1"/>
      <w:marLeft w:val="0"/>
      <w:marRight w:val="0"/>
      <w:marTop w:val="0"/>
      <w:marBottom w:val="0"/>
      <w:divBdr>
        <w:top w:val="none" w:sz="0" w:space="0" w:color="auto"/>
        <w:left w:val="none" w:sz="0" w:space="0" w:color="auto"/>
        <w:bottom w:val="none" w:sz="0" w:space="0" w:color="auto"/>
        <w:right w:val="none" w:sz="0" w:space="0" w:color="auto"/>
      </w:divBdr>
    </w:div>
    <w:div w:id="1212620616">
      <w:bodyDiv w:val="1"/>
      <w:marLeft w:val="0"/>
      <w:marRight w:val="0"/>
      <w:marTop w:val="0"/>
      <w:marBottom w:val="0"/>
      <w:divBdr>
        <w:top w:val="none" w:sz="0" w:space="0" w:color="auto"/>
        <w:left w:val="none" w:sz="0" w:space="0" w:color="auto"/>
        <w:bottom w:val="none" w:sz="0" w:space="0" w:color="auto"/>
        <w:right w:val="none" w:sz="0" w:space="0" w:color="auto"/>
      </w:divBdr>
    </w:div>
    <w:div w:id="1407801889">
      <w:bodyDiv w:val="1"/>
      <w:marLeft w:val="0"/>
      <w:marRight w:val="0"/>
      <w:marTop w:val="0"/>
      <w:marBottom w:val="0"/>
      <w:divBdr>
        <w:top w:val="none" w:sz="0" w:space="0" w:color="auto"/>
        <w:left w:val="none" w:sz="0" w:space="0" w:color="auto"/>
        <w:bottom w:val="none" w:sz="0" w:space="0" w:color="auto"/>
        <w:right w:val="none" w:sz="0" w:space="0" w:color="auto"/>
      </w:divBdr>
      <w:divsChild>
        <w:div w:id="168061814">
          <w:marLeft w:val="0"/>
          <w:marRight w:val="0"/>
          <w:marTop w:val="0"/>
          <w:marBottom w:val="0"/>
          <w:divBdr>
            <w:top w:val="none" w:sz="0" w:space="0" w:color="auto"/>
            <w:left w:val="none" w:sz="0" w:space="0" w:color="auto"/>
            <w:bottom w:val="none" w:sz="0" w:space="0" w:color="auto"/>
            <w:right w:val="none" w:sz="0" w:space="0" w:color="auto"/>
          </w:divBdr>
        </w:div>
        <w:div w:id="281159638">
          <w:marLeft w:val="0"/>
          <w:marRight w:val="0"/>
          <w:marTop w:val="0"/>
          <w:marBottom w:val="0"/>
          <w:divBdr>
            <w:top w:val="none" w:sz="0" w:space="0" w:color="auto"/>
            <w:left w:val="none" w:sz="0" w:space="0" w:color="auto"/>
            <w:bottom w:val="none" w:sz="0" w:space="0" w:color="auto"/>
            <w:right w:val="none" w:sz="0" w:space="0" w:color="auto"/>
          </w:divBdr>
        </w:div>
        <w:div w:id="739013138">
          <w:marLeft w:val="0"/>
          <w:marRight w:val="0"/>
          <w:marTop w:val="0"/>
          <w:marBottom w:val="0"/>
          <w:divBdr>
            <w:top w:val="none" w:sz="0" w:space="0" w:color="auto"/>
            <w:left w:val="none" w:sz="0" w:space="0" w:color="auto"/>
            <w:bottom w:val="none" w:sz="0" w:space="0" w:color="auto"/>
            <w:right w:val="none" w:sz="0" w:space="0" w:color="auto"/>
          </w:divBdr>
        </w:div>
        <w:div w:id="820273848">
          <w:marLeft w:val="0"/>
          <w:marRight w:val="0"/>
          <w:marTop w:val="0"/>
          <w:marBottom w:val="0"/>
          <w:divBdr>
            <w:top w:val="none" w:sz="0" w:space="0" w:color="auto"/>
            <w:left w:val="none" w:sz="0" w:space="0" w:color="auto"/>
            <w:bottom w:val="none" w:sz="0" w:space="0" w:color="auto"/>
            <w:right w:val="none" w:sz="0" w:space="0" w:color="auto"/>
          </w:divBdr>
        </w:div>
        <w:div w:id="1200975490">
          <w:marLeft w:val="0"/>
          <w:marRight w:val="0"/>
          <w:marTop w:val="0"/>
          <w:marBottom w:val="0"/>
          <w:divBdr>
            <w:top w:val="none" w:sz="0" w:space="0" w:color="auto"/>
            <w:left w:val="none" w:sz="0" w:space="0" w:color="auto"/>
            <w:bottom w:val="none" w:sz="0" w:space="0" w:color="auto"/>
            <w:right w:val="none" w:sz="0" w:space="0" w:color="auto"/>
          </w:divBdr>
        </w:div>
        <w:div w:id="1210218128">
          <w:marLeft w:val="0"/>
          <w:marRight w:val="0"/>
          <w:marTop w:val="0"/>
          <w:marBottom w:val="0"/>
          <w:divBdr>
            <w:top w:val="none" w:sz="0" w:space="0" w:color="auto"/>
            <w:left w:val="none" w:sz="0" w:space="0" w:color="auto"/>
            <w:bottom w:val="none" w:sz="0" w:space="0" w:color="auto"/>
            <w:right w:val="none" w:sz="0" w:space="0" w:color="auto"/>
          </w:divBdr>
        </w:div>
        <w:div w:id="1395155797">
          <w:marLeft w:val="0"/>
          <w:marRight w:val="0"/>
          <w:marTop w:val="0"/>
          <w:marBottom w:val="0"/>
          <w:divBdr>
            <w:top w:val="none" w:sz="0" w:space="0" w:color="auto"/>
            <w:left w:val="none" w:sz="0" w:space="0" w:color="auto"/>
            <w:bottom w:val="none" w:sz="0" w:space="0" w:color="auto"/>
            <w:right w:val="none" w:sz="0" w:space="0" w:color="auto"/>
          </w:divBdr>
        </w:div>
        <w:div w:id="1454011180">
          <w:marLeft w:val="0"/>
          <w:marRight w:val="0"/>
          <w:marTop w:val="0"/>
          <w:marBottom w:val="0"/>
          <w:divBdr>
            <w:top w:val="none" w:sz="0" w:space="0" w:color="auto"/>
            <w:left w:val="none" w:sz="0" w:space="0" w:color="auto"/>
            <w:bottom w:val="none" w:sz="0" w:space="0" w:color="auto"/>
            <w:right w:val="none" w:sz="0" w:space="0" w:color="auto"/>
          </w:divBdr>
        </w:div>
        <w:div w:id="1491555861">
          <w:marLeft w:val="0"/>
          <w:marRight w:val="0"/>
          <w:marTop w:val="0"/>
          <w:marBottom w:val="0"/>
          <w:divBdr>
            <w:top w:val="none" w:sz="0" w:space="0" w:color="auto"/>
            <w:left w:val="none" w:sz="0" w:space="0" w:color="auto"/>
            <w:bottom w:val="none" w:sz="0" w:space="0" w:color="auto"/>
            <w:right w:val="none" w:sz="0" w:space="0" w:color="auto"/>
          </w:divBdr>
        </w:div>
        <w:div w:id="1629244156">
          <w:marLeft w:val="0"/>
          <w:marRight w:val="0"/>
          <w:marTop w:val="0"/>
          <w:marBottom w:val="0"/>
          <w:divBdr>
            <w:top w:val="none" w:sz="0" w:space="0" w:color="auto"/>
            <w:left w:val="none" w:sz="0" w:space="0" w:color="auto"/>
            <w:bottom w:val="none" w:sz="0" w:space="0" w:color="auto"/>
            <w:right w:val="none" w:sz="0" w:space="0" w:color="auto"/>
          </w:divBdr>
        </w:div>
        <w:div w:id="2133747271">
          <w:marLeft w:val="0"/>
          <w:marRight w:val="0"/>
          <w:marTop w:val="0"/>
          <w:marBottom w:val="0"/>
          <w:divBdr>
            <w:top w:val="none" w:sz="0" w:space="0" w:color="auto"/>
            <w:left w:val="none" w:sz="0" w:space="0" w:color="auto"/>
            <w:bottom w:val="none" w:sz="0" w:space="0" w:color="auto"/>
            <w:right w:val="none" w:sz="0" w:space="0" w:color="auto"/>
          </w:divBdr>
        </w:div>
      </w:divsChild>
    </w:div>
    <w:div w:id="1659845166">
      <w:bodyDiv w:val="1"/>
      <w:marLeft w:val="0"/>
      <w:marRight w:val="0"/>
      <w:marTop w:val="0"/>
      <w:marBottom w:val="0"/>
      <w:divBdr>
        <w:top w:val="none" w:sz="0" w:space="0" w:color="auto"/>
        <w:left w:val="none" w:sz="0" w:space="0" w:color="auto"/>
        <w:bottom w:val="none" w:sz="0" w:space="0" w:color="auto"/>
        <w:right w:val="none" w:sz="0" w:space="0" w:color="auto"/>
      </w:divBdr>
    </w:div>
    <w:div w:id="1877426735">
      <w:bodyDiv w:val="1"/>
      <w:marLeft w:val="0"/>
      <w:marRight w:val="0"/>
      <w:marTop w:val="0"/>
      <w:marBottom w:val="0"/>
      <w:divBdr>
        <w:top w:val="none" w:sz="0" w:space="0" w:color="auto"/>
        <w:left w:val="none" w:sz="0" w:space="0" w:color="auto"/>
        <w:bottom w:val="none" w:sz="0" w:space="0" w:color="auto"/>
        <w:right w:val="none" w:sz="0" w:space="0" w:color="auto"/>
      </w:divBdr>
    </w:div>
    <w:div w:id="1953433101">
      <w:bodyDiv w:val="1"/>
      <w:marLeft w:val="0"/>
      <w:marRight w:val="0"/>
      <w:marTop w:val="0"/>
      <w:marBottom w:val="0"/>
      <w:divBdr>
        <w:top w:val="none" w:sz="0" w:space="0" w:color="auto"/>
        <w:left w:val="none" w:sz="0" w:space="0" w:color="auto"/>
        <w:bottom w:val="none" w:sz="0" w:space="0" w:color="auto"/>
        <w:right w:val="none" w:sz="0" w:space="0" w:color="auto"/>
      </w:divBdr>
    </w:div>
    <w:div w:id="2129009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www.oas.org/es/cidh/expresion/documentos_basicos/declaraciones.asp"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Raf17</b:Tag>
    <b:SourceType>Book</b:SourceType>
    <b:Guid>{6671441E-0838-46B0-8875-EF0F8E49C395}</b:Guid>
    <b:Author>
      <b:Author>
        <b:NameList>
          <b:Person>
            <b:Last>Lara</b:Last>
            <b:First>Rafael</b:First>
            <b:Middle>Manuel Oliveros</b:Middle>
          </b:Person>
        </b:NameList>
      </b:Author>
    </b:Author>
    <b:Title>Poder, Representación y Mandato</b:Title>
    <b:Year>2017</b:Year>
    <b:City>México</b:City>
    <b:RefOrder>1</b:RefOrder>
  </b:Source>
</b:Sources>
</file>

<file path=customXml/itemProps1.xml><?xml version="1.0" encoding="utf-8"?>
<ds:datastoreItem xmlns:ds="http://schemas.openxmlformats.org/officeDocument/2006/customXml" ds:itemID="{417C1158-B9FC-450B-B890-4A3EF2F045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39</Pages>
  <Words>8987</Words>
  <Characters>49429</Characters>
  <Application>Microsoft Office Word</Application>
  <DocSecurity>0</DocSecurity>
  <Lines>411</Lines>
  <Paragraphs>116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58300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Cuenta Microsoft</cp:lastModifiedBy>
  <cp:revision>7</cp:revision>
  <cp:lastPrinted>2026-05-14T17:44:00Z</cp:lastPrinted>
  <dcterms:created xsi:type="dcterms:W3CDTF">2026-05-06T20:40:00Z</dcterms:created>
  <dcterms:modified xsi:type="dcterms:W3CDTF">2026-05-19T19:11:00Z</dcterms:modified>
</cp:coreProperties>
</file>