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947" w:rsidRDefault="00807F30">
      <w:pPr>
        <w:spacing w:line="360" w:lineRule="auto"/>
        <w:ind w:right="-876"/>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veintisiete (27) de mayo de dos mil veintiséis.</w:t>
      </w:r>
    </w:p>
    <w:p w:rsidR="008C7947" w:rsidRDefault="008C7947">
      <w:pPr>
        <w:spacing w:line="360" w:lineRule="auto"/>
        <w:ind w:right="-876"/>
        <w:jc w:val="both"/>
        <w:rPr>
          <w:rFonts w:ascii="Palatino Linotype" w:eastAsia="Palatino Linotype" w:hAnsi="Palatino Linotype" w:cs="Palatino Linotype"/>
        </w:rPr>
      </w:pPr>
    </w:p>
    <w:p w:rsidR="008C7947" w:rsidRDefault="00807F30">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02363/INFOEM/IP/RR/2026, </w:t>
      </w:r>
      <w:r>
        <w:rPr>
          <w:rFonts w:ascii="Palatino Linotype" w:eastAsia="Palatino Linotype" w:hAnsi="Palatino Linotype" w:cs="Palatino Linotype"/>
        </w:rPr>
        <w:t xml:space="preserve">promovido por </w:t>
      </w:r>
      <w:r w:rsidR="00935ECA">
        <w:rPr>
          <w:rFonts w:ascii="Palatino Linotype" w:eastAsia="Palatino Linotype" w:hAnsi="Palatino Linotype" w:cs="Palatino Linotype"/>
          <w:b/>
          <w:bCs/>
        </w:rPr>
        <w:t>XXXX</w:t>
      </w:r>
      <w:r>
        <w:rPr>
          <w:rFonts w:ascii="Palatino Linotype" w:eastAsia="Palatino Linotype" w:hAnsi="Palatino Linotype" w:cs="Palatino Linotype"/>
        </w:rPr>
        <w:t xml:space="preserve">, en lo sucesivo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Valle de Chalco Solidaridad,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por lo que se procede a dictar la presente resolución, con base en los siguientes:</w:t>
      </w:r>
    </w:p>
    <w:p w:rsidR="008C7947" w:rsidRDefault="008C7947">
      <w:pPr>
        <w:spacing w:line="360" w:lineRule="auto"/>
        <w:ind w:right="-876"/>
        <w:jc w:val="both"/>
        <w:rPr>
          <w:rFonts w:ascii="Palatino Linotype" w:eastAsia="Palatino Linotype" w:hAnsi="Palatino Linotype" w:cs="Palatino Linotype"/>
        </w:rPr>
      </w:pPr>
    </w:p>
    <w:p w:rsidR="008C7947" w:rsidRDefault="00807F30">
      <w:pPr>
        <w:keepNext/>
        <w:keepLines/>
        <w:spacing w:line="360" w:lineRule="auto"/>
        <w:ind w:right="-876"/>
        <w:jc w:val="center"/>
        <w:rPr>
          <w:rFonts w:ascii="Palatino Linotype" w:eastAsia="Palatino Linotype" w:hAnsi="Palatino Linotype" w:cs="Palatino Linotype"/>
          <w:b/>
          <w:bCs/>
        </w:rPr>
      </w:pPr>
      <w:bookmarkStart w:id="0" w:name="_heading=h.izkfu8adn4sp" w:colFirst="0" w:colLast="0"/>
      <w:bookmarkEnd w:id="0"/>
      <w:r>
        <w:rPr>
          <w:rFonts w:ascii="Palatino Linotype" w:eastAsia="Palatino Linotype" w:hAnsi="Palatino Linotype" w:cs="Palatino Linotype"/>
          <w:b/>
          <w:bCs/>
        </w:rPr>
        <w:t>A N T E C E D E N T E S</w:t>
      </w:r>
    </w:p>
    <w:p w:rsidR="008C7947" w:rsidRDefault="008C7947">
      <w:pPr>
        <w:spacing w:line="360" w:lineRule="auto"/>
        <w:ind w:right="-876"/>
        <w:rPr>
          <w:rFonts w:ascii="Palatino Linotype" w:eastAsia="Palatino Linotype" w:hAnsi="Palatino Linotype" w:cs="Palatino Linotype"/>
        </w:rPr>
      </w:pP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tres de enero de dos mil veintiséis</w:t>
      </w:r>
      <w:r>
        <w:rPr>
          <w:rFonts w:ascii="Palatino Linotype" w:eastAsia="Palatino Linotype" w:hAnsi="Palatino Linotype" w:cs="Palatino Linotype"/>
        </w:rPr>
        <w:t xml:space="preserve">, se presentó 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vía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la solicitud de información pública registrada con el número </w:t>
      </w:r>
      <w:r>
        <w:rPr>
          <w:rFonts w:ascii="Palatino Linotype" w:eastAsia="Palatino Linotype" w:hAnsi="Palatino Linotype" w:cs="Palatino Linotype"/>
          <w:b/>
          <w:bCs/>
        </w:rPr>
        <w:t xml:space="preserve">00003/VACHASO/IP/2026, </w:t>
      </w:r>
      <w:r>
        <w:rPr>
          <w:rFonts w:ascii="Palatino Linotype" w:eastAsia="Palatino Linotype" w:hAnsi="Palatino Linotype" w:cs="Palatino Linotype"/>
        </w:rPr>
        <w:t xml:space="preserve">sin embargo,  el sistema tomó fecha de ingreso el </w:t>
      </w:r>
      <w:r>
        <w:rPr>
          <w:rFonts w:ascii="Palatino Linotype" w:eastAsia="Palatino Linotype" w:hAnsi="Palatino Linotype" w:cs="Palatino Linotype"/>
          <w:b/>
          <w:bCs/>
        </w:rPr>
        <w:t xml:space="preserve">doce de enero subsecuente, </w:t>
      </w:r>
      <w:r>
        <w:rPr>
          <w:rFonts w:ascii="Palatino Linotype" w:eastAsia="Palatino Linotype" w:hAnsi="Palatino Linotype" w:cs="Palatino Linotype"/>
        </w:rPr>
        <w:t xml:space="preserve">toda vez que este Órgano Garante se encontraba en periodo vacacional, la solicitud de información consistió en obtener lo siguiente. </w:t>
      </w:r>
    </w:p>
    <w:p w:rsidR="008C7947" w:rsidRDefault="008C7947">
      <w:pPr>
        <w:ind w:left="567" w:right="-876"/>
        <w:jc w:val="both"/>
        <w:rPr>
          <w:rFonts w:ascii="Palatino Linotype" w:eastAsia="Palatino Linotype" w:hAnsi="Palatino Linotype" w:cs="Palatino Linotype"/>
          <w:i/>
          <w:iCs/>
        </w:rPr>
      </w:pPr>
    </w:p>
    <w:p w:rsidR="008C7947" w:rsidRDefault="00807F30">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“S</w:t>
      </w:r>
      <w:bookmarkStart w:id="1" w:name="_GoBack"/>
      <w:bookmarkEnd w:id="1"/>
      <w:r>
        <w:rPr>
          <w:rFonts w:ascii="Palatino Linotype" w:eastAsia="Palatino Linotype" w:hAnsi="Palatino Linotype" w:cs="Palatino Linotype"/>
          <w:i/>
          <w:iCs/>
          <w:color w:val="000000"/>
        </w:rPr>
        <w:t>olicito nomina de todos los servidores públicos que laboran en la dirección de administración y sus subdirecciones del ayuntamiento de valle de chalco del mes de noviembre 1ra y segunda quincena de noviembre, 1ra y segunda quincena de diciembre y aguinaldos. De acuerdo a la ley de protección de datos personales, ley de Transparencia para el estado de México y municipios solicitó toda la nómina con todos los datos y si estos son tostados o borrados funde y motive el porque de lo contrario se hará de conocimiento a la contraloría del Estado para saber e investigar sobre la nómina que se está llevando, Lo anterior en tenor de lo dispuesto por el arti 6 de la constitución mexicana. (Sic)</w:t>
      </w:r>
    </w:p>
    <w:p w:rsidR="008C7947" w:rsidRDefault="008C7947">
      <w:pPr>
        <w:tabs>
          <w:tab w:val="left" w:pos="2253"/>
        </w:tabs>
        <w:ind w:right="-876"/>
        <w:jc w:val="both"/>
        <w:rPr>
          <w:rFonts w:ascii="Palatino Linotype" w:eastAsia="Palatino Linotype" w:hAnsi="Palatino Linotype" w:cs="Palatino Linotype"/>
          <w:i/>
          <w:iCs/>
          <w:color w:val="000000"/>
        </w:rPr>
      </w:pP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rPr>
        <w:lastRenderedPageBreak/>
        <w:t xml:space="preserve">Se hace constar que se señaló como modalidad de entrega de la información a través de </w:t>
      </w:r>
      <w:r>
        <w:rPr>
          <w:rFonts w:ascii="Palatino Linotype" w:eastAsia="Palatino Linotype" w:hAnsi="Palatino Linotype" w:cs="Palatino Linotype"/>
          <w:b/>
          <w:bCs/>
        </w:rPr>
        <w:t>SAIMEX.</w:t>
      </w:r>
    </w:p>
    <w:p w:rsidR="008C7947" w:rsidRDefault="008C7947">
      <w:pPr>
        <w:spacing w:line="360" w:lineRule="auto"/>
        <w:ind w:right="-876"/>
        <w:jc w:val="both"/>
        <w:rPr>
          <w:rFonts w:ascii="Palatino Linotype" w:eastAsia="Palatino Linotype" w:hAnsi="Palatino Linotype" w:cs="Palatino Linotype"/>
        </w:rPr>
      </w:pP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doce de enero de dos mil veintiséis, </w:t>
      </w: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giró el requerimiento de información para que fuera atendida la solicitud de información </w:t>
      </w:r>
      <w:r>
        <w:rPr>
          <w:rFonts w:ascii="Palatino Linotype" w:eastAsia="Palatino Linotype" w:hAnsi="Palatino Linotype" w:cs="Palatino Linotype"/>
          <w:b/>
          <w:bCs/>
        </w:rPr>
        <w:t xml:space="preserve">00003/VACHASO/IP/2026. </w:t>
      </w:r>
    </w:p>
    <w:p w:rsidR="008C7947" w:rsidRDefault="008C7947">
      <w:pPr>
        <w:pBdr>
          <w:top w:val="nil"/>
          <w:left w:val="nil"/>
          <w:bottom w:val="nil"/>
          <w:right w:val="nil"/>
          <w:between w:val="nil"/>
        </w:pBdr>
        <w:ind w:left="720" w:right="-876"/>
        <w:rPr>
          <w:rFonts w:ascii="Palatino Linotype" w:eastAsia="Palatino Linotype" w:hAnsi="Palatino Linotype" w:cs="Palatino Linotype"/>
          <w:color w:val="000000"/>
        </w:rPr>
      </w:pP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tres de febrero de dos mil veintiséis</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b/>
          <w:bCs/>
          <w:i/>
          <w:iCs/>
        </w:rPr>
        <w:t xml:space="preserve"> </w:t>
      </w:r>
      <w:r>
        <w:rPr>
          <w:rFonts w:ascii="Palatino Linotype" w:eastAsia="Palatino Linotype" w:hAnsi="Palatino Linotype" w:cs="Palatino Linotype"/>
        </w:rPr>
        <w:t>dio respuesta a la solicitud de información mediante cinco archivos electrónicos en formato pdf, cuyo contenido grosso modo es el siguiente.</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CTM-VACHASO-A-00002-2026 y CTM-VACHASO-A-00003-2026.pdf: </w:t>
      </w:r>
      <w:r>
        <w:rPr>
          <w:rFonts w:ascii="Palatino Linotype" w:eastAsia="Palatino Linotype" w:hAnsi="Palatino Linotype" w:cs="Palatino Linotype"/>
          <w:i/>
          <w:iCs/>
        </w:rPr>
        <w:t xml:space="preserve">Acta de la Primera Sesión Ordinaria del Comité de Transparencia, mediante el cual clasifican como confidencial los datos correspondientes al número de empleado, CURP, RFC, clave ISEMMYM, código bidimensional, sello digital del SAT Y cadena original. </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GENERAL_AGUINALDO_2025.xlsx: </w:t>
      </w:r>
      <w:r>
        <w:rPr>
          <w:rFonts w:ascii="Palatino Linotype" w:eastAsia="Palatino Linotype" w:hAnsi="Palatino Linotype" w:cs="Palatino Linotype"/>
          <w:i/>
          <w:iCs/>
        </w:rPr>
        <w:t xml:space="preserve">tabla en Excel que contiene el pago del aguinaldo del año 2025. </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GENERAL_1RA_2DA_DIC_2025.xlsx: </w:t>
      </w:r>
      <w:r>
        <w:rPr>
          <w:rFonts w:ascii="Palatino Linotype" w:eastAsia="Palatino Linotype" w:hAnsi="Palatino Linotype" w:cs="Palatino Linotype"/>
          <w:i/>
          <w:iCs/>
        </w:rPr>
        <w:t>tabla en Excel que contiene pagos de la quincena de diciembre de 2025.</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GENERAL_1RA_2DA_NOV_2025.xlsx: </w:t>
      </w:r>
      <w:r>
        <w:rPr>
          <w:rFonts w:ascii="Palatino Linotype" w:eastAsia="Palatino Linotype" w:hAnsi="Palatino Linotype" w:cs="Palatino Linotype"/>
          <w:i/>
          <w:iCs/>
        </w:rPr>
        <w:t>tabla en Excel que contiene pagos de la quincena de noviembre de 2025.</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ACTA DE LA PRIMERA SESION ORDINARIA 2026.pdf: </w:t>
      </w:r>
      <w:r>
        <w:rPr>
          <w:rFonts w:ascii="Palatino Linotype" w:eastAsia="Palatino Linotype" w:hAnsi="Palatino Linotype" w:cs="Palatino Linotype"/>
          <w:i/>
          <w:iCs/>
        </w:rPr>
        <w:t xml:space="preserve">Acta de la Primera Sesión Ordinaria del Comité de Transparencia, mediante el cual clasifican como confidencial los datos correspondientes al número de empleado, CURP, RFC, clave ISEMMYM, código bidimensional, sello digital del SAT Y cadena original. </w:t>
      </w:r>
    </w:p>
    <w:p w:rsidR="008C7947" w:rsidRDefault="008C7947">
      <w:pPr>
        <w:ind w:left="1134" w:right="-876"/>
        <w:jc w:val="both"/>
        <w:rPr>
          <w:rFonts w:ascii="Palatino Linotype" w:eastAsia="Palatino Linotype" w:hAnsi="Palatino Linotype" w:cs="Palatino Linotype"/>
          <w:i/>
          <w:iCs/>
        </w:rPr>
      </w:pPr>
    </w:p>
    <w:p w:rsidR="008C7947" w:rsidRPr="00252CAC" w:rsidRDefault="00807F30">
      <w:pPr>
        <w:numPr>
          <w:ilvl w:val="0"/>
          <w:numId w:val="2"/>
        </w:numPr>
        <w:spacing w:line="360" w:lineRule="auto"/>
        <w:ind w:left="0" w:right="-876" w:firstLine="0"/>
        <w:jc w:val="both"/>
      </w:pPr>
      <w:bookmarkStart w:id="2" w:name="_heading=h.4y63ujaix52c" w:colFirst="0" w:colLast="0"/>
      <w:bookmarkEnd w:id="2"/>
      <w:r>
        <w:rPr>
          <w:rFonts w:ascii="Palatino Linotype" w:eastAsia="Palatino Linotype" w:hAnsi="Palatino Linotype" w:cs="Palatino Linotype"/>
        </w:rPr>
        <w:t xml:space="preserve">El </w:t>
      </w:r>
      <w:r>
        <w:rPr>
          <w:rFonts w:ascii="Palatino Linotype" w:eastAsia="Palatino Linotype" w:hAnsi="Palatino Linotype" w:cs="Palatino Linotype"/>
          <w:b/>
          <w:bCs/>
        </w:rPr>
        <w:t>diecinueve de febrero de dos mil veintiséis</w:t>
      </w:r>
      <w:r>
        <w:rPr>
          <w:rFonts w:ascii="Palatino Linotype" w:eastAsia="Palatino Linotype" w:hAnsi="Palatino Linotype" w:cs="Palatino Linotype"/>
        </w:rPr>
        <w:t xml:space="preserve">,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en contra de la respuesta, señalando lo siguiente:</w:t>
      </w:r>
    </w:p>
    <w:p w:rsidR="00252CAC" w:rsidRDefault="00252CAC" w:rsidP="00252CAC">
      <w:pPr>
        <w:spacing w:line="360" w:lineRule="auto"/>
        <w:ind w:right="-876"/>
        <w:jc w:val="both"/>
      </w:pPr>
    </w:p>
    <w:p w:rsidR="008C7947" w:rsidRDefault="00807F30">
      <w:pPr>
        <w:numPr>
          <w:ilvl w:val="0"/>
          <w:numId w:val="3"/>
        </w:numPr>
        <w:ind w:right="-876"/>
        <w:jc w:val="both"/>
        <w:rPr>
          <w:rFonts w:ascii="Palatino Linotype" w:eastAsia="Palatino Linotype" w:hAnsi="Palatino Linotype" w:cs="Palatino Linotype"/>
        </w:rPr>
      </w:pPr>
      <w:r>
        <w:rPr>
          <w:rFonts w:ascii="Palatino Linotype" w:eastAsia="Palatino Linotype" w:hAnsi="Palatino Linotype" w:cs="Palatino Linotype"/>
          <w:b/>
          <w:bCs/>
        </w:rPr>
        <w:t>Acto impugnado</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 xml:space="preserve"> “Se niega la información “ (Sic)</w:t>
      </w:r>
    </w:p>
    <w:p w:rsidR="008C7947" w:rsidRDefault="008C7947">
      <w:pPr>
        <w:pBdr>
          <w:top w:val="nil"/>
          <w:left w:val="nil"/>
          <w:bottom w:val="nil"/>
          <w:right w:val="nil"/>
          <w:between w:val="nil"/>
        </w:pBdr>
        <w:ind w:left="1134" w:right="-876"/>
        <w:jc w:val="both"/>
        <w:rPr>
          <w:rFonts w:ascii="Palatino Linotype" w:eastAsia="Palatino Linotype" w:hAnsi="Palatino Linotype" w:cs="Palatino Linotype"/>
          <w:i/>
          <w:iCs/>
          <w:color w:val="000000"/>
        </w:rPr>
      </w:pPr>
    </w:p>
    <w:p w:rsidR="008C7947" w:rsidRDefault="00807F30">
      <w:pPr>
        <w:numPr>
          <w:ilvl w:val="0"/>
          <w:numId w:val="4"/>
        </w:numPr>
        <w:ind w:right="-876"/>
        <w:jc w:val="both"/>
        <w:rPr>
          <w:rFonts w:ascii="Palatino Linotype" w:eastAsia="Palatino Linotype" w:hAnsi="Palatino Linotype" w:cs="Palatino Linotype"/>
        </w:rPr>
      </w:pPr>
      <w:r>
        <w:rPr>
          <w:rFonts w:ascii="Palatino Linotype" w:eastAsia="Palatino Linotype" w:hAnsi="Palatino Linotype" w:cs="Palatino Linotype"/>
          <w:b/>
          <w:bCs/>
        </w:rPr>
        <w:t>Razones o Motivos de inconformidad</w:t>
      </w:r>
      <w:r>
        <w:rPr>
          <w:rFonts w:ascii="Palatino Linotype" w:eastAsia="Palatino Linotype" w:hAnsi="Palatino Linotype" w:cs="Palatino Linotype"/>
          <w:b/>
          <w:bCs/>
          <w:i/>
          <w:iCs/>
        </w:rPr>
        <w:t>:</w:t>
      </w:r>
      <w:r>
        <w:rPr>
          <w:rFonts w:ascii="Palatino Linotype" w:eastAsia="Palatino Linotype" w:hAnsi="Palatino Linotype" w:cs="Palatino Linotype"/>
          <w:b/>
          <w:bCs/>
          <w:i/>
          <w:iCs/>
          <w:color w:val="0F4761"/>
        </w:rPr>
        <w:t xml:space="preserve"> </w:t>
      </w:r>
      <w:r>
        <w:rPr>
          <w:rFonts w:ascii="Palatino Linotype" w:eastAsia="Palatino Linotype" w:hAnsi="Palatino Linotype" w:cs="Palatino Linotype"/>
          <w:i/>
          <w:iCs/>
        </w:rPr>
        <w:t>“</w:t>
      </w:r>
      <w:r>
        <w:rPr>
          <w:rFonts w:ascii="Palatino Linotype" w:eastAsia="Palatino Linotype" w:hAnsi="Palatino Linotype" w:cs="Palatino Linotype"/>
          <w:i/>
          <w:iCs/>
          <w:color w:val="000000"/>
        </w:rPr>
        <w:t xml:space="preserve">Se niega la información o se declara inexistente, sin embargo la servidora publica sigue laborando y firmando documentos </w:t>
      </w:r>
      <w:r>
        <w:rPr>
          <w:rFonts w:ascii="Palatino Linotype" w:eastAsia="Palatino Linotype" w:hAnsi="Palatino Linotype" w:cs="Palatino Linotype"/>
          <w:i/>
          <w:iCs/>
          <w:color w:val="000000"/>
        </w:rPr>
        <w:lastRenderedPageBreak/>
        <w:t>oficiales como contadora publica, se tiene como prueba una copia de su cédula profesional proporcionada por la misma y documentos que sustentan mi dicho por lo cual se solicita se aclara esta situación o se investigue por falsificar documentos oficiales asi como usurpación de la profesión a la c. Imelda</w:t>
      </w:r>
      <w:r>
        <w:rPr>
          <w:rFonts w:ascii="Palatino Linotype" w:eastAsia="Palatino Linotype" w:hAnsi="Palatino Linotype" w:cs="Palatino Linotype"/>
          <w:i/>
          <w:iCs/>
        </w:rPr>
        <w:t>” (Sic)</w:t>
      </w:r>
    </w:p>
    <w:p w:rsidR="008C7947" w:rsidRDefault="008C7947">
      <w:pPr>
        <w:spacing w:line="360" w:lineRule="auto"/>
        <w:ind w:right="-876"/>
        <w:jc w:val="both"/>
        <w:rPr>
          <w:rFonts w:ascii="Palatino Linotype" w:eastAsia="Palatino Linotype" w:hAnsi="Palatino Linotype" w:cs="Palatino Linotype"/>
          <w:i/>
          <w:iCs/>
        </w:rPr>
      </w:pP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se turna a la </w:t>
      </w:r>
      <w:r>
        <w:rPr>
          <w:rFonts w:ascii="Palatino Linotype" w:eastAsia="Palatino Linotype" w:hAnsi="Palatino Linotype" w:cs="Palatino Linotype"/>
          <w:b/>
          <w:bCs/>
        </w:rPr>
        <w:t xml:space="preserve">Comisionada María del Rosario Mejía Ayala, </w:t>
      </w:r>
      <w:r>
        <w:rPr>
          <w:rFonts w:ascii="Palatino Linotype" w:eastAsia="Palatino Linotype" w:hAnsi="Palatino Linotype" w:cs="Palatino Linotype"/>
        </w:rPr>
        <w:t xml:space="preserve">para su análisis. </w:t>
      </w:r>
    </w:p>
    <w:p w:rsidR="008C7947" w:rsidRDefault="008C7947">
      <w:pPr>
        <w:spacing w:line="360" w:lineRule="auto"/>
        <w:ind w:right="-876"/>
        <w:jc w:val="both"/>
        <w:rPr>
          <w:rFonts w:ascii="Palatino Linotype" w:eastAsia="Palatino Linotype" w:hAnsi="Palatino Linotype" w:cs="Palatino Linotype"/>
        </w:rPr>
      </w:pPr>
    </w:p>
    <w:p w:rsidR="008C7947" w:rsidRDefault="00807F30">
      <w:pPr>
        <w:numPr>
          <w:ilvl w:val="0"/>
          <w:numId w:val="2"/>
        </w:numPr>
        <w:spacing w:line="360" w:lineRule="auto"/>
        <w:ind w:left="0" w:right="-876" w:firstLine="0"/>
        <w:jc w:val="both"/>
        <w:rPr>
          <w:color w:val="000000"/>
        </w:rPr>
      </w:pPr>
      <w:r>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Pr>
          <w:rFonts w:ascii="Palatino Linotype" w:eastAsia="Palatino Linotype" w:hAnsi="Palatino Linotype" w:cs="Palatino Linotype"/>
          <w:b/>
          <w:bCs/>
        </w:rPr>
        <w:t>veintitrés de febrero de dos mil veintiséis</w:t>
      </w:r>
      <w:r>
        <w:rPr>
          <w:rFonts w:ascii="Palatino Linotype" w:eastAsia="Palatino Linotype" w:hAnsi="Palatino Linotype" w:cs="Palatino Linotype"/>
        </w:rPr>
        <w:t xml:space="preserve">, puso a disposición de las partes el expediente electrónico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 </w:t>
      </w:r>
    </w:p>
    <w:p w:rsidR="008C7947" w:rsidRDefault="008C7947">
      <w:pPr>
        <w:ind w:right="-876"/>
        <w:rPr>
          <w:rFonts w:ascii="Palatino Linotype" w:eastAsia="Palatino Linotype" w:hAnsi="Palatino Linotype" w:cs="Palatino Linotype"/>
          <w:i/>
          <w:iCs/>
          <w:color w:val="000000"/>
        </w:rPr>
      </w:pP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rPr>
        <w:t xml:space="preserve">Tal y como se observa en el expediente electrónico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y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fueron omisos en manifestar lo que a su derecho conviniera y asistiera, respectivamente. </w:t>
      </w:r>
    </w:p>
    <w:p w:rsidR="008C7947" w:rsidRDefault="008C7947">
      <w:pPr>
        <w:ind w:right="-876"/>
        <w:jc w:val="both"/>
        <w:rPr>
          <w:rFonts w:ascii="Palatino Linotype" w:eastAsia="Palatino Linotype" w:hAnsi="Palatino Linotype" w:cs="Palatino Linotype"/>
          <w:b/>
          <w:bCs/>
        </w:rPr>
      </w:pPr>
    </w:p>
    <w:p w:rsidR="008C7947" w:rsidRDefault="00807F30">
      <w:pPr>
        <w:numPr>
          <w:ilvl w:val="0"/>
          <w:numId w:val="2"/>
        </w:numPr>
        <w:spacing w:line="360" w:lineRule="auto"/>
        <w:ind w:left="0" w:right="-876"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veintiuno de mayo de dos mil veintiséis</w:t>
      </w:r>
      <w:r>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Pr>
          <w:rFonts w:ascii="Palatino Linotype" w:eastAsia="Palatino Linotype" w:hAnsi="Palatino Linotype" w:cs="Palatino Linotype"/>
        </w:rPr>
        <w:t>.</w:t>
      </w:r>
    </w:p>
    <w:p w:rsidR="008C7947" w:rsidRDefault="008C7947">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8C7947" w:rsidRDefault="008C7947">
      <w:pPr>
        <w:spacing w:line="360" w:lineRule="auto"/>
        <w:ind w:right="-876"/>
        <w:jc w:val="both"/>
        <w:rPr>
          <w:rFonts w:ascii="Palatino Linotype" w:eastAsia="Palatino Linotype" w:hAnsi="Palatino Linotype" w:cs="Palatino Linotype"/>
          <w:b/>
          <w:bCs/>
          <w:u w:val="single"/>
        </w:rPr>
      </w:pPr>
    </w:p>
    <w:p w:rsidR="008C7947" w:rsidRDefault="00807F30">
      <w:pPr>
        <w:numPr>
          <w:ilvl w:val="0"/>
          <w:numId w:val="2"/>
        </w:numPr>
        <w:spacing w:line="360" w:lineRule="auto"/>
        <w:ind w:left="0" w:right="-876" w:firstLine="0"/>
        <w:jc w:val="both"/>
        <w:rPr>
          <w:rFonts w:ascii="Palatino Linotype" w:eastAsia="Palatino Linotype" w:hAnsi="Palatino Linotype" w:cs="Palatino Linotype"/>
          <w:b/>
          <w:bCs/>
        </w:rPr>
      </w:pPr>
      <w:bookmarkStart w:id="3" w:name="_heading=h.up67rz3zign" w:colFirst="0" w:colLast="0"/>
      <w:bookmarkEnd w:id="3"/>
      <w:r>
        <w:rPr>
          <w:rFonts w:ascii="Palatino Linotype" w:eastAsia="Palatino Linotype" w:hAnsi="Palatino Linotype" w:cs="Palatino Linotype"/>
        </w:rPr>
        <w:lastRenderedPageBreak/>
        <w:t xml:space="preserve">La Comisionada Ponente decretó cierre de instrucción mediante el acuerdo del </w:t>
      </w:r>
      <w:r>
        <w:rPr>
          <w:rFonts w:ascii="Palatino Linotype" w:eastAsia="Palatino Linotype" w:hAnsi="Palatino Linotype" w:cs="Palatino Linotype"/>
          <w:b/>
          <w:bCs/>
        </w:rPr>
        <w:t>veintisiete de enero de dos mil veintiséis</w:t>
      </w:r>
      <w:r>
        <w:rPr>
          <w:rFonts w:ascii="Palatino Linotype" w:eastAsia="Palatino Linotype" w:hAnsi="Palatino Linotype" w:cs="Palatino Linotype"/>
        </w:rPr>
        <w:t>; por lo que ordenó turnar el expediente a resolución, misma que ahora se pronuncia; y</w:t>
      </w:r>
    </w:p>
    <w:p w:rsidR="008C7947" w:rsidRDefault="008C7947">
      <w:pPr>
        <w:spacing w:line="360" w:lineRule="auto"/>
        <w:ind w:right="-876"/>
        <w:jc w:val="both"/>
        <w:rPr>
          <w:rFonts w:ascii="Palatino Linotype" w:eastAsia="Palatino Linotype" w:hAnsi="Palatino Linotype" w:cs="Palatino Linotype"/>
          <w:b/>
          <w:bCs/>
          <w:u w:val="single"/>
        </w:rPr>
      </w:pPr>
    </w:p>
    <w:p w:rsidR="008C7947" w:rsidRDefault="00807F30">
      <w:pPr>
        <w:keepNext/>
        <w:keepLines/>
        <w:spacing w:line="360" w:lineRule="auto"/>
        <w:ind w:right="-876"/>
        <w:jc w:val="center"/>
        <w:rPr>
          <w:rFonts w:ascii="Palatino Linotype" w:eastAsia="Palatino Linotype" w:hAnsi="Palatino Linotype" w:cs="Palatino Linotype"/>
        </w:rPr>
      </w:pPr>
      <w:r>
        <w:rPr>
          <w:rFonts w:ascii="Palatino Linotype" w:eastAsia="Palatino Linotype" w:hAnsi="Palatino Linotype" w:cs="Palatino Linotype"/>
          <w:b/>
          <w:bCs/>
        </w:rPr>
        <w:t xml:space="preserve">C O N S I D E R A N D O </w:t>
      </w:r>
    </w:p>
    <w:p w:rsidR="008C7947" w:rsidRDefault="008C7947">
      <w:pPr>
        <w:spacing w:line="360" w:lineRule="auto"/>
        <w:ind w:right="-876"/>
        <w:rPr>
          <w:rFonts w:ascii="Palatino Linotype" w:eastAsia="Palatino Linotype" w:hAnsi="Palatino Linotype" w:cs="Palatino Linotype"/>
        </w:rPr>
      </w:pPr>
    </w:p>
    <w:p w:rsidR="008C7947" w:rsidRDefault="00807F30">
      <w:pPr>
        <w:keepNext/>
        <w:keepLines/>
        <w:spacing w:line="360" w:lineRule="auto"/>
        <w:ind w:right="-876"/>
        <w:rPr>
          <w:rFonts w:ascii="Palatino Linotype" w:eastAsia="Palatino Linotype" w:hAnsi="Palatino Linotype" w:cs="Palatino Linotype"/>
          <w:b/>
          <w:bCs/>
        </w:rPr>
      </w:pPr>
      <w:bookmarkStart w:id="4" w:name="_heading=h.fqqtyk5zf307" w:colFirst="0" w:colLast="0"/>
      <w:bookmarkEnd w:id="4"/>
      <w:r>
        <w:rPr>
          <w:rFonts w:ascii="Palatino Linotype" w:eastAsia="Palatino Linotype" w:hAnsi="Palatino Linotype" w:cs="Palatino Linotype"/>
          <w:b/>
          <w:bCs/>
        </w:rPr>
        <w:t>PRIMERO. De la competencia</w:t>
      </w: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r>
        <w:rPr>
          <w:rFonts w:ascii="Palatino Linotype" w:eastAsia="Palatino Linotype" w:hAnsi="Palatino Linotype" w:cs="Palatino Linotype"/>
          <w:b/>
          <w:bCs/>
        </w:rPr>
        <w:t>.</w:t>
      </w:r>
    </w:p>
    <w:p w:rsidR="008C7947" w:rsidRDefault="008C7947">
      <w:pPr>
        <w:spacing w:line="360" w:lineRule="auto"/>
        <w:ind w:right="-876"/>
        <w:jc w:val="both"/>
        <w:rPr>
          <w:rFonts w:ascii="Palatino Linotype" w:eastAsia="Palatino Linotype" w:hAnsi="Palatino Linotype" w:cs="Palatino Linotype"/>
        </w:rPr>
      </w:pPr>
    </w:p>
    <w:p w:rsidR="008C7947" w:rsidRDefault="00807F30">
      <w:pPr>
        <w:keepNext/>
        <w:keepLines/>
        <w:spacing w:line="360" w:lineRule="auto"/>
        <w:ind w:right="-876"/>
        <w:rPr>
          <w:rFonts w:ascii="Palatino Linotype" w:eastAsia="Palatino Linotype" w:hAnsi="Palatino Linotype" w:cs="Palatino Linotype"/>
          <w:b/>
          <w:bCs/>
        </w:rPr>
      </w:pPr>
      <w:bookmarkStart w:id="5" w:name="_heading=h.o5wn4inq9uwx" w:colFirst="0" w:colLast="0"/>
      <w:bookmarkEnd w:id="5"/>
      <w:r>
        <w:rPr>
          <w:rFonts w:ascii="Palatino Linotype" w:eastAsia="Palatino Linotype" w:hAnsi="Palatino Linotype" w:cs="Palatino Linotype"/>
          <w:b/>
          <w:bCs/>
        </w:rPr>
        <w:t>SEGUNDO. De la oportunidad y procedencia.</w:t>
      </w: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a la solicitud el </w:t>
      </w:r>
      <w:r>
        <w:rPr>
          <w:rFonts w:ascii="Palatino Linotype" w:eastAsia="Palatino Linotype" w:hAnsi="Palatino Linotype" w:cs="Palatino Linotype"/>
          <w:b/>
          <w:bCs/>
        </w:rPr>
        <w:t>tres de febrero de dos mil veintiséis</w:t>
      </w:r>
      <w:r>
        <w:rPr>
          <w:rFonts w:ascii="Palatino Linotype" w:eastAsia="Palatino Linotype" w:hAnsi="Palatino Linotype" w:cs="Palatino Linotype"/>
        </w:rPr>
        <w:t xml:space="preserve">, de tal forma que el plazo para interponer el recurso de revisión transcurrió del </w:t>
      </w:r>
      <w:r>
        <w:rPr>
          <w:rFonts w:ascii="Palatino Linotype" w:eastAsia="Palatino Linotype" w:hAnsi="Palatino Linotype" w:cs="Palatino Linotype"/>
          <w:b/>
          <w:bCs/>
        </w:rPr>
        <w:t>cuatro al veinticuatro de febrero de dos mil veintiséis</w:t>
      </w:r>
      <w:r>
        <w:rPr>
          <w:rFonts w:ascii="Palatino Linotype" w:eastAsia="Palatino Linotype" w:hAnsi="Palatino Linotype" w:cs="Palatino Linotype"/>
        </w:rPr>
        <w:t xml:space="preserve">; en consecuencia, presentó su inconformidad el </w:t>
      </w:r>
      <w:r>
        <w:rPr>
          <w:rFonts w:ascii="Palatino Linotype" w:eastAsia="Palatino Linotype" w:hAnsi="Palatino Linotype" w:cs="Palatino Linotype"/>
          <w:b/>
          <w:bCs/>
        </w:rPr>
        <w:t>diecinueve de febrero de dos mil veintiséis</w:t>
      </w:r>
      <w:r>
        <w:rPr>
          <w:rFonts w:ascii="Palatino Linotype" w:eastAsia="Palatino Linotype" w:hAnsi="Palatino Linotype" w:cs="Palatino Linotype"/>
        </w:rPr>
        <w:t xml:space="preserve">, por lo que se encuentra dentro </w:t>
      </w:r>
      <w:r>
        <w:rPr>
          <w:rFonts w:ascii="Palatino Linotype" w:eastAsia="Palatino Linotype" w:hAnsi="Palatino Linotype" w:cs="Palatino Linotype"/>
        </w:rPr>
        <w:lastRenderedPageBreak/>
        <w:t xml:space="preserve">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vigente.</w:t>
      </w:r>
    </w:p>
    <w:p w:rsidR="008C7947" w:rsidRDefault="008C7947">
      <w:pPr>
        <w:spacing w:line="360" w:lineRule="auto"/>
        <w:ind w:right="-876"/>
        <w:jc w:val="both"/>
        <w:rPr>
          <w:rFonts w:ascii="Palatino Linotype" w:eastAsia="Palatino Linotype" w:hAnsi="Palatino Linotype" w:cs="Palatino Linotype"/>
        </w:rPr>
      </w:pPr>
    </w:p>
    <w:p w:rsidR="008C7947" w:rsidRDefault="00807F30">
      <w:pPr>
        <w:numPr>
          <w:ilvl w:val="0"/>
          <w:numId w:val="2"/>
        </w:numPr>
        <w:spacing w:line="360" w:lineRule="auto"/>
        <w:ind w:left="0" w:right="-876" w:firstLine="0"/>
        <w:jc w:val="both"/>
        <w:rPr>
          <w:color w:val="000000"/>
        </w:rPr>
      </w:pPr>
      <w:r>
        <w:rPr>
          <w:rFonts w:ascii="Palatino Linotype" w:eastAsia="Palatino Linotype" w:hAnsi="Palatino Linotype" w:cs="Palatino Linotype"/>
          <w:color w:val="000000"/>
        </w:rPr>
        <w:t xml:space="preserve">Por </w:t>
      </w:r>
      <w:r>
        <w:rPr>
          <w:rFonts w:ascii="Palatino Linotype" w:eastAsia="Palatino Linotype" w:hAnsi="Palatino Linotype" w:cs="Palatino Linotype"/>
        </w:rPr>
        <w:t>otro</w:t>
      </w:r>
      <w:r>
        <w:rPr>
          <w:rFonts w:ascii="Palatino Linotype" w:eastAsia="Palatino Linotype" w:hAnsi="Palatino Linotype" w:cs="Palatino Linotype"/>
          <w:color w:val="000000"/>
        </w:rPr>
        <w:t xml:space="preserve">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8C7947" w:rsidRDefault="00807F30">
      <w:pPr>
        <w:ind w:left="1134" w:right="-16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Las solicitudes anónimas</w:t>
      </w:r>
      <w:r>
        <w:rPr>
          <w:rFonts w:ascii="Palatino Linotype" w:eastAsia="Palatino Linotype" w:hAnsi="Palatino Linotype" w:cs="Palatino Linotype"/>
          <w:i/>
          <w:iCs/>
        </w:rPr>
        <w:t xml:space="preserve">, con nombre incompleto o seudónimo </w:t>
      </w:r>
      <w:r>
        <w:rPr>
          <w:rFonts w:ascii="Palatino Linotype" w:eastAsia="Palatino Linotype" w:hAnsi="Palatino Linotype" w:cs="Palatino Linotype"/>
          <w:b/>
          <w:bCs/>
          <w:i/>
          <w:iCs/>
        </w:rPr>
        <w:t>serán procedentes para su trámite por parte del sujeto obligado ante quien se presente</w:t>
      </w:r>
      <w:r>
        <w:rPr>
          <w:rFonts w:ascii="Palatino Linotype" w:eastAsia="Palatino Linotype" w:hAnsi="Palatino Linotype" w:cs="Palatino Linotype"/>
          <w:i/>
          <w:iCs/>
        </w:rPr>
        <w:t>. No podrá requerirse información adicional con motivo del nombre proporcionado por el solicitante."</w:t>
      </w:r>
    </w:p>
    <w:p w:rsidR="008C7947" w:rsidRDefault="008C7947">
      <w:pPr>
        <w:spacing w:line="360" w:lineRule="auto"/>
        <w:ind w:right="-876"/>
        <w:jc w:val="right"/>
        <w:rPr>
          <w:rFonts w:ascii="Palatino Linotype" w:eastAsia="Palatino Linotype" w:hAnsi="Palatino Linotype" w:cs="Palatino Linotype"/>
          <w:color w:val="000000"/>
        </w:rPr>
      </w:pPr>
    </w:p>
    <w:p w:rsidR="008C7947" w:rsidRDefault="00807F30">
      <w:pPr>
        <w:numPr>
          <w:ilvl w:val="0"/>
          <w:numId w:val="2"/>
        </w:numPr>
        <w:spacing w:line="360" w:lineRule="auto"/>
        <w:ind w:left="0" w:right="-876" w:firstLine="0"/>
        <w:jc w:val="both"/>
        <w:rPr>
          <w:color w:val="000000"/>
        </w:rPr>
      </w:pPr>
      <w:r>
        <w:rPr>
          <w:rFonts w:ascii="Palatino Linotype" w:eastAsia="Palatino Linotype" w:hAnsi="Palatino Linotype" w:cs="Palatino Linotype"/>
          <w:color w:val="000000"/>
        </w:rPr>
        <w:t xml:space="preserve">Robusteciendo lo anterior se encuentra lo dispuesto en el artículo 6, Apartado A, fracciones III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la Constitución Política de los Estados Unidos Mexicanos que establece:</w:t>
      </w:r>
    </w:p>
    <w:p w:rsidR="008C7947" w:rsidRDefault="008C7947">
      <w:pPr>
        <w:spacing w:line="360" w:lineRule="auto"/>
        <w:ind w:right="-876" w:firstLine="1134"/>
        <w:jc w:val="both"/>
        <w:rPr>
          <w:rFonts w:ascii="Palatino Linotype" w:eastAsia="Palatino Linotype" w:hAnsi="Palatino Linotype" w:cs="Palatino Linotype"/>
          <w:i/>
          <w:iCs/>
        </w:rPr>
      </w:pPr>
    </w:p>
    <w:p w:rsidR="008C7947" w:rsidRDefault="00807F30">
      <w:pPr>
        <w:ind w:left="566" w:right="-16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8C7947" w:rsidRDefault="00807F30">
      <w:pPr>
        <w:ind w:left="566" w:right="-167"/>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8C7947" w:rsidRDefault="008C7947">
      <w:pPr>
        <w:ind w:left="566" w:right="-167"/>
        <w:jc w:val="both"/>
        <w:rPr>
          <w:rFonts w:ascii="Palatino Linotype" w:eastAsia="Palatino Linotype" w:hAnsi="Palatino Linotype" w:cs="Palatino Linotype"/>
          <w:i/>
          <w:iCs/>
        </w:rPr>
      </w:pPr>
    </w:p>
    <w:p w:rsidR="008C7947" w:rsidRDefault="00807F30">
      <w:pPr>
        <w:ind w:left="566" w:right="-167"/>
        <w:jc w:val="both"/>
        <w:rPr>
          <w:rFonts w:ascii="Palatino Linotype" w:eastAsia="Palatino Linotype" w:hAnsi="Palatino Linotype" w:cs="Palatino Linotype"/>
          <w:i/>
          <w:iCs/>
        </w:rPr>
      </w:pPr>
      <w:r>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rsidR="008C7947" w:rsidRDefault="008C7947">
      <w:pPr>
        <w:ind w:left="566" w:right="-167"/>
        <w:jc w:val="both"/>
        <w:rPr>
          <w:rFonts w:ascii="Palatino Linotype" w:eastAsia="Palatino Linotype" w:hAnsi="Palatino Linotype" w:cs="Palatino Linotype"/>
          <w:i/>
          <w:iCs/>
        </w:rPr>
      </w:pPr>
    </w:p>
    <w:p w:rsidR="008C7947" w:rsidRDefault="00807F30">
      <w:pPr>
        <w:ind w:left="566" w:right="-16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III. Toda persona, sin necesidad de acreditar interés alguno o justificar su utilización, tendrá acceso gratuito a la información pública, a sus datos personales o a la rectificación de éstos.” </w:t>
      </w:r>
      <w:r>
        <w:rPr>
          <w:rFonts w:ascii="Palatino Linotype" w:eastAsia="Palatino Linotype" w:hAnsi="Palatino Linotype" w:cs="Palatino Linotype"/>
        </w:rPr>
        <w:t>(Sic)</w:t>
      </w:r>
    </w:p>
    <w:p w:rsidR="008C7947" w:rsidRDefault="008C7947">
      <w:pPr>
        <w:spacing w:line="360" w:lineRule="auto"/>
        <w:ind w:left="567" w:right="-876"/>
        <w:jc w:val="both"/>
        <w:rPr>
          <w:rFonts w:ascii="Palatino Linotype" w:eastAsia="Palatino Linotype" w:hAnsi="Palatino Linotype" w:cs="Palatino Linotype"/>
          <w:i/>
          <w:iCs/>
        </w:rPr>
      </w:pPr>
    </w:p>
    <w:p w:rsidR="008C7947" w:rsidRDefault="00807F30">
      <w:pPr>
        <w:numPr>
          <w:ilvl w:val="0"/>
          <w:numId w:val="2"/>
        </w:numPr>
        <w:spacing w:line="360" w:lineRule="auto"/>
        <w:ind w:left="0" w:right="-876" w:firstLine="0"/>
        <w:jc w:val="both"/>
        <w:rPr>
          <w:color w:val="000000"/>
        </w:rPr>
      </w:pPr>
      <w:r>
        <w:rPr>
          <w:rFonts w:ascii="Palatino Linotype" w:eastAsia="Palatino Linotype" w:hAnsi="Palatino Linotype" w:cs="Palatino Linotype"/>
          <w:color w:val="000000"/>
        </w:rPr>
        <w:t xml:space="preserve">Así como el artículo 5 fracción III, párrafo vigésimo noveno, trigésimo y trigésimo primero, de la </w:t>
      </w:r>
      <w:r>
        <w:rPr>
          <w:rFonts w:ascii="Palatino Linotype" w:eastAsia="Palatino Linotype" w:hAnsi="Palatino Linotype" w:cs="Palatino Linotype"/>
        </w:rPr>
        <w:t>Constitución</w:t>
      </w:r>
      <w:r>
        <w:rPr>
          <w:rFonts w:ascii="Palatino Linotype" w:eastAsia="Palatino Linotype" w:hAnsi="Palatino Linotype" w:cs="Palatino Linotype"/>
          <w:color w:val="000000"/>
        </w:rPr>
        <w:t xml:space="preserve"> Política del Estado Libre y Soberano de México, que determina lo siguiente:</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Pr>
          <w:rFonts w:ascii="Palatino Linotype" w:eastAsia="Palatino Linotype" w:hAnsi="Palatino Linotype" w:cs="Palatino Linotype"/>
        </w:rPr>
        <w:t>(Sic)</w:t>
      </w:r>
    </w:p>
    <w:p w:rsidR="008C7947" w:rsidRDefault="008C7947">
      <w:pPr>
        <w:spacing w:line="360" w:lineRule="auto"/>
        <w:ind w:left="426" w:right="-876"/>
        <w:jc w:val="both"/>
        <w:rPr>
          <w:rFonts w:ascii="Palatino Linotype" w:eastAsia="Palatino Linotype" w:hAnsi="Palatino Linotype" w:cs="Palatino Linotype"/>
          <w:i/>
          <w:iCs/>
        </w:rPr>
      </w:pPr>
    </w:p>
    <w:p w:rsidR="008C7947" w:rsidRDefault="00807F30">
      <w:pPr>
        <w:numPr>
          <w:ilvl w:val="0"/>
          <w:numId w:val="2"/>
        </w:numPr>
        <w:spacing w:line="360" w:lineRule="auto"/>
        <w:ind w:left="0" w:right="-876" w:firstLine="0"/>
        <w:jc w:val="both"/>
        <w:rPr>
          <w:color w:val="000000"/>
        </w:rPr>
      </w:pPr>
      <w:r>
        <w:rPr>
          <w:rFonts w:ascii="Palatino Linotype" w:eastAsia="Palatino Linotype" w:hAnsi="Palatino Linotype" w:cs="Palatino Linotype"/>
          <w:color w:val="000000"/>
        </w:rPr>
        <w:lastRenderedPageBreak/>
        <w:t>Por otra parte, del contenido del artículo 1 de la Constitución Política de los Estados Unidos mexicanos, se destaca lo siguiente:</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8C7947" w:rsidRDefault="008C7947">
      <w:pPr>
        <w:spacing w:line="360" w:lineRule="auto"/>
        <w:ind w:left="426" w:right="-876"/>
        <w:jc w:val="both"/>
        <w:rPr>
          <w:rFonts w:ascii="Palatino Linotype" w:eastAsia="Palatino Linotype" w:hAnsi="Palatino Linotype" w:cs="Palatino Linotype"/>
          <w:i/>
          <w:iCs/>
        </w:rPr>
      </w:pP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rPr>
        <w:t xml:space="preserve">Esto es, que el derecho humano de acceso a la información pública, se aprecia que toda persona, </w:t>
      </w:r>
      <w:r>
        <w:rPr>
          <w:rFonts w:ascii="Palatino Linotype" w:eastAsia="Palatino Linotype" w:hAnsi="Palatino Linotype" w:cs="Palatino Linotype"/>
          <w:color w:val="000000"/>
        </w:rPr>
        <w:t>sin</w:t>
      </w:r>
      <w:r>
        <w:rPr>
          <w:rFonts w:ascii="Palatino Linotype" w:eastAsia="Palatino Linotype" w:hAnsi="Palatino Linotype" w:cs="Palatino Linotype"/>
        </w:rPr>
        <w:t xml:space="preserve"> necesidad de acreditar interés alguno o justificar su interposición, deberá tener acceso a la información pública, es decir, dicho </w:t>
      </w:r>
      <w:r>
        <w:rPr>
          <w:rFonts w:ascii="Palatino Linotype" w:eastAsia="Palatino Linotype" w:hAnsi="Palatino Linotype" w:cs="Palatino Linotype"/>
          <w:i/>
          <w:iCs/>
        </w:rPr>
        <w:t>derecho fundamental exime a quien lo ejerce</w:t>
      </w:r>
      <w:r>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8C7947" w:rsidRDefault="008C7947">
      <w:pPr>
        <w:spacing w:line="360" w:lineRule="auto"/>
        <w:ind w:right="-876"/>
        <w:jc w:val="both"/>
        <w:rPr>
          <w:rFonts w:ascii="Palatino Linotype" w:eastAsia="Palatino Linotype" w:hAnsi="Palatino Linotype" w:cs="Palatino Linotype"/>
        </w:rPr>
      </w:pP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rPr>
        <w:t xml:space="preserve">En </w:t>
      </w:r>
      <w:r>
        <w:rPr>
          <w:rFonts w:ascii="Palatino Linotype" w:eastAsia="Palatino Linotype" w:hAnsi="Palatino Linotype" w:cs="Palatino Linotype"/>
          <w:color w:val="000000"/>
        </w:rPr>
        <w:t>consecuencia</w:t>
      </w:r>
      <w:r>
        <w:rPr>
          <w:rFonts w:ascii="Palatino Linotype" w:eastAsia="Palatino Linotype" w:hAnsi="Palatino Linotype" w:cs="Palatino Linotype"/>
        </w:rPr>
        <w:t xml:space="preserve">, dado lo expuesto y fundado con anterioridad, se estima que el requisito relativo al nombre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w:t>
      </w:r>
      <w:r>
        <w:rPr>
          <w:rFonts w:ascii="Palatino Linotype" w:eastAsia="Palatino Linotype" w:hAnsi="Palatino Linotype" w:cs="Palatino Linotype"/>
        </w:rPr>
        <w:lastRenderedPageBreak/>
        <w:t>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8C7947" w:rsidRDefault="008C7947">
      <w:pPr>
        <w:ind w:right="-876"/>
        <w:rPr>
          <w:rFonts w:ascii="Palatino Linotype" w:eastAsia="Palatino Linotype" w:hAnsi="Palatino Linotype" w:cs="Palatino Linotype"/>
        </w:rPr>
      </w:pP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8C7947" w:rsidRDefault="008C7947">
      <w:pPr>
        <w:ind w:right="-876"/>
        <w:rPr>
          <w:rFonts w:ascii="Palatino Linotype" w:eastAsia="Palatino Linotype" w:hAnsi="Palatino Linotype" w:cs="Palatino Linotype"/>
          <w:color w:val="000000"/>
        </w:rPr>
      </w:pPr>
    </w:p>
    <w:p w:rsidR="008C7947" w:rsidRDefault="00807F30">
      <w:pPr>
        <w:numPr>
          <w:ilvl w:val="0"/>
          <w:numId w:val="2"/>
        </w:numPr>
        <w:spacing w:line="360" w:lineRule="auto"/>
        <w:ind w:left="0" w:right="-876" w:firstLine="0"/>
        <w:jc w:val="both"/>
        <w:rPr>
          <w:color w:val="000000"/>
        </w:rPr>
      </w:pPr>
      <w:r>
        <w:rPr>
          <w:rFonts w:ascii="Palatino Linotype" w:eastAsia="Palatino Linotype" w:hAnsi="Palatino Linotype" w:cs="Palatino Linotype"/>
          <w:color w:val="000000"/>
        </w:rPr>
        <w:t>Consecuencia de lo anterior, este Órgano Garante advierte que el escrito contiene las formalidades previstas por el artículo 180 último párrafo de la Ley de Transparencia y Acceso a la Información Pública del Estado de México y Municipios, por lo que es procedente que este Instituto de Transparencia, Acceso a la Información Pública y Protección de Datos Personales del Estado de México y Municipios, conozca y resuelva el presente recurso.</w:t>
      </w:r>
    </w:p>
    <w:p w:rsidR="008C7947" w:rsidRDefault="008C7947">
      <w:pPr>
        <w:pBdr>
          <w:top w:val="nil"/>
          <w:left w:val="nil"/>
          <w:bottom w:val="nil"/>
          <w:right w:val="nil"/>
          <w:between w:val="nil"/>
        </w:pBdr>
        <w:ind w:left="720" w:right="-876"/>
        <w:rPr>
          <w:rFonts w:ascii="Palatino Linotype" w:eastAsia="Palatino Linotype" w:hAnsi="Palatino Linotype" w:cs="Palatino Linotype"/>
          <w:color w:val="000000"/>
        </w:rPr>
      </w:pPr>
    </w:p>
    <w:p w:rsidR="008C7947" w:rsidRDefault="00807F30">
      <w:pPr>
        <w:numPr>
          <w:ilvl w:val="0"/>
          <w:numId w:val="2"/>
        </w:numPr>
        <w:spacing w:line="360" w:lineRule="auto"/>
        <w:ind w:left="0" w:right="-876" w:firstLine="0"/>
        <w:jc w:val="both"/>
      </w:pPr>
      <w:bookmarkStart w:id="6" w:name="_heading=h.1mt8eaozi99i" w:colFirst="0" w:colLast="0"/>
      <w:bookmarkEnd w:id="6"/>
      <w:r>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Ayuntamiento de Valle de Chalco Solidaridad, conozca y resuelva el presente recurso.</w:t>
      </w:r>
    </w:p>
    <w:p w:rsidR="008C7947" w:rsidRDefault="008C7947">
      <w:pPr>
        <w:spacing w:line="360" w:lineRule="auto"/>
        <w:ind w:right="-876"/>
        <w:jc w:val="both"/>
        <w:rPr>
          <w:rFonts w:ascii="Palatino Linotype" w:eastAsia="Palatino Linotype" w:hAnsi="Palatino Linotype" w:cs="Palatino Linotype"/>
        </w:rPr>
      </w:pPr>
    </w:p>
    <w:p w:rsidR="008C7947" w:rsidRDefault="00807F30">
      <w:pPr>
        <w:keepNext/>
        <w:keepLines/>
        <w:spacing w:line="360" w:lineRule="auto"/>
        <w:ind w:right="-876"/>
        <w:rPr>
          <w:rFonts w:ascii="Palatino Linotype" w:eastAsia="Palatino Linotype" w:hAnsi="Palatino Linotype" w:cs="Palatino Linotype"/>
          <w:b/>
          <w:bCs/>
        </w:rPr>
      </w:pPr>
      <w:bookmarkStart w:id="7" w:name="_heading=h.rbwp8e8zobbl" w:colFirst="0" w:colLast="0"/>
      <w:bookmarkEnd w:id="7"/>
      <w:r>
        <w:rPr>
          <w:rFonts w:ascii="Palatino Linotype" w:eastAsia="Palatino Linotype" w:hAnsi="Palatino Linotype" w:cs="Palatino Linotype"/>
          <w:b/>
          <w:bCs/>
        </w:rPr>
        <w:t>TERCERO. De las causales del sobreseimiento.</w:t>
      </w:r>
    </w:p>
    <w:p w:rsidR="008C7947" w:rsidRDefault="00807F30">
      <w:pPr>
        <w:numPr>
          <w:ilvl w:val="0"/>
          <w:numId w:val="2"/>
        </w:numPr>
        <w:pBdr>
          <w:top w:val="nil"/>
          <w:left w:val="nil"/>
          <w:bottom w:val="nil"/>
          <w:right w:val="nil"/>
          <w:between w:val="nil"/>
        </w:pBdr>
        <w:tabs>
          <w:tab w:val="left" w:pos="0"/>
        </w:tabs>
        <w:spacing w:line="360" w:lineRule="auto"/>
        <w:ind w:left="0" w:right="-876" w:firstLine="0"/>
        <w:jc w:val="both"/>
        <w:rPr>
          <w:color w:val="000000"/>
        </w:rPr>
      </w:pPr>
      <w:r>
        <w:rPr>
          <w:rFonts w:ascii="Palatino Linotype" w:eastAsia="Palatino Linotype" w:hAnsi="Palatino Linotype" w:cs="Palatino Linotype"/>
          <w:color w:val="000000"/>
        </w:rPr>
        <w:t xml:space="preserve">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Pr>
          <w:rFonts w:ascii="Palatino Linotype" w:eastAsia="Palatino Linotype" w:hAnsi="Palatino Linotype" w:cs="Palatino Linotype"/>
          <w:b/>
          <w:bCs/>
          <w:color w:val="000000"/>
          <w:u w:val="single"/>
        </w:rPr>
        <w:t>sobreseimiento</w:t>
      </w:r>
      <w:r>
        <w:rPr>
          <w:rFonts w:ascii="Palatino Linotype" w:eastAsia="Palatino Linotype" w:hAnsi="Palatino Linotype" w:cs="Palatino Linotype"/>
          <w:color w:val="000000"/>
        </w:rPr>
        <w:t xml:space="preserve">; y, en su caso, </w:t>
      </w:r>
      <w:r>
        <w:rPr>
          <w:rFonts w:ascii="Palatino Linotype" w:eastAsia="Palatino Linotype" w:hAnsi="Palatino Linotype" w:cs="Palatino Linotype"/>
          <w:color w:val="000000"/>
        </w:rPr>
        <w:lastRenderedPageBreak/>
        <w:t xml:space="preserve">ordenar la entrega de la información respecto a la falta de respuesta por parte del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w:t>
      </w:r>
    </w:p>
    <w:p w:rsidR="008C7947" w:rsidRDefault="008C7947">
      <w:p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color w:val="000000"/>
        </w:rPr>
      </w:pPr>
    </w:p>
    <w:p w:rsidR="008C7947" w:rsidRDefault="00807F30">
      <w:pPr>
        <w:numPr>
          <w:ilvl w:val="0"/>
          <w:numId w:val="2"/>
        </w:numPr>
        <w:pBdr>
          <w:top w:val="nil"/>
          <w:left w:val="nil"/>
          <w:bottom w:val="nil"/>
          <w:right w:val="nil"/>
          <w:between w:val="nil"/>
        </w:pBdr>
        <w:tabs>
          <w:tab w:val="left" w:pos="0"/>
        </w:tabs>
        <w:spacing w:line="360" w:lineRule="auto"/>
        <w:ind w:left="0" w:right="-876" w:firstLine="0"/>
        <w:jc w:val="both"/>
        <w:rPr>
          <w:color w:val="000000"/>
        </w:rPr>
      </w:pPr>
      <w:r>
        <w:rPr>
          <w:rFonts w:ascii="Palatino Linotype" w:eastAsia="Palatino Linotype" w:hAnsi="Palatino Linotype" w:cs="Palatino Linotype"/>
          <w:color w:val="000000"/>
        </w:rPr>
        <w:t xml:space="preserve">De acuerdo con el precepto legal contenido en la fracción IV del artículo 192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el recurso será sobreseído, cuando una vez admitido, aparezca alguna causal de improcedencia en términos de la misma Ley.</w:t>
      </w:r>
    </w:p>
    <w:p w:rsidR="008C7947" w:rsidRDefault="008C7947">
      <w:pPr>
        <w:spacing w:line="360" w:lineRule="auto"/>
        <w:ind w:right="-876"/>
        <w:jc w:val="both"/>
        <w:rPr>
          <w:rFonts w:ascii="Palatino Linotype" w:eastAsia="Palatino Linotype" w:hAnsi="Palatino Linotype" w:cs="Palatino Linotype"/>
        </w:rPr>
      </w:pPr>
    </w:p>
    <w:p w:rsidR="008C7947" w:rsidRDefault="00807F30">
      <w:pPr>
        <w:keepNext/>
        <w:keepLines/>
        <w:numPr>
          <w:ilvl w:val="1"/>
          <w:numId w:val="2"/>
        </w:numPr>
        <w:spacing w:line="360" w:lineRule="auto"/>
        <w:ind w:left="567" w:right="-876" w:firstLine="0"/>
        <w:rPr>
          <w:rFonts w:ascii="Palatino Linotype" w:eastAsia="Palatino Linotype" w:hAnsi="Palatino Linotype" w:cs="Palatino Linotype"/>
          <w:b/>
          <w:bCs/>
        </w:rPr>
      </w:pPr>
      <w:bookmarkStart w:id="8" w:name="_heading=h.4ngexb28gqge" w:colFirst="0" w:colLast="0"/>
      <w:bookmarkEnd w:id="8"/>
      <w:r>
        <w:rPr>
          <w:rFonts w:ascii="Palatino Linotype" w:eastAsia="Palatino Linotype" w:hAnsi="Palatino Linotype" w:cs="Palatino Linotype"/>
          <w:b/>
          <w:bCs/>
        </w:rPr>
        <w:t xml:space="preserve"> De la solicitud de información </w:t>
      </w:r>
    </w:p>
    <w:p w:rsidR="008C7947" w:rsidRDefault="00807F30">
      <w:pPr>
        <w:numPr>
          <w:ilvl w:val="0"/>
          <w:numId w:val="2"/>
        </w:numPr>
        <w:spacing w:line="360" w:lineRule="auto"/>
        <w:ind w:left="0" w:right="-876"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Como ya se ha señalado,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solicitó lo siguiente:</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“Solicito nomina de todos los servidores públicos que laboran en la dirección de administración y sus subdirecciones del ayuntamiento de valle de chalco del mes de noviembre 1ra y segunda quincena de noviembre, 1ra y segunda quincena de diciembre y aguinaldos. De acuerdo a la ley de protección de datos personales, ley de Transparencia para el estado de México y municipios solicitó toda la nómina con todos los datos y si estos son tostados o borrados funde y motive el porque de lo contrario se hará de conocimiento a la contraloría del Estado para saber e investigar sobre la nómina que se está llevando, Lo anterior en tenor de lo dispuesto por el arti 6 de la constitución mexicana.” (Sic)</w:t>
      </w:r>
    </w:p>
    <w:p w:rsidR="008C7947" w:rsidRDefault="008C7947">
      <w:pPr>
        <w:spacing w:line="360" w:lineRule="auto"/>
        <w:ind w:right="-876"/>
        <w:jc w:val="both"/>
        <w:rPr>
          <w:rFonts w:ascii="Palatino Linotype" w:eastAsia="Palatino Linotype" w:hAnsi="Palatino Linotype" w:cs="Palatino Linotype"/>
          <w:i/>
          <w:iCs/>
          <w:color w:val="000000"/>
        </w:rPr>
      </w:pPr>
    </w:p>
    <w:p w:rsidR="008C7947" w:rsidRDefault="00807F30">
      <w:pPr>
        <w:numPr>
          <w:ilvl w:val="0"/>
          <w:numId w:val="2"/>
        </w:numPr>
        <w:spacing w:line="360" w:lineRule="auto"/>
        <w:ind w:left="0" w:right="-876"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por medio de la Dirección de Recursos Humanos, </w:t>
      </w:r>
      <w:r>
        <w:rPr>
          <w:rFonts w:ascii="Palatino Linotype" w:eastAsia="Palatino Linotype" w:hAnsi="Palatino Linotype" w:cs="Palatino Linotype"/>
        </w:rPr>
        <w:t>informó</w:t>
      </w:r>
      <w:r>
        <w:rPr>
          <w:rFonts w:ascii="Palatino Linotype" w:eastAsia="Palatino Linotype" w:hAnsi="Palatino Linotype" w:cs="Palatino Linotype"/>
          <w:color w:val="000000"/>
        </w:rPr>
        <w:t xml:space="preserve"> lo siguiente. </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CTM-VACHASO-A-00002-2026 y CTM-VACHASO-A-00003-2026.pdf: </w:t>
      </w:r>
      <w:r>
        <w:rPr>
          <w:rFonts w:ascii="Palatino Linotype" w:eastAsia="Palatino Linotype" w:hAnsi="Palatino Linotype" w:cs="Palatino Linotype"/>
          <w:i/>
          <w:iCs/>
        </w:rPr>
        <w:t xml:space="preserve">Acta de la Primera Sesión Ordinaria del Comité de Transparencia, mediante el cual clasifican como confidencial los datos correspondientes al número de empleado, CURP, RFC, clave ISEMMYM, código bidimensional, sello digital del SAT Y cadena original. </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GENERAL_AGUINALDO_2025.xlsx: </w:t>
      </w:r>
      <w:r>
        <w:rPr>
          <w:rFonts w:ascii="Palatino Linotype" w:eastAsia="Palatino Linotype" w:hAnsi="Palatino Linotype" w:cs="Palatino Linotype"/>
          <w:i/>
          <w:iCs/>
        </w:rPr>
        <w:t xml:space="preserve">tabla en Excel que contiene el pago del aguinaldo del año 2025. </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GENERAL_1RA_2DA_DIC_2025.xlsx: </w:t>
      </w:r>
      <w:r>
        <w:rPr>
          <w:rFonts w:ascii="Palatino Linotype" w:eastAsia="Palatino Linotype" w:hAnsi="Palatino Linotype" w:cs="Palatino Linotype"/>
          <w:i/>
          <w:iCs/>
        </w:rPr>
        <w:t>tabla en Excel que contiene pagos de la quincena de diciembre de 2025.</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GENERAL_1RA_2DA_NOV_2025.xlsx: </w:t>
      </w:r>
      <w:r>
        <w:rPr>
          <w:rFonts w:ascii="Palatino Linotype" w:eastAsia="Palatino Linotype" w:hAnsi="Palatino Linotype" w:cs="Palatino Linotype"/>
          <w:i/>
          <w:iCs/>
        </w:rPr>
        <w:t>tabla en Excel que contiene pagos de la quincena de noviembre de 2025.</w:t>
      </w:r>
    </w:p>
    <w:p w:rsidR="008C7947" w:rsidRDefault="00807F30">
      <w:pPr>
        <w:ind w:left="1134"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ACTA DE LA PRIMERA SESION ORDINARIA 2026.pdf: </w:t>
      </w:r>
      <w:r>
        <w:rPr>
          <w:rFonts w:ascii="Palatino Linotype" w:eastAsia="Palatino Linotype" w:hAnsi="Palatino Linotype" w:cs="Palatino Linotype"/>
          <w:i/>
          <w:iCs/>
        </w:rPr>
        <w:t xml:space="preserve">Acta de la Primera Sesión Ordinaria del Comité de Transparencia, mediante el cual clasifican como confidencial los datos correspondientes al número de empleado, CURP, RFC, clave ISEMMYM, código bidimensional, sello digital del SAT Y cadena original. </w:t>
      </w:r>
    </w:p>
    <w:p w:rsidR="008C7947" w:rsidRDefault="008C7947">
      <w:pPr>
        <w:ind w:right="-876"/>
        <w:rPr>
          <w:rFonts w:ascii="Palatino Linotype" w:eastAsia="Palatino Linotype" w:hAnsi="Palatino Linotype" w:cs="Palatino Linotype"/>
          <w:color w:val="000000"/>
        </w:rPr>
      </w:pPr>
    </w:p>
    <w:p w:rsidR="008C7947" w:rsidRDefault="00807F30">
      <w:pPr>
        <w:numPr>
          <w:ilvl w:val="0"/>
          <w:numId w:val="2"/>
        </w:numPr>
        <w:spacing w:line="360" w:lineRule="auto"/>
        <w:ind w:left="0" w:right="-876" w:firstLine="0"/>
        <w:jc w:val="both"/>
        <w:rPr>
          <w:color w:val="000000"/>
        </w:rPr>
      </w:pPr>
      <w:r>
        <w:rPr>
          <w:rFonts w:ascii="Palatino Linotype" w:eastAsia="Palatino Linotype" w:hAnsi="Palatino Linotype" w:cs="Palatino Linotype"/>
          <w:color w:val="000000"/>
        </w:rPr>
        <w:t xml:space="preserve">De la respuesta proporcionada,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por medio del recurso de revisión, manifestó lo siguiente:</w:t>
      </w:r>
    </w:p>
    <w:p w:rsidR="008C7947" w:rsidRDefault="008C7947">
      <w:pPr>
        <w:spacing w:line="360" w:lineRule="auto"/>
        <w:ind w:right="-876"/>
        <w:rPr>
          <w:rFonts w:ascii="Palatino Linotype" w:eastAsia="Palatino Linotype" w:hAnsi="Palatino Linotype" w:cs="Palatino Linotype"/>
          <w:i/>
          <w:iCs/>
        </w:rPr>
      </w:pPr>
    </w:p>
    <w:p w:rsidR="008C7947" w:rsidRDefault="00807F30">
      <w:pPr>
        <w:numPr>
          <w:ilvl w:val="0"/>
          <w:numId w:val="1"/>
        </w:numPr>
        <w:ind w:right="-876"/>
        <w:jc w:val="both"/>
        <w:rPr>
          <w:rFonts w:ascii="Palatino Linotype" w:eastAsia="Palatino Linotype" w:hAnsi="Palatino Linotype" w:cs="Palatino Linotype"/>
        </w:rPr>
      </w:pPr>
      <w:r>
        <w:rPr>
          <w:rFonts w:ascii="Palatino Linotype" w:eastAsia="Palatino Linotype" w:hAnsi="Palatino Linotype" w:cs="Palatino Linotype"/>
          <w:b/>
          <w:bCs/>
        </w:rPr>
        <w:t>Acto impugnado</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 xml:space="preserve"> “Se niega la información “ (Sic)</w:t>
      </w:r>
    </w:p>
    <w:p w:rsidR="008C7947" w:rsidRDefault="008C7947">
      <w:pPr>
        <w:pBdr>
          <w:top w:val="nil"/>
          <w:left w:val="nil"/>
          <w:bottom w:val="nil"/>
          <w:right w:val="nil"/>
          <w:between w:val="nil"/>
        </w:pBdr>
        <w:ind w:left="1134" w:right="-876"/>
        <w:jc w:val="both"/>
        <w:rPr>
          <w:rFonts w:ascii="Palatino Linotype" w:eastAsia="Palatino Linotype" w:hAnsi="Palatino Linotype" w:cs="Palatino Linotype"/>
          <w:i/>
          <w:iCs/>
          <w:color w:val="000000"/>
        </w:rPr>
      </w:pPr>
    </w:p>
    <w:p w:rsidR="008C7947" w:rsidRDefault="00807F30">
      <w:pPr>
        <w:numPr>
          <w:ilvl w:val="0"/>
          <w:numId w:val="5"/>
        </w:numPr>
        <w:ind w:right="-876"/>
        <w:jc w:val="both"/>
        <w:rPr>
          <w:rFonts w:ascii="Palatino Linotype" w:eastAsia="Palatino Linotype" w:hAnsi="Palatino Linotype" w:cs="Palatino Linotype"/>
        </w:rPr>
      </w:pPr>
      <w:r>
        <w:rPr>
          <w:rFonts w:ascii="Palatino Linotype" w:eastAsia="Palatino Linotype" w:hAnsi="Palatino Linotype" w:cs="Palatino Linotype"/>
          <w:b/>
          <w:bCs/>
        </w:rPr>
        <w:t>Razones o Motivos de inconformidad</w:t>
      </w:r>
      <w:r>
        <w:rPr>
          <w:rFonts w:ascii="Palatino Linotype" w:eastAsia="Palatino Linotype" w:hAnsi="Palatino Linotype" w:cs="Palatino Linotype"/>
          <w:b/>
          <w:bCs/>
          <w:i/>
          <w:iCs/>
        </w:rPr>
        <w:t>:</w:t>
      </w:r>
      <w:r>
        <w:rPr>
          <w:rFonts w:ascii="Palatino Linotype" w:eastAsia="Palatino Linotype" w:hAnsi="Palatino Linotype" w:cs="Palatino Linotype"/>
          <w:b/>
          <w:bCs/>
          <w:i/>
          <w:iCs/>
          <w:color w:val="0F4761"/>
        </w:rPr>
        <w:t xml:space="preserve"> </w:t>
      </w:r>
      <w:r>
        <w:rPr>
          <w:rFonts w:ascii="Palatino Linotype" w:eastAsia="Palatino Linotype" w:hAnsi="Palatino Linotype" w:cs="Palatino Linotype"/>
          <w:i/>
          <w:iCs/>
        </w:rPr>
        <w:t>“</w:t>
      </w:r>
      <w:r>
        <w:rPr>
          <w:rFonts w:ascii="Palatino Linotype" w:eastAsia="Palatino Linotype" w:hAnsi="Palatino Linotype" w:cs="Palatino Linotype"/>
          <w:i/>
          <w:iCs/>
          <w:color w:val="000000"/>
        </w:rPr>
        <w:t>Se niega la información o se declara inexistente, sin embargo la servidora publica sigue laborando y firmando documentos oficiales como contadora publica, se tiene como prueba una copia de su cédula profesional proporcionada por la misma y documentos que sustentan mi dicho por lo cual se solicita se aclara esta situación o se investigue por falsificar documentos oficiales asi como usurpación de la profesión a la c. Imelda</w:t>
      </w:r>
      <w:r>
        <w:rPr>
          <w:rFonts w:ascii="Palatino Linotype" w:eastAsia="Palatino Linotype" w:hAnsi="Palatino Linotype" w:cs="Palatino Linotype"/>
          <w:i/>
          <w:iCs/>
        </w:rPr>
        <w:t>” (Sic)</w:t>
      </w:r>
    </w:p>
    <w:p w:rsidR="008C7947" w:rsidRDefault="008C7947">
      <w:pPr>
        <w:spacing w:line="360" w:lineRule="auto"/>
        <w:ind w:right="-876"/>
        <w:jc w:val="both"/>
        <w:rPr>
          <w:rFonts w:ascii="Palatino Linotype" w:eastAsia="Palatino Linotype" w:hAnsi="Palatino Linotype" w:cs="Palatino Linotype"/>
          <w:i/>
          <w:iCs/>
        </w:rPr>
      </w:pPr>
    </w:p>
    <w:p w:rsidR="008C7947" w:rsidRPr="00252CAC" w:rsidRDefault="00807F30">
      <w:pPr>
        <w:numPr>
          <w:ilvl w:val="0"/>
          <w:numId w:val="2"/>
        </w:numPr>
        <w:spacing w:line="360" w:lineRule="auto"/>
        <w:ind w:left="0" w:right="-876" w:firstLine="0"/>
        <w:jc w:val="both"/>
        <w:rPr>
          <w:color w:val="000000"/>
        </w:rPr>
      </w:pPr>
      <w:r>
        <w:rPr>
          <w:rFonts w:ascii="Palatino Linotype" w:eastAsia="Palatino Linotype" w:hAnsi="Palatino Linotype" w:cs="Palatino Linotype"/>
          <w:color w:val="000000"/>
        </w:rPr>
        <w:t>De lo expuesto</w:t>
      </w:r>
      <w:r>
        <w:rPr>
          <w:rFonts w:ascii="Palatino Linotype" w:eastAsia="Palatino Linotype" w:hAnsi="Palatino Linotype" w:cs="Palatino Linotype"/>
        </w:rPr>
        <w:t xml:space="preserve">, se advierte que los motivos de inconformidad no guardan relación con la respuesta proporcionada, toda vez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no refiere a la servidora pública Imelda, tal y como se observa en las siguientes capturas de pantalla.</w:t>
      </w:r>
    </w:p>
    <w:p w:rsidR="00252CAC" w:rsidRDefault="00252CAC" w:rsidP="00252CAC">
      <w:pPr>
        <w:spacing w:line="360" w:lineRule="auto"/>
        <w:ind w:right="-876"/>
        <w:jc w:val="both"/>
        <w:rPr>
          <w:rFonts w:ascii="Palatino Linotype" w:eastAsia="Palatino Linotype" w:hAnsi="Palatino Linotype" w:cs="Palatino Linotype"/>
        </w:rPr>
      </w:pPr>
    </w:p>
    <w:p w:rsidR="00252CAC" w:rsidRDefault="00252CAC" w:rsidP="00252CAC">
      <w:pPr>
        <w:spacing w:line="360" w:lineRule="auto"/>
        <w:ind w:right="-876"/>
        <w:jc w:val="both"/>
        <w:rPr>
          <w:rFonts w:ascii="Palatino Linotype" w:eastAsia="Palatino Linotype" w:hAnsi="Palatino Linotype" w:cs="Palatino Linotype"/>
        </w:rPr>
      </w:pPr>
    </w:p>
    <w:p w:rsidR="00252CAC" w:rsidRDefault="00252CAC" w:rsidP="00252CAC">
      <w:pPr>
        <w:spacing w:line="360" w:lineRule="auto"/>
        <w:ind w:right="-876"/>
        <w:jc w:val="both"/>
        <w:rPr>
          <w:rFonts w:ascii="Palatino Linotype" w:eastAsia="Palatino Linotype" w:hAnsi="Palatino Linotype" w:cs="Palatino Linotype"/>
        </w:rPr>
      </w:pPr>
    </w:p>
    <w:p w:rsidR="00252CAC" w:rsidRDefault="00252CAC" w:rsidP="00252CAC">
      <w:pPr>
        <w:spacing w:line="360" w:lineRule="auto"/>
        <w:ind w:right="-876"/>
        <w:jc w:val="both"/>
        <w:rPr>
          <w:rFonts w:ascii="Palatino Linotype" w:eastAsia="Palatino Linotype" w:hAnsi="Palatino Linotype" w:cs="Palatino Linotype"/>
        </w:rPr>
      </w:pPr>
    </w:p>
    <w:p w:rsidR="00252CAC" w:rsidRDefault="00252CAC" w:rsidP="00252CAC">
      <w:pPr>
        <w:spacing w:line="360" w:lineRule="auto"/>
        <w:ind w:right="-876"/>
        <w:jc w:val="both"/>
        <w:rPr>
          <w:rFonts w:ascii="Palatino Linotype" w:eastAsia="Palatino Linotype" w:hAnsi="Palatino Linotype" w:cs="Palatino Linotype"/>
        </w:rPr>
      </w:pPr>
    </w:p>
    <w:p w:rsidR="008C7947" w:rsidRDefault="00807F30">
      <w:pPr>
        <w:spacing w:line="360" w:lineRule="auto"/>
        <w:ind w:right="-876"/>
        <w:jc w:val="both"/>
        <w:rPr>
          <w:rFonts w:ascii="Palatino Linotype" w:eastAsia="Palatino Linotype" w:hAnsi="Palatino Linotype" w:cs="Palatino Linotype"/>
        </w:rPr>
      </w:pPr>
      <w:r>
        <w:rPr>
          <w:noProof/>
        </w:rPr>
        <w:lastRenderedPageBreak/>
        <w:drawing>
          <wp:anchor distT="0" distB="0" distL="114300" distR="114300" simplePos="0" relativeHeight="251658240" behindDoc="0" locked="0" layoutInCell="1" hidden="0" allowOverlap="1">
            <wp:simplePos x="0" y="0"/>
            <wp:positionH relativeFrom="column">
              <wp:posOffset>-552449</wp:posOffset>
            </wp:positionH>
            <wp:positionV relativeFrom="paragraph">
              <wp:posOffset>44450</wp:posOffset>
            </wp:positionV>
            <wp:extent cx="3041015" cy="319087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041015" cy="3190875"/>
                    </a:xfrm>
                    <a:prstGeom prst="rect">
                      <a:avLst/>
                    </a:prstGeom>
                    <a:ln/>
                  </pic:spPr>
                </pic:pic>
              </a:graphicData>
            </a:graphic>
          </wp:anchor>
        </w:drawing>
      </w:r>
    </w:p>
    <w:p w:rsidR="008C7947" w:rsidRDefault="008C7947">
      <w:pPr>
        <w:spacing w:line="360" w:lineRule="auto"/>
        <w:ind w:right="-876"/>
        <w:jc w:val="both"/>
        <w:rPr>
          <w:rFonts w:ascii="Palatino Linotype" w:eastAsia="Palatino Linotype" w:hAnsi="Palatino Linotype" w:cs="Palatino Linotype"/>
        </w:rPr>
      </w:pPr>
    </w:p>
    <w:p w:rsidR="008C7947" w:rsidRDefault="008C7947">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8C7947" w:rsidRDefault="00807F30">
      <w:pPr>
        <w:spacing w:line="360" w:lineRule="auto"/>
        <w:ind w:right="-876"/>
        <w:jc w:val="both"/>
        <w:rPr>
          <w:rFonts w:ascii="Palatino Linotype" w:eastAsia="Palatino Linotype" w:hAnsi="Palatino Linotype" w:cs="Palatino Linotype"/>
        </w:rPr>
      </w:pPr>
      <w:r>
        <w:rPr>
          <w:noProof/>
        </w:rPr>
        <w:drawing>
          <wp:anchor distT="0" distB="0" distL="114300" distR="114300" simplePos="0" relativeHeight="251659264" behindDoc="0" locked="0" layoutInCell="1" hidden="0" allowOverlap="1">
            <wp:simplePos x="0" y="0"/>
            <wp:positionH relativeFrom="column">
              <wp:posOffset>2629271</wp:posOffset>
            </wp:positionH>
            <wp:positionV relativeFrom="paragraph">
              <wp:posOffset>8890</wp:posOffset>
            </wp:positionV>
            <wp:extent cx="3842756" cy="132397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842756" cy="1323975"/>
                    </a:xfrm>
                    <a:prstGeom prst="rect">
                      <a:avLst/>
                    </a:prstGeom>
                    <a:ln/>
                  </pic:spPr>
                </pic:pic>
              </a:graphicData>
            </a:graphic>
          </wp:anchor>
        </w:drawing>
      </w:r>
    </w:p>
    <w:p w:rsidR="008C7947" w:rsidRDefault="008C7947">
      <w:pPr>
        <w:spacing w:line="360" w:lineRule="auto"/>
        <w:ind w:right="-876"/>
        <w:jc w:val="both"/>
        <w:rPr>
          <w:rFonts w:ascii="Palatino Linotype" w:eastAsia="Palatino Linotype" w:hAnsi="Palatino Linotype" w:cs="Palatino Linotype"/>
        </w:rPr>
      </w:pPr>
    </w:p>
    <w:p w:rsidR="008C7947" w:rsidRDefault="008C7947">
      <w:pPr>
        <w:spacing w:line="360" w:lineRule="auto"/>
        <w:ind w:right="-876"/>
        <w:jc w:val="both"/>
        <w:rPr>
          <w:rFonts w:ascii="Palatino Linotype" w:eastAsia="Palatino Linotype" w:hAnsi="Palatino Linotype" w:cs="Palatino Linotype"/>
        </w:rPr>
      </w:pPr>
    </w:p>
    <w:p w:rsidR="008C7947" w:rsidRDefault="008C7947">
      <w:pPr>
        <w:spacing w:line="360" w:lineRule="auto"/>
        <w:ind w:right="-876"/>
        <w:jc w:val="both"/>
        <w:rPr>
          <w:rFonts w:ascii="Palatino Linotype" w:eastAsia="Palatino Linotype" w:hAnsi="Palatino Linotype" w:cs="Palatino Linotype"/>
        </w:rPr>
      </w:pPr>
    </w:p>
    <w:p w:rsidR="008C7947" w:rsidRDefault="008C7947">
      <w:pPr>
        <w:spacing w:line="360" w:lineRule="auto"/>
        <w:ind w:right="-876"/>
        <w:jc w:val="both"/>
        <w:rPr>
          <w:rFonts w:ascii="Palatino Linotype" w:eastAsia="Palatino Linotype" w:hAnsi="Palatino Linotype" w:cs="Palatino Linotype"/>
        </w:rPr>
      </w:pPr>
    </w:p>
    <w:p w:rsidR="008C7947" w:rsidRDefault="008C7947">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252CAC" w:rsidRDefault="00252CAC">
      <w:pPr>
        <w:spacing w:line="360" w:lineRule="auto"/>
        <w:ind w:right="-876"/>
        <w:jc w:val="both"/>
        <w:rPr>
          <w:rFonts w:ascii="Palatino Linotype" w:eastAsia="Palatino Linotype" w:hAnsi="Palatino Linotype" w:cs="Palatino Linotype"/>
        </w:rPr>
      </w:pPr>
    </w:p>
    <w:p w:rsidR="008C7947" w:rsidRDefault="00807F30">
      <w:pPr>
        <w:spacing w:line="360" w:lineRule="auto"/>
        <w:ind w:right="-876"/>
        <w:jc w:val="both"/>
        <w:rPr>
          <w:rFonts w:ascii="Palatino Linotype" w:eastAsia="Palatino Linotype" w:hAnsi="Palatino Linotype" w:cs="Palatino Linotype"/>
        </w:rPr>
      </w:pPr>
      <w:r>
        <w:rPr>
          <w:noProof/>
        </w:rPr>
        <w:lastRenderedPageBreak/>
        <w:drawing>
          <wp:anchor distT="0" distB="0" distL="114300" distR="114300" simplePos="0" relativeHeight="251660288" behindDoc="0" locked="0" layoutInCell="1" hidden="0" allowOverlap="1">
            <wp:simplePos x="0" y="0"/>
            <wp:positionH relativeFrom="column">
              <wp:posOffset>1382395</wp:posOffset>
            </wp:positionH>
            <wp:positionV relativeFrom="paragraph">
              <wp:posOffset>194945</wp:posOffset>
            </wp:positionV>
            <wp:extent cx="2412372" cy="3693424"/>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412372" cy="3693424"/>
                    </a:xfrm>
                    <a:prstGeom prst="rect">
                      <a:avLst/>
                    </a:prstGeom>
                    <a:ln/>
                  </pic:spPr>
                </pic:pic>
              </a:graphicData>
            </a:graphic>
          </wp:anchor>
        </w:drawing>
      </w:r>
    </w:p>
    <w:p w:rsidR="008C7947" w:rsidRDefault="008C7947">
      <w:pPr>
        <w:spacing w:line="360" w:lineRule="auto"/>
        <w:ind w:right="-876"/>
        <w:jc w:val="both"/>
        <w:rPr>
          <w:rFonts w:ascii="Palatino Linotype" w:eastAsia="Palatino Linotype" w:hAnsi="Palatino Linotype" w:cs="Palatino Linotype"/>
        </w:rPr>
      </w:pPr>
    </w:p>
    <w:p w:rsidR="008C7947" w:rsidRDefault="008C7947">
      <w:pPr>
        <w:spacing w:line="360" w:lineRule="auto"/>
        <w:ind w:right="-876"/>
        <w:jc w:val="both"/>
        <w:rPr>
          <w:rFonts w:ascii="Palatino Linotype" w:eastAsia="Palatino Linotype" w:hAnsi="Palatino Linotype" w:cs="Palatino Linotype"/>
          <w:color w:val="000000"/>
        </w:rPr>
      </w:pPr>
    </w:p>
    <w:p w:rsidR="008C7947" w:rsidRDefault="008C7947">
      <w:pPr>
        <w:spacing w:line="360" w:lineRule="auto"/>
        <w:ind w:right="-876"/>
        <w:jc w:val="both"/>
        <w:rPr>
          <w:rFonts w:ascii="Palatino Linotype" w:eastAsia="Palatino Linotype" w:hAnsi="Palatino Linotype" w:cs="Palatino Linotype"/>
          <w:color w:val="000000"/>
        </w:rPr>
      </w:pPr>
    </w:p>
    <w:p w:rsidR="008C7947" w:rsidRDefault="008C7947">
      <w:pPr>
        <w:spacing w:line="360" w:lineRule="auto"/>
        <w:ind w:right="-876"/>
        <w:jc w:val="both"/>
        <w:rPr>
          <w:rFonts w:ascii="Palatino Linotype" w:eastAsia="Palatino Linotype" w:hAnsi="Palatino Linotype" w:cs="Palatino Linotype"/>
          <w:color w:val="000000"/>
        </w:rPr>
      </w:pPr>
    </w:p>
    <w:p w:rsidR="008C7947" w:rsidRDefault="008C7947">
      <w:pPr>
        <w:spacing w:line="360" w:lineRule="auto"/>
        <w:ind w:right="-876"/>
        <w:jc w:val="both"/>
        <w:rPr>
          <w:rFonts w:ascii="Palatino Linotype" w:eastAsia="Palatino Linotype" w:hAnsi="Palatino Linotype" w:cs="Palatino Linotype"/>
          <w:color w:val="000000"/>
        </w:rPr>
      </w:pPr>
    </w:p>
    <w:p w:rsidR="008C7947" w:rsidRDefault="008C7947">
      <w:pPr>
        <w:spacing w:line="360" w:lineRule="auto"/>
        <w:ind w:right="-876"/>
        <w:jc w:val="both"/>
        <w:rPr>
          <w:rFonts w:ascii="Palatino Linotype" w:eastAsia="Palatino Linotype" w:hAnsi="Palatino Linotype" w:cs="Palatino Linotype"/>
          <w:color w:val="000000"/>
        </w:rPr>
      </w:pPr>
    </w:p>
    <w:p w:rsidR="008C7947" w:rsidRDefault="008C7947">
      <w:pPr>
        <w:spacing w:line="360" w:lineRule="auto"/>
        <w:ind w:right="-876"/>
        <w:jc w:val="both"/>
        <w:rPr>
          <w:rFonts w:ascii="Palatino Linotype" w:eastAsia="Palatino Linotype" w:hAnsi="Palatino Linotype" w:cs="Palatino Linotype"/>
          <w:color w:val="000000"/>
        </w:rPr>
      </w:pPr>
    </w:p>
    <w:p w:rsidR="008C7947" w:rsidRDefault="008C7947">
      <w:pPr>
        <w:spacing w:line="360" w:lineRule="auto"/>
        <w:ind w:right="-876"/>
        <w:jc w:val="both"/>
        <w:rPr>
          <w:rFonts w:ascii="Palatino Linotype" w:eastAsia="Palatino Linotype" w:hAnsi="Palatino Linotype" w:cs="Palatino Linotype"/>
          <w:color w:val="000000"/>
        </w:rPr>
      </w:pPr>
    </w:p>
    <w:p w:rsidR="008C7947" w:rsidRDefault="008C7947">
      <w:pPr>
        <w:spacing w:line="360" w:lineRule="auto"/>
        <w:ind w:right="-876"/>
        <w:jc w:val="both"/>
        <w:rPr>
          <w:rFonts w:ascii="Palatino Linotype" w:eastAsia="Palatino Linotype" w:hAnsi="Palatino Linotype" w:cs="Palatino Linotype"/>
          <w:color w:val="000000"/>
        </w:rPr>
      </w:pPr>
    </w:p>
    <w:p w:rsidR="008C7947" w:rsidRDefault="008C7947">
      <w:pPr>
        <w:spacing w:line="360" w:lineRule="auto"/>
        <w:ind w:right="-876"/>
        <w:jc w:val="both"/>
        <w:rPr>
          <w:rFonts w:ascii="Palatino Linotype" w:eastAsia="Palatino Linotype" w:hAnsi="Palatino Linotype" w:cs="Palatino Linotype"/>
          <w:color w:val="000000"/>
        </w:rPr>
      </w:pPr>
    </w:p>
    <w:p w:rsidR="008C7947" w:rsidRDefault="008C7947">
      <w:pPr>
        <w:spacing w:line="360" w:lineRule="auto"/>
        <w:ind w:right="-876"/>
        <w:jc w:val="both"/>
        <w:rPr>
          <w:rFonts w:ascii="Palatino Linotype" w:eastAsia="Palatino Linotype" w:hAnsi="Palatino Linotype" w:cs="Palatino Linotype"/>
          <w:color w:val="000000"/>
        </w:rPr>
      </w:pPr>
    </w:p>
    <w:p w:rsidR="008C7947" w:rsidRDefault="008C7947">
      <w:pPr>
        <w:spacing w:line="360" w:lineRule="auto"/>
        <w:ind w:right="-876"/>
        <w:jc w:val="both"/>
        <w:rPr>
          <w:rFonts w:ascii="Palatino Linotype" w:eastAsia="Palatino Linotype" w:hAnsi="Palatino Linotype" w:cs="Palatino Linotype"/>
          <w:color w:val="000000"/>
        </w:rPr>
      </w:pPr>
    </w:p>
    <w:p w:rsidR="008C7947" w:rsidRDefault="008C7947">
      <w:pPr>
        <w:spacing w:line="360" w:lineRule="auto"/>
        <w:ind w:right="-876"/>
        <w:jc w:val="both"/>
        <w:rPr>
          <w:rFonts w:ascii="Palatino Linotype" w:eastAsia="Palatino Linotype" w:hAnsi="Palatino Linotype" w:cs="Palatino Linotype"/>
          <w:color w:val="000000"/>
        </w:rPr>
      </w:pP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rPr>
        <w:t xml:space="preserve">Puntualizando lo anterior, es necesario precisar que, </w:t>
      </w:r>
      <w:r>
        <w:rPr>
          <w:rFonts w:ascii="Palatino Linotype" w:eastAsia="Palatino Linotype" w:hAnsi="Palatino Linotype" w:cs="Palatino Linotype"/>
          <w:b/>
          <w:bCs/>
          <w:u w:val="single"/>
        </w:rPr>
        <w:t xml:space="preserve">los motivos de inconformidad no guardan relación con la respuesta </w:t>
      </w:r>
      <w:r>
        <w:rPr>
          <w:rFonts w:ascii="Palatino Linotype" w:eastAsia="Palatino Linotype" w:hAnsi="Palatino Linotype" w:cs="Palatino Linotype"/>
        </w:rPr>
        <w:t xml:space="preserve">emitida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lo tanto, actualiza una causal de improcedencia como se determina en los siguientes párrafos. </w:t>
      </w:r>
    </w:p>
    <w:p w:rsidR="008C7947" w:rsidRDefault="008C7947">
      <w:pPr>
        <w:spacing w:line="360" w:lineRule="auto"/>
        <w:ind w:right="-876"/>
        <w:jc w:val="both"/>
        <w:rPr>
          <w:rFonts w:ascii="Palatino Linotype" w:eastAsia="Palatino Linotype" w:hAnsi="Palatino Linotype" w:cs="Palatino Linotype"/>
        </w:rPr>
      </w:pP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color w:val="000000"/>
        </w:rPr>
        <w:t xml:space="preserve">Resulta necesario traer a contexto la Jurisprudencia No. 29 visible a foja 19 del Apéndice al Semanario Judicial de la Federación 1917-1995, </w:t>
      </w:r>
      <w:r>
        <w:rPr>
          <w:rFonts w:ascii="Palatino Linotype" w:eastAsia="Palatino Linotype" w:hAnsi="Palatino Linotype" w:cs="Palatino Linotype"/>
        </w:rPr>
        <w:t>Tomo</w:t>
      </w:r>
      <w:r>
        <w:rPr>
          <w:rFonts w:ascii="Palatino Linotype" w:eastAsia="Palatino Linotype" w:hAnsi="Palatino Linotype" w:cs="Palatino Linotype"/>
          <w:color w:val="000000"/>
        </w:rPr>
        <w:t xml:space="preserve"> VI, Materia Común, Primera Parte, Tesis de la Suprema Corte de Justicia, que contiene:</w:t>
      </w:r>
    </w:p>
    <w:p w:rsidR="008C7947" w:rsidRDefault="00807F30">
      <w:pPr>
        <w:shd w:val="clear" w:color="auto" w:fill="FFFFFF"/>
        <w:spacing w:before="240" w:after="240"/>
        <w:ind w:left="1134"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AGRAVIOS EN LA REVISION. DEBEN ESTAR EN RELACION DIRECTA CON LOS FUNDAMENTOS Y CONSIDERACIONES DE LA SENTENCIA</w:t>
      </w:r>
      <w:r>
        <w:rPr>
          <w:rFonts w:ascii="Palatino Linotype" w:eastAsia="Palatino Linotype" w:hAnsi="Palatino Linotype" w:cs="Palatino Linotype"/>
          <w:i/>
          <w:iCs/>
          <w:color w:val="000000"/>
        </w:rPr>
        <w:t xml:space="preserve">.- Los agravios deben estar en relación directa e inmediata con los fundamentos contenidos en la sentencia que se recurre, y forzosamente deben contener, no sólo la cita de las disposiciones legales que </w:t>
      </w:r>
      <w:r>
        <w:rPr>
          <w:rFonts w:ascii="Palatino Linotype" w:eastAsia="Palatino Linotype" w:hAnsi="Palatino Linotype" w:cs="Palatino Linotype"/>
          <w:i/>
          <w:iCs/>
          <w:color w:val="000000"/>
        </w:rPr>
        <w:lastRenderedPageBreak/>
        <w:t xml:space="preserve">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p>
    <w:p w:rsidR="008C7947" w:rsidRDefault="008C7947">
      <w:pPr>
        <w:shd w:val="clear" w:color="auto" w:fill="FFFFFF"/>
        <w:spacing w:before="240" w:after="240"/>
        <w:ind w:left="1134" w:right="-876"/>
        <w:jc w:val="both"/>
        <w:rPr>
          <w:rFonts w:ascii="Palatino Linotype" w:eastAsia="Palatino Linotype" w:hAnsi="Palatino Linotype" w:cs="Palatino Linotype"/>
          <w:i/>
          <w:iCs/>
        </w:rPr>
      </w:pPr>
    </w:p>
    <w:p w:rsidR="008C7947" w:rsidRDefault="00807F30">
      <w:pPr>
        <w:numPr>
          <w:ilvl w:val="0"/>
          <w:numId w:val="2"/>
        </w:numPr>
        <w:spacing w:before="240" w:after="240" w:line="360" w:lineRule="auto"/>
        <w:ind w:left="0" w:right="-876" w:firstLine="0"/>
        <w:jc w:val="both"/>
      </w:pPr>
      <w:r>
        <w:rPr>
          <w:rFonts w:ascii="Palatino Linotype" w:eastAsia="Palatino Linotype" w:hAnsi="Palatino Linotype" w:cs="Palatino Linotype"/>
          <w:color w:val="000000"/>
        </w:rPr>
        <w:t>Señalado lo anterior, se determina que el recurso de revisión no actualiza ninguna causal de procedencia que se relacione con la solicitud o la respuesta. En consecuencia, l</w:t>
      </w:r>
      <w:r>
        <w:rPr>
          <w:rFonts w:ascii="Palatino Linotype" w:eastAsia="Palatino Linotype" w:hAnsi="Palatino Linotype" w:cs="Palatino Linotype"/>
        </w:rPr>
        <w:t>a falta de actualización de causal de procedencia trae consigo que el recurso de revisión sea desechado por improcedente, de acuerdo con el artículo 191 de la citada ley:</w:t>
      </w:r>
    </w:p>
    <w:p w:rsidR="008C7947" w:rsidRDefault="00807F30">
      <w:pPr>
        <w:pBdr>
          <w:top w:val="nil"/>
          <w:left w:val="nil"/>
          <w:bottom w:val="nil"/>
          <w:right w:val="nil"/>
          <w:between w:val="nil"/>
        </w:pBdr>
        <w:ind w:left="1134"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191.</w:t>
      </w:r>
      <w:r>
        <w:rPr>
          <w:rFonts w:ascii="Palatino Linotype" w:eastAsia="Palatino Linotype" w:hAnsi="Palatino Linotype" w:cs="Palatino Linotype"/>
          <w:i/>
          <w:iCs/>
          <w:color w:val="000000"/>
        </w:rPr>
        <w:t xml:space="preserve"> El recurso será desechado por improcedente cuando:</w:t>
      </w:r>
    </w:p>
    <w:p w:rsidR="008C7947" w:rsidRDefault="008C7947">
      <w:pPr>
        <w:pBdr>
          <w:top w:val="nil"/>
          <w:left w:val="nil"/>
          <w:bottom w:val="nil"/>
          <w:right w:val="nil"/>
          <w:between w:val="nil"/>
        </w:pBdr>
        <w:ind w:left="1134" w:right="-876"/>
        <w:jc w:val="both"/>
        <w:rPr>
          <w:rFonts w:ascii="Palatino Linotype" w:eastAsia="Palatino Linotype" w:hAnsi="Palatino Linotype" w:cs="Palatino Linotype"/>
          <w:i/>
          <w:iCs/>
          <w:color w:val="000000"/>
        </w:rPr>
      </w:pPr>
    </w:p>
    <w:p w:rsidR="008C7947" w:rsidRDefault="00807F30">
      <w:pPr>
        <w:pBdr>
          <w:top w:val="nil"/>
          <w:left w:val="nil"/>
          <w:bottom w:val="nil"/>
          <w:right w:val="nil"/>
          <w:between w:val="nil"/>
        </w:pBdr>
        <w:ind w:left="1134"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Sea extemporáneo por haber transcurrido el plazo establecido en la presente Ley, a partir de la respuesta; </w:t>
      </w:r>
    </w:p>
    <w:p w:rsidR="008C7947" w:rsidRDefault="00807F30">
      <w:pPr>
        <w:pBdr>
          <w:top w:val="nil"/>
          <w:left w:val="nil"/>
          <w:bottom w:val="nil"/>
          <w:right w:val="nil"/>
          <w:between w:val="nil"/>
        </w:pBdr>
        <w:ind w:left="1134"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Se esté tramitando ante el Poder Judicial de la Federación algún recurso o medio de defensa interpuesto por el recurrente; </w:t>
      </w:r>
    </w:p>
    <w:p w:rsidR="008C7947" w:rsidRDefault="00807F30">
      <w:pPr>
        <w:pBdr>
          <w:top w:val="nil"/>
          <w:left w:val="nil"/>
          <w:bottom w:val="nil"/>
          <w:right w:val="nil"/>
          <w:between w:val="nil"/>
        </w:pBdr>
        <w:ind w:left="1134"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III. No actualice alguno de los supuestos previstos en la presente Ley; </w:t>
      </w:r>
    </w:p>
    <w:p w:rsidR="008C7947" w:rsidRDefault="00807F30">
      <w:pPr>
        <w:pBdr>
          <w:top w:val="nil"/>
          <w:left w:val="nil"/>
          <w:bottom w:val="nil"/>
          <w:right w:val="nil"/>
          <w:between w:val="nil"/>
        </w:pBdr>
        <w:ind w:left="1134"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No se haya desahogado la prevención en los términos establecidos en la presente Ley; </w:t>
      </w:r>
    </w:p>
    <w:p w:rsidR="008C7947" w:rsidRDefault="00807F30">
      <w:pPr>
        <w:pBdr>
          <w:top w:val="nil"/>
          <w:left w:val="nil"/>
          <w:bottom w:val="nil"/>
          <w:right w:val="nil"/>
          <w:between w:val="nil"/>
        </w:pBdr>
        <w:ind w:left="1134"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Se impugne la veracidad de la información proporcionada; </w:t>
      </w:r>
    </w:p>
    <w:p w:rsidR="008C7947" w:rsidRDefault="00807F30">
      <w:pPr>
        <w:pBdr>
          <w:top w:val="nil"/>
          <w:left w:val="nil"/>
          <w:bottom w:val="nil"/>
          <w:right w:val="nil"/>
          <w:between w:val="nil"/>
        </w:pBdr>
        <w:ind w:left="1134"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Se trate de una consulta, o trámite en específico; y </w:t>
      </w:r>
    </w:p>
    <w:p w:rsidR="008C7947" w:rsidRDefault="00807F30">
      <w:pPr>
        <w:pBdr>
          <w:top w:val="nil"/>
          <w:left w:val="nil"/>
          <w:bottom w:val="nil"/>
          <w:right w:val="nil"/>
          <w:between w:val="nil"/>
        </w:pBdr>
        <w:ind w:left="1134"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 El recurrente amplíe su solicitud en el recurso de revisión, únicamente respecto de los nuevos contenidos.”</w:t>
      </w:r>
    </w:p>
    <w:p w:rsidR="008C7947" w:rsidRDefault="008C7947">
      <w:pPr>
        <w:pBdr>
          <w:top w:val="nil"/>
          <w:left w:val="nil"/>
          <w:bottom w:val="nil"/>
          <w:right w:val="nil"/>
          <w:between w:val="nil"/>
        </w:pBdr>
        <w:ind w:left="1134" w:right="-876"/>
        <w:jc w:val="both"/>
        <w:rPr>
          <w:rFonts w:ascii="Palatino Linotype" w:eastAsia="Palatino Linotype" w:hAnsi="Palatino Linotype" w:cs="Palatino Linotype"/>
          <w:i/>
          <w:iCs/>
        </w:rPr>
      </w:pPr>
    </w:p>
    <w:p w:rsidR="008C7947" w:rsidRDefault="00807F30">
      <w:pPr>
        <w:numPr>
          <w:ilvl w:val="0"/>
          <w:numId w:val="2"/>
        </w:numPr>
        <w:spacing w:before="240" w:line="360" w:lineRule="auto"/>
        <w:ind w:left="0" w:right="-876" w:firstLine="0"/>
        <w:jc w:val="both"/>
      </w:pPr>
      <w:r>
        <w:rPr>
          <w:rFonts w:ascii="Palatino Linotype" w:eastAsia="Palatino Linotype" w:hAnsi="Palatino Linotype" w:cs="Palatino Linotype"/>
        </w:rPr>
        <w:t>Al no actualizar ninguna causal de procedencia, el recurso de revisión debe ser desechados por improcedentes; sin embargo, una vez admitido, procederá el sobreseimiento de acuerdo con lo que establece el artículo 192 fracción IV, de la multicitada Ley de Transparencia:</w:t>
      </w:r>
    </w:p>
    <w:p w:rsidR="008C7947" w:rsidRDefault="00807F30">
      <w:pPr>
        <w:pBdr>
          <w:top w:val="nil"/>
          <w:left w:val="nil"/>
          <w:bottom w:val="nil"/>
          <w:right w:val="nil"/>
          <w:between w:val="nil"/>
        </w:pBdr>
        <w:ind w:left="1134"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192.</w:t>
      </w:r>
      <w:r>
        <w:rPr>
          <w:rFonts w:ascii="Palatino Linotype" w:eastAsia="Palatino Linotype" w:hAnsi="Palatino Linotype" w:cs="Palatino Linotype"/>
          <w:i/>
          <w:iCs/>
          <w:color w:val="000000"/>
        </w:rPr>
        <w:t xml:space="preserve"> El recurso será sobreseído, en todo o en parte, cuando una vez admitido, se actualicen alguno de los siguientes supuestos:</w:t>
      </w:r>
    </w:p>
    <w:p w:rsidR="008C7947" w:rsidRDefault="00807F30">
      <w:pPr>
        <w:pBdr>
          <w:top w:val="nil"/>
          <w:left w:val="nil"/>
          <w:bottom w:val="nil"/>
          <w:right w:val="nil"/>
          <w:between w:val="nil"/>
        </w:pBdr>
        <w:ind w:left="1134"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8C7947" w:rsidRDefault="00807F30">
      <w:pPr>
        <w:pBdr>
          <w:top w:val="nil"/>
          <w:left w:val="nil"/>
          <w:bottom w:val="nil"/>
          <w:right w:val="nil"/>
          <w:between w:val="nil"/>
        </w:pBdr>
        <w:ind w:left="1134"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 xml:space="preserve">IV. Admitido el recurso de revisión, aparezca alguna causal de improcedencia en los términos de la presente Ley; y </w:t>
      </w:r>
    </w:p>
    <w:p w:rsidR="008C7947" w:rsidRDefault="00807F30">
      <w:pPr>
        <w:pBdr>
          <w:top w:val="nil"/>
          <w:left w:val="nil"/>
          <w:bottom w:val="nil"/>
          <w:right w:val="nil"/>
          <w:between w:val="nil"/>
        </w:pBdr>
        <w:ind w:left="1134"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Cuando por cualquier motivo quede sin materia el recurso.” </w:t>
      </w:r>
    </w:p>
    <w:p w:rsidR="008C7947" w:rsidRDefault="008C7947">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8C7947" w:rsidRDefault="00807F30">
      <w:pPr>
        <w:numPr>
          <w:ilvl w:val="0"/>
          <w:numId w:val="2"/>
        </w:numPr>
        <w:pBdr>
          <w:top w:val="nil"/>
          <w:left w:val="nil"/>
          <w:bottom w:val="nil"/>
          <w:right w:val="nil"/>
          <w:between w:val="nil"/>
        </w:pBdr>
        <w:spacing w:line="360" w:lineRule="auto"/>
        <w:ind w:left="0" w:right="-876" w:firstLine="0"/>
        <w:jc w:val="both"/>
        <w:rPr>
          <w:color w:val="000000"/>
        </w:rPr>
      </w:pPr>
      <w:r>
        <w:rPr>
          <w:rFonts w:ascii="Palatino Linotype" w:eastAsia="Palatino Linotype" w:hAnsi="Palatino Linotype" w:cs="Palatino Linotype"/>
          <w:color w:val="000000"/>
        </w:rPr>
        <w:t>Es así como, el recurso de revisión actualiza la causal de sobreseimiento establecida en la fracción IV del artículo 192, en relación a la fracción III del artículo 191, ambos de la Ley de Transparencia y Acceso a la Información Pública del Estado de México y Municipios.</w:t>
      </w:r>
    </w:p>
    <w:p w:rsidR="008C7947" w:rsidRDefault="008C7947">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8C7947" w:rsidRDefault="00807F30">
      <w:pPr>
        <w:numPr>
          <w:ilvl w:val="0"/>
          <w:numId w:val="2"/>
        </w:numPr>
        <w:spacing w:line="360" w:lineRule="auto"/>
        <w:ind w:left="0" w:right="-876" w:firstLine="0"/>
        <w:jc w:val="both"/>
      </w:pPr>
      <w:r>
        <w:rPr>
          <w:rFonts w:ascii="Palatino Linotype" w:eastAsia="Palatino Linotype" w:hAnsi="Palatino Linotype" w:cs="Palatino Linotype"/>
        </w:rPr>
        <w:t>No obstante, a efecto de no vulnerar los derechos del particular, este Órgano Garante deja a salvo sus derechos para que, si así lo desea, presente una nueva solicitud de acceso a la información requiriendo información que sea de su interés.</w:t>
      </w:r>
    </w:p>
    <w:p w:rsidR="008C7947" w:rsidRDefault="008C7947">
      <w:pPr>
        <w:spacing w:line="360" w:lineRule="auto"/>
        <w:ind w:right="-876"/>
        <w:jc w:val="both"/>
        <w:rPr>
          <w:rFonts w:ascii="Palatino Linotype" w:eastAsia="Palatino Linotype" w:hAnsi="Palatino Linotype" w:cs="Palatino Linotype"/>
        </w:rPr>
      </w:pPr>
    </w:p>
    <w:p w:rsidR="008C7947" w:rsidRDefault="00807F30">
      <w:pPr>
        <w:numPr>
          <w:ilvl w:val="0"/>
          <w:numId w:val="2"/>
        </w:numPr>
        <w:spacing w:line="360" w:lineRule="auto"/>
        <w:ind w:left="0" w:right="-876" w:firstLine="0"/>
        <w:jc w:val="both"/>
        <w:rPr>
          <w:color w:val="000000"/>
        </w:rPr>
      </w:pPr>
      <w:bookmarkStart w:id="9" w:name="_heading=h.ocnnf0p2fxtp" w:colFirst="0" w:colLast="0"/>
      <w:bookmarkEnd w:id="9"/>
      <w:r>
        <w:rPr>
          <w:rFonts w:ascii="Palatino Linotype" w:eastAsia="Palatino Linotype" w:hAnsi="Palatino Linotype" w:cs="Palatino Linotype"/>
        </w:rPr>
        <w:t xml:space="preserve">Por lo anteriormente expuesto y fundado, este </w:t>
      </w:r>
      <w:r>
        <w:rPr>
          <w:rFonts w:ascii="Palatino Linotype" w:eastAsia="Palatino Linotype" w:hAnsi="Palatino Linotype" w:cs="Palatino Linotype"/>
          <w:b/>
          <w:bCs/>
        </w:rPr>
        <w:t>ÓRGANO GARANTE</w:t>
      </w:r>
      <w:r>
        <w:rPr>
          <w:rFonts w:ascii="Palatino Linotype" w:eastAsia="Palatino Linotype" w:hAnsi="Palatino Linotype" w:cs="Palatino Linotype"/>
        </w:rPr>
        <w:t xml:space="preserve"> emite los siguientes:</w:t>
      </w:r>
      <w:r>
        <w:rPr>
          <w:rFonts w:ascii="Palatino Linotype" w:eastAsia="Palatino Linotype" w:hAnsi="Palatino Linotype" w:cs="Palatino Linotype"/>
          <w:color w:val="000000"/>
        </w:rPr>
        <w:t xml:space="preserve"> </w:t>
      </w:r>
    </w:p>
    <w:p w:rsidR="008C7947" w:rsidRDefault="008C7947">
      <w:pPr>
        <w:spacing w:line="360" w:lineRule="auto"/>
        <w:ind w:right="-876"/>
        <w:jc w:val="both"/>
        <w:rPr>
          <w:rFonts w:ascii="Palatino Linotype" w:eastAsia="Palatino Linotype" w:hAnsi="Palatino Linotype" w:cs="Palatino Linotype"/>
          <w:color w:val="000000"/>
        </w:rPr>
      </w:pPr>
    </w:p>
    <w:p w:rsidR="008C7947" w:rsidRDefault="00807F30">
      <w:pPr>
        <w:keepNext/>
        <w:keepLines/>
        <w:spacing w:line="360" w:lineRule="auto"/>
        <w:ind w:right="-876"/>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E S O L U T I V O S</w:t>
      </w:r>
    </w:p>
    <w:p w:rsidR="008C7947" w:rsidRDefault="008C7947">
      <w:pPr>
        <w:keepNext/>
        <w:keepLines/>
        <w:spacing w:line="360" w:lineRule="auto"/>
        <w:ind w:right="-876"/>
        <w:rPr>
          <w:rFonts w:ascii="Palatino Linotype" w:eastAsia="Palatino Linotype" w:hAnsi="Palatino Linotype" w:cs="Palatino Linotype"/>
          <w:b/>
          <w:bCs/>
          <w:color w:val="000000"/>
        </w:rPr>
      </w:pPr>
    </w:p>
    <w:p w:rsidR="008C7947" w:rsidRDefault="00807F30">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 xml:space="preserve">Se </w:t>
      </w:r>
      <w:r>
        <w:rPr>
          <w:rFonts w:ascii="Palatino Linotype" w:eastAsia="Palatino Linotype" w:hAnsi="Palatino Linotype" w:cs="Palatino Linotype"/>
          <w:b/>
          <w:bCs/>
        </w:rPr>
        <w:t xml:space="preserve">SOBRESEE </w:t>
      </w:r>
      <w:r w:rsidRPr="007F3436">
        <w:rPr>
          <w:rFonts w:ascii="Palatino Linotype" w:eastAsia="Palatino Linotype" w:hAnsi="Palatino Linotype" w:cs="Palatino Linotype"/>
          <w:bCs/>
        </w:rPr>
        <w:t>el</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recurso de revisión número </w:t>
      </w:r>
      <w:r>
        <w:rPr>
          <w:rFonts w:ascii="Palatino Linotype" w:eastAsia="Palatino Linotype" w:hAnsi="Palatino Linotype" w:cs="Palatino Linotype"/>
          <w:b/>
          <w:bCs/>
        </w:rPr>
        <w:t>02363/INFOEM/IP/RR/2026</w:t>
      </w:r>
      <w:r>
        <w:rPr>
          <w:rFonts w:ascii="Palatino Linotype" w:eastAsia="Palatino Linotype" w:hAnsi="Palatino Linotype" w:cs="Palatino Linotype"/>
        </w:rPr>
        <w:t xml:space="preserve">, conforme al artículo </w:t>
      </w:r>
      <w:r>
        <w:rPr>
          <w:rFonts w:ascii="Palatino Linotype" w:eastAsia="Palatino Linotype" w:hAnsi="Palatino Linotype" w:cs="Palatino Linotype"/>
          <w:b/>
          <w:bCs/>
        </w:rPr>
        <w:t>192 fracción IV</w:t>
      </w:r>
      <w:r>
        <w:rPr>
          <w:rFonts w:ascii="Palatino Linotype" w:eastAsia="Palatino Linotype" w:hAnsi="Palatino Linotype" w:cs="Palatino Linotype"/>
        </w:rPr>
        <w:t xml:space="preserve">, de la Ley de Transparencia y Acceso a la Información Pública del Estado de México y Municipios, en términos del </w:t>
      </w:r>
      <w:r>
        <w:rPr>
          <w:rFonts w:ascii="Palatino Linotype" w:eastAsia="Palatino Linotype" w:hAnsi="Palatino Linotype" w:cs="Palatino Linotype"/>
          <w:b/>
          <w:bCs/>
        </w:rPr>
        <w:t>Considerando TERCERO</w:t>
      </w:r>
      <w:r>
        <w:rPr>
          <w:rFonts w:ascii="Palatino Linotype" w:eastAsia="Palatino Linotype" w:hAnsi="Palatino Linotype" w:cs="Palatino Linotype"/>
        </w:rPr>
        <w:t xml:space="preserve"> de la presente resolución.</w:t>
      </w:r>
    </w:p>
    <w:p w:rsidR="008C7947" w:rsidRDefault="008C7947">
      <w:pPr>
        <w:spacing w:line="360" w:lineRule="auto"/>
        <w:ind w:right="-876"/>
        <w:jc w:val="both"/>
        <w:rPr>
          <w:rFonts w:ascii="Palatino Linotype" w:eastAsia="Palatino Linotype" w:hAnsi="Palatino Linotype" w:cs="Palatino Linotype"/>
        </w:rPr>
      </w:pPr>
    </w:p>
    <w:p w:rsidR="008C7947" w:rsidRDefault="00807F30">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SEGUNDO.</w:t>
      </w:r>
      <w:r>
        <w:rPr>
          <w:rFonts w:ascii="Palatino Linotype" w:eastAsia="Palatino Linotype" w:hAnsi="Palatino Linotype" w:cs="Palatino Linotype"/>
          <w:b/>
          <w:bCs/>
          <w:color w:val="0F4761"/>
        </w:rPr>
        <w:t xml:space="preserve"> </w:t>
      </w:r>
      <w:r w:rsidR="007F3436">
        <w:rPr>
          <w:rFonts w:ascii="Palatino Linotype" w:eastAsia="Palatino Linotype" w:hAnsi="Palatino Linotype" w:cs="Palatino Linotype"/>
          <w:b/>
          <w:bCs/>
        </w:rPr>
        <w:t>Notifíquese</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 través del Sistema de Acceso a la Información Mexiquense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la presente resolución al Titular de la Unidad de Transparencia del</w:t>
      </w:r>
      <w:r>
        <w:rPr>
          <w:rFonts w:ascii="Palatino Linotype" w:eastAsia="Palatino Linotype" w:hAnsi="Palatino Linotype" w:cs="Palatino Linotype"/>
          <w:b/>
          <w:bCs/>
        </w:rPr>
        <w:t xml:space="preserve"> SUJETO OBLIGADO.</w:t>
      </w:r>
    </w:p>
    <w:p w:rsidR="008C7947" w:rsidRDefault="008C7947">
      <w:pPr>
        <w:spacing w:line="360" w:lineRule="auto"/>
        <w:ind w:right="-876"/>
        <w:jc w:val="both"/>
        <w:rPr>
          <w:rFonts w:ascii="Palatino Linotype" w:eastAsia="Palatino Linotype" w:hAnsi="Palatino Linotype" w:cs="Palatino Linotype"/>
        </w:rPr>
      </w:pPr>
    </w:p>
    <w:p w:rsidR="008C7947" w:rsidRDefault="00807F30">
      <w:pPr>
        <w:tabs>
          <w:tab w:val="left" w:pos="8080"/>
        </w:tabs>
        <w:spacing w:line="360" w:lineRule="auto"/>
        <w:ind w:right="-876"/>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lastRenderedPageBreak/>
        <w:t xml:space="preserve">TERCERO. Notifíquese </w:t>
      </w:r>
      <w:r>
        <w:rPr>
          <w:rFonts w:ascii="Palatino Linotype" w:eastAsia="Palatino Linotype" w:hAnsi="Palatino Linotype" w:cs="Palatino Linotype"/>
        </w:rPr>
        <w:t xml:space="preserve">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a través del Sistema de Acceso a la Información Mexiquense </w:t>
      </w:r>
      <w:r>
        <w:rPr>
          <w:rFonts w:ascii="Palatino Linotype" w:eastAsia="Palatino Linotype" w:hAnsi="Palatino Linotype" w:cs="Palatino Linotype"/>
          <w:b/>
          <w:bCs/>
        </w:rPr>
        <w:t>(SAIMEX).</w:t>
      </w:r>
    </w:p>
    <w:p w:rsidR="008C7947" w:rsidRDefault="008C7947">
      <w:pPr>
        <w:tabs>
          <w:tab w:val="left" w:pos="8080"/>
        </w:tabs>
        <w:spacing w:line="360" w:lineRule="auto"/>
        <w:ind w:right="-876"/>
        <w:jc w:val="both"/>
        <w:rPr>
          <w:rFonts w:ascii="Palatino Linotype" w:eastAsia="Palatino Linotype" w:hAnsi="Palatino Linotype" w:cs="Palatino Linotype"/>
          <w:b/>
          <w:bCs/>
          <w:color w:val="000000"/>
        </w:rPr>
      </w:pPr>
    </w:p>
    <w:p w:rsidR="008C7947" w:rsidRDefault="00807F30">
      <w:pPr>
        <w:shd w:val="clear" w:color="auto" w:fill="FFFFFF"/>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CUARTO. </w:t>
      </w:r>
      <w:r>
        <w:rPr>
          <w:rFonts w:ascii="Palatino Linotype" w:eastAsia="Palatino Linotype" w:hAnsi="Palatino Linotype" w:cs="Palatino Linotype"/>
        </w:rPr>
        <w:t xml:space="preserve">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8C7947" w:rsidRDefault="008C7947">
      <w:pPr>
        <w:spacing w:line="360" w:lineRule="auto"/>
        <w:ind w:right="-876"/>
        <w:jc w:val="both"/>
        <w:rPr>
          <w:rFonts w:ascii="Palatino Linotype" w:eastAsia="Palatino Linotype" w:hAnsi="Palatino Linotype" w:cs="Palatino Linotype"/>
        </w:rPr>
      </w:pPr>
    </w:p>
    <w:p w:rsidR="007F3436" w:rsidRPr="003E2295" w:rsidRDefault="007F3436" w:rsidP="007F3436">
      <w:pPr>
        <w:spacing w:before="240" w:after="240" w:line="360" w:lineRule="auto"/>
        <w:ind w:right="-879" w:firstLine="1"/>
        <w:jc w:val="both"/>
        <w:rPr>
          <w:rFonts w:ascii="Palatino Linotype" w:hAnsi="Palatino Linotype"/>
        </w:rPr>
      </w:pPr>
      <w:bookmarkStart w:id="10"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rsidR="008C7947" w:rsidRDefault="008C7947" w:rsidP="007F3436">
      <w:pPr>
        <w:spacing w:line="360" w:lineRule="auto"/>
        <w:ind w:right="-879"/>
        <w:jc w:val="both"/>
        <w:rPr>
          <w:rFonts w:ascii="Palatino Linotype" w:eastAsia="Palatino Linotype" w:hAnsi="Palatino Linotype" w:cs="Palatino Linotype"/>
        </w:rPr>
      </w:pPr>
    </w:p>
    <w:p w:rsidR="008C7947" w:rsidRDefault="008C7947" w:rsidP="007F3436">
      <w:pPr>
        <w:spacing w:line="360" w:lineRule="auto"/>
        <w:ind w:right="-879"/>
        <w:jc w:val="both"/>
        <w:rPr>
          <w:rFonts w:ascii="Palatino Linotype" w:eastAsia="Palatino Linotype" w:hAnsi="Palatino Linotype" w:cs="Palatino Linotype"/>
        </w:rPr>
      </w:pPr>
    </w:p>
    <w:p w:rsidR="008C7947" w:rsidRDefault="008C7947">
      <w:pPr>
        <w:spacing w:line="360" w:lineRule="auto"/>
        <w:ind w:right="-876"/>
        <w:jc w:val="both"/>
        <w:rPr>
          <w:rFonts w:ascii="Palatino Linotype" w:eastAsia="Palatino Linotype" w:hAnsi="Palatino Linotype" w:cs="Palatino Linotype"/>
        </w:rPr>
      </w:pPr>
    </w:p>
    <w:p w:rsidR="008C7947" w:rsidRDefault="008C7947">
      <w:pPr>
        <w:spacing w:line="360" w:lineRule="auto"/>
        <w:ind w:right="-876"/>
        <w:jc w:val="both"/>
        <w:rPr>
          <w:rFonts w:ascii="Palatino Linotype" w:eastAsia="Palatino Linotype" w:hAnsi="Palatino Linotype" w:cs="Palatino Linotype"/>
        </w:rPr>
      </w:pPr>
    </w:p>
    <w:p w:rsidR="008C7947" w:rsidRDefault="008C7947">
      <w:pPr>
        <w:spacing w:line="360" w:lineRule="auto"/>
        <w:ind w:right="-876"/>
        <w:rPr>
          <w:rFonts w:ascii="Palatino Linotype" w:eastAsia="Palatino Linotype" w:hAnsi="Palatino Linotype" w:cs="Palatino Linotype"/>
        </w:rPr>
      </w:pPr>
    </w:p>
    <w:p w:rsidR="008C7947" w:rsidRDefault="008C7947">
      <w:pPr>
        <w:spacing w:line="360" w:lineRule="auto"/>
        <w:ind w:right="-876"/>
        <w:rPr>
          <w:rFonts w:ascii="Palatino Linotype" w:eastAsia="Palatino Linotype" w:hAnsi="Palatino Linotype" w:cs="Palatino Linotype"/>
        </w:rPr>
      </w:pPr>
    </w:p>
    <w:p w:rsidR="008C7947" w:rsidRDefault="008C7947">
      <w:pPr>
        <w:spacing w:line="360" w:lineRule="auto"/>
        <w:ind w:right="-876"/>
        <w:rPr>
          <w:rFonts w:ascii="Palatino Linotype" w:eastAsia="Palatino Linotype" w:hAnsi="Palatino Linotype" w:cs="Palatino Linotype"/>
        </w:rPr>
      </w:pPr>
    </w:p>
    <w:p w:rsidR="008C7947" w:rsidRDefault="008C7947">
      <w:pPr>
        <w:spacing w:line="360" w:lineRule="auto"/>
        <w:ind w:right="-876"/>
        <w:rPr>
          <w:rFonts w:ascii="Palatino Linotype" w:eastAsia="Palatino Linotype" w:hAnsi="Palatino Linotype" w:cs="Palatino Linotype"/>
        </w:rPr>
      </w:pPr>
    </w:p>
    <w:p w:rsidR="008C7947" w:rsidRDefault="008C7947">
      <w:pPr>
        <w:spacing w:line="360" w:lineRule="auto"/>
        <w:ind w:right="-876"/>
        <w:rPr>
          <w:rFonts w:ascii="Palatino Linotype" w:eastAsia="Palatino Linotype" w:hAnsi="Palatino Linotype" w:cs="Palatino Linotype"/>
        </w:rPr>
      </w:pPr>
    </w:p>
    <w:p w:rsidR="00473AA8" w:rsidRDefault="00473AA8">
      <w:pPr>
        <w:spacing w:line="360" w:lineRule="auto"/>
        <w:ind w:right="-876"/>
        <w:rPr>
          <w:rFonts w:ascii="Palatino Linotype" w:eastAsia="Palatino Linotype" w:hAnsi="Palatino Linotype" w:cs="Palatino Linotype"/>
        </w:rPr>
      </w:pPr>
    </w:p>
    <w:p w:rsidR="00473AA8" w:rsidRDefault="00473AA8">
      <w:pPr>
        <w:spacing w:line="360" w:lineRule="auto"/>
        <w:ind w:right="-876"/>
        <w:rPr>
          <w:rFonts w:ascii="Palatino Linotype" w:eastAsia="Palatino Linotype" w:hAnsi="Palatino Linotype" w:cs="Palatino Linotype"/>
        </w:rPr>
      </w:pPr>
    </w:p>
    <w:p w:rsidR="00473AA8" w:rsidRDefault="00473AA8">
      <w:pPr>
        <w:spacing w:line="360" w:lineRule="auto"/>
        <w:ind w:right="-876"/>
        <w:rPr>
          <w:rFonts w:ascii="Palatino Linotype" w:eastAsia="Palatino Linotype" w:hAnsi="Palatino Linotype" w:cs="Palatino Linotype"/>
        </w:rPr>
      </w:pPr>
    </w:p>
    <w:p w:rsidR="00473AA8" w:rsidRDefault="00473AA8">
      <w:pPr>
        <w:spacing w:line="360" w:lineRule="auto"/>
        <w:ind w:right="-876"/>
        <w:rPr>
          <w:rFonts w:ascii="Palatino Linotype" w:eastAsia="Palatino Linotype" w:hAnsi="Palatino Linotype" w:cs="Palatino Linotype"/>
        </w:rPr>
      </w:pPr>
    </w:p>
    <w:p w:rsidR="00473AA8" w:rsidRDefault="00473AA8">
      <w:pPr>
        <w:spacing w:line="360" w:lineRule="auto"/>
        <w:ind w:right="-876"/>
        <w:rPr>
          <w:rFonts w:ascii="Palatino Linotype" w:eastAsia="Palatino Linotype" w:hAnsi="Palatino Linotype" w:cs="Palatino Linotype"/>
        </w:rPr>
      </w:pPr>
    </w:p>
    <w:p w:rsidR="008C7947" w:rsidRDefault="008C7947">
      <w:pPr>
        <w:spacing w:line="360" w:lineRule="auto"/>
        <w:ind w:right="-876"/>
        <w:rPr>
          <w:rFonts w:ascii="Palatino Linotype" w:eastAsia="Palatino Linotype" w:hAnsi="Palatino Linotype" w:cs="Palatino Linotype"/>
        </w:rPr>
      </w:pPr>
    </w:p>
    <w:p w:rsidR="008C7947" w:rsidRDefault="008C7947">
      <w:pPr>
        <w:ind w:right="-876"/>
      </w:pPr>
    </w:p>
    <w:sectPr w:rsidR="008C7947">
      <w:headerReference w:type="even" r:id="rId11"/>
      <w:headerReference w:type="default" r:id="rId12"/>
      <w:footerReference w:type="default" r:id="rId13"/>
      <w:headerReference w:type="first" r:id="rId14"/>
      <w:footerReference w:type="first" r:id="rId15"/>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425" w:rsidRDefault="00810425">
      <w:r>
        <w:separator/>
      </w:r>
    </w:p>
  </w:endnote>
  <w:endnote w:type="continuationSeparator" w:id="0">
    <w:p w:rsidR="00810425" w:rsidRDefault="00810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4FCEE20F-DA8A-4326-B01E-E176463E8175}"/>
    <w:embedBold r:id="rId2" w:fontKey="{1836520B-1B9B-4573-9CF1-70B5594B7E9E}"/>
    <w:embedItalic r:id="rId3" w:fontKey="{47024019-4E62-49E9-AA41-3C3B087ED735}"/>
    <w:embedBoldItalic r:id="rId4" w:fontKey="{B3D12867-6551-4E8D-9139-873E905493BA}"/>
  </w:font>
  <w:font w:name="Play">
    <w:charset w:val="00"/>
    <w:family w:val="auto"/>
    <w:pitch w:val="default"/>
    <w:embedRegular r:id="rId5" w:fontKey="{1B0A8786-E64A-454C-BD2E-6929A406D172}"/>
  </w:font>
  <w:font w:name="Garamond">
    <w:panose1 w:val="02020404030301010803"/>
    <w:charset w:val="00"/>
    <w:family w:val="roman"/>
    <w:pitch w:val="variable"/>
    <w:sig w:usb0="00000287" w:usb1="00000000" w:usb2="00000000" w:usb3="00000000" w:csb0="0000009F" w:csb1="00000000"/>
    <w:embedRegular r:id="rId6" w:fontKey="{DEC09DF1-905D-4C92-95B8-4D5F2C7A2D0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E8E6C43B-127A-4674-BE23-D951E9F63DA5}"/>
  </w:font>
  <w:font w:name="Cambria">
    <w:panose1 w:val="02040503050406030204"/>
    <w:charset w:val="00"/>
    <w:family w:val="roman"/>
    <w:pitch w:val="variable"/>
    <w:sig w:usb0="E00006FF" w:usb1="420024FF" w:usb2="02000000" w:usb3="00000000" w:csb0="0000019F" w:csb1="00000000"/>
    <w:embedRegular r:id="rId8" w:fontKey="{1E068EFE-0EDE-44B3-80B6-7D7A5E561F9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947" w:rsidRDefault="00807F3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935ECA">
      <w:rPr>
        <w:rFonts w:ascii="Palatino Linotype" w:eastAsia="Palatino Linotype" w:hAnsi="Palatino Linotype" w:cs="Palatino Linotype"/>
        <w:b/>
        <w:bCs/>
        <w:noProof/>
        <w:color w:val="000000"/>
        <w:sz w:val="22"/>
        <w:szCs w:val="22"/>
      </w:rPr>
      <w:t>16</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935ECA">
      <w:rPr>
        <w:rFonts w:ascii="Palatino Linotype" w:eastAsia="Palatino Linotype" w:hAnsi="Palatino Linotype" w:cs="Palatino Linotype"/>
        <w:b/>
        <w:bCs/>
        <w:noProof/>
        <w:color w:val="000000"/>
        <w:sz w:val="22"/>
        <w:szCs w:val="22"/>
      </w:rPr>
      <w:t>16</w:t>
    </w:r>
    <w:r>
      <w:rPr>
        <w:rFonts w:ascii="Palatino Linotype" w:eastAsia="Palatino Linotype" w:hAnsi="Palatino Linotype" w:cs="Palatino Linotype"/>
        <w:b/>
        <w:bCs/>
        <w:color w:val="000000"/>
        <w:sz w:val="22"/>
        <w:szCs w:val="22"/>
      </w:rPr>
      <w:fldChar w:fldCharType="end"/>
    </w:r>
  </w:p>
  <w:p w:rsidR="008C7947" w:rsidRDefault="008C794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947" w:rsidRDefault="00807F3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935ECA">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935ECA">
      <w:rPr>
        <w:rFonts w:ascii="Palatino Linotype" w:eastAsia="Palatino Linotype" w:hAnsi="Palatino Linotype" w:cs="Palatino Linotype"/>
        <w:b/>
        <w:bCs/>
        <w:noProof/>
        <w:color w:val="000000"/>
        <w:sz w:val="22"/>
        <w:szCs w:val="22"/>
      </w:rPr>
      <w:t>16</w:t>
    </w:r>
    <w:r>
      <w:rPr>
        <w:rFonts w:ascii="Palatino Linotype" w:eastAsia="Palatino Linotype" w:hAnsi="Palatino Linotype" w:cs="Palatino Linotype"/>
        <w:b/>
        <w:bCs/>
        <w:color w:val="000000"/>
        <w:sz w:val="22"/>
        <w:szCs w:val="22"/>
      </w:rPr>
      <w:fldChar w:fldCharType="end"/>
    </w:r>
  </w:p>
  <w:p w:rsidR="008C7947" w:rsidRDefault="008C794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425" w:rsidRDefault="00810425">
      <w:r>
        <w:separator/>
      </w:r>
    </w:p>
  </w:footnote>
  <w:footnote w:type="continuationSeparator" w:id="0">
    <w:p w:rsidR="00810425" w:rsidRDefault="008104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947" w:rsidRDefault="0081042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455" w:type="dxa"/>
      <w:tblInd w:w="0" w:type="dxa"/>
      <w:tblLayout w:type="fixed"/>
      <w:tblLook w:val="0400" w:firstRow="0" w:lastRow="0" w:firstColumn="0" w:lastColumn="0" w:noHBand="0" w:noVBand="1"/>
    </w:tblPr>
    <w:tblGrid>
      <w:gridCol w:w="2265"/>
      <w:gridCol w:w="8190"/>
    </w:tblGrid>
    <w:tr w:rsidR="008C7947">
      <w:trPr>
        <w:trHeight w:val="1435"/>
      </w:trPr>
      <w:tc>
        <w:tcPr>
          <w:tcW w:w="2265" w:type="dxa"/>
        </w:tcPr>
        <w:p w:rsidR="008C7947" w:rsidRDefault="008C7947">
          <w:pPr>
            <w:tabs>
              <w:tab w:val="right" w:pos="4273"/>
            </w:tabs>
            <w:rPr>
              <w:rFonts w:ascii="Garamond" w:eastAsia="Garamond" w:hAnsi="Garamond" w:cs="Garamond"/>
              <w:sz w:val="16"/>
              <w:szCs w:val="16"/>
            </w:rPr>
          </w:pPr>
        </w:p>
      </w:tc>
      <w:tc>
        <w:tcPr>
          <w:tcW w:w="8190" w:type="dxa"/>
        </w:tcPr>
        <w:tbl>
          <w:tblPr>
            <w:tblStyle w:val="a0"/>
            <w:tblW w:w="7890" w:type="dxa"/>
            <w:tblInd w:w="40" w:type="dxa"/>
            <w:tblLayout w:type="fixed"/>
            <w:tblLook w:val="0400" w:firstRow="0" w:lastRow="0" w:firstColumn="0" w:lastColumn="0" w:noHBand="0" w:noVBand="1"/>
          </w:tblPr>
          <w:tblGrid>
            <w:gridCol w:w="2955"/>
            <w:gridCol w:w="4935"/>
          </w:tblGrid>
          <w:tr w:rsidR="008C7947">
            <w:trPr>
              <w:trHeight w:val="150"/>
            </w:trPr>
            <w:tc>
              <w:tcPr>
                <w:tcW w:w="2955" w:type="dxa"/>
              </w:tcPr>
              <w:p w:rsidR="008C7947" w:rsidRDefault="00807F30">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935" w:type="dxa"/>
              </w:tcPr>
              <w:p w:rsidR="008C7947" w:rsidRDefault="00807F30">
                <w:pPr>
                  <w:tabs>
                    <w:tab w:val="right" w:pos="8838"/>
                  </w:tabs>
                  <w:ind w:left="-108" w:right="-1480"/>
                  <w:rPr>
                    <w:rFonts w:ascii="Palatino Linotype" w:eastAsia="Palatino Linotype" w:hAnsi="Palatino Linotype" w:cs="Palatino Linotype"/>
                  </w:rPr>
                </w:pPr>
                <w:r>
                  <w:rPr>
                    <w:rFonts w:ascii="Palatino Linotype" w:eastAsia="Palatino Linotype" w:hAnsi="Palatino Linotype" w:cs="Palatino Linotype"/>
                  </w:rPr>
                  <w:t>02363/INFOEM/IP/RR/2026</w:t>
                </w:r>
              </w:p>
            </w:tc>
          </w:tr>
          <w:tr w:rsidR="008C7947">
            <w:trPr>
              <w:trHeight w:val="295"/>
            </w:trPr>
            <w:tc>
              <w:tcPr>
                <w:tcW w:w="2955" w:type="dxa"/>
              </w:tcPr>
              <w:p w:rsidR="008C7947" w:rsidRDefault="00807F30">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935" w:type="dxa"/>
              </w:tcPr>
              <w:p w:rsidR="008C7947" w:rsidRDefault="00807F30">
                <w:pPr>
                  <w:tabs>
                    <w:tab w:val="right" w:pos="8838"/>
                  </w:tabs>
                  <w:ind w:left="-108" w:right="-1480"/>
                  <w:rPr>
                    <w:rFonts w:ascii="Palatino Linotype" w:eastAsia="Palatino Linotype" w:hAnsi="Palatino Linotype" w:cs="Palatino Linotype"/>
                  </w:rPr>
                </w:pPr>
                <w:r>
                  <w:rPr>
                    <w:rFonts w:ascii="Palatino Linotype" w:eastAsia="Palatino Linotype" w:hAnsi="Palatino Linotype" w:cs="Palatino Linotype"/>
                  </w:rPr>
                  <w:t>Ayuntamiento de Valle de Chalco Solidaridad</w:t>
                </w:r>
              </w:p>
            </w:tc>
          </w:tr>
          <w:tr w:rsidR="008C7947">
            <w:trPr>
              <w:trHeight w:val="295"/>
            </w:trPr>
            <w:tc>
              <w:tcPr>
                <w:tcW w:w="2955" w:type="dxa"/>
              </w:tcPr>
              <w:p w:rsidR="008C7947" w:rsidRDefault="00807F30">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935" w:type="dxa"/>
              </w:tcPr>
              <w:p w:rsidR="008C7947" w:rsidRDefault="00807F30">
                <w:pPr>
                  <w:tabs>
                    <w:tab w:val="right" w:pos="8838"/>
                  </w:tabs>
                  <w:ind w:left="-108" w:right="-1480"/>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8C7947" w:rsidRDefault="008C7947">
                <w:pPr>
                  <w:tabs>
                    <w:tab w:val="right" w:pos="8838"/>
                  </w:tabs>
                  <w:ind w:left="-108" w:right="-1480"/>
                  <w:rPr>
                    <w:rFonts w:ascii="Palatino Linotype" w:eastAsia="Palatino Linotype" w:hAnsi="Palatino Linotype" w:cs="Palatino Linotype"/>
                  </w:rPr>
                </w:pPr>
              </w:p>
            </w:tc>
          </w:tr>
        </w:tbl>
        <w:p w:rsidR="008C7947" w:rsidRDefault="008C7947">
          <w:pPr>
            <w:tabs>
              <w:tab w:val="right" w:pos="8838"/>
            </w:tabs>
            <w:ind w:left="-28"/>
            <w:jc w:val="both"/>
            <w:rPr>
              <w:rFonts w:ascii="Arial" w:eastAsia="Arial" w:hAnsi="Arial" w:cs="Arial"/>
              <w:b/>
              <w:bCs/>
              <w:sz w:val="22"/>
              <w:szCs w:val="22"/>
            </w:rPr>
          </w:pPr>
        </w:p>
      </w:tc>
    </w:tr>
  </w:tbl>
  <w:p w:rsidR="008C7947" w:rsidRDefault="00810425">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305" w:type="dxa"/>
      <w:tblInd w:w="0" w:type="dxa"/>
      <w:tblLayout w:type="fixed"/>
      <w:tblLook w:val="0400" w:firstRow="0" w:lastRow="0" w:firstColumn="0" w:lastColumn="0" w:noHBand="0" w:noVBand="1"/>
    </w:tblPr>
    <w:tblGrid>
      <w:gridCol w:w="2265"/>
      <w:gridCol w:w="8040"/>
    </w:tblGrid>
    <w:tr w:rsidR="008C7947">
      <w:trPr>
        <w:trHeight w:val="1435"/>
      </w:trPr>
      <w:tc>
        <w:tcPr>
          <w:tcW w:w="2265" w:type="dxa"/>
        </w:tcPr>
        <w:p w:rsidR="008C7947" w:rsidRDefault="008C7947">
          <w:pPr>
            <w:tabs>
              <w:tab w:val="right" w:pos="4273"/>
            </w:tabs>
            <w:rPr>
              <w:rFonts w:ascii="Garamond" w:eastAsia="Garamond" w:hAnsi="Garamond" w:cs="Garamond"/>
              <w:sz w:val="22"/>
              <w:szCs w:val="22"/>
            </w:rPr>
          </w:pPr>
        </w:p>
      </w:tc>
      <w:tc>
        <w:tcPr>
          <w:tcW w:w="8040" w:type="dxa"/>
        </w:tcPr>
        <w:tbl>
          <w:tblPr>
            <w:tblStyle w:val="a2"/>
            <w:tblW w:w="7740" w:type="dxa"/>
            <w:tblInd w:w="40" w:type="dxa"/>
            <w:tblLayout w:type="fixed"/>
            <w:tblLook w:val="0400" w:firstRow="0" w:lastRow="0" w:firstColumn="0" w:lastColumn="0" w:noHBand="0" w:noVBand="1"/>
          </w:tblPr>
          <w:tblGrid>
            <w:gridCol w:w="2805"/>
            <w:gridCol w:w="4935"/>
          </w:tblGrid>
          <w:tr w:rsidR="008C7947">
            <w:trPr>
              <w:trHeight w:val="144"/>
            </w:trPr>
            <w:tc>
              <w:tcPr>
                <w:tcW w:w="2805" w:type="dxa"/>
              </w:tcPr>
              <w:p w:rsidR="008C7947" w:rsidRDefault="00807F30">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935" w:type="dxa"/>
              </w:tcPr>
              <w:p w:rsidR="008C7947" w:rsidRDefault="00807F30">
                <w:pPr>
                  <w:tabs>
                    <w:tab w:val="right" w:pos="8838"/>
                  </w:tabs>
                  <w:ind w:left="-74" w:right="-1517"/>
                  <w:jc w:val="both"/>
                  <w:rPr>
                    <w:rFonts w:ascii="Palatino Linotype" w:eastAsia="Palatino Linotype" w:hAnsi="Palatino Linotype" w:cs="Palatino Linotype"/>
                  </w:rPr>
                </w:pPr>
                <w:r>
                  <w:rPr>
                    <w:rFonts w:ascii="Palatino Linotype" w:eastAsia="Palatino Linotype" w:hAnsi="Palatino Linotype" w:cs="Palatino Linotype"/>
                  </w:rPr>
                  <w:t>02363/INFOEM/IP/RR/2026</w:t>
                </w:r>
              </w:p>
            </w:tc>
          </w:tr>
          <w:tr w:rsidR="008C7947">
            <w:trPr>
              <w:trHeight w:val="144"/>
            </w:trPr>
            <w:tc>
              <w:tcPr>
                <w:tcW w:w="2805" w:type="dxa"/>
              </w:tcPr>
              <w:p w:rsidR="008C7947" w:rsidRDefault="00807F30">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935" w:type="dxa"/>
              </w:tcPr>
              <w:p w:rsidR="008C7947" w:rsidRDefault="00935ECA">
                <w:pPr>
                  <w:tabs>
                    <w:tab w:val="left" w:pos="3122"/>
                    <w:tab w:val="right" w:pos="8838"/>
                  </w:tabs>
                  <w:ind w:left="-74" w:right="-1517"/>
                  <w:jc w:val="both"/>
                  <w:rPr>
                    <w:rFonts w:ascii="Palatino Linotype" w:eastAsia="Palatino Linotype" w:hAnsi="Palatino Linotype" w:cs="Palatino Linotype"/>
                  </w:rPr>
                </w:pPr>
                <w:r>
                  <w:rPr>
                    <w:rFonts w:ascii="Palatino Linotype" w:eastAsia="Palatino Linotype" w:hAnsi="Palatino Linotype" w:cs="Palatino Linotype"/>
                  </w:rPr>
                  <w:t>XXXX</w:t>
                </w:r>
              </w:p>
            </w:tc>
          </w:tr>
          <w:tr w:rsidR="008C7947">
            <w:trPr>
              <w:trHeight w:val="283"/>
            </w:trPr>
            <w:tc>
              <w:tcPr>
                <w:tcW w:w="2805" w:type="dxa"/>
              </w:tcPr>
              <w:p w:rsidR="008C7947" w:rsidRDefault="00807F30">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935" w:type="dxa"/>
              </w:tcPr>
              <w:p w:rsidR="008C7947" w:rsidRDefault="00807F30">
                <w:pPr>
                  <w:tabs>
                    <w:tab w:val="left" w:pos="2834"/>
                    <w:tab w:val="right" w:pos="8838"/>
                  </w:tabs>
                  <w:ind w:left="-74" w:right="-1517"/>
                  <w:jc w:val="both"/>
                  <w:rPr>
                    <w:rFonts w:ascii="Palatino Linotype" w:eastAsia="Palatino Linotype" w:hAnsi="Palatino Linotype" w:cs="Palatino Linotype"/>
                  </w:rPr>
                </w:pPr>
                <w:r>
                  <w:rPr>
                    <w:rFonts w:ascii="Palatino Linotype" w:eastAsia="Palatino Linotype" w:hAnsi="Palatino Linotype" w:cs="Palatino Linotype"/>
                  </w:rPr>
                  <w:t>Ayuntamiento de Valle de Chalco Solidaridad</w:t>
                </w:r>
              </w:p>
            </w:tc>
          </w:tr>
          <w:tr w:rsidR="008C7947">
            <w:trPr>
              <w:trHeight w:val="283"/>
            </w:trPr>
            <w:tc>
              <w:tcPr>
                <w:tcW w:w="2805" w:type="dxa"/>
              </w:tcPr>
              <w:p w:rsidR="008C7947" w:rsidRDefault="00807F30">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935" w:type="dxa"/>
              </w:tcPr>
              <w:p w:rsidR="008C7947" w:rsidRDefault="00807F30">
                <w:pPr>
                  <w:tabs>
                    <w:tab w:val="right" w:pos="8838"/>
                  </w:tabs>
                  <w:ind w:left="-74" w:right="-1517"/>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8C7947" w:rsidRDefault="008C7947">
                <w:pPr>
                  <w:tabs>
                    <w:tab w:val="right" w:pos="8838"/>
                  </w:tabs>
                  <w:ind w:left="-74" w:right="-1517"/>
                  <w:jc w:val="both"/>
                  <w:rPr>
                    <w:rFonts w:ascii="Palatino Linotype" w:eastAsia="Palatino Linotype" w:hAnsi="Palatino Linotype" w:cs="Palatino Linotype"/>
                  </w:rPr>
                </w:pPr>
              </w:p>
            </w:tc>
          </w:tr>
        </w:tbl>
        <w:p w:rsidR="008C7947" w:rsidRDefault="008C7947">
          <w:pPr>
            <w:tabs>
              <w:tab w:val="right" w:pos="8838"/>
            </w:tabs>
            <w:ind w:left="-28"/>
            <w:jc w:val="both"/>
            <w:rPr>
              <w:rFonts w:ascii="Arial" w:eastAsia="Arial" w:hAnsi="Arial" w:cs="Arial"/>
              <w:b/>
              <w:bCs/>
              <w:sz w:val="22"/>
              <w:szCs w:val="22"/>
            </w:rPr>
          </w:pPr>
        </w:p>
      </w:tc>
    </w:tr>
  </w:tbl>
  <w:p w:rsidR="008C7947" w:rsidRDefault="00810425">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251F0"/>
    <w:multiLevelType w:val="multilevel"/>
    <w:tmpl w:val="77BE59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3A70F5F"/>
    <w:multiLevelType w:val="multilevel"/>
    <w:tmpl w:val="AC1E8B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9AA4A49"/>
    <w:multiLevelType w:val="multilevel"/>
    <w:tmpl w:val="2E085A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4D8B0989"/>
    <w:multiLevelType w:val="multilevel"/>
    <w:tmpl w:val="04EC2548"/>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E62BC9"/>
    <w:multiLevelType w:val="multilevel"/>
    <w:tmpl w:val="0F72D7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947"/>
    <w:rsid w:val="00252CAC"/>
    <w:rsid w:val="002A5FC1"/>
    <w:rsid w:val="00473AA8"/>
    <w:rsid w:val="005C57C5"/>
    <w:rsid w:val="007F3436"/>
    <w:rsid w:val="00807F30"/>
    <w:rsid w:val="00810425"/>
    <w:rsid w:val="00837529"/>
    <w:rsid w:val="008C7947"/>
    <w:rsid w:val="008D54F0"/>
    <w:rsid w:val="00935E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D7A2D57-56C8-4564-811F-3A6AD651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spacing w:after="80"/>
    </w:pPr>
    <w:rPr>
      <w:rFonts w:ascii="Play" w:eastAsia="Play" w:hAnsi="Play" w:cs="Play"/>
      <w:sz w:val="56"/>
      <w:szCs w:val="56"/>
    </w:rPr>
  </w:style>
  <w:style w:type="paragraph" w:styleId="Subttulo">
    <w:name w:val="Subtitle"/>
    <w:basedOn w:val="Normal"/>
    <w:next w:val="Normal"/>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252CAC"/>
    <w:pPr>
      <w:tabs>
        <w:tab w:val="center" w:pos="4419"/>
        <w:tab w:val="right" w:pos="8838"/>
      </w:tabs>
    </w:pPr>
  </w:style>
  <w:style w:type="character" w:customStyle="1" w:styleId="PiedepginaCar">
    <w:name w:val="Pie de página Car"/>
    <w:basedOn w:val="Fuentedeprrafopredeter"/>
    <w:link w:val="Piedepgina"/>
    <w:uiPriority w:val="99"/>
    <w:rsid w:val="00252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4CzET3SPkxiuM/UJw0M6OHE9g==">CgMxLjAyDmguaXprZnU4YWRuNHNwMg5oLjR5NjN1amFpeDUyYzINaC51cDY3cnozemlnbjIOaC5mcXF0eWs1emYzMDcyDmgubzV3bjRpbnE5dXd4Mg5oLjFtdDhlYW96aTk5aTIOaC5yYndwOGU4em9iYmwyDmguNG5nZXhiMjhncWdlMg5oLm9jbm5mMHAyZnh0cDgAciExNnlTOG52ZDNLaEI0bEJoMHNPWHlVSUdxQjVWRmFNTHc=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3537</Words>
  <Characters>19459</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2026-05-29T00:06:00Z</cp:lastPrinted>
  <dcterms:created xsi:type="dcterms:W3CDTF">2026-05-27T18:54:00Z</dcterms:created>
  <dcterms:modified xsi:type="dcterms:W3CDTF">2026-06-02T23:16:00Z</dcterms:modified>
</cp:coreProperties>
</file>