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A9E" w:rsidRPr="00A81C96" w:rsidRDefault="00C01A9E" w:rsidP="00C01A9E">
      <w:pPr>
        <w:spacing w:line="360" w:lineRule="auto"/>
        <w:jc w:val="both"/>
        <w:rPr>
          <w:rFonts w:ascii="Palatino Linotype" w:hAnsi="Palatino Linotype"/>
        </w:rPr>
      </w:pPr>
      <w:r w:rsidRPr="00A81C9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B73EC6" w:rsidRPr="00A81C96">
        <w:rPr>
          <w:rFonts w:ascii="Palatino Linotype" w:hAnsi="Palatino Linotype"/>
        </w:rPr>
        <w:t>ocho</w:t>
      </w:r>
      <w:r w:rsidRPr="00A81C96">
        <w:rPr>
          <w:rFonts w:ascii="Palatino Linotype" w:hAnsi="Palatino Linotype"/>
        </w:rPr>
        <w:t xml:space="preserve"> de abril de dos mil </w:t>
      </w:r>
      <w:r w:rsidR="00B73EC6" w:rsidRPr="00A81C96">
        <w:rPr>
          <w:rFonts w:ascii="Palatino Linotype" w:hAnsi="Palatino Linotype"/>
        </w:rPr>
        <w:t>veintiséis</w:t>
      </w:r>
      <w:r w:rsidRPr="00A81C96">
        <w:rPr>
          <w:rFonts w:ascii="Palatino Linotype" w:hAnsi="Palatino Linotype"/>
        </w:rPr>
        <w:t>.</w:t>
      </w:r>
    </w:p>
    <w:p w:rsidR="00C01A9E" w:rsidRPr="00A81C96" w:rsidRDefault="00C01A9E" w:rsidP="00C01A9E">
      <w:pPr>
        <w:spacing w:line="360" w:lineRule="auto"/>
        <w:jc w:val="both"/>
        <w:rPr>
          <w:rFonts w:ascii="Palatino Linotype" w:hAnsi="Palatino Linotype"/>
        </w:rPr>
      </w:pPr>
    </w:p>
    <w:p w:rsidR="00C01A9E" w:rsidRPr="00A81C96" w:rsidRDefault="00C01A9E" w:rsidP="00C01A9E">
      <w:pPr>
        <w:tabs>
          <w:tab w:val="left" w:pos="1701"/>
        </w:tabs>
        <w:spacing w:before="240" w:line="360" w:lineRule="auto"/>
        <w:jc w:val="both"/>
        <w:rPr>
          <w:rFonts w:ascii="Palatino Linotype" w:hAnsi="Palatino Linotype" w:cs="Arial"/>
          <w:sz w:val="28"/>
        </w:rPr>
      </w:pPr>
      <w:r w:rsidRPr="00A81C96">
        <w:rPr>
          <w:rFonts w:ascii="Palatino Linotype" w:hAnsi="Palatino Linotype" w:cs="Arial"/>
          <w:b/>
        </w:rPr>
        <w:t>VISTO</w:t>
      </w:r>
      <w:r w:rsidRPr="00A81C96">
        <w:rPr>
          <w:rFonts w:ascii="Palatino Linotype" w:hAnsi="Palatino Linotype" w:cs="Arial"/>
        </w:rPr>
        <w:t xml:space="preserve"> el expediente electrónico formado con motivo del recurso de revisión número</w:t>
      </w:r>
      <w:r w:rsidRPr="00A81C96">
        <w:rPr>
          <w:rFonts w:ascii="Palatino Linotype" w:hAnsi="Palatino Linotype" w:cs="Arial"/>
          <w:b/>
        </w:rPr>
        <w:t xml:space="preserve"> </w:t>
      </w:r>
      <w:bookmarkStart w:id="0" w:name="_GoBack"/>
      <w:r w:rsidRPr="00A81C96">
        <w:rPr>
          <w:rFonts w:ascii="Palatino Linotype" w:hAnsi="Palatino Linotype" w:cs="Arial"/>
          <w:b/>
          <w:bCs/>
          <w:lang w:eastAsia="es-MX"/>
        </w:rPr>
        <w:t>0</w:t>
      </w:r>
      <w:r w:rsidR="00B73EC6" w:rsidRPr="00A81C96">
        <w:rPr>
          <w:rFonts w:ascii="Palatino Linotype" w:hAnsi="Palatino Linotype" w:cs="Arial"/>
          <w:b/>
          <w:bCs/>
          <w:lang w:eastAsia="es-MX"/>
        </w:rPr>
        <w:t>9665</w:t>
      </w:r>
      <w:r w:rsidRPr="00A81C96">
        <w:rPr>
          <w:rFonts w:ascii="Palatino Linotype" w:hAnsi="Palatino Linotype" w:cs="Arial"/>
          <w:b/>
          <w:bCs/>
          <w:lang w:eastAsia="es-MX"/>
        </w:rPr>
        <w:t>/INFOEM/IP/RR/2025</w:t>
      </w:r>
      <w:bookmarkEnd w:id="0"/>
      <w:r w:rsidRPr="00A81C96">
        <w:rPr>
          <w:rFonts w:ascii="Palatino Linotype" w:hAnsi="Palatino Linotype" w:cs="Arial"/>
          <w:b/>
          <w:bCs/>
          <w:lang w:eastAsia="es-MX"/>
        </w:rPr>
        <w:t xml:space="preserve">, </w:t>
      </w:r>
      <w:r w:rsidRPr="00A81C96">
        <w:rPr>
          <w:rFonts w:ascii="Palatino Linotype" w:hAnsi="Palatino Linotype"/>
        </w:rPr>
        <w:t xml:space="preserve">interpuesto por </w:t>
      </w:r>
      <w:r w:rsidR="00F74FCD">
        <w:rPr>
          <w:rFonts w:ascii="Palatino Linotype" w:hAnsi="Palatino Linotype"/>
          <w:b/>
        </w:rPr>
        <w:t>xxxxxxxxxxxxxxxxxxxxxxxxxxxxxxxx</w:t>
      </w:r>
      <w:r w:rsidRPr="00A81C96">
        <w:rPr>
          <w:rFonts w:ascii="Palatino Linotype" w:hAnsi="Palatino Linotype"/>
        </w:rPr>
        <w:t xml:space="preserve">, en lo sucesivo la parte </w:t>
      </w:r>
      <w:r w:rsidRPr="00A81C96">
        <w:rPr>
          <w:rFonts w:ascii="Palatino Linotype" w:hAnsi="Palatino Linotype"/>
          <w:b/>
        </w:rPr>
        <w:t>Recurrente</w:t>
      </w:r>
      <w:r w:rsidRPr="00A81C96">
        <w:rPr>
          <w:rFonts w:ascii="Palatino Linotype" w:hAnsi="Palatino Linotype"/>
        </w:rPr>
        <w:t xml:space="preserve">, en contra de la respuesta del </w:t>
      </w:r>
      <w:r w:rsidRPr="00A81C96">
        <w:rPr>
          <w:rFonts w:ascii="Palatino Linotype" w:hAnsi="Palatino Linotype"/>
          <w:b/>
        </w:rPr>
        <w:t>Ayuntamiento de Tlalnepantla de Baz</w:t>
      </w:r>
      <w:r w:rsidRPr="00A81C96">
        <w:rPr>
          <w:rFonts w:ascii="Palatino Linotype" w:hAnsi="Palatino Linotype"/>
        </w:rPr>
        <w:t xml:space="preserve">, en lo subsecuente el </w:t>
      </w:r>
      <w:r w:rsidRPr="00A81C96">
        <w:rPr>
          <w:rFonts w:ascii="Palatino Linotype" w:hAnsi="Palatino Linotype"/>
          <w:b/>
        </w:rPr>
        <w:t>Sujeto Obligado</w:t>
      </w:r>
      <w:r w:rsidRPr="00A81C96">
        <w:rPr>
          <w:rFonts w:ascii="Palatino Linotype" w:hAnsi="Palatino Linotype"/>
        </w:rPr>
        <w:t>, se procede a dictar la presente resolución.</w:t>
      </w:r>
    </w:p>
    <w:p w:rsidR="00C01A9E" w:rsidRPr="00A81C96" w:rsidRDefault="00C01A9E" w:rsidP="00C01A9E">
      <w:pPr>
        <w:pStyle w:val="infoemcitas"/>
        <w:jc w:val="center"/>
        <w:rPr>
          <w:b/>
          <w:bCs/>
          <w:i w:val="0"/>
          <w:iCs/>
          <w:sz w:val="28"/>
          <w:szCs w:val="28"/>
        </w:rPr>
      </w:pPr>
    </w:p>
    <w:p w:rsidR="00C01A9E" w:rsidRPr="00A81C96" w:rsidRDefault="00C01A9E" w:rsidP="00C01A9E">
      <w:pPr>
        <w:pStyle w:val="infoemcitas"/>
        <w:jc w:val="center"/>
        <w:rPr>
          <w:b/>
          <w:bCs/>
          <w:i w:val="0"/>
          <w:iCs/>
          <w:sz w:val="28"/>
          <w:szCs w:val="28"/>
        </w:rPr>
      </w:pPr>
      <w:r w:rsidRPr="00A81C96">
        <w:rPr>
          <w:b/>
          <w:bCs/>
          <w:i w:val="0"/>
          <w:iCs/>
          <w:sz w:val="28"/>
          <w:szCs w:val="28"/>
        </w:rPr>
        <w:t>A N T E C E D E N T E S   D E L   A S U N T O</w:t>
      </w:r>
    </w:p>
    <w:p w:rsidR="00C01A9E" w:rsidRPr="00A81C96" w:rsidRDefault="00C01A9E" w:rsidP="00C01A9E">
      <w:pPr>
        <w:pStyle w:val="infoemcitas"/>
        <w:jc w:val="center"/>
        <w:rPr>
          <w:b/>
          <w:bCs/>
          <w:i w:val="0"/>
          <w:iCs/>
          <w:sz w:val="28"/>
          <w:szCs w:val="28"/>
        </w:rPr>
      </w:pPr>
    </w:p>
    <w:p w:rsidR="00C01A9E" w:rsidRPr="00A81C96" w:rsidRDefault="00C01A9E" w:rsidP="00C01A9E">
      <w:pPr>
        <w:spacing w:before="240" w:after="240" w:line="360" w:lineRule="auto"/>
        <w:jc w:val="both"/>
        <w:rPr>
          <w:rFonts w:ascii="Palatino Linotype" w:hAnsi="Palatino Linotype"/>
        </w:rPr>
      </w:pPr>
      <w:r w:rsidRPr="00A81C96">
        <w:rPr>
          <w:rFonts w:ascii="Palatino Linotype" w:hAnsi="Palatino Linotype" w:cs="Arial"/>
          <w:b/>
          <w:sz w:val="28"/>
        </w:rPr>
        <w:t>PRIMERO.</w:t>
      </w:r>
      <w:r w:rsidRPr="00A81C96">
        <w:rPr>
          <w:rFonts w:ascii="Palatino Linotype" w:hAnsi="Palatino Linotype" w:cs="Arial"/>
        </w:rPr>
        <w:t xml:space="preserve"> </w:t>
      </w:r>
      <w:r w:rsidRPr="00A81C96">
        <w:rPr>
          <w:rFonts w:ascii="Palatino Linotype" w:hAnsi="Palatino Linotype"/>
          <w:b/>
          <w:sz w:val="28"/>
          <w:szCs w:val="28"/>
        </w:rPr>
        <w:t>De la Solicitud de Información.</w:t>
      </w:r>
    </w:p>
    <w:p w:rsidR="00C01A9E" w:rsidRPr="00A81C96" w:rsidRDefault="00C01A9E" w:rsidP="00C01A9E">
      <w:pPr>
        <w:spacing w:before="240" w:line="360" w:lineRule="auto"/>
        <w:jc w:val="both"/>
        <w:rPr>
          <w:rFonts w:ascii="Palatino Linotype" w:hAnsi="Palatino Linotype" w:cs="Arial"/>
        </w:rPr>
      </w:pPr>
      <w:r w:rsidRPr="00A81C96">
        <w:rPr>
          <w:rFonts w:ascii="Palatino Linotype" w:hAnsi="Palatino Linotype" w:cs="Arial"/>
        </w:rPr>
        <w:t xml:space="preserve">Con fecha </w:t>
      </w:r>
      <w:r w:rsidR="003D40EA" w:rsidRPr="00A81C96">
        <w:rPr>
          <w:rFonts w:ascii="Palatino Linotype" w:hAnsi="Palatino Linotype" w:cs="Arial"/>
          <w:b/>
        </w:rPr>
        <w:t>ocho de julio</w:t>
      </w:r>
      <w:r w:rsidRPr="00A81C96">
        <w:rPr>
          <w:rFonts w:ascii="Palatino Linotype" w:hAnsi="Palatino Linotype" w:cs="Arial"/>
          <w:b/>
        </w:rPr>
        <w:t xml:space="preserve"> de dos mil veinticinco</w:t>
      </w:r>
      <w:r w:rsidRPr="00A81C96">
        <w:rPr>
          <w:rFonts w:ascii="Palatino Linotype" w:hAnsi="Palatino Linotype" w:cs="Arial"/>
        </w:rPr>
        <w:t>, la parte</w:t>
      </w:r>
      <w:r w:rsidRPr="00A81C96">
        <w:rPr>
          <w:rFonts w:ascii="Palatino Linotype" w:hAnsi="Palatino Linotype" w:cs="Arial"/>
          <w:b/>
        </w:rPr>
        <w:t xml:space="preserve"> Recurrente </w:t>
      </w:r>
      <w:r w:rsidRPr="00A81C96">
        <w:rPr>
          <w:rFonts w:ascii="Palatino Linotype" w:hAnsi="Palatino Linotype" w:cs="Arial"/>
        </w:rPr>
        <w:t>presentó a través del Sistema de Acceso a la Información Mexiquense (</w:t>
      </w:r>
      <w:r w:rsidRPr="00A81C96">
        <w:rPr>
          <w:rFonts w:ascii="Palatino Linotype" w:hAnsi="Palatino Linotype" w:cs="Arial"/>
          <w:b/>
        </w:rPr>
        <w:t>SAIMEX)</w:t>
      </w:r>
      <w:r w:rsidRPr="00A81C96">
        <w:rPr>
          <w:rFonts w:ascii="Palatino Linotype" w:hAnsi="Palatino Linotype" w:cs="Arial"/>
        </w:rPr>
        <w:t xml:space="preserve"> ante </w:t>
      </w:r>
      <w:r w:rsidRPr="00A81C96">
        <w:rPr>
          <w:rFonts w:ascii="Palatino Linotype" w:hAnsi="Palatino Linotype" w:cs="Arial"/>
          <w:b/>
        </w:rPr>
        <w:t>El Sujeto Obligado</w:t>
      </w:r>
      <w:r w:rsidRPr="00A81C96">
        <w:rPr>
          <w:rFonts w:ascii="Palatino Linotype" w:hAnsi="Palatino Linotype" w:cs="Arial"/>
        </w:rPr>
        <w:t xml:space="preserve">, solicitud de acceso a la información pública, registrada bajo el número de expediente </w:t>
      </w:r>
      <w:r w:rsidR="003D40EA" w:rsidRPr="00A81C96">
        <w:rPr>
          <w:rFonts w:ascii="Palatino Linotype" w:hAnsi="Palatino Linotype" w:cs="Arial"/>
          <w:b/>
        </w:rPr>
        <w:t>00606/TLALNEPA/IP/2025</w:t>
      </w:r>
      <w:r w:rsidRPr="00A81C96">
        <w:rPr>
          <w:rFonts w:ascii="Palatino Linotype" w:hAnsi="Palatino Linotype" w:cs="Arial"/>
          <w:b/>
        </w:rPr>
        <w:t xml:space="preserve">, </w:t>
      </w:r>
      <w:r w:rsidRPr="00A81C96">
        <w:rPr>
          <w:rFonts w:ascii="Palatino Linotype" w:hAnsi="Palatino Linotype" w:cs="Arial"/>
        </w:rPr>
        <w:t>mediante la cual solicitó información en el tenor siguiente:</w:t>
      </w:r>
    </w:p>
    <w:p w:rsidR="00C01A9E" w:rsidRPr="00A81C96" w:rsidRDefault="00C01A9E" w:rsidP="003D40EA">
      <w:pPr>
        <w:pStyle w:val="INFOEM"/>
        <w:rPr>
          <w:lang w:val="es-ES_tradnl" w:eastAsia="es-ES"/>
        </w:rPr>
      </w:pPr>
      <w:r w:rsidRPr="00A81C96">
        <w:rPr>
          <w:lang w:val="es-ES_tradnl" w:eastAsia="es-ES"/>
        </w:rPr>
        <w:t>“</w:t>
      </w:r>
      <w:r w:rsidR="003D40EA" w:rsidRPr="00A81C96">
        <w:rPr>
          <w:lang w:val="es-ES" w:eastAsia="es-ES"/>
        </w:rPr>
        <w:t xml:space="preserve">Solicito me sea entregado el listado de todas las licitaciones públicas nacionales, Invitaciones Restringidas, Adjudicaciones Directas y Adjudicaciones Directas con </w:t>
      </w:r>
      <w:r w:rsidR="003D40EA" w:rsidRPr="00A81C96">
        <w:rPr>
          <w:lang w:val="es-ES" w:eastAsia="es-ES"/>
        </w:rPr>
        <w:lastRenderedPageBreak/>
        <w:t>excepción de Licitación Pública Nacional, de los ejercicios 2024 y 2025. La información deberá contener fechas por procedimiento, es decir, cada procedimiento deberá contar con fecha de publicación de bases, que empresas comprarón las bases, acta de apertura de propuestas, acta de junta de aclaraciones, fallo y contrato firmado.</w:t>
      </w:r>
      <w:r w:rsidRPr="00A81C96">
        <w:rPr>
          <w:lang w:val="es-ES_tradnl" w:eastAsia="es-ES"/>
        </w:rPr>
        <w:t>” (Sic)</w:t>
      </w:r>
    </w:p>
    <w:p w:rsidR="00C01A9E" w:rsidRPr="00A81C96" w:rsidRDefault="00C01A9E" w:rsidP="00C01A9E">
      <w:pPr>
        <w:spacing w:before="240" w:line="360" w:lineRule="auto"/>
        <w:jc w:val="both"/>
        <w:rPr>
          <w:rFonts w:ascii="Palatino Linotype" w:hAnsi="Palatino Linotype"/>
          <w:lang w:val="es-ES_tradnl"/>
        </w:rPr>
      </w:pPr>
      <w:r w:rsidRPr="00A81C96">
        <w:rPr>
          <w:rFonts w:ascii="Palatino Linotype" w:hAnsi="Palatino Linotype"/>
          <w:b/>
          <w:lang w:val="es-ES_tradnl"/>
        </w:rPr>
        <w:t>Modalidad de entrega:</w:t>
      </w:r>
      <w:r w:rsidRPr="00A81C96">
        <w:rPr>
          <w:rFonts w:ascii="Palatino Linotype" w:hAnsi="Palatino Linotype"/>
          <w:lang w:val="es-ES_tradnl"/>
        </w:rPr>
        <w:t xml:space="preserve"> A través del SAIMEX.</w:t>
      </w:r>
    </w:p>
    <w:p w:rsidR="00C01A9E" w:rsidRPr="00A81C96" w:rsidRDefault="00C01A9E" w:rsidP="00C01A9E">
      <w:pPr>
        <w:spacing w:before="240" w:line="360" w:lineRule="auto"/>
        <w:jc w:val="both"/>
        <w:rPr>
          <w:rFonts w:ascii="Palatino Linotype" w:hAnsi="Palatino Linotype" w:cs="Arial"/>
          <w:b/>
          <w:sz w:val="28"/>
        </w:rPr>
      </w:pPr>
    </w:p>
    <w:p w:rsidR="003D40EA" w:rsidRPr="00A81C96" w:rsidRDefault="00C01A9E" w:rsidP="00C01A9E">
      <w:pPr>
        <w:spacing w:before="240" w:line="360" w:lineRule="auto"/>
        <w:jc w:val="both"/>
        <w:rPr>
          <w:rFonts w:ascii="Palatino Linotype" w:hAnsi="Palatino Linotype" w:cs="Arial"/>
          <w:b/>
          <w:sz w:val="28"/>
          <w:szCs w:val="20"/>
        </w:rPr>
      </w:pPr>
      <w:r w:rsidRPr="00A81C96">
        <w:rPr>
          <w:rFonts w:ascii="Palatino Linotype" w:hAnsi="Palatino Linotype" w:cs="Arial"/>
          <w:b/>
          <w:sz w:val="28"/>
        </w:rPr>
        <w:t xml:space="preserve">SEGUNDO. </w:t>
      </w:r>
      <w:r w:rsidRPr="00A81C96">
        <w:rPr>
          <w:rFonts w:ascii="Palatino Linotype" w:hAnsi="Palatino Linotype" w:cs="Arial"/>
          <w:b/>
          <w:sz w:val="28"/>
          <w:szCs w:val="20"/>
        </w:rPr>
        <w:t>De la</w:t>
      </w:r>
      <w:r w:rsidR="003D40EA" w:rsidRPr="00A81C96">
        <w:rPr>
          <w:rFonts w:ascii="Palatino Linotype" w:hAnsi="Palatino Linotype" w:cs="Arial"/>
          <w:b/>
          <w:sz w:val="28"/>
          <w:szCs w:val="20"/>
        </w:rPr>
        <w:t xml:space="preserve"> prórroga.</w:t>
      </w:r>
    </w:p>
    <w:p w:rsidR="003D40EA" w:rsidRPr="00A81C96" w:rsidRDefault="003D40EA" w:rsidP="00C01A9E">
      <w:pPr>
        <w:spacing w:before="240" w:line="360" w:lineRule="auto"/>
        <w:jc w:val="both"/>
        <w:rPr>
          <w:rFonts w:ascii="Palatino Linotype" w:hAnsi="Palatino Linotype" w:cs="Arial"/>
          <w:szCs w:val="20"/>
        </w:rPr>
      </w:pPr>
      <w:r w:rsidRPr="00A81C96">
        <w:rPr>
          <w:rFonts w:ascii="Palatino Linotype" w:hAnsi="Palatino Linotype" w:cs="Arial"/>
          <w:szCs w:val="20"/>
        </w:rPr>
        <w:t>En fecha doce de agosto de dos mil veinticinco el Sujeto Obligado le notificó</w:t>
      </w:r>
      <w:r w:rsidR="00A04652" w:rsidRPr="00A81C96">
        <w:rPr>
          <w:rFonts w:ascii="Palatino Linotype" w:hAnsi="Palatino Linotype" w:cs="Arial"/>
          <w:szCs w:val="20"/>
        </w:rPr>
        <w:t xml:space="preserve"> a la parte recurrente una prórroga, en los términos siguientes:</w:t>
      </w:r>
    </w:p>
    <w:p w:rsidR="00A04652" w:rsidRPr="00A81C96" w:rsidRDefault="00A04652" w:rsidP="00A04652">
      <w:pPr>
        <w:pStyle w:val="Citas"/>
      </w:pPr>
      <w:r w:rsidRPr="00A81C96">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04652" w:rsidRPr="00A81C96" w:rsidRDefault="00A04652" w:rsidP="00A04652">
      <w:pPr>
        <w:pStyle w:val="Citas"/>
      </w:pPr>
      <w:r w:rsidRPr="00A81C96">
        <w:t>Se aprueba la presente prórroga mediante acuerdo adjunto”</w:t>
      </w:r>
    </w:p>
    <w:p w:rsidR="003D40EA" w:rsidRPr="00A81C96" w:rsidRDefault="003D40EA" w:rsidP="00C01A9E">
      <w:pPr>
        <w:spacing w:before="240" w:line="360" w:lineRule="auto"/>
        <w:jc w:val="both"/>
        <w:rPr>
          <w:rFonts w:ascii="Palatino Linotype" w:hAnsi="Palatino Linotype" w:cs="Arial"/>
          <w:b/>
          <w:sz w:val="28"/>
          <w:szCs w:val="20"/>
        </w:rPr>
      </w:pPr>
    </w:p>
    <w:p w:rsidR="00C01A9E" w:rsidRPr="00A81C96" w:rsidRDefault="00A04652" w:rsidP="00C01A9E">
      <w:pPr>
        <w:spacing w:before="240" w:line="360" w:lineRule="auto"/>
        <w:jc w:val="both"/>
        <w:rPr>
          <w:rFonts w:ascii="Palatino Linotype" w:hAnsi="Palatino Linotype" w:cs="Arial"/>
          <w:b/>
          <w:sz w:val="28"/>
        </w:rPr>
      </w:pPr>
      <w:r w:rsidRPr="00A81C96">
        <w:rPr>
          <w:rFonts w:ascii="Palatino Linotype" w:hAnsi="Palatino Linotype" w:cs="Arial"/>
          <w:b/>
          <w:sz w:val="28"/>
          <w:szCs w:val="20"/>
        </w:rPr>
        <w:t>TERCERO. De la</w:t>
      </w:r>
      <w:r w:rsidR="00C01A9E" w:rsidRPr="00A81C96">
        <w:rPr>
          <w:rFonts w:ascii="Palatino Linotype" w:hAnsi="Palatino Linotype" w:cs="Arial"/>
          <w:b/>
          <w:sz w:val="28"/>
          <w:szCs w:val="20"/>
        </w:rPr>
        <w:t xml:space="preserve"> respuesta o entrega de la información.</w:t>
      </w:r>
    </w:p>
    <w:p w:rsidR="00C01A9E" w:rsidRPr="00A81C96" w:rsidRDefault="00C01A9E" w:rsidP="00C01A9E">
      <w:pPr>
        <w:pStyle w:val="Sinespaciado"/>
        <w:spacing w:line="360" w:lineRule="auto"/>
        <w:jc w:val="both"/>
        <w:rPr>
          <w:rFonts w:ascii="Palatino Linotype" w:hAnsi="Palatino Linotype" w:cs="Arial"/>
          <w:b/>
          <w:sz w:val="24"/>
        </w:rPr>
      </w:pPr>
      <w:r w:rsidRPr="00A81C96">
        <w:rPr>
          <w:rFonts w:ascii="Palatino Linotype" w:hAnsi="Palatino Linotype"/>
          <w:sz w:val="24"/>
        </w:rPr>
        <w:t xml:space="preserve">De las constancias que obran en el expediente electrónico, se advierte que el </w:t>
      </w:r>
      <w:r w:rsidRPr="00A81C96">
        <w:rPr>
          <w:rFonts w:ascii="Palatino Linotype" w:hAnsi="Palatino Linotype" w:cs="Arial"/>
          <w:sz w:val="24"/>
        </w:rPr>
        <w:t xml:space="preserve">día </w:t>
      </w:r>
      <w:r w:rsidR="00A04652" w:rsidRPr="00A81C96">
        <w:rPr>
          <w:rFonts w:ascii="Palatino Linotype" w:hAnsi="Palatino Linotype" w:cs="Arial"/>
          <w:b/>
          <w:sz w:val="24"/>
        </w:rPr>
        <w:t>dieciocho de agosto</w:t>
      </w:r>
      <w:r w:rsidRPr="00A81C96">
        <w:rPr>
          <w:rFonts w:ascii="Palatino Linotype" w:hAnsi="Palatino Linotype" w:cs="Arial"/>
          <w:b/>
          <w:sz w:val="24"/>
        </w:rPr>
        <w:t xml:space="preserve"> de dos mil veinticinco</w:t>
      </w:r>
      <w:r w:rsidRPr="00A81C96">
        <w:rPr>
          <w:rFonts w:ascii="Palatino Linotype" w:hAnsi="Palatino Linotype" w:cs="Arial"/>
          <w:sz w:val="24"/>
        </w:rPr>
        <w:t xml:space="preserve">, el </w:t>
      </w:r>
      <w:r w:rsidRPr="00A81C96">
        <w:rPr>
          <w:rFonts w:ascii="Palatino Linotype" w:hAnsi="Palatino Linotype" w:cs="Arial"/>
          <w:b/>
          <w:sz w:val="24"/>
        </w:rPr>
        <w:t>Sujeto Obligado</w:t>
      </w:r>
      <w:r w:rsidRPr="00A81C96">
        <w:rPr>
          <w:rFonts w:ascii="Palatino Linotype" w:hAnsi="Palatino Linotype" w:cs="Arial"/>
          <w:sz w:val="24"/>
        </w:rPr>
        <w:t xml:space="preserve"> dio respuesta a la solicitud de información en los siguientes términos: </w:t>
      </w:r>
    </w:p>
    <w:p w:rsidR="00C01A9E" w:rsidRPr="00A81C96" w:rsidRDefault="00C01A9E" w:rsidP="00C01A9E">
      <w:pPr>
        <w:spacing w:line="360" w:lineRule="auto"/>
        <w:jc w:val="both"/>
        <w:rPr>
          <w:rFonts w:ascii="Palatino Linotype" w:hAnsi="Palatino Linotype" w:cs="Arial"/>
        </w:rPr>
      </w:pPr>
    </w:p>
    <w:p w:rsidR="009244CF" w:rsidRPr="00A81C96" w:rsidRDefault="00C01A9E" w:rsidP="009244CF">
      <w:pPr>
        <w:ind w:left="567" w:right="567"/>
        <w:jc w:val="both"/>
        <w:rPr>
          <w:rFonts w:ascii="Palatino Linotype" w:hAnsi="Palatino Linotype" w:cs="Arial"/>
          <w:i/>
        </w:rPr>
      </w:pPr>
      <w:r w:rsidRPr="00A81C96">
        <w:rPr>
          <w:rFonts w:ascii="Palatino Linotype" w:hAnsi="Palatino Linotype" w:cs="Arial"/>
          <w:i/>
        </w:rPr>
        <w:lastRenderedPageBreak/>
        <w:t>“</w:t>
      </w:r>
      <w:r w:rsidR="009244CF" w:rsidRPr="00A81C9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01A9E" w:rsidRPr="00A81C96" w:rsidRDefault="009244CF" w:rsidP="009244CF">
      <w:pPr>
        <w:ind w:left="567" w:right="567"/>
        <w:jc w:val="both"/>
        <w:rPr>
          <w:rFonts w:ascii="Palatino Linotype" w:hAnsi="Palatino Linotype" w:cs="Arial"/>
          <w:i/>
        </w:rPr>
      </w:pPr>
      <w:r w:rsidRPr="00A81C96">
        <w:rPr>
          <w:rFonts w:ascii="Palatino Linotype" w:hAnsi="Palatino Linotype" w:cs="Arial"/>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w:t>
      </w:r>
      <w:r w:rsidR="00C01A9E" w:rsidRPr="00A81C96">
        <w:rPr>
          <w:rFonts w:ascii="Palatino Linotype" w:hAnsi="Palatino Linotype" w:cs="Arial"/>
          <w:i/>
        </w:rPr>
        <w:t>Sic).</w:t>
      </w:r>
    </w:p>
    <w:p w:rsidR="00C01A9E" w:rsidRPr="00A81C96" w:rsidRDefault="00C01A9E" w:rsidP="00C01A9E">
      <w:pPr>
        <w:spacing w:line="360" w:lineRule="auto"/>
        <w:ind w:right="567"/>
        <w:jc w:val="both"/>
        <w:rPr>
          <w:rFonts w:ascii="Palatino Linotype" w:hAnsi="Palatino Linotype" w:cs="Arial"/>
        </w:rPr>
      </w:pPr>
    </w:p>
    <w:p w:rsidR="00C01A9E" w:rsidRPr="00A81C96" w:rsidRDefault="00C01A9E" w:rsidP="00C01A9E">
      <w:pPr>
        <w:spacing w:line="360" w:lineRule="auto"/>
        <w:jc w:val="both"/>
        <w:rPr>
          <w:rFonts w:ascii="Palatino Linotype" w:hAnsi="Palatino Linotype" w:cs="Arial"/>
        </w:rPr>
      </w:pPr>
      <w:r w:rsidRPr="00A81C96">
        <w:rPr>
          <w:rFonts w:ascii="Palatino Linotype" w:hAnsi="Palatino Linotype" w:cs="Arial"/>
        </w:rPr>
        <w:t xml:space="preserve">Adicionalmente, el </w:t>
      </w:r>
      <w:r w:rsidRPr="00A81C96">
        <w:rPr>
          <w:rFonts w:ascii="Palatino Linotype" w:hAnsi="Palatino Linotype" w:cs="Arial"/>
          <w:b/>
        </w:rPr>
        <w:t>Sujeto Obligado</w:t>
      </w:r>
      <w:r w:rsidRPr="00A81C96">
        <w:rPr>
          <w:rFonts w:ascii="Palatino Linotype" w:hAnsi="Palatino Linotype" w:cs="Arial"/>
        </w:rPr>
        <w:t xml:space="preserve"> adjuntó </w:t>
      </w:r>
      <w:r w:rsidR="00D54B11" w:rsidRPr="00A81C96">
        <w:rPr>
          <w:rFonts w:ascii="Palatino Linotype" w:hAnsi="Palatino Linotype" w:cs="Arial"/>
        </w:rPr>
        <w:t>el archivo</w:t>
      </w:r>
      <w:r w:rsidRPr="00A81C96">
        <w:rPr>
          <w:rFonts w:ascii="Palatino Linotype" w:hAnsi="Palatino Linotype" w:cs="Arial"/>
        </w:rPr>
        <w:t xml:space="preserve"> electrónico denominado “</w:t>
      </w:r>
      <w:r w:rsidR="009244CF" w:rsidRPr="00A81C96">
        <w:rPr>
          <w:rFonts w:ascii="Palatino Linotype" w:hAnsi="Palatino Linotype" w:cs="Arial"/>
          <w:b/>
          <w:i/>
        </w:rPr>
        <w:t>RESPUESTA SAIMEX 606.zip</w:t>
      </w:r>
      <w:r w:rsidRPr="00A81C96">
        <w:rPr>
          <w:rFonts w:ascii="Palatino Linotype" w:hAnsi="Palatino Linotype" w:cs="Arial"/>
          <w:b/>
          <w:i/>
        </w:rPr>
        <w:t xml:space="preserve">”, </w:t>
      </w:r>
      <w:r w:rsidRPr="00A81C96">
        <w:rPr>
          <w:rFonts w:ascii="Palatino Linotype" w:hAnsi="Palatino Linotype" w:cs="Arial"/>
        </w:rPr>
        <w:t xml:space="preserve">mismos que no se reproduce por ser del conocimiento de las partes, sin embargo, será materia de estudio en el considerando respectivo. </w:t>
      </w:r>
    </w:p>
    <w:p w:rsidR="00C01A9E" w:rsidRPr="00A81C96" w:rsidRDefault="00C01A9E" w:rsidP="00C01A9E">
      <w:pPr>
        <w:spacing w:line="360" w:lineRule="auto"/>
        <w:jc w:val="both"/>
        <w:rPr>
          <w:rFonts w:ascii="Palatino Linotype" w:hAnsi="Palatino Linotype" w:cs="Arial"/>
        </w:rPr>
      </w:pPr>
    </w:p>
    <w:p w:rsidR="00C01A9E" w:rsidRPr="00A81C96" w:rsidRDefault="009244CF" w:rsidP="00C01A9E">
      <w:pPr>
        <w:spacing w:before="240" w:line="360" w:lineRule="auto"/>
        <w:jc w:val="both"/>
        <w:rPr>
          <w:rFonts w:ascii="Palatino Linotype" w:hAnsi="Palatino Linotype" w:cs="Arial"/>
          <w:b/>
          <w:sz w:val="28"/>
        </w:rPr>
      </w:pPr>
      <w:r w:rsidRPr="00A81C96">
        <w:rPr>
          <w:rFonts w:ascii="Palatino Linotype" w:hAnsi="Palatino Linotype" w:cs="Arial"/>
          <w:b/>
          <w:sz w:val="28"/>
        </w:rPr>
        <w:t>CUARTO</w:t>
      </w:r>
      <w:r w:rsidR="00C01A9E" w:rsidRPr="00A81C96">
        <w:rPr>
          <w:rFonts w:ascii="Palatino Linotype" w:hAnsi="Palatino Linotype" w:cs="Arial"/>
          <w:b/>
          <w:sz w:val="28"/>
        </w:rPr>
        <w:t xml:space="preserve">. </w:t>
      </w:r>
      <w:r w:rsidR="00C01A9E" w:rsidRPr="00A81C96">
        <w:rPr>
          <w:rFonts w:ascii="Palatino Linotype" w:hAnsi="Palatino Linotype"/>
          <w:b/>
          <w:sz w:val="28"/>
        </w:rPr>
        <w:t>Del recurso de revisión.</w:t>
      </w:r>
    </w:p>
    <w:p w:rsidR="00C01A9E" w:rsidRPr="00A81C96" w:rsidRDefault="00C01A9E" w:rsidP="00C01A9E">
      <w:pPr>
        <w:spacing w:before="240" w:line="360" w:lineRule="auto"/>
        <w:jc w:val="both"/>
        <w:rPr>
          <w:rFonts w:ascii="Palatino Linotype" w:hAnsi="Palatino Linotype" w:cs="Arial"/>
        </w:rPr>
      </w:pPr>
      <w:r w:rsidRPr="00A81C96">
        <w:rPr>
          <w:rFonts w:ascii="Palatino Linotype" w:hAnsi="Palatino Linotype" w:cs="Arial"/>
        </w:rPr>
        <w:t xml:space="preserve">Inconforme con la respuesta notificada por </w:t>
      </w:r>
      <w:r w:rsidRPr="00A81C96">
        <w:rPr>
          <w:rFonts w:ascii="Palatino Linotype" w:hAnsi="Palatino Linotype" w:cs="Arial"/>
          <w:b/>
        </w:rPr>
        <w:t xml:space="preserve">El Sujeto Obligado, </w:t>
      </w:r>
      <w:r w:rsidRPr="00A81C96">
        <w:rPr>
          <w:rFonts w:ascii="Palatino Linotype" w:hAnsi="Palatino Linotype" w:cs="Arial"/>
        </w:rPr>
        <w:t>el</w:t>
      </w:r>
      <w:r w:rsidRPr="00A81C96">
        <w:rPr>
          <w:rFonts w:ascii="Palatino Linotype" w:hAnsi="Palatino Linotype" w:cs="Arial"/>
          <w:b/>
        </w:rPr>
        <w:t xml:space="preserve"> Recurrente </w:t>
      </w:r>
      <w:r w:rsidRPr="00A81C96">
        <w:rPr>
          <w:rFonts w:ascii="Palatino Linotype" w:hAnsi="Palatino Linotype" w:cs="Arial"/>
        </w:rPr>
        <w:t xml:space="preserve">interpuso recurso de revisión, en fecha </w:t>
      </w:r>
      <w:r w:rsidR="009244CF" w:rsidRPr="00A81C96">
        <w:rPr>
          <w:rFonts w:ascii="Palatino Linotype" w:hAnsi="Palatino Linotype" w:cs="Arial"/>
          <w:b/>
        </w:rPr>
        <w:t>dieciocho de agosto</w:t>
      </w:r>
      <w:r w:rsidRPr="00A81C96">
        <w:rPr>
          <w:rFonts w:ascii="Palatino Linotype" w:hAnsi="Palatino Linotype" w:cs="Arial"/>
          <w:b/>
        </w:rPr>
        <w:t xml:space="preserve"> de dos mil veinticinco</w:t>
      </w:r>
      <w:r w:rsidRPr="00A81C96">
        <w:rPr>
          <w:rFonts w:ascii="Palatino Linotype" w:hAnsi="Palatino Linotype" w:cs="Arial"/>
        </w:rPr>
        <w:t xml:space="preserve">, el cual fue registrado en el sistema electrónico con el expediente número </w:t>
      </w:r>
      <w:r w:rsidRPr="00A81C96">
        <w:rPr>
          <w:rFonts w:ascii="Palatino Linotype" w:hAnsi="Palatino Linotype" w:cs="Arial"/>
          <w:b/>
        </w:rPr>
        <w:t>0</w:t>
      </w:r>
      <w:r w:rsidR="00B73EC6" w:rsidRPr="00A81C96">
        <w:rPr>
          <w:rFonts w:ascii="Palatino Linotype" w:hAnsi="Palatino Linotype" w:cs="Arial"/>
          <w:b/>
        </w:rPr>
        <w:t>9665</w:t>
      </w:r>
      <w:r w:rsidRPr="00A81C96">
        <w:rPr>
          <w:rFonts w:ascii="Palatino Linotype" w:hAnsi="Palatino Linotype" w:cs="Arial"/>
          <w:b/>
        </w:rPr>
        <w:t xml:space="preserve">/INFOEM/IP/RR/2025; </w:t>
      </w:r>
      <w:r w:rsidRPr="00A81C96">
        <w:rPr>
          <w:rFonts w:ascii="Palatino Linotype" w:hAnsi="Palatino Linotype" w:cs="Arial"/>
        </w:rPr>
        <w:t>en los cuales arguye las siguientes manifestaciones:</w:t>
      </w:r>
    </w:p>
    <w:p w:rsidR="00C01A9E" w:rsidRPr="00A81C96" w:rsidRDefault="00C01A9E" w:rsidP="00C01A9E">
      <w:pPr>
        <w:pStyle w:val="Prrafodelista"/>
        <w:numPr>
          <w:ilvl w:val="0"/>
          <w:numId w:val="2"/>
        </w:numPr>
        <w:spacing w:before="240" w:line="360" w:lineRule="auto"/>
        <w:ind w:left="142" w:firstLine="0"/>
        <w:jc w:val="both"/>
        <w:rPr>
          <w:rFonts w:ascii="Palatino Linotype" w:hAnsi="Palatino Linotype" w:cs="Arial"/>
          <w:b/>
          <w:i/>
        </w:rPr>
      </w:pPr>
      <w:r w:rsidRPr="00A81C96">
        <w:rPr>
          <w:rFonts w:ascii="Palatino Linotype" w:hAnsi="Palatino Linotype" w:cs="Arial"/>
          <w:b/>
          <w:i/>
        </w:rPr>
        <w:t xml:space="preserve">Acto impugnado </w:t>
      </w:r>
    </w:p>
    <w:p w:rsidR="00C01A9E" w:rsidRPr="00A81C96" w:rsidRDefault="00C01A9E" w:rsidP="00C01A9E">
      <w:pPr>
        <w:pStyle w:val="INFOEM"/>
        <w:ind w:left="720"/>
      </w:pPr>
      <w:r w:rsidRPr="00A81C96">
        <w:t>“</w:t>
      </w:r>
      <w:r w:rsidR="009244CF" w:rsidRPr="00A81C96">
        <w:t>La respuesta emitida a la solicitud que nos ocupa esta incompleta.</w:t>
      </w:r>
      <w:r w:rsidRPr="00A81C96">
        <w:t>” (sic)</w:t>
      </w:r>
    </w:p>
    <w:p w:rsidR="00C01A9E" w:rsidRPr="00A81C96" w:rsidRDefault="00C01A9E" w:rsidP="00C01A9E">
      <w:pPr>
        <w:pStyle w:val="Prrafodelista"/>
        <w:numPr>
          <w:ilvl w:val="0"/>
          <w:numId w:val="2"/>
        </w:numPr>
        <w:spacing w:before="240" w:line="360" w:lineRule="auto"/>
        <w:ind w:left="142" w:firstLine="0"/>
        <w:jc w:val="both"/>
        <w:rPr>
          <w:rFonts w:ascii="Palatino Linotype" w:hAnsi="Palatino Linotype" w:cs="Arial"/>
          <w:b/>
          <w:i/>
        </w:rPr>
      </w:pPr>
      <w:r w:rsidRPr="00A81C96">
        <w:rPr>
          <w:rFonts w:ascii="Palatino Linotype" w:hAnsi="Palatino Linotype" w:cs="Arial"/>
          <w:b/>
          <w:i/>
        </w:rPr>
        <w:t>Razones o motivos de inconformidad</w:t>
      </w:r>
    </w:p>
    <w:p w:rsidR="00C01A9E" w:rsidRPr="00A81C96" w:rsidRDefault="00C01A9E" w:rsidP="00C01A9E">
      <w:pPr>
        <w:pStyle w:val="INFOEM"/>
        <w:ind w:left="709"/>
      </w:pPr>
      <w:r w:rsidRPr="00A81C96">
        <w:lastRenderedPageBreak/>
        <w:t>“</w:t>
      </w:r>
      <w:r w:rsidR="009244CF" w:rsidRPr="00A81C96">
        <w:t>La información que se entrega esta incompleta, toda vez que: 1. En los archivos de los procedimientos del año 2024 hay archivos que no cuentan con información. 2. No se me entregaron los contratos firmados de todos los procedimientos, tal como se solicitó en el saimex que nos ocupa 3. Dentro de la información, no en todos los rubros indica el concepto del procedimiento de contratación, es decir, que se contrató.</w:t>
      </w:r>
      <w:r w:rsidRPr="00A81C96">
        <w:t>” (sic)</w:t>
      </w:r>
    </w:p>
    <w:p w:rsidR="00C01A9E" w:rsidRPr="00A81C96" w:rsidRDefault="00C01A9E" w:rsidP="00C01A9E">
      <w:pPr>
        <w:spacing w:line="360" w:lineRule="auto"/>
        <w:jc w:val="both"/>
        <w:rPr>
          <w:rFonts w:ascii="Palatino Linotype" w:hAnsi="Palatino Linotype" w:cs="Arial"/>
        </w:rPr>
      </w:pPr>
      <w:r w:rsidRPr="00A81C96">
        <w:rPr>
          <w:rFonts w:ascii="Palatino Linotype" w:hAnsi="Palatino Linotype" w:cs="Arial"/>
        </w:rPr>
        <w:t xml:space="preserve"> </w:t>
      </w:r>
    </w:p>
    <w:p w:rsidR="00C01A9E" w:rsidRPr="00A81C96" w:rsidRDefault="009244CF" w:rsidP="00C01A9E">
      <w:pPr>
        <w:spacing w:before="240" w:line="360" w:lineRule="auto"/>
        <w:jc w:val="both"/>
        <w:rPr>
          <w:rFonts w:ascii="Palatino Linotype" w:hAnsi="Palatino Linotype" w:cs="Arial"/>
          <w:b/>
        </w:rPr>
      </w:pPr>
      <w:r w:rsidRPr="00A81C96">
        <w:rPr>
          <w:rFonts w:ascii="Palatino Linotype" w:hAnsi="Palatino Linotype" w:cs="Arial"/>
          <w:b/>
          <w:sz w:val="28"/>
        </w:rPr>
        <w:t>QUINTO</w:t>
      </w:r>
      <w:r w:rsidR="00C01A9E" w:rsidRPr="00A81C96">
        <w:rPr>
          <w:rFonts w:ascii="Palatino Linotype" w:hAnsi="Palatino Linotype" w:cs="Arial"/>
          <w:b/>
        </w:rPr>
        <w:t xml:space="preserve">. </w:t>
      </w:r>
      <w:r w:rsidR="00C01A9E" w:rsidRPr="00A81C96">
        <w:rPr>
          <w:rFonts w:ascii="Palatino Linotype" w:hAnsi="Palatino Linotype" w:cs="Arial"/>
          <w:b/>
          <w:sz w:val="28"/>
          <w:szCs w:val="28"/>
        </w:rPr>
        <w:t>Del turno y admisión del recurso de revisión.</w:t>
      </w:r>
    </w:p>
    <w:p w:rsidR="00C01A9E" w:rsidRPr="00A81C96" w:rsidRDefault="00C01A9E" w:rsidP="00C01A9E">
      <w:pPr>
        <w:spacing w:before="240" w:line="360" w:lineRule="auto"/>
        <w:jc w:val="both"/>
        <w:rPr>
          <w:rFonts w:ascii="Palatino Linotype" w:hAnsi="Palatino Linotype" w:cs="Arial"/>
          <w:sz w:val="28"/>
        </w:rPr>
      </w:pPr>
      <w:r w:rsidRPr="00A81C96">
        <w:rPr>
          <w:rFonts w:ascii="Palatino Linotype" w:hAnsi="Palatino Linotype"/>
        </w:rPr>
        <w:t xml:space="preserve">El medio de impugnación fue turnado al Comisionado Presidente </w:t>
      </w:r>
      <w:r w:rsidRPr="00A81C96">
        <w:rPr>
          <w:rFonts w:ascii="Palatino Linotype" w:hAnsi="Palatino Linotype"/>
          <w:b/>
        </w:rPr>
        <w:t>José Martínez Vilchis,</w:t>
      </w:r>
      <w:r w:rsidRPr="00A81C96">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A81C96">
        <w:rPr>
          <w:rFonts w:ascii="Palatino Linotype" w:hAnsi="Palatino Linotype"/>
          <w:b/>
        </w:rPr>
        <w:t>admisión</w:t>
      </w:r>
      <w:r w:rsidRPr="00A81C96">
        <w:rPr>
          <w:rFonts w:ascii="Palatino Linotype" w:hAnsi="Palatino Linotype"/>
        </w:rPr>
        <w:t xml:space="preserve"> en fecha </w:t>
      </w:r>
      <w:r w:rsidR="009244CF" w:rsidRPr="00A81C96">
        <w:rPr>
          <w:rFonts w:ascii="Palatino Linotype" w:hAnsi="Palatino Linotype"/>
          <w:b/>
        </w:rPr>
        <w:t xml:space="preserve">veinte de agosto </w:t>
      </w:r>
      <w:r w:rsidRPr="00A81C96">
        <w:rPr>
          <w:rFonts w:ascii="Palatino Linotype" w:hAnsi="Palatino Linotype"/>
          <w:b/>
        </w:rPr>
        <w:t>de dos mil veinticinco</w:t>
      </w:r>
      <w:r w:rsidRPr="00A81C96">
        <w:rPr>
          <w:rFonts w:ascii="Palatino Linotype" w:hAnsi="Palatino Linotype"/>
        </w:rPr>
        <w:t>, determinándose en ellos, un plazo de siete días para que las partes manifestaran lo que a su derecho corresponda en términos del numeral ya citado.</w:t>
      </w:r>
    </w:p>
    <w:p w:rsidR="00C01A9E" w:rsidRPr="00A81C96" w:rsidRDefault="00C01A9E" w:rsidP="00C01A9E">
      <w:pPr>
        <w:spacing w:before="240" w:line="360" w:lineRule="auto"/>
        <w:jc w:val="both"/>
        <w:rPr>
          <w:rFonts w:ascii="Palatino Linotype" w:hAnsi="Palatino Linotype" w:cs="Arial"/>
          <w:sz w:val="28"/>
        </w:rPr>
      </w:pPr>
    </w:p>
    <w:p w:rsidR="00C01A9E" w:rsidRPr="00A81C96" w:rsidRDefault="00C01A9E" w:rsidP="00C01A9E">
      <w:pPr>
        <w:pStyle w:val="Prrafodelista"/>
        <w:spacing w:line="360" w:lineRule="auto"/>
        <w:ind w:left="0"/>
        <w:jc w:val="both"/>
        <w:rPr>
          <w:rFonts w:ascii="Palatino Linotype" w:hAnsi="Palatino Linotype" w:cs="Arial"/>
          <w:b/>
          <w:sz w:val="28"/>
          <w:szCs w:val="28"/>
        </w:rPr>
      </w:pPr>
      <w:r w:rsidRPr="00A81C96">
        <w:rPr>
          <w:rFonts w:ascii="Palatino Linotype" w:hAnsi="Palatino Linotype" w:cs="Arial"/>
          <w:b/>
          <w:sz w:val="28"/>
        </w:rPr>
        <w:t>QUINTO</w:t>
      </w:r>
      <w:r w:rsidRPr="00A81C96">
        <w:rPr>
          <w:rFonts w:ascii="Palatino Linotype" w:hAnsi="Palatino Linotype" w:cs="Arial"/>
          <w:b/>
          <w:sz w:val="28"/>
          <w:szCs w:val="28"/>
        </w:rPr>
        <w:t>. De la etapa de instrucción.</w:t>
      </w:r>
    </w:p>
    <w:p w:rsidR="00C01A9E" w:rsidRPr="00A81C96" w:rsidRDefault="00C01A9E" w:rsidP="00C01A9E">
      <w:pPr>
        <w:spacing w:line="360" w:lineRule="auto"/>
        <w:jc w:val="both"/>
        <w:rPr>
          <w:rFonts w:ascii="Palatino Linotype" w:hAnsi="Palatino Linotype"/>
        </w:rPr>
      </w:pPr>
      <w:r w:rsidRPr="00A81C96">
        <w:rPr>
          <w:rFonts w:ascii="Palatino Linotype" w:hAnsi="Palatino Linotype" w:cs="Arial"/>
        </w:rPr>
        <w:t xml:space="preserve">De las constancias que obran en el expediente electrónico del SAIMEX, se advierte que el </w:t>
      </w:r>
      <w:r w:rsidRPr="00A81C96">
        <w:rPr>
          <w:rFonts w:ascii="Palatino Linotype" w:hAnsi="Palatino Linotype" w:cs="Arial"/>
          <w:b/>
        </w:rPr>
        <w:t>Sujeto Obligado</w:t>
      </w:r>
      <w:r w:rsidRPr="00A81C96">
        <w:rPr>
          <w:rFonts w:ascii="Palatino Linotype" w:hAnsi="Palatino Linotype" w:cs="Arial"/>
        </w:rPr>
        <w:t xml:space="preserve"> rindió su informe justificado en fecha </w:t>
      </w:r>
      <w:r w:rsidR="009244CF" w:rsidRPr="00A81C96">
        <w:rPr>
          <w:rFonts w:ascii="Palatino Linotype" w:hAnsi="Palatino Linotype" w:cs="Arial"/>
        </w:rPr>
        <w:t>veintisiete de agosto</w:t>
      </w:r>
      <w:r w:rsidRPr="00A81C96">
        <w:rPr>
          <w:rFonts w:ascii="Palatino Linotype" w:hAnsi="Palatino Linotype" w:cs="Arial"/>
        </w:rPr>
        <w:t xml:space="preserve"> de dos mil veinticinco, por medio del archivo electrónico </w:t>
      </w:r>
      <w:r w:rsidR="00D54B11" w:rsidRPr="00A81C96">
        <w:rPr>
          <w:rFonts w:ascii="Palatino Linotype" w:hAnsi="Palatino Linotype" w:cs="Arial"/>
        </w:rPr>
        <w:t>“</w:t>
      </w:r>
      <w:r w:rsidR="009244CF" w:rsidRPr="00A81C96">
        <w:rPr>
          <w:rFonts w:ascii="Palatino Linotype" w:hAnsi="Palatino Linotype" w:cs="Arial"/>
          <w:b/>
          <w:i/>
        </w:rPr>
        <w:t>MANIFESTACIONES RR 9665-25.zip</w:t>
      </w:r>
      <w:r w:rsidRPr="00A81C96">
        <w:rPr>
          <w:rFonts w:ascii="Palatino Linotype" w:hAnsi="Palatino Linotype" w:cs="Arial"/>
          <w:b/>
          <w:i/>
        </w:rPr>
        <w:t>”</w:t>
      </w:r>
      <w:r w:rsidRPr="00A81C96">
        <w:rPr>
          <w:rFonts w:ascii="Palatino Linotype" w:hAnsi="Palatino Linotype" w:cs="Arial"/>
        </w:rPr>
        <w:t>, mismos que fueron puestos a la vista del Recurrente</w:t>
      </w:r>
      <w:r w:rsidR="009244CF" w:rsidRPr="00A81C96">
        <w:rPr>
          <w:rFonts w:ascii="Palatino Linotype" w:hAnsi="Palatino Linotype" w:cs="Arial"/>
        </w:rPr>
        <w:t>.</w:t>
      </w:r>
    </w:p>
    <w:p w:rsidR="00C01A9E" w:rsidRPr="00A81C96" w:rsidRDefault="00C01A9E" w:rsidP="00C01A9E">
      <w:pPr>
        <w:spacing w:line="360" w:lineRule="auto"/>
        <w:jc w:val="both"/>
        <w:rPr>
          <w:rFonts w:ascii="Palatino Linotype" w:hAnsi="Palatino Linotype"/>
        </w:rPr>
      </w:pPr>
    </w:p>
    <w:p w:rsidR="00C01A9E" w:rsidRPr="00A81C96" w:rsidRDefault="00C01A9E" w:rsidP="00C01A9E">
      <w:pPr>
        <w:spacing w:line="360" w:lineRule="auto"/>
        <w:jc w:val="both"/>
        <w:rPr>
          <w:rFonts w:ascii="Palatino Linotype" w:hAnsi="Palatino Linotype" w:cs="Arial"/>
        </w:rPr>
      </w:pPr>
      <w:r w:rsidRPr="00A81C96">
        <w:rPr>
          <w:rFonts w:ascii="Palatino Linotype" w:hAnsi="Palatino Linotype" w:cs="Arial"/>
        </w:rPr>
        <w:t xml:space="preserve">Así mismo, se aprecia que no se llevaron a cabo audiencias durante la sustanciación del recurso de revisión, ni se ofrecieron pruebas por parte del </w:t>
      </w:r>
      <w:r w:rsidRPr="00A81C96">
        <w:rPr>
          <w:rFonts w:ascii="Palatino Linotype" w:hAnsi="Palatino Linotype" w:cs="Arial"/>
          <w:b/>
        </w:rPr>
        <w:t>Recurrente</w:t>
      </w:r>
      <w:r w:rsidRPr="00A81C96">
        <w:rPr>
          <w:rFonts w:ascii="Palatino Linotype" w:hAnsi="Palatino Linotype" w:cs="Arial"/>
        </w:rPr>
        <w:t xml:space="preserve">; todo lo </w:t>
      </w:r>
      <w:r w:rsidRPr="00A81C96">
        <w:rPr>
          <w:rFonts w:ascii="Palatino Linotype" w:hAnsi="Palatino Linotype" w:cs="Arial"/>
        </w:rPr>
        <w:lastRenderedPageBreak/>
        <w:t>anterior en términos de los artículos 185 fracciones II y IV, y 195 de la Ley de Transparencia y Acceso a la Información Pública del Estado de México y Municipios.</w:t>
      </w:r>
    </w:p>
    <w:p w:rsidR="00C01A9E" w:rsidRPr="00A81C96" w:rsidRDefault="00C01A9E" w:rsidP="00C01A9E">
      <w:pPr>
        <w:spacing w:line="360" w:lineRule="auto"/>
        <w:jc w:val="both"/>
        <w:rPr>
          <w:rFonts w:ascii="Palatino Linotype" w:hAnsi="Palatino Linotype" w:cs="Arial"/>
          <w:b/>
          <w:sz w:val="28"/>
          <w:szCs w:val="28"/>
        </w:rPr>
      </w:pPr>
    </w:p>
    <w:p w:rsidR="009244CF" w:rsidRPr="00A81C96" w:rsidRDefault="009244CF" w:rsidP="009244CF">
      <w:pPr>
        <w:spacing w:line="360" w:lineRule="auto"/>
        <w:jc w:val="both"/>
        <w:rPr>
          <w:rFonts w:ascii="Palatino Linotype" w:eastAsia="Calibri" w:hAnsi="Palatino Linotype" w:cs="Arial"/>
          <w:b/>
          <w:sz w:val="28"/>
          <w:lang w:val="es-ES_tradnl"/>
        </w:rPr>
      </w:pPr>
      <w:r w:rsidRPr="00A81C96">
        <w:rPr>
          <w:rFonts w:ascii="Palatino Linotype" w:hAnsi="Palatino Linotype" w:cs="Arial"/>
          <w:b/>
          <w:sz w:val="28"/>
          <w:szCs w:val="28"/>
        </w:rPr>
        <w:t xml:space="preserve">SEXTO. </w:t>
      </w:r>
      <w:r w:rsidRPr="00A81C96">
        <w:rPr>
          <w:rFonts w:ascii="Palatino Linotype" w:eastAsia="Calibri" w:hAnsi="Palatino Linotype" w:cs="Arial"/>
          <w:b/>
          <w:sz w:val="28"/>
          <w:lang w:val="es-ES_tradnl"/>
        </w:rPr>
        <w:t>De la ampliación del término para resolver.</w:t>
      </w:r>
    </w:p>
    <w:p w:rsidR="009244CF" w:rsidRPr="00A81C96" w:rsidRDefault="009244CF" w:rsidP="009244CF">
      <w:pPr>
        <w:spacing w:line="360" w:lineRule="auto"/>
        <w:jc w:val="both"/>
        <w:rPr>
          <w:rFonts w:ascii="Palatino Linotype" w:hAnsi="Palatino Linotype" w:cs="Arial"/>
        </w:rPr>
      </w:pPr>
      <w:r w:rsidRPr="00A81C96">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A81C96">
        <w:rPr>
          <w:rFonts w:ascii="Palatino Linotype" w:hAnsi="Palatino Linotype" w:cs="Arial"/>
          <w:b/>
        </w:rPr>
        <w:t xml:space="preserve">veintisiete de febrero de dos mil </w:t>
      </w:r>
      <w:r w:rsidR="00654C94" w:rsidRPr="00A81C96">
        <w:rPr>
          <w:rFonts w:ascii="Palatino Linotype" w:hAnsi="Palatino Linotype" w:cs="Arial"/>
          <w:b/>
        </w:rPr>
        <w:t>veintiséis</w:t>
      </w:r>
      <w:r w:rsidRPr="00A81C96">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9244CF" w:rsidRPr="00A81C96" w:rsidRDefault="009244CF" w:rsidP="009244CF">
      <w:pPr>
        <w:spacing w:line="360" w:lineRule="auto"/>
        <w:jc w:val="both"/>
        <w:rPr>
          <w:rFonts w:ascii="Palatino Linotype" w:hAnsi="Palatino Linotype" w:cs="Arial"/>
        </w:rPr>
      </w:pPr>
    </w:p>
    <w:p w:rsidR="00C01A9E" w:rsidRPr="00A81C96" w:rsidRDefault="009244CF" w:rsidP="009244CF">
      <w:pPr>
        <w:spacing w:line="360" w:lineRule="auto"/>
        <w:jc w:val="both"/>
        <w:rPr>
          <w:rFonts w:ascii="Palatino Linotype" w:hAnsi="Palatino Linotype" w:cs="Arial"/>
          <w:b/>
          <w:sz w:val="28"/>
          <w:szCs w:val="28"/>
        </w:rPr>
      </w:pPr>
      <w:r w:rsidRPr="00A81C96">
        <w:rPr>
          <w:rFonts w:ascii="Palatino Linotype" w:eastAsia="Calibri" w:hAnsi="Palatino Linotype" w:cs="Arial"/>
          <w:b/>
          <w:sz w:val="28"/>
          <w:lang w:val="es-ES_tradnl"/>
        </w:rPr>
        <w:t xml:space="preserve">SÉPTIMO. </w:t>
      </w:r>
      <w:r w:rsidR="00C01A9E" w:rsidRPr="00A81C96">
        <w:rPr>
          <w:rFonts w:ascii="Palatino Linotype" w:hAnsi="Palatino Linotype" w:cs="Arial"/>
          <w:b/>
          <w:sz w:val="28"/>
          <w:szCs w:val="28"/>
        </w:rPr>
        <w:t>Del Cierre de Instrucción.</w:t>
      </w:r>
    </w:p>
    <w:p w:rsidR="00C01A9E" w:rsidRPr="00A81C96" w:rsidRDefault="00C01A9E" w:rsidP="00C01A9E">
      <w:pPr>
        <w:spacing w:line="360" w:lineRule="auto"/>
        <w:jc w:val="both"/>
        <w:rPr>
          <w:rFonts w:ascii="Palatino Linotype" w:hAnsi="Palatino Linotype" w:cs="Arial"/>
        </w:rPr>
      </w:pPr>
      <w:r w:rsidRPr="00A81C96">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654C94" w:rsidRPr="00A81C96">
        <w:rPr>
          <w:rFonts w:ascii="Palatino Linotype" w:hAnsi="Palatino Linotype" w:cs="Arial"/>
          <w:b/>
        </w:rPr>
        <w:t>veinticinco</w:t>
      </w:r>
      <w:r w:rsidRPr="00A81C96">
        <w:rPr>
          <w:rFonts w:ascii="Palatino Linotype" w:hAnsi="Palatino Linotype" w:cs="Arial"/>
          <w:b/>
        </w:rPr>
        <w:t xml:space="preserve"> de marzo de dos mil </w:t>
      </w:r>
      <w:r w:rsidR="00126B34" w:rsidRPr="00A81C96">
        <w:rPr>
          <w:rFonts w:ascii="Palatino Linotype" w:hAnsi="Palatino Linotype" w:cs="Arial"/>
          <w:b/>
        </w:rPr>
        <w:t>veintiséis</w:t>
      </w:r>
      <w:r w:rsidRPr="00A81C96">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C01A9E" w:rsidRPr="00A81C96" w:rsidRDefault="00C01A9E" w:rsidP="00C01A9E">
      <w:pPr>
        <w:spacing w:line="360" w:lineRule="auto"/>
        <w:jc w:val="both"/>
        <w:rPr>
          <w:rFonts w:ascii="Palatino Linotype" w:hAnsi="Palatino Linotype" w:cs="Arial"/>
          <w:b/>
          <w:sz w:val="28"/>
          <w:szCs w:val="28"/>
        </w:rPr>
      </w:pPr>
    </w:p>
    <w:p w:rsidR="00C01A9E" w:rsidRPr="00A81C96" w:rsidRDefault="00C01A9E" w:rsidP="00C01A9E">
      <w:pPr>
        <w:spacing w:line="360" w:lineRule="auto"/>
        <w:jc w:val="center"/>
        <w:rPr>
          <w:rFonts w:ascii="Palatino Linotype" w:hAnsi="Palatino Linotype"/>
          <w:b/>
          <w:bCs/>
          <w:spacing w:val="60"/>
          <w:sz w:val="28"/>
          <w:lang w:val="es-ES_tradnl"/>
        </w:rPr>
      </w:pPr>
      <w:r w:rsidRPr="00A81C96">
        <w:rPr>
          <w:rFonts w:ascii="Palatino Linotype" w:hAnsi="Palatino Linotype"/>
          <w:b/>
          <w:bCs/>
          <w:spacing w:val="60"/>
          <w:sz w:val="28"/>
          <w:lang w:val="es-ES_tradnl"/>
        </w:rPr>
        <w:t>CONSIDERANDO</w:t>
      </w:r>
    </w:p>
    <w:p w:rsidR="00C01A9E" w:rsidRPr="00A81C96" w:rsidRDefault="00C01A9E" w:rsidP="00C01A9E">
      <w:pPr>
        <w:spacing w:line="360" w:lineRule="auto"/>
        <w:ind w:right="49"/>
        <w:jc w:val="both"/>
        <w:rPr>
          <w:rFonts w:ascii="Palatino Linotype" w:hAnsi="Palatino Linotype"/>
          <w:szCs w:val="28"/>
        </w:rPr>
      </w:pPr>
    </w:p>
    <w:p w:rsidR="00C01A9E" w:rsidRPr="00A81C96" w:rsidRDefault="00C01A9E" w:rsidP="00C01A9E">
      <w:pPr>
        <w:spacing w:before="240" w:line="360" w:lineRule="auto"/>
        <w:jc w:val="both"/>
        <w:rPr>
          <w:rFonts w:ascii="Palatino Linotype" w:hAnsi="Palatino Linotype" w:cs="Arial"/>
          <w:sz w:val="28"/>
          <w:szCs w:val="28"/>
        </w:rPr>
      </w:pPr>
      <w:r w:rsidRPr="00A81C96">
        <w:rPr>
          <w:rFonts w:ascii="Palatino Linotype" w:hAnsi="Palatino Linotype" w:cs="Arial"/>
          <w:b/>
          <w:sz w:val="28"/>
        </w:rPr>
        <w:lastRenderedPageBreak/>
        <w:t>PRIMERO.</w:t>
      </w:r>
      <w:r w:rsidRPr="00A81C96">
        <w:rPr>
          <w:rFonts w:ascii="Palatino Linotype" w:hAnsi="Palatino Linotype" w:cs="Arial"/>
          <w:b/>
        </w:rPr>
        <w:t xml:space="preserve"> </w:t>
      </w:r>
      <w:r w:rsidRPr="00A81C96">
        <w:rPr>
          <w:rFonts w:ascii="Palatino Linotype" w:hAnsi="Palatino Linotype" w:cs="Arial"/>
          <w:b/>
          <w:sz w:val="28"/>
          <w:szCs w:val="28"/>
        </w:rPr>
        <w:t>De la competencia</w:t>
      </w:r>
      <w:r w:rsidRPr="00A81C96">
        <w:rPr>
          <w:rFonts w:ascii="Palatino Linotype" w:hAnsi="Palatino Linotype" w:cs="Arial"/>
          <w:sz w:val="28"/>
          <w:szCs w:val="28"/>
        </w:rPr>
        <w:t>.</w:t>
      </w:r>
    </w:p>
    <w:p w:rsidR="00C01A9E" w:rsidRPr="00A81C96" w:rsidRDefault="006D4FA5" w:rsidP="00C01A9E">
      <w:pPr>
        <w:tabs>
          <w:tab w:val="left" w:pos="3402"/>
        </w:tabs>
        <w:spacing w:line="360" w:lineRule="auto"/>
        <w:jc w:val="both"/>
        <w:rPr>
          <w:rFonts w:ascii="Palatino Linotype" w:hAnsi="Palatino Linotype"/>
        </w:rPr>
      </w:pPr>
      <w:r w:rsidRPr="00A81C9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C01A9E" w:rsidRPr="00A81C96">
        <w:rPr>
          <w:rFonts w:ascii="Palatino Linotype" w:hAnsi="Palatino Linotype"/>
        </w:rPr>
        <w:t>.</w:t>
      </w:r>
    </w:p>
    <w:p w:rsidR="00C01A9E" w:rsidRPr="00A81C96" w:rsidRDefault="00C01A9E" w:rsidP="00C01A9E">
      <w:pPr>
        <w:spacing w:before="240" w:line="360" w:lineRule="auto"/>
        <w:jc w:val="both"/>
        <w:rPr>
          <w:rFonts w:ascii="Palatino Linotype" w:eastAsia="Calibri" w:hAnsi="Palatino Linotype"/>
          <w:b/>
          <w:color w:val="000000" w:themeColor="text1"/>
        </w:rPr>
      </w:pPr>
    </w:p>
    <w:p w:rsidR="00C01A9E" w:rsidRPr="00A81C96" w:rsidRDefault="00C01A9E" w:rsidP="00C01A9E">
      <w:pPr>
        <w:pStyle w:val="Prrafodelista"/>
        <w:autoSpaceDE w:val="0"/>
        <w:autoSpaceDN w:val="0"/>
        <w:adjustRightInd w:val="0"/>
        <w:spacing w:before="240" w:after="160" w:line="360" w:lineRule="auto"/>
        <w:ind w:left="0"/>
        <w:jc w:val="both"/>
        <w:rPr>
          <w:rFonts w:ascii="Palatino Linotype" w:hAnsi="Palatino Linotype" w:cs="Arial"/>
          <w:b/>
        </w:rPr>
      </w:pPr>
      <w:r w:rsidRPr="00A81C96">
        <w:rPr>
          <w:rFonts w:ascii="Palatino Linotype" w:hAnsi="Palatino Linotype" w:cs="Arial"/>
          <w:b/>
          <w:sz w:val="28"/>
        </w:rPr>
        <w:t>SEGUNDO</w:t>
      </w:r>
      <w:r w:rsidRPr="00A81C96">
        <w:rPr>
          <w:rFonts w:ascii="Palatino Linotype" w:hAnsi="Palatino Linotype" w:cs="Arial"/>
          <w:b/>
        </w:rPr>
        <w:t xml:space="preserve">. </w:t>
      </w:r>
      <w:r w:rsidRPr="00A81C96">
        <w:rPr>
          <w:rFonts w:ascii="Palatino Linotype" w:hAnsi="Palatino Linotype" w:cs="Arial"/>
          <w:b/>
          <w:sz w:val="28"/>
          <w:szCs w:val="28"/>
        </w:rPr>
        <w:t>Sobre los alcances del recurso de revisión.</w:t>
      </w:r>
      <w:r w:rsidRPr="00A81C96">
        <w:rPr>
          <w:rFonts w:ascii="Palatino Linotype" w:hAnsi="Palatino Linotype" w:cs="Arial"/>
          <w:b/>
        </w:rPr>
        <w:t xml:space="preserve"> </w:t>
      </w:r>
    </w:p>
    <w:p w:rsidR="00C01A9E" w:rsidRPr="00A81C96" w:rsidRDefault="00C01A9E" w:rsidP="00C01A9E">
      <w:pPr>
        <w:pStyle w:val="Prrafodelista"/>
        <w:autoSpaceDE w:val="0"/>
        <w:autoSpaceDN w:val="0"/>
        <w:adjustRightInd w:val="0"/>
        <w:spacing w:before="240" w:after="160" w:line="360" w:lineRule="auto"/>
        <w:ind w:left="0"/>
        <w:jc w:val="both"/>
        <w:rPr>
          <w:rFonts w:ascii="Palatino Linotype" w:hAnsi="Palatino Linotype" w:cs="Arial"/>
        </w:rPr>
      </w:pPr>
      <w:r w:rsidRPr="00A81C9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01A9E" w:rsidRPr="00A81C96" w:rsidRDefault="00C01A9E" w:rsidP="00C01A9E">
      <w:pPr>
        <w:pStyle w:val="Prrafodelista"/>
        <w:autoSpaceDE w:val="0"/>
        <w:autoSpaceDN w:val="0"/>
        <w:adjustRightInd w:val="0"/>
        <w:spacing w:before="240" w:after="160" w:line="360" w:lineRule="auto"/>
        <w:ind w:left="0"/>
        <w:jc w:val="both"/>
        <w:rPr>
          <w:rFonts w:ascii="Palatino Linotype" w:hAnsi="Palatino Linotype" w:cs="Arial"/>
        </w:rPr>
      </w:pPr>
    </w:p>
    <w:p w:rsidR="00C01A9E" w:rsidRPr="00A81C96" w:rsidRDefault="00C01A9E" w:rsidP="00C01A9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A81C96">
        <w:rPr>
          <w:rFonts w:ascii="Palatino Linotype" w:hAnsi="Palatino Linotype" w:cs="Arial"/>
          <w:b/>
          <w:sz w:val="28"/>
        </w:rPr>
        <w:lastRenderedPageBreak/>
        <w:t>TERCERO</w:t>
      </w:r>
      <w:r w:rsidRPr="00A81C96">
        <w:rPr>
          <w:rFonts w:ascii="Palatino Linotype" w:hAnsi="Palatino Linotype" w:cs="Arial"/>
          <w:b/>
        </w:rPr>
        <w:t xml:space="preserve">. </w:t>
      </w:r>
      <w:r w:rsidRPr="00A81C96">
        <w:rPr>
          <w:rFonts w:ascii="Palatino Linotype" w:hAnsi="Palatino Linotype" w:cs="Arial"/>
          <w:b/>
          <w:sz w:val="28"/>
          <w:szCs w:val="28"/>
        </w:rPr>
        <w:t>De las causas de improcedencia.</w:t>
      </w:r>
    </w:p>
    <w:p w:rsidR="00C01A9E" w:rsidRPr="00A81C96" w:rsidRDefault="00C01A9E" w:rsidP="00C01A9E">
      <w:pPr>
        <w:pStyle w:val="Prrafodelista"/>
        <w:autoSpaceDE w:val="0"/>
        <w:autoSpaceDN w:val="0"/>
        <w:adjustRightInd w:val="0"/>
        <w:spacing w:before="240" w:after="160" w:line="360" w:lineRule="auto"/>
        <w:ind w:left="0"/>
        <w:jc w:val="both"/>
        <w:rPr>
          <w:rFonts w:ascii="Palatino Linotype" w:hAnsi="Palatino Linotype" w:cs="Arial"/>
        </w:rPr>
      </w:pPr>
      <w:r w:rsidRPr="00A81C9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01A9E" w:rsidRPr="00A81C96" w:rsidRDefault="00C01A9E" w:rsidP="00C01A9E">
      <w:pPr>
        <w:pStyle w:val="Prrafodelista"/>
        <w:autoSpaceDE w:val="0"/>
        <w:autoSpaceDN w:val="0"/>
        <w:adjustRightInd w:val="0"/>
        <w:spacing w:line="360" w:lineRule="auto"/>
        <w:ind w:left="0"/>
        <w:jc w:val="both"/>
        <w:rPr>
          <w:rFonts w:ascii="Palatino Linotype" w:hAnsi="Palatino Linotype" w:cs="Arial"/>
        </w:rPr>
      </w:pPr>
      <w:r w:rsidRPr="00A81C9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81C96">
        <w:rPr>
          <w:rStyle w:val="Refdenotaalpie"/>
          <w:rFonts w:ascii="Palatino Linotype" w:hAnsi="Palatino Linotype" w:cs="Arial"/>
        </w:rPr>
        <w:footnoteReference w:id="1"/>
      </w:r>
      <w:r w:rsidRPr="00A81C96">
        <w:rPr>
          <w:rFonts w:ascii="Palatino Linotype" w:hAnsi="Palatino Linotype" w:cs="Arial"/>
        </w:rPr>
        <w:t xml:space="preserve">. Así las cosas, del análisis de los </w:t>
      </w:r>
      <w:r w:rsidRPr="00A81C96">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C01A9E" w:rsidRPr="00A81C96" w:rsidRDefault="00C01A9E" w:rsidP="00C01A9E">
      <w:pPr>
        <w:tabs>
          <w:tab w:val="left" w:pos="709"/>
        </w:tabs>
        <w:spacing w:before="240" w:line="360" w:lineRule="auto"/>
        <w:ind w:right="51"/>
        <w:jc w:val="both"/>
        <w:rPr>
          <w:rFonts w:ascii="Palatino Linotype" w:hAnsi="Palatino Linotype"/>
          <w:b/>
          <w:sz w:val="28"/>
          <w:szCs w:val="28"/>
        </w:rPr>
      </w:pPr>
    </w:p>
    <w:p w:rsidR="00C01A9E" w:rsidRPr="00A81C96" w:rsidRDefault="00C01A9E" w:rsidP="00C01A9E">
      <w:pPr>
        <w:tabs>
          <w:tab w:val="left" w:pos="709"/>
        </w:tabs>
        <w:spacing w:before="240" w:line="360" w:lineRule="auto"/>
        <w:ind w:right="51"/>
        <w:jc w:val="both"/>
        <w:rPr>
          <w:rFonts w:ascii="Palatino Linotype" w:hAnsi="Palatino Linotype"/>
          <w:b/>
          <w:sz w:val="28"/>
          <w:szCs w:val="28"/>
        </w:rPr>
      </w:pPr>
      <w:r w:rsidRPr="00A81C96">
        <w:rPr>
          <w:rFonts w:ascii="Palatino Linotype" w:hAnsi="Palatino Linotype"/>
          <w:b/>
          <w:sz w:val="28"/>
          <w:szCs w:val="28"/>
        </w:rPr>
        <w:t xml:space="preserve">CUARTO. Estudio y resolución del asunto </w:t>
      </w:r>
      <w:r w:rsidRPr="00A81C96">
        <w:rPr>
          <w:rFonts w:ascii="Palatino Linotype" w:hAnsi="Palatino Linotype"/>
          <w:b/>
          <w:sz w:val="28"/>
          <w:szCs w:val="28"/>
        </w:rPr>
        <w:tab/>
      </w:r>
    </w:p>
    <w:p w:rsidR="00C01A9E" w:rsidRPr="00A81C96" w:rsidRDefault="00C01A9E" w:rsidP="00C01A9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81C96">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01A9E" w:rsidRPr="00A81C96" w:rsidRDefault="00C01A9E" w:rsidP="00C01A9E">
      <w:pPr>
        <w:autoSpaceDE w:val="0"/>
        <w:autoSpaceDN w:val="0"/>
        <w:adjustRightInd w:val="0"/>
        <w:ind w:right="567"/>
        <w:rPr>
          <w:rFonts w:ascii="Palatino Linotype" w:eastAsia="Calibri" w:hAnsi="Palatino Linotype" w:cs="Arial"/>
        </w:rPr>
      </w:pPr>
    </w:p>
    <w:p w:rsidR="00C01A9E" w:rsidRPr="00A81C96" w:rsidRDefault="00C01A9E" w:rsidP="00C01A9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81C96">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C01A9E" w:rsidRPr="00A81C96" w:rsidRDefault="00C01A9E" w:rsidP="00C01A9E">
      <w:pPr>
        <w:pStyle w:val="Citas"/>
        <w:spacing w:before="0" w:after="0" w:line="240" w:lineRule="auto"/>
      </w:pPr>
      <w:r w:rsidRPr="00A81C96">
        <w:rPr>
          <w:b/>
        </w:rPr>
        <w:t>Artículo 179.</w:t>
      </w:r>
      <w:r w:rsidRPr="00A81C96">
        <w:t xml:space="preserve"> El recurso de revisión es un medio de protección que la Ley otorga a los particulares, para hacer valer su derecho de acceso a la información pública, y procederá en contra de las siguientes causas: </w:t>
      </w:r>
    </w:p>
    <w:p w:rsidR="00C01A9E" w:rsidRPr="00A81C96" w:rsidRDefault="00C01A9E" w:rsidP="00C01A9E">
      <w:pPr>
        <w:pStyle w:val="Citas"/>
        <w:numPr>
          <w:ilvl w:val="0"/>
          <w:numId w:val="3"/>
        </w:numPr>
        <w:spacing w:before="0" w:after="0" w:line="240" w:lineRule="auto"/>
      </w:pPr>
      <w:r w:rsidRPr="00A81C96">
        <w:t xml:space="preserve">La negativa a la información solicitada; </w:t>
      </w:r>
    </w:p>
    <w:p w:rsidR="00C01A9E" w:rsidRPr="00A81C96" w:rsidRDefault="00C01A9E" w:rsidP="00C01A9E">
      <w:pPr>
        <w:pStyle w:val="Citas"/>
        <w:numPr>
          <w:ilvl w:val="0"/>
          <w:numId w:val="3"/>
        </w:numPr>
        <w:spacing w:before="0" w:after="0" w:line="240" w:lineRule="auto"/>
      </w:pPr>
      <w:r w:rsidRPr="00A81C96">
        <w:t xml:space="preserve">La clasificación de la información; </w:t>
      </w:r>
    </w:p>
    <w:p w:rsidR="00C01A9E" w:rsidRPr="00A81C96" w:rsidRDefault="00C01A9E" w:rsidP="00C01A9E">
      <w:pPr>
        <w:pStyle w:val="Citas"/>
        <w:numPr>
          <w:ilvl w:val="0"/>
          <w:numId w:val="3"/>
        </w:numPr>
        <w:spacing w:before="0" w:after="0" w:line="240" w:lineRule="auto"/>
      </w:pPr>
      <w:r w:rsidRPr="00A81C96">
        <w:t xml:space="preserve">La declaración de inexistencia de la información; </w:t>
      </w:r>
    </w:p>
    <w:p w:rsidR="00C01A9E" w:rsidRPr="00A81C96" w:rsidRDefault="00C01A9E" w:rsidP="00C01A9E">
      <w:pPr>
        <w:pStyle w:val="Citas"/>
        <w:numPr>
          <w:ilvl w:val="0"/>
          <w:numId w:val="3"/>
        </w:numPr>
        <w:spacing w:before="0" w:after="0" w:line="240" w:lineRule="auto"/>
      </w:pPr>
      <w:r w:rsidRPr="00A81C96">
        <w:t xml:space="preserve">La declaración de incompetencia por el sujeto obligado; </w:t>
      </w:r>
    </w:p>
    <w:p w:rsidR="00C01A9E" w:rsidRPr="00A81C96" w:rsidRDefault="00C01A9E" w:rsidP="00C01A9E">
      <w:pPr>
        <w:pStyle w:val="Citas"/>
        <w:numPr>
          <w:ilvl w:val="0"/>
          <w:numId w:val="3"/>
        </w:numPr>
        <w:spacing w:before="0" w:after="0" w:line="240" w:lineRule="auto"/>
        <w:rPr>
          <w:b/>
        </w:rPr>
      </w:pPr>
      <w:r w:rsidRPr="00A81C96">
        <w:rPr>
          <w:b/>
        </w:rPr>
        <w:t xml:space="preserve">La entrega de información incompleta; </w:t>
      </w:r>
    </w:p>
    <w:p w:rsidR="00C01A9E" w:rsidRPr="00A81C96" w:rsidRDefault="00C01A9E" w:rsidP="00C01A9E">
      <w:pPr>
        <w:pStyle w:val="Citas"/>
        <w:numPr>
          <w:ilvl w:val="0"/>
          <w:numId w:val="3"/>
        </w:numPr>
        <w:spacing w:before="0" w:after="0" w:line="240" w:lineRule="auto"/>
      </w:pPr>
      <w:r w:rsidRPr="00A81C96">
        <w:t xml:space="preserve">La entrega de información que no corresponda con lo solicitado; </w:t>
      </w:r>
    </w:p>
    <w:p w:rsidR="00C01A9E" w:rsidRPr="00A81C96" w:rsidRDefault="00C01A9E" w:rsidP="00C01A9E">
      <w:pPr>
        <w:pStyle w:val="Citas"/>
        <w:numPr>
          <w:ilvl w:val="0"/>
          <w:numId w:val="3"/>
        </w:numPr>
        <w:spacing w:before="0" w:after="0" w:line="240" w:lineRule="auto"/>
      </w:pPr>
      <w:r w:rsidRPr="00A81C96">
        <w:t xml:space="preserve">La falta de respuesta a una solicitud de acceso a la información; </w:t>
      </w:r>
    </w:p>
    <w:p w:rsidR="00C01A9E" w:rsidRPr="00A81C96" w:rsidRDefault="00C01A9E" w:rsidP="00C01A9E">
      <w:pPr>
        <w:pStyle w:val="Citas"/>
        <w:numPr>
          <w:ilvl w:val="0"/>
          <w:numId w:val="3"/>
        </w:numPr>
        <w:spacing w:before="0" w:after="0" w:line="240" w:lineRule="auto"/>
      </w:pPr>
      <w:r w:rsidRPr="00A81C96">
        <w:t xml:space="preserve">La notificación, entrega o puesta a disposición de información en una modalidad o formato distinto al solicitado; </w:t>
      </w:r>
    </w:p>
    <w:p w:rsidR="00C01A9E" w:rsidRPr="00A81C96" w:rsidRDefault="00C01A9E" w:rsidP="00C01A9E">
      <w:pPr>
        <w:pStyle w:val="Citas"/>
        <w:numPr>
          <w:ilvl w:val="0"/>
          <w:numId w:val="3"/>
        </w:numPr>
        <w:spacing w:before="0" w:after="0" w:line="240" w:lineRule="auto"/>
      </w:pPr>
      <w:r w:rsidRPr="00A81C96">
        <w:lastRenderedPageBreak/>
        <w:t xml:space="preserve">La entrega o puesta a disposición de información en un formato incomprensible y/o no accesible para el solicitante; </w:t>
      </w:r>
    </w:p>
    <w:p w:rsidR="00C01A9E" w:rsidRPr="00A81C96" w:rsidRDefault="00C01A9E" w:rsidP="00C01A9E">
      <w:pPr>
        <w:pStyle w:val="Citas"/>
        <w:numPr>
          <w:ilvl w:val="0"/>
          <w:numId w:val="3"/>
        </w:numPr>
        <w:spacing w:before="0" w:after="0" w:line="240" w:lineRule="auto"/>
      </w:pPr>
      <w:r w:rsidRPr="00A81C96">
        <w:t xml:space="preserve">Los costos o tiempos de entrega de la información; </w:t>
      </w:r>
    </w:p>
    <w:p w:rsidR="00C01A9E" w:rsidRPr="00A81C96" w:rsidRDefault="00C01A9E" w:rsidP="00C01A9E">
      <w:pPr>
        <w:pStyle w:val="Citas"/>
        <w:numPr>
          <w:ilvl w:val="0"/>
          <w:numId w:val="3"/>
        </w:numPr>
        <w:spacing w:before="0" w:after="0" w:line="240" w:lineRule="auto"/>
      </w:pPr>
      <w:r w:rsidRPr="00A81C96">
        <w:t xml:space="preserve">La falta de trámite a una solicitud; </w:t>
      </w:r>
    </w:p>
    <w:p w:rsidR="00C01A9E" w:rsidRPr="00A81C96" w:rsidRDefault="00C01A9E" w:rsidP="00C01A9E">
      <w:pPr>
        <w:pStyle w:val="Citas"/>
        <w:numPr>
          <w:ilvl w:val="0"/>
          <w:numId w:val="3"/>
        </w:numPr>
        <w:spacing w:before="0" w:after="0" w:line="240" w:lineRule="auto"/>
      </w:pPr>
      <w:r w:rsidRPr="00A81C96">
        <w:t xml:space="preserve">La negativa a permitir la consulta directa de la información; </w:t>
      </w:r>
    </w:p>
    <w:p w:rsidR="00C01A9E" w:rsidRPr="00A81C96" w:rsidRDefault="00C01A9E" w:rsidP="00C01A9E">
      <w:pPr>
        <w:pStyle w:val="Citas"/>
        <w:numPr>
          <w:ilvl w:val="0"/>
          <w:numId w:val="3"/>
        </w:numPr>
        <w:spacing w:before="0" w:after="0" w:line="240" w:lineRule="auto"/>
      </w:pPr>
      <w:r w:rsidRPr="00A81C96">
        <w:t xml:space="preserve">La falta, deficiencia o insuficiencia de la fundamentación y/o motivación en la respuesta; y </w:t>
      </w:r>
    </w:p>
    <w:p w:rsidR="00C01A9E" w:rsidRPr="00A81C96" w:rsidRDefault="00C01A9E" w:rsidP="00C01A9E">
      <w:pPr>
        <w:pStyle w:val="Citas"/>
        <w:numPr>
          <w:ilvl w:val="0"/>
          <w:numId w:val="3"/>
        </w:numPr>
        <w:spacing w:before="0" w:after="0" w:line="240" w:lineRule="auto"/>
      </w:pPr>
      <w:r w:rsidRPr="00A81C96">
        <w:t xml:space="preserve">La orientación a un trámite específico. </w:t>
      </w:r>
    </w:p>
    <w:p w:rsidR="00C01A9E" w:rsidRPr="00A81C96" w:rsidRDefault="00C01A9E" w:rsidP="00C01A9E">
      <w:pPr>
        <w:pStyle w:val="Citas"/>
        <w:spacing w:before="0" w:after="0" w:line="240" w:lineRule="auto"/>
      </w:pPr>
      <w:r w:rsidRPr="00A81C96">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01A9E" w:rsidRPr="00A81C96" w:rsidRDefault="00C01A9E" w:rsidP="00C01A9E">
      <w:pPr>
        <w:autoSpaceDE w:val="0"/>
        <w:autoSpaceDN w:val="0"/>
        <w:adjustRightInd w:val="0"/>
        <w:ind w:right="567"/>
        <w:rPr>
          <w:rFonts w:ascii="Palatino Linotype" w:eastAsia="Calibri" w:hAnsi="Palatino Linotype" w:cs="Arial"/>
        </w:rPr>
      </w:pPr>
    </w:p>
    <w:p w:rsidR="00C01A9E" w:rsidRPr="00A81C96" w:rsidRDefault="00C01A9E" w:rsidP="00C01A9E">
      <w:pPr>
        <w:autoSpaceDE w:val="0"/>
        <w:autoSpaceDN w:val="0"/>
        <w:adjustRightInd w:val="0"/>
        <w:ind w:right="567"/>
        <w:rPr>
          <w:rFonts w:ascii="Palatino Linotype" w:eastAsia="Calibri" w:hAnsi="Palatino Linotype" w:cs="Arial"/>
        </w:rPr>
      </w:pPr>
    </w:p>
    <w:p w:rsidR="00C01A9E" w:rsidRPr="00A81C96" w:rsidRDefault="00C01A9E" w:rsidP="00C01A9E">
      <w:pPr>
        <w:spacing w:line="360" w:lineRule="auto"/>
        <w:jc w:val="both"/>
        <w:rPr>
          <w:rFonts w:ascii="Palatino Linotype" w:hAnsi="Palatino Linotype" w:cs="Tahoma"/>
          <w:bCs/>
        </w:rPr>
      </w:pPr>
      <w:r w:rsidRPr="00A81C96">
        <w:rPr>
          <w:rFonts w:ascii="Palatino Linotype" w:hAnsi="Palatino Linotype" w:cs="Tahoma"/>
          <w:bCs/>
        </w:rPr>
        <w:t xml:space="preserve">Bajo estas líneas argumentativas, al retomar y delimitar los requerimientos del ahora </w:t>
      </w:r>
      <w:r w:rsidRPr="00A81C96">
        <w:rPr>
          <w:rFonts w:ascii="Palatino Linotype" w:hAnsi="Palatino Linotype" w:cs="Tahoma"/>
          <w:b/>
          <w:bCs/>
        </w:rPr>
        <w:t>Recurrente</w:t>
      </w:r>
      <w:r w:rsidRPr="00A81C96">
        <w:rPr>
          <w:rFonts w:ascii="Palatino Linotype" w:hAnsi="Palatino Linotype" w:cs="Tahoma"/>
          <w:bCs/>
        </w:rPr>
        <w:t>, de manera objetiva se precisa que requiere la siguiente información:</w:t>
      </w:r>
    </w:p>
    <w:p w:rsidR="00C01A9E" w:rsidRPr="00A81C96" w:rsidRDefault="002433B8" w:rsidP="002433B8">
      <w:pPr>
        <w:pStyle w:val="Prrafodelista"/>
        <w:numPr>
          <w:ilvl w:val="0"/>
          <w:numId w:val="13"/>
        </w:numPr>
        <w:spacing w:line="360" w:lineRule="auto"/>
        <w:jc w:val="both"/>
        <w:rPr>
          <w:rFonts w:ascii="Palatino Linotype" w:hAnsi="Palatino Linotype" w:cs="Tahoma"/>
          <w:bCs/>
        </w:rPr>
      </w:pPr>
      <w:r w:rsidRPr="00A81C96">
        <w:rPr>
          <w:rFonts w:ascii="Palatino Linotype" w:hAnsi="Palatino Linotype" w:cs="Tahoma"/>
          <w:bCs/>
        </w:rPr>
        <w:t>De los ejercicios 2024 y 2025</w:t>
      </w:r>
      <w:r w:rsidR="00F54249" w:rsidRPr="00A81C96">
        <w:rPr>
          <w:rFonts w:ascii="Palatino Linotype" w:hAnsi="Palatino Linotype" w:cs="Tahoma"/>
          <w:bCs/>
        </w:rPr>
        <w:t>:</w:t>
      </w:r>
    </w:p>
    <w:p w:rsidR="002433B8" w:rsidRPr="00A81C96" w:rsidRDefault="002433B8" w:rsidP="002433B8">
      <w:pPr>
        <w:pStyle w:val="Prrafodelista"/>
        <w:numPr>
          <w:ilvl w:val="0"/>
          <w:numId w:val="5"/>
        </w:numPr>
        <w:spacing w:line="360" w:lineRule="auto"/>
        <w:jc w:val="both"/>
        <w:rPr>
          <w:rFonts w:ascii="Palatino Linotype" w:hAnsi="Palatino Linotype" w:cs="Arial"/>
        </w:rPr>
      </w:pPr>
      <w:r w:rsidRPr="00A81C96">
        <w:rPr>
          <w:rFonts w:ascii="Palatino Linotype" w:hAnsi="Palatino Linotype" w:cs="Tahoma"/>
          <w:bCs/>
        </w:rPr>
        <w:t>licitaciones públicas nacionales</w:t>
      </w:r>
    </w:p>
    <w:p w:rsidR="002433B8" w:rsidRPr="00A81C96" w:rsidRDefault="002433B8" w:rsidP="002433B8">
      <w:pPr>
        <w:pStyle w:val="Prrafodelista"/>
        <w:numPr>
          <w:ilvl w:val="0"/>
          <w:numId w:val="5"/>
        </w:numPr>
        <w:spacing w:line="360" w:lineRule="auto"/>
        <w:jc w:val="both"/>
        <w:rPr>
          <w:rFonts w:ascii="Palatino Linotype" w:hAnsi="Palatino Linotype" w:cs="Arial"/>
        </w:rPr>
      </w:pPr>
      <w:r w:rsidRPr="00A81C96">
        <w:rPr>
          <w:rFonts w:ascii="Palatino Linotype" w:hAnsi="Palatino Linotype" w:cs="Tahoma"/>
          <w:bCs/>
        </w:rPr>
        <w:t xml:space="preserve">Invitaciones Restringidas </w:t>
      </w:r>
    </w:p>
    <w:p w:rsidR="002433B8" w:rsidRPr="00A81C96" w:rsidRDefault="002433B8" w:rsidP="002433B8">
      <w:pPr>
        <w:pStyle w:val="Prrafodelista"/>
        <w:numPr>
          <w:ilvl w:val="0"/>
          <w:numId w:val="5"/>
        </w:numPr>
        <w:spacing w:line="360" w:lineRule="auto"/>
        <w:jc w:val="both"/>
        <w:rPr>
          <w:rFonts w:ascii="Palatino Linotype" w:hAnsi="Palatino Linotype" w:cs="Arial"/>
        </w:rPr>
      </w:pPr>
      <w:r w:rsidRPr="00A81C96">
        <w:rPr>
          <w:rFonts w:ascii="Palatino Linotype" w:hAnsi="Palatino Linotype" w:cs="Tahoma"/>
          <w:bCs/>
        </w:rPr>
        <w:t xml:space="preserve">Adjudicaciones Directas </w:t>
      </w:r>
    </w:p>
    <w:p w:rsidR="002433B8" w:rsidRPr="00A81C96" w:rsidRDefault="002433B8" w:rsidP="002433B8">
      <w:pPr>
        <w:pStyle w:val="Prrafodelista"/>
        <w:numPr>
          <w:ilvl w:val="0"/>
          <w:numId w:val="5"/>
        </w:numPr>
        <w:spacing w:line="360" w:lineRule="auto"/>
        <w:jc w:val="both"/>
        <w:rPr>
          <w:rFonts w:ascii="Palatino Linotype" w:hAnsi="Palatino Linotype" w:cs="Arial"/>
        </w:rPr>
      </w:pPr>
      <w:r w:rsidRPr="00A81C96">
        <w:rPr>
          <w:rFonts w:ascii="Palatino Linotype" w:hAnsi="Palatino Linotype" w:cs="Tahoma"/>
          <w:bCs/>
        </w:rPr>
        <w:t xml:space="preserve">Adjudicaciones Directas con excepción de Licitación Pública Nacional </w:t>
      </w:r>
    </w:p>
    <w:p w:rsidR="00C01A9E" w:rsidRPr="00A81C96" w:rsidRDefault="002433B8" w:rsidP="002433B8">
      <w:pPr>
        <w:pStyle w:val="Prrafodelista"/>
        <w:spacing w:line="360" w:lineRule="auto"/>
        <w:ind w:left="720"/>
        <w:jc w:val="both"/>
        <w:rPr>
          <w:rFonts w:ascii="Palatino Linotype" w:hAnsi="Palatino Linotype" w:cs="Arial"/>
        </w:rPr>
      </w:pPr>
      <w:r w:rsidRPr="00A81C96">
        <w:rPr>
          <w:rFonts w:ascii="Palatino Linotype" w:hAnsi="Palatino Linotype" w:cs="Tahoma"/>
          <w:bCs/>
        </w:rPr>
        <w:t>La información deberá contener fechas por procedimiento, es decir, cada procedimiento deberá contar con fecha de publicación de bases, que empresas compraron las bases, acta de apertura de propuestas, acta de junta de aclaraciones, fallo y contrato firmado.</w:t>
      </w:r>
    </w:p>
    <w:p w:rsidR="00C01A9E" w:rsidRPr="00A81C96" w:rsidRDefault="00C01A9E" w:rsidP="00C01A9E">
      <w:pPr>
        <w:spacing w:before="240" w:line="360" w:lineRule="auto"/>
        <w:jc w:val="both"/>
        <w:rPr>
          <w:rFonts w:ascii="Palatino Linotype" w:hAnsi="Palatino Linotype" w:cs="Arial"/>
        </w:rPr>
      </w:pPr>
    </w:p>
    <w:p w:rsidR="00C01A9E" w:rsidRPr="00A81C96" w:rsidRDefault="00C01A9E" w:rsidP="00C01A9E">
      <w:pPr>
        <w:spacing w:before="240" w:line="360" w:lineRule="auto"/>
        <w:jc w:val="both"/>
        <w:rPr>
          <w:rFonts w:ascii="Palatino Linotype" w:hAnsi="Palatino Linotype" w:cs="Arial"/>
          <w:b/>
        </w:rPr>
      </w:pPr>
      <w:r w:rsidRPr="00A81C96">
        <w:rPr>
          <w:rFonts w:ascii="Palatino Linotype" w:hAnsi="Palatino Linotype" w:cs="Arial"/>
        </w:rPr>
        <w:t xml:space="preserve">De conformidad con las constancias que obran en el expediente electrónico, se observa que el </w:t>
      </w:r>
      <w:r w:rsidRPr="00A81C96">
        <w:rPr>
          <w:rFonts w:ascii="Palatino Linotype" w:hAnsi="Palatino Linotype" w:cs="Arial"/>
          <w:b/>
        </w:rPr>
        <w:t>Sujeto Obligado</w:t>
      </w:r>
      <w:r w:rsidRPr="00A81C96">
        <w:rPr>
          <w:rFonts w:ascii="Palatino Linotype" w:hAnsi="Palatino Linotype" w:cs="Arial"/>
        </w:rPr>
        <w:t xml:space="preserve"> dio respuesta por medio del sistema SAIMEX, a la solicitud de información</w:t>
      </w:r>
      <w:r w:rsidRPr="00A81C96">
        <w:rPr>
          <w:rFonts w:ascii="Palatino Linotype" w:eastAsia="Palatino Linotype" w:hAnsi="Palatino Linotype" w:cs="Palatino Linotype"/>
          <w:b/>
          <w:color w:val="000000"/>
        </w:rPr>
        <w:t xml:space="preserve"> </w:t>
      </w:r>
      <w:r w:rsidR="003D40EA" w:rsidRPr="00A81C96">
        <w:rPr>
          <w:rFonts w:ascii="Palatino Linotype" w:hAnsi="Palatino Linotype" w:cs="Arial"/>
          <w:b/>
        </w:rPr>
        <w:t>00606/TLALNEPA/IP/2025</w:t>
      </w:r>
      <w:r w:rsidRPr="00A81C96">
        <w:rPr>
          <w:rFonts w:ascii="Palatino Linotype" w:hAnsi="Palatino Linotype" w:cs="Arial"/>
          <w:b/>
        </w:rPr>
        <w:t xml:space="preserve">; </w:t>
      </w:r>
      <w:r w:rsidR="00E77CD6" w:rsidRPr="00A81C96">
        <w:rPr>
          <w:rFonts w:ascii="Palatino Linotype" w:hAnsi="Palatino Linotype" w:cs="Arial"/>
        </w:rPr>
        <w:t>a través del</w:t>
      </w:r>
      <w:r w:rsidRPr="00A81C96">
        <w:rPr>
          <w:rFonts w:ascii="Palatino Linotype" w:hAnsi="Palatino Linotype" w:cs="Arial"/>
        </w:rPr>
        <w:t xml:space="preserve"> archivo electrónico</w:t>
      </w:r>
      <w:r w:rsidRPr="00A81C96">
        <w:rPr>
          <w:rFonts w:ascii="Palatino Linotype" w:hAnsi="Palatino Linotype" w:cs="Arial"/>
          <w:b/>
        </w:rPr>
        <w:t>:</w:t>
      </w:r>
    </w:p>
    <w:p w:rsidR="00C01A9E" w:rsidRPr="00A81C96" w:rsidRDefault="002433B8" w:rsidP="002433B8">
      <w:pPr>
        <w:pStyle w:val="Sinespaciado"/>
        <w:numPr>
          <w:ilvl w:val="0"/>
          <w:numId w:val="1"/>
        </w:numPr>
        <w:spacing w:before="240" w:line="360" w:lineRule="auto"/>
        <w:jc w:val="both"/>
        <w:rPr>
          <w:rFonts w:ascii="Palatino Linotype" w:hAnsi="Palatino Linotype" w:cs="Arial"/>
          <w:b/>
          <w:i/>
          <w:sz w:val="24"/>
        </w:rPr>
      </w:pPr>
      <w:r w:rsidRPr="00A81C96">
        <w:rPr>
          <w:rFonts w:ascii="Palatino Linotype" w:hAnsi="Palatino Linotype" w:cs="Arial"/>
          <w:b/>
          <w:i/>
          <w:sz w:val="24"/>
        </w:rPr>
        <w:lastRenderedPageBreak/>
        <w:t>RESPUESTA SAIMEX 606.zip</w:t>
      </w:r>
      <w:r w:rsidR="00C01A9E" w:rsidRPr="00A81C96">
        <w:rPr>
          <w:rFonts w:ascii="Palatino Linotype" w:hAnsi="Palatino Linotype" w:cs="Arial"/>
          <w:b/>
          <w:i/>
          <w:sz w:val="24"/>
        </w:rPr>
        <w:t xml:space="preserve">: </w:t>
      </w:r>
      <w:r w:rsidR="00CA694C" w:rsidRPr="00A81C96">
        <w:rPr>
          <w:rFonts w:ascii="Palatino Linotype" w:hAnsi="Palatino Linotype" w:cs="Arial"/>
          <w:sz w:val="24"/>
        </w:rPr>
        <w:t xml:space="preserve">carpeta zip, contiene </w:t>
      </w:r>
      <w:r w:rsidRPr="00A81C96">
        <w:rPr>
          <w:rFonts w:ascii="Palatino Linotype" w:hAnsi="Palatino Linotype" w:cs="Arial"/>
          <w:sz w:val="24"/>
        </w:rPr>
        <w:t>los siguientes archivos:</w:t>
      </w:r>
    </w:p>
    <w:p w:rsidR="001F4503" w:rsidRPr="00A81C96" w:rsidRDefault="001F4503" w:rsidP="001F4503">
      <w:pPr>
        <w:pStyle w:val="Sinespaciado"/>
        <w:spacing w:before="240" w:line="360" w:lineRule="auto"/>
        <w:ind w:left="720"/>
        <w:jc w:val="both"/>
        <w:rPr>
          <w:rFonts w:ascii="Palatino Linotype" w:hAnsi="Palatino Linotype" w:cs="Arial"/>
          <w:b/>
          <w:i/>
          <w:sz w:val="24"/>
        </w:rPr>
      </w:pPr>
      <w:r w:rsidRPr="00A81C96">
        <w:rPr>
          <w:rFonts w:ascii="Palatino Linotype" w:hAnsi="Palatino Linotype" w:cs="Arial"/>
          <w:b/>
          <w:i/>
          <w:noProof/>
          <w:sz w:val="24"/>
          <w:lang w:eastAsia="es-MX"/>
        </w:rPr>
        <w:drawing>
          <wp:inline distT="0" distB="0" distL="0" distR="0">
            <wp:extent cx="2219635" cy="268642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449F2.tmp"/>
                    <pic:cNvPicPr/>
                  </pic:nvPicPr>
                  <pic:blipFill>
                    <a:blip r:embed="rId7">
                      <a:extLst>
                        <a:ext uri="{28A0092B-C50C-407E-A947-70E740481C1C}">
                          <a14:useLocalDpi xmlns:a14="http://schemas.microsoft.com/office/drawing/2010/main" val="0"/>
                        </a:ext>
                      </a:extLst>
                    </a:blip>
                    <a:stretch>
                      <a:fillRect/>
                    </a:stretch>
                  </pic:blipFill>
                  <pic:spPr>
                    <a:xfrm>
                      <a:off x="0" y="0"/>
                      <a:ext cx="2219635" cy="2686425"/>
                    </a:xfrm>
                    <a:prstGeom prst="rect">
                      <a:avLst/>
                    </a:prstGeom>
                  </pic:spPr>
                </pic:pic>
              </a:graphicData>
            </a:graphic>
          </wp:inline>
        </w:drawing>
      </w:r>
    </w:p>
    <w:p w:rsidR="001F4503" w:rsidRPr="00A81C96" w:rsidRDefault="001F4503" w:rsidP="001F4503">
      <w:pPr>
        <w:pStyle w:val="Sinespaciado"/>
        <w:numPr>
          <w:ilvl w:val="0"/>
          <w:numId w:val="15"/>
        </w:numPr>
        <w:spacing w:before="240" w:line="360" w:lineRule="auto"/>
        <w:jc w:val="both"/>
        <w:rPr>
          <w:rFonts w:ascii="Palatino Linotype" w:hAnsi="Palatino Linotype" w:cs="Arial"/>
          <w:b/>
          <w:sz w:val="24"/>
        </w:rPr>
      </w:pPr>
      <w:r w:rsidRPr="00A81C96">
        <w:rPr>
          <w:rFonts w:ascii="Palatino Linotype" w:hAnsi="Palatino Linotype" w:cs="Arial"/>
          <w:b/>
          <w:sz w:val="24"/>
        </w:rPr>
        <w:t>Del archivo “</w:t>
      </w:r>
      <w:r w:rsidRPr="00A81C96">
        <w:rPr>
          <w:rFonts w:ascii="Palatino Linotype" w:hAnsi="Palatino Linotype" w:cs="Arial"/>
          <w:b/>
          <w:i/>
          <w:sz w:val="24"/>
        </w:rPr>
        <w:t>formato versión pública</w:t>
      </w:r>
      <w:r w:rsidRPr="00A81C96">
        <w:rPr>
          <w:rFonts w:ascii="Palatino Linotype" w:hAnsi="Palatino Linotype" w:cs="Arial"/>
          <w:b/>
          <w:sz w:val="24"/>
        </w:rPr>
        <w:t>”</w:t>
      </w:r>
      <w:r w:rsidR="00550F4C" w:rsidRPr="00A81C96">
        <w:rPr>
          <w:rFonts w:ascii="Palatino Linotype" w:hAnsi="Palatino Linotype" w:cs="Arial"/>
          <w:b/>
          <w:sz w:val="24"/>
        </w:rPr>
        <w:t>, se tiene que</w:t>
      </w:r>
      <w:r w:rsidR="00D74050" w:rsidRPr="00A81C96">
        <w:rPr>
          <w:rFonts w:ascii="Palatino Linotype" w:hAnsi="Palatino Linotype" w:cs="Arial"/>
          <w:b/>
          <w:sz w:val="24"/>
        </w:rPr>
        <w:t>,</w:t>
      </w:r>
      <w:r w:rsidR="00550F4C" w:rsidRPr="00A81C96">
        <w:rPr>
          <w:rFonts w:ascii="Palatino Linotype" w:hAnsi="Palatino Linotype" w:cs="Arial"/>
          <w:b/>
          <w:sz w:val="24"/>
        </w:rPr>
        <w:t xml:space="preserve"> </w:t>
      </w:r>
      <w:r w:rsidR="00872B01" w:rsidRPr="00A81C96">
        <w:rPr>
          <w:rFonts w:ascii="Palatino Linotype" w:hAnsi="Palatino Linotype" w:cs="Arial"/>
          <w:b/>
          <w:sz w:val="24"/>
        </w:rPr>
        <w:t>corresponde</w:t>
      </w:r>
      <w:r w:rsidR="00550F4C" w:rsidRPr="00A81C96">
        <w:rPr>
          <w:rFonts w:ascii="Palatino Linotype" w:hAnsi="Palatino Linotype" w:cs="Arial"/>
          <w:b/>
          <w:sz w:val="24"/>
        </w:rPr>
        <w:t xml:space="preserve"> al segundo trimestre de 2025</w:t>
      </w:r>
      <w:r w:rsidR="00872B01" w:rsidRPr="00A81C96">
        <w:rPr>
          <w:rFonts w:ascii="Palatino Linotype" w:hAnsi="Palatino Linotype" w:cs="Arial"/>
          <w:b/>
          <w:sz w:val="24"/>
        </w:rPr>
        <w:t>, del mismo</w:t>
      </w:r>
      <w:r w:rsidRPr="00A81C96">
        <w:rPr>
          <w:rFonts w:ascii="Palatino Linotype" w:hAnsi="Palatino Linotype" w:cs="Arial"/>
          <w:b/>
          <w:sz w:val="24"/>
        </w:rPr>
        <w:t xml:space="preserve"> se desprende el siguiente contenido:</w:t>
      </w:r>
    </w:p>
    <w:p w:rsidR="001F4503" w:rsidRPr="00A81C96" w:rsidRDefault="001F4503" w:rsidP="001F4503">
      <w:pPr>
        <w:pStyle w:val="Sinespaciado"/>
        <w:spacing w:before="240" w:line="360" w:lineRule="auto"/>
        <w:ind w:left="720"/>
        <w:jc w:val="both"/>
        <w:rPr>
          <w:rFonts w:ascii="Palatino Linotype" w:hAnsi="Palatino Linotype" w:cs="Arial"/>
          <w:b/>
          <w:i/>
          <w:sz w:val="24"/>
        </w:rPr>
      </w:pPr>
      <w:r w:rsidRPr="00A81C96">
        <w:rPr>
          <w:rFonts w:ascii="Palatino Linotype" w:hAnsi="Palatino Linotype" w:cs="Arial"/>
          <w:b/>
          <w:i/>
          <w:noProof/>
          <w:sz w:val="24"/>
          <w:lang w:eastAsia="es-MX"/>
        </w:rPr>
        <w:drawing>
          <wp:inline distT="0" distB="0" distL="0" distR="0">
            <wp:extent cx="3086100" cy="25419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C477BC.tmp"/>
                    <pic:cNvPicPr/>
                  </pic:nvPicPr>
                  <pic:blipFill>
                    <a:blip r:embed="rId8">
                      <a:extLst>
                        <a:ext uri="{28A0092B-C50C-407E-A947-70E740481C1C}">
                          <a14:useLocalDpi xmlns:a14="http://schemas.microsoft.com/office/drawing/2010/main" val="0"/>
                        </a:ext>
                      </a:extLst>
                    </a:blip>
                    <a:stretch>
                      <a:fillRect/>
                    </a:stretch>
                  </pic:blipFill>
                  <pic:spPr>
                    <a:xfrm>
                      <a:off x="0" y="0"/>
                      <a:ext cx="3095171" cy="2549376"/>
                    </a:xfrm>
                    <a:prstGeom prst="rect">
                      <a:avLst/>
                    </a:prstGeom>
                  </pic:spPr>
                </pic:pic>
              </a:graphicData>
            </a:graphic>
          </wp:inline>
        </w:drawing>
      </w:r>
    </w:p>
    <w:p w:rsidR="0099060E" w:rsidRPr="00A81C96" w:rsidRDefault="0099060E"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t>De la Licitación Pública Nacional 003:</w:t>
      </w:r>
    </w:p>
    <w:p w:rsidR="0099060E" w:rsidRPr="00A81C96" w:rsidRDefault="0099060E" w:rsidP="001F4503">
      <w:pPr>
        <w:pStyle w:val="Sinespaciado"/>
        <w:spacing w:before="240" w:line="360" w:lineRule="auto"/>
        <w:ind w:left="720"/>
        <w:rPr>
          <w:rFonts w:ascii="Palatino Linotype" w:hAnsi="Palatino Linotype" w:cs="Arial"/>
          <w:sz w:val="24"/>
        </w:rPr>
      </w:pPr>
      <w:r w:rsidRPr="00A81C96">
        <w:rPr>
          <w:rFonts w:ascii="Palatino Linotype" w:hAnsi="Palatino Linotype" w:cs="Arial"/>
          <w:noProof/>
          <w:sz w:val="24"/>
          <w:lang w:eastAsia="es-MX"/>
        </w:rPr>
        <w:lastRenderedPageBreak/>
        <w:drawing>
          <wp:inline distT="0" distB="0" distL="0" distR="0">
            <wp:extent cx="3514872" cy="19145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45F5C.tmp"/>
                    <pic:cNvPicPr/>
                  </pic:nvPicPr>
                  <pic:blipFill>
                    <a:blip r:embed="rId9">
                      <a:extLst>
                        <a:ext uri="{28A0092B-C50C-407E-A947-70E740481C1C}">
                          <a14:useLocalDpi xmlns:a14="http://schemas.microsoft.com/office/drawing/2010/main" val="0"/>
                        </a:ext>
                      </a:extLst>
                    </a:blip>
                    <a:stretch>
                      <a:fillRect/>
                    </a:stretch>
                  </pic:blipFill>
                  <pic:spPr>
                    <a:xfrm>
                      <a:off x="0" y="0"/>
                      <a:ext cx="3537246" cy="1926712"/>
                    </a:xfrm>
                    <a:prstGeom prst="rect">
                      <a:avLst/>
                    </a:prstGeom>
                  </pic:spPr>
                </pic:pic>
              </a:graphicData>
            </a:graphic>
          </wp:inline>
        </w:drawing>
      </w:r>
    </w:p>
    <w:p w:rsidR="0099060E" w:rsidRPr="00A81C96" w:rsidRDefault="0099060E"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t>De la Licitación Pública Nacional 005:</w:t>
      </w:r>
    </w:p>
    <w:p w:rsidR="0099060E" w:rsidRPr="00A81C96" w:rsidRDefault="0099060E" w:rsidP="0099060E">
      <w:pPr>
        <w:pStyle w:val="Sinespaciado"/>
        <w:spacing w:before="240" w:line="360" w:lineRule="auto"/>
        <w:ind w:left="720"/>
        <w:jc w:val="both"/>
        <w:rPr>
          <w:rFonts w:ascii="Palatino Linotype" w:hAnsi="Palatino Linotype" w:cs="Arial"/>
          <w:sz w:val="24"/>
        </w:rPr>
      </w:pPr>
      <w:r w:rsidRPr="00A81C96">
        <w:rPr>
          <w:rFonts w:ascii="Palatino Linotype" w:hAnsi="Palatino Linotype" w:cs="Arial"/>
          <w:noProof/>
          <w:sz w:val="24"/>
          <w:lang w:eastAsia="es-MX"/>
        </w:rPr>
        <w:drawing>
          <wp:inline distT="0" distB="0" distL="0" distR="0">
            <wp:extent cx="4324954" cy="20957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4BAD6.tmp"/>
                    <pic:cNvPicPr/>
                  </pic:nvPicPr>
                  <pic:blipFill>
                    <a:blip r:embed="rId10">
                      <a:extLst>
                        <a:ext uri="{28A0092B-C50C-407E-A947-70E740481C1C}">
                          <a14:useLocalDpi xmlns:a14="http://schemas.microsoft.com/office/drawing/2010/main" val="0"/>
                        </a:ext>
                      </a:extLst>
                    </a:blip>
                    <a:stretch>
                      <a:fillRect/>
                    </a:stretch>
                  </pic:blipFill>
                  <pic:spPr>
                    <a:xfrm>
                      <a:off x="0" y="0"/>
                      <a:ext cx="4324954" cy="2095792"/>
                    </a:xfrm>
                    <a:prstGeom prst="rect">
                      <a:avLst/>
                    </a:prstGeom>
                  </pic:spPr>
                </pic:pic>
              </a:graphicData>
            </a:graphic>
          </wp:inline>
        </w:drawing>
      </w:r>
    </w:p>
    <w:p w:rsidR="0099060E" w:rsidRPr="00A81C96" w:rsidRDefault="0099060E"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t>De la Licitación Pública Nacional 006:</w:t>
      </w:r>
    </w:p>
    <w:p w:rsidR="0099060E" w:rsidRPr="00A81C96" w:rsidRDefault="0099060E" w:rsidP="0099060E">
      <w:pPr>
        <w:pStyle w:val="Sinespaciado"/>
        <w:spacing w:before="240" w:line="360" w:lineRule="auto"/>
        <w:ind w:left="720"/>
        <w:jc w:val="both"/>
        <w:rPr>
          <w:rFonts w:ascii="Palatino Linotype" w:hAnsi="Palatino Linotype" w:cs="Arial"/>
          <w:sz w:val="24"/>
        </w:rPr>
      </w:pPr>
      <w:r w:rsidRPr="00A81C96">
        <w:rPr>
          <w:rFonts w:ascii="Palatino Linotype" w:hAnsi="Palatino Linotype" w:cs="Arial"/>
          <w:noProof/>
          <w:sz w:val="24"/>
          <w:lang w:eastAsia="es-MX"/>
        </w:rPr>
        <w:drawing>
          <wp:inline distT="0" distB="0" distL="0" distR="0">
            <wp:extent cx="4286848" cy="18290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415C9.tmp"/>
                    <pic:cNvPicPr/>
                  </pic:nvPicPr>
                  <pic:blipFill>
                    <a:blip r:embed="rId11">
                      <a:extLst>
                        <a:ext uri="{28A0092B-C50C-407E-A947-70E740481C1C}">
                          <a14:useLocalDpi xmlns:a14="http://schemas.microsoft.com/office/drawing/2010/main" val="0"/>
                        </a:ext>
                      </a:extLst>
                    </a:blip>
                    <a:stretch>
                      <a:fillRect/>
                    </a:stretch>
                  </pic:blipFill>
                  <pic:spPr>
                    <a:xfrm>
                      <a:off x="0" y="0"/>
                      <a:ext cx="4286848" cy="1829055"/>
                    </a:xfrm>
                    <a:prstGeom prst="rect">
                      <a:avLst/>
                    </a:prstGeom>
                  </pic:spPr>
                </pic:pic>
              </a:graphicData>
            </a:graphic>
          </wp:inline>
        </w:drawing>
      </w:r>
    </w:p>
    <w:p w:rsidR="0099060E" w:rsidRPr="00A81C96" w:rsidRDefault="0099060E"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lastRenderedPageBreak/>
        <w:t>De la Licitación Pública Nacional 007:</w:t>
      </w:r>
    </w:p>
    <w:p w:rsidR="0099060E" w:rsidRPr="00A81C96" w:rsidRDefault="001F4503" w:rsidP="0099060E">
      <w:pPr>
        <w:pStyle w:val="Sinespaciado"/>
        <w:spacing w:before="240" w:line="360" w:lineRule="auto"/>
        <w:ind w:left="720"/>
        <w:jc w:val="both"/>
        <w:rPr>
          <w:rFonts w:ascii="Palatino Linotype" w:hAnsi="Palatino Linotype" w:cs="Arial"/>
          <w:sz w:val="24"/>
        </w:rPr>
      </w:pPr>
      <w:r w:rsidRPr="00A81C96">
        <w:rPr>
          <w:rFonts w:ascii="Palatino Linotype" w:hAnsi="Palatino Linotype" w:cs="Arial"/>
          <w:noProof/>
          <w:sz w:val="24"/>
          <w:lang w:eastAsia="es-MX"/>
        </w:rPr>
        <w:drawing>
          <wp:inline distT="0" distB="0" distL="0" distR="0">
            <wp:extent cx="3181794" cy="18671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C46169.tmp"/>
                    <pic:cNvPicPr/>
                  </pic:nvPicPr>
                  <pic:blipFill>
                    <a:blip r:embed="rId12">
                      <a:extLst>
                        <a:ext uri="{28A0092B-C50C-407E-A947-70E740481C1C}">
                          <a14:useLocalDpi xmlns:a14="http://schemas.microsoft.com/office/drawing/2010/main" val="0"/>
                        </a:ext>
                      </a:extLst>
                    </a:blip>
                    <a:stretch>
                      <a:fillRect/>
                    </a:stretch>
                  </pic:blipFill>
                  <pic:spPr>
                    <a:xfrm>
                      <a:off x="0" y="0"/>
                      <a:ext cx="3181794" cy="1867161"/>
                    </a:xfrm>
                    <a:prstGeom prst="rect">
                      <a:avLst/>
                    </a:prstGeom>
                  </pic:spPr>
                </pic:pic>
              </a:graphicData>
            </a:graphic>
          </wp:inline>
        </w:drawing>
      </w:r>
    </w:p>
    <w:p w:rsidR="0099060E" w:rsidRPr="00A81C96" w:rsidRDefault="001F4503"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t>De la Licitación Pública Nacional 008:</w:t>
      </w:r>
    </w:p>
    <w:p w:rsidR="001F4503" w:rsidRPr="00A81C96" w:rsidRDefault="001F4503" w:rsidP="001F4503">
      <w:pPr>
        <w:pStyle w:val="Sinespaciado"/>
        <w:spacing w:before="240" w:line="360" w:lineRule="auto"/>
        <w:ind w:left="720"/>
        <w:jc w:val="both"/>
        <w:rPr>
          <w:rFonts w:ascii="Palatino Linotype" w:hAnsi="Palatino Linotype" w:cs="Arial"/>
          <w:sz w:val="24"/>
        </w:rPr>
      </w:pPr>
      <w:r w:rsidRPr="00A81C96">
        <w:rPr>
          <w:rFonts w:ascii="Palatino Linotype" w:hAnsi="Palatino Linotype" w:cs="Arial"/>
          <w:noProof/>
          <w:sz w:val="24"/>
          <w:lang w:eastAsia="es-MX"/>
        </w:rPr>
        <w:drawing>
          <wp:inline distT="0" distB="0" distL="0" distR="0">
            <wp:extent cx="3248478" cy="2143424"/>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C429FA.tmp"/>
                    <pic:cNvPicPr/>
                  </pic:nvPicPr>
                  <pic:blipFill>
                    <a:blip r:embed="rId13">
                      <a:extLst>
                        <a:ext uri="{28A0092B-C50C-407E-A947-70E740481C1C}">
                          <a14:useLocalDpi xmlns:a14="http://schemas.microsoft.com/office/drawing/2010/main" val="0"/>
                        </a:ext>
                      </a:extLst>
                    </a:blip>
                    <a:stretch>
                      <a:fillRect/>
                    </a:stretch>
                  </pic:blipFill>
                  <pic:spPr>
                    <a:xfrm>
                      <a:off x="0" y="0"/>
                      <a:ext cx="3248478" cy="2143424"/>
                    </a:xfrm>
                    <a:prstGeom prst="rect">
                      <a:avLst/>
                    </a:prstGeom>
                  </pic:spPr>
                </pic:pic>
              </a:graphicData>
            </a:graphic>
          </wp:inline>
        </w:drawing>
      </w:r>
    </w:p>
    <w:p w:rsidR="001F4503" w:rsidRPr="00A81C96" w:rsidRDefault="001F4503" w:rsidP="006E4F9E">
      <w:pPr>
        <w:pStyle w:val="Sinespaciado"/>
        <w:numPr>
          <w:ilvl w:val="0"/>
          <w:numId w:val="13"/>
        </w:numPr>
        <w:spacing w:before="240" w:line="360" w:lineRule="auto"/>
        <w:jc w:val="both"/>
        <w:rPr>
          <w:rFonts w:ascii="Palatino Linotype" w:hAnsi="Palatino Linotype" w:cs="Arial"/>
          <w:sz w:val="24"/>
        </w:rPr>
      </w:pPr>
      <w:r w:rsidRPr="00A81C96">
        <w:rPr>
          <w:rFonts w:ascii="Palatino Linotype" w:hAnsi="Palatino Linotype" w:cs="Arial"/>
          <w:sz w:val="24"/>
        </w:rPr>
        <w:t>De la Licitación Pública Nacional 009:</w:t>
      </w:r>
    </w:p>
    <w:p w:rsidR="001F4503" w:rsidRPr="00A81C96" w:rsidRDefault="001F4503" w:rsidP="001F4503">
      <w:pPr>
        <w:pStyle w:val="Sinespaciado"/>
        <w:spacing w:before="240" w:line="360" w:lineRule="auto"/>
        <w:ind w:left="720"/>
        <w:jc w:val="both"/>
        <w:rPr>
          <w:rFonts w:ascii="Palatino Linotype" w:hAnsi="Palatino Linotype" w:cs="Arial"/>
          <w:sz w:val="24"/>
        </w:rPr>
      </w:pPr>
      <w:r w:rsidRPr="00A81C96">
        <w:rPr>
          <w:rFonts w:ascii="Palatino Linotype" w:hAnsi="Palatino Linotype" w:cs="Arial"/>
          <w:noProof/>
          <w:sz w:val="24"/>
          <w:lang w:eastAsia="es-MX"/>
        </w:rPr>
        <w:lastRenderedPageBreak/>
        <w:drawing>
          <wp:inline distT="0" distB="0" distL="0" distR="0">
            <wp:extent cx="3219899" cy="21338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4D7BF.tmp"/>
                    <pic:cNvPicPr/>
                  </pic:nvPicPr>
                  <pic:blipFill>
                    <a:blip r:embed="rId14">
                      <a:extLst>
                        <a:ext uri="{28A0092B-C50C-407E-A947-70E740481C1C}">
                          <a14:useLocalDpi xmlns:a14="http://schemas.microsoft.com/office/drawing/2010/main" val="0"/>
                        </a:ext>
                      </a:extLst>
                    </a:blip>
                    <a:stretch>
                      <a:fillRect/>
                    </a:stretch>
                  </pic:blipFill>
                  <pic:spPr>
                    <a:xfrm>
                      <a:off x="0" y="0"/>
                      <a:ext cx="3219899" cy="2133898"/>
                    </a:xfrm>
                    <a:prstGeom prst="rect">
                      <a:avLst/>
                    </a:prstGeom>
                  </pic:spPr>
                </pic:pic>
              </a:graphicData>
            </a:graphic>
          </wp:inline>
        </w:drawing>
      </w:r>
    </w:p>
    <w:p w:rsidR="001F4503" w:rsidRPr="00A81C96" w:rsidRDefault="001F4503" w:rsidP="001F4503">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06_CT_28-ORD_2025.pdf</w:t>
      </w:r>
      <w:r w:rsidRPr="00A81C96">
        <w:rPr>
          <w:rFonts w:ascii="Palatino Linotype" w:hAnsi="Palatino Linotype" w:cs="Arial"/>
          <w:sz w:val="24"/>
        </w:rPr>
        <w:t>: contiene el Acuerdo de clasificación aprobado en la Vigésima Sesión Ordinaria</w:t>
      </w:r>
      <w:r w:rsidR="00FC5114" w:rsidRPr="00A81C96">
        <w:rPr>
          <w:rFonts w:ascii="Palatino Linotype" w:hAnsi="Palatino Linotype" w:cs="Arial"/>
          <w:sz w:val="24"/>
        </w:rPr>
        <w:t xml:space="preserve"> del Comité de </w:t>
      </w:r>
      <w:r w:rsidR="002B0C31" w:rsidRPr="00A81C96">
        <w:rPr>
          <w:rFonts w:ascii="Palatino Linotype" w:hAnsi="Palatino Linotype" w:cs="Arial"/>
          <w:sz w:val="24"/>
        </w:rPr>
        <w:t>T</w:t>
      </w:r>
      <w:r w:rsidR="00FC5114" w:rsidRPr="00A81C96">
        <w:rPr>
          <w:rFonts w:ascii="Palatino Linotype" w:hAnsi="Palatino Linotype" w:cs="Arial"/>
          <w:sz w:val="24"/>
        </w:rPr>
        <w:t xml:space="preserve">ransparencia, en el que se aprobó la versión pública de </w:t>
      </w:r>
      <w:r w:rsidR="002B0C31" w:rsidRPr="00A81C96">
        <w:rPr>
          <w:rFonts w:ascii="Palatino Linotype" w:hAnsi="Palatino Linotype" w:cs="Arial"/>
          <w:sz w:val="24"/>
        </w:rPr>
        <w:t>los contratos relacionados con</w:t>
      </w:r>
      <w:r w:rsidR="00FC5114" w:rsidRPr="00A81C96">
        <w:rPr>
          <w:rFonts w:ascii="Palatino Linotype" w:hAnsi="Palatino Linotype" w:cs="Arial"/>
          <w:sz w:val="24"/>
        </w:rPr>
        <w:t xml:space="preserve"> licitaciones antes referidas. </w:t>
      </w:r>
    </w:p>
    <w:p w:rsidR="002B0C31" w:rsidRPr="00A81C96" w:rsidRDefault="002B0C31" w:rsidP="002B0C31">
      <w:pPr>
        <w:pStyle w:val="Sinespaciado"/>
        <w:spacing w:before="240" w:line="360" w:lineRule="auto"/>
        <w:ind w:left="1440"/>
        <w:jc w:val="both"/>
        <w:rPr>
          <w:rFonts w:ascii="Palatino Linotype" w:hAnsi="Palatino Linotype" w:cs="Arial"/>
          <w:sz w:val="24"/>
        </w:rPr>
      </w:pPr>
      <w:r w:rsidRPr="00A81C96">
        <w:rPr>
          <w:rFonts w:ascii="Palatino Linotype" w:hAnsi="Palatino Linotype" w:cs="Arial"/>
          <w:noProof/>
          <w:sz w:val="24"/>
          <w:lang w:eastAsia="es-MX"/>
        </w:rPr>
        <w:drawing>
          <wp:inline distT="0" distB="0" distL="0" distR="0">
            <wp:extent cx="5058410" cy="114744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C45470.tmp"/>
                    <pic:cNvPicPr/>
                  </pic:nvPicPr>
                  <pic:blipFill>
                    <a:blip r:embed="rId15">
                      <a:extLst>
                        <a:ext uri="{28A0092B-C50C-407E-A947-70E740481C1C}">
                          <a14:useLocalDpi xmlns:a14="http://schemas.microsoft.com/office/drawing/2010/main" val="0"/>
                        </a:ext>
                      </a:extLst>
                    </a:blip>
                    <a:stretch>
                      <a:fillRect/>
                    </a:stretch>
                  </pic:blipFill>
                  <pic:spPr>
                    <a:xfrm>
                      <a:off x="0" y="0"/>
                      <a:ext cx="5109318" cy="1158993"/>
                    </a:xfrm>
                    <a:prstGeom prst="rect">
                      <a:avLst/>
                    </a:prstGeom>
                  </pic:spPr>
                </pic:pic>
              </a:graphicData>
            </a:graphic>
          </wp:inline>
        </w:drawing>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07_CT_28-ORD_2025.pdf</w:t>
      </w:r>
      <w:r w:rsidRPr="00A81C96">
        <w:rPr>
          <w:rFonts w:ascii="Palatino Linotype" w:hAnsi="Palatino Linotype" w:cs="Arial"/>
          <w:sz w:val="24"/>
        </w:rPr>
        <w:t xml:space="preserve">: contiene el Acuerdo de clasificación aprobado en la Vigésima Sesión Ordinaria del Comité de Transparencia, en el que se aprobó la versión pública del acta circunstanciada de la junta de aclaraciones, acta de presentación y apertura de propuestas y acta de fallo. </w:t>
      </w:r>
    </w:p>
    <w:p w:rsidR="002B0C31" w:rsidRPr="00A81C96" w:rsidRDefault="002B0C31" w:rsidP="002B0C31">
      <w:pPr>
        <w:pStyle w:val="Sinespaciado"/>
        <w:spacing w:before="240" w:line="360" w:lineRule="auto"/>
        <w:ind w:left="1440"/>
        <w:jc w:val="both"/>
        <w:rPr>
          <w:rFonts w:ascii="Palatino Linotype" w:hAnsi="Palatino Linotype" w:cs="Arial"/>
          <w:sz w:val="24"/>
        </w:rPr>
      </w:pPr>
      <w:r w:rsidRPr="00A81C96">
        <w:rPr>
          <w:rFonts w:ascii="Palatino Linotype" w:hAnsi="Palatino Linotype" w:cs="Arial"/>
          <w:noProof/>
          <w:sz w:val="24"/>
          <w:lang w:eastAsia="es-MX"/>
        </w:rPr>
        <w:lastRenderedPageBreak/>
        <w:drawing>
          <wp:inline distT="0" distB="0" distL="0" distR="0">
            <wp:extent cx="3743960" cy="2455883"/>
            <wp:effectExtent l="0" t="0" r="889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C4ED87.tmp"/>
                    <pic:cNvPicPr/>
                  </pic:nvPicPr>
                  <pic:blipFill>
                    <a:blip r:embed="rId16">
                      <a:extLst>
                        <a:ext uri="{28A0092B-C50C-407E-A947-70E740481C1C}">
                          <a14:useLocalDpi xmlns:a14="http://schemas.microsoft.com/office/drawing/2010/main" val="0"/>
                        </a:ext>
                      </a:extLst>
                    </a:blip>
                    <a:stretch>
                      <a:fillRect/>
                    </a:stretch>
                  </pic:blipFill>
                  <pic:spPr>
                    <a:xfrm>
                      <a:off x="0" y="0"/>
                      <a:ext cx="3756757" cy="2464277"/>
                    </a:xfrm>
                    <a:prstGeom prst="rect">
                      <a:avLst/>
                    </a:prstGeom>
                  </pic:spPr>
                </pic:pic>
              </a:graphicData>
            </a:graphic>
          </wp:inline>
        </w:drawing>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 xml:space="preserve">07_CT_29-ORD_2025.pdf: </w:t>
      </w:r>
      <w:r w:rsidRPr="00A81C96">
        <w:rPr>
          <w:rFonts w:ascii="Palatino Linotype" w:hAnsi="Palatino Linotype" w:cs="Arial"/>
          <w:sz w:val="24"/>
        </w:rPr>
        <w:t xml:space="preserve">acta del comité de transparencia en el que se aprobó una prórroga para dar respuesta a la solicitud de información, por 7 días. </w:t>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L I G A.docx</w:t>
      </w:r>
      <w:r w:rsidRPr="00A81C96">
        <w:rPr>
          <w:rFonts w:ascii="Palatino Linotype" w:hAnsi="Palatino Linotype" w:cs="Arial"/>
          <w:sz w:val="24"/>
        </w:rPr>
        <w:t xml:space="preserve">: </w:t>
      </w:r>
      <w:r w:rsidR="00DF6FD4" w:rsidRPr="00A81C96">
        <w:rPr>
          <w:rFonts w:ascii="Palatino Linotype" w:hAnsi="Palatino Linotype" w:cs="Arial"/>
          <w:sz w:val="24"/>
        </w:rPr>
        <w:t>liga para consultar la información de 2024 y primer trimestre de 2025.</w:t>
      </w:r>
    </w:p>
    <w:p w:rsidR="002B0C31" w:rsidRPr="00A81C96" w:rsidRDefault="008C5783" w:rsidP="002B0C31">
      <w:pPr>
        <w:pStyle w:val="Prrafodelista"/>
        <w:ind w:left="1440"/>
        <w:rPr>
          <w:rStyle w:val="Hipervnculo"/>
          <w:rFonts w:ascii="Palatino Linotype" w:hAnsi="Palatino Linotype" w:cstheme="minorHAnsi"/>
        </w:rPr>
      </w:pPr>
      <w:hyperlink r:id="rId17" w:anchor="/info-fraccion/676/195/12" w:history="1">
        <w:r w:rsidR="002B0C31" w:rsidRPr="00A81C96">
          <w:rPr>
            <w:rStyle w:val="Hipervnculo"/>
            <w:rFonts w:ascii="Palatino Linotype" w:hAnsi="Palatino Linotype" w:cstheme="minorHAnsi"/>
          </w:rPr>
          <w:t>https://ipomex.org.mx/ipomex/#/info-fraccion/676/195/12</w:t>
        </w:r>
      </w:hyperlink>
    </w:p>
    <w:p w:rsidR="002B0C31" w:rsidRPr="00A81C96" w:rsidRDefault="002B0C31" w:rsidP="002B0C31">
      <w:pPr>
        <w:pStyle w:val="Prrafodelista"/>
        <w:ind w:left="1440"/>
        <w:rPr>
          <w:rStyle w:val="Hipervnculo"/>
          <w:rFonts w:ascii="Palatino Linotype" w:hAnsi="Palatino Linotype" w:cstheme="minorHAnsi"/>
        </w:rPr>
      </w:pPr>
    </w:p>
    <w:p w:rsidR="002B0C31" w:rsidRPr="00A81C96" w:rsidRDefault="002B0C31" w:rsidP="002B0C31">
      <w:pPr>
        <w:pStyle w:val="Prrafodelista"/>
        <w:ind w:left="1440"/>
        <w:rPr>
          <w:rStyle w:val="Hipervnculo"/>
          <w:rFonts w:ascii="Palatino Linotype" w:hAnsi="Palatino Linotype" w:cstheme="minorHAnsi"/>
          <w:color w:val="auto"/>
          <w:u w:val="none"/>
        </w:rPr>
      </w:pPr>
      <w:r w:rsidRPr="00A81C96">
        <w:rPr>
          <w:rStyle w:val="Hipervnculo"/>
          <w:rFonts w:ascii="Palatino Linotype" w:hAnsi="Palatino Linotype" w:cstheme="minorHAnsi"/>
          <w:color w:val="auto"/>
          <w:u w:val="none"/>
        </w:rPr>
        <w:t>Liga electrónica que dirige al portal de IPOMEX del Sujeto Obligado:</w:t>
      </w:r>
    </w:p>
    <w:p w:rsidR="002B0C31" w:rsidRPr="00A81C96" w:rsidRDefault="002B0C31" w:rsidP="002B0C31">
      <w:pPr>
        <w:pStyle w:val="Prrafodelista"/>
        <w:ind w:left="1440"/>
        <w:rPr>
          <w:rStyle w:val="Hipervnculo"/>
          <w:rFonts w:ascii="Palatino Linotype" w:hAnsi="Palatino Linotype" w:cstheme="minorHAnsi"/>
          <w:u w:val="none"/>
        </w:rPr>
      </w:pPr>
      <w:r w:rsidRPr="00A81C96">
        <w:rPr>
          <w:rFonts w:ascii="Palatino Linotype" w:hAnsi="Palatino Linotype" w:cstheme="minorHAnsi"/>
          <w:noProof/>
          <w:color w:val="0563C1" w:themeColor="hyperlink"/>
          <w:lang w:val="es-MX" w:eastAsia="es-MX"/>
        </w:rPr>
        <w:drawing>
          <wp:inline distT="0" distB="0" distL="0" distR="0">
            <wp:extent cx="4867910" cy="1720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C4D4A9.tmp"/>
                    <pic:cNvPicPr/>
                  </pic:nvPicPr>
                  <pic:blipFill>
                    <a:blip r:embed="rId18">
                      <a:extLst>
                        <a:ext uri="{28A0092B-C50C-407E-A947-70E740481C1C}">
                          <a14:useLocalDpi xmlns:a14="http://schemas.microsoft.com/office/drawing/2010/main" val="0"/>
                        </a:ext>
                      </a:extLst>
                    </a:blip>
                    <a:stretch>
                      <a:fillRect/>
                    </a:stretch>
                  </pic:blipFill>
                  <pic:spPr>
                    <a:xfrm>
                      <a:off x="0" y="0"/>
                      <a:ext cx="4926745" cy="1741456"/>
                    </a:xfrm>
                    <a:prstGeom prst="rect">
                      <a:avLst/>
                    </a:prstGeom>
                  </pic:spPr>
                </pic:pic>
              </a:graphicData>
            </a:graphic>
          </wp:inline>
        </w:drawing>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lastRenderedPageBreak/>
        <w:t>PROCEDIMIENTOS 2024.xlsx</w:t>
      </w:r>
      <w:r w:rsidRPr="00A81C96">
        <w:rPr>
          <w:rFonts w:ascii="Palatino Linotype" w:hAnsi="Palatino Linotype" w:cs="Arial"/>
          <w:sz w:val="24"/>
        </w:rPr>
        <w:t>:</w:t>
      </w:r>
      <w:r w:rsidR="007607C8" w:rsidRPr="00A81C96">
        <w:rPr>
          <w:rFonts w:ascii="Palatino Linotype" w:hAnsi="Palatino Linotype" w:cs="Arial"/>
          <w:sz w:val="24"/>
        </w:rPr>
        <w:t xml:space="preserve"> contiene una relación de los procedimientos 2024, es decir, licitaciones públicas, invitaciones restringidas y adjudicaciones directas.</w:t>
      </w:r>
    </w:p>
    <w:p w:rsidR="007607C8" w:rsidRPr="00A81C96" w:rsidRDefault="007607C8" w:rsidP="007607C8">
      <w:pPr>
        <w:pStyle w:val="Sinespaciado"/>
        <w:spacing w:before="240" w:line="360" w:lineRule="auto"/>
        <w:ind w:left="284"/>
        <w:rPr>
          <w:rFonts w:ascii="Palatino Linotype" w:hAnsi="Palatino Linotype" w:cs="Arial"/>
          <w:sz w:val="24"/>
        </w:rPr>
      </w:pP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PROCEDIMIENTOS 2025.xlsx</w:t>
      </w:r>
      <w:r w:rsidRPr="00A81C96">
        <w:rPr>
          <w:rFonts w:ascii="Palatino Linotype" w:hAnsi="Palatino Linotype" w:cs="Arial"/>
          <w:sz w:val="24"/>
        </w:rPr>
        <w:t>:</w:t>
      </w:r>
      <w:r w:rsidR="007607C8" w:rsidRPr="00A81C96">
        <w:rPr>
          <w:rFonts w:ascii="Palatino Linotype" w:hAnsi="Palatino Linotype" w:cs="Arial"/>
          <w:sz w:val="24"/>
        </w:rPr>
        <w:t xml:space="preserve"> contiene una relación de los procedimientos 2025, es decir, licitaciones públicas, invitaciones restringidas y adjudicaciones directas.</w:t>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RESPUESTA INFRAESTRUCTURA.pdf</w:t>
      </w:r>
      <w:r w:rsidRPr="00A81C96">
        <w:rPr>
          <w:rFonts w:ascii="Palatino Linotype" w:hAnsi="Palatino Linotype" w:cs="Arial"/>
          <w:sz w:val="24"/>
        </w:rPr>
        <w:t>:</w:t>
      </w:r>
      <w:r w:rsidR="007607C8" w:rsidRPr="00A81C96">
        <w:rPr>
          <w:rFonts w:ascii="Palatino Linotype" w:hAnsi="Palatino Linotype" w:cs="Arial"/>
          <w:sz w:val="24"/>
        </w:rPr>
        <w:t xml:space="preserve"> oficio número TLA/DIU/01812/</w:t>
      </w:r>
      <w:r w:rsidR="00266505" w:rsidRPr="00A81C96">
        <w:rPr>
          <w:rFonts w:ascii="Palatino Linotype" w:hAnsi="Palatino Linotype" w:cs="Arial"/>
          <w:sz w:val="24"/>
        </w:rPr>
        <w:t>2025</w:t>
      </w:r>
      <w:r w:rsidR="00347800" w:rsidRPr="00A81C96">
        <w:rPr>
          <w:rFonts w:ascii="Palatino Linotype" w:hAnsi="Palatino Linotype" w:cs="Arial"/>
          <w:sz w:val="24"/>
        </w:rPr>
        <w:t>, firmado por la Directora de Infraestructura Urbana, por medio del cual envía una lista con los tipos de procedimientos y número de expediente de 2024 y 2025, por otro lado, remite una liga electrónica en datos cerrados, sin embargo, adjunta documento Word descrito en el inciso “E”, en la que se podrá consultar la información de 202</w:t>
      </w:r>
      <w:r w:rsidR="00872B01" w:rsidRPr="00A81C96">
        <w:rPr>
          <w:rFonts w:ascii="Palatino Linotype" w:hAnsi="Palatino Linotype" w:cs="Arial"/>
          <w:sz w:val="24"/>
        </w:rPr>
        <w:t>4</w:t>
      </w:r>
      <w:r w:rsidR="00347800" w:rsidRPr="00A81C96">
        <w:rPr>
          <w:rFonts w:ascii="Palatino Linotype" w:hAnsi="Palatino Linotype" w:cs="Arial"/>
          <w:sz w:val="24"/>
        </w:rPr>
        <w:t xml:space="preserve"> y primer trimestre de 2025. Por lo que hace al segundo trimestre de 2025, refiere que envía los expedientes y acuerdo de versión pública en pdf, mismos que fueron descritos en el inciso A.</w:t>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RESPUESTA OFICIALIA.pdf</w:t>
      </w:r>
      <w:r w:rsidRPr="00A81C96">
        <w:rPr>
          <w:rFonts w:ascii="Palatino Linotype" w:hAnsi="Palatino Linotype" w:cs="Arial"/>
          <w:sz w:val="24"/>
        </w:rPr>
        <w:t>:</w:t>
      </w:r>
      <w:r w:rsidR="00347800" w:rsidRPr="00A81C96">
        <w:rPr>
          <w:rFonts w:ascii="Palatino Linotype" w:hAnsi="Palatino Linotype" w:cs="Arial"/>
          <w:sz w:val="24"/>
        </w:rPr>
        <w:t xml:space="preserve"> oficio número TLA/OM/2818/2025, firmado por la Oficial Mayor, en el que refiere enviar el listado de las licitaciones públicas nacionales, invitaciones restringidas, adjudicaciones directas y adjudicaciones directas con excepción de </w:t>
      </w:r>
      <w:r w:rsidR="003161CD" w:rsidRPr="00A81C96">
        <w:rPr>
          <w:rFonts w:ascii="Palatino Linotype" w:hAnsi="Palatino Linotype" w:cs="Arial"/>
          <w:sz w:val="24"/>
        </w:rPr>
        <w:t>L</w:t>
      </w:r>
      <w:r w:rsidR="00347800" w:rsidRPr="00A81C96">
        <w:rPr>
          <w:rFonts w:ascii="Palatino Linotype" w:hAnsi="Palatino Linotype" w:cs="Arial"/>
          <w:sz w:val="24"/>
        </w:rPr>
        <w:t>icitación Pública Nacional, de los años 2024 y 2025.</w:t>
      </w:r>
    </w:p>
    <w:p w:rsidR="002B0C31" w:rsidRPr="00A81C96" w:rsidRDefault="002B0C31" w:rsidP="002B0C31">
      <w:pPr>
        <w:pStyle w:val="Sinespaciado"/>
        <w:numPr>
          <w:ilvl w:val="0"/>
          <w:numId w:val="15"/>
        </w:numPr>
        <w:spacing w:before="240" w:line="360" w:lineRule="auto"/>
        <w:jc w:val="both"/>
        <w:rPr>
          <w:rFonts w:ascii="Palatino Linotype" w:hAnsi="Palatino Linotype" w:cs="Arial"/>
          <w:sz w:val="24"/>
        </w:rPr>
      </w:pPr>
      <w:r w:rsidRPr="00A81C96">
        <w:rPr>
          <w:rFonts w:ascii="Palatino Linotype" w:hAnsi="Palatino Linotype" w:cs="Arial"/>
          <w:b/>
          <w:sz w:val="24"/>
        </w:rPr>
        <w:t>Thumbs.db</w:t>
      </w:r>
      <w:r w:rsidRPr="00A81C96">
        <w:rPr>
          <w:rFonts w:ascii="Palatino Linotype" w:hAnsi="Palatino Linotype" w:cs="Arial"/>
          <w:sz w:val="24"/>
        </w:rPr>
        <w:t xml:space="preserve">: documento que no se pudo abrir. </w:t>
      </w:r>
    </w:p>
    <w:p w:rsidR="0099060E" w:rsidRPr="00A81C96" w:rsidRDefault="0099060E" w:rsidP="0099060E">
      <w:pPr>
        <w:pStyle w:val="Sinespaciado"/>
        <w:spacing w:before="240" w:line="360" w:lineRule="auto"/>
        <w:ind w:left="720"/>
        <w:jc w:val="both"/>
        <w:rPr>
          <w:rFonts w:ascii="Palatino Linotype" w:hAnsi="Palatino Linotype" w:cs="Arial"/>
          <w:sz w:val="24"/>
        </w:rPr>
      </w:pPr>
    </w:p>
    <w:p w:rsidR="00C01A9E" w:rsidRPr="00A81C96" w:rsidRDefault="00C01A9E" w:rsidP="00C01A9E">
      <w:pPr>
        <w:spacing w:line="360" w:lineRule="auto"/>
        <w:jc w:val="both"/>
        <w:rPr>
          <w:rFonts w:ascii="Palatino Linotype" w:hAnsi="Palatino Linotype"/>
          <w:i/>
        </w:rPr>
      </w:pPr>
      <w:r w:rsidRPr="00A81C96">
        <w:rPr>
          <w:rFonts w:ascii="Palatino Linotype" w:hAnsi="Palatino Linotype" w:cs="Arial"/>
          <w:bCs/>
        </w:rPr>
        <w:t xml:space="preserve">Es así como, derivado de la respuesta emitida por </w:t>
      </w:r>
      <w:r w:rsidRPr="00A81C96">
        <w:rPr>
          <w:rFonts w:ascii="Palatino Linotype" w:hAnsi="Palatino Linotype" w:cs="Arial"/>
          <w:b/>
          <w:bCs/>
        </w:rPr>
        <w:t>El Sujeto Obligado</w:t>
      </w:r>
      <w:r w:rsidRPr="00A81C96">
        <w:rPr>
          <w:rFonts w:ascii="Palatino Linotype" w:hAnsi="Palatino Linotype" w:cs="Arial"/>
          <w:bCs/>
        </w:rPr>
        <w:t xml:space="preserve">, </w:t>
      </w:r>
      <w:r w:rsidRPr="00A81C96">
        <w:rPr>
          <w:rFonts w:ascii="Palatino Linotype" w:hAnsi="Palatino Linotype" w:cs="Arial"/>
          <w:b/>
          <w:bCs/>
        </w:rPr>
        <w:t>el Recurrente</w:t>
      </w:r>
      <w:r w:rsidRPr="00A81C96">
        <w:rPr>
          <w:rFonts w:ascii="Palatino Linotype" w:hAnsi="Palatino Linotype" w:cs="Arial"/>
          <w:bCs/>
        </w:rPr>
        <w:t>, interpuso el presente recurso de revisión, señalando sustancialmente como sus razones o motivos de inconformidad, lo siguiente:</w:t>
      </w:r>
      <w:r w:rsidRPr="00A81C96" w:rsidDel="00107C3B">
        <w:rPr>
          <w:rFonts w:ascii="Palatino Linotype" w:hAnsi="Palatino Linotype"/>
          <w:b/>
          <w:i/>
        </w:rPr>
        <w:t xml:space="preserve"> </w:t>
      </w:r>
      <w:r w:rsidRPr="00A81C96">
        <w:rPr>
          <w:rFonts w:ascii="Palatino Linotype" w:hAnsi="Palatino Linotype"/>
          <w:i/>
        </w:rPr>
        <w:t>“</w:t>
      </w:r>
      <w:r w:rsidR="003C430E" w:rsidRPr="00A81C96">
        <w:rPr>
          <w:rFonts w:ascii="Palatino Linotype" w:eastAsiaTheme="minorHAnsi" w:hAnsi="Palatino Linotype" w:cs="Arial"/>
          <w:bCs/>
          <w:i/>
          <w:lang w:val="es-MX" w:eastAsia="es-MX"/>
        </w:rPr>
        <w:t>La información que se entrega esta incompleta, toda vez que: 1. En los archivos de los procedimientos del año 2024 hay archivos que no cuentan con información. 2. No se me entregaron los contratos firmados de todos los procedimientos, tal como se solicitó en el saimex que nos ocupa 3. Dentro de la información, no en todos los rubros indica el concepto del procedimiento de contratación, es decir, que se contrató.</w:t>
      </w:r>
      <w:r w:rsidRPr="00A81C96">
        <w:rPr>
          <w:rFonts w:ascii="Palatino Linotype" w:hAnsi="Palatino Linotype"/>
          <w:i/>
        </w:rPr>
        <w:t>” (Sic).</w:t>
      </w:r>
    </w:p>
    <w:p w:rsidR="00C01A9E" w:rsidRPr="00A81C96" w:rsidRDefault="00C01A9E" w:rsidP="00C01A9E">
      <w:pPr>
        <w:spacing w:line="360" w:lineRule="auto"/>
        <w:jc w:val="both"/>
        <w:rPr>
          <w:rFonts w:ascii="Palatino Linotype" w:hAnsi="Palatino Linotype"/>
          <w:i/>
        </w:rPr>
      </w:pPr>
    </w:p>
    <w:p w:rsidR="003C430E" w:rsidRPr="00A81C96" w:rsidRDefault="003C430E" w:rsidP="003C430E">
      <w:pPr>
        <w:tabs>
          <w:tab w:val="left" w:pos="8789"/>
        </w:tabs>
        <w:spacing w:line="360" w:lineRule="auto"/>
        <w:ind w:right="49"/>
        <w:jc w:val="both"/>
        <w:rPr>
          <w:rFonts w:ascii="Palatino Linotype" w:eastAsia="Palatino Linotype" w:hAnsi="Palatino Linotype" w:cs="Palatino Linotype"/>
          <w:szCs w:val="22"/>
          <w:u w:val="single"/>
          <w:lang w:val="es-ES_tradnl" w:eastAsia="es-MX"/>
        </w:rPr>
      </w:pPr>
      <w:r w:rsidRPr="00A81C96">
        <w:rPr>
          <w:rFonts w:ascii="Palatino Linotype" w:eastAsia="Palatino Linotype" w:hAnsi="Palatino Linotype" w:cs="Palatino Linotype"/>
          <w:szCs w:val="22"/>
          <w:lang w:val="es-ES_tradnl" w:eastAsia="es-MX"/>
        </w:rPr>
        <w:t xml:space="preserve">En primer lugar, es de señalar que de los motivos de inconformidad en cita se aprecia que el particular únicamente se inconforma sobre </w:t>
      </w:r>
      <w:r w:rsidR="007475A5" w:rsidRPr="00A81C96">
        <w:rPr>
          <w:rFonts w:ascii="Palatino Linotype" w:eastAsia="Palatino Linotype" w:hAnsi="Palatino Linotype" w:cs="Palatino Linotype"/>
          <w:szCs w:val="22"/>
          <w:lang w:val="es-ES_tradnl" w:eastAsia="es-MX"/>
        </w:rPr>
        <w:t xml:space="preserve">la información de 2024, la falta de firma en los contratos, así como, la falta de concepto del procedimiento en algunos rubros. </w:t>
      </w:r>
      <w:r w:rsidRPr="00A81C96">
        <w:rPr>
          <w:rFonts w:ascii="Palatino Linotype" w:eastAsia="Palatino Linotype" w:hAnsi="Palatino Linotype" w:cs="Palatino Linotype"/>
          <w:szCs w:val="22"/>
          <w:u w:val="single"/>
          <w:lang w:val="es-ES_tradnl" w:eastAsia="es-MX"/>
        </w:rPr>
        <w:t xml:space="preserve"> </w:t>
      </w:r>
    </w:p>
    <w:p w:rsidR="003C430E" w:rsidRPr="00A81C96" w:rsidRDefault="003C430E" w:rsidP="003C430E">
      <w:pPr>
        <w:tabs>
          <w:tab w:val="left" w:pos="8789"/>
        </w:tabs>
        <w:spacing w:line="360" w:lineRule="auto"/>
        <w:ind w:right="49"/>
        <w:jc w:val="both"/>
        <w:rPr>
          <w:rFonts w:ascii="Palatino Linotype" w:eastAsia="Calibri" w:hAnsi="Palatino Linotype" w:cs="Calibri"/>
          <w:i/>
          <w:szCs w:val="22"/>
          <w:lang w:val="es-ES_tradnl" w:eastAsia="es-MX"/>
        </w:rPr>
      </w:pPr>
      <w:r w:rsidRPr="00A81C96">
        <w:rPr>
          <w:rFonts w:ascii="Palatino Linotype" w:eastAsia="Palatino Linotype" w:hAnsi="Palatino Linotype" w:cs="Palatino Linotype"/>
          <w:szCs w:val="22"/>
          <w:lang w:val="es-ES_tradnl" w:eastAsia="es-MX"/>
        </w:rPr>
        <w:t xml:space="preserve"> </w:t>
      </w:r>
    </w:p>
    <w:p w:rsidR="003C430E" w:rsidRPr="00A81C96" w:rsidRDefault="003C430E" w:rsidP="003C430E">
      <w:pPr>
        <w:tabs>
          <w:tab w:val="left" w:pos="8789"/>
        </w:tabs>
        <w:spacing w:line="360" w:lineRule="auto"/>
        <w:ind w:right="49"/>
        <w:jc w:val="both"/>
        <w:rPr>
          <w:rFonts w:ascii="Palatino Linotype" w:eastAsia="Calibri" w:hAnsi="Palatino Linotype" w:cs="Calibri"/>
          <w:i/>
          <w:szCs w:val="22"/>
          <w:lang w:val="es-ES_tradnl" w:eastAsia="es-MX"/>
        </w:rPr>
      </w:pPr>
      <w:r w:rsidRPr="00A81C96">
        <w:rPr>
          <w:rFonts w:ascii="Palatino Linotype" w:eastAsia="Palatino Linotype" w:hAnsi="Palatino Linotype" w:cs="Palatino Linotype"/>
          <w:szCs w:val="22"/>
          <w:lang w:val="es-ES_tradnl" w:eastAsia="es-MX"/>
        </w:rPr>
        <w:t>Sirve de sustento, la tesis jurisprudencial número VI.3o.C. J/60, publicada en el Semanario Judicial de la Federación y su Gaceta bajo el número de registro 176,608 que a la letra dice:</w:t>
      </w:r>
    </w:p>
    <w:p w:rsidR="003C430E" w:rsidRPr="00A81C96" w:rsidRDefault="003C430E" w:rsidP="003C430E">
      <w:pPr>
        <w:tabs>
          <w:tab w:val="left" w:pos="851"/>
        </w:tabs>
        <w:spacing w:line="360" w:lineRule="auto"/>
        <w:ind w:left="851" w:right="616"/>
        <w:jc w:val="both"/>
        <w:rPr>
          <w:rFonts w:ascii="Palatino Linotype" w:eastAsia="Palatino Linotype" w:hAnsi="Palatino Linotype" w:cs="Palatino Linotype"/>
          <w:i/>
          <w:szCs w:val="22"/>
          <w:lang w:val="es-ES_tradnl" w:eastAsia="es-MX"/>
        </w:rPr>
      </w:pPr>
      <w:r w:rsidRPr="00A81C96">
        <w:rPr>
          <w:rFonts w:ascii="Palatino Linotype" w:eastAsia="Palatino Linotype" w:hAnsi="Palatino Linotype" w:cs="Palatino Linotype"/>
          <w:b/>
          <w:i/>
          <w:szCs w:val="22"/>
          <w:lang w:val="es-ES_tradnl" w:eastAsia="es-MX"/>
        </w:rPr>
        <w:t xml:space="preserve">“ACTOS CONSENTIDOS. SON LOS QUE NO SE IMPUGNAN MEDIANTE EL RECURSO IDÓNEO. </w:t>
      </w:r>
      <w:r w:rsidRPr="00A81C96">
        <w:rPr>
          <w:rFonts w:ascii="Palatino Linotype" w:eastAsia="Palatino Linotype" w:hAnsi="Palatino Linotype" w:cs="Palatino Linotype"/>
          <w:i/>
          <w:szCs w:val="22"/>
          <w:lang w:val="es-ES_tradnl"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C430E" w:rsidRPr="00A81C96" w:rsidRDefault="003C430E" w:rsidP="003C430E">
      <w:pPr>
        <w:tabs>
          <w:tab w:val="left" w:pos="851"/>
        </w:tabs>
        <w:spacing w:line="360" w:lineRule="auto"/>
        <w:ind w:right="616"/>
        <w:jc w:val="both"/>
        <w:rPr>
          <w:rFonts w:ascii="Palatino Linotype" w:eastAsia="Palatino Linotype" w:hAnsi="Palatino Linotype" w:cs="Palatino Linotype"/>
          <w:szCs w:val="22"/>
          <w:lang w:val="es-ES_tradnl" w:eastAsia="es-MX"/>
        </w:rPr>
      </w:pPr>
    </w:p>
    <w:p w:rsidR="003C430E" w:rsidRPr="00A81C96" w:rsidRDefault="003C430E" w:rsidP="003C430E">
      <w:pPr>
        <w:spacing w:after="280" w:line="360" w:lineRule="auto"/>
        <w:jc w:val="both"/>
        <w:rPr>
          <w:rFonts w:ascii="Palatino Linotype" w:eastAsia="Palatino Linotype" w:hAnsi="Palatino Linotype" w:cs="Palatino Linotype"/>
          <w:szCs w:val="22"/>
          <w:lang w:val="es-ES_tradnl" w:eastAsia="es-MX"/>
        </w:rPr>
      </w:pPr>
      <w:r w:rsidRPr="00A81C96">
        <w:rPr>
          <w:rFonts w:ascii="Palatino Linotype" w:eastAsia="Palatino Linotype" w:hAnsi="Palatino Linotype" w:cs="Palatino Linotype"/>
          <w:szCs w:val="22"/>
          <w:lang w:val="es-ES_tradnl" w:eastAsia="es-MX"/>
        </w:rPr>
        <w:lastRenderedPageBreak/>
        <w:t xml:space="preserve">De la interpretación del criterio antes citado, se advierte que cuando el particular impugnó la respuesta del </w:t>
      </w:r>
      <w:r w:rsidRPr="00A81C96">
        <w:rPr>
          <w:rFonts w:ascii="Palatino Linotype" w:eastAsia="Palatino Linotype" w:hAnsi="Palatino Linotype" w:cs="Palatino Linotype"/>
          <w:b/>
          <w:szCs w:val="22"/>
          <w:lang w:val="es-ES_tradnl" w:eastAsia="es-MX"/>
        </w:rPr>
        <w:t>SUJETO OBLIGADO</w:t>
      </w:r>
      <w:r w:rsidRPr="00A81C96">
        <w:rPr>
          <w:rFonts w:ascii="Palatino Linotype" w:eastAsia="Palatino Linotype" w:hAnsi="Palatino Linotype" w:cs="Palatino Linotype"/>
          <w:szCs w:val="22"/>
          <w:lang w:val="es-ES_tradnl" w:eastAsia="es-MX"/>
        </w:rPr>
        <w:t>, no expresó razón o motivo de inconformidad en contra de todos los rubros solicitados, por tanto, estos deben declararse atendidos.</w:t>
      </w:r>
    </w:p>
    <w:p w:rsidR="003C430E" w:rsidRPr="00A81C96" w:rsidRDefault="003C430E" w:rsidP="003C430E">
      <w:pPr>
        <w:spacing w:before="280" w:after="280" w:line="360" w:lineRule="auto"/>
        <w:jc w:val="both"/>
        <w:rPr>
          <w:rFonts w:ascii="Palatino Linotype" w:eastAsia="Palatino Linotype" w:hAnsi="Palatino Linotype" w:cs="Palatino Linotype"/>
          <w:szCs w:val="22"/>
          <w:lang w:val="es-ES_tradnl" w:eastAsia="es-MX"/>
        </w:rPr>
      </w:pPr>
      <w:r w:rsidRPr="00A81C96">
        <w:rPr>
          <w:rFonts w:ascii="Palatino Linotype" w:eastAsia="Palatino Linotype" w:hAnsi="Palatino Linotype" w:cs="Palatino Linotype"/>
          <w:szCs w:val="22"/>
          <w:lang w:val="es-ES_tradnl" w:eastAsia="es-MX"/>
        </w:rPr>
        <w:t>Atento a ello, es importante traer a contexto la Tesis Jurisprudencial Número 3ª./J.7/91, Publicada en el Semanario Judicial de la Federación y su Gaceta bajo el número de registro 174,177, que establece lo siguiente:</w:t>
      </w:r>
    </w:p>
    <w:p w:rsidR="003C430E" w:rsidRPr="00A81C96" w:rsidRDefault="003C430E" w:rsidP="003C430E">
      <w:pPr>
        <w:tabs>
          <w:tab w:val="left" w:pos="7937"/>
          <w:tab w:val="left" w:pos="8222"/>
        </w:tabs>
        <w:spacing w:line="360" w:lineRule="auto"/>
        <w:ind w:left="851" w:right="901"/>
        <w:jc w:val="both"/>
        <w:rPr>
          <w:rFonts w:ascii="Palatino Linotype" w:eastAsia="Palatino Linotype" w:hAnsi="Palatino Linotype" w:cs="Palatino Linotype"/>
          <w:i/>
          <w:szCs w:val="22"/>
          <w:lang w:val="es-ES_tradnl" w:eastAsia="es-MX"/>
        </w:rPr>
      </w:pPr>
      <w:r w:rsidRPr="00A81C96">
        <w:rPr>
          <w:rFonts w:ascii="Palatino Linotype" w:eastAsia="Palatino Linotype" w:hAnsi="Palatino Linotype" w:cs="Palatino Linotype"/>
          <w:b/>
          <w:i/>
          <w:szCs w:val="22"/>
          <w:lang w:val="es-ES_tradnl" w:eastAsia="es-MX"/>
        </w:rPr>
        <w:t xml:space="preserve">“REVISIÓN EN AMPARO. LOS RESOLUTIVOS NO COMBATIDOS DEBEN DECLARARSE FIRMES. </w:t>
      </w:r>
      <w:r w:rsidRPr="00A81C96">
        <w:rPr>
          <w:rFonts w:ascii="Palatino Linotype" w:eastAsia="Palatino Linotype" w:hAnsi="Palatino Linotype" w:cs="Palatino Linotype"/>
          <w:i/>
          <w:szCs w:val="22"/>
          <w:lang w:val="es-ES_tradnl"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C430E" w:rsidRPr="00A81C96" w:rsidRDefault="003C430E" w:rsidP="003C430E">
      <w:pPr>
        <w:widowControl w:val="0"/>
        <w:tabs>
          <w:tab w:val="left" w:pos="1701"/>
          <w:tab w:val="left" w:pos="1843"/>
        </w:tabs>
        <w:spacing w:before="360" w:after="240" w:line="360" w:lineRule="auto"/>
        <w:jc w:val="both"/>
        <w:rPr>
          <w:rFonts w:ascii="Palatino Linotype" w:eastAsia="Palatino Linotype" w:hAnsi="Palatino Linotype" w:cs="Palatino Linotype"/>
          <w:szCs w:val="22"/>
          <w:lang w:val="es-ES_tradnl" w:eastAsia="es-MX"/>
        </w:rPr>
      </w:pPr>
      <w:r w:rsidRPr="00A81C96">
        <w:rPr>
          <w:rFonts w:ascii="Palatino Linotype" w:eastAsia="Palatino Linotype" w:hAnsi="Palatino Linotype" w:cs="Palatino Linotype"/>
          <w:szCs w:val="22"/>
          <w:lang w:val="es-ES_tradnl" w:eastAsia="es-MX"/>
        </w:rPr>
        <w:t xml:space="preserve">Para mayor abundamiento, también resulta aplicable el criterio 01/20 emitido por el Instituto Nacional de Transparencia, Acceso a la Información Pública y Protección de Datos Personales, que a la letra estipula lo siguiente: </w:t>
      </w:r>
    </w:p>
    <w:p w:rsidR="003C430E" w:rsidRPr="00A81C96" w:rsidRDefault="003C430E" w:rsidP="003C430E">
      <w:pPr>
        <w:spacing w:before="240" w:after="160"/>
        <w:ind w:left="851" w:right="851"/>
        <w:jc w:val="both"/>
        <w:rPr>
          <w:rFonts w:ascii="Palatino Linotype" w:eastAsiaTheme="minorHAnsi" w:hAnsi="Palatino Linotype" w:cstheme="minorBidi"/>
          <w:i/>
          <w:sz w:val="22"/>
          <w:szCs w:val="14"/>
          <w:lang w:val="es-MX" w:eastAsia="en-US"/>
        </w:rPr>
      </w:pPr>
      <w:r w:rsidRPr="00A81C96">
        <w:rPr>
          <w:rFonts w:ascii="Palatino Linotype" w:eastAsiaTheme="minorHAnsi" w:hAnsi="Palatino Linotype" w:cstheme="minorBidi"/>
          <w:b/>
          <w:i/>
          <w:sz w:val="22"/>
          <w:szCs w:val="14"/>
          <w:lang w:val="es-MX" w:eastAsia="en-US"/>
        </w:rPr>
        <w:t>Actos consentidos tácitamente. Improcedencia de su análisis</w:t>
      </w:r>
      <w:r w:rsidRPr="00A81C96">
        <w:rPr>
          <w:rFonts w:ascii="Palatino Linotype" w:eastAsiaTheme="minorHAnsi" w:hAnsi="Palatino Linotype" w:cstheme="minorBidi"/>
          <w:i/>
          <w:sz w:val="22"/>
          <w:szCs w:val="14"/>
          <w:lang w:val="es-MX" w:eastAsia="en-US"/>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3C430E" w:rsidRPr="00A81C96" w:rsidRDefault="003C430E" w:rsidP="003C430E">
      <w:pPr>
        <w:spacing w:line="360" w:lineRule="auto"/>
        <w:jc w:val="both"/>
        <w:rPr>
          <w:rFonts w:ascii="Palatino Linotype" w:eastAsia="Palatino Linotype" w:hAnsi="Palatino Linotype" w:cs="Palatino Linotype"/>
          <w:szCs w:val="22"/>
          <w:lang w:val="es-ES_tradnl" w:eastAsia="es-MX"/>
        </w:rPr>
      </w:pPr>
      <w:r w:rsidRPr="00A81C96">
        <w:rPr>
          <w:rFonts w:ascii="Palatino Linotype" w:eastAsia="Palatino Linotype" w:hAnsi="Palatino Linotype" w:cs="Palatino Linotype"/>
          <w:szCs w:val="22"/>
          <w:lang w:val="es-ES_tradnl" w:eastAsia="es-MX"/>
        </w:rPr>
        <w:lastRenderedPageBreak/>
        <w:t>Por lo que, al no haberse inconformado sobre todos los rubros solicitados, se consideran actos consentidos y, por tanto, se tienen por colmados dichos rubros de la solicitud.</w:t>
      </w:r>
    </w:p>
    <w:p w:rsidR="003C430E" w:rsidRPr="00A81C96" w:rsidRDefault="003C430E" w:rsidP="00C01A9E">
      <w:pPr>
        <w:spacing w:line="360" w:lineRule="auto"/>
        <w:jc w:val="both"/>
        <w:rPr>
          <w:rFonts w:ascii="Palatino Linotype" w:eastAsia="Calibri" w:hAnsi="Palatino Linotype" w:cs="Calibri"/>
          <w:lang w:val="es-ES_tradnl" w:eastAsia="es-MX"/>
        </w:rPr>
      </w:pPr>
    </w:p>
    <w:p w:rsidR="007475A5" w:rsidRPr="00A81C96" w:rsidRDefault="00C01A9E" w:rsidP="00C01A9E">
      <w:pPr>
        <w:spacing w:line="360" w:lineRule="auto"/>
        <w:jc w:val="both"/>
        <w:rPr>
          <w:rFonts w:ascii="Palatino Linotype" w:hAnsi="Palatino Linotype" w:cs="Arial"/>
        </w:rPr>
      </w:pPr>
      <w:r w:rsidRPr="00A81C9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del archivo electrónico</w:t>
      </w:r>
      <w:r w:rsidR="00AD16B7" w:rsidRPr="00A81C96">
        <w:rPr>
          <w:rFonts w:ascii="Palatino Linotype" w:eastAsia="Calibri" w:hAnsi="Palatino Linotype" w:cs="Calibri"/>
          <w:lang w:val="es-ES_tradnl" w:eastAsia="es-MX"/>
        </w:rPr>
        <w:t xml:space="preserve"> denominado “</w:t>
      </w:r>
      <w:r w:rsidR="00AD16B7" w:rsidRPr="00A81C96">
        <w:rPr>
          <w:rFonts w:ascii="Palatino Linotype" w:hAnsi="Palatino Linotype" w:cs="Arial"/>
          <w:b/>
          <w:i/>
        </w:rPr>
        <w:t xml:space="preserve">MANIFESTACIONES RR </w:t>
      </w:r>
      <w:r w:rsidR="00B73EC6" w:rsidRPr="00A81C96">
        <w:rPr>
          <w:rFonts w:ascii="Palatino Linotype" w:hAnsi="Palatino Linotype" w:cs="Arial"/>
          <w:b/>
          <w:i/>
        </w:rPr>
        <w:t>9665</w:t>
      </w:r>
      <w:r w:rsidR="00AD16B7" w:rsidRPr="00A81C96">
        <w:rPr>
          <w:rFonts w:ascii="Palatino Linotype" w:hAnsi="Palatino Linotype" w:cs="Arial"/>
          <w:b/>
          <w:i/>
        </w:rPr>
        <w:t>-25.zip</w:t>
      </w:r>
      <w:r w:rsidR="00AD16B7" w:rsidRPr="00A81C96">
        <w:rPr>
          <w:rFonts w:ascii="Palatino Linotype" w:hAnsi="Palatino Linotype" w:cs="Arial"/>
        </w:rPr>
        <w:t xml:space="preserve">”, </w:t>
      </w:r>
      <w:r w:rsidRPr="00A81C96">
        <w:rPr>
          <w:rFonts w:ascii="Palatino Linotype" w:hAnsi="Palatino Linotype" w:cs="Arial"/>
        </w:rPr>
        <w:t xml:space="preserve">en </w:t>
      </w:r>
      <w:r w:rsidR="00AD16B7" w:rsidRPr="00A81C96">
        <w:rPr>
          <w:rFonts w:ascii="Palatino Linotype" w:hAnsi="Palatino Linotype" w:cs="Arial"/>
        </w:rPr>
        <w:t>el</w:t>
      </w:r>
      <w:r w:rsidRPr="00A81C96">
        <w:rPr>
          <w:rFonts w:ascii="Palatino Linotype" w:hAnsi="Palatino Linotype" w:cs="Arial"/>
        </w:rPr>
        <w:t xml:space="preserve"> que se rati</w:t>
      </w:r>
      <w:r w:rsidR="00AD16B7" w:rsidRPr="00A81C96">
        <w:rPr>
          <w:rFonts w:ascii="Palatino Linotype" w:hAnsi="Palatino Linotype" w:cs="Arial"/>
        </w:rPr>
        <w:t>fica su respuesta</w:t>
      </w:r>
      <w:r w:rsidR="007475A5" w:rsidRPr="00A81C96">
        <w:rPr>
          <w:rFonts w:ascii="Palatino Linotype" w:hAnsi="Palatino Linotype" w:cs="Arial"/>
        </w:rPr>
        <w:t xml:space="preserve">, </w:t>
      </w:r>
      <w:r w:rsidR="00D74050" w:rsidRPr="00A81C96">
        <w:rPr>
          <w:rFonts w:ascii="Palatino Linotype" w:hAnsi="Palatino Linotype" w:cs="Arial"/>
        </w:rPr>
        <w:t>y adicionalmente, señala los pasos para acceder a la información del IPOMEX</w:t>
      </w:r>
      <w:r w:rsidR="007475A5" w:rsidRPr="00A81C96">
        <w:rPr>
          <w:rFonts w:ascii="Palatino Linotype" w:hAnsi="Palatino Linotype" w:cs="Arial"/>
        </w:rPr>
        <w:t>:</w:t>
      </w:r>
    </w:p>
    <w:p w:rsidR="007475A5" w:rsidRPr="00A81C96" w:rsidRDefault="007475A5" w:rsidP="00C01A9E">
      <w:pPr>
        <w:spacing w:line="360" w:lineRule="auto"/>
        <w:jc w:val="both"/>
        <w:rPr>
          <w:rFonts w:ascii="Palatino Linotype" w:hAnsi="Palatino Linotype" w:cs="Arial"/>
        </w:rPr>
      </w:pPr>
      <w:r w:rsidRPr="00A81C96">
        <w:rPr>
          <w:rFonts w:ascii="Palatino Linotype" w:hAnsi="Palatino Linotype" w:cs="Arial"/>
          <w:noProof/>
          <w:lang w:val="es-MX" w:eastAsia="es-MX"/>
        </w:rPr>
        <w:drawing>
          <wp:inline distT="0" distB="0" distL="0" distR="0">
            <wp:extent cx="5791835" cy="10331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C96B.tmp"/>
                    <pic:cNvPicPr/>
                  </pic:nvPicPr>
                  <pic:blipFill>
                    <a:blip r:embed="rId19">
                      <a:extLst>
                        <a:ext uri="{28A0092B-C50C-407E-A947-70E740481C1C}">
                          <a14:useLocalDpi xmlns:a14="http://schemas.microsoft.com/office/drawing/2010/main" val="0"/>
                        </a:ext>
                      </a:extLst>
                    </a:blip>
                    <a:stretch>
                      <a:fillRect/>
                    </a:stretch>
                  </pic:blipFill>
                  <pic:spPr>
                    <a:xfrm>
                      <a:off x="0" y="0"/>
                      <a:ext cx="5791835" cy="1033145"/>
                    </a:xfrm>
                    <a:prstGeom prst="rect">
                      <a:avLst/>
                    </a:prstGeom>
                  </pic:spPr>
                </pic:pic>
              </a:graphicData>
            </a:graphic>
          </wp:inline>
        </w:drawing>
      </w:r>
    </w:p>
    <w:p w:rsidR="00AD16B7" w:rsidRPr="00A81C96" w:rsidRDefault="00550F4C" w:rsidP="00C01A9E">
      <w:pPr>
        <w:spacing w:line="360" w:lineRule="auto"/>
        <w:jc w:val="both"/>
        <w:rPr>
          <w:rFonts w:ascii="Palatino Linotype" w:hAnsi="Palatino Linotype"/>
          <w:i/>
        </w:rPr>
      </w:pPr>
      <w:r w:rsidRPr="00A81C96">
        <w:rPr>
          <w:rFonts w:ascii="Palatino Linotype" w:hAnsi="Palatino Linotype"/>
          <w:i/>
          <w:noProof/>
          <w:lang w:val="es-MX" w:eastAsia="es-MX"/>
        </w:rPr>
        <w:drawing>
          <wp:inline distT="0" distB="0" distL="0" distR="0">
            <wp:extent cx="5791835" cy="18865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CA1BB.tmp"/>
                    <pic:cNvPicPr/>
                  </pic:nvPicPr>
                  <pic:blipFill>
                    <a:blip r:embed="rId20">
                      <a:extLst>
                        <a:ext uri="{28A0092B-C50C-407E-A947-70E740481C1C}">
                          <a14:useLocalDpi xmlns:a14="http://schemas.microsoft.com/office/drawing/2010/main" val="0"/>
                        </a:ext>
                      </a:extLst>
                    </a:blip>
                    <a:stretch>
                      <a:fillRect/>
                    </a:stretch>
                  </pic:blipFill>
                  <pic:spPr>
                    <a:xfrm>
                      <a:off x="0" y="0"/>
                      <a:ext cx="5791835" cy="1886585"/>
                    </a:xfrm>
                    <a:prstGeom prst="rect">
                      <a:avLst/>
                    </a:prstGeom>
                  </pic:spPr>
                </pic:pic>
              </a:graphicData>
            </a:graphic>
          </wp:inline>
        </w:drawing>
      </w:r>
    </w:p>
    <w:p w:rsidR="00550F4C" w:rsidRPr="00A81C96" w:rsidRDefault="00550F4C" w:rsidP="00C01A9E">
      <w:pPr>
        <w:spacing w:line="360" w:lineRule="auto"/>
        <w:jc w:val="both"/>
        <w:rPr>
          <w:rFonts w:ascii="Palatino Linotype" w:hAnsi="Palatino Linotype"/>
          <w:i/>
        </w:rPr>
      </w:pPr>
      <w:r w:rsidRPr="00A81C96">
        <w:rPr>
          <w:rFonts w:ascii="Palatino Linotype" w:hAnsi="Palatino Linotype"/>
          <w:i/>
          <w:noProof/>
          <w:lang w:val="es-MX" w:eastAsia="es-MX"/>
        </w:rPr>
        <w:lastRenderedPageBreak/>
        <w:drawing>
          <wp:inline distT="0" distB="0" distL="0" distR="0">
            <wp:extent cx="5791835" cy="50717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C61A1.tmp"/>
                    <pic:cNvPicPr/>
                  </pic:nvPicPr>
                  <pic:blipFill>
                    <a:blip r:embed="rId21">
                      <a:extLst>
                        <a:ext uri="{28A0092B-C50C-407E-A947-70E740481C1C}">
                          <a14:useLocalDpi xmlns:a14="http://schemas.microsoft.com/office/drawing/2010/main" val="0"/>
                        </a:ext>
                      </a:extLst>
                    </a:blip>
                    <a:stretch>
                      <a:fillRect/>
                    </a:stretch>
                  </pic:blipFill>
                  <pic:spPr>
                    <a:xfrm>
                      <a:off x="0" y="0"/>
                      <a:ext cx="5791835" cy="5071745"/>
                    </a:xfrm>
                    <a:prstGeom prst="rect">
                      <a:avLst/>
                    </a:prstGeom>
                  </pic:spPr>
                </pic:pic>
              </a:graphicData>
            </a:graphic>
          </wp:inline>
        </w:drawing>
      </w:r>
    </w:p>
    <w:p w:rsidR="00550F4C" w:rsidRPr="00A81C96" w:rsidRDefault="00550F4C" w:rsidP="00C01A9E">
      <w:pPr>
        <w:spacing w:line="360" w:lineRule="auto"/>
        <w:jc w:val="both"/>
        <w:rPr>
          <w:rFonts w:ascii="Palatino Linotype" w:hAnsi="Palatino Linotype"/>
          <w:i/>
        </w:rPr>
      </w:pPr>
      <w:r w:rsidRPr="00A81C96">
        <w:rPr>
          <w:rFonts w:ascii="Palatino Linotype" w:hAnsi="Palatino Linotype"/>
          <w:i/>
          <w:noProof/>
          <w:lang w:val="es-MX" w:eastAsia="es-MX"/>
        </w:rPr>
        <w:lastRenderedPageBreak/>
        <w:drawing>
          <wp:inline distT="0" distB="0" distL="0" distR="0">
            <wp:extent cx="5791835" cy="6096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CC194.tmp"/>
                    <pic:cNvPicPr/>
                  </pic:nvPicPr>
                  <pic:blipFill>
                    <a:blip r:embed="rId22">
                      <a:extLst>
                        <a:ext uri="{28A0092B-C50C-407E-A947-70E740481C1C}">
                          <a14:useLocalDpi xmlns:a14="http://schemas.microsoft.com/office/drawing/2010/main" val="0"/>
                        </a:ext>
                      </a:extLst>
                    </a:blip>
                    <a:stretch>
                      <a:fillRect/>
                    </a:stretch>
                  </pic:blipFill>
                  <pic:spPr>
                    <a:xfrm>
                      <a:off x="0" y="0"/>
                      <a:ext cx="5791835" cy="6096635"/>
                    </a:xfrm>
                    <a:prstGeom prst="rect">
                      <a:avLst/>
                    </a:prstGeom>
                  </pic:spPr>
                </pic:pic>
              </a:graphicData>
            </a:graphic>
          </wp:inline>
        </w:drawing>
      </w:r>
    </w:p>
    <w:p w:rsidR="00550F4C" w:rsidRPr="00A81C96" w:rsidRDefault="00550F4C" w:rsidP="00C01A9E">
      <w:pPr>
        <w:spacing w:line="360" w:lineRule="auto"/>
        <w:jc w:val="both"/>
        <w:rPr>
          <w:rFonts w:ascii="Palatino Linotype" w:hAnsi="Palatino Linotype"/>
          <w:i/>
        </w:rPr>
      </w:pPr>
      <w:r w:rsidRPr="00A81C96">
        <w:rPr>
          <w:rFonts w:ascii="Palatino Linotype" w:hAnsi="Palatino Linotype"/>
          <w:i/>
          <w:noProof/>
          <w:lang w:val="es-MX" w:eastAsia="es-MX"/>
        </w:rPr>
        <w:lastRenderedPageBreak/>
        <w:drawing>
          <wp:inline distT="0" distB="0" distL="0" distR="0">
            <wp:extent cx="5791835" cy="37471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BCCE6.tmp"/>
                    <pic:cNvPicPr/>
                  </pic:nvPicPr>
                  <pic:blipFill>
                    <a:blip r:embed="rId23">
                      <a:extLst>
                        <a:ext uri="{28A0092B-C50C-407E-A947-70E740481C1C}">
                          <a14:useLocalDpi xmlns:a14="http://schemas.microsoft.com/office/drawing/2010/main" val="0"/>
                        </a:ext>
                      </a:extLst>
                    </a:blip>
                    <a:stretch>
                      <a:fillRect/>
                    </a:stretch>
                  </pic:blipFill>
                  <pic:spPr>
                    <a:xfrm>
                      <a:off x="0" y="0"/>
                      <a:ext cx="5791835" cy="3747135"/>
                    </a:xfrm>
                    <a:prstGeom prst="rect">
                      <a:avLst/>
                    </a:prstGeom>
                  </pic:spPr>
                </pic:pic>
              </a:graphicData>
            </a:graphic>
          </wp:inline>
        </w:drawing>
      </w:r>
    </w:p>
    <w:p w:rsidR="00550F4C" w:rsidRPr="00A81C96" w:rsidRDefault="00550F4C" w:rsidP="00C01A9E">
      <w:pPr>
        <w:spacing w:line="360" w:lineRule="auto"/>
        <w:jc w:val="both"/>
        <w:rPr>
          <w:rFonts w:ascii="Palatino Linotype" w:hAnsi="Palatino Linotype"/>
          <w:i/>
        </w:rPr>
      </w:pPr>
      <w:r w:rsidRPr="00A81C96">
        <w:rPr>
          <w:rFonts w:ascii="Palatino Linotype" w:hAnsi="Palatino Linotype"/>
          <w:i/>
          <w:noProof/>
          <w:lang w:val="es-MX" w:eastAsia="es-MX"/>
        </w:rPr>
        <w:drawing>
          <wp:inline distT="0" distB="0" distL="0" distR="0">
            <wp:extent cx="5705475" cy="3267778"/>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BC5952.tmp"/>
                    <pic:cNvPicPr/>
                  </pic:nvPicPr>
                  <pic:blipFill>
                    <a:blip r:embed="rId24">
                      <a:extLst>
                        <a:ext uri="{28A0092B-C50C-407E-A947-70E740481C1C}">
                          <a14:useLocalDpi xmlns:a14="http://schemas.microsoft.com/office/drawing/2010/main" val="0"/>
                        </a:ext>
                      </a:extLst>
                    </a:blip>
                    <a:stretch>
                      <a:fillRect/>
                    </a:stretch>
                  </pic:blipFill>
                  <pic:spPr>
                    <a:xfrm>
                      <a:off x="0" y="0"/>
                      <a:ext cx="5709625" cy="3270155"/>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i/>
        </w:rPr>
      </w:pPr>
    </w:p>
    <w:p w:rsidR="00C01A9E" w:rsidRPr="00A81C96" w:rsidRDefault="00C01A9E" w:rsidP="00C01A9E">
      <w:pPr>
        <w:spacing w:line="360" w:lineRule="auto"/>
        <w:jc w:val="both"/>
        <w:rPr>
          <w:rFonts w:ascii="Palatino Linotype" w:hAnsi="Palatino Linotype" w:cs="Tahoma"/>
        </w:rPr>
      </w:pPr>
    </w:p>
    <w:p w:rsidR="00DF6FD4" w:rsidRPr="00A81C96" w:rsidRDefault="00DF6FD4" w:rsidP="00C01A9E">
      <w:pPr>
        <w:spacing w:line="360" w:lineRule="auto"/>
        <w:jc w:val="both"/>
        <w:rPr>
          <w:rFonts w:ascii="Palatino Linotype" w:hAnsi="Palatino Linotype" w:cs="Tahoma"/>
        </w:rPr>
      </w:pPr>
      <w:r w:rsidRPr="00A81C96">
        <w:rPr>
          <w:rFonts w:ascii="Palatino Linotype" w:hAnsi="Palatino Linotype" w:cs="Tahoma"/>
        </w:rPr>
        <w:t>Siguiendo los pasos proporcionados por el Sujeto Obligado</w:t>
      </w:r>
      <w:r w:rsidR="00282789" w:rsidRPr="00A81C96">
        <w:rPr>
          <w:rFonts w:ascii="Palatino Linotype" w:hAnsi="Palatino Linotype" w:cs="Tahoma"/>
        </w:rPr>
        <w:t xml:space="preserve"> mediante informe justificado se tiene la siguiente información, a manera de ilustración:</w:t>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drawing>
          <wp:inline distT="0" distB="0" distL="0" distR="0">
            <wp:extent cx="5048250" cy="33214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BCF1FC.tmp"/>
                    <pic:cNvPicPr/>
                  </pic:nvPicPr>
                  <pic:blipFill>
                    <a:blip r:embed="rId25">
                      <a:extLst>
                        <a:ext uri="{28A0092B-C50C-407E-A947-70E740481C1C}">
                          <a14:useLocalDpi xmlns:a14="http://schemas.microsoft.com/office/drawing/2010/main" val="0"/>
                        </a:ext>
                      </a:extLst>
                    </a:blip>
                    <a:stretch>
                      <a:fillRect/>
                    </a:stretch>
                  </pic:blipFill>
                  <pic:spPr>
                    <a:xfrm>
                      <a:off x="0" y="0"/>
                      <a:ext cx="5057516" cy="3327503"/>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lastRenderedPageBreak/>
        <w:drawing>
          <wp:inline distT="0" distB="0" distL="0" distR="0">
            <wp:extent cx="4762500" cy="44977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BCBE9C.tmp"/>
                    <pic:cNvPicPr/>
                  </pic:nvPicPr>
                  <pic:blipFill>
                    <a:blip r:embed="rId26">
                      <a:extLst>
                        <a:ext uri="{28A0092B-C50C-407E-A947-70E740481C1C}">
                          <a14:useLocalDpi xmlns:a14="http://schemas.microsoft.com/office/drawing/2010/main" val="0"/>
                        </a:ext>
                      </a:extLst>
                    </a:blip>
                    <a:stretch>
                      <a:fillRect/>
                    </a:stretch>
                  </pic:blipFill>
                  <pic:spPr>
                    <a:xfrm>
                      <a:off x="0" y="0"/>
                      <a:ext cx="4769141" cy="4504044"/>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drawing>
          <wp:inline distT="0" distB="0" distL="0" distR="0">
            <wp:extent cx="2896004" cy="523948"/>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BC3AE1.tmp"/>
                    <pic:cNvPicPr/>
                  </pic:nvPicPr>
                  <pic:blipFill>
                    <a:blip r:embed="rId27">
                      <a:extLst>
                        <a:ext uri="{28A0092B-C50C-407E-A947-70E740481C1C}">
                          <a14:useLocalDpi xmlns:a14="http://schemas.microsoft.com/office/drawing/2010/main" val="0"/>
                        </a:ext>
                      </a:extLst>
                    </a:blip>
                    <a:stretch>
                      <a:fillRect/>
                    </a:stretch>
                  </pic:blipFill>
                  <pic:spPr>
                    <a:xfrm>
                      <a:off x="0" y="0"/>
                      <a:ext cx="2896004" cy="523948"/>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drawing>
          <wp:inline distT="0" distB="0" distL="0" distR="0">
            <wp:extent cx="5305425" cy="1478609"/>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BCA2C4.tmp"/>
                    <pic:cNvPicPr/>
                  </pic:nvPicPr>
                  <pic:blipFill>
                    <a:blip r:embed="rId28">
                      <a:extLst>
                        <a:ext uri="{28A0092B-C50C-407E-A947-70E740481C1C}">
                          <a14:useLocalDpi xmlns:a14="http://schemas.microsoft.com/office/drawing/2010/main" val="0"/>
                        </a:ext>
                      </a:extLst>
                    </a:blip>
                    <a:stretch>
                      <a:fillRect/>
                    </a:stretch>
                  </pic:blipFill>
                  <pic:spPr>
                    <a:xfrm>
                      <a:off x="0" y="0"/>
                      <a:ext cx="5337298" cy="1487492"/>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drawing>
          <wp:inline distT="0" distB="0" distL="0" distR="0">
            <wp:extent cx="5791835" cy="5549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BCE1A3.tmp"/>
                    <pic:cNvPicPr/>
                  </pic:nvPicPr>
                  <pic:blipFill>
                    <a:blip r:embed="rId29">
                      <a:extLst>
                        <a:ext uri="{28A0092B-C50C-407E-A947-70E740481C1C}">
                          <a14:useLocalDpi xmlns:a14="http://schemas.microsoft.com/office/drawing/2010/main" val="0"/>
                        </a:ext>
                      </a:extLst>
                    </a:blip>
                    <a:stretch>
                      <a:fillRect/>
                    </a:stretch>
                  </pic:blipFill>
                  <pic:spPr>
                    <a:xfrm>
                      <a:off x="0" y="0"/>
                      <a:ext cx="5791835" cy="554990"/>
                    </a:xfrm>
                    <a:prstGeom prst="rect">
                      <a:avLst/>
                    </a:prstGeom>
                  </pic:spPr>
                </pic:pic>
              </a:graphicData>
            </a:graphic>
          </wp:inline>
        </w:drawing>
      </w:r>
    </w:p>
    <w:p w:rsidR="00282789" w:rsidRPr="00A81C96" w:rsidRDefault="00282789" w:rsidP="00282789">
      <w:pPr>
        <w:spacing w:line="360" w:lineRule="auto"/>
        <w:jc w:val="center"/>
        <w:rPr>
          <w:rFonts w:ascii="Palatino Linotype" w:hAnsi="Palatino Linotype" w:cs="Tahoma"/>
        </w:rPr>
      </w:pPr>
      <w:r w:rsidRPr="00A81C96">
        <w:rPr>
          <w:rFonts w:ascii="Palatino Linotype" w:hAnsi="Palatino Linotype" w:cs="Tahoma"/>
          <w:noProof/>
          <w:lang w:val="es-MX" w:eastAsia="es-MX"/>
        </w:rPr>
        <w:lastRenderedPageBreak/>
        <w:drawing>
          <wp:inline distT="0" distB="0" distL="0" distR="0">
            <wp:extent cx="5791835" cy="48323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BC1120.tmp"/>
                    <pic:cNvPicPr/>
                  </pic:nvPicPr>
                  <pic:blipFill>
                    <a:blip r:embed="rId30">
                      <a:extLst>
                        <a:ext uri="{28A0092B-C50C-407E-A947-70E740481C1C}">
                          <a14:useLocalDpi xmlns:a14="http://schemas.microsoft.com/office/drawing/2010/main" val="0"/>
                        </a:ext>
                      </a:extLst>
                    </a:blip>
                    <a:stretch>
                      <a:fillRect/>
                    </a:stretch>
                  </pic:blipFill>
                  <pic:spPr>
                    <a:xfrm>
                      <a:off x="0" y="0"/>
                      <a:ext cx="5791835" cy="4832350"/>
                    </a:xfrm>
                    <a:prstGeom prst="rect">
                      <a:avLst/>
                    </a:prstGeom>
                  </pic:spPr>
                </pic:pic>
              </a:graphicData>
            </a:graphic>
          </wp:inline>
        </w:drawing>
      </w:r>
      <w:r w:rsidRPr="00A81C96">
        <w:rPr>
          <w:rFonts w:ascii="Palatino Linotype" w:hAnsi="Palatino Linotype"/>
          <w:i/>
          <w:noProof/>
          <w:lang w:val="es-MX" w:eastAsia="es-MX"/>
        </w:rPr>
        <w:drawing>
          <wp:inline distT="0" distB="0" distL="0" distR="0" wp14:anchorId="1FEC4A94" wp14:editId="46F5D885">
            <wp:extent cx="2320925" cy="64770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BCA13E.tmp"/>
                    <pic:cNvPicPr/>
                  </pic:nvPicPr>
                  <pic:blipFill>
                    <a:blip r:embed="rId31">
                      <a:extLst>
                        <a:ext uri="{28A0092B-C50C-407E-A947-70E740481C1C}">
                          <a14:useLocalDpi xmlns:a14="http://schemas.microsoft.com/office/drawing/2010/main" val="0"/>
                        </a:ext>
                      </a:extLst>
                    </a:blip>
                    <a:stretch>
                      <a:fillRect/>
                    </a:stretch>
                  </pic:blipFill>
                  <pic:spPr>
                    <a:xfrm>
                      <a:off x="0" y="0"/>
                      <a:ext cx="2325878" cy="649082"/>
                    </a:xfrm>
                    <a:prstGeom prst="rect">
                      <a:avLst/>
                    </a:prstGeom>
                  </pic:spPr>
                </pic:pic>
              </a:graphicData>
            </a:graphic>
          </wp:inline>
        </w:drawing>
      </w:r>
    </w:p>
    <w:p w:rsidR="00DF6FD4" w:rsidRPr="00A81C96" w:rsidRDefault="00DF6FD4" w:rsidP="00C01A9E">
      <w:pPr>
        <w:spacing w:line="360" w:lineRule="auto"/>
        <w:jc w:val="both"/>
        <w:rPr>
          <w:rFonts w:ascii="Palatino Linotype" w:hAnsi="Palatino Linotype" w:cs="Tahoma"/>
        </w:rPr>
      </w:pPr>
    </w:p>
    <w:p w:rsidR="00C01A9E" w:rsidRPr="00A81C96" w:rsidRDefault="00C01A9E" w:rsidP="00C01A9E">
      <w:pPr>
        <w:pStyle w:val="Sinespaciado"/>
        <w:spacing w:line="360" w:lineRule="auto"/>
        <w:jc w:val="both"/>
        <w:rPr>
          <w:rFonts w:ascii="Palatino Linotype" w:eastAsia="Palatino Linotype" w:hAnsi="Palatino Linotype" w:cs="Palatino Linotype"/>
          <w:color w:val="000000"/>
          <w:sz w:val="24"/>
          <w:lang w:val="es-ES_tradnl" w:eastAsia="es-MX"/>
        </w:rPr>
      </w:pPr>
      <w:r w:rsidRPr="00A81C96">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C01A9E" w:rsidRPr="00A81C96" w:rsidRDefault="00C01A9E" w:rsidP="00C01A9E">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9"/>
        <w:gridCol w:w="3642"/>
        <w:gridCol w:w="1533"/>
        <w:gridCol w:w="1533"/>
      </w:tblGrid>
      <w:tr w:rsidR="00282789" w:rsidRPr="00A81C96" w:rsidTr="00282789">
        <w:trPr>
          <w:trHeight w:val="253"/>
        </w:trPr>
        <w:tc>
          <w:tcPr>
            <w:tcW w:w="2519" w:type="dxa"/>
            <w:shd w:val="clear" w:color="auto" w:fill="E7E6E6" w:themeFill="background2"/>
          </w:tcPr>
          <w:p w:rsidR="00282789" w:rsidRPr="00A81C96" w:rsidRDefault="00282789" w:rsidP="00CA694C">
            <w:pPr>
              <w:spacing w:line="360" w:lineRule="auto"/>
              <w:jc w:val="center"/>
              <w:rPr>
                <w:rFonts w:ascii="Palatino Linotype" w:hAnsi="Palatino Linotype"/>
                <w:b/>
                <w:i/>
                <w:color w:val="000000"/>
              </w:rPr>
            </w:pPr>
            <w:r w:rsidRPr="00A81C96">
              <w:rPr>
                <w:rFonts w:ascii="Palatino Linotype" w:hAnsi="Palatino Linotype"/>
                <w:b/>
                <w:i/>
                <w:color w:val="000000"/>
              </w:rPr>
              <w:lastRenderedPageBreak/>
              <w:t>Requerimientos</w:t>
            </w:r>
          </w:p>
        </w:tc>
        <w:tc>
          <w:tcPr>
            <w:tcW w:w="3642" w:type="dxa"/>
            <w:shd w:val="clear" w:color="auto" w:fill="E7E6E6" w:themeFill="background2"/>
          </w:tcPr>
          <w:p w:rsidR="00282789" w:rsidRPr="00A81C96" w:rsidRDefault="00282789" w:rsidP="00CA694C">
            <w:pPr>
              <w:spacing w:line="360" w:lineRule="auto"/>
              <w:jc w:val="center"/>
              <w:rPr>
                <w:rFonts w:ascii="Palatino Linotype" w:hAnsi="Palatino Linotype"/>
                <w:b/>
                <w:i/>
                <w:color w:val="000000"/>
              </w:rPr>
            </w:pPr>
            <w:r w:rsidRPr="00A81C96">
              <w:rPr>
                <w:rFonts w:ascii="Palatino Linotype" w:hAnsi="Palatino Linotype"/>
                <w:b/>
                <w:i/>
                <w:color w:val="000000"/>
              </w:rPr>
              <w:t>Respuesta</w:t>
            </w:r>
          </w:p>
        </w:tc>
        <w:tc>
          <w:tcPr>
            <w:tcW w:w="1533" w:type="dxa"/>
            <w:shd w:val="clear" w:color="auto" w:fill="E7E6E6" w:themeFill="background2"/>
          </w:tcPr>
          <w:p w:rsidR="00282789" w:rsidRPr="00A81C96" w:rsidRDefault="00282789" w:rsidP="00CA694C">
            <w:pPr>
              <w:spacing w:line="360" w:lineRule="auto"/>
              <w:jc w:val="center"/>
              <w:rPr>
                <w:rFonts w:ascii="Palatino Linotype" w:hAnsi="Palatino Linotype"/>
                <w:b/>
                <w:i/>
                <w:color w:val="000000"/>
              </w:rPr>
            </w:pPr>
            <w:r w:rsidRPr="00A81C96">
              <w:rPr>
                <w:rFonts w:ascii="Palatino Linotype" w:hAnsi="Palatino Linotype"/>
                <w:b/>
                <w:i/>
                <w:color w:val="000000"/>
              </w:rPr>
              <w:t>Informe Justificado</w:t>
            </w:r>
          </w:p>
        </w:tc>
        <w:tc>
          <w:tcPr>
            <w:tcW w:w="1533" w:type="dxa"/>
            <w:shd w:val="clear" w:color="auto" w:fill="E7E6E6" w:themeFill="background2"/>
          </w:tcPr>
          <w:p w:rsidR="00282789" w:rsidRPr="00A81C96" w:rsidRDefault="00282789" w:rsidP="00CA694C">
            <w:pPr>
              <w:spacing w:line="360" w:lineRule="auto"/>
              <w:jc w:val="center"/>
              <w:rPr>
                <w:rFonts w:ascii="Palatino Linotype" w:hAnsi="Palatino Linotype"/>
                <w:b/>
                <w:i/>
                <w:color w:val="000000"/>
              </w:rPr>
            </w:pPr>
            <w:r w:rsidRPr="00A81C96">
              <w:rPr>
                <w:rFonts w:ascii="Palatino Linotype" w:hAnsi="Palatino Linotype"/>
                <w:b/>
                <w:i/>
                <w:color w:val="000000"/>
              </w:rPr>
              <w:t>Colma</w:t>
            </w:r>
          </w:p>
        </w:tc>
      </w:tr>
      <w:tr w:rsidR="00282789" w:rsidRPr="00A81C96" w:rsidTr="00282789">
        <w:trPr>
          <w:trHeight w:val="767"/>
        </w:trPr>
        <w:tc>
          <w:tcPr>
            <w:tcW w:w="2519" w:type="dxa"/>
          </w:tcPr>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De los ejercicios 2024 y 2025:</w:t>
            </w:r>
          </w:p>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1.licitaciones públicas nacionales</w:t>
            </w:r>
          </w:p>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 xml:space="preserve">2.Invitaciones Restringidas </w:t>
            </w:r>
          </w:p>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 xml:space="preserve">3.Adjudicaciones Directas </w:t>
            </w:r>
          </w:p>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 xml:space="preserve">4.Adjudicaciones Directas con excepción de Licitación Pública Nacional </w:t>
            </w:r>
          </w:p>
          <w:p w:rsidR="00282789" w:rsidRPr="00A81C96" w:rsidRDefault="00282789" w:rsidP="00282789">
            <w:pPr>
              <w:tabs>
                <w:tab w:val="left" w:pos="1828"/>
              </w:tabs>
              <w:jc w:val="both"/>
              <w:rPr>
                <w:rFonts w:ascii="Palatino Linotype" w:hAnsi="Palatino Linotype" w:cs="Tahoma"/>
                <w:bCs/>
                <w:sz w:val="22"/>
              </w:rPr>
            </w:pPr>
            <w:r w:rsidRPr="00A81C96">
              <w:rPr>
                <w:rFonts w:ascii="Palatino Linotype" w:hAnsi="Palatino Linotype" w:cs="Tahoma"/>
                <w:bCs/>
                <w:sz w:val="22"/>
              </w:rPr>
              <w:t>La información deberá contener fechas por procedimiento, es decir, cada procedimiento deberá contar con fecha de publicación de bases, que empresas compraron las bases, acta de apertura de propuestas, acta de junta de aclaraciones, fallo y contrato firmado</w:t>
            </w:r>
          </w:p>
        </w:tc>
        <w:tc>
          <w:tcPr>
            <w:tcW w:w="3642" w:type="dxa"/>
          </w:tcPr>
          <w:p w:rsidR="00282789" w:rsidRPr="00A81C96" w:rsidRDefault="00282789" w:rsidP="00CA694C">
            <w:pPr>
              <w:jc w:val="both"/>
              <w:rPr>
                <w:rFonts w:ascii="Palatino Linotype" w:hAnsi="Palatino Linotype"/>
                <w:color w:val="000000"/>
              </w:rPr>
            </w:pPr>
            <w:r w:rsidRPr="00A81C96">
              <w:rPr>
                <w:rFonts w:ascii="Palatino Linotype" w:hAnsi="Palatino Linotype"/>
                <w:color w:val="000000"/>
              </w:rPr>
              <w:t>Expedientes de los procedimientos del segundo trimestre de 2025.</w:t>
            </w:r>
          </w:p>
          <w:p w:rsidR="00282789" w:rsidRPr="00A81C96" w:rsidRDefault="00282789" w:rsidP="00CA694C">
            <w:pPr>
              <w:jc w:val="both"/>
              <w:rPr>
                <w:rFonts w:ascii="Palatino Linotype" w:hAnsi="Palatino Linotype"/>
                <w:color w:val="000000"/>
              </w:rPr>
            </w:pPr>
          </w:p>
          <w:p w:rsidR="00282789" w:rsidRPr="00A81C96" w:rsidRDefault="00282789" w:rsidP="00CA694C">
            <w:pPr>
              <w:jc w:val="both"/>
              <w:rPr>
                <w:rFonts w:ascii="Palatino Linotype" w:hAnsi="Palatino Linotype"/>
                <w:color w:val="000000"/>
              </w:rPr>
            </w:pPr>
            <w:r w:rsidRPr="00A81C96">
              <w:rPr>
                <w:rFonts w:ascii="Palatino Linotype" w:hAnsi="Palatino Linotype"/>
                <w:color w:val="000000"/>
              </w:rPr>
              <w:t>Liga electrónica que dirige al IPOMEX para consultar la información de 2024 y primer trimestre de 2025.</w:t>
            </w:r>
          </w:p>
        </w:tc>
        <w:tc>
          <w:tcPr>
            <w:tcW w:w="1533" w:type="dxa"/>
          </w:tcPr>
          <w:p w:rsidR="00282789" w:rsidRPr="00A81C96" w:rsidRDefault="00282789" w:rsidP="00CA694C">
            <w:pPr>
              <w:jc w:val="center"/>
              <w:rPr>
                <w:rFonts w:ascii="Palatino Linotype" w:hAnsi="Palatino Linotype"/>
                <w:i/>
              </w:rPr>
            </w:pPr>
            <w:r w:rsidRPr="00A81C96">
              <w:rPr>
                <w:rFonts w:ascii="Palatino Linotype" w:hAnsi="Palatino Linotype"/>
                <w:i/>
              </w:rPr>
              <w:t>Pasos a seguir para acceder a la información de 2024 y primer trimestre de 2025, se observan los contratos firmados, así como el objeto del mismo.</w:t>
            </w:r>
          </w:p>
        </w:tc>
        <w:tc>
          <w:tcPr>
            <w:tcW w:w="1533" w:type="dxa"/>
          </w:tcPr>
          <w:p w:rsidR="00282789" w:rsidRPr="00A81C96" w:rsidRDefault="00282789" w:rsidP="00CA694C">
            <w:pPr>
              <w:jc w:val="center"/>
              <w:rPr>
                <w:rFonts w:ascii="Palatino Linotype" w:hAnsi="Palatino Linotype"/>
                <w:i/>
              </w:rPr>
            </w:pPr>
            <w:r w:rsidRPr="00A81C96">
              <w:rPr>
                <w:rFonts w:ascii="Palatino Linotype" w:hAnsi="Palatino Linotype"/>
                <w:i/>
              </w:rPr>
              <w:t>Sí</w:t>
            </w:r>
          </w:p>
          <w:p w:rsidR="00282789" w:rsidRPr="00A81C96" w:rsidRDefault="00282789" w:rsidP="00CA694C">
            <w:pPr>
              <w:jc w:val="center"/>
              <w:rPr>
                <w:rFonts w:ascii="Palatino Linotype" w:hAnsi="Palatino Linotype"/>
                <w:i/>
              </w:rPr>
            </w:pPr>
            <w:r w:rsidRPr="00A81C96">
              <w:rPr>
                <w:rFonts w:ascii="Palatino Linotype" w:hAnsi="Palatino Linotype"/>
                <w:i/>
              </w:rPr>
              <w:t xml:space="preserve">Mediante informe justificado. </w:t>
            </w:r>
          </w:p>
        </w:tc>
      </w:tr>
    </w:tbl>
    <w:p w:rsidR="00C01A9E" w:rsidRPr="00A81C96" w:rsidRDefault="00C01A9E" w:rsidP="00C01A9E">
      <w:pPr>
        <w:spacing w:line="360" w:lineRule="auto"/>
        <w:jc w:val="both"/>
        <w:rPr>
          <w:rFonts w:ascii="Palatino Linotype" w:hAnsi="Palatino Linotype"/>
          <w:color w:val="000000"/>
        </w:rPr>
      </w:pPr>
    </w:p>
    <w:p w:rsidR="009513E7" w:rsidRPr="00A81C96" w:rsidRDefault="00AD16B7" w:rsidP="009513E7">
      <w:pPr>
        <w:autoSpaceDE w:val="0"/>
        <w:autoSpaceDN w:val="0"/>
        <w:adjustRightInd w:val="0"/>
        <w:spacing w:line="360" w:lineRule="auto"/>
        <w:jc w:val="both"/>
        <w:rPr>
          <w:rFonts w:ascii="Palatino Linotype" w:eastAsiaTheme="minorHAnsi" w:hAnsi="Palatino Linotype" w:cstheme="minorBidi"/>
          <w:szCs w:val="22"/>
          <w:lang w:val="es-MX" w:eastAsia="en-US"/>
        </w:rPr>
      </w:pPr>
      <w:r w:rsidRPr="00A81C96">
        <w:rPr>
          <w:rFonts w:ascii="Palatino Linotype" w:hAnsi="Palatino Linotype"/>
          <w:color w:val="000000"/>
        </w:rPr>
        <w:t xml:space="preserve">En </w:t>
      </w:r>
      <w:r w:rsidR="009513E7" w:rsidRPr="00A81C96">
        <w:rPr>
          <w:rFonts w:ascii="Palatino Linotype" w:eastAsiaTheme="minorHAnsi" w:hAnsi="Palatino Linotype" w:cstheme="minorBidi"/>
          <w:szCs w:val="22"/>
          <w:lang w:val="es-MX" w:eastAsia="en-US"/>
        </w:rPr>
        <w:t xml:space="preserve">Sin embargo, el Recurrente consideró que no le entregaron la información requerida, así del análisis efectuado a las manifestaciones esgrimidas mediante su informe justificado, se advierte que </w:t>
      </w:r>
      <w:r w:rsidR="009513E7" w:rsidRPr="00A81C96">
        <w:rPr>
          <w:rFonts w:ascii="Palatino Linotype" w:eastAsiaTheme="minorHAnsi" w:hAnsi="Palatino Linotype" w:cstheme="minorBidi"/>
          <w:b/>
          <w:szCs w:val="22"/>
          <w:lang w:val="es-MX" w:eastAsia="en-US"/>
        </w:rPr>
        <w:t>El Sujeto Obligado</w:t>
      </w:r>
      <w:r w:rsidR="009513E7" w:rsidRPr="00A81C96">
        <w:rPr>
          <w:rFonts w:ascii="Palatino Linotype" w:eastAsiaTheme="minorHAnsi" w:hAnsi="Palatino Linotype" w:cstheme="minorBidi"/>
          <w:szCs w:val="22"/>
          <w:lang w:val="es-MX" w:eastAsia="en-US"/>
        </w:rPr>
        <w:t xml:space="preserve"> colma en su totalidad lo solicitado por la particular, al referir que el número de dictámenes técnicos.</w:t>
      </w:r>
    </w:p>
    <w:p w:rsidR="009513E7" w:rsidRPr="00A81C96" w:rsidRDefault="009513E7" w:rsidP="009513E7">
      <w:pPr>
        <w:autoSpaceDE w:val="0"/>
        <w:autoSpaceDN w:val="0"/>
        <w:adjustRightInd w:val="0"/>
        <w:spacing w:line="360" w:lineRule="auto"/>
        <w:jc w:val="both"/>
        <w:rPr>
          <w:rFonts w:ascii="Palatino Linotype" w:eastAsiaTheme="minorHAnsi" w:hAnsi="Palatino Linotype" w:cstheme="minorBidi"/>
          <w:szCs w:val="22"/>
          <w:lang w:val="es-MX" w:eastAsia="en-US"/>
        </w:rPr>
      </w:pPr>
    </w:p>
    <w:p w:rsidR="009513E7" w:rsidRPr="00A81C96" w:rsidRDefault="009513E7" w:rsidP="009513E7">
      <w:pPr>
        <w:spacing w:after="160" w:line="360" w:lineRule="auto"/>
        <w:jc w:val="both"/>
        <w:rPr>
          <w:rFonts w:ascii="Palatino Linotype" w:eastAsiaTheme="minorHAnsi" w:hAnsi="Palatino Linotype" w:cs="Arial"/>
          <w:color w:val="000000"/>
          <w:szCs w:val="22"/>
          <w:lang w:val="es-MX" w:eastAsia="en-US"/>
        </w:rPr>
      </w:pPr>
      <w:r w:rsidRPr="00A81C96">
        <w:rPr>
          <w:rFonts w:ascii="Palatino Linotype" w:eastAsiaTheme="minorHAnsi" w:hAnsi="Palatino Linotype" w:cs="Arial"/>
          <w:color w:val="000000"/>
          <w:szCs w:val="22"/>
          <w:lang w:val="es-MX" w:eastAsia="en-US"/>
        </w:rPr>
        <w:lastRenderedPageBreak/>
        <w:t>En síntesis, el derecho de acceso a la información pública se satisface en aquellos casos en que se entregue el soporte documental en que conste la información pública, toda vez que, los Sujetos Obligados</w:t>
      </w:r>
      <w:r w:rsidRPr="00A81C96">
        <w:rPr>
          <w:rFonts w:ascii="Palatino Linotype" w:eastAsiaTheme="minorHAnsi" w:hAnsi="Palatino Linotype" w:cs="Arial"/>
          <w:b/>
          <w:color w:val="000000"/>
          <w:szCs w:val="22"/>
          <w:lang w:val="es-MX" w:eastAsia="en-US"/>
        </w:rPr>
        <w:t xml:space="preserve"> </w:t>
      </w:r>
      <w:r w:rsidRPr="00A81C96">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A81C96">
        <w:rPr>
          <w:rFonts w:ascii="Palatino Linotype" w:eastAsiaTheme="minorHAnsi" w:hAnsi="Palatino Linotype" w:cs="Arial"/>
          <w:i/>
          <w:color w:val="000000"/>
          <w:szCs w:val="22"/>
          <w:lang w:val="es-MX" w:eastAsia="en-US"/>
        </w:rPr>
        <w:t>ad hoc</w:t>
      </w:r>
      <w:r w:rsidRPr="00A81C96">
        <w:rPr>
          <w:rFonts w:ascii="Palatino Linotype" w:eastAsiaTheme="minorHAnsi" w:hAnsi="Palatino Linotype" w:cs="Arial"/>
          <w:color w:val="000000"/>
          <w:szCs w:val="22"/>
          <w:lang w:val="es-MX" w:eastAsia="en-US"/>
        </w:rPr>
        <w:t>, para satisfacer el derecho de acceso a la información pública.</w:t>
      </w:r>
    </w:p>
    <w:p w:rsidR="009513E7" w:rsidRPr="00A81C96" w:rsidRDefault="009513E7" w:rsidP="009513E7">
      <w:pPr>
        <w:rPr>
          <w:lang w:val="es-MX"/>
        </w:rPr>
      </w:pPr>
    </w:p>
    <w:p w:rsidR="009513E7" w:rsidRPr="00A81C96" w:rsidRDefault="009513E7" w:rsidP="009513E7">
      <w:pPr>
        <w:spacing w:after="160" w:line="360" w:lineRule="auto"/>
        <w:jc w:val="both"/>
        <w:rPr>
          <w:rFonts w:ascii="Palatino Linotype" w:eastAsiaTheme="minorHAnsi" w:hAnsi="Palatino Linotype" w:cs="Arial"/>
          <w:color w:val="000000"/>
          <w:szCs w:val="22"/>
          <w:lang w:val="es-MX" w:eastAsia="en-US"/>
        </w:rPr>
      </w:pPr>
      <w:r w:rsidRPr="00A81C96">
        <w:rPr>
          <w:rFonts w:ascii="Palatino Linotype" w:eastAsiaTheme="minorHAnsi" w:hAnsi="Palatino Linotype" w:cs="Arial"/>
          <w:color w:val="000000"/>
          <w:szCs w:val="22"/>
          <w:lang w:val="es-MX" w:eastAsia="en-US"/>
        </w:rPr>
        <w:t xml:space="preserve">Como apoyo a lo anterior, es aplicable el Criterio orientador 03-17, emitido por </w:t>
      </w:r>
      <w:r w:rsidRPr="00A81C96">
        <w:rPr>
          <w:rFonts w:ascii="Palatino Linotype" w:eastAsia="Arial Unicode MS" w:hAnsi="Palatino Linotype" w:cs="Arial"/>
          <w:color w:val="000000"/>
          <w:szCs w:val="22"/>
          <w:lang w:val="es-MX" w:eastAsia="en-US"/>
        </w:rPr>
        <w:t>el entonces Instituto Nacional de Transparencia, Acceso a la Información y Protección de Datos Personales,</w:t>
      </w:r>
      <w:r w:rsidRPr="00A81C96">
        <w:rPr>
          <w:rFonts w:ascii="Palatino Linotype" w:eastAsiaTheme="minorHAnsi" w:hAnsi="Palatino Linotype" w:cstheme="minorBidi"/>
          <w:bCs/>
          <w:color w:val="000000"/>
          <w:szCs w:val="22"/>
          <w:lang w:val="es-MX" w:eastAsia="en-US"/>
        </w:rPr>
        <w:t xml:space="preserve"> que dice:</w:t>
      </w:r>
      <w:r w:rsidRPr="00A81C96">
        <w:rPr>
          <w:rFonts w:ascii="Palatino Linotype" w:eastAsiaTheme="minorHAnsi" w:hAnsi="Palatino Linotype" w:cstheme="minorBidi"/>
          <w:b/>
          <w:bCs/>
          <w:color w:val="000000"/>
          <w:szCs w:val="22"/>
          <w:lang w:val="es-MX" w:eastAsia="en-US"/>
        </w:rPr>
        <w:t xml:space="preserve"> </w:t>
      </w:r>
    </w:p>
    <w:p w:rsidR="009513E7" w:rsidRPr="00A81C96" w:rsidRDefault="009513E7" w:rsidP="009513E7">
      <w:pPr>
        <w:spacing w:after="160" w:line="259" w:lineRule="auto"/>
        <w:ind w:left="851" w:right="850"/>
        <w:jc w:val="both"/>
        <w:rPr>
          <w:rFonts w:ascii="Palatino Linotype" w:eastAsiaTheme="minorHAnsi" w:hAnsi="Palatino Linotype" w:cs="Arial"/>
          <w:color w:val="000000"/>
          <w:sz w:val="2"/>
          <w:szCs w:val="22"/>
          <w:lang w:val="es-MX" w:eastAsia="en-US"/>
        </w:rPr>
      </w:pPr>
    </w:p>
    <w:p w:rsidR="009513E7" w:rsidRPr="00A81C96" w:rsidRDefault="009513E7" w:rsidP="009513E7">
      <w:pPr>
        <w:spacing w:after="160" w:line="259" w:lineRule="auto"/>
        <w:ind w:left="567" w:right="567"/>
        <w:jc w:val="both"/>
        <w:rPr>
          <w:rFonts w:ascii="Palatino Linotype" w:eastAsiaTheme="minorHAnsi" w:hAnsi="Palatino Linotype" w:cs="Arial"/>
          <w:i/>
          <w:color w:val="000000"/>
          <w:sz w:val="22"/>
          <w:szCs w:val="22"/>
          <w:lang w:val="es-MX" w:eastAsia="en-US"/>
        </w:rPr>
      </w:pPr>
      <w:r w:rsidRPr="00A81C96">
        <w:rPr>
          <w:rFonts w:ascii="Palatino Linotype" w:eastAsiaTheme="minorHAnsi" w:hAnsi="Palatino Linotype" w:cs="Arial"/>
          <w:i/>
          <w:color w:val="000000"/>
          <w:sz w:val="22"/>
          <w:szCs w:val="22"/>
          <w:lang w:val="es-MX" w:eastAsia="en-US"/>
        </w:rPr>
        <w:t>“</w:t>
      </w:r>
      <w:r w:rsidRPr="00A81C96">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A81C96">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513E7" w:rsidRPr="00A81C96" w:rsidRDefault="009513E7" w:rsidP="009513E7">
      <w:pPr>
        <w:spacing w:after="160" w:line="259" w:lineRule="auto"/>
        <w:ind w:left="567" w:right="567"/>
        <w:jc w:val="both"/>
        <w:rPr>
          <w:rFonts w:ascii="Palatino Linotype" w:eastAsiaTheme="minorHAnsi" w:hAnsi="Palatino Linotype" w:cs="Arial"/>
          <w:i/>
          <w:color w:val="000000"/>
          <w:sz w:val="2"/>
          <w:szCs w:val="22"/>
          <w:lang w:val="es-MX" w:eastAsia="en-US"/>
        </w:rPr>
      </w:pPr>
    </w:p>
    <w:p w:rsidR="009513E7" w:rsidRPr="00A81C96" w:rsidRDefault="009513E7" w:rsidP="009513E7">
      <w:pPr>
        <w:spacing w:after="160" w:line="259" w:lineRule="auto"/>
        <w:ind w:left="567" w:right="567"/>
        <w:jc w:val="both"/>
        <w:rPr>
          <w:rFonts w:ascii="Palatino Linotype" w:eastAsiaTheme="minorHAnsi" w:hAnsi="Palatino Linotype" w:cs="Arial"/>
          <w:i/>
          <w:color w:val="000000"/>
          <w:sz w:val="22"/>
          <w:szCs w:val="22"/>
          <w:lang w:val="es-MX" w:eastAsia="en-US"/>
        </w:rPr>
      </w:pPr>
      <w:r w:rsidRPr="00A81C96">
        <w:rPr>
          <w:rFonts w:ascii="Palatino Linotype" w:eastAsiaTheme="minorHAnsi" w:hAnsi="Palatino Linotype" w:cs="Arial"/>
          <w:i/>
          <w:color w:val="000000"/>
          <w:sz w:val="22"/>
          <w:szCs w:val="22"/>
          <w:lang w:val="es-MX" w:eastAsia="en-US"/>
        </w:rPr>
        <w:t xml:space="preserve">Resoluciones: </w:t>
      </w:r>
    </w:p>
    <w:p w:rsidR="009513E7" w:rsidRPr="00A81C96" w:rsidRDefault="009513E7" w:rsidP="009513E7">
      <w:pPr>
        <w:spacing w:after="160"/>
        <w:ind w:left="567" w:right="567"/>
        <w:jc w:val="both"/>
        <w:rPr>
          <w:rFonts w:ascii="Palatino Linotype" w:eastAsiaTheme="minorHAnsi" w:hAnsi="Palatino Linotype" w:cs="Arial"/>
          <w:i/>
          <w:color w:val="000000"/>
          <w:sz w:val="22"/>
          <w:szCs w:val="22"/>
          <w:lang w:val="es-MX" w:eastAsia="en-US"/>
        </w:rPr>
      </w:pPr>
      <w:r w:rsidRPr="00A81C96">
        <w:rPr>
          <w:rFonts w:ascii="Palatino Linotype" w:eastAsiaTheme="minorHAnsi" w:hAnsi="Palatino Linotype" w:cs="Arial"/>
          <w:i/>
          <w:color w:val="000000"/>
          <w:sz w:val="22"/>
          <w:szCs w:val="22"/>
          <w:lang w:val="es-MX" w:eastAsia="en-US"/>
        </w:rPr>
        <w:sym w:font="Symbol" w:char="F0B7"/>
      </w:r>
      <w:r w:rsidRPr="00A81C96">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rsidR="009513E7" w:rsidRPr="00A81C96" w:rsidRDefault="009513E7" w:rsidP="009513E7">
      <w:pPr>
        <w:spacing w:after="160"/>
        <w:ind w:left="567" w:right="567"/>
        <w:jc w:val="both"/>
        <w:rPr>
          <w:rFonts w:ascii="Palatino Linotype" w:eastAsiaTheme="minorHAnsi" w:hAnsi="Palatino Linotype" w:cs="Arial"/>
          <w:i/>
          <w:color w:val="000000"/>
          <w:sz w:val="22"/>
          <w:szCs w:val="22"/>
          <w:lang w:val="es-MX" w:eastAsia="en-US"/>
        </w:rPr>
      </w:pPr>
      <w:r w:rsidRPr="00A81C96">
        <w:rPr>
          <w:rFonts w:ascii="Palatino Linotype" w:eastAsiaTheme="minorHAnsi" w:hAnsi="Palatino Linotype" w:cs="Arial"/>
          <w:i/>
          <w:color w:val="000000"/>
          <w:sz w:val="22"/>
          <w:szCs w:val="22"/>
          <w:lang w:val="es-MX" w:eastAsia="en-US"/>
        </w:rPr>
        <w:sym w:font="Symbol" w:char="F0B7"/>
      </w:r>
      <w:r w:rsidRPr="00A81C96">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rsidR="009513E7" w:rsidRPr="00A81C96" w:rsidRDefault="009513E7" w:rsidP="009513E7">
      <w:pPr>
        <w:spacing w:after="160"/>
        <w:ind w:left="567" w:right="567"/>
        <w:jc w:val="both"/>
        <w:rPr>
          <w:rFonts w:ascii="Palatino Linotype" w:eastAsiaTheme="minorHAnsi" w:hAnsi="Palatino Linotype" w:cs="Arial"/>
          <w:i/>
          <w:color w:val="000000"/>
          <w:sz w:val="22"/>
          <w:szCs w:val="22"/>
          <w:lang w:val="es-MX" w:eastAsia="en-US"/>
        </w:rPr>
      </w:pPr>
      <w:r w:rsidRPr="00A81C96">
        <w:rPr>
          <w:rFonts w:ascii="Palatino Linotype" w:eastAsiaTheme="minorHAnsi" w:hAnsi="Palatino Linotype" w:cs="Arial"/>
          <w:i/>
          <w:color w:val="000000"/>
          <w:sz w:val="22"/>
          <w:szCs w:val="22"/>
          <w:lang w:val="es-MX" w:eastAsia="en-US"/>
        </w:rPr>
        <w:sym w:font="Symbol" w:char="F0B7"/>
      </w:r>
      <w:r w:rsidRPr="00A81C96">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rsidR="009513E7" w:rsidRPr="00A81C96" w:rsidRDefault="009513E7" w:rsidP="009513E7">
      <w:pPr>
        <w:autoSpaceDE w:val="0"/>
        <w:autoSpaceDN w:val="0"/>
        <w:adjustRightInd w:val="0"/>
        <w:spacing w:line="360" w:lineRule="auto"/>
        <w:jc w:val="both"/>
        <w:rPr>
          <w:rFonts w:ascii="Palatino Linotype" w:eastAsiaTheme="minorHAnsi" w:hAnsi="Palatino Linotype" w:cs="Arial"/>
          <w:lang w:val="es-MX" w:eastAsia="en-US"/>
        </w:rPr>
      </w:pPr>
    </w:p>
    <w:p w:rsidR="009513E7" w:rsidRPr="00A81C96" w:rsidRDefault="009513E7" w:rsidP="009513E7">
      <w:pPr>
        <w:autoSpaceDE w:val="0"/>
        <w:autoSpaceDN w:val="0"/>
        <w:adjustRightInd w:val="0"/>
        <w:spacing w:line="360" w:lineRule="auto"/>
        <w:jc w:val="both"/>
        <w:rPr>
          <w:rFonts w:ascii="Palatino Linotype" w:eastAsiaTheme="minorHAnsi" w:hAnsi="Palatino Linotype" w:cs="Arial"/>
          <w:lang w:val="es-MX" w:eastAsia="en-US"/>
        </w:rPr>
      </w:pPr>
      <w:r w:rsidRPr="00A81C96">
        <w:rPr>
          <w:rFonts w:ascii="Palatino Linotype" w:eastAsiaTheme="minorHAnsi" w:hAnsi="Palatino Linotype" w:cs="Arial"/>
          <w:lang w:val="es-MX" w:eastAsia="en-US"/>
        </w:rPr>
        <w:lastRenderedPageBreak/>
        <w:t xml:space="preserve">Aunado a lo antes expuesto, la respuesta emitida por </w:t>
      </w:r>
      <w:r w:rsidRPr="00A81C96">
        <w:rPr>
          <w:rFonts w:ascii="Palatino Linotype" w:eastAsiaTheme="minorHAnsi" w:hAnsi="Palatino Linotype" w:cs="Arial"/>
          <w:b/>
          <w:lang w:val="es-MX" w:eastAsia="en-US"/>
        </w:rPr>
        <w:t>El Sujeto Obligado</w:t>
      </w:r>
      <w:r w:rsidRPr="00A81C96">
        <w:rPr>
          <w:rFonts w:ascii="Palatino Linotype" w:eastAsiaTheme="minorHAnsi" w:hAnsi="Palatino Linotype" w:cs="Arial"/>
          <w:lang w:val="es-MX" w:eastAsia="en-US"/>
        </w:rPr>
        <w:t xml:space="preserve"> tiene la presunción legal de ser verídica, considerado que fue emitida por un servidor público en ejercicio de sus funciones, lo que conlleva la presunción de veracidad de todo acto administrativo.</w:t>
      </w:r>
    </w:p>
    <w:p w:rsidR="009513E7" w:rsidRPr="00A81C96" w:rsidRDefault="009513E7" w:rsidP="009513E7">
      <w:pPr>
        <w:rPr>
          <w:sz w:val="2"/>
          <w:lang w:val="es-MX"/>
        </w:rPr>
      </w:pPr>
    </w:p>
    <w:p w:rsidR="009513E7" w:rsidRPr="00A81C96" w:rsidRDefault="009513E7" w:rsidP="009513E7">
      <w:pPr>
        <w:rPr>
          <w:sz w:val="2"/>
          <w:lang w:val="es-MX"/>
        </w:rPr>
      </w:pPr>
    </w:p>
    <w:p w:rsidR="009513E7" w:rsidRPr="00A81C96" w:rsidRDefault="009513E7" w:rsidP="009513E7">
      <w:pPr>
        <w:autoSpaceDE w:val="0"/>
        <w:autoSpaceDN w:val="0"/>
        <w:adjustRightInd w:val="0"/>
        <w:spacing w:line="360" w:lineRule="auto"/>
        <w:jc w:val="both"/>
        <w:rPr>
          <w:rFonts w:ascii="Palatino Linotype" w:eastAsiaTheme="minorHAnsi" w:hAnsi="Palatino Linotype" w:cs="Arial"/>
          <w:szCs w:val="22"/>
          <w:lang w:val="es-MX" w:eastAsia="en-US"/>
        </w:rPr>
      </w:pPr>
    </w:p>
    <w:p w:rsidR="009513E7" w:rsidRPr="00A81C96" w:rsidRDefault="009513E7" w:rsidP="009513E7">
      <w:pPr>
        <w:autoSpaceDE w:val="0"/>
        <w:autoSpaceDN w:val="0"/>
        <w:adjustRightInd w:val="0"/>
        <w:spacing w:line="360" w:lineRule="auto"/>
        <w:jc w:val="both"/>
        <w:rPr>
          <w:rFonts w:ascii="Palatino Linotype" w:hAnsi="Palatino Linotype" w:cs="Arial"/>
        </w:rPr>
      </w:pPr>
      <w:r w:rsidRPr="00A81C96">
        <w:rPr>
          <w:rFonts w:ascii="Palatino Linotype" w:eastAsiaTheme="minorHAnsi" w:hAnsi="Palatino Linotype" w:cs="Arial"/>
          <w:szCs w:val="22"/>
          <w:lang w:val="es-MX" w:eastAsia="en-US"/>
        </w:rPr>
        <w:t xml:space="preserve">En conclusión, la ley de la materia establece </w:t>
      </w:r>
      <w:r w:rsidRPr="00A81C96">
        <w:rPr>
          <w:rFonts w:ascii="Palatino Linotype" w:hAnsi="Palatino Linotype" w:cs="Arial"/>
        </w:rPr>
        <w:t>en la fracción III, del artículo 192, de la Ley de Transparencia vigente en la entidad, que a la letra establecen:</w:t>
      </w:r>
    </w:p>
    <w:p w:rsidR="009513E7" w:rsidRPr="00A81C96" w:rsidRDefault="009513E7" w:rsidP="009513E7">
      <w:pPr>
        <w:spacing w:line="259" w:lineRule="auto"/>
        <w:rPr>
          <w:rFonts w:asciiTheme="minorHAnsi" w:eastAsiaTheme="minorHAnsi" w:hAnsiTheme="minorHAnsi" w:cstheme="minorBidi"/>
          <w:sz w:val="22"/>
          <w:szCs w:val="22"/>
        </w:rPr>
      </w:pPr>
    </w:p>
    <w:p w:rsidR="009513E7" w:rsidRPr="00A81C96" w:rsidRDefault="009513E7" w:rsidP="009513E7">
      <w:pPr>
        <w:autoSpaceDE w:val="0"/>
        <w:autoSpaceDN w:val="0"/>
        <w:adjustRightInd w:val="0"/>
        <w:ind w:left="708"/>
        <w:jc w:val="both"/>
        <w:rPr>
          <w:rFonts w:ascii="Palatino Linotype" w:hAnsi="Palatino Linotype"/>
          <w:i/>
          <w:sz w:val="22"/>
        </w:rPr>
      </w:pPr>
      <w:r w:rsidRPr="00A81C96">
        <w:rPr>
          <w:rFonts w:ascii="Palatino Linotype" w:hAnsi="Palatino Linotype"/>
          <w:b/>
          <w:i/>
          <w:sz w:val="22"/>
        </w:rPr>
        <w:t xml:space="preserve">“Artículo 192. </w:t>
      </w:r>
      <w:r w:rsidRPr="00A81C96">
        <w:rPr>
          <w:rFonts w:ascii="Palatino Linotype" w:hAnsi="Palatino Linotype"/>
          <w:b/>
          <w:i/>
          <w:sz w:val="22"/>
          <w:u w:val="single"/>
        </w:rPr>
        <w:t>El recurso será sobreseído, en todo o en parte, cuando una vez admitido, se actualicen alguno de los siguientes supuestos</w:t>
      </w:r>
      <w:r w:rsidRPr="00A81C96">
        <w:rPr>
          <w:rFonts w:ascii="Palatino Linotype" w:hAnsi="Palatino Linotype"/>
          <w:i/>
          <w:sz w:val="22"/>
        </w:rPr>
        <w:t>:</w:t>
      </w:r>
    </w:p>
    <w:p w:rsidR="009513E7" w:rsidRPr="00A81C96" w:rsidRDefault="009513E7" w:rsidP="009513E7">
      <w:pPr>
        <w:numPr>
          <w:ilvl w:val="0"/>
          <w:numId w:val="17"/>
        </w:numPr>
        <w:autoSpaceDE w:val="0"/>
        <w:autoSpaceDN w:val="0"/>
        <w:adjustRightInd w:val="0"/>
        <w:spacing w:after="160" w:line="259" w:lineRule="auto"/>
        <w:jc w:val="both"/>
        <w:rPr>
          <w:rFonts w:ascii="Palatino Linotype" w:hAnsi="Palatino Linotype"/>
          <w:i/>
          <w:sz w:val="22"/>
        </w:rPr>
      </w:pPr>
      <w:r w:rsidRPr="00A81C96">
        <w:rPr>
          <w:rFonts w:ascii="Palatino Linotype" w:hAnsi="Palatino Linotype"/>
          <w:i/>
          <w:sz w:val="22"/>
        </w:rPr>
        <w:t xml:space="preserve">El recurrente se desista expresamente del recurso; </w:t>
      </w:r>
    </w:p>
    <w:p w:rsidR="009513E7" w:rsidRPr="00A81C96" w:rsidRDefault="009513E7" w:rsidP="009513E7">
      <w:pPr>
        <w:numPr>
          <w:ilvl w:val="0"/>
          <w:numId w:val="17"/>
        </w:numPr>
        <w:autoSpaceDE w:val="0"/>
        <w:autoSpaceDN w:val="0"/>
        <w:adjustRightInd w:val="0"/>
        <w:spacing w:after="160" w:line="259" w:lineRule="auto"/>
        <w:jc w:val="both"/>
        <w:rPr>
          <w:rFonts w:ascii="Palatino Linotype" w:hAnsi="Palatino Linotype" w:cs="Arial"/>
          <w:i/>
          <w:sz w:val="22"/>
        </w:rPr>
      </w:pPr>
      <w:r w:rsidRPr="00A81C96">
        <w:rPr>
          <w:rFonts w:ascii="Palatino Linotype" w:hAnsi="Palatino Linotype"/>
          <w:i/>
          <w:sz w:val="22"/>
        </w:rPr>
        <w:t xml:space="preserve">El recurrente fallezca o, tratándose de personas jurídicas colectivas, se disuelva; </w:t>
      </w:r>
    </w:p>
    <w:p w:rsidR="009513E7" w:rsidRPr="00A81C96" w:rsidRDefault="009513E7" w:rsidP="009513E7">
      <w:pPr>
        <w:numPr>
          <w:ilvl w:val="0"/>
          <w:numId w:val="17"/>
        </w:numPr>
        <w:autoSpaceDE w:val="0"/>
        <w:autoSpaceDN w:val="0"/>
        <w:adjustRightInd w:val="0"/>
        <w:spacing w:after="160" w:line="259" w:lineRule="auto"/>
        <w:jc w:val="both"/>
        <w:rPr>
          <w:rFonts w:ascii="Palatino Linotype" w:hAnsi="Palatino Linotype" w:cs="Arial"/>
          <w:i/>
          <w:sz w:val="22"/>
        </w:rPr>
      </w:pPr>
      <w:r w:rsidRPr="00A81C96">
        <w:rPr>
          <w:rFonts w:ascii="Palatino Linotype" w:hAnsi="Palatino Linotype"/>
          <w:b/>
          <w:i/>
          <w:sz w:val="22"/>
          <w:u w:val="single"/>
        </w:rPr>
        <w:t>El sujeto obligado responsable del acto lo modifique o revoque de tal manera que el recurso de revisión quede sin materia</w:t>
      </w:r>
      <w:r w:rsidRPr="00A81C96">
        <w:rPr>
          <w:rFonts w:ascii="Palatino Linotype" w:hAnsi="Palatino Linotype"/>
          <w:i/>
          <w:sz w:val="22"/>
        </w:rPr>
        <w:t xml:space="preserve">; </w:t>
      </w:r>
    </w:p>
    <w:p w:rsidR="009513E7" w:rsidRPr="00A81C96" w:rsidRDefault="009513E7" w:rsidP="009513E7">
      <w:pPr>
        <w:numPr>
          <w:ilvl w:val="0"/>
          <w:numId w:val="17"/>
        </w:numPr>
        <w:autoSpaceDE w:val="0"/>
        <w:autoSpaceDN w:val="0"/>
        <w:adjustRightInd w:val="0"/>
        <w:spacing w:after="160" w:line="259" w:lineRule="auto"/>
        <w:jc w:val="both"/>
        <w:rPr>
          <w:rFonts w:ascii="Palatino Linotype" w:hAnsi="Palatino Linotype" w:cs="Arial"/>
          <w:i/>
          <w:sz w:val="22"/>
        </w:rPr>
      </w:pPr>
      <w:r w:rsidRPr="00A81C96">
        <w:rPr>
          <w:rFonts w:ascii="Palatino Linotype" w:hAnsi="Palatino Linotype"/>
          <w:i/>
          <w:sz w:val="22"/>
        </w:rPr>
        <w:t xml:space="preserve">Admitido el recurso de revisión, aparezca alguna causal de improcedencia en los términos de la presente Ley; y </w:t>
      </w:r>
    </w:p>
    <w:p w:rsidR="009513E7" w:rsidRPr="00A81C96" w:rsidRDefault="009513E7" w:rsidP="009513E7">
      <w:pPr>
        <w:numPr>
          <w:ilvl w:val="0"/>
          <w:numId w:val="17"/>
        </w:numPr>
        <w:autoSpaceDE w:val="0"/>
        <w:autoSpaceDN w:val="0"/>
        <w:adjustRightInd w:val="0"/>
        <w:spacing w:after="160" w:line="259" w:lineRule="auto"/>
        <w:jc w:val="both"/>
        <w:rPr>
          <w:rFonts w:ascii="Palatino Linotype" w:hAnsi="Palatino Linotype" w:cs="Arial"/>
          <w:i/>
          <w:sz w:val="22"/>
        </w:rPr>
      </w:pPr>
      <w:r w:rsidRPr="00A81C96">
        <w:rPr>
          <w:rFonts w:ascii="Palatino Linotype" w:hAnsi="Palatino Linotype"/>
          <w:i/>
          <w:sz w:val="22"/>
        </w:rPr>
        <w:t>Cuando por cualquier motivo quede sin materia el recurso.”</w:t>
      </w:r>
    </w:p>
    <w:p w:rsidR="009513E7" w:rsidRPr="00A81C96" w:rsidRDefault="009513E7" w:rsidP="009513E7">
      <w:pPr>
        <w:spacing w:after="160" w:line="259" w:lineRule="auto"/>
        <w:rPr>
          <w:rFonts w:ascii="Palatino Linotype" w:eastAsiaTheme="minorHAnsi" w:hAnsi="Palatino Linotype" w:cstheme="minorBidi"/>
          <w:szCs w:val="22"/>
        </w:rPr>
      </w:pPr>
    </w:p>
    <w:p w:rsidR="009513E7" w:rsidRPr="00A81C96" w:rsidRDefault="009513E7" w:rsidP="009513E7">
      <w:pPr>
        <w:spacing w:after="160" w:line="360" w:lineRule="auto"/>
        <w:jc w:val="both"/>
        <w:rPr>
          <w:rFonts w:ascii="Palatino Linotype" w:eastAsiaTheme="minorHAnsi" w:hAnsi="Palatino Linotype" w:cs="Arial"/>
          <w:lang w:val="es-MX" w:eastAsia="en-US"/>
        </w:rPr>
      </w:pPr>
      <w:r w:rsidRPr="00A81C96">
        <w:rPr>
          <w:rFonts w:ascii="Palatino Linotype" w:eastAsiaTheme="minorHAnsi" w:hAnsi="Palatino Linotype" w:cs="Arial"/>
          <w:lang w:val="es-MX" w:eastAsia="en-US"/>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9513E7" w:rsidRPr="00A81C96" w:rsidRDefault="009513E7" w:rsidP="009513E7">
      <w:pPr>
        <w:spacing w:after="160" w:line="360" w:lineRule="auto"/>
        <w:ind w:left="851" w:right="851"/>
        <w:jc w:val="both"/>
        <w:rPr>
          <w:rFonts w:ascii="Palatino Linotype" w:eastAsiaTheme="minorHAnsi" w:hAnsi="Palatino Linotype" w:cs="Arial"/>
          <w:b/>
          <w:i/>
          <w:sz w:val="22"/>
          <w:szCs w:val="22"/>
          <w:lang w:val="es-MX" w:eastAsia="en-US"/>
        </w:rPr>
      </w:pPr>
      <w:r w:rsidRPr="00A81C96">
        <w:rPr>
          <w:rFonts w:ascii="Palatino Linotype" w:eastAsiaTheme="minorHAnsi" w:hAnsi="Palatino Linotype" w:cs="Arial"/>
          <w:b/>
          <w:i/>
          <w:sz w:val="22"/>
          <w:szCs w:val="22"/>
          <w:lang w:val="es-MX" w:eastAsia="en-US"/>
        </w:rPr>
        <w:t>“SOBRESEIMIENTO EN EL JUICIO DE AMPARO DIRECTO. IMPIDE EL ESTUDIO DE LAS VIOLACIONES PROCESALES PLANTEADAS EN LOS CONCEPTOS DE VIOLACIÓN.</w:t>
      </w:r>
    </w:p>
    <w:p w:rsidR="009513E7" w:rsidRPr="00A81C96" w:rsidRDefault="009513E7" w:rsidP="009513E7">
      <w:pPr>
        <w:spacing w:after="160" w:line="360" w:lineRule="auto"/>
        <w:ind w:left="851" w:right="851"/>
        <w:jc w:val="both"/>
        <w:rPr>
          <w:rFonts w:ascii="Palatino Linotype" w:eastAsiaTheme="minorHAnsi" w:hAnsi="Palatino Linotype" w:cstheme="minorBidi"/>
          <w:i/>
          <w:color w:val="000000"/>
          <w:sz w:val="22"/>
          <w:szCs w:val="22"/>
          <w:lang w:val="es-MX" w:eastAsia="en-US"/>
        </w:rPr>
      </w:pPr>
      <w:r w:rsidRPr="00A81C96">
        <w:rPr>
          <w:rFonts w:ascii="Palatino Linotype" w:eastAsiaTheme="minorHAnsi" w:hAnsi="Palatino Linotype" w:cs="Arial"/>
          <w:b/>
          <w:i/>
          <w:sz w:val="22"/>
          <w:szCs w:val="22"/>
          <w:u w:val="single"/>
          <w:lang w:val="es-MX" w:eastAsia="en-US"/>
        </w:rPr>
        <w:lastRenderedPageBreak/>
        <w:t>El sobreseimiento</w:t>
      </w:r>
      <w:r w:rsidRPr="00A81C96">
        <w:rPr>
          <w:rFonts w:ascii="Palatino Linotype" w:eastAsiaTheme="minorHAnsi" w:hAnsi="Palatino Linotype" w:cs="Arial"/>
          <w:b/>
          <w:i/>
          <w:sz w:val="22"/>
          <w:szCs w:val="22"/>
          <w:lang w:val="es-MX" w:eastAsia="en-US"/>
        </w:rPr>
        <w:t xml:space="preserve"> </w:t>
      </w:r>
      <w:r w:rsidRPr="00A81C96">
        <w:rPr>
          <w:rFonts w:ascii="Palatino Linotype" w:eastAsiaTheme="minorHAnsi" w:hAnsi="Palatino Linotype" w:cs="Arial"/>
          <w:i/>
          <w:sz w:val="22"/>
          <w:szCs w:val="22"/>
          <w:lang w:val="es-MX" w:eastAsia="en-US"/>
        </w:rPr>
        <w:t xml:space="preserve">en el juicio de amparo directo </w:t>
      </w:r>
      <w:r w:rsidRPr="00A81C96">
        <w:rPr>
          <w:rFonts w:ascii="Palatino Linotype" w:eastAsiaTheme="minorHAnsi" w:hAnsi="Palatino Linotype" w:cs="Arial"/>
          <w:b/>
          <w:i/>
          <w:sz w:val="22"/>
          <w:szCs w:val="22"/>
          <w:u w:val="single"/>
          <w:lang w:val="es-MX" w:eastAsia="en-US"/>
        </w:rPr>
        <w:t>provoca la terminación de la controversia planteada</w:t>
      </w:r>
      <w:r w:rsidRPr="00A81C96">
        <w:rPr>
          <w:rFonts w:ascii="Palatino Linotype" w:eastAsiaTheme="minorHAnsi" w:hAnsi="Palatino Linotype" w:cs="Arial"/>
          <w:b/>
          <w:i/>
          <w:sz w:val="22"/>
          <w:szCs w:val="22"/>
          <w:lang w:val="es-MX" w:eastAsia="en-US"/>
        </w:rPr>
        <w:t xml:space="preserve"> </w:t>
      </w:r>
      <w:r w:rsidRPr="00A81C96">
        <w:rPr>
          <w:rFonts w:ascii="Palatino Linotype" w:eastAsiaTheme="minorHAnsi" w:hAnsi="Palatino Linotype" w:cs="Arial"/>
          <w:i/>
          <w:sz w:val="22"/>
          <w:szCs w:val="22"/>
          <w:lang w:val="es-MX" w:eastAsia="en-US"/>
        </w:rPr>
        <w:t>por el quejoso en la demanda de amparo</w:t>
      </w:r>
      <w:r w:rsidRPr="00A81C96">
        <w:rPr>
          <w:rFonts w:ascii="Calibri" w:eastAsiaTheme="minorHAnsi" w:hAnsi="Calibri" w:cstheme="minorBidi"/>
          <w:color w:val="000000"/>
          <w:sz w:val="26"/>
          <w:szCs w:val="26"/>
          <w:lang w:val="es-MX" w:eastAsia="en-US"/>
        </w:rPr>
        <w:t xml:space="preserve"> </w:t>
      </w:r>
      <w:r w:rsidRPr="00A81C96">
        <w:rPr>
          <w:rFonts w:ascii="Palatino Linotype" w:eastAsiaTheme="minorHAnsi" w:hAnsi="Palatino Linotype" w:cstheme="minorBidi"/>
          <w:i/>
          <w:color w:val="000000"/>
          <w:sz w:val="22"/>
          <w:szCs w:val="22"/>
          <w:lang w:val="es-MX" w:eastAsia="en-US"/>
        </w:rPr>
        <w:t xml:space="preserve">provoca la terminación de la controversia planteada por el quejoso en la demanda de </w:t>
      </w:r>
      <w:r w:rsidRPr="00A81C96">
        <w:rPr>
          <w:rFonts w:ascii="Palatino Linotype" w:eastAsiaTheme="minorHAnsi" w:hAnsi="Palatino Linotype" w:cstheme="minorBidi"/>
          <w:b/>
          <w:i/>
          <w:color w:val="000000"/>
          <w:sz w:val="22"/>
          <w:szCs w:val="22"/>
          <w:lang w:val="es-MX" w:eastAsia="en-US"/>
        </w:rPr>
        <w:t>amparo</w:t>
      </w:r>
      <w:r w:rsidRPr="00A81C96">
        <w:rPr>
          <w:rFonts w:ascii="Palatino Linotype" w:eastAsiaTheme="minorHAnsi" w:hAnsi="Palatino Linotype" w:cstheme="minorBidi"/>
          <w:i/>
          <w:color w:val="000000"/>
          <w:sz w:val="22"/>
          <w:szCs w:val="22"/>
          <w:lang w:val="es-MX" w:eastAsia="en-US"/>
        </w:rPr>
        <w:t>, sin hacer un pronunciamiento de fondo sobre la legalidad o ilegalidad de la sentencia reclamada. Por consiguiente, si al sobreseerse en el</w:t>
      </w:r>
      <w:r w:rsidRPr="00A81C96">
        <w:rPr>
          <w:rFonts w:ascii="Palatino Linotype" w:eastAsiaTheme="minorHAnsi" w:hAnsi="Palatino Linotype" w:cstheme="minorBidi"/>
          <w:b/>
          <w:i/>
          <w:color w:val="000000"/>
          <w:sz w:val="22"/>
          <w:szCs w:val="22"/>
          <w:lang w:val="es-MX" w:eastAsia="en-US"/>
        </w:rPr>
        <w:t xml:space="preserve"> juicio </w:t>
      </w:r>
      <w:r w:rsidRPr="00A81C96">
        <w:rPr>
          <w:rFonts w:ascii="Palatino Linotype" w:eastAsiaTheme="minorHAnsi" w:hAnsi="Palatino Linotype" w:cstheme="minorBidi"/>
          <w:i/>
          <w:color w:val="000000"/>
          <w:sz w:val="22"/>
          <w:szCs w:val="22"/>
          <w:lang w:val="es-MX" w:eastAsia="en-US"/>
        </w:rPr>
        <w:t xml:space="preserve">de </w:t>
      </w:r>
      <w:r w:rsidRPr="00A81C96">
        <w:rPr>
          <w:rFonts w:ascii="Palatino Linotype" w:eastAsiaTheme="minorHAnsi" w:hAnsi="Palatino Linotype" w:cstheme="minorBidi"/>
          <w:b/>
          <w:i/>
          <w:color w:val="000000"/>
          <w:sz w:val="22"/>
          <w:szCs w:val="22"/>
          <w:lang w:val="es-MX" w:eastAsia="en-US"/>
        </w:rPr>
        <w:t>amparo</w:t>
      </w:r>
      <w:r w:rsidRPr="00A81C96">
        <w:rPr>
          <w:rFonts w:ascii="Palatino Linotype" w:eastAsiaTheme="minorHAnsi" w:hAnsi="Palatino Linotype" w:cstheme="minorBidi"/>
          <w:i/>
          <w:color w:val="000000"/>
          <w:sz w:val="22"/>
          <w:szCs w:val="22"/>
          <w:lang w:val="es-MX" w:eastAsia="en-US"/>
        </w:rPr>
        <w:t xml:space="preserve"> no se pueden estudiar los planteamientos que se hacen valer en contra del fallo reclamado, tampoco se deben analizar las</w:t>
      </w:r>
      <w:r w:rsidRPr="00A81C96">
        <w:rPr>
          <w:rFonts w:ascii="Palatino Linotype" w:eastAsiaTheme="minorHAnsi" w:hAnsi="Palatino Linotype" w:cstheme="minorBidi"/>
          <w:b/>
          <w:i/>
          <w:color w:val="000000"/>
          <w:sz w:val="22"/>
          <w:szCs w:val="22"/>
          <w:lang w:val="es-MX" w:eastAsia="en-US"/>
        </w:rPr>
        <w:t xml:space="preserve"> violaciones procesales</w:t>
      </w:r>
      <w:r w:rsidRPr="00A81C96">
        <w:rPr>
          <w:rFonts w:ascii="Palatino Linotype" w:eastAsiaTheme="minorHAnsi" w:hAnsi="Palatino Linotype" w:cstheme="minorBidi"/>
          <w:i/>
          <w:color w:val="000000"/>
          <w:sz w:val="22"/>
          <w:szCs w:val="22"/>
          <w:lang w:val="es-MX" w:eastAsia="en-US"/>
        </w:rPr>
        <w:t xml:space="preserve"> propuestas en los </w:t>
      </w:r>
      <w:r w:rsidRPr="00A81C96">
        <w:rPr>
          <w:rFonts w:ascii="Palatino Linotype" w:eastAsiaTheme="minorHAnsi" w:hAnsi="Palatino Linotype" w:cstheme="minorBidi"/>
          <w:b/>
          <w:i/>
          <w:color w:val="000000"/>
          <w:sz w:val="22"/>
          <w:szCs w:val="22"/>
          <w:lang w:val="es-MX" w:eastAsia="en-US"/>
        </w:rPr>
        <w:t xml:space="preserve">conceptos </w:t>
      </w:r>
      <w:r w:rsidRPr="00A81C96">
        <w:rPr>
          <w:rFonts w:ascii="Palatino Linotype" w:eastAsiaTheme="minorHAnsi" w:hAnsi="Palatino Linotype" w:cstheme="minorBidi"/>
          <w:i/>
          <w:color w:val="000000"/>
          <w:sz w:val="22"/>
          <w:szCs w:val="22"/>
          <w:lang w:val="es-MX" w:eastAsia="en-US"/>
        </w:rPr>
        <w:t xml:space="preserve">de </w:t>
      </w:r>
      <w:r w:rsidRPr="00A81C96">
        <w:rPr>
          <w:rFonts w:ascii="Palatino Linotype" w:eastAsiaTheme="minorHAnsi" w:hAnsi="Palatino Linotype" w:cstheme="minorBidi"/>
          <w:b/>
          <w:i/>
          <w:color w:val="000000"/>
          <w:sz w:val="22"/>
          <w:szCs w:val="22"/>
          <w:lang w:val="es-MX" w:eastAsia="en-US"/>
        </w:rPr>
        <w:t>violación</w:t>
      </w:r>
      <w:r w:rsidRPr="00A81C96">
        <w:rPr>
          <w:rFonts w:ascii="Palatino Linotype" w:eastAsiaTheme="minorHAnsi" w:hAnsi="Palatino Linotype" w:cstheme="minorBidi"/>
          <w:i/>
          <w:color w:val="000000"/>
          <w:sz w:val="22"/>
          <w:szCs w:val="22"/>
          <w:lang w:val="es-MX" w:eastAsia="en-US"/>
        </w:rPr>
        <w:t xml:space="preserve">, dado que, la principal consecuencia del </w:t>
      </w:r>
      <w:r w:rsidRPr="00A81C96">
        <w:rPr>
          <w:rFonts w:ascii="Palatino Linotype" w:eastAsiaTheme="minorHAnsi" w:hAnsi="Palatino Linotype" w:cstheme="minorBidi"/>
          <w:b/>
          <w:i/>
          <w:color w:val="000000"/>
          <w:sz w:val="22"/>
          <w:szCs w:val="22"/>
          <w:lang w:val="es-MX" w:eastAsia="en-US"/>
        </w:rPr>
        <w:t>sobreseimiento</w:t>
      </w:r>
      <w:r w:rsidRPr="00A81C96">
        <w:rPr>
          <w:rFonts w:ascii="Palatino Linotype" w:eastAsiaTheme="minorHAnsi" w:hAnsi="Palatino Linotype" w:cstheme="minorBidi"/>
          <w:i/>
          <w:color w:val="000000"/>
          <w:sz w:val="22"/>
          <w:szCs w:val="22"/>
          <w:lang w:val="es-MX" w:eastAsia="en-US"/>
        </w:rPr>
        <w:t xml:space="preserve"> es poner fin al </w:t>
      </w:r>
      <w:r w:rsidRPr="00A81C96">
        <w:rPr>
          <w:rFonts w:ascii="Palatino Linotype" w:eastAsiaTheme="minorHAnsi" w:hAnsi="Palatino Linotype" w:cstheme="minorBidi"/>
          <w:b/>
          <w:i/>
          <w:color w:val="000000"/>
          <w:sz w:val="22"/>
          <w:szCs w:val="22"/>
          <w:lang w:val="es-MX" w:eastAsia="en-US"/>
        </w:rPr>
        <w:t xml:space="preserve">juicio </w:t>
      </w:r>
      <w:r w:rsidRPr="00A81C96">
        <w:rPr>
          <w:rFonts w:ascii="Palatino Linotype" w:eastAsiaTheme="minorHAnsi" w:hAnsi="Palatino Linotype" w:cstheme="minorBidi"/>
          <w:i/>
          <w:color w:val="000000"/>
          <w:sz w:val="22"/>
          <w:szCs w:val="22"/>
          <w:lang w:val="es-MX" w:eastAsia="en-US"/>
        </w:rPr>
        <w:t xml:space="preserve">de </w:t>
      </w:r>
      <w:r w:rsidRPr="00A81C96">
        <w:rPr>
          <w:rFonts w:ascii="Palatino Linotype" w:eastAsiaTheme="minorHAnsi" w:hAnsi="Palatino Linotype" w:cstheme="minorBidi"/>
          <w:b/>
          <w:i/>
          <w:color w:val="000000"/>
          <w:sz w:val="22"/>
          <w:szCs w:val="22"/>
          <w:lang w:val="es-MX" w:eastAsia="en-US"/>
        </w:rPr>
        <w:t xml:space="preserve">amparo </w:t>
      </w:r>
      <w:r w:rsidRPr="00A81C96">
        <w:rPr>
          <w:rFonts w:ascii="Palatino Linotype" w:eastAsiaTheme="minorHAnsi" w:hAnsi="Palatino Linotype" w:cstheme="minorBidi"/>
          <w:i/>
          <w:color w:val="000000"/>
          <w:sz w:val="22"/>
          <w:szCs w:val="22"/>
          <w:lang w:val="es-MX" w:eastAsia="en-US"/>
        </w:rPr>
        <w:t>sin resolver la controversia en sus méritos.  </w:t>
      </w:r>
    </w:p>
    <w:p w:rsidR="009513E7" w:rsidRPr="00A81C96" w:rsidRDefault="009513E7" w:rsidP="009513E7">
      <w:pPr>
        <w:spacing w:after="160" w:line="360" w:lineRule="auto"/>
        <w:ind w:left="851" w:right="851"/>
        <w:jc w:val="both"/>
        <w:rPr>
          <w:rFonts w:ascii="Palatino Linotype" w:eastAsiaTheme="minorHAnsi" w:hAnsi="Palatino Linotype" w:cs="Arial"/>
          <w:b/>
          <w:i/>
          <w:sz w:val="22"/>
          <w:szCs w:val="22"/>
          <w:lang w:val="es-MX" w:eastAsia="en-US"/>
        </w:rPr>
      </w:pPr>
      <w:r w:rsidRPr="00A81C96">
        <w:rPr>
          <w:rFonts w:ascii="Palatino Linotype" w:eastAsiaTheme="minorHAnsi" w:hAnsi="Palatino Linotype" w:cs="Arial"/>
          <w:b/>
          <w:i/>
          <w:sz w:val="22"/>
          <w:szCs w:val="22"/>
          <w:lang w:val="es-MX" w:eastAsia="en-US"/>
        </w:rPr>
        <w:t>SÉPTIMO TRIBUNAL COLEGIADO EN MATERIA CIVIL DEL PRIMER CIRCUITO.</w:t>
      </w:r>
    </w:p>
    <w:p w:rsidR="009513E7" w:rsidRPr="00A81C96" w:rsidRDefault="009513E7" w:rsidP="009513E7">
      <w:pPr>
        <w:spacing w:after="160" w:line="360" w:lineRule="auto"/>
        <w:ind w:left="851" w:right="851"/>
        <w:jc w:val="both"/>
        <w:rPr>
          <w:rFonts w:ascii="Palatino Linotype" w:eastAsiaTheme="minorHAnsi" w:hAnsi="Palatino Linotype" w:cs="Arial"/>
          <w:i/>
          <w:sz w:val="22"/>
          <w:szCs w:val="22"/>
          <w:lang w:val="es-MX" w:eastAsia="en-US"/>
        </w:rPr>
      </w:pPr>
      <w:r w:rsidRPr="00A81C96">
        <w:rPr>
          <w:rFonts w:ascii="Palatino Linotype" w:eastAsiaTheme="minorHAnsi" w:hAnsi="Palatino Linotype" w:cs="Arial"/>
          <w:i/>
          <w:sz w:val="22"/>
          <w:szCs w:val="22"/>
          <w:lang w:val="es-MX" w:eastAsia="en-US"/>
        </w:rPr>
        <w:t>Amparo directo 699/2008. Mariana Leticia González Steele. 13 de noviembre de 2008. Unanimidad de votos. Ponente: Sara Judith Montalvo Trejo. Secretario: Arnulfo Mateos García.”</w:t>
      </w:r>
      <w:r w:rsidRPr="00A81C96">
        <w:rPr>
          <w:rFonts w:ascii="Palatino Linotype" w:hAnsi="Palatino Linotype"/>
          <w:b/>
          <w:i/>
          <w:sz w:val="22"/>
          <w:szCs w:val="22"/>
          <w:lang w:val="es-ES_tradnl"/>
        </w:rPr>
        <w:t xml:space="preserve"> [Sic]</w:t>
      </w:r>
    </w:p>
    <w:p w:rsidR="009513E7" w:rsidRPr="00A81C96" w:rsidRDefault="009513E7" w:rsidP="009513E7">
      <w:pPr>
        <w:autoSpaceDE w:val="0"/>
        <w:autoSpaceDN w:val="0"/>
        <w:adjustRightInd w:val="0"/>
        <w:spacing w:line="360" w:lineRule="auto"/>
        <w:jc w:val="both"/>
        <w:rPr>
          <w:rFonts w:ascii="Palatino Linotype" w:hAnsi="Palatino Linotype" w:cs="Arial"/>
        </w:rPr>
      </w:pPr>
    </w:p>
    <w:p w:rsidR="009513E7" w:rsidRPr="00A81C96" w:rsidRDefault="009513E7" w:rsidP="009513E7">
      <w:pPr>
        <w:autoSpaceDE w:val="0"/>
        <w:autoSpaceDN w:val="0"/>
        <w:adjustRightInd w:val="0"/>
        <w:spacing w:line="360" w:lineRule="auto"/>
        <w:jc w:val="both"/>
        <w:rPr>
          <w:rFonts w:ascii="Palatino Linotype" w:hAnsi="Palatino Linotype" w:cs="Arial"/>
        </w:rPr>
      </w:pPr>
      <w:r w:rsidRPr="00A81C96">
        <w:rPr>
          <w:rFonts w:ascii="Palatino Linotype" w:hAnsi="Palatino Linotype" w:cs="Arial"/>
        </w:rPr>
        <w:t>Por lo que hace a los requisitos de procedencia del sobreseimiento en términos del artículo 192, de la Ley de Transparencia estatal se establece lo siguiente:</w:t>
      </w:r>
    </w:p>
    <w:p w:rsidR="009513E7" w:rsidRPr="00A81C96" w:rsidRDefault="009513E7" w:rsidP="009513E7"/>
    <w:p w:rsidR="009513E7" w:rsidRPr="00A81C96" w:rsidRDefault="009513E7" w:rsidP="009513E7">
      <w:pPr>
        <w:numPr>
          <w:ilvl w:val="0"/>
          <w:numId w:val="16"/>
        </w:numPr>
        <w:autoSpaceDE w:val="0"/>
        <w:autoSpaceDN w:val="0"/>
        <w:adjustRightInd w:val="0"/>
        <w:spacing w:after="160" w:line="360" w:lineRule="auto"/>
        <w:ind w:left="851" w:right="850" w:firstLine="10"/>
        <w:jc w:val="both"/>
        <w:rPr>
          <w:rFonts w:ascii="Palatino Linotype" w:hAnsi="Palatino Linotype" w:cs="Arial"/>
        </w:rPr>
      </w:pPr>
      <w:r w:rsidRPr="00A81C96">
        <w:rPr>
          <w:rFonts w:ascii="Palatino Linotype" w:hAnsi="Palatino Linotype" w:cs="Arial"/>
        </w:rPr>
        <w:t xml:space="preserve">Mediante acuerdo de fecha </w:t>
      </w:r>
      <w:r w:rsidR="000B609B" w:rsidRPr="00A81C96">
        <w:rPr>
          <w:rFonts w:ascii="Palatino Linotype" w:hAnsi="Palatino Linotype" w:cs="Arial"/>
          <w:b/>
        </w:rPr>
        <w:t>veinte de agosto</w:t>
      </w:r>
      <w:r w:rsidRPr="00A81C96">
        <w:rPr>
          <w:rFonts w:ascii="Palatino Linotype" w:hAnsi="Palatino Linotype" w:cs="Arial"/>
          <w:b/>
        </w:rPr>
        <w:t xml:space="preserve"> de dos mil veinticinco</w:t>
      </w:r>
      <w:r w:rsidRPr="00A81C96">
        <w:rPr>
          <w:rFonts w:ascii="Palatino Linotype" w:hAnsi="Palatino Linotype" w:cs="Arial"/>
        </w:rPr>
        <w:t xml:space="preserve">, el Comisionado </w:t>
      </w:r>
      <w:r w:rsidRPr="00A81C96">
        <w:rPr>
          <w:rFonts w:ascii="Palatino Linotype" w:hAnsi="Palatino Linotype" w:cs="Arial"/>
          <w:b/>
        </w:rPr>
        <w:t>José Martínez Vilchis</w:t>
      </w:r>
      <w:r w:rsidRPr="00A81C96">
        <w:rPr>
          <w:rFonts w:ascii="Palatino Linotype" w:hAnsi="Palatino Linotype" w:cs="Arial"/>
        </w:rPr>
        <w:t>, admitió a trámite el recurso de revisión que nos ocupa</w:t>
      </w:r>
      <w:r w:rsidRPr="00A81C96">
        <w:rPr>
          <w:rFonts w:ascii="Palatino Linotype" w:hAnsi="Palatino Linotype" w:cs="Arial"/>
          <w:lang w:val="es-MX"/>
        </w:rPr>
        <w:t>.</w:t>
      </w:r>
    </w:p>
    <w:p w:rsidR="009513E7" w:rsidRPr="00A81C96" w:rsidRDefault="009513E7" w:rsidP="009513E7">
      <w:pPr>
        <w:rPr>
          <w:lang w:val="es-MX"/>
        </w:rPr>
      </w:pPr>
    </w:p>
    <w:p w:rsidR="009513E7" w:rsidRPr="00A81C96" w:rsidRDefault="009513E7" w:rsidP="009513E7">
      <w:pPr>
        <w:numPr>
          <w:ilvl w:val="0"/>
          <w:numId w:val="16"/>
        </w:numPr>
        <w:autoSpaceDE w:val="0"/>
        <w:autoSpaceDN w:val="0"/>
        <w:adjustRightInd w:val="0"/>
        <w:spacing w:after="160" w:line="360" w:lineRule="auto"/>
        <w:ind w:left="851" w:right="850" w:firstLine="10"/>
        <w:jc w:val="both"/>
      </w:pPr>
      <w:r w:rsidRPr="00A81C96">
        <w:rPr>
          <w:rFonts w:ascii="Palatino Linotype" w:hAnsi="Palatino Linotype" w:cs="Arial"/>
        </w:rPr>
        <w:t xml:space="preserve">Lo esgrimido por </w:t>
      </w:r>
      <w:r w:rsidRPr="00A81C96">
        <w:rPr>
          <w:rFonts w:ascii="Palatino Linotype" w:hAnsi="Palatino Linotype" w:cs="Arial"/>
          <w:b/>
        </w:rPr>
        <w:t>el Recurrente</w:t>
      </w:r>
      <w:r w:rsidRPr="00A81C96">
        <w:rPr>
          <w:rFonts w:ascii="Palatino Linotype" w:hAnsi="Palatino Linotype" w:cs="Arial"/>
        </w:rPr>
        <w:t xml:space="preserve"> dentro del recurso de revisión impugnado queda sin materia, toda vez que </w:t>
      </w:r>
      <w:r w:rsidRPr="00A81C96">
        <w:rPr>
          <w:rFonts w:ascii="Palatino Linotype" w:hAnsi="Palatino Linotype" w:cs="Arial"/>
          <w:b/>
        </w:rPr>
        <w:t>El Sujeto Obligado</w:t>
      </w:r>
      <w:r w:rsidRPr="00A81C96">
        <w:rPr>
          <w:rFonts w:ascii="Palatino Linotype" w:hAnsi="Palatino Linotype" w:cs="Arial"/>
        </w:rPr>
        <w:t xml:space="preserve"> colmó el derecho de acceso a la información del </w:t>
      </w:r>
      <w:r w:rsidRPr="00A81C96">
        <w:rPr>
          <w:rFonts w:ascii="Palatino Linotype" w:hAnsi="Palatino Linotype" w:cs="Arial"/>
          <w:b/>
        </w:rPr>
        <w:t>Recurrente</w:t>
      </w:r>
      <w:r w:rsidRPr="00A81C96">
        <w:rPr>
          <w:rFonts w:ascii="Palatino Linotype" w:hAnsi="Palatino Linotype" w:cs="Arial"/>
        </w:rPr>
        <w:t>,</w:t>
      </w:r>
      <w:r w:rsidRPr="00A81C96">
        <w:rPr>
          <w:rFonts w:ascii="Palatino Linotype" w:hAnsi="Palatino Linotype" w:cs="Arial"/>
          <w:b/>
        </w:rPr>
        <w:t xml:space="preserve"> </w:t>
      </w:r>
      <w:r w:rsidRPr="00A81C96">
        <w:rPr>
          <w:rFonts w:ascii="Palatino Linotype" w:hAnsi="Palatino Linotype" w:cs="Arial"/>
        </w:rPr>
        <w:t xml:space="preserve">ello al modificar su respuesta primigenia, mediante la información remitida en su </w:t>
      </w:r>
      <w:r w:rsidRPr="00A81C96">
        <w:rPr>
          <w:rFonts w:ascii="Palatino Linotype" w:hAnsi="Palatino Linotype" w:cs="Arial"/>
        </w:rPr>
        <w:lastRenderedPageBreak/>
        <w:t xml:space="preserve">informe justificado, en fecha </w:t>
      </w:r>
      <w:r w:rsidRPr="00A81C96">
        <w:rPr>
          <w:rFonts w:ascii="Palatino Linotype" w:hAnsi="Palatino Linotype" w:cs="Arial"/>
          <w:b/>
        </w:rPr>
        <w:t>veintis</w:t>
      </w:r>
      <w:r w:rsidR="000B609B" w:rsidRPr="00A81C96">
        <w:rPr>
          <w:rFonts w:ascii="Palatino Linotype" w:hAnsi="Palatino Linotype" w:cs="Arial"/>
          <w:b/>
        </w:rPr>
        <w:t>iete</w:t>
      </w:r>
      <w:r w:rsidRPr="00A81C96">
        <w:rPr>
          <w:rFonts w:ascii="Palatino Linotype" w:hAnsi="Palatino Linotype" w:cs="Arial"/>
          <w:b/>
        </w:rPr>
        <w:t xml:space="preserve"> de agosto de dos mil veinticinco.</w:t>
      </w:r>
    </w:p>
    <w:p w:rsidR="009513E7" w:rsidRPr="00A81C96" w:rsidRDefault="009513E7" w:rsidP="009513E7">
      <w:pPr>
        <w:numPr>
          <w:ilvl w:val="0"/>
          <w:numId w:val="16"/>
        </w:numPr>
        <w:autoSpaceDE w:val="0"/>
        <w:autoSpaceDN w:val="0"/>
        <w:adjustRightInd w:val="0"/>
        <w:spacing w:after="160" w:line="360" w:lineRule="auto"/>
        <w:ind w:left="851" w:right="850" w:firstLine="10"/>
        <w:jc w:val="both"/>
        <w:rPr>
          <w:rFonts w:ascii="Palatino Linotype" w:hAnsi="Palatino Linotype" w:cs="Arial"/>
        </w:rPr>
      </w:pPr>
      <w:r w:rsidRPr="00A81C96">
        <w:rPr>
          <w:rFonts w:ascii="Palatino Linotype" w:hAnsi="Palatino Linotype" w:cs="Arial"/>
        </w:rPr>
        <w:t xml:space="preserve">El recurso </w:t>
      </w:r>
      <w:r w:rsidRPr="00A81C96">
        <w:rPr>
          <w:rFonts w:ascii="Palatino Linotype" w:hAnsi="Palatino Linotype" w:cs="Arial"/>
          <w:b/>
          <w:bCs/>
          <w:lang w:val="es-MX" w:eastAsia="es-MX"/>
        </w:rPr>
        <w:t>09665/INFOEM/IP/RR/2025</w:t>
      </w:r>
      <w:r w:rsidRPr="00A81C96">
        <w:rPr>
          <w:rFonts w:ascii="Palatino Linotype" w:hAnsi="Palatino Linotype" w:cs="Arial"/>
          <w:bCs/>
          <w:lang w:eastAsia="es-MX"/>
        </w:rPr>
        <w:t>,</w:t>
      </w:r>
      <w:r w:rsidRPr="00A81C96">
        <w:rPr>
          <w:rFonts w:ascii="Palatino Linotype" w:hAnsi="Palatino Linotype" w:cs="Arial"/>
        </w:rPr>
        <w:t xml:space="preserve"> no actualiza ninguna hipótesis de las inmersas en el numeral 179, de la Ley en materia vigente en la entidad. </w:t>
      </w:r>
    </w:p>
    <w:p w:rsidR="009513E7" w:rsidRPr="00A81C96" w:rsidRDefault="009513E7" w:rsidP="009513E7">
      <w:pPr>
        <w:autoSpaceDE w:val="0"/>
        <w:autoSpaceDN w:val="0"/>
        <w:adjustRightInd w:val="0"/>
        <w:spacing w:line="360" w:lineRule="auto"/>
        <w:jc w:val="both"/>
        <w:rPr>
          <w:rFonts w:ascii="Palatino Linotype" w:hAnsi="Palatino Linotype"/>
        </w:rPr>
      </w:pPr>
    </w:p>
    <w:p w:rsidR="009513E7" w:rsidRPr="00A81C96" w:rsidRDefault="009513E7" w:rsidP="009513E7">
      <w:pPr>
        <w:autoSpaceDE w:val="0"/>
        <w:autoSpaceDN w:val="0"/>
        <w:adjustRightInd w:val="0"/>
        <w:spacing w:line="360" w:lineRule="auto"/>
        <w:jc w:val="both"/>
        <w:rPr>
          <w:rFonts w:ascii="Palatino Linotype" w:hAnsi="Palatino Linotype"/>
        </w:rPr>
      </w:pPr>
      <w:r w:rsidRPr="00A81C96">
        <w:rPr>
          <w:rFonts w:ascii="Palatino Linotype" w:hAnsi="Palatino Linotype"/>
        </w:rPr>
        <w:t xml:space="preserve">Es importante resaltar a manera de analogía que la Suprema Corte de Justicia de la Nación mediante el número 2 de la Serie </w:t>
      </w:r>
      <w:r w:rsidRPr="00A81C96">
        <w:rPr>
          <w:rFonts w:ascii="Palatino Linotype" w:hAnsi="Palatino Linotype"/>
          <w:i/>
        </w:rPr>
        <w:t xml:space="preserve">Estudios Introductorios sobre el Juicio de Amparo </w:t>
      </w:r>
      <w:r w:rsidRPr="00A81C96">
        <w:rPr>
          <w:rFonts w:ascii="Palatino Linotype" w:hAnsi="Palatino Linotype"/>
        </w:rPr>
        <w:t xml:space="preserve">relativo a </w:t>
      </w:r>
      <w:r w:rsidRPr="00A81C96">
        <w:rPr>
          <w:rFonts w:ascii="Palatino Linotype" w:hAnsi="Palatino Linotype"/>
          <w:i/>
        </w:rPr>
        <w:t xml:space="preserve">LA IMPROCEDENCIA DE LA ACCIÓN DE AMPARO </w:t>
      </w:r>
      <w:r w:rsidRPr="00A81C96">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A81C96">
        <w:rPr>
          <w:rFonts w:ascii="Palatino Linotype" w:hAnsi="Palatino Linotype"/>
          <w:b/>
          <w:u w:val="single"/>
        </w:rPr>
        <w:t>lo que generará que la demanda sea desechada; o bien, después de admitida la demanda, lo que tendrá como consecuencia que se sobresea en el juicio.</w:t>
      </w:r>
    </w:p>
    <w:p w:rsidR="009513E7" w:rsidRPr="00A81C96" w:rsidRDefault="009513E7" w:rsidP="009513E7">
      <w:pPr>
        <w:autoSpaceDE w:val="0"/>
        <w:autoSpaceDN w:val="0"/>
        <w:adjustRightInd w:val="0"/>
        <w:spacing w:before="240" w:after="240" w:line="360" w:lineRule="auto"/>
        <w:jc w:val="both"/>
        <w:rPr>
          <w:rFonts w:ascii="Palatino Linotype" w:hAnsi="Palatino Linotype"/>
        </w:rPr>
      </w:pPr>
      <w:r w:rsidRPr="00A81C96">
        <w:rPr>
          <w:rFonts w:ascii="Palatino Linotype" w:hAnsi="Palatino Linotype"/>
        </w:rPr>
        <w:t xml:space="preserve">Por lo tanto, en mérito de lo expuesto en líneas anteriores, </w:t>
      </w:r>
      <w:r w:rsidRPr="00A81C96">
        <w:rPr>
          <w:rFonts w:ascii="Palatino Linotype" w:hAnsi="Palatino Linotype" w:cs="Arial"/>
          <w:b/>
        </w:rPr>
        <w:t xml:space="preserve">con fundamento en la fracción III del artículo 192, </w:t>
      </w:r>
      <w:r w:rsidRPr="00A81C96">
        <w:rPr>
          <w:rFonts w:ascii="Palatino Linotype" w:hAnsi="Palatino Linotype" w:cs="Arial"/>
        </w:rPr>
        <w:t xml:space="preserve">de la Ley de Transparencia y Acceso a la Información Pública del Estado de México y Municipios, se </w:t>
      </w:r>
      <w:r w:rsidRPr="00A81C96">
        <w:rPr>
          <w:rFonts w:ascii="Palatino Linotype" w:hAnsi="Palatino Linotype" w:cs="Arial"/>
          <w:b/>
        </w:rPr>
        <w:t xml:space="preserve">SOBRESEE </w:t>
      </w:r>
      <w:r w:rsidRPr="00A81C96">
        <w:rPr>
          <w:rFonts w:ascii="Palatino Linotype" w:hAnsi="Palatino Linotype" w:cs="Arial"/>
        </w:rPr>
        <w:t xml:space="preserve">el recurso de revisión </w:t>
      </w:r>
      <w:r w:rsidRPr="00A81C96">
        <w:rPr>
          <w:rFonts w:ascii="Palatino Linotype" w:hAnsi="Palatino Linotype" w:cs="Arial"/>
          <w:b/>
        </w:rPr>
        <w:t>09665/INFOEM/IP/RR/2025</w:t>
      </w:r>
      <w:r w:rsidRPr="00A81C96">
        <w:rPr>
          <w:rFonts w:ascii="Palatino Linotype" w:hAnsi="Palatino Linotype" w:cs="Arial"/>
        </w:rPr>
        <w:t>,</w:t>
      </w:r>
      <w:r w:rsidRPr="00A81C96">
        <w:rPr>
          <w:rFonts w:ascii="Palatino Linotype" w:hAnsi="Palatino Linotype"/>
        </w:rPr>
        <w:t xml:space="preserve"> que ha sido materia del presente fallo.</w:t>
      </w:r>
    </w:p>
    <w:p w:rsidR="009513E7" w:rsidRPr="00A81C96" w:rsidRDefault="009513E7" w:rsidP="009513E7">
      <w:pPr>
        <w:spacing w:line="360" w:lineRule="auto"/>
        <w:jc w:val="both"/>
        <w:rPr>
          <w:rFonts w:ascii="Palatino Linotype" w:hAnsi="Palatino Linotype"/>
          <w:lang w:val="es-MX"/>
        </w:rPr>
      </w:pPr>
      <w:r w:rsidRPr="00A81C96">
        <w:rPr>
          <w:rFonts w:ascii="Palatino Linotype" w:hAnsi="Palatino Linotype"/>
          <w:lang w:val="es-MX"/>
        </w:rPr>
        <w:t>Por lo antes expuesto y fundado es de resolverse y,</w:t>
      </w:r>
    </w:p>
    <w:p w:rsidR="009513E7" w:rsidRPr="00A81C96" w:rsidRDefault="009513E7" w:rsidP="009513E7">
      <w:pPr>
        <w:spacing w:after="160" w:line="360" w:lineRule="auto"/>
        <w:contextualSpacing/>
        <w:jc w:val="both"/>
        <w:rPr>
          <w:rFonts w:ascii="Palatino Linotype" w:eastAsia="MS Mincho" w:hAnsi="Palatino Linotype" w:cstheme="minorBidi"/>
          <w:sz w:val="22"/>
          <w:szCs w:val="22"/>
          <w:lang w:val="es-MX" w:eastAsia="en-US"/>
        </w:rPr>
      </w:pPr>
    </w:p>
    <w:p w:rsidR="009513E7" w:rsidRPr="00A81C96" w:rsidRDefault="009513E7" w:rsidP="009513E7">
      <w:pPr>
        <w:spacing w:before="240" w:after="240" w:line="360" w:lineRule="auto"/>
        <w:jc w:val="center"/>
        <w:rPr>
          <w:rFonts w:ascii="Palatino Linotype" w:eastAsiaTheme="minorHAnsi" w:hAnsi="Palatino Linotype" w:cstheme="minorBidi"/>
          <w:b/>
          <w:spacing w:val="60"/>
          <w:sz w:val="28"/>
          <w:lang w:val="es-MX" w:eastAsia="en-US"/>
        </w:rPr>
      </w:pPr>
      <w:r w:rsidRPr="00A81C96">
        <w:rPr>
          <w:rFonts w:ascii="Palatino Linotype" w:eastAsiaTheme="minorHAnsi" w:hAnsi="Palatino Linotype" w:cstheme="minorBidi"/>
          <w:b/>
          <w:spacing w:val="60"/>
          <w:sz w:val="28"/>
          <w:lang w:val="es-MX" w:eastAsia="en-US"/>
        </w:rPr>
        <w:t>S E RESUELVE</w:t>
      </w:r>
    </w:p>
    <w:p w:rsidR="009513E7" w:rsidRPr="00A81C96" w:rsidRDefault="009513E7" w:rsidP="009513E7">
      <w:pPr>
        <w:spacing w:line="360" w:lineRule="auto"/>
        <w:jc w:val="both"/>
        <w:rPr>
          <w:rFonts w:ascii="Palatino Linotype" w:eastAsiaTheme="minorHAnsi" w:hAnsi="Palatino Linotype" w:cs="Arial"/>
          <w:lang w:val="es-ES_tradnl" w:eastAsia="en-US"/>
        </w:rPr>
      </w:pPr>
      <w:r w:rsidRPr="00A81C96">
        <w:rPr>
          <w:rFonts w:ascii="Palatino Linotype" w:hAnsi="Palatino Linotype" w:cstheme="minorBidi"/>
          <w:b/>
          <w:bCs/>
          <w:sz w:val="28"/>
          <w:szCs w:val="22"/>
          <w:lang w:val="es-MX" w:eastAsia="es-MX"/>
        </w:rPr>
        <w:lastRenderedPageBreak/>
        <w:t>PRIMERO</w:t>
      </w:r>
      <w:r w:rsidRPr="00A81C96">
        <w:rPr>
          <w:rFonts w:ascii="Palatino Linotype" w:hAnsi="Palatino Linotype" w:cstheme="minorBidi"/>
          <w:sz w:val="28"/>
          <w:szCs w:val="22"/>
          <w:lang w:val="es-MX" w:eastAsia="es-MX"/>
        </w:rPr>
        <w:t xml:space="preserve">. </w:t>
      </w:r>
      <w:r w:rsidRPr="00A81C96">
        <w:rPr>
          <w:rFonts w:ascii="Palatino Linotype" w:eastAsiaTheme="minorHAnsi" w:hAnsi="Palatino Linotype" w:cs="Arial"/>
          <w:lang w:val="es-ES_tradnl" w:eastAsia="en-US"/>
        </w:rPr>
        <w:t xml:space="preserve">Se </w:t>
      </w:r>
      <w:r w:rsidRPr="00A81C96">
        <w:rPr>
          <w:rFonts w:ascii="Palatino Linotype" w:eastAsiaTheme="minorHAnsi" w:hAnsi="Palatino Linotype" w:cs="Arial"/>
          <w:b/>
          <w:lang w:val="es-ES_tradnl" w:eastAsia="en-US"/>
        </w:rPr>
        <w:t>SOBRESEE</w:t>
      </w:r>
      <w:r w:rsidRPr="00A81C96">
        <w:rPr>
          <w:rFonts w:ascii="Palatino Linotype" w:eastAsiaTheme="minorHAnsi" w:hAnsi="Palatino Linotype" w:cs="Arial"/>
          <w:lang w:val="es-ES_tradnl" w:eastAsia="en-US"/>
        </w:rPr>
        <w:t xml:space="preserve"> el recurso de revisión número </w:t>
      </w:r>
      <w:r w:rsidRPr="00A81C96">
        <w:rPr>
          <w:rFonts w:ascii="Palatino Linotype" w:eastAsiaTheme="minorEastAsia" w:hAnsi="Palatino Linotype" w:cstheme="minorBidi"/>
          <w:b/>
          <w:lang w:val="es-ES_tradnl" w:eastAsia="en-US"/>
        </w:rPr>
        <w:t>09665/INFOEM/IP/RR/2025</w:t>
      </w:r>
      <w:r w:rsidRPr="00A81C96">
        <w:rPr>
          <w:rFonts w:ascii="Palatino Linotype" w:eastAsiaTheme="minorEastAsia" w:hAnsi="Palatino Linotype" w:cstheme="minorBidi"/>
          <w:lang w:val="es-ES_tradnl" w:eastAsia="en-US"/>
        </w:rPr>
        <w:t>, porque al modificar la respuesta el recurso quedó sin materia</w:t>
      </w:r>
      <w:r w:rsidRPr="00A81C96">
        <w:rPr>
          <w:rFonts w:asciiTheme="minorHAnsi" w:eastAsiaTheme="minorHAnsi" w:hAnsiTheme="minorHAnsi" w:cstheme="minorBidi"/>
          <w:sz w:val="22"/>
          <w:szCs w:val="22"/>
          <w:lang w:val="es-MX" w:eastAsia="en-US"/>
        </w:rPr>
        <w:t xml:space="preserve"> </w:t>
      </w:r>
      <w:r w:rsidRPr="00A81C96">
        <w:rPr>
          <w:rFonts w:ascii="Palatino Linotype" w:eastAsiaTheme="minorEastAsia" w:hAnsi="Palatino Linotype" w:cstheme="minorBidi"/>
          <w:lang w:val="es-ES_tradnl" w:eastAsia="en-US"/>
        </w:rPr>
        <w:t xml:space="preserve">conforme a lo dispuesto en el artículo 192 fracción III de la Ley de Transparencia y Acceso a la Información Pública del Estado de México y Municipios, en términos del Considerando </w:t>
      </w:r>
      <w:r w:rsidRPr="00A81C96">
        <w:rPr>
          <w:rFonts w:ascii="Palatino Linotype" w:eastAsiaTheme="minorEastAsia" w:hAnsi="Palatino Linotype" w:cstheme="minorBidi"/>
          <w:b/>
          <w:lang w:val="es-ES_tradnl" w:eastAsia="en-US"/>
        </w:rPr>
        <w:t xml:space="preserve">CUARTO </w:t>
      </w:r>
      <w:r w:rsidRPr="00A81C96">
        <w:rPr>
          <w:rFonts w:ascii="Palatino Linotype" w:eastAsiaTheme="minorEastAsia" w:hAnsi="Palatino Linotype" w:cstheme="minorBidi"/>
          <w:lang w:val="es-ES_tradnl" w:eastAsia="en-US"/>
        </w:rPr>
        <w:t>de la presente resolución.</w:t>
      </w:r>
    </w:p>
    <w:p w:rsidR="009513E7" w:rsidRPr="00A81C96" w:rsidRDefault="009513E7" w:rsidP="009513E7">
      <w:pPr>
        <w:spacing w:line="360" w:lineRule="auto"/>
        <w:jc w:val="both"/>
        <w:rPr>
          <w:rFonts w:ascii="Palatino Linotype" w:eastAsiaTheme="minorHAnsi" w:hAnsi="Palatino Linotype" w:cstheme="minorBidi"/>
          <w:b/>
          <w:lang w:val="es-MX" w:eastAsia="en-US"/>
        </w:rPr>
      </w:pPr>
    </w:p>
    <w:p w:rsidR="009513E7" w:rsidRPr="00A81C96" w:rsidRDefault="009513E7" w:rsidP="009513E7">
      <w:pPr>
        <w:spacing w:line="360" w:lineRule="auto"/>
        <w:jc w:val="both"/>
        <w:rPr>
          <w:rFonts w:ascii="Palatino Linotype" w:eastAsiaTheme="minorHAnsi" w:hAnsi="Palatino Linotype" w:cstheme="minorBidi"/>
          <w:lang w:val="es-MX" w:eastAsia="en-US"/>
        </w:rPr>
      </w:pPr>
      <w:r w:rsidRPr="00A81C96">
        <w:rPr>
          <w:rFonts w:ascii="Palatino Linotype" w:eastAsiaTheme="minorHAnsi" w:hAnsi="Palatino Linotype" w:cstheme="minorBidi"/>
          <w:b/>
          <w:sz w:val="28"/>
          <w:lang w:val="es-MX" w:eastAsia="en-US"/>
        </w:rPr>
        <w:t>SEGUNDO.</w:t>
      </w:r>
      <w:r w:rsidRPr="00A81C96">
        <w:rPr>
          <w:rFonts w:ascii="Palatino Linotype" w:eastAsiaTheme="minorHAnsi" w:hAnsi="Palatino Linotype" w:cs="Arial"/>
          <w:sz w:val="28"/>
          <w:lang w:val="es-MX" w:eastAsia="en-US"/>
        </w:rPr>
        <w:t xml:space="preserve"> </w:t>
      </w:r>
      <w:r w:rsidRPr="00A81C96">
        <w:rPr>
          <w:rFonts w:ascii="Palatino Linotype" w:eastAsiaTheme="minorHAnsi" w:hAnsi="Palatino Linotype" w:cstheme="minorBidi"/>
          <w:b/>
          <w:lang w:val="es-MX" w:eastAsia="en-US"/>
        </w:rPr>
        <w:t>NOTIFÍQUESE</w:t>
      </w:r>
      <w:r w:rsidRPr="00A81C96">
        <w:rPr>
          <w:rFonts w:ascii="Palatino Linotype" w:eastAsiaTheme="minorHAnsi" w:hAnsi="Palatino Linotype" w:cstheme="minorBidi"/>
          <w:lang w:val="es-MX" w:eastAsia="en-US"/>
        </w:rPr>
        <w:t xml:space="preserve"> vía Sistema de Acceso a la Información Mexiquense (</w:t>
      </w:r>
      <w:r w:rsidRPr="00A81C96">
        <w:rPr>
          <w:rFonts w:ascii="Palatino Linotype" w:eastAsiaTheme="minorHAnsi" w:hAnsi="Palatino Linotype" w:cstheme="minorBidi"/>
          <w:b/>
          <w:lang w:val="es-MX" w:eastAsia="en-US"/>
        </w:rPr>
        <w:t>SAIMEX)</w:t>
      </w:r>
      <w:r w:rsidRPr="00A81C96">
        <w:rPr>
          <w:rFonts w:ascii="Palatino Linotype" w:eastAsiaTheme="minorHAnsi" w:hAnsi="Palatino Linotype" w:cstheme="minorBidi"/>
          <w:lang w:val="es-MX" w:eastAsia="en-US"/>
        </w:rPr>
        <w:t xml:space="preserve">, la presente resolución al Titular de la Unidad de Transparencia del </w:t>
      </w:r>
      <w:r w:rsidRPr="00A81C96">
        <w:rPr>
          <w:rFonts w:ascii="Palatino Linotype" w:eastAsiaTheme="minorHAnsi" w:hAnsi="Palatino Linotype" w:cstheme="minorBidi"/>
          <w:b/>
          <w:lang w:val="es-MX" w:eastAsia="en-US"/>
        </w:rPr>
        <w:t>Sujeto Obligado</w:t>
      </w:r>
      <w:r w:rsidRPr="00A81C96">
        <w:rPr>
          <w:rFonts w:ascii="Palatino Linotype" w:eastAsiaTheme="minorHAnsi" w:hAnsi="Palatino Linotype" w:cstheme="minorBidi"/>
          <w:lang w:val="es-MX" w:eastAsia="en-US"/>
        </w:rPr>
        <w:t>.</w:t>
      </w:r>
    </w:p>
    <w:p w:rsidR="009513E7" w:rsidRPr="00A81C96" w:rsidRDefault="009513E7" w:rsidP="009513E7">
      <w:pPr>
        <w:autoSpaceDE w:val="0"/>
        <w:autoSpaceDN w:val="0"/>
        <w:adjustRightInd w:val="0"/>
        <w:spacing w:line="360" w:lineRule="auto"/>
        <w:jc w:val="both"/>
        <w:rPr>
          <w:rFonts w:ascii="Palatino Linotype" w:hAnsi="Palatino Linotype" w:cs="Arial"/>
          <w:b/>
          <w:sz w:val="28"/>
          <w:szCs w:val="28"/>
        </w:rPr>
      </w:pPr>
    </w:p>
    <w:p w:rsidR="009513E7" w:rsidRPr="00A81C96" w:rsidRDefault="009513E7" w:rsidP="009513E7">
      <w:pPr>
        <w:autoSpaceDE w:val="0"/>
        <w:autoSpaceDN w:val="0"/>
        <w:adjustRightInd w:val="0"/>
        <w:spacing w:before="240" w:line="360" w:lineRule="auto"/>
        <w:jc w:val="both"/>
        <w:rPr>
          <w:rFonts w:ascii="Palatino Linotype" w:hAnsi="Palatino Linotype" w:cs="Arial"/>
          <w:b/>
        </w:rPr>
      </w:pPr>
      <w:r w:rsidRPr="00A81C96">
        <w:rPr>
          <w:rFonts w:ascii="Palatino Linotype" w:hAnsi="Palatino Linotype" w:cs="Arial"/>
          <w:b/>
          <w:sz w:val="28"/>
          <w:szCs w:val="28"/>
        </w:rPr>
        <w:t>TERCERO</w:t>
      </w:r>
      <w:r w:rsidRPr="00A81C96">
        <w:rPr>
          <w:rFonts w:ascii="Palatino Linotype" w:hAnsi="Palatino Linotype" w:cs="Arial"/>
          <w:sz w:val="28"/>
          <w:szCs w:val="28"/>
        </w:rPr>
        <w:t>.</w:t>
      </w:r>
      <w:r w:rsidRPr="00A81C96">
        <w:rPr>
          <w:rFonts w:ascii="Palatino Linotype" w:hAnsi="Palatino Linotype" w:cs="Arial"/>
        </w:rPr>
        <w:t xml:space="preserve"> </w:t>
      </w:r>
      <w:r w:rsidRPr="00A81C96">
        <w:rPr>
          <w:rFonts w:ascii="Palatino Linotype" w:hAnsi="Palatino Linotype" w:cs="Arial"/>
          <w:b/>
          <w:bCs/>
          <w:color w:val="222222"/>
          <w:shd w:val="clear" w:color="auto" w:fill="FFFFFF"/>
        </w:rPr>
        <w:t>Notifíquese</w:t>
      </w:r>
      <w:r w:rsidRPr="00A81C96">
        <w:rPr>
          <w:rFonts w:ascii="Palatino Linotype" w:hAnsi="Palatino Linotype" w:cs="Arial"/>
        </w:rPr>
        <w:t xml:space="preserve"> la presente resolución a </w:t>
      </w:r>
      <w:r w:rsidRPr="00A81C96">
        <w:rPr>
          <w:rFonts w:ascii="Palatino Linotype" w:eastAsiaTheme="minorHAnsi" w:hAnsi="Palatino Linotype" w:cstheme="minorBidi"/>
          <w:szCs w:val="22"/>
          <w:lang w:val="es-MX" w:eastAsia="en-US"/>
        </w:rPr>
        <w:t xml:space="preserve">la parte </w:t>
      </w:r>
      <w:r w:rsidRPr="00A81C96">
        <w:rPr>
          <w:rFonts w:ascii="Palatino Linotype" w:hAnsi="Palatino Linotype" w:cs="Arial"/>
          <w:b/>
        </w:rPr>
        <w:t xml:space="preserve">RECURRENTE </w:t>
      </w:r>
      <w:r w:rsidRPr="00A81C96">
        <w:rPr>
          <w:rFonts w:ascii="Palatino Linotype" w:hAnsi="Palatino Linotype" w:cs="Arial"/>
        </w:rPr>
        <w:t xml:space="preserve">a través del Sistema de Acceso a la Información Mexiquense </w:t>
      </w:r>
      <w:r w:rsidRPr="00A81C96">
        <w:rPr>
          <w:rFonts w:ascii="Palatino Linotype" w:hAnsi="Palatino Linotype" w:cs="Arial"/>
          <w:b/>
        </w:rPr>
        <w:t>(SAIMEX).</w:t>
      </w:r>
    </w:p>
    <w:p w:rsidR="009513E7" w:rsidRPr="00A81C96" w:rsidRDefault="009513E7" w:rsidP="009513E7">
      <w:pPr>
        <w:autoSpaceDE w:val="0"/>
        <w:autoSpaceDN w:val="0"/>
        <w:adjustRightInd w:val="0"/>
        <w:spacing w:line="360" w:lineRule="auto"/>
        <w:jc w:val="both"/>
        <w:rPr>
          <w:rFonts w:ascii="Palatino Linotype" w:hAnsi="Palatino Linotype" w:cs="Arial"/>
          <w:b/>
        </w:rPr>
      </w:pPr>
    </w:p>
    <w:p w:rsidR="009513E7" w:rsidRPr="00A81C96" w:rsidRDefault="009513E7" w:rsidP="009513E7">
      <w:pPr>
        <w:autoSpaceDE w:val="0"/>
        <w:autoSpaceDN w:val="0"/>
        <w:adjustRightInd w:val="0"/>
        <w:spacing w:before="240" w:line="360" w:lineRule="auto"/>
        <w:jc w:val="both"/>
        <w:rPr>
          <w:rFonts w:ascii="Palatino Linotype" w:hAnsi="Palatino Linotype" w:cs="Arial"/>
        </w:rPr>
      </w:pPr>
      <w:r w:rsidRPr="00A81C96">
        <w:rPr>
          <w:rFonts w:ascii="Palatino Linotype" w:hAnsi="Palatino Linotype" w:cs="Arial"/>
          <w:b/>
          <w:sz w:val="28"/>
          <w:szCs w:val="28"/>
        </w:rPr>
        <w:t xml:space="preserve">CUARTO. </w:t>
      </w:r>
      <w:r w:rsidRPr="00A81C96">
        <w:rPr>
          <w:rFonts w:ascii="Palatino Linotype" w:hAnsi="Palatino Linotype" w:cs="Arial"/>
        </w:rPr>
        <w:t xml:space="preserve">Se hace del conocimiento de </w:t>
      </w:r>
      <w:r w:rsidRPr="00A81C96">
        <w:rPr>
          <w:rFonts w:ascii="Palatino Linotype" w:eastAsiaTheme="minorHAnsi" w:hAnsi="Palatino Linotype" w:cstheme="minorBidi"/>
          <w:szCs w:val="22"/>
          <w:lang w:val="es-MX" w:eastAsia="en-US"/>
        </w:rPr>
        <w:t xml:space="preserve">la parte </w:t>
      </w:r>
      <w:r w:rsidRPr="00A81C96">
        <w:rPr>
          <w:rFonts w:ascii="Palatino Linotype" w:hAnsi="Palatino Linotype" w:cs="Arial"/>
          <w:b/>
        </w:rPr>
        <w:t xml:space="preserve">RECURRENTE </w:t>
      </w:r>
      <w:r w:rsidRPr="00A81C96">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C01A9E" w:rsidRPr="00A81C96" w:rsidRDefault="00C01A9E" w:rsidP="009513E7">
      <w:pPr>
        <w:spacing w:line="360" w:lineRule="auto"/>
        <w:jc w:val="both"/>
        <w:rPr>
          <w:rFonts w:ascii="Palatino Linotype" w:hAnsi="Palatino Linotype" w:cs="Arial"/>
        </w:rPr>
      </w:pPr>
    </w:p>
    <w:p w:rsidR="00C01A9E" w:rsidRPr="00A81C96" w:rsidRDefault="00C01A9E" w:rsidP="00C01A9E">
      <w:pPr>
        <w:spacing w:line="360" w:lineRule="auto"/>
        <w:jc w:val="both"/>
        <w:rPr>
          <w:rFonts w:ascii="Palatino Linotype" w:hAnsi="Palatino Linotype" w:cs="Arial"/>
        </w:rPr>
      </w:pPr>
    </w:p>
    <w:p w:rsidR="00654C94" w:rsidRPr="00A81C96" w:rsidRDefault="00654C94" w:rsidP="00C01A9E">
      <w:pPr>
        <w:spacing w:line="360" w:lineRule="auto"/>
        <w:jc w:val="both"/>
        <w:rPr>
          <w:rFonts w:ascii="Palatino Linotype" w:hAnsi="Palatino Linotype" w:cs="Arial"/>
        </w:rPr>
      </w:pPr>
    </w:p>
    <w:p w:rsidR="00654C94" w:rsidRPr="00A81C96" w:rsidRDefault="00654C94" w:rsidP="00C01A9E">
      <w:pPr>
        <w:spacing w:line="360" w:lineRule="auto"/>
        <w:jc w:val="both"/>
        <w:rPr>
          <w:rFonts w:ascii="Palatino Linotype" w:hAnsi="Palatino Linotype" w:cs="Arial"/>
        </w:rPr>
      </w:pPr>
    </w:p>
    <w:p w:rsidR="00654C94" w:rsidRPr="00A81C96" w:rsidRDefault="00654C94" w:rsidP="00C01A9E">
      <w:pPr>
        <w:spacing w:line="360" w:lineRule="auto"/>
        <w:jc w:val="both"/>
        <w:rPr>
          <w:rFonts w:ascii="Palatino Linotype" w:hAnsi="Palatino Linotype" w:cs="Arial"/>
        </w:rPr>
      </w:pPr>
    </w:p>
    <w:p w:rsidR="00C01A9E" w:rsidRPr="00A81C96" w:rsidRDefault="00A81C96" w:rsidP="00C01A9E">
      <w:pPr>
        <w:spacing w:line="360" w:lineRule="auto"/>
        <w:jc w:val="both"/>
        <w:rPr>
          <w:rFonts w:ascii="Palatino Linotype" w:hAnsi="Palatino Linotype" w:cs="Arial"/>
        </w:rPr>
      </w:pPr>
      <w:r w:rsidRPr="00A81C96">
        <w:rPr>
          <w:rFonts w:ascii="Palatino Linotype" w:hAnsi="Palatino Linotype" w:cs="Arial"/>
          <w:lang w:val="es-ES_tradnl"/>
        </w:rPr>
        <w:lastRenderedPageBreak/>
        <w:t>ASÍ LO RESUELVE, POR UNANIMIDAD DE VOTOS EL PLENO DEL</w:t>
      </w:r>
      <w:r w:rsidRPr="00A81C96">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A81C96">
        <w:rPr>
          <w:rFonts w:ascii="Palatino Linotype" w:hAnsi="Palatino Linotype" w:cs="Arial"/>
          <w:lang w:val="es-ES_tradnl"/>
        </w:rPr>
        <w:t>, CONFORMADO POR LOS COMISIONADOS JOSÉ MARTÍNEZ VILCHIS, MARÍA DEL ROSARIO MEJÍA AYALA, SHARON CRISTINA MORALES MARTÍNEZ, LUIS GUSTAVO PARRA NORIEGA Y GUADALUPE RAMÍREZ PEÑA, EN LA</w:t>
      </w:r>
      <w:r w:rsidRPr="00A81C96">
        <w:rPr>
          <w:rFonts w:ascii="Palatino Linotype" w:hAnsi="Palatino Linotype" w:cs="Arial"/>
          <w:lang w:val="es-419"/>
        </w:rPr>
        <w:t xml:space="preserve"> DÉCIMA SEGUNDA SESIÓN ORDINARIA CELEBRADA EL OCHO DE ABRIL DE DOS MIL VEINTISÉIS</w:t>
      </w:r>
      <w:r w:rsidRPr="00A81C96">
        <w:rPr>
          <w:rFonts w:ascii="Palatino Linotype" w:hAnsi="Palatino Linotype" w:cs="Arial"/>
          <w:lang w:val="es-ES_tradnl"/>
        </w:rPr>
        <w:t>, ANTE EL SECRETARIO TÉCNICO DEL PLENO, ALEXIS TAPIA RAMÍREZ</w:t>
      </w:r>
      <w:r w:rsidR="00C01A9E" w:rsidRPr="00A81C96">
        <w:rPr>
          <w:rFonts w:ascii="Palatino Linotype" w:hAnsi="Palatino Linotype" w:cs="Arial"/>
        </w:rPr>
        <w:t>. -----------------------------------------------------------------------------------------------------------------------------------------------------------------------------------------------------------------------------------------------------------------------------------------------------------------------------------------------------------------------------------------------------------------------------------------------------------------------------------------------------------------------------------------------------------------------------------------------------------------------------------------------------------------------</w:t>
      </w:r>
      <w:r w:rsidR="00421064" w:rsidRPr="00A81C96">
        <w:rPr>
          <w:rFonts w:ascii="Palatino Linotype" w:hAnsi="Palatino Linotype" w:cs="Arial"/>
        </w:rPr>
        <w:t>--------------------</w:t>
      </w:r>
    </w:p>
    <w:p w:rsidR="00C01A9E" w:rsidRDefault="00C01A9E" w:rsidP="00C01A9E">
      <w:pPr>
        <w:spacing w:line="360" w:lineRule="auto"/>
        <w:jc w:val="both"/>
        <w:rPr>
          <w:rFonts w:ascii="Palatino Linotype" w:hAnsi="Palatino Linotype" w:cs="Arial"/>
          <w:sz w:val="16"/>
        </w:rPr>
      </w:pPr>
      <w:r w:rsidRPr="00A81C96">
        <w:rPr>
          <w:rFonts w:ascii="Palatino Linotype" w:hAnsi="Palatino Linotype" w:cs="Arial"/>
        </w:rPr>
        <w:t>------------------------------------------------------------------------------------------------------------------------------------------------------------------------------------------------------------------------------------</w:t>
      </w:r>
      <w:r w:rsidRPr="00A81C96">
        <w:rPr>
          <w:rFonts w:ascii="Palatino Linotype" w:hAnsi="Palatino Linotype" w:cs="Arial"/>
          <w:sz w:val="16"/>
        </w:rPr>
        <w:t>JMV/CCR</w:t>
      </w:r>
      <w:r w:rsidR="000607EF" w:rsidRPr="00A81C96">
        <w:rPr>
          <w:rFonts w:ascii="Palatino Linotype" w:hAnsi="Palatino Linotype" w:cs="Arial"/>
          <w:sz w:val="16"/>
        </w:rPr>
        <w:t>/LMST</w:t>
      </w:r>
    </w:p>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C01A9E" w:rsidRDefault="00C01A9E" w:rsidP="00C01A9E"/>
    <w:p w:rsidR="00EA358E" w:rsidRDefault="00EA358E"/>
    <w:sectPr w:rsidR="00EA358E" w:rsidSect="00CA694C">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83" w:rsidRDefault="008C5783" w:rsidP="00C01A9E">
      <w:r>
        <w:separator/>
      </w:r>
    </w:p>
  </w:endnote>
  <w:endnote w:type="continuationSeparator" w:id="0">
    <w:p w:rsidR="008C5783" w:rsidRDefault="008C5783" w:rsidP="00C0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3E7" w:rsidRPr="00A2780F" w:rsidRDefault="009513E7" w:rsidP="00CA694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4FCD">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4FCD">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3E7" w:rsidRPr="00070856" w:rsidRDefault="009513E7" w:rsidP="00CA694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4FC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4FCD">
      <w:rPr>
        <w:rFonts w:ascii="Arial" w:hAnsi="Arial" w:cs="Arial"/>
        <w:b/>
        <w:bCs/>
        <w:noProof/>
        <w:sz w:val="20"/>
        <w:szCs w:val="20"/>
      </w:rPr>
      <w:t>32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83" w:rsidRDefault="008C5783" w:rsidP="00C01A9E">
      <w:r>
        <w:separator/>
      </w:r>
    </w:p>
  </w:footnote>
  <w:footnote w:type="continuationSeparator" w:id="0">
    <w:p w:rsidR="008C5783" w:rsidRDefault="008C5783" w:rsidP="00C01A9E">
      <w:r>
        <w:continuationSeparator/>
      </w:r>
    </w:p>
  </w:footnote>
  <w:footnote w:id="1">
    <w:p w:rsidR="009513E7" w:rsidRPr="005552A8" w:rsidRDefault="009513E7" w:rsidP="00C01A9E">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9513E7" w:rsidRPr="005552A8" w:rsidRDefault="009513E7" w:rsidP="00C01A9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9513E7" w:rsidRPr="008F2CCC" w:rsidTr="00CA694C">
      <w:tc>
        <w:tcPr>
          <w:tcW w:w="3620" w:type="dxa"/>
          <w:shd w:val="clear" w:color="auto" w:fill="auto"/>
        </w:tcPr>
        <w:p w:rsidR="009513E7" w:rsidRPr="007E5FC4" w:rsidRDefault="009513E7" w:rsidP="00CA694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9513E7" w:rsidRPr="00664658" w:rsidRDefault="009513E7" w:rsidP="00B73EC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09665/INFOEM/IP/RR/2025</w:t>
          </w:r>
        </w:p>
      </w:tc>
    </w:tr>
    <w:tr w:rsidR="009513E7" w:rsidRPr="008F2CCC" w:rsidTr="00CA694C">
      <w:tc>
        <w:tcPr>
          <w:tcW w:w="3620" w:type="dxa"/>
          <w:shd w:val="clear" w:color="auto" w:fill="auto"/>
        </w:tcPr>
        <w:p w:rsidR="009513E7" w:rsidRPr="007E5FC4" w:rsidRDefault="009513E7" w:rsidP="00CA694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9513E7" w:rsidRPr="00664658" w:rsidRDefault="009513E7" w:rsidP="00CA694C">
          <w:pPr>
            <w:spacing w:line="276" w:lineRule="auto"/>
            <w:jc w:val="right"/>
            <w:rPr>
              <w:rFonts w:ascii="Palatino Linotype" w:hAnsi="Palatino Linotype"/>
              <w:b/>
              <w:sz w:val="22"/>
              <w:szCs w:val="22"/>
              <w:lang w:val="es-ES_tradnl"/>
            </w:rPr>
          </w:pPr>
          <w:r w:rsidRPr="00C01A9E">
            <w:rPr>
              <w:rFonts w:ascii="Palatino Linotype" w:hAnsi="Palatino Linotype"/>
              <w:b/>
              <w:sz w:val="22"/>
              <w:szCs w:val="22"/>
            </w:rPr>
            <w:t>Ayuntamiento de Tlalnepantla de Baz</w:t>
          </w:r>
        </w:p>
      </w:tc>
    </w:tr>
    <w:tr w:rsidR="009513E7" w:rsidRPr="008F2CCC" w:rsidTr="00CA694C">
      <w:trPr>
        <w:trHeight w:val="228"/>
      </w:trPr>
      <w:tc>
        <w:tcPr>
          <w:tcW w:w="3620" w:type="dxa"/>
          <w:shd w:val="clear" w:color="auto" w:fill="auto"/>
        </w:tcPr>
        <w:p w:rsidR="009513E7" w:rsidRPr="007E5FC4" w:rsidRDefault="009513E7" w:rsidP="00CA694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9513E7" w:rsidRPr="00664658" w:rsidRDefault="009513E7" w:rsidP="00CA694C">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9513E7" w:rsidRDefault="009513E7" w:rsidP="00CA694C">
    <w:pPr>
      <w:pStyle w:val="Encabezado"/>
      <w:tabs>
        <w:tab w:val="clear" w:pos="4252"/>
        <w:tab w:val="clear" w:pos="8504"/>
        <w:tab w:val="left" w:pos="2326"/>
      </w:tabs>
      <w:rPr>
        <w:rFonts w:ascii="Palatino Linotype" w:hAnsi="Palatino Linotype"/>
        <w:sz w:val="20"/>
      </w:rPr>
    </w:pPr>
  </w:p>
  <w:p w:rsidR="009513E7" w:rsidRPr="001779E0" w:rsidRDefault="009513E7" w:rsidP="00CA694C">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2778365" wp14:editId="4DF8A477">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9513E7" w:rsidRPr="008F2CCC" w:rsidTr="00CA694C">
      <w:tc>
        <w:tcPr>
          <w:tcW w:w="2977" w:type="dxa"/>
          <w:shd w:val="clear" w:color="auto" w:fill="auto"/>
        </w:tcPr>
        <w:p w:rsidR="009513E7" w:rsidRPr="007E5FC4" w:rsidRDefault="009513E7" w:rsidP="00CA694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9513E7" w:rsidRPr="008F2CCC" w:rsidRDefault="009513E7" w:rsidP="00B73EC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09665/INFOEM/IP/RR/2025</w:t>
          </w:r>
        </w:p>
      </w:tc>
    </w:tr>
    <w:tr w:rsidR="009513E7" w:rsidRPr="008F2CCC" w:rsidTr="00CA694C">
      <w:tc>
        <w:tcPr>
          <w:tcW w:w="2977" w:type="dxa"/>
          <w:shd w:val="clear" w:color="auto" w:fill="auto"/>
          <w:vAlign w:val="center"/>
        </w:tcPr>
        <w:p w:rsidR="009513E7" w:rsidRPr="007E5FC4" w:rsidRDefault="009513E7" w:rsidP="00CA694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9513E7" w:rsidRPr="008F2CCC" w:rsidRDefault="00F74FCD" w:rsidP="00CA694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xxxxxxxxxxxxxxxxxxxxxxxxxx</w:t>
          </w:r>
          <w:r w:rsidR="009513E7">
            <w:rPr>
              <w:rFonts w:ascii="Palatino Linotype" w:hAnsi="Palatino Linotype"/>
              <w:b/>
              <w:sz w:val="22"/>
              <w:szCs w:val="22"/>
              <w:lang w:val="es-ES_tradnl"/>
            </w:rPr>
            <w:t xml:space="preserve"> </w:t>
          </w:r>
        </w:p>
      </w:tc>
    </w:tr>
    <w:tr w:rsidR="009513E7" w:rsidRPr="008F2CCC" w:rsidTr="00CA694C">
      <w:trPr>
        <w:trHeight w:val="228"/>
      </w:trPr>
      <w:tc>
        <w:tcPr>
          <w:tcW w:w="2977" w:type="dxa"/>
          <w:shd w:val="clear" w:color="auto" w:fill="auto"/>
        </w:tcPr>
        <w:p w:rsidR="009513E7" w:rsidRPr="007E5FC4" w:rsidRDefault="009513E7" w:rsidP="00CA694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9513E7" w:rsidRPr="00DC41C8" w:rsidRDefault="009513E7" w:rsidP="00CA694C">
          <w:pPr>
            <w:spacing w:line="360" w:lineRule="auto"/>
            <w:jc w:val="right"/>
            <w:rPr>
              <w:rFonts w:ascii="Palatino Linotype" w:hAnsi="Palatino Linotype"/>
              <w:b/>
              <w:sz w:val="22"/>
              <w:szCs w:val="22"/>
            </w:rPr>
          </w:pPr>
          <w:r w:rsidRPr="00C01A9E">
            <w:rPr>
              <w:rFonts w:ascii="Palatino Linotype" w:hAnsi="Palatino Linotype"/>
              <w:b/>
              <w:sz w:val="22"/>
              <w:szCs w:val="22"/>
            </w:rPr>
            <w:t>Ayuntamiento de Tlalnepantla de Baz</w:t>
          </w:r>
        </w:p>
      </w:tc>
    </w:tr>
    <w:tr w:rsidR="009513E7" w:rsidRPr="008F2CCC" w:rsidTr="00CA694C">
      <w:tc>
        <w:tcPr>
          <w:tcW w:w="2977" w:type="dxa"/>
          <w:shd w:val="clear" w:color="auto" w:fill="auto"/>
        </w:tcPr>
        <w:p w:rsidR="009513E7" w:rsidRPr="007E5FC4" w:rsidRDefault="009513E7" w:rsidP="00CA694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9513E7" w:rsidRPr="008F2CCC" w:rsidRDefault="009513E7" w:rsidP="00CA694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9513E7" w:rsidRPr="009F1AB6" w:rsidRDefault="009513E7">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CA3CD9" wp14:editId="278D45F2">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C3133AB"/>
    <w:multiLevelType w:val="hybridMultilevel"/>
    <w:tmpl w:val="AE78C304"/>
    <w:lvl w:ilvl="0" w:tplc="FBC0972C">
      <w:start w:val="1"/>
      <w:numFmt w:val="upp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F523E"/>
    <w:multiLevelType w:val="hybridMultilevel"/>
    <w:tmpl w:val="C43A7F42"/>
    <w:lvl w:ilvl="0" w:tplc="9A2AE9B6">
      <w:start w:val="1"/>
      <w:numFmt w:val="decimal"/>
      <w:lvlText w:val="%1."/>
      <w:lvlJc w:val="left"/>
      <w:pPr>
        <w:ind w:left="720" w:hanging="360"/>
      </w:pPr>
      <w:rPr>
        <w:rFonts w:ascii="Palatino Linotype"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A4FE0"/>
    <w:multiLevelType w:val="hybridMultilevel"/>
    <w:tmpl w:val="3DE283DA"/>
    <w:lvl w:ilvl="0" w:tplc="4EF2125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B3829"/>
    <w:multiLevelType w:val="hybridMultilevel"/>
    <w:tmpl w:val="1582732E"/>
    <w:lvl w:ilvl="0" w:tplc="244E41EA">
      <w:start w:val="1"/>
      <w:numFmt w:val="decimal"/>
      <w:lvlText w:val="%1)"/>
      <w:lvlJc w:val="left"/>
      <w:pPr>
        <w:ind w:left="1440" w:hanging="360"/>
      </w:pPr>
      <w:rPr>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51601AF8"/>
    <w:multiLevelType w:val="hybridMultilevel"/>
    <w:tmpl w:val="3E5C9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121746"/>
    <w:multiLevelType w:val="hybridMultilevel"/>
    <w:tmpl w:val="14740990"/>
    <w:lvl w:ilvl="0" w:tplc="6DAE4F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D286727"/>
    <w:multiLevelType w:val="hybridMultilevel"/>
    <w:tmpl w:val="B09E44FA"/>
    <w:lvl w:ilvl="0" w:tplc="78DC02A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11"/>
  </w:num>
  <w:num w:numId="6">
    <w:abstractNumId w:val="8"/>
  </w:num>
  <w:num w:numId="7">
    <w:abstractNumId w:val="7"/>
  </w:num>
  <w:num w:numId="8">
    <w:abstractNumId w:val="0"/>
  </w:num>
  <w:num w:numId="9">
    <w:abstractNumId w:val="14"/>
  </w:num>
  <w:num w:numId="10">
    <w:abstractNumId w:val="2"/>
  </w:num>
  <w:num w:numId="11">
    <w:abstractNumId w:val="16"/>
  </w:num>
  <w:num w:numId="12">
    <w:abstractNumId w:val="15"/>
  </w:num>
  <w:num w:numId="13">
    <w:abstractNumId w:val="13"/>
  </w:num>
  <w:num w:numId="14">
    <w:abstractNumId w:val="12"/>
  </w:num>
  <w:num w:numId="15">
    <w:abstractNumId w:val="4"/>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9E"/>
    <w:rsid w:val="000607EF"/>
    <w:rsid w:val="00080BB0"/>
    <w:rsid w:val="000B609B"/>
    <w:rsid w:val="00126B34"/>
    <w:rsid w:val="001A2239"/>
    <w:rsid w:val="001F4503"/>
    <w:rsid w:val="002433B8"/>
    <w:rsid w:val="00266505"/>
    <w:rsid w:val="00282789"/>
    <w:rsid w:val="002B0C31"/>
    <w:rsid w:val="003161CD"/>
    <w:rsid w:val="00347800"/>
    <w:rsid w:val="003C430E"/>
    <w:rsid w:val="003D40EA"/>
    <w:rsid w:val="00421064"/>
    <w:rsid w:val="0045760A"/>
    <w:rsid w:val="00550F4C"/>
    <w:rsid w:val="00654C94"/>
    <w:rsid w:val="006D4FA5"/>
    <w:rsid w:val="006E4F9E"/>
    <w:rsid w:val="007475A5"/>
    <w:rsid w:val="007607C8"/>
    <w:rsid w:val="00872B01"/>
    <w:rsid w:val="008C5783"/>
    <w:rsid w:val="009244CF"/>
    <w:rsid w:val="009513E7"/>
    <w:rsid w:val="00955B49"/>
    <w:rsid w:val="0099060E"/>
    <w:rsid w:val="00A0447E"/>
    <w:rsid w:val="00A04652"/>
    <w:rsid w:val="00A77230"/>
    <w:rsid w:val="00A81C96"/>
    <w:rsid w:val="00AD16B7"/>
    <w:rsid w:val="00B73EC6"/>
    <w:rsid w:val="00C01A9E"/>
    <w:rsid w:val="00CA694C"/>
    <w:rsid w:val="00D33855"/>
    <w:rsid w:val="00D54B11"/>
    <w:rsid w:val="00D74050"/>
    <w:rsid w:val="00DB6ED0"/>
    <w:rsid w:val="00DF6FD4"/>
    <w:rsid w:val="00E77CD6"/>
    <w:rsid w:val="00EA358E"/>
    <w:rsid w:val="00F54249"/>
    <w:rsid w:val="00F74FCD"/>
    <w:rsid w:val="00FC51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A875A7-2809-4079-948C-236F4A50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9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1A9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01A9E"/>
    <w:rPr>
      <w:rFonts w:eastAsiaTheme="minorEastAsia"/>
      <w:sz w:val="24"/>
      <w:szCs w:val="24"/>
      <w:lang w:val="es-ES_tradnl" w:eastAsia="es-ES"/>
    </w:rPr>
  </w:style>
  <w:style w:type="paragraph" w:styleId="Piedepgina">
    <w:name w:val="footer"/>
    <w:basedOn w:val="Normal"/>
    <w:link w:val="PiedepginaCar"/>
    <w:uiPriority w:val="99"/>
    <w:unhideWhenUsed/>
    <w:rsid w:val="00C01A9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01A9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1A9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1A9E"/>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C01A9E"/>
    <w:pPr>
      <w:spacing w:after="0" w:line="240" w:lineRule="auto"/>
    </w:pPr>
  </w:style>
  <w:style w:type="character" w:customStyle="1" w:styleId="SinespaciadoCar">
    <w:name w:val="Sin espaciado Car"/>
    <w:aliases w:val="Francesa Car,INAI Car"/>
    <w:link w:val="Sinespaciado"/>
    <w:uiPriority w:val="1"/>
    <w:locked/>
    <w:rsid w:val="00C01A9E"/>
  </w:style>
  <w:style w:type="character" w:styleId="Hipervnculo">
    <w:name w:val="Hyperlink"/>
    <w:aliases w:val="Hipervínculo1,Hipervínculo11,Hipervínculo12,Hipervínculo13,Hipervínculo14,Hipervínculo15"/>
    <w:basedOn w:val="Fuentedeprrafopredeter"/>
    <w:uiPriority w:val="99"/>
    <w:unhideWhenUsed/>
    <w:rsid w:val="00C01A9E"/>
    <w:rPr>
      <w:color w:val="0563C1" w:themeColor="hyperlink"/>
      <w:u w:val="single"/>
    </w:rPr>
  </w:style>
  <w:style w:type="paragraph" w:customStyle="1" w:styleId="INFOEM">
    <w:name w:val="INFOEM"/>
    <w:basedOn w:val="Normal"/>
    <w:qFormat/>
    <w:rsid w:val="00C01A9E"/>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C01A9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01A9E"/>
    <w:rPr>
      <w:vertAlign w:val="superscript"/>
    </w:rPr>
  </w:style>
  <w:style w:type="paragraph" w:customStyle="1" w:styleId="infoemcitas">
    <w:name w:val="infoem citas"/>
    <w:basedOn w:val="Normal"/>
    <w:qFormat/>
    <w:rsid w:val="00C01A9E"/>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C0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C01A9E"/>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Textoennegrita">
    <w:name w:val="Strong"/>
    <w:uiPriority w:val="22"/>
    <w:qFormat/>
    <w:rsid w:val="00C01A9E"/>
    <w:rPr>
      <w:b/>
      <w:bCs/>
    </w:rPr>
  </w:style>
  <w:style w:type="character" w:styleId="Hipervnculovisitado">
    <w:name w:val="FollowedHyperlink"/>
    <w:basedOn w:val="Fuentedeprrafopredeter"/>
    <w:uiPriority w:val="99"/>
    <w:semiHidden/>
    <w:unhideWhenUsed/>
    <w:rsid w:val="002B0C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133861">
      <w:bodyDiv w:val="1"/>
      <w:marLeft w:val="0"/>
      <w:marRight w:val="0"/>
      <w:marTop w:val="0"/>
      <w:marBottom w:val="0"/>
      <w:divBdr>
        <w:top w:val="none" w:sz="0" w:space="0" w:color="auto"/>
        <w:left w:val="none" w:sz="0" w:space="0" w:color="auto"/>
        <w:bottom w:val="none" w:sz="0" w:space="0" w:color="auto"/>
        <w:right w:val="none" w:sz="0" w:space="0" w:color="auto"/>
      </w:divBdr>
    </w:div>
    <w:div w:id="206421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1.tmp"/><Relationship Id="rId26" Type="http://schemas.openxmlformats.org/officeDocument/2006/relationships/image" Target="media/image19.tmp"/><Relationship Id="rId21" Type="http://schemas.openxmlformats.org/officeDocument/2006/relationships/image" Target="media/image14.tmp"/><Relationship Id="rId34" Type="http://schemas.openxmlformats.org/officeDocument/2006/relationships/header" Target="header2.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yperlink" Target="https://ipomex.org.mx/ipomex/" TargetMode="External"/><Relationship Id="rId25" Type="http://schemas.openxmlformats.org/officeDocument/2006/relationships/image" Target="media/image18.tm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7.tmp"/><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2.xml"/><Relationship Id="rId8" Type="http://schemas.openxmlformats.org/officeDocument/2006/relationships/image" Target="media/image2.tmp"/><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32</Pages>
  <Words>4607</Words>
  <Characters>25343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14</cp:revision>
  <cp:lastPrinted>2026-04-10T16:48:00Z</cp:lastPrinted>
  <dcterms:created xsi:type="dcterms:W3CDTF">2026-03-19T21:11:00Z</dcterms:created>
  <dcterms:modified xsi:type="dcterms:W3CDTF">2026-04-17T15:50:00Z</dcterms:modified>
</cp:coreProperties>
</file>