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CF4FF8" w14:textId="40E284F4" w:rsidR="0097113F" w:rsidRPr="006D6EEB" w:rsidRDefault="009875D3" w:rsidP="00AA5401">
      <w:pPr>
        <w:spacing w:before="240" w:after="240" w:line="360" w:lineRule="auto"/>
        <w:ind w:right="49" w:hanging="22"/>
        <w:jc w:val="both"/>
        <w:rPr>
          <w:rFonts w:ascii="Palatino Linotype" w:eastAsia="Palatino Linotype" w:hAnsi="Palatino Linotype" w:cs="Palatino Linotype"/>
          <w:sz w:val="22"/>
          <w:szCs w:val="22"/>
        </w:rPr>
      </w:pPr>
      <w:r w:rsidRPr="006D6EEB">
        <w:rPr>
          <w:rFonts w:ascii="Palatino Linotype" w:eastAsia="Palatino Linotype" w:hAnsi="Palatino Linotype" w:cs="Palatino Linotype"/>
          <w:sz w:val="22"/>
          <w:szCs w:val="22"/>
        </w:rPr>
        <w:t xml:space="preserve">Resolución del Pleno del Instituto de Transparencia, Acceso a la Información Pública y Protección de Datos Personales del Estado de México y Municipios, con domicilio en Metepec, Estado de México, de fecha </w:t>
      </w:r>
      <w:r w:rsidR="00AA5401" w:rsidRPr="006D6EEB">
        <w:rPr>
          <w:rFonts w:ascii="Palatino Linotype" w:eastAsia="Palatino Linotype" w:hAnsi="Palatino Linotype" w:cs="Palatino Linotype"/>
          <w:b/>
          <w:bCs/>
          <w:sz w:val="22"/>
          <w:szCs w:val="22"/>
        </w:rPr>
        <w:t>veintitrés</w:t>
      </w:r>
      <w:r w:rsidRPr="006D6EEB">
        <w:rPr>
          <w:rFonts w:ascii="Palatino Linotype" w:eastAsia="Palatino Linotype" w:hAnsi="Palatino Linotype" w:cs="Palatino Linotype"/>
          <w:b/>
          <w:bCs/>
          <w:sz w:val="22"/>
          <w:szCs w:val="22"/>
        </w:rPr>
        <w:t xml:space="preserve"> de septiembre de dos mil veintiséis.</w:t>
      </w:r>
    </w:p>
    <w:p w14:paraId="1F3BA806" w14:textId="60F1574B" w:rsidR="0097113F" w:rsidRPr="006D6EEB" w:rsidRDefault="009875D3" w:rsidP="00AA5401">
      <w:pPr>
        <w:spacing w:before="240" w:after="240" w:line="360" w:lineRule="auto"/>
        <w:ind w:right="49"/>
        <w:jc w:val="both"/>
        <w:rPr>
          <w:rFonts w:ascii="Palatino Linotype" w:eastAsia="Palatino Linotype" w:hAnsi="Palatino Linotype" w:cs="Palatino Linotype"/>
          <w:sz w:val="22"/>
          <w:szCs w:val="22"/>
        </w:rPr>
      </w:pPr>
      <w:r w:rsidRPr="006D6EEB">
        <w:rPr>
          <w:rFonts w:ascii="Palatino Linotype" w:eastAsia="Palatino Linotype" w:hAnsi="Palatino Linotype" w:cs="Palatino Linotype"/>
          <w:b/>
          <w:bCs/>
          <w:sz w:val="22"/>
          <w:szCs w:val="22"/>
        </w:rPr>
        <w:t xml:space="preserve">VISTO </w:t>
      </w:r>
      <w:r w:rsidRPr="006D6EEB">
        <w:rPr>
          <w:rFonts w:ascii="Palatino Linotype" w:eastAsia="Palatino Linotype" w:hAnsi="Palatino Linotype" w:cs="Palatino Linotype"/>
          <w:sz w:val="22"/>
          <w:szCs w:val="22"/>
        </w:rPr>
        <w:t xml:space="preserve">el expediente relativo al recurso de revisión </w:t>
      </w:r>
      <w:r w:rsidR="005961B5" w:rsidRPr="006D6EEB">
        <w:rPr>
          <w:rFonts w:ascii="Palatino Linotype" w:eastAsia="Palatino Linotype" w:hAnsi="Palatino Linotype" w:cs="Palatino Linotype"/>
          <w:b/>
          <w:bCs/>
          <w:sz w:val="22"/>
          <w:szCs w:val="22"/>
        </w:rPr>
        <w:t>07896/INFOEM/IP/RR/2026</w:t>
      </w:r>
      <w:r w:rsidRPr="006D6EEB">
        <w:rPr>
          <w:rFonts w:ascii="Palatino Linotype" w:eastAsia="Palatino Linotype" w:hAnsi="Palatino Linotype" w:cs="Palatino Linotype"/>
          <w:b/>
          <w:bCs/>
          <w:color w:val="000000"/>
          <w:sz w:val="22"/>
          <w:szCs w:val="22"/>
        </w:rPr>
        <w:t xml:space="preserve">, </w:t>
      </w:r>
      <w:r w:rsidRPr="006D6EEB">
        <w:rPr>
          <w:rFonts w:ascii="Palatino Linotype" w:eastAsia="Palatino Linotype" w:hAnsi="Palatino Linotype" w:cs="Palatino Linotype"/>
          <w:sz w:val="22"/>
          <w:szCs w:val="22"/>
        </w:rPr>
        <w:t>interpuesto por</w:t>
      </w:r>
      <w:r w:rsidRPr="006D6EEB">
        <w:rPr>
          <w:rFonts w:ascii="Palatino Linotype" w:eastAsia="Palatino Linotype" w:hAnsi="Palatino Linotype" w:cs="Palatino Linotype"/>
          <w:b/>
          <w:bCs/>
          <w:sz w:val="22"/>
          <w:szCs w:val="22"/>
        </w:rPr>
        <w:t xml:space="preserve"> </w:t>
      </w:r>
      <w:r w:rsidR="00720852" w:rsidRPr="00720852">
        <w:rPr>
          <w:rFonts w:ascii="Palatino Linotype" w:eastAsia="Palatino Linotype" w:hAnsi="Palatino Linotype" w:cs="Palatino Linotype"/>
          <w:b/>
          <w:bCs/>
          <w:color w:val="000000"/>
          <w:sz w:val="22"/>
          <w:szCs w:val="22"/>
        </w:rPr>
        <w:t>XXXXX XXX XXXXX</w:t>
      </w:r>
      <w:r w:rsidRPr="006D6EEB">
        <w:rPr>
          <w:rFonts w:ascii="Palatino Linotype" w:eastAsia="Palatino Linotype" w:hAnsi="Palatino Linotype" w:cs="Palatino Linotype"/>
          <w:sz w:val="22"/>
          <w:szCs w:val="22"/>
        </w:rPr>
        <w:t>,</w:t>
      </w:r>
      <w:r w:rsidRPr="006D6EEB">
        <w:rPr>
          <w:rFonts w:ascii="Palatino Linotype" w:eastAsia="Palatino Linotype" w:hAnsi="Palatino Linotype" w:cs="Palatino Linotype"/>
          <w:color w:val="FF0000"/>
          <w:sz w:val="22"/>
          <w:szCs w:val="22"/>
        </w:rPr>
        <w:t xml:space="preserve"> </w:t>
      </w:r>
      <w:r w:rsidRPr="006D6EEB">
        <w:rPr>
          <w:rFonts w:ascii="Palatino Linotype" w:eastAsia="Palatino Linotype" w:hAnsi="Palatino Linotype" w:cs="Palatino Linotype"/>
          <w:sz w:val="22"/>
          <w:szCs w:val="22"/>
        </w:rPr>
        <w:t xml:space="preserve">en lo sucesivo la parte </w:t>
      </w:r>
      <w:r w:rsidRPr="006D6EEB">
        <w:rPr>
          <w:rFonts w:ascii="Palatino Linotype" w:eastAsia="Palatino Linotype" w:hAnsi="Palatino Linotype" w:cs="Palatino Linotype"/>
          <w:b/>
          <w:bCs/>
          <w:sz w:val="22"/>
          <w:szCs w:val="22"/>
        </w:rPr>
        <w:t>Recurrente</w:t>
      </w:r>
      <w:r w:rsidRPr="006D6EEB">
        <w:rPr>
          <w:rFonts w:ascii="Palatino Linotype" w:eastAsia="Palatino Linotype" w:hAnsi="Palatino Linotype" w:cs="Palatino Linotype"/>
          <w:sz w:val="22"/>
          <w:szCs w:val="22"/>
        </w:rPr>
        <w:t xml:space="preserve">, en contra de la respuesta a la solicitud de información por parte del </w:t>
      </w:r>
      <w:r w:rsidR="005961B5" w:rsidRPr="006D6EEB">
        <w:rPr>
          <w:rFonts w:ascii="Palatino Linotype" w:eastAsia="Palatino Linotype" w:hAnsi="Palatino Linotype" w:cs="Palatino Linotype"/>
          <w:b/>
          <w:bCs/>
          <w:color w:val="000000"/>
          <w:sz w:val="22"/>
          <w:szCs w:val="22"/>
        </w:rPr>
        <w:t>Ayuntamiento de Tepetlixpa</w:t>
      </w:r>
      <w:r w:rsidRPr="006D6EEB">
        <w:rPr>
          <w:rFonts w:ascii="Palatino Linotype" w:eastAsia="Palatino Linotype" w:hAnsi="Palatino Linotype" w:cs="Palatino Linotype"/>
          <w:sz w:val="22"/>
          <w:szCs w:val="22"/>
        </w:rPr>
        <w:t xml:space="preserve">, en lo sucesivo el </w:t>
      </w:r>
      <w:r w:rsidRPr="006D6EEB">
        <w:rPr>
          <w:rFonts w:ascii="Palatino Linotype" w:eastAsia="Palatino Linotype" w:hAnsi="Palatino Linotype" w:cs="Palatino Linotype"/>
          <w:b/>
          <w:bCs/>
          <w:sz w:val="22"/>
          <w:szCs w:val="22"/>
        </w:rPr>
        <w:t xml:space="preserve">Sujeto Obligado; </w:t>
      </w:r>
      <w:r w:rsidRPr="006D6EEB">
        <w:rPr>
          <w:rFonts w:ascii="Palatino Linotype" w:eastAsia="Palatino Linotype" w:hAnsi="Palatino Linotype" w:cs="Palatino Linotype"/>
          <w:sz w:val="22"/>
          <w:szCs w:val="22"/>
        </w:rPr>
        <w:t xml:space="preserve">se procede a dictar la presente resolución, con base en lo siguiente.  </w:t>
      </w:r>
    </w:p>
    <w:p w14:paraId="4EA9BA3B" w14:textId="77777777" w:rsidR="0097113F" w:rsidRPr="006D6EEB" w:rsidRDefault="009875D3" w:rsidP="00AA5401">
      <w:pPr>
        <w:spacing w:before="240" w:after="240" w:line="360" w:lineRule="auto"/>
        <w:ind w:right="49"/>
        <w:jc w:val="center"/>
        <w:rPr>
          <w:rFonts w:ascii="Palatino Linotype" w:eastAsia="Palatino Linotype" w:hAnsi="Palatino Linotype" w:cs="Palatino Linotype"/>
          <w:b/>
          <w:bCs/>
          <w:sz w:val="22"/>
          <w:szCs w:val="22"/>
        </w:rPr>
      </w:pPr>
      <w:r w:rsidRPr="006D6EEB">
        <w:rPr>
          <w:rFonts w:ascii="Palatino Linotype" w:eastAsia="Palatino Linotype" w:hAnsi="Palatino Linotype" w:cs="Palatino Linotype"/>
          <w:b/>
          <w:bCs/>
          <w:sz w:val="22"/>
          <w:szCs w:val="22"/>
        </w:rPr>
        <w:t>I.</w:t>
      </w:r>
      <w:r w:rsidRPr="006D6EEB">
        <w:rPr>
          <w:rFonts w:ascii="Palatino Linotype" w:eastAsia="Palatino Linotype" w:hAnsi="Palatino Linotype" w:cs="Palatino Linotype"/>
          <w:b/>
          <w:bCs/>
          <w:sz w:val="22"/>
          <w:szCs w:val="22"/>
        </w:rPr>
        <w:tab/>
        <w:t xml:space="preserve">A N T E C E D E N T E S </w:t>
      </w:r>
    </w:p>
    <w:p w14:paraId="605A5148" w14:textId="051F695B" w:rsidR="0097113F" w:rsidRPr="006D6EEB" w:rsidRDefault="009875D3" w:rsidP="00AA5401">
      <w:pPr>
        <w:spacing w:before="240" w:after="240" w:line="360" w:lineRule="auto"/>
        <w:jc w:val="both"/>
        <w:rPr>
          <w:rFonts w:ascii="Palatino Linotype" w:eastAsia="Palatino Linotype" w:hAnsi="Palatino Linotype" w:cs="Palatino Linotype"/>
          <w:sz w:val="22"/>
          <w:szCs w:val="22"/>
        </w:rPr>
      </w:pPr>
      <w:r w:rsidRPr="006D6EEB">
        <w:rPr>
          <w:rFonts w:ascii="Palatino Linotype" w:eastAsia="Palatino Linotype" w:hAnsi="Palatino Linotype" w:cs="Palatino Linotype"/>
          <w:b/>
          <w:bCs/>
          <w:sz w:val="22"/>
          <w:szCs w:val="22"/>
        </w:rPr>
        <w:t>1.</w:t>
      </w:r>
      <w:r w:rsidRPr="006D6EEB">
        <w:rPr>
          <w:rFonts w:ascii="Palatino Linotype" w:eastAsia="Palatino Linotype" w:hAnsi="Palatino Linotype" w:cs="Palatino Linotype"/>
          <w:sz w:val="22"/>
          <w:szCs w:val="22"/>
        </w:rPr>
        <w:t xml:space="preserve"> </w:t>
      </w:r>
      <w:r w:rsidRPr="006D6EEB">
        <w:rPr>
          <w:rFonts w:ascii="Palatino Linotype" w:eastAsia="Palatino Linotype" w:hAnsi="Palatino Linotype" w:cs="Palatino Linotype"/>
          <w:b/>
          <w:bCs/>
          <w:sz w:val="22"/>
          <w:szCs w:val="22"/>
        </w:rPr>
        <w:t xml:space="preserve">Solicitud de Acceso a la Información. El </w:t>
      </w:r>
      <w:r w:rsidR="005961B5" w:rsidRPr="006D6EEB">
        <w:rPr>
          <w:rFonts w:ascii="Palatino Linotype" w:eastAsia="Palatino Linotype" w:hAnsi="Palatino Linotype" w:cs="Palatino Linotype"/>
          <w:b/>
          <w:bCs/>
          <w:sz w:val="22"/>
          <w:szCs w:val="22"/>
        </w:rPr>
        <w:t>dos de julio</w:t>
      </w:r>
      <w:r w:rsidRPr="006D6EEB">
        <w:rPr>
          <w:rFonts w:ascii="Palatino Linotype" w:eastAsia="Palatino Linotype" w:hAnsi="Palatino Linotype" w:cs="Palatino Linotype"/>
          <w:b/>
          <w:bCs/>
          <w:sz w:val="22"/>
          <w:szCs w:val="22"/>
        </w:rPr>
        <w:t xml:space="preserve"> de dos mil veintiséis</w:t>
      </w:r>
      <w:r w:rsidRPr="006D6EEB">
        <w:rPr>
          <w:rFonts w:ascii="Palatino Linotype" w:eastAsia="Palatino Linotype" w:hAnsi="Palatino Linotype" w:cs="Palatino Linotype"/>
          <w:sz w:val="22"/>
          <w:szCs w:val="22"/>
        </w:rPr>
        <w:t xml:space="preserve">, </w:t>
      </w:r>
      <w:r w:rsidRPr="006D6EEB">
        <w:rPr>
          <w:rFonts w:ascii="Palatino Linotype" w:eastAsia="Palatino Linotype" w:hAnsi="Palatino Linotype" w:cs="Palatino Linotype"/>
          <w:b/>
          <w:bCs/>
          <w:sz w:val="22"/>
          <w:szCs w:val="22"/>
        </w:rPr>
        <w:t>LA PARTE</w:t>
      </w:r>
      <w:r w:rsidRPr="006D6EEB">
        <w:rPr>
          <w:rFonts w:ascii="Palatino Linotype" w:eastAsia="Palatino Linotype" w:hAnsi="Palatino Linotype" w:cs="Palatino Linotype"/>
          <w:sz w:val="22"/>
          <w:szCs w:val="22"/>
        </w:rPr>
        <w:t xml:space="preserve"> </w:t>
      </w:r>
      <w:r w:rsidRPr="006D6EEB">
        <w:rPr>
          <w:rFonts w:ascii="Palatino Linotype" w:eastAsia="Palatino Linotype" w:hAnsi="Palatino Linotype" w:cs="Palatino Linotype"/>
          <w:b/>
          <w:bCs/>
          <w:sz w:val="22"/>
          <w:szCs w:val="22"/>
        </w:rPr>
        <w:t>RECURRENTE</w:t>
      </w:r>
      <w:r w:rsidRPr="006D6EEB">
        <w:rPr>
          <w:rFonts w:ascii="Palatino Linotype" w:eastAsia="Palatino Linotype" w:hAnsi="Palatino Linotype" w:cs="Palatino Linotype"/>
          <w:sz w:val="22"/>
          <w:szCs w:val="22"/>
        </w:rPr>
        <w:t xml:space="preserve"> formuló solicitud de acceso a información pública a través del </w:t>
      </w:r>
      <w:r w:rsidRPr="006D6EEB">
        <w:rPr>
          <w:rFonts w:ascii="Palatino Linotype" w:eastAsia="Palatino Linotype" w:hAnsi="Palatino Linotype" w:cs="Palatino Linotype"/>
          <w:b/>
          <w:bCs/>
          <w:sz w:val="22"/>
          <w:szCs w:val="22"/>
        </w:rPr>
        <w:t>SAIMEX</w:t>
      </w:r>
      <w:r w:rsidRPr="006D6EEB">
        <w:rPr>
          <w:rFonts w:ascii="Palatino Linotype" w:eastAsia="Palatino Linotype" w:hAnsi="Palatino Linotype" w:cs="Palatino Linotype"/>
          <w:sz w:val="22"/>
          <w:szCs w:val="22"/>
        </w:rPr>
        <w:t xml:space="preserve">, en la que requirió lo siguiente: </w:t>
      </w:r>
    </w:p>
    <w:p w14:paraId="03ED2DEC" w14:textId="3AD719F2" w:rsidR="0097113F" w:rsidRPr="006D6EEB" w:rsidRDefault="009875D3" w:rsidP="00AA5401">
      <w:pPr>
        <w:spacing w:before="240" w:after="240" w:line="360" w:lineRule="auto"/>
        <w:ind w:left="567" w:right="843"/>
        <w:jc w:val="both"/>
        <w:rPr>
          <w:rFonts w:ascii="Palatino Linotype" w:eastAsia="Palatino Linotype" w:hAnsi="Palatino Linotype" w:cs="Palatino Linotype"/>
          <w:b/>
          <w:bCs/>
          <w:i/>
          <w:iCs/>
          <w:color w:val="000000"/>
          <w:sz w:val="22"/>
          <w:szCs w:val="22"/>
        </w:rPr>
      </w:pPr>
      <w:bookmarkStart w:id="0" w:name="_heading=h.3znysh7" w:colFirst="0" w:colLast="0"/>
      <w:bookmarkEnd w:id="0"/>
      <w:r w:rsidRPr="006D6EEB">
        <w:rPr>
          <w:rFonts w:ascii="Palatino Linotype" w:eastAsia="Palatino Linotype" w:hAnsi="Palatino Linotype" w:cs="Palatino Linotype"/>
          <w:b/>
          <w:bCs/>
          <w:i/>
          <w:iCs/>
          <w:color w:val="000000"/>
          <w:sz w:val="22"/>
          <w:szCs w:val="22"/>
        </w:rPr>
        <w:t>“</w:t>
      </w:r>
      <w:r w:rsidR="005961B5" w:rsidRPr="006D6EEB">
        <w:rPr>
          <w:rFonts w:ascii="Palatino Linotype" w:eastAsia="Palatino Linotype" w:hAnsi="Palatino Linotype" w:cs="Palatino Linotype"/>
          <w:b/>
          <w:bCs/>
          <w:i/>
          <w:iCs/>
          <w:color w:val="000000"/>
          <w:sz w:val="22"/>
          <w:szCs w:val="22"/>
        </w:rPr>
        <w:tab/>
        <w:t xml:space="preserve">QUE INFORME EL PRESIDENTE MUNICIPAL DE MANERA PERSONAL Y NO POR TERCERAS PERSONAS O TURNADO A OTRA AREA Y EN CASO QUE SEA TURNADO A OTRA AREA SE INCIIE LA INVESTIGACION POR LA OMISION AL TITULAR DE LA UNIDAD DE TRASNSPARENCIA Y ACCESO A LA INFORMACION PUBLICA DE TEPETLIXPA DE LO SIGUIENTE: 1.- LOS GRADOS ACADEMICOS DE LOS INTEGRANTES DE CABILDO (SINDICO, REGIDORES Y PRESIDENTE MUNICIPAL) 2.- EL DOCUMENTO CON QUE SE ACREDITE EL GRADO ACADEMICO DE LOS MENCIONADOS EN EL PUNTO ANTERIOR (TITULO, CEDULA, CERTIFICADO O CONSTANCIA, EXPEDIDA POR INSTITUCION </w:t>
      </w:r>
      <w:r w:rsidR="005961B5" w:rsidRPr="006D6EEB">
        <w:rPr>
          <w:rFonts w:ascii="Palatino Linotype" w:eastAsia="Palatino Linotype" w:hAnsi="Palatino Linotype" w:cs="Palatino Linotype"/>
          <w:b/>
          <w:bCs/>
          <w:i/>
          <w:iCs/>
          <w:color w:val="000000"/>
          <w:sz w:val="22"/>
          <w:szCs w:val="22"/>
        </w:rPr>
        <w:lastRenderedPageBreak/>
        <w:t>ACADEMICA), Y EN CASO DE QUE CONTENGA DATOS SENSIBLES SEAN TEXTADOS DE ACUERDO A LA LEY DE PROTECCIÓN DE DATOS PERSONALES EN POSESIÓN DE SUJETOS OBLIGADOS DEL ESTADO DE MÉXICO Y MUNICIPIOS. 3.- LOS HORARIOS A LOS CUALES ESTAN SUJETOS A ESTAR EN EL PALACIO MUNICIPAL DE TEPETLIXPA PARA ATENDER LOS ASUNTOS DE SU COMPETENCIA LOS INTEGRANTES DEL CABILDO (SINDICO, REGIDORES Y PRESIDENTE MUNICIPAL) 4.- EL NUMERO DE GESTIONES DE ACUERDO A SU COMISION REALIZADAS POR LOS REGIDORES DEL PERIODO DEL 01 DE ENERO DE 2025 AL 30 DE JUNIO DE 2026. 5.-DE ACUERDO AL ARTICULO 55 FRACCION IV DE LA LEY ORGANICA MUNICIPAL DEL ESTADO DE MEXICO, SE INDIQUE EN QUE COMISIONES LES FUERON CONFERIDAS A LOS REGIDORES Y EN CUALES HAN SIDO LOS RESULTADOS QUE HAYAN PRESENTADO PARA BENEFICIO DE LA POBLACION TEPETLIXPENSE Y EN CASO DE QUE NO HAYAN EMITIDO ALGUN RESULTADO, INFORME LAS CAUSAS DEBIDAMENTE FUNDADAS Y MOTIVADAS.</w:t>
      </w:r>
    </w:p>
    <w:p w14:paraId="5FEFD1E2" w14:textId="77777777" w:rsidR="0097113F" w:rsidRPr="006D6EEB" w:rsidRDefault="009875D3" w:rsidP="00AA5401">
      <w:pPr>
        <w:spacing w:before="240" w:after="240" w:line="360" w:lineRule="auto"/>
        <w:ind w:right="49"/>
        <w:jc w:val="both"/>
        <w:rPr>
          <w:rFonts w:ascii="Palatino Linotype" w:eastAsia="Palatino Linotype" w:hAnsi="Palatino Linotype" w:cs="Palatino Linotype"/>
          <w:sz w:val="22"/>
          <w:szCs w:val="22"/>
        </w:rPr>
      </w:pPr>
      <w:r w:rsidRPr="006D6EEB">
        <w:rPr>
          <w:rFonts w:ascii="Palatino Linotype" w:eastAsia="Palatino Linotype" w:hAnsi="Palatino Linotype" w:cs="Palatino Linotype"/>
          <w:b/>
          <w:bCs/>
          <w:sz w:val="22"/>
          <w:szCs w:val="22"/>
        </w:rPr>
        <w:t>Modalidad elegida para la entrega de la información:</w:t>
      </w:r>
      <w:r w:rsidRPr="006D6EEB">
        <w:rPr>
          <w:rFonts w:ascii="Palatino Linotype" w:eastAsia="Palatino Linotype" w:hAnsi="Palatino Linotype" w:cs="Palatino Linotype"/>
          <w:sz w:val="22"/>
          <w:szCs w:val="22"/>
        </w:rPr>
        <w:t xml:space="preserve"> a través del Sistema de Acceso a la Información Mexiquense (SAIMEX).</w:t>
      </w:r>
    </w:p>
    <w:p w14:paraId="0E53B6DA" w14:textId="3FE20194" w:rsidR="0097113F" w:rsidRPr="006D6EEB" w:rsidRDefault="009875D3" w:rsidP="00AA5401">
      <w:pPr>
        <w:widowControl w:val="0"/>
        <w:spacing w:before="240" w:after="240" w:line="360" w:lineRule="auto"/>
        <w:jc w:val="both"/>
        <w:rPr>
          <w:rFonts w:ascii="Palatino Linotype" w:eastAsia="Palatino Linotype" w:hAnsi="Palatino Linotype" w:cs="Palatino Linotype"/>
          <w:sz w:val="22"/>
          <w:szCs w:val="22"/>
        </w:rPr>
      </w:pPr>
      <w:r w:rsidRPr="006D6EEB">
        <w:rPr>
          <w:rFonts w:ascii="Palatino Linotype" w:eastAsia="Palatino Linotype" w:hAnsi="Palatino Linotype" w:cs="Palatino Linotype"/>
          <w:b/>
          <w:bCs/>
          <w:sz w:val="22"/>
          <w:szCs w:val="22"/>
        </w:rPr>
        <w:t>2. Respuesta.</w:t>
      </w:r>
      <w:r w:rsidRPr="006D6EEB">
        <w:rPr>
          <w:rFonts w:ascii="Palatino Linotype" w:eastAsia="Palatino Linotype" w:hAnsi="Palatino Linotype" w:cs="Palatino Linotype"/>
          <w:sz w:val="22"/>
          <w:szCs w:val="22"/>
        </w:rPr>
        <w:t xml:space="preserve"> El </w:t>
      </w:r>
      <w:r w:rsidR="005961B5" w:rsidRPr="006D6EEB">
        <w:rPr>
          <w:rFonts w:ascii="Palatino Linotype" w:eastAsia="Palatino Linotype" w:hAnsi="Palatino Linotype" w:cs="Palatino Linotype"/>
          <w:b/>
          <w:bCs/>
          <w:sz w:val="22"/>
          <w:szCs w:val="22"/>
        </w:rPr>
        <w:t>cinco de agosto</w:t>
      </w:r>
      <w:r w:rsidRPr="006D6EEB">
        <w:rPr>
          <w:rFonts w:ascii="Palatino Linotype" w:eastAsia="Palatino Linotype" w:hAnsi="Palatino Linotype" w:cs="Palatino Linotype"/>
          <w:b/>
          <w:bCs/>
          <w:sz w:val="22"/>
          <w:szCs w:val="22"/>
        </w:rPr>
        <w:t xml:space="preserve"> de dos mil veintiséis</w:t>
      </w:r>
      <w:r w:rsidRPr="006D6EEB">
        <w:rPr>
          <w:rFonts w:ascii="Palatino Linotype" w:eastAsia="Palatino Linotype" w:hAnsi="Palatino Linotype" w:cs="Palatino Linotype"/>
          <w:sz w:val="22"/>
          <w:szCs w:val="22"/>
        </w:rPr>
        <w:t>, el Sujeto Obligado dio respuesta a la solicitud en los siguientes términos:</w:t>
      </w:r>
    </w:p>
    <w:p w14:paraId="2BF7CD55" w14:textId="77777777" w:rsidR="00D87730" w:rsidRPr="006D6EEB" w:rsidRDefault="00D87730" w:rsidP="00AA5401">
      <w:pPr>
        <w:widowControl w:val="0"/>
        <w:spacing w:before="240" w:after="240" w:line="360" w:lineRule="auto"/>
        <w:jc w:val="both"/>
        <w:rPr>
          <w:rFonts w:ascii="Palatino Linotype" w:eastAsia="Palatino Linotype" w:hAnsi="Palatino Linotype" w:cs="Palatino Linotype"/>
          <w:sz w:val="22"/>
          <w:szCs w:val="22"/>
        </w:rPr>
      </w:pPr>
      <w:r w:rsidRPr="006D6EEB">
        <w:rPr>
          <w:rFonts w:ascii="Palatino Linotype" w:eastAsia="Palatino Linotype" w:hAnsi="Palatino Linotype" w:cs="Palatino Linotype"/>
          <w:sz w:val="22"/>
          <w:szCs w:val="22"/>
        </w:rPr>
        <w:t>Tepetlixpa, México a 05 de Agosto de 2026</w:t>
      </w:r>
    </w:p>
    <w:p w14:paraId="5C8D06CD" w14:textId="1E071DA1" w:rsidR="00D87730" w:rsidRPr="006D6EEB" w:rsidRDefault="00720852" w:rsidP="00AA5401">
      <w:pPr>
        <w:widowControl w:val="0"/>
        <w:spacing w:before="240" w:after="240" w:line="360" w:lineRule="auto"/>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Nombre del solicitante: C. XXXXXXXXX</w:t>
      </w:r>
    </w:p>
    <w:p w14:paraId="294AD269" w14:textId="77777777" w:rsidR="00D87730" w:rsidRPr="006D6EEB" w:rsidRDefault="00D87730" w:rsidP="00AA5401">
      <w:pPr>
        <w:widowControl w:val="0"/>
        <w:spacing w:before="240" w:after="240" w:line="360" w:lineRule="auto"/>
        <w:jc w:val="both"/>
        <w:rPr>
          <w:rFonts w:ascii="Palatino Linotype" w:eastAsia="Palatino Linotype" w:hAnsi="Palatino Linotype" w:cs="Palatino Linotype"/>
          <w:sz w:val="22"/>
          <w:szCs w:val="22"/>
        </w:rPr>
      </w:pPr>
      <w:r w:rsidRPr="006D6EEB">
        <w:rPr>
          <w:rFonts w:ascii="Palatino Linotype" w:eastAsia="Palatino Linotype" w:hAnsi="Palatino Linotype" w:cs="Palatino Linotype"/>
          <w:sz w:val="22"/>
          <w:szCs w:val="22"/>
        </w:rPr>
        <w:t>Folio de la solicitud: 00101/TEPETLIX/IP/2026</w:t>
      </w:r>
    </w:p>
    <w:p w14:paraId="3676BF8A" w14:textId="1E7015D6" w:rsidR="00D87730" w:rsidRPr="006D6EEB" w:rsidRDefault="00D87730" w:rsidP="00AA5401">
      <w:pPr>
        <w:widowControl w:val="0"/>
        <w:spacing w:before="240" w:after="240" w:line="360" w:lineRule="auto"/>
        <w:jc w:val="both"/>
        <w:rPr>
          <w:rFonts w:ascii="Palatino Linotype" w:eastAsia="Palatino Linotype" w:hAnsi="Palatino Linotype" w:cs="Palatino Linotype"/>
          <w:sz w:val="22"/>
          <w:szCs w:val="22"/>
        </w:rPr>
      </w:pPr>
      <w:r w:rsidRPr="006D6EEB">
        <w:rPr>
          <w:rFonts w:ascii="Palatino Linotype" w:eastAsia="Palatino Linotype" w:hAnsi="Palatino Linotype" w:cs="Palatino Linotype"/>
          <w:sz w:val="22"/>
          <w:szCs w:val="22"/>
        </w:rPr>
        <w:lastRenderedPageBreak/>
        <w:t>En respuesta a la solicitud recibida, nos permitimos hacer de su conocimiento que con fundamento en el artículo 53, Fracciones: II, V y VI de la Ley de Transparencia y Acceso a la Información Pública del Estado de México y Municipios, le contestamos que:</w:t>
      </w:r>
    </w:p>
    <w:p w14:paraId="4F00EEA5" w14:textId="0AFEE0BC" w:rsidR="00D87730" w:rsidRPr="006D6EEB" w:rsidRDefault="00D87730" w:rsidP="00AA5401">
      <w:pPr>
        <w:widowControl w:val="0"/>
        <w:spacing w:before="240" w:after="240" w:line="360" w:lineRule="auto"/>
        <w:ind w:left="567"/>
        <w:jc w:val="both"/>
        <w:rPr>
          <w:rFonts w:ascii="Palatino Linotype" w:eastAsia="Palatino Linotype" w:hAnsi="Palatino Linotype" w:cs="Palatino Linotype"/>
          <w:i/>
          <w:iCs/>
          <w:sz w:val="22"/>
          <w:szCs w:val="22"/>
        </w:rPr>
      </w:pPr>
      <w:r w:rsidRPr="006D6EEB">
        <w:rPr>
          <w:rFonts w:ascii="Palatino Linotype" w:eastAsia="Palatino Linotype" w:hAnsi="Palatino Linotype" w:cs="Palatino Linotype"/>
          <w:i/>
          <w:iCs/>
          <w:sz w:val="22"/>
          <w:szCs w:val="22"/>
        </w:rPr>
        <w:t xml:space="preserve">“C. </w:t>
      </w:r>
      <w:r w:rsidR="00720852">
        <w:rPr>
          <w:rFonts w:ascii="Palatino Linotype" w:eastAsia="Palatino Linotype" w:hAnsi="Palatino Linotype" w:cs="Palatino Linotype"/>
          <w:i/>
          <w:iCs/>
          <w:sz w:val="22"/>
          <w:szCs w:val="22"/>
        </w:rPr>
        <w:t>XXXXXXXX</w:t>
      </w:r>
      <w:r w:rsidRPr="006D6EEB">
        <w:rPr>
          <w:rFonts w:ascii="Palatino Linotype" w:eastAsia="Palatino Linotype" w:hAnsi="Palatino Linotype" w:cs="Palatino Linotype"/>
          <w:i/>
          <w:iCs/>
          <w:sz w:val="22"/>
          <w:szCs w:val="22"/>
        </w:rPr>
        <w:t xml:space="preserve">, </w:t>
      </w:r>
    </w:p>
    <w:p w14:paraId="049EF039" w14:textId="4C009FD8" w:rsidR="00D87730" w:rsidRPr="006D6EEB" w:rsidRDefault="00D87730" w:rsidP="00AA5401">
      <w:pPr>
        <w:widowControl w:val="0"/>
        <w:spacing w:before="240" w:after="240" w:line="360" w:lineRule="auto"/>
        <w:ind w:left="567"/>
        <w:jc w:val="both"/>
        <w:rPr>
          <w:rFonts w:ascii="Palatino Linotype" w:eastAsia="Palatino Linotype" w:hAnsi="Palatino Linotype" w:cs="Palatino Linotype"/>
          <w:i/>
          <w:iCs/>
          <w:sz w:val="22"/>
          <w:szCs w:val="22"/>
        </w:rPr>
      </w:pPr>
      <w:r w:rsidRPr="006D6EEB">
        <w:rPr>
          <w:rFonts w:ascii="Palatino Linotype" w:eastAsia="Palatino Linotype" w:hAnsi="Palatino Linotype" w:cs="Palatino Linotype"/>
          <w:i/>
          <w:iCs/>
          <w:sz w:val="22"/>
          <w:szCs w:val="22"/>
        </w:rPr>
        <w:t>EN RESPUESTA A SU SOLICITUD SE ENTREGA SE ENTREGA LA INFORMACIÓN SOLICITADA EN UN DOCUMENTO EN FORMATO PDF. EN SEGUIMIENTO A SU SOLICITUD DE INFORMACIÓN, SOLO ES DE LA COMPETENCIA DE ESTA DIRECCIÓN " 1.- LOS GRADOS ACADEMICOS DE LOS INTEGRANTES DE CABILDO (SINDICO, REGIDORES Y PRESIDENTE MUNICIPAL) 2.- EL DOCUMENTO CON QUE SE ACREDITE EL GRADO ACADEMICO DE LOS MENCIONADOS EN EL PUNTO ANTERIOR (TITULO, CEDULA, CERTIFICADO O CONSTANCIA, EXPEDIDA POR INSTITUCION ACADEMICA), Y EN CASO DE QUE CONTENGA DATOS SENSIBLES SEAN TEXTADOS DE ACUERDO A LA LEY DE PROTECCIÓN DE DATOS PERSONALES EN POSESIÓN DE SUJETOS OBLIGADOS DEL ESTADO DE MÉXICO Y MUNICIPIOS. 3.- LOS HORARIOS A LOS CUALES ESTAN SUJETOS A ESTAR EN EL PALACIO MUNICIPAL DE TEPETLIXPA PARA ATENDER LOS ASUNTOS DE SU COMPETENCIA LOS INTEGRANTES DEL CABILDO (SINDICO, REGIDORES Y PRESIDENTE MUNICIPAL) "; HAGO DE SU CONOCIMIENTO LO SIGUIENTE: En lo referente al punto 1 “LOS GRADOS ACADEMICOS DE LOS INTEGRANTES DE CABILDO (SINDICO, REGIDORES Y PRESIDENTE MUNICIPAL)” y 2 “EL DOCUMENTO CON QUE SE ACREDITE EL GRADO ACADEMICO DE LOS MENCIONADOS EN EL PUNTO ANTERIOR (TITULO, CEDULA, CERTIFICADO O CONSTANCIA, EXPEDIDA POR INSTITUCION ACADEMICA), Y EN CASO DE QUE CONTENGA DATOS SENSIBLES SEAN TEXTADOS DE ACUERDO A LA LEY DE PROTECCIÓN DE DATOS PERSONALES EN POSESIÓN DE SUJETOS OBLIGADOS DEL ESTADO DE MÉXICO Y MUNICIPIOS” de conformidad al articulo 119 de la CONSTITUCIÓN POLÍTICA DEL ESTADO LIBRE Y SOBERANO DE MÉXICO, los cargos de elección no requieren un perfil por lo que no se requiere un titulo académico o grado de estudio para ser miembro de un Ayuntamiento, así mismo en términos de la LEY DEL TRABAJO DE LOS SERVIDORES PUBLICOS DEL ESTADO Y MUNICIPIOS en su ARTÍCULO 6. Los servidores públicos se clasifican en generales y de confianza, en los cuales no están contemplados los integrantes del cabildo y por lo consiguiente no se les requiere los documentos que solicita. En lo concerniente a “LOS HORARIOS A LOS CUALES ESTAN SUJETOS A ESTAR EN EL PALACIO MUNICIPAL DE TEPETLIXPA PARA ATENDER LOS ASUNTOS DE SU COMPETENCIA LOS INTEGRANTES DEL CABILDO (SINDICO, REGIDORES Y PRESIDENTE MUNICIPAL)” ; en términos de la LEY ORGÁNICA MUNICIPAL DEL ESTADO DE MÉXICO artículos 48, 53 y 55, así como en lo establecido en el Reglamento interno de relacionares laborales de esta Administración 2025-2027, los miembros de cabildo por su cargo de elección no están sujetos a un horario laboral.</w:t>
      </w:r>
    </w:p>
    <w:p w14:paraId="60725B13" w14:textId="77777777" w:rsidR="00D87730" w:rsidRPr="006D6EEB" w:rsidRDefault="00D87730" w:rsidP="00AA5401">
      <w:pPr>
        <w:widowControl w:val="0"/>
        <w:spacing w:before="240" w:after="240" w:line="360" w:lineRule="auto"/>
        <w:ind w:left="567"/>
        <w:jc w:val="both"/>
        <w:rPr>
          <w:rFonts w:ascii="Palatino Linotype" w:eastAsia="Palatino Linotype" w:hAnsi="Palatino Linotype" w:cs="Palatino Linotype"/>
          <w:i/>
          <w:iCs/>
          <w:sz w:val="22"/>
          <w:szCs w:val="22"/>
        </w:rPr>
      </w:pPr>
      <w:r w:rsidRPr="006D6EEB">
        <w:rPr>
          <w:rFonts w:ascii="Palatino Linotype" w:eastAsia="Palatino Linotype" w:hAnsi="Palatino Linotype" w:cs="Palatino Linotype"/>
          <w:i/>
          <w:iCs/>
          <w:sz w:val="22"/>
          <w:szCs w:val="22"/>
        </w:rPr>
        <w:t>ATENTAMENTE</w:t>
      </w:r>
    </w:p>
    <w:p w14:paraId="11E24F06" w14:textId="6FDF0317" w:rsidR="00D87730" w:rsidRPr="006D6EEB" w:rsidRDefault="00D87730" w:rsidP="00AA5401">
      <w:pPr>
        <w:widowControl w:val="0"/>
        <w:spacing w:before="240" w:after="240" w:line="360" w:lineRule="auto"/>
        <w:ind w:left="567"/>
        <w:jc w:val="both"/>
        <w:rPr>
          <w:rFonts w:ascii="Palatino Linotype" w:eastAsia="Palatino Linotype" w:hAnsi="Palatino Linotype" w:cs="Palatino Linotype"/>
          <w:i/>
          <w:iCs/>
          <w:sz w:val="22"/>
          <w:szCs w:val="22"/>
        </w:rPr>
      </w:pPr>
      <w:r w:rsidRPr="006D6EEB">
        <w:rPr>
          <w:rFonts w:ascii="Palatino Linotype" w:eastAsia="Palatino Linotype" w:hAnsi="Palatino Linotype" w:cs="Palatino Linotype"/>
          <w:i/>
          <w:iCs/>
          <w:sz w:val="22"/>
          <w:szCs w:val="22"/>
        </w:rPr>
        <w:t>LIC. EN DERECHO LUCIO FRANCISCO DIAZ CASTAÑEDA”</w:t>
      </w:r>
    </w:p>
    <w:p w14:paraId="0725544C" w14:textId="283E8E8C" w:rsidR="00D87730" w:rsidRPr="006D6EEB" w:rsidRDefault="00D87730" w:rsidP="00AA5401">
      <w:pPr>
        <w:widowControl w:val="0"/>
        <w:spacing w:before="240" w:after="240" w:line="360" w:lineRule="auto"/>
        <w:jc w:val="both"/>
        <w:rPr>
          <w:rFonts w:ascii="Palatino Linotype" w:eastAsia="Palatino Linotype" w:hAnsi="Palatino Linotype" w:cs="Palatino Linotype"/>
          <w:sz w:val="22"/>
          <w:szCs w:val="22"/>
        </w:rPr>
      </w:pPr>
      <w:r w:rsidRPr="006D6EEB">
        <w:rPr>
          <w:rFonts w:ascii="Palatino Linotype" w:eastAsia="Palatino Linotype" w:hAnsi="Palatino Linotype" w:cs="Palatino Linotype"/>
          <w:sz w:val="22"/>
          <w:szCs w:val="22"/>
        </w:rPr>
        <w:t xml:space="preserve">A su respuesta adjuntó el archivo Resp SIP 101 2026.pdf, que contiene el oficio </w:t>
      </w:r>
      <w:r w:rsidRPr="006D6EEB">
        <w:rPr>
          <w:rFonts w:ascii="Palatino Linotype" w:eastAsia="Palatino Linotype" w:hAnsi="Palatino Linotype" w:cs="Palatino Linotype"/>
          <w:b/>
          <w:bCs/>
          <w:sz w:val="22"/>
          <w:szCs w:val="22"/>
        </w:rPr>
        <w:t>UTAIPTEP/207/2026,</w:t>
      </w:r>
      <w:r w:rsidRPr="006D6EEB">
        <w:rPr>
          <w:rFonts w:ascii="Palatino Linotype" w:eastAsia="Palatino Linotype" w:hAnsi="Palatino Linotype" w:cs="Palatino Linotype"/>
          <w:sz w:val="22"/>
          <w:szCs w:val="22"/>
        </w:rPr>
        <w:t xml:space="preserve"> de cuatro de agosto de dos mil veintiséis, cuyo contenido es el siguiente:</w:t>
      </w:r>
    </w:p>
    <w:p w14:paraId="3C9A8450" w14:textId="0EA3E82A" w:rsidR="0097113F" w:rsidRPr="006D6EEB" w:rsidRDefault="009875D3" w:rsidP="00AA5401">
      <w:pPr>
        <w:widowControl w:val="0"/>
        <w:spacing w:before="240" w:after="240" w:line="360" w:lineRule="auto"/>
        <w:ind w:left="567" w:right="843"/>
        <w:jc w:val="both"/>
        <w:rPr>
          <w:rFonts w:ascii="Palatino Linotype" w:eastAsia="Palatino Linotype" w:hAnsi="Palatino Linotype" w:cs="Palatino Linotype"/>
          <w:i/>
          <w:iCs/>
          <w:sz w:val="22"/>
          <w:szCs w:val="22"/>
        </w:rPr>
      </w:pPr>
      <w:r w:rsidRPr="006D6EEB">
        <w:rPr>
          <w:rFonts w:ascii="Palatino Linotype" w:eastAsia="Palatino Linotype" w:hAnsi="Palatino Linotype" w:cs="Palatino Linotype"/>
          <w:i/>
          <w:iCs/>
          <w:sz w:val="22"/>
          <w:szCs w:val="22"/>
        </w:rPr>
        <w:t>“</w:t>
      </w:r>
      <w:r w:rsidR="005961B5" w:rsidRPr="006D6EEB">
        <w:rPr>
          <w:rFonts w:ascii="Palatino Linotype" w:eastAsia="Palatino Linotype" w:hAnsi="Palatino Linotype" w:cs="Palatino Linotype"/>
          <w:i/>
          <w:iCs/>
          <w:sz w:val="22"/>
          <w:szCs w:val="22"/>
        </w:rPr>
        <w:t xml:space="preserve">C. </w:t>
      </w:r>
      <w:r w:rsidR="00720852">
        <w:rPr>
          <w:rFonts w:ascii="Palatino Linotype" w:eastAsia="Palatino Linotype" w:hAnsi="Palatino Linotype" w:cs="Palatino Linotype"/>
          <w:i/>
          <w:iCs/>
          <w:sz w:val="22"/>
          <w:szCs w:val="22"/>
        </w:rPr>
        <w:t>XXXXXXXXX</w:t>
      </w:r>
      <w:bookmarkStart w:id="1" w:name="_GoBack"/>
      <w:bookmarkEnd w:id="1"/>
    </w:p>
    <w:p w14:paraId="0A96E160" w14:textId="081850CD" w:rsidR="005961B5" w:rsidRPr="006D6EEB" w:rsidRDefault="005961B5" w:rsidP="00AA5401">
      <w:pPr>
        <w:widowControl w:val="0"/>
        <w:spacing w:before="240" w:after="240" w:line="360" w:lineRule="auto"/>
        <w:ind w:left="567" w:right="843"/>
        <w:jc w:val="both"/>
        <w:rPr>
          <w:rFonts w:ascii="Palatino Linotype" w:eastAsia="Palatino Linotype" w:hAnsi="Palatino Linotype" w:cs="Palatino Linotype"/>
          <w:i/>
          <w:iCs/>
          <w:sz w:val="22"/>
          <w:szCs w:val="22"/>
        </w:rPr>
      </w:pPr>
      <w:r w:rsidRPr="006D6EEB">
        <w:rPr>
          <w:rFonts w:ascii="Palatino Linotype" w:eastAsia="Palatino Linotype" w:hAnsi="Palatino Linotype" w:cs="Palatino Linotype"/>
          <w:i/>
          <w:iCs/>
          <w:sz w:val="22"/>
          <w:szCs w:val="22"/>
        </w:rPr>
        <w:t>Presente</w:t>
      </w:r>
    </w:p>
    <w:p w14:paraId="72238B3A" w14:textId="77777777" w:rsidR="005961B5" w:rsidRPr="006D6EEB" w:rsidRDefault="005961B5" w:rsidP="00AA5401">
      <w:pPr>
        <w:widowControl w:val="0"/>
        <w:spacing w:before="240" w:after="240" w:line="360" w:lineRule="auto"/>
        <w:ind w:left="567" w:right="843"/>
        <w:jc w:val="both"/>
        <w:rPr>
          <w:rFonts w:ascii="Palatino Linotype" w:eastAsia="Palatino Linotype" w:hAnsi="Palatino Linotype" w:cs="Palatino Linotype"/>
          <w:i/>
          <w:iCs/>
          <w:sz w:val="22"/>
          <w:szCs w:val="22"/>
        </w:rPr>
      </w:pPr>
      <w:r w:rsidRPr="006D6EEB">
        <w:rPr>
          <w:rFonts w:ascii="Palatino Linotype" w:eastAsia="Palatino Linotype" w:hAnsi="Palatino Linotype" w:cs="Palatino Linotype"/>
          <w:i/>
          <w:iCs/>
          <w:sz w:val="22"/>
          <w:szCs w:val="22"/>
        </w:rPr>
        <w:t>CON EL GUSTO DE SALUDARLE Y EN RESPUESTA A SU SOLICITUD DE INFORMACIÓN SE ENTREGA LA RESPUESTA SIGUIENTE:</w:t>
      </w:r>
    </w:p>
    <w:p w14:paraId="33A336F5" w14:textId="77777777" w:rsidR="005961B5" w:rsidRPr="006D6EEB" w:rsidRDefault="005961B5" w:rsidP="00AA5401">
      <w:pPr>
        <w:widowControl w:val="0"/>
        <w:spacing w:before="240" w:after="240" w:line="360" w:lineRule="auto"/>
        <w:ind w:left="567" w:right="843"/>
        <w:jc w:val="both"/>
        <w:rPr>
          <w:rFonts w:ascii="Palatino Linotype" w:eastAsia="Palatino Linotype" w:hAnsi="Palatino Linotype" w:cs="Palatino Linotype"/>
          <w:i/>
          <w:iCs/>
          <w:sz w:val="22"/>
          <w:szCs w:val="22"/>
        </w:rPr>
      </w:pPr>
      <w:r w:rsidRPr="006D6EEB">
        <w:rPr>
          <w:rFonts w:ascii="Palatino Linotype" w:eastAsia="Palatino Linotype" w:hAnsi="Palatino Linotype" w:cs="Palatino Linotype"/>
          <w:i/>
          <w:iCs/>
          <w:sz w:val="22"/>
          <w:szCs w:val="22"/>
        </w:rPr>
        <w:t xml:space="preserve">… </w:t>
      </w:r>
    </w:p>
    <w:p w14:paraId="2A9D9123" w14:textId="77777777" w:rsidR="005961B5" w:rsidRPr="006D6EEB" w:rsidRDefault="005961B5" w:rsidP="00AA5401">
      <w:pPr>
        <w:widowControl w:val="0"/>
        <w:spacing w:before="240" w:after="240" w:line="360" w:lineRule="auto"/>
        <w:ind w:left="567" w:right="843"/>
        <w:jc w:val="both"/>
        <w:rPr>
          <w:rFonts w:ascii="Palatino Linotype" w:eastAsia="Palatino Linotype" w:hAnsi="Palatino Linotype" w:cs="Palatino Linotype"/>
          <w:i/>
          <w:iCs/>
          <w:sz w:val="22"/>
          <w:szCs w:val="22"/>
        </w:rPr>
      </w:pPr>
      <w:r w:rsidRPr="006D6EEB">
        <w:rPr>
          <w:rFonts w:ascii="Palatino Linotype" w:eastAsia="Palatino Linotype" w:hAnsi="Palatino Linotype" w:cs="Palatino Linotype"/>
          <w:i/>
          <w:iCs/>
          <w:sz w:val="22"/>
          <w:szCs w:val="22"/>
        </w:rPr>
        <w:t xml:space="preserve">En términos de la ley de Transparencia y Acceso a La Información Pública Del Estado De México y Municipios; Capítulo III De las Unidades de Transparencia, Artículo 50. Los sujetos obligados contarán con un área responsable para la atención de las solicitudes de información, a la que se le denominará Unidad de Transparencia; Artículo 51. Los sujetos obligados designaran a un responsable para atender la Unidad de Transparencia, quien fungirá como enlace entre éstos y los solicitantes. Dicha Unidad será la encargada de tramitar internamente la solicitud de información y tendrá la responsabilidad de verificar en cada caso que la misma no sea confidencial o reservada. Dicha Unidad contará con las facultades internas necesarias para gestionar la atención a las solicitudes de información en los términos de la Ley General y la presente Ley; Artículo 53. Las Unidades de Transparencia tendrán las siguientes funciones: fracción II. Recibir, tramitar y dar respuesta a las solicitudes de acceso a la información; así como del Artículo 12, Quienes generen, recopilen, administren, manejen, procesen, archiven o conserven información pública serán responsables de la misma en los términos de las disposiciones jurídicas aplicables. Los sujetos obligados sólo proporcionarán la información pública que se les requiera y que obre en sus archivos y en el estado en que ésta se encuentre. La obligación de proporcionar información no comprende el procesamiento de la misma, ni el presentarla conforme al interés del solicitante; no estarán obligados a generarla, resumirla, efectuar cálculos o practicar investigaciones; hago de su conocimiento que por las funciones de esta unidad mencionadas su solicitud se turno a las áreas en las que obra la información solicitada y se entrega la información que entregaron, así mismo en su señalamiento "EN CASO QUE SEA TURNADO A OTRA AREA SE INCIIE LA INVESTIGACION POR LA OMISION AL TITULAR DE LA UNIDAD DE TRASNSPARENCIA Y ACCESO A LA INFORMACION PUBLICA DE TEPETLIXPA” le informo que las solicitudes de acceso a la información no son el medio para realizar denuncias. </w:t>
      </w:r>
    </w:p>
    <w:p w14:paraId="74C38696" w14:textId="2011A503" w:rsidR="005961B5" w:rsidRPr="006D6EEB" w:rsidRDefault="005961B5" w:rsidP="00AA5401">
      <w:pPr>
        <w:widowControl w:val="0"/>
        <w:spacing w:before="240" w:after="240" w:line="360" w:lineRule="auto"/>
        <w:ind w:left="567" w:right="843"/>
        <w:jc w:val="both"/>
        <w:rPr>
          <w:rFonts w:ascii="Palatino Linotype" w:eastAsia="Palatino Linotype" w:hAnsi="Palatino Linotype" w:cs="Palatino Linotype"/>
          <w:i/>
          <w:iCs/>
          <w:sz w:val="22"/>
          <w:szCs w:val="22"/>
        </w:rPr>
      </w:pPr>
      <w:r w:rsidRPr="006D6EEB">
        <w:rPr>
          <w:rFonts w:ascii="Palatino Linotype" w:eastAsia="Palatino Linotype" w:hAnsi="Palatino Linotype" w:cs="Palatino Linotype"/>
          <w:i/>
          <w:iCs/>
          <w:sz w:val="22"/>
          <w:szCs w:val="22"/>
        </w:rPr>
        <w:t>En lo referente al punto 1 "LOS GRADOS ACADEMICOS DE LOS INTEGRANTES DE CABILDO (SINDICO, REGIDORES Y PRESIDENTE MUNICIPAL)" y 2 “EL DOCUMENTO CON QUE SE ACREDITE EL GRADO ACADEMICO DE LOS MENCIONADOS EN EL PUNTO ANTERIOR (TITULO, CEDULA, CERTIFICADO О CONSTANCIA, EXPEDIDA POR INSTITUCION ACADEMICA), Y EN CASO DE QUE CONTENGA DATOS SENSIBLES SEAN TEXTADOS DE ACUERDO A LA LEY DE PROTECCIÓN DE DATOS PERSONALES EN POSESIÓN DE SUJETOS OBLIGADOS DEL ESTADO DE MÉXICO Y MUNICIPIOS" de conformidad al articulo</w:t>
      </w:r>
      <w:r w:rsidR="00D87730" w:rsidRPr="006D6EEB">
        <w:rPr>
          <w:rFonts w:ascii="Palatino Linotype" w:eastAsia="Palatino Linotype" w:hAnsi="Palatino Linotype" w:cs="Palatino Linotype"/>
          <w:i/>
          <w:iCs/>
          <w:sz w:val="22"/>
          <w:szCs w:val="22"/>
        </w:rPr>
        <w:t xml:space="preserve"> 119 de la CONSTITUCIÓN POLÍTICA DEL ESTADO LIBRE Y SOBERANO DE MÉXICO, los cargos de elección no requieren un perfil por lo que no se requiere un titulo académico o grado de estudio para ser miembro de un Ayuntamiento, así mismo en términos de la LEY DEL TRABAJO DE LOS SERVIDORES PUBLICOS DEL ESTADO Y MUNICIPIOS en su ARTÍCULO 6. Los servidores públicos se clasifican en generales y de confianza, en los cuales no están contemplados los integrantes del cabildo y por lo consiguiente no se les requiere los documentos que solicita.</w:t>
      </w:r>
    </w:p>
    <w:p w14:paraId="31FC8A11" w14:textId="75157879" w:rsidR="00D87730" w:rsidRPr="006D6EEB" w:rsidRDefault="00D87730" w:rsidP="00AA5401">
      <w:pPr>
        <w:widowControl w:val="0"/>
        <w:spacing w:before="240" w:after="240" w:line="360" w:lineRule="auto"/>
        <w:ind w:left="567" w:right="843"/>
        <w:jc w:val="both"/>
        <w:rPr>
          <w:rFonts w:ascii="Palatino Linotype" w:eastAsia="Palatino Linotype" w:hAnsi="Palatino Linotype" w:cs="Palatino Linotype"/>
          <w:i/>
          <w:iCs/>
          <w:sz w:val="22"/>
          <w:szCs w:val="22"/>
        </w:rPr>
      </w:pPr>
      <w:r w:rsidRPr="006D6EEB">
        <w:rPr>
          <w:rFonts w:ascii="Palatino Linotype" w:eastAsia="Palatino Linotype" w:hAnsi="Palatino Linotype" w:cs="Palatino Linotype"/>
          <w:i/>
          <w:iCs/>
          <w:sz w:val="22"/>
          <w:szCs w:val="22"/>
        </w:rPr>
        <w:t>En lo concerniente a "LOS HORARIOS A LOS CUALES ESTAN SUJETOS A ESTAR EN EL PALACIO MUNICIPAL DE TEPETLIXPA PARA ATENDER LOS ASUNTOS DE SU COMPETENCIA LOS INTEGRANTES DEL CABILDO (SINDICO, REGIDORES Y PRESIDENTE MUNICIPAL)"; en términos de la LEY ORGÁNICA MUNICIPAL DEL ESTADO DE MÉXICO artículos 48, 53 y 55, así como en lo establecido en el Reglamento interno de relacionares laborales de esta Administración 2025-2027, los miembros de cabildo por su cargo de elección no están sujetos a un horario laboral.</w:t>
      </w:r>
    </w:p>
    <w:p w14:paraId="67783624" w14:textId="38521CAC" w:rsidR="00D87730" w:rsidRPr="006D6EEB" w:rsidRDefault="00D87730" w:rsidP="00AA5401">
      <w:pPr>
        <w:widowControl w:val="0"/>
        <w:spacing w:before="240" w:after="240" w:line="360" w:lineRule="auto"/>
        <w:ind w:left="567" w:right="843"/>
        <w:jc w:val="both"/>
        <w:rPr>
          <w:rFonts w:ascii="Palatino Linotype" w:eastAsia="Palatino Linotype" w:hAnsi="Palatino Linotype" w:cs="Palatino Linotype"/>
          <w:i/>
          <w:iCs/>
          <w:sz w:val="22"/>
          <w:szCs w:val="22"/>
        </w:rPr>
      </w:pPr>
      <w:r w:rsidRPr="006D6EEB">
        <w:rPr>
          <w:rFonts w:ascii="Palatino Linotype" w:eastAsia="Palatino Linotype" w:hAnsi="Palatino Linotype" w:cs="Palatino Linotype"/>
          <w:i/>
          <w:iCs/>
          <w:sz w:val="22"/>
          <w:szCs w:val="22"/>
        </w:rPr>
        <w:t>Así mismo para dar contestación al punto "EL NUMERO DE GESTIONES DE ACUERDO A SU COMISION REALIZADAS POR LOS REGIDORES DEL PERIODO DEL 01 DE ENERO DE 2025 AL 30 DE JUNIO DE 2026" hace de su conocimiento que de conformidad a la LEY ORGÁNICA MUNICIPAL DEL ESTADO DE MÉXICO en sus artículos 48, 53 y 55, en sus atribuciones no tienen contemplado el realizar gestiones.</w:t>
      </w:r>
    </w:p>
    <w:p w14:paraId="4862791B" w14:textId="2B283A6E" w:rsidR="00D87730" w:rsidRPr="006D6EEB" w:rsidRDefault="00D87730" w:rsidP="00AA5401">
      <w:pPr>
        <w:widowControl w:val="0"/>
        <w:spacing w:before="240" w:after="240" w:line="360" w:lineRule="auto"/>
        <w:ind w:left="567" w:right="843"/>
        <w:jc w:val="both"/>
        <w:rPr>
          <w:rFonts w:ascii="Palatino Linotype" w:eastAsia="Palatino Linotype" w:hAnsi="Palatino Linotype" w:cs="Palatino Linotype"/>
          <w:i/>
          <w:iCs/>
          <w:sz w:val="22"/>
          <w:szCs w:val="22"/>
        </w:rPr>
      </w:pPr>
      <w:r w:rsidRPr="006D6EEB">
        <w:rPr>
          <w:rFonts w:ascii="Palatino Linotype" w:eastAsia="Palatino Linotype" w:hAnsi="Palatino Linotype" w:cs="Palatino Linotype"/>
          <w:i/>
          <w:iCs/>
          <w:sz w:val="22"/>
          <w:szCs w:val="22"/>
        </w:rPr>
        <w:t>En respuesta al punto "DE ACUERDO AL ARTICULO 55 FRACCION IV DE LA LEY ORGANICA MUNICIPAL DEL ESTADO DE MEXICO, SE INDIQUE EN QUE COMISIONES LES FUERON CONFERIDAS A LOS REGIDORES Y EN CUALES HAN SIDO LOS RESULTADOS QUE HAYAN PRESENTADO PARA BENEFICIO DE LA POBLACION TEPETLIXPENSE Y EN CASO DE QUE NO HAYAN EMITIDO ALGUN RESULTADO, INFORME LAS CAUSAS DEBIDAMENTE FUNDADAS Y MOTIVADAS" se entrega en un documento en formato PDF el acta de la segunda sesión ordinaria de cabildo en la cual en el punto número 10 se nombran y aprueban las comisiones edilicias, así mismo se anexa el siguiente link https://ipomex.org.mx/ipomex/#/infofraccion/122/185/1 donde se encuentran los acuerdos de las sesiones de cabildo y https://ipomex.org.mx/ipomex/#/info-fraccion/124/185/12 donde se encuentran publicadas las actas de cabildo que dan cuenta de los resultados en beneficio de la población.</w:t>
      </w:r>
    </w:p>
    <w:p w14:paraId="4705970C" w14:textId="01828A1B" w:rsidR="00D87730" w:rsidRPr="006D6EEB" w:rsidRDefault="00D87730" w:rsidP="00AA5401">
      <w:pPr>
        <w:widowControl w:val="0"/>
        <w:spacing w:before="240" w:after="240" w:line="360" w:lineRule="auto"/>
        <w:ind w:left="567" w:right="843"/>
        <w:jc w:val="center"/>
        <w:rPr>
          <w:rFonts w:ascii="Palatino Linotype" w:eastAsia="Palatino Linotype" w:hAnsi="Palatino Linotype" w:cs="Palatino Linotype"/>
          <w:i/>
          <w:iCs/>
          <w:sz w:val="22"/>
          <w:szCs w:val="22"/>
        </w:rPr>
      </w:pPr>
      <w:r w:rsidRPr="006D6EEB">
        <w:rPr>
          <w:rFonts w:ascii="Palatino Linotype" w:eastAsia="Palatino Linotype" w:hAnsi="Palatino Linotype" w:cs="Palatino Linotype"/>
          <w:i/>
          <w:iCs/>
          <w:sz w:val="22"/>
          <w:szCs w:val="22"/>
        </w:rPr>
        <w:t>ATENTAMENTE:</w:t>
      </w:r>
    </w:p>
    <w:p w14:paraId="521D24A6" w14:textId="77777777" w:rsidR="00D87730" w:rsidRPr="006D6EEB" w:rsidRDefault="00D87730" w:rsidP="00AA5401">
      <w:pPr>
        <w:widowControl w:val="0"/>
        <w:spacing w:before="240" w:after="240" w:line="360" w:lineRule="auto"/>
        <w:ind w:left="567" w:right="843"/>
        <w:jc w:val="center"/>
        <w:rPr>
          <w:rFonts w:ascii="Palatino Linotype" w:eastAsia="Palatino Linotype" w:hAnsi="Palatino Linotype" w:cs="Palatino Linotype"/>
          <w:i/>
          <w:iCs/>
          <w:sz w:val="22"/>
          <w:szCs w:val="22"/>
        </w:rPr>
      </w:pPr>
      <w:r w:rsidRPr="006D6EEB">
        <w:rPr>
          <w:rFonts w:ascii="Palatino Linotype" w:eastAsia="Palatino Linotype" w:hAnsi="Palatino Linotype" w:cs="Palatino Linotype"/>
          <w:i/>
          <w:iCs/>
          <w:sz w:val="22"/>
          <w:szCs w:val="22"/>
        </w:rPr>
        <w:t>L. EN D. LUCIO FRANCISCO DÍAZ CASTAÑEDA</w:t>
      </w:r>
    </w:p>
    <w:p w14:paraId="4F66B378" w14:textId="577DD2F3" w:rsidR="00D87730" w:rsidRPr="006D6EEB" w:rsidRDefault="00D87730" w:rsidP="00AA5401">
      <w:pPr>
        <w:widowControl w:val="0"/>
        <w:spacing w:before="240" w:after="240" w:line="360" w:lineRule="auto"/>
        <w:ind w:left="567" w:right="843"/>
        <w:jc w:val="center"/>
        <w:rPr>
          <w:rFonts w:ascii="Palatino Linotype" w:eastAsia="Palatino Linotype" w:hAnsi="Palatino Linotype" w:cs="Palatino Linotype"/>
          <w:i/>
          <w:iCs/>
          <w:sz w:val="22"/>
          <w:szCs w:val="22"/>
        </w:rPr>
      </w:pPr>
      <w:r w:rsidRPr="006D6EEB">
        <w:rPr>
          <w:rFonts w:ascii="Palatino Linotype" w:eastAsia="Palatino Linotype" w:hAnsi="Palatino Linotype" w:cs="Palatino Linotype"/>
          <w:i/>
          <w:iCs/>
          <w:sz w:val="22"/>
          <w:szCs w:val="22"/>
        </w:rPr>
        <w:t>TITULAR DE LA UNIDAD DE TRANSPARENCIA Y ACCESO A LA INFORMACIÓN PÚBLICA DEL MUNICIPIO DE TEPETLIXPA.”</w:t>
      </w:r>
    </w:p>
    <w:p w14:paraId="71908CE4" w14:textId="5FEEAA04" w:rsidR="0097113F" w:rsidRPr="006D6EEB" w:rsidRDefault="009875D3" w:rsidP="00AA5401">
      <w:pPr>
        <w:spacing w:before="240" w:after="240" w:line="360" w:lineRule="auto"/>
        <w:jc w:val="both"/>
        <w:rPr>
          <w:rFonts w:ascii="Palatino Linotype" w:eastAsia="Palatino Linotype" w:hAnsi="Palatino Linotype" w:cs="Palatino Linotype"/>
          <w:sz w:val="22"/>
          <w:szCs w:val="22"/>
        </w:rPr>
      </w:pPr>
      <w:r w:rsidRPr="006D6EEB">
        <w:rPr>
          <w:rFonts w:ascii="Palatino Linotype" w:eastAsia="Palatino Linotype" w:hAnsi="Palatino Linotype" w:cs="Palatino Linotype"/>
          <w:b/>
          <w:bCs/>
          <w:sz w:val="22"/>
          <w:szCs w:val="22"/>
        </w:rPr>
        <w:t xml:space="preserve">3. Del Recurso de Revisión. </w:t>
      </w:r>
      <w:r w:rsidRPr="006D6EEB">
        <w:rPr>
          <w:rFonts w:ascii="Palatino Linotype" w:eastAsia="Palatino Linotype" w:hAnsi="Palatino Linotype" w:cs="Palatino Linotype"/>
          <w:sz w:val="22"/>
          <w:szCs w:val="22"/>
        </w:rPr>
        <w:t>Inconforme con la respuesta del</w:t>
      </w:r>
      <w:r w:rsidRPr="006D6EEB">
        <w:rPr>
          <w:rFonts w:ascii="Palatino Linotype" w:eastAsia="Palatino Linotype" w:hAnsi="Palatino Linotype" w:cs="Palatino Linotype"/>
          <w:b/>
          <w:bCs/>
          <w:sz w:val="22"/>
          <w:szCs w:val="22"/>
        </w:rPr>
        <w:t xml:space="preserve"> SUJETO OBLIGADO, </w:t>
      </w:r>
      <w:r w:rsidRPr="006D6EEB">
        <w:rPr>
          <w:rFonts w:ascii="Palatino Linotype" w:eastAsia="Palatino Linotype" w:hAnsi="Palatino Linotype" w:cs="Palatino Linotype"/>
          <w:sz w:val="22"/>
          <w:szCs w:val="22"/>
        </w:rPr>
        <w:t xml:space="preserve">el </w:t>
      </w:r>
      <w:r w:rsidR="00D87730" w:rsidRPr="006D6EEB">
        <w:rPr>
          <w:rFonts w:ascii="Palatino Linotype" w:eastAsia="Palatino Linotype" w:hAnsi="Palatino Linotype" w:cs="Palatino Linotype"/>
          <w:b/>
          <w:bCs/>
          <w:sz w:val="22"/>
          <w:szCs w:val="22"/>
        </w:rPr>
        <w:t>dieciocho de agosto</w:t>
      </w:r>
      <w:r w:rsidRPr="006D6EEB">
        <w:rPr>
          <w:rFonts w:ascii="Palatino Linotype" w:eastAsia="Palatino Linotype" w:hAnsi="Palatino Linotype" w:cs="Palatino Linotype"/>
          <w:b/>
          <w:bCs/>
          <w:sz w:val="22"/>
          <w:szCs w:val="22"/>
        </w:rPr>
        <w:t xml:space="preserve"> de dos mil veintiséis, LA PARTE RECURRENTE </w:t>
      </w:r>
      <w:r w:rsidRPr="006D6EEB">
        <w:rPr>
          <w:rFonts w:ascii="Palatino Linotype" w:eastAsia="Palatino Linotype" w:hAnsi="Palatino Linotype" w:cs="Palatino Linotype"/>
          <w:sz w:val="22"/>
          <w:szCs w:val="22"/>
        </w:rPr>
        <w:t xml:space="preserve">interpuso el recurso de revisión, mediante el cual y manifestó lo siguiente: </w:t>
      </w:r>
    </w:p>
    <w:p w14:paraId="5179FBCA" w14:textId="77777777" w:rsidR="0097113F" w:rsidRPr="006D6EEB" w:rsidRDefault="009875D3" w:rsidP="00AA5401">
      <w:pPr>
        <w:numPr>
          <w:ilvl w:val="0"/>
          <w:numId w:val="1"/>
        </w:numPr>
        <w:pBdr>
          <w:top w:val="nil"/>
          <w:left w:val="nil"/>
          <w:bottom w:val="nil"/>
          <w:right w:val="nil"/>
          <w:between w:val="nil"/>
        </w:pBdr>
        <w:spacing w:before="240" w:after="240" w:line="360" w:lineRule="auto"/>
        <w:rPr>
          <w:rFonts w:ascii="Palatino Linotype" w:hAnsi="Palatino Linotype"/>
          <w:color w:val="000000"/>
          <w:sz w:val="22"/>
          <w:szCs w:val="22"/>
        </w:rPr>
      </w:pPr>
      <w:r w:rsidRPr="006D6EEB">
        <w:rPr>
          <w:rFonts w:ascii="Palatino Linotype" w:eastAsia="Palatino Linotype" w:hAnsi="Palatino Linotype" w:cs="Palatino Linotype"/>
          <w:b/>
          <w:bCs/>
          <w:color w:val="000000"/>
          <w:sz w:val="22"/>
          <w:szCs w:val="22"/>
        </w:rPr>
        <w:t>Acto Impugnado:</w:t>
      </w:r>
    </w:p>
    <w:p w14:paraId="2F8DCE6D" w14:textId="13127D22" w:rsidR="0097113F" w:rsidRPr="006D6EEB" w:rsidRDefault="009875D3" w:rsidP="00AA5401">
      <w:pPr>
        <w:pBdr>
          <w:top w:val="nil"/>
          <w:left w:val="nil"/>
          <w:bottom w:val="nil"/>
          <w:right w:val="nil"/>
          <w:between w:val="nil"/>
        </w:pBdr>
        <w:spacing w:before="240" w:after="240" w:line="360" w:lineRule="auto"/>
        <w:ind w:left="426"/>
        <w:jc w:val="both"/>
        <w:rPr>
          <w:rFonts w:ascii="Palatino Linotype" w:eastAsia="Palatino Linotype" w:hAnsi="Palatino Linotype" w:cs="Palatino Linotype"/>
          <w:color w:val="000000"/>
          <w:sz w:val="22"/>
          <w:szCs w:val="22"/>
        </w:rPr>
      </w:pPr>
      <w:r w:rsidRPr="006D6EEB">
        <w:rPr>
          <w:rFonts w:ascii="Palatino Linotype" w:eastAsia="Palatino Linotype" w:hAnsi="Palatino Linotype" w:cs="Palatino Linotype"/>
          <w:color w:val="000000"/>
          <w:sz w:val="22"/>
          <w:szCs w:val="22"/>
        </w:rPr>
        <w:t xml:space="preserve"> “</w:t>
      </w:r>
      <w:r w:rsidR="00D87730" w:rsidRPr="006D6EEB">
        <w:rPr>
          <w:rFonts w:ascii="Palatino Linotype" w:eastAsia="Palatino Linotype" w:hAnsi="Palatino Linotype" w:cs="Palatino Linotype"/>
          <w:i/>
          <w:iCs/>
          <w:color w:val="000000"/>
          <w:sz w:val="22"/>
          <w:szCs w:val="22"/>
        </w:rPr>
        <w:t>El titular de la Unidad de Transparencia y Acceso a la informacion Publca de Tepetlixpa, no esta entregando debidamente la informacion solicitada, ya que es clara y consisa lo solicitado, y ademas en la solicitud de origen se señalo que deberian textar datos sensibles, y que tampoco menciona los grados academicos, con esto ocultando informacion por lo que tambien debera ser sancionado dicho servidor publico al ocultar la informaicon solicitada donde la solicitud de origen fue clara, por lo tanto incurre en falta administraiva y debera ser sancionado debidamente previa investigacion que se realice, se substancie y se sancione.</w:t>
      </w:r>
      <w:r w:rsidRPr="006D6EEB">
        <w:rPr>
          <w:rFonts w:ascii="Palatino Linotype" w:eastAsia="Palatino Linotype" w:hAnsi="Palatino Linotype" w:cs="Palatino Linotype"/>
          <w:color w:val="000000"/>
          <w:sz w:val="22"/>
          <w:szCs w:val="22"/>
        </w:rPr>
        <w:t>” (Sic.)</w:t>
      </w:r>
    </w:p>
    <w:p w14:paraId="03D66316" w14:textId="77777777" w:rsidR="0097113F" w:rsidRPr="006D6EEB" w:rsidRDefault="009875D3" w:rsidP="00AA5401">
      <w:pPr>
        <w:numPr>
          <w:ilvl w:val="0"/>
          <w:numId w:val="1"/>
        </w:numPr>
        <w:pBdr>
          <w:top w:val="nil"/>
          <w:left w:val="nil"/>
          <w:bottom w:val="nil"/>
          <w:right w:val="nil"/>
          <w:between w:val="nil"/>
        </w:pBdr>
        <w:spacing w:before="240" w:after="240" w:line="360" w:lineRule="auto"/>
        <w:rPr>
          <w:rFonts w:ascii="Palatino Linotype" w:hAnsi="Palatino Linotype"/>
          <w:color w:val="000000"/>
          <w:sz w:val="22"/>
          <w:szCs w:val="22"/>
        </w:rPr>
      </w:pPr>
      <w:r w:rsidRPr="006D6EEB">
        <w:rPr>
          <w:rFonts w:ascii="Palatino Linotype" w:eastAsia="Palatino Linotype" w:hAnsi="Palatino Linotype" w:cs="Palatino Linotype"/>
          <w:b/>
          <w:bCs/>
          <w:color w:val="000000"/>
          <w:sz w:val="22"/>
          <w:szCs w:val="22"/>
        </w:rPr>
        <w:t>Motivo de inconformidad:</w:t>
      </w:r>
      <w:r w:rsidRPr="006D6EEB">
        <w:rPr>
          <w:rFonts w:ascii="Palatino Linotype" w:eastAsia="Palatino Linotype" w:hAnsi="Palatino Linotype" w:cs="Palatino Linotype"/>
          <w:color w:val="000000"/>
          <w:sz w:val="22"/>
          <w:szCs w:val="22"/>
        </w:rPr>
        <w:t xml:space="preserve"> </w:t>
      </w:r>
    </w:p>
    <w:p w14:paraId="77DFA381" w14:textId="43A55C12" w:rsidR="0097113F" w:rsidRPr="006D6EEB" w:rsidRDefault="009875D3" w:rsidP="00AA5401">
      <w:pPr>
        <w:pBdr>
          <w:top w:val="nil"/>
          <w:left w:val="nil"/>
          <w:bottom w:val="nil"/>
          <w:right w:val="nil"/>
          <w:between w:val="nil"/>
        </w:pBdr>
        <w:spacing w:before="240" w:after="240" w:line="360" w:lineRule="auto"/>
        <w:ind w:left="720" w:hanging="11"/>
        <w:jc w:val="both"/>
        <w:rPr>
          <w:rFonts w:ascii="Palatino Linotype" w:eastAsia="Palatino Linotype" w:hAnsi="Palatino Linotype" w:cs="Palatino Linotype"/>
          <w:color w:val="000000"/>
          <w:sz w:val="22"/>
          <w:szCs w:val="22"/>
        </w:rPr>
      </w:pPr>
      <w:r w:rsidRPr="006D6EEB">
        <w:rPr>
          <w:rFonts w:ascii="Palatino Linotype" w:eastAsia="Palatino Linotype" w:hAnsi="Palatino Linotype" w:cs="Palatino Linotype"/>
          <w:color w:val="000000"/>
          <w:sz w:val="22"/>
          <w:szCs w:val="22"/>
        </w:rPr>
        <w:t>“</w:t>
      </w:r>
      <w:r w:rsidR="008A6918" w:rsidRPr="006D6EEB">
        <w:rPr>
          <w:rFonts w:ascii="Palatino Linotype" w:eastAsia="Palatino Linotype" w:hAnsi="Palatino Linotype" w:cs="Palatino Linotype"/>
          <w:i/>
          <w:iCs/>
          <w:color w:val="000000"/>
          <w:sz w:val="22"/>
          <w:szCs w:val="22"/>
        </w:rPr>
        <w:t>en la solicitud de origen se le solicito lo siguiente: LOS GRADOS ACADEMICOS DE LOS INTEGRANTES DE CABILDO (SINDICO, REGIDORES Y PRESIDENTE MUNICIPAL)" y el titular de la Unidad de Transparencia y Acceso a la informacion Publca de Tepetlixpa dio esta respuesta: de conformidad al articulo119 de la CONSTITUCIÓN POLÍTICA DEL ESTADO LIBRE Y SOBERANO DE MÉXICO, los cargos de elección no requieren un perfil por 10 que no Se requiere un titulo académico 0 grado de estudio para ser miembro de un Ayuntamiento, así mismo en términos de la LEY DEL TRABAJO DE LOS SERVIDORES PUBLICOS DEL ESTADO Y MUNICIPIOS. por lo tanto no esta dando respuesta a lo solicitado, queriendo confundir y ocultar informacion no se esta relacionando con la obtencion de un cargo, sino es especifica la solicitud de informacion "QUE GRADOS ACADEMICOS CUENTAN", por lo tanto oculta informacion y dicho servidor pubico debe ser sancionado. asimsimo se le solicito lo siguiente: 2 "EL DOCUMENTO CON QUE SE ACREDITE EL GRADO ACADEMICO DE LOS MENCIONADOS EN EL PUNTO ANTERIOR (TITULO, CEDULA, CERTIFICADO O CONSTANCIA, EXPEDIDA POR INSTITUCION ACADEMICA), Y EN CASO DE QUE CONTENGA DATOS SENSIBLES SEAN TEXTADOS DE ACUERDO A LA LEY DE PROTECCIÓN DE DATOS PERSONALES EN POSESIÓN DE SUJETOS OBLIGADOS DEL ESTADO DE MÉXICO Y MUNICIPIOS y dicho servidor publico contesto lo siguiente: de conformidad al articulo 119 de la CONSTITUCIÓN POLÍTICA DEL ESTADO LIBRE Y SOBERANO DE MÉXICO, los cargos de elección no requieren un perfil por 10 que no Se requiere un titulo académico 0 grado de estudio para ser miembro de un Ayuntamiento, así mismo en términos de la LEY DEL TRABAJO DE LOS SERVIDORES PUBLICOS DEL ESTADO Y MUNICIPIOS en su ARTICULO 6. Los servidores públicos se clasifican en generales y de confianza, en los cuales no están contemplados los integrantes del cabildo y por 10 consiguiente no se les requiere los documentos que solicita. por lo tanto se ve la parcialidad, ocultamiento y omision del titular de la unidad de transparencia al no emitir la respuesta debiadmente ni fundada ni motivada, por lo tanto debe ser investigado por su parcialidad y ocultamiento de informacion ahora bien hace mencionon de una liga: https://ipomex.orp.mx/ioomex/#/info-fraccion/124/185/12, donde pueden ser consyultadas unas actas de cabildo y que al dirigirse a esa liga resulta que en la pantalla aparece la siguiente leyenda " VAYA ... NO SE PUDE ACCEDER A ESTA PAGINA", por lo tanto se sigue demostrando el ocultamiento de la informacion y la omision por parte del titular de la unidad de transparencia y acceso a la informacion publica de tepetlixpa,el cual debe ser investigado por su participacion en posibles faltas administrativas por omisiones y coultamiento de informacion falseando con documento publico y que pudiera vertir en el incio de una denuncia ante la fiscalia de justicia del estado de mexico por falsear idnormacion publica</w:t>
      </w:r>
      <w:r w:rsidRPr="006D6EEB">
        <w:rPr>
          <w:rFonts w:ascii="Palatino Linotype" w:eastAsia="Palatino Linotype" w:hAnsi="Palatino Linotype" w:cs="Palatino Linotype"/>
          <w:i/>
          <w:iCs/>
          <w:color w:val="000000"/>
          <w:sz w:val="22"/>
          <w:szCs w:val="22"/>
        </w:rPr>
        <w:t xml:space="preserve"> </w:t>
      </w:r>
      <w:r w:rsidRPr="006D6EEB">
        <w:rPr>
          <w:rFonts w:ascii="Palatino Linotype" w:eastAsia="Palatino Linotype" w:hAnsi="Palatino Linotype" w:cs="Palatino Linotype"/>
          <w:color w:val="000000"/>
          <w:sz w:val="22"/>
          <w:szCs w:val="22"/>
        </w:rPr>
        <w:t>(Sic.)</w:t>
      </w:r>
    </w:p>
    <w:p w14:paraId="16B99830" w14:textId="642B405C" w:rsidR="0097113F" w:rsidRPr="006D6EEB" w:rsidRDefault="009875D3" w:rsidP="00AA5401">
      <w:pPr>
        <w:spacing w:before="240" w:after="240" w:line="360" w:lineRule="auto"/>
        <w:jc w:val="both"/>
        <w:rPr>
          <w:rFonts w:ascii="Palatino Linotype" w:eastAsia="Palatino Linotype" w:hAnsi="Palatino Linotype" w:cs="Palatino Linotype"/>
          <w:sz w:val="22"/>
          <w:szCs w:val="22"/>
        </w:rPr>
      </w:pPr>
      <w:r w:rsidRPr="006D6EEB">
        <w:rPr>
          <w:rFonts w:ascii="Palatino Linotype" w:eastAsia="Palatino Linotype" w:hAnsi="Palatino Linotype" w:cs="Palatino Linotype"/>
          <w:b/>
          <w:bCs/>
          <w:sz w:val="22"/>
          <w:szCs w:val="22"/>
        </w:rPr>
        <w:t xml:space="preserve">4. </w:t>
      </w:r>
      <w:r w:rsidRPr="006D6EEB">
        <w:rPr>
          <w:rFonts w:ascii="Palatino Linotype" w:eastAsia="Palatino Linotype" w:hAnsi="Palatino Linotype" w:cs="Palatino Linotype"/>
          <w:b/>
          <w:bCs/>
          <w:color w:val="000000"/>
          <w:sz w:val="22"/>
          <w:szCs w:val="22"/>
        </w:rPr>
        <w:t xml:space="preserve">Turno. </w:t>
      </w:r>
      <w:r w:rsidRPr="006D6EEB">
        <w:rPr>
          <w:rFonts w:ascii="Palatino Linotype" w:eastAsia="Palatino Linotype" w:hAnsi="Palatino Linotype" w:cs="Palatino Linotype"/>
          <w:color w:val="000000"/>
          <w:sz w:val="22"/>
          <w:szCs w:val="22"/>
        </w:rPr>
        <w:t xml:space="preserve">De conformidad con el artículo 185, fracción I de la Ley de Transparencia y Acceso a la Información Pública del Estado de México y Municipios, el recurso de revisión número </w:t>
      </w:r>
      <w:r w:rsidRPr="006D6EEB">
        <w:rPr>
          <w:rFonts w:ascii="Palatino Linotype" w:eastAsia="Palatino Linotype" w:hAnsi="Palatino Linotype" w:cs="Palatino Linotype"/>
          <w:b/>
          <w:bCs/>
          <w:sz w:val="22"/>
          <w:szCs w:val="22"/>
        </w:rPr>
        <w:t>0</w:t>
      </w:r>
      <w:r w:rsidR="008A6918" w:rsidRPr="006D6EEB">
        <w:rPr>
          <w:rFonts w:ascii="Palatino Linotype" w:eastAsia="Palatino Linotype" w:hAnsi="Palatino Linotype" w:cs="Palatino Linotype"/>
          <w:b/>
          <w:bCs/>
          <w:sz w:val="22"/>
          <w:szCs w:val="22"/>
        </w:rPr>
        <w:t>7896</w:t>
      </w:r>
      <w:r w:rsidRPr="006D6EEB">
        <w:rPr>
          <w:rFonts w:ascii="Palatino Linotype" w:eastAsia="Palatino Linotype" w:hAnsi="Palatino Linotype" w:cs="Palatino Linotype"/>
          <w:b/>
          <w:bCs/>
          <w:sz w:val="22"/>
          <w:szCs w:val="22"/>
        </w:rPr>
        <w:t>/INFOEM/IP/RR/2026</w:t>
      </w:r>
      <w:r w:rsidRPr="006D6EEB">
        <w:rPr>
          <w:rFonts w:ascii="Palatino Linotype" w:eastAsia="Palatino Linotype" w:hAnsi="Palatino Linotype" w:cs="Palatino Linotype"/>
          <w:color w:val="000000"/>
          <w:sz w:val="22"/>
          <w:szCs w:val="22"/>
        </w:rPr>
        <w:t xml:space="preserve">, se turnó por el sistema electrónico del Instituto de Transparencia, Acceso a la Información Pública y Protección de Datos Personales del Estado de México y Municipios, </w:t>
      </w:r>
      <w:r w:rsidR="00AA5401" w:rsidRPr="006D6EEB">
        <w:rPr>
          <w:rFonts w:ascii="Palatino Linotype" w:eastAsia="Palatino Linotype" w:hAnsi="Palatino Linotype" w:cs="Palatino Linotype"/>
          <w:color w:val="000000"/>
          <w:sz w:val="22"/>
          <w:szCs w:val="22"/>
        </w:rPr>
        <w:t>al Comisionado Luis Gustavo Parra Noriega</w:t>
      </w:r>
      <w:r w:rsidRPr="006D6EEB">
        <w:rPr>
          <w:rFonts w:ascii="Palatino Linotype" w:eastAsia="Palatino Linotype" w:hAnsi="Palatino Linotype" w:cs="Palatino Linotype"/>
          <w:color w:val="000000"/>
          <w:sz w:val="22"/>
          <w:szCs w:val="22"/>
        </w:rPr>
        <w:t>, para su análisis, estudio, elaboración del proyecto y presentación ante el Pleno de este Instituto.</w:t>
      </w:r>
    </w:p>
    <w:p w14:paraId="691028AD" w14:textId="23632D71" w:rsidR="0097113F" w:rsidRPr="006D6EEB" w:rsidRDefault="009875D3" w:rsidP="00AA5401">
      <w:pPr>
        <w:spacing w:before="240" w:after="240" w:line="360" w:lineRule="auto"/>
        <w:jc w:val="both"/>
        <w:rPr>
          <w:rFonts w:ascii="Palatino Linotype" w:eastAsia="Palatino Linotype" w:hAnsi="Palatino Linotype" w:cs="Palatino Linotype"/>
          <w:b/>
          <w:bCs/>
          <w:sz w:val="22"/>
          <w:szCs w:val="22"/>
        </w:rPr>
      </w:pPr>
      <w:r w:rsidRPr="006D6EEB">
        <w:rPr>
          <w:rFonts w:ascii="Palatino Linotype" w:eastAsia="Palatino Linotype" w:hAnsi="Palatino Linotype" w:cs="Palatino Linotype"/>
          <w:b/>
          <w:bCs/>
          <w:sz w:val="22"/>
          <w:szCs w:val="22"/>
        </w:rPr>
        <w:t xml:space="preserve">5. Admisión. </w:t>
      </w:r>
      <w:r w:rsidRPr="006D6EEB">
        <w:rPr>
          <w:rFonts w:ascii="Palatino Linotype" w:eastAsia="Palatino Linotype" w:hAnsi="Palatino Linotype" w:cs="Palatino Linotype"/>
          <w:sz w:val="22"/>
          <w:szCs w:val="22"/>
        </w:rPr>
        <w:t xml:space="preserve">El </w:t>
      </w:r>
      <w:r w:rsidR="008A6918" w:rsidRPr="006D6EEB">
        <w:rPr>
          <w:rFonts w:ascii="Palatino Linotype" w:eastAsia="Palatino Linotype" w:hAnsi="Palatino Linotype" w:cs="Palatino Linotype"/>
          <w:b/>
          <w:bCs/>
          <w:sz w:val="22"/>
          <w:szCs w:val="22"/>
        </w:rPr>
        <w:t>diecinueve de agosto</w:t>
      </w:r>
      <w:r w:rsidR="00CA6D60" w:rsidRPr="006D6EEB">
        <w:rPr>
          <w:rFonts w:ascii="Palatino Linotype" w:eastAsia="Palatino Linotype" w:hAnsi="Palatino Linotype" w:cs="Palatino Linotype"/>
          <w:b/>
          <w:bCs/>
          <w:sz w:val="22"/>
          <w:szCs w:val="22"/>
        </w:rPr>
        <w:t xml:space="preserve"> </w:t>
      </w:r>
      <w:r w:rsidRPr="006D6EEB">
        <w:rPr>
          <w:rFonts w:ascii="Palatino Linotype" w:eastAsia="Palatino Linotype" w:hAnsi="Palatino Linotype" w:cs="Palatino Linotype"/>
          <w:b/>
          <w:bCs/>
          <w:sz w:val="22"/>
          <w:szCs w:val="22"/>
        </w:rPr>
        <w:t>de dos mil veintiséis</w:t>
      </w:r>
      <w:r w:rsidRPr="006D6EEB">
        <w:rPr>
          <w:rFonts w:ascii="Palatino Linotype" w:eastAsia="Palatino Linotype" w:hAnsi="Palatino Linotype" w:cs="Palatino Linotype"/>
          <w:sz w:val="22"/>
          <w:szCs w:val="22"/>
        </w:rPr>
        <w:t>, en términos de lo dispuesto en el artículo 185 fracciones I, II y IV de la Ley de Transparencia y Acceso a la Información Pública del Estado de México y Municipios, se admitió a trámite el recurso de revisión</w:t>
      </w:r>
      <w:r w:rsidRPr="006D6EEB">
        <w:rPr>
          <w:rFonts w:ascii="Palatino Linotype" w:eastAsia="Palatino Linotype" w:hAnsi="Palatino Linotype" w:cs="Palatino Linotype"/>
          <w:b/>
          <w:bCs/>
          <w:sz w:val="22"/>
          <w:szCs w:val="22"/>
        </w:rPr>
        <w:t xml:space="preserve">. </w:t>
      </w:r>
    </w:p>
    <w:p w14:paraId="2BF55A61" w14:textId="3DB0C62D" w:rsidR="0097113F" w:rsidRPr="006D6EEB" w:rsidRDefault="009875D3" w:rsidP="00AA5401">
      <w:pPr>
        <w:spacing w:before="240" w:after="240" w:line="360" w:lineRule="auto"/>
        <w:jc w:val="both"/>
        <w:rPr>
          <w:rFonts w:ascii="Palatino Linotype" w:eastAsia="Palatino Linotype" w:hAnsi="Palatino Linotype" w:cs="Palatino Linotype"/>
          <w:sz w:val="22"/>
          <w:szCs w:val="22"/>
        </w:rPr>
      </w:pPr>
      <w:r w:rsidRPr="006D6EEB">
        <w:rPr>
          <w:rFonts w:ascii="Palatino Linotype" w:eastAsia="Palatino Linotype" w:hAnsi="Palatino Linotype" w:cs="Palatino Linotype"/>
          <w:b/>
          <w:bCs/>
          <w:sz w:val="22"/>
          <w:szCs w:val="22"/>
        </w:rPr>
        <w:t>6. Manifestaciones.</w:t>
      </w:r>
      <w:r w:rsidRPr="006D6EEB">
        <w:rPr>
          <w:rFonts w:ascii="Palatino Linotype" w:eastAsia="Palatino Linotype" w:hAnsi="Palatino Linotype" w:cs="Palatino Linotype"/>
          <w:sz w:val="22"/>
          <w:szCs w:val="22"/>
        </w:rPr>
        <w:t xml:space="preserve"> De las constancias que obran en el expediente electrónico del SAIMEX, se advierte que ni el Sujeto Obligado ni la parte Recurrente formularon las manifestaciones que conforme a derecho les asiste.</w:t>
      </w:r>
    </w:p>
    <w:p w14:paraId="46B105E5" w14:textId="35E8CD66" w:rsidR="00AA5401" w:rsidRPr="006D6EEB" w:rsidRDefault="00AA5401" w:rsidP="00AA5401">
      <w:pPr>
        <w:spacing w:before="240" w:after="240" w:line="360" w:lineRule="auto"/>
        <w:jc w:val="both"/>
        <w:rPr>
          <w:rFonts w:ascii="Palatino Linotype" w:hAnsi="Palatino Linotype"/>
        </w:rPr>
      </w:pPr>
      <w:r w:rsidRPr="006D6EEB">
        <w:rPr>
          <w:rFonts w:ascii="Palatino Linotype" w:hAnsi="Palatino Linotype"/>
          <w:b/>
          <w:bCs/>
        </w:rPr>
        <w:t xml:space="preserve">7. Returno. </w:t>
      </w:r>
      <w:r w:rsidRPr="006D6EEB">
        <w:rPr>
          <w:rFonts w:ascii="Palatino Linotype" w:hAnsi="Palatino Linotype"/>
        </w:rPr>
        <w:t>Mediante acuerdo emitido por el Pleno de este Instituto, el diecinueve de agosto de dos mil veintiséis</w:t>
      </w:r>
      <w:r w:rsidRPr="006D6EEB">
        <w:rPr>
          <w:rFonts w:ascii="Palatino Linotype" w:hAnsi="Palatino Linotype"/>
          <w:b/>
          <w:bCs/>
        </w:rPr>
        <w:t xml:space="preserve">, </w:t>
      </w:r>
      <w:r w:rsidRPr="006D6EEB">
        <w:rPr>
          <w:rFonts w:ascii="Palatino Linotype" w:hAnsi="Palatino Linotype"/>
        </w:rPr>
        <w:t xml:space="preserve">se aprobó el returno del recurso de revisión, a la Ponencia de la Comisionada </w:t>
      </w:r>
      <w:r w:rsidRPr="006D6EEB">
        <w:rPr>
          <w:rFonts w:ascii="Palatino Linotype" w:hAnsi="Palatino Linotype"/>
          <w:b/>
          <w:bCs/>
        </w:rPr>
        <w:t>Guadalupe Ramírez Peña</w:t>
      </w:r>
      <w:r w:rsidRPr="006D6EEB">
        <w:rPr>
          <w:rFonts w:ascii="Palatino Linotype" w:hAnsi="Palatino Linotype"/>
        </w:rPr>
        <w:t>, para su resolución.</w:t>
      </w:r>
    </w:p>
    <w:p w14:paraId="41AF781A" w14:textId="77777777" w:rsidR="00AA5401" w:rsidRPr="006D6EEB" w:rsidRDefault="00AA5401" w:rsidP="00AA5401">
      <w:pPr>
        <w:spacing w:before="240" w:after="240" w:line="360" w:lineRule="auto"/>
        <w:jc w:val="both"/>
        <w:rPr>
          <w:rFonts w:ascii="Palatino Linotype" w:eastAsia="Palatino Linotype" w:hAnsi="Palatino Linotype" w:cs="Palatino Linotype"/>
          <w:sz w:val="22"/>
          <w:szCs w:val="22"/>
        </w:rPr>
      </w:pPr>
    </w:p>
    <w:p w14:paraId="38B6CC2C" w14:textId="08A27970" w:rsidR="0097113F" w:rsidRPr="006D6EEB" w:rsidRDefault="00AA5401" w:rsidP="00AA5401">
      <w:pPr>
        <w:pBdr>
          <w:top w:val="nil"/>
          <w:left w:val="nil"/>
          <w:bottom w:val="nil"/>
          <w:right w:val="nil"/>
          <w:between w:val="nil"/>
        </w:pBdr>
        <w:spacing w:before="240" w:after="240" w:line="360" w:lineRule="auto"/>
        <w:jc w:val="both"/>
        <w:rPr>
          <w:rFonts w:ascii="Palatino Linotype" w:eastAsia="Palatino Linotype" w:hAnsi="Palatino Linotype" w:cs="Palatino Linotype"/>
          <w:color w:val="000000"/>
          <w:sz w:val="22"/>
          <w:szCs w:val="22"/>
        </w:rPr>
      </w:pPr>
      <w:r w:rsidRPr="006D6EEB">
        <w:rPr>
          <w:rFonts w:ascii="Palatino Linotype" w:eastAsia="Palatino Linotype" w:hAnsi="Palatino Linotype" w:cs="Palatino Linotype"/>
          <w:b/>
          <w:bCs/>
          <w:color w:val="000000"/>
          <w:sz w:val="22"/>
          <w:szCs w:val="22"/>
        </w:rPr>
        <w:t>9</w:t>
      </w:r>
      <w:r w:rsidR="009875D3" w:rsidRPr="006D6EEB">
        <w:rPr>
          <w:rFonts w:ascii="Palatino Linotype" w:eastAsia="Palatino Linotype" w:hAnsi="Palatino Linotype" w:cs="Palatino Linotype"/>
          <w:b/>
          <w:bCs/>
          <w:color w:val="000000"/>
          <w:sz w:val="22"/>
          <w:szCs w:val="22"/>
        </w:rPr>
        <w:t>. Cierre de instrucción</w:t>
      </w:r>
      <w:r w:rsidR="009875D3" w:rsidRPr="006D6EEB">
        <w:rPr>
          <w:rFonts w:ascii="Palatino Linotype" w:eastAsia="Palatino Linotype" w:hAnsi="Palatino Linotype" w:cs="Palatino Linotype"/>
          <w:color w:val="000000"/>
          <w:sz w:val="22"/>
          <w:szCs w:val="22"/>
        </w:rPr>
        <w:t xml:space="preserve">. En fecha </w:t>
      </w:r>
      <w:r w:rsidR="00CA6D60" w:rsidRPr="006D6EEB">
        <w:rPr>
          <w:rFonts w:ascii="Palatino Linotype" w:eastAsia="Palatino Linotype" w:hAnsi="Palatino Linotype" w:cs="Palatino Linotype"/>
          <w:b/>
          <w:bCs/>
          <w:color w:val="000000"/>
          <w:sz w:val="22"/>
          <w:szCs w:val="22"/>
        </w:rPr>
        <w:t>veinticuatro</w:t>
      </w:r>
      <w:r w:rsidR="003705B4" w:rsidRPr="006D6EEB">
        <w:rPr>
          <w:rFonts w:ascii="Palatino Linotype" w:eastAsia="Palatino Linotype" w:hAnsi="Palatino Linotype" w:cs="Palatino Linotype"/>
          <w:b/>
          <w:bCs/>
          <w:color w:val="000000"/>
          <w:sz w:val="22"/>
          <w:szCs w:val="22"/>
        </w:rPr>
        <w:t xml:space="preserve"> </w:t>
      </w:r>
      <w:r w:rsidR="009875D3" w:rsidRPr="006D6EEB">
        <w:rPr>
          <w:rFonts w:ascii="Palatino Linotype" w:eastAsia="Palatino Linotype" w:hAnsi="Palatino Linotype" w:cs="Palatino Linotype"/>
          <w:b/>
          <w:bCs/>
          <w:color w:val="000000"/>
          <w:sz w:val="22"/>
          <w:szCs w:val="22"/>
        </w:rPr>
        <w:t>de septiembre</w:t>
      </w:r>
      <w:r w:rsidR="009875D3" w:rsidRPr="006D6EEB">
        <w:rPr>
          <w:rFonts w:ascii="Palatino Linotype" w:eastAsia="Palatino Linotype" w:hAnsi="Palatino Linotype" w:cs="Palatino Linotype"/>
          <w:b/>
          <w:bCs/>
          <w:color w:val="FF0000"/>
          <w:sz w:val="22"/>
          <w:szCs w:val="22"/>
        </w:rPr>
        <w:t xml:space="preserve"> </w:t>
      </w:r>
      <w:r w:rsidR="009875D3" w:rsidRPr="006D6EEB">
        <w:rPr>
          <w:rFonts w:ascii="Palatino Linotype" w:eastAsia="Palatino Linotype" w:hAnsi="Palatino Linotype" w:cs="Palatino Linotype"/>
          <w:b/>
          <w:bCs/>
          <w:color w:val="000000"/>
          <w:sz w:val="22"/>
          <w:szCs w:val="22"/>
        </w:rPr>
        <w:t>de dos mil veintiséis</w:t>
      </w:r>
      <w:r w:rsidR="009875D3" w:rsidRPr="006D6EEB">
        <w:rPr>
          <w:rFonts w:ascii="Palatino Linotype" w:eastAsia="Palatino Linotype" w:hAnsi="Palatino Linotype" w:cs="Palatino Linotype"/>
          <w:color w:val="000000"/>
          <w:sz w:val="22"/>
          <w:szCs w:val="22"/>
        </w:rPr>
        <w:t>, la Comisionada Ponente determinó el cierre de instrucción en términos de la fracción VI del artículo 185 de la Ley de Transparencia y Acceso a la Información Pública del Estado de México y Municipios.</w:t>
      </w:r>
    </w:p>
    <w:p w14:paraId="57C384FB" w14:textId="77777777" w:rsidR="0097113F" w:rsidRPr="006D6EEB" w:rsidRDefault="009875D3" w:rsidP="00AA5401">
      <w:pPr>
        <w:spacing w:before="240" w:after="240" w:line="360" w:lineRule="auto"/>
        <w:ind w:right="49"/>
        <w:jc w:val="both"/>
        <w:rPr>
          <w:rFonts w:ascii="Palatino Linotype" w:eastAsia="Palatino Linotype" w:hAnsi="Palatino Linotype" w:cs="Palatino Linotype"/>
          <w:sz w:val="22"/>
          <w:szCs w:val="22"/>
        </w:rPr>
      </w:pPr>
      <w:r w:rsidRPr="006D6EEB">
        <w:rPr>
          <w:rFonts w:ascii="Palatino Linotype" w:eastAsia="Palatino Linotype" w:hAnsi="Palatino Linotype" w:cs="Palatino Linotype"/>
          <w:sz w:val="22"/>
          <w:szCs w:val="22"/>
        </w:rPr>
        <w:t xml:space="preserve">Debido a que fue debidamente sustanciado </w:t>
      </w:r>
      <w:r w:rsidRPr="006D6EEB">
        <w:rPr>
          <w:rFonts w:ascii="Palatino Linotype" w:eastAsia="Palatino Linotype" w:hAnsi="Palatino Linotype" w:cs="Palatino Linotype"/>
          <w:sz w:val="22"/>
          <w:szCs w:val="22"/>
        </w:rPr>
        <w:tab/>
        <w:t xml:space="preserve">el expediente electrónico y no existe diligencia pendiente de desahogo, se emite la Resolución que conforme a Derecho proceda, de acuerdo con los siguientes: </w:t>
      </w:r>
    </w:p>
    <w:p w14:paraId="02D17897" w14:textId="77777777" w:rsidR="0097113F" w:rsidRPr="006D6EEB" w:rsidRDefault="009875D3" w:rsidP="00AA5401">
      <w:pPr>
        <w:spacing w:before="240" w:after="240" w:line="360" w:lineRule="auto"/>
        <w:ind w:left="720" w:right="49" w:hanging="720"/>
        <w:jc w:val="center"/>
        <w:rPr>
          <w:rFonts w:ascii="Palatino Linotype" w:eastAsia="Palatino Linotype" w:hAnsi="Palatino Linotype" w:cs="Palatino Linotype"/>
          <w:b/>
          <w:bCs/>
          <w:sz w:val="22"/>
          <w:szCs w:val="22"/>
        </w:rPr>
      </w:pPr>
      <w:r w:rsidRPr="006D6EEB">
        <w:rPr>
          <w:rFonts w:ascii="Palatino Linotype" w:eastAsia="Palatino Linotype" w:hAnsi="Palatino Linotype" w:cs="Palatino Linotype"/>
          <w:b/>
          <w:bCs/>
          <w:sz w:val="22"/>
          <w:szCs w:val="22"/>
        </w:rPr>
        <w:t>II.</w:t>
      </w:r>
      <w:r w:rsidRPr="006D6EEB">
        <w:rPr>
          <w:rFonts w:ascii="Palatino Linotype" w:eastAsia="Palatino Linotype" w:hAnsi="Palatino Linotype" w:cs="Palatino Linotype"/>
          <w:b/>
          <w:bCs/>
          <w:sz w:val="22"/>
          <w:szCs w:val="22"/>
        </w:rPr>
        <w:tab/>
        <w:t xml:space="preserve">C O N S I D E R A N D O: </w:t>
      </w:r>
    </w:p>
    <w:p w14:paraId="390BDF72" w14:textId="77777777" w:rsidR="0097113F" w:rsidRPr="006D6EEB" w:rsidRDefault="009875D3" w:rsidP="00AA5401">
      <w:pPr>
        <w:spacing w:before="240" w:after="240" w:line="360" w:lineRule="auto"/>
        <w:jc w:val="both"/>
        <w:rPr>
          <w:rFonts w:ascii="Palatino Linotype" w:eastAsia="Palatino Linotype" w:hAnsi="Palatino Linotype" w:cs="Palatino Linotype"/>
          <w:sz w:val="22"/>
          <w:szCs w:val="22"/>
        </w:rPr>
      </w:pPr>
      <w:r w:rsidRPr="006D6EEB">
        <w:rPr>
          <w:rFonts w:ascii="Palatino Linotype" w:eastAsia="Palatino Linotype" w:hAnsi="Palatino Linotype" w:cs="Palatino Linotype"/>
          <w:b/>
          <w:bCs/>
          <w:sz w:val="22"/>
          <w:szCs w:val="22"/>
        </w:rPr>
        <w:t>Primero. Competencia.</w:t>
      </w:r>
      <w:r w:rsidRPr="006D6EEB">
        <w:rPr>
          <w:rFonts w:ascii="Palatino Linotype" w:eastAsia="Palatino Linotype" w:hAnsi="Palatino Linotype" w:cs="Palatino Linotype"/>
          <w:sz w:val="22"/>
          <w:szCs w:val="22"/>
        </w:rPr>
        <w:t xml:space="preserve"> El Instituto de Transparencia, Acceso a la Información Pública y Protección de Datos Personales del Estado de México y Municipios, es competente para conocer y resolver el presente recurso de revisión interpuesto por la parte recurrente, conforme a lo dispuesto en los artículos 6, apartado A de la Constitución Política de los Estados Unidos Mexicanos; </w:t>
      </w:r>
      <w:r w:rsidRPr="006D6EEB">
        <w:rPr>
          <w:rFonts w:ascii="Palatino Linotype" w:eastAsia="Palatino Linotype" w:hAnsi="Palatino Linotype" w:cs="Palatino Linotype"/>
          <w:color w:val="000000"/>
          <w:sz w:val="22"/>
          <w:szCs w:val="22"/>
        </w:rPr>
        <w:t>5 párrafos cuadragésimo cuarto, cuadragésimo quinto, cuadragésimo sexto, fracciones IV y V de la Constitución Política del Estado Libre y Soberano de México; Transitorio Cuarto, párrafo segundo del Decreto número 198 de la “LXII” Legislatura del Estado de México</w:t>
      </w:r>
      <w:r w:rsidRPr="006D6EEB">
        <w:rPr>
          <w:rFonts w:ascii="Palatino Linotype" w:eastAsia="Palatino Linotype" w:hAnsi="Palatino Linotype" w:cs="Palatino Linotype"/>
          <w:sz w:val="22"/>
          <w:szCs w:val="22"/>
        </w:rPr>
        <w:t>; 2, fracción II; 29, 36 fracciones I y II; 176, 178, 181, 185, fracción I, 186 y 188 de la Ley Transparencia y Acceso a la Información Pública del Estado de México y Municipios; 9, fracciones I y XXIII y 11 del Reglamento Interior del Instituto de Transparencia, Acceso a la Información Pública y Protección de Datos Personales del Estado de México y Municipios.</w:t>
      </w:r>
    </w:p>
    <w:p w14:paraId="1787E0CD" w14:textId="77777777" w:rsidR="0097113F" w:rsidRPr="006D6EEB" w:rsidRDefault="009875D3" w:rsidP="00AA5401">
      <w:pPr>
        <w:spacing w:before="240" w:after="240" w:line="360" w:lineRule="auto"/>
        <w:jc w:val="both"/>
        <w:rPr>
          <w:rFonts w:ascii="Palatino Linotype" w:eastAsia="Palatino Linotype" w:hAnsi="Palatino Linotype" w:cs="Palatino Linotype"/>
          <w:sz w:val="22"/>
          <w:szCs w:val="22"/>
        </w:rPr>
      </w:pPr>
      <w:r w:rsidRPr="006D6EEB">
        <w:rPr>
          <w:rFonts w:ascii="Palatino Linotype" w:eastAsia="Palatino Linotype" w:hAnsi="Palatino Linotype" w:cs="Palatino Linotype"/>
          <w:b/>
          <w:bCs/>
          <w:sz w:val="22"/>
          <w:szCs w:val="22"/>
        </w:rPr>
        <w:t xml:space="preserve">Segundo. Oportunidad y Procedibilidad del Recurso de Revisión. </w:t>
      </w:r>
      <w:r w:rsidRPr="006D6EEB">
        <w:rPr>
          <w:rFonts w:ascii="Palatino Linotype" w:eastAsia="Palatino Linotype" w:hAnsi="Palatino Linotype" w:cs="Palatino Linotype"/>
          <w:sz w:val="22"/>
          <w:szCs w:val="22"/>
        </w:rPr>
        <w:t>Previo al estudio del fondo del asunto, se procede a analizar los requisitos de oportunidad y procedibilidad que debe reunir el recurso de revisión interpuesto, previstos en los artículos 178 y 180 de la Ley de Transparencia y Acceso a la Información Pública del Estado de México y Municipios.</w:t>
      </w:r>
    </w:p>
    <w:p w14:paraId="52C7CE6C" w14:textId="77777777" w:rsidR="0097113F" w:rsidRPr="006D6EEB" w:rsidRDefault="009875D3" w:rsidP="00AA5401">
      <w:pPr>
        <w:spacing w:before="240" w:after="240" w:line="360" w:lineRule="auto"/>
        <w:jc w:val="both"/>
        <w:rPr>
          <w:rFonts w:ascii="Palatino Linotype" w:eastAsia="Palatino Linotype" w:hAnsi="Palatino Linotype" w:cs="Palatino Linotype"/>
          <w:sz w:val="22"/>
          <w:szCs w:val="22"/>
        </w:rPr>
      </w:pPr>
      <w:r w:rsidRPr="006D6EEB">
        <w:rPr>
          <w:rFonts w:ascii="Palatino Linotype" w:eastAsia="Palatino Linotype" w:hAnsi="Palatino Linotype" w:cs="Palatino Linotype"/>
          <w:sz w:val="22"/>
          <w:szCs w:val="22"/>
        </w:rPr>
        <w:t>Al respecto la Ley de Transparencia y Acceso a la Información Pública del Estado de México y Municipios, establece lo siguiente:</w:t>
      </w:r>
    </w:p>
    <w:p w14:paraId="5646D6AE" w14:textId="77777777" w:rsidR="0097113F" w:rsidRPr="006D6EEB" w:rsidRDefault="009875D3" w:rsidP="00AA5401">
      <w:pPr>
        <w:spacing w:before="240" w:after="240" w:line="360" w:lineRule="auto"/>
        <w:ind w:left="851" w:right="900"/>
        <w:jc w:val="both"/>
        <w:rPr>
          <w:rFonts w:ascii="Palatino Linotype" w:eastAsia="Palatino Linotype" w:hAnsi="Palatino Linotype" w:cs="Palatino Linotype"/>
          <w:i/>
          <w:iCs/>
          <w:sz w:val="22"/>
          <w:szCs w:val="22"/>
        </w:rPr>
      </w:pPr>
      <w:r w:rsidRPr="006D6EEB">
        <w:rPr>
          <w:rFonts w:ascii="Palatino Linotype" w:eastAsia="Palatino Linotype" w:hAnsi="Palatino Linotype" w:cs="Palatino Linotype"/>
          <w:b/>
          <w:bCs/>
          <w:i/>
          <w:iCs/>
          <w:sz w:val="22"/>
          <w:szCs w:val="22"/>
        </w:rPr>
        <w:t xml:space="preserve">“Artículo 178. </w:t>
      </w:r>
      <w:r w:rsidRPr="006D6EEB">
        <w:rPr>
          <w:rFonts w:ascii="Palatino Linotype" w:eastAsia="Palatino Linotype" w:hAnsi="Palatino Linotype" w:cs="Palatino Linotype"/>
          <w:i/>
          <w:iCs/>
          <w:sz w:val="22"/>
          <w:szCs w:val="22"/>
        </w:rPr>
        <w:t>El solicitante podrá interponer, por sí mismo o a través de su representante, de manera directa o por medios electrónicos, recurso de revisión ante el Instituto o ante la Unidad de Transparencia que haya conocido de la solicitud dentro de los quince días hábiles, siguientes a la fecha de la notificación de la respuesta.</w:t>
      </w:r>
    </w:p>
    <w:p w14:paraId="76A6BC0E" w14:textId="09DC3498" w:rsidR="0097113F" w:rsidRPr="006D6EEB" w:rsidRDefault="009875D3" w:rsidP="00AA5401">
      <w:pPr>
        <w:spacing w:before="240" w:after="240" w:line="360" w:lineRule="auto"/>
        <w:ind w:right="49"/>
        <w:jc w:val="both"/>
        <w:rPr>
          <w:rFonts w:ascii="Palatino Linotype" w:eastAsia="Palatino Linotype" w:hAnsi="Palatino Linotype" w:cs="Palatino Linotype"/>
          <w:sz w:val="22"/>
          <w:szCs w:val="22"/>
        </w:rPr>
      </w:pPr>
      <w:r w:rsidRPr="006D6EEB">
        <w:rPr>
          <w:rFonts w:ascii="Palatino Linotype" w:eastAsia="Palatino Linotype" w:hAnsi="Palatino Linotype" w:cs="Palatino Linotype"/>
          <w:sz w:val="22"/>
          <w:szCs w:val="22"/>
        </w:rPr>
        <w:t xml:space="preserve">Del precepto legal transcrito, se desprende que cuando los solicitantes de información en el ejercicio del derecho de acceso a la información no se encuentren satisfechos con la información entregada por los sujetos obligados, podrán interponer recurso de revisión de manera directa o por medios electrónicos dentro de los quince días hábiles siguientes a la fecha de notificación de la respuesta, y, toda vez que el </w:t>
      </w:r>
      <w:r w:rsidRPr="006D6EEB">
        <w:rPr>
          <w:rFonts w:ascii="Palatino Linotype" w:eastAsia="Palatino Linotype" w:hAnsi="Palatino Linotype" w:cs="Palatino Linotype"/>
          <w:b/>
          <w:bCs/>
          <w:sz w:val="22"/>
          <w:szCs w:val="22"/>
        </w:rPr>
        <w:t>SUJETO OBLIGADO</w:t>
      </w:r>
      <w:r w:rsidRPr="006D6EEB">
        <w:rPr>
          <w:rFonts w:ascii="Palatino Linotype" w:eastAsia="Palatino Linotype" w:hAnsi="Palatino Linotype" w:cs="Palatino Linotype"/>
          <w:sz w:val="22"/>
          <w:szCs w:val="22"/>
        </w:rPr>
        <w:t xml:space="preserve"> remitió la respuesta a la solicitud de información el día </w:t>
      </w:r>
      <w:r w:rsidR="008A6918" w:rsidRPr="006D6EEB">
        <w:rPr>
          <w:rFonts w:ascii="Palatino Linotype" w:eastAsia="Palatino Linotype" w:hAnsi="Palatino Linotype" w:cs="Palatino Linotype"/>
          <w:b/>
          <w:bCs/>
          <w:sz w:val="22"/>
          <w:szCs w:val="22"/>
        </w:rPr>
        <w:t>cinco de agosto de dos mil veintiséis</w:t>
      </w:r>
      <w:r w:rsidRPr="006D6EEB">
        <w:rPr>
          <w:rFonts w:ascii="Palatino Linotype" w:eastAsia="Palatino Linotype" w:hAnsi="Palatino Linotype" w:cs="Palatino Linotype"/>
          <w:b/>
          <w:bCs/>
          <w:sz w:val="22"/>
          <w:szCs w:val="22"/>
        </w:rPr>
        <w:t xml:space="preserve">, </w:t>
      </w:r>
      <w:r w:rsidRPr="006D6EEB">
        <w:rPr>
          <w:rFonts w:ascii="Palatino Linotype" w:eastAsia="Palatino Linotype" w:hAnsi="Palatino Linotype" w:cs="Palatino Linotype"/>
          <w:sz w:val="22"/>
          <w:szCs w:val="22"/>
        </w:rPr>
        <w:t xml:space="preserve">mientras que el recurso de revisión interpuesto por la parte </w:t>
      </w:r>
      <w:r w:rsidRPr="006D6EEB">
        <w:rPr>
          <w:rFonts w:ascii="Palatino Linotype" w:eastAsia="Palatino Linotype" w:hAnsi="Palatino Linotype" w:cs="Palatino Linotype"/>
          <w:b/>
          <w:bCs/>
          <w:sz w:val="22"/>
          <w:szCs w:val="22"/>
        </w:rPr>
        <w:t>RECURRENTE</w:t>
      </w:r>
      <w:r w:rsidRPr="006D6EEB">
        <w:rPr>
          <w:rFonts w:ascii="Palatino Linotype" w:eastAsia="Palatino Linotype" w:hAnsi="Palatino Linotype" w:cs="Palatino Linotype"/>
          <w:sz w:val="22"/>
          <w:szCs w:val="22"/>
        </w:rPr>
        <w:t xml:space="preserve">, se tuvo por presentado el </w:t>
      </w:r>
      <w:r w:rsidR="008A6918" w:rsidRPr="006D6EEB">
        <w:rPr>
          <w:rFonts w:ascii="Palatino Linotype" w:eastAsia="Palatino Linotype" w:hAnsi="Palatino Linotype" w:cs="Palatino Linotype"/>
          <w:sz w:val="22"/>
          <w:szCs w:val="22"/>
        </w:rPr>
        <w:t>dieciocho</w:t>
      </w:r>
      <w:r w:rsidRPr="006D6EEB">
        <w:rPr>
          <w:rFonts w:ascii="Palatino Linotype" w:eastAsia="Palatino Linotype" w:hAnsi="Palatino Linotype" w:cs="Palatino Linotype"/>
          <w:sz w:val="22"/>
          <w:szCs w:val="22"/>
        </w:rPr>
        <w:t xml:space="preserve"> del mismo mes y año, esto es al </w:t>
      </w:r>
      <w:r w:rsidR="008A6918" w:rsidRPr="006D6EEB">
        <w:rPr>
          <w:rFonts w:ascii="Palatino Linotype" w:eastAsia="Palatino Linotype" w:hAnsi="Palatino Linotype" w:cs="Palatino Linotype"/>
          <w:sz w:val="22"/>
          <w:szCs w:val="22"/>
        </w:rPr>
        <w:t>noveno</w:t>
      </w:r>
      <w:r w:rsidRPr="006D6EEB">
        <w:rPr>
          <w:rFonts w:ascii="Palatino Linotype" w:eastAsia="Palatino Linotype" w:hAnsi="Palatino Linotype" w:cs="Palatino Linotype"/>
          <w:sz w:val="22"/>
          <w:szCs w:val="22"/>
        </w:rPr>
        <w:t xml:space="preserve"> día hábil siguiente en el que tuvo conocimiento de la respuesta. </w:t>
      </w:r>
    </w:p>
    <w:p w14:paraId="75896609" w14:textId="77777777" w:rsidR="0097113F" w:rsidRPr="006D6EEB" w:rsidRDefault="009875D3" w:rsidP="00AA5401">
      <w:pPr>
        <w:spacing w:before="240" w:after="240" w:line="360" w:lineRule="auto"/>
        <w:ind w:right="49"/>
        <w:jc w:val="both"/>
        <w:rPr>
          <w:rFonts w:ascii="Palatino Linotype" w:eastAsia="Palatino Linotype" w:hAnsi="Palatino Linotype" w:cs="Palatino Linotype"/>
          <w:b/>
          <w:bCs/>
          <w:sz w:val="22"/>
          <w:szCs w:val="22"/>
        </w:rPr>
      </w:pPr>
      <w:r w:rsidRPr="006D6EEB">
        <w:rPr>
          <w:rFonts w:ascii="Palatino Linotype" w:eastAsia="Palatino Linotype" w:hAnsi="Palatino Linotype" w:cs="Palatino Linotype"/>
          <w:sz w:val="22"/>
          <w:szCs w:val="22"/>
        </w:rPr>
        <w:t xml:space="preserve">Así también, por cuanto hace a la procedibilidad del recurso de revisión, una vez realizado el análisis de los formatos de interposición del recurso, se concluye la acreditación plena de los elementos formales precisados por el artículo 180 de la Ley de Transparencia y Acceso a la Información Pública del Estado de México y Municipios, en atención a que fue presentado mediante el formato visible en el </w:t>
      </w:r>
      <w:r w:rsidRPr="006D6EEB">
        <w:rPr>
          <w:rFonts w:ascii="Palatino Linotype" w:eastAsia="Palatino Linotype" w:hAnsi="Palatino Linotype" w:cs="Palatino Linotype"/>
          <w:b/>
          <w:bCs/>
          <w:sz w:val="22"/>
          <w:szCs w:val="22"/>
        </w:rPr>
        <w:t>SAIMEX.</w:t>
      </w:r>
    </w:p>
    <w:p w14:paraId="331C5856" w14:textId="77777777" w:rsidR="0097113F" w:rsidRPr="006D6EEB" w:rsidRDefault="009875D3" w:rsidP="00AA5401">
      <w:pPr>
        <w:spacing w:before="240" w:after="240" w:line="360" w:lineRule="auto"/>
        <w:jc w:val="both"/>
        <w:rPr>
          <w:rFonts w:ascii="Palatino Linotype" w:eastAsia="Palatino Linotype" w:hAnsi="Palatino Linotype" w:cs="Palatino Linotype"/>
          <w:sz w:val="22"/>
          <w:szCs w:val="22"/>
        </w:rPr>
      </w:pPr>
      <w:r w:rsidRPr="006D6EEB">
        <w:rPr>
          <w:rFonts w:ascii="Palatino Linotype" w:eastAsia="Palatino Linotype" w:hAnsi="Palatino Linotype" w:cs="Palatino Linotype"/>
          <w:sz w:val="22"/>
          <w:szCs w:val="22"/>
        </w:rPr>
        <w:t>Asimismo, resulta procedente la interposición del recurso de revisión al rubro anotado, toda vez que se actualiza las hipótesis previstas en el artículo 179, fracción V de la ley de la materia, que a la letra dice:</w:t>
      </w:r>
    </w:p>
    <w:p w14:paraId="6175B8D3" w14:textId="77777777" w:rsidR="0097113F" w:rsidRPr="006D6EEB" w:rsidRDefault="009875D3" w:rsidP="00AA5401">
      <w:pPr>
        <w:spacing w:before="240" w:after="240" w:line="360" w:lineRule="auto"/>
        <w:ind w:left="567" w:right="1041"/>
        <w:jc w:val="both"/>
        <w:rPr>
          <w:rFonts w:ascii="Palatino Linotype" w:eastAsia="Palatino Linotype" w:hAnsi="Palatino Linotype" w:cs="Palatino Linotype"/>
          <w:i/>
          <w:iCs/>
          <w:sz w:val="22"/>
          <w:szCs w:val="22"/>
        </w:rPr>
      </w:pPr>
      <w:r w:rsidRPr="006D6EEB">
        <w:rPr>
          <w:rFonts w:ascii="Palatino Linotype" w:eastAsia="Palatino Linotype" w:hAnsi="Palatino Linotype" w:cs="Palatino Linotype"/>
          <w:i/>
          <w:iCs/>
          <w:sz w:val="22"/>
          <w:szCs w:val="22"/>
        </w:rPr>
        <w:t>“</w:t>
      </w:r>
      <w:r w:rsidRPr="006D6EEB">
        <w:rPr>
          <w:rFonts w:ascii="Palatino Linotype" w:eastAsia="Palatino Linotype" w:hAnsi="Palatino Linotype" w:cs="Palatino Linotype"/>
          <w:b/>
          <w:bCs/>
          <w:i/>
          <w:iCs/>
          <w:sz w:val="22"/>
          <w:szCs w:val="22"/>
        </w:rPr>
        <w:t xml:space="preserve">Artículo 179. </w:t>
      </w:r>
      <w:r w:rsidRPr="006D6EEB">
        <w:rPr>
          <w:rFonts w:ascii="Palatino Linotype" w:eastAsia="Palatino Linotype" w:hAnsi="Palatino Linotype" w:cs="Palatino Linotype"/>
          <w:i/>
          <w:iCs/>
          <w:sz w:val="22"/>
          <w:szCs w:val="22"/>
        </w:rPr>
        <w:t>El recurso de revisión es un medio de protección que la Ley otorga a los particulares, para hacer valer su derecho de acceso a la información pública, y procederá en contra de las siguientes causas:</w:t>
      </w:r>
    </w:p>
    <w:p w14:paraId="7C4071D5" w14:textId="77777777" w:rsidR="0097113F" w:rsidRPr="006D6EEB" w:rsidRDefault="009875D3" w:rsidP="00AA5401">
      <w:pPr>
        <w:spacing w:before="240" w:after="240" w:line="360" w:lineRule="auto"/>
        <w:ind w:left="567" w:right="1041"/>
        <w:jc w:val="both"/>
        <w:rPr>
          <w:rFonts w:ascii="Palatino Linotype" w:eastAsia="Palatino Linotype" w:hAnsi="Palatino Linotype" w:cs="Palatino Linotype"/>
          <w:i/>
          <w:iCs/>
          <w:sz w:val="22"/>
          <w:szCs w:val="22"/>
        </w:rPr>
      </w:pPr>
      <w:r w:rsidRPr="006D6EEB">
        <w:rPr>
          <w:rFonts w:ascii="Palatino Linotype" w:eastAsia="Palatino Linotype" w:hAnsi="Palatino Linotype" w:cs="Palatino Linotype"/>
          <w:i/>
          <w:iCs/>
          <w:sz w:val="22"/>
          <w:szCs w:val="22"/>
        </w:rPr>
        <w:t>…</w:t>
      </w:r>
    </w:p>
    <w:p w14:paraId="4F5BE9E5" w14:textId="77777777" w:rsidR="0097113F" w:rsidRPr="006D6EEB" w:rsidRDefault="009875D3" w:rsidP="00AA5401">
      <w:pPr>
        <w:widowControl w:val="0"/>
        <w:numPr>
          <w:ilvl w:val="0"/>
          <w:numId w:val="3"/>
        </w:numPr>
        <w:pBdr>
          <w:top w:val="nil"/>
          <w:left w:val="nil"/>
          <w:bottom w:val="nil"/>
          <w:right w:val="nil"/>
          <w:between w:val="nil"/>
        </w:pBdr>
        <w:tabs>
          <w:tab w:val="left" w:pos="335"/>
        </w:tabs>
        <w:spacing w:before="240" w:after="240" w:line="360" w:lineRule="auto"/>
        <w:jc w:val="both"/>
        <w:rPr>
          <w:rFonts w:ascii="Palatino Linotype" w:eastAsia="Palatino Linotype" w:hAnsi="Palatino Linotype" w:cs="Palatino Linotype"/>
          <w:i/>
          <w:iCs/>
          <w:color w:val="000000"/>
          <w:sz w:val="22"/>
          <w:szCs w:val="22"/>
        </w:rPr>
      </w:pPr>
      <w:r w:rsidRPr="006D6EEB">
        <w:rPr>
          <w:rFonts w:ascii="Palatino Linotype" w:eastAsia="Palatino Linotype" w:hAnsi="Palatino Linotype" w:cs="Palatino Linotype"/>
          <w:i/>
          <w:iCs/>
          <w:color w:val="000000"/>
          <w:sz w:val="22"/>
          <w:szCs w:val="22"/>
        </w:rPr>
        <w:t>La entrega de información incompleta;</w:t>
      </w:r>
    </w:p>
    <w:p w14:paraId="1428D73A" w14:textId="77777777" w:rsidR="0097113F" w:rsidRPr="006D6EEB" w:rsidRDefault="009875D3" w:rsidP="00AA5401">
      <w:pPr>
        <w:spacing w:before="240" w:after="240" w:line="360" w:lineRule="auto"/>
        <w:ind w:left="567" w:right="1041"/>
        <w:jc w:val="both"/>
        <w:rPr>
          <w:rFonts w:ascii="Palatino Linotype" w:eastAsia="Palatino Linotype" w:hAnsi="Palatino Linotype" w:cs="Palatino Linotype"/>
          <w:i/>
          <w:iCs/>
          <w:sz w:val="22"/>
          <w:szCs w:val="22"/>
        </w:rPr>
      </w:pPr>
      <w:r w:rsidRPr="006D6EEB">
        <w:rPr>
          <w:rFonts w:ascii="Palatino Linotype" w:eastAsia="Palatino Linotype" w:hAnsi="Palatino Linotype" w:cs="Palatino Linotype"/>
          <w:i/>
          <w:iCs/>
          <w:sz w:val="22"/>
          <w:szCs w:val="22"/>
        </w:rPr>
        <w:t>…</w:t>
      </w:r>
    </w:p>
    <w:p w14:paraId="7DD58829" w14:textId="77777777" w:rsidR="0097113F" w:rsidRPr="006D6EEB" w:rsidRDefault="009875D3" w:rsidP="00AA5401">
      <w:pPr>
        <w:spacing w:before="240" w:after="240" w:line="360" w:lineRule="auto"/>
        <w:jc w:val="both"/>
        <w:rPr>
          <w:rFonts w:ascii="Palatino Linotype" w:eastAsia="Palatino Linotype" w:hAnsi="Palatino Linotype" w:cs="Palatino Linotype"/>
          <w:sz w:val="22"/>
          <w:szCs w:val="22"/>
        </w:rPr>
      </w:pPr>
      <w:r w:rsidRPr="006D6EEB">
        <w:rPr>
          <w:rFonts w:ascii="Palatino Linotype" w:eastAsia="Palatino Linotype" w:hAnsi="Palatino Linotype" w:cs="Palatino Linotype"/>
          <w:b/>
          <w:bCs/>
          <w:sz w:val="22"/>
          <w:szCs w:val="22"/>
        </w:rPr>
        <w:t xml:space="preserve">Tercero. Materia de la revisión. </w:t>
      </w:r>
      <w:r w:rsidRPr="006D6EEB">
        <w:rPr>
          <w:rFonts w:ascii="Palatino Linotype" w:eastAsia="Palatino Linotype" w:hAnsi="Palatino Linotype" w:cs="Palatino Linotype"/>
          <w:sz w:val="22"/>
          <w:szCs w:val="22"/>
        </w:rPr>
        <w:t xml:space="preserve">De la revisión a las constancias y documentos que obran en el expediente electrónico se advierte, que el tema sobre el que este Organismo Garante de Transparencia y Acceso a la Información se pronunciará será: </w:t>
      </w:r>
      <w:r w:rsidRPr="006D6EEB">
        <w:rPr>
          <w:rFonts w:ascii="Palatino Linotype" w:eastAsia="Palatino Linotype" w:hAnsi="Palatino Linotype" w:cs="Palatino Linotype"/>
          <w:b/>
          <w:bCs/>
          <w:sz w:val="22"/>
          <w:szCs w:val="22"/>
        </w:rPr>
        <w:t xml:space="preserve">verificar si la respuesta otorgada por el Sujeto Obligado es adecuada y suficiente para satisfacer el derecho de acceso a la información pública </w:t>
      </w:r>
      <w:r w:rsidRPr="006D6EEB">
        <w:rPr>
          <w:rFonts w:ascii="Palatino Linotype" w:eastAsia="Palatino Linotype" w:hAnsi="Palatino Linotype" w:cs="Palatino Linotype"/>
          <w:sz w:val="22"/>
          <w:szCs w:val="22"/>
        </w:rPr>
        <w:t xml:space="preserve">de </w:t>
      </w:r>
      <w:r w:rsidRPr="006D6EEB">
        <w:rPr>
          <w:rFonts w:ascii="Palatino Linotype" w:eastAsia="Palatino Linotype" w:hAnsi="Palatino Linotype" w:cs="Palatino Linotype"/>
          <w:b/>
          <w:bCs/>
          <w:sz w:val="22"/>
          <w:szCs w:val="22"/>
        </w:rPr>
        <w:t>la parte</w:t>
      </w:r>
      <w:r w:rsidRPr="006D6EEB">
        <w:rPr>
          <w:rFonts w:ascii="Palatino Linotype" w:eastAsia="Palatino Linotype" w:hAnsi="Palatino Linotype" w:cs="Palatino Linotype"/>
          <w:sz w:val="22"/>
          <w:szCs w:val="22"/>
        </w:rPr>
        <w:t xml:space="preserve"> </w:t>
      </w:r>
      <w:r w:rsidRPr="006D6EEB">
        <w:rPr>
          <w:rFonts w:ascii="Palatino Linotype" w:eastAsia="Palatino Linotype" w:hAnsi="Palatino Linotype" w:cs="Palatino Linotype"/>
          <w:b/>
          <w:bCs/>
          <w:sz w:val="22"/>
          <w:szCs w:val="22"/>
        </w:rPr>
        <w:t>Recurrente</w:t>
      </w:r>
      <w:r w:rsidRPr="006D6EEB">
        <w:rPr>
          <w:rFonts w:ascii="Palatino Linotype" w:eastAsia="Palatino Linotype" w:hAnsi="Palatino Linotype" w:cs="Palatino Linotype"/>
          <w:sz w:val="22"/>
          <w:szCs w:val="22"/>
        </w:rPr>
        <w:t>, o en su defecto, en caso de ser procedente, ordenar la entrega de información.</w:t>
      </w:r>
    </w:p>
    <w:p w14:paraId="03D580AA" w14:textId="77777777" w:rsidR="0097113F" w:rsidRPr="006D6EEB" w:rsidRDefault="009875D3" w:rsidP="00AA5401">
      <w:pPr>
        <w:spacing w:before="240" w:after="240" w:line="360" w:lineRule="auto"/>
        <w:jc w:val="both"/>
        <w:rPr>
          <w:rFonts w:ascii="Palatino Linotype" w:eastAsia="Palatino Linotype" w:hAnsi="Palatino Linotype" w:cs="Palatino Linotype"/>
          <w:sz w:val="22"/>
          <w:szCs w:val="22"/>
        </w:rPr>
      </w:pPr>
      <w:bookmarkStart w:id="2" w:name="_heading=h.2et92p0" w:colFirst="0" w:colLast="0"/>
      <w:bookmarkEnd w:id="2"/>
      <w:r w:rsidRPr="006D6EEB">
        <w:rPr>
          <w:rFonts w:ascii="Palatino Linotype" w:eastAsia="Palatino Linotype" w:hAnsi="Palatino Linotype" w:cs="Palatino Linotype"/>
          <w:b/>
          <w:bCs/>
          <w:sz w:val="22"/>
          <w:szCs w:val="22"/>
        </w:rPr>
        <w:t xml:space="preserve">Cuarto. Estudio del asunto. </w:t>
      </w:r>
      <w:r w:rsidRPr="006D6EEB">
        <w:rPr>
          <w:rFonts w:ascii="Palatino Linotype" w:eastAsia="Palatino Linotype" w:hAnsi="Palatino Linotype" w:cs="Palatino Linotype"/>
          <w:sz w:val="22"/>
          <w:szCs w:val="22"/>
        </w:rPr>
        <w:t>En primer lugar, es conveniente mencionar que de conformidad con el artículo 4 de la Ley de Transparencia y Acceso a la Información Pública del Estado de México y Municipios toda la información generada, obtenida, adquirida, transformada, administrada o en posesión de los sujetos obligados es pública y accesible de manera permanente a cualquier persona, privilegiando el principio de máxima publicidad, como así lo establece dicha determinación, que a continuación se transcribe para un mejor entendimiento:</w:t>
      </w:r>
    </w:p>
    <w:p w14:paraId="30B59F4C" w14:textId="77777777" w:rsidR="0097113F" w:rsidRPr="006D6EEB" w:rsidRDefault="009875D3" w:rsidP="00AA5401">
      <w:pPr>
        <w:spacing w:before="240" w:after="240" w:line="360" w:lineRule="auto"/>
        <w:ind w:left="851" w:right="902"/>
        <w:jc w:val="both"/>
        <w:rPr>
          <w:rFonts w:ascii="Palatino Linotype" w:eastAsia="Palatino Linotype" w:hAnsi="Palatino Linotype" w:cs="Palatino Linotype"/>
          <w:i/>
          <w:iCs/>
          <w:sz w:val="22"/>
          <w:szCs w:val="22"/>
        </w:rPr>
      </w:pPr>
      <w:r w:rsidRPr="006D6EEB">
        <w:rPr>
          <w:rFonts w:ascii="Palatino Linotype" w:eastAsia="Palatino Linotype" w:hAnsi="Palatino Linotype" w:cs="Palatino Linotype"/>
          <w:i/>
          <w:iCs/>
          <w:sz w:val="22"/>
          <w:szCs w:val="22"/>
        </w:rPr>
        <w:t>“</w:t>
      </w:r>
      <w:r w:rsidRPr="006D6EEB">
        <w:rPr>
          <w:rFonts w:ascii="Palatino Linotype" w:eastAsia="Palatino Linotype" w:hAnsi="Palatino Linotype" w:cs="Palatino Linotype"/>
          <w:b/>
          <w:bCs/>
          <w:i/>
          <w:iCs/>
          <w:sz w:val="22"/>
          <w:szCs w:val="22"/>
        </w:rPr>
        <w:t>Artículo 4</w:t>
      </w:r>
      <w:r w:rsidRPr="006D6EEB">
        <w:rPr>
          <w:rFonts w:ascii="Palatino Linotype" w:eastAsia="Palatino Linotype" w:hAnsi="Palatino Linotype" w:cs="Palatino Linotype"/>
          <w:i/>
          <w:iCs/>
          <w:sz w:val="22"/>
          <w:szCs w:val="22"/>
        </w:rPr>
        <w:t xml:space="preserve">. El derecho humano de acceso a la información pública es la prerrogativa de las personas para buscar, difundir, investigar, recabar, recibir y solicitar información pública, sin necesidad de acreditar personalidad ni interés jurídico. </w:t>
      </w:r>
    </w:p>
    <w:p w14:paraId="42AD0086" w14:textId="77777777" w:rsidR="0097113F" w:rsidRPr="006D6EEB" w:rsidRDefault="009875D3" w:rsidP="00AA5401">
      <w:pPr>
        <w:spacing w:before="240" w:after="240" w:line="360" w:lineRule="auto"/>
        <w:ind w:left="851" w:right="902"/>
        <w:jc w:val="both"/>
        <w:rPr>
          <w:rFonts w:ascii="Palatino Linotype" w:eastAsia="Palatino Linotype" w:hAnsi="Palatino Linotype" w:cs="Palatino Linotype"/>
          <w:i/>
          <w:iCs/>
          <w:sz w:val="22"/>
          <w:szCs w:val="22"/>
        </w:rPr>
      </w:pPr>
      <w:r w:rsidRPr="006D6EEB">
        <w:rPr>
          <w:rFonts w:ascii="Palatino Linotype" w:eastAsia="Palatino Linotype" w:hAnsi="Palatino Linotype" w:cs="Palatino Linotype"/>
          <w:b/>
          <w:bCs/>
          <w:i/>
          <w:iCs/>
          <w:sz w:val="22"/>
          <w:szCs w:val="22"/>
        </w:rPr>
        <w:t>Toda la información generada, obtenida, adquirida, transformada, administrada o en posesión de los sujetos obligados es pública y accesible de manera permanente a cualquier persona</w:t>
      </w:r>
      <w:r w:rsidRPr="006D6EEB">
        <w:rPr>
          <w:rFonts w:ascii="Palatino Linotype" w:eastAsia="Palatino Linotype" w:hAnsi="Palatino Linotype" w:cs="Palatino Linotype"/>
          <w:i/>
          <w:iCs/>
          <w:sz w:val="22"/>
          <w:szCs w:val="22"/>
        </w:rPr>
        <w:t>, en los términos y condiciones que se establezcan en los tratados internacionales de los que el Estado mexicano sea parte, en la Ley General, la presente Ley y demás disposiciones de la materia, privilegiando el principio de máxima publicidad de la información. Solo podrá ser clasificada excepcionalmente Ley de Transparencia y Acceso a la Información Pública del Estado de México y Municipios 29 como reservada temporalmente por razones de interés público, en los términos de las causas legítimas y estrictamente necesarias previstas por esta Ley.</w:t>
      </w:r>
    </w:p>
    <w:p w14:paraId="01F9ED53" w14:textId="77777777" w:rsidR="0097113F" w:rsidRPr="006D6EEB" w:rsidRDefault="009875D3" w:rsidP="00AA5401">
      <w:pPr>
        <w:spacing w:before="240" w:after="240" w:line="360" w:lineRule="auto"/>
        <w:ind w:left="851" w:right="902"/>
        <w:jc w:val="both"/>
        <w:rPr>
          <w:rFonts w:ascii="Palatino Linotype" w:eastAsia="Palatino Linotype" w:hAnsi="Palatino Linotype" w:cs="Palatino Linotype"/>
          <w:i/>
          <w:iCs/>
          <w:sz w:val="22"/>
          <w:szCs w:val="22"/>
        </w:rPr>
      </w:pPr>
      <w:r w:rsidRPr="006D6EEB">
        <w:rPr>
          <w:rFonts w:ascii="Palatino Linotype" w:eastAsia="Palatino Linotype" w:hAnsi="Palatino Linotype" w:cs="Palatino Linotype"/>
          <w:b/>
          <w:bCs/>
          <w:i/>
          <w:iCs/>
          <w:sz w:val="22"/>
          <w:szCs w:val="22"/>
        </w:rPr>
        <w:t>Los sujetos obligados deben poner en práctica, políticas y programas de acceso a la información que se apeguen a criterios de publicidad, veracidad, oportunidad, precisión y suficiencia en beneficio de los solicitantes</w:t>
      </w:r>
      <w:r w:rsidRPr="006D6EEB">
        <w:rPr>
          <w:rFonts w:ascii="Palatino Linotype" w:eastAsia="Palatino Linotype" w:hAnsi="Palatino Linotype" w:cs="Palatino Linotype"/>
          <w:i/>
          <w:iCs/>
          <w:sz w:val="22"/>
          <w:szCs w:val="22"/>
        </w:rPr>
        <w:t>.”</w:t>
      </w:r>
    </w:p>
    <w:p w14:paraId="6C12380E" w14:textId="77777777" w:rsidR="0097113F" w:rsidRPr="006D6EEB" w:rsidRDefault="009875D3" w:rsidP="00AA5401">
      <w:pPr>
        <w:spacing w:before="240" w:after="240" w:line="360" w:lineRule="auto"/>
        <w:jc w:val="both"/>
        <w:rPr>
          <w:rFonts w:ascii="Palatino Linotype" w:eastAsia="Palatino Linotype" w:hAnsi="Palatino Linotype" w:cs="Palatino Linotype"/>
          <w:sz w:val="22"/>
          <w:szCs w:val="22"/>
        </w:rPr>
      </w:pPr>
      <w:r w:rsidRPr="006D6EEB">
        <w:rPr>
          <w:rFonts w:ascii="Palatino Linotype" w:eastAsia="Palatino Linotype" w:hAnsi="Palatino Linotype" w:cs="Palatino Linotype"/>
          <w:sz w:val="22"/>
          <w:szCs w:val="22"/>
        </w:rPr>
        <w:t>Esto es, que los Sujetos Obligados tiene la obligación o deber de atender las solicitudes de acceso a la información pública que se les hagan de su conocimiento y proporcionar la información pública que obren en su poder conforme el estado que se encuentra y no hacer un procesamiento de la misma, ni presentarla conforme al interés del solicitante; como así lo establece el artículo 12 de la Ley de Transparencia y Acceso a la Información Pública del Estado de México y Municipios, que a la letra dice:</w:t>
      </w:r>
    </w:p>
    <w:p w14:paraId="11FD660E" w14:textId="77777777" w:rsidR="0097113F" w:rsidRPr="006D6EEB" w:rsidRDefault="009875D3" w:rsidP="00AA5401">
      <w:pPr>
        <w:spacing w:before="240" w:after="240" w:line="360" w:lineRule="auto"/>
        <w:ind w:left="851" w:right="902"/>
        <w:jc w:val="both"/>
        <w:rPr>
          <w:rFonts w:ascii="Palatino Linotype" w:eastAsia="Palatino Linotype" w:hAnsi="Palatino Linotype" w:cs="Palatino Linotype"/>
          <w:i/>
          <w:iCs/>
          <w:sz w:val="22"/>
          <w:szCs w:val="22"/>
        </w:rPr>
      </w:pPr>
      <w:r w:rsidRPr="006D6EEB">
        <w:rPr>
          <w:rFonts w:ascii="Palatino Linotype" w:eastAsia="Palatino Linotype" w:hAnsi="Palatino Linotype" w:cs="Palatino Linotype"/>
          <w:b/>
          <w:bCs/>
          <w:i/>
          <w:iCs/>
          <w:sz w:val="22"/>
          <w:szCs w:val="22"/>
        </w:rPr>
        <w:t>“Artículo 12.-</w:t>
      </w:r>
      <w:r w:rsidRPr="006D6EEB">
        <w:rPr>
          <w:rFonts w:ascii="Palatino Linotype" w:eastAsia="Palatino Linotype" w:hAnsi="Palatino Linotype" w:cs="Palatino Linotype"/>
          <w:i/>
          <w:iCs/>
          <w:sz w:val="22"/>
          <w:szCs w:val="22"/>
        </w:rPr>
        <w:t xml:space="preserve"> Quienes generen, recopilen, administren, manejen, procesen, archiven o conserven información pública serán responsables de la misma en los términos de las disposiciones jurídicas aplicables. </w:t>
      </w:r>
    </w:p>
    <w:p w14:paraId="4140DFF5" w14:textId="77777777" w:rsidR="0097113F" w:rsidRPr="006D6EEB" w:rsidRDefault="009875D3" w:rsidP="00AA5401">
      <w:pPr>
        <w:spacing w:before="240" w:after="240" w:line="360" w:lineRule="auto"/>
        <w:ind w:left="851" w:right="902"/>
        <w:jc w:val="both"/>
        <w:rPr>
          <w:rFonts w:ascii="Palatino Linotype" w:eastAsia="Palatino Linotype" w:hAnsi="Palatino Linotype" w:cs="Palatino Linotype"/>
          <w:i/>
          <w:iCs/>
          <w:sz w:val="22"/>
          <w:szCs w:val="22"/>
        </w:rPr>
      </w:pPr>
      <w:r w:rsidRPr="006D6EEB">
        <w:rPr>
          <w:rFonts w:ascii="Palatino Linotype" w:eastAsia="Palatino Linotype" w:hAnsi="Palatino Linotype" w:cs="Palatino Linotype"/>
          <w:b/>
          <w:bCs/>
          <w:i/>
          <w:iCs/>
          <w:sz w:val="22"/>
          <w:szCs w:val="22"/>
        </w:rPr>
        <w:t>Los sujetos obligados sólo proporcionarán la información pública que se les requiera y que obre en sus archivos y en el estado en que ésta se encuentre</w:t>
      </w:r>
      <w:r w:rsidRPr="006D6EEB">
        <w:rPr>
          <w:rFonts w:ascii="Palatino Linotype" w:eastAsia="Palatino Linotype" w:hAnsi="Palatino Linotype" w:cs="Palatino Linotype"/>
          <w:i/>
          <w:iCs/>
          <w:sz w:val="22"/>
          <w:szCs w:val="22"/>
        </w:rPr>
        <w:t xml:space="preserve">. </w:t>
      </w:r>
      <w:r w:rsidRPr="006D6EEB">
        <w:rPr>
          <w:rFonts w:ascii="Palatino Linotype" w:eastAsia="Palatino Linotype" w:hAnsi="Palatino Linotype" w:cs="Palatino Linotype"/>
          <w:b/>
          <w:bCs/>
          <w:i/>
          <w:iCs/>
          <w:sz w:val="22"/>
          <w:szCs w:val="22"/>
        </w:rPr>
        <w:t xml:space="preserve">La obligación de proporcionar información no comprende el procesamiento de la misma, ni el presentarla conforme al interés del solicitante; no estarán obligados a generarla, resumirla, efectuar cálculos o practicar investigaciones.” </w:t>
      </w:r>
    </w:p>
    <w:p w14:paraId="70DC8EAC" w14:textId="77777777" w:rsidR="0097113F" w:rsidRPr="006D6EEB" w:rsidRDefault="009875D3" w:rsidP="00AA5401">
      <w:pPr>
        <w:spacing w:before="240" w:after="240" w:line="360" w:lineRule="auto"/>
        <w:ind w:right="49"/>
        <w:jc w:val="both"/>
        <w:rPr>
          <w:rFonts w:ascii="Palatino Linotype" w:eastAsia="Palatino Linotype" w:hAnsi="Palatino Linotype" w:cs="Palatino Linotype"/>
          <w:sz w:val="22"/>
          <w:szCs w:val="22"/>
        </w:rPr>
      </w:pPr>
      <w:r w:rsidRPr="006D6EEB">
        <w:rPr>
          <w:rFonts w:ascii="Palatino Linotype" w:eastAsia="Palatino Linotype" w:hAnsi="Palatino Linotype" w:cs="Palatino Linotype"/>
          <w:sz w:val="22"/>
          <w:szCs w:val="22"/>
        </w:rPr>
        <w:t>Es decir, que todo sujeto obligado que genere, recopile, administre, procese, archive, posea o conserven, son responsables de la misma teniendo a su vez la obligación de proporcionar la información que se les requiera sin necesidad de resumirla, efectuar procedimientos para obtenerla, calcular y practicar investigaciones; en otras palabras, que los Sujetos Obligados solo se concretaran a proporcionar la información solicitada que tengan en su poder en el estado que se encuentran, sin necesidad de concretarse al interés o términos específicos del solicitante.</w:t>
      </w:r>
    </w:p>
    <w:p w14:paraId="585A4010" w14:textId="77777777" w:rsidR="0097113F" w:rsidRPr="006D6EEB" w:rsidRDefault="009875D3" w:rsidP="00AA5401">
      <w:pPr>
        <w:spacing w:before="240" w:after="240" w:line="360" w:lineRule="auto"/>
        <w:ind w:right="49"/>
        <w:jc w:val="both"/>
        <w:rPr>
          <w:rFonts w:ascii="Palatino Linotype" w:eastAsia="Palatino Linotype" w:hAnsi="Palatino Linotype" w:cs="Palatino Linotype"/>
          <w:sz w:val="22"/>
          <w:szCs w:val="22"/>
        </w:rPr>
      </w:pPr>
      <w:r w:rsidRPr="006D6EEB">
        <w:rPr>
          <w:rFonts w:ascii="Palatino Linotype" w:eastAsia="Palatino Linotype" w:hAnsi="Palatino Linotype" w:cs="Palatino Linotype"/>
          <w:sz w:val="22"/>
          <w:szCs w:val="22"/>
        </w:rPr>
        <w:t>Sirve de apoyo a lo anterior, el criterio orientador 03-17, expuesto por el entonces  Instituto Nacional de Transparencia, Acceso a la Información y Protección de Datos Personales, que dice:</w:t>
      </w:r>
      <w:r w:rsidRPr="006D6EEB">
        <w:rPr>
          <w:rFonts w:ascii="Palatino Linotype" w:eastAsia="Palatino Linotype" w:hAnsi="Palatino Linotype" w:cs="Palatino Linotype"/>
          <w:b/>
          <w:bCs/>
          <w:sz w:val="22"/>
          <w:szCs w:val="22"/>
        </w:rPr>
        <w:t xml:space="preserve"> </w:t>
      </w:r>
    </w:p>
    <w:p w14:paraId="19588F17" w14:textId="77777777" w:rsidR="0097113F" w:rsidRPr="006D6EEB" w:rsidRDefault="009875D3" w:rsidP="00AA5401">
      <w:pPr>
        <w:spacing w:before="240" w:after="240" w:line="360" w:lineRule="auto"/>
        <w:ind w:left="851" w:right="902"/>
        <w:jc w:val="both"/>
        <w:rPr>
          <w:rFonts w:ascii="Palatino Linotype" w:eastAsia="Palatino Linotype" w:hAnsi="Palatino Linotype" w:cs="Palatino Linotype"/>
          <w:i/>
          <w:iCs/>
          <w:sz w:val="22"/>
          <w:szCs w:val="22"/>
        </w:rPr>
      </w:pPr>
      <w:r w:rsidRPr="006D6EEB">
        <w:rPr>
          <w:rFonts w:ascii="Palatino Linotype" w:eastAsia="Palatino Linotype" w:hAnsi="Palatino Linotype" w:cs="Palatino Linotype"/>
          <w:i/>
          <w:iCs/>
          <w:sz w:val="22"/>
          <w:szCs w:val="22"/>
        </w:rPr>
        <w:t>“</w:t>
      </w:r>
      <w:r w:rsidRPr="006D6EEB">
        <w:rPr>
          <w:rFonts w:ascii="Palatino Linotype" w:eastAsia="Palatino Linotype" w:hAnsi="Palatino Linotype" w:cs="Palatino Linotype"/>
          <w:b/>
          <w:bCs/>
          <w:i/>
          <w:iCs/>
          <w:sz w:val="22"/>
          <w:szCs w:val="22"/>
        </w:rPr>
        <w:t>No existe obligación de elaborar documentos ad hoc para atender las solicitudes de acceso a la información.</w:t>
      </w:r>
      <w:r w:rsidRPr="006D6EEB">
        <w:rPr>
          <w:rFonts w:ascii="Palatino Linotype" w:eastAsia="Palatino Linotype" w:hAnsi="Palatino Linotype" w:cs="Palatino Linotype"/>
          <w:i/>
          <w:iCs/>
          <w:sz w:val="22"/>
          <w:szCs w:val="22"/>
        </w:rPr>
        <w:t xml:space="preserve"> Los artículos 129 de la Ley General de Transparencia y Acceso a la Información Pública y 130, párrafo cuarto, de la Ley Federal de Transparencia y Acceso a la Información Pública, señalan que los sujetos obligados deberán otorgar acceso a los documentos que se encuentren en sus archivos o que estén obligados a documentar, de acuerdo con sus facultades, competencias o funciones, conforme a las características físicas de la información o del lugar donde se encuentre. Por lo anterior, los sujetos obligados deben garantizar el derecho de acceso a la información del particular, proporcionando la información con la que cuentan en el formato en que la misma obre en sus archivos; sin necesidad de elaborar documentos ad hoc para atender las solicitudes de información”. </w:t>
      </w:r>
    </w:p>
    <w:p w14:paraId="757620B2" w14:textId="77777777" w:rsidR="0097113F" w:rsidRPr="006D6EEB" w:rsidRDefault="009875D3" w:rsidP="00AA5401">
      <w:pPr>
        <w:spacing w:before="240" w:after="240" w:line="360" w:lineRule="auto"/>
        <w:jc w:val="both"/>
        <w:rPr>
          <w:rFonts w:ascii="Palatino Linotype" w:eastAsia="Palatino Linotype" w:hAnsi="Palatino Linotype" w:cs="Palatino Linotype"/>
          <w:sz w:val="22"/>
          <w:szCs w:val="22"/>
        </w:rPr>
      </w:pPr>
      <w:r w:rsidRPr="006D6EEB">
        <w:rPr>
          <w:rFonts w:ascii="Palatino Linotype" w:eastAsia="Palatino Linotype" w:hAnsi="Palatino Linotype" w:cs="Palatino Linotype"/>
          <w:sz w:val="22"/>
          <w:szCs w:val="22"/>
        </w:rPr>
        <w:t>En esa tesitura, el artículo 24 en su último párrafo de la Ley de la Materia, dispone que los Sujetos Obligados sólo proporcionarán la información pública que generen, administren o posean en el ejercicio de sus atribuciones; por consiguiente, la información pública se encuentra a disposición de cualquier persona, lo que implica que es deber de los Sujetos Obligados, garantizar el Derecho de Acceso a la Información Pública.</w:t>
      </w:r>
    </w:p>
    <w:p w14:paraId="4FD14779" w14:textId="77777777" w:rsidR="0097113F" w:rsidRPr="006D6EEB" w:rsidRDefault="009875D3" w:rsidP="00AA5401">
      <w:pPr>
        <w:spacing w:before="240" w:after="240" w:line="360" w:lineRule="auto"/>
        <w:ind w:right="49"/>
        <w:jc w:val="both"/>
        <w:rPr>
          <w:rFonts w:ascii="Palatino Linotype" w:eastAsia="Palatino Linotype" w:hAnsi="Palatino Linotype" w:cs="Palatino Linotype"/>
          <w:sz w:val="22"/>
          <w:szCs w:val="22"/>
        </w:rPr>
      </w:pPr>
      <w:r w:rsidRPr="006D6EEB">
        <w:rPr>
          <w:rFonts w:ascii="Palatino Linotype" w:eastAsia="Palatino Linotype" w:hAnsi="Palatino Linotype" w:cs="Palatino Linotype"/>
          <w:sz w:val="22"/>
          <w:szCs w:val="22"/>
        </w:rPr>
        <w:t>Siempre y cuando no se trate de información reservada o clasificada, que difundirla pondría en riesgo la seguridad jurídica y física del titular de la información, debiendo tener audacia los Sujetos Obligados para cuidar esta información a través del acuerdo clasificatorio del comité de transparencia y la versión pública que emita el servidor público habilitado de cada Sujeto Obligado; como así se establece en la Ley de Transparencia y Acceso a la Información Pública del Estado de México y Municipios.</w:t>
      </w:r>
    </w:p>
    <w:p w14:paraId="2AAFBBB5" w14:textId="77777777" w:rsidR="0097113F" w:rsidRPr="006D6EEB" w:rsidRDefault="009875D3" w:rsidP="00AA5401">
      <w:pPr>
        <w:spacing w:before="240" w:after="240" w:line="360" w:lineRule="auto"/>
        <w:jc w:val="both"/>
        <w:rPr>
          <w:rFonts w:ascii="Palatino Linotype" w:eastAsia="Palatino Linotype" w:hAnsi="Palatino Linotype" w:cs="Palatino Linotype"/>
          <w:sz w:val="22"/>
          <w:szCs w:val="22"/>
        </w:rPr>
      </w:pPr>
      <w:r w:rsidRPr="006D6EEB">
        <w:rPr>
          <w:rFonts w:ascii="Palatino Linotype" w:eastAsia="Palatino Linotype" w:hAnsi="Palatino Linotype" w:cs="Palatino Linotype"/>
          <w:sz w:val="22"/>
          <w:szCs w:val="22"/>
        </w:rPr>
        <w:t xml:space="preserve">En conclusión, el derecho de acceso a la información pública, consiste en que la información solicitada conste en un documento en cualquiera de sus formas, a saber: expedientes, reportes, estudios, actas, resoluciones, oficios, correspondencia, acuerdos, directivas, directrices, circulares, contratos, convenios, instructivos, notas, memorandos, estadísticas o bien, cualquier otro registro que documente el ejercicio de las facultades, funciones y competencias de los Sujetos Obligados; los que, podrán estar en cualquier medio, sea escrito, impreso, sonoro, visual, electrónico, informático u holográfico de conformidad con el artículo 3, fracción XI de la Ley de la materia, el cual señala lo siguiente: </w:t>
      </w:r>
    </w:p>
    <w:p w14:paraId="32C0E4EC" w14:textId="77777777" w:rsidR="0097113F" w:rsidRPr="006D6EEB" w:rsidRDefault="009875D3" w:rsidP="00AA5401">
      <w:pPr>
        <w:spacing w:before="240" w:after="240" w:line="360" w:lineRule="auto"/>
        <w:ind w:left="851" w:right="902"/>
        <w:jc w:val="both"/>
        <w:rPr>
          <w:rFonts w:ascii="Palatino Linotype" w:eastAsia="Palatino Linotype" w:hAnsi="Palatino Linotype" w:cs="Palatino Linotype"/>
          <w:i/>
          <w:iCs/>
          <w:sz w:val="22"/>
          <w:szCs w:val="22"/>
        </w:rPr>
      </w:pPr>
      <w:r w:rsidRPr="006D6EEB">
        <w:rPr>
          <w:rFonts w:ascii="Palatino Linotype" w:eastAsia="Palatino Linotype" w:hAnsi="Palatino Linotype" w:cs="Palatino Linotype"/>
          <w:i/>
          <w:iCs/>
          <w:sz w:val="22"/>
          <w:szCs w:val="22"/>
        </w:rPr>
        <w:t>“</w:t>
      </w:r>
      <w:r w:rsidRPr="006D6EEB">
        <w:rPr>
          <w:rFonts w:ascii="Palatino Linotype" w:eastAsia="Palatino Linotype" w:hAnsi="Palatino Linotype" w:cs="Palatino Linotype"/>
          <w:b/>
          <w:bCs/>
          <w:i/>
          <w:iCs/>
          <w:sz w:val="22"/>
          <w:szCs w:val="22"/>
        </w:rPr>
        <w:t xml:space="preserve">Artículo 3. </w:t>
      </w:r>
      <w:r w:rsidRPr="006D6EEB">
        <w:rPr>
          <w:rFonts w:ascii="Palatino Linotype" w:eastAsia="Palatino Linotype" w:hAnsi="Palatino Linotype" w:cs="Palatino Linotype"/>
          <w:i/>
          <w:iCs/>
          <w:sz w:val="22"/>
          <w:szCs w:val="22"/>
        </w:rPr>
        <w:t>Para los efectos de la presente Ley se entenderá por:</w:t>
      </w:r>
    </w:p>
    <w:p w14:paraId="2D1B073B" w14:textId="77777777" w:rsidR="0097113F" w:rsidRPr="006D6EEB" w:rsidRDefault="009875D3" w:rsidP="00AA5401">
      <w:pPr>
        <w:spacing w:before="240" w:after="240" w:line="360" w:lineRule="auto"/>
        <w:ind w:left="1134" w:right="902"/>
        <w:jc w:val="both"/>
        <w:rPr>
          <w:rFonts w:ascii="Palatino Linotype" w:eastAsia="Palatino Linotype" w:hAnsi="Palatino Linotype" w:cs="Palatino Linotype"/>
          <w:i/>
          <w:iCs/>
          <w:sz w:val="22"/>
          <w:szCs w:val="22"/>
        </w:rPr>
      </w:pPr>
      <w:r w:rsidRPr="006D6EEB">
        <w:rPr>
          <w:rFonts w:ascii="Palatino Linotype" w:eastAsia="Palatino Linotype" w:hAnsi="Palatino Linotype" w:cs="Palatino Linotype"/>
          <w:i/>
          <w:iCs/>
          <w:sz w:val="22"/>
          <w:szCs w:val="22"/>
        </w:rPr>
        <w:t>…</w:t>
      </w:r>
    </w:p>
    <w:p w14:paraId="00F11F94" w14:textId="77777777" w:rsidR="0097113F" w:rsidRPr="006D6EEB" w:rsidRDefault="009875D3" w:rsidP="00AA5401">
      <w:pPr>
        <w:spacing w:before="240" w:after="240" w:line="360" w:lineRule="auto"/>
        <w:ind w:left="1134" w:right="902"/>
        <w:jc w:val="both"/>
        <w:rPr>
          <w:rFonts w:ascii="Palatino Linotype" w:eastAsia="Palatino Linotype" w:hAnsi="Palatino Linotype" w:cs="Palatino Linotype"/>
          <w:i/>
          <w:iCs/>
          <w:sz w:val="22"/>
          <w:szCs w:val="22"/>
        </w:rPr>
      </w:pPr>
      <w:r w:rsidRPr="006D6EEB">
        <w:rPr>
          <w:rFonts w:ascii="Palatino Linotype" w:eastAsia="Palatino Linotype" w:hAnsi="Palatino Linotype" w:cs="Palatino Linotype"/>
          <w:b/>
          <w:bCs/>
          <w:i/>
          <w:iCs/>
          <w:sz w:val="22"/>
          <w:szCs w:val="22"/>
        </w:rPr>
        <w:t>XI. Documento:</w:t>
      </w:r>
      <w:r w:rsidRPr="006D6EEB">
        <w:rPr>
          <w:rFonts w:ascii="Palatino Linotype" w:eastAsia="Palatino Linotype" w:hAnsi="Palatino Linotype" w:cs="Palatino Linotype"/>
          <w:i/>
          <w:iCs/>
          <w:sz w:val="22"/>
          <w:szCs w:val="22"/>
        </w:rPr>
        <w:t xml:space="preserve"> Los expedientes, reportes, estudios, actas</w:t>
      </w:r>
      <w:r w:rsidRPr="006D6EEB">
        <w:rPr>
          <w:rFonts w:ascii="Palatino Linotype" w:eastAsia="Palatino Linotype" w:hAnsi="Palatino Linotype" w:cs="Palatino Linotype"/>
          <w:b/>
          <w:bCs/>
          <w:i/>
          <w:iCs/>
          <w:sz w:val="22"/>
          <w:szCs w:val="22"/>
        </w:rPr>
        <w:t>,</w:t>
      </w:r>
      <w:r w:rsidRPr="006D6EEB">
        <w:rPr>
          <w:rFonts w:ascii="Palatino Linotype" w:eastAsia="Palatino Linotype" w:hAnsi="Palatino Linotype" w:cs="Palatino Linotype"/>
          <w:i/>
          <w:iCs/>
          <w:sz w:val="22"/>
          <w:szCs w:val="22"/>
        </w:rPr>
        <w:t xml:space="preserve"> resoluciones, oficios, correspondencia, acuerdos, directivas, directrices, circulares, contratos, convenios, instructivos, notas, memorandos, estadísticas o bien, cualquier otro registro que documente el ejercicio de las facultades, funciones y competencias de los sujetos obligados, sus servidores públicos e integrantes, sin importar su fuente o fecha de elaboración. Los documentos podrán estar en cualquier medio, sea escrito, impreso, sonoro, visual, electrónico, informático u holográfico…” </w:t>
      </w:r>
    </w:p>
    <w:p w14:paraId="3D552CA2" w14:textId="77777777" w:rsidR="0097113F" w:rsidRPr="006D6EEB" w:rsidRDefault="009875D3" w:rsidP="00AA5401">
      <w:pPr>
        <w:spacing w:before="240" w:after="240" w:line="360" w:lineRule="auto"/>
        <w:jc w:val="both"/>
        <w:rPr>
          <w:rFonts w:ascii="Palatino Linotype" w:eastAsia="Palatino Linotype" w:hAnsi="Palatino Linotype" w:cs="Palatino Linotype"/>
          <w:sz w:val="22"/>
          <w:szCs w:val="22"/>
        </w:rPr>
      </w:pPr>
      <w:r w:rsidRPr="006D6EEB">
        <w:rPr>
          <w:rFonts w:ascii="Palatino Linotype" w:eastAsia="Palatino Linotype" w:hAnsi="Palatino Linotype" w:cs="Palatino Linotype"/>
          <w:sz w:val="22"/>
          <w:szCs w:val="22"/>
        </w:rPr>
        <w:t>Siendo aplicable, el Criterio de interpretación en el orden administrativo número 0002-11, emitido por Acuerdo del Pleno del Instituto de Transparencia y Acceso a la Información Pública del Estado de México y Municipios; publicado en el Periódico Oficial del Gobierno del Estado Libre y Soberano de México “Gaceta del Gobierno”, el diecinueve de octubre de dos mil once, cuyo rubro y texto refieren lo siguiente:</w:t>
      </w:r>
    </w:p>
    <w:p w14:paraId="079E21B7" w14:textId="77777777" w:rsidR="0097113F" w:rsidRPr="006D6EEB" w:rsidRDefault="009875D3" w:rsidP="00AA5401">
      <w:pPr>
        <w:spacing w:before="240" w:after="240" w:line="360" w:lineRule="auto"/>
        <w:ind w:left="851" w:right="902"/>
        <w:jc w:val="both"/>
        <w:rPr>
          <w:rFonts w:ascii="Palatino Linotype" w:eastAsia="Palatino Linotype" w:hAnsi="Palatino Linotype" w:cs="Palatino Linotype"/>
          <w:b/>
          <w:bCs/>
          <w:i/>
          <w:iCs/>
          <w:sz w:val="22"/>
          <w:szCs w:val="22"/>
        </w:rPr>
      </w:pPr>
      <w:r w:rsidRPr="006D6EEB">
        <w:rPr>
          <w:rFonts w:ascii="Palatino Linotype" w:eastAsia="Palatino Linotype" w:hAnsi="Palatino Linotype" w:cs="Palatino Linotype"/>
          <w:b/>
          <w:bCs/>
          <w:sz w:val="22"/>
          <w:szCs w:val="22"/>
        </w:rPr>
        <w:t>“</w:t>
      </w:r>
      <w:r w:rsidRPr="006D6EEB">
        <w:rPr>
          <w:rFonts w:ascii="Palatino Linotype" w:eastAsia="Palatino Linotype" w:hAnsi="Palatino Linotype" w:cs="Palatino Linotype"/>
          <w:b/>
          <w:bCs/>
          <w:i/>
          <w:iCs/>
          <w:sz w:val="22"/>
          <w:szCs w:val="22"/>
        </w:rPr>
        <w:t>CRITERIO 0002-11. INFORMACIÓN PÚBLICA, CONCEPTO DE, EN MATERIA DE TRANSPARENCIA. INTERPRETACIÓN SISTEMÁTICA DE LOS ARTÍCULOS 2°, FRACCIÓN V, XV, Y XVI, 3°, 4°, 11 Y 41.</w:t>
      </w:r>
      <w:r w:rsidRPr="006D6EEB">
        <w:rPr>
          <w:rFonts w:ascii="Palatino Linotype" w:eastAsia="Palatino Linotype" w:hAnsi="Palatino Linotype" w:cs="Palatino Linotype"/>
          <w:i/>
          <w:iCs/>
          <w:sz w:val="22"/>
          <w:szCs w:val="22"/>
        </w:rPr>
        <w:t xml:space="preserve"> De conformidad con los artículos antes referidos, el derecho de acceso a la información pública, se define en cuanto a su alcance y resultado material, el acceso a los archivos, registros y documentos públicos, administrados, generados o en posesión de los órganos u organismos públicos, en virtud del ejercicio de sus funciones de derecho público, sin importar su fuente, soporte o fecha de elaboración.</w:t>
      </w:r>
    </w:p>
    <w:p w14:paraId="588026C5" w14:textId="77777777" w:rsidR="0097113F" w:rsidRPr="006D6EEB" w:rsidRDefault="009875D3" w:rsidP="00AA5401">
      <w:pPr>
        <w:spacing w:before="240" w:after="240" w:line="360" w:lineRule="auto"/>
        <w:ind w:left="851" w:right="902"/>
        <w:jc w:val="both"/>
        <w:rPr>
          <w:rFonts w:ascii="Palatino Linotype" w:eastAsia="Palatino Linotype" w:hAnsi="Palatino Linotype" w:cs="Palatino Linotype"/>
          <w:i/>
          <w:iCs/>
          <w:sz w:val="22"/>
          <w:szCs w:val="22"/>
        </w:rPr>
      </w:pPr>
      <w:r w:rsidRPr="006D6EEB">
        <w:rPr>
          <w:rFonts w:ascii="Palatino Linotype" w:eastAsia="Palatino Linotype" w:hAnsi="Palatino Linotype" w:cs="Palatino Linotype"/>
          <w:i/>
          <w:iCs/>
          <w:sz w:val="22"/>
          <w:szCs w:val="22"/>
        </w:rPr>
        <w:t>En consecuencia el acceso a la información se refiere a que se cumplan cualquiera de los siguientes tres supuestos:</w:t>
      </w:r>
    </w:p>
    <w:p w14:paraId="475C43BC" w14:textId="77777777" w:rsidR="0097113F" w:rsidRPr="006D6EEB" w:rsidRDefault="009875D3" w:rsidP="00AA5401">
      <w:pPr>
        <w:spacing w:before="240" w:after="240" w:line="360" w:lineRule="auto"/>
        <w:ind w:left="1134" w:right="902"/>
        <w:jc w:val="both"/>
        <w:rPr>
          <w:rFonts w:ascii="Palatino Linotype" w:eastAsia="Palatino Linotype" w:hAnsi="Palatino Linotype" w:cs="Palatino Linotype"/>
          <w:i/>
          <w:iCs/>
          <w:sz w:val="22"/>
          <w:szCs w:val="22"/>
        </w:rPr>
      </w:pPr>
      <w:r w:rsidRPr="006D6EEB">
        <w:rPr>
          <w:rFonts w:ascii="Palatino Linotype" w:eastAsia="Palatino Linotype" w:hAnsi="Palatino Linotype" w:cs="Palatino Linotype"/>
          <w:i/>
          <w:iCs/>
          <w:sz w:val="22"/>
          <w:szCs w:val="22"/>
        </w:rPr>
        <w:t>1) Que se trate de información registrada en cualquier soporte documental, que en ejercicio de las atribuciones conferidas, sea generada por los Sujetos Obligados;</w:t>
      </w:r>
    </w:p>
    <w:p w14:paraId="399F59EA" w14:textId="77777777" w:rsidR="0097113F" w:rsidRPr="006D6EEB" w:rsidRDefault="009875D3" w:rsidP="00AA5401">
      <w:pPr>
        <w:spacing w:before="240" w:after="240" w:line="360" w:lineRule="auto"/>
        <w:ind w:left="1134" w:right="902"/>
        <w:jc w:val="both"/>
        <w:rPr>
          <w:rFonts w:ascii="Palatino Linotype" w:eastAsia="Palatino Linotype" w:hAnsi="Palatino Linotype" w:cs="Palatino Linotype"/>
          <w:b/>
          <w:bCs/>
          <w:i/>
          <w:iCs/>
          <w:sz w:val="22"/>
          <w:szCs w:val="22"/>
        </w:rPr>
      </w:pPr>
      <w:r w:rsidRPr="006D6EEB">
        <w:rPr>
          <w:rFonts w:ascii="Palatino Linotype" w:eastAsia="Palatino Linotype" w:hAnsi="Palatino Linotype" w:cs="Palatino Linotype"/>
          <w:b/>
          <w:bCs/>
          <w:i/>
          <w:iCs/>
          <w:sz w:val="22"/>
          <w:szCs w:val="22"/>
        </w:rPr>
        <w:t>2) Que se trate de información registrada en cualquier soporte documental, que en ejercicio de las atribuciones conferidas, sea administrada por los Sujetos Obligados, y</w:t>
      </w:r>
    </w:p>
    <w:p w14:paraId="31493EF3" w14:textId="77777777" w:rsidR="0097113F" w:rsidRPr="006D6EEB" w:rsidRDefault="009875D3" w:rsidP="00AA5401">
      <w:pPr>
        <w:spacing w:before="240" w:after="240" w:line="360" w:lineRule="auto"/>
        <w:ind w:left="1134" w:right="902"/>
        <w:jc w:val="both"/>
        <w:rPr>
          <w:rFonts w:ascii="Palatino Linotype" w:eastAsia="Palatino Linotype" w:hAnsi="Palatino Linotype" w:cs="Palatino Linotype"/>
          <w:b/>
          <w:bCs/>
          <w:i/>
          <w:iCs/>
          <w:sz w:val="22"/>
          <w:szCs w:val="22"/>
        </w:rPr>
      </w:pPr>
      <w:r w:rsidRPr="006D6EEB">
        <w:rPr>
          <w:rFonts w:ascii="Palatino Linotype" w:eastAsia="Palatino Linotype" w:hAnsi="Palatino Linotype" w:cs="Palatino Linotype"/>
          <w:b/>
          <w:bCs/>
          <w:i/>
          <w:iCs/>
          <w:sz w:val="22"/>
          <w:szCs w:val="22"/>
        </w:rPr>
        <w:t xml:space="preserve">3) Que se trate de información registrada en cualquier soporte documental, que en ejercicio de las atribuciones conferidas, se encuentre en posesión de los Sujetos Obligados.” </w:t>
      </w:r>
    </w:p>
    <w:p w14:paraId="6200BB0E" w14:textId="77777777" w:rsidR="0097113F" w:rsidRPr="006D6EEB" w:rsidRDefault="009875D3" w:rsidP="00AA5401">
      <w:pPr>
        <w:spacing w:before="240" w:after="240" w:line="360" w:lineRule="auto"/>
        <w:ind w:right="51"/>
        <w:jc w:val="both"/>
        <w:rPr>
          <w:rFonts w:ascii="Palatino Linotype" w:eastAsia="Palatino Linotype" w:hAnsi="Palatino Linotype" w:cs="Palatino Linotype"/>
          <w:sz w:val="22"/>
          <w:szCs w:val="22"/>
        </w:rPr>
      </w:pPr>
      <w:r w:rsidRPr="006D6EEB">
        <w:rPr>
          <w:rFonts w:ascii="Palatino Linotype" w:eastAsia="Palatino Linotype" w:hAnsi="Palatino Linotype" w:cs="Palatino Linotype"/>
          <w:sz w:val="22"/>
          <w:szCs w:val="22"/>
        </w:rPr>
        <w:t>Expuesto lo anterior, es de retomar que, la hoy Recurrente solicitó la siguiente información:</w:t>
      </w:r>
    </w:p>
    <w:p w14:paraId="4A3AF71C" w14:textId="3FD65C63" w:rsidR="008A6918" w:rsidRPr="006D6EEB" w:rsidRDefault="008A6918" w:rsidP="00AA5401">
      <w:pPr>
        <w:spacing w:before="240" w:after="240" w:line="360" w:lineRule="auto"/>
        <w:ind w:left="567" w:right="51"/>
        <w:jc w:val="both"/>
        <w:rPr>
          <w:rFonts w:ascii="Palatino Linotype" w:eastAsia="Palatino Linotype" w:hAnsi="Palatino Linotype" w:cs="Palatino Linotype"/>
          <w:i/>
          <w:iCs/>
          <w:sz w:val="22"/>
          <w:szCs w:val="22"/>
        </w:rPr>
      </w:pPr>
      <w:r w:rsidRPr="006D6EEB">
        <w:rPr>
          <w:rFonts w:ascii="Palatino Linotype" w:eastAsia="Palatino Linotype" w:hAnsi="Palatino Linotype" w:cs="Palatino Linotype"/>
          <w:i/>
          <w:iCs/>
          <w:sz w:val="22"/>
          <w:szCs w:val="22"/>
        </w:rPr>
        <w:t>“</w:t>
      </w:r>
      <w:r w:rsidR="00F77E8F" w:rsidRPr="006D6EEB">
        <w:rPr>
          <w:rFonts w:ascii="Palatino Linotype" w:eastAsia="Palatino Linotype" w:hAnsi="Palatino Linotype" w:cs="Palatino Linotype"/>
          <w:i/>
          <w:iCs/>
          <w:sz w:val="22"/>
          <w:szCs w:val="22"/>
        </w:rPr>
        <w:t xml:space="preserve">Que informe el presidente municipal de manera personal y no por terceras personas o turnado a otra área y en caso que sea turnado a otra área se inicie la investigación por la omisión al titular de la Unidad de Transparencia y acceso a la información pública de Tepetlixpa de lo siguiente: </w:t>
      </w:r>
    </w:p>
    <w:p w14:paraId="0541F042" w14:textId="1BC979DD" w:rsidR="00F77E8F" w:rsidRPr="006D6EEB" w:rsidRDefault="00F77E8F" w:rsidP="00AA5401">
      <w:pPr>
        <w:spacing w:before="240" w:after="240" w:line="360" w:lineRule="auto"/>
        <w:ind w:right="51"/>
        <w:jc w:val="both"/>
        <w:rPr>
          <w:rFonts w:ascii="Palatino Linotype" w:eastAsia="Palatino Linotype" w:hAnsi="Palatino Linotype" w:cs="Palatino Linotype"/>
          <w:sz w:val="22"/>
          <w:szCs w:val="22"/>
        </w:rPr>
      </w:pPr>
      <w:r w:rsidRPr="006D6EEB">
        <w:rPr>
          <w:rFonts w:ascii="Palatino Linotype" w:eastAsia="Palatino Linotype" w:hAnsi="Palatino Linotype" w:cs="Palatino Linotype"/>
          <w:sz w:val="22"/>
          <w:szCs w:val="22"/>
        </w:rPr>
        <w:t xml:space="preserve">1.- Los grados académicos de los integrantes de cabildo (sindico, regidores y presidente municipal) </w:t>
      </w:r>
    </w:p>
    <w:p w14:paraId="1EE20A7F" w14:textId="1C41ED7E" w:rsidR="00F77E8F" w:rsidRPr="006D6EEB" w:rsidRDefault="00F77E8F" w:rsidP="00AA5401">
      <w:pPr>
        <w:spacing w:before="240" w:after="240" w:line="360" w:lineRule="auto"/>
        <w:ind w:right="51"/>
        <w:jc w:val="both"/>
        <w:rPr>
          <w:rFonts w:ascii="Palatino Linotype" w:eastAsia="Palatino Linotype" w:hAnsi="Palatino Linotype" w:cs="Palatino Linotype"/>
          <w:sz w:val="22"/>
          <w:szCs w:val="22"/>
        </w:rPr>
      </w:pPr>
      <w:r w:rsidRPr="006D6EEB">
        <w:rPr>
          <w:rFonts w:ascii="Palatino Linotype" w:eastAsia="Palatino Linotype" w:hAnsi="Palatino Linotype" w:cs="Palatino Linotype"/>
          <w:sz w:val="22"/>
          <w:szCs w:val="22"/>
        </w:rPr>
        <w:t xml:space="preserve">2.- El documento con que se acredite el grado académico de los mencionados en el punto anterior (titulo, cedula, certificado o constancia, expedida por institución académica), y en caso de que contenga datos sensibles sean textados de acuerdo a la Ley de Protección de Datos Personales en Posesión de Sujetos Obligados del Estado de México y Municipios. </w:t>
      </w:r>
    </w:p>
    <w:p w14:paraId="12FE1D0F" w14:textId="77777777" w:rsidR="00F77E8F" w:rsidRPr="006D6EEB" w:rsidRDefault="00F77E8F" w:rsidP="00AA5401">
      <w:pPr>
        <w:spacing w:before="240" w:after="240" w:line="360" w:lineRule="auto"/>
        <w:ind w:right="51"/>
        <w:jc w:val="both"/>
        <w:rPr>
          <w:rFonts w:ascii="Palatino Linotype" w:eastAsia="Palatino Linotype" w:hAnsi="Palatino Linotype" w:cs="Palatino Linotype"/>
          <w:sz w:val="22"/>
          <w:szCs w:val="22"/>
        </w:rPr>
      </w:pPr>
      <w:r w:rsidRPr="006D6EEB">
        <w:rPr>
          <w:rFonts w:ascii="Palatino Linotype" w:eastAsia="Palatino Linotype" w:hAnsi="Palatino Linotype" w:cs="Palatino Linotype"/>
          <w:sz w:val="22"/>
          <w:szCs w:val="22"/>
        </w:rPr>
        <w:t xml:space="preserve">3.- los horarios a los cuales están sujetos a estar en el palacio municipal de Tepetlixpa para atender los asuntos de su competencia los integrantes del cabildo (sindico, regidores y presidente municipal) </w:t>
      </w:r>
    </w:p>
    <w:p w14:paraId="7F1BAD25" w14:textId="77777777" w:rsidR="00F77E8F" w:rsidRPr="006D6EEB" w:rsidRDefault="00F77E8F" w:rsidP="00AA5401">
      <w:pPr>
        <w:spacing w:before="240" w:after="240" w:line="360" w:lineRule="auto"/>
        <w:ind w:right="51"/>
        <w:jc w:val="both"/>
        <w:rPr>
          <w:rFonts w:ascii="Palatino Linotype" w:eastAsia="Palatino Linotype" w:hAnsi="Palatino Linotype" w:cs="Palatino Linotype"/>
          <w:sz w:val="22"/>
          <w:szCs w:val="22"/>
        </w:rPr>
      </w:pPr>
      <w:r w:rsidRPr="006D6EEB">
        <w:rPr>
          <w:rFonts w:ascii="Palatino Linotype" w:eastAsia="Palatino Linotype" w:hAnsi="Palatino Linotype" w:cs="Palatino Linotype"/>
          <w:sz w:val="22"/>
          <w:szCs w:val="22"/>
        </w:rPr>
        <w:t xml:space="preserve">4.- el número de gestiones de acuerdo a su Comisión realizadas por los regidores del periodo del 01 de enero de 2025 al 30 de junio de 2026. </w:t>
      </w:r>
    </w:p>
    <w:p w14:paraId="14559006" w14:textId="1EEB3A07" w:rsidR="008A6918" w:rsidRPr="006D6EEB" w:rsidRDefault="00F77E8F" w:rsidP="00AA5401">
      <w:pPr>
        <w:spacing w:before="240" w:after="240" w:line="360" w:lineRule="auto"/>
        <w:ind w:right="51"/>
        <w:jc w:val="both"/>
        <w:rPr>
          <w:rFonts w:ascii="Palatino Linotype" w:eastAsia="Palatino Linotype" w:hAnsi="Palatino Linotype" w:cs="Palatino Linotype"/>
          <w:sz w:val="22"/>
          <w:szCs w:val="22"/>
        </w:rPr>
      </w:pPr>
      <w:r w:rsidRPr="006D6EEB">
        <w:rPr>
          <w:rFonts w:ascii="Palatino Linotype" w:eastAsia="Palatino Linotype" w:hAnsi="Palatino Linotype" w:cs="Palatino Linotype"/>
          <w:sz w:val="22"/>
          <w:szCs w:val="22"/>
        </w:rPr>
        <w:t>5.-De acuerdo al artículo 55 fracción IV de la Ley orgánica municipal del Estado de México, se indique en que comisiones les fueron conferidas a los regidores y en cuales han sido los resultados que hayan presentado para beneficio de la poblacion tepetlixpense y en caso de que no hayan emitido algún resultado, informe las causas debidamente fundadas y motivadas.</w:t>
      </w:r>
    </w:p>
    <w:p w14:paraId="74FD2E16" w14:textId="7B0DF4D2" w:rsidR="00F77E8F" w:rsidRPr="006D6EEB" w:rsidRDefault="009875D3" w:rsidP="00AA5401">
      <w:pPr>
        <w:spacing w:before="240" w:after="240" w:line="360" w:lineRule="auto"/>
        <w:ind w:right="51"/>
        <w:jc w:val="both"/>
        <w:rPr>
          <w:rFonts w:ascii="Palatino Linotype" w:eastAsia="Palatino Linotype" w:hAnsi="Palatino Linotype" w:cs="Palatino Linotype"/>
          <w:sz w:val="22"/>
          <w:szCs w:val="22"/>
        </w:rPr>
      </w:pPr>
      <w:r w:rsidRPr="006D6EEB">
        <w:rPr>
          <w:rFonts w:ascii="Palatino Linotype" w:eastAsia="Palatino Linotype" w:hAnsi="Palatino Linotype" w:cs="Palatino Linotype"/>
          <w:sz w:val="22"/>
          <w:szCs w:val="22"/>
        </w:rPr>
        <w:t xml:space="preserve">En respuesta, </w:t>
      </w:r>
      <w:r w:rsidR="00F77E8F" w:rsidRPr="006D6EEB">
        <w:rPr>
          <w:rFonts w:ascii="Palatino Linotype" w:eastAsia="Palatino Linotype" w:hAnsi="Palatino Linotype" w:cs="Palatino Linotype"/>
          <w:sz w:val="22"/>
          <w:szCs w:val="22"/>
        </w:rPr>
        <w:t xml:space="preserve">mediante oficio número </w:t>
      </w:r>
      <w:r w:rsidR="00F77E8F" w:rsidRPr="006D6EEB">
        <w:rPr>
          <w:rFonts w:ascii="Palatino Linotype" w:eastAsia="Palatino Linotype" w:hAnsi="Palatino Linotype" w:cs="Palatino Linotype"/>
          <w:b/>
          <w:bCs/>
          <w:sz w:val="22"/>
          <w:szCs w:val="22"/>
        </w:rPr>
        <w:t>UTAIPTEP/207/2026</w:t>
      </w:r>
      <w:r w:rsidR="00F77E8F" w:rsidRPr="006D6EEB">
        <w:rPr>
          <w:rFonts w:ascii="Palatino Linotype" w:eastAsia="Palatino Linotype" w:hAnsi="Palatino Linotype" w:cs="Palatino Linotype"/>
          <w:sz w:val="22"/>
          <w:szCs w:val="22"/>
        </w:rPr>
        <w:t xml:space="preserve">, de fecha cuatro de agosto de dos mil veintiséis, suscrito por </w:t>
      </w:r>
      <w:r w:rsidR="00F77E8F" w:rsidRPr="006D6EEB">
        <w:rPr>
          <w:rFonts w:ascii="Palatino Linotype" w:eastAsia="Palatino Linotype" w:hAnsi="Palatino Linotype" w:cs="Palatino Linotype"/>
          <w:b/>
          <w:bCs/>
          <w:sz w:val="22"/>
          <w:szCs w:val="22"/>
        </w:rPr>
        <w:t>Lucio Francisco Díaz Castañeda, Titular de la Unidad de Transparencia y Acceso a la Información Pública del Municipio de Tepetlixpa</w:t>
      </w:r>
      <w:r w:rsidR="00F77E8F" w:rsidRPr="006D6EEB">
        <w:rPr>
          <w:rFonts w:ascii="Palatino Linotype" w:eastAsia="Palatino Linotype" w:hAnsi="Palatino Linotype" w:cs="Palatino Linotype"/>
          <w:sz w:val="22"/>
          <w:szCs w:val="22"/>
        </w:rPr>
        <w:t xml:space="preserve">, el Sujeto Obligado señaló, en primer término, que corresponde a la Unidad de Transparencia recibir, tramitar y turnar las solicitudes de acceso a las áreas que pudieran poseer la información, y precisó que las solicitudes de información no constituyen el medio para realizar denuncias o iniciar investigaciones. Respecto de los numerales </w:t>
      </w:r>
      <w:r w:rsidR="00F77E8F" w:rsidRPr="006D6EEB">
        <w:rPr>
          <w:rFonts w:ascii="Palatino Linotype" w:eastAsia="Palatino Linotype" w:hAnsi="Palatino Linotype" w:cs="Palatino Linotype"/>
          <w:b/>
          <w:bCs/>
          <w:sz w:val="22"/>
          <w:szCs w:val="22"/>
        </w:rPr>
        <w:t>1 y 2</w:t>
      </w:r>
      <w:r w:rsidR="00F77E8F" w:rsidRPr="006D6EEB">
        <w:rPr>
          <w:rFonts w:ascii="Palatino Linotype" w:eastAsia="Palatino Linotype" w:hAnsi="Palatino Linotype" w:cs="Palatino Linotype"/>
          <w:sz w:val="22"/>
          <w:szCs w:val="22"/>
        </w:rPr>
        <w:t xml:space="preserve">, relativos a los grados académicos de las personas integrantes del Cabildo y a los documentos que los acrediten, manifestó que, de conformidad con el artículo 119 de la Constitución Política del Estado Libre y Soberano de México, los cargos de elección popular no requieren determinado perfil, título académico o grado de estudios para integrar un Ayuntamiento; asimismo, refirió el artículo 6 de la Ley del Trabajo de los Servidores Públicos del Estado y Municipios para señalar que los integrantes del Cabildo no se encuentran comprendidos en la clasificación de servidores públicos generales y de confianza y que, por consiguiente, no se les requieren los documentos solicitados. Por cuanto hace al numeral </w:t>
      </w:r>
      <w:r w:rsidR="00F77E8F" w:rsidRPr="006D6EEB">
        <w:rPr>
          <w:rFonts w:ascii="Palatino Linotype" w:eastAsia="Palatino Linotype" w:hAnsi="Palatino Linotype" w:cs="Palatino Linotype"/>
          <w:b/>
          <w:bCs/>
          <w:sz w:val="22"/>
          <w:szCs w:val="22"/>
        </w:rPr>
        <w:t>3</w:t>
      </w:r>
      <w:r w:rsidR="00F77E8F" w:rsidRPr="006D6EEB">
        <w:rPr>
          <w:rFonts w:ascii="Palatino Linotype" w:eastAsia="Palatino Linotype" w:hAnsi="Palatino Linotype" w:cs="Palatino Linotype"/>
          <w:sz w:val="22"/>
          <w:szCs w:val="22"/>
        </w:rPr>
        <w:t xml:space="preserve">, indicó que, conforme a los artículos 48, 53 y 55 de la Ley Orgánica Municipal del Estado de México y al Reglamento Interno de Relaciones Laborales de la Administración 2025-2027, los integrantes del Cabildo, al desempeñar cargos de elección popular, </w:t>
      </w:r>
      <w:r w:rsidR="00F77E8F" w:rsidRPr="006D6EEB">
        <w:rPr>
          <w:rFonts w:ascii="Palatino Linotype" w:eastAsia="Palatino Linotype" w:hAnsi="Palatino Linotype" w:cs="Palatino Linotype"/>
          <w:b/>
          <w:bCs/>
          <w:sz w:val="22"/>
          <w:szCs w:val="22"/>
        </w:rPr>
        <w:t>no se encuentran sujetos a un horario laboral</w:t>
      </w:r>
      <w:r w:rsidR="00F77E8F" w:rsidRPr="006D6EEB">
        <w:rPr>
          <w:rFonts w:ascii="Palatino Linotype" w:eastAsia="Palatino Linotype" w:hAnsi="Palatino Linotype" w:cs="Palatino Linotype"/>
          <w:sz w:val="22"/>
          <w:szCs w:val="22"/>
        </w:rPr>
        <w:t xml:space="preserve">. Respecto del numeral </w:t>
      </w:r>
      <w:r w:rsidR="00F77E8F" w:rsidRPr="006D6EEB">
        <w:rPr>
          <w:rFonts w:ascii="Palatino Linotype" w:eastAsia="Palatino Linotype" w:hAnsi="Palatino Linotype" w:cs="Palatino Linotype"/>
          <w:b/>
          <w:bCs/>
          <w:sz w:val="22"/>
          <w:szCs w:val="22"/>
        </w:rPr>
        <w:t>4</w:t>
      </w:r>
      <w:r w:rsidR="00F77E8F" w:rsidRPr="006D6EEB">
        <w:rPr>
          <w:rFonts w:ascii="Palatino Linotype" w:eastAsia="Palatino Linotype" w:hAnsi="Palatino Linotype" w:cs="Palatino Linotype"/>
          <w:sz w:val="22"/>
          <w:szCs w:val="22"/>
        </w:rPr>
        <w:t xml:space="preserve">, manifestó que los artículos 48, 53 y 55 de la Ley Orgánica Municipal no contemplan dentro de las atribuciones de los regidores la realización de “gestiones”. Finalmente, respecto del numeral </w:t>
      </w:r>
      <w:r w:rsidR="00F77E8F" w:rsidRPr="006D6EEB">
        <w:rPr>
          <w:rFonts w:ascii="Palatino Linotype" w:eastAsia="Palatino Linotype" w:hAnsi="Palatino Linotype" w:cs="Palatino Linotype"/>
          <w:b/>
          <w:bCs/>
          <w:sz w:val="22"/>
          <w:szCs w:val="22"/>
        </w:rPr>
        <w:t>5</w:t>
      </w:r>
      <w:r w:rsidR="00F77E8F" w:rsidRPr="006D6EEB">
        <w:rPr>
          <w:rFonts w:ascii="Palatino Linotype" w:eastAsia="Palatino Linotype" w:hAnsi="Palatino Linotype" w:cs="Palatino Linotype"/>
          <w:sz w:val="22"/>
          <w:szCs w:val="22"/>
        </w:rPr>
        <w:t xml:space="preserve">, señaló que las comisiones conferidas a las regidurías se encuentran contenidas en el punto número diez del acta de la </w:t>
      </w:r>
      <w:r w:rsidR="00F77E8F" w:rsidRPr="006D6EEB">
        <w:rPr>
          <w:rFonts w:ascii="Palatino Linotype" w:eastAsia="Palatino Linotype" w:hAnsi="Palatino Linotype" w:cs="Palatino Linotype"/>
          <w:b/>
          <w:bCs/>
          <w:sz w:val="22"/>
          <w:szCs w:val="22"/>
        </w:rPr>
        <w:t>Segunda Sesión Ordinaria de Cabildo</w:t>
      </w:r>
      <w:r w:rsidR="00F77E8F" w:rsidRPr="006D6EEB">
        <w:rPr>
          <w:rFonts w:ascii="Palatino Linotype" w:eastAsia="Palatino Linotype" w:hAnsi="Palatino Linotype" w:cs="Palatino Linotype"/>
          <w:sz w:val="22"/>
          <w:szCs w:val="22"/>
        </w:rPr>
        <w:t>, documento que refirió entregar en formato PDF, y proporcionó dos vínculos electrónicos de IPOMEX en los que, según indicó, pueden consultarse los acuerdos de las sesiones y las actas de Cabildo relativas a los resultados en beneficio de la población</w:t>
      </w:r>
    </w:p>
    <w:p w14:paraId="755BE229" w14:textId="1E381842" w:rsidR="00985D91" w:rsidRPr="006D6EEB" w:rsidRDefault="00F77E8F" w:rsidP="00AA5401">
      <w:pPr>
        <w:spacing w:before="240" w:after="240" w:line="360" w:lineRule="auto"/>
        <w:ind w:right="51"/>
        <w:jc w:val="both"/>
        <w:rPr>
          <w:rFonts w:ascii="Palatino Linotype" w:eastAsia="Palatino Linotype" w:hAnsi="Palatino Linotype" w:cs="Palatino Linotype"/>
          <w:sz w:val="22"/>
          <w:szCs w:val="22"/>
        </w:rPr>
      </w:pPr>
      <w:r w:rsidRPr="006D6EEB">
        <w:rPr>
          <w:rFonts w:ascii="Palatino Linotype" w:eastAsia="Palatino Linotype" w:hAnsi="Palatino Linotype" w:cs="Palatino Linotype"/>
          <w:sz w:val="22"/>
          <w:szCs w:val="22"/>
        </w:rPr>
        <w:t>Inconforme con la respuesta , la persona Recurrente</w:t>
      </w:r>
      <w:r w:rsidR="00985D91" w:rsidRPr="006D6EEB">
        <w:rPr>
          <w:rFonts w:ascii="Palatino Linotype" w:eastAsia="Palatino Linotype" w:hAnsi="Palatino Linotype" w:cs="Palatino Linotype"/>
          <w:sz w:val="22"/>
          <w:szCs w:val="22"/>
        </w:rPr>
        <w:t xml:space="preserve">, en síntesis, manifestó, esencialmente, que el Sujeto Obligado no dio respuesta a lo solicitado respecto de </w:t>
      </w:r>
      <w:r w:rsidR="00985D91" w:rsidRPr="006D6EEB">
        <w:rPr>
          <w:rFonts w:ascii="Palatino Linotype" w:eastAsia="Palatino Linotype" w:hAnsi="Palatino Linotype" w:cs="Palatino Linotype"/>
          <w:b/>
          <w:bCs/>
          <w:sz w:val="22"/>
          <w:szCs w:val="22"/>
        </w:rPr>
        <w:t>los grados académicos del Presidente Municipal, Síndico y Regidores</w:t>
      </w:r>
      <w:r w:rsidR="00985D91" w:rsidRPr="006D6EEB">
        <w:rPr>
          <w:rFonts w:ascii="Palatino Linotype" w:eastAsia="Palatino Linotype" w:hAnsi="Palatino Linotype" w:cs="Palatino Linotype"/>
          <w:sz w:val="22"/>
          <w:szCs w:val="22"/>
        </w:rPr>
        <w:t xml:space="preserve">, pues se limitó a señalar que, conforme al artículo 119 de la Constitución Política del Estado Libre y Soberano de México, para ocupar cargos de elección popular no se requiere determinado perfil, título académico o grado de estudios; argumento que, a su consideración, resulta ajeno a lo peticionado, toda vez que no cuestionó los requisitos para ocupar dichos cargos, sino que solicitó conocer </w:t>
      </w:r>
      <w:r w:rsidR="00985D91" w:rsidRPr="006D6EEB">
        <w:rPr>
          <w:rFonts w:ascii="Palatino Linotype" w:eastAsia="Palatino Linotype" w:hAnsi="Palatino Linotype" w:cs="Palatino Linotype"/>
          <w:b/>
          <w:bCs/>
          <w:sz w:val="22"/>
          <w:szCs w:val="22"/>
        </w:rPr>
        <w:t>qué grado académico tiene cada integrante del Cabildo</w:t>
      </w:r>
      <w:r w:rsidR="00985D91" w:rsidRPr="006D6EEB">
        <w:rPr>
          <w:rFonts w:ascii="Palatino Linotype" w:eastAsia="Palatino Linotype" w:hAnsi="Palatino Linotype" w:cs="Palatino Linotype"/>
          <w:sz w:val="22"/>
          <w:szCs w:val="22"/>
        </w:rPr>
        <w:t xml:space="preserve">. Asimismo, se inconformó con la respuesta otorgada respecto de los </w:t>
      </w:r>
      <w:r w:rsidR="00985D91" w:rsidRPr="006D6EEB">
        <w:rPr>
          <w:rFonts w:ascii="Palatino Linotype" w:eastAsia="Palatino Linotype" w:hAnsi="Palatino Linotype" w:cs="Palatino Linotype"/>
          <w:b/>
          <w:bCs/>
          <w:sz w:val="22"/>
          <w:szCs w:val="22"/>
        </w:rPr>
        <w:t>documentos que acreditaran dicho grado académico</w:t>
      </w:r>
      <w:r w:rsidR="00985D91" w:rsidRPr="006D6EEB">
        <w:rPr>
          <w:rFonts w:ascii="Palatino Linotype" w:eastAsia="Palatino Linotype" w:hAnsi="Palatino Linotype" w:cs="Palatino Linotype"/>
          <w:sz w:val="22"/>
          <w:szCs w:val="22"/>
        </w:rPr>
        <w:t xml:space="preserve">, ya que el Sujeto Obligado sostuvo que, al no ser requisito para ocupar el cargo y no encontrarse los integrantes del Cabildo contemplados en determinada clasificación de servidores públicos, no les son requeridos tales documentos, lo cual el recurrente estimó como una omisión y ocultamiento de información. Finalmente, señaló que uno de los </w:t>
      </w:r>
      <w:r w:rsidR="00985D91" w:rsidRPr="006D6EEB">
        <w:rPr>
          <w:rFonts w:ascii="Palatino Linotype" w:eastAsia="Palatino Linotype" w:hAnsi="Palatino Linotype" w:cs="Palatino Linotype"/>
          <w:b/>
          <w:bCs/>
          <w:sz w:val="22"/>
          <w:szCs w:val="22"/>
        </w:rPr>
        <w:t>vínculos electrónicos proporcionados por el Sujeto Obligado para consultar las actas de Cabildo no permitía acceder a la página</w:t>
      </w:r>
      <w:r w:rsidR="00985D91" w:rsidRPr="006D6EEB">
        <w:rPr>
          <w:rFonts w:ascii="Palatino Linotype" w:eastAsia="Palatino Linotype" w:hAnsi="Palatino Linotype" w:cs="Palatino Linotype"/>
          <w:sz w:val="22"/>
          <w:szCs w:val="22"/>
        </w:rPr>
        <w:t>, por lo que consideró que tampoco se garantizó el acceso efectivo a la información; además, solicitó que se investigara y, en su caso, sancionara al Titular de la Unidad de Transparencia por las posibles omisiones en que hubiera incurrido.</w:t>
      </w:r>
    </w:p>
    <w:p w14:paraId="0090C3EF" w14:textId="6F5A9024" w:rsidR="0097113F" w:rsidRPr="006D6EEB" w:rsidRDefault="009875D3" w:rsidP="00AA5401">
      <w:pPr>
        <w:spacing w:before="240" w:after="240" w:line="360" w:lineRule="auto"/>
        <w:jc w:val="both"/>
        <w:rPr>
          <w:rFonts w:ascii="Palatino Linotype" w:eastAsia="Palatino Linotype" w:hAnsi="Palatino Linotype" w:cs="Palatino Linotype"/>
          <w:sz w:val="22"/>
          <w:szCs w:val="22"/>
        </w:rPr>
      </w:pPr>
      <w:r w:rsidRPr="006D6EEB">
        <w:rPr>
          <w:rFonts w:ascii="Palatino Linotype" w:eastAsia="Palatino Linotype" w:hAnsi="Palatino Linotype" w:cs="Palatino Linotype"/>
          <w:sz w:val="22"/>
          <w:szCs w:val="22"/>
        </w:rPr>
        <w:t>Expuesto lo anterior, resulta pertinente analizar cada uno de los requerimientos solicitados, así como la información proporcionada por el Sujeto Obligado</w:t>
      </w:r>
      <w:r w:rsidR="002F78C1" w:rsidRPr="006D6EEB">
        <w:rPr>
          <w:rFonts w:ascii="Palatino Linotype" w:eastAsia="Palatino Linotype" w:hAnsi="Palatino Linotype" w:cs="Palatino Linotype"/>
          <w:sz w:val="22"/>
          <w:szCs w:val="22"/>
        </w:rPr>
        <w:t>,</w:t>
      </w:r>
      <w:r w:rsidR="003705B4" w:rsidRPr="006D6EEB">
        <w:rPr>
          <w:rFonts w:ascii="Palatino Linotype" w:eastAsia="Palatino Linotype" w:hAnsi="Palatino Linotype" w:cs="Palatino Linotype"/>
          <w:sz w:val="22"/>
          <w:szCs w:val="22"/>
        </w:rPr>
        <w:t xml:space="preserve"> </w:t>
      </w:r>
      <w:r w:rsidR="002F78C1" w:rsidRPr="006D6EEB">
        <w:rPr>
          <w:rFonts w:ascii="Palatino Linotype" w:eastAsia="Palatino Linotype" w:hAnsi="Palatino Linotype" w:cs="Palatino Linotype"/>
          <w:sz w:val="22"/>
          <w:szCs w:val="22"/>
        </w:rPr>
        <w:t>en relación a los agravios hechos valer por la Recurrente</w:t>
      </w:r>
      <w:r w:rsidRPr="006D6EEB">
        <w:rPr>
          <w:rFonts w:ascii="Palatino Linotype" w:eastAsia="Palatino Linotype" w:hAnsi="Palatino Linotype" w:cs="Palatino Linotype"/>
          <w:sz w:val="22"/>
          <w:szCs w:val="22"/>
        </w:rPr>
        <w:t>:</w:t>
      </w:r>
    </w:p>
    <w:p w14:paraId="04FC9C1D" w14:textId="27100550" w:rsidR="002E636B" w:rsidRPr="006D6EEB" w:rsidRDefault="00985D91" w:rsidP="00AA5401">
      <w:pPr>
        <w:spacing w:before="240" w:after="240" w:line="360" w:lineRule="auto"/>
        <w:jc w:val="both"/>
        <w:rPr>
          <w:rFonts w:ascii="Palatino Linotype" w:eastAsia="Palatino Linotype" w:hAnsi="Palatino Linotype" w:cs="Palatino Linotype"/>
          <w:sz w:val="22"/>
          <w:szCs w:val="22"/>
        </w:rPr>
      </w:pPr>
      <w:r w:rsidRPr="006D6EEB">
        <w:rPr>
          <w:rFonts w:ascii="Palatino Linotype" w:eastAsia="Palatino Linotype" w:hAnsi="Palatino Linotype" w:cs="Palatino Linotype"/>
          <w:sz w:val="22"/>
          <w:szCs w:val="22"/>
        </w:rPr>
        <w:t xml:space="preserve">Por principio, </w:t>
      </w:r>
      <w:r w:rsidR="002E636B" w:rsidRPr="006D6EEB">
        <w:rPr>
          <w:rFonts w:ascii="Palatino Linotype" w:eastAsia="Palatino Linotype" w:hAnsi="Palatino Linotype" w:cs="Palatino Linotype"/>
          <w:sz w:val="22"/>
          <w:szCs w:val="22"/>
        </w:rPr>
        <w:t>por lo que respecta a</w:t>
      </w:r>
      <w:r w:rsidR="005F7FEB" w:rsidRPr="006D6EEB">
        <w:rPr>
          <w:rFonts w:ascii="Palatino Linotype" w:eastAsia="Palatino Linotype" w:hAnsi="Palatino Linotype" w:cs="Palatino Linotype"/>
          <w:sz w:val="22"/>
          <w:szCs w:val="22"/>
        </w:rPr>
        <w:t xml:space="preserve"> </w:t>
      </w:r>
      <w:r w:rsidR="002E636B" w:rsidRPr="006D6EEB">
        <w:rPr>
          <w:rFonts w:ascii="Palatino Linotype" w:eastAsia="Palatino Linotype" w:hAnsi="Palatino Linotype" w:cs="Palatino Linotype"/>
          <w:sz w:val="22"/>
          <w:szCs w:val="22"/>
        </w:rPr>
        <w:t>l</w:t>
      </w:r>
      <w:r w:rsidR="005F7FEB" w:rsidRPr="006D6EEB">
        <w:rPr>
          <w:rFonts w:ascii="Palatino Linotype" w:eastAsia="Palatino Linotype" w:hAnsi="Palatino Linotype" w:cs="Palatino Linotype"/>
          <w:sz w:val="22"/>
          <w:szCs w:val="22"/>
        </w:rPr>
        <w:t xml:space="preserve">os </w:t>
      </w:r>
      <w:r w:rsidR="002E636B" w:rsidRPr="006D6EEB">
        <w:rPr>
          <w:rFonts w:ascii="Palatino Linotype" w:eastAsia="Palatino Linotype" w:hAnsi="Palatino Linotype" w:cs="Palatino Linotype"/>
          <w:sz w:val="22"/>
          <w:szCs w:val="22"/>
        </w:rPr>
        <w:t>requerimiento</w:t>
      </w:r>
      <w:r w:rsidR="005F7FEB" w:rsidRPr="006D6EEB">
        <w:rPr>
          <w:rFonts w:ascii="Palatino Linotype" w:eastAsia="Palatino Linotype" w:hAnsi="Palatino Linotype" w:cs="Palatino Linotype"/>
          <w:sz w:val="22"/>
          <w:szCs w:val="22"/>
        </w:rPr>
        <w:t>s</w:t>
      </w:r>
      <w:r w:rsidR="002E636B" w:rsidRPr="006D6EEB">
        <w:rPr>
          <w:rFonts w:ascii="Palatino Linotype" w:eastAsia="Palatino Linotype" w:hAnsi="Palatino Linotype" w:cs="Palatino Linotype"/>
          <w:sz w:val="22"/>
          <w:szCs w:val="22"/>
        </w:rPr>
        <w:t xml:space="preserve"> </w:t>
      </w:r>
      <w:r w:rsidR="002E636B" w:rsidRPr="006D6EEB">
        <w:rPr>
          <w:rFonts w:ascii="Palatino Linotype" w:eastAsia="Palatino Linotype" w:hAnsi="Palatino Linotype" w:cs="Palatino Linotype"/>
          <w:b/>
          <w:bCs/>
          <w:sz w:val="22"/>
          <w:szCs w:val="22"/>
        </w:rPr>
        <w:t>3,</w:t>
      </w:r>
      <w:r w:rsidR="002E636B" w:rsidRPr="006D6EEB">
        <w:rPr>
          <w:rFonts w:ascii="Palatino Linotype" w:eastAsia="Palatino Linotype" w:hAnsi="Palatino Linotype" w:cs="Palatino Linotype"/>
          <w:sz w:val="22"/>
          <w:szCs w:val="22"/>
        </w:rPr>
        <w:t xml:space="preserve"> </w:t>
      </w:r>
      <w:r w:rsidR="002E636B" w:rsidRPr="006D6EEB">
        <w:rPr>
          <w:rFonts w:ascii="Palatino Linotype" w:eastAsia="Palatino Linotype" w:hAnsi="Palatino Linotype" w:cs="Palatino Linotype"/>
          <w:b/>
          <w:bCs/>
          <w:sz w:val="22"/>
          <w:szCs w:val="22"/>
        </w:rPr>
        <w:t>relativo a los horarios a</w:t>
      </w:r>
      <w:r w:rsidR="002E636B" w:rsidRPr="006D6EEB">
        <w:rPr>
          <w:rFonts w:ascii="Palatino Linotype" w:eastAsia="Palatino Linotype" w:hAnsi="Palatino Linotype" w:cs="Palatino Linotype"/>
          <w:sz w:val="22"/>
          <w:szCs w:val="22"/>
        </w:rPr>
        <w:t xml:space="preserve"> los cuales están sujetos a estar en el palacio municipal de Tepetlixpa para atender los asuntos de su competencia los integrantes del cabildo (sindico, regidores y presidente municipal)</w:t>
      </w:r>
      <w:r w:rsidR="005F7FEB" w:rsidRPr="006D6EEB">
        <w:rPr>
          <w:rFonts w:ascii="Palatino Linotype" w:eastAsia="Palatino Linotype" w:hAnsi="Palatino Linotype" w:cs="Palatino Linotype"/>
          <w:sz w:val="22"/>
          <w:szCs w:val="22"/>
        </w:rPr>
        <w:t xml:space="preserve">; </w:t>
      </w:r>
      <w:r w:rsidR="005F7FEB" w:rsidRPr="006D6EEB">
        <w:rPr>
          <w:rFonts w:ascii="Palatino Linotype" w:eastAsia="Palatino Linotype" w:hAnsi="Palatino Linotype" w:cs="Palatino Linotype"/>
          <w:b/>
          <w:bCs/>
          <w:sz w:val="22"/>
          <w:szCs w:val="22"/>
        </w:rPr>
        <w:t xml:space="preserve">4 , esto es: el número de gestiones de acuerdo a su Comisión </w:t>
      </w:r>
      <w:r w:rsidR="005F7FEB" w:rsidRPr="006D6EEB">
        <w:rPr>
          <w:rFonts w:ascii="Palatino Linotype" w:eastAsia="Palatino Linotype" w:hAnsi="Palatino Linotype" w:cs="Palatino Linotype"/>
          <w:sz w:val="22"/>
          <w:szCs w:val="22"/>
        </w:rPr>
        <w:t>realizadas por los regidores del periodo del 01 de enero de 2025 al 30 de junio de 2026;</w:t>
      </w:r>
      <w:r w:rsidR="005F7FEB" w:rsidRPr="006D6EEB">
        <w:rPr>
          <w:rFonts w:ascii="Palatino Linotype" w:eastAsia="Palatino Linotype" w:hAnsi="Palatino Linotype" w:cs="Palatino Linotype"/>
          <w:b/>
          <w:bCs/>
          <w:sz w:val="22"/>
          <w:szCs w:val="22"/>
        </w:rPr>
        <w:t xml:space="preserve"> y 5, en la parte relativa a que se indique las comisiones que les fueron conferidas a los regidores; </w:t>
      </w:r>
      <w:r w:rsidR="002E636B" w:rsidRPr="006D6EEB">
        <w:rPr>
          <w:rFonts w:ascii="Palatino Linotype" w:eastAsia="Palatino Linotype" w:hAnsi="Palatino Linotype" w:cs="Palatino Linotype"/>
          <w:sz w:val="22"/>
          <w:szCs w:val="22"/>
        </w:rPr>
        <w:t xml:space="preserve">es de destacar que de </w:t>
      </w:r>
      <w:r w:rsidR="002E636B" w:rsidRPr="006D6EEB">
        <w:rPr>
          <w:rFonts w:ascii="Palatino Linotype" w:eastAsia="Palatino Linotype" w:hAnsi="Palatino Linotype" w:cs="Palatino Linotype"/>
          <w:b/>
          <w:bCs/>
          <w:sz w:val="22"/>
          <w:szCs w:val="22"/>
        </w:rPr>
        <w:t>las razones de inconformidad hechas valer por la persona Recurrente no se advierte que haya formulado agravio alguno</w:t>
      </w:r>
      <w:r w:rsidR="001222EF" w:rsidRPr="006D6EEB">
        <w:rPr>
          <w:rFonts w:ascii="Palatino Linotype" w:eastAsia="Palatino Linotype" w:hAnsi="Palatino Linotype" w:cs="Palatino Linotype"/>
          <w:b/>
          <w:bCs/>
          <w:sz w:val="22"/>
          <w:szCs w:val="22"/>
        </w:rPr>
        <w:t xml:space="preserve"> </w:t>
      </w:r>
      <w:r w:rsidR="005F7FEB" w:rsidRPr="006D6EEB">
        <w:rPr>
          <w:rFonts w:ascii="Palatino Linotype" w:eastAsia="Palatino Linotype" w:hAnsi="Palatino Linotype" w:cs="Palatino Linotype"/>
          <w:b/>
          <w:bCs/>
          <w:sz w:val="22"/>
          <w:szCs w:val="22"/>
        </w:rPr>
        <w:t>sobre dichos puntos</w:t>
      </w:r>
      <w:r w:rsidR="001222EF" w:rsidRPr="006D6EEB">
        <w:rPr>
          <w:rFonts w:ascii="Palatino Linotype" w:eastAsia="Palatino Linotype" w:hAnsi="Palatino Linotype" w:cs="Palatino Linotype"/>
          <w:b/>
          <w:bCs/>
          <w:sz w:val="22"/>
          <w:szCs w:val="22"/>
        </w:rPr>
        <w:t xml:space="preserve">, </w:t>
      </w:r>
      <w:r w:rsidR="002E636B" w:rsidRPr="006D6EEB">
        <w:rPr>
          <w:rFonts w:ascii="Palatino Linotype" w:eastAsia="Palatino Linotype" w:hAnsi="Palatino Linotype" w:cs="Palatino Linotype"/>
          <w:sz w:val="22"/>
          <w:szCs w:val="22"/>
        </w:rPr>
        <w:t>por lo que se colige que</w:t>
      </w:r>
      <w:r w:rsidR="001222EF" w:rsidRPr="006D6EEB">
        <w:rPr>
          <w:rFonts w:ascii="Palatino Linotype" w:eastAsia="Palatino Linotype" w:hAnsi="Palatino Linotype" w:cs="Palatino Linotype"/>
          <w:sz w:val="22"/>
          <w:szCs w:val="22"/>
        </w:rPr>
        <w:t xml:space="preserve"> tales aspectos que no </w:t>
      </w:r>
      <w:r w:rsidR="002E636B" w:rsidRPr="006D6EEB">
        <w:rPr>
          <w:rFonts w:ascii="Palatino Linotype" w:eastAsia="Palatino Linotype" w:hAnsi="Palatino Linotype" w:cs="Palatino Linotype"/>
          <w:sz w:val="22"/>
          <w:szCs w:val="22"/>
        </w:rPr>
        <w:t>fue</w:t>
      </w:r>
      <w:r w:rsidR="001222EF" w:rsidRPr="006D6EEB">
        <w:rPr>
          <w:rFonts w:ascii="Palatino Linotype" w:eastAsia="Palatino Linotype" w:hAnsi="Palatino Linotype" w:cs="Palatino Linotype"/>
          <w:sz w:val="22"/>
          <w:szCs w:val="22"/>
        </w:rPr>
        <w:t>ros</w:t>
      </w:r>
      <w:r w:rsidR="002E636B" w:rsidRPr="006D6EEB">
        <w:rPr>
          <w:rFonts w:ascii="Palatino Linotype" w:eastAsia="Palatino Linotype" w:hAnsi="Palatino Linotype" w:cs="Palatino Linotype"/>
          <w:sz w:val="22"/>
          <w:szCs w:val="22"/>
        </w:rPr>
        <w:t xml:space="preserve"> impugnad</w:t>
      </w:r>
      <w:r w:rsidR="001222EF" w:rsidRPr="006D6EEB">
        <w:rPr>
          <w:rFonts w:ascii="Palatino Linotype" w:eastAsia="Palatino Linotype" w:hAnsi="Palatino Linotype" w:cs="Palatino Linotype"/>
          <w:sz w:val="22"/>
          <w:szCs w:val="22"/>
        </w:rPr>
        <w:t>os</w:t>
      </w:r>
      <w:r w:rsidR="002E636B" w:rsidRPr="006D6EEB">
        <w:rPr>
          <w:rFonts w:ascii="Palatino Linotype" w:eastAsia="Palatino Linotype" w:hAnsi="Palatino Linotype" w:cs="Palatino Linotype"/>
          <w:sz w:val="22"/>
          <w:szCs w:val="22"/>
        </w:rPr>
        <w:t xml:space="preserve"> debe</w:t>
      </w:r>
      <w:r w:rsidR="001222EF" w:rsidRPr="006D6EEB">
        <w:rPr>
          <w:rFonts w:ascii="Palatino Linotype" w:eastAsia="Palatino Linotype" w:hAnsi="Palatino Linotype" w:cs="Palatino Linotype"/>
          <w:sz w:val="22"/>
          <w:szCs w:val="22"/>
        </w:rPr>
        <w:t>n</w:t>
      </w:r>
      <w:r w:rsidR="002E636B" w:rsidRPr="006D6EEB">
        <w:rPr>
          <w:rFonts w:ascii="Palatino Linotype" w:eastAsia="Palatino Linotype" w:hAnsi="Palatino Linotype" w:cs="Palatino Linotype"/>
          <w:sz w:val="22"/>
          <w:szCs w:val="22"/>
        </w:rPr>
        <w:t xml:space="preserve"> declararse consentid</w:t>
      </w:r>
      <w:r w:rsidR="001222EF" w:rsidRPr="006D6EEB">
        <w:rPr>
          <w:rFonts w:ascii="Palatino Linotype" w:eastAsia="Palatino Linotype" w:hAnsi="Palatino Linotype" w:cs="Palatino Linotype"/>
          <w:sz w:val="22"/>
          <w:szCs w:val="22"/>
        </w:rPr>
        <w:t xml:space="preserve">os. </w:t>
      </w:r>
    </w:p>
    <w:p w14:paraId="69FDB11E" w14:textId="7984F888" w:rsidR="002E636B" w:rsidRPr="006D6EEB" w:rsidRDefault="002F78C1" w:rsidP="00AA5401">
      <w:pPr>
        <w:spacing w:before="240" w:after="240" w:line="360" w:lineRule="auto"/>
        <w:jc w:val="both"/>
        <w:rPr>
          <w:rFonts w:ascii="Palatino Linotype" w:eastAsia="Palatino Linotype" w:hAnsi="Palatino Linotype" w:cs="Palatino Linotype"/>
          <w:sz w:val="22"/>
          <w:szCs w:val="22"/>
        </w:rPr>
      </w:pPr>
      <w:r w:rsidRPr="006D6EEB">
        <w:rPr>
          <w:rFonts w:ascii="Palatino Linotype" w:eastAsia="Palatino Linotype" w:hAnsi="Palatino Linotype" w:cs="Palatino Linotype"/>
          <w:sz w:val="22"/>
          <w:szCs w:val="22"/>
        </w:rPr>
        <w:t>L</w:t>
      </w:r>
      <w:r w:rsidR="002E636B" w:rsidRPr="006D6EEB">
        <w:rPr>
          <w:rFonts w:ascii="Palatino Linotype" w:eastAsia="Palatino Linotype" w:hAnsi="Palatino Linotype" w:cs="Palatino Linotype"/>
          <w:sz w:val="22"/>
          <w:szCs w:val="22"/>
        </w:rPr>
        <w:t>o anterior es así, debido a que cuando la parte Recurrente impugna la respuesta del Sujeto Obligado, y este no expresa Razón o Motivo de Inconformidad en contra de todos los rubros solicitados, dichos rubros deben declararse atendidos, pues se entiende que la parte Recurrente ésta conforme con la información entregada al no contravenir la misma. Sirve de Apoyo a lo anterior, por analogía la Tesis Jurisprudencial Número 3ª./J.7/91, Publicada en el Semanario Judicial de la Federación y su Gaceta bajo el número de registro 174,177, que establece lo siguiente:</w:t>
      </w:r>
    </w:p>
    <w:p w14:paraId="16D3304B" w14:textId="77777777" w:rsidR="002E636B" w:rsidRPr="006D6EEB" w:rsidRDefault="002E636B" w:rsidP="00AA5401">
      <w:pPr>
        <w:spacing w:before="240" w:after="240" w:line="360" w:lineRule="auto"/>
        <w:ind w:left="567" w:right="616"/>
        <w:jc w:val="both"/>
        <w:rPr>
          <w:rFonts w:ascii="Palatino Linotype" w:eastAsia="Palatino Linotype" w:hAnsi="Palatino Linotype" w:cs="Palatino Linotype"/>
          <w:i/>
          <w:iCs/>
          <w:sz w:val="22"/>
          <w:szCs w:val="22"/>
        </w:rPr>
      </w:pPr>
      <w:r w:rsidRPr="006D6EEB">
        <w:rPr>
          <w:rFonts w:ascii="Palatino Linotype" w:eastAsia="Palatino Linotype" w:hAnsi="Palatino Linotype" w:cs="Palatino Linotype"/>
          <w:b/>
          <w:bCs/>
          <w:i/>
          <w:iCs/>
          <w:sz w:val="22"/>
          <w:szCs w:val="22"/>
        </w:rPr>
        <w:t xml:space="preserve">“REVISIÓN EN AMPARO. LOS RESOLUTIVOS NO COMBATIDOS DEBEN DECLARARSE FIRMES. </w:t>
      </w:r>
      <w:r w:rsidRPr="006D6EEB">
        <w:rPr>
          <w:rFonts w:ascii="Palatino Linotype" w:eastAsia="Palatino Linotype" w:hAnsi="Palatino Linotype" w:cs="Palatino Linotype"/>
          <w:i/>
          <w:iCs/>
          <w:sz w:val="22"/>
          <w:szCs w:val="22"/>
        </w:rPr>
        <w:t>Cuando algún resolutivo de la sentencia impugnada afecta a la recurrente, y ésta no expresa agravio en contra de las consideraciones que le sirven de base, dicho resolutivo debe declararse firme. Esto es, en el caso referido, no obstante que la materia de la revisión comprende a todos los resolutivos que afectan a la recurrente, deben declararse firmes aquéllos en contra de los cuales no se formuló agravio y dicha declaración de firmeza debe reflejarse en la parte considerativa y en los resolutivos debe confirmarse la sentencia recurrida en la parte correspondiente.</w:t>
      </w:r>
    </w:p>
    <w:p w14:paraId="25935834" w14:textId="77777777" w:rsidR="002E636B" w:rsidRPr="006D6EEB" w:rsidRDefault="002E636B" w:rsidP="00AA5401">
      <w:pPr>
        <w:spacing w:before="240" w:after="240" w:line="360" w:lineRule="auto"/>
        <w:jc w:val="both"/>
        <w:rPr>
          <w:rFonts w:ascii="Palatino Linotype" w:eastAsia="Palatino Linotype" w:hAnsi="Palatino Linotype" w:cs="Palatino Linotype"/>
          <w:sz w:val="22"/>
          <w:szCs w:val="22"/>
        </w:rPr>
      </w:pPr>
      <w:r w:rsidRPr="006D6EEB">
        <w:rPr>
          <w:rFonts w:ascii="Palatino Linotype" w:eastAsia="Palatino Linotype" w:hAnsi="Palatino Linotype" w:cs="Palatino Linotype"/>
          <w:sz w:val="22"/>
          <w:szCs w:val="22"/>
        </w:rPr>
        <w:t>Consecuentemente, se insiste, ante la falta de impugnación eficaz, la respuesta entregada debe declararse consentida por persona solicitante.</w:t>
      </w:r>
    </w:p>
    <w:p w14:paraId="6D366253" w14:textId="77777777" w:rsidR="002E636B" w:rsidRPr="006D6EEB" w:rsidRDefault="002E636B" w:rsidP="00AA5401">
      <w:pPr>
        <w:spacing w:before="240" w:after="240" w:line="360" w:lineRule="auto"/>
        <w:jc w:val="both"/>
        <w:rPr>
          <w:rFonts w:ascii="Palatino Linotype" w:eastAsia="Palatino Linotype" w:hAnsi="Palatino Linotype" w:cs="Palatino Linotype"/>
          <w:sz w:val="22"/>
          <w:szCs w:val="22"/>
        </w:rPr>
      </w:pPr>
      <w:r w:rsidRPr="006D6EEB">
        <w:rPr>
          <w:rFonts w:ascii="Palatino Linotype" w:eastAsia="Palatino Linotype" w:hAnsi="Palatino Linotype" w:cs="Palatino Linotype"/>
          <w:sz w:val="22"/>
          <w:szCs w:val="22"/>
        </w:rPr>
        <w:t xml:space="preserve">Lo anterior se sustenta con lo plasmado en el criterio orientador 01/20 emitido por el entonces Instituto Nacional de Transparencia, Acceso a la Información, y Protección de Datos Personales, INAI, que lleva por rubro y texto los siguientes: </w:t>
      </w:r>
    </w:p>
    <w:p w14:paraId="3E8670E9" w14:textId="77777777" w:rsidR="002E636B" w:rsidRPr="006D6EEB" w:rsidRDefault="002E636B" w:rsidP="00AA5401">
      <w:pPr>
        <w:pBdr>
          <w:top w:val="nil"/>
          <w:left w:val="nil"/>
          <w:bottom w:val="nil"/>
          <w:right w:val="nil"/>
          <w:between w:val="nil"/>
        </w:pBdr>
        <w:spacing w:before="240" w:after="240" w:line="360" w:lineRule="auto"/>
        <w:ind w:left="567" w:right="902"/>
        <w:jc w:val="both"/>
        <w:rPr>
          <w:rFonts w:ascii="Palatino Linotype" w:eastAsia="Palatino Linotype" w:hAnsi="Palatino Linotype" w:cs="Palatino Linotype"/>
          <w:i/>
          <w:iCs/>
          <w:color w:val="000000"/>
          <w:sz w:val="22"/>
          <w:szCs w:val="22"/>
        </w:rPr>
      </w:pPr>
      <w:r w:rsidRPr="006D6EEB">
        <w:rPr>
          <w:rFonts w:ascii="Palatino Linotype" w:eastAsia="Palatino Linotype" w:hAnsi="Palatino Linotype" w:cs="Palatino Linotype"/>
          <w:i/>
          <w:iCs/>
          <w:color w:val="000000"/>
          <w:sz w:val="22"/>
          <w:szCs w:val="22"/>
        </w:rPr>
        <w:t>“</w:t>
      </w:r>
      <w:r w:rsidRPr="006D6EEB">
        <w:rPr>
          <w:rFonts w:ascii="Palatino Linotype" w:eastAsia="Palatino Linotype" w:hAnsi="Palatino Linotype" w:cs="Palatino Linotype"/>
          <w:b/>
          <w:bCs/>
          <w:i/>
          <w:iCs/>
          <w:color w:val="000000"/>
          <w:sz w:val="22"/>
          <w:szCs w:val="22"/>
        </w:rPr>
        <w:t xml:space="preserve">Actos consentidos tácitamente. Improcedencia de su análisis. </w:t>
      </w:r>
      <w:r w:rsidRPr="006D6EEB">
        <w:rPr>
          <w:rFonts w:ascii="Palatino Linotype" w:eastAsia="Palatino Linotype" w:hAnsi="Palatino Linotype" w:cs="Palatino Linotype"/>
          <w:i/>
          <w:iCs/>
          <w:color w:val="000000"/>
          <w:sz w:val="22"/>
          <w:szCs w:val="22"/>
        </w:rPr>
        <w:t>Si en su recurso de revisión, la persona recurrente no expresó inconformidad alguna con ciertas partes de la respuesta otorgada, se entienden tácitamente consentidas, por ende, no deben formar parte del estudio de fondo de la resolución que emite el Instituto.”</w:t>
      </w:r>
    </w:p>
    <w:p w14:paraId="7BB2A080" w14:textId="77777777" w:rsidR="002E636B" w:rsidRPr="006D6EEB" w:rsidRDefault="002E636B" w:rsidP="00AA5401">
      <w:pPr>
        <w:spacing w:before="240" w:after="240" w:line="360" w:lineRule="auto"/>
        <w:jc w:val="both"/>
        <w:rPr>
          <w:rFonts w:ascii="Palatino Linotype" w:eastAsia="Palatino Linotype" w:hAnsi="Palatino Linotype" w:cs="Palatino Linotype"/>
          <w:sz w:val="22"/>
          <w:szCs w:val="22"/>
        </w:rPr>
      </w:pPr>
      <w:r w:rsidRPr="006D6EEB">
        <w:rPr>
          <w:rFonts w:ascii="Palatino Linotype" w:eastAsia="Palatino Linotype" w:hAnsi="Palatino Linotype" w:cs="Palatino Linotype"/>
          <w:sz w:val="22"/>
          <w:szCs w:val="22"/>
        </w:rPr>
        <w:t>Asimismo, resulta aplicable por analogía la tesis jurisprudencial número VI.3o.C. J/60, publicada en el Semanario Judicial de la Federación y su Gaceta bajo el número de registro 176,608 que a la letra dice:</w:t>
      </w:r>
    </w:p>
    <w:p w14:paraId="192F220B" w14:textId="77777777" w:rsidR="002E636B" w:rsidRPr="006D6EEB" w:rsidRDefault="002E636B" w:rsidP="00AA5401">
      <w:pPr>
        <w:tabs>
          <w:tab w:val="left" w:pos="851"/>
          <w:tab w:val="left" w:pos="1276"/>
        </w:tabs>
        <w:spacing w:before="240" w:after="240" w:line="360" w:lineRule="auto"/>
        <w:ind w:left="567" w:right="709"/>
        <w:jc w:val="both"/>
        <w:rPr>
          <w:rFonts w:ascii="Palatino Linotype" w:eastAsia="Palatino Linotype" w:hAnsi="Palatino Linotype" w:cs="Palatino Linotype"/>
          <w:sz w:val="22"/>
          <w:szCs w:val="22"/>
        </w:rPr>
      </w:pPr>
      <w:r w:rsidRPr="006D6EEB">
        <w:rPr>
          <w:rFonts w:ascii="Palatino Linotype" w:eastAsia="Palatino Linotype" w:hAnsi="Palatino Linotype" w:cs="Palatino Linotype"/>
          <w:b/>
          <w:bCs/>
          <w:i/>
          <w:iCs/>
          <w:smallCaps/>
          <w:sz w:val="22"/>
          <w:szCs w:val="22"/>
        </w:rPr>
        <w:t xml:space="preserve">“ACTOS CONSENTIDOS. SON LOS QUE NO SE IMPUGNAN MEDIANTE EL RECURSO IDÓNEO. </w:t>
      </w:r>
      <w:r w:rsidRPr="006D6EEB">
        <w:rPr>
          <w:rFonts w:ascii="Palatino Linotype" w:eastAsia="Palatino Linotype" w:hAnsi="Palatino Linotype" w:cs="Palatino Linotype"/>
          <w:i/>
          <w:iCs/>
          <w:sz w:val="22"/>
          <w:szCs w:val="22"/>
        </w:rPr>
        <w:t>Debe reputarse como consentido el acto que no se impugnó por el medio establecido por la ley, ya que si se hizo uso de otro no previsto por ella o si se hace una simple manifestación de inconformidad, tales actuaciones no producen efectos jurídicos tendientes a revocar, confirmar o modificar el acto reclamado en amparo, lo que significa consentimiento del mismo por falta de impugnación eficaz.”</w:t>
      </w:r>
    </w:p>
    <w:p w14:paraId="50987CE7" w14:textId="3D96B588" w:rsidR="002E636B" w:rsidRPr="006D6EEB" w:rsidRDefault="002E636B" w:rsidP="00AA5401">
      <w:pPr>
        <w:spacing w:before="240" w:after="240" w:line="360" w:lineRule="auto"/>
        <w:ind w:right="49"/>
        <w:jc w:val="both"/>
        <w:rPr>
          <w:rFonts w:ascii="Palatino Linotype" w:eastAsia="Palatino Linotype" w:hAnsi="Palatino Linotype" w:cs="Palatino Linotype"/>
          <w:sz w:val="22"/>
          <w:szCs w:val="22"/>
        </w:rPr>
      </w:pPr>
      <w:r w:rsidRPr="006D6EEB">
        <w:rPr>
          <w:rFonts w:ascii="Palatino Linotype" w:eastAsia="Palatino Linotype" w:hAnsi="Palatino Linotype" w:cs="Palatino Linotype"/>
          <w:sz w:val="22"/>
          <w:szCs w:val="22"/>
        </w:rPr>
        <w:t>Dicho lo anterior, la información de la que resulta procedente pronunciarse es respecto de los requerimientos de información 1, 2, 4 y 5.</w:t>
      </w:r>
    </w:p>
    <w:p w14:paraId="48EE3FDA" w14:textId="2B806D0B" w:rsidR="00B811E9" w:rsidRPr="006D6EEB" w:rsidRDefault="002E636B" w:rsidP="00AA5401">
      <w:pPr>
        <w:spacing w:before="240" w:after="240" w:line="360" w:lineRule="auto"/>
        <w:jc w:val="both"/>
        <w:rPr>
          <w:rFonts w:ascii="Palatino Linotype" w:eastAsia="Palatino Linotype" w:hAnsi="Palatino Linotype" w:cs="Palatino Linotype"/>
          <w:sz w:val="22"/>
          <w:szCs w:val="22"/>
        </w:rPr>
      </w:pPr>
      <w:r w:rsidRPr="006D6EEB">
        <w:rPr>
          <w:rFonts w:ascii="Palatino Linotype" w:eastAsia="Palatino Linotype" w:hAnsi="Palatino Linotype" w:cs="Palatino Linotype"/>
          <w:sz w:val="22"/>
          <w:szCs w:val="22"/>
        </w:rPr>
        <w:t xml:space="preserve">Así pues, </w:t>
      </w:r>
      <w:r w:rsidR="00985D91" w:rsidRPr="006D6EEB">
        <w:rPr>
          <w:rFonts w:ascii="Palatino Linotype" w:eastAsia="Palatino Linotype" w:hAnsi="Palatino Linotype" w:cs="Palatino Linotype"/>
          <w:sz w:val="22"/>
          <w:szCs w:val="22"/>
        </w:rPr>
        <w:t xml:space="preserve">por lo que se refiere a la solicitud </w:t>
      </w:r>
      <w:r w:rsidR="00B811E9" w:rsidRPr="006D6EEB">
        <w:rPr>
          <w:rFonts w:ascii="Palatino Linotype" w:eastAsia="Palatino Linotype" w:hAnsi="Palatino Linotype" w:cs="Palatino Linotype"/>
          <w:sz w:val="22"/>
          <w:szCs w:val="22"/>
        </w:rPr>
        <w:t xml:space="preserve">del particular consistente en que la solicitud debía ser atendida </w:t>
      </w:r>
      <w:r w:rsidR="00B811E9" w:rsidRPr="006D6EEB">
        <w:rPr>
          <w:rFonts w:ascii="Palatino Linotype" w:eastAsia="Palatino Linotype" w:hAnsi="Palatino Linotype" w:cs="Palatino Linotype"/>
          <w:b/>
          <w:bCs/>
          <w:sz w:val="22"/>
          <w:szCs w:val="22"/>
        </w:rPr>
        <w:t>de manera personal por el Presidente Municipal y no por diversa persona servidora pública o mediante turno a otra área</w:t>
      </w:r>
      <w:r w:rsidR="00B811E9" w:rsidRPr="006D6EEB">
        <w:rPr>
          <w:rFonts w:ascii="Palatino Linotype" w:eastAsia="Palatino Linotype" w:hAnsi="Palatino Linotype" w:cs="Palatino Linotype"/>
          <w:sz w:val="22"/>
          <w:szCs w:val="22"/>
        </w:rPr>
        <w:t>, y en caso que sea turnado a otra área se inicie la investigación por la omisión al titular de la Unidad de Transparencia y acceso a la información pública de Tepetlixpa, debe precisarse que tal pretensión no encuentra sustento en la normativa que rige el ejercicio del derecho de acceso a la información pública.</w:t>
      </w:r>
    </w:p>
    <w:p w14:paraId="77146A47" w14:textId="77777777" w:rsidR="00B811E9" w:rsidRPr="006D6EEB" w:rsidRDefault="00B811E9" w:rsidP="00AA5401">
      <w:pPr>
        <w:spacing w:before="240" w:after="240" w:line="360" w:lineRule="auto"/>
        <w:jc w:val="both"/>
        <w:rPr>
          <w:rFonts w:ascii="Palatino Linotype" w:eastAsia="Palatino Linotype" w:hAnsi="Palatino Linotype" w:cs="Palatino Linotype"/>
          <w:sz w:val="22"/>
          <w:szCs w:val="22"/>
        </w:rPr>
      </w:pPr>
      <w:r w:rsidRPr="006D6EEB">
        <w:rPr>
          <w:rFonts w:ascii="Palatino Linotype" w:eastAsia="Palatino Linotype" w:hAnsi="Palatino Linotype" w:cs="Palatino Linotype"/>
          <w:sz w:val="22"/>
          <w:szCs w:val="22"/>
        </w:rPr>
        <w:t xml:space="preserve">En efecto, el artículo </w:t>
      </w:r>
      <w:r w:rsidRPr="006D6EEB">
        <w:rPr>
          <w:rFonts w:ascii="Palatino Linotype" w:eastAsia="Palatino Linotype" w:hAnsi="Palatino Linotype" w:cs="Palatino Linotype"/>
          <w:b/>
          <w:bCs/>
          <w:sz w:val="22"/>
          <w:szCs w:val="22"/>
        </w:rPr>
        <w:t>23 de la Ley de Transparencia y Acceso a la Información Pública del Estado de México y Municipios</w:t>
      </w:r>
      <w:r w:rsidRPr="006D6EEB">
        <w:rPr>
          <w:rFonts w:ascii="Palatino Linotype" w:eastAsia="Palatino Linotype" w:hAnsi="Palatino Linotype" w:cs="Palatino Linotype"/>
          <w:sz w:val="22"/>
          <w:szCs w:val="22"/>
        </w:rPr>
        <w:t xml:space="preserve"> establece quiénes tienen el carácter de sujetos obligados y, en su fracción IV, dispone expresamente que se encuentran comprendidos en dicha calidad </w:t>
      </w:r>
      <w:r w:rsidRPr="006D6EEB">
        <w:rPr>
          <w:rFonts w:ascii="Palatino Linotype" w:eastAsia="Palatino Linotype" w:hAnsi="Palatino Linotype" w:cs="Palatino Linotype"/>
          <w:b/>
          <w:bCs/>
          <w:sz w:val="22"/>
          <w:szCs w:val="22"/>
        </w:rPr>
        <w:t>“los ayuntamientos y las dependencias, organismos, órganos y entidades de la administración municipal”</w:t>
      </w:r>
      <w:r w:rsidRPr="006D6EEB">
        <w:rPr>
          <w:rFonts w:ascii="Palatino Linotype" w:eastAsia="Palatino Linotype" w:hAnsi="Palatino Linotype" w:cs="Palatino Linotype"/>
          <w:sz w:val="22"/>
          <w:szCs w:val="22"/>
        </w:rPr>
        <w:t xml:space="preserve">. De ello se desprende que, tratándose del ámbito municipal, la solicitud de acceso se formula frente al </w:t>
      </w:r>
      <w:r w:rsidRPr="006D6EEB">
        <w:rPr>
          <w:rFonts w:ascii="Palatino Linotype" w:eastAsia="Palatino Linotype" w:hAnsi="Palatino Linotype" w:cs="Palatino Linotype"/>
          <w:b/>
          <w:bCs/>
          <w:sz w:val="22"/>
          <w:szCs w:val="22"/>
        </w:rPr>
        <w:t>Sujeto Obligado</w:t>
      </w:r>
      <w:r w:rsidRPr="006D6EEB">
        <w:rPr>
          <w:rFonts w:ascii="Palatino Linotype" w:eastAsia="Palatino Linotype" w:hAnsi="Palatino Linotype" w:cs="Palatino Linotype"/>
          <w:sz w:val="22"/>
          <w:szCs w:val="22"/>
        </w:rPr>
        <w:t xml:space="preserve">, en este caso el Ayuntamiento de Tepetlixpa, y no frente a una persona servidora pública determinada en lo individual, con independencia de que la información requerida pueda encontrarse vinculada con las atribuciones, actividades o documentos generados por ésta. </w:t>
      </w:r>
    </w:p>
    <w:p w14:paraId="653E2F0F" w14:textId="77777777" w:rsidR="00B811E9" w:rsidRPr="006D6EEB" w:rsidRDefault="00B811E9" w:rsidP="00AA5401">
      <w:pPr>
        <w:spacing w:before="240" w:after="240" w:line="360" w:lineRule="auto"/>
        <w:jc w:val="both"/>
        <w:rPr>
          <w:rFonts w:ascii="Palatino Linotype" w:eastAsia="Palatino Linotype" w:hAnsi="Palatino Linotype" w:cs="Palatino Linotype"/>
          <w:sz w:val="22"/>
          <w:szCs w:val="22"/>
        </w:rPr>
      </w:pPr>
      <w:r w:rsidRPr="006D6EEB">
        <w:rPr>
          <w:rFonts w:ascii="Palatino Linotype" w:eastAsia="Palatino Linotype" w:hAnsi="Palatino Linotype" w:cs="Palatino Linotype"/>
          <w:sz w:val="22"/>
          <w:szCs w:val="22"/>
        </w:rPr>
        <w:t xml:space="preserve">En ese sentido, si bien las personas solicitantes pueden identificar en sus requerimientos a las personas servidoras públicas, cargos o áreas respecto de las cuales desean obtener información, ello </w:t>
      </w:r>
      <w:r w:rsidRPr="006D6EEB">
        <w:rPr>
          <w:rFonts w:ascii="Palatino Linotype" w:eastAsia="Palatino Linotype" w:hAnsi="Palatino Linotype" w:cs="Palatino Linotype"/>
          <w:b/>
          <w:bCs/>
          <w:sz w:val="22"/>
          <w:szCs w:val="22"/>
        </w:rPr>
        <w:t>no implica que puedan imponer que determinada persona servidora pública sea quien personalmente emita o suscriba la respuesta</w:t>
      </w:r>
      <w:r w:rsidRPr="006D6EEB">
        <w:rPr>
          <w:rFonts w:ascii="Palatino Linotype" w:eastAsia="Palatino Linotype" w:hAnsi="Palatino Linotype" w:cs="Palatino Linotype"/>
          <w:sz w:val="22"/>
          <w:szCs w:val="22"/>
        </w:rPr>
        <w:t>, pues la Ley establece un mecanismo institucional específico para la recepción, trámite y atención de las solicitudes.</w:t>
      </w:r>
    </w:p>
    <w:p w14:paraId="1DA049AA" w14:textId="77777777" w:rsidR="00B811E9" w:rsidRPr="006D6EEB" w:rsidRDefault="00B811E9" w:rsidP="00AA5401">
      <w:pPr>
        <w:spacing w:before="240" w:after="240" w:line="360" w:lineRule="auto"/>
        <w:jc w:val="both"/>
        <w:rPr>
          <w:rFonts w:ascii="Palatino Linotype" w:eastAsia="Palatino Linotype" w:hAnsi="Palatino Linotype" w:cs="Palatino Linotype"/>
          <w:sz w:val="22"/>
          <w:szCs w:val="22"/>
        </w:rPr>
      </w:pPr>
      <w:r w:rsidRPr="006D6EEB">
        <w:rPr>
          <w:rFonts w:ascii="Palatino Linotype" w:eastAsia="Palatino Linotype" w:hAnsi="Palatino Linotype" w:cs="Palatino Linotype"/>
          <w:sz w:val="22"/>
          <w:szCs w:val="22"/>
        </w:rPr>
        <w:t xml:space="preserve">Así, el artículo </w:t>
      </w:r>
      <w:r w:rsidRPr="006D6EEB">
        <w:rPr>
          <w:rFonts w:ascii="Palatino Linotype" w:eastAsia="Palatino Linotype" w:hAnsi="Palatino Linotype" w:cs="Palatino Linotype"/>
          <w:b/>
          <w:bCs/>
          <w:sz w:val="22"/>
          <w:szCs w:val="22"/>
        </w:rPr>
        <w:t>50</w:t>
      </w:r>
      <w:r w:rsidRPr="006D6EEB">
        <w:rPr>
          <w:rFonts w:ascii="Palatino Linotype" w:eastAsia="Palatino Linotype" w:hAnsi="Palatino Linotype" w:cs="Palatino Linotype"/>
          <w:sz w:val="22"/>
          <w:szCs w:val="22"/>
        </w:rPr>
        <w:t xml:space="preserve"> de la Ley de la materia dispone que los sujetos obligados deberán contar con un área responsable para la atención de las solicitudes de información, denominada </w:t>
      </w:r>
      <w:r w:rsidRPr="006D6EEB">
        <w:rPr>
          <w:rFonts w:ascii="Palatino Linotype" w:eastAsia="Palatino Linotype" w:hAnsi="Palatino Linotype" w:cs="Palatino Linotype"/>
          <w:b/>
          <w:bCs/>
          <w:sz w:val="22"/>
          <w:szCs w:val="22"/>
        </w:rPr>
        <w:t>Unidad de Transparencia</w:t>
      </w:r>
      <w:r w:rsidRPr="006D6EEB">
        <w:rPr>
          <w:rFonts w:ascii="Palatino Linotype" w:eastAsia="Palatino Linotype" w:hAnsi="Palatino Linotype" w:cs="Palatino Linotype"/>
          <w:sz w:val="22"/>
          <w:szCs w:val="22"/>
        </w:rPr>
        <w:t xml:space="preserve">; mientras que el diverso </w:t>
      </w:r>
      <w:r w:rsidRPr="006D6EEB">
        <w:rPr>
          <w:rFonts w:ascii="Palatino Linotype" w:eastAsia="Palatino Linotype" w:hAnsi="Palatino Linotype" w:cs="Palatino Linotype"/>
          <w:b/>
          <w:bCs/>
          <w:sz w:val="22"/>
          <w:szCs w:val="22"/>
        </w:rPr>
        <w:t>51</w:t>
      </w:r>
      <w:r w:rsidRPr="006D6EEB">
        <w:rPr>
          <w:rFonts w:ascii="Palatino Linotype" w:eastAsia="Palatino Linotype" w:hAnsi="Palatino Linotype" w:cs="Palatino Linotype"/>
          <w:sz w:val="22"/>
          <w:szCs w:val="22"/>
        </w:rPr>
        <w:t xml:space="preserve"> establece que el responsable de dicha Unidad </w:t>
      </w:r>
      <w:r w:rsidRPr="006D6EEB">
        <w:rPr>
          <w:rFonts w:ascii="Palatino Linotype" w:eastAsia="Palatino Linotype" w:hAnsi="Palatino Linotype" w:cs="Palatino Linotype"/>
          <w:b/>
          <w:bCs/>
          <w:sz w:val="22"/>
          <w:szCs w:val="22"/>
        </w:rPr>
        <w:t>fungirá como enlace entre el Sujeto Obligado y las personas solicitantes</w:t>
      </w:r>
      <w:r w:rsidRPr="006D6EEB">
        <w:rPr>
          <w:rFonts w:ascii="Palatino Linotype" w:eastAsia="Palatino Linotype" w:hAnsi="Palatino Linotype" w:cs="Palatino Linotype"/>
          <w:sz w:val="22"/>
          <w:szCs w:val="22"/>
        </w:rPr>
        <w:t xml:space="preserve">, correspondiéndole tramitar internamente las solicitudes de información y gestionar su atención. </w:t>
      </w:r>
    </w:p>
    <w:p w14:paraId="2936B1DC" w14:textId="77777777" w:rsidR="00B811E9" w:rsidRPr="006D6EEB" w:rsidRDefault="00B811E9" w:rsidP="00AA5401">
      <w:pPr>
        <w:spacing w:before="240" w:after="240" w:line="360" w:lineRule="auto"/>
        <w:jc w:val="both"/>
        <w:rPr>
          <w:rFonts w:ascii="Palatino Linotype" w:eastAsia="Palatino Linotype" w:hAnsi="Palatino Linotype" w:cs="Palatino Linotype"/>
          <w:sz w:val="22"/>
          <w:szCs w:val="22"/>
        </w:rPr>
      </w:pPr>
      <w:r w:rsidRPr="006D6EEB">
        <w:rPr>
          <w:rFonts w:ascii="Palatino Linotype" w:eastAsia="Palatino Linotype" w:hAnsi="Palatino Linotype" w:cs="Palatino Linotype"/>
          <w:sz w:val="22"/>
          <w:szCs w:val="22"/>
        </w:rPr>
        <w:t xml:space="preserve">Aunado a ello, el artículo </w:t>
      </w:r>
      <w:r w:rsidRPr="006D6EEB">
        <w:rPr>
          <w:rFonts w:ascii="Palatino Linotype" w:eastAsia="Palatino Linotype" w:hAnsi="Palatino Linotype" w:cs="Palatino Linotype"/>
          <w:b/>
          <w:bCs/>
          <w:sz w:val="22"/>
          <w:szCs w:val="22"/>
        </w:rPr>
        <w:t>53, fracciones II, IV y V</w:t>
      </w:r>
      <w:r w:rsidRPr="006D6EEB">
        <w:rPr>
          <w:rFonts w:ascii="Palatino Linotype" w:eastAsia="Palatino Linotype" w:hAnsi="Palatino Linotype" w:cs="Palatino Linotype"/>
          <w:sz w:val="22"/>
          <w:szCs w:val="22"/>
        </w:rPr>
        <w:t xml:space="preserve">, de la misma Ley establece expresamente como funciones de las Unidades de Transparencia: </w:t>
      </w:r>
      <w:r w:rsidRPr="006D6EEB">
        <w:rPr>
          <w:rFonts w:ascii="Palatino Linotype" w:eastAsia="Palatino Linotype" w:hAnsi="Palatino Linotype" w:cs="Palatino Linotype"/>
          <w:b/>
          <w:bCs/>
          <w:sz w:val="22"/>
          <w:szCs w:val="22"/>
        </w:rPr>
        <w:t>recibir, tramitar y dar respuesta a las solicitudes de acceso a la información; realizar los trámites internos necesarios para su atención; y entregar, en su caso, la información solicitada</w:t>
      </w:r>
      <w:r w:rsidRPr="006D6EEB">
        <w:rPr>
          <w:rFonts w:ascii="Palatino Linotype" w:eastAsia="Palatino Linotype" w:hAnsi="Palatino Linotype" w:cs="Palatino Linotype"/>
          <w:sz w:val="22"/>
          <w:szCs w:val="22"/>
        </w:rPr>
        <w:t xml:space="preserve">. Por tanto, es precisamente la Unidad de Transparencia la instancia que sirve de conducto institucional entre quien ejerce el derecho de acceso y las diversas áreas que integran al Sujeto Obligado. </w:t>
      </w:r>
    </w:p>
    <w:p w14:paraId="32521A1E" w14:textId="77777777" w:rsidR="00B811E9" w:rsidRPr="006D6EEB" w:rsidRDefault="00B811E9" w:rsidP="00AA5401">
      <w:pPr>
        <w:spacing w:before="240" w:after="240" w:line="360" w:lineRule="auto"/>
        <w:jc w:val="both"/>
        <w:rPr>
          <w:rFonts w:ascii="Palatino Linotype" w:eastAsia="Palatino Linotype" w:hAnsi="Palatino Linotype" w:cs="Palatino Linotype"/>
          <w:sz w:val="22"/>
          <w:szCs w:val="22"/>
        </w:rPr>
      </w:pPr>
      <w:r w:rsidRPr="006D6EEB">
        <w:rPr>
          <w:rFonts w:ascii="Palatino Linotype" w:eastAsia="Palatino Linotype" w:hAnsi="Palatino Linotype" w:cs="Palatino Linotype"/>
          <w:sz w:val="22"/>
          <w:szCs w:val="22"/>
        </w:rPr>
        <w:t xml:space="preserve">Lo anterior se complementa con lo previsto en los artículos </w:t>
      </w:r>
      <w:r w:rsidRPr="006D6EEB">
        <w:rPr>
          <w:rFonts w:ascii="Palatino Linotype" w:eastAsia="Palatino Linotype" w:hAnsi="Palatino Linotype" w:cs="Palatino Linotype"/>
          <w:b/>
          <w:bCs/>
          <w:sz w:val="22"/>
          <w:szCs w:val="22"/>
        </w:rPr>
        <w:t>58 y 59, fracciones I, II y III</w:t>
      </w:r>
      <w:r w:rsidRPr="006D6EEB">
        <w:rPr>
          <w:rFonts w:ascii="Palatino Linotype" w:eastAsia="Palatino Linotype" w:hAnsi="Palatino Linotype" w:cs="Palatino Linotype"/>
          <w:sz w:val="22"/>
          <w:szCs w:val="22"/>
        </w:rPr>
        <w:t xml:space="preserve">, de la Ley de Transparencia, de los cuales se desprende que las personas servidoras públicas habilitadas de las distintas unidades administrativas tienen, entre otras funciones, </w:t>
      </w:r>
      <w:r w:rsidRPr="006D6EEB">
        <w:rPr>
          <w:rFonts w:ascii="Palatino Linotype" w:eastAsia="Palatino Linotype" w:hAnsi="Palatino Linotype" w:cs="Palatino Linotype"/>
          <w:b/>
          <w:bCs/>
          <w:sz w:val="22"/>
          <w:szCs w:val="22"/>
        </w:rPr>
        <w:t>localizar la información que les solicite la Unidad de Transparencia, proporcionar aquella que obre en sus archivos y apoyar a dicha Unidad en el cumplimiento de sus atribuciones</w:t>
      </w:r>
      <w:r w:rsidRPr="006D6EEB">
        <w:rPr>
          <w:rFonts w:ascii="Palatino Linotype" w:eastAsia="Palatino Linotype" w:hAnsi="Palatino Linotype" w:cs="Palatino Linotype"/>
          <w:sz w:val="22"/>
          <w:szCs w:val="22"/>
        </w:rPr>
        <w:t xml:space="preserve">. De ahí que el turno de una solicitud hacia las áreas susceptibles de generar, administrar, poseer o resguardar la información no constituya una actuación irregular, sino el mecanismo previsto por el propio ordenamiento para realizar su búsqueda y eventual entrega. </w:t>
      </w:r>
    </w:p>
    <w:p w14:paraId="12C0B888" w14:textId="1C87AB8F" w:rsidR="00B811E9" w:rsidRPr="006D6EEB" w:rsidRDefault="00B811E9" w:rsidP="00AA5401">
      <w:pPr>
        <w:spacing w:before="240" w:after="240" w:line="360" w:lineRule="auto"/>
        <w:jc w:val="both"/>
        <w:rPr>
          <w:rFonts w:ascii="Palatino Linotype" w:eastAsia="Palatino Linotype" w:hAnsi="Palatino Linotype" w:cs="Palatino Linotype"/>
          <w:sz w:val="22"/>
          <w:szCs w:val="22"/>
        </w:rPr>
      </w:pPr>
      <w:r w:rsidRPr="006D6EEB">
        <w:rPr>
          <w:rFonts w:ascii="Palatino Linotype" w:eastAsia="Palatino Linotype" w:hAnsi="Palatino Linotype" w:cs="Palatino Linotype"/>
          <w:sz w:val="22"/>
          <w:szCs w:val="22"/>
        </w:rPr>
        <w:t xml:space="preserve">En consecuencia, </w:t>
      </w:r>
      <w:r w:rsidRPr="006D6EEB">
        <w:rPr>
          <w:rFonts w:ascii="Palatino Linotype" w:eastAsia="Palatino Linotype" w:hAnsi="Palatino Linotype" w:cs="Palatino Linotype"/>
          <w:b/>
          <w:bCs/>
          <w:sz w:val="22"/>
          <w:szCs w:val="22"/>
        </w:rPr>
        <w:t>no resulta procedente condicionar el ejercicio del derecho de acceso a que determinada persona servidora pública sea quien personalmente dé respuesta a la solicitud</w:t>
      </w:r>
      <w:r w:rsidRPr="006D6EEB">
        <w:rPr>
          <w:rFonts w:ascii="Palatino Linotype" w:eastAsia="Palatino Linotype" w:hAnsi="Palatino Linotype" w:cs="Palatino Linotype"/>
          <w:sz w:val="22"/>
          <w:szCs w:val="22"/>
        </w:rPr>
        <w:t xml:space="preserve">, pues </w:t>
      </w:r>
      <w:r w:rsidR="003705B4" w:rsidRPr="006D6EEB">
        <w:rPr>
          <w:rFonts w:ascii="Palatino Linotype" w:eastAsia="Palatino Linotype" w:hAnsi="Palatino Linotype" w:cs="Palatino Linotype"/>
          <w:sz w:val="22"/>
          <w:szCs w:val="22"/>
        </w:rPr>
        <w:t>e</w:t>
      </w:r>
      <w:r w:rsidRPr="006D6EEB">
        <w:rPr>
          <w:rFonts w:ascii="Palatino Linotype" w:eastAsia="Palatino Linotype" w:hAnsi="Palatino Linotype" w:cs="Palatino Linotype"/>
          <w:sz w:val="22"/>
          <w:szCs w:val="22"/>
        </w:rPr>
        <w:t>sta se presenta frente al Sujeto Obligado y su tramitación corresponde a la Unidad de Transparencia, quien deberá gestionar internamente su atención con las áreas competentes. En el caso concreto, por tanto, el hecho de que la respuesta no hubiese sido emitida personalmente por el Presidente Municipal no constituye, por sí mismo, una vulneración al derecho de acceso a la información, sin perjuicio de que deba analizarse, de manera independiente, si la información proporcionada por el Ayuntamiento de Tepetlixpa atendió de manera completa, congruente y exhaustiva cada uno de los requerimientos formulados por la parte solicitante.</w:t>
      </w:r>
    </w:p>
    <w:p w14:paraId="3F15BA62" w14:textId="77777777" w:rsidR="006227BF" w:rsidRPr="006D6EEB" w:rsidRDefault="00B811E9" w:rsidP="00AA5401">
      <w:pPr>
        <w:spacing w:before="240" w:after="240" w:line="360" w:lineRule="auto"/>
        <w:jc w:val="both"/>
        <w:rPr>
          <w:rFonts w:ascii="Palatino Linotype" w:eastAsia="Palatino Linotype" w:hAnsi="Palatino Linotype" w:cs="Palatino Linotype"/>
          <w:sz w:val="22"/>
          <w:szCs w:val="22"/>
        </w:rPr>
      </w:pPr>
      <w:r w:rsidRPr="006D6EEB">
        <w:rPr>
          <w:rFonts w:ascii="Palatino Linotype" w:eastAsia="Palatino Linotype" w:hAnsi="Palatino Linotype" w:cs="Palatino Linotype"/>
          <w:sz w:val="22"/>
          <w:szCs w:val="22"/>
        </w:rPr>
        <w:t>Expuesto lo anterior, por lo que se refiere</w:t>
      </w:r>
      <w:r w:rsidR="006227BF" w:rsidRPr="006D6EEB">
        <w:rPr>
          <w:rFonts w:ascii="Palatino Linotype" w:eastAsia="Palatino Linotype" w:hAnsi="Palatino Linotype" w:cs="Palatino Linotype"/>
          <w:sz w:val="22"/>
          <w:szCs w:val="22"/>
        </w:rPr>
        <w:t xml:space="preserve"> a los grados académicos de los integrantes de cabildo (sindico, regidores y presidente municipal), así como el documento con que se acredite dicho grado académico, en primer término, es de exponer que los integrantes de cabildo (sindico, regidores y presidente municipal) ostentan un cargo de elección popular. </w:t>
      </w:r>
    </w:p>
    <w:p w14:paraId="0B270357" w14:textId="77777777" w:rsidR="006227BF" w:rsidRPr="006D6EEB" w:rsidRDefault="006227BF" w:rsidP="00AA5401">
      <w:pPr>
        <w:spacing w:before="240" w:after="240" w:line="360" w:lineRule="auto"/>
        <w:jc w:val="both"/>
        <w:rPr>
          <w:rFonts w:ascii="Palatino Linotype" w:eastAsia="Palatino Linotype" w:hAnsi="Palatino Linotype" w:cs="Palatino Linotype"/>
          <w:sz w:val="22"/>
          <w:szCs w:val="22"/>
        </w:rPr>
      </w:pPr>
      <w:r w:rsidRPr="006D6EEB">
        <w:rPr>
          <w:rFonts w:ascii="Palatino Linotype" w:eastAsia="Palatino Linotype" w:hAnsi="Palatino Linotype" w:cs="Palatino Linotype"/>
          <w:sz w:val="22"/>
          <w:szCs w:val="22"/>
        </w:rPr>
        <w:t xml:space="preserve">De acuerdo con el Sistema de Información Legislativa de la Secretaria de Gobernación (consultado en http://sil.gobernacion.gob.mx/Glosario/definicionpop.php?ID=31), los cargos de elección popular se refieren al derecho y obligación ciudadana para desempeñar un puesto en alguno de los poderes de los tres órdenes de gobierno del Estado, con derecho a una retribución monetaria, siempre que se tengan las calidades que establezca la Ley. </w:t>
      </w:r>
    </w:p>
    <w:p w14:paraId="118C5897" w14:textId="77777777" w:rsidR="006227BF" w:rsidRPr="006D6EEB" w:rsidRDefault="006227BF" w:rsidP="00AA5401">
      <w:pPr>
        <w:spacing w:before="240" w:after="240" w:line="360" w:lineRule="auto"/>
        <w:jc w:val="both"/>
        <w:rPr>
          <w:rFonts w:ascii="Palatino Linotype" w:eastAsia="Palatino Linotype" w:hAnsi="Palatino Linotype" w:cs="Palatino Linotype"/>
          <w:sz w:val="22"/>
          <w:szCs w:val="22"/>
        </w:rPr>
      </w:pPr>
      <w:r w:rsidRPr="006D6EEB">
        <w:rPr>
          <w:rFonts w:ascii="Palatino Linotype" w:eastAsia="Palatino Linotype" w:hAnsi="Palatino Linotype" w:cs="Palatino Linotype"/>
          <w:sz w:val="22"/>
          <w:szCs w:val="22"/>
        </w:rPr>
        <w:t xml:space="preserve">En ese sentido, se consideran como cargos de elección popular en la administración pública a los regidores, síndicos y presidente municipal gobernador o presidente de la República y en el en ámbito legislativo a los diputados locales y federales, así como senadores. </w:t>
      </w:r>
    </w:p>
    <w:p w14:paraId="7FA4E639" w14:textId="77777777" w:rsidR="006227BF" w:rsidRPr="006D6EEB" w:rsidRDefault="006227BF" w:rsidP="00AA5401">
      <w:pPr>
        <w:spacing w:before="240" w:after="240" w:line="360" w:lineRule="auto"/>
        <w:jc w:val="both"/>
        <w:rPr>
          <w:rFonts w:ascii="Palatino Linotype" w:eastAsia="Palatino Linotype" w:hAnsi="Palatino Linotype" w:cs="Palatino Linotype"/>
          <w:sz w:val="22"/>
          <w:szCs w:val="22"/>
        </w:rPr>
      </w:pPr>
      <w:r w:rsidRPr="006D6EEB">
        <w:rPr>
          <w:rFonts w:ascii="Palatino Linotype" w:eastAsia="Palatino Linotype" w:hAnsi="Palatino Linotype" w:cs="Palatino Linotype"/>
          <w:sz w:val="22"/>
          <w:szCs w:val="22"/>
        </w:rPr>
        <w:t xml:space="preserve">Ahora bien, desde un sentido político-sociológico, los procesos de elección popular y con ello, los cargos de la misma naturaleza, guardan relación estrecha con la democracia, palabra que en su acepción etimológica significa “el poder en las manos del pueblo”, de tal manera que en los estados democráticos, se considera como fundamental las prerrogativas de votar y ser votado y, en consecuencia, la obligación de ejercer los cargos conferidos, conociéndose como representación popular, la cual se alcanza mediante un proceso electoral en el que los ciudadanos de una comunidad eligen, en elecciones libres y auténticas, a determinados ciudadanos que son postulados para ejercer ciertas funciones en el poder público. (Castillo, 2002) </w:t>
      </w:r>
    </w:p>
    <w:p w14:paraId="32D14AE5" w14:textId="77777777" w:rsidR="006227BF" w:rsidRPr="006D6EEB" w:rsidRDefault="006227BF" w:rsidP="00AA5401">
      <w:pPr>
        <w:spacing w:before="240" w:after="240" w:line="360" w:lineRule="auto"/>
        <w:jc w:val="both"/>
        <w:rPr>
          <w:rFonts w:ascii="Palatino Linotype" w:eastAsia="Palatino Linotype" w:hAnsi="Palatino Linotype" w:cs="Palatino Linotype"/>
          <w:sz w:val="22"/>
          <w:szCs w:val="22"/>
        </w:rPr>
      </w:pPr>
      <w:r w:rsidRPr="006D6EEB">
        <w:rPr>
          <w:rFonts w:ascii="Palatino Linotype" w:eastAsia="Palatino Linotype" w:hAnsi="Palatino Linotype" w:cs="Palatino Linotype"/>
          <w:sz w:val="22"/>
          <w:szCs w:val="22"/>
        </w:rPr>
        <w:t xml:space="preserve">De esto, se colige que las personas que ocupan cargos como regidores, síndicos y presidente municipal, gobernador o presidente de la República, así como los diputados y senadores, fueron electos mediante un proceso democrático, es decir, los ciudadanos los consideraron como adecuados para su representación, no obstante, cabe mencionar que si bien, estos son electos de manera popular, también lo es que se establecen un mínimo de requisitos para poder ocupar estos. </w:t>
      </w:r>
    </w:p>
    <w:p w14:paraId="1C0C50D1" w14:textId="74210BDE" w:rsidR="006227BF" w:rsidRPr="006D6EEB" w:rsidRDefault="006227BF" w:rsidP="00AA5401">
      <w:pPr>
        <w:spacing w:before="240" w:after="240" w:line="360" w:lineRule="auto"/>
        <w:jc w:val="both"/>
        <w:rPr>
          <w:rFonts w:ascii="Palatino Linotype" w:eastAsia="Palatino Linotype" w:hAnsi="Palatino Linotype" w:cs="Palatino Linotype"/>
          <w:sz w:val="22"/>
          <w:szCs w:val="22"/>
        </w:rPr>
      </w:pPr>
      <w:r w:rsidRPr="006D6EEB">
        <w:rPr>
          <w:rFonts w:ascii="Palatino Linotype" w:eastAsia="Palatino Linotype" w:hAnsi="Palatino Linotype" w:cs="Palatino Linotype"/>
          <w:sz w:val="22"/>
          <w:szCs w:val="22"/>
        </w:rPr>
        <w:t>Por lo que, de conformidad con el artículo 119 de la Constitución Política del Estado Libre y Soberano de México, para ser miembro propietario o suplente de un ayuntamiento se requiere:</w:t>
      </w:r>
    </w:p>
    <w:p w14:paraId="20828314" w14:textId="77777777" w:rsidR="006227BF" w:rsidRPr="006D6EEB" w:rsidRDefault="006227BF" w:rsidP="00AA5401">
      <w:pPr>
        <w:spacing w:before="240" w:after="240" w:line="360" w:lineRule="auto"/>
        <w:ind w:left="567"/>
        <w:jc w:val="both"/>
        <w:rPr>
          <w:rFonts w:ascii="Palatino Linotype" w:eastAsia="Palatino Linotype" w:hAnsi="Palatino Linotype" w:cs="Palatino Linotype"/>
          <w:i/>
          <w:iCs/>
          <w:sz w:val="22"/>
          <w:szCs w:val="22"/>
        </w:rPr>
      </w:pPr>
      <w:r w:rsidRPr="006D6EEB">
        <w:rPr>
          <w:rFonts w:ascii="Palatino Linotype" w:eastAsia="Palatino Linotype" w:hAnsi="Palatino Linotype" w:cs="Palatino Linotype"/>
          <w:b/>
          <w:bCs/>
          <w:i/>
          <w:iCs/>
          <w:sz w:val="22"/>
          <w:szCs w:val="22"/>
        </w:rPr>
        <w:t>“Artículo 119.-</w:t>
      </w:r>
      <w:r w:rsidRPr="006D6EEB">
        <w:rPr>
          <w:rFonts w:ascii="Palatino Linotype" w:eastAsia="Palatino Linotype" w:hAnsi="Palatino Linotype" w:cs="Palatino Linotype"/>
          <w:i/>
          <w:iCs/>
          <w:sz w:val="22"/>
          <w:szCs w:val="22"/>
        </w:rPr>
        <w:t xml:space="preserve"> Para ser miembro propietario o suplente de un ayuntamiento se requiere: </w:t>
      </w:r>
    </w:p>
    <w:p w14:paraId="6627A546" w14:textId="19FC6532" w:rsidR="006227BF" w:rsidRPr="006D6EEB" w:rsidRDefault="006227BF" w:rsidP="00AA5401">
      <w:pPr>
        <w:pStyle w:val="Prrafodelista"/>
        <w:numPr>
          <w:ilvl w:val="0"/>
          <w:numId w:val="9"/>
        </w:numPr>
        <w:spacing w:before="240" w:after="240" w:line="360" w:lineRule="auto"/>
        <w:jc w:val="both"/>
        <w:rPr>
          <w:rFonts w:ascii="Palatino Linotype" w:eastAsia="Palatino Linotype" w:hAnsi="Palatino Linotype" w:cs="Palatino Linotype"/>
          <w:i/>
          <w:iCs/>
          <w:sz w:val="22"/>
          <w:szCs w:val="22"/>
        </w:rPr>
      </w:pPr>
      <w:r w:rsidRPr="006D6EEB">
        <w:rPr>
          <w:rFonts w:ascii="Palatino Linotype" w:eastAsia="Palatino Linotype" w:hAnsi="Palatino Linotype" w:cs="Palatino Linotype"/>
          <w:i/>
          <w:iCs/>
          <w:sz w:val="22"/>
          <w:szCs w:val="22"/>
        </w:rPr>
        <w:t xml:space="preserve">Ser mexicano por nacimiento, ciudadano del Estado, en pleno ejercicio de sus derechos; </w:t>
      </w:r>
    </w:p>
    <w:p w14:paraId="7CFA1406" w14:textId="77777777" w:rsidR="006227BF" w:rsidRPr="006D6EEB" w:rsidRDefault="006227BF" w:rsidP="00AA5401">
      <w:pPr>
        <w:pStyle w:val="Prrafodelista"/>
        <w:numPr>
          <w:ilvl w:val="0"/>
          <w:numId w:val="9"/>
        </w:numPr>
        <w:spacing w:before="240" w:after="240" w:line="360" w:lineRule="auto"/>
        <w:jc w:val="both"/>
        <w:rPr>
          <w:rFonts w:ascii="Palatino Linotype" w:eastAsia="Palatino Linotype" w:hAnsi="Palatino Linotype" w:cs="Palatino Linotype"/>
          <w:i/>
          <w:iCs/>
          <w:sz w:val="22"/>
          <w:szCs w:val="22"/>
        </w:rPr>
      </w:pPr>
      <w:r w:rsidRPr="006D6EEB">
        <w:rPr>
          <w:rFonts w:ascii="Palatino Linotype" w:eastAsia="Palatino Linotype" w:hAnsi="Palatino Linotype" w:cs="Palatino Linotype"/>
          <w:i/>
          <w:iCs/>
          <w:sz w:val="22"/>
          <w:szCs w:val="22"/>
        </w:rPr>
        <w:t xml:space="preserve">Ser mexiquense con residencia efectiva en el municipio no menor a un año o vecino del mismo, con residencia efectiva en su territorio no menor a tres años, anteriores al día de la elección; y </w:t>
      </w:r>
    </w:p>
    <w:p w14:paraId="520585E5" w14:textId="3B851EC4" w:rsidR="006227BF" w:rsidRPr="006D6EEB" w:rsidRDefault="006227BF" w:rsidP="00AA5401">
      <w:pPr>
        <w:pStyle w:val="Prrafodelista"/>
        <w:numPr>
          <w:ilvl w:val="0"/>
          <w:numId w:val="9"/>
        </w:numPr>
        <w:spacing w:before="240" w:after="240" w:line="360" w:lineRule="auto"/>
        <w:jc w:val="both"/>
        <w:rPr>
          <w:rFonts w:ascii="Palatino Linotype" w:eastAsia="Palatino Linotype" w:hAnsi="Palatino Linotype" w:cs="Palatino Linotype"/>
          <w:i/>
          <w:iCs/>
          <w:sz w:val="22"/>
          <w:szCs w:val="22"/>
        </w:rPr>
      </w:pPr>
      <w:r w:rsidRPr="006D6EEB">
        <w:rPr>
          <w:rFonts w:ascii="Palatino Linotype" w:eastAsia="Palatino Linotype" w:hAnsi="Palatino Linotype" w:cs="Palatino Linotype"/>
          <w:i/>
          <w:iCs/>
          <w:sz w:val="22"/>
          <w:szCs w:val="22"/>
        </w:rPr>
        <w:t>Ser de reconocida probidad y buena fama pública</w:t>
      </w:r>
    </w:p>
    <w:p w14:paraId="2DBCF286" w14:textId="77777777" w:rsidR="006227BF" w:rsidRPr="006D6EEB" w:rsidRDefault="006227BF" w:rsidP="00AA5401">
      <w:pPr>
        <w:spacing w:before="240" w:after="240" w:line="360" w:lineRule="auto"/>
        <w:jc w:val="both"/>
        <w:rPr>
          <w:rFonts w:ascii="Palatino Linotype" w:eastAsia="Palatino Linotype" w:hAnsi="Palatino Linotype" w:cs="Palatino Linotype"/>
          <w:sz w:val="22"/>
          <w:szCs w:val="22"/>
        </w:rPr>
      </w:pPr>
      <w:r w:rsidRPr="006D6EEB">
        <w:rPr>
          <w:rFonts w:ascii="Palatino Linotype" w:eastAsia="Palatino Linotype" w:hAnsi="Palatino Linotype" w:cs="Palatino Linotype"/>
          <w:sz w:val="22"/>
          <w:szCs w:val="22"/>
        </w:rPr>
        <w:t xml:space="preserve">Por su parte, para ser miembro del Ayuntamiento, la Constitución Política únicamente, refiere lo siguiente: </w:t>
      </w:r>
    </w:p>
    <w:p w14:paraId="2EC1DAD6" w14:textId="77777777" w:rsidR="006227BF" w:rsidRPr="006D6EEB" w:rsidRDefault="006227BF" w:rsidP="00AA5401">
      <w:pPr>
        <w:spacing w:before="240" w:after="240" w:line="360" w:lineRule="auto"/>
        <w:ind w:left="567"/>
        <w:jc w:val="both"/>
        <w:rPr>
          <w:rFonts w:ascii="Palatino Linotype" w:eastAsia="Palatino Linotype" w:hAnsi="Palatino Linotype" w:cs="Palatino Linotype"/>
          <w:i/>
          <w:iCs/>
          <w:sz w:val="22"/>
          <w:szCs w:val="22"/>
        </w:rPr>
      </w:pPr>
      <w:r w:rsidRPr="006D6EEB">
        <w:rPr>
          <w:rFonts w:ascii="Palatino Linotype" w:eastAsia="Palatino Linotype" w:hAnsi="Palatino Linotype" w:cs="Palatino Linotype"/>
          <w:b/>
          <w:bCs/>
          <w:i/>
          <w:iCs/>
          <w:sz w:val="22"/>
          <w:szCs w:val="22"/>
        </w:rPr>
        <w:t>“Artículo 114.-</w:t>
      </w:r>
      <w:r w:rsidRPr="006D6EEB">
        <w:rPr>
          <w:rFonts w:ascii="Palatino Linotype" w:eastAsia="Palatino Linotype" w:hAnsi="Palatino Linotype" w:cs="Palatino Linotype"/>
          <w:i/>
          <w:iCs/>
          <w:sz w:val="22"/>
          <w:szCs w:val="22"/>
        </w:rPr>
        <w:t xml:space="preserve"> Los Ayuntamientos serán electos mediante sufragio universal, libre, secreto y directo. La ley de la materia determinará la fecha de la elección. Las elecciones de Ayuntamientos serán computadas y declaradas válidas por el órgano electoral municipal, mismo que otorgará la constancia de mayoría a los integrantes de la planilla que hubiere obtenido el mayor número de votos en términos de la ley de la materia. El cargo de miembro del ayuntamiento no es renunciable, sino por justa causa que calificará el ayuntamiento ante el que se presentará la renuncia y quien conocerá también de las licencias de sus miembros.</w:t>
      </w:r>
    </w:p>
    <w:p w14:paraId="33606AD1" w14:textId="0D8B5885" w:rsidR="006227BF" w:rsidRPr="006D6EEB" w:rsidRDefault="006227BF" w:rsidP="00AA5401">
      <w:pPr>
        <w:spacing w:before="240" w:after="240" w:line="360" w:lineRule="auto"/>
        <w:jc w:val="both"/>
        <w:rPr>
          <w:rFonts w:ascii="Palatino Linotype" w:eastAsia="Palatino Linotype" w:hAnsi="Palatino Linotype" w:cs="Palatino Linotype"/>
          <w:sz w:val="22"/>
          <w:szCs w:val="22"/>
        </w:rPr>
      </w:pPr>
      <w:r w:rsidRPr="006D6EEB">
        <w:rPr>
          <w:rFonts w:ascii="Palatino Linotype" w:eastAsia="Palatino Linotype" w:hAnsi="Palatino Linotype" w:cs="Palatino Linotype"/>
          <w:sz w:val="22"/>
          <w:szCs w:val="22"/>
        </w:rPr>
        <w:t xml:space="preserve"> De lo anterior, para el caso de ser miembro propietario del Ayuntamiento, no se exigen mayores requisitos que ser mexicano por nacimiento, ciudadano del Estado, gozar del ejercicio de derechos, tener residencia efectiva y, ser de reconocida probidad y buena fama pública, por otro lado, para ocupar el cargo de presidente municipal, síndicos y regidores, no se requiere algún requisito, más que haber sido electo mediante sufragio, por lo que, se colige que no es obligatorio que los miembros del Ayuntamiento cuenten con requisitos específicos y, mucho menos grado de estudios y mucho menos, con una cédula profesional o título profesional.</w:t>
      </w:r>
    </w:p>
    <w:p w14:paraId="215F62F7" w14:textId="068032FB" w:rsidR="006227BF" w:rsidRPr="006D6EEB" w:rsidRDefault="006227BF" w:rsidP="00AA5401">
      <w:pPr>
        <w:spacing w:before="240" w:after="240" w:line="360" w:lineRule="auto"/>
        <w:jc w:val="both"/>
        <w:rPr>
          <w:rFonts w:ascii="Palatino Linotype" w:eastAsia="Palatino Linotype" w:hAnsi="Palatino Linotype" w:cs="Palatino Linotype"/>
          <w:sz w:val="22"/>
          <w:szCs w:val="22"/>
        </w:rPr>
      </w:pPr>
      <w:r w:rsidRPr="006D6EEB">
        <w:rPr>
          <w:rFonts w:ascii="Palatino Linotype" w:eastAsia="Palatino Linotype" w:hAnsi="Palatino Linotype" w:cs="Palatino Linotype"/>
          <w:sz w:val="22"/>
          <w:szCs w:val="22"/>
        </w:rPr>
        <w:t>En el presente asunto, el Titular de la Unidad de Transparencia turnó la solicitud a la Dirección de Administración, la cual, es la responsable de la gestión y capacitación de los recursos humanos para el cumplimiento de los objetivos y metas establecidas en el Plan de Desarrollo Municipal, por lo que es la unidad administrativa competente. Por lo que, el Titular de la Unidad de Transparencia, al haber turnado la solicitud a la Dirección de Administración, siguió con ello el procedimiento para la atención a las solicitudes de acceso a la información, establecido en los artículos 151, 160, 162, 163, 164, 165 y 166, de la Ley de Transparencia y Acceso a la Información Pública del Estado de México y Municipios:</w:t>
      </w:r>
    </w:p>
    <w:p w14:paraId="4F61D5BD" w14:textId="77777777" w:rsidR="006227BF" w:rsidRPr="006D6EEB" w:rsidRDefault="006227BF" w:rsidP="00AA5401">
      <w:pPr>
        <w:spacing w:before="240" w:after="240" w:line="360" w:lineRule="auto"/>
        <w:ind w:left="284"/>
        <w:jc w:val="both"/>
        <w:rPr>
          <w:rFonts w:ascii="Palatino Linotype" w:eastAsia="Palatino Linotype" w:hAnsi="Palatino Linotype" w:cs="Palatino Linotype"/>
          <w:sz w:val="22"/>
          <w:szCs w:val="22"/>
        </w:rPr>
      </w:pPr>
      <w:r w:rsidRPr="006D6EEB">
        <w:rPr>
          <w:rFonts w:ascii="Palatino Linotype" w:eastAsia="Palatino Linotype" w:hAnsi="Palatino Linotype" w:cs="Palatino Linotype"/>
          <w:sz w:val="22"/>
          <w:szCs w:val="22"/>
        </w:rPr>
        <w:t xml:space="preserve">• Las Unidades de Transparencia de los sujetos obligados deben garantizar las medidas y condiciones de accesibilidad para que toda persona pueda ejercer el derecho de acceso a la información; por lo que, son las responsables de hacer las notificaciones correspondientes, además de llevar a cabo todas las gestiones necesarias para facilitar el acceso de la información; </w:t>
      </w:r>
    </w:p>
    <w:p w14:paraId="6B60C554" w14:textId="77777777" w:rsidR="006227BF" w:rsidRPr="006D6EEB" w:rsidRDefault="006227BF" w:rsidP="00AA5401">
      <w:pPr>
        <w:spacing w:before="240" w:after="240" w:line="360" w:lineRule="auto"/>
        <w:ind w:left="284"/>
        <w:jc w:val="both"/>
        <w:rPr>
          <w:rFonts w:ascii="Palatino Linotype" w:eastAsia="Palatino Linotype" w:hAnsi="Palatino Linotype" w:cs="Palatino Linotype"/>
          <w:sz w:val="22"/>
          <w:szCs w:val="22"/>
        </w:rPr>
      </w:pPr>
      <w:r w:rsidRPr="006D6EEB">
        <w:rPr>
          <w:rFonts w:ascii="Palatino Linotype" w:eastAsia="Palatino Linotype" w:hAnsi="Palatino Linotype" w:cs="Palatino Linotype"/>
          <w:sz w:val="22"/>
          <w:szCs w:val="22"/>
        </w:rPr>
        <w:t xml:space="preserve">• La respuesta a los requerimientos informativos, deberá notificarse al interesado en el menor tiempo posible, que no podrá exceder de quince días hábiles, contados a partir del día siguiente a la presentación de esta. Excepcionalmente, el plazo referido podrá ampliarse por siete días hábiles más, cuando existan razones fundadas y motivadas, a través del Comité de Transparencia; </w:t>
      </w:r>
    </w:p>
    <w:p w14:paraId="0F0A3509" w14:textId="15A16307" w:rsidR="006227BF" w:rsidRPr="006D6EEB" w:rsidRDefault="006227BF" w:rsidP="00AA5401">
      <w:pPr>
        <w:spacing w:before="240" w:after="240" w:line="360" w:lineRule="auto"/>
        <w:ind w:left="284"/>
        <w:jc w:val="both"/>
        <w:rPr>
          <w:rFonts w:ascii="Palatino Linotype" w:eastAsia="Palatino Linotype" w:hAnsi="Palatino Linotype" w:cs="Palatino Linotype"/>
          <w:sz w:val="22"/>
          <w:szCs w:val="22"/>
        </w:rPr>
      </w:pPr>
      <w:r w:rsidRPr="006D6EEB">
        <w:rPr>
          <w:rFonts w:ascii="Palatino Linotype" w:eastAsia="Palatino Linotype" w:hAnsi="Palatino Linotype" w:cs="Palatino Linotype"/>
          <w:sz w:val="22"/>
          <w:szCs w:val="22"/>
        </w:rPr>
        <w:t xml:space="preserve">• Las Unidades de Transparencia garantizarán que las solicitudes se turnen a todas las áreas competentes que cuenten con la información o deban tenerla de acuerdo a sus facultades, funciones y atribuciones, para que realicen una búsqueda exhaustiva y razonable de la documentación solicitada, con el fin de que proporcionen las expresiones documentales que se encuentren en sus archivos o que estén constreñidos a elaborar; </w:t>
      </w:r>
    </w:p>
    <w:p w14:paraId="3D1085AD" w14:textId="77518FE5" w:rsidR="006227BF" w:rsidRPr="006D6EEB" w:rsidRDefault="006227BF" w:rsidP="00AA5401">
      <w:pPr>
        <w:spacing w:before="240" w:after="240" w:line="360" w:lineRule="auto"/>
        <w:ind w:left="284"/>
        <w:jc w:val="both"/>
        <w:rPr>
          <w:rFonts w:ascii="Palatino Linotype" w:eastAsia="Palatino Linotype" w:hAnsi="Palatino Linotype" w:cs="Palatino Linotype"/>
          <w:sz w:val="22"/>
          <w:szCs w:val="22"/>
        </w:rPr>
      </w:pPr>
      <w:r w:rsidRPr="006D6EEB">
        <w:rPr>
          <w:rFonts w:ascii="Palatino Linotype" w:eastAsia="Palatino Linotype" w:hAnsi="Palatino Linotype" w:cs="Palatino Linotype"/>
          <w:sz w:val="22"/>
          <w:szCs w:val="22"/>
        </w:rPr>
        <w:t>• El acceso se dará en la modalidad de entrega y en su caso, de envío elegido por la solicitante, cuando no pueda entregarse en dicha modalidad, el Sujeto Obligado deberá ofrecer otras; por lo cual, deberá fundar y motivar la necesidad de modificar el medio de entrega; y</w:t>
      </w:r>
    </w:p>
    <w:p w14:paraId="470CA6C8" w14:textId="77777777" w:rsidR="00433131" w:rsidRPr="006D6EEB" w:rsidRDefault="00433131" w:rsidP="00AA5401">
      <w:pPr>
        <w:spacing w:before="240" w:after="240" w:line="360" w:lineRule="auto"/>
        <w:ind w:left="284"/>
        <w:jc w:val="both"/>
        <w:rPr>
          <w:rFonts w:ascii="Palatino Linotype" w:eastAsia="Palatino Linotype" w:hAnsi="Palatino Linotype" w:cs="Palatino Linotype"/>
          <w:sz w:val="22"/>
          <w:szCs w:val="22"/>
        </w:rPr>
      </w:pPr>
      <w:r w:rsidRPr="006D6EEB">
        <w:rPr>
          <w:rFonts w:ascii="Palatino Linotype" w:eastAsia="Palatino Linotype" w:hAnsi="Palatino Linotype" w:cs="Palatino Linotype"/>
          <w:sz w:val="22"/>
          <w:szCs w:val="22"/>
        </w:rPr>
        <w:t xml:space="preserve">• Las Unidades de Transparencia, tendrán disponible la información requerida durante un plazo mínimo de sesenta días hábiles, contados a partir de que la solicitante hubiere realizado, en su caso, el pago respectivo, el cual deberá efectuarse en un plazo no mayor a treinta días hábiles; por lo que, una vez transcurrida dicha temporalidad, los Sujetos Obligados darán por concluida la solicitud y procederán de ser el caso, a la destrucción del material; </w:t>
      </w:r>
    </w:p>
    <w:p w14:paraId="297BD8FD" w14:textId="002F91A9" w:rsidR="00F54CCB" w:rsidRPr="006D6EEB" w:rsidRDefault="00433131" w:rsidP="00AA5401">
      <w:pPr>
        <w:spacing w:before="240" w:after="240" w:line="360" w:lineRule="auto"/>
        <w:jc w:val="both"/>
        <w:rPr>
          <w:rFonts w:ascii="Palatino Linotype" w:eastAsia="Palatino Linotype" w:hAnsi="Palatino Linotype" w:cs="Palatino Linotype"/>
          <w:sz w:val="22"/>
          <w:szCs w:val="22"/>
        </w:rPr>
      </w:pPr>
      <w:r w:rsidRPr="006D6EEB">
        <w:rPr>
          <w:rFonts w:ascii="Palatino Linotype" w:eastAsia="Palatino Linotype" w:hAnsi="Palatino Linotype" w:cs="Palatino Linotype"/>
          <w:sz w:val="22"/>
          <w:szCs w:val="22"/>
        </w:rPr>
        <w:t xml:space="preserve">En este orden de ideas, se reitera que la Unidad de Transparencia turnó la solicitud a la unidad administrativa con atribuciones para generar, administrar y poseer la información requerida por el particular, por lo que, se tiene que se acreditó la correcta búsqueda exhaustiva y razonable de la información. Por su parte, la Dirección de Administración señaló que, de conformidad al artículo 119 de la Constitución Política del Estado Libre y Soberano de México, los cargos de elección no requieren un perfil por lo que no se requiere un título académico o grado de estudio para ser miembro de un Ayuntamiento, así mismo en términos de la </w:t>
      </w:r>
      <w:r w:rsidR="00D10CEA" w:rsidRPr="006D6EEB">
        <w:rPr>
          <w:rFonts w:ascii="Palatino Linotype" w:eastAsia="Palatino Linotype" w:hAnsi="Palatino Linotype" w:cs="Palatino Linotype"/>
          <w:sz w:val="22"/>
          <w:szCs w:val="22"/>
        </w:rPr>
        <w:t>Ley d</w:t>
      </w:r>
      <w:r w:rsidRPr="006D6EEB">
        <w:rPr>
          <w:rFonts w:ascii="Palatino Linotype" w:eastAsia="Palatino Linotype" w:hAnsi="Palatino Linotype" w:cs="Palatino Linotype"/>
          <w:sz w:val="22"/>
          <w:szCs w:val="22"/>
        </w:rPr>
        <w:t xml:space="preserve">el Trabajo De Los Servidores Públicos del Estado y Municipios en su artículo 6. Los servidores públicos se clasifican en generales y de confianza, en </w:t>
      </w:r>
      <w:r w:rsidRPr="006D6EEB">
        <w:rPr>
          <w:rFonts w:ascii="Palatino Linotype" w:eastAsia="Palatino Linotype" w:hAnsi="Palatino Linotype" w:cs="Palatino Linotype"/>
          <w:b/>
          <w:bCs/>
          <w:sz w:val="22"/>
          <w:szCs w:val="22"/>
        </w:rPr>
        <w:t>los cuales no están contemplados los integrantes del cabildo y por lo consiguiente no se les requiere los documentos que solicita</w:t>
      </w:r>
      <w:r w:rsidRPr="006D6EEB">
        <w:rPr>
          <w:rFonts w:ascii="Palatino Linotype" w:eastAsia="Palatino Linotype" w:hAnsi="Palatino Linotype" w:cs="Palatino Linotype"/>
          <w:sz w:val="22"/>
          <w:szCs w:val="22"/>
        </w:rPr>
        <w:t xml:space="preserve">. </w:t>
      </w:r>
    </w:p>
    <w:p w14:paraId="4675176A" w14:textId="77777777" w:rsidR="00D10CEA" w:rsidRPr="006D6EEB" w:rsidRDefault="00D10CEA" w:rsidP="00AA5401">
      <w:pPr>
        <w:spacing w:before="240" w:after="240" w:line="360" w:lineRule="auto"/>
        <w:jc w:val="both"/>
        <w:rPr>
          <w:rFonts w:ascii="Palatino Linotype" w:eastAsia="Palatino Linotype" w:hAnsi="Palatino Linotype" w:cs="Palatino Linotype"/>
          <w:sz w:val="22"/>
          <w:szCs w:val="22"/>
        </w:rPr>
      </w:pPr>
      <w:r w:rsidRPr="006D6EEB">
        <w:rPr>
          <w:rFonts w:ascii="Palatino Linotype" w:eastAsia="Palatino Linotype" w:hAnsi="Palatino Linotype" w:cs="Palatino Linotype"/>
          <w:sz w:val="22"/>
          <w:szCs w:val="22"/>
        </w:rPr>
        <w:t xml:space="preserve">En ese contexto, si bien, como ya se expuso, no existe obligación para los integrantes de Cabildo de contar con algún grado académico,  lo cierto es que la respuesta del Sujeto Obligado </w:t>
      </w:r>
      <w:r w:rsidRPr="006D6EEB">
        <w:rPr>
          <w:rFonts w:ascii="Palatino Linotype" w:eastAsia="Palatino Linotype" w:hAnsi="Palatino Linotype" w:cs="Palatino Linotype"/>
          <w:b/>
          <w:bCs/>
          <w:sz w:val="22"/>
          <w:szCs w:val="22"/>
        </w:rPr>
        <w:t>no guarda correspondencia con lo efectivamente solicitado</w:t>
      </w:r>
      <w:r w:rsidRPr="006D6EEB">
        <w:rPr>
          <w:rFonts w:ascii="Palatino Linotype" w:eastAsia="Palatino Linotype" w:hAnsi="Palatino Linotype" w:cs="Palatino Linotype"/>
          <w:sz w:val="22"/>
          <w:szCs w:val="22"/>
        </w:rPr>
        <w:t xml:space="preserve">, pues una cuestión es que determinado grado académico no constituya un requisito de elegibilidad para ocupar un cargo dentro del Ayuntamiento y otra, diversa, conocer </w:t>
      </w:r>
      <w:r w:rsidRPr="006D6EEB">
        <w:rPr>
          <w:rFonts w:ascii="Palatino Linotype" w:eastAsia="Palatino Linotype" w:hAnsi="Palatino Linotype" w:cs="Palatino Linotype"/>
          <w:b/>
          <w:bCs/>
          <w:sz w:val="22"/>
          <w:szCs w:val="22"/>
        </w:rPr>
        <w:t>el nivel o grado de estudios que, en su caso, ostentan quienes actualmente desempeñan dichos cargos</w:t>
      </w:r>
      <w:r w:rsidRPr="006D6EEB">
        <w:rPr>
          <w:rFonts w:ascii="Palatino Linotype" w:eastAsia="Palatino Linotype" w:hAnsi="Palatino Linotype" w:cs="Palatino Linotype"/>
          <w:sz w:val="22"/>
          <w:szCs w:val="22"/>
        </w:rPr>
        <w:t xml:space="preserve">. </w:t>
      </w:r>
    </w:p>
    <w:p w14:paraId="1EEAD6F3" w14:textId="3F337639" w:rsidR="002F78C1" w:rsidRPr="006D6EEB" w:rsidRDefault="00D10CEA" w:rsidP="00AA5401">
      <w:pPr>
        <w:spacing w:before="240" w:after="240" w:line="360" w:lineRule="auto"/>
        <w:jc w:val="both"/>
        <w:rPr>
          <w:rFonts w:ascii="Palatino Linotype" w:eastAsia="Palatino Linotype" w:hAnsi="Palatino Linotype" w:cs="Palatino Linotype"/>
          <w:b/>
          <w:bCs/>
          <w:sz w:val="22"/>
          <w:szCs w:val="22"/>
        </w:rPr>
      </w:pPr>
      <w:r w:rsidRPr="006D6EEB">
        <w:rPr>
          <w:rFonts w:ascii="Palatino Linotype" w:eastAsia="Palatino Linotype" w:hAnsi="Palatino Linotype" w:cs="Palatino Linotype"/>
          <w:sz w:val="22"/>
          <w:szCs w:val="22"/>
        </w:rPr>
        <w:t xml:space="preserve">De ahí que la respuesta otorgada resulte insuficiente para satisfacer el numeral 1, pues el particular no solicitó conocer los requisitos académicos exigibles para integrar el Ayuntamiento, </w:t>
      </w:r>
      <w:r w:rsidR="002F78C1" w:rsidRPr="006D6EEB">
        <w:rPr>
          <w:rFonts w:ascii="Palatino Linotype" w:eastAsia="Palatino Linotype" w:hAnsi="Palatino Linotype" w:cs="Palatino Linotype"/>
          <w:sz w:val="22"/>
          <w:szCs w:val="22"/>
        </w:rPr>
        <w:t xml:space="preserve">ni si es solicitada o no, </w:t>
      </w:r>
      <w:r w:rsidRPr="006D6EEB">
        <w:rPr>
          <w:rFonts w:ascii="Palatino Linotype" w:eastAsia="Palatino Linotype" w:hAnsi="Palatino Linotype" w:cs="Palatino Linotype"/>
          <w:b/>
          <w:bCs/>
          <w:sz w:val="22"/>
          <w:szCs w:val="22"/>
        </w:rPr>
        <w:t>sino la información curricular relativa al grado de estudios de cada una de las personas integrantes del Cabildo</w:t>
      </w:r>
      <w:r w:rsidR="002F78C1" w:rsidRPr="006D6EEB">
        <w:rPr>
          <w:rFonts w:ascii="Palatino Linotype" w:eastAsia="Palatino Linotype" w:hAnsi="Palatino Linotype" w:cs="Palatino Linotype"/>
          <w:b/>
          <w:bCs/>
          <w:sz w:val="22"/>
          <w:szCs w:val="22"/>
        </w:rPr>
        <w:t>.</w:t>
      </w:r>
    </w:p>
    <w:p w14:paraId="71051232" w14:textId="77777777" w:rsidR="003C3FE1" w:rsidRPr="006D6EEB" w:rsidRDefault="003C3FE1" w:rsidP="00AA5401">
      <w:pPr>
        <w:spacing w:before="240" w:after="240" w:line="360" w:lineRule="auto"/>
        <w:ind w:right="-7"/>
        <w:jc w:val="both"/>
        <w:rPr>
          <w:rFonts w:ascii="Palatino Linotype" w:eastAsia="Palatino Linotype" w:hAnsi="Palatino Linotype" w:cs="Palatino Linotype"/>
          <w:sz w:val="22"/>
          <w:szCs w:val="22"/>
        </w:rPr>
      </w:pPr>
      <w:r w:rsidRPr="006D6EEB">
        <w:rPr>
          <w:rFonts w:ascii="Palatino Linotype" w:eastAsia="Palatino Linotype" w:hAnsi="Palatino Linotype" w:cs="Palatino Linotype"/>
          <w:sz w:val="22"/>
          <w:szCs w:val="22"/>
        </w:rPr>
        <w:t xml:space="preserve">Desde esta perspectiva, a través del </w:t>
      </w:r>
      <w:r w:rsidRPr="006D6EEB">
        <w:rPr>
          <w:rFonts w:ascii="Palatino Linotype" w:eastAsia="Palatino Linotype" w:hAnsi="Palatino Linotype" w:cs="Palatino Linotype"/>
          <w:b/>
          <w:bCs/>
          <w:sz w:val="22"/>
          <w:szCs w:val="22"/>
        </w:rPr>
        <w:t>currículum vitae</w:t>
      </w:r>
      <w:r w:rsidRPr="006D6EEB">
        <w:rPr>
          <w:rFonts w:ascii="Palatino Linotype" w:eastAsia="Palatino Linotype" w:hAnsi="Palatino Linotype" w:cs="Palatino Linotype"/>
          <w:sz w:val="22"/>
          <w:szCs w:val="22"/>
        </w:rPr>
        <w:t xml:space="preserve"> o </w:t>
      </w:r>
      <w:r w:rsidRPr="006D6EEB">
        <w:rPr>
          <w:rFonts w:ascii="Palatino Linotype" w:eastAsia="Palatino Linotype" w:hAnsi="Palatino Linotype" w:cs="Palatino Linotype"/>
          <w:bCs/>
          <w:sz w:val="22"/>
          <w:szCs w:val="22"/>
        </w:rPr>
        <w:t>ficha curricular</w:t>
      </w:r>
      <w:r w:rsidRPr="006D6EEB">
        <w:rPr>
          <w:rFonts w:ascii="Palatino Linotype" w:eastAsia="Palatino Linotype" w:hAnsi="Palatino Linotype" w:cs="Palatino Linotype"/>
          <w:sz w:val="22"/>
          <w:szCs w:val="22"/>
        </w:rPr>
        <w:t xml:space="preserve"> la persona solicitante puede advertir los estudios realizados o bien el nivel académico, así como la experiencia laboral de los servidores públicos que se encuentran adscritos al </w:t>
      </w:r>
      <w:r w:rsidRPr="006D6EEB">
        <w:rPr>
          <w:rFonts w:ascii="Palatino Linotype" w:eastAsia="Palatino Linotype" w:hAnsi="Palatino Linotype" w:cs="Palatino Linotype"/>
          <w:b/>
          <w:sz w:val="22"/>
          <w:szCs w:val="22"/>
        </w:rPr>
        <w:t>Sujeto Obligado</w:t>
      </w:r>
      <w:r w:rsidRPr="006D6EEB">
        <w:rPr>
          <w:rFonts w:ascii="Palatino Linotype" w:eastAsia="Palatino Linotype" w:hAnsi="Palatino Linotype" w:cs="Palatino Linotype"/>
          <w:sz w:val="22"/>
          <w:szCs w:val="22"/>
        </w:rPr>
        <w:t>, información que es de carácter público de conformidad con el criterio orientador 03/2009, emitido por el entonces Instituto Nacional de Transparencia Acceso a la Información Pública y Protección de Datos Personales (INAI), que establece que una de las formas en que los ciudadanos puedan evaluar las aptitudes de los servidores públicos para desempeñar el cargo público que les ha sido encomendado, es mediante la publicidad de ciertos datos contenidos en los currículos, o bien en las solicitudes de empleo, el cual, para mayor ilustración se transcribe a continuación:</w:t>
      </w:r>
    </w:p>
    <w:p w14:paraId="627AD2DE" w14:textId="77777777" w:rsidR="003C3FE1" w:rsidRPr="006D6EEB" w:rsidRDefault="003C3FE1" w:rsidP="00AA5401">
      <w:pPr>
        <w:spacing w:before="240" w:after="240" w:line="360" w:lineRule="auto"/>
        <w:ind w:left="567" w:right="560"/>
        <w:jc w:val="both"/>
        <w:rPr>
          <w:rFonts w:ascii="Palatino Linotype" w:eastAsia="Palatino Linotype" w:hAnsi="Palatino Linotype" w:cs="Palatino Linotype"/>
          <w:i/>
          <w:sz w:val="22"/>
          <w:szCs w:val="22"/>
        </w:rPr>
      </w:pPr>
      <w:r w:rsidRPr="006D6EEB">
        <w:rPr>
          <w:rFonts w:ascii="Palatino Linotype" w:eastAsia="Palatino Linotype" w:hAnsi="Palatino Linotype" w:cs="Palatino Linotype"/>
          <w:i/>
          <w:sz w:val="22"/>
          <w:szCs w:val="22"/>
        </w:rPr>
        <w:t xml:space="preserve"> “</w:t>
      </w:r>
      <w:r w:rsidRPr="006D6EEB">
        <w:rPr>
          <w:rFonts w:ascii="Palatino Linotype" w:eastAsia="Palatino Linotype" w:hAnsi="Palatino Linotype" w:cs="Palatino Linotype"/>
          <w:b/>
          <w:i/>
          <w:sz w:val="22"/>
          <w:szCs w:val="22"/>
        </w:rPr>
        <w:t>Curriculum Vitae de servidores públicos.</w:t>
      </w:r>
      <w:r w:rsidRPr="006D6EEB">
        <w:rPr>
          <w:rFonts w:ascii="Palatino Linotype" w:eastAsia="Palatino Linotype" w:hAnsi="Palatino Linotype" w:cs="Palatino Linotype"/>
          <w:i/>
          <w:sz w:val="22"/>
          <w:szCs w:val="22"/>
        </w:rPr>
        <w:t xml:space="preserve"> Es obligación de los sujetos obligados otorgar acceso a versiones públicas de los mismos ante una solicitud de acceso. Uno de los objetivos de la Ley Federal de Transparencia y Acceso a la Información Pública Gubernamental, de acuerdo con su artículo 4, fracción IV, es favorecer la rendición de cuentas a las personas, de manera que puedan valorar el desempeño de los sujetos obligados. Si bien en el curriculum vitae se describe información de una persona relacionada con su formación académica, trayectoria profesional, datos de contacto, datos biográficos, entre otros, los cuales constituyen datos personales, de acuerdo con lo previsto en el artículo 3, fracción II de la Ley Federal de Transparencia y Acceso a la Información Pública Gubernamental, y en consecuencia, representan información confidencial, en términos de lo establecido en el artículo 18, fracción II de la Ley Federal de Transparencia y Acceso a la Información Pública Gubernamental, tratándose del curriculum vitae de un servidor público, una de las formas en que los ciudadanos pueden evaluar sus aptitudes para desempeñar el cargo público que le ha sido encomendado, es mediante la publicidad de ciertos datos de los ahí contenidos. En esa tesitura, entre los datos personales del curriculum vitae de un servidor público susceptibles de hacerse del conocimiento público, ante una solicitud de acceso, se encuentran los relativos a su trayectoria académica, profesional, laboral, así como todos aquellos que acrediten su capacidad, habilidades o pericia para ocupar el cargo público.” </w:t>
      </w:r>
    </w:p>
    <w:p w14:paraId="015FEE7E" w14:textId="77777777" w:rsidR="003C3FE1" w:rsidRPr="006D6EEB" w:rsidRDefault="003C3FE1" w:rsidP="00AA5401">
      <w:pPr>
        <w:spacing w:before="240" w:after="240" w:line="360" w:lineRule="auto"/>
        <w:ind w:right="-7"/>
        <w:jc w:val="both"/>
        <w:rPr>
          <w:rFonts w:ascii="Palatino Linotype" w:eastAsia="Palatino Linotype" w:hAnsi="Palatino Linotype" w:cs="Palatino Linotype"/>
          <w:sz w:val="22"/>
          <w:szCs w:val="22"/>
        </w:rPr>
      </w:pPr>
      <w:r w:rsidRPr="006D6EEB">
        <w:rPr>
          <w:rFonts w:ascii="Palatino Linotype" w:eastAsia="Palatino Linotype" w:hAnsi="Palatino Linotype" w:cs="Palatino Linotype"/>
          <w:sz w:val="22"/>
          <w:szCs w:val="22"/>
        </w:rPr>
        <w:t>Del cual se advierte que si bien en el currículum vitae se describe información de una persona relacionada con su formación académica, trayectoria profesional y datos de contacto entre otros que pudieran constituir datos personales; tratándose de servidores públicos, el conocimiento de los mismos por los gobernados contribuye a la evaluación de sus aptitudes de acuerdo a su nivel profesional y laboral, para el desempeño de sus funciones en el cargo que ostenten, razón que resulta suficiente para que sean de conocimiento público y si bien es cierto que no existe disposición legal que ordene de manera expresa que el sujeto obligado, deba contar en sus archivos con un documento denominado “currículum vitae” de sus servidores públicos, también lo es que para el desempeño de un empleo, cargo o comisión en el servicio público sí es requisito, entre otros, presentar una solicitud del empleo, como se desprende del artículo 47 fracción I de la Ley del Trabajo para los Servidores Públicos del Estado y Municipios.</w:t>
      </w:r>
    </w:p>
    <w:p w14:paraId="1BE3E863" w14:textId="77777777" w:rsidR="003C3FE1" w:rsidRPr="006D6EEB" w:rsidRDefault="003C3FE1" w:rsidP="00AA5401">
      <w:pPr>
        <w:spacing w:before="240" w:after="240" w:line="360" w:lineRule="auto"/>
        <w:ind w:right="-7"/>
        <w:jc w:val="both"/>
        <w:rPr>
          <w:rFonts w:ascii="Palatino Linotype" w:eastAsia="Palatino Linotype" w:hAnsi="Palatino Linotype" w:cs="Palatino Linotype"/>
          <w:sz w:val="22"/>
          <w:szCs w:val="22"/>
        </w:rPr>
      </w:pPr>
      <w:r w:rsidRPr="006D6EEB">
        <w:rPr>
          <w:rFonts w:ascii="Palatino Linotype" w:eastAsia="Palatino Linotype" w:hAnsi="Palatino Linotype" w:cs="Palatino Linotype"/>
          <w:sz w:val="22"/>
          <w:szCs w:val="22"/>
        </w:rPr>
        <w:t xml:space="preserve">Por lo que es posible determinar que, el </w:t>
      </w:r>
      <w:r w:rsidRPr="006D6EEB">
        <w:rPr>
          <w:rFonts w:ascii="Palatino Linotype" w:eastAsia="Palatino Linotype" w:hAnsi="Palatino Linotype" w:cs="Palatino Linotype"/>
          <w:b/>
          <w:bCs/>
          <w:sz w:val="22"/>
          <w:szCs w:val="22"/>
        </w:rPr>
        <w:t>currículum vítae o la</w:t>
      </w:r>
      <w:r w:rsidRPr="006D6EEB">
        <w:rPr>
          <w:rFonts w:ascii="Palatino Linotype" w:eastAsia="Palatino Linotype" w:hAnsi="Palatino Linotype" w:cs="Palatino Linotype"/>
          <w:sz w:val="22"/>
          <w:szCs w:val="22"/>
        </w:rPr>
        <w:t xml:space="preserve"> </w:t>
      </w:r>
      <w:r w:rsidRPr="006D6EEB">
        <w:rPr>
          <w:rFonts w:ascii="Palatino Linotype" w:eastAsia="Palatino Linotype" w:hAnsi="Palatino Linotype" w:cs="Palatino Linotype"/>
          <w:b/>
          <w:sz w:val="22"/>
          <w:szCs w:val="22"/>
        </w:rPr>
        <w:t>ficha curricular</w:t>
      </w:r>
      <w:r w:rsidRPr="006D6EEB">
        <w:rPr>
          <w:rFonts w:ascii="Palatino Linotype" w:eastAsia="Palatino Linotype" w:hAnsi="Palatino Linotype" w:cs="Palatino Linotype"/>
          <w:b/>
          <w:sz w:val="22"/>
          <w:szCs w:val="22"/>
          <w:u w:val="single"/>
        </w:rPr>
        <w:t xml:space="preserve"> </w:t>
      </w:r>
      <w:r w:rsidRPr="006D6EEB">
        <w:rPr>
          <w:rFonts w:ascii="Palatino Linotype" w:eastAsia="Palatino Linotype" w:hAnsi="Palatino Linotype" w:cs="Palatino Linotype"/>
          <w:sz w:val="22"/>
          <w:szCs w:val="22"/>
        </w:rPr>
        <w:t xml:space="preserve">contiene información relacionada con la </w:t>
      </w:r>
      <w:r w:rsidRPr="006D6EEB">
        <w:rPr>
          <w:rFonts w:ascii="Palatino Linotype" w:eastAsia="Palatino Linotype" w:hAnsi="Palatino Linotype" w:cs="Palatino Linotype"/>
          <w:b/>
          <w:bCs/>
          <w:sz w:val="22"/>
          <w:szCs w:val="22"/>
        </w:rPr>
        <w:t>trayectoria académica, profesional y laboral</w:t>
      </w:r>
      <w:r w:rsidRPr="006D6EEB">
        <w:rPr>
          <w:rFonts w:ascii="Palatino Linotype" w:eastAsia="Palatino Linotype" w:hAnsi="Palatino Linotype" w:cs="Palatino Linotype"/>
          <w:sz w:val="22"/>
          <w:szCs w:val="22"/>
        </w:rPr>
        <w:t>, por medio del cual se acredita la capacidad, habilidades, experiencia o pericia de una persona para ocupar un cargo, puesto o comisión, que permitan realizar una comparación de las actividades que ha realizado con las que habrá de desarrollar, y determinar si cumple con el perfil del cargo a ocupar.</w:t>
      </w:r>
    </w:p>
    <w:p w14:paraId="4C1D9D2B" w14:textId="77777777" w:rsidR="003C3FE1" w:rsidRPr="006D6EEB" w:rsidRDefault="003C3FE1" w:rsidP="00AA5401">
      <w:pPr>
        <w:spacing w:before="240" w:after="240" w:line="360" w:lineRule="auto"/>
        <w:ind w:right="-7"/>
        <w:jc w:val="both"/>
        <w:rPr>
          <w:rFonts w:ascii="Palatino Linotype" w:eastAsia="Palatino Linotype" w:hAnsi="Palatino Linotype" w:cs="Palatino Linotype"/>
          <w:sz w:val="22"/>
          <w:szCs w:val="22"/>
        </w:rPr>
      </w:pPr>
      <w:r w:rsidRPr="006D6EEB">
        <w:rPr>
          <w:rFonts w:ascii="Palatino Linotype" w:eastAsia="Palatino Linotype" w:hAnsi="Palatino Linotype" w:cs="Palatino Linotype"/>
          <w:sz w:val="22"/>
          <w:szCs w:val="22"/>
        </w:rPr>
        <w:t xml:space="preserve">En esa tesitura, debe apuntarse que la información curricular constituye una obligación de transparencia, pues </w:t>
      </w:r>
      <w:r w:rsidRPr="006D6EEB">
        <w:rPr>
          <w:rFonts w:ascii="Palatino Linotype" w:eastAsia="Palatino Linotype" w:hAnsi="Palatino Linotype" w:cs="Palatino Linotype"/>
          <w:b/>
          <w:sz w:val="22"/>
          <w:szCs w:val="22"/>
        </w:rPr>
        <w:t>el Sujeto Obligado</w:t>
      </w:r>
      <w:r w:rsidRPr="006D6EEB">
        <w:rPr>
          <w:rFonts w:ascii="Palatino Linotype" w:eastAsia="Palatino Linotype" w:hAnsi="Palatino Linotype" w:cs="Palatino Linotype"/>
          <w:sz w:val="22"/>
          <w:szCs w:val="22"/>
        </w:rPr>
        <w:t xml:space="preserve"> se encuentra constreñido a poner a disposición del público en su portal de Información Pública de Oficio Mexiquense (IPOMEX), la información curricular de sus servidores públicos, ello con la finalidad de enaltecer los principios de máxima publicidad, transparencia y certeza, como lo estipula  el artículo 92, fracción XXI de la ley aplicable a la materia, que es del tenor literal siguiente: </w:t>
      </w:r>
    </w:p>
    <w:p w14:paraId="12CAB4C4" w14:textId="77777777" w:rsidR="003C3FE1" w:rsidRPr="006D6EEB" w:rsidRDefault="003C3FE1" w:rsidP="00AA5401">
      <w:pPr>
        <w:spacing w:before="240" w:after="240" w:line="360" w:lineRule="auto"/>
        <w:ind w:left="567" w:right="560"/>
        <w:jc w:val="both"/>
        <w:rPr>
          <w:rFonts w:ascii="Palatino Linotype" w:eastAsia="Palatino Linotype" w:hAnsi="Palatino Linotype" w:cs="Palatino Linotype"/>
          <w:i/>
          <w:sz w:val="22"/>
          <w:szCs w:val="22"/>
        </w:rPr>
      </w:pPr>
      <w:r w:rsidRPr="006D6EEB">
        <w:rPr>
          <w:rFonts w:ascii="Palatino Linotype" w:eastAsia="Palatino Linotype" w:hAnsi="Palatino Linotype" w:cs="Palatino Linotype"/>
          <w:i/>
          <w:sz w:val="22"/>
          <w:szCs w:val="22"/>
        </w:rPr>
        <w:t xml:space="preserve"> “</w:t>
      </w:r>
      <w:r w:rsidRPr="006D6EEB">
        <w:rPr>
          <w:rFonts w:ascii="Palatino Linotype" w:eastAsia="Palatino Linotype" w:hAnsi="Palatino Linotype" w:cs="Palatino Linotype"/>
          <w:b/>
          <w:i/>
          <w:sz w:val="22"/>
          <w:szCs w:val="22"/>
        </w:rPr>
        <w:t>Artículo 92.</w:t>
      </w:r>
      <w:r w:rsidRPr="006D6EEB">
        <w:rPr>
          <w:rFonts w:ascii="Palatino Linotype" w:eastAsia="Palatino Linotype" w:hAnsi="Palatino Linotype" w:cs="Palatino Linotype"/>
          <w:i/>
          <w:sz w:val="22"/>
          <w:szCs w:val="22"/>
        </w:rPr>
        <w:t xml:space="preserve"> Los sujetos obligados deberán poner a disposición del público de manera permanente y actualizada de forma sencilla, precisa y entendible, en los respectivos medios electrónicos, de acuerdo con sus facultades, atribuciones, funciones u objeto social, según corresponda, la información, por lo menos, de los temas, documentos y políticas que a continuación se señalan:</w:t>
      </w:r>
    </w:p>
    <w:p w14:paraId="05857230" w14:textId="77777777" w:rsidR="003C3FE1" w:rsidRPr="006D6EEB" w:rsidRDefault="003C3FE1" w:rsidP="00AA5401">
      <w:pPr>
        <w:spacing w:before="240" w:after="240" w:line="360" w:lineRule="auto"/>
        <w:ind w:left="567" w:right="-7"/>
        <w:jc w:val="both"/>
        <w:rPr>
          <w:rFonts w:ascii="Palatino Linotype" w:eastAsia="Palatino Linotype" w:hAnsi="Palatino Linotype" w:cs="Palatino Linotype"/>
          <w:i/>
          <w:sz w:val="22"/>
          <w:szCs w:val="22"/>
        </w:rPr>
      </w:pPr>
      <w:r w:rsidRPr="006D6EEB">
        <w:rPr>
          <w:rFonts w:ascii="Palatino Linotype" w:eastAsia="Palatino Linotype" w:hAnsi="Palatino Linotype" w:cs="Palatino Linotype"/>
          <w:i/>
          <w:sz w:val="22"/>
          <w:szCs w:val="22"/>
        </w:rPr>
        <w:t>...</w:t>
      </w:r>
    </w:p>
    <w:p w14:paraId="6B7A4AA4" w14:textId="77777777" w:rsidR="003C3FE1" w:rsidRPr="006D6EEB" w:rsidRDefault="003C3FE1" w:rsidP="00AA5401">
      <w:pPr>
        <w:spacing w:before="240" w:after="240" w:line="360" w:lineRule="auto"/>
        <w:ind w:left="567" w:right="560"/>
        <w:jc w:val="both"/>
        <w:rPr>
          <w:rFonts w:ascii="Palatino Linotype" w:eastAsia="Palatino Linotype" w:hAnsi="Palatino Linotype" w:cs="Palatino Linotype"/>
          <w:b/>
          <w:i/>
          <w:sz w:val="22"/>
          <w:szCs w:val="22"/>
        </w:rPr>
      </w:pPr>
      <w:r w:rsidRPr="006D6EEB">
        <w:rPr>
          <w:rFonts w:ascii="Palatino Linotype" w:eastAsia="Palatino Linotype" w:hAnsi="Palatino Linotype" w:cs="Palatino Linotype"/>
          <w:b/>
          <w:i/>
          <w:sz w:val="22"/>
          <w:szCs w:val="22"/>
        </w:rPr>
        <w:t>XXI. La información curricular, desde el nivel de jefe de departamento o equivalente, hasta el titular del sujeto obligado, así como, en su caso, las sanciones administrativas de que haya sido objeto;</w:t>
      </w:r>
    </w:p>
    <w:p w14:paraId="4D8E600D" w14:textId="77777777" w:rsidR="003C3FE1" w:rsidRPr="006D6EEB" w:rsidRDefault="003C3FE1" w:rsidP="00AA5401">
      <w:pPr>
        <w:spacing w:before="240" w:after="240" w:line="360" w:lineRule="auto"/>
        <w:ind w:left="567" w:right="560"/>
        <w:jc w:val="both"/>
        <w:rPr>
          <w:rFonts w:ascii="Palatino Linotype" w:eastAsia="Palatino Linotype" w:hAnsi="Palatino Linotype" w:cs="Palatino Linotype"/>
          <w:b/>
          <w:i/>
          <w:sz w:val="22"/>
          <w:szCs w:val="22"/>
        </w:rPr>
      </w:pPr>
      <w:r w:rsidRPr="006D6EEB">
        <w:rPr>
          <w:rFonts w:ascii="Palatino Linotype" w:eastAsia="Palatino Linotype" w:hAnsi="Palatino Linotype" w:cs="Palatino Linotype"/>
          <w:b/>
          <w:i/>
          <w:sz w:val="22"/>
          <w:szCs w:val="22"/>
        </w:rPr>
        <w:t>…</w:t>
      </w:r>
    </w:p>
    <w:p w14:paraId="63CD3C34" w14:textId="4A01789F" w:rsidR="00D10CEA" w:rsidRPr="006D6EEB" w:rsidRDefault="002E636B" w:rsidP="00AA5401">
      <w:pPr>
        <w:spacing w:before="240" w:after="240" w:line="360" w:lineRule="auto"/>
        <w:jc w:val="both"/>
        <w:rPr>
          <w:rFonts w:ascii="Palatino Linotype" w:eastAsia="Palatino Linotype" w:hAnsi="Palatino Linotype" w:cs="Palatino Linotype"/>
          <w:sz w:val="22"/>
          <w:szCs w:val="22"/>
        </w:rPr>
      </w:pPr>
      <w:r w:rsidRPr="006D6EEB">
        <w:rPr>
          <w:rFonts w:ascii="Palatino Linotype" w:eastAsia="Palatino Linotype" w:hAnsi="Palatino Linotype" w:cs="Palatino Linotype"/>
          <w:sz w:val="22"/>
          <w:szCs w:val="22"/>
        </w:rPr>
        <w:t>E</w:t>
      </w:r>
      <w:r w:rsidR="00D10CEA" w:rsidRPr="006D6EEB">
        <w:rPr>
          <w:rFonts w:ascii="Palatino Linotype" w:eastAsia="Palatino Linotype" w:hAnsi="Palatino Linotype" w:cs="Palatino Linotype"/>
          <w:sz w:val="22"/>
          <w:szCs w:val="22"/>
        </w:rPr>
        <w:t xml:space="preserve">n consecuencia, el Sujeto Obligado deberá proporcionar el </w:t>
      </w:r>
      <w:r w:rsidR="00D10CEA" w:rsidRPr="006D6EEB">
        <w:rPr>
          <w:rFonts w:ascii="Palatino Linotype" w:eastAsia="Palatino Linotype" w:hAnsi="Palatino Linotype" w:cs="Palatino Linotype"/>
          <w:b/>
          <w:bCs/>
          <w:sz w:val="22"/>
          <w:szCs w:val="22"/>
        </w:rPr>
        <w:t xml:space="preserve">grado o nivel académico </w:t>
      </w:r>
      <w:r w:rsidR="00D10CEA" w:rsidRPr="006D6EEB">
        <w:rPr>
          <w:rFonts w:ascii="Palatino Linotype" w:eastAsia="Palatino Linotype" w:hAnsi="Palatino Linotype" w:cs="Palatino Linotype"/>
          <w:sz w:val="22"/>
          <w:szCs w:val="22"/>
        </w:rPr>
        <w:t>respecto del Presidente Municipal, Síndico y Regidores.</w:t>
      </w:r>
    </w:p>
    <w:p w14:paraId="61633CAF" w14:textId="77777777" w:rsidR="002E636B" w:rsidRPr="006D6EEB" w:rsidRDefault="00D10CEA" w:rsidP="00AA5401">
      <w:pPr>
        <w:spacing w:before="240" w:after="240" w:line="360" w:lineRule="auto"/>
        <w:jc w:val="both"/>
        <w:rPr>
          <w:rFonts w:ascii="Palatino Linotype" w:eastAsia="Palatino Linotype" w:hAnsi="Palatino Linotype" w:cs="Palatino Linotype"/>
          <w:sz w:val="22"/>
          <w:szCs w:val="22"/>
        </w:rPr>
      </w:pPr>
      <w:r w:rsidRPr="006D6EEB">
        <w:rPr>
          <w:rFonts w:ascii="Palatino Linotype" w:eastAsia="Palatino Linotype" w:hAnsi="Palatino Linotype" w:cs="Palatino Linotype"/>
          <w:sz w:val="22"/>
          <w:szCs w:val="22"/>
        </w:rPr>
        <w:t xml:space="preserve">Por otra parte, respecto del numeral 2, debe distinguirse entre la publicidad de la información relativa al grado académico y la existencia de una obligación normativa que imponga al Ayuntamiento el deber de poseer necesariamente un título, cédula profesional, certificado o constancia que lo acredite. </w:t>
      </w:r>
    </w:p>
    <w:p w14:paraId="538B7C0B" w14:textId="00E80DBA" w:rsidR="00D10CEA" w:rsidRPr="006D6EEB" w:rsidRDefault="00D10CEA" w:rsidP="00AA5401">
      <w:pPr>
        <w:spacing w:before="240" w:after="240" w:line="360" w:lineRule="auto"/>
        <w:jc w:val="both"/>
        <w:rPr>
          <w:rFonts w:ascii="Palatino Linotype" w:eastAsia="Palatino Linotype" w:hAnsi="Palatino Linotype" w:cs="Palatino Linotype"/>
          <w:sz w:val="22"/>
          <w:szCs w:val="22"/>
        </w:rPr>
      </w:pPr>
      <w:r w:rsidRPr="006D6EEB">
        <w:rPr>
          <w:rFonts w:ascii="Palatino Linotype" w:eastAsia="Palatino Linotype" w:hAnsi="Palatino Linotype" w:cs="Palatino Linotype"/>
          <w:sz w:val="22"/>
          <w:szCs w:val="22"/>
        </w:rPr>
        <w:t xml:space="preserve">En efecto, tratándose de cargos de elección popular, no se advierte que el artículo 119 de la Constitución local establezca como requisito de elegibilidad la presentación de tales documentales; sin embargo, </w:t>
      </w:r>
      <w:r w:rsidRPr="006D6EEB">
        <w:rPr>
          <w:rFonts w:ascii="Palatino Linotype" w:eastAsia="Palatino Linotype" w:hAnsi="Palatino Linotype" w:cs="Palatino Linotype"/>
          <w:b/>
          <w:bCs/>
          <w:sz w:val="22"/>
          <w:szCs w:val="22"/>
        </w:rPr>
        <w:t>esa circunstancia, por sí sola, no permite concluir que dichos documentos no obren materialmente en los archivos del Sujeto Obligado</w:t>
      </w:r>
      <w:r w:rsidRPr="006D6EEB">
        <w:rPr>
          <w:rFonts w:ascii="Palatino Linotype" w:eastAsia="Palatino Linotype" w:hAnsi="Palatino Linotype" w:cs="Palatino Linotype"/>
          <w:sz w:val="22"/>
          <w:szCs w:val="22"/>
        </w:rPr>
        <w:t>.</w:t>
      </w:r>
    </w:p>
    <w:p w14:paraId="29229414" w14:textId="77777777" w:rsidR="00D10CEA" w:rsidRPr="006D6EEB" w:rsidRDefault="00D10CEA" w:rsidP="00AA5401">
      <w:pPr>
        <w:spacing w:before="240" w:after="240" w:line="360" w:lineRule="auto"/>
        <w:jc w:val="both"/>
        <w:rPr>
          <w:rFonts w:ascii="Palatino Linotype" w:eastAsia="Palatino Linotype" w:hAnsi="Palatino Linotype" w:cs="Palatino Linotype"/>
          <w:sz w:val="22"/>
          <w:szCs w:val="22"/>
        </w:rPr>
      </w:pPr>
      <w:r w:rsidRPr="006D6EEB">
        <w:rPr>
          <w:rFonts w:ascii="Palatino Linotype" w:eastAsia="Palatino Linotype" w:hAnsi="Palatino Linotype" w:cs="Palatino Linotype"/>
          <w:sz w:val="22"/>
          <w:szCs w:val="22"/>
        </w:rPr>
        <w:t xml:space="preserve">Así, la manifestación consistente en que tales documentos “no se les requieren” a las personas integrantes del Cabildo no resulta suficiente para tener por satisfecho el derecho de acceso, pues no da cuenta de que se hubiese efectuado una búsqueda en las unidades administrativas susceptibles de poseerlos. Por tanto, deberá realizarse una </w:t>
      </w:r>
      <w:r w:rsidRPr="006D6EEB">
        <w:rPr>
          <w:rFonts w:ascii="Palatino Linotype" w:eastAsia="Palatino Linotype" w:hAnsi="Palatino Linotype" w:cs="Palatino Linotype"/>
          <w:b/>
          <w:bCs/>
          <w:sz w:val="22"/>
          <w:szCs w:val="22"/>
        </w:rPr>
        <w:t>búsqueda exhaustiva y razonable</w:t>
      </w:r>
      <w:r w:rsidRPr="006D6EEB">
        <w:rPr>
          <w:rFonts w:ascii="Palatino Linotype" w:eastAsia="Palatino Linotype" w:hAnsi="Palatino Linotype" w:cs="Palatino Linotype"/>
          <w:sz w:val="22"/>
          <w:szCs w:val="22"/>
        </w:rPr>
        <w:t xml:space="preserve"> de los títulos, cédulas, certificados, constancias o documentos análogos mediante los cuales, en su caso, se acredite el grado académico de las personas señaladas y, de localizarlos, deberá proporcionarlos al particular, elaborando la versión pública correspondiente cuando contengan información susceptible de clasificación.</w:t>
      </w:r>
    </w:p>
    <w:p w14:paraId="2E979431" w14:textId="77777777" w:rsidR="00D10CEA" w:rsidRPr="006D6EEB" w:rsidRDefault="00D10CEA" w:rsidP="00AA5401">
      <w:pPr>
        <w:spacing w:before="240" w:after="240" w:line="360" w:lineRule="auto"/>
        <w:jc w:val="both"/>
        <w:rPr>
          <w:rFonts w:ascii="Palatino Linotype" w:eastAsia="Palatino Linotype" w:hAnsi="Palatino Linotype" w:cs="Palatino Linotype"/>
          <w:sz w:val="22"/>
          <w:szCs w:val="22"/>
        </w:rPr>
      </w:pPr>
      <w:r w:rsidRPr="006D6EEB">
        <w:rPr>
          <w:rFonts w:ascii="Palatino Linotype" w:eastAsia="Palatino Linotype" w:hAnsi="Palatino Linotype" w:cs="Palatino Linotype"/>
          <w:b/>
          <w:bCs/>
          <w:sz w:val="22"/>
          <w:szCs w:val="22"/>
        </w:rPr>
        <w:t>En el supuesto de que, agotada dicha búsqueda, no se localicen las documentales referidas, bastará con que el Sujeto Obligado emita un pronunciamiento expreso, claro y categórico en el que haga del conocimiento de la parte recurrente que no cuenta con ellas</w:t>
      </w:r>
      <w:r w:rsidRPr="006D6EEB">
        <w:rPr>
          <w:rFonts w:ascii="Palatino Linotype" w:eastAsia="Palatino Linotype" w:hAnsi="Palatino Linotype" w:cs="Palatino Linotype"/>
          <w:sz w:val="22"/>
          <w:szCs w:val="22"/>
        </w:rPr>
        <w:t>, sin que el ejercicio del derecho de acceso a la información implique obligarlo a generar, recabar u obtener documentos que no obren en sus archivos y respecto de los cuales no existe disposición jurídica que le imponga necesariamente su posesión.</w:t>
      </w:r>
    </w:p>
    <w:p w14:paraId="6661FABE" w14:textId="2C026037" w:rsidR="002F78C1" w:rsidRPr="006D6EEB" w:rsidRDefault="00356228" w:rsidP="00AA5401">
      <w:pPr>
        <w:spacing w:before="240" w:after="240" w:line="360" w:lineRule="auto"/>
        <w:jc w:val="both"/>
        <w:rPr>
          <w:rFonts w:ascii="Palatino Linotype" w:eastAsia="Palatino Linotype" w:hAnsi="Palatino Linotype" w:cs="Palatino Linotype"/>
          <w:sz w:val="22"/>
          <w:szCs w:val="22"/>
        </w:rPr>
      </w:pPr>
      <w:r w:rsidRPr="006D6EEB">
        <w:rPr>
          <w:rFonts w:ascii="Palatino Linotype" w:eastAsia="Palatino Linotype" w:hAnsi="Palatino Linotype" w:cs="Palatino Linotype"/>
          <w:sz w:val="22"/>
          <w:szCs w:val="22"/>
        </w:rPr>
        <w:t>Finalmente, resta analizar</w:t>
      </w:r>
      <w:r w:rsidR="002F78C1" w:rsidRPr="006D6EEB">
        <w:rPr>
          <w:rFonts w:ascii="Palatino Linotype" w:eastAsia="Palatino Linotype" w:hAnsi="Palatino Linotype" w:cs="Palatino Linotype"/>
          <w:sz w:val="22"/>
          <w:szCs w:val="22"/>
        </w:rPr>
        <w:t xml:space="preserve"> lo referente al</w:t>
      </w:r>
      <w:r w:rsidR="001222EF" w:rsidRPr="006D6EEB">
        <w:rPr>
          <w:rFonts w:ascii="Palatino Linotype" w:eastAsia="Palatino Linotype" w:hAnsi="Palatino Linotype" w:cs="Palatino Linotype"/>
          <w:sz w:val="22"/>
          <w:szCs w:val="22"/>
        </w:rPr>
        <w:t xml:space="preserve"> </w:t>
      </w:r>
      <w:r w:rsidR="002F78C1" w:rsidRPr="006D6EEB">
        <w:rPr>
          <w:rFonts w:ascii="Palatino Linotype" w:eastAsia="Palatino Linotype" w:hAnsi="Palatino Linotype" w:cs="Palatino Linotype"/>
          <w:sz w:val="22"/>
          <w:szCs w:val="22"/>
        </w:rPr>
        <w:t>requerimient</w:t>
      </w:r>
      <w:r w:rsidR="001222EF" w:rsidRPr="006D6EEB">
        <w:rPr>
          <w:rFonts w:ascii="Palatino Linotype" w:eastAsia="Palatino Linotype" w:hAnsi="Palatino Linotype" w:cs="Palatino Linotype"/>
          <w:sz w:val="22"/>
          <w:szCs w:val="22"/>
        </w:rPr>
        <w:t>o</w:t>
      </w:r>
      <w:r w:rsidR="002F78C1" w:rsidRPr="006D6EEB">
        <w:rPr>
          <w:rFonts w:ascii="Palatino Linotype" w:eastAsia="Palatino Linotype" w:hAnsi="Palatino Linotype" w:cs="Palatino Linotype"/>
          <w:sz w:val="22"/>
          <w:szCs w:val="22"/>
        </w:rPr>
        <w:t xml:space="preserve"> 5, </w:t>
      </w:r>
      <w:r w:rsidRPr="006D6EEB">
        <w:rPr>
          <w:rFonts w:ascii="Palatino Linotype" w:eastAsia="Palatino Linotype" w:hAnsi="Palatino Linotype" w:cs="Palatino Linotype"/>
          <w:sz w:val="22"/>
          <w:szCs w:val="22"/>
        </w:rPr>
        <w:t xml:space="preserve">en la parte relativa a que </w:t>
      </w:r>
      <w:r w:rsidR="003705B4" w:rsidRPr="006D6EEB">
        <w:rPr>
          <w:rFonts w:ascii="Palatino Linotype" w:eastAsia="Palatino Linotype" w:hAnsi="Palatino Linotype" w:cs="Palatino Linotype"/>
          <w:sz w:val="22"/>
          <w:szCs w:val="22"/>
        </w:rPr>
        <w:t>se le</w:t>
      </w:r>
      <w:r w:rsidRPr="006D6EEB">
        <w:rPr>
          <w:rFonts w:ascii="Palatino Linotype" w:eastAsia="Palatino Linotype" w:hAnsi="Palatino Linotype" w:cs="Palatino Linotype"/>
          <w:sz w:val="22"/>
          <w:szCs w:val="22"/>
        </w:rPr>
        <w:t xml:space="preserve"> indique </w:t>
      </w:r>
      <w:r w:rsidR="002F78C1" w:rsidRPr="006D6EEB">
        <w:rPr>
          <w:rFonts w:ascii="Palatino Linotype" w:eastAsia="Palatino Linotype" w:hAnsi="Palatino Linotype" w:cs="Palatino Linotype"/>
          <w:b/>
          <w:bCs/>
          <w:sz w:val="22"/>
          <w:szCs w:val="22"/>
        </w:rPr>
        <w:t xml:space="preserve">cuales han sido los resultados que hayan presentado </w:t>
      </w:r>
      <w:r w:rsidRPr="006D6EEB">
        <w:rPr>
          <w:rFonts w:ascii="Palatino Linotype" w:eastAsia="Palatino Linotype" w:hAnsi="Palatino Linotype" w:cs="Palatino Linotype"/>
          <w:b/>
          <w:bCs/>
          <w:sz w:val="22"/>
          <w:szCs w:val="22"/>
        </w:rPr>
        <w:t xml:space="preserve">los regidores </w:t>
      </w:r>
      <w:r w:rsidR="002F78C1" w:rsidRPr="006D6EEB">
        <w:rPr>
          <w:rFonts w:ascii="Palatino Linotype" w:eastAsia="Palatino Linotype" w:hAnsi="Palatino Linotype" w:cs="Palatino Linotype"/>
          <w:b/>
          <w:bCs/>
          <w:sz w:val="22"/>
          <w:szCs w:val="22"/>
        </w:rPr>
        <w:t xml:space="preserve">para beneficio de la </w:t>
      </w:r>
      <w:r w:rsidR="005F7FEB" w:rsidRPr="006D6EEB">
        <w:rPr>
          <w:rFonts w:ascii="Palatino Linotype" w:eastAsia="Palatino Linotype" w:hAnsi="Palatino Linotype" w:cs="Palatino Linotype"/>
          <w:b/>
          <w:bCs/>
          <w:sz w:val="22"/>
          <w:szCs w:val="22"/>
        </w:rPr>
        <w:t>población</w:t>
      </w:r>
      <w:r w:rsidR="002F78C1" w:rsidRPr="006D6EEB">
        <w:rPr>
          <w:rFonts w:ascii="Palatino Linotype" w:eastAsia="Palatino Linotype" w:hAnsi="Palatino Linotype" w:cs="Palatino Linotype"/>
          <w:b/>
          <w:bCs/>
          <w:sz w:val="22"/>
          <w:szCs w:val="22"/>
        </w:rPr>
        <w:t xml:space="preserve"> tepetlixpense y en caso de que no hayan emitido algún resultado, informe las causas debidamente fundadas y motivadas.</w:t>
      </w:r>
    </w:p>
    <w:p w14:paraId="0129C2F7" w14:textId="3DE00549" w:rsidR="001222EF" w:rsidRPr="006D6EEB" w:rsidRDefault="001222EF" w:rsidP="00AA5401">
      <w:pPr>
        <w:spacing w:before="240" w:after="240" w:line="360" w:lineRule="auto"/>
        <w:jc w:val="both"/>
        <w:rPr>
          <w:rFonts w:ascii="Palatino Linotype" w:eastAsia="Palatino Linotype" w:hAnsi="Palatino Linotype" w:cs="Palatino Linotype"/>
          <w:sz w:val="22"/>
          <w:szCs w:val="22"/>
        </w:rPr>
      </w:pPr>
      <w:r w:rsidRPr="006D6EEB">
        <w:rPr>
          <w:rFonts w:ascii="Palatino Linotype" w:eastAsia="Palatino Linotype" w:hAnsi="Palatino Linotype" w:cs="Palatino Linotype"/>
          <w:sz w:val="22"/>
          <w:szCs w:val="22"/>
        </w:rPr>
        <w:t xml:space="preserve">Sobre el particular, es de recordar que el Sujeto Obligado, en </w:t>
      </w:r>
      <w:r w:rsidR="00356228" w:rsidRPr="006D6EEB">
        <w:rPr>
          <w:rFonts w:ascii="Palatino Linotype" w:eastAsia="Palatino Linotype" w:hAnsi="Palatino Linotype" w:cs="Palatino Linotype"/>
          <w:sz w:val="22"/>
          <w:szCs w:val="22"/>
        </w:rPr>
        <w:t>respuesta,</w:t>
      </w:r>
      <w:r w:rsidRPr="006D6EEB">
        <w:rPr>
          <w:rFonts w:ascii="Palatino Linotype" w:eastAsia="Palatino Linotype" w:hAnsi="Palatino Linotype" w:cs="Palatino Linotype"/>
          <w:sz w:val="22"/>
          <w:szCs w:val="22"/>
        </w:rPr>
        <w:t xml:space="preserve"> </w:t>
      </w:r>
      <w:r w:rsidR="005F7FEB" w:rsidRPr="006D6EEB">
        <w:rPr>
          <w:rFonts w:ascii="Palatino Linotype" w:eastAsia="Palatino Linotype" w:hAnsi="Palatino Linotype" w:cs="Palatino Linotype"/>
          <w:sz w:val="22"/>
          <w:szCs w:val="22"/>
        </w:rPr>
        <w:t>refirió anexar</w:t>
      </w:r>
      <w:r w:rsidRPr="006D6EEB">
        <w:rPr>
          <w:rFonts w:ascii="Palatino Linotype" w:eastAsia="Palatino Linotype" w:hAnsi="Palatino Linotype" w:cs="Palatino Linotype"/>
          <w:sz w:val="22"/>
          <w:szCs w:val="22"/>
        </w:rPr>
        <w:t xml:space="preserve"> el siguiente link https://ipomex.org.mx/ipomex/#/infofraccion/122/185/1 donde</w:t>
      </w:r>
      <w:r w:rsidR="005F7FEB" w:rsidRPr="006D6EEB">
        <w:rPr>
          <w:rFonts w:ascii="Palatino Linotype" w:eastAsia="Palatino Linotype" w:hAnsi="Palatino Linotype" w:cs="Palatino Linotype"/>
          <w:sz w:val="22"/>
          <w:szCs w:val="22"/>
        </w:rPr>
        <w:t>, a su decir,</w:t>
      </w:r>
      <w:r w:rsidRPr="006D6EEB">
        <w:rPr>
          <w:rFonts w:ascii="Palatino Linotype" w:eastAsia="Palatino Linotype" w:hAnsi="Palatino Linotype" w:cs="Palatino Linotype"/>
          <w:sz w:val="22"/>
          <w:szCs w:val="22"/>
        </w:rPr>
        <w:t xml:space="preserve"> se encuentran los acuerdos de las sesiones de cabildo y https://ipomex.org.mx/ipomex/#/info-fraccion/124/185/12 </w:t>
      </w:r>
      <w:r w:rsidR="005F7FEB" w:rsidRPr="006D6EEB">
        <w:rPr>
          <w:rFonts w:ascii="Palatino Linotype" w:eastAsia="Palatino Linotype" w:hAnsi="Palatino Linotype" w:cs="Palatino Linotype"/>
          <w:sz w:val="22"/>
          <w:szCs w:val="22"/>
        </w:rPr>
        <w:t xml:space="preserve">y </w:t>
      </w:r>
      <w:r w:rsidRPr="006D6EEB">
        <w:rPr>
          <w:rFonts w:ascii="Palatino Linotype" w:eastAsia="Palatino Linotype" w:hAnsi="Palatino Linotype" w:cs="Palatino Linotype"/>
          <w:sz w:val="22"/>
          <w:szCs w:val="22"/>
        </w:rPr>
        <w:t>donde se encuentran publicadas las actas de cabildo que dan cuenta de los resultados en beneficio de la población.</w:t>
      </w:r>
    </w:p>
    <w:p w14:paraId="386498E9" w14:textId="7D30CB1D" w:rsidR="00DE1060" w:rsidRPr="006D6EEB" w:rsidRDefault="00356228" w:rsidP="00AA5401">
      <w:pPr>
        <w:spacing w:before="240" w:after="240" w:line="360" w:lineRule="auto"/>
        <w:jc w:val="both"/>
        <w:rPr>
          <w:rFonts w:ascii="Palatino Linotype" w:eastAsia="Palatino Linotype" w:hAnsi="Palatino Linotype" w:cs="Palatino Linotype"/>
          <w:sz w:val="22"/>
          <w:szCs w:val="22"/>
        </w:rPr>
      </w:pPr>
      <w:r w:rsidRPr="006D6EEB">
        <w:rPr>
          <w:rFonts w:ascii="Palatino Linotype" w:eastAsia="Palatino Linotype" w:hAnsi="Palatino Linotype" w:cs="Palatino Linotype"/>
          <w:sz w:val="22"/>
          <w:szCs w:val="22"/>
        </w:rPr>
        <w:t xml:space="preserve">Sobre el particular es de precisar que la Recurrente argumentó </w:t>
      </w:r>
      <w:r w:rsidR="00DE1060" w:rsidRPr="006D6EEB">
        <w:rPr>
          <w:rFonts w:ascii="Palatino Linotype" w:eastAsia="Palatino Linotype" w:hAnsi="Palatino Linotype" w:cs="Palatino Linotype"/>
          <w:sz w:val="22"/>
          <w:szCs w:val="22"/>
        </w:rPr>
        <w:t xml:space="preserve">que los vínculos electrónicos proporcionados por el Sujeto Obligado no permiten acceder a la información, por lo que este Instituto procedió a verificar su contenido; así, de dicha revisión se advirtió que, efectivamente, al ingresar al vínculo </w:t>
      </w:r>
      <w:hyperlink r:id="rId8" w:anchor="/infofraccion/122/185/1" w:tgtFrame="_new" w:history="1">
        <w:r w:rsidR="00DE1060" w:rsidRPr="006D6EEB">
          <w:rPr>
            <w:rStyle w:val="Hipervnculo"/>
            <w:rFonts w:ascii="Palatino Linotype" w:eastAsia="Palatino Linotype" w:hAnsi="Palatino Linotype" w:cs="Palatino Linotype"/>
            <w:b/>
            <w:bCs/>
            <w:sz w:val="22"/>
            <w:szCs w:val="22"/>
          </w:rPr>
          <w:t>https://ipomex.org.mx/ipomex/#/infofraccion/122/185/1</w:t>
        </w:r>
      </w:hyperlink>
      <w:r w:rsidR="00DE1060" w:rsidRPr="006D6EEB">
        <w:rPr>
          <w:rFonts w:ascii="Palatino Linotype" w:eastAsia="Palatino Linotype" w:hAnsi="Palatino Linotype" w:cs="Palatino Linotype"/>
          <w:sz w:val="22"/>
          <w:szCs w:val="22"/>
        </w:rPr>
        <w:t xml:space="preserve"> se genera un mensaje de error que impide consultar la información ahí referida, como se advierte de la siguiente imagen:</w:t>
      </w:r>
    </w:p>
    <w:p w14:paraId="1BF5B13F" w14:textId="77777777" w:rsidR="00356228" w:rsidRPr="006D6EEB" w:rsidRDefault="00356228" w:rsidP="00AA5401">
      <w:pPr>
        <w:spacing w:before="240" w:after="240" w:line="360" w:lineRule="auto"/>
        <w:jc w:val="both"/>
        <w:rPr>
          <w:rFonts w:ascii="Palatino Linotype" w:eastAsia="Palatino Linotype" w:hAnsi="Palatino Linotype" w:cs="Palatino Linotype"/>
          <w:sz w:val="22"/>
          <w:szCs w:val="22"/>
        </w:rPr>
      </w:pPr>
    </w:p>
    <w:p w14:paraId="2326C20B" w14:textId="3FBFFE9E" w:rsidR="00356228" w:rsidRPr="006D6EEB" w:rsidRDefault="00356228" w:rsidP="00AA5401">
      <w:pPr>
        <w:spacing w:before="240" w:after="240" w:line="360" w:lineRule="auto"/>
        <w:jc w:val="both"/>
        <w:rPr>
          <w:rFonts w:ascii="Palatino Linotype" w:eastAsia="Palatino Linotype" w:hAnsi="Palatino Linotype" w:cs="Palatino Linotype"/>
          <w:sz w:val="22"/>
          <w:szCs w:val="22"/>
        </w:rPr>
      </w:pPr>
      <w:r w:rsidRPr="006D6EEB">
        <w:rPr>
          <w:rFonts w:ascii="Palatino Linotype" w:eastAsia="Palatino Linotype" w:hAnsi="Palatino Linotype" w:cs="Palatino Linotype"/>
          <w:noProof/>
          <w:sz w:val="22"/>
          <w:szCs w:val="22"/>
        </w:rPr>
        <w:drawing>
          <wp:inline distT="0" distB="0" distL="0" distR="0" wp14:anchorId="4397C1C6" wp14:editId="22F5C5CB">
            <wp:extent cx="5756275" cy="2642235"/>
            <wp:effectExtent l="0" t="0" r="0" b="5715"/>
            <wp:docPr id="37276025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760251" name=""/>
                    <pic:cNvPicPr/>
                  </pic:nvPicPr>
                  <pic:blipFill>
                    <a:blip r:embed="rId9"/>
                    <a:stretch>
                      <a:fillRect/>
                    </a:stretch>
                  </pic:blipFill>
                  <pic:spPr>
                    <a:xfrm>
                      <a:off x="0" y="0"/>
                      <a:ext cx="5756275" cy="2642235"/>
                    </a:xfrm>
                    <a:prstGeom prst="rect">
                      <a:avLst/>
                    </a:prstGeom>
                  </pic:spPr>
                </pic:pic>
              </a:graphicData>
            </a:graphic>
          </wp:inline>
        </w:drawing>
      </w:r>
    </w:p>
    <w:p w14:paraId="453CD941" w14:textId="560CDCC9" w:rsidR="00356228" w:rsidRPr="006D6EEB" w:rsidRDefault="00DE1060" w:rsidP="00AA5401">
      <w:pPr>
        <w:spacing w:before="240" w:after="240" w:line="360" w:lineRule="auto"/>
        <w:jc w:val="both"/>
        <w:rPr>
          <w:rFonts w:ascii="Palatino Linotype" w:eastAsia="Palatino Linotype" w:hAnsi="Palatino Linotype" w:cs="Palatino Linotype"/>
          <w:sz w:val="22"/>
          <w:szCs w:val="22"/>
        </w:rPr>
      </w:pPr>
      <w:r w:rsidRPr="006D6EEB">
        <w:rPr>
          <w:rFonts w:ascii="Palatino Linotype" w:eastAsia="Palatino Linotype" w:hAnsi="Palatino Linotype" w:cs="Palatino Linotype"/>
          <w:sz w:val="22"/>
          <w:szCs w:val="22"/>
        </w:rPr>
        <w:t xml:space="preserve">No obstante, al acceder a la diversa dirección electrónica </w:t>
      </w:r>
      <w:hyperlink r:id="rId10" w:anchor="/info-fraccion/124/185/12" w:tgtFrame="_new" w:history="1">
        <w:r w:rsidRPr="006D6EEB">
          <w:rPr>
            <w:rStyle w:val="Hipervnculo"/>
            <w:rFonts w:ascii="Palatino Linotype" w:eastAsia="Palatino Linotype" w:hAnsi="Palatino Linotype" w:cs="Palatino Linotype"/>
            <w:b/>
            <w:bCs/>
            <w:sz w:val="22"/>
            <w:szCs w:val="22"/>
          </w:rPr>
          <w:t>https://ipomex.org.mx/ipomex/#/info-fraccion/124/185/12</w:t>
        </w:r>
      </w:hyperlink>
      <w:r w:rsidRPr="006D6EEB">
        <w:rPr>
          <w:rFonts w:ascii="Palatino Linotype" w:eastAsia="Palatino Linotype" w:hAnsi="Palatino Linotype" w:cs="Palatino Linotype"/>
          <w:sz w:val="22"/>
          <w:szCs w:val="22"/>
        </w:rPr>
        <w:t xml:space="preserve">, ésta se encuentra habilitada y conduce al portal de </w:t>
      </w:r>
      <w:r w:rsidRPr="006D6EEB">
        <w:rPr>
          <w:rFonts w:ascii="Palatino Linotype" w:eastAsia="Palatino Linotype" w:hAnsi="Palatino Linotype" w:cs="Palatino Linotype"/>
          <w:b/>
          <w:bCs/>
          <w:sz w:val="22"/>
          <w:szCs w:val="22"/>
        </w:rPr>
        <w:t>Información Pública de Oficio Mexiquense (IPOMEX) correspondiente al Ayuntamiento de Tepetlixpa</w:t>
      </w:r>
      <w:r w:rsidRPr="006D6EEB">
        <w:rPr>
          <w:rFonts w:ascii="Palatino Linotype" w:eastAsia="Palatino Linotype" w:hAnsi="Palatino Linotype" w:cs="Palatino Linotype"/>
          <w:sz w:val="22"/>
          <w:szCs w:val="22"/>
        </w:rPr>
        <w:t xml:space="preserve">, específicamente al apartado del </w:t>
      </w:r>
      <w:r w:rsidRPr="006D6EEB">
        <w:rPr>
          <w:rFonts w:ascii="Palatino Linotype" w:eastAsia="Palatino Linotype" w:hAnsi="Palatino Linotype" w:cs="Palatino Linotype"/>
          <w:b/>
          <w:bCs/>
          <w:sz w:val="22"/>
          <w:szCs w:val="22"/>
        </w:rPr>
        <w:t>artículo 94, fracción II B2, “Sesiones celebradas de cabildo”</w:t>
      </w:r>
      <w:r w:rsidRPr="006D6EEB">
        <w:rPr>
          <w:rFonts w:ascii="Palatino Linotype" w:eastAsia="Palatino Linotype" w:hAnsi="Palatino Linotype" w:cs="Palatino Linotype"/>
          <w:sz w:val="22"/>
          <w:szCs w:val="22"/>
        </w:rPr>
        <w:t xml:space="preserve">, en el cual se encuentra publicada información correspondiente, entre otros periodos, al primer trimestre de dos mil veintiséis, señalándose como área responsable a la </w:t>
      </w:r>
      <w:r w:rsidRPr="006D6EEB">
        <w:rPr>
          <w:rFonts w:ascii="Palatino Linotype" w:eastAsia="Palatino Linotype" w:hAnsi="Palatino Linotype" w:cs="Palatino Linotype"/>
          <w:b/>
          <w:bCs/>
          <w:sz w:val="22"/>
          <w:szCs w:val="22"/>
        </w:rPr>
        <w:t>Secretaría del Ayuntamiento</w:t>
      </w:r>
      <w:r w:rsidRPr="006D6EEB">
        <w:rPr>
          <w:rFonts w:ascii="Palatino Linotype" w:eastAsia="Palatino Linotype" w:hAnsi="Palatino Linotype" w:cs="Palatino Linotype"/>
          <w:sz w:val="22"/>
          <w:szCs w:val="22"/>
        </w:rPr>
        <w:t xml:space="preserve">; asimismo, en dicho apartado pueden consultarse las </w:t>
      </w:r>
      <w:r w:rsidRPr="006D6EEB">
        <w:rPr>
          <w:rFonts w:ascii="Palatino Linotype" w:eastAsia="Palatino Linotype" w:hAnsi="Palatino Linotype" w:cs="Palatino Linotype"/>
          <w:b/>
          <w:bCs/>
          <w:sz w:val="22"/>
          <w:szCs w:val="22"/>
        </w:rPr>
        <w:t>actas de las sesiones de Cabildo</w:t>
      </w:r>
      <w:r w:rsidRPr="006D6EEB">
        <w:rPr>
          <w:rFonts w:ascii="Palatino Linotype" w:eastAsia="Palatino Linotype" w:hAnsi="Palatino Linotype" w:cs="Palatino Linotype"/>
          <w:sz w:val="22"/>
          <w:szCs w:val="22"/>
        </w:rPr>
        <w:t>, tal como se advierte de la imagen que se inserta a continuación.</w:t>
      </w:r>
    </w:p>
    <w:p w14:paraId="71320E0D" w14:textId="7231DF64" w:rsidR="00DE1060" w:rsidRPr="006D6EEB" w:rsidRDefault="00DE1060" w:rsidP="00AA5401">
      <w:pPr>
        <w:spacing w:before="240" w:after="240" w:line="360" w:lineRule="auto"/>
        <w:jc w:val="both"/>
        <w:rPr>
          <w:rFonts w:ascii="Palatino Linotype" w:eastAsia="Palatino Linotype" w:hAnsi="Palatino Linotype" w:cs="Palatino Linotype"/>
          <w:sz w:val="22"/>
          <w:szCs w:val="22"/>
        </w:rPr>
      </w:pPr>
      <w:r w:rsidRPr="006D6EEB">
        <w:rPr>
          <w:rFonts w:ascii="Palatino Linotype" w:eastAsia="Palatino Linotype" w:hAnsi="Palatino Linotype" w:cs="Palatino Linotype"/>
          <w:noProof/>
          <w:sz w:val="22"/>
          <w:szCs w:val="22"/>
        </w:rPr>
        <w:drawing>
          <wp:inline distT="0" distB="0" distL="0" distR="0" wp14:anchorId="4B63AC02" wp14:editId="10DC5D60">
            <wp:extent cx="5756275" cy="3108325"/>
            <wp:effectExtent l="0" t="0" r="0" b="0"/>
            <wp:docPr id="192314914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149143" name=""/>
                    <pic:cNvPicPr/>
                  </pic:nvPicPr>
                  <pic:blipFill>
                    <a:blip r:embed="rId11"/>
                    <a:stretch>
                      <a:fillRect/>
                    </a:stretch>
                  </pic:blipFill>
                  <pic:spPr>
                    <a:xfrm>
                      <a:off x="0" y="0"/>
                      <a:ext cx="5756275" cy="3108325"/>
                    </a:xfrm>
                    <a:prstGeom prst="rect">
                      <a:avLst/>
                    </a:prstGeom>
                  </pic:spPr>
                </pic:pic>
              </a:graphicData>
            </a:graphic>
          </wp:inline>
        </w:drawing>
      </w:r>
      <w:r w:rsidRPr="006D6EEB">
        <w:rPr>
          <w:rFonts w:ascii="Palatino Linotype" w:eastAsia="Palatino Linotype" w:hAnsi="Palatino Linotype" w:cs="Palatino Linotype"/>
          <w:sz w:val="22"/>
          <w:szCs w:val="22"/>
        </w:rPr>
        <w:t xml:space="preserve">En consecuencia, podríamos afirmar que </w:t>
      </w:r>
      <w:r w:rsidRPr="006D6EEB">
        <w:rPr>
          <w:rFonts w:ascii="Palatino Linotype" w:eastAsia="Palatino Linotype" w:hAnsi="Palatino Linotype" w:cs="Palatino Linotype"/>
          <w:b/>
          <w:bCs/>
          <w:sz w:val="22"/>
          <w:szCs w:val="22"/>
        </w:rPr>
        <w:t>la razón o motivo de inconformidad resulta parcialmente fundada</w:t>
      </w:r>
      <w:r w:rsidRPr="006D6EEB">
        <w:rPr>
          <w:rFonts w:ascii="Palatino Linotype" w:eastAsia="Palatino Linotype" w:hAnsi="Palatino Linotype" w:cs="Palatino Linotype"/>
          <w:sz w:val="22"/>
          <w:szCs w:val="22"/>
        </w:rPr>
        <w:t>, pues si bien asiste razón a la parte recurrente respecto de la inaccesibilidad de uno de los vínculos proporcionados, el diverso enlace sí permite ingresar a la información publicada por el Sujeto Obligado.</w:t>
      </w:r>
    </w:p>
    <w:p w14:paraId="2851FAFD" w14:textId="3B9CA07E" w:rsidR="00DE1060" w:rsidRPr="006D6EEB" w:rsidRDefault="00DE1060" w:rsidP="00AA5401">
      <w:pPr>
        <w:spacing w:before="240" w:after="240" w:line="360" w:lineRule="auto"/>
        <w:jc w:val="both"/>
        <w:rPr>
          <w:rFonts w:ascii="Palatino Linotype" w:eastAsia="Palatino Linotype" w:hAnsi="Palatino Linotype" w:cs="Palatino Linotype"/>
          <w:sz w:val="22"/>
          <w:szCs w:val="22"/>
        </w:rPr>
      </w:pPr>
      <w:r w:rsidRPr="006D6EEB">
        <w:rPr>
          <w:rFonts w:ascii="Palatino Linotype" w:eastAsia="Palatino Linotype" w:hAnsi="Palatino Linotype" w:cs="Palatino Linotype"/>
          <w:sz w:val="22"/>
          <w:szCs w:val="22"/>
        </w:rPr>
        <w:t xml:space="preserve">Sin embargo, dicha circunstancia </w:t>
      </w:r>
      <w:r w:rsidRPr="006D6EEB">
        <w:rPr>
          <w:rFonts w:ascii="Palatino Linotype" w:eastAsia="Palatino Linotype" w:hAnsi="Palatino Linotype" w:cs="Palatino Linotype"/>
          <w:b/>
          <w:bCs/>
          <w:sz w:val="22"/>
          <w:szCs w:val="22"/>
        </w:rPr>
        <w:t>no resulta suficiente para tener por atendido integralmente el requerimiento</w:t>
      </w:r>
      <w:r w:rsidRPr="006D6EEB">
        <w:rPr>
          <w:rFonts w:ascii="Palatino Linotype" w:eastAsia="Palatino Linotype" w:hAnsi="Palatino Linotype" w:cs="Palatino Linotype"/>
          <w:sz w:val="22"/>
          <w:szCs w:val="22"/>
        </w:rPr>
        <w:t xml:space="preserve">, toda vez que el particular no solicitó únicamente las actas de las sesiones de Cabildo, sino conocer </w:t>
      </w:r>
      <w:r w:rsidRPr="006D6EEB">
        <w:rPr>
          <w:rFonts w:ascii="Palatino Linotype" w:eastAsia="Palatino Linotype" w:hAnsi="Palatino Linotype" w:cs="Palatino Linotype"/>
          <w:b/>
          <w:bCs/>
          <w:sz w:val="22"/>
          <w:szCs w:val="22"/>
        </w:rPr>
        <w:t>los resultados que éstas hubieren presentado para beneficio de la población de Tepetlixpa, en el entendido que</w:t>
      </w:r>
      <w:r w:rsidRPr="006D6EEB">
        <w:rPr>
          <w:rFonts w:ascii="Palatino Linotype" w:eastAsia="Palatino Linotype" w:hAnsi="Palatino Linotype" w:cs="Palatino Linotype"/>
          <w:sz w:val="22"/>
          <w:szCs w:val="22"/>
        </w:rPr>
        <w:t xml:space="preserve"> la remisión al apartado general de las sesiones de Cabildo no permite identificar, de manera directa y cierta, cuáles son las expresiones documentales </w:t>
      </w:r>
      <w:r w:rsidRPr="006D6EEB">
        <w:rPr>
          <w:rFonts w:ascii="Palatino Linotype" w:eastAsia="Palatino Linotype" w:hAnsi="Palatino Linotype" w:cs="Palatino Linotype"/>
          <w:b/>
          <w:bCs/>
          <w:sz w:val="22"/>
          <w:szCs w:val="22"/>
        </w:rPr>
        <w:t>que contienen los resultados correspondientes a cada comisión</w:t>
      </w:r>
      <w:r w:rsidR="00802C16" w:rsidRPr="006D6EEB">
        <w:rPr>
          <w:rFonts w:ascii="Palatino Linotype" w:eastAsia="Palatino Linotype" w:hAnsi="Palatino Linotype" w:cs="Palatino Linotype"/>
          <w:b/>
          <w:bCs/>
          <w:sz w:val="22"/>
          <w:szCs w:val="22"/>
        </w:rPr>
        <w:t>.</w:t>
      </w:r>
    </w:p>
    <w:p w14:paraId="7F9FC5A4" w14:textId="1E687F43" w:rsidR="00802C16" w:rsidRPr="006D6EEB" w:rsidRDefault="00802C16" w:rsidP="00AA5401">
      <w:pPr>
        <w:spacing w:before="240" w:after="240" w:line="360" w:lineRule="auto"/>
        <w:jc w:val="both"/>
        <w:rPr>
          <w:rFonts w:ascii="Palatino Linotype" w:eastAsia="Palatino Linotype" w:hAnsi="Palatino Linotype" w:cs="Palatino Linotype"/>
          <w:sz w:val="22"/>
          <w:szCs w:val="22"/>
        </w:rPr>
      </w:pPr>
      <w:r w:rsidRPr="006D6EEB">
        <w:rPr>
          <w:rFonts w:ascii="Palatino Linotype" w:eastAsia="Palatino Linotype" w:hAnsi="Palatino Linotype" w:cs="Palatino Linotype"/>
          <w:sz w:val="22"/>
          <w:szCs w:val="22"/>
        </w:rPr>
        <w:t xml:space="preserve">Más aún, en el caso concreto, de considerarse lo dispuesto por </w:t>
      </w:r>
      <w:r w:rsidR="00DE1060" w:rsidRPr="006D6EEB">
        <w:rPr>
          <w:rFonts w:ascii="Palatino Linotype" w:eastAsia="Palatino Linotype" w:hAnsi="Palatino Linotype" w:cs="Palatino Linotype"/>
          <w:sz w:val="22"/>
          <w:szCs w:val="22"/>
        </w:rPr>
        <w:t xml:space="preserve">el artículo 4 del </w:t>
      </w:r>
      <w:r w:rsidR="00DE1060" w:rsidRPr="006D6EEB">
        <w:rPr>
          <w:rFonts w:ascii="Palatino Linotype" w:eastAsia="Palatino Linotype" w:hAnsi="Palatino Linotype" w:cs="Palatino Linotype"/>
          <w:b/>
          <w:bCs/>
          <w:sz w:val="22"/>
          <w:szCs w:val="22"/>
        </w:rPr>
        <w:t>Reglamento Interior de las Comisiones Edilicias del Ayuntamiento de Tepetlixpa</w:t>
      </w:r>
      <w:r w:rsidRPr="006D6EEB">
        <w:rPr>
          <w:rFonts w:ascii="Palatino Linotype" w:eastAsia="Palatino Linotype" w:hAnsi="Palatino Linotype" w:cs="Palatino Linotype"/>
          <w:b/>
          <w:bCs/>
          <w:sz w:val="22"/>
          <w:szCs w:val="22"/>
        </w:rPr>
        <w:t>, que</w:t>
      </w:r>
      <w:r w:rsidR="00DE1060" w:rsidRPr="006D6EEB">
        <w:rPr>
          <w:rFonts w:ascii="Palatino Linotype" w:eastAsia="Palatino Linotype" w:hAnsi="Palatino Linotype" w:cs="Palatino Linotype"/>
          <w:sz w:val="22"/>
          <w:szCs w:val="22"/>
        </w:rPr>
        <w:t xml:space="preserve"> establece que dichas comisiones son responsables de estudiar, examinar y proponer al Ayuntamiento acuerdos, acciones o normas, así como vigilar e informar sobre los asuntos a su cargo y, particularmente, dispone</w:t>
      </w:r>
      <w:r w:rsidRPr="006D6EEB">
        <w:rPr>
          <w:rFonts w:ascii="Palatino Linotype" w:eastAsia="Palatino Linotype" w:hAnsi="Palatino Linotype" w:cs="Palatino Linotype"/>
          <w:sz w:val="22"/>
          <w:szCs w:val="22"/>
        </w:rPr>
        <w:t xml:space="preserve"> de manera expresa, </w:t>
      </w:r>
      <w:r w:rsidR="00DE1060" w:rsidRPr="006D6EEB">
        <w:rPr>
          <w:rFonts w:ascii="Palatino Linotype" w:eastAsia="Palatino Linotype" w:hAnsi="Palatino Linotype" w:cs="Palatino Linotype"/>
          <w:sz w:val="22"/>
          <w:szCs w:val="22"/>
        </w:rPr>
        <w:t xml:space="preserve"> que deberán entregar en sesión ordinaria </w:t>
      </w:r>
      <w:r w:rsidR="00DE1060" w:rsidRPr="006D6EEB">
        <w:rPr>
          <w:rFonts w:ascii="Palatino Linotype" w:eastAsia="Palatino Linotype" w:hAnsi="Palatino Linotype" w:cs="Palatino Linotype"/>
          <w:b/>
          <w:bCs/>
          <w:sz w:val="22"/>
          <w:szCs w:val="22"/>
          <w:u w:val="single"/>
        </w:rPr>
        <w:t>un informe trimestral que permita conocer y transparentar el desarrollo de sus actividades, trabajo y gestiones realizadas</w:t>
      </w:r>
      <w:r w:rsidRPr="006D6EEB">
        <w:rPr>
          <w:rFonts w:ascii="Palatino Linotype" w:eastAsia="Palatino Linotype" w:hAnsi="Palatino Linotype" w:cs="Palatino Linotype"/>
          <w:sz w:val="22"/>
          <w:szCs w:val="22"/>
          <w:u w:val="single"/>
        </w:rPr>
        <w:t xml:space="preserve">, </w:t>
      </w:r>
      <w:r w:rsidRPr="006D6EEB">
        <w:rPr>
          <w:rFonts w:ascii="Palatino Linotype" w:eastAsia="Palatino Linotype" w:hAnsi="Palatino Linotype" w:cs="Palatino Linotype"/>
          <w:sz w:val="22"/>
          <w:szCs w:val="22"/>
        </w:rPr>
        <w:t xml:space="preserve">de lo que se concluye que </w:t>
      </w:r>
      <w:r w:rsidRPr="006D6EEB">
        <w:rPr>
          <w:rFonts w:ascii="Palatino Linotype" w:eastAsia="Palatino Linotype" w:hAnsi="Palatino Linotype" w:cs="Palatino Linotype"/>
          <w:b/>
          <w:bCs/>
          <w:sz w:val="22"/>
          <w:szCs w:val="22"/>
        </w:rPr>
        <w:t>los resultados derivados de los trabajos de las Comisiones no necesariamente constan únicamente en las actas de Cabildo</w:t>
      </w:r>
      <w:r w:rsidRPr="006D6EEB">
        <w:rPr>
          <w:rFonts w:ascii="Palatino Linotype" w:eastAsia="Palatino Linotype" w:hAnsi="Palatino Linotype" w:cs="Palatino Linotype"/>
          <w:sz w:val="22"/>
          <w:szCs w:val="22"/>
        </w:rPr>
        <w:t xml:space="preserve">. </w:t>
      </w:r>
    </w:p>
    <w:p w14:paraId="062836E8" w14:textId="77777777" w:rsidR="00802C16" w:rsidRPr="006D6EEB" w:rsidRDefault="00802C16" w:rsidP="00AA5401">
      <w:pPr>
        <w:spacing w:before="240" w:after="240" w:line="360" w:lineRule="auto"/>
        <w:ind w:left="567"/>
        <w:jc w:val="both"/>
        <w:rPr>
          <w:rFonts w:ascii="Palatino Linotype" w:eastAsia="Palatino Linotype" w:hAnsi="Palatino Linotype" w:cs="Palatino Linotype"/>
          <w:i/>
          <w:iCs/>
          <w:sz w:val="22"/>
          <w:szCs w:val="22"/>
        </w:rPr>
      </w:pPr>
      <w:r w:rsidRPr="006D6EEB">
        <w:rPr>
          <w:rFonts w:ascii="Palatino Linotype" w:eastAsia="Palatino Linotype" w:hAnsi="Palatino Linotype" w:cs="Palatino Linotype"/>
          <w:i/>
          <w:iCs/>
          <w:sz w:val="22"/>
          <w:szCs w:val="22"/>
        </w:rPr>
        <w:t>“</w:t>
      </w:r>
      <w:r w:rsidRPr="006D6EEB">
        <w:rPr>
          <w:rFonts w:ascii="Palatino Linotype" w:eastAsia="Palatino Linotype" w:hAnsi="Palatino Linotype" w:cs="Palatino Linotype"/>
          <w:b/>
          <w:bCs/>
          <w:i/>
          <w:iCs/>
          <w:sz w:val="22"/>
          <w:szCs w:val="22"/>
        </w:rPr>
        <w:t>Artículo 4.-</w:t>
      </w:r>
      <w:r w:rsidRPr="006D6EEB">
        <w:rPr>
          <w:rFonts w:ascii="Palatino Linotype" w:eastAsia="Palatino Linotype" w:hAnsi="Palatino Linotype" w:cs="Palatino Linotype"/>
          <w:i/>
          <w:iCs/>
          <w:sz w:val="22"/>
          <w:szCs w:val="22"/>
        </w:rPr>
        <w:t xml:space="preserve"> Las Comisiones edilicias son órganos auxiliares del ayuntamiento para el mejor cumplimiento de sus funciones públicas. </w:t>
      </w:r>
    </w:p>
    <w:p w14:paraId="564EC77A" w14:textId="77777777" w:rsidR="00802C16" w:rsidRPr="006D6EEB" w:rsidRDefault="00802C16" w:rsidP="00AA5401">
      <w:pPr>
        <w:spacing w:before="240" w:after="240" w:line="360" w:lineRule="auto"/>
        <w:ind w:left="567"/>
        <w:jc w:val="both"/>
        <w:rPr>
          <w:rFonts w:ascii="Palatino Linotype" w:eastAsia="Palatino Linotype" w:hAnsi="Palatino Linotype" w:cs="Palatino Linotype"/>
          <w:i/>
          <w:iCs/>
          <w:sz w:val="22"/>
          <w:szCs w:val="22"/>
        </w:rPr>
      </w:pPr>
      <w:r w:rsidRPr="006D6EEB">
        <w:rPr>
          <w:rFonts w:ascii="Palatino Linotype" w:eastAsia="Palatino Linotype" w:hAnsi="Palatino Linotype" w:cs="Palatino Linotype"/>
          <w:i/>
          <w:iCs/>
          <w:sz w:val="22"/>
          <w:szCs w:val="22"/>
        </w:rPr>
        <w:t xml:space="preserve">Las comisiones del ayuntamiento son responsables de estudiar, examinar y proponer al ayuntamiento los acuerdos, acciones o normas tendientes a mejorar la administración pública municipal, la solución de litigios laborales en su contra, así como de vigilar e informar, sobre los asuntos a su cargo y sobre el cumplimiento de las disposiciones y acuerdos que dicte el cabildo. </w:t>
      </w:r>
    </w:p>
    <w:p w14:paraId="25D05229" w14:textId="4FCF1468" w:rsidR="00802C16" w:rsidRPr="006D6EEB" w:rsidRDefault="00802C16" w:rsidP="00AA5401">
      <w:pPr>
        <w:spacing w:before="240" w:after="240" w:line="360" w:lineRule="auto"/>
        <w:ind w:left="567"/>
        <w:jc w:val="both"/>
        <w:rPr>
          <w:rFonts w:ascii="Palatino Linotype" w:eastAsia="Palatino Linotype" w:hAnsi="Palatino Linotype" w:cs="Palatino Linotype"/>
          <w:b/>
          <w:bCs/>
          <w:i/>
          <w:iCs/>
          <w:sz w:val="22"/>
          <w:szCs w:val="22"/>
          <w:u w:val="single"/>
        </w:rPr>
      </w:pPr>
      <w:r w:rsidRPr="006D6EEB">
        <w:rPr>
          <w:rFonts w:ascii="Palatino Linotype" w:eastAsia="Palatino Linotype" w:hAnsi="Palatino Linotype" w:cs="Palatino Linotype"/>
          <w:i/>
          <w:iCs/>
          <w:sz w:val="22"/>
          <w:szCs w:val="22"/>
        </w:rPr>
        <w:t xml:space="preserve">Las comisiones, deberán entregar al ayuntamiento, en sesión ordinaria, </w:t>
      </w:r>
      <w:r w:rsidRPr="006D6EEB">
        <w:rPr>
          <w:rFonts w:ascii="Palatino Linotype" w:eastAsia="Palatino Linotype" w:hAnsi="Palatino Linotype" w:cs="Palatino Linotype"/>
          <w:b/>
          <w:bCs/>
          <w:i/>
          <w:iCs/>
          <w:sz w:val="22"/>
          <w:szCs w:val="22"/>
          <w:u w:val="single"/>
        </w:rPr>
        <w:t>un informe trimestral que permita conocer y transparentar el desarrollo de sus actividades, trabajo y gestiones realizadas.</w:t>
      </w:r>
    </w:p>
    <w:p w14:paraId="4FC480E1" w14:textId="77777777" w:rsidR="00802C16" w:rsidRPr="006D6EEB" w:rsidRDefault="00DE1060" w:rsidP="00AA5401">
      <w:pPr>
        <w:spacing w:before="240" w:after="240" w:line="360" w:lineRule="auto"/>
        <w:jc w:val="both"/>
        <w:rPr>
          <w:rFonts w:ascii="Palatino Linotype" w:eastAsia="Palatino Linotype" w:hAnsi="Palatino Linotype" w:cs="Palatino Linotype"/>
          <w:sz w:val="22"/>
          <w:szCs w:val="22"/>
        </w:rPr>
      </w:pPr>
      <w:r w:rsidRPr="006D6EEB">
        <w:rPr>
          <w:rFonts w:ascii="Palatino Linotype" w:eastAsia="Palatino Linotype" w:hAnsi="Palatino Linotype" w:cs="Palatino Linotype"/>
          <w:sz w:val="22"/>
          <w:szCs w:val="22"/>
        </w:rPr>
        <w:t xml:space="preserve">Asimismo, los artículos </w:t>
      </w:r>
      <w:r w:rsidRPr="006D6EEB">
        <w:rPr>
          <w:rFonts w:ascii="Palatino Linotype" w:eastAsia="Palatino Linotype" w:hAnsi="Palatino Linotype" w:cs="Palatino Linotype"/>
          <w:b/>
          <w:bCs/>
          <w:sz w:val="22"/>
          <w:szCs w:val="22"/>
        </w:rPr>
        <w:t>23 y 24</w:t>
      </w:r>
      <w:r w:rsidRPr="006D6EEB">
        <w:rPr>
          <w:rFonts w:ascii="Palatino Linotype" w:eastAsia="Palatino Linotype" w:hAnsi="Palatino Linotype" w:cs="Palatino Linotype"/>
          <w:sz w:val="22"/>
          <w:szCs w:val="22"/>
        </w:rPr>
        <w:t xml:space="preserve"> del citado Reglamento disponen que los acuerdos adoptados por las comisiones deberán asentarse en </w:t>
      </w:r>
      <w:r w:rsidRPr="006D6EEB">
        <w:rPr>
          <w:rFonts w:ascii="Palatino Linotype" w:eastAsia="Palatino Linotype" w:hAnsi="Palatino Linotype" w:cs="Palatino Linotype"/>
          <w:b/>
          <w:bCs/>
          <w:sz w:val="22"/>
          <w:szCs w:val="22"/>
        </w:rPr>
        <w:t>minutas de acuerdos</w:t>
      </w:r>
      <w:r w:rsidRPr="006D6EEB">
        <w:rPr>
          <w:rFonts w:ascii="Palatino Linotype" w:eastAsia="Palatino Linotype" w:hAnsi="Palatino Linotype" w:cs="Palatino Linotype"/>
          <w:sz w:val="22"/>
          <w:szCs w:val="22"/>
        </w:rPr>
        <w:t xml:space="preserve">, las cuales serán registradas en el libro que lleve y resguarde la presidencia de cada comisión; por su parte, los artículos </w:t>
      </w:r>
      <w:r w:rsidRPr="006D6EEB">
        <w:rPr>
          <w:rFonts w:ascii="Palatino Linotype" w:eastAsia="Palatino Linotype" w:hAnsi="Palatino Linotype" w:cs="Palatino Linotype"/>
          <w:b/>
          <w:bCs/>
          <w:sz w:val="22"/>
          <w:szCs w:val="22"/>
        </w:rPr>
        <w:t xml:space="preserve">25 y </w:t>
      </w:r>
      <w:r w:rsidRPr="006D6EEB">
        <w:rPr>
          <w:rFonts w:ascii="Palatino Linotype" w:eastAsia="Palatino Linotype" w:hAnsi="Palatino Linotype" w:cs="Palatino Linotype"/>
          <w:sz w:val="22"/>
          <w:szCs w:val="22"/>
        </w:rPr>
        <w:t xml:space="preserve">prevén la elaboración de </w:t>
      </w:r>
      <w:r w:rsidRPr="006D6EEB">
        <w:rPr>
          <w:rFonts w:ascii="Palatino Linotype" w:eastAsia="Palatino Linotype" w:hAnsi="Palatino Linotype" w:cs="Palatino Linotype"/>
          <w:b/>
          <w:bCs/>
          <w:sz w:val="22"/>
          <w:szCs w:val="22"/>
        </w:rPr>
        <w:t>proyectos de resolución</w:t>
      </w:r>
      <w:r w:rsidRPr="006D6EEB">
        <w:rPr>
          <w:rFonts w:ascii="Palatino Linotype" w:eastAsia="Palatino Linotype" w:hAnsi="Palatino Linotype" w:cs="Palatino Linotype"/>
          <w:sz w:val="22"/>
          <w:szCs w:val="22"/>
        </w:rPr>
        <w:t xml:space="preserve"> mediante los cuales las comisiones someten al Cabildo las propuestas que estimen procedentes respecto de los asuntos que les fueron turnados; </w:t>
      </w:r>
    </w:p>
    <w:p w14:paraId="747DE6BF" w14:textId="1337C908" w:rsidR="00802C16" w:rsidRPr="006D6EEB" w:rsidRDefault="00802C16" w:rsidP="00AA5401">
      <w:pPr>
        <w:spacing w:before="240" w:after="240" w:line="360" w:lineRule="auto"/>
        <w:ind w:left="567"/>
        <w:jc w:val="both"/>
        <w:rPr>
          <w:rFonts w:ascii="Palatino Linotype" w:eastAsia="Palatino Linotype" w:hAnsi="Palatino Linotype" w:cs="Palatino Linotype"/>
          <w:i/>
          <w:iCs/>
          <w:sz w:val="22"/>
          <w:szCs w:val="22"/>
        </w:rPr>
      </w:pPr>
      <w:r w:rsidRPr="006D6EEB">
        <w:rPr>
          <w:rFonts w:ascii="Palatino Linotype" w:eastAsia="Palatino Linotype" w:hAnsi="Palatino Linotype" w:cs="Palatino Linotype"/>
          <w:i/>
          <w:iCs/>
          <w:sz w:val="22"/>
          <w:szCs w:val="22"/>
        </w:rPr>
        <w:t>“</w:t>
      </w:r>
      <w:r w:rsidRPr="006D6EEB">
        <w:rPr>
          <w:rFonts w:ascii="Palatino Linotype" w:eastAsia="Palatino Linotype" w:hAnsi="Palatino Linotype" w:cs="Palatino Linotype"/>
          <w:b/>
          <w:bCs/>
          <w:i/>
          <w:iCs/>
          <w:sz w:val="22"/>
          <w:szCs w:val="22"/>
        </w:rPr>
        <w:t>Artículo 23-</w:t>
      </w:r>
      <w:r w:rsidRPr="006D6EEB">
        <w:rPr>
          <w:rFonts w:ascii="Palatino Linotype" w:eastAsia="Palatino Linotype" w:hAnsi="Palatino Linotype" w:cs="Palatino Linotype"/>
          <w:i/>
          <w:iCs/>
          <w:sz w:val="22"/>
          <w:szCs w:val="22"/>
        </w:rPr>
        <w:t xml:space="preserve"> Los acuerdos de la comisión se tomarán por más de la mitad de los presentes y se asentarán en una minuta de acuerdos, firmada de los asistentes.</w:t>
      </w:r>
    </w:p>
    <w:p w14:paraId="26CF3648" w14:textId="77777777" w:rsidR="00802C16" w:rsidRPr="006D6EEB" w:rsidRDefault="00802C16" w:rsidP="00AA5401">
      <w:pPr>
        <w:spacing w:before="240" w:after="240" w:line="360" w:lineRule="auto"/>
        <w:ind w:left="567"/>
        <w:jc w:val="both"/>
        <w:rPr>
          <w:rFonts w:ascii="Palatino Linotype" w:eastAsia="Palatino Linotype" w:hAnsi="Palatino Linotype" w:cs="Palatino Linotype"/>
          <w:i/>
          <w:iCs/>
          <w:sz w:val="22"/>
          <w:szCs w:val="22"/>
        </w:rPr>
      </w:pPr>
      <w:r w:rsidRPr="006D6EEB">
        <w:rPr>
          <w:rFonts w:ascii="Palatino Linotype" w:eastAsia="Palatino Linotype" w:hAnsi="Palatino Linotype" w:cs="Palatino Linotype"/>
          <w:i/>
          <w:iCs/>
          <w:sz w:val="22"/>
          <w:szCs w:val="22"/>
        </w:rPr>
        <w:t xml:space="preserve"> </w:t>
      </w:r>
      <w:r w:rsidRPr="006D6EEB">
        <w:rPr>
          <w:rFonts w:ascii="Palatino Linotype" w:eastAsia="Palatino Linotype" w:hAnsi="Palatino Linotype" w:cs="Palatino Linotype"/>
          <w:b/>
          <w:bCs/>
          <w:i/>
          <w:iCs/>
          <w:sz w:val="22"/>
          <w:szCs w:val="22"/>
        </w:rPr>
        <w:t>Articulo 24.-</w:t>
      </w:r>
      <w:r w:rsidRPr="006D6EEB">
        <w:rPr>
          <w:rFonts w:ascii="Palatino Linotype" w:eastAsia="Palatino Linotype" w:hAnsi="Palatino Linotype" w:cs="Palatino Linotype"/>
          <w:i/>
          <w:iCs/>
          <w:sz w:val="22"/>
          <w:szCs w:val="22"/>
        </w:rPr>
        <w:t xml:space="preserve"> Las minutas en las que queden asentados los acuerdos de la Comisión, se registrarán en el libro que para tal efecto lleve y resguarde el presidente de la comisión. </w:t>
      </w:r>
    </w:p>
    <w:p w14:paraId="172E5A05" w14:textId="1D0A14DD" w:rsidR="00802C16" w:rsidRPr="006D6EEB" w:rsidRDefault="00802C16" w:rsidP="00AA5401">
      <w:pPr>
        <w:spacing w:before="240" w:after="240" w:line="360" w:lineRule="auto"/>
        <w:ind w:left="567"/>
        <w:jc w:val="both"/>
        <w:rPr>
          <w:rFonts w:ascii="Palatino Linotype" w:eastAsia="Palatino Linotype" w:hAnsi="Palatino Linotype" w:cs="Palatino Linotype"/>
          <w:i/>
          <w:iCs/>
          <w:sz w:val="22"/>
          <w:szCs w:val="22"/>
        </w:rPr>
      </w:pPr>
      <w:r w:rsidRPr="006D6EEB">
        <w:rPr>
          <w:rFonts w:ascii="Palatino Linotype" w:eastAsia="Palatino Linotype" w:hAnsi="Palatino Linotype" w:cs="Palatino Linotype"/>
          <w:b/>
          <w:bCs/>
          <w:i/>
          <w:iCs/>
          <w:sz w:val="22"/>
          <w:szCs w:val="22"/>
        </w:rPr>
        <w:t>Artículo 25.-</w:t>
      </w:r>
      <w:r w:rsidRPr="006D6EEB">
        <w:rPr>
          <w:rFonts w:ascii="Palatino Linotype" w:eastAsia="Palatino Linotype" w:hAnsi="Palatino Linotype" w:cs="Palatino Linotype"/>
          <w:i/>
          <w:iCs/>
          <w:sz w:val="22"/>
          <w:szCs w:val="22"/>
        </w:rPr>
        <w:t xml:space="preserve"> Las comisiones emitirán proyectos de resolución para hacer al cabildo las propuestas que consideren más adecuadas, respecto de los asuntos que les fueron remitidos.</w:t>
      </w:r>
    </w:p>
    <w:p w14:paraId="3981782A" w14:textId="72CF8407" w:rsidR="00DE1060" w:rsidRPr="006D6EEB" w:rsidRDefault="00802C16" w:rsidP="00AA5401">
      <w:pPr>
        <w:spacing w:before="240" w:after="240" w:line="360" w:lineRule="auto"/>
        <w:jc w:val="both"/>
        <w:rPr>
          <w:rFonts w:ascii="Palatino Linotype" w:eastAsia="Palatino Linotype" w:hAnsi="Palatino Linotype" w:cs="Palatino Linotype"/>
          <w:sz w:val="22"/>
          <w:szCs w:val="22"/>
          <w:u w:val="single"/>
        </w:rPr>
      </w:pPr>
      <w:r w:rsidRPr="006D6EEB">
        <w:rPr>
          <w:rFonts w:ascii="Palatino Linotype" w:eastAsia="Palatino Linotype" w:hAnsi="Palatino Linotype" w:cs="Palatino Linotype"/>
          <w:sz w:val="22"/>
          <w:szCs w:val="22"/>
        </w:rPr>
        <w:t xml:space="preserve">De igual forma el </w:t>
      </w:r>
      <w:r w:rsidR="00DE1060" w:rsidRPr="006D6EEB">
        <w:rPr>
          <w:rFonts w:ascii="Palatino Linotype" w:eastAsia="Palatino Linotype" w:hAnsi="Palatino Linotype" w:cs="Palatino Linotype"/>
          <w:sz w:val="22"/>
          <w:szCs w:val="22"/>
        </w:rPr>
        <w:t xml:space="preserve">artículo </w:t>
      </w:r>
      <w:r w:rsidR="00DE1060" w:rsidRPr="006D6EEB">
        <w:rPr>
          <w:rFonts w:ascii="Palatino Linotype" w:eastAsia="Palatino Linotype" w:hAnsi="Palatino Linotype" w:cs="Palatino Linotype"/>
          <w:b/>
          <w:bCs/>
          <w:sz w:val="22"/>
          <w:szCs w:val="22"/>
        </w:rPr>
        <w:t>27</w:t>
      </w:r>
      <w:r w:rsidR="00DE1060" w:rsidRPr="006D6EEB">
        <w:rPr>
          <w:rFonts w:ascii="Palatino Linotype" w:eastAsia="Palatino Linotype" w:hAnsi="Palatino Linotype" w:cs="Palatino Linotype"/>
          <w:sz w:val="22"/>
          <w:szCs w:val="22"/>
        </w:rPr>
        <w:t xml:space="preserve"> establece que las comisiones edilicias deberán remitir a la Secretaría del Ayuntamiento, al término de cada mes, </w:t>
      </w:r>
      <w:r w:rsidR="00DE1060" w:rsidRPr="006D6EEB">
        <w:rPr>
          <w:rFonts w:ascii="Palatino Linotype" w:eastAsia="Palatino Linotype" w:hAnsi="Palatino Linotype" w:cs="Palatino Linotype"/>
          <w:b/>
          <w:bCs/>
          <w:sz w:val="22"/>
          <w:szCs w:val="22"/>
          <w:u w:val="single"/>
        </w:rPr>
        <w:t>un informe mensual en el que se dé cuenta del avance y seguimiento de los asuntos que les hayan sido encomendados</w:t>
      </w:r>
      <w:r w:rsidR="00DE1060" w:rsidRPr="006D6EEB">
        <w:rPr>
          <w:rFonts w:ascii="Palatino Linotype" w:eastAsia="Palatino Linotype" w:hAnsi="Palatino Linotype" w:cs="Palatino Linotype"/>
          <w:sz w:val="22"/>
          <w:szCs w:val="22"/>
          <w:u w:val="single"/>
        </w:rPr>
        <w:t xml:space="preserve">. </w:t>
      </w:r>
    </w:p>
    <w:p w14:paraId="67CC7C74" w14:textId="56D9C4DC" w:rsidR="00802C16" w:rsidRPr="006D6EEB" w:rsidRDefault="00802C16" w:rsidP="00AA5401">
      <w:pPr>
        <w:spacing w:before="240" w:after="240" w:line="360" w:lineRule="auto"/>
        <w:ind w:left="567"/>
        <w:jc w:val="both"/>
        <w:rPr>
          <w:rFonts w:ascii="Palatino Linotype" w:eastAsia="Palatino Linotype" w:hAnsi="Palatino Linotype" w:cs="Palatino Linotype"/>
          <w:i/>
          <w:iCs/>
          <w:sz w:val="22"/>
          <w:szCs w:val="22"/>
        </w:rPr>
      </w:pPr>
      <w:r w:rsidRPr="006D6EEB">
        <w:rPr>
          <w:rFonts w:ascii="Palatino Linotype" w:eastAsia="Palatino Linotype" w:hAnsi="Palatino Linotype" w:cs="Palatino Linotype"/>
          <w:i/>
          <w:iCs/>
          <w:sz w:val="22"/>
          <w:szCs w:val="22"/>
        </w:rPr>
        <w:t>“</w:t>
      </w:r>
      <w:r w:rsidRPr="006D6EEB">
        <w:rPr>
          <w:rFonts w:ascii="Palatino Linotype" w:eastAsia="Palatino Linotype" w:hAnsi="Palatino Linotype" w:cs="Palatino Linotype"/>
          <w:b/>
          <w:bCs/>
          <w:i/>
          <w:iCs/>
          <w:sz w:val="22"/>
          <w:szCs w:val="22"/>
        </w:rPr>
        <w:t>Artículo 27.-</w:t>
      </w:r>
      <w:r w:rsidRPr="006D6EEB">
        <w:rPr>
          <w:rFonts w:ascii="Palatino Linotype" w:eastAsia="Palatino Linotype" w:hAnsi="Palatino Linotype" w:cs="Palatino Linotype"/>
          <w:i/>
          <w:iCs/>
          <w:sz w:val="22"/>
          <w:szCs w:val="22"/>
        </w:rPr>
        <w:t xml:space="preserve"> Las comisiones edilicias a las que se les turne algún asunto en sesión de Cabildo deberán remitir, al </w:t>
      </w:r>
      <w:r w:rsidRPr="006D6EEB">
        <w:rPr>
          <w:rFonts w:ascii="Palatino Linotype" w:eastAsia="Palatino Linotype" w:hAnsi="Palatino Linotype" w:cs="Palatino Linotype"/>
          <w:b/>
          <w:bCs/>
          <w:i/>
          <w:iCs/>
          <w:sz w:val="22"/>
          <w:szCs w:val="22"/>
        </w:rPr>
        <w:t>término de cada mes, un informe mensual a la Secretaría del Ayuntamiento, en el que se dé cuenta del avance y seguimiento de los asuntos que les hayan sido encomendados.</w:t>
      </w:r>
      <w:r w:rsidRPr="006D6EEB">
        <w:rPr>
          <w:rFonts w:ascii="Palatino Linotype" w:eastAsia="Palatino Linotype" w:hAnsi="Palatino Linotype" w:cs="Palatino Linotype"/>
          <w:i/>
          <w:iCs/>
          <w:sz w:val="22"/>
          <w:szCs w:val="22"/>
        </w:rPr>
        <w:t xml:space="preserve"> La Secretaría del Ayuntamiento informará a los integrantes del Cabildo, dentro de los primeros días de cada mes, sobre el estado que guardan dichos asuntos.”</w:t>
      </w:r>
    </w:p>
    <w:p w14:paraId="36EBB468" w14:textId="77777777" w:rsidR="00DE1060" w:rsidRPr="006D6EEB" w:rsidRDefault="00DE1060" w:rsidP="00AA5401">
      <w:pPr>
        <w:spacing w:before="240" w:after="240" w:line="360" w:lineRule="auto"/>
        <w:jc w:val="both"/>
        <w:rPr>
          <w:rFonts w:ascii="Palatino Linotype" w:eastAsia="Palatino Linotype" w:hAnsi="Palatino Linotype" w:cs="Palatino Linotype"/>
          <w:sz w:val="22"/>
          <w:szCs w:val="22"/>
        </w:rPr>
      </w:pPr>
      <w:r w:rsidRPr="006D6EEB">
        <w:rPr>
          <w:rFonts w:ascii="Palatino Linotype" w:eastAsia="Palatino Linotype" w:hAnsi="Palatino Linotype" w:cs="Palatino Linotype"/>
          <w:sz w:val="22"/>
          <w:szCs w:val="22"/>
        </w:rPr>
        <w:t xml:space="preserve">De ahí que la información requerida pueda obrar no sólo en las actas de Cabildo, sino también en los </w:t>
      </w:r>
      <w:r w:rsidRPr="006D6EEB">
        <w:rPr>
          <w:rFonts w:ascii="Palatino Linotype" w:eastAsia="Palatino Linotype" w:hAnsi="Palatino Linotype" w:cs="Palatino Linotype"/>
          <w:b/>
          <w:bCs/>
          <w:sz w:val="22"/>
          <w:szCs w:val="22"/>
        </w:rPr>
        <w:t>informes trimestrales de las comisiones edilicias, minutas de acuerdos, libros de registro, proyectos de resolución, informes mensuales de avance y seguimiento, así como en los expedientes de los asuntos turnados a cada comisión</w:t>
      </w:r>
      <w:r w:rsidRPr="006D6EEB">
        <w:rPr>
          <w:rFonts w:ascii="Palatino Linotype" w:eastAsia="Palatino Linotype" w:hAnsi="Palatino Linotype" w:cs="Palatino Linotype"/>
          <w:sz w:val="22"/>
          <w:szCs w:val="22"/>
        </w:rPr>
        <w:t xml:space="preserve">. Incluso, el propio Reglamento impone a la presidencia de cada comisión la obligación de integrar y llevar los expedientes de los asuntos que le hayan sido turnados. </w:t>
      </w:r>
    </w:p>
    <w:p w14:paraId="0D585A3A" w14:textId="77777777" w:rsidR="00802C16" w:rsidRPr="006D6EEB" w:rsidRDefault="00DE1060" w:rsidP="00AA5401">
      <w:pPr>
        <w:spacing w:before="240" w:after="240" w:line="360" w:lineRule="auto"/>
        <w:jc w:val="both"/>
        <w:rPr>
          <w:rFonts w:ascii="Palatino Linotype" w:eastAsia="Palatino Linotype" w:hAnsi="Palatino Linotype" w:cs="Palatino Linotype"/>
          <w:sz w:val="22"/>
          <w:szCs w:val="22"/>
        </w:rPr>
      </w:pPr>
      <w:r w:rsidRPr="006D6EEB">
        <w:rPr>
          <w:rFonts w:ascii="Palatino Linotype" w:eastAsia="Palatino Linotype" w:hAnsi="Palatino Linotype" w:cs="Palatino Linotype"/>
          <w:sz w:val="22"/>
          <w:szCs w:val="22"/>
        </w:rPr>
        <w:t xml:space="preserve">Por tanto, aun cuando uno de los vínculos proporcionados por el Sujeto Obligado permite consultar las actas de Cabildo, </w:t>
      </w:r>
      <w:r w:rsidRPr="006D6EEB">
        <w:rPr>
          <w:rFonts w:ascii="Palatino Linotype" w:eastAsia="Palatino Linotype" w:hAnsi="Palatino Linotype" w:cs="Palatino Linotype"/>
          <w:b/>
          <w:bCs/>
          <w:sz w:val="22"/>
          <w:szCs w:val="22"/>
        </w:rPr>
        <w:t>la respuesta resulta incompleta respecto de los resultados presentados por las comisiones</w:t>
      </w:r>
      <w:r w:rsidRPr="006D6EEB">
        <w:rPr>
          <w:rFonts w:ascii="Palatino Linotype" w:eastAsia="Palatino Linotype" w:hAnsi="Palatino Linotype" w:cs="Palatino Linotype"/>
          <w:sz w:val="22"/>
          <w:szCs w:val="22"/>
        </w:rPr>
        <w:t>, pues no acredita que se hubiese efectuado una búsqueda en las demás expresiones documentales que, conforme a su propia normativa, pueden contener dicha información.</w:t>
      </w:r>
    </w:p>
    <w:p w14:paraId="0B74C8C2" w14:textId="2D64C14C" w:rsidR="00DE1060" w:rsidRPr="006D6EEB" w:rsidRDefault="00DE1060" w:rsidP="00AA5401">
      <w:pPr>
        <w:spacing w:before="240" w:after="240" w:line="360" w:lineRule="auto"/>
        <w:jc w:val="both"/>
        <w:rPr>
          <w:rFonts w:ascii="Palatino Linotype" w:eastAsia="Palatino Linotype" w:hAnsi="Palatino Linotype" w:cs="Palatino Linotype"/>
          <w:b/>
          <w:bCs/>
          <w:sz w:val="22"/>
          <w:szCs w:val="22"/>
        </w:rPr>
      </w:pPr>
      <w:r w:rsidRPr="006D6EEB">
        <w:rPr>
          <w:rFonts w:ascii="Palatino Linotype" w:eastAsia="Palatino Linotype" w:hAnsi="Palatino Linotype" w:cs="Palatino Linotype"/>
          <w:sz w:val="22"/>
          <w:szCs w:val="22"/>
        </w:rPr>
        <w:t xml:space="preserve"> En consecuencia, procede ordenar al Sujeto Obligado que realice una </w:t>
      </w:r>
      <w:r w:rsidRPr="006D6EEB">
        <w:rPr>
          <w:rFonts w:ascii="Palatino Linotype" w:eastAsia="Palatino Linotype" w:hAnsi="Palatino Linotype" w:cs="Palatino Linotype"/>
          <w:b/>
          <w:bCs/>
          <w:sz w:val="22"/>
          <w:szCs w:val="22"/>
        </w:rPr>
        <w:t>búsqueda exhaustiva y razonable</w:t>
      </w:r>
      <w:r w:rsidRPr="006D6EEB">
        <w:rPr>
          <w:rFonts w:ascii="Palatino Linotype" w:eastAsia="Palatino Linotype" w:hAnsi="Palatino Linotype" w:cs="Palatino Linotype"/>
          <w:sz w:val="22"/>
          <w:szCs w:val="22"/>
        </w:rPr>
        <w:t xml:space="preserve"> en las unidades administrativas competentes y entregue las expresiones documentales en las que consten los resultados derivados de las comisiones conferidas a las personas regidoras; entre ellas, de manera enunciativa mas no limitativa, </w:t>
      </w:r>
      <w:r w:rsidRPr="006D6EEB">
        <w:rPr>
          <w:rFonts w:ascii="Palatino Linotype" w:eastAsia="Palatino Linotype" w:hAnsi="Palatino Linotype" w:cs="Palatino Linotype"/>
          <w:b/>
          <w:bCs/>
          <w:sz w:val="22"/>
          <w:szCs w:val="22"/>
        </w:rPr>
        <w:t>los informes trimestrales, minutas de acuerdos, proyectos de resolución, informes mensuales de avance y seguimiento y demás expedientes relacionados con los asuntos encomendados a cada comisión.</w:t>
      </w:r>
    </w:p>
    <w:p w14:paraId="617F32E0" w14:textId="06095C1C" w:rsidR="00F526F4" w:rsidRPr="006D6EEB" w:rsidRDefault="00F526F4" w:rsidP="00AA5401">
      <w:pPr>
        <w:spacing w:before="240" w:after="240" w:line="360" w:lineRule="auto"/>
        <w:jc w:val="both"/>
        <w:rPr>
          <w:rFonts w:ascii="Palatino Linotype" w:eastAsia="Palatino Linotype" w:hAnsi="Palatino Linotype" w:cs="Palatino Linotype"/>
          <w:sz w:val="22"/>
          <w:szCs w:val="22"/>
        </w:rPr>
      </w:pPr>
      <w:r w:rsidRPr="006D6EEB">
        <w:rPr>
          <w:rFonts w:ascii="Palatino Linotype" w:eastAsia="Palatino Linotype" w:hAnsi="Palatino Linotype" w:cs="Palatino Linotype"/>
          <w:sz w:val="22"/>
          <w:szCs w:val="22"/>
        </w:rPr>
        <w:t xml:space="preserve">Cabe precisar que en caso de que la información cuya entrega se ordena contenga datos susceptibles de clasificación como confidenciales, el </w:t>
      </w:r>
      <w:r w:rsidRPr="006D6EEB">
        <w:rPr>
          <w:rFonts w:ascii="Palatino Linotype" w:eastAsia="Palatino Linotype" w:hAnsi="Palatino Linotype" w:cs="Palatino Linotype"/>
          <w:b/>
          <w:bCs/>
          <w:sz w:val="22"/>
          <w:szCs w:val="22"/>
        </w:rPr>
        <w:t>Sujeto Obligado deberá proporcionar la versión pública correspondiente, en la que únicamente se testen aquellos datos que actualicen alguna de las hipótesis de confidencialidad</w:t>
      </w:r>
      <w:r w:rsidRPr="006D6EEB">
        <w:rPr>
          <w:rFonts w:ascii="Palatino Linotype" w:eastAsia="Palatino Linotype" w:hAnsi="Palatino Linotype" w:cs="Palatino Linotype"/>
          <w:sz w:val="22"/>
          <w:szCs w:val="22"/>
        </w:rPr>
        <w:t xml:space="preserve"> previstas en la Ley de la materia, preservando el resto de la información de carácter público; lo anterior, previa intervención del Comité de Transparencia cuando legalmente corresponda.</w:t>
      </w:r>
    </w:p>
    <w:p w14:paraId="5013834A" w14:textId="4770A226" w:rsidR="00F526F4" w:rsidRPr="006D6EEB" w:rsidRDefault="00F526F4" w:rsidP="00AA5401">
      <w:pPr>
        <w:spacing w:before="240" w:after="240" w:line="360" w:lineRule="auto"/>
        <w:jc w:val="both"/>
        <w:rPr>
          <w:rFonts w:ascii="Palatino Linotype" w:eastAsia="Palatino Linotype" w:hAnsi="Palatino Linotype" w:cs="Palatino Linotype"/>
          <w:sz w:val="22"/>
          <w:szCs w:val="22"/>
        </w:rPr>
      </w:pPr>
      <w:r w:rsidRPr="006D6EEB">
        <w:rPr>
          <w:rFonts w:ascii="Palatino Linotype" w:eastAsia="Palatino Linotype" w:hAnsi="Palatino Linotype" w:cs="Palatino Linotype"/>
          <w:sz w:val="22"/>
          <w:szCs w:val="22"/>
        </w:rPr>
        <w:t>Por último,</w:t>
      </w:r>
      <w:r w:rsidR="000902A6" w:rsidRPr="006D6EEB">
        <w:rPr>
          <w:rFonts w:ascii="Palatino Linotype" w:eastAsia="Palatino Linotype" w:hAnsi="Palatino Linotype" w:cs="Palatino Linotype"/>
          <w:sz w:val="22"/>
          <w:szCs w:val="22"/>
        </w:rPr>
        <w:t xml:space="preserve"> r</w:t>
      </w:r>
      <w:r w:rsidRPr="006D6EEB">
        <w:rPr>
          <w:rFonts w:ascii="Palatino Linotype" w:eastAsia="Palatino Linotype" w:hAnsi="Palatino Linotype" w:cs="Palatino Linotype"/>
          <w:sz w:val="22"/>
          <w:szCs w:val="22"/>
        </w:rPr>
        <w:t xml:space="preserve">especto de la petición de la parte recurrente consistente en que se sancione al Titular de la Unidad de Transparencia, debe precisarse que la </w:t>
      </w:r>
      <w:r w:rsidRPr="006D6EEB">
        <w:rPr>
          <w:rFonts w:ascii="Palatino Linotype" w:eastAsia="Palatino Linotype" w:hAnsi="Palatino Linotype" w:cs="Palatino Linotype"/>
          <w:b/>
          <w:bCs/>
          <w:sz w:val="22"/>
          <w:szCs w:val="22"/>
        </w:rPr>
        <w:t>determinación e imposición de responsabilidades administrativas no constituye materia del presente recurso de revisión</w:t>
      </w:r>
      <w:r w:rsidRPr="006D6EEB">
        <w:rPr>
          <w:rFonts w:ascii="Palatino Linotype" w:eastAsia="Palatino Linotype" w:hAnsi="Palatino Linotype" w:cs="Palatino Linotype"/>
          <w:sz w:val="22"/>
          <w:szCs w:val="22"/>
        </w:rPr>
        <w:t>, cuyo objeto se limita a analizar la legalidad y suficiencia de la respuesta otorgada a la solicitud de acceso a la información. En consecuencia, no resulta procedente emitir pronunciamiento sancionador en esta vía, sin perjuicio de que la persona recurrente pueda hacer valer los hechos que estime irregulares ante la autoridad competente, mediante los procedimientos previstos en la normativa aplicable.</w:t>
      </w:r>
    </w:p>
    <w:p w14:paraId="5CF92AE1" w14:textId="6BAA5CBB" w:rsidR="000902A6" w:rsidRPr="006D6EEB" w:rsidRDefault="00F526F4" w:rsidP="00AA5401">
      <w:pPr>
        <w:spacing w:before="240" w:after="240" w:line="360" w:lineRule="auto"/>
        <w:jc w:val="both"/>
        <w:rPr>
          <w:rFonts w:ascii="Palatino Linotype" w:eastAsia="Palatino Linotype" w:hAnsi="Palatino Linotype" w:cs="Palatino Linotype"/>
          <w:sz w:val="22"/>
          <w:szCs w:val="22"/>
        </w:rPr>
      </w:pPr>
      <w:r w:rsidRPr="006D6EEB">
        <w:rPr>
          <w:rFonts w:ascii="Palatino Linotype" w:eastAsia="Palatino Linotype" w:hAnsi="Palatino Linotype" w:cs="Palatino Linotype"/>
          <w:b/>
          <w:bCs/>
          <w:sz w:val="22"/>
          <w:szCs w:val="22"/>
        </w:rPr>
        <w:t>Quinto. Versión Pública</w:t>
      </w:r>
      <w:r w:rsidRPr="006D6EEB">
        <w:rPr>
          <w:rFonts w:ascii="Palatino Linotype" w:eastAsia="Palatino Linotype" w:hAnsi="Palatino Linotype" w:cs="Palatino Linotype"/>
          <w:sz w:val="22"/>
          <w:szCs w:val="22"/>
        </w:rPr>
        <w:t xml:space="preserve">. </w:t>
      </w:r>
    </w:p>
    <w:p w14:paraId="00F06CE2" w14:textId="77777777" w:rsidR="003C3FE1" w:rsidRPr="006D6EEB" w:rsidRDefault="003C3FE1" w:rsidP="00AA5401">
      <w:pPr>
        <w:spacing w:before="240" w:after="240" w:line="360" w:lineRule="auto"/>
        <w:jc w:val="both"/>
        <w:rPr>
          <w:rFonts w:ascii="Palatino Linotype" w:eastAsia="Palatino Linotype" w:hAnsi="Palatino Linotype" w:cs="Palatino Linotype"/>
          <w:sz w:val="22"/>
          <w:szCs w:val="22"/>
        </w:rPr>
      </w:pPr>
      <w:r w:rsidRPr="006D6EEB">
        <w:rPr>
          <w:rFonts w:ascii="Palatino Linotype" w:eastAsia="Palatino Linotype" w:hAnsi="Palatino Linotype" w:cs="Palatino Linotype"/>
          <w:b/>
          <w:sz w:val="22"/>
          <w:szCs w:val="22"/>
        </w:rPr>
        <w:t>Quinto. Versión Pública.</w:t>
      </w:r>
      <w:r w:rsidRPr="006D6EEB">
        <w:rPr>
          <w:rFonts w:ascii="Palatino Linotype" w:eastAsia="Palatino Linotype" w:hAnsi="Palatino Linotype" w:cs="Palatino Linotype"/>
          <w:sz w:val="22"/>
          <w:szCs w:val="22"/>
        </w:rPr>
        <w:t xml:space="preserve"> Finalmente, debe señalarse que de ser el caso en que los documentos que vayan a ser entregados para dar cumplimiento a la presente resolución, contengan datos que deban ser clasificados, el </w:t>
      </w:r>
      <w:r w:rsidRPr="006D6EEB">
        <w:rPr>
          <w:rFonts w:ascii="Palatino Linotype" w:eastAsia="Palatino Linotype" w:hAnsi="Palatino Linotype" w:cs="Palatino Linotype"/>
          <w:b/>
          <w:sz w:val="22"/>
          <w:szCs w:val="22"/>
        </w:rPr>
        <w:t>Sujeto Obligado</w:t>
      </w:r>
      <w:r w:rsidRPr="006D6EEB">
        <w:rPr>
          <w:rFonts w:ascii="Palatino Linotype" w:eastAsia="Palatino Linotype" w:hAnsi="Palatino Linotype" w:cs="Palatino Linotype"/>
          <w:sz w:val="22"/>
          <w:szCs w:val="22"/>
        </w:rPr>
        <w:t xml:space="preserve"> deberá hacer la elaboración de la versión pública de tales documentos a fin de satisfacer el derecho de acceso a la información pública de la parte </w:t>
      </w:r>
      <w:r w:rsidRPr="006D6EEB">
        <w:rPr>
          <w:rFonts w:ascii="Palatino Linotype" w:eastAsia="Palatino Linotype" w:hAnsi="Palatino Linotype" w:cs="Palatino Linotype"/>
          <w:b/>
          <w:sz w:val="22"/>
          <w:szCs w:val="22"/>
        </w:rPr>
        <w:t>Recurrente</w:t>
      </w:r>
      <w:r w:rsidRPr="006D6EEB">
        <w:rPr>
          <w:rFonts w:ascii="Palatino Linotype" w:eastAsia="Palatino Linotype" w:hAnsi="Palatino Linotype" w:cs="Palatino Linotype"/>
          <w:sz w:val="22"/>
          <w:szCs w:val="22"/>
        </w:rPr>
        <w:t xml:space="preserve"> sin menoscabo al derecho a la protección de los datos personales de terceros.</w:t>
      </w:r>
    </w:p>
    <w:p w14:paraId="228DDAFE" w14:textId="77777777" w:rsidR="003C3FE1" w:rsidRPr="006D6EEB" w:rsidRDefault="003C3FE1" w:rsidP="00AA5401">
      <w:pPr>
        <w:spacing w:before="240" w:after="240" w:line="360" w:lineRule="auto"/>
        <w:jc w:val="both"/>
        <w:rPr>
          <w:rFonts w:ascii="Palatino Linotype" w:eastAsia="Palatino Linotype" w:hAnsi="Palatino Linotype" w:cs="Palatino Linotype"/>
          <w:sz w:val="22"/>
          <w:szCs w:val="22"/>
        </w:rPr>
      </w:pPr>
      <w:r w:rsidRPr="006D6EEB">
        <w:rPr>
          <w:rFonts w:ascii="Palatino Linotype" w:eastAsia="Palatino Linotype" w:hAnsi="Palatino Linotype" w:cs="Palatino Linotype"/>
          <w:sz w:val="22"/>
          <w:szCs w:val="22"/>
        </w:rPr>
        <w:t>Para efectos de la elaboración de la versión pública se deberá observar lo dispuesto por los artículos 3 fracciones IX, XX, XXI y XLV, 91, 132, 137 y 143, fracción I de la Ley de Transparencia y Acceso a la Información Pública del Estado de México y Municipios, que establecen:</w:t>
      </w:r>
    </w:p>
    <w:p w14:paraId="0C0B834C" w14:textId="77777777" w:rsidR="003C3FE1" w:rsidRPr="006D6EEB" w:rsidRDefault="003C3FE1" w:rsidP="00AA5401">
      <w:pPr>
        <w:spacing w:before="240" w:after="240" w:line="360" w:lineRule="auto"/>
        <w:ind w:left="851" w:right="902"/>
        <w:jc w:val="both"/>
        <w:rPr>
          <w:rFonts w:ascii="Palatino Linotype" w:eastAsia="Palatino Linotype" w:hAnsi="Palatino Linotype" w:cs="Palatino Linotype"/>
          <w:i/>
          <w:sz w:val="22"/>
          <w:szCs w:val="22"/>
        </w:rPr>
      </w:pPr>
      <w:r w:rsidRPr="006D6EEB">
        <w:rPr>
          <w:rFonts w:ascii="Palatino Linotype" w:eastAsia="Palatino Linotype" w:hAnsi="Palatino Linotype" w:cs="Palatino Linotype"/>
          <w:i/>
          <w:sz w:val="22"/>
          <w:szCs w:val="22"/>
        </w:rPr>
        <w:t>“</w:t>
      </w:r>
      <w:r w:rsidRPr="006D6EEB">
        <w:rPr>
          <w:rFonts w:ascii="Palatino Linotype" w:eastAsia="Palatino Linotype" w:hAnsi="Palatino Linotype" w:cs="Palatino Linotype"/>
          <w:b/>
          <w:i/>
          <w:sz w:val="22"/>
          <w:szCs w:val="22"/>
        </w:rPr>
        <w:t>Artículo 3</w:t>
      </w:r>
      <w:r w:rsidRPr="006D6EEB">
        <w:rPr>
          <w:rFonts w:ascii="Palatino Linotype" w:eastAsia="Palatino Linotype" w:hAnsi="Palatino Linotype" w:cs="Palatino Linotype"/>
          <w:i/>
          <w:sz w:val="22"/>
          <w:szCs w:val="22"/>
        </w:rPr>
        <w:t>. Para los efectos de la presente Ley se entenderá por:</w:t>
      </w:r>
    </w:p>
    <w:p w14:paraId="30B8C371" w14:textId="77777777" w:rsidR="003C3FE1" w:rsidRPr="006D6EEB" w:rsidRDefault="003C3FE1" w:rsidP="00AA5401">
      <w:pPr>
        <w:spacing w:before="240" w:after="240" w:line="360" w:lineRule="auto"/>
        <w:ind w:left="851" w:right="902"/>
        <w:jc w:val="both"/>
        <w:rPr>
          <w:rFonts w:ascii="Palatino Linotype" w:eastAsia="Palatino Linotype" w:hAnsi="Palatino Linotype" w:cs="Palatino Linotype"/>
          <w:i/>
          <w:sz w:val="22"/>
          <w:szCs w:val="22"/>
        </w:rPr>
      </w:pPr>
      <w:r w:rsidRPr="006D6EEB">
        <w:rPr>
          <w:rFonts w:ascii="Palatino Linotype" w:eastAsia="Palatino Linotype" w:hAnsi="Palatino Linotype" w:cs="Palatino Linotype"/>
          <w:i/>
          <w:sz w:val="22"/>
          <w:szCs w:val="22"/>
        </w:rPr>
        <w:t>…</w:t>
      </w:r>
    </w:p>
    <w:p w14:paraId="3B2E8ECF" w14:textId="77777777" w:rsidR="003C3FE1" w:rsidRPr="006D6EEB" w:rsidRDefault="003C3FE1" w:rsidP="00AA5401">
      <w:pPr>
        <w:spacing w:before="240" w:after="240" w:line="360" w:lineRule="auto"/>
        <w:ind w:left="851" w:right="902"/>
        <w:jc w:val="both"/>
        <w:rPr>
          <w:rFonts w:ascii="Palatino Linotype" w:eastAsia="Palatino Linotype" w:hAnsi="Palatino Linotype" w:cs="Palatino Linotype"/>
          <w:i/>
          <w:sz w:val="22"/>
          <w:szCs w:val="22"/>
        </w:rPr>
      </w:pPr>
      <w:r w:rsidRPr="006D6EEB">
        <w:rPr>
          <w:rFonts w:ascii="Palatino Linotype" w:eastAsia="Palatino Linotype" w:hAnsi="Palatino Linotype" w:cs="Palatino Linotype"/>
          <w:b/>
          <w:i/>
          <w:sz w:val="22"/>
          <w:szCs w:val="22"/>
        </w:rPr>
        <w:t>IX. Datos personales</w:t>
      </w:r>
      <w:r w:rsidRPr="006D6EEB">
        <w:rPr>
          <w:rFonts w:ascii="Palatino Linotype" w:eastAsia="Palatino Linotype" w:hAnsi="Palatino Linotype" w:cs="Palatino Linotype"/>
          <w:i/>
          <w:sz w:val="22"/>
          <w:szCs w:val="22"/>
        </w:rPr>
        <w:t xml:space="preserve">: La información concerniente a una persona, identificada o identificable según lo dispuesto por la Ley de Protección de Datos Personales del Estado de México; </w:t>
      </w:r>
    </w:p>
    <w:p w14:paraId="04295CFE" w14:textId="77777777" w:rsidR="003C3FE1" w:rsidRPr="006D6EEB" w:rsidRDefault="003C3FE1" w:rsidP="00AA5401">
      <w:pPr>
        <w:spacing w:before="240" w:after="240" w:line="360" w:lineRule="auto"/>
        <w:ind w:left="851" w:right="902"/>
        <w:jc w:val="both"/>
        <w:rPr>
          <w:rFonts w:ascii="Palatino Linotype" w:eastAsia="Palatino Linotype" w:hAnsi="Palatino Linotype" w:cs="Palatino Linotype"/>
          <w:i/>
          <w:sz w:val="22"/>
          <w:szCs w:val="22"/>
        </w:rPr>
      </w:pPr>
      <w:r w:rsidRPr="006D6EEB">
        <w:rPr>
          <w:rFonts w:ascii="Palatino Linotype" w:eastAsia="Palatino Linotype" w:hAnsi="Palatino Linotype" w:cs="Palatino Linotype"/>
          <w:b/>
          <w:i/>
          <w:sz w:val="22"/>
          <w:szCs w:val="22"/>
        </w:rPr>
        <w:t>XX. Información clasificada</w:t>
      </w:r>
      <w:r w:rsidRPr="006D6EEB">
        <w:rPr>
          <w:rFonts w:ascii="Palatino Linotype" w:eastAsia="Palatino Linotype" w:hAnsi="Palatino Linotype" w:cs="Palatino Linotype"/>
          <w:i/>
          <w:sz w:val="22"/>
          <w:szCs w:val="22"/>
        </w:rPr>
        <w:t>: Aquella considerada por la presente Ley como reservada o confidencial;</w:t>
      </w:r>
    </w:p>
    <w:p w14:paraId="41E11BD2" w14:textId="77777777" w:rsidR="003C3FE1" w:rsidRPr="006D6EEB" w:rsidRDefault="003C3FE1" w:rsidP="00AA5401">
      <w:pPr>
        <w:spacing w:before="240" w:after="240" w:line="360" w:lineRule="auto"/>
        <w:ind w:left="851" w:right="902"/>
        <w:jc w:val="both"/>
        <w:rPr>
          <w:rFonts w:ascii="Palatino Linotype" w:eastAsia="Palatino Linotype" w:hAnsi="Palatino Linotype" w:cs="Palatino Linotype"/>
          <w:i/>
          <w:sz w:val="22"/>
          <w:szCs w:val="22"/>
        </w:rPr>
      </w:pPr>
      <w:r w:rsidRPr="006D6EEB">
        <w:rPr>
          <w:rFonts w:ascii="Palatino Linotype" w:eastAsia="Palatino Linotype" w:hAnsi="Palatino Linotype" w:cs="Palatino Linotype"/>
          <w:b/>
          <w:i/>
          <w:sz w:val="22"/>
          <w:szCs w:val="22"/>
        </w:rPr>
        <w:t xml:space="preserve">XXI. Información confidencial: </w:t>
      </w:r>
      <w:r w:rsidRPr="006D6EEB">
        <w:rPr>
          <w:rFonts w:ascii="Palatino Linotype" w:eastAsia="Palatino Linotype" w:hAnsi="Palatino Linotype" w:cs="Palatino Linotype"/>
          <w:i/>
          <w:sz w:val="22"/>
          <w:szCs w:val="22"/>
        </w:rPr>
        <w:t>Se considera como información confidencial los secretos bancario, fiduciario, industrial, comercial, fiscal, bursátil y postal, cuya titularidad corresponda a particulares, sujetos de derecho internacional o a sujetos obligados cuando no involucren el ejercicio de recursos públicos;</w:t>
      </w:r>
    </w:p>
    <w:p w14:paraId="73F50CD2" w14:textId="77777777" w:rsidR="003C3FE1" w:rsidRPr="006D6EEB" w:rsidRDefault="003C3FE1" w:rsidP="00AA5401">
      <w:pPr>
        <w:spacing w:before="240" w:after="240" w:line="360" w:lineRule="auto"/>
        <w:ind w:left="851" w:right="902"/>
        <w:jc w:val="both"/>
        <w:rPr>
          <w:rFonts w:ascii="Palatino Linotype" w:eastAsia="Palatino Linotype" w:hAnsi="Palatino Linotype" w:cs="Palatino Linotype"/>
          <w:i/>
          <w:sz w:val="22"/>
          <w:szCs w:val="22"/>
        </w:rPr>
      </w:pPr>
      <w:r w:rsidRPr="006D6EEB">
        <w:rPr>
          <w:rFonts w:ascii="Palatino Linotype" w:eastAsia="Palatino Linotype" w:hAnsi="Palatino Linotype" w:cs="Palatino Linotype"/>
          <w:b/>
          <w:i/>
          <w:sz w:val="22"/>
          <w:szCs w:val="22"/>
        </w:rPr>
        <w:t>XLV. Versión pública:</w:t>
      </w:r>
      <w:r w:rsidRPr="006D6EEB">
        <w:rPr>
          <w:rFonts w:ascii="Palatino Linotype" w:eastAsia="Palatino Linotype" w:hAnsi="Palatino Linotype" w:cs="Palatino Linotype"/>
          <w:i/>
          <w:sz w:val="22"/>
          <w:szCs w:val="22"/>
        </w:rPr>
        <w:t xml:space="preserve"> Documento en el que se elimine, suprime o borra la información clasificada como reservada o confidencial para permitir su acceso.</w:t>
      </w:r>
    </w:p>
    <w:p w14:paraId="1AF9C3B6" w14:textId="77777777" w:rsidR="003C3FE1" w:rsidRPr="006D6EEB" w:rsidRDefault="003C3FE1" w:rsidP="00AA5401">
      <w:pPr>
        <w:spacing w:before="240" w:after="240" w:line="360" w:lineRule="auto"/>
        <w:ind w:left="851" w:right="902"/>
        <w:jc w:val="both"/>
        <w:rPr>
          <w:rFonts w:ascii="Palatino Linotype" w:eastAsia="Palatino Linotype" w:hAnsi="Palatino Linotype" w:cs="Palatino Linotype"/>
          <w:i/>
          <w:sz w:val="22"/>
          <w:szCs w:val="22"/>
        </w:rPr>
      </w:pPr>
      <w:r w:rsidRPr="006D6EEB">
        <w:rPr>
          <w:rFonts w:ascii="Palatino Linotype" w:eastAsia="Palatino Linotype" w:hAnsi="Palatino Linotype" w:cs="Palatino Linotype"/>
          <w:i/>
          <w:sz w:val="22"/>
          <w:szCs w:val="22"/>
        </w:rPr>
        <w:t>…</w:t>
      </w:r>
    </w:p>
    <w:p w14:paraId="7AD5D47C" w14:textId="77777777" w:rsidR="003C3FE1" w:rsidRPr="006D6EEB" w:rsidRDefault="003C3FE1" w:rsidP="00AA5401">
      <w:pPr>
        <w:spacing w:before="240" w:after="240" w:line="360" w:lineRule="auto"/>
        <w:ind w:left="851" w:right="902"/>
        <w:jc w:val="both"/>
        <w:rPr>
          <w:rFonts w:ascii="Palatino Linotype" w:eastAsia="Palatino Linotype" w:hAnsi="Palatino Linotype" w:cs="Palatino Linotype"/>
          <w:i/>
          <w:sz w:val="22"/>
          <w:szCs w:val="22"/>
        </w:rPr>
      </w:pPr>
      <w:r w:rsidRPr="006D6EEB">
        <w:rPr>
          <w:rFonts w:ascii="Palatino Linotype" w:eastAsia="Palatino Linotype" w:hAnsi="Palatino Linotype" w:cs="Palatino Linotype"/>
          <w:b/>
          <w:i/>
          <w:sz w:val="22"/>
          <w:szCs w:val="22"/>
        </w:rPr>
        <w:t>Artículo 91.</w:t>
      </w:r>
      <w:r w:rsidRPr="006D6EEB">
        <w:rPr>
          <w:rFonts w:ascii="Palatino Linotype" w:eastAsia="Palatino Linotype" w:hAnsi="Palatino Linotype" w:cs="Palatino Linotype"/>
          <w:i/>
          <w:sz w:val="22"/>
          <w:szCs w:val="22"/>
        </w:rPr>
        <w:t xml:space="preserve"> El acceso a la información pública será restringido excepcionalmente, cuando ésta sea clasificada como reservada o confidencial.</w:t>
      </w:r>
    </w:p>
    <w:p w14:paraId="7845A22A" w14:textId="77777777" w:rsidR="003C3FE1" w:rsidRPr="006D6EEB" w:rsidRDefault="003C3FE1" w:rsidP="00AA5401">
      <w:pPr>
        <w:spacing w:before="240" w:after="240" w:line="360" w:lineRule="auto"/>
        <w:ind w:left="851" w:right="902"/>
        <w:jc w:val="both"/>
        <w:rPr>
          <w:rFonts w:ascii="Palatino Linotype" w:eastAsia="Palatino Linotype" w:hAnsi="Palatino Linotype" w:cs="Palatino Linotype"/>
          <w:i/>
          <w:sz w:val="22"/>
          <w:szCs w:val="22"/>
        </w:rPr>
      </w:pPr>
      <w:r w:rsidRPr="006D6EEB">
        <w:rPr>
          <w:rFonts w:ascii="Palatino Linotype" w:eastAsia="Palatino Linotype" w:hAnsi="Palatino Linotype" w:cs="Palatino Linotype"/>
          <w:b/>
          <w:i/>
          <w:sz w:val="22"/>
          <w:szCs w:val="22"/>
        </w:rPr>
        <w:t>Artículo 132.</w:t>
      </w:r>
      <w:r w:rsidRPr="006D6EEB">
        <w:rPr>
          <w:rFonts w:ascii="Palatino Linotype" w:eastAsia="Palatino Linotype" w:hAnsi="Palatino Linotype" w:cs="Palatino Linotype"/>
          <w:i/>
          <w:sz w:val="22"/>
          <w:szCs w:val="22"/>
        </w:rPr>
        <w:t xml:space="preserve"> La clasificación de la información se llevará a cabo en el momento en que:</w:t>
      </w:r>
    </w:p>
    <w:p w14:paraId="226B0EAF" w14:textId="77777777" w:rsidR="003C3FE1" w:rsidRPr="006D6EEB" w:rsidRDefault="003C3FE1" w:rsidP="00AA5401">
      <w:pPr>
        <w:spacing w:before="240" w:after="240" w:line="360" w:lineRule="auto"/>
        <w:ind w:left="851" w:right="902"/>
        <w:jc w:val="both"/>
        <w:rPr>
          <w:rFonts w:ascii="Palatino Linotype" w:eastAsia="Palatino Linotype" w:hAnsi="Palatino Linotype" w:cs="Palatino Linotype"/>
          <w:i/>
          <w:sz w:val="22"/>
          <w:szCs w:val="22"/>
        </w:rPr>
      </w:pPr>
      <w:r w:rsidRPr="006D6EEB">
        <w:rPr>
          <w:rFonts w:ascii="Palatino Linotype" w:eastAsia="Palatino Linotype" w:hAnsi="Palatino Linotype" w:cs="Palatino Linotype"/>
          <w:b/>
          <w:i/>
          <w:sz w:val="22"/>
          <w:szCs w:val="22"/>
        </w:rPr>
        <w:t>I</w:t>
      </w:r>
      <w:r w:rsidRPr="006D6EEB">
        <w:rPr>
          <w:rFonts w:ascii="Palatino Linotype" w:eastAsia="Palatino Linotype" w:hAnsi="Palatino Linotype" w:cs="Palatino Linotype"/>
          <w:i/>
          <w:sz w:val="22"/>
          <w:szCs w:val="22"/>
        </w:rPr>
        <w:t>. Se reciba una solicitud de acceso a la información;</w:t>
      </w:r>
    </w:p>
    <w:p w14:paraId="001F18EF" w14:textId="77777777" w:rsidR="003C3FE1" w:rsidRPr="006D6EEB" w:rsidRDefault="003C3FE1" w:rsidP="00AA5401">
      <w:pPr>
        <w:spacing w:before="240" w:after="240" w:line="360" w:lineRule="auto"/>
        <w:ind w:left="851" w:right="902"/>
        <w:jc w:val="both"/>
        <w:rPr>
          <w:rFonts w:ascii="Palatino Linotype" w:eastAsia="Palatino Linotype" w:hAnsi="Palatino Linotype" w:cs="Palatino Linotype"/>
          <w:i/>
          <w:sz w:val="22"/>
          <w:szCs w:val="22"/>
        </w:rPr>
      </w:pPr>
      <w:r w:rsidRPr="006D6EEB">
        <w:rPr>
          <w:rFonts w:ascii="Palatino Linotype" w:eastAsia="Palatino Linotype" w:hAnsi="Palatino Linotype" w:cs="Palatino Linotype"/>
          <w:b/>
          <w:i/>
          <w:sz w:val="22"/>
          <w:szCs w:val="22"/>
        </w:rPr>
        <w:t>II.</w:t>
      </w:r>
      <w:r w:rsidRPr="006D6EEB">
        <w:rPr>
          <w:rFonts w:ascii="Palatino Linotype" w:eastAsia="Palatino Linotype" w:hAnsi="Palatino Linotype" w:cs="Palatino Linotype"/>
          <w:i/>
          <w:sz w:val="22"/>
          <w:szCs w:val="22"/>
        </w:rPr>
        <w:t xml:space="preserve"> Se determine mediante resolución de autoridad competente; o</w:t>
      </w:r>
    </w:p>
    <w:p w14:paraId="440C35A2" w14:textId="77777777" w:rsidR="003C3FE1" w:rsidRPr="006D6EEB" w:rsidRDefault="003C3FE1" w:rsidP="00AA5401">
      <w:pPr>
        <w:spacing w:before="240" w:after="240" w:line="360" w:lineRule="auto"/>
        <w:ind w:left="851" w:right="902"/>
        <w:jc w:val="both"/>
        <w:rPr>
          <w:rFonts w:ascii="Palatino Linotype" w:eastAsia="Palatino Linotype" w:hAnsi="Palatino Linotype" w:cs="Palatino Linotype"/>
          <w:i/>
          <w:sz w:val="22"/>
          <w:szCs w:val="22"/>
        </w:rPr>
      </w:pPr>
      <w:r w:rsidRPr="006D6EEB">
        <w:rPr>
          <w:rFonts w:ascii="Palatino Linotype" w:eastAsia="Palatino Linotype" w:hAnsi="Palatino Linotype" w:cs="Palatino Linotype"/>
          <w:b/>
          <w:i/>
          <w:sz w:val="22"/>
          <w:szCs w:val="22"/>
        </w:rPr>
        <w:t>III.</w:t>
      </w:r>
      <w:r w:rsidRPr="006D6EEB">
        <w:rPr>
          <w:rFonts w:ascii="Palatino Linotype" w:eastAsia="Palatino Linotype" w:hAnsi="Palatino Linotype" w:cs="Palatino Linotype"/>
          <w:i/>
          <w:sz w:val="22"/>
          <w:szCs w:val="22"/>
        </w:rPr>
        <w:t xml:space="preserve"> Se generen versiones públicas para dar cumplimiento a las obligaciones de transparencia previstas en esta Ley.</w:t>
      </w:r>
    </w:p>
    <w:p w14:paraId="23725328" w14:textId="77777777" w:rsidR="003C3FE1" w:rsidRPr="006D6EEB" w:rsidRDefault="003C3FE1" w:rsidP="00AA5401">
      <w:pPr>
        <w:spacing w:before="240" w:after="240" w:line="360" w:lineRule="auto"/>
        <w:ind w:left="851" w:right="902"/>
        <w:jc w:val="both"/>
        <w:rPr>
          <w:rFonts w:ascii="Palatino Linotype" w:eastAsia="Palatino Linotype" w:hAnsi="Palatino Linotype" w:cs="Palatino Linotype"/>
          <w:i/>
          <w:sz w:val="22"/>
          <w:szCs w:val="22"/>
        </w:rPr>
      </w:pPr>
      <w:r w:rsidRPr="006D6EEB">
        <w:rPr>
          <w:rFonts w:ascii="Palatino Linotype" w:eastAsia="Palatino Linotype" w:hAnsi="Palatino Linotype" w:cs="Palatino Linotype"/>
          <w:i/>
          <w:sz w:val="22"/>
          <w:szCs w:val="22"/>
        </w:rPr>
        <w:t>…</w:t>
      </w:r>
    </w:p>
    <w:p w14:paraId="73ECFC72" w14:textId="77777777" w:rsidR="003C3FE1" w:rsidRPr="006D6EEB" w:rsidRDefault="003C3FE1" w:rsidP="00AA5401">
      <w:pPr>
        <w:spacing w:before="240" w:after="240" w:line="360" w:lineRule="auto"/>
        <w:ind w:left="851" w:right="902"/>
        <w:jc w:val="both"/>
        <w:rPr>
          <w:rFonts w:ascii="Palatino Linotype" w:eastAsia="Palatino Linotype" w:hAnsi="Palatino Linotype" w:cs="Palatino Linotype"/>
          <w:i/>
          <w:sz w:val="22"/>
          <w:szCs w:val="22"/>
        </w:rPr>
      </w:pPr>
      <w:r w:rsidRPr="006D6EEB">
        <w:rPr>
          <w:rFonts w:ascii="Palatino Linotype" w:eastAsia="Palatino Linotype" w:hAnsi="Palatino Linotype" w:cs="Palatino Linotype"/>
          <w:b/>
          <w:i/>
          <w:sz w:val="22"/>
          <w:szCs w:val="22"/>
        </w:rPr>
        <w:t>Artículo 137.</w:t>
      </w:r>
      <w:r w:rsidRPr="006D6EEB">
        <w:rPr>
          <w:rFonts w:ascii="Palatino Linotype" w:eastAsia="Palatino Linotype" w:hAnsi="Palatino Linotype" w:cs="Palatino Linotype"/>
          <w:i/>
          <w:sz w:val="22"/>
          <w:szCs w:val="22"/>
        </w:rPr>
        <w:t xml:space="preserve"> Cuando un mismo medio, impreso o electrónico, contenga información pública y reservada o confidencial, la Unidad de Transparencia para efectos de atender una solicitud de información, deberán elaborar una versión pública en la que se testen las partes o secciones clasificadas, indicando su contenido de manera genérica y fundando y motivando su clasificación.</w:t>
      </w:r>
    </w:p>
    <w:p w14:paraId="659D963A" w14:textId="77777777" w:rsidR="003C3FE1" w:rsidRPr="006D6EEB" w:rsidRDefault="003C3FE1" w:rsidP="00AA5401">
      <w:pPr>
        <w:spacing w:before="240" w:after="240" w:line="360" w:lineRule="auto"/>
        <w:ind w:left="851" w:right="902"/>
        <w:jc w:val="both"/>
        <w:rPr>
          <w:rFonts w:ascii="Palatino Linotype" w:eastAsia="Palatino Linotype" w:hAnsi="Palatino Linotype" w:cs="Palatino Linotype"/>
          <w:b/>
          <w:i/>
          <w:sz w:val="22"/>
          <w:szCs w:val="22"/>
        </w:rPr>
      </w:pPr>
      <w:r w:rsidRPr="006D6EEB">
        <w:rPr>
          <w:rFonts w:ascii="Palatino Linotype" w:eastAsia="Palatino Linotype" w:hAnsi="Palatino Linotype" w:cs="Palatino Linotype"/>
          <w:b/>
          <w:i/>
          <w:sz w:val="22"/>
          <w:szCs w:val="22"/>
        </w:rPr>
        <w:t>…</w:t>
      </w:r>
    </w:p>
    <w:p w14:paraId="69990FCD" w14:textId="77777777" w:rsidR="003C3FE1" w:rsidRPr="006D6EEB" w:rsidRDefault="003C3FE1" w:rsidP="00AA5401">
      <w:pPr>
        <w:spacing w:before="240" w:after="240" w:line="360" w:lineRule="auto"/>
        <w:ind w:left="851" w:right="902"/>
        <w:jc w:val="both"/>
        <w:rPr>
          <w:rFonts w:ascii="Palatino Linotype" w:eastAsia="Palatino Linotype" w:hAnsi="Palatino Linotype" w:cs="Palatino Linotype"/>
          <w:i/>
          <w:sz w:val="22"/>
          <w:szCs w:val="22"/>
        </w:rPr>
      </w:pPr>
      <w:r w:rsidRPr="006D6EEB">
        <w:rPr>
          <w:rFonts w:ascii="Palatino Linotype" w:eastAsia="Palatino Linotype" w:hAnsi="Palatino Linotype" w:cs="Palatino Linotype"/>
          <w:b/>
          <w:i/>
          <w:sz w:val="22"/>
          <w:szCs w:val="22"/>
        </w:rPr>
        <w:t>Artículo 143</w:t>
      </w:r>
      <w:r w:rsidRPr="006D6EEB">
        <w:rPr>
          <w:rFonts w:ascii="Palatino Linotype" w:eastAsia="Palatino Linotype" w:hAnsi="Palatino Linotype" w:cs="Palatino Linotype"/>
          <w:i/>
          <w:sz w:val="22"/>
          <w:szCs w:val="22"/>
        </w:rPr>
        <w:t>. Para los efectos de esta Ley se considera información confidencial, la clasificada como tal, de manera permanente, por su naturaleza, cuando:</w:t>
      </w:r>
    </w:p>
    <w:p w14:paraId="3000186B" w14:textId="77777777" w:rsidR="003C3FE1" w:rsidRPr="006D6EEB" w:rsidRDefault="003C3FE1" w:rsidP="00AA5401">
      <w:pPr>
        <w:spacing w:before="240" w:after="240" w:line="360" w:lineRule="auto"/>
        <w:ind w:left="851" w:right="902"/>
        <w:jc w:val="both"/>
        <w:rPr>
          <w:rFonts w:ascii="Palatino Linotype" w:eastAsia="Palatino Linotype" w:hAnsi="Palatino Linotype" w:cs="Palatino Linotype"/>
          <w:i/>
          <w:sz w:val="22"/>
          <w:szCs w:val="22"/>
        </w:rPr>
      </w:pPr>
      <w:r w:rsidRPr="006D6EEB">
        <w:rPr>
          <w:rFonts w:ascii="Palatino Linotype" w:eastAsia="Palatino Linotype" w:hAnsi="Palatino Linotype" w:cs="Palatino Linotype"/>
          <w:b/>
          <w:i/>
          <w:sz w:val="22"/>
          <w:szCs w:val="22"/>
        </w:rPr>
        <w:t>I.</w:t>
      </w:r>
      <w:r w:rsidRPr="006D6EEB">
        <w:rPr>
          <w:rFonts w:ascii="Palatino Linotype" w:eastAsia="Palatino Linotype" w:hAnsi="Palatino Linotype" w:cs="Palatino Linotype"/>
          <w:i/>
          <w:sz w:val="22"/>
          <w:szCs w:val="22"/>
        </w:rPr>
        <w:t xml:space="preserve"> Se refiera a la información privada y los datos personales concernientes a una persona física o jurídico colectiva identificada o identificable;”</w:t>
      </w:r>
    </w:p>
    <w:p w14:paraId="689842CE" w14:textId="77777777" w:rsidR="003C3FE1" w:rsidRPr="006D6EEB" w:rsidRDefault="003C3FE1" w:rsidP="00AA5401">
      <w:pPr>
        <w:spacing w:before="240" w:after="240" w:line="360" w:lineRule="auto"/>
        <w:jc w:val="both"/>
        <w:rPr>
          <w:rFonts w:ascii="Palatino Linotype" w:eastAsia="Palatino Linotype" w:hAnsi="Palatino Linotype" w:cs="Palatino Linotype"/>
          <w:sz w:val="22"/>
          <w:szCs w:val="22"/>
        </w:rPr>
      </w:pPr>
      <w:r w:rsidRPr="006D6EEB">
        <w:rPr>
          <w:rFonts w:ascii="Palatino Linotype" w:eastAsia="Palatino Linotype" w:hAnsi="Palatino Linotype" w:cs="Palatino Linotype"/>
          <w:sz w:val="22"/>
          <w:szCs w:val="22"/>
        </w:rPr>
        <w:t>Igualmente, lo establecido en los Lineamientos Generales en Materia de Clasificación y Desclasificación de la Información, así como para la elaboración de Versiones Públicas, emitidos por el Consejo Nacional del Sistema Nacional de Transparencia, Acceso a la Información Pública y Protección de Datos Personales, que tienen por objeto establecer los criterios con base en los cuales los sujetos obligados clasificarán como reservada o confidencial la información que posean, desclasificarán y generarán, en su caso, versiones públicas de expedientes o documentos que contengan partes o secciones clasificadas.</w:t>
      </w:r>
    </w:p>
    <w:p w14:paraId="3EB25C1B" w14:textId="77777777" w:rsidR="003C3FE1" w:rsidRPr="006D6EEB" w:rsidRDefault="003C3FE1" w:rsidP="00AA5401">
      <w:pPr>
        <w:spacing w:before="240" w:after="240" w:line="360" w:lineRule="auto"/>
        <w:ind w:right="50"/>
        <w:jc w:val="both"/>
        <w:rPr>
          <w:rFonts w:ascii="Palatino Linotype" w:eastAsia="Palatino Linotype" w:hAnsi="Palatino Linotype" w:cs="Palatino Linotype"/>
          <w:sz w:val="22"/>
          <w:szCs w:val="22"/>
        </w:rPr>
      </w:pPr>
      <w:r w:rsidRPr="006D6EEB">
        <w:rPr>
          <w:rFonts w:ascii="Palatino Linotype" w:eastAsia="Palatino Linotype" w:hAnsi="Palatino Linotype" w:cs="Palatino Linotype"/>
          <w:sz w:val="22"/>
          <w:szCs w:val="22"/>
        </w:rPr>
        <w:t xml:space="preserve">De los preceptos anteriores se desprende que cuando un documento que vaya a ser entregado vía acceso a la información pública, contenga tanto información de interés público como información que debe ser clasificada, se hará la entrega del mismo, testando las secciones o datos que deban ser clasificados; por ende el </w:t>
      </w:r>
      <w:r w:rsidRPr="006D6EEB">
        <w:rPr>
          <w:rFonts w:ascii="Palatino Linotype" w:eastAsia="Palatino Linotype" w:hAnsi="Palatino Linotype" w:cs="Palatino Linotype"/>
          <w:b/>
          <w:sz w:val="22"/>
          <w:szCs w:val="22"/>
        </w:rPr>
        <w:t>Sujeto Obligado</w:t>
      </w:r>
      <w:r w:rsidRPr="006D6EEB">
        <w:rPr>
          <w:rFonts w:ascii="Palatino Linotype" w:eastAsia="Palatino Linotype" w:hAnsi="Palatino Linotype" w:cs="Palatino Linotype"/>
          <w:sz w:val="22"/>
          <w:szCs w:val="22"/>
        </w:rPr>
        <w:t xml:space="preserve"> deberá proceder a testar los datos personales que se encuentre contenidos en los documentos a entregar para satisfacer el derecho de acceso a la información pública de la parte Recurrente, esto es, los datos concernientes a una persona identificada o identificable, o aquellos datos que tengan el carácter de sensibles, es decir los que afectan  la esfera más íntima de su titular o cuya utilización indebida pueda dar origen a discriminación o conlleven un riesgo grave para aquel de acuerdo a los que señala la fracción XII del artículo 4 de la Ley de Protección de Datos Personales en posesión de Sujeto Obligados del Estado de México.</w:t>
      </w:r>
    </w:p>
    <w:p w14:paraId="7C5FF471" w14:textId="77777777" w:rsidR="003C3FE1" w:rsidRPr="006D6EEB" w:rsidRDefault="003C3FE1" w:rsidP="00AA5401">
      <w:pPr>
        <w:spacing w:before="240" w:after="240" w:line="360" w:lineRule="auto"/>
        <w:ind w:right="50"/>
        <w:jc w:val="both"/>
        <w:rPr>
          <w:rFonts w:ascii="Palatino Linotype" w:eastAsia="Palatino Linotype" w:hAnsi="Palatino Linotype" w:cs="Palatino Linotype"/>
          <w:sz w:val="22"/>
          <w:szCs w:val="22"/>
        </w:rPr>
      </w:pPr>
      <w:r w:rsidRPr="006D6EEB">
        <w:rPr>
          <w:rFonts w:ascii="Palatino Linotype" w:eastAsia="Palatino Linotype" w:hAnsi="Palatino Linotype" w:cs="Palatino Linotype"/>
          <w:sz w:val="22"/>
          <w:szCs w:val="22"/>
        </w:rPr>
        <w:t>Datos que deberá clasificar como confidenciales por tratarse precisamente de información privada, puesto que los datos personales son irrenunciables, intransferibles e indelegables y los Sujetos Obligados no deberán hacer entrega de los mismos a personas ajenas a su titular.</w:t>
      </w:r>
    </w:p>
    <w:p w14:paraId="6FE28241" w14:textId="77777777" w:rsidR="003C3FE1" w:rsidRPr="006D6EEB" w:rsidRDefault="003C3FE1" w:rsidP="00AA5401">
      <w:pPr>
        <w:spacing w:before="240" w:after="240" w:line="360" w:lineRule="auto"/>
        <w:ind w:right="-93"/>
        <w:jc w:val="both"/>
        <w:rPr>
          <w:rFonts w:ascii="Palatino Linotype" w:eastAsia="Palatino Linotype" w:hAnsi="Palatino Linotype" w:cs="Palatino Linotype"/>
          <w:sz w:val="22"/>
          <w:szCs w:val="22"/>
        </w:rPr>
      </w:pPr>
      <w:r w:rsidRPr="006D6EEB">
        <w:rPr>
          <w:rFonts w:ascii="Palatino Linotype" w:eastAsia="Palatino Linotype" w:hAnsi="Palatino Linotype" w:cs="Palatino Linotype"/>
          <w:sz w:val="22"/>
          <w:szCs w:val="22"/>
        </w:rPr>
        <w:t xml:space="preserve">Por lo que se refiere al </w:t>
      </w:r>
      <w:r w:rsidRPr="006D6EEB">
        <w:rPr>
          <w:rFonts w:ascii="Palatino Linotype" w:eastAsia="Palatino Linotype" w:hAnsi="Palatino Linotype" w:cs="Palatino Linotype"/>
          <w:b/>
          <w:sz w:val="22"/>
          <w:szCs w:val="22"/>
        </w:rPr>
        <w:t>teléfono particular</w:t>
      </w:r>
      <w:r w:rsidRPr="006D6EEB">
        <w:rPr>
          <w:rFonts w:ascii="Palatino Linotype" w:eastAsia="Palatino Linotype" w:hAnsi="Palatino Linotype" w:cs="Palatino Linotype"/>
          <w:sz w:val="22"/>
          <w:szCs w:val="22"/>
        </w:rPr>
        <w:t>, se trata de información que le compete únicamente al servidor público, pues es un medio mediante el cual puede ser ubicado, es susceptible de ser clasificado como confidencial de conformidad con la fracción I, del artículo 143 de la Ley de Transparencia y Acceso a la Información Pública del Estado de México y Municipios, citado con antelación.</w:t>
      </w:r>
    </w:p>
    <w:p w14:paraId="639C7B41" w14:textId="77777777" w:rsidR="003C3FE1" w:rsidRPr="006D6EEB" w:rsidRDefault="003C3FE1" w:rsidP="00AA5401">
      <w:pPr>
        <w:pBdr>
          <w:top w:val="nil"/>
          <w:left w:val="nil"/>
          <w:bottom w:val="nil"/>
          <w:right w:val="nil"/>
          <w:between w:val="nil"/>
        </w:pBdr>
        <w:spacing w:before="240" w:after="240" w:line="360" w:lineRule="auto"/>
        <w:jc w:val="both"/>
        <w:rPr>
          <w:rFonts w:ascii="Palatino Linotype" w:eastAsia="Palatino Linotype" w:hAnsi="Palatino Linotype" w:cs="Palatino Linotype"/>
          <w:sz w:val="22"/>
          <w:szCs w:val="22"/>
        </w:rPr>
      </w:pPr>
      <w:r w:rsidRPr="006D6EEB">
        <w:rPr>
          <w:rFonts w:ascii="Palatino Linotype" w:eastAsia="Palatino Linotype" w:hAnsi="Palatino Linotype" w:cs="Palatino Linotype"/>
          <w:sz w:val="22"/>
          <w:szCs w:val="22"/>
        </w:rPr>
        <w:t xml:space="preserve">El </w:t>
      </w:r>
      <w:r w:rsidRPr="006D6EEB">
        <w:rPr>
          <w:rFonts w:ascii="Palatino Linotype" w:eastAsia="Palatino Linotype" w:hAnsi="Palatino Linotype" w:cs="Palatino Linotype"/>
          <w:b/>
          <w:sz w:val="22"/>
          <w:szCs w:val="22"/>
        </w:rPr>
        <w:t xml:space="preserve">correo electrónico personal </w:t>
      </w:r>
      <w:r w:rsidRPr="006D6EEB">
        <w:rPr>
          <w:rFonts w:ascii="Palatino Linotype" w:eastAsia="Palatino Linotype" w:hAnsi="Palatino Linotype" w:cs="Palatino Linotype"/>
          <w:sz w:val="22"/>
          <w:szCs w:val="22"/>
        </w:rPr>
        <w:t>al ser un sistema de transmisión de mensajes por computadora a través de redes informáticas. Dicho dato se puede asimilar al teléfono o domicilio particular, cuya nomenclatura, se considera como un dato personal, toda vez que es un medio para comunicarse con la persona titular del mismo, la hace localizable e incluso identificable, al poder estar conformado por parte de su nombre o bien, fecha de nacimiento. En ese sentido la titularidad de dicho dato corresponde a la persona física y no así en su calidad de trabajador del Gobierno; por lo que corresponde a un dato personal que actualiza la causal de clasificación establecida en el artículo 143, fracción I de la Ley de Transparencia y Acceso a la Información Pública del Estado de México y Municipios.</w:t>
      </w:r>
    </w:p>
    <w:p w14:paraId="5100A3F0" w14:textId="77777777" w:rsidR="003C3FE1" w:rsidRPr="006D6EEB" w:rsidRDefault="003C3FE1" w:rsidP="00AA5401">
      <w:pPr>
        <w:widowControl w:val="0"/>
        <w:pBdr>
          <w:top w:val="nil"/>
          <w:left w:val="nil"/>
          <w:bottom w:val="nil"/>
          <w:right w:val="nil"/>
          <w:between w:val="nil"/>
        </w:pBdr>
        <w:tabs>
          <w:tab w:val="left" w:pos="284"/>
        </w:tabs>
        <w:spacing w:before="240" w:after="240" w:line="360" w:lineRule="auto"/>
        <w:jc w:val="both"/>
        <w:rPr>
          <w:rFonts w:ascii="Palatino Linotype" w:eastAsia="Palatino Linotype" w:hAnsi="Palatino Linotype" w:cs="Palatino Linotype"/>
          <w:sz w:val="22"/>
          <w:szCs w:val="22"/>
        </w:rPr>
      </w:pPr>
      <w:r w:rsidRPr="006D6EEB">
        <w:rPr>
          <w:rFonts w:ascii="Palatino Linotype" w:eastAsia="Palatino Linotype" w:hAnsi="Palatino Linotype" w:cs="Palatino Linotype"/>
          <w:sz w:val="22"/>
          <w:szCs w:val="22"/>
        </w:rPr>
        <w:t xml:space="preserve">El </w:t>
      </w:r>
      <w:r w:rsidRPr="006D6EEB">
        <w:rPr>
          <w:rFonts w:ascii="Palatino Linotype" w:eastAsia="Palatino Linotype" w:hAnsi="Palatino Linotype" w:cs="Palatino Linotype"/>
          <w:b/>
          <w:sz w:val="22"/>
          <w:szCs w:val="22"/>
        </w:rPr>
        <w:t>domicilio particular</w:t>
      </w:r>
      <w:r w:rsidRPr="006D6EEB">
        <w:rPr>
          <w:rFonts w:ascii="Palatino Linotype" w:eastAsia="Palatino Linotype" w:hAnsi="Palatino Linotype" w:cs="Palatino Linotype"/>
          <w:sz w:val="22"/>
          <w:szCs w:val="22"/>
        </w:rPr>
        <w:t xml:space="preserve">, de acuerdo con lo señalado en los artículos 2.3 y 2.5 del Código Civil del Estado de México, el domicilio es un atributo de la personalidad y un derecho de las personas; además que tiene como propósito que una persona pueda establecerse temporal o permanentemente en un lugar determinado, para habitar, establecer su centro de trabajo o negocios. </w:t>
      </w:r>
    </w:p>
    <w:p w14:paraId="209E0EB3" w14:textId="77777777" w:rsidR="003C3FE1" w:rsidRPr="006D6EEB" w:rsidRDefault="003C3FE1" w:rsidP="00AA5401">
      <w:pPr>
        <w:widowControl w:val="0"/>
        <w:pBdr>
          <w:top w:val="nil"/>
          <w:left w:val="nil"/>
          <w:bottom w:val="nil"/>
          <w:right w:val="nil"/>
          <w:between w:val="nil"/>
        </w:pBdr>
        <w:tabs>
          <w:tab w:val="left" w:pos="284"/>
        </w:tabs>
        <w:spacing w:before="240" w:after="240" w:line="360" w:lineRule="auto"/>
        <w:jc w:val="both"/>
        <w:rPr>
          <w:rFonts w:ascii="Palatino Linotype" w:eastAsia="Palatino Linotype" w:hAnsi="Palatino Linotype" w:cs="Palatino Linotype"/>
          <w:sz w:val="22"/>
          <w:szCs w:val="22"/>
        </w:rPr>
      </w:pPr>
    </w:p>
    <w:p w14:paraId="6AA69AB4" w14:textId="77777777" w:rsidR="003C3FE1" w:rsidRPr="006D6EEB" w:rsidRDefault="003C3FE1" w:rsidP="00AA5401">
      <w:pPr>
        <w:spacing w:before="240" w:after="240" w:line="360" w:lineRule="auto"/>
        <w:ind w:right="-93"/>
        <w:jc w:val="both"/>
        <w:rPr>
          <w:rFonts w:ascii="Palatino Linotype" w:eastAsia="Palatino Linotype" w:hAnsi="Palatino Linotype" w:cs="Palatino Linotype"/>
          <w:sz w:val="22"/>
          <w:szCs w:val="22"/>
        </w:rPr>
      </w:pPr>
      <w:r w:rsidRPr="006D6EEB">
        <w:rPr>
          <w:rFonts w:ascii="Palatino Linotype" w:eastAsia="Palatino Linotype" w:hAnsi="Palatino Linotype" w:cs="Palatino Linotype"/>
          <w:sz w:val="22"/>
          <w:szCs w:val="22"/>
        </w:rPr>
        <w:t>En ese contexto, la dirección o domicilio es el lugar en donde reside habitualmente una persona física, por lo que, permite hacerlo identificable y ubicable, propiciando que pueda ser molestado en su casa o negocio, de este modo, los datos que permiten a cualquier individuo con esfuerzos mínimos identificar el lugar de residencia o de trabajo constituye un dato personal y, por ende, confidencial, ya que incide directamente en la privacidad de personas físicas identificadas y su difusión podría afectar la esfera privada de las mismas. Por lo tanto, se actualiza la clasificación del domicilio, de conformidad con la fracción I, del artículo 143 de la Ley de Transparencia y Acceso a la Información Pública del Estado de México y Municipios.</w:t>
      </w:r>
    </w:p>
    <w:p w14:paraId="06D5BDC9" w14:textId="77777777" w:rsidR="003C3FE1" w:rsidRPr="006D6EEB" w:rsidRDefault="003C3FE1" w:rsidP="00AA5401">
      <w:pPr>
        <w:spacing w:before="240" w:after="240" w:line="360" w:lineRule="auto"/>
        <w:ind w:right="49"/>
        <w:jc w:val="both"/>
        <w:rPr>
          <w:rFonts w:ascii="Palatino Linotype" w:eastAsia="Palatino Linotype" w:hAnsi="Palatino Linotype" w:cs="Palatino Linotype"/>
          <w:bCs/>
          <w:sz w:val="22"/>
          <w:szCs w:val="22"/>
          <w:lang w:val="es-ES"/>
        </w:rPr>
      </w:pPr>
      <w:r w:rsidRPr="006D6EEB">
        <w:rPr>
          <w:rFonts w:ascii="Palatino Linotype" w:eastAsia="Palatino Linotype" w:hAnsi="Palatino Linotype" w:cs="Palatino Linotype"/>
          <w:bCs/>
          <w:sz w:val="22"/>
          <w:szCs w:val="22"/>
          <w:lang w:val="es-ES"/>
        </w:rPr>
        <w:t xml:space="preserve">Por lo que hace a las </w:t>
      </w:r>
      <w:r w:rsidRPr="006D6EEB">
        <w:rPr>
          <w:rFonts w:ascii="Palatino Linotype" w:eastAsia="Palatino Linotype" w:hAnsi="Palatino Linotype" w:cs="Palatino Linotype"/>
          <w:b/>
          <w:sz w:val="22"/>
          <w:szCs w:val="22"/>
          <w:lang w:val="es-ES"/>
        </w:rPr>
        <w:t>fotografías</w:t>
      </w:r>
      <w:r w:rsidRPr="006D6EEB">
        <w:rPr>
          <w:rFonts w:ascii="Palatino Linotype" w:eastAsia="Palatino Linotype" w:hAnsi="Palatino Linotype" w:cs="Palatino Linotype"/>
          <w:bCs/>
          <w:sz w:val="22"/>
          <w:szCs w:val="22"/>
          <w:lang w:val="es-ES"/>
        </w:rPr>
        <w:t>, es preciso señalar que estas dan cuenta de las características físicas de los servidores públicos; por lo que, no debe perderse de vista que la imagen personal es la apariencia física, la cual puede ser captada en dibujo, pintura, escultura, fotografía, y video; la imagen así captada puede ser reproducida, publicada y divulgada por diversos medios, desde volantes impresos de la forma más rudimentaria, hasta filmaciones y fotografías transmitidas por televisión cine, video, correo electrónico o Internet.</w:t>
      </w:r>
    </w:p>
    <w:p w14:paraId="04DDCA2A" w14:textId="77777777" w:rsidR="003C3FE1" w:rsidRPr="006D6EEB" w:rsidRDefault="003C3FE1" w:rsidP="00AA5401">
      <w:pPr>
        <w:spacing w:before="240" w:after="240" w:line="360" w:lineRule="auto"/>
        <w:ind w:right="49"/>
        <w:jc w:val="both"/>
        <w:rPr>
          <w:rFonts w:ascii="Palatino Linotype" w:eastAsia="Palatino Linotype" w:hAnsi="Palatino Linotype" w:cs="Palatino Linotype"/>
          <w:bCs/>
          <w:sz w:val="22"/>
          <w:szCs w:val="22"/>
          <w:lang w:val="es-ES"/>
        </w:rPr>
      </w:pPr>
      <w:r w:rsidRPr="006D6EEB">
        <w:rPr>
          <w:rFonts w:ascii="Palatino Linotype" w:eastAsia="Palatino Linotype" w:hAnsi="Palatino Linotype" w:cs="Palatino Linotype"/>
          <w:bCs/>
          <w:sz w:val="22"/>
          <w:szCs w:val="22"/>
          <w:lang w:val="es-ES"/>
        </w:rPr>
        <w:t>Así, dichos datos constituyen la reproducción fiel de las características físicas de una persona en un momento determinado, por lo que representan un instrumento de identificación, proyección exterior y factor imprescindible para su propio reconocimiento como sujeto individual; lo que en el presente caso, acreditaría e identificaría a una persona como servidor público, por lo que es posible advertir que existe cierto interés público, cuando la fotografía obra en documentos de servidores públicos vinculados con el cumplimiento de disposiciones legales.</w:t>
      </w:r>
    </w:p>
    <w:p w14:paraId="06541D24" w14:textId="77777777" w:rsidR="003C3FE1" w:rsidRPr="006D6EEB" w:rsidRDefault="003C3FE1" w:rsidP="00AA5401">
      <w:pPr>
        <w:spacing w:before="240" w:after="240" w:line="360" w:lineRule="auto"/>
        <w:ind w:right="49"/>
        <w:jc w:val="both"/>
        <w:rPr>
          <w:rFonts w:ascii="Palatino Linotype" w:eastAsia="Palatino Linotype" w:hAnsi="Palatino Linotype" w:cs="Palatino Linotype"/>
          <w:bCs/>
          <w:sz w:val="22"/>
          <w:szCs w:val="22"/>
          <w:lang w:val="es-ES"/>
        </w:rPr>
      </w:pPr>
      <w:r w:rsidRPr="006D6EEB">
        <w:rPr>
          <w:rFonts w:ascii="Palatino Linotype" w:eastAsia="Palatino Linotype" w:hAnsi="Palatino Linotype" w:cs="Palatino Linotype"/>
          <w:bCs/>
          <w:sz w:val="22"/>
          <w:szCs w:val="22"/>
          <w:lang w:val="es-ES"/>
        </w:rPr>
        <w:t>Además, existen documentos que contienen la fotografía con los cuales se permite identificar que una persona que se acredita como trabajador gubernamental, realmente tiene el cargo con el que se ostenta, otros documentos con los cuales se rinde cuentas a la ciudadanía, por ejemplo cuando se cubre el perfil de puesto; además cuando se brinda servicios a la ciudadanía, es de relevancia conocer e identificar a todos sus trabajadores, no importa el nivel o rango (con excepción del personal operativo en materia de seguridad, respecto del cual el Pleno de este Instituto ya se ha pronunciado en el sentido de que la información que los haga identificados o identificables debe clasificarse como reservada).</w:t>
      </w:r>
    </w:p>
    <w:p w14:paraId="54037E68" w14:textId="77777777" w:rsidR="003C3FE1" w:rsidRPr="006D6EEB" w:rsidRDefault="003C3FE1" w:rsidP="00AA5401">
      <w:pPr>
        <w:spacing w:before="240" w:after="240" w:line="360" w:lineRule="auto"/>
        <w:ind w:right="49"/>
        <w:jc w:val="both"/>
        <w:rPr>
          <w:rFonts w:ascii="Palatino Linotype" w:eastAsia="Palatino Linotype" w:hAnsi="Palatino Linotype" w:cs="Palatino Linotype"/>
          <w:bCs/>
          <w:sz w:val="22"/>
          <w:szCs w:val="22"/>
          <w:lang w:val="es-ES"/>
        </w:rPr>
      </w:pPr>
      <w:r w:rsidRPr="006D6EEB">
        <w:rPr>
          <w:rFonts w:ascii="Palatino Linotype" w:eastAsia="Palatino Linotype" w:hAnsi="Palatino Linotype" w:cs="Palatino Linotype"/>
          <w:bCs/>
          <w:sz w:val="22"/>
          <w:szCs w:val="22"/>
          <w:lang w:val="es-ES"/>
        </w:rPr>
        <w:t>En este sentido, resultan aplicables por analogía, los Criterios SO/015/2017 y SO/001/2013 del Instituto Nacional de Transparencia y Acceso a la Información Pública y Protección de Datos Personales, en los cuales se esgrimen argumentos, que, si bien no refieren de manera específica a fotografías de servidores públicos, sí establecen un criterio para que este dato personal pueda ser considerado como público, cuando se pretende acreditar que una persona es servidor público.</w:t>
      </w:r>
    </w:p>
    <w:p w14:paraId="384F969A" w14:textId="77777777" w:rsidR="003C3FE1" w:rsidRPr="006D6EEB" w:rsidRDefault="003C3FE1" w:rsidP="00AA5401">
      <w:pPr>
        <w:spacing w:before="240" w:after="240" w:line="360" w:lineRule="auto"/>
        <w:ind w:right="49"/>
        <w:jc w:val="both"/>
        <w:rPr>
          <w:rFonts w:ascii="Palatino Linotype" w:eastAsia="Palatino Linotype" w:hAnsi="Palatino Linotype" w:cs="Palatino Linotype"/>
          <w:bCs/>
          <w:sz w:val="22"/>
          <w:szCs w:val="22"/>
          <w:lang w:val="es-ES"/>
        </w:rPr>
      </w:pPr>
      <w:r w:rsidRPr="006D6EEB">
        <w:rPr>
          <w:rFonts w:ascii="Palatino Linotype" w:eastAsia="Palatino Linotype" w:hAnsi="Palatino Linotype" w:cs="Palatino Linotype"/>
          <w:bCs/>
          <w:sz w:val="22"/>
          <w:szCs w:val="22"/>
          <w:lang w:val="es-ES"/>
        </w:rPr>
        <w:t xml:space="preserve">Debe tenerse presente que el actuar de los servidores públicos incide de manera específica en los derechos de los particulares, pues el acto de un servidor público en ejercicio de sus funciones, de manera directa genera derechos y obligaciones pues se considera un acto administrativo o acto de autoridad, por lo que es primordial, que estos trabajadores se identifiquen ante la ciudadanía, por lo que otorgar acceso a los documentos que obran en los archivos de los sujetos obligados y que además están directamente relacionados con el cumplimiento de disposiciones normativas o el ejercicio de funciones revisten un interés público. </w:t>
      </w:r>
    </w:p>
    <w:p w14:paraId="2B45565D" w14:textId="77777777" w:rsidR="003C3FE1" w:rsidRPr="006D6EEB" w:rsidRDefault="003C3FE1" w:rsidP="00AA5401">
      <w:pPr>
        <w:spacing w:before="240" w:after="240" w:line="360" w:lineRule="auto"/>
        <w:ind w:right="49"/>
        <w:jc w:val="both"/>
        <w:rPr>
          <w:rFonts w:ascii="Palatino Linotype" w:eastAsia="Palatino Linotype" w:hAnsi="Palatino Linotype" w:cs="Palatino Linotype"/>
          <w:bCs/>
          <w:sz w:val="22"/>
          <w:szCs w:val="22"/>
          <w:lang w:val="es-ES"/>
        </w:rPr>
      </w:pPr>
      <w:r w:rsidRPr="006D6EEB">
        <w:rPr>
          <w:rFonts w:ascii="Palatino Linotype" w:eastAsia="Palatino Linotype" w:hAnsi="Palatino Linotype" w:cs="Palatino Linotype"/>
          <w:bCs/>
          <w:sz w:val="22"/>
          <w:szCs w:val="22"/>
          <w:lang w:val="es-ES"/>
        </w:rPr>
        <w:t>Por lo anterior, cuando las fotografías de los servidores públicos obran en documentos que dan cuenta del cumplimiento de funciones, requisitos legales o los acredita como servidores públicos, deben ser consideradas un dato personal, que no puede ser clasificado como confidencial, pues en este caso, es superado por el interés público de conocer si en realidad, la persona que se ostenta en carácter de servidor público, se encuentra en ese encargo, si realiza las funciones o si cumple con los requisitos legales; sin que se considere como factor diferenciador para determinar la publicidad o clasificación el cargo o nivel jerárquico en el que se desempeñe el servidor público.</w:t>
      </w:r>
    </w:p>
    <w:p w14:paraId="3C82B1E6" w14:textId="77777777" w:rsidR="003C3FE1" w:rsidRPr="006D6EEB" w:rsidRDefault="003C3FE1" w:rsidP="00AA5401">
      <w:pPr>
        <w:spacing w:before="240" w:after="240" w:line="360" w:lineRule="auto"/>
        <w:ind w:right="49"/>
        <w:jc w:val="both"/>
        <w:rPr>
          <w:rFonts w:ascii="Palatino Linotype" w:eastAsia="Palatino Linotype" w:hAnsi="Palatino Linotype" w:cs="Palatino Linotype"/>
          <w:bCs/>
          <w:sz w:val="22"/>
          <w:szCs w:val="22"/>
          <w:lang w:val="es-ES"/>
        </w:rPr>
      </w:pPr>
      <w:r w:rsidRPr="006D6EEB">
        <w:rPr>
          <w:rFonts w:ascii="Palatino Linotype" w:eastAsia="Palatino Linotype" w:hAnsi="Palatino Linotype" w:cs="Palatino Linotype"/>
          <w:bCs/>
          <w:sz w:val="22"/>
          <w:szCs w:val="22"/>
          <w:lang w:val="es-ES"/>
        </w:rPr>
        <w:t>De acuerdo con el argumento planteado, la determinación de esta resolución deja sin efectos el criterio adoptado anteriormente por el Pleno de este Instituto, con número 03/2019, en el que solo se consideraban como públicas las fotografías de mandos medios y/o superiores.</w:t>
      </w:r>
    </w:p>
    <w:p w14:paraId="10123510" w14:textId="77777777" w:rsidR="003C3FE1" w:rsidRPr="006D6EEB" w:rsidRDefault="003C3FE1" w:rsidP="00AA5401">
      <w:pPr>
        <w:spacing w:before="240" w:after="240" w:line="360" w:lineRule="auto"/>
        <w:ind w:right="49"/>
        <w:jc w:val="both"/>
        <w:rPr>
          <w:rFonts w:ascii="Palatino Linotype" w:eastAsia="Palatino Linotype" w:hAnsi="Palatino Linotype" w:cs="Palatino Linotype"/>
          <w:sz w:val="22"/>
          <w:szCs w:val="22"/>
        </w:rPr>
      </w:pPr>
      <w:r w:rsidRPr="006D6EEB">
        <w:rPr>
          <w:rFonts w:ascii="Palatino Linotype" w:eastAsia="Palatino Linotype" w:hAnsi="Palatino Linotype" w:cs="Palatino Linotype"/>
          <w:bCs/>
          <w:sz w:val="22"/>
          <w:szCs w:val="22"/>
          <w:lang w:val="es-ES"/>
        </w:rPr>
        <w:t>Conforme a lo anterior, las fotografías de servidores públicos sin importar el nivel o rango guardan la naturaleza de públicas (con excepción del personal operativo en materia de seguridad) y no procede su clasificación, en términos del artículo 143, fracción I, de la Ley de Transparencia y Acceso a la Información Pública del Estado de México y Municipios, por lo que en las versiones públicas que se ordenen, no podrá clasificarse esa información.</w:t>
      </w:r>
    </w:p>
    <w:p w14:paraId="4B14F3C2" w14:textId="77777777" w:rsidR="003C3FE1" w:rsidRPr="006D6EEB" w:rsidRDefault="003C3FE1" w:rsidP="00AA5401">
      <w:pPr>
        <w:spacing w:before="240" w:after="240" w:line="360" w:lineRule="auto"/>
        <w:jc w:val="both"/>
        <w:rPr>
          <w:rFonts w:ascii="Palatino Linotype" w:eastAsia="Palatino Linotype" w:hAnsi="Palatino Linotype" w:cs="Palatino Linotype"/>
          <w:sz w:val="22"/>
          <w:szCs w:val="22"/>
        </w:rPr>
      </w:pPr>
      <w:r w:rsidRPr="006D6EEB">
        <w:rPr>
          <w:rFonts w:ascii="Palatino Linotype" w:eastAsia="Palatino Linotype" w:hAnsi="Palatino Linotype" w:cs="Palatino Linotype"/>
          <w:sz w:val="22"/>
          <w:szCs w:val="22"/>
        </w:rPr>
        <w:t xml:space="preserve">Cabe señalar que la entrega de documentos en su versión pública debe acompañarse necesariamente del Acuerdo del Comité de Transparencia que la sustente, el cual debe estar debidamente fundado y motivado, en el que se expongan los fundamentos y razonamientos que llevaron al </w:t>
      </w:r>
      <w:r w:rsidRPr="006D6EEB">
        <w:rPr>
          <w:rFonts w:ascii="Palatino Linotype" w:eastAsia="Palatino Linotype" w:hAnsi="Palatino Linotype" w:cs="Palatino Linotype"/>
          <w:b/>
          <w:sz w:val="22"/>
          <w:szCs w:val="22"/>
        </w:rPr>
        <w:t>Sujeto Obligado</w:t>
      </w:r>
      <w:r w:rsidRPr="006D6EEB">
        <w:rPr>
          <w:rFonts w:ascii="Palatino Linotype" w:eastAsia="Palatino Linotype" w:hAnsi="Palatino Linotype" w:cs="Palatino Linotype"/>
          <w:sz w:val="22"/>
          <w:szCs w:val="22"/>
        </w:rPr>
        <w:t xml:space="preserve"> a testar, suprimir o eliminar datos de dicho soporte documental, ya que no hacerlo, lo entregado no tendría un sustento jurídico ni resultaría ser una versión pública, sino más bien una documentación ilegible, incompleta o tachada; ya que el no justificar las causas o motivos por las que no se aprecian determinados datos -ya sea porque se testan o suprimen- deja al solicitante en estado de incertidumbre, al no conocer o comprender porque no aparecen en la documentación respectiva.</w:t>
      </w:r>
    </w:p>
    <w:p w14:paraId="68D6CBE0" w14:textId="77777777" w:rsidR="003C3FE1" w:rsidRPr="006D6EEB" w:rsidRDefault="003C3FE1" w:rsidP="00AA5401">
      <w:pPr>
        <w:pBdr>
          <w:top w:val="nil"/>
          <w:left w:val="nil"/>
          <w:bottom w:val="nil"/>
          <w:right w:val="nil"/>
          <w:between w:val="nil"/>
        </w:pBdr>
        <w:spacing w:before="240" w:after="240" w:line="360" w:lineRule="auto"/>
        <w:ind w:right="51"/>
        <w:jc w:val="both"/>
        <w:rPr>
          <w:rFonts w:ascii="Palatino Linotype" w:eastAsia="Palatino Linotype" w:hAnsi="Palatino Linotype" w:cs="Palatino Linotype"/>
          <w:sz w:val="22"/>
          <w:szCs w:val="22"/>
        </w:rPr>
      </w:pPr>
      <w:r w:rsidRPr="006D6EEB">
        <w:rPr>
          <w:rFonts w:ascii="Palatino Linotype" w:eastAsia="Palatino Linotype" w:hAnsi="Palatino Linotype" w:cs="Palatino Linotype"/>
          <w:sz w:val="22"/>
          <w:szCs w:val="22"/>
        </w:rPr>
        <w:t xml:space="preserve">Respecto a las formalidades que deberá llevar el acuerdo de clasificación que deberá emitir el </w:t>
      </w:r>
      <w:r w:rsidRPr="006D6EEB">
        <w:rPr>
          <w:rFonts w:ascii="Palatino Linotype" w:eastAsia="Palatino Linotype" w:hAnsi="Palatino Linotype" w:cs="Palatino Linotype"/>
          <w:b/>
          <w:sz w:val="22"/>
          <w:szCs w:val="22"/>
        </w:rPr>
        <w:t>Sujeto Obligado</w:t>
      </w:r>
      <w:r w:rsidRPr="006D6EEB">
        <w:rPr>
          <w:rFonts w:ascii="Palatino Linotype" w:eastAsia="Palatino Linotype" w:hAnsi="Palatino Linotype" w:cs="Palatino Linotype"/>
          <w:sz w:val="22"/>
          <w:szCs w:val="22"/>
        </w:rPr>
        <w:t xml:space="preserve"> a través de su Comité de Transparencia, los Lineamientos Quincuagésimo, Quincuagésimo primero, Quincuagésimo segundo, de los Lineamientos Generales en Materia de Clasificación y Desclasificación de la Información, así como para la Elaboración de Versiones Públicas señalan lo siguiente:</w:t>
      </w:r>
    </w:p>
    <w:p w14:paraId="38E24B72" w14:textId="77777777" w:rsidR="003C3FE1" w:rsidRPr="006D6EEB" w:rsidRDefault="003C3FE1" w:rsidP="00AA5401">
      <w:pPr>
        <w:spacing w:before="240" w:after="240" w:line="360" w:lineRule="auto"/>
        <w:ind w:left="851" w:right="902"/>
        <w:jc w:val="both"/>
        <w:rPr>
          <w:rFonts w:ascii="Palatino Linotype" w:eastAsia="Palatino Linotype" w:hAnsi="Palatino Linotype" w:cs="Palatino Linotype"/>
          <w:i/>
          <w:sz w:val="22"/>
          <w:szCs w:val="22"/>
        </w:rPr>
      </w:pPr>
      <w:r w:rsidRPr="006D6EEB">
        <w:rPr>
          <w:rFonts w:ascii="Palatino Linotype" w:eastAsia="Palatino Linotype" w:hAnsi="Palatino Linotype" w:cs="Palatino Linotype"/>
          <w:b/>
          <w:i/>
          <w:sz w:val="22"/>
          <w:szCs w:val="22"/>
        </w:rPr>
        <w:t xml:space="preserve">“Quincuagésimo. </w:t>
      </w:r>
      <w:r w:rsidRPr="006D6EEB">
        <w:rPr>
          <w:rFonts w:ascii="Palatino Linotype" w:eastAsia="Palatino Linotype" w:hAnsi="Palatino Linotype" w:cs="Palatino Linotype"/>
          <w:i/>
          <w:sz w:val="22"/>
          <w:szCs w:val="22"/>
        </w:rPr>
        <w:t xml:space="preserve">Los titulares de las áreas de los sujetos obligados podrán establecer sus propios modelos o formatos para la elaboración de versiones públicas de documentos o expedientes, siempre y cuando cumplan lo establecido en los presentes Lineamientos, así como en las correspondientes Leyes Generales. </w:t>
      </w:r>
    </w:p>
    <w:p w14:paraId="5C7527CF" w14:textId="77777777" w:rsidR="003C3FE1" w:rsidRPr="006D6EEB" w:rsidRDefault="003C3FE1" w:rsidP="00AA5401">
      <w:pPr>
        <w:pBdr>
          <w:top w:val="nil"/>
          <w:left w:val="nil"/>
          <w:bottom w:val="nil"/>
          <w:right w:val="nil"/>
          <w:between w:val="nil"/>
        </w:pBdr>
        <w:spacing w:before="240" w:after="240" w:line="360" w:lineRule="auto"/>
        <w:ind w:left="851" w:right="902"/>
        <w:jc w:val="both"/>
        <w:rPr>
          <w:rFonts w:ascii="Palatino Linotype" w:eastAsia="Palatino Linotype" w:hAnsi="Palatino Linotype" w:cs="Palatino Linotype"/>
          <w:i/>
          <w:sz w:val="22"/>
          <w:szCs w:val="22"/>
        </w:rPr>
      </w:pPr>
      <w:r w:rsidRPr="006D6EEB">
        <w:rPr>
          <w:rFonts w:ascii="Palatino Linotype" w:eastAsia="Palatino Linotype" w:hAnsi="Palatino Linotype" w:cs="Palatino Linotype"/>
          <w:b/>
          <w:i/>
          <w:sz w:val="22"/>
          <w:szCs w:val="22"/>
        </w:rPr>
        <w:t xml:space="preserve">Quincuagésimo primero. </w:t>
      </w:r>
      <w:r w:rsidRPr="006D6EEB">
        <w:rPr>
          <w:rFonts w:ascii="Palatino Linotype" w:eastAsia="Palatino Linotype" w:hAnsi="Palatino Linotype" w:cs="Palatino Linotype"/>
          <w:i/>
          <w:sz w:val="22"/>
          <w:szCs w:val="22"/>
        </w:rPr>
        <w:t xml:space="preserve">Toda acta del Comité de Transparencia deberá contener: </w:t>
      </w:r>
    </w:p>
    <w:p w14:paraId="15851069" w14:textId="77777777" w:rsidR="003C3FE1" w:rsidRPr="006D6EEB" w:rsidRDefault="003C3FE1" w:rsidP="00AA5401">
      <w:pPr>
        <w:pBdr>
          <w:top w:val="nil"/>
          <w:left w:val="nil"/>
          <w:bottom w:val="nil"/>
          <w:right w:val="nil"/>
          <w:between w:val="nil"/>
        </w:pBdr>
        <w:spacing w:before="240" w:after="240" w:line="360" w:lineRule="auto"/>
        <w:ind w:left="851" w:right="902"/>
        <w:jc w:val="both"/>
        <w:rPr>
          <w:rFonts w:ascii="Palatino Linotype" w:eastAsia="Palatino Linotype" w:hAnsi="Palatino Linotype" w:cs="Palatino Linotype"/>
          <w:i/>
          <w:sz w:val="22"/>
          <w:szCs w:val="22"/>
        </w:rPr>
      </w:pPr>
      <w:r w:rsidRPr="006D6EEB">
        <w:rPr>
          <w:rFonts w:ascii="Palatino Linotype" w:eastAsia="Palatino Linotype" w:hAnsi="Palatino Linotype" w:cs="Palatino Linotype"/>
          <w:b/>
          <w:i/>
          <w:sz w:val="22"/>
          <w:szCs w:val="22"/>
        </w:rPr>
        <w:t>I.</w:t>
      </w:r>
      <w:r w:rsidRPr="006D6EEB">
        <w:rPr>
          <w:rFonts w:ascii="Palatino Linotype" w:eastAsia="Palatino Linotype" w:hAnsi="Palatino Linotype" w:cs="Palatino Linotype"/>
          <w:i/>
          <w:sz w:val="22"/>
          <w:szCs w:val="22"/>
        </w:rPr>
        <w:t xml:space="preserve"> El número de sesión y fecha; </w:t>
      </w:r>
    </w:p>
    <w:p w14:paraId="2CD34850" w14:textId="77777777" w:rsidR="003C3FE1" w:rsidRPr="006D6EEB" w:rsidRDefault="003C3FE1" w:rsidP="00AA5401">
      <w:pPr>
        <w:pBdr>
          <w:top w:val="nil"/>
          <w:left w:val="nil"/>
          <w:bottom w:val="nil"/>
          <w:right w:val="nil"/>
          <w:between w:val="nil"/>
        </w:pBdr>
        <w:spacing w:before="240" w:after="240" w:line="360" w:lineRule="auto"/>
        <w:ind w:left="851" w:right="902"/>
        <w:jc w:val="both"/>
        <w:rPr>
          <w:rFonts w:ascii="Palatino Linotype" w:eastAsia="Palatino Linotype" w:hAnsi="Palatino Linotype" w:cs="Palatino Linotype"/>
          <w:i/>
          <w:sz w:val="22"/>
          <w:szCs w:val="22"/>
        </w:rPr>
      </w:pPr>
      <w:r w:rsidRPr="006D6EEB">
        <w:rPr>
          <w:rFonts w:ascii="Palatino Linotype" w:eastAsia="Palatino Linotype" w:hAnsi="Palatino Linotype" w:cs="Palatino Linotype"/>
          <w:b/>
          <w:i/>
          <w:sz w:val="22"/>
          <w:szCs w:val="22"/>
        </w:rPr>
        <w:t>II</w:t>
      </w:r>
      <w:r w:rsidRPr="006D6EEB">
        <w:rPr>
          <w:rFonts w:ascii="Palatino Linotype" w:eastAsia="Palatino Linotype" w:hAnsi="Palatino Linotype" w:cs="Palatino Linotype"/>
          <w:i/>
          <w:sz w:val="22"/>
          <w:szCs w:val="22"/>
        </w:rPr>
        <w:t xml:space="preserve">. El nombre del área que solicitó la clasificación de información; </w:t>
      </w:r>
    </w:p>
    <w:p w14:paraId="4089F96F" w14:textId="77777777" w:rsidR="003C3FE1" w:rsidRPr="006D6EEB" w:rsidRDefault="003C3FE1" w:rsidP="00AA5401">
      <w:pPr>
        <w:pBdr>
          <w:top w:val="nil"/>
          <w:left w:val="nil"/>
          <w:bottom w:val="nil"/>
          <w:right w:val="nil"/>
          <w:between w:val="nil"/>
        </w:pBdr>
        <w:spacing w:before="240" w:after="240" w:line="360" w:lineRule="auto"/>
        <w:ind w:left="851" w:right="902"/>
        <w:jc w:val="both"/>
        <w:rPr>
          <w:rFonts w:ascii="Palatino Linotype" w:eastAsia="Palatino Linotype" w:hAnsi="Palatino Linotype" w:cs="Palatino Linotype"/>
          <w:i/>
          <w:sz w:val="22"/>
          <w:szCs w:val="22"/>
        </w:rPr>
      </w:pPr>
      <w:r w:rsidRPr="006D6EEB">
        <w:rPr>
          <w:rFonts w:ascii="Palatino Linotype" w:eastAsia="Palatino Linotype" w:hAnsi="Palatino Linotype" w:cs="Palatino Linotype"/>
          <w:b/>
          <w:i/>
          <w:sz w:val="22"/>
          <w:szCs w:val="22"/>
        </w:rPr>
        <w:t>III</w:t>
      </w:r>
      <w:r w:rsidRPr="006D6EEB">
        <w:rPr>
          <w:rFonts w:ascii="Palatino Linotype" w:eastAsia="Palatino Linotype" w:hAnsi="Palatino Linotype" w:cs="Palatino Linotype"/>
          <w:i/>
          <w:sz w:val="22"/>
          <w:szCs w:val="22"/>
        </w:rPr>
        <w:t xml:space="preserve">. La fundamentación legal y motivación correspondiente; </w:t>
      </w:r>
    </w:p>
    <w:p w14:paraId="0832DF09" w14:textId="77777777" w:rsidR="003C3FE1" w:rsidRPr="006D6EEB" w:rsidRDefault="003C3FE1" w:rsidP="00AA5401">
      <w:pPr>
        <w:pBdr>
          <w:top w:val="nil"/>
          <w:left w:val="nil"/>
          <w:bottom w:val="nil"/>
          <w:right w:val="nil"/>
          <w:between w:val="nil"/>
        </w:pBdr>
        <w:spacing w:before="240" w:after="240" w:line="360" w:lineRule="auto"/>
        <w:ind w:left="851" w:right="902"/>
        <w:jc w:val="both"/>
        <w:rPr>
          <w:rFonts w:ascii="Palatino Linotype" w:eastAsia="Palatino Linotype" w:hAnsi="Palatino Linotype" w:cs="Palatino Linotype"/>
          <w:i/>
          <w:sz w:val="22"/>
          <w:szCs w:val="22"/>
        </w:rPr>
      </w:pPr>
      <w:r w:rsidRPr="006D6EEB">
        <w:rPr>
          <w:rFonts w:ascii="Palatino Linotype" w:eastAsia="Palatino Linotype" w:hAnsi="Palatino Linotype" w:cs="Palatino Linotype"/>
          <w:b/>
          <w:i/>
          <w:sz w:val="22"/>
          <w:szCs w:val="22"/>
        </w:rPr>
        <w:t>IV</w:t>
      </w:r>
      <w:r w:rsidRPr="006D6EEB">
        <w:rPr>
          <w:rFonts w:ascii="Palatino Linotype" w:eastAsia="Palatino Linotype" w:hAnsi="Palatino Linotype" w:cs="Palatino Linotype"/>
          <w:i/>
          <w:sz w:val="22"/>
          <w:szCs w:val="22"/>
        </w:rPr>
        <w:t xml:space="preserve">. La resolución o resoluciones aprobadas; y </w:t>
      </w:r>
    </w:p>
    <w:p w14:paraId="22A3093B" w14:textId="77777777" w:rsidR="003C3FE1" w:rsidRPr="006D6EEB" w:rsidRDefault="003C3FE1" w:rsidP="00AA5401">
      <w:pPr>
        <w:pBdr>
          <w:top w:val="nil"/>
          <w:left w:val="nil"/>
          <w:bottom w:val="nil"/>
          <w:right w:val="nil"/>
          <w:between w:val="nil"/>
        </w:pBdr>
        <w:spacing w:before="240" w:after="240" w:line="360" w:lineRule="auto"/>
        <w:ind w:left="851" w:right="902"/>
        <w:jc w:val="both"/>
        <w:rPr>
          <w:rFonts w:ascii="Palatino Linotype" w:eastAsia="Palatino Linotype" w:hAnsi="Palatino Linotype" w:cs="Palatino Linotype"/>
          <w:i/>
          <w:sz w:val="22"/>
          <w:szCs w:val="22"/>
        </w:rPr>
      </w:pPr>
      <w:r w:rsidRPr="006D6EEB">
        <w:rPr>
          <w:rFonts w:ascii="Palatino Linotype" w:eastAsia="Palatino Linotype" w:hAnsi="Palatino Linotype" w:cs="Palatino Linotype"/>
          <w:b/>
          <w:i/>
          <w:sz w:val="22"/>
          <w:szCs w:val="22"/>
        </w:rPr>
        <w:t>V</w:t>
      </w:r>
      <w:r w:rsidRPr="006D6EEB">
        <w:rPr>
          <w:rFonts w:ascii="Palatino Linotype" w:eastAsia="Palatino Linotype" w:hAnsi="Palatino Linotype" w:cs="Palatino Linotype"/>
          <w:i/>
          <w:sz w:val="22"/>
          <w:szCs w:val="22"/>
        </w:rPr>
        <w:t xml:space="preserve">. La rúbrica o firma digital de cada integrante del Comité de Transparencia. </w:t>
      </w:r>
    </w:p>
    <w:p w14:paraId="63A5CF4F" w14:textId="77777777" w:rsidR="003C3FE1" w:rsidRPr="006D6EEB" w:rsidRDefault="003C3FE1" w:rsidP="00AA5401">
      <w:pPr>
        <w:pBdr>
          <w:top w:val="nil"/>
          <w:left w:val="nil"/>
          <w:bottom w:val="nil"/>
          <w:right w:val="nil"/>
          <w:between w:val="nil"/>
        </w:pBdr>
        <w:spacing w:before="240" w:after="240" w:line="360" w:lineRule="auto"/>
        <w:ind w:left="851" w:right="902"/>
        <w:jc w:val="both"/>
        <w:rPr>
          <w:rFonts w:ascii="Palatino Linotype" w:eastAsia="Palatino Linotype" w:hAnsi="Palatino Linotype" w:cs="Palatino Linotype"/>
          <w:i/>
          <w:sz w:val="22"/>
          <w:szCs w:val="22"/>
        </w:rPr>
      </w:pPr>
      <w:r w:rsidRPr="006D6EEB">
        <w:rPr>
          <w:rFonts w:ascii="Palatino Linotype" w:eastAsia="Palatino Linotype" w:hAnsi="Palatino Linotype" w:cs="Palatino Linotype"/>
          <w:i/>
          <w:sz w:val="22"/>
          <w:szCs w:val="22"/>
        </w:rPr>
        <w:t xml:space="preserve">Las resoluciones del Comité en las que se haya determinado confirmar o modificar la clasificación de información pública como reservada, deberán incluir, cuando menos: </w:t>
      </w:r>
    </w:p>
    <w:p w14:paraId="6B0EF059" w14:textId="77777777" w:rsidR="003C3FE1" w:rsidRPr="006D6EEB" w:rsidRDefault="003C3FE1" w:rsidP="00AA5401">
      <w:pPr>
        <w:pBdr>
          <w:top w:val="nil"/>
          <w:left w:val="nil"/>
          <w:bottom w:val="nil"/>
          <w:right w:val="nil"/>
          <w:between w:val="nil"/>
        </w:pBdr>
        <w:spacing w:before="240" w:after="240" w:line="360" w:lineRule="auto"/>
        <w:ind w:left="851" w:right="902"/>
        <w:jc w:val="both"/>
        <w:rPr>
          <w:rFonts w:ascii="Palatino Linotype" w:eastAsia="Palatino Linotype" w:hAnsi="Palatino Linotype" w:cs="Palatino Linotype"/>
          <w:i/>
          <w:sz w:val="22"/>
          <w:szCs w:val="22"/>
        </w:rPr>
      </w:pPr>
      <w:r w:rsidRPr="006D6EEB">
        <w:rPr>
          <w:rFonts w:ascii="Palatino Linotype" w:eastAsia="Palatino Linotype" w:hAnsi="Palatino Linotype" w:cs="Palatino Linotype"/>
          <w:b/>
          <w:i/>
          <w:sz w:val="22"/>
          <w:szCs w:val="22"/>
        </w:rPr>
        <w:t>I.</w:t>
      </w:r>
      <w:r w:rsidRPr="006D6EEB">
        <w:rPr>
          <w:rFonts w:ascii="Palatino Linotype" w:eastAsia="Palatino Linotype" w:hAnsi="Palatino Linotype" w:cs="Palatino Linotype"/>
          <w:i/>
          <w:sz w:val="22"/>
          <w:szCs w:val="22"/>
        </w:rPr>
        <w:t xml:space="preserve"> Los motivos y razonamientos que sustenten la confirmación o modificación de la prueba de daño;</w:t>
      </w:r>
    </w:p>
    <w:p w14:paraId="372780B1" w14:textId="77777777" w:rsidR="003C3FE1" w:rsidRPr="006D6EEB" w:rsidRDefault="003C3FE1" w:rsidP="00AA5401">
      <w:pPr>
        <w:pBdr>
          <w:top w:val="nil"/>
          <w:left w:val="nil"/>
          <w:bottom w:val="nil"/>
          <w:right w:val="nil"/>
          <w:between w:val="nil"/>
        </w:pBdr>
        <w:spacing w:before="240" w:after="240" w:line="360" w:lineRule="auto"/>
        <w:ind w:left="851" w:right="902"/>
        <w:jc w:val="both"/>
        <w:rPr>
          <w:rFonts w:ascii="Palatino Linotype" w:eastAsia="Palatino Linotype" w:hAnsi="Palatino Linotype" w:cs="Palatino Linotype"/>
          <w:b/>
          <w:i/>
          <w:sz w:val="22"/>
          <w:szCs w:val="22"/>
        </w:rPr>
      </w:pPr>
      <w:r w:rsidRPr="006D6EEB">
        <w:rPr>
          <w:rFonts w:ascii="Palatino Linotype" w:eastAsia="Palatino Linotype" w:hAnsi="Palatino Linotype" w:cs="Palatino Linotype"/>
          <w:b/>
          <w:i/>
          <w:sz w:val="22"/>
          <w:szCs w:val="22"/>
        </w:rPr>
        <w:t>II</w:t>
      </w:r>
      <w:r w:rsidRPr="006D6EEB">
        <w:rPr>
          <w:rFonts w:ascii="Palatino Linotype" w:eastAsia="Palatino Linotype" w:hAnsi="Palatino Linotype" w:cs="Palatino Linotype"/>
          <w:i/>
          <w:sz w:val="22"/>
          <w:szCs w:val="22"/>
        </w:rPr>
        <w:t>. Descripción de las partes o secciones reservadas, en caso de clasificación parcial</w:t>
      </w:r>
      <w:r w:rsidRPr="006D6EEB">
        <w:rPr>
          <w:rFonts w:ascii="Palatino Linotype" w:eastAsia="Palatino Linotype" w:hAnsi="Palatino Linotype" w:cs="Palatino Linotype"/>
          <w:b/>
          <w:i/>
          <w:sz w:val="22"/>
          <w:szCs w:val="22"/>
        </w:rPr>
        <w:t xml:space="preserve">; </w:t>
      </w:r>
    </w:p>
    <w:p w14:paraId="0180D19C" w14:textId="77777777" w:rsidR="003C3FE1" w:rsidRPr="006D6EEB" w:rsidRDefault="003C3FE1" w:rsidP="00AA5401">
      <w:pPr>
        <w:pBdr>
          <w:top w:val="nil"/>
          <w:left w:val="nil"/>
          <w:bottom w:val="nil"/>
          <w:right w:val="nil"/>
          <w:between w:val="nil"/>
        </w:pBdr>
        <w:spacing w:before="240" w:after="240" w:line="360" w:lineRule="auto"/>
        <w:ind w:left="851" w:right="902"/>
        <w:jc w:val="both"/>
        <w:rPr>
          <w:rFonts w:ascii="Palatino Linotype" w:eastAsia="Palatino Linotype" w:hAnsi="Palatino Linotype" w:cs="Palatino Linotype"/>
          <w:i/>
          <w:sz w:val="22"/>
          <w:szCs w:val="22"/>
        </w:rPr>
      </w:pPr>
      <w:r w:rsidRPr="006D6EEB">
        <w:rPr>
          <w:rFonts w:ascii="Palatino Linotype" w:eastAsia="Palatino Linotype" w:hAnsi="Palatino Linotype" w:cs="Palatino Linotype"/>
          <w:b/>
          <w:i/>
          <w:sz w:val="22"/>
          <w:szCs w:val="22"/>
        </w:rPr>
        <w:t>III.</w:t>
      </w:r>
      <w:r w:rsidRPr="006D6EEB">
        <w:rPr>
          <w:rFonts w:ascii="Palatino Linotype" w:eastAsia="Palatino Linotype" w:hAnsi="Palatino Linotype" w:cs="Palatino Linotype"/>
          <w:i/>
          <w:sz w:val="22"/>
          <w:szCs w:val="22"/>
        </w:rPr>
        <w:t xml:space="preserve"> El periodo por el que mantendrá su clasificación y fecha de expiración; y </w:t>
      </w:r>
    </w:p>
    <w:p w14:paraId="45F5EFD7" w14:textId="77777777" w:rsidR="003C3FE1" w:rsidRPr="006D6EEB" w:rsidRDefault="003C3FE1" w:rsidP="00AA5401">
      <w:pPr>
        <w:pBdr>
          <w:top w:val="nil"/>
          <w:left w:val="nil"/>
          <w:bottom w:val="nil"/>
          <w:right w:val="nil"/>
          <w:between w:val="nil"/>
        </w:pBdr>
        <w:spacing w:before="240" w:after="240" w:line="360" w:lineRule="auto"/>
        <w:ind w:left="851" w:right="902"/>
        <w:jc w:val="both"/>
        <w:rPr>
          <w:rFonts w:ascii="Palatino Linotype" w:eastAsia="Palatino Linotype" w:hAnsi="Palatino Linotype" w:cs="Palatino Linotype"/>
          <w:i/>
          <w:sz w:val="22"/>
          <w:szCs w:val="22"/>
        </w:rPr>
      </w:pPr>
      <w:r w:rsidRPr="006D6EEB">
        <w:rPr>
          <w:rFonts w:ascii="Palatino Linotype" w:eastAsia="Palatino Linotype" w:hAnsi="Palatino Linotype" w:cs="Palatino Linotype"/>
          <w:b/>
          <w:i/>
          <w:sz w:val="22"/>
          <w:szCs w:val="22"/>
        </w:rPr>
        <w:t>IV.</w:t>
      </w:r>
      <w:r w:rsidRPr="006D6EEB">
        <w:rPr>
          <w:rFonts w:ascii="Palatino Linotype" w:eastAsia="Palatino Linotype" w:hAnsi="Palatino Linotype" w:cs="Palatino Linotype"/>
          <w:i/>
          <w:sz w:val="22"/>
          <w:szCs w:val="22"/>
        </w:rPr>
        <w:t xml:space="preserve"> El nombre del titular y área encargada de realizar la versión pública del documento, en su caso. </w:t>
      </w:r>
    </w:p>
    <w:p w14:paraId="06FEDE5B" w14:textId="77777777" w:rsidR="003C3FE1" w:rsidRPr="006D6EEB" w:rsidRDefault="003C3FE1" w:rsidP="00AA5401">
      <w:pPr>
        <w:pBdr>
          <w:top w:val="nil"/>
          <w:left w:val="nil"/>
          <w:bottom w:val="nil"/>
          <w:right w:val="nil"/>
          <w:between w:val="nil"/>
        </w:pBdr>
        <w:spacing w:before="240" w:after="240" w:line="360" w:lineRule="auto"/>
        <w:ind w:left="851" w:right="902"/>
        <w:jc w:val="both"/>
        <w:rPr>
          <w:rFonts w:ascii="Palatino Linotype" w:eastAsia="Palatino Linotype" w:hAnsi="Palatino Linotype" w:cs="Palatino Linotype"/>
          <w:i/>
          <w:sz w:val="22"/>
          <w:szCs w:val="22"/>
        </w:rPr>
      </w:pPr>
      <w:r w:rsidRPr="006D6EEB">
        <w:rPr>
          <w:rFonts w:ascii="Palatino Linotype" w:eastAsia="Palatino Linotype" w:hAnsi="Palatino Linotype" w:cs="Palatino Linotype"/>
          <w:i/>
          <w:sz w:val="22"/>
          <w:szCs w:val="22"/>
        </w:rPr>
        <w:t xml:space="preserve">En los casos en que se clasifique la información como reservada siempre se entregará o anexará la prueba de daño con la respuesta al solicitante. </w:t>
      </w:r>
    </w:p>
    <w:p w14:paraId="7AA5006D" w14:textId="77777777" w:rsidR="003C3FE1" w:rsidRPr="006D6EEB" w:rsidRDefault="003C3FE1" w:rsidP="00AA5401">
      <w:pPr>
        <w:pBdr>
          <w:top w:val="nil"/>
          <w:left w:val="nil"/>
          <w:bottom w:val="nil"/>
          <w:right w:val="nil"/>
          <w:between w:val="nil"/>
        </w:pBdr>
        <w:spacing w:before="240" w:after="240" w:line="360" w:lineRule="auto"/>
        <w:ind w:left="851" w:right="902"/>
        <w:jc w:val="both"/>
        <w:rPr>
          <w:rFonts w:ascii="Palatino Linotype" w:eastAsia="Palatino Linotype" w:hAnsi="Palatino Linotype" w:cs="Palatino Linotype"/>
          <w:i/>
          <w:sz w:val="22"/>
          <w:szCs w:val="22"/>
        </w:rPr>
      </w:pPr>
      <w:r w:rsidRPr="006D6EEB">
        <w:rPr>
          <w:rFonts w:ascii="Palatino Linotype" w:eastAsia="Palatino Linotype" w:hAnsi="Palatino Linotype" w:cs="Palatino Linotype"/>
          <w:i/>
          <w:sz w:val="22"/>
          <w:szCs w:val="22"/>
        </w:rPr>
        <w:t>En los casos de resoluciones del Comité de Transparencia en las que se confirme la clasificación de información confidencial solo se deberán de identificar los tipos de datos protegidos, de conformidad con el lineamiento trigésimo octavo.</w:t>
      </w:r>
    </w:p>
    <w:p w14:paraId="270E5EB8" w14:textId="77777777" w:rsidR="003C3FE1" w:rsidRPr="006D6EEB" w:rsidRDefault="003C3FE1" w:rsidP="00AA5401">
      <w:pPr>
        <w:spacing w:before="240" w:after="240" w:line="360" w:lineRule="auto"/>
        <w:ind w:left="851" w:right="902"/>
        <w:jc w:val="both"/>
        <w:rPr>
          <w:rFonts w:ascii="Palatino Linotype" w:eastAsia="Palatino Linotype" w:hAnsi="Palatino Linotype" w:cs="Palatino Linotype"/>
          <w:i/>
          <w:sz w:val="22"/>
          <w:szCs w:val="22"/>
        </w:rPr>
      </w:pPr>
      <w:r w:rsidRPr="006D6EEB">
        <w:rPr>
          <w:rFonts w:ascii="Palatino Linotype" w:eastAsia="Palatino Linotype" w:hAnsi="Palatino Linotype" w:cs="Palatino Linotype"/>
          <w:b/>
          <w:i/>
          <w:sz w:val="22"/>
          <w:szCs w:val="22"/>
        </w:rPr>
        <w:t>Quincuagésimo segundo</w:t>
      </w:r>
      <w:r w:rsidRPr="006D6EEB">
        <w:rPr>
          <w:rFonts w:ascii="Palatino Linotype" w:eastAsia="Palatino Linotype" w:hAnsi="Palatino Linotype" w:cs="Palatino Linotype"/>
          <w:i/>
          <w:sz w:val="22"/>
          <w:szCs w:val="22"/>
        </w:rPr>
        <w:t>. Para la clasificación y elaboración de versiones públicas de documentos que contengan información clasificada como reservada o confidencial, las áreas de los sujetos obligados deberán tomar las medidas pertinentes tendientes a asegurar que el espacio utilizado para testar la información no podrá ser empleado para la sobreposición de contenido distinto al autorizado por el Comité.</w:t>
      </w:r>
    </w:p>
    <w:p w14:paraId="6D547BE7" w14:textId="77777777" w:rsidR="003C3FE1" w:rsidRPr="006D6EEB" w:rsidRDefault="003C3FE1" w:rsidP="00AA5401">
      <w:pPr>
        <w:spacing w:before="240" w:after="240" w:line="360" w:lineRule="auto"/>
        <w:ind w:left="851" w:right="902"/>
        <w:jc w:val="both"/>
        <w:rPr>
          <w:rFonts w:ascii="Palatino Linotype" w:eastAsia="Palatino Linotype" w:hAnsi="Palatino Linotype" w:cs="Palatino Linotype"/>
          <w:i/>
          <w:sz w:val="22"/>
          <w:szCs w:val="22"/>
        </w:rPr>
      </w:pPr>
      <w:r w:rsidRPr="006D6EEB">
        <w:rPr>
          <w:rFonts w:ascii="Palatino Linotype" w:eastAsia="Palatino Linotype" w:hAnsi="Palatino Linotype" w:cs="Palatino Linotype"/>
          <w:i/>
          <w:sz w:val="22"/>
          <w:szCs w:val="22"/>
        </w:rPr>
        <w:t xml:space="preserve">En el caso especifico de la clasificación y elaboración de versiones públicas de documentos que contengan información confidencial, las áreas de los sujetos obligados deberán: </w:t>
      </w:r>
    </w:p>
    <w:p w14:paraId="5D223C8F" w14:textId="77777777" w:rsidR="003C3FE1" w:rsidRPr="006D6EEB" w:rsidRDefault="003C3FE1" w:rsidP="00AA5401">
      <w:pPr>
        <w:spacing w:before="240" w:after="240" w:line="360" w:lineRule="auto"/>
        <w:ind w:left="851" w:right="902"/>
        <w:jc w:val="both"/>
        <w:rPr>
          <w:rFonts w:ascii="Palatino Linotype" w:eastAsia="Palatino Linotype" w:hAnsi="Palatino Linotype" w:cs="Palatino Linotype"/>
          <w:i/>
          <w:sz w:val="22"/>
          <w:szCs w:val="22"/>
        </w:rPr>
      </w:pPr>
      <w:r w:rsidRPr="006D6EEB">
        <w:rPr>
          <w:rFonts w:ascii="Palatino Linotype" w:eastAsia="Palatino Linotype" w:hAnsi="Palatino Linotype" w:cs="Palatino Linotype"/>
          <w:b/>
          <w:i/>
          <w:sz w:val="22"/>
          <w:szCs w:val="22"/>
        </w:rPr>
        <w:t>I.</w:t>
      </w:r>
      <w:r w:rsidRPr="006D6EEB">
        <w:rPr>
          <w:rFonts w:ascii="Palatino Linotype" w:eastAsia="Palatino Linotype" w:hAnsi="Palatino Linotype" w:cs="Palatino Linotype"/>
          <w:i/>
          <w:sz w:val="22"/>
          <w:szCs w:val="22"/>
        </w:rPr>
        <w:t xml:space="preserve"> Fijar la fecha en que se elaboró la versión pública y la fecha en la cual el Comité de Transparencia confirmó dicha versión;</w:t>
      </w:r>
    </w:p>
    <w:p w14:paraId="057A2CAB" w14:textId="77777777" w:rsidR="003C3FE1" w:rsidRPr="006D6EEB" w:rsidRDefault="003C3FE1" w:rsidP="00AA5401">
      <w:pPr>
        <w:spacing w:before="240" w:after="240" w:line="360" w:lineRule="auto"/>
        <w:ind w:left="851" w:right="902"/>
        <w:jc w:val="both"/>
        <w:rPr>
          <w:rFonts w:ascii="Palatino Linotype" w:eastAsia="Palatino Linotype" w:hAnsi="Palatino Linotype" w:cs="Palatino Linotype"/>
          <w:i/>
          <w:sz w:val="22"/>
          <w:szCs w:val="22"/>
        </w:rPr>
      </w:pPr>
      <w:r w:rsidRPr="006D6EEB">
        <w:rPr>
          <w:rFonts w:ascii="Palatino Linotype" w:eastAsia="Palatino Linotype" w:hAnsi="Palatino Linotype" w:cs="Palatino Linotype"/>
          <w:b/>
          <w:i/>
          <w:sz w:val="22"/>
          <w:szCs w:val="22"/>
        </w:rPr>
        <w:t>II.</w:t>
      </w:r>
      <w:r w:rsidRPr="006D6EEB">
        <w:rPr>
          <w:rFonts w:ascii="Palatino Linotype" w:eastAsia="Palatino Linotype" w:hAnsi="Palatino Linotype" w:cs="Palatino Linotype"/>
          <w:i/>
          <w:sz w:val="22"/>
          <w:szCs w:val="22"/>
        </w:rPr>
        <w:t xml:space="preserve"> Señalar dentro del documento el tipo de información confidencial que fue testada en cada caso específico, de conformidad con el lineamiento trigésimo octavo; y</w:t>
      </w:r>
    </w:p>
    <w:p w14:paraId="3B10531E" w14:textId="77777777" w:rsidR="003C3FE1" w:rsidRPr="006D6EEB" w:rsidRDefault="003C3FE1" w:rsidP="00AA5401">
      <w:pPr>
        <w:spacing w:before="240" w:after="240" w:line="360" w:lineRule="auto"/>
        <w:ind w:left="851" w:right="902"/>
        <w:jc w:val="both"/>
        <w:rPr>
          <w:rFonts w:ascii="Palatino Linotype" w:eastAsia="Palatino Linotype" w:hAnsi="Palatino Linotype" w:cs="Palatino Linotype"/>
          <w:i/>
          <w:sz w:val="22"/>
          <w:szCs w:val="22"/>
        </w:rPr>
      </w:pPr>
      <w:r w:rsidRPr="006D6EEB">
        <w:rPr>
          <w:rFonts w:ascii="Palatino Linotype" w:eastAsia="Palatino Linotype" w:hAnsi="Palatino Linotype" w:cs="Palatino Linotype"/>
          <w:b/>
          <w:i/>
          <w:sz w:val="22"/>
          <w:szCs w:val="22"/>
        </w:rPr>
        <w:t>III.</w:t>
      </w:r>
      <w:r w:rsidRPr="006D6EEB">
        <w:rPr>
          <w:rFonts w:ascii="Palatino Linotype" w:eastAsia="Palatino Linotype" w:hAnsi="Palatino Linotype" w:cs="Palatino Linotype"/>
          <w:i/>
          <w:sz w:val="22"/>
          <w:szCs w:val="22"/>
        </w:rPr>
        <w:t xml:space="preserve"> Señalar las personas o instancias autorizadas a acceder a la información clasificada.</w:t>
      </w:r>
    </w:p>
    <w:p w14:paraId="7C518C2C" w14:textId="77777777" w:rsidR="003C3FE1" w:rsidRPr="006D6EEB" w:rsidRDefault="003C3FE1" w:rsidP="00AA5401">
      <w:pPr>
        <w:spacing w:before="240" w:after="240" w:line="360" w:lineRule="auto"/>
        <w:ind w:left="851" w:right="902"/>
        <w:jc w:val="both"/>
        <w:rPr>
          <w:rFonts w:ascii="Palatino Linotype" w:eastAsia="Palatino Linotype" w:hAnsi="Palatino Linotype" w:cs="Palatino Linotype"/>
          <w:i/>
          <w:sz w:val="22"/>
          <w:szCs w:val="22"/>
        </w:rPr>
      </w:pPr>
      <w:r w:rsidRPr="006D6EEB">
        <w:rPr>
          <w:rFonts w:ascii="Palatino Linotype" w:eastAsia="Palatino Linotype" w:hAnsi="Palatino Linotype" w:cs="Palatino Linotype"/>
          <w:i/>
          <w:sz w:val="22"/>
          <w:szCs w:val="22"/>
        </w:rPr>
        <w:t>En los documentos de difusión electrónica, señalar en la primera hoja y en el nombre del archivo, que la versión pública corresponde a un documento que contiene información confidencial.”</w:t>
      </w:r>
    </w:p>
    <w:p w14:paraId="1DCC0B1F" w14:textId="77777777" w:rsidR="003C3FE1" w:rsidRPr="006D6EEB" w:rsidRDefault="003C3FE1" w:rsidP="00AA5401">
      <w:pPr>
        <w:spacing w:before="240" w:after="240" w:line="360" w:lineRule="auto"/>
        <w:jc w:val="both"/>
        <w:rPr>
          <w:rFonts w:ascii="Palatino Linotype" w:eastAsia="Palatino Linotype" w:hAnsi="Palatino Linotype" w:cs="Palatino Linotype"/>
          <w:sz w:val="22"/>
          <w:szCs w:val="22"/>
        </w:rPr>
      </w:pPr>
      <w:r w:rsidRPr="006D6EEB">
        <w:rPr>
          <w:rFonts w:ascii="Palatino Linotype" w:eastAsia="Palatino Linotype" w:hAnsi="Palatino Linotype" w:cs="Palatino Linotype"/>
          <w:sz w:val="22"/>
          <w:szCs w:val="22"/>
        </w:rPr>
        <w:t>Asimismo, deberá observar los Lineamientos Quincuagésimo cuarto, Quincuagésimo quinto, Quincuagésimo sexto, Quincuagésimo séptimo y Quincuagésimo octavo, establecen lo siguiente:</w:t>
      </w:r>
    </w:p>
    <w:p w14:paraId="43AE4A41" w14:textId="77777777" w:rsidR="003C3FE1" w:rsidRPr="006D6EEB" w:rsidRDefault="003C3FE1" w:rsidP="00AA5401">
      <w:pPr>
        <w:pBdr>
          <w:top w:val="nil"/>
          <w:left w:val="nil"/>
          <w:bottom w:val="nil"/>
          <w:right w:val="nil"/>
          <w:between w:val="nil"/>
        </w:pBdr>
        <w:spacing w:before="240" w:after="240" w:line="360" w:lineRule="auto"/>
        <w:ind w:left="851" w:right="900"/>
        <w:jc w:val="both"/>
        <w:rPr>
          <w:rFonts w:ascii="Palatino Linotype" w:eastAsia="Palatino Linotype" w:hAnsi="Palatino Linotype" w:cs="Palatino Linotype"/>
          <w:b/>
          <w:i/>
          <w:sz w:val="22"/>
          <w:szCs w:val="22"/>
        </w:rPr>
      </w:pPr>
      <w:r w:rsidRPr="006D6EEB">
        <w:rPr>
          <w:rFonts w:ascii="Palatino Linotype" w:eastAsia="Palatino Linotype" w:hAnsi="Palatino Linotype" w:cs="Palatino Linotype"/>
          <w:i/>
          <w:sz w:val="22"/>
          <w:szCs w:val="22"/>
        </w:rPr>
        <w:t>“</w:t>
      </w:r>
      <w:r w:rsidRPr="006D6EEB">
        <w:rPr>
          <w:rFonts w:ascii="Palatino Linotype" w:eastAsia="Palatino Linotype" w:hAnsi="Palatino Linotype" w:cs="Palatino Linotype"/>
          <w:b/>
          <w:i/>
          <w:sz w:val="22"/>
          <w:szCs w:val="22"/>
        </w:rPr>
        <w:t xml:space="preserve">Quincuagésimo cuarto. </w:t>
      </w:r>
      <w:r w:rsidRPr="006D6EEB">
        <w:rPr>
          <w:rFonts w:ascii="Palatino Linotype" w:eastAsia="Palatino Linotype" w:hAnsi="Palatino Linotype" w:cs="Palatino Linotype"/>
          <w:i/>
          <w:sz w:val="22"/>
          <w:szCs w:val="22"/>
        </w:rPr>
        <w:t>Cuando el Comité de Transparencia confirme la clasificación de documentos reservados y/o confidenciales, sea total o parcialmente; se deberá anexar al expediente la resolución que determinó la clasificación o, en su defecto, identificar en la carátula del expediente del cual formen parte, la fecha y sesión del Comité de Transparencia en la que se confirmó dicha clasificación.</w:t>
      </w:r>
      <w:r w:rsidRPr="006D6EEB">
        <w:rPr>
          <w:rFonts w:ascii="Palatino Linotype" w:eastAsia="Palatino Linotype" w:hAnsi="Palatino Linotype" w:cs="Palatino Linotype"/>
          <w:b/>
          <w:i/>
          <w:sz w:val="22"/>
          <w:szCs w:val="22"/>
        </w:rPr>
        <w:t xml:space="preserve"> </w:t>
      </w:r>
    </w:p>
    <w:p w14:paraId="10636573" w14:textId="77777777" w:rsidR="003C3FE1" w:rsidRPr="006D6EEB" w:rsidRDefault="003C3FE1" w:rsidP="00AA5401">
      <w:pPr>
        <w:spacing w:before="240" w:after="240" w:line="360" w:lineRule="auto"/>
        <w:ind w:left="851" w:right="900"/>
        <w:jc w:val="both"/>
        <w:rPr>
          <w:rFonts w:ascii="Palatino Linotype" w:eastAsia="Palatino Linotype" w:hAnsi="Palatino Linotype" w:cs="Palatino Linotype"/>
          <w:i/>
          <w:sz w:val="22"/>
          <w:szCs w:val="22"/>
        </w:rPr>
      </w:pPr>
      <w:r w:rsidRPr="006D6EEB">
        <w:rPr>
          <w:rFonts w:ascii="Palatino Linotype" w:eastAsia="Palatino Linotype" w:hAnsi="Palatino Linotype" w:cs="Palatino Linotype"/>
          <w:b/>
          <w:i/>
          <w:sz w:val="22"/>
          <w:szCs w:val="22"/>
        </w:rPr>
        <w:t xml:space="preserve">Quincuagésimo quinto. </w:t>
      </w:r>
      <w:r w:rsidRPr="006D6EEB">
        <w:rPr>
          <w:rFonts w:ascii="Palatino Linotype" w:eastAsia="Palatino Linotype" w:hAnsi="Palatino Linotype" w:cs="Palatino Linotype"/>
          <w:i/>
          <w:sz w:val="22"/>
          <w:szCs w:val="22"/>
        </w:rPr>
        <w:t>Cada área del sujeto obligado podrá designar formalmente a una o más personas como responsables del testado, que sean encargadas de la adecuada elaboración o supervisión de las versiones públicas de los documentos o expedientes, verificando que cumplan con los requisitos señalados en las Leyes Generales, los presentes Lineamientos y demás normativa aplicable antes de su confirmación por el Comité de Transparencia.</w:t>
      </w:r>
    </w:p>
    <w:p w14:paraId="5037AB58" w14:textId="77777777" w:rsidR="003C3FE1" w:rsidRPr="006D6EEB" w:rsidRDefault="003C3FE1" w:rsidP="00AA5401">
      <w:pPr>
        <w:spacing w:before="240" w:after="240" w:line="360" w:lineRule="auto"/>
        <w:ind w:left="851" w:right="900"/>
        <w:jc w:val="both"/>
        <w:rPr>
          <w:rFonts w:ascii="Palatino Linotype" w:eastAsia="Palatino Linotype" w:hAnsi="Palatino Linotype" w:cs="Palatino Linotype"/>
          <w:b/>
          <w:i/>
          <w:sz w:val="22"/>
          <w:szCs w:val="22"/>
        </w:rPr>
      </w:pPr>
      <w:r w:rsidRPr="006D6EEB">
        <w:rPr>
          <w:rFonts w:ascii="Palatino Linotype" w:eastAsia="Palatino Linotype" w:hAnsi="Palatino Linotype" w:cs="Palatino Linotype"/>
          <w:b/>
          <w:i/>
          <w:sz w:val="22"/>
          <w:szCs w:val="22"/>
        </w:rPr>
        <w:t>...</w:t>
      </w:r>
    </w:p>
    <w:p w14:paraId="02B51C26" w14:textId="77777777" w:rsidR="003C3FE1" w:rsidRPr="006D6EEB" w:rsidRDefault="003C3FE1" w:rsidP="00AA5401">
      <w:pPr>
        <w:spacing w:before="240" w:after="240" w:line="360" w:lineRule="auto"/>
        <w:ind w:left="851" w:right="900"/>
        <w:jc w:val="both"/>
        <w:rPr>
          <w:rFonts w:ascii="Palatino Linotype" w:eastAsia="Palatino Linotype" w:hAnsi="Palatino Linotype" w:cs="Palatino Linotype"/>
          <w:i/>
          <w:sz w:val="22"/>
          <w:szCs w:val="22"/>
        </w:rPr>
      </w:pPr>
      <w:r w:rsidRPr="006D6EEB">
        <w:rPr>
          <w:rFonts w:ascii="Palatino Linotype" w:eastAsia="Palatino Linotype" w:hAnsi="Palatino Linotype" w:cs="Palatino Linotype"/>
          <w:b/>
          <w:i/>
          <w:sz w:val="22"/>
          <w:szCs w:val="22"/>
        </w:rPr>
        <w:t>Quincuagésimo séptimo</w:t>
      </w:r>
      <w:r w:rsidRPr="006D6EEB">
        <w:rPr>
          <w:rFonts w:ascii="Palatino Linotype" w:eastAsia="Palatino Linotype" w:hAnsi="Palatino Linotype" w:cs="Palatino Linotype"/>
          <w:i/>
          <w:sz w:val="22"/>
          <w:szCs w:val="22"/>
        </w:rPr>
        <w:t xml:space="preserve">. Se considera, en principio, como información pública y no podrá omitirse de las versiones públicas la siguiente: </w:t>
      </w:r>
    </w:p>
    <w:p w14:paraId="790594B9" w14:textId="77777777" w:rsidR="003C3FE1" w:rsidRPr="006D6EEB" w:rsidRDefault="003C3FE1" w:rsidP="00AA5401">
      <w:pPr>
        <w:spacing w:before="240" w:after="240" w:line="360" w:lineRule="auto"/>
        <w:ind w:left="851" w:right="900"/>
        <w:jc w:val="both"/>
        <w:rPr>
          <w:rFonts w:ascii="Palatino Linotype" w:eastAsia="Palatino Linotype" w:hAnsi="Palatino Linotype" w:cs="Palatino Linotype"/>
          <w:i/>
          <w:sz w:val="22"/>
          <w:szCs w:val="22"/>
        </w:rPr>
      </w:pPr>
      <w:r w:rsidRPr="006D6EEB">
        <w:rPr>
          <w:rFonts w:ascii="Palatino Linotype" w:eastAsia="Palatino Linotype" w:hAnsi="Palatino Linotype" w:cs="Palatino Linotype"/>
          <w:b/>
          <w:i/>
          <w:sz w:val="22"/>
          <w:szCs w:val="22"/>
        </w:rPr>
        <w:t>I</w:t>
      </w:r>
      <w:r w:rsidRPr="006D6EEB">
        <w:rPr>
          <w:rFonts w:ascii="Palatino Linotype" w:eastAsia="Palatino Linotype" w:hAnsi="Palatino Linotype" w:cs="Palatino Linotype"/>
          <w:i/>
          <w:sz w:val="22"/>
          <w:szCs w:val="22"/>
        </w:rPr>
        <w:t xml:space="preserve">. La relativa a las Obligaciones de Transparencia que contempla el Título V de la Ley General y las demás disposiciones legales aplicables; </w:t>
      </w:r>
    </w:p>
    <w:p w14:paraId="662782E1" w14:textId="77777777" w:rsidR="003C3FE1" w:rsidRPr="006D6EEB" w:rsidRDefault="003C3FE1" w:rsidP="00AA5401">
      <w:pPr>
        <w:spacing w:before="240" w:after="240" w:line="360" w:lineRule="auto"/>
        <w:ind w:left="851" w:right="900"/>
        <w:jc w:val="both"/>
        <w:rPr>
          <w:rFonts w:ascii="Palatino Linotype" w:eastAsia="Palatino Linotype" w:hAnsi="Palatino Linotype" w:cs="Palatino Linotype"/>
          <w:i/>
          <w:sz w:val="22"/>
          <w:szCs w:val="22"/>
        </w:rPr>
      </w:pPr>
      <w:r w:rsidRPr="006D6EEB">
        <w:rPr>
          <w:rFonts w:ascii="Palatino Linotype" w:eastAsia="Palatino Linotype" w:hAnsi="Palatino Linotype" w:cs="Palatino Linotype"/>
          <w:b/>
          <w:i/>
          <w:sz w:val="22"/>
          <w:szCs w:val="22"/>
        </w:rPr>
        <w:t>II.</w:t>
      </w:r>
      <w:r w:rsidRPr="006D6EEB">
        <w:rPr>
          <w:rFonts w:ascii="Palatino Linotype" w:eastAsia="Palatino Linotype" w:hAnsi="Palatino Linotype" w:cs="Palatino Linotype"/>
          <w:i/>
          <w:sz w:val="22"/>
          <w:szCs w:val="22"/>
        </w:rPr>
        <w:t xml:space="preserve"> El nombre de los integrantes de los sujetos obligados en los documentos, y sus firmas autógrafas o digitales, cuando sean utilizados en el ejercicio de las facultades conferidas para el desempeño del servicio público, y</w:t>
      </w:r>
    </w:p>
    <w:p w14:paraId="14D4E475" w14:textId="77777777" w:rsidR="003C3FE1" w:rsidRPr="006D6EEB" w:rsidRDefault="003C3FE1" w:rsidP="00AA5401">
      <w:pPr>
        <w:spacing w:before="240" w:after="240" w:line="360" w:lineRule="auto"/>
        <w:ind w:left="851" w:right="900"/>
        <w:jc w:val="both"/>
        <w:rPr>
          <w:rFonts w:ascii="Palatino Linotype" w:eastAsia="Palatino Linotype" w:hAnsi="Palatino Linotype" w:cs="Palatino Linotype"/>
          <w:i/>
          <w:sz w:val="22"/>
          <w:szCs w:val="22"/>
        </w:rPr>
      </w:pPr>
      <w:r w:rsidRPr="006D6EEB">
        <w:rPr>
          <w:rFonts w:ascii="Palatino Linotype" w:eastAsia="Palatino Linotype" w:hAnsi="Palatino Linotype" w:cs="Palatino Linotype"/>
          <w:b/>
          <w:i/>
          <w:sz w:val="22"/>
          <w:szCs w:val="22"/>
        </w:rPr>
        <w:t>III</w:t>
      </w:r>
      <w:r w:rsidRPr="006D6EEB">
        <w:rPr>
          <w:rFonts w:ascii="Palatino Linotype" w:eastAsia="Palatino Linotype" w:hAnsi="Palatino Linotype" w:cs="Palatino Linotype"/>
          <w:i/>
          <w:sz w:val="22"/>
          <w:szCs w:val="22"/>
        </w:rPr>
        <w:t xml:space="preserve">. La información que documente decisiones y los actos de autoridad concluidos de los sujetos obligados, así como el ejercicio de las facultades o actividades de los servidores públicos, de manera que se pueda valorar el desempeño de los mismos. </w:t>
      </w:r>
    </w:p>
    <w:p w14:paraId="464D1380" w14:textId="77777777" w:rsidR="003C3FE1" w:rsidRPr="006D6EEB" w:rsidRDefault="003C3FE1" w:rsidP="00AA5401">
      <w:pPr>
        <w:spacing w:before="240" w:after="240" w:line="360" w:lineRule="auto"/>
        <w:ind w:left="851" w:right="900"/>
        <w:jc w:val="both"/>
        <w:rPr>
          <w:rFonts w:ascii="Palatino Linotype" w:eastAsia="Palatino Linotype" w:hAnsi="Palatino Linotype" w:cs="Palatino Linotype"/>
          <w:i/>
          <w:sz w:val="22"/>
          <w:szCs w:val="22"/>
        </w:rPr>
      </w:pPr>
      <w:r w:rsidRPr="006D6EEB">
        <w:rPr>
          <w:rFonts w:ascii="Palatino Linotype" w:eastAsia="Palatino Linotype" w:hAnsi="Palatino Linotype" w:cs="Palatino Linotype"/>
          <w:i/>
          <w:sz w:val="22"/>
          <w:szCs w:val="22"/>
        </w:rPr>
        <w:t xml:space="preserve">Lo anterior, siempre y cuando no se acredite alguna causal de clasificación, prevista en las leyes o en los tratados internacionales suscritas por el Estado mexicano.  </w:t>
      </w:r>
    </w:p>
    <w:p w14:paraId="15F1FBC8" w14:textId="77777777" w:rsidR="003C3FE1" w:rsidRPr="006D6EEB" w:rsidRDefault="003C3FE1" w:rsidP="00AA5401">
      <w:pPr>
        <w:spacing w:before="240" w:after="240" w:line="360" w:lineRule="auto"/>
        <w:ind w:left="851" w:right="900"/>
        <w:jc w:val="both"/>
        <w:rPr>
          <w:rFonts w:ascii="Palatino Linotype" w:eastAsia="Palatino Linotype" w:hAnsi="Palatino Linotype" w:cs="Palatino Linotype"/>
          <w:i/>
          <w:sz w:val="22"/>
          <w:szCs w:val="22"/>
        </w:rPr>
      </w:pPr>
      <w:r w:rsidRPr="006D6EEB">
        <w:rPr>
          <w:rFonts w:ascii="Palatino Linotype" w:eastAsia="Palatino Linotype" w:hAnsi="Palatino Linotype" w:cs="Palatino Linotype"/>
          <w:b/>
          <w:i/>
          <w:sz w:val="22"/>
          <w:szCs w:val="22"/>
        </w:rPr>
        <w:t>Quincuagésimo octavo</w:t>
      </w:r>
      <w:r w:rsidRPr="006D6EEB">
        <w:rPr>
          <w:rFonts w:ascii="Palatino Linotype" w:eastAsia="Palatino Linotype" w:hAnsi="Palatino Linotype" w:cs="Palatino Linotype"/>
          <w:i/>
          <w:sz w:val="22"/>
          <w:szCs w:val="22"/>
        </w:rPr>
        <w:t>. Los sujetos obligados garantizarán que los sistemas o medios empleados para eliminar la información en las versiones públicas sean irreversibles, de tal forma que no permitan su recuperación o la visualización de la misma.”</w:t>
      </w:r>
    </w:p>
    <w:p w14:paraId="52AF4E39" w14:textId="2ED31AEC" w:rsidR="0097113F" w:rsidRPr="006D6EEB" w:rsidRDefault="009875D3" w:rsidP="00AA5401">
      <w:pPr>
        <w:pBdr>
          <w:top w:val="nil"/>
          <w:left w:val="nil"/>
          <w:bottom w:val="nil"/>
          <w:right w:val="nil"/>
          <w:between w:val="nil"/>
        </w:pBdr>
        <w:spacing w:before="240" w:after="240" w:line="360" w:lineRule="auto"/>
        <w:jc w:val="both"/>
        <w:rPr>
          <w:rFonts w:ascii="Palatino Linotype" w:eastAsia="Palatino Linotype" w:hAnsi="Palatino Linotype" w:cs="Palatino Linotype"/>
          <w:sz w:val="22"/>
          <w:szCs w:val="22"/>
        </w:rPr>
      </w:pPr>
      <w:r w:rsidRPr="006D6EEB">
        <w:rPr>
          <w:rFonts w:ascii="Palatino Linotype" w:eastAsia="Palatino Linotype" w:hAnsi="Palatino Linotype" w:cs="Palatino Linotype"/>
          <w:sz w:val="22"/>
          <w:szCs w:val="22"/>
        </w:rPr>
        <w:t>Así, con fundamento en lo prescrito en los artículos 5 párrafos cuadragésimo cuarto, cuadragésimo quinto y cuadragésimo sexto, fracciones IV y V de la Constitución Política del Estado Libre y Soberano de México; Transitorio Cuarto, párrafo segundo del Decreto número 198 de la “LXII” Legislatura del Estado de México; 2, fracción II; 29, 36 fracciones I y II; 176, 178, 181, 185, fracción I, 186 y 188 de la Ley de Transparencia y Acceso a la Información Pública del Estado de México y Municipios, este Pleno:</w:t>
      </w:r>
    </w:p>
    <w:p w14:paraId="73BCA586" w14:textId="2727050F" w:rsidR="00CA6D60" w:rsidRPr="006D6EEB" w:rsidRDefault="00CA6D60" w:rsidP="00AA5401">
      <w:pPr>
        <w:pBdr>
          <w:top w:val="nil"/>
          <w:left w:val="nil"/>
          <w:bottom w:val="nil"/>
          <w:right w:val="nil"/>
          <w:between w:val="nil"/>
        </w:pBdr>
        <w:spacing w:before="240" w:after="240" w:line="360" w:lineRule="auto"/>
        <w:jc w:val="both"/>
        <w:rPr>
          <w:rFonts w:ascii="Palatino Linotype" w:eastAsia="Palatino Linotype" w:hAnsi="Palatino Linotype" w:cs="Palatino Linotype"/>
          <w:sz w:val="22"/>
          <w:szCs w:val="22"/>
        </w:rPr>
      </w:pPr>
    </w:p>
    <w:p w14:paraId="1EF9E233" w14:textId="73677885" w:rsidR="00CA6D60" w:rsidRPr="006D6EEB" w:rsidRDefault="00CA6D60" w:rsidP="00AA5401">
      <w:pPr>
        <w:pBdr>
          <w:top w:val="nil"/>
          <w:left w:val="nil"/>
          <w:bottom w:val="nil"/>
          <w:right w:val="nil"/>
          <w:between w:val="nil"/>
        </w:pBdr>
        <w:spacing w:before="240" w:after="240" w:line="360" w:lineRule="auto"/>
        <w:jc w:val="both"/>
        <w:rPr>
          <w:rFonts w:ascii="Palatino Linotype" w:eastAsia="Palatino Linotype" w:hAnsi="Palatino Linotype" w:cs="Palatino Linotype"/>
          <w:sz w:val="22"/>
          <w:szCs w:val="22"/>
        </w:rPr>
      </w:pPr>
    </w:p>
    <w:p w14:paraId="638776C8" w14:textId="77777777" w:rsidR="00CA6D60" w:rsidRPr="006D6EEB" w:rsidRDefault="00CA6D60" w:rsidP="00AA5401">
      <w:pPr>
        <w:pBdr>
          <w:top w:val="nil"/>
          <w:left w:val="nil"/>
          <w:bottom w:val="nil"/>
          <w:right w:val="nil"/>
          <w:between w:val="nil"/>
        </w:pBdr>
        <w:spacing w:before="240" w:after="240" w:line="360" w:lineRule="auto"/>
        <w:jc w:val="both"/>
        <w:rPr>
          <w:rFonts w:ascii="Palatino Linotype" w:eastAsia="Palatino Linotype" w:hAnsi="Palatino Linotype" w:cs="Palatino Linotype"/>
          <w:sz w:val="22"/>
          <w:szCs w:val="22"/>
        </w:rPr>
      </w:pPr>
    </w:p>
    <w:p w14:paraId="2A58B288" w14:textId="77777777" w:rsidR="0097113F" w:rsidRPr="006D6EEB" w:rsidRDefault="009875D3" w:rsidP="00AA5401">
      <w:pPr>
        <w:spacing w:before="240" w:after="240" w:line="360" w:lineRule="auto"/>
        <w:ind w:left="360"/>
        <w:jc w:val="center"/>
        <w:rPr>
          <w:rFonts w:ascii="Palatino Linotype" w:eastAsia="Palatino Linotype" w:hAnsi="Palatino Linotype" w:cs="Palatino Linotype"/>
          <w:b/>
          <w:bCs/>
          <w:sz w:val="22"/>
          <w:szCs w:val="22"/>
        </w:rPr>
      </w:pPr>
      <w:r w:rsidRPr="006D6EEB">
        <w:rPr>
          <w:rFonts w:ascii="Palatino Linotype" w:eastAsia="Palatino Linotype" w:hAnsi="Palatino Linotype" w:cs="Palatino Linotype"/>
          <w:b/>
          <w:bCs/>
          <w:sz w:val="22"/>
          <w:szCs w:val="22"/>
        </w:rPr>
        <w:t>III. R E S U E L V E:</w:t>
      </w:r>
    </w:p>
    <w:p w14:paraId="27C5CC5F" w14:textId="196157DD" w:rsidR="0097113F" w:rsidRPr="006D6EEB" w:rsidRDefault="009875D3" w:rsidP="00AA5401">
      <w:pPr>
        <w:spacing w:before="240" w:after="240" w:line="360" w:lineRule="auto"/>
        <w:jc w:val="both"/>
        <w:rPr>
          <w:rFonts w:ascii="Palatino Linotype" w:eastAsia="Palatino Linotype" w:hAnsi="Palatino Linotype" w:cs="Palatino Linotype"/>
          <w:sz w:val="22"/>
          <w:szCs w:val="22"/>
        </w:rPr>
      </w:pPr>
      <w:r w:rsidRPr="006D6EEB">
        <w:rPr>
          <w:rFonts w:ascii="Palatino Linotype" w:eastAsia="Palatino Linotype" w:hAnsi="Palatino Linotype" w:cs="Palatino Linotype"/>
          <w:b/>
          <w:bCs/>
          <w:sz w:val="22"/>
          <w:szCs w:val="22"/>
        </w:rPr>
        <w:t xml:space="preserve">Primero. </w:t>
      </w:r>
      <w:r w:rsidRPr="006D6EEB">
        <w:rPr>
          <w:rFonts w:ascii="Palatino Linotype" w:eastAsia="Palatino Linotype" w:hAnsi="Palatino Linotype" w:cs="Palatino Linotype"/>
          <w:sz w:val="22"/>
          <w:szCs w:val="22"/>
        </w:rPr>
        <w:t xml:space="preserve">Se </w:t>
      </w:r>
      <w:r w:rsidRPr="006D6EEB">
        <w:rPr>
          <w:rFonts w:ascii="Palatino Linotype" w:eastAsia="Palatino Linotype" w:hAnsi="Palatino Linotype" w:cs="Palatino Linotype"/>
          <w:b/>
          <w:bCs/>
          <w:sz w:val="22"/>
          <w:szCs w:val="22"/>
        </w:rPr>
        <w:t>MODIFICA</w:t>
      </w:r>
      <w:r w:rsidRPr="006D6EEB">
        <w:rPr>
          <w:rFonts w:ascii="Palatino Linotype" w:eastAsia="Palatino Linotype" w:hAnsi="Palatino Linotype" w:cs="Palatino Linotype"/>
          <w:sz w:val="22"/>
          <w:szCs w:val="22"/>
        </w:rPr>
        <w:t xml:space="preserve"> la respuesta emitida por el Sujeto Obligado a la solicitud de acceso a la información identificada con el folio </w:t>
      </w:r>
      <w:r w:rsidR="000902A6" w:rsidRPr="006D6EEB">
        <w:rPr>
          <w:rFonts w:ascii="Palatino Linotype" w:eastAsia="Palatino Linotype" w:hAnsi="Palatino Linotype" w:cs="Palatino Linotype"/>
          <w:b/>
          <w:bCs/>
          <w:sz w:val="22"/>
          <w:szCs w:val="22"/>
        </w:rPr>
        <w:t>00101/TEPETLIX/IP/2026</w:t>
      </w:r>
      <w:r w:rsidRPr="006D6EEB">
        <w:rPr>
          <w:rFonts w:ascii="Palatino Linotype" w:eastAsia="Palatino Linotype" w:hAnsi="Palatino Linotype" w:cs="Palatino Linotype"/>
          <w:sz w:val="22"/>
          <w:szCs w:val="22"/>
        </w:rPr>
        <w:t>, en términos del Considerando cuarto de la presente resolución.</w:t>
      </w:r>
    </w:p>
    <w:p w14:paraId="6A3E1E7E" w14:textId="648CF1C6" w:rsidR="0097113F" w:rsidRPr="006D6EEB" w:rsidRDefault="009875D3" w:rsidP="00AA5401">
      <w:pPr>
        <w:spacing w:before="240" w:after="240" w:line="360" w:lineRule="auto"/>
        <w:jc w:val="both"/>
        <w:rPr>
          <w:rFonts w:ascii="Palatino Linotype" w:eastAsia="Palatino Linotype" w:hAnsi="Palatino Linotype" w:cs="Palatino Linotype"/>
          <w:sz w:val="22"/>
          <w:szCs w:val="22"/>
        </w:rPr>
      </w:pPr>
      <w:r w:rsidRPr="006D6EEB">
        <w:rPr>
          <w:rFonts w:ascii="Palatino Linotype" w:eastAsia="Palatino Linotype" w:hAnsi="Palatino Linotype" w:cs="Palatino Linotype"/>
          <w:b/>
          <w:bCs/>
          <w:sz w:val="22"/>
          <w:szCs w:val="22"/>
        </w:rPr>
        <w:t>Tercero.</w:t>
      </w:r>
      <w:r w:rsidRPr="006D6EEB">
        <w:rPr>
          <w:rFonts w:ascii="Palatino Linotype" w:eastAsia="Palatino Linotype" w:hAnsi="Palatino Linotype" w:cs="Palatino Linotype"/>
          <w:sz w:val="22"/>
          <w:szCs w:val="22"/>
        </w:rPr>
        <w:t xml:space="preserve"> Se </w:t>
      </w:r>
      <w:r w:rsidRPr="006D6EEB">
        <w:rPr>
          <w:rFonts w:ascii="Palatino Linotype" w:eastAsia="Palatino Linotype" w:hAnsi="Palatino Linotype" w:cs="Palatino Linotype"/>
          <w:b/>
          <w:bCs/>
          <w:sz w:val="22"/>
          <w:szCs w:val="22"/>
        </w:rPr>
        <w:t>ORDENA</w:t>
      </w:r>
      <w:r w:rsidRPr="006D6EEB">
        <w:rPr>
          <w:rFonts w:ascii="Palatino Linotype" w:eastAsia="Palatino Linotype" w:hAnsi="Palatino Linotype" w:cs="Palatino Linotype"/>
          <w:sz w:val="22"/>
          <w:szCs w:val="22"/>
        </w:rPr>
        <w:t xml:space="preserve"> al Sujeto Obligado que, previa búsqueda exhaustiva y razonable, entregue a la parte recurrente, de ser el caso en versión pública, a través del Sistema de Acceso a la Información Mexiquense, lo siguiente:</w:t>
      </w:r>
    </w:p>
    <w:p w14:paraId="59E40339" w14:textId="6546471E" w:rsidR="003C3FE1" w:rsidRPr="006D6EEB" w:rsidRDefault="003C3FE1" w:rsidP="00AA5401">
      <w:pPr>
        <w:numPr>
          <w:ilvl w:val="0"/>
          <w:numId w:val="5"/>
        </w:numPr>
        <w:pBdr>
          <w:top w:val="nil"/>
          <w:left w:val="nil"/>
          <w:bottom w:val="nil"/>
          <w:right w:val="nil"/>
          <w:between w:val="nil"/>
        </w:pBdr>
        <w:spacing w:before="240" w:after="240" w:line="360" w:lineRule="auto"/>
        <w:jc w:val="both"/>
        <w:rPr>
          <w:rFonts w:ascii="Palatino Linotype" w:hAnsi="Palatino Linotype"/>
          <w:b/>
          <w:bCs/>
          <w:color w:val="000000"/>
          <w:sz w:val="22"/>
          <w:szCs w:val="22"/>
        </w:rPr>
      </w:pPr>
      <w:r w:rsidRPr="006D6EEB">
        <w:rPr>
          <w:rFonts w:ascii="Palatino Linotype" w:eastAsia="Palatino Linotype" w:hAnsi="Palatino Linotype" w:cs="Palatino Linotype"/>
          <w:b/>
          <w:bCs/>
          <w:color w:val="000000"/>
          <w:sz w:val="22"/>
          <w:szCs w:val="22"/>
        </w:rPr>
        <w:t>1</w:t>
      </w:r>
      <w:r w:rsidR="009875D3" w:rsidRPr="006D6EEB">
        <w:rPr>
          <w:rFonts w:ascii="Palatino Linotype" w:eastAsia="Palatino Linotype" w:hAnsi="Palatino Linotype" w:cs="Palatino Linotype"/>
          <w:b/>
          <w:bCs/>
          <w:color w:val="000000"/>
          <w:sz w:val="22"/>
          <w:szCs w:val="22"/>
        </w:rPr>
        <w:t xml:space="preserve">. </w:t>
      </w:r>
      <w:r w:rsidR="000902A6" w:rsidRPr="006D6EEB">
        <w:rPr>
          <w:rFonts w:ascii="Palatino Linotype" w:hAnsi="Palatino Linotype"/>
          <w:b/>
          <w:bCs/>
          <w:color w:val="000000"/>
          <w:sz w:val="22"/>
          <w:szCs w:val="22"/>
        </w:rPr>
        <w:t xml:space="preserve">El </w:t>
      </w:r>
      <w:r w:rsidRPr="006D6EEB">
        <w:rPr>
          <w:rFonts w:ascii="Palatino Linotype" w:hAnsi="Palatino Linotype"/>
          <w:b/>
          <w:bCs/>
          <w:color w:val="000000"/>
          <w:sz w:val="22"/>
          <w:szCs w:val="22"/>
        </w:rPr>
        <w:t xml:space="preserve">documento donde conste o se advierta el </w:t>
      </w:r>
      <w:r w:rsidR="000902A6" w:rsidRPr="006D6EEB">
        <w:rPr>
          <w:rFonts w:ascii="Palatino Linotype" w:hAnsi="Palatino Linotype"/>
          <w:b/>
          <w:bCs/>
          <w:color w:val="000000"/>
          <w:sz w:val="22"/>
          <w:szCs w:val="22"/>
        </w:rPr>
        <w:t>grado o nivel académico de cada una de las personas integrantes del Cabildo</w:t>
      </w:r>
      <w:r w:rsidRPr="006D6EEB">
        <w:rPr>
          <w:rFonts w:ascii="Palatino Linotype" w:hAnsi="Palatino Linotype"/>
          <w:b/>
          <w:bCs/>
          <w:color w:val="000000"/>
          <w:sz w:val="22"/>
          <w:szCs w:val="22"/>
        </w:rPr>
        <w:t xml:space="preserve"> (curriculum vitae o ficha curricular), en funciones a la fecha de la solicitud. </w:t>
      </w:r>
    </w:p>
    <w:p w14:paraId="04266586" w14:textId="54233FD6" w:rsidR="000902A6" w:rsidRPr="006D6EEB" w:rsidRDefault="003C3FE1" w:rsidP="00AA5401">
      <w:pPr>
        <w:numPr>
          <w:ilvl w:val="0"/>
          <w:numId w:val="5"/>
        </w:numPr>
        <w:pBdr>
          <w:top w:val="nil"/>
          <w:left w:val="nil"/>
          <w:bottom w:val="nil"/>
          <w:right w:val="nil"/>
          <w:between w:val="nil"/>
        </w:pBdr>
        <w:spacing w:before="240" w:after="240" w:line="360" w:lineRule="auto"/>
        <w:jc w:val="both"/>
        <w:rPr>
          <w:rFonts w:ascii="Palatino Linotype" w:hAnsi="Palatino Linotype"/>
          <w:b/>
          <w:bCs/>
          <w:color w:val="000000"/>
          <w:sz w:val="22"/>
          <w:szCs w:val="22"/>
        </w:rPr>
      </w:pPr>
      <w:r w:rsidRPr="006D6EEB">
        <w:rPr>
          <w:rFonts w:ascii="Palatino Linotype" w:hAnsi="Palatino Linotype"/>
          <w:b/>
          <w:bCs/>
          <w:color w:val="000000"/>
          <w:sz w:val="22"/>
          <w:szCs w:val="22"/>
        </w:rPr>
        <w:t>2. Documento que avale el grado de estudios de las personas integrantes del cabildo, en funciones a la fecha de la solicitud (título, cédula, certificados, etc.)</w:t>
      </w:r>
      <w:r w:rsidR="000902A6" w:rsidRPr="006D6EEB">
        <w:rPr>
          <w:rFonts w:ascii="Palatino Linotype" w:hAnsi="Palatino Linotype"/>
          <w:b/>
          <w:bCs/>
          <w:color w:val="000000"/>
          <w:sz w:val="22"/>
          <w:szCs w:val="22"/>
        </w:rPr>
        <w:t>, en caso de haberlo</w:t>
      </w:r>
      <w:r w:rsidRPr="006D6EEB">
        <w:rPr>
          <w:rFonts w:ascii="Palatino Linotype" w:hAnsi="Palatino Linotype"/>
          <w:b/>
          <w:bCs/>
          <w:color w:val="000000"/>
          <w:sz w:val="22"/>
          <w:szCs w:val="22"/>
        </w:rPr>
        <w:t xml:space="preserve">s </w:t>
      </w:r>
      <w:r w:rsidR="000902A6" w:rsidRPr="006D6EEB">
        <w:rPr>
          <w:rFonts w:ascii="Palatino Linotype" w:hAnsi="Palatino Linotype"/>
          <w:b/>
          <w:bCs/>
          <w:color w:val="000000"/>
          <w:sz w:val="22"/>
          <w:szCs w:val="22"/>
        </w:rPr>
        <w:t>entregado</w:t>
      </w:r>
      <w:r w:rsidRPr="006D6EEB">
        <w:rPr>
          <w:rFonts w:ascii="Palatino Linotype" w:hAnsi="Palatino Linotype"/>
          <w:b/>
          <w:bCs/>
          <w:color w:val="000000"/>
          <w:sz w:val="22"/>
          <w:szCs w:val="22"/>
        </w:rPr>
        <w:t>s</w:t>
      </w:r>
      <w:r w:rsidR="000902A6" w:rsidRPr="006D6EEB">
        <w:rPr>
          <w:rFonts w:ascii="Palatino Linotype" w:hAnsi="Palatino Linotype"/>
          <w:b/>
          <w:bCs/>
          <w:color w:val="000000"/>
          <w:sz w:val="22"/>
          <w:szCs w:val="22"/>
        </w:rPr>
        <w:t>.</w:t>
      </w:r>
    </w:p>
    <w:p w14:paraId="48FC1157" w14:textId="304FBD13" w:rsidR="000902A6" w:rsidRPr="006D6EEB" w:rsidRDefault="003C3FE1" w:rsidP="00AA5401">
      <w:pPr>
        <w:numPr>
          <w:ilvl w:val="0"/>
          <w:numId w:val="5"/>
        </w:numPr>
        <w:pBdr>
          <w:top w:val="nil"/>
          <w:left w:val="nil"/>
          <w:bottom w:val="nil"/>
          <w:right w:val="nil"/>
          <w:between w:val="nil"/>
        </w:pBdr>
        <w:spacing w:before="240" w:after="240" w:line="360" w:lineRule="auto"/>
        <w:jc w:val="both"/>
        <w:rPr>
          <w:rFonts w:ascii="Palatino Linotype" w:eastAsia="Palatino Linotype" w:hAnsi="Palatino Linotype" w:cs="Palatino Linotype"/>
          <w:b/>
          <w:bCs/>
          <w:color w:val="000000"/>
          <w:sz w:val="22"/>
          <w:szCs w:val="22"/>
        </w:rPr>
      </w:pPr>
      <w:r w:rsidRPr="006D6EEB">
        <w:rPr>
          <w:rFonts w:ascii="Palatino Linotype" w:hAnsi="Palatino Linotype"/>
          <w:b/>
          <w:bCs/>
          <w:color w:val="000000"/>
          <w:sz w:val="22"/>
          <w:szCs w:val="22"/>
        </w:rPr>
        <w:t xml:space="preserve">3. </w:t>
      </w:r>
      <w:r w:rsidR="000902A6" w:rsidRPr="006D6EEB">
        <w:rPr>
          <w:rFonts w:ascii="Palatino Linotype" w:hAnsi="Palatino Linotype"/>
          <w:b/>
          <w:bCs/>
          <w:color w:val="000000"/>
          <w:sz w:val="22"/>
          <w:szCs w:val="22"/>
        </w:rPr>
        <w:t>Las</w:t>
      </w:r>
      <w:r w:rsidR="000902A6" w:rsidRPr="006D6EEB">
        <w:rPr>
          <w:rFonts w:ascii="Palatino Linotype" w:eastAsia="Palatino Linotype" w:hAnsi="Palatino Linotype" w:cs="Palatino Linotype"/>
          <w:b/>
          <w:bCs/>
          <w:color w:val="000000"/>
          <w:sz w:val="22"/>
          <w:szCs w:val="22"/>
        </w:rPr>
        <w:t xml:space="preserve"> expresiones documentales en las que consten los resultados presentados por las personas regidoras en ejercicio de las comisiones que les fueron conferidas para beneficio de la población de Tepetlixpa.</w:t>
      </w:r>
    </w:p>
    <w:p w14:paraId="7D705EA1" w14:textId="7BB0155C" w:rsidR="003C3FE1" w:rsidRPr="006D6EEB" w:rsidRDefault="003C3FE1" w:rsidP="00AA5401">
      <w:pPr>
        <w:tabs>
          <w:tab w:val="left" w:pos="0"/>
          <w:tab w:val="left" w:pos="1276"/>
          <w:tab w:val="left" w:pos="7655"/>
        </w:tabs>
        <w:spacing w:before="240" w:after="240" w:line="360" w:lineRule="auto"/>
        <w:ind w:left="851" w:right="843"/>
        <w:jc w:val="both"/>
        <w:rPr>
          <w:rFonts w:ascii="Palatino Linotype" w:eastAsia="Palatino Linotype" w:hAnsi="Palatino Linotype" w:cs="Palatino Linotype"/>
          <w:i/>
          <w:sz w:val="22"/>
          <w:szCs w:val="22"/>
        </w:rPr>
      </w:pPr>
      <w:r w:rsidRPr="006D6EEB">
        <w:rPr>
          <w:rFonts w:ascii="Palatino Linotype" w:eastAsia="Palatino Linotype" w:hAnsi="Palatino Linotype" w:cs="Palatino Linotype"/>
          <w:i/>
          <w:sz w:val="22"/>
          <w:szCs w:val="22"/>
        </w:rPr>
        <w:t>De ser el caso, deberá emitir el Acuerdo del Comité de Transparencia en términos de la Ley de Transparencia y Acceso a la Información Pública del Estado de México y Municipios, en el que funde y motive las razones sobre los datos que se supriman o eliminen y se ponga a disposición de la parte Recurrente.</w:t>
      </w:r>
    </w:p>
    <w:p w14:paraId="3963B675" w14:textId="42529D2E" w:rsidR="00AA5401" w:rsidRPr="006D6EEB" w:rsidRDefault="00AA5401" w:rsidP="00AA5401">
      <w:pPr>
        <w:tabs>
          <w:tab w:val="left" w:pos="0"/>
          <w:tab w:val="left" w:pos="1276"/>
          <w:tab w:val="left" w:pos="7655"/>
        </w:tabs>
        <w:spacing w:before="240" w:after="240" w:line="360" w:lineRule="auto"/>
        <w:ind w:left="851" w:right="843"/>
        <w:jc w:val="both"/>
        <w:rPr>
          <w:rFonts w:ascii="Palatino Linotype" w:eastAsia="Palatino Linotype" w:hAnsi="Palatino Linotype" w:cs="Palatino Linotype"/>
          <w:i/>
          <w:sz w:val="22"/>
          <w:szCs w:val="22"/>
        </w:rPr>
      </w:pPr>
      <w:r w:rsidRPr="006D6EEB">
        <w:rPr>
          <w:rFonts w:ascii="Palatino Linotype" w:hAnsi="Palatino Linotype"/>
          <w:i/>
          <w:iCs/>
          <w:color w:val="000000"/>
          <w:sz w:val="22"/>
          <w:szCs w:val="22"/>
        </w:rPr>
        <w:t>Para el caso de que la información que se ordena entregar en el punto 2 no obre en los archivos del Sujeto Obligado, por no haberse poseído o administrado, bastará con hacerlo del conocimiento del Particular en términos del artículo 19, párrafo segundo, de la Ley de Transparencia y Acceso a la Información Pública del Estado de México y Municipios, para tenerse por colmado dicho requerimiento.</w:t>
      </w:r>
    </w:p>
    <w:p w14:paraId="27DB147E" w14:textId="77777777" w:rsidR="0097113F" w:rsidRPr="006D6EEB" w:rsidRDefault="009875D3" w:rsidP="00AA5401">
      <w:pPr>
        <w:pBdr>
          <w:top w:val="nil"/>
          <w:left w:val="nil"/>
          <w:bottom w:val="nil"/>
          <w:right w:val="nil"/>
          <w:between w:val="nil"/>
        </w:pBdr>
        <w:spacing w:before="240" w:after="240" w:line="360" w:lineRule="auto"/>
        <w:jc w:val="both"/>
        <w:rPr>
          <w:rFonts w:ascii="Palatino Linotype" w:hAnsi="Palatino Linotype"/>
          <w:color w:val="000000"/>
          <w:sz w:val="22"/>
          <w:szCs w:val="22"/>
        </w:rPr>
      </w:pPr>
      <w:r w:rsidRPr="006D6EEB">
        <w:rPr>
          <w:rFonts w:ascii="Palatino Linotype" w:eastAsia="Palatino Linotype" w:hAnsi="Palatino Linotype" w:cs="Palatino Linotype"/>
          <w:b/>
          <w:bCs/>
          <w:color w:val="000000"/>
          <w:sz w:val="22"/>
          <w:szCs w:val="22"/>
        </w:rPr>
        <w:t xml:space="preserve">Tercero. Notifíquese, </w:t>
      </w:r>
      <w:r w:rsidRPr="006D6EEB">
        <w:rPr>
          <w:rFonts w:ascii="Palatino Linotype" w:eastAsia="Palatino Linotype" w:hAnsi="Palatino Linotype" w:cs="Palatino Linotype"/>
          <w:color w:val="000000"/>
          <w:sz w:val="22"/>
          <w:szCs w:val="22"/>
        </w:rPr>
        <w:t xml:space="preserve">vía </w:t>
      </w:r>
      <w:r w:rsidRPr="006D6EEB">
        <w:rPr>
          <w:rFonts w:ascii="Palatino Linotype" w:eastAsia="Palatino Linotype" w:hAnsi="Palatino Linotype" w:cs="Palatino Linotype"/>
          <w:b/>
          <w:bCs/>
          <w:color w:val="000000"/>
          <w:sz w:val="22"/>
          <w:szCs w:val="22"/>
        </w:rPr>
        <w:t>SAIMEX</w:t>
      </w:r>
      <w:r w:rsidRPr="006D6EEB">
        <w:rPr>
          <w:rFonts w:ascii="Palatino Linotype" w:eastAsia="Palatino Linotype" w:hAnsi="Palatino Linotype" w:cs="Palatino Linotype"/>
          <w:color w:val="000000"/>
          <w:sz w:val="22"/>
          <w:szCs w:val="22"/>
        </w:rPr>
        <w:t xml:space="preserve">, al Titular de la Unidad de Transparencia del </w:t>
      </w:r>
      <w:r w:rsidRPr="006D6EEB">
        <w:rPr>
          <w:rFonts w:ascii="Palatino Linotype" w:eastAsia="Palatino Linotype" w:hAnsi="Palatino Linotype" w:cs="Palatino Linotype"/>
          <w:b/>
          <w:bCs/>
          <w:color w:val="000000"/>
          <w:sz w:val="22"/>
          <w:szCs w:val="22"/>
        </w:rPr>
        <w:t>Sujeto Obligado,</w:t>
      </w:r>
      <w:r w:rsidRPr="006D6EEB">
        <w:rPr>
          <w:rFonts w:ascii="Palatino Linotype" w:eastAsia="Palatino Linotype" w:hAnsi="Palatino Linotype" w:cs="Palatino Linotype"/>
          <w:color w:val="000000"/>
          <w:sz w:val="22"/>
          <w:szCs w:val="22"/>
        </w:rPr>
        <w:t xml:space="preserve"> la presente resolución para que conforme a los artículos 186, último párrafo y 189, párrafo segundo y 194 de la Ley de Transparencia y Acceso a la Información Pública del Estado de México y Municipios;  dé cumplimiento a lo ordenado dentro del plazo de diez días hábiles, e informe a este Instituto en un plazo de tres días hábiles siguientes sobre el cumplimiento dado a la presente, y, se le apercibe que en caso de negarse a cumplir la presente resolución o hacerlo de manera parcial, se le impondrá una medida de apremio de conformidad con lo previsto en los artículos 198, 200, fracción III; 214, 215 y 216 de la Ley  de Transparencia y Acceso a la Información Pública del Estado de México y Municipios.</w:t>
      </w:r>
    </w:p>
    <w:p w14:paraId="1AADFE31" w14:textId="77777777" w:rsidR="0097113F" w:rsidRPr="006D6EEB" w:rsidRDefault="009875D3" w:rsidP="00AA5401">
      <w:pPr>
        <w:pBdr>
          <w:top w:val="nil"/>
          <w:left w:val="nil"/>
          <w:bottom w:val="nil"/>
          <w:right w:val="nil"/>
          <w:between w:val="nil"/>
        </w:pBdr>
        <w:spacing w:before="240" w:after="240" w:line="360" w:lineRule="auto"/>
        <w:jc w:val="both"/>
        <w:rPr>
          <w:rFonts w:ascii="Palatino Linotype" w:eastAsia="Palatino Linotype" w:hAnsi="Palatino Linotype" w:cs="Palatino Linotype"/>
          <w:color w:val="000000"/>
          <w:sz w:val="22"/>
          <w:szCs w:val="22"/>
        </w:rPr>
      </w:pPr>
      <w:r w:rsidRPr="006D6EEB">
        <w:rPr>
          <w:rFonts w:ascii="Palatino Linotype" w:eastAsia="Palatino Linotype" w:hAnsi="Palatino Linotype" w:cs="Palatino Linotype"/>
          <w:color w:val="000000"/>
          <w:sz w:val="22"/>
          <w:szCs w:val="22"/>
        </w:rPr>
        <w:t xml:space="preserve">De conformidad con el artículo 198 de la Ley de Transparencia y Acceso a la Información Pública del Estado de México y Municipios, de considerarlo procedente, el </w:t>
      </w:r>
      <w:r w:rsidRPr="006D6EEB">
        <w:rPr>
          <w:rFonts w:ascii="Palatino Linotype" w:eastAsia="Palatino Linotype" w:hAnsi="Palatino Linotype" w:cs="Palatino Linotype"/>
          <w:b/>
          <w:bCs/>
          <w:color w:val="000000"/>
          <w:sz w:val="22"/>
          <w:szCs w:val="22"/>
        </w:rPr>
        <w:t>Sujeto Obligado</w:t>
      </w:r>
      <w:r w:rsidRPr="006D6EEB">
        <w:rPr>
          <w:rFonts w:ascii="Palatino Linotype" w:eastAsia="Palatino Linotype" w:hAnsi="Palatino Linotype" w:cs="Palatino Linotype"/>
          <w:color w:val="000000"/>
          <w:sz w:val="22"/>
          <w:szCs w:val="22"/>
        </w:rPr>
        <w:t xml:space="preserve"> de manera fundada y motivada, podrá solicitar una ampliación de plazo para el cumplimiento de la presente resolución.</w:t>
      </w:r>
    </w:p>
    <w:p w14:paraId="1FFD5E2B" w14:textId="77777777" w:rsidR="0097113F" w:rsidRPr="006D6EEB" w:rsidRDefault="009875D3" w:rsidP="00AA5401">
      <w:pPr>
        <w:pBdr>
          <w:top w:val="nil"/>
          <w:left w:val="nil"/>
          <w:bottom w:val="nil"/>
          <w:right w:val="nil"/>
          <w:between w:val="nil"/>
        </w:pBdr>
        <w:spacing w:before="240" w:after="240" w:line="360" w:lineRule="auto"/>
        <w:jc w:val="both"/>
        <w:rPr>
          <w:rFonts w:ascii="Palatino Linotype" w:hAnsi="Palatino Linotype"/>
          <w:color w:val="000000"/>
          <w:sz w:val="22"/>
          <w:szCs w:val="22"/>
        </w:rPr>
      </w:pPr>
      <w:r w:rsidRPr="006D6EEB">
        <w:rPr>
          <w:rFonts w:ascii="Palatino Linotype" w:eastAsia="Palatino Linotype" w:hAnsi="Palatino Linotype" w:cs="Palatino Linotype"/>
          <w:b/>
          <w:bCs/>
          <w:color w:val="000000"/>
          <w:sz w:val="22"/>
          <w:szCs w:val="22"/>
        </w:rPr>
        <w:t xml:space="preserve">Cuarto.  Notifíquese, </w:t>
      </w:r>
      <w:r w:rsidRPr="006D6EEB">
        <w:rPr>
          <w:rFonts w:ascii="Palatino Linotype" w:eastAsia="Palatino Linotype" w:hAnsi="Palatino Linotype" w:cs="Palatino Linotype"/>
          <w:color w:val="000000"/>
          <w:sz w:val="22"/>
          <w:szCs w:val="22"/>
        </w:rPr>
        <w:t xml:space="preserve">vía </w:t>
      </w:r>
      <w:r w:rsidRPr="006D6EEB">
        <w:rPr>
          <w:rFonts w:ascii="Palatino Linotype" w:eastAsia="Palatino Linotype" w:hAnsi="Palatino Linotype" w:cs="Palatino Linotype"/>
          <w:b/>
          <w:bCs/>
          <w:color w:val="000000"/>
          <w:sz w:val="22"/>
          <w:szCs w:val="22"/>
        </w:rPr>
        <w:t>SAIMEX</w:t>
      </w:r>
      <w:r w:rsidRPr="006D6EEB">
        <w:rPr>
          <w:rFonts w:ascii="Palatino Linotype" w:eastAsia="Palatino Linotype" w:hAnsi="Palatino Linotype" w:cs="Palatino Linotype"/>
          <w:color w:val="000000"/>
          <w:sz w:val="22"/>
          <w:szCs w:val="22"/>
        </w:rPr>
        <w:t xml:space="preserve"> a la parte </w:t>
      </w:r>
      <w:r w:rsidRPr="006D6EEB">
        <w:rPr>
          <w:rFonts w:ascii="Palatino Linotype" w:eastAsia="Palatino Linotype" w:hAnsi="Palatino Linotype" w:cs="Palatino Linotype"/>
          <w:b/>
          <w:bCs/>
          <w:color w:val="000000"/>
          <w:sz w:val="22"/>
          <w:szCs w:val="22"/>
        </w:rPr>
        <w:t>Recurrente</w:t>
      </w:r>
      <w:r w:rsidRPr="006D6EEB">
        <w:rPr>
          <w:rFonts w:ascii="Palatino Linotype" w:eastAsia="Palatino Linotype" w:hAnsi="Palatino Linotype" w:cs="Palatino Linotype"/>
          <w:color w:val="000000"/>
          <w:sz w:val="22"/>
          <w:szCs w:val="22"/>
        </w:rPr>
        <w:t xml:space="preserve"> la presente resolución, así como, que de conformidad con lo establecido en el artículo 196 de la Ley de Transparencia y Acceso a la Información Pública del Estado de México y Municipios, podrá impugnarla vía Juicio de Amparo en los términos de las leyes aplicables.</w:t>
      </w:r>
    </w:p>
    <w:p w14:paraId="56124C38" w14:textId="663D6F94" w:rsidR="0097113F" w:rsidRPr="006D6EEB" w:rsidRDefault="009875D3" w:rsidP="00AA5401">
      <w:pPr>
        <w:spacing w:before="240" w:after="240" w:line="360" w:lineRule="auto"/>
        <w:jc w:val="both"/>
        <w:rPr>
          <w:rFonts w:ascii="Palatino Linotype" w:eastAsia="Palatino Linotype" w:hAnsi="Palatino Linotype" w:cs="Palatino Linotype"/>
          <w:b/>
          <w:bCs/>
          <w:sz w:val="22"/>
          <w:szCs w:val="22"/>
        </w:rPr>
      </w:pPr>
      <w:r w:rsidRPr="006D6EEB">
        <w:rPr>
          <w:rFonts w:ascii="Palatino Linotype" w:eastAsia="Palatino Linotype" w:hAnsi="Palatino Linotype" w:cs="Palatino Linotype"/>
          <w:sz w:val="22"/>
          <w:szCs w:val="22"/>
        </w:rPr>
        <w:t>ASÍ LO RESUELVE, POR UNANIMIDAD DE VOTOS, EL PLENO DEL INSTITUTO DE TRANSPARENCIA, ACCESO A LA INFORMACIÓN PÚBLICA Y PROTECCIÓN DE DATOS PERSONALES DEL ESTADO DE MÉXICO Y MUNICIPIOS, CONFORMADO POR LOS COMISIONADOS JOSÉ MARTÍNEZ VILCHIS, MARÍA DEL ROSARIO MEJÍA AYALA,</w:t>
      </w:r>
      <w:r w:rsidR="00CA6D60" w:rsidRPr="006D6EEB">
        <w:rPr>
          <w:rFonts w:ascii="Palatino Linotype" w:eastAsia="Palatino Linotype" w:hAnsi="Palatino Linotype" w:cs="Palatino Linotype"/>
          <w:sz w:val="22"/>
          <w:szCs w:val="22"/>
        </w:rPr>
        <w:t xml:space="preserve"> EMITIENDO VOTO PARTICUAR Y GUADALUPE RAMIREZ PEÑA, EMITIENDO VOTO PARTICULAR, </w:t>
      </w:r>
      <w:r w:rsidRPr="006D6EEB">
        <w:rPr>
          <w:rFonts w:ascii="Palatino Linotype" w:eastAsia="Palatino Linotype" w:hAnsi="Palatino Linotype" w:cs="Palatino Linotype"/>
          <w:sz w:val="22"/>
          <w:szCs w:val="22"/>
        </w:rPr>
        <w:t xml:space="preserve">EN LA TRIGÉSIMA </w:t>
      </w:r>
      <w:r w:rsidR="00AA5401" w:rsidRPr="006D6EEB">
        <w:rPr>
          <w:rFonts w:ascii="Palatino Linotype" w:eastAsia="Palatino Linotype" w:hAnsi="Palatino Linotype" w:cs="Palatino Linotype"/>
          <w:sz w:val="22"/>
          <w:szCs w:val="22"/>
        </w:rPr>
        <w:t xml:space="preserve">CUARTA </w:t>
      </w:r>
      <w:r w:rsidRPr="006D6EEB">
        <w:rPr>
          <w:rFonts w:ascii="Palatino Linotype" w:eastAsia="Palatino Linotype" w:hAnsi="Palatino Linotype" w:cs="Palatino Linotype"/>
          <w:sz w:val="22"/>
          <w:szCs w:val="22"/>
        </w:rPr>
        <w:t>SESIÓN ORDINARIA, CELEBRADA EL</w:t>
      </w:r>
      <w:r w:rsidR="00AA5401" w:rsidRPr="006D6EEB">
        <w:rPr>
          <w:rFonts w:ascii="Palatino Linotype" w:eastAsia="Palatino Linotype" w:hAnsi="Palatino Linotype" w:cs="Palatino Linotype"/>
          <w:sz w:val="22"/>
          <w:szCs w:val="22"/>
        </w:rPr>
        <w:t xml:space="preserve"> </w:t>
      </w:r>
      <w:r w:rsidR="006D6EEB" w:rsidRPr="006D6EEB">
        <w:rPr>
          <w:rFonts w:ascii="Palatino Linotype" w:eastAsia="Palatino Linotype" w:hAnsi="Palatino Linotype" w:cs="Palatino Linotype"/>
          <w:sz w:val="22"/>
          <w:szCs w:val="22"/>
        </w:rPr>
        <w:t>VEINTICUATRO</w:t>
      </w:r>
      <w:r w:rsidR="00AA5401" w:rsidRPr="006D6EEB">
        <w:rPr>
          <w:rFonts w:ascii="Palatino Linotype" w:eastAsia="Palatino Linotype" w:hAnsi="Palatino Linotype" w:cs="Palatino Linotype"/>
          <w:sz w:val="22"/>
          <w:szCs w:val="22"/>
        </w:rPr>
        <w:t xml:space="preserve"> </w:t>
      </w:r>
      <w:r w:rsidRPr="006D6EEB">
        <w:rPr>
          <w:rFonts w:ascii="Palatino Linotype" w:eastAsia="Palatino Linotype" w:hAnsi="Palatino Linotype" w:cs="Palatino Linotype"/>
          <w:sz w:val="22"/>
          <w:szCs w:val="22"/>
        </w:rPr>
        <w:t>DE SEPTIEMBRE DE DOS MIL VEINTISÉIS, ANTE EL SECRETARIO TÉCNICO DEL PLENO ALEXIS TAPIA RAMÍREZ.</w:t>
      </w:r>
    </w:p>
    <w:p w14:paraId="1702EDD1" w14:textId="77777777" w:rsidR="0097113F" w:rsidRPr="006D6EEB" w:rsidRDefault="0097113F" w:rsidP="00AA5401">
      <w:pPr>
        <w:spacing w:before="240" w:after="240" w:line="360" w:lineRule="auto"/>
        <w:jc w:val="both"/>
        <w:rPr>
          <w:rFonts w:ascii="Palatino Linotype" w:eastAsia="Palatino Linotype" w:hAnsi="Palatino Linotype" w:cs="Palatino Linotype"/>
          <w:sz w:val="22"/>
          <w:szCs w:val="22"/>
        </w:rPr>
      </w:pPr>
    </w:p>
    <w:p w14:paraId="666A2CDC" w14:textId="77777777" w:rsidR="0097113F" w:rsidRPr="006D6EEB" w:rsidRDefault="0097113F" w:rsidP="00AA5401">
      <w:pPr>
        <w:spacing w:before="240" w:after="240" w:line="360" w:lineRule="auto"/>
        <w:jc w:val="both"/>
        <w:rPr>
          <w:rFonts w:ascii="Palatino Linotype" w:eastAsia="Palatino Linotype" w:hAnsi="Palatino Linotype" w:cs="Palatino Linotype"/>
          <w:sz w:val="22"/>
          <w:szCs w:val="22"/>
        </w:rPr>
      </w:pPr>
    </w:p>
    <w:p w14:paraId="1247EE22" w14:textId="77777777" w:rsidR="0097113F" w:rsidRPr="006D6EEB" w:rsidRDefault="0097113F" w:rsidP="00AA5401">
      <w:pPr>
        <w:spacing w:before="240" w:after="240" w:line="360" w:lineRule="auto"/>
        <w:jc w:val="both"/>
        <w:rPr>
          <w:rFonts w:ascii="Palatino Linotype" w:eastAsia="Palatino Linotype" w:hAnsi="Palatino Linotype" w:cs="Palatino Linotype"/>
          <w:b/>
          <w:bCs/>
          <w:sz w:val="22"/>
          <w:szCs w:val="22"/>
        </w:rPr>
      </w:pPr>
    </w:p>
    <w:p w14:paraId="6C874BA4" w14:textId="759BE98E" w:rsidR="0097113F" w:rsidRPr="006D6EEB" w:rsidRDefault="0097113F" w:rsidP="00AA5401">
      <w:pPr>
        <w:spacing w:before="240" w:after="240" w:line="360" w:lineRule="auto"/>
        <w:jc w:val="both"/>
        <w:rPr>
          <w:rFonts w:ascii="Palatino Linotype" w:eastAsia="Palatino Linotype" w:hAnsi="Palatino Linotype" w:cs="Palatino Linotype"/>
          <w:b/>
          <w:bCs/>
          <w:sz w:val="22"/>
          <w:szCs w:val="22"/>
        </w:rPr>
      </w:pPr>
    </w:p>
    <w:p w14:paraId="795BD3E9" w14:textId="52DD94FE" w:rsidR="00CA6D60" w:rsidRPr="006D6EEB" w:rsidRDefault="00CA6D60" w:rsidP="00AA5401">
      <w:pPr>
        <w:spacing w:before="240" w:after="240" w:line="360" w:lineRule="auto"/>
        <w:jc w:val="both"/>
        <w:rPr>
          <w:rFonts w:ascii="Palatino Linotype" w:eastAsia="Palatino Linotype" w:hAnsi="Palatino Linotype" w:cs="Palatino Linotype"/>
          <w:b/>
          <w:bCs/>
          <w:sz w:val="22"/>
          <w:szCs w:val="22"/>
        </w:rPr>
      </w:pPr>
    </w:p>
    <w:p w14:paraId="19A9BE26" w14:textId="1FF08489" w:rsidR="00CA6D60" w:rsidRPr="006D6EEB" w:rsidRDefault="00CA6D60" w:rsidP="00AA5401">
      <w:pPr>
        <w:spacing w:before="240" w:after="240" w:line="360" w:lineRule="auto"/>
        <w:jc w:val="both"/>
        <w:rPr>
          <w:rFonts w:ascii="Palatino Linotype" w:eastAsia="Palatino Linotype" w:hAnsi="Palatino Linotype" w:cs="Palatino Linotype"/>
          <w:b/>
          <w:bCs/>
          <w:sz w:val="22"/>
          <w:szCs w:val="22"/>
        </w:rPr>
      </w:pPr>
    </w:p>
    <w:p w14:paraId="69192F3E" w14:textId="06365590" w:rsidR="00CA6D60" w:rsidRPr="006D6EEB" w:rsidRDefault="00CA6D60" w:rsidP="00AA5401">
      <w:pPr>
        <w:spacing w:before="240" w:after="240" w:line="360" w:lineRule="auto"/>
        <w:jc w:val="both"/>
        <w:rPr>
          <w:rFonts w:ascii="Palatino Linotype" w:eastAsia="Palatino Linotype" w:hAnsi="Palatino Linotype" w:cs="Palatino Linotype"/>
          <w:b/>
          <w:bCs/>
          <w:sz w:val="22"/>
          <w:szCs w:val="22"/>
        </w:rPr>
      </w:pPr>
    </w:p>
    <w:p w14:paraId="6D7D2856" w14:textId="75815FD4" w:rsidR="00CA6D60" w:rsidRPr="006D6EEB" w:rsidRDefault="00CA6D60" w:rsidP="00AA5401">
      <w:pPr>
        <w:spacing w:before="240" w:after="240" w:line="360" w:lineRule="auto"/>
        <w:jc w:val="both"/>
        <w:rPr>
          <w:rFonts w:ascii="Palatino Linotype" w:eastAsia="Palatino Linotype" w:hAnsi="Palatino Linotype" w:cs="Palatino Linotype"/>
          <w:b/>
          <w:bCs/>
          <w:sz w:val="22"/>
          <w:szCs w:val="22"/>
        </w:rPr>
      </w:pPr>
    </w:p>
    <w:p w14:paraId="7F463A21" w14:textId="4430F667" w:rsidR="00CA6D60" w:rsidRPr="006D6EEB" w:rsidRDefault="00CA6D60" w:rsidP="00AA5401">
      <w:pPr>
        <w:spacing w:before="240" w:after="240" w:line="360" w:lineRule="auto"/>
        <w:jc w:val="both"/>
        <w:rPr>
          <w:rFonts w:ascii="Palatino Linotype" w:eastAsia="Palatino Linotype" w:hAnsi="Palatino Linotype" w:cs="Palatino Linotype"/>
          <w:b/>
          <w:bCs/>
          <w:sz w:val="22"/>
          <w:szCs w:val="22"/>
        </w:rPr>
      </w:pPr>
    </w:p>
    <w:p w14:paraId="2569B558" w14:textId="635EC855" w:rsidR="00CA6D60" w:rsidRPr="006D6EEB" w:rsidRDefault="00CA6D60" w:rsidP="00AA5401">
      <w:pPr>
        <w:spacing w:before="240" w:after="240" w:line="360" w:lineRule="auto"/>
        <w:jc w:val="both"/>
        <w:rPr>
          <w:rFonts w:ascii="Palatino Linotype" w:eastAsia="Palatino Linotype" w:hAnsi="Palatino Linotype" w:cs="Palatino Linotype"/>
          <w:b/>
          <w:bCs/>
          <w:sz w:val="22"/>
          <w:szCs w:val="22"/>
        </w:rPr>
      </w:pPr>
    </w:p>
    <w:p w14:paraId="46385D24" w14:textId="7B59F602" w:rsidR="00CA6D60" w:rsidRPr="006D6EEB" w:rsidRDefault="00CA6D60" w:rsidP="00AA5401">
      <w:pPr>
        <w:spacing w:before="240" w:after="240" w:line="360" w:lineRule="auto"/>
        <w:jc w:val="both"/>
        <w:rPr>
          <w:rFonts w:ascii="Palatino Linotype" w:eastAsia="Palatino Linotype" w:hAnsi="Palatino Linotype" w:cs="Palatino Linotype"/>
          <w:b/>
          <w:bCs/>
          <w:sz w:val="22"/>
          <w:szCs w:val="22"/>
        </w:rPr>
      </w:pPr>
    </w:p>
    <w:p w14:paraId="453F92F4" w14:textId="32F56798" w:rsidR="00CA6D60" w:rsidRPr="006D6EEB" w:rsidRDefault="00CA6D60" w:rsidP="00AA5401">
      <w:pPr>
        <w:spacing w:before="240" w:after="240" w:line="360" w:lineRule="auto"/>
        <w:jc w:val="both"/>
        <w:rPr>
          <w:rFonts w:ascii="Palatino Linotype" w:eastAsia="Palatino Linotype" w:hAnsi="Palatino Linotype" w:cs="Palatino Linotype"/>
          <w:b/>
          <w:bCs/>
          <w:sz w:val="22"/>
          <w:szCs w:val="22"/>
        </w:rPr>
      </w:pPr>
    </w:p>
    <w:p w14:paraId="0B93FA9A" w14:textId="4701AB41" w:rsidR="00CA6D60" w:rsidRPr="006D6EEB" w:rsidRDefault="00CA6D60" w:rsidP="00AA5401">
      <w:pPr>
        <w:spacing w:before="240" w:after="240" w:line="360" w:lineRule="auto"/>
        <w:jc w:val="both"/>
        <w:rPr>
          <w:rFonts w:ascii="Palatino Linotype" w:eastAsia="Palatino Linotype" w:hAnsi="Palatino Linotype" w:cs="Palatino Linotype"/>
          <w:b/>
          <w:bCs/>
          <w:sz w:val="22"/>
          <w:szCs w:val="22"/>
        </w:rPr>
      </w:pPr>
    </w:p>
    <w:p w14:paraId="2613B721" w14:textId="5D6530A6" w:rsidR="00CA6D60" w:rsidRPr="006D6EEB" w:rsidRDefault="00CA6D60" w:rsidP="00AA5401">
      <w:pPr>
        <w:spacing w:before="240" w:after="240" w:line="360" w:lineRule="auto"/>
        <w:jc w:val="both"/>
        <w:rPr>
          <w:rFonts w:ascii="Palatino Linotype" w:eastAsia="Palatino Linotype" w:hAnsi="Palatino Linotype" w:cs="Palatino Linotype"/>
          <w:b/>
          <w:bCs/>
          <w:sz w:val="22"/>
          <w:szCs w:val="22"/>
        </w:rPr>
      </w:pPr>
    </w:p>
    <w:p w14:paraId="0E082AF9" w14:textId="6A653DB0" w:rsidR="00CA6D60" w:rsidRPr="006D6EEB" w:rsidRDefault="00CA6D60" w:rsidP="00AA5401">
      <w:pPr>
        <w:spacing w:before="240" w:after="240" w:line="360" w:lineRule="auto"/>
        <w:jc w:val="both"/>
        <w:rPr>
          <w:rFonts w:ascii="Palatino Linotype" w:eastAsia="Palatino Linotype" w:hAnsi="Palatino Linotype" w:cs="Palatino Linotype"/>
          <w:b/>
          <w:bCs/>
          <w:sz w:val="22"/>
          <w:szCs w:val="22"/>
        </w:rPr>
      </w:pPr>
    </w:p>
    <w:p w14:paraId="48FC81B9" w14:textId="1A09688E" w:rsidR="00CA6D60" w:rsidRPr="006D6EEB" w:rsidRDefault="00CA6D60" w:rsidP="00AA5401">
      <w:pPr>
        <w:spacing w:before="240" w:after="240" w:line="360" w:lineRule="auto"/>
        <w:jc w:val="both"/>
        <w:rPr>
          <w:rFonts w:ascii="Palatino Linotype" w:eastAsia="Palatino Linotype" w:hAnsi="Palatino Linotype" w:cs="Palatino Linotype"/>
          <w:b/>
          <w:bCs/>
          <w:sz w:val="22"/>
          <w:szCs w:val="22"/>
        </w:rPr>
      </w:pPr>
    </w:p>
    <w:p w14:paraId="75FCDAF6" w14:textId="0069053C" w:rsidR="00CA6D60" w:rsidRPr="006D6EEB" w:rsidRDefault="00CA6D60" w:rsidP="00AA5401">
      <w:pPr>
        <w:spacing w:before="240" w:after="240" w:line="360" w:lineRule="auto"/>
        <w:jc w:val="both"/>
        <w:rPr>
          <w:rFonts w:ascii="Palatino Linotype" w:eastAsia="Palatino Linotype" w:hAnsi="Palatino Linotype" w:cs="Palatino Linotype"/>
          <w:b/>
          <w:bCs/>
          <w:sz w:val="22"/>
          <w:szCs w:val="22"/>
        </w:rPr>
      </w:pPr>
    </w:p>
    <w:p w14:paraId="57FA77A2" w14:textId="3ECC5B78" w:rsidR="00CA6D60" w:rsidRPr="006D6EEB" w:rsidRDefault="00CA6D60" w:rsidP="00AA5401">
      <w:pPr>
        <w:spacing w:before="240" w:after="240" w:line="360" w:lineRule="auto"/>
        <w:jc w:val="both"/>
        <w:rPr>
          <w:rFonts w:ascii="Palatino Linotype" w:eastAsia="Palatino Linotype" w:hAnsi="Palatino Linotype" w:cs="Palatino Linotype"/>
          <w:b/>
          <w:bCs/>
          <w:sz w:val="22"/>
          <w:szCs w:val="22"/>
        </w:rPr>
      </w:pPr>
    </w:p>
    <w:p w14:paraId="40DDD5BF" w14:textId="195DE159" w:rsidR="00CA6D60" w:rsidRPr="006D6EEB" w:rsidRDefault="00CA6D60" w:rsidP="00AA5401">
      <w:pPr>
        <w:spacing w:before="240" w:after="240" w:line="360" w:lineRule="auto"/>
        <w:jc w:val="both"/>
        <w:rPr>
          <w:rFonts w:ascii="Palatino Linotype" w:eastAsia="Palatino Linotype" w:hAnsi="Palatino Linotype" w:cs="Palatino Linotype"/>
          <w:b/>
          <w:bCs/>
          <w:sz w:val="22"/>
          <w:szCs w:val="22"/>
        </w:rPr>
      </w:pPr>
    </w:p>
    <w:p w14:paraId="419AC875" w14:textId="6A090206" w:rsidR="00CA6D60" w:rsidRPr="006D6EEB" w:rsidRDefault="00CA6D60" w:rsidP="00AA5401">
      <w:pPr>
        <w:spacing w:before="240" w:after="240" w:line="360" w:lineRule="auto"/>
        <w:jc w:val="both"/>
        <w:rPr>
          <w:rFonts w:ascii="Palatino Linotype" w:eastAsia="Palatino Linotype" w:hAnsi="Palatino Linotype" w:cs="Palatino Linotype"/>
          <w:b/>
          <w:bCs/>
          <w:sz w:val="22"/>
          <w:szCs w:val="22"/>
        </w:rPr>
      </w:pPr>
    </w:p>
    <w:p w14:paraId="769F91FE" w14:textId="62B0BA1A" w:rsidR="00CA6D60" w:rsidRPr="006D6EEB" w:rsidRDefault="00CA6D60" w:rsidP="00AA5401">
      <w:pPr>
        <w:spacing w:before="240" w:after="240" w:line="360" w:lineRule="auto"/>
        <w:jc w:val="both"/>
        <w:rPr>
          <w:rFonts w:ascii="Palatino Linotype" w:eastAsia="Palatino Linotype" w:hAnsi="Palatino Linotype" w:cs="Palatino Linotype"/>
          <w:b/>
          <w:bCs/>
          <w:sz w:val="22"/>
          <w:szCs w:val="22"/>
        </w:rPr>
      </w:pPr>
    </w:p>
    <w:p w14:paraId="30E068F7" w14:textId="2C278653" w:rsidR="00CA6D60" w:rsidRPr="006D6EEB" w:rsidRDefault="00CA6D60" w:rsidP="00AA5401">
      <w:pPr>
        <w:spacing w:before="240" w:after="240" w:line="360" w:lineRule="auto"/>
        <w:jc w:val="both"/>
        <w:rPr>
          <w:rFonts w:ascii="Palatino Linotype" w:eastAsia="Palatino Linotype" w:hAnsi="Palatino Linotype" w:cs="Palatino Linotype"/>
          <w:b/>
          <w:bCs/>
          <w:sz w:val="22"/>
          <w:szCs w:val="22"/>
        </w:rPr>
      </w:pPr>
    </w:p>
    <w:p w14:paraId="0358F9A5" w14:textId="076DDA1B" w:rsidR="00CA6D60" w:rsidRPr="006D6EEB" w:rsidRDefault="00CA6D60" w:rsidP="00AA5401">
      <w:pPr>
        <w:spacing w:before="240" w:after="240" w:line="360" w:lineRule="auto"/>
        <w:jc w:val="both"/>
        <w:rPr>
          <w:rFonts w:ascii="Palatino Linotype" w:eastAsia="Palatino Linotype" w:hAnsi="Palatino Linotype" w:cs="Palatino Linotype"/>
          <w:b/>
          <w:bCs/>
          <w:sz w:val="22"/>
          <w:szCs w:val="22"/>
        </w:rPr>
      </w:pPr>
    </w:p>
    <w:p w14:paraId="1C54E2E7" w14:textId="7F916805" w:rsidR="00CA6D60" w:rsidRPr="006D6EEB" w:rsidRDefault="00CA6D60" w:rsidP="00AA5401">
      <w:pPr>
        <w:spacing w:before="240" w:after="240" w:line="360" w:lineRule="auto"/>
        <w:jc w:val="both"/>
        <w:rPr>
          <w:rFonts w:ascii="Palatino Linotype" w:eastAsia="Palatino Linotype" w:hAnsi="Palatino Linotype" w:cs="Palatino Linotype"/>
          <w:b/>
          <w:bCs/>
          <w:sz w:val="22"/>
          <w:szCs w:val="22"/>
        </w:rPr>
      </w:pPr>
    </w:p>
    <w:p w14:paraId="08507930" w14:textId="1245D32C" w:rsidR="00CA6D60" w:rsidRPr="006D6EEB" w:rsidRDefault="00CA6D60" w:rsidP="00AA5401">
      <w:pPr>
        <w:spacing w:before="240" w:after="240" w:line="360" w:lineRule="auto"/>
        <w:jc w:val="both"/>
        <w:rPr>
          <w:rFonts w:ascii="Palatino Linotype" w:eastAsia="Palatino Linotype" w:hAnsi="Palatino Linotype" w:cs="Palatino Linotype"/>
          <w:b/>
          <w:bCs/>
          <w:sz w:val="22"/>
          <w:szCs w:val="22"/>
        </w:rPr>
      </w:pPr>
    </w:p>
    <w:p w14:paraId="1BC30352" w14:textId="77777777" w:rsidR="00CA6D60" w:rsidRPr="006D6EEB" w:rsidRDefault="00CA6D60" w:rsidP="00AA5401">
      <w:pPr>
        <w:spacing w:before="240" w:after="240" w:line="360" w:lineRule="auto"/>
        <w:jc w:val="both"/>
        <w:rPr>
          <w:rFonts w:ascii="Palatino Linotype" w:eastAsia="Palatino Linotype" w:hAnsi="Palatino Linotype" w:cs="Palatino Linotype"/>
          <w:b/>
          <w:bCs/>
          <w:sz w:val="22"/>
          <w:szCs w:val="22"/>
        </w:rPr>
      </w:pPr>
    </w:p>
    <w:p w14:paraId="1D6DC2C0" w14:textId="77777777" w:rsidR="0097113F" w:rsidRPr="006D6EEB" w:rsidRDefault="0097113F" w:rsidP="00AA5401">
      <w:pPr>
        <w:spacing w:before="240" w:after="240" w:line="360" w:lineRule="auto"/>
        <w:jc w:val="both"/>
        <w:rPr>
          <w:rFonts w:ascii="Palatino Linotype" w:eastAsia="Palatino Linotype" w:hAnsi="Palatino Linotype" w:cs="Palatino Linotype"/>
          <w:b/>
          <w:bCs/>
          <w:sz w:val="22"/>
          <w:szCs w:val="22"/>
        </w:rPr>
      </w:pPr>
    </w:p>
    <w:p w14:paraId="16D4F015" w14:textId="77777777" w:rsidR="0097113F" w:rsidRPr="006D6EEB" w:rsidRDefault="0097113F" w:rsidP="00AA5401">
      <w:pPr>
        <w:spacing w:before="240" w:after="240" w:line="360" w:lineRule="auto"/>
        <w:jc w:val="both"/>
        <w:rPr>
          <w:rFonts w:ascii="Palatino Linotype" w:eastAsia="Palatino Linotype" w:hAnsi="Palatino Linotype" w:cs="Palatino Linotype"/>
          <w:b/>
          <w:bCs/>
          <w:sz w:val="22"/>
          <w:szCs w:val="22"/>
        </w:rPr>
      </w:pPr>
    </w:p>
    <w:p w14:paraId="020B0F2E" w14:textId="77777777" w:rsidR="0097113F" w:rsidRPr="006D6EEB" w:rsidRDefault="0097113F" w:rsidP="00AA5401">
      <w:pPr>
        <w:spacing w:before="240" w:after="240" w:line="360" w:lineRule="auto"/>
        <w:jc w:val="both"/>
        <w:rPr>
          <w:rFonts w:ascii="Palatino Linotype" w:eastAsia="Palatino Linotype" w:hAnsi="Palatino Linotype" w:cs="Palatino Linotype"/>
          <w:b/>
          <w:bCs/>
          <w:sz w:val="22"/>
          <w:szCs w:val="22"/>
        </w:rPr>
      </w:pPr>
    </w:p>
    <w:sectPr w:rsidR="0097113F" w:rsidRPr="006D6EEB">
      <w:headerReference w:type="default" r:id="rId12"/>
      <w:footerReference w:type="default" r:id="rId13"/>
      <w:headerReference w:type="first" r:id="rId14"/>
      <w:footerReference w:type="first" r:id="rId15"/>
      <w:pgSz w:w="12240" w:h="15840"/>
      <w:pgMar w:top="2041" w:right="1474" w:bottom="1701" w:left="1701"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0B46EC" w14:textId="77777777" w:rsidR="00CF458B" w:rsidRDefault="00CF458B">
      <w:r>
        <w:separator/>
      </w:r>
    </w:p>
  </w:endnote>
  <w:endnote w:type="continuationSeparator" w:id="0">
    <w:p w14:paraId="792A1E1A" w14:textId="77777777" w:rsidR="00CF458B" w:rsidRDefault="00CF45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Palatino Linotype">
    <w:panose1 w:val="02040502050505030304"/>
    <w:charset w:val="00"/>
    <w:family w:val="roman"/>
    <w:pitch w:val="variable"/>
    <w:sig w:usb0="E0000287" w:usb1="40000013" w:usb2="00000000" w:usb3="00000000" w:csb0="0000019F" w:csb1="00000000"/>
    <w:embedRegular r:id="rId1" w:fontKey="{94F77813-5A1A-4B1F-AE78-0EA20BCE676B}"/>
    <w:embedBold r:id="rId2" w:fontKey="{1B7EA767-3F54-4D0E-9612-058642B3D280}"/>
    <w:embedItalic r:id="rId3" w:fontKey="{EE05E169-7BBF-45C9-ABD7-11441C717A98}"/>
    <w:embedBoldItalic r:id="rId4" w:fontKey="{F2487C9F-6206-4DB0-ACB5-C61530C15A0C}"/>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embedRegular r:id="rId5" w:fontKey="{C8445AFB-E94B-4980-9F27-D3BCF7059320}"/>
    <w:embedBold r:id="rId6" w:fontKey="{0492F571-156C-4553-B164-62B04C604A72}"/>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7" w:fontKey="{82225F27-933A-402C-AB86-8E05B7B1E36D}"/>
    <w:embedBold r:id="rId8" w:fontKey="{43C9ADB8-5FB8-48FF-A513-95F5E081BB01}"/>
    <w:embedItalic r:id="rId9" w:fontKey="{0258D140-C392-422E-807E-5B925D1A6373}"/>
  </w:font>
  <w:font w:name="Georgia">
    <w:panose1 w:val="02040502050405020303"/>
    <w:charset w:val="00"/>
    <w:family w:val="roman"/>
    <w:pitch w:val="variable"/>
    <w:sig w:usb0="00000287" w:usb1="00000000" w:usb2="00000000" w:usb3="00000000" w:csb0="0000009F" w:csb1="00000000"/>
    <w:embedItalic r:id="rId10" w:fontKey="{EFB3A2BE-F077-4939-AE4F-1250B70939B6}"/>
  </w:font>
  <w:font w:name="Calibri Light">
    <w:panose1 w:val="020F0302020204030204"/>
    <w:charset w:val="00"/>
    <w:family w:val="swiss"/>
    <w:pitch w:val="variable"/>
    <w:sig w:usb0="E4002EFF" w:usb1="C200247B" w:usb2="00000009" w:usb3="00000000" w:csb0="000001FF" w:csb1="00000000"/>
    <w:embedRegular r:id="rId11" w:fontKey="{A76436B2-C38C-46D7-873C-2700C8E61A63}"/>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304A3E" w14:textId="00F65921" w:rsidR="0097113F" w:rsidRDefault="009875D3">
    <w:pPr>
      <w:pBdr>
        <w:top w:val="nil"/>
        <w:left w:val="nil"/>
        <w:bottom w:val="nil"/>
        <w:right w:val="nil"/>
        <w:between w:val="nil"/>
      </w:pBdr>
      <w:tabs>
        <w:tab w:val="center" w:pos="4419"/>
        <w:tab w:val="right" w:pos="8838"/>
      </w:tabs>
      <w:jc w:val="right"/>
      <w:rPr>
        <w:color w:val="000000"/>
      </w:rPr>
    </w:pPr>
    <w:r>
      <w:rPr>
        <w:color w:val="000000"/>
      </w:rPr>
      <w:t xml:space="preserve">Página </w:t>
    </w:r>
    <w:r>
      <w:rPr>
        <w:b/>
        <w:bCs/>
        <w:color w:val="000000"/>
      </w:rPr>
      <w:fldChar w:fldCharType="begin"/>
    </w:r>
    <w:r>
      <w:rPr>
        <w:b/>
        <w:bCs/>
        <w:color w:val="000000"/>
      </w:rPr>
      <w:instrText>PAGE</w:instrText>
    </w:r>
    <w:r>
      <w:rPr>
        <w:b/>
        <w:bCs/>
        <w:color w:val="000000"/>
      </w:rPr>
      <w:fldChar w:fldCharType="separate"/>
    </w:r>
    <w:r w:rsidR="00720852">
      <w:rPr>
        <w:b/>
        <w:bCs/>
        <w:noProof/>
        <w:color w:val="000000"/>
      </w:rPr>
      <w:t>8</w:t>
    </w:r>
    <w:r>
      <w:rPr>
        <w:b/>
        <w:bCs/>
        <w:color w:val="000000"/>
      </w:rPr>
      <w:fldChar w:fldCharType="end"/>
    </w:r>
    <w:r>
      <w:rPr>
        <w:color w:val="000000"/>
      </w:rPr>
      <w:t xml:space="preserve"> de </w:t>
    </w:r>
    <w:r>
      <w:rPr>
        <w:b/>
        <w:bCs/>
        <w:color w:val="000000"/>
      </w:rPr>
      <w:fldChar w:fldCharType="begin"/>
    </w:r>
    <w:r>
      <w:rPr>
        <w:b/>
        <w:bCs/>
        <w:color w:val="000000"/>
      </w:rPr>
      <w:instrText>NUMPAGES</w:instrText>
    </w:r>
    <w:r>
      <w:rPr>
        <w:b/>
        <w:bCs/>
        <w:color w:val="000000"/>
      </w:rPr>
      <w:fldChar w:fldCharType="separate"/>
    </w:r>
    <w:r w:rsidR="00720852">
      <w:rPr>
        <w:b/>
        <w:bCs/>
        <w:noProof/>
        <w:color w:val="000000"/>
      </w:rPr>
      <w:t>54</w:t>
    </w:r>
    <w:r>
      <w:rPr>
        <w:b/>
        <w:bCs/>
        <w:color w:val="000000"/>
      </w:rPr>
      <w:fldChar w:fldCharType="end"/>
    </w:r>
  </w:p>
  <w:p w14:paraId="459CF9B3" w14:textId="77777777" w:rsidR="0097113F" w:rsidRDefault="0097113F">
    <w:pPr>
      <w:pBdr>
        <w:top w:val="nil"/>
        <w:left w:val="nil"/>
        <w:bottom w:val="nil"/>
        <w:right w:val="nil"/>
        <w:between w:val="nil"/>
      </w:pBdr>
      <w:tabs>
        <w:tab w:val="center" w:pos="4419"/>
        <w:tab w:val="right" w:pos="8838"/>
      </w:tabs>
      <w:rPr>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B0E4F5" w14:textId="01F914E8" w:rsidR="0097113F" w:rsidRDefault="009875D3">
    <w:pPr>
      <w:pBdr>
        <w:top w:val="nil"/>
        <w:left w:val="nil"/>
        <w:bottom w:val="nil"/>
        <w:right w:val="nil"/>
        <w:between w:val="nil"/>
      </w:pBdr>
      <w:tabs>
        <w:tab w:val="center" w:pos="4419"/>
        <w:tab w:val="right" w:pos="8838"/>
      </w:tabs>
      <w:jc w:val="right"/>
      <w:rPr>
        <w:color w:val="000000"/>
      </w:rPr>
    </w:pPr>
    <w:r>
      <w:rPr>
        <w:color w:val="000000"/>
      </w:rPr>
      <w:t xml:space="preserve">Página </w:t>
    </w:r>
    <w:r>
      <w:rPr>
        <w:b/>
        <w:bCs/>
        <w:color w:val="000000"/>
      </w:rPr>
      <w:fldChar w:fldCharType="begin"/>
    </w:r>
    <w:r>
      <w:rPr>
        <w:b/>
        <w:bCs/>
        <w:color w:val="000000"/>
      </w:rPr>
      <w:instrText>PAGE</w:instrText>
    </w:r>
    <w:r>
      <w:rPr>
        <w:b/>
        <w:bCs/>
        <w:color w:val="000000"/>
      </w:rPr>
      <w:fldChar w:fldCharType="separate"/>
    </w:r>
    <w:r w:rsidR="00720852">
      <w:rPr>
        <w:b/>
        <w:bCs/>
        <w:noProof/>
        <w:color w:val="000000"/>
      </w:rPr>
      <w:t>1</w:t>
    </w:r>
    <w:r>
      <w:rPr>
        <w:b/>
        <w:bCs/>
        <w:color w:val="000000"/>
      </w:rPr>
      <w:fldChar w:fldCharType="end"/>
    </w:r>
    <w:r>
      <w:rPr>
        <w:color w:val="000000"/>
      </w:rPr>
      <w:t xml:space="preserve"> de </w:t>
    </w:r>
    <w:r>
      <w:rPr>
        <w:b/>
        <w:bCs/>
        <w:color w:val="000000"/>
      </w:rPr>
      <w:fldChar w:fldCharType="begin"/>
    </w:r>
    <w:r>
      <w:rPr>
        <w:b/>
        <w:bCs/>
        <w:color w:val="000000"/>
      </w:rPr>
      <w:instrText>NUMPAGES</w:instrText>
    </w:r>
    <w:r>
      <w:rPr>
        <w:b/>
        <w:bCs/>
        <w:color w:val="000000"/>
      </w:rPr>
      <w:fldChar w:fldCharType="separate"/>
    </w:r>
    <w:r w:rsidR="00720852">
      <w:rPr>
        <w:b/>
        <w:bCs/>
        <w:noProof/>
        <w:color w:val="000000"/>
      </w:rPr>
      <w:t>54</w:t>
    </w:r>
    <w:r>
      <w:rPr>
        <w:b/>
        <w:bCs/>
        <w:color w:val="000000"/>
      </w:rPr>
      <w:fldChar w:fldCharType="end"/>
    </w:r>
  </w:p>
  <w:p w14:paraId="394C74EA" w14:textId="77777777" w:rsidR="0097113F" w:rsidRDefault="0097113F">
    <w:pPr>
      <w:pBdr>
        <w:top w:val="nil"/>
        <w:left w:val="nil"/>
        <w:bottom w:val="nil"/>
        <w:right w:val="nil"/>
        <w:between w:val="nil"/>
      </w:pBdr>
      <w:tabs>
        <w:tab w:val="center" w:pos="4419"/>
        <w:tab w:val="right" w:pos="8838"/>
      </w:tabs>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C36F59" w14:textId="77777777" w:rsidR="00CF458B" w:rsidRDefault="00CF458B">
      <w:r>
        <w:separator/>
      </w:r>
    </w:p>
  </w:footnote>
  <w:footnote w:type="continuationSeparator" w:id="0">
    <w:p w14:paraId="14506C5F" w14:textId="77777777" w:rsidR="00CF458B" w:rsidRDefault="00CF458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C9666B" w14:textId="77777777" w:rsidR="0097113F" w:rsidRDefault="009875D3">
    <w:pPr>
      <w:widowControl w:val="0"/>
      <w:pBdr>
        <w:top w:val="nil"/>
        <w:left w:val="nil"/>
        <w:bottom w:val="nil"/>
        <w:right w:val="nil"/>
        <w:between w:val="nil"/>
      </w:pBdr>
      <w:rPr>
        <w:color w:val="000000"/>
      </w:rPr>
    </w:pPr>
    <w:r>
      <w:rPr>
        <w:noProof/>
      </w:rPr>
      <w:drawing>
        <wp:anchor distT="0" distB="0" distL="0" distR="0" simplePos="0" relativeHeight="251658240" behindDoc="1" locked="0" layoutInCell="1" hidden="0" allowOverlap="1" wp14:anchorId="2DC9F25E" wp14:editId="004CDFD4">
          <wp:simplePos x="0" y="0"/>
          <wp:positionH relativeFrom="margin">
            <wp:align>center</wp:align>
          </wp:positionH>
          <wp:positionV relativeFrom="paragraph">
            <wp:posOffset>-363220</wp:posOffset>
          </wp:positionV>
          <wp:extent cx="7809876" cy="10165823"/>
          <wp:effectExtent l="0" t="0" r="635" b="6985"/>
          <wp:wrapNone/>
          <wp:docPr id="194665057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7809876" cy="10165823"/>
                  </a:xfrm>
                  <a:prstGeom prst="rect">
                    <a:avLst/>
                  </a:prstGeom>
                  <a:ln/>
                </pic:spPr>
              </pic:pic>
            </a:graphicData>
          </a:graphic>
        </wp:anchor>
      </w:drawing>
    </w:r>
  </w:p>
  <w:tbl>
    <w:tblPr>
      <w:tblStyle w:val="af9"/>
      <w:tblW w:w="5603" w:type="dxa"/>
      <w:tblInd w:w="3611" w:type="dxa"/>
      <w:tblLayout w:type="fixed"/>
      <w:tblLook w:val="0400" w:firstRow="0" w:lastRow="0" w:firstColumn="0" w:lastColumn="0" w:noHBand="0" w:noVBand="1"/>
    </w:tblPr>
    <w:tblGrid>
      <w:gridCol w:w="2551"/>
      <w:gridCol w:w="3052"/>
    </w:tblGrid>
    <w:tr w:rsidR="0097113F" w14:paraId="1A467FA8" w14:textId="77777777">
      <w:tc>
        <w:tcPr>
          <w:tcW w:w="2551" w:type="dxa"/>
          <w:vAlign w:val="center"/>
        </w:tcPr>
        <w:p w14:paraId="436ADF1A" w14:textId="77777777" w:rsidR="0097113F" w:rsidRDefault="009875D3">
          <w:pPr>
            <w:pBdr>
              <w:top w:val="nil"/>
              <w:left w:val="nil"/>
              <w:bottom w:val="nil"/>
              <w:right w:val="nil"/>
              <w:between w:val="nil"/>
            </w:pBdr>
            <w:tabs>
              <w:tab w:val="center" w:pos="4419"/>
              <w:tab w:val="right" w:pos="8838"/>
            </w:tabs>
            <w:rPr>
              <w:rFonts w:ascii="Palatino Linotype" w:eastAsia="Palatino Linotype" w:hAnsi="Palatino Linotype" w:cs="Palatino Linotype"/>
              <w:b/>
              <w:bCs/>
              <w:color w:val="000000"/>
              <w:sz w:val="22"/>
              <w:szCs w:val="22"/>
            </w:rPr>
          </w:pPr>
          <w:r>
            <w:rPr>
              <w:rFonts w:ascii="Palatino Linotype" w:eastAsia="Palatino Linotype" w:hAnsi="Palatino Linotype" w:cs="Palatino Linotype"/>
              <w:b/>
              <w:bCs/>
              <w:color w:val="000000"/>
              <w:sz w:val="22"/>
              <w:szCs w:val="22"/>
            </w:rPr>
            <w:t>Recurso de Revisión:</w:t>
          </w:r>
        </w:p>
        <w:p w14:paraId="75FDC62D" w14:textId="77777777" w:rsidR="0097113F" w:rsidRDefault="0097113F">
          <w:pPr>
            <w:pBdr>
              <w:top w:val="nil"/>
              <w:left w:val="nil"/>
              <w:bottom w:val="nil"/>
              <w:right w:val="nil"/>
              <w:between w:val="nil"/>
            </w:pBdr>
            <w:tabs>
              <w:tab w:val="center" w:pos="4419"/>
              <w:tab w:val="right" w:pos="8838"/>
            </w:tabs>
            <w:rPr>
              <w:rFonts w:ascii="Palatino Linotype" w:eastAsia="Palatino Linotype" w:hAnsi="Palatino Linotype" w:cs="Palatino Linotype"/>
              <w:b/>
              <w:bCs/>
              <w:color w:val="000000"/>
              <w:sz w:val="22"/>
              <w:szCs w:val="22"/>
            </w:rPr>
          </w:pPr>
        </w:p>
      </w:tc>
      <w:tc>
        <w:tcPr>
          <w:tcW w:w="3052" w:type="dxa"/>
          <w:vAlign w:val="center"/>
        </w:tcPr>
        <w:p w14:paraId="23A8B578" w14:textId="71F6B5D6" w:rsidR="0097113F" w:rsidRDefault="009875D3">
          <w:pPr>
            <w:pBdr>
              <w:top w:val="nil"/>
              <w:left w:val="nil"/>
              <w:bottom w:val="nil"/>
              <w:right w:val="nil"/>
              <w:between w:val="nil"/>
            </w:pBdr>
            <w:tabs>
              <w:tab w:val="center" w:pos="4419"/>
              <w:tab w:val="right" w:pos="8838"/>
            </w:tabs>
            <w:rPr>
              <w:rFonts w:ascii="Palatino Linotype" w:eastAsia="Palatino Linotype" w:hAnsi="Palatino Linotype" w:cs="Palatino Linotype"/>
              <w:b/>
              <w:bCs/>
              <w:color w:val="000000"/>
              <w:sz w:val="22"/>
              <w:szCs w:val="22"/>
            </w:rPr>
          </w:pPr>
          <w:r>
            <w:rPr>
              <w:rFonts w:ascii="Palatino Linotype" w:eastAsia="Palatino Linotype" w:hAnsi="Palatino Linotype" w:cs="Palatino Linotype"/>
              <w:b/>
              <w:bCs/>
              <w:sz w:val="22"/>
              <w:szCs w:val="22"/>
            </w:rPr>
            <w:t>0</w:t>
          </w:r>
          <w:r w:rsidR="005961B5">
            <w:rPr>
              <w:rFonts w:ascii="Palatino Linotype" w:eastAsia="Palatino Linotype" w:hAnsi="Palatino Linotype" w:cs="Palatino Linotype"/>
              <w:b/>
              <w:bCs/>
              <w:sz w:val="22"/>
              <w:szCs w:val="22"/>
            </w:rPr>
            <w:t>7896</w:t>
          </w:r>
          <w:r>
            <w:rPr>
              <w:rFonts w:ascii="Palatino Linotype" w:eastAsia="Palatino Linotype" w:hAnsi="Palatino Linotype" w:cs="Palatino Linotype"/>
              <w:b/>
              <w:bCs/>
              <w:sz w:val="22"/>
              <w:szCs w:val="22"/>
            </w:rPr>
            <w:t>/</w:t>
          </w:r>
          <w:r>
            <w:rPr>
              <w:rFonts w:ascii="Palatino Linotype" w:eastAsia="Palatino Linotype" w:hAnsi="Palatino Linotype" w:cs="Palatino Linotype"/>
              <w:b/>
              <w:bCs/>
              <w:color w:val="000000"/>
              <w:sz w:val="22"/>
              <w:szCs w:val="22"/>
            </w:rPr>
            <w:t>INFOEM/IP/RR/2026</w:t>
          </w:r>
        </w:p>
      </w:tc>
    </w:tr>
    <w:tr w:rsidR="0097113F" w14:paraId="45F2A621" w14:textId="77777777">
      <w:trPr>
        <w:trHeight w:val="217"/>
      </w:trPr>
      <w:tc>
        <w:tcPr>
          <w:tcW w:w="2551" w:type="dxa"/>
          <w:vAlign w:val="center"/>
        </w:tcPr>
        <w:p w14:paraId="1D9C1950" w14:textId="77777777" w:rsidR="0097113F" w:rsidRDefault="009875D3">
          <w:pPr>
            <w:pBdr>
              <w:top w:val="nil"/>
              <w:left w:val="nil"/>
              <w:bottom w:val="nil"/>
              <w:right w:val="nil"/>
              <w:between w:val="nil"/>
            </w:pBdr>
            <w:tabs>
              <w:tab w:val="center" w:pos="4419"/>
              <w:tab w:val="right" w:pos="8838"/>
            </w:tabs>
            <w:rPr>
              <w:rFonts w:ascii="Palatino Linotype" w:eastAsia="Palatino Linotype" w:hAnsi="Palatino Linotype" w:cs="Palatino Linotype"/>
              <w:b/>
              <w:bCs/>
              <w:color w:val="000000"/>
              <w:sz w:val="22"/>
              <w:szCs w:val="22"/>
            </w:rPr>
          </w:pPr>
          <w:r>
            <w:rPr>
              <w:rFonts w:ascii="Palatino Linotype" w:eastAsia="Palatino Linotype" w:hAnsi="Palatino Linotype" w:cs="Palatino Linotype"/>
              <w:b/>
              <w:bCs/>
              <w:color w:val="000000"/>
              <w:sz w:val="22"/>
              <w:szCs w:val="22"/>
            </w:rPr>
            <w:t>Sujeto obligado:</w:t>
          </w:r>
        </w:p>
      </w:tc>
      <w:tc>
        <w:tcPr>
          <w:tcW w:w="3052" w:type="dxa"/>
          <w:vAlign w:val="center"/>
        </w:tcPr>
        <w:p w14:paraId="0883DE45" w14:textId="543C4926" w:rsidR="0097113F" w:rsidRDefault="005961B5">
          <w:pPr>
            <w:pBdr>
              <w:top w:val="nil"/>
              <w:left w:val="nil"/>
              <w:bottom w:val="nil"/>
              <w:right w:val="nil"/>
              <w:between w:val="nil"/>
            </w:pBdr>
            <w:tabs>
              <w:tab w:val="center" w:pos="4419"/>
              <w:tab w:val="right" w:pos="8838"/>
            </w:tabs>
            <w:ind w:right="168"/>
            <w:jc w:val="both"/>
            <w:rPr>
              <w:rFonts w:ascii="Palatino Linotype" w:eastAsia="Palatino Linotype" w:hAnsi="Palatino Linotype" w:cs="Palatino Linotype"/>
              <w:b/>
              <w:bCs/>
              <w:color w:val="000000"/>
              <w:sz w:val="22"/>
              <w:szCs w:val="22"/>
            </w:rPr>
          </w:pPr>
          <w:r w:rsidRPr="005961B5">
            <w:rPr>
              <w:rFonts w:ascii="Palatino Linotype" w:eastAsia="Palatino Linotype" w:hAnsi="Palatino Linotype" w:cs="Palatino Linotype"/>
              <w:b/>
              <w:bCs/>
              <w:color w:val="000000"/>
              <w:sz w:val="22"/>
              <w:szCs w:val="22"/>
            </w:rPr>
            <w:t>Ayuntamiento de Tepetlixpa</w:t>
          </w:r>
        </w:p>
      </w:tc>
    </w:tr>
    <w:tr w:rsidR="0097113F" w14:paraId="09F8BA22" w14:textId="77777777">
      <w:tc>
        <w:tcPr>
          <w:tcW w:w="2551" w:type="dxa"/>
          <w:vAlign w:val="center"/>
        </w:tcPr>
        <w:p w14:paraId="08DC0826" w14:textId="77777777" w:rsidR="0097113F" w:rsidRDefault="009875D3">
          <w:pPr>
            <w:pBdr>
              <w:top w:val="nil"/>
              <w:left w:val="nil"/>
              <w:bottom w:val="nil"/>
              <w:right w:val="nil"/>
              <w:between w:val="nil"/>
            </w:pBdr>
            <w:tabs>
              <w:tab w:val="center" w:pos="4419"/>
              <w:tab w:val="right" w:pos="8838"/>
            </w:tabs>
            <w:rPr>
              <w:rFonts w:ascii="Palatino Linotype" w:eastAsia="Palatino Linotype" w:hAnsi="Palatino Linotype" w:cs="Palatino Linotype"/>
              <w:b/>
              <w:bCs/>
              <w:color w:val="000000"/>
              <w:sz w:val="22"/>
              <w:szCs w:val="22"/>
            </w:rPr>
          </w:pPr>
          <w:r>
            <w:rPr>
              <w:rFonts w:ascii="Palatino Linotype" w:eastAsia="Palatino Linotype" w:hAnsi="Palatino Linotype" w:cs="Palatino Linotype"/>
              <w:b/>
              <w:bCs/>
              <w:color w:val="000000"/>
              <w:sz w:val="22"/>
              <w:szCs w:val="22"/>
            </w:rPr>
            <w:t>Comisionada ponente:</w:t>
          </w:r>
        </w:p>
      </w:tc>
      <w:tc>
        <w:tcPr>
          <w:tcW w:w="3052" w:type="dxa"/>
          <w:vAlign w:val="center"/>
        </w:tcPr>
        <w:p w14:paraId="7C314A34" w14:textId="77777777" w:rsidR="0097113F" w:rsidRDefault="009875D3">
          <w:pPr>
            <w:pBdr>
              <w:top w:val="nil"/>
              <w:left w:val="nil"/>
              <w:bottom w:val="nil"/>
              <w:right w:val="nil"/>
              <w:between w:val="nil"/>
            </w:pBdr>
            <w:tabs>
              <w:tab w:val="center" w:pos="4419"/>
              <w:tab w:val="right" w:pos="8838"/>
            </w:tabs>
            <w:rPr>
              <w:rFonts w:ascii="Palatino Linotype" w:eastAsia="Palatino Linotype" w:hAnsi="Palatino Linotype" w:cs="Palatino Linotype"/>
              <w:b/>
              <w:bCs/>
              <w:color w:val="000000"/>
              <w:sz w:val="22"/>
              <w:szCs w:val="22"/>
            </w:rPr>
          </w:pPr>
          <w:r>
            <w:rPr>
              <w:rFonts w:ascii="Palatino Linotype" w:eastAsia="Palatino Linotype" w:hAnsi="Palatino Linotype" w:cs="Palatino Linotype"/>
              <w:b/>
              <w:bCs/>
              <w:color w:val="000000"/>
              <w:sz w:val="22"/>
              <w:szCs w:val="22"/>
            </w:rPr>
            <w:t>Guadalupe Ramírez Peña</w:t>
          </w:r>
        </w:p>
      </w:tc>
    </w:tr>
  </w:tbl>
  <w:p w14:paraId="26096CF7" w14:textId="77777777" w:rsidR="0097113F" w:rsidRDefault="0097113F">
    <w:pPr>
      <w:pBdr>
        <w:top w:val="nil"/>
        <w:left w:val="nil"/>
        <w:bottom w:val="nil"/>
        <w:right w:val="nil"/>
        <w:between w:val="nil"/>
      </w:pBdr>
      <w:tabs>
        <w:tab w:val="center" w:pos="4419"/>
        <w:tab w:val="right" w:pos="8838"/>
      </w:tabs>
      <w:rPr>
        <w:color w:val="00000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B84D5F" w14:textId="7D7A33FD" w:rsidR="0097113F" w:rsidRDefault="009875D3">
    <w:pPr>
      <w:widowControl w:val="0"/>
      <w:pBdr>
        <w:top w:val="nil"/>
        <w:left w:val="nil"/>
        <w:bottom w:val="nil"/>
        <w:right w:val="nil"/>
        <w:between w:val="nil"/>
      </w:pBd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w:t>
    </w:r>
  </w:p>
  <w:tbl>
    <w:tblPr>
      <w:tblStyle w:val="afa"/>
      <w:tblW w:w="5461" w:type="dxa"/>
      <w:tblInd w:w="3611" w:type="dxa"/>
      <w:tblLayout w:type="fixed"/>
      <w:tblLook w:val="0400" w:firstRow="0" w:lastRow="0" w:firstColumn="0" w:lastColumn="0" w:noHBand="0" w:noVBand="1"/>
    </w:tblPr>
    <w:tblGrid>
      <w:gridCol w:w="2343"/>
      <w:gridCol w:w="3118"/>
    </w:tblGrid>
    <w:tr w:rsidR="0097113F" w14:paraId="36F25D4D" w14:textId="77777777">
      <w:tc>
        <w:tcPr>
          <w:tcW w:w="2343" w:type="dxa"/>
          <w:vAlign w:val="center"/>
        </w:tcPr>
        <w:p w14:paraId="4C7D1126" w14:textId="77777777" w:rsidR="0097113F" w:rsidRDefault="009875D3">
          <w:pPr>
            <w:pBdr>
              <w:top w:val="nil"/>
              <w:left w:val="nil"/>
              <w:bottom w:val="nil"/>
              <w:right w:val="nil"/>
              <w:between w:val="nil"/>
            </w:pBdr>
            <w:tabs>
              <w:tab w:val="center" w:pos="4419"/>
              <w:tab w:val="right" w:pos="8838"/>
            </w:tabs>
            <w:rPr>
              <w:rFonts w:ascii="Palatino Linotype" w:eastAsia="Palatino Linotype" w:hAnsi="Palatino Linotype" w:cs="Palatino Linotype"/>
              <w:b/>
              <w:bCs/>
              <w:color w:val="000000"/>
              <w:sz w:val="22"/>
              <w:szCs w:val="22"/>
            </w:rPr>
          </w:pPr>
          <w:r>
            <w:rPr>
              <w:rFonts w:ascii="Palatino Linotype" w:eastAsia="Palatino Linotype" w:hAnsi="Palatino Linotype" w:cs="Palatino Linotype"/>
              <w:b/>
              <w:bCs/>
              <w:color w:val="000000"/>
              <w:sz w:val="22"/>
              <w:szCs w:val="22"/>
            </w:rPr>
            <w:t>Recurso de Revisión:</w:t>
          </w:r>
        </w:p>
        <w:p w14:paraId="7507BE43" w14:textId="77777777" w:rsidR="0097113F" w:rsidRDefault="0097113F">
          <w:pPr>
            <w:pBdr>
              <w:top w:val="nil"/>
              <w:left w:val="nil"/>
              <w:bottom w:val="nil"/>
              <w:right w:val="nil"/>
              <w:between w:val="nil"/>
            </w:pBdr>
            <w:tabs>
              <w:tab w:val="center" w:pos="4419"/>
              <w:tab w:val="right" w:pos="8838"/>
            </w:tabs>
            <w:rPr>
              <w:rFonts w:ascii="Palatino Linotype" w:eastAsia="Palatino Linotype" w:hAnsi="Palatino Linotype" w:cs="Palatino Linotype"/>
              <w:b/>
              <w:bCs/>
              <w:color w:val="000000"/>
              <w:sz w:val="22"/>
              <w:szCs w:val="22"/>
            </w:rPr>
          </w:pPr>
        </w:p>
      </w:tc>
      <w:tc>
        <w:tcPr>
          <w:tcW w:w="3118" w:type="dxa"/>
          <w:vAlign w:val="center"/>
        </w:tcPr>
        <w:p w14:paraId="451AF9EA" w14:textId="54296E0A" w:rsidR="0097113F" w:rsidRDefault="005961B5">
          <w:pPr>
            <w:pBdr>
              <w:top w:val="nil"/>
              <w:left w:val="nil"/>
              <w:bottom w:val="nil"/>
              <w:right w:val="nil"/>
              <w:between w:val="nil"/>
            </w:pBdr>
            <w:tabs>
              <w:tab w:val="center" w:pos="4419"/>
              <w:tab w:val="right" w:pos="8838"/>
            </w:tabs>
            <w:rPr>
              <w:rFonts w:ascii="Palatino Linotype" w:eastAsia="Palatino Linotype" w:hAnsi="Palatino Linotype" w:cs="Palatino Linotype"/>
              <w:b/>
              <w:bCs/>
              <w:color w:val="000000"/>
              <w:sz w:val="22"/>
              <w:szCs w:val="22"/>
            </w:rPr>
          </w:pPr>
          <w:r>
            <w:rPr>
              <w:noProof/>
            </w:rPr>
            <w:drawing>
              <wp:anchor distT="0" distB="0" distL="0" distR="0" simplePos="0" relativeHeight="251659264" behindDoc="1" locked="0" layoutInCell="1" hidden="0" allowOverlap="1" wp14:anchorId="0C5294B9" wp14:editId="1210672B">
                <wp:simplePos x="0" y="0"/>
                <wp:positionH relativeFrom="column">
                  <wp:posOffset>-4460875</wp:posOffset>
                </wp:positionH>
                <wp:positionV relativeFrom="paragraph">
                  <wp:posOffset>-820420</wp:posOffset>
                </wp:positionV>
                <wp:extent cx="7809865" cy="10165715"/>
                <wp:effectExtent l="0" t="0" r="0" b="0"/>
                <wp:wrapNone/>
                <wp:docPr id="194665057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7809865" cy="10165715"/>
                        </a:xfrm>
                        <a:prstGeom prst="rect">
                          <a:avLst/>
                        </a:prstGeom>
                        <a:ln/>
                      </pic:spPr>
                    </pic:pic>
                  </a:graphicData>
                </a:graphic>
                <wp14:sizeRelH relativeFrom="margin">
                  <wp14:pctWidth>0</wp14:pctWidth>
                </wp14:sizeRelH>
                <wp14:sizeRelV relativeFrom="margin">
                  <wp14:pctHeight>0</wp14:pctHeight>
                </wp14:sizeRelV>
              </wp:anchor>
            </w:drawing>
          </w:r>
          <w:r w:rsidRPr="005961B5">
            <w:rPr>
              <w:rFonts w:ascii="Palatino Linotype" w:eastAsia="Palatino Linotype" w:hAnsi="Palatino Linotype" w:cs="Palatino Linotype"/>
              <w:b/>
              <w:bCs/>
              <w:sz w:val="22"/>
              <w:szCs w:val="22"/>
            </w:rPr>
            <w:t>07896/INFOEM/IP/RR/2026</w:t>
          </w:r>
        </w:p>
      </w:tc>
    </w:tr>
    <w:tr w:rsidR="0097113F" w14:paraId="7F82FBF1" w14:textId="77777777">
      <w:tc>
        <w:tcPr>
          <w:tcW w:w="2343" w:type="dxa"/>
          <w:vAlign w:val="center"/>
        </w:tcPr>
        <w:p w14:paraId="0AF21DE8" w14:textId="77777777" w:rsidR="0097113F" w:rsidRDefault="009875D3">
          <w:pPr>
            <w:pBdr>
              <w:top w:val="nil"/>
              <w:left w:val="nil"/>
              <w:bottom w:val="nil"/>
              <w:right w:val="nil"/>
              <w:between w:val="nil"/>
            </w:pBdr>
            <w:tabs>
              <w:tab w:val="center" w:pos="4419"/>
              <w:tab w:val="right" w:pos="8838"/>
            </w:tabs>
            <w:rPr>
              <w:rFonts w:ascii="Palatino Linotype" w:eastAsia="Palatino Linotype" w:hAnsi="Palatino Linotype" w:cs="Palatino Linotype"/>
              <w:b/>
              <w:bCs/>
              <w:color w:val="000000"/>
              <w:sz w:val="22"/>
              <w:szCs w:val="22"/>
            </w:rPr>
          </w:pPr>
          <w:r>
            <w:rPr>
              <w:rFonts w:ascii="Palatino Linotype" w:eastAsia="Palatino Linotype" w:hAnsi="Palatino Linotype" w:cs="Palatino Linotype"/>
              <w:b/>
              <w:bCs/>
              <w:color w:val="000000"/>
              <w:sz w:val="22"/>
              <w:szCs w:val="22"/>
            </w:rPr>
            <w:t>Recurrente:</w:t>
          </w:r>
        </w:p>
      </w:tc>
      <w:tc>
        <w:tcPr>
          <w:tcW w:w="3118" w:type="dxa"/>
          <w:vAlign w:val="center"/>
        </w:tcPr>
        <w:p w14:paraId="0571F2F9" w14:textId="2201722C" w:rsidR="0097113F" w:rsidRDefault="00720852">
          <w:pPr>
            <w:pBdr>
              <w:top w:val="nil"/>
              <w:left w:val="nil"/>
              <w:bottom w:val="nil"/>
              <w:right w:val="nil"/>
              <w:between w:val="nil"/>
            </w:pBdr>
            <w:tabs>
              <w:tab w:val="center" w:pos="4419"/>
              <w:tab w:val="right" w:pos="8838"/>
            </w:tabs>
            <w:rPr>
              <w:rFonts w:ascii="Palatino Linotype" w:eastAsia="Palatino Linotype" w:hAnsi="Palatino Linotype" w:cs="Palatino Linotype"/>
              <w:b/>
              <w:bCs/>
              <w:color w:val="000000"/>
              <w:sz w:val="22"/>
              <w:szCs w:val="22"/>
            </w:rPr>
          </w:pPr>
          <w:r w:rsidRPr="00720852">
            <w:rPr>
              <w:rFonts w:ascii="Palatino Linotype" w:eastAsia="Palatino Linotype" w:hAnsi="Palatino Linotype" w:cs="Palatino Linotype"/>
              <w:b/>
              <w:bCs/>
              <w:color w:val="000000"/>
              <w:sz w:val="22"/>
              <w:szCs w:val="22"/>
            </w:rPr>
            <w:t>XXXXX XXX XXXXX</w:t>
          </w:r>
        </w:p>
      </w:tc>
    </w:tr>
    <w:tr w:rsidR="0097113F" w14:paraId="4B1773B6" w14:textId="77777777">
      <w:trPr>
        <w:trHeight w:val="152"/>
      </w:trPr>
      <w:tc>
        <w:tcPr>
          <w:tcW w:w="2343" w:type="dxa"/>
          <w:vAlign w:val="center"/>
        </w:tcPr>
        <w:p w14:paraId="5F084350" w14:textId="77777777" w:rsidR="0097113F" w:rsidRDefault="009875D3">
          <w:pPr>
            <w:tabs>
              <w:tab w:val="center" w:pos="4419"/>
              <w:tab w:val="right" w:pos="8838"/>
            </w:tabs>
            <w:rPr>
              <w:rFonts w:ascii="Palatino Linotype" w:eastAsia="Palatino Linotype" w:hAnsi="Palatino Linotype" w:cs="Palatino Linotype"/>
              <w:b/>
              <w:bCs/>
              <w:color w:val="000000"/>
              <w:sz w:val="22"/>
              <w:szCs w:val="22"/>
            </w:rPr>
          </w:pPr>
          <w:r>
            <w:rPr>
              <w:rFonts w:ascii="Palatino Linotype" w:eastAsia="Palatino Linotype" w:hAnsi="Palatino Linotype" w:cs="Palatino Linotype"/>
              <w:b/>
              <w:bCs/>
              <w:color w:val="000000"/>
              <w:sz w:val="22"/>
              <w:szCs w:val="22"/>
            </w:rPr>
            <w:t>Sujeto obligado:</w:t>
          </w:r>
        </w:p>
        <w:p w14:paraId="5B0B2A27" w14:textId="77777777" w:rsidR="0097113F" w:rsidRDefault="0097113F">
          <w:pPr>
            <w:tabs>
              <w:tab w:val="center" w:pos="4419"/>
              <w:tab w:val="right" w:pos="8838"/>
            </w:tabs>
            <w:rPr>
              <w:rFonts w:ascii="Palatino Linotype" w:eastAsia="Palatino Linotype" w:hAnsi="Palatino Linotype" w:cs="Palatino Linotype"/>
              <w:b/>
              <w:bCs/>
              <w:color w:val="000000"/>
              <w:sz w:val="22"/>
              <w:szCs w:val="22"/>
            </w:rPr>
          </w:pPr>
        </w:p>
      </w:tc>
      <w:tc>
        <w:tcPr>
          <w:tcW w:w="3118" w:type="dxa"/>
          <w:vAlign w:val="center"/>
        </w:tcPr>
        <w:p w14:paraId="565D0F0E" w14:textId="353FE1C5" w:rsidR="0097113F" w:rsidRDefault="005961B5">
          <w:pPr>
            <w:pBdr>
              <w:top w:val="nil"/>
              <w:left w:val="nil"/>
              <w:bottom w:val="nil"/>
              <w:right w:val="nil"/>
              <w:between w:val="nil"/>
            </w:pBdr>
            <w:tabs>
              <w:tab w:val="center" w:pos="4419"/>
              <w:tab w:val="right" w:pos="8838"/>
            </w:tabs>
            <w:jc w:val="both"/>
            <w:rPr>
              <w:rFonts w:ascii="Palatino Linotype" w:eastAsia="Palatino Linotype" w:hAnsi="Palatino Linotype" w:cs="Palatino Linotype"/>
              <w:b/>
              <w:bCs/>
              <w:color w:val="000000"/>
              <w:sz w:val="22"/>
              <w:szCs w:val="22"/>
            </w:rPr>
          </w:pPr>
          <w:r w:rsidRPr="005961B5">
            <w:rPr>
              <w:rFonts w:ascii="Palatino Linotype" w:eastAsia="Palatino Linotype" w:hAnsi="Palatino Linotype" w:cs="Palatino Linotype"/>
              <w:b/>
              <w:bCs/>
              <w:color w:val="000000"/>
              <w:sz w:val="22"/>
              <w:szCs w:val="22"/>
            </w:rPr>
            <w:t>Ayuntamiento de Tepetlixpa</w:t>
          </w:r>
        </w:p>
      </w:tc>
    </w:tr>
    <w:tr w:rsidR="0097113F" w14:paraId="1274068B" w14:textId="77777777">
      <w:tc>
        <w:tcPr>
          <w:tcW w:w="2343" w:type="dxa"/>
          <w:vAlign w:val="center"/>
        </w:tcPr>
        <w:p w14:paraId="5DBEEEF9" w14:textId="77777777" w:rsidR="0097113F" w:rsidRDefault="009875D3">
          <w:pPr>
            <w:pBdr>
              <w:top w:val="nil"/>
              <w:left w:val="nil"/>
              <w:bottom w:val="nil"/>
              <w:right w:val="nil"/>
              <w:between w:val="nil"/>
            </w:pBdr>
            <w:tabs>
              <w:tab w:val="center" w:pos="4419"/>
              <w:tab w:val="right" w:pos="8838"/>
            </w:tabs>
            <w:rPr>
              <w:rFonts w:ascii="Palatino Linotype" w:eastAsia="Palatino Linotype" w:hAnsi="Palatino Linotype" w:cs="Palatino Linotype"/>
              <w:b/>
              <w:bCs/>
              <w:color w:val="000000"/>
              <w:sz w:val="22"/>
              <w:szCs w:val="22"/>
            </w:rPr>
          </w:pPr>
          <w:r>
            <w:rPr>
              <w:rFonts w:ascii="Palatino Linotype" w:eastAsia="Palatino Linotype" w:hAnsi="Palatino Linotype" w:cs="Palatino Linotype"/>
              <w:b/>
              <w:bCs/>
              <w:color w:val="000000"/>
              <w:sz w:val="22"/>
              <w:szCs w:val="22"/>
            </w:rPr>
            <w:t>Comisionada ponente:</w:t>
          </w:r>
        </w:p>
      </w:tc>
      <w:tc>
        <w:tcPr>
          <w:tcW w:w="3118" w:type="dxa"/>
          <w:vAlign w:val="center"/>
        </w:tcPr>
        <w:p w14:paraId="00E2A8D8" w14:textId="77777777" w:rsidR="0097113F" w:rsidRDefault="009875D3">
          <w:pPr>
            <w:pBdr>
              <w:top w:val="nil"/>
              <w:left w:val="nil"/>
              <w:bottom w:val="nil"/>
              <w:right w:val="nil"/>
              <w:between w:val="nil"/>
            </w:pBdr>
            <w:tabs>
              <w:tab w:val="center" w:pos="4419"/>
              <w:tab w:val="right" w:pos="8838"/>
            </w:tabs>
            <w:rPr>
              <w:rFonts w:ascii="Palatino Linotype" w:eastAsia="Palatino Linotype" w:hAnsi="Palatino Linotype" w:cs="Palatino Linotype"/>
              <w:b/>
              <w:bCs/>
              <w:color w:val="000000"/>
              <w:sz w:val="22"/>
              <w:szCs w:val="22"/>
            </w:rPr>
          </w:pPr>
          <w:r>
            <w:rPr>
              <w:rFonts w:ascii="Palatino Linotype" w:eastAsia="Palatino Linotype" w:hAnsi="Palatino Linotype" w:cs="Palatino Linotype"/>
              <w:b/>
              <w:bCs/>
              <w:color w:val="000000"/>
              <w:sz w:val="22"/>
              <w:szCs w:val="22"/>
            </w:rPr>
            <w:t>Guadalupe Ramírez Peña</w:t>
          </w:r>
        </w:p>
      </w:tc>
    </w:tr>
  </w:tbl>
  <w:p w14:paraId="082BAC16" w14:textId="77777777" w:rsidR="0097113F" w:rsidRDefault="009875D3">
    <w:pPr>
      <w:rPr>
        <w:color w:val="000000"/>
        <w:sz w:val="22"/>
        <w:szCs w:val="22"/>
      </w:rPr>
    </w:pPr>
    <w:r>
      <w:rPr>
        <w:color w:val="000000"/>
        <w:sz w:val="22"/>
        <w:szCs w:val="22"/>
      </w:rP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757A5A"/>
    <w:multiLevelType w:val="multilevel"/>
    <w:tmpl w:val="4A088AD0"/>
    <w:lvl w:ilvl="0">
      <w:start w:val="3"/>
      <w:numFmt w:val="bullet"/>
      <w:lvlText w:val="-"/>
      <w:lvlJc w:val="left"/>
      <w:pPr>
        <w:ind w:left="720" w:hanging="360"/>
      </w:pPr>
      <w:rPr>
        <w:rFonts w:ascii="Palatino Linotype" w:eastAsia="Palatino Linotype" w:hAnsi="Palatino Linotype" w:cs="Palatino Linotyp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F676D96"/>
    <w:multiLevelType w:val="multilevel"/>
    <w:tmpl w:val="E362B964"/>
    <w:lvl w:ilvl="0">
      <w:numFmt w:val="upperRoman"/>
      <w:lvlText w:val="%1."/>
      <w:lvlJc w:val="righ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25AD0C66"/>
    <w:multiLevelType w:val="multilevel"/>
    <w:tmpl w:val="B058AB54"/>
    <w:lvl w:ilvl="0">
      <w:start w:val="2"/>
      <w:numFmt w:val="bullet"/>
      <w:lvlText w:val="●"/>
      <w:lvlJc w:val="left"/>
      <w:pPr>
        <w:ind w:left="360" w:hanging="360"/>
      </w:pPr>
      <w:rPr>
        <w:rFonts w:ascii="Noto Sans Symbols" w:eastAsia="Noto Sans Symbols" w:hAnsi="Noto Sans Symbols" w:cs="Noto Sans Symbols"/>
        <w:b/>
        <w:bCs/>
        <w:i w:val="0"/>
        <w:iCs w:val="0"/>
        <w:color w:val="0D0D0D"/>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15:restartNumberingAfterBreak="0">
    <w:nsid w:val="2D0972E8"/>
    <w:multiLevelType w:val="multilevel"/>
    <w:tmpl w:val="DFC64CB2"/>
    <w:lvl w:ilvl="0">
      <w:start w:val="1"/>
      <w:numFmt w:val="bullet"/>
      <w:pStyle w:val="Listaconvietas3"/>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89F6AC8"/>
    <w:multiLevelType w:val="hybridMultilevel"/>
    <w:tmpl w:val="9EB070B0"/>
    <w:lvl w:ilvl="0" w:tplc="2A64C0BC">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5" w15:restartNumberingAfterBreak="0">
    <w:nsid w:val="4A76662C"/>
    <w:multiLevelType w:val="multilevel"/>
    <w:tmpl w:val="EDBCDEF2"/>
    <w:lvl w:ilvl="0">
      <w:start w:val="1"/>
      <w:numFmt w:val="lowerLetter"/>
      <w:lvlText w:val="%1)"/>
      <w:lvlJc w:val="left"/>
      <w:pPr>
        <w:ind w:left="927" w:hanging="360"/>
      </w:pPr>
      <w:rPr>
        <w:b/>
        <w:bCs/>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6" w15:restartNumberingAfterBreak="0">
    <w:nsid w:val="56BA5C61"/>
    <w:multiLevelType w:val="multilevel"/>
    <w:tmpl w:val="7A048854"/>
    <w:lvl w:ilvl="0">
      <w:start w:val="5"/>
      <w:numFmt w:val="upperRoman"/>
      <w:lvlText w:val="%1."/>
      <w:lvlJc w:val="left"/>
      <w:pPr>
        <w:ind w:left="1296" w:hanging="720"/>
      </w:pPr>
    </w:lvl>
    <w:lvl w:ilvl="1">
      <w:start w:val="1"/>
      <w:numFmt w:val="lowerLetter"/>
      <w:lvlText w:val="%2."/>
      <w:lvlJc w:val="left"/>
      <w:pPr>
        <w:ind w:left="1656" w:hanging="360"/>
      </w:pPr>
    </w:lvl>
    <w:lvl w:ilvl="2">
      <w:start w:val="1"/>
      <w:numFmt w:val="lowerRoman"/>
      <w:lvlText w:val="%3."/>
      <w:lvlJc w:val="right"/>
      <w:pPr>
        <w:ind w:left="2376" w:hanging="180"/>
      </w:pPr>
    </w:lvl>
    <w:lvl w:ilvl="3">
      <w:start w:val="1"/>
      <w:numFmt w:val="decimal"/>
      <w:lvlText w:val="%4."/>
      <w:lvlJc w:val="left"/>
      <w:pPr>
        <w:ind w:left="3096" w:hanging="360"/>
      </w:pPr>
    </w:lvl>
    <w:lvl w:ilvl="4">
      <w:start w:val="1"/>
      <w:numFmt w:val="lowerLetter"/>
      <w:lvlText w:val="%5."/>
      <w:lvlJc w:val="left"/>
      <w:pPr>
        <w:ind w:left="3816" w:hanging="360"/>
      </w:pPr>
    </w:lvl>
    <w:lvl w:ilvl="5">
      <w:start w:val="1"/>
      <w:numFmt w:val="lowerRoman"/>
      <w:lvlText w:val="%6."/>
      <w:lvlJc w:val="right"/>
      <w:pPr>
        <w:ind w:left="4536" w:hanging="180"/>
      </w:pPr>
    </w:lvl>
    <w:lvl w:ilvl="6">
      <w:start w:val="1"/>
      <w:numFmt w:val="decimal"/>
      <w:lvlText w:val="%7."/>
      <w:lvlJc w:val="left"/>
      <w:pPr>
        <w:ind w:left="5256" w:hanging="360"/>
      </w:pPr>
    </w:lvl>
    <w:lvl w:ilvl="7">
      <w:start w:val="1"/>
      <w:numFmt w:val="lowerLetter"/>
      <w:lvlText w:val="%8."/>
      <w:lvlJc w:val="left"/>
      <w:pPr>
        <w:ind w:left="5976" w:hanging="360"/>
      </w:pPr>
    </w:lvl>
    <w:lvl w:ilvl="8">
      <w:start w:val="1"/>
      <w:numFmt w:val="lowerRoman"/>
      <w:lvlText w:val="%9."/>
      <w:lvlJc w:val="right"/>
      <w:pPr>
        <w:ind w:left="6696" w:hanging="180"/>
      </w:pPr>
    </w:lvl>
  </w:abstractNum>
  <w:abstractNum w:abstractNumId="7" w15:restartNumberingAfterBreak="0">
    <w:nsid w:val="57760B20"/>
    <w:multiLevelType w:val="multilevel"/>
    <w:tmpl w:val="F9363F1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15:restartNumberingAfterBreak="0">
    <w:nsid w:val="784D6AD3"/>
    <w:multiLevelType w:val="multilevel"/>
    <w:tmpl w:val="CF9E998E"/>
    <w:lvl w:ilvl="0">
      <w:start w:val="1"/>
      <w:numFmt w:val="decimal"/>
      <w:pStyle w:val="Listaconvietas"/>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3"/>
  </w:num>
  <w:num w:numId="2">
    <w:abstractNumId w:val="8"/>
  </w:num>
  <w:num w:numId="3">
    <w:abstractNumId w:val="6"/>
  </w:num>
  <w:num w:numId="4">
    <w:abstractNumId w:val="1"/>
  </w:num>
  <w:num w:numId="5">
    <w:abstractNumId w:val="0"/>
  </w:num>
  <w:num w:numId="6">
    <w:abstractNumId w:val="5"/>
  </w:num>
  <w:num w:numId="7">
    <w:abstractNumId w:val="2"/>
  </w:num>
  <w:num w:numId="8">
    <w:abstractNumId w:val="7"/>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113F"/>
    <w:rsid w:val="000902A6"/>
    <w:rsid w:val="001222EF"/>
    <w:rsid w:val="002E636B"/>
    <w:rsid w:val="002F3ABD"/>
    <w:rsid w:val="002F78C1"/>
    <w:rsid w:val="00356228"/>
    <w:rsid w:val="003705B4"/>
    <w:rsid w:val="003773D2"/>
    <w:rsid w:val="003C3FE1"/>
    <w:rsid w:val="00433131"/>
    <w:rsid w:val="0044106E"/>
    <w:rsid w:val="005564D5"/>
    <w:rsid w:val="00580568"/>
    <w:rsid w:val="005961B5"/>
    <w:rsid w:val="005F7FEB"/>
    <w:rsid w:val="006227BF"/>
    <w:rsid w:val="006C5CC9"/>
    <w:rsid w:val="006D6EEB"/>
    <w:rsid w:val="00720852"/>
    <w:rsid w:val="00802C16"/>
    <w:rsid w:val="008A6918"/>
    <w:rsid w:val="009235A6"/>
    <w:rsid w:val="0097113F"/>
    <w:rsid w:val="00985D91"/>
    <w:rsid w:val="009875D3"/>
    <w:rsid w:val="00AA5401"/>
    <w:rsid w:val="00AD4FAE"/>
    <w:rsid w:val="00B045AC"/>
    <w:rsid w:val="00B811E9"/>
    <w:rsid w:val="00CA6D60"/>
    <w:rsid w:val="00CF458B"/>
    <w:rsid w:val="00D10CEA"/>
    <w:rsid w:val="00D87730"/>
    <w:rsid w:val="00DE1060"/>
    <w:rsid w:val="00F526F4"/>
    <w:rsid w:val="00F54CCB"/>
    <w:rsid w:val="00F77E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23D3A68"/>
  <w15:docId w15:val="{97DCEB8C-DF48-4639-83F5-FFFE23972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0" w:type="dxa"/>
        <w:left w:w="0" w:type="dxa"/>
        <w:bottom w:w="0" w:type="dxa"/>
        <w:right w:w="0" w:type="dxa"/>
      </w:tblCellMar>
    </w:tblPr>
  </w:style>
  <w:style w:type="table" w:customStyle="1" w:styleId="TableNormal2">
    <w:name w:val="Table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20">
    <w:name w:val="Table Normal2"/>
    <w:tblPr>
      <w:tblCellMar>
        <w:top w:w="0" w:type="dxa"/>
        <w:left w:w="0" w:type="dxa"/>
        <w:bottom w:w="0" w:type="dxa"/>
        <w:right w:w="0" w:type="dxa"/>
      </w:tblCellMar>
    </w:tblPr>
  </w:style>
  <w:style w:type="table" w:customStyle="1" w:styleId="TableNormal10">
    <w:name w:val="Table Normal1"/>
    <w:tblPr>
      <w:tblCellMar>
        <w:top w:w="0" w:type="dxa"/>
        <w:left w:w="0" w:type="dxa"/>
        <w:bottom w:w="0" w:type="dxa"/>
        <w:right w:w="0" w:type="dxa"/>
      </w:tblCellMar>
    </w:tblPr>
  </w:style>
  <w:style w:type="paragraph" w:styleId="Encabezado">
    <w:name w:val="header"/>
    <w:basedOn w:val="Normal"/>
    <w:link w:val="EncabezadoCar"/>
    <w:uiPriority w:val="99"/>
    <w:unhideWhenUsed/>
    <w:rsid w:val="00CD74AE"/>
    <w:pPr>
      <w:tabs>
        <w:tab w:val="center" w:pos="4419"/>
        <w:tab w:val="right" w:pos="8838"/>
      </w:tabs>
    </w:pPr>
  </w:style>
  <w:style w:type="character" w:customStyle="1" w:styleId="EncabezadoCar">
    <w:name w:val="Encabezado Car"/>
    <w:basedOn w:val="Fuentedeprrafopredeter"/>
    <w:link w:val="Encabezado"/>
    <w:uiPriority w:val="99"/>
    <w:rsid w:val="00CD74AE"/>
  </w:style>
  <w:style w:type="paragraph" w:styleId="Piedepgina">
    <w:name w:val="footer"/>
    <w:basedOn w:val="Normal"/>
    <w:link w:val="PiedepginaCar"/>
    <w:uiPriority w:val="99"/>
    <w:unhideWhenUsed/>
    <w:rsid w:val="00CD74AE"/>
    <w:pPr>
      <w:tabs>
        <w:tab w:val="center" w:pos="4419"/>
        <w:tab w:val="right" w:pos="8838"/>
      </w:tabs>
    </w:pPr>
  </w:style>
  <w:style w:type="character" w:customStyle="1" w:styleId="PiedepginaCar">
    <w:name w:val="Pie de página Car"/>
    <w:basedOn w:val="Fuentedeprrafopredeter"/>
    <w:link w:val="Piedepgina"/>
    <w:uiPriority w:val="99"/>
    <w:rsid w:val="00CD74AE"/>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5.9.1"/>
    <w:basedOn w:val="Normal"/>
    <w:link w:val="PrrafodelistaCar"/>
    <w:uiPriority w:val="1"/>
    <w:qFormat/>
    <w:rsid w:val="00CD74AE"/>
    <w:pPr>
      <w:ind w:left="720"/>
      <w:contextualSpacing/>
    </w:pPr>
  </w:style>
  <w:style w:type="character" w:styleId="Hipervnculo">
    <w:name w:val="Hyperlink"/>
    <w:aliases w:val="Hipervínculo1,Hipervínculo11,Hipervínculo12,Hipervínculo13,Hipervínculo14,Hipervínculo15"/>
    <w:basedOn w:val="Fuentedeprrafopredeter"/>
    <w:uiPriority w:val="99"/>
    <w:unhideWhenUsed/>
    <w:qFormat/>
    <w:rsid w:val="00CD74AE"/>
    <w:rPr>
      <w:color w:val="0563C1" w:themeColor="hyperlink"/>
      <w:u w:val="single"/>
    </w:rPr>
  </w:style>
  <w:style w:type="table" w:styleId="Tablaconcuadrcula">
    <w:name w:val="Table Grid"/>
    <w:basedOn w:val="Tablanormal"/>
    <w:uiPriority w:val="39"/>
    <w:rsid w:val="009C1D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D2AA5"/>
    <w:pPr>
      <w:spacing w:before="100" w:beforeAutospacing="1" w:after="100" w:afterAutospacing="1"/>
    </w:p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72"/>
    <w:qFormat/>
    <w:locked/>
    <w:rsid w:val="009F3FE6"/>
  </w:style>
  <w:style w:type="table" w:customStyle="1" w:styleId="6">
    <w:name w:val="6"/>
    <w:basedOn w:val="TableNormal10"/>
    <w:tblPr>
      <w:tblStyleRowBandSize w:val="1"/>
      <w:tblStyleColBandSize w:val="1"/>
      <w:tblCellMar>
        <w:top w:w="15" w:type="dxa"/>
        <w:left w:w="15" w:type="dxa"/>
        <w:bottom w:w="15" w:type="dxa"/>
        <w:right w:w="15" w:type="dxa"/>
      </w:tblCellMar>
    </w:tblPr>
  </w:style>
  <w:style w:type="table" w:customStyle="1" w:styleId="5">
    <w:name w:val="5"/>
    <w:basedOn w:val="TableNormal10"/>
    <w:tblPr>
      <w:tblStyleRowBandSize w:val="1"/>
      <w:tblStyleColBandSize w:val="1"/>
      <w:tblCellMar>
        <w:left w:w="115" w:type="dxa"/>
        <w:right w:w="115" w:type="dxa"/>
      </w:tblCellMar>
    </w:tblPr>
  </w:style>
  <w:style w:type="table" w:customStyle="1" w:styleId="4">
    <w:name w:val="4"/>
    <w:basedOn w:val="TableNormal10"/>
    <w:tblPr>
      <w:tblStyleRowBandSize w:val="1"/>
      <w:tblStyleColBandSize w:val="1"/>
      <w:tblCellMar>
        <w:left w:w="115" w:type="dxa"/>
        <w:right w:w="115" w:type="dxa"/>
      </w:tblCellMar>
    </w:tblPr>
  </w:style>
  <w:style w:type="table" w:customStyle="1" w:styleId="3">
    <w:name w:val="3"/>
    <w:basedOn w:val="TableNormal10"/>
    <w:tblPr>
      <w:tblStyleRowBandSize w:val="1"/>
      <w:tblStyleColBandSize w:val="1"/>
      <w:tblCellMar>
        <w:top w:w="15" w:type="dxa"/>
        <w:left w:w="115" w:type="dxa"/>
        <w:bottom w:w="15" w:type="dxa"/>
        <w:right w:w="115" w:type="dxa"/>
      </w:tblCellMar>
    </w:tblPr>
  </w:style>
  <w:style w:type="table" w:customStyle="1" w:styleId="2">
    <w:name w:val="2"/>
    <w:basedOn w:val="TableNormal10"/>
    <w:tblPr>
      <w:tblStyleRowBandSize w:val="1"/>
      <w:tblStyleColBandSize w:val="1"/>
      <w:tblCellMar>
        <w:top w:w="15" w:type="dxa"/>
        <w:left w:w="115" w:type="dxa"/>
        <w:bottom w:w="15" w:type="dxa"/>
        <w:right w:w="115" w:type="dxa"/>
      </w:tblCellMar>
    </w:tblPr>
  </w:style>
  <w:style w:type="table" w:customStyle="1" w:styleId="1">
    <w:name w:val="1"/>
    <w:basedOn w:val="TableNormal10"/>
    <w:tblPr>
      <w:tblStyleRowBandSize w:val="1"/>
      <w:tblStyleColBandSize w:val="1"/>
      <w:tblCellMar>
        <w:top w:w="15" w:type="dxa"/>
        <w:left w:w="115" w:type="dxa"/>
        <w:bottom w:w="15" w:type="dxa"/>
        <w:right w:w="115" w:type="dxa"/>
      </w:tblCellMar>
    </w:tblPr>
  </w:style>
  <w:style w:type="character" w:customStyle="1" w:styleId="Mencinsinresolver1">
    <w:name w:val="Mención sin resolver1"/>
    <w:basedOn w:val="Fuentedeprrafopredeter"/>
    <w:uiPriority w:val="99"/>
    <w:semiHidden/>
    <w:unhideWhenUsed/>
    <w:rsid w:val="00B63FC6"/>
    <w:rPr>
      <w:color w:val="605E5C"/>
      <w:shd w:val="clear" w:color="auto" w:fill="E1DFDD"/>
    </w:rPr>
  </w:style>
  <w:style w:type="character" w:customStyle="1" w:styleId="Mencinsinresolver2">
    <w:name w:val="Mención sin resolver2"/>
    <w:basedOn w:val="Fuentedeprrafopredeter"/>
    <w:uiPriority w:val="99"/>
    <w:semiHidden/>
    <w:unhideWhenUsed/>
    <w:rsid w:val="00AC79ED"/>
    <w:rPr>
      <w:color w:val="605E5C"/>
      <w:shd w:val="clear" w:color="auto" w:fill="E1DFDD"/>
    </w:rPr>
  </w:style>
  <w:style w:type="paragraph" w:customStyle="1" w:styleId="Default">
    <w:name w:val="Default"/>
    <w:rsid w:val="00A27592"/>
    <w:pPr>
      <w:autoSpaceDE w:val="0"/>
      <w:autoSpaceDN w:val="0"/>
      <w:adjustRightInd w:val="0"/>
    </w:pPr>
    <w:rPr>
      <w:rFonts w:ascii="Arial" w:hAnsi="Arial" w:cs="Arial"/>
      <w:color w:val="000000"/>
    </w:rPr>
  </w:style>
  <w:style w:type="character" w:customStyle="1" w:styleId="normaltextrun">
    <w:name w:val="normaltextrun"/>
    <w:basedOn w:val="Fuentedeprrafopredeter"/>
    <w:rsid w:val="002F3C2D"/>
  </w:style>
  <w:style w:type="paragraph" w:styleId="Sinespaciado">
    <w:name w:val="No Spacing"/>
    <w:aliases w:val="Francesa,INAI"/>
    <w:link w:val="SinespaciadoCar"/>
    <w:uiPriority w:val="1"/>
    <w:qFormat/>
    <w:rsid w:val="00F01E4E"/>
    <w:rPr>
      <w:lang w:val="es-ES" w:eastAsia="es-ES"/>
    </w:rPr>
  </w:style>
  <w:style w:type="character" w:customStyle="1" w:styleId="SinespaciadoCar">
    <w:name w:val="Sin espaciado Car"/>
    <w:aliases w:val="Francesa Car,INAI Car"/>
    <w:link w:val="Sinespaciado"/>
    <w:uiPriority w:val="1"/>
    <w:locked/>
    <w:rsid w:val="00F01E4E"/>
    <w:rPr>
      <w:rFonts w:ascii="Times New Roman" w:eastAsia="Times New Roman" w:hAnsi="Times New Roman" w:cs="Times New Roman"/>
      <w:sz w:val="24"/>
      <w:szCs w:val="24"/>
      <w:lang w:val="es-ES" w:eastAsia="es-ES"/>
    </w:rPr>
  </w:style>
  <w:style w:type="table" w:customStyle="1" w:styleId="9">
    <w:name w:val="9"/>
    <w:basedOn w:val="TableNormal20"/>
    <w:tblPr>
      <w:tblStyleRowBandSize w:val="1"/>
      <w:tblStyleColBandSize w:val="1"/>
      <w:tblCellMar>
        <w:left w:w="108" w:type="dxa"/>
        <w:right w:w="108" w:type="dxa"/>
      </w:tblCellMar>
    </w:tblPr>
  </w:style>
  <w:style w:type="table" w:customStyle="1" w:styleId="8">
    <w:name w:val="8"/>
    <w:basedOn w:val="TableNormal20"/>
    <w:tblPr>
      <w:tblStyleRowBandSize w:val="1"/>
      <w:tblStyleColBandSize w:val="1"/>
      <w:tblCellMar>
        <w:top w:w="15" w:type="dxa"/>
        <w:left w:w="115" w:type="dxa"/>
        <w:bottom w:w="15" w:type="dxa"/>
        <w:right w:w="115" w:type="dxa"/>
      </w:tblCellMar>
    </w:tblPr>
  </w:style>
  <w:style w:type="table" w:customStyle="1" w:styleId="7">
    <w:name w:val="7"/>
    <w:basedOn w:val="TableNormal20"/>
    <w:tblPr>
      <w:tblStyleRowBandSize w:val="1"/>
      <w:tblStyleColBandSize w:val="1"/>
      <w:tblCellMar>
        <w:top w:w="15" w:type="dxa"/>
        <w:left w:w="115" w:type="dxa"/>
        <w:bottom w:w="15" w:type="dxa"/>
        <w:right w:w="115" w:type="dxa"/>
      </w:tblCellMar>
    </w:tblPr>
  </w:style>
  <w:style w:type="character" w:customStyle="1" w:styleId="Mencinsinresolver3">
    <w:name w:val="Mención sin resolver3"/>
    <w:basedOn w:val="Fuentedeprrafopredeter"/>
    <w:uiPriority w:val="99"/>
    <w:semiHidden/>
    <w:unhideWhenUsed/>
    <w:rsid w:val="00B91EC4"/>
    <w:rPr>
      <w:color w:val="605E5C"/>
      <w:shd w:val="clear" w:color="auto" w:fill="E1DFDD"/>
    </w:rPr>
  </w:style>
  <w:style w:type="character" w:styleId="Refdecomentario">
    <w:name w:val="annotation reference"/>
    <w:basedOn w:val="Fuentedeprrafopredeter"/>
    <w:uiPriority w:val="99"/>
    <w:semiHidden/>
    <w:unhideWhenUsed/>
    <w:rsid w:val="007266CA"/>
    <w:rPr>
      <w:sz w:val="16"/>
      <w:szCs w:val="16"/>
    </w:rPr>
  </w:style>
  <w:style w:type="paragraph" w:styleId="Textocomentario">
    <w:name w:val="annotation text"/>
    <w:basedOn w:val="Normal"/>
    <w:link w:val="TextocomentarioCar"/>
    <w:uiPriority w:val="99"/>
    <w:semiHidden/>
    <w:unhideWhenUsed/>
    <w:rsid w:val="007266CA"/>
    <w:rPr>
      <w:sz w:val="20"/>
      <w:szCs w:val="20"/>
    </w:rPr>
  </w:style>
  <w:style w:type="character" w:customStyle="1" w:styleId="TextocomentarioCar">
    <w:name w:val="Texto comentario Car"/>
    <w:basedOn w:val="Fuentedeprrafopredeter"/>
    <w:link w:val="Textocomentario"/>
    <w:uiPriority w:val="99"/>
    <w:semiHidden/>
    <w:rsid w:val="007266CA"/>
    <w:rPr>
      <w:rFonts w:eastAsia="Times New Roman" w:cs="Times New Roman"/>
      <w:sz w:val="20"/>
      <w:szCs w:val="20"/>
      <w:lang w:eastAsia="en-US"/>
    </w:rPr>
  </w:style>
  <w:style w:type="paragraph" w:styleId="Asuntodelcomentario">
    <w:name w:val="annotation subject"/>
    <w:basedOn w:val="Textocomentario"/>
    <w:next w:val="Textocomentario"/>
    <w:link w:val="AsuntodelcomentarioCar"/>
    <w:uiPriority w:val="99"/>
    <w:semiHidden/>
    <w:unhideWhenUsed/>
    <w:rsid w:val="007266CA"/>
    <w:rPr>
      <w:b/>
      <w:bCs/>
    </w:rPr>
  </w:style>
  <w:style w:type="character" w:customStyle="1" w:styleId="AsuntodelcomentarioCar">
    <w:name w:val="Asunto del comentario Car"/>
    <w:basedOn w:val="TextocomentarioCar"/>
    <w:link w:val="Asuntodelcomentario"/>
    <w:uiPriority w:val="99"/>
    <w:semiHidden/>
    <w:rsid w:val="007266CA"/>
    <w:rPr>
      <w:rFonts w:eastAsia="Times New Roman" w:cs="Times New Roman"/>
      <w:b/>
      <w:bCs/>
      <w:sz w:val="20"/>
      <w:szCs w:val="20"/>
      <w:lang w:eastAsia="en-US"/>
    </w:rPr>
  </w:style>
  <w:style w:type="character" w:styleId="Textodelmarcadordeposicin">
    <w:name w:val="Placeholder Text"/>
    <w:basedOn w:val="Fuentedeprrafopredeter"/>
    <w:uiPriority w:val="99"/>
    <w:semiHidden/>
    <w:rsid w:val="007266CA"/>
    <w:rPr>
      <w:color w:val="808080"/>
    </w:rPr>
  </w:style>
  <w:style w:type="character" w:styleId="Hipervnculovisitado">
    <w:name w:val="FollowedHyperlink"/>
    <w:basedOn w:val="Fuentedeprrafopredeter"/>
    <w:uiPriority w:val="99"/>
    <w:semiHidden/>
    <w:unhideWhenUsed/>
    <w:rsid w:val="00FC1F2B"/>
    <w:rPr>
      <w:color w:val="954F72" w:themeColor="followedHyperlink"/>
      <w:u w:val="single"/>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ADB"/>
    <w:basedOn w:val="Normal"/>
    <w:link w:val="TextonotapieCar"/>
    <w:uiPriority w:val="99"/>
    <w:unhideWhenUsed/>
    <w:qFormat/>
    <w:rsid w:val="00FC1F2B"/>
    <w:rPr>
      <w:rFonts w:asciiTheme="minorHAnsi" w:eastAsiaTheme="minorHAnsi" w:hAnsiTheme="minorHAnsi" w:cstheme="minorBidi"/>
      <w:sz w:val="20"/>
      <w:szCs w:val="20"/>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basedOn w:val="Fuentedeprrafopredeter"/>
    <w:link w:val="Textonotapie"/>
    <w:uiPriority w:val="99"/>
    <w:qFormat/>
    <w:rsid w:val="00FC1F2B"/>
    <w:rPr>
      <w:rFonts w:asciiTheme="minorHAnsi" w:eastAsiaTheme="minorHAnsi" w:hAnsiTheme="minorHAnsi" w:cstheme="minorBidi"/>
      <w:sz w:val="20"/>
      <w:szCs w:val="20"/>
      <w:lang w:eastAsia="en-US"/>
    </w:rPr>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Ref,de nota al pie,註腳內容"/>
    <w:basedOn w:val="Fuentedeprrafopredeter"/>
    <w:uiPriority w:val="99"/>
    <w:unhideWhenUsed/>
    <w:qFormat/>
    <w:rsid w:val="00FC1F2B"/>
    <w:rPr>
      <w:vertAlign w:val="superscript"/>
    </w:rPr>
  </w:style>
  <w:style w:type="character" w:customStyle="1" w:styleId="PuestoCar">
    <w:name w:val="Puesto Car"/>
    <w:aliases w:val="Cita textual Car"/>
    <w:basedOn w:val="Fuentedeprrafopredeter"/>
    <w:uiPriority w:val="10"/>
    <w:rsid w:val="00EC101D"/>
    <w:rPr>
      <w:rFonts w:eastAsia="Times New Roman" w:cs="Times New Roman"/>
      <w:b/>
      <w:sz w:val="72"/>
      <w:szCs w:val="72"/>
      <w:lang w:eastAsia="en-US"/>
    </w:rPr>
  </w:style>
  <w:style w:type="table" w:customStyle="1" w:styleId="Tablanormal11">
    <w:name w:val="Tabla normal 11"/>
    <w:basedOn w:val="Tablanormal"/>
    <w:uiPriority w:val="41"/>
    <w:rsid w:val="009A0A8D"/>
    <w:rPr>
      <w:rFonts w:asciiTheme="minorHAnsi" w:eastAsiaTheme="minorHAnsi" w:hAnsiTheme="minorHAnsi" w:cstheme="minorBidi"/>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a">
    <w:basedOn w:val="TableNormal5"/>
    <w:tblPr>
      <w:tblStyleRowBandSize w:val="1"/>
      <w:tblStyleColBandSize w:val="1"/>
      <w:tblCellMar>
        <w:left w:w="115" w:type="dxa"/>
        <w:right w:w="115" w:type="dxa"/>
      </w:tblCellMar>
    </w:tblPr>
  </w:style>
  <w:style w:type="table" w:customStyle="1" w:styleId="a0">
    <w:basedOn w:val="TableNormal5"/>
    <w:tblPr>
      <w:tblStyleRowBandSize w:val="1"/>
      <w:tblStyleColBandSize w:val="1"/>
      <w:tblCellMar>
        <w:left w:w="115" w:type="dxa"/>
        <w:right w:w="115" w:type="dxa"/>
      </w:tblCellMar>
    </w:tblPr>
  </w:style>
  <w:style w:type="table" w:customStyle="1" w:styleId="a1">
    <w:basedOn w:val="TableNormal5"/>
    <w:tblPr>
      <w:tblStyleRowBandSize w:val="1"/>
      <w:tblStyleColBandSize w:val="1"/>
      <w:tblCellMar>
        <w:left w:w="115" w:type="dxa"/>
        <w:right w:w="115" w:type="dxa"/>
      </w:tblCellMar>
    </w:tblPr>
  </w:style>
  <w:style w:type="table" w:customStyle="1" w:styleId="a2">
    <w:basedOn w:val="TableNormal5"/>
    <w:tblPr>
      <w:tblStyleRowBandSize w:val="1"/>
      <w:tblStyleColBandSize w:val="1"/>
      <w:tblCellMar>
        <w:left w:w="115" w:type="dxa"/>
        <w:right w:w="115" w:type="dxa"/>
      </w:tblCellMar>
    </w:tblPr>
  </w:style>
  <w:style w:type="table" w:customStyle="1" w:styleId="a3">
    <w:basedOn w:val="TableNormal5"/>
    <w:tblPr>
      <w:tblStyleRowBandSize w:val="1"/>
      <w:tblStyleColBandSize w:val="1"/>
      <w:tblCellMar>
        <w:top w:w="15" w:type="dxa"/>
        <w:left w:w="115" w:type="dxa"/>
        <w:bottom w:w="15" w:type="dxa"/>
        <w:right w:w="115" w:type="dxa"/>
      </w:tblCellMar>
    </w:tblPr>
  </w:style>
  <w:style w:type="table" w:customStyle="1" w:styleId="a4">
    <w:basedOn w:val="TableNormal5"/>
    <w:tblPr>
      <w:tblStyleRowBandSize w:val="1"/>
      <w:tblStyleColBandSize w:val="1"/>
      <w:tblCellMar>
        <w:top w:w="15" w:type="dxa"/>
        <w:left w:w="115" w:type="dxa"/>
        <w:bottom w:w="15" w:type="dxa"/>
        <w:right w:w="115" w:type="dxa"/>
      </w:tblCellMar>
    </w:tblPr>
  </w:style>
  <w:style w:type="table" w:customStyle="1" w:styleId="a5">
    <w:basedOn w:val="TableNormal4"/>
    <w:tblPr>
      <w:tblStyleRowBandSize w:val="1"/>
      <w:tblStyleColBandSize w:val="1"/>
      <w:tblCellMar>
        <w:left w:w="115" w:type="dxa"/>
        <w:right w:w="115" w:type="dxa"/>
      </w:tblCellMar>
    </w:tblPr>
  </w:style>
  <w:style w:type="table" w:customStyle="1" w:styleId="a6">
    <w:basedOn w:val="TableNormal4"/>
    <w:tblPr>
      <w:tblStyleRowBandSize w:val="1"/>
      <w:tblStyleColBandSize w:val="1"/>
      <w:tblCellMar>
        <w:left w:w="115" w:type="dxa"/>
        <w:right w:w="115" w:type="dxa"/>
      </w:tblCellMar>
    </w:tblPr>
  </w:style>
  <w:style w:type="table" w:customStyle="1" w:styleId="a7">
    <w:basedOn w:val="TableNormal4"/>
    <w:tblPr>
      <w:tblStyleRowBandSize w:val="1"/>
      <w:tblStyleColBandSize w:val="1"/>
      <w:tblCellMar>
        <w:left w:w="115" w:type="dxa"/>
        <w:right w:w="115" w:type="dxa"/>
      </w:tblCellMar>
    </w:tblPr>
  </w:style>
  <w:style w:type="table" w:customStyle="1" w:styleId="a8">
    <w:basedOn w:val="TableNormal4"/>
    <w:tblPr>
      <w:tblStyleRowBandSize w:val="1"/>
      <w:tblStyleColBandSize w:val="1"/>
      <w:tblCellMar>
        <w:left w:w="115" w:type="dxa"/>
        <w:right w:w="115" w:type="dxa"/>
      </w:tblCellMar>
    </w:tblPr>
  </w:style>
  <w:style w:type="table" w:customStyle="1" w:styleId="a9">
    <w:basedOn w:val="TableNormal4"/>
    <w:tblPr>
      <w:tblStyleRowBandSize w:val="1"/>
      <w:tblStyleColBandSize w:val="1"/>
      <w:tblCellMar>
        <w:top w:w="15" w:type="dxa"/>
        <w:left w:w="115" w:type="dxa"/>
        <w:bottom w:w="15" w:type="dxa"/>
        <w:right w:w="115" w:type="dxa"/>
      </w:tblCellMar>
    </w:tblPr>
  </w:style>
  <w:style w:type="table" w:customStyle="1" w:styleId="aa">
    <w:basedOn w:val="TableNormal4"/>
    <w:tblPr>
      <w:tblStyleRowBandSize w:val="1"/>
      <w:tblStyleColBandSize w:val="1"/>
      <w:tblCellMar>
        <w:top w:w="15" w:type="dxa"/>
        <w:left w:w="115" w:type="dxa"/>
        <w:bottom w:w="15" w:type="dxa"/>
        <w:right w:w="115" w:type="dxa"/>
      </w:tblCellMar>
    </w:tblPr>
  </w:style>
  <w:style w:type="table" w:customStyle="1" w:styleId="ab">
    <w:basedOn w:val="TableNormal3"/>
    <w:tblPr>
      <w:tblStyleRowBandSize w:val="1"/>
      <w:tblStyleColBandSize w:val="1"/>
      <w:tblCellMar>
        <w:left w:w="115" w:type="dxa"/>
        <w:right w:w="115" w:type="dxa"/>
      </w:tblCellMar>
    </w:tblPr>
  </w:style>
  <w:style w:type="table" w:customStyle="1" w:styleId="ac">
    <w:basedOn w:val="TableNormal3"/>
    <w:tblPr>
      <w:tblStyleRowBandSize w:val="1"/>
      <w:tblStyleColBandSize w:val="1"/>
      <w:tblCellMar>
        <w:left w:w="115" w:type="dxa"/>
        <w:right w:w="115" w:type="dxa"/>
      </w:tblCellMar>
    </w:tblPr>
  </w:style>
  <w:style w:type="table" w:customStyle="1" w:styleId="ad">
    <w:basedOn w:val="TableNormal3"/>
    <w:tblPr>
      <w:tblStyleRowBandSize w:val="1"/>
      <w:tblStyleColBandSize w:val="1"/>
      <w:tblCellMar>
        <w:left w:w="115" w:type="dxa"/>
        <w:right w:w="115" w:type="dxa"/>
      </w:tblCellMar>
    </w:tblPr>
  </w:style>
  <w:style w:type="table" w:customStyle="1" w:styleId="ae">
    <w:basedOn w:val="TableNormal3"/>
    <w:tblPr>
      <w:tblStyleRowBandSize w:val="1"/>
      <w:tblStyleColBandSize w:val="1"/>
      <w:tblCellMar>
        <w:left w:w="115" w:type="dxa"/>
        <w:right w:w="115" w:type="dxa"/>
      </w:tblCellMar>
    </w:tblPr>
  </w:style>
  <w:style w:type="table" w:customStyle="1" w:styleId="af">
    <w:basedOn w:val="TableNormal3"/>
    <w:tblPr>
      <w:tblStyleRowBandSize w:val="1"/>
      <w:tblStyleColBandSize w:val="1"/>
      <w:tblCellMar>
        <w:left w:w="108" w:type="dxa"/>
        <w:right w:w="108" w:type="dxa"/>
      </w:tblCellMar>
    </w:tblPr>
  </w:style>
  <w:style w:type="table" w:customStyle="1" w:styleId="af0">
    <w:basedOn w:val="TableNormal3"/>
    <w:tblPr>
      <w:tblStyleRowBandSize w:val="1"/>
      <w:tblStyleColBandSize w:val="1"/>
      <w:tblCellMar>
        <w:left w:w="108" w:type="dxa"/>
        <w:right w:w="108" w:type="dxa"/>
      </w:tblCellMar>
    </w:tblPr>
  </w:style>
  <w:style w:type="table" w:customStyle="1" w:styleId="af1">
    <w:basedOn w:val="TableNormal3"/>
    <w:tblPr>
      <w:tblStyleRowBandSize w:val="1"/>
      <w:tblStyleColBandSize w:val="1"/>
      <w:tblCellMar>
        <w:top w:w="15" w:type="dxa"/>
        <w:left w:w="115" w:type="dxa"/>
        <w:bottom w:w="15" w:type="dxa"/>
        <w:right w:w="115" w:type="dxa"/>
      </w:tblCellMar>
    </w:tblPr>
  </w:style>
  <w:style w:type="table" w:customStyle="1" w:styleId="af2">
    <w:basedOn w:val="TableNormal3"/>
    <w:tblPr>
      <w:tblStyleRowBandSize w:val="1"/>
      <w:tblStyleColBandSize w:val="1"/>
      <w:tblCellMar>
        <w:top w:w="15" w:type="dxa"/>
        <w:left w:w="115" w:type="dxa"/>
        <w:bottom w:w="15" w:type="dxa"/>
        <w:right w:w="115" w:type="dxa"/>
      </w:tblCellMar>
    </w:tblPr>
  </w:style>
  <w:style w:type="character" w:styleId="Textoennegrita">
    <w:name w:val="Strong"/>
    <w:basedOn w:val="Fuentedeprrafopredeter"/>
    <w:uiPriority w:val="22"/>
    <w:qFormat/>
    <w:rsid w:val="00AC6527"/>
    <w:rPr>
      <w:b/>
      <w:bCs/>
    </w:rPr>
  </w:style>
  <w:style w:type="character" w:customStyle="1" w:styleId="apple-tab-span">
    <w:name w:val="apple-tab-span"/>
    <w:basedOn w:val="Fuentedeprrafopredeter"/>
    <w:rsid w:val="00EB58F7"/>
  </w:style>
  <w:style w:type="paragraph" w:styleId="Listaconvietas3">
    <w:name w:val="List Bullet 3"/>
    <w:basedOn w:val="Normal"/>
    <w:uiPriority w:val="99"/>
    <w:unhideWhenUsed/>
    <w:rsid w:val="00AF720B"/>
    <w:pPr>
      <w:numPr>
        <w:numId w:val="1"/>
      </w:numPr>
      <w:contextualSpacing/>
    </w:pPr>
  </w:style>
  <w:style w:type="table" w:customStyle="1" w:styleId="af3">
    <w:basedOn w:val="TableNormal2"/>
    <w:tblPr>
      <w:tblStyleRowBandSize w:val="1"/>
      <w:tblStyleColBandSize w:val="1"/>
      <w:tblCellMar>
        <w:left w:w="115" w:type="dxa"/>
        <w:right w:w="115" w:type="dxa"/>
      </w:tblCellMar>
    </w:tblPr>
  </w:style>
  <w:style w:type="table" w:customStyle="1" w:styleId="af4">
    <w:basedOn w:val="TableNormal2"/>
    <w:tblPr>
      <w:tblStyleRowBandSize w:val="1"/>
      <w:tblStyleColBandSize w:val="1"/>
      <w:tblCellMar>
        <w:top w:w="15" w:type="dxa"/>
        <w:left w:w="115" w:type="dxa"/>
        <w:bottom w:w="15" w:type="dxa"/>
        <w:right w:w="115" w:type="dxa"/>
      </w:tblCellMar>
    </w:tblPr>
  </w:style>
  <w:style w:type="table" w:customStyle="1" w:styleId="af5">
    <w:basedOn w:val="TableNormal2"/>
    <w:tblPr>
      <w:tblStyleRowBandSize w:val="1"/>
      <w:tblStyleColBandSize w:val="1"/>
      <w:tblCellMar>
        <w:top w:w="15" w:type="dxa"/>
        <w:left w:w="115" w:type="dxa"/>
        <w:bottom w:w="15" w:type="dxa"/>
        <w:right w:w="115" w:type="dxa"/>
      </w:tblCellMar>
    </w:tblPr>
  </w:style>
  <w:style w:type="paragraph" w:styleId="Listaconvietas">
    <w:name w:val="List Bullet"/>
    <w:basedOn w:val="Normal"/>
    <w:uiPriority w:val="99"/>
    <w:unhideWhenUsed/>
    <w:rsid w:val="00E97D6F"/>
    <w:pPr>
      <w:numPr>
        <w:numId w:val="2"/>
      </w:numPr>
      <w:contextualSpacing/>
    </w:pPr>
    <w:rPr>
      <w:lang w:val="es-ES"/>
    </w:rPr>
  </w:style>
  <w:style w:type="character" w:customStyle="1" w:styleId="Mencinsinresolver4">
    <w:name w:val="Mención sin resolver4"/>
    <w:basedOn w:val="Fuentedeprrafopredeter"/>
    <w:uiPriority w:val="99"/>
    <w:semiHidden/>
    <w:unhideWhenUsed/>
    <w:rsid w:val="00E8288F"/>
    <w:rPr>
      <w:color w:val="605E5C"/>
      <w:shd w:val="clear" w:color="auto" w:fill="E1DFDD"/>
    </w:rPr>
  </w:style>
  <w:style w:type="paragraph" w:customStyle="1" w:styleId="xgmail-msonormal">
    <w:name w:val="x_gmail-msonormal"/>
    <w:basedOn w:val="Normal"/>
    <w:rsid w:val="009B2050"/>
    <w:pPr>
      <w:spacing w:before="100" w:beforeAutospacing="1" w:after="100" w:afterAutospacing="1"/>
    </w:pPr>
    <w:rPr>
      <w:lang w:val="en-US" w:eastAsia="en-US"/>
    </w:rPr>
  </w:style>
  <w:style w:type="table" w:customStyle="1" w:styleId="11">
    <w:name w:val="11"/>
    <w:basedOn w:val="Tablanormal"/>
    <w:rsid w:val="0087332C"/>
    <w:rPr>
      <w:lang w:val="es-ES"/>
    </w:rPr>
    <w:tblPr>
      <w:tblStyleRowBandSize w:val="1"/>
      <w:tblStyleColBandSize w:val="1"/>
      <w:tblInd w:w="0" w:type="nil"/>
      <w:tblCellMar>
        <w:left w:w="115" w:type="dxa"/>
        <w:right w:w="115" w:type="dxa"/>
      </w:tblCellMar>
    </w:tblPr>
  </w:style>
  <w:style w:type="table" w:customStyle="1" w:styleId="10">
    <w:name w:val="10"/>
    <w:basedOn w:val="Tablanormal"/>
    <w:rsid w:val="0087332C"/>
    <w:rPr>
      <w:lang w:val="es-ES"/>
    </w:rPr>
    <w:tblPr>
      <w:tblStyleRowBandSize w:val="1"/>
      <w:tblStyleColBandSize w:val="1"/>
      <w:tblInd w:w="0" w:type="nil"/>
      <w:tblCellMar>
        <w:left w:w="115" w:type="dxa"/>
        <w:right w:w="115" w:type="dxa"/>
      </w:tblCellMar>
    </w:tblPr>
  </w:style>
  <w:style w:type="table" w:customStyle="1" w:styleId="af6">
    <w:basedOn w:val="TableNormal1"/>
    <w:tblPr>
      <w:tblStyleRowBandSize w:val="1"/>
      <w:tblStyleColBandSize w:val="1"/>
      <w:tblCellMar>
        <w:top w:w="15" w:type="dxa"/>
        <w:left w:w="115" w:type="dxa"/>
        <w:bottom w:w="15" w:type="dxa"/>
        <w:right w:w="115" w:type="dxa"/>
      </w:tblCellMar>
    </w:tblPr>
  </w:style>
  <w:style w:type="table" w:customStyle="1" w:styleId="af7">
    <w:basedOn w:val="TableNormal1"/>
    <w:tblPr>
      <w:tblStyleRowBandSize w:val="1"/>
      <w:tblStyleColBandSize w:val="1"/>
      <w:tblCellMar>
        <w:top w:w="15" w:type="dxa"/>
        <w:left w:w="115" w:type="dxa"/>
        <w:bottom w:w="15" w:type="dxa"/>
        <w:right w:w="115" w:type="dxa"/>
      </w:tblCellMar>
    </w:tblPr>
  </w:style>
  <w:style w:type="paragraph" w:styleId="Textoindependiente">
    <w:name w:val="Body Text"/>
    <w:basedOn w:val="Normal"/>
    <w:link w:val="TextoindependienteCar"/>
    <w:uiPriority w:val="99"/>
    <w:unhideWhenUsed/>
    <w:rsid w:val="00FB389B"/>
    <w:pPr>
      <w:spacing w:after="120"/>
    </w:pPr>
    <w:rPr>
      <w:lang w:val="es-ES" w:eastAsia="es-ES"/>
    </w:rPr>
  </w:style>
  <w:style w:type="character" w:customStyle="1" w:styleId="TextoindependienteCar">
    <w:name w:val="Texto independiente Car"/>
    <w:basedOn w:val="Fuentedeprrafopredeter"/>
    <w:link w:val="Textoindependiente"/>
    <w:uiPriority w:val="99"/>
    <w:rsid w:val="00FB389B"/>
    <w:rPr>
      <w:lang w:val="es-ES" w:eastAsia="es-ES"/>
    </w:rPr>
  </w:style>
  <w:style w:type="paragraph" w:customStyle="1" w:styleId="INFOEM">
    <w:name w:val="INFOEM"/>
    <w:basedOn w:val="Normal"/>
    <w:qFormat/>
    <w:rsid w:val="00D5108C"/>
    <w:pPr>
      <w:spacing w:before="240" w:after="160" w:line="360" w:lineRule="auto"/>
      <w:ind w:left="851" w:right="851"/>
      <w:jc w:val="both"/>
    </w:pPr>
    <w:rPr>
      <w:rFonts w:ascii="Palatino Linotype" w:eastAsiaTheme="minorHAnsi" w:hAnsi="Palatino Linotype" w:cstheme="minorBidi"/>
      <w:i/>
      <w:sz w:val="22"/>
      <w:szCs w:val="14"/>
      <w:lang w:eastAsia="en-US"/>
    </w:rPr>
  </w:style>
  <w:style w:type="character" w:customStyle="1" w:styleId="UnresolvedMention">
    <w:name w:val="Unresolved Mention"/>
    <w:basedOn w:val="Fuentedeprrafopredeter"/>
    <w:uiPriority w:val="99"/>
    <w:semiHidden/>
    <w:unhideWhenUsed/>
    <w:rsid w:val="00675376"/>
    <w:rPr>
      <w:color w:val="605E5C"/>
      <w:shd w:val="clear" w:color="auto" w:fill="E1DFDD"/>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f8">
    <w:basedOn w:val="TableNormal0"/>
    <w:tblPr>
      <w:tblStyleRowBandSize w:val="1"/>
      <w:tblStyleColBandSize w:val="1"/>
      <w:tblCellMar>
        <w:top w:w="0" w:type="dxa"/>
        <w:left w:w="115" w:type="dxa"/>
        <w:bottom w:w="0" w:type="dxa"/>
        <w:right w:w="115" w:type="dxa"/>
      </w:tblCellMar>
    </w:tblPr>
  </w:style>
  <w:style w:type="table" w:customStyle="1" w:styleId="af9">
    <w:basedOn w:val="TableNormal0"/>
    <w:tblPr>
      <w:tblStyleRowBandSize w:val="1"/>
      <w:tblStyleColBandSize w:val="1"/>
      <w:tblCellMar>
        <w:top w:w="15" w:type="dxa"/>
        <w:left w:w="115" w:type="dxa"/>
        <w:bottom w:w="15" w:type="dxa"/>
        <w:right w:w="115" w:type="dxa"/>
      </w:tblCellMar>
    </w:tblPr>
  </w:style>
  <w:style w:type="table" w:customStyle="1" w:styleId="afa">
    <w:basedOn w:val="TableNormal0"/>
    <w:tblPr>
      <w:tblStyleRowBandSize w:val="1"/>
      <w:tblStyleColBandSize w:val="1"/>
      <w:tblCellMar>
        <w:top w:w="15" w:type="dxa"/>
        <w:left w:w="115" w:type="dxa"/>
        <w:bottom w:w="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42782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pomex.org.mx/ipome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ipomex.org.mx/ipomex/"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0v0dGEI5aDTBiq5mfObNnIbBA==">CgMxLjAyCWguM3pueXNoNzIJaC4yZXQ5MnAwOAByITF0c2lNV2ZLZnRURTZnR3JMM3ZQTTZzTjBmZ0IwZ0V0TA==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54</Pages>
  <Words>13526</Words>
  <Characters>74395</Characters>
  <Application>Microsoft Office Word</Application>
  <DocSecurity>0</DocSecurity>
  <Lines>619</Lines>
  <Paragraphs>175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87746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Cuenta Microsoft</dc:creator>
  <cp:lastModifiedBy>Maricela Villagómez Martínez</cp:lastModifiedBy>
  <cp:revision>2</cp:revision>
  <cp:lastPrinted>2026-09-25T18:42:00Z</cp:lastPrinted>
  <dcterms:created xsi:type="dcterms:W3CDTF">2026-09-28T16:45:00Z</dcterms:created>
  <dcterms:modified xsi:type="dcterms:W3CDTF">2026-09-28T16:45:00Z</dcterms:modified>
</cp:coreProperties>
</file>