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1FC" w:rsidRDefault="008C72DB">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bookmarkStart w:id="0" w:name="_heading=h.sre9h05q4v0b" w:colFirst="0" w:colLast="0"/>
      <w:bookmarkEnd w:id="0"/>
      <w:r>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Pr>
          <w:rFonts w:ascii="Palatino Linotype" w:eastAsia="Palatino Linotype" w:hAnsi="Palatino Linotype" w:cs="Palatino Linotype"/>
          <w:b/>
          <w:bCs/>
          <w:color w:val="000000"/>
        </w:rPr>
        <w:t>de</w:t>
      </w:r>
      <w:r>
        <w:rPr>
          <w:rFonts w:ascii="Palatino Linotype" w:eastAsia="Palatino Linotype" w:hAnsi="Palatino Linotype" w:cs="Palatino Linotype"/>
          <w:b/>
          <w:bCs/>
        </w:rPr>
        <w:t xml:space="preserve"> fecha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rPr>
        <w:t>veinte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rPr>
        <w:t>20</w:t>
      </w:r>
      <w:r>
        <w:rPr>
          <w:rFonts w:ascii="Palatino Linotype" w:eastAsia="Palatino Linotype" w:hAnsi="Palatino Linotype" w:cs="Palatino Linotype"/>
          <w:b/>
          <w:bCs/>
          <w:color w:val="000000"/>
        </w:rPr>
        <w:t>) de mayo de dos mil veintiséis.</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DD51FC" w:rsidRDefault="008C72DB">
      <w:pPr>
        <w:pBdr>
          <w:top w:val="nil"/>
          <w:left w:val="nil"/>
          <w:bottom w:val="nil"/>
          <w:right w:val="nil"/>
          <w:between w:val="nil"/>
        </w:pBdr>
        <w:tabs>
          <w:tab w:val="center" w:pos="4252"/>
          <w:tab w:val="right" w:pos="8504"/>
        </w:tabs>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VISTO</w:t>
      </w:r>
      <w:r>
        <w:rPr>
          <w:rFonts w:ascii="Palatino Linotype" w:eastAsia="Palatino Linotype" w:hAnsi="Palatino Linotype" w:cs="Palatino Linotype"/>
          <w:color w:val="000000"/>
        </w:rPr>
        <w:t xml:space="preserve"> en el expediente electrónico formado con motivo de los recursos de revisión números </w:t>
      </w:r>
      <w:r w:rsidRPr="00A37206">
        <w:rPr>
          <w:rFonts w:ascii="Palatino Linotype" w:eastAsia="Palatino Linotype" w:hAnsi="Palatino Linotype" w:cs="Palatino Linotype"/>
          <w:b/>
          <w:color w:val="000000"/>
        </w:rPr>
        <w:t>0</w:t>
      </w:r>
      <w:r>
        <w:rPr>
          <w:rFonts w:ascii="Palatino Linotype" w:eastAsia="Palatino Linotype" w:hAnsi="Palatino Linotype" w:cs="Palatino Linotype"/>
          <w:b/>
          <w:bCs/>
          <w:color w:val="000000"/>
        </w:rPr>
        <w:t>1373/INFOEM/IP/RR/2026 y 01378/INFOEM/IP/RR/2026</w:t>
      </w:r>
      <w:r>
        <w:rPr>
          <w:rFonts w:ascii="Palatino Linotype" w:eastAsia="Palatino Linotype" w:hAnsi="Palatino Linotype" w:cs="Palatino Linotype"/>
          <w:color w:val="000000"/>
        </w:rPr>
        <w:t xml:space="preserve">, promovidos por </w:t>
      </w:r>
      <w:r>
        <w:rPr>
          <w:rFonts w:ascii="Palatino Linotype" w:eastAsia="Palatino Linotype" w:hAnsi="Palatino Linotype" w:cs="Palatino Linotype"/>
          <w:b/>
          <w:bCs/>
          <w:color w:val="000000"/>
        </w:rPr>
        <w:t>un usua</w:t>
      </w:r>
      <w:r>
        <w:rPr>
          <w:rFonts w:ascii="Palatino Linotype" w:eastAsia="Palatino Linotype" w:hAnsi="Palatino Linotype" w:cs="Palatino Linotype"/>
          <w:b/>
          <w:bCs/>
        </w:rPr>
        <w:t>rio que no registró nombre alguno,</w:t>
      </w:r>
      <w:r>
        <w:rPr>
          <w:rFonts w:ascii="Palatino Linotype" w:eastAsia="Palatino Linotype" w:hAnsi="Palatino Linotype" w:cs="Palatino Linotype"/>
          <w:color w:val="000000"/>
        </w:rPr>
        <w:t xml:space="preserve"> a quien llamaremos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en contra de la respuesta del </w:t>
      </w:r>
      <w:r>
        <w:rPr>
          <w:rFonts w:ascii="Palatino Linotype" w:eastAsia="Palatino Linotype" w:hAnsi="Palatino Linotype" w:cs="Palatino Linotype"/>
          <w:b/>
          <w:bCs/>
          <w:color w:val="000000"/>
        </w:rPr>
        <w:t>Ayuntamiento de Toluca,</w:t>
      </w:r>
      <w:r>
        <w:rPr>
          <w:rFonts w:ascii="Palatino Linotype" w:eastAsia="Palatino Linotype" w:hAnsi="Palatino Linotype" w:cs="Palatino Linotype"/>
          <w:color w:val="000000"/>
        </w:rPr>
        <w:t xml:space="preserve"> en lo sucesivo el</w:t>
      </w:r>
      <w:r>
        <w:rPr>
          <w:rFonts w:ascii="Palatino Linotype" w:eastAsia="Palatino Linotype" w:hAnsi="Palatino Linotype" w:cs="Palatino Linotype"/>
          <w:b/>
          <w:bCs/>
          <w:color w:val="000000"/>
        </w:rPr>
        <w:t xml:space="preserve"> SUJETO OBLIGADO, </w:t>
      </w:r>
      <w:r>
        <w:rPr>
          <w:rFonts w:ascii="Palatino Linotype" w:eastAsia="Palatino Linotype" w:hAnsi="Palatino Linotype" w:cs="Palatino Linotype"/>
          <w:color w:val="000000"/>
        </w:rPr>
        <w:t>se procede a dictar la presente resolución, con base en los siguientes:</w:t>
      </w:r>
    </w:p>
    <w:p w:rsidR="00DD51FC" w:rsidRDefault="00DD51FC">
      <w:pPr>
        <w:pBdr>
          <w:top w:val="nil"/>
          <w:left w:val="nil"/>
          <w:bottom w:val="nil"/>
          <w:right w:val="nil"/>
          <w:between w:val="nil"/>
        </w:pBdr>
        <w:tabs>
          <w:tab w:val="center" w:pos="4252"/>
          <w:tab w:val="right" w:pos="8504"/>
        </w:tabs>
        <w:spacing w:line="360" w:lineRule="auto"/>
        <w:ind w:right="-989"/>
        <w:jc w:val="both"/>
        <w:rPr>
          <w:rFonts w:ascii="Palatino Linotype" w:eastAsia="Palatino Linotype" w:hAnsi="Palatino Linotype" w:cs="Palatino Linotype"/>
          <w:b/>
          <w:bCs/>
          <w:color w:val="000000"/>
        </w:rPr>
      </w:pPr>
    </w:p>
    <w:p w:rsidR="00DD51FC" w:rsidRDefault="008C72DB">
      <w:pPr>
        <w:pStyle w:val="Ttulo2"/>
        <w:spacing w:line="360" w:lineRule="auto"/>
        <w:ind w:right="-989"/>
        <w:jc w:val="center"/>
      </w:pPr>
      <w:bookmarkStart w:id="1" w:name="_heading=h.gjdgxs" w:colFirst="0" w:colLast="0"/>
      <w:bookmarkEnd w:id="1"/>
      <w:r>
        <w:t>A N T E C E D E N T E S</w:t>
      </w:r>
    </w:p>
    <w:p w:rsidR="00DD51FC" w:rsidRDefault="00DD51FC"/>
    <w:p w:rsidR="00DD51FC" w:rsidRDefault="008C72DB">
      <w:pPr>
        <w:numPr>
          <w:ilvl w:val="0"/>
          <w:numId w:val="4"/>
        </w:numPr>
        <w:pBdr>
          <w:top w:val="nil"/>
          <w:left w:val="nil"/>
          <w:bottom w:val="nil"/>
          <w:right w:val="nil"/>
          <w:between w:val="nil"/>
        </w:pBdr>
        <w:tabs>
          <w:tab w:val="left" w:pos="426"/>
          <w:tab w:val="left" w:pos="567"/>
        </w:tabs>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dos de enero de dos mil veintiséis</w:t>
      </w:r>
      <w:r>
        <w:rPr>
          <w:rFonts w:ascii="Palatino Linotype" w:eastAsia="Palatino Linotype" w:hAnsi="Palatino Linotype" w:cs="Palatino Linotype"/>
          <w:color w:val="000000"/>
        </w:rPr>
        <w:t>, se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presentaron</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las solicitudes de información pública registradas con los números </w:t>
      </w:r>
      <w:r>
        <w:rPr>
          <w:rFonts w:ascii="Palatino Linotype" w:eastAsia="Palatino Linotype" w:hAnsi="Palatino Linotype" w:cs="Palatino Linotype"/>
          <w:b/>
          <w:bCs/>
          <w:color w:val="000000"/>
        </w:rPr>
        <w:t xml:space="preserve">00129/TOLUCA/IP/2026 y 00134/TOLUCA/IP/2026 </w:t>
      </w:r>
      <w:r>
        <w:rPr>
          <w:rFonts w:ascii="Palatino Linotype" w:eastAsia="Palatino Linotype" w:hAnsi="Palatino Linotype" w:cs="Palatino Linotype"/>
        </w:rPr>
        <w:t xml:space="preserve">en las que </w:t>
      </w:r>
      <w:r>
        <w:rPr>
          <w:rFonts w:ascii="Palatino Linotype" w:eastAsia="Palatino Linotype" w:hAnsi="Palatino Linotype" w:cs="Palatino Linotype"/>
          <w:color w:val="000000"/>
        </w:rPr>
        <w:t>se requirió lo siguiente:</w:t>
      </w:r>
    </w:p>
    <w:p w:rsidR="00DD51FC" w:rsidRDefault="00DD51FC">
      <w:pPr>
        <w:pBdr>
          <w:top w:val="nil"/>
          <w:left w:val="nil"/>
          <w:bottom w:val="nil"/>
          <w:right w:val="nil"/>
          <w:between w:val="nil"/>
        </w:pBdr>
        <w:tabs>
          <w:tab w:val="left" w:pos="426"/>
          <w:tab w:val="left" w:pos="567"/>
        </w:tabs>
        <w:spacing w:line="360" w:lineRule="auto"/>
        <w:ind w:right="-989"/>
        <w:jc w:val="both"/>
        <w:rPr>
          <w:rFonts w:ascii="Palatino Linotype" w:eastAsia="Palatino Linotype" w:hAnsi="Palatino Linotype" w:cs="Palatino Linotype"/>
          <w:color w:val="000000"/>
        </w:rPr>
      </w:pP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00129/TOLUCA/IP/2026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“Se solicitan todos los oficios que se recibieron y lo que se emitieron en el mes de abril 2025 en la Dirección General de Administración y sus Direcciones de área” (Sic)</w:t>
      </w:r>
    </w:p>
    <w:p w:rsidR="00DD51FC" w:rsidRDefault="00DD51FC">
      <w:pPr>
        <w:pBdr>
          <w:top w:val="nil"/>
          <w:left w:val="nil"/>
          <w:bottom w:val="nil"/>
          <w:right w:val="nil"/>
          <w:between w:val="nil"/>
        </w:pBdr>
        <w:ind w:left="567" w:right="-989"/>
        <w:jc w:val="both"/>
        <w:rPr>
          <w:rFonts w:ascii="Palatino Linotype" w:eastAsia="Palatino Linotype" w:hAnsi="Palatino Linotype" w:cs="Palatino Linotype"/>
          <w:i/>
          <w:iCs/>
          <w:color w:val="000000"/>
        </w:rPr>
      </w:pP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00134/TOLUCA/IP/2026</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“Se solicitan todos los oficios que se recibieron y lo que se emitieron en el mes de septiembre 2025 Dirección General de Administración y sus Direcciones de área (Sic)</w:t>
      </w:r>
    </w:p>
    <w:p w:rsidR="00DD51FC" w:rsidRDefault="00DD51FC">
      <w:pPr>
        <w:pBdr>
          <w:top w:val="nil"/>
          <w:left w:val="nil"/>
          <w:bottom w:val="nil"/>
          <w:right w:val="nil"/>
          <w:between w:val="nil"/>
        </w:pBdr>
        <w:ind w:left="567" w:right="-989"/>
        <w:jc w:val="both"/>
        <w:rPr>
          <w:rFonts w:ascii="Palatino Linotype" w:eastAsia="Palatino Linotype" w:hAnsi="Palatino Linotype" w:cs="Palatino Linotype"/>
          <w:i/>
          <w:iCs/>
        </w:rPr>
      </w:pPr>
    </w:p>
    <w:p w:rsidR="00DD51FC" w:rsidRDefault="00DD51FC">
      <w:pPr>
        <w:pBdr>
          <w:top w:val="nil"/>
          <w:left w:val="nil"/>
          <w:bottom w:val="nil"/>
          <w:right w:val="nil"/>
          <w:between w:val="nil"/>
        </w:pBdr>
        <w:ind w:left="567" w:right="-989"/>
        <w:jc w:val="both"/>
        <w:rPr>
          <w:rFonts w:ascii="Palatino Linotype" w:eastAsia="Palatino Linotype" w:hAnsi="Palatino Linotype" w:cs="Palatino Linotype"/>
          <w:i/>
          <w:iCs/>
        </w:rPr>
      </w:pPr>
    </w:p>
    <w:p w:rsidR="00DD51FC" w:rsidRDefault="008C72DB">
      <w:pPr>
        <w:numPr>
          <w:ilvl w:val="0"/>
          <w:numId w:val="4"/>
        </w:numPr>
        <w:pBdr>
          <w:top w:val="nil"/>
          <w:left w:val="nil"/>
          <w:bottom w:val="nil"/>
          <w:right w:val="nil"/>
          <w:between w:val="nil"/>
        </w:pBdr>
        <w:tabs>
          <w:tab w:val="left" w:pos="426"/>
          <w:tab w:val="left" w:pos="567"/>
        </w:tabs>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Se señaló como modalidad de entrega de la información: a través de </w:t>
      </w:r>
      <w:r>
        <w:rPr>
          <w:rFonts w:ascii="Palatino Linotype" w:eastAsia="Palatino Linotype" w:hAnsi="Palatino Linotype" w:cs="Palatino Linotype"/>
          <w:b/>
          <w:bCs/>
          <w:color w:val="000000"/>
        </w:rPr>
        <w:t>SAIMEX.</w:t>
      </w:r>
    </w:p>
    <w:p w:rsidR="00DD51FC" w:rsidRDefault="00DD51FC">
      <w:pPr>
        <w:pBdr>
          <w:top w:val="nil"/>
          <w:left w:val="nil"/>
          <w:bottom w:val="nil"/>
          <w:right w:val="nil"/>
          <w:between w:val="nil"/>
        </w:pBdr>
        <w:tabs>
          <w:tab w:val="left" w:pos="426"/>
          <w:tab w:val="left" w:pos="567"/>
        </w:tabs>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tabs>
          <w:tab w:val="left" w:pos="426"/>
          <w:tab w:val="left" w:pos="567"/>
        </w:tabs>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tres de febrero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emitió respuesta, en los mismos términos:</w:t>
      </w:r>
    </w:p>
    <w:p w:rsidR="00DD51FC" w:rsidRDefault="008C72DB">
      <w:pPr>
        <w:tabs>
          <w:tab w:val="left" w:pos="851"/>
          <w:tab w:val="left" w:pos="1418"/>
        </w:tabs>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DD51FC" w:rsidRDefault="00DD51FC">
      <w:pPr>
        <w:tabs>
          <w:tab w:val="left" w:pos="851"/>
          <w:tab w:val="left" w:pos="1418"/>
        </w:tabs>
        <w:ind w:left="567" w:right="-989"/>
        <w:jc w:val="both"/>
        <w:rPr>
          <w:rFonts w:ascii="Palatino Linotype" w:eastAsia="Palatino Linotype" w:hAnsi="Palatino Linotype" w:cs="Palatino Linotype"/>
          <w:i/>
          <w:iCs/>
          <w:color w:val="000000"/>
        </w:rPr>
      </w:pPr>
    </w:p>
    <w:p w:rsidR="00DD51FC" w:rsidRDefault="008C72DB">
      <w:pPr>
        <w:tabs>
          <w:tab w:val="left" w:pos="851"/>
          <w:tab w:val="left" w:pos="1418"/>
        </w:tabs>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atención a la solicitud con folio…, me permito adjuntar al presente la respuesta correspondiente, Sin más por el momento, reciba un saludo.”(Sic.)</w:t>
      </w:r>
    </w:p>
    <w:p w:rsidR="00DD51FC" w:rsidRDefault="00DD51FC">
      <w:pPr>
        <w:tabs>
          <w:tab w:val="left" w:pos="851"/>
          <w:tab w:val="left" w:pos="1418"/>
        </w:tabs>
        <w:ind w:right="-989"/>
        <w:jc w:val="both"/>
        <w:rPr>
          <w:rFonts w:ascii="Palatino Linotype" w:eastAsia="Palatino Linotype" w:hAnsi="Palatino Linotype" w:cs="Palatino Linotype"/>
        </w:rPr>
      </w:pPr>
    </w:p>
    <w:p w:rsidR="00DD51FC" w:rsidRDefault="008C72DB">
      <w:pPr>
        <w:tabs>
          <w:tab w:val="left" w:pos="851"/>
          <w:tab w:val="left" w:pos="1418"/>
        </w:tabs>
        <w:ind w:right="-989"/>
        <w:jc w:val="both"/>
        <w:rPr>
          <w:rFonts w:ascii="Palatino Linotype" w:eastAsia="Palatino Linotype" w:hAnsi="Palatino Linotype" w:cs="Palatino Linotype"/>
        </w:rPr>
      </w:pPr>
      <w:r>
        <w:rPr>
          <w:rFonts w:ascii="Palatino Linotype" w:eastAsia="Palatino Linotype" w:hAnsi="Palatino Linotype" w:cs="Palatino Linotype"/>
        </w:rPr>
        <w:t>Archivos electrónicos adjuntos:</w:t>
      </w:r>
    </w:p>
    <w:p w:rsidR="00DD51FC" w:rsidRDefault="00DD51FC">
      <w:pPr>
        <w:tabs>
          <w:tab w:val="left" w:pos="851"/>
          <w:tab w:val="left" w:pos="1418"/>
        </w:tabs>
        <w:spacing w:line="276" w:lineRule="auto"/>
        <w:ind w:right="-989"/>
        <w:jc w:val="both"/>
        <w:rPr>
          <w:rFonts w:ascii="Palatino Linotype" w:eastAsia="Palatino Linotype" w:hAnsi="Palatino Linotype" w:cs="Palatino Linotype"/>
        </w:rPr>
      </w:pPr>
    </w:p>
    <w:p w:rsidR="00DD51FC" w:rsidRDefault="008C72DB">
      <w:pPr>
        <w:pBdr>
          <w:top w:val="nil"/>
          <w:left w:val="nil"/>
          <w:bottom w:val="nil"/>
          <w:right w:val="nil"/>
          <w:between w:val="nil"/>
        </w:pBdr>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00129/TOLUCA/IP/2026</w:t>
      </w:r>
    </w:p>
    <w:p w:rsidR="00DD51FC" w:rsidRDefault="00DD51FC">
      <w:pPr>
        <w:pBdr>
          <w:top w:val="nil"/>
          <w:left w:val="nil"/>
          <w:bottom w:val="nil"/>
          <w:right w:val="nil"/>
          <w:between w:val="nil"/>
        </w:pBdr>
        <w:ind w:left="1287" w:right="-989"/>
        <w:jc w:val="both"/>
        <w:rPr>
          <w:rFonts w:ascii="Palatino Linotype" w:eastAsia="Palatino Linotype" w:hAnsi="Palatino Linotype" w:cs="Palatino Linotype"/>
          <w:i/>
          <w:iCs/>
          <w:color w:val="000000"/>
        </w:rPr>
      </w:pPr>
    </w:p>
    <w:p w:rsidR="00DD51FC" w:rsidRDefault="009C4CBC">
      <w:pPr>
        <w:numPr>
          <w:ilvl w:val="0"/>
          <w:numId w:val="5"/>
        </w:numPr>
        <w:pBdr>
          <w:top w:val="nil"/>
          <w:left w:val="nil"/>
          <w:bottom w:val="nil"/>
          <w:right w:val="nil"/>
          <w:between w:val="nil"/>
        </w:pBdr>
        <w:tabs>
          <w:tab w:val="left" w:pos="851"/>
          <w:tab w:val="left" w:pos="1418"/>
        </w:tabs>
        <w:spacing w:line="360" w:lineRule="auto"/>
        <w:ind w:left="567" w:right="-989" w:firstLine="0"/>
        <w:jc w:val="both"/>
        <w:rPr>
          <w:rFonts w:ascii="Palatino Linotype" w:eastAsia="Palatino Linotype" w:hAnsi="Palatino Linotype" w:cs="Palatino Linotype"/>
          <w:b/>
          <w:bCs/>
          <w:color w:val="000000"/>
        </w:rPr>
      </w:pPr>
      <w:hyperlink r:id="rId8">
        <w:r w:rsidR="008C72DB">
          <w:rPr>
            <w:rFonts w:ascii="Palatino Linotype" w:eastAsia="Palatino Linotype" w:hAnsi="Palatino Linotype" w:cs="Palatino Linotype"/>
            <w:b/>
            <w:bCs/>
            <w:color w:val="000000"/>
          </w:rPr>
          <w:t>NOT CIU INCOMP. 129.pdf</w:t>
        </w:r>
      </w:hyperlink>
      <w:r w:rsidR="008C72DB">
        <w:rPr>
          <w:rFonts w:ascii="Palatino Linotype" w:eastAsia="Palatino Linotype" w:hAnsi="Palatino Linotype" w:cs="Palatino Linotype"/>
          <w:b/>
          <w:bCs/>
          <w:color w:val="000000"/>
        </w:rPr>
        <w:t xml:space="preserve">: </w:t>
      </w:r>
      <w:r w:rsidR="008C72DB">
        <w:rPr>
          <w:rFonts w:ascii="Palatino Linotype" w:eastAsia="Palatino Linotype" w:hAnsi="Palatino Linotype" w:cs="Palatino Linotype"/>
          <w:color w:val="000000"/>
        </w:rPr>
        <w:t xml:space="preserve">Oficio 206010000/736/2026 de fecha veintinueve de enero de dos mil veintiséis, suscrito por la Directora General de Administración, a través del cual refiere que a </w:t>
      </w:r>
      <w:r w:rsidR="008C72DB">
        <w:rPr>
          <w:rFonts w:ascii="Palatino Linotype" w:eastAsia="Palatino Linotype" w:hAnsi="Palatino Linotype" w:cs="Palatino Linotype"/>
        </w:rPr>
        <w:t>través</w:t>
      </w:r>
      <w:r w:rsidR="008C72DB">
        <w:rPr>
          <w:rFonts w:ascii="Palatino Linotype" w:eastAsia="Palatino Linotype" w:hAnsi="Palatino Linotype" w:cs="Palatino Linotype"/>
          <w:color w:val="000000"/>
        </w:rPr>
        <w:t xml:space="preserve"> del Acuerdo CT/SE/32/02/2026 de fecha veintiuno de enero de dos mil veintiséis, el Comité de Transparencia, aprobó el cambio de modalidad para la entrega de la información a consulta directa, proporcionando la dirección y horario de atención para la entrega de la información.</w:t>
      </w:r>
    </w:p>
    <w:p w:rsidR="00DD51FC" w:rsidRDefault="00DD51FC">
      <w:pPr>
        <w:pBdr>
          <w:top w:val="nil"/>
          <w:left w:val="nil"/>
          <w:bottom w:val="nil"/>
          <w:right w:val="nil"/>
          <w:between w:val="nil"/>
        </w:pBdr>
        <w:tabs>
          <w:tab w:val="left" w:pos="851"/>
          <w:tab w:val="left" w:pos="1418"/>
        </w:tabs>
        <w:ind w:left="567" w:right="-989"/>
        <w:jc w:val="both"/>
        <w:rPr>
          <w:rFonts w:ascii="Palatino Linotype" w:eastAsia="Palatino Linotype" w:hAnsi="Palatino Linotype" w:cs="Palatino Linotype"/>
          <w:color w:val="000000"/>
        </w:rPr>
      </w:pPr>
    </w:p>
    <w:p w:rsidR="00DD51FC" w:rsidRDefault="008C72DB">
      <w:pPr>
        <w:pBdr>
          <w:top w:val="nil"/>
          <w:left w:val="nil"/>
          <w:bottom w:val="nil"/>
          <w:right w:val="nil"/>
          <w:between w:val="nil"/>
        </w:pBdr>
        <w:tabs>
          <w:tab w:val="left" w:pos="851"/>
          <w:tab w:val="left" w:pos="1418"/>
        </w:tabs>
        <w:spacing w:line="360" w:lineRule="auto"/>
        <w:ind w:left="567"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00134/TOLUCA/IP/2026</w:t>
      </w:r>
    </w:p>
    <w:p w:rsidR="00DD51FC" w:rsidRDefault="00DD51FC">
      <w:pPr>
        <w:pBdr>
          <w:top w:val="nil"/>
          <w:left w:val="nil"/>
          <w:bottom w:val="nil"/>
          <w:right w:val="nil"/>
          <w:between w:val="nil"/>
        </w:pBdr>
        <w:ind w:left="720" w:right="-989"/>
        <w:rPr>
          <w:rFonts w:ascii="Palatino Linotype" w:eastAsia="Palatino Linotype" w:hAnsi="Palatino Linotype" w:cs="Palatino Linotype"/>
          <w:b/>
          <w:bCs/>
          <w:color w:val="000000"/>
        </w:rPr>
      </w:pPr>
    </w:p>
    <w:p w:rsidR="00DD51FC" w:rsidRDefault="009C4CBC">
      <w:pPr>
        <w:numPr>
          <w:ilvl w:val="0"/>
          <w:numId w:val="5"/>
        </w:numPr>
        <w:pBdr>
          <w:top w:val="nil"/>
          <w:left w:val="nil"/>
          <w:bottom w:val="nil"/>
          <w:right w:val="nil"/>
          <w:between w:val="nil"/>
        </w:pBdr>
        <w:tabs>
          <w:tab w:val="left" w:pos="851"/>
          <w:tab w:val="left" w:pos="1418"/>
        </w:tabs>
        <w:spacing w:line="360" w:lineRule="auto"/>
        <w:ind w:left="567" w:right="-989" w:firstLine="0"/>
        <w:jc w:val="both"/>
        <w:rPr>
          <w:rFonts w:ascii="Palatino Linotype" w:eastAsia="Palatino Linotype" w:hAnsi="Palatino Linotype" w:cs="Palatino Linotype"/>
          <w:b/>
          <w:bCs/>
          <w:color w:val="000000"/>
        </w:rPr>
      </w:pPr>
      <w:hyperlink r:id="rId9">
        <w:r w:rsidR="008C72DB">
          <w:rPr>
            <w:rFonts w:ascii="Palatino Linotype" w:eastAsia="Palatino Linotype" w:hAnsi="Palatino Linotype" w:cs="Palatino Linotype"/>
            <w:b/>
            <w:bCs/>
            <w:color w:val="000000"/>
          </w:rPr>
          <w:t>NOT CIU INCOMP. 134.pdf</w:t>
        </w:r>
      </w:hyperlink>
      <w:r w:rsidR="008C72DB">
        <w:rPr>
          <w:rFonts w:ascii="Palatino Linotype" w:eastAsia="Palatino Linotype" w:hAnsi="Palatino Linotype" w:cs="Palatino Linotype"/>
          <w:b/>
          <w:bCs/>
          <w:color w:val="000000"/>
        </w:rPr>
        <w:t xml:space="preserve">: </w:t>
      </w:r>
      <w:r w:rsidR="008C72DB">
        <w:rPr>
          <w:rFonts w:ascii="Palatino Linotype" w:eastAsia="Palatino Linotype" w:hAnsi="Palatino Linotype" w:cs="Palatino Linotype"/>
          <w:color w:val="000000"/>
        </w:rPr>
        <w:t xml:space="preserve">Oficio 206010000/741/2026 de fecha veintinueve de enero de dos mil veintiséis, suscrito por la Directora General de Administración, a través del cual refiere que a </w:t>
      </w:r>
      <w:r w:rsidR="008C72DB">
        <w:rPr>
          <w:rFonts w:ascii="Palatino Linotype" w:eastAsia="Palatino Linotype" w:hAnsi="Palatino Linotype" w:cs="Palatino Linotype"/>
        </w:rPr>
        <w:t>través</w:t>
      </w:r>
      <w:r w:rsidR="008C72DB">
        <w:rPr>
          <w:rFonts w:ascii="Palatino Linotype" w:eastAsia="Palatino Linotype" w:hAnsi="Palatino Linotype" w:cs="Palatino Linotype"/>
          <w:color w:val="000000"/>
        </w:rPr>
        <w:t xml:space="preserve"> del Acuerdo CT/SE/32/02/2026 de fecha veintiuno de enero de dos mil veintiséis, el Comité de Transparencia, aprobó el cambio de modalidad para </w:t>
      </w:r>
      <w:r w:rsidR="008C72DB">
        <w:rPr>
          <w:rFonts w:ascii="Palatino Linotype" w:eastAsia="Palatino Linotype" w:hAnsi="Palatino Linotype" w:cs="Palatino Linotype"/>
          <w:color w:val="000000"/>
        </w:rPr>
        <w:lastRenderedPageBreak/>
        <w:t>la entrega de la información a consulta directa, proporcionando la dirección y horario de atención para la entrega de la información.</w:t>
      </w:r>
    </w:p>
    <w:p w:rsidR="00DD51FC" w:rsidRDefault="00DD51FC">
      <w:pPr>
        <w:pBdr>
          <w:top w:val="nil"/>
          <w:left w:val="nil"/>
          <w:bottom w:val="nil"/>
          <w:right w:val="nil"/>
          <w:between w:val="nil"/>
        </w:pBdr>
        <w:tabs>
          <w:tab w:val="left" w:pos="851"/>
          <w:tab w:val="left" w:pos="1418"/>
        </w:tabs>
        <w:spacing w:line="360" w:lineRule="auto"/>
        <w:ind w:left="567"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tabs>
          <w:tab w:val="left" w:pos="426"/>
          <w:tab w:val="left" w:pos="567"/>
        </w:tabs>
        <w:spacing w:line="360" w:lineRule="auto"/>
        <w:ind w:left="0" w:right="-989" w:firstLine="0"/>
        <w:jc w:val="both"/>
        <w:rPr>
          <w:rFonts w:ascii="Palatino Linotype" w:eastAsia="Palatino Linotype" w:hAnsi="Palatino Linotype" w:cs="Palatino Linotype"/>
          <w:color w:val="000000"/>
        </w:rPr>
      </w:pPr>
      <w:bookmarkStart w:id="2" w:name="_heading=h.30j0zll" w:colFirst="0" w:colLast="0"/>
      <w:bookmarkEnd w:id="2"/>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cuatro de febrero de dos mil veintiséis</w:t>
      </w:r>
      <w:r>
        <w:rPr>
          <w:rFonts w:ascii="Palatino Linotype" w:eastAsia="Palatino Linotype" w:hAnsi="Palatino Linotype" w:cs="Palatino Linotype"/>
          <w:color w:val="000000"/>
        </w:rPr>
        <w:t xml:space="preserve">, se interpusieron los recursos de revisión </w:t>
      </w:r>
      <w:r>
        <w:rPr>
          <w:rFonts w:ascii="Palatino Linotype" w:eastAsia="Palatino Linotype" w:hAnsi="Palatino Linotype" w:cs="Palatino Linotype"/>
          <w:b/>
          <w:bCs/>
          <w:color w:val="000000"/>
        </w:rPr>
        <w:t>01373/INFOEM/IP/RR/2026 y 01378/INFOEM/IP/RR/2026 respectivamente</w:t>
      </w:r>
      <w:r>
        <w:rPr>
          <w:rFonts w:ascii="Palatino Linotype" w:eastAsia="Palatino Linotype" w:hAnsi="Palatino Linotype" w:cs="Palatino Linotype"/>
          <w:color w:val="000000"/>
        </w:rPr>
        <w:t>, en contra de la respuesta, señalando como:</w:t>
      </w:r>
    </w:p>
    <w:p w:rsidR="00DD51FC" w:rsidRDefault="00DD51FC">
      <w:pPr>
        <w:pBdr>
          <w:top w:val="nil"/>
          <w:left w:val="nil"/>
          <w:bottom w:val="nil"/>
          <w:right w:val="nil"/>
          <w:between w:val="nil"/>
        </w:pBdr>
        <w:tabs>
          <w:tab w:val="left" w:pos="426"/>
          <w:tab w:val="left" w:pos="567"/>
        </w:tabs>
        <w:spacing w:line="360" w:lineRule="auto"/>
        <w:ind w:right="-989"/>
        <w:jc w:val="both"/>
        <w:rPr>
          <w:rFonts w:ascii="Palatino Linotype" w:eastAsia="Palatino Linotype" w:hAnsi="Palatino Linotype" w:cs="Palatino Linotype"/>
          <w:color w:val="000000"/>
        </w:rPr>
      </w:pPr>
    </w:p>
    <w:p w:rsidR="00DD51FC" w:rsidRDefault="008C72DB">
      <w:pPr>
        <w:pBdr>
          <w:top w:val="nil"/>
          <w:left w:val="nil"/>
          <w:bottom w:val="nil"/>
          <w:right w:val="nil"/>
          <w:between w:val="nil"/>
        </w:pBdr>
        <w:tabs>
          <w:tab w:val="left" w:pos="426"/>
          <w:tab w:val="left" w:pos="567"/>
        </w:tabs>
        <w:ind w:left="567"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01373/INFOEM/IP/RR/2026</w:t>
      </w:r>
    </w:p>
    <w:p w:rsidR="00DD51FC" w:rsidRDefault="00DD51FC">
      <w:pPr>
        <w:pBdr>
          <w:top w:val="nil"/>
          <w:left w:val="nil"/>
          <w:bottom w:val="nil"/>
          <w:right w:val="nil"/>
          <w:between w:val="nil"/>
        </w:pBdr>
        <w:tabs>
          <w:tab w:val="left" w:pos="426"/>
          <w:tab w:val="left" w:pos="567"/>
        </w:tabs>
        <w:ind w:left="567" w:right="-989"/>
        <w:jc w:val="both"/>
        <w:rPr>
          <w:rFonts w:ascii="Palatino Linotype" w:eastAsia="Palatino Linotype" w:hAnsi="Palatino Linotype" w:cs="Palatino Linotype"/>
          <w:b/>
          <w:bCs/>
          <w:color w:val="000000"/>
        </w:rPr>
      </w:pPr>
    </w:p>
    <w:p w:rsidR="00DD51FC" w:rsidRDefault="008C72DB">
      <w:pPr>
        <w:numPr>
          <w:ilvl w:val="0"/>
          <w:numId w:val="1"/>
        </w:numPr>
        <w:pBdr>
          <w:top w:val="nil"/>
          <w:left w:val="nil"/>
          <w:bottom w:val="nil"/>
          <w:right w:val="nil"/>
          <w:between w:val="nil"/>
        </w:pBdr>
        <w:tabs>
          <w:tab w:val="left" w:pos="426"/>
          <w:tab w:val="left" w:pos="567"/>
        </w:tabs>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Acto Impugnado: </w:t>
      </w:r>
    </w:p>
    <w:p w:rsidR="00DD51FC" w:rsidRDefault="00DD51FC">
      <w:pPr>
        <w:pBdr>
          <w:top w:val="nil"/>
          <w:left w:val="nil"/>
          <w:bottom w:val="nil"/>
          <w:right w:val="nil"/>
          <w:between w:val="nil"/>
        </w:pBdr>
        <w:tabs>
          <w:tab w:val="left" w:pos="426"/>
          <w:tab w:val="left" w:pos="567"/>
        </w:tabs>
        <w:ind w:left="567" w:right="-989"/>
        <w:jc w:val="both"/>
        <w:rPr>
          <w:rFonts w:ascii="Palatino Linotype" w:eastAsia="Palatino Linotype" w:hAnsi="Palatino Linotype" w:cs="Palatino Linotype"/>
          <w:b/>
          <w:bCs/>
          <w:color w:val="000000"/>
        </w:rPr>
      </w:pPr>
    </w:p>
    <w:p w:rsidR="00DD51FC" w:rsidRDefault="008C72DB">
      <w:pPr>
        <w:pBdr>
          <w:top w:val="nil"/>
          <w:left w:val="nil"/>
          <w:bottom w:val="nil"/>
          <w:right w:val="nil"/>
          <w:between w:val="nil"/>
        </w:pBdr>
        <w:tabs>
          <w:tab w:val="left" w:pos="426"/>
          <w:tab w:val="left" w:pos="567"/>
        </w:tabs>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 (Sic)</w:t>
      </w:r>
    </w:p>
    <w:p w:rsidR="00DD51FC" w:rsidRDefault="00DD51FC">
      <w:pPr>
        <w:pBdr>
          <w:top w:val="nil"/>
          <w:left w:val="nil"/>
          <w:bottom w:val="nil"/>
          <w:right w:val="nil"/>
          <w:between w:val="nil"/>
        </w:pBdr>
        <w:tabs>
          <w:tab w:val="left" w:pos="426"/>
          <w:tab w:val="left" w:pos="567"/>
        </w:tabs>
        <w:ind w:left="567" w:right="-989"/>
        <w:jc w:val="both"/>
        <w:rPr>
          <w:rFonts w:ascii="Palatino Linotype" w:eastAsia="Palatino Linotype" w:hAnsi="Palatino Linotype" w:cs="Palatino Linotype"/>
          <w:color w:val="000000"/>
        </w:rPr>
      </w:pPr>
    </w:p>
    <w:p w:rsidR="00DD51FC" w:rsidRDefault="008C72DB">
      <w:pPr>
        <w:numPr>
          <w:ilvl w:val="0"/>
          <w:numId w:val="12"/>
        </w:numPr>
        <w:pBdr>
          <w:top w:val="nil"/>
          <w:left w:val="nil"/>
          <w:bottom w:val="nil"/>
          <w:right w:val="nil"/>
          <w:between w:val="nil"/>
        </w:pBdr>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Razones o Motivos de Inconformidad:</w:t>
      </w:r>
      <w:r>
        <w:rPr>
          <w:rFonts w:ascii="Palatino Linotype" w:eastAsia="Palatino Linotype" w:hAnsi="Palatino Linotype" w:cs="Palatino Linotype"/>
          <w:i/>
          <w:iCs/>
          <w:color w:val="000000"/>
        </w:rPr>
        <w:t xml:space="preserve">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 (Sic)</w:t>
      </w:r>
    </w:p>
    <w:p w:rsidR="00DD51FC" w:rsidRDefault="00DD51FC">
      <w:pPr>
        <w:pBdr>
          <w:top w:val="nil"/>
          <w:left w:val="nil"/>
          <w:bottom w:val="nil"/>
          <w:right w:val="nil"/>
          <w:between w:val="nil"/>
        </w:pBdr>
        <w:ind w:left="567" w:right="-989"/>
        <w:jc w:val="both"/>
        <w:rPr>
          <w:rFonts w:ascii="Palatino Linotype" w:eastAsia="Palatino Linotype" w:hAnsi="Palatino Linotype" w:cs="Palatino Linotype"/>
          <w:i/>
          <w:iCs/>
          <w:color w:val="000000"/>
        </w:rPr>
      </w:pPr>
    </w:p>
    <w:p w:rsidR="00DD51FC" w:rsidRDefault="00DD51FC">
      <w:pPr>
        <w:pBdr>
          <w:top w:val="nil"/>
          <w:left w:val="nil"/>
          <w:bottom w:val="nil"/>
          <w:right w:val="nil"/>
          <w:between w:val="nil"/>
        </w:pBdr>
        <w:ind w:left="567" w:right="-989"/>
        <w:jc w:val="both"/>
        <w:rPr>
          <w:rFonts w:ascii="Palatino Linotype" w:eastAsia="Palatino Linotype" w:hAnsi="Palatino Linotype" w:cs="Palatino Linotype"/>
          <w:b/>
          <w:bCs/>
        </w:rPr>
      </w:pP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01378/INFOEM/IP/RR/2026 </w:t>
      </w:r>
    </w:p>
    <w:p w:rsidR="00DD51FC" w:rsidRDefault="00DD51FC">
      <w:pPr>
        <w:pBdr>
          <w:top w:val="nil"/>
          <w:left w:val="nil"/>
          <w:bottom w:val="nil"/>
          <w:right w:val="nil"/>
          <w:between w:val="nil"/>
        </w:pBdr>
        <w:ind w:left="567" w:right="-989"/>
        <w:jc w:val="both"/>
        <w:rPr>
          <w:rFonts w:ascii="Palatino Linotype" w:eastAsia="Palatino Linotype" w:hAnsi="Palatino Linotype" w:cs="Palatino Linotype"/>
          <w:b/>
          <w:bCs/>
          <w:color w:val="000000"/>
        </w:rPr>
      </w:pPr>
    </w:p>
    <w:p w:rsidR="00DD51FC" w:rsidRDefault="008C72DB" w:rsidP="00CF0BA1">
      <w:pPr>
        <w:numPr>
          <w:ilvl w:val="0"/>
          <w:numId w:val="11"/>
        </w:numPr>
        <w:pBdr>
          <w:top w:val="nil"/>
          <w:left w:val="nil"/>
          <w:bottom w:val="nil"/>
          <w:right w:val="nil"/>
          <w:between w:val="nil"/>
        </w:pBdr>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i/>
          <w:iCs/>
          <w:color w:val="000000"/>
        </w:rPr>
        <w:t xml:space="preserve">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 (Sic)</w:t>
      </w:r>
    </w:p>
    <w:p w:rsidR="00DD51FC" w:rsidRDefault="00DD51FC">
      <w:pPr>
        <w:pBdr>
          <w:top w:val="nil"/>
          <w:left w:val="nil"/>
          <w:bottom w:val="nil"/>
          <w:right w:val="nil"/>
          <w:between w:val="nil"/>
        </w:pBdr>
        <w:ind w:left="567" w:right="-989"/>
        <w:jc w:val="both"/>
        <w:rPr>
          <w:rFonts w:ascii="Palatino Linotype" w:eastAsia="Palatino Linotype" w:hAnsi="Palatino Linotype" w:cs="Palatino Linotype"/>
          <w:i/>
          <w:iCs/>
        </w:rPr>
      </w:pPr>
    </w:p>
    <w:p w:rsidR="00DD51FC" w:rsidRDefault="00DD51FC">
      <w:pPr>
        <w:pBdr>
          <w:top w:val="nil"/>
          <w:left w:val="nil"/>
          <w:bottom w:val="nil"/>
          <w:right w:val="nil"/>
          <w:between w:val="nil"/>
        </w:pBdr>
        <w:ind w:left="567" w:right="-989"/>
        <w:jc w:val="both"/>
        <w:rPr>
          <w:rFonts w:ascii="Palatino Linotype" w:eastAsia="Palatino Linotype" w:hAnsi="Palatino Linotype" w:cs="Palatino Linotype"/>
          <w:i/>
          <w:iCs/>
        </w:rPr>
      </w:pPr>
    </w:p>
    <w:p w:rsidR="00DD51FC" w:rsidRDefault="008C72DB">
      <w:pPr>
        <w:numPr>
          <w:ilvl w:val="0"/>
          <w:numId w:val="2"/>
        </w:numPr>
        <w:pBdr>
          <w:top w:val="nil"/>
          <w:left w:val="nil"/>
          <w:bottom w:val="nil"/>
          <w:right w:val="nil"/>
          <w:between w:val="nil"/>
        </w:pBdr>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 xml:space="preserve">Razones o Motivos de Inconformidad: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 (Sic)</w:t>
      </w:r>
    </w:p>
    <w:p w:rsidR="00DD51FC" w:rsidRDefault="00DD51FC">
      <w:pPr>
        <w:pBdr>
          <w:top w:val="nil"/>
          <w:left w:val="nil"/>
          <w:bottom w:val="nil"/>
          <w:right w:val="nil"/>
          <w:between w:val="nil"/>
        </w:pBdr>
        <w:ind w:left="567" w:right="-989"/>
        <w:jc w:val="both"/>
        <w:rPr>
          <w:rFonts w:ascii="Palatino Linotype" w:eastAsia="Palatino Linotype" w:hAnsi="Palatino Linotype" w:cs="Palatino Linotype"/>
          <w:i/>
          <w:iCs/>
          <w:color w:val="000000"/>
        </w:rPr>
      </w:pPr>
    </w:p>
    <w:p w:rsidR="00DD51FC" w:rsidRDefault="008C72DB">
      <w:pPr>
        <w:numPr>
          <w:ilvl w:val="0"/>
          <w:numId w:val="4"/>
        </w:numPr>
        <w:pBdr>
          <w:top w:val="nil"/>
          <w:left w:val="nil"/>
          <w:bottom w:val="nil"/>
          <w:right w:val="nil"/>
          <w:between w:val="nil"/>
        </w:pBdr>
        <w:tabs>
          <w:tab w:val="left" w:pos="426"/>
          <w:tab w:val="left" w:pos="567"/>
        </w:tabs>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registraron los recursos de revisión bajo los números de expediente </w:t>
      </w:r>
      <w:r>
        <w:rPr>
          <w:rFonts w:ascii="Palatino Linotype" w:eastAsia="Palatino Linotype" w:hAnsi="Palatino Linotype" w:cs="Palatino Linotype"/>
          <w:b/>
          <w:bCs/>
          <w:color w:val="000000"/>
        </w:rPr>
        <w:t>01373/INFOEM/IP/RR/2026 y 01378/INFOEM/IP/RR/2026</w:t>
      </w:r>
      <w:r>
        <w:rPr>
          <w:rFonts w:ascii="Palatino Linotype" w:eastAsia="Palatino Linotype" w:hAnsi="Palatino Linotype" w:cs="Palatino Linotype"/>
          <w:color w:val="000000"/>
        </w:rPr>
        <w:t xml:space="preserve">; asimismo, con fundamento en lo dispuesto por el artículo 185, fracción I, de la Ley de Transparencia y Acceso a la Información Pública del Estado de México y Municipios se turnaron a la </w:t>
      </w:r>
      <w:r>
        <w:rPr>
          <w:rFonts w:ascii="Palatino Linotype" w:eastAsia="Palatino Linotype" w:hAnsi="Palatino Linotype" w:cs="Palatino Linotype"/>
          <w:b/>
          <w:bCs/>
          <w:color w:val="000000"/>
        </w:rPr>
        <w:t xml:space="preserve">Comisionada María del Rosario Mejía Ayala </w:t>
      </w:r>
      <w:r>
        <w:rPr>
          <w:rFonts w:ascii="Palatino Linotype" w:eastAsia="Palatino Linotype" w:hAnsi="Palatino Linotype" w:cs="Palatino Linotype"/>
        </w:rPr>
        <w:t xml:space="preserve">para </w:t>
      </w:r>
      <w:r>
        <w:rPr>
          <w:rFonts w:ascii="Palatino Linotype" w:eastAsia="Palatino Linotype" w:hAnsi="Palatino Linotype" w:cs="Palatino Linotype"/>
          <w:color w:val="000000"/>
        </w:rPr>
        <w:t>su análisis.</w:t>
      </w:r>
    </w:p>
    <w:p w:rsidR="00DD51FC" w:rsidRDefault="00DD51FC">
      <w:pPr>
        <w:pBdr>
          <w:top w:val="nil"/>
          <w:left w:val="nil"/>
          <w:bottom w:val="nil"/>
          <w:right w:val="nil"/>
          <w:between w:val="nil"/>
        </w:pBdr>
        <w:tabs>
          <w:tab w:val="left" w:pos="426"/>
          <w:tab w:val="left" w:pos="567"/>
        </w:tabs>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tabs>
          <w:tab w:val="left" w:pos="426"/>
          <w:tab w:val="left" w:pos="567"/>
        </w:tabs>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 los acuerdos de admisión de fechas </w:t>
      </w:r>
      <w:r>
        <w:rPr>
          <w:rFonts w:ascii="Palatino Linotype" w:eastAsia="Palatino Linotype" w:hAnsi="Palatino Linotype" w:cs="Palatino Linotype"/>
          <w:b/>
          <w:bCs/>
          <w:color w:val="000000"/>
        </w:rPr>
        <w:t>cinco y seis de febrero de dos mil veintiséis</w:t>
      </w:r>
      <w:r>
        <w:rPr>
          <w:rFonts w:ascii="Palatino Linotype" w:eastAsia="Palatino Linotype" w:hAnsi="Palatino Linotype" w:cs="Palatino Linotype"/>
          <w:color w:val="000000"/>
        </w:rPr>
        <w:t xml:space="preserve">, puso a disposición de las partes el expediente electrónico vía Sistema de Acceso a la Información Mexiquense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presentará el Informe Justificado procedente.</w:t>
      </w:r>
    </w:p>
    <w:p w:rsidR="00DD51FC" w:rsidRDefault="00DD51FC">
      <w:pPr>
        <w:pBdr>
          <w:top w:val="nil"/>
          <w:left w:val="nil"/>
          <w:bottom w:val="nil"/>
          <w:right w:val="nil"/>
          <w:between w:val="nil"/>
        </w:pBdr>
        <w:ind w:left="720"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tabs>
          <w:tab w:val="left" w:pos="426"/>
          <w:tab w:val="left" w:pos="567"/>
        </w:tabs>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Posteriormente, la Comisionada Ponente a través </w:t>
      </w:r>
      <w:r>
        <w:rPr>
          <w:rFonts w:ascii="Palatino Linotype" w:eastAsia="Palatino Linotype" w:hAnsi="Palatino Linotype" w:cs="Palatino Linotype"/>
        </w:rPr>
        <w:t>del acuerdo</w:t>
      </w:r>
      <w:r>
        <w:rPr>
          <w:rFonts w:ascii="Palatino Linotype" w:eastAsia="Palatino Linotype" w:hAnsi="Palatino Linotype" w:cs="Palatino Linotype"/>
          <w:color w:val="000000"/>
        </w:rPr>
        <w:t xml:space="preserve"> de fecha </w:t>
      </w:r>
      <w:r>
        <w:rPr>
          <w:rFonts w:ascii="Palatino Linotype" w:eastAsia="Palatino Linotype" w:hAnsi="Palatino Linotype" w:cs="Palatino Linotype"/>
          <w:b/>
          <w:bCs/>
          <w:color w:val="000000"/>
        </w:rPr>
        <w:t>veintisiete de abril de dos mil veintiséis</w:t>
      </w:r>
      <w:r>
        <w:rPr>
          <w:rFonts w:ascii="Palatino Linotype" w:eastAsia="Palatino Linotype" w:hAnsi="Palatino Linotype" w:cs="Palatino Linotype"/>
          <w:color w:val="000000"/>
        </w:rPr>
        <w:t xml:space="preserve">, con fundamento en el artículo 14, fracciones I, II, V y XVI del Reglamento Interior del Instituto de Transparencia, Acceso a la Información Pública y Protección de Datos Personales del Estado de México y Municipios, previo análisis de las características de los medios de impugnación identificados con los números </w:t>
      </w:r>
      <w:r>
        <w:rPr>
          <w:rFonts w:ascii="Palatino Linotype" w:eastAsia="Palatino Linotype" w:hAnsi="Palatino Linotype" w:cs="Palatino Linotype"/>
          <w:b/>
          <w:bCs/>
          <w:color w:val="000000"/>
        </w:rPr>
        <w:t>01373/INFOEM/IP/RR/2026 y 01378/INFOEM/IP/RR/2026, toda</w:t>
      </w:r>
      <w:r>
        <w:rPr>
          <w:rFonts w:ascii="Palatino Linotype" w:eastAsia="Palatino Linotype" w:hAnsi="Palatino Linotype" w:cs="Palatino Linotype"/>
          <w:color w:val="000000"/>
        </w:rPr>
        <w:t xml:space="preserve"> vez que se advirtió </w:t>
      </w:r>
      <w:r>
        <w:rPr>
          <w:rFonts w:ascii="Palatino Linotype" w:eastAsia="Palatino Linotype" w:hAnsi="Palatino Linotype" w:cs="Palatino Linotype"/>
          <w:color w:val="000000"/>
        </w:rPr>
        <w:lastRenderedPageBreak/>
        <w:t xml:space="preserve">conexidad entre estos, al haber sido promovidos por la misma persona, en los que se señaló como dependencia o entidad recurrida al Ayuntamiento de Toluca;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se decreta la acumulación del Recurso de Revisión </w:t>
      </w:r>
      <w:r>
        <w:rPr>
          <w:rFonts w:ascii="Palatino Linotype" w:eastAsia="Palatino Linotype" w:hAnsi="Palatino Linotype" w:cs="Palatino Linotype"/>
          <w:b/>
          <w:bCs/>
          <w:color w:val="000000"/>
        </w:rPr>
        <w:t>01378/INFOEM/IP/RR/2026</w:t>
      </w:r>
      <w:r>
        <w:rPr>
          <w:rFonts w:ascii="Palatino Linotype" w:eastAsia="Palatino Linotype" w:hAnsi="Palatino Linotype" w:cs="Palatino Linotype"/>
          <w:color w:val="000000"/>
        </w:rPr>
        <w:t xml:space="preserve"> al diverso </w:t>
      </w:r>
      <w:r>
        <w:rPr>
          <w:rFonts w:ascii="Palatino Linotype" w:eastAsia="Palatino Linotype" w:hAnsi="Palatino Linotype" w:cs="Palatino Linotype"/>
          <w:b/>
          <w:bCs/>
          <w:color w:val="000000"/>
        </w:rPr>
        <w:t>01373/INFOEM/IP/RR/2026,</w:t>
      </w:r>
      <w:r>
        <w:rPr>
          <w:rFonts w:ascii="Palatino Linotype" w:eastAsia="Palatino Linotype" w:hAnsi="Palatino Linotype" w:cs="Palatino Linotype"/>
          <w:color w:val="000000"/>
        </w:rPr>
        <w:t xml:space="preserve"> por ser este último el más antiguo, sustanciado bajo el índice de esta Ponencia.</w:t>
      </w:r>
    </w:p>
    <w:p w:rsidR="00DD51FC" w:rsidRDefault="00DD51FC">
      <w:pPr>
        <w:pBdr>
          <w:top w:val="nil"/>
          <w:left w:val="nil"/>
          <w:bottom w:val="nil"/>
          <w:right w:val="nil"/>
          <w:between w:val="nil"/>
        </w:pBdr>
        <w:ind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tabs>
          <w:tab w:val="left" w:pos="426"/>
          <w:tab w:val="left" w:pos="567"/>
        </w:tabs>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once de febrero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rindió los </w:t>
      </w:r>
      <w:r>
        <w:rPr>
          <w:rFonts w:ascii="Palatino Linotype" w:eastAsia="Palatino Linotype" w:hAnsi="Palatino Linotype" w:cs="Palatino Linotype"/>
        </w:rPr>
        <w:t>informes</w:t>
      </w:r>
      <w:r>
        <w:rPr>
          <w:rFonts w:ascii="Palatino Linotype" w:eastAsia="Palatino Linotype" w:hAnsi="Palatino Linotype" w:cs="Palatino Linotype"/>
          <w:color w:val="000000"/>
        </w:rPr>
        <w:t xml:space="preserve"> justificados correspondientes, a través del cual ratifica sus respuestas.</w:t>
      </w:r>
    </w:p>
    <w:p w:rsidR="00DD51FC" w:rsidRDefault="00DD51FC">
      <w:pPr>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tabs>
          <w:tab w:val="left" w:pos="426"/>
          <w:tab w:val="left" w:pos="567"/>
        </w:tabs>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veintisiete de abril de dos mil veintiséis, </w:t>
      </w:r>
      <w:r>
        <w:rPr>
          <w:rFonts w:ascii="Palatino Linotype" w:eastAsia="Palatino Linotype" w:hAnsi="Palatino Linotype" w:cs="Palatino Linotype"/>
          <w:color w:val="000000"/>
        </w:rPr>
        <w:t>se pusieron a la vista del particular los informes justificados mencionados en los numerales que anteceden; sin embargo</w:t>
      </w:r>
      <w:r>
        <w:rPr>
          <w:rFonts w:ascii="Palatino Linotype" w:eastAsia="Palatino Linotype" w:hAnsi="Palatino Linotype" w:cs="Palatino Linotype"/>
        </w:rPr>
        <w:t>, la parte</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 xml:space="preserve">dejó de realizar manifestaciones que a su derecho conviniera y asistiera. </w:t>
      </w:r>
    </w:p>
    <w:p w:rsidR="00DD51FC" w:rsidRDefault="00DD51FC">
      <w:pPr>
        <w:pBdr>
          <w:top w:val="nil"/>
          <w:left w:val="nil"/>
          <w:bottom w:val="nil"/>
          <w:right w:val="nil"/>
          <w:between w:val="nil"/>
        </w:pBdr>
        <w:tabs>
          <w:tab w:val="left" w:pos="426"/>
          <w:tab w:val="left" w:pos="567"/>
        </w:tabs>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spacing w:line="360" w:lineRule="auto"/>
        <w:ind w:left="0" w:right="-98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veintinueve de abril de dos mil veintiséis</w:t>
      </w:r>
      <w:r>
        <w:rPr>
          <w:rFonts w:ascii="Palatino Linotype" w:eastAsia="Palatino Linotype" w:hAnsi="Palatino Linotype" w:cs="Palatino Linotype"/>
        </w:rPr>
        <w:t xml:space="preserve">, se realizaron requerimientos de información adicional al Sujeto Obligado; posteriormente, el </w:t>
      </w:r>
      <w:r>
        <w:rPr>
          <w:rFonts w:ascii="Palatino Linotype" w:eastAsia="Palatino Linotype" w:hAnsi="Palatino Linotype" w:cs="Palatino Linotype"/>
          <w:b/>
          <w:bCs/>
        </w:rPr>
        <w:t>seis de mayo del mismo año</w:t>
      </w:r>
      <w:r>
        <w:rPr>
          <w:rFonts w:ascii="Palatino Linotype" w:eastAsia="Palatino Linotype" w:hAnsi="Palatino Linotype" w:cs="Palatino Linotype"/>
        </w:rPr>
        <w:t>, el Sujeto Obligado dio respuesta a los requerimientos, mismo que fueron puestos a la vista del particular y en el cual se advierten los documentos que se describen enseguida:</w:t>
      </w:r>
    </w:p>
    <w:p w:rsidR="00DD51FC" w:rsidRDefault="008C72DB">
      <w:pPr>
        <w:pBdr>
          <w:top w:val="nil"/>
          <w:left w:val="nil"/>
          <w:bottom w:val="nil"/>
          <w:right w:val="nil"/>
          <w:between w:val="nil"/>
        </w:pBdr>
        <w:ind w:left="720" w:right="-98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01373/INFOEM/IP/RR/2026</w:t>
      </w:r>
    </w:p>
    <w:p w:rsidR="00DD51FC" w:rsidRDefault="00DD51FC">
      <w:pPr>
        <w:pBdr>
          <w:top w:val="nil"/>
          <w:left w:val="nil"/>
          <w:bottom w:val="nil"/>
          <w:right w:val="nil"/>
          <w:between w:val="nil"/>
        </w:pBdr>
        <w:ind w:left="720" w:right="-989"/>
        <w:rPr>
          <w:rFonts w:ascii="Palatino Linotype" w:eastAsia="Palatino Linotype" w:hAnsi="Palatino Linotype" w:cs="Palatino Linotype"/>
          <w:b/>
          <w:bCs/>
          <w:color w:val="000000"/>
        </w:rPr>
      </w:pPr>
    </w:p>
    <w:p w:rsidR="00DD51FC" w:rsidRDefault="009C4CBC">
      <w:pPr>
        <w:numPr>
          <w:ilvl w:val="0"/>
          <w:numId w:val="5"/>
        </w:num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hyperlink r:id="rId10">
        <w:r w:rsidR="008C72DB">
          <w:rPr>
            <w:rFonts w:ascii="Palatino Linotype" w:eastAsia="Palatino Linotype" w:hAnsi="Palatino Linotype" w:cs="Palatino Linotype"/>
            <w:b/>
            <w:bCs/>
            <w:color w:val="000000"/>
          </w:rPr>
          <w:t>ROf266CambioMod…idadTOLUCA2026.pdf</w:t>
        </w:r>
      </w:hyperlink>
      <w:r w:rsidR="008C72DB">
        <w:rPr>
          <w:rFonts w:ascii="Palatino Linotype" w:eastAsia="Palatino Linotype" w:hAnsi="Palatino Linotype" w:cs="Palatino Linotype"/>
          <w:b/>
          <w:bCs/>
          <w:color w:val="000000"/>
        </w:rPr>
        <w:t xml:space="preserve">: </w:t>
      </w:r>
      <w:r w:rsidR="008C72DB">
        <w:rPr>
          <w:rFonts w:ascii="Palatino Linotype" w:eastAsia="Palatino Linotype" w:hAnsi="Palatino Linotype" w:cs="Palatino Linotype"/>
          <w:color w:val="000000"/>
        </w:rPr>
        <w:t xml:space="preserve">Oficio INFOEM/DGI/266/2026, mediante el cual el Director General de Informática de este Instituto, confirma el </w:t>
      </w:r>
      <w:r w:rsidR="008C72DB">
        <w:rPr>
          <w:rFonts w:ascii="Palatino Linotype" w:eastAsia="Palatino Linotype" w:hAnsi="Palatino Linotype" w:cs="Palatino Linotype"/>
          <w:color w:val="000000"/>
        </w:rPr>
        <w:lastRenderedPageBreak/>
        <w:t>registro de la incidencia técnica en la bit</w:t>
      </w:r>
      <w:bookmarkStart w:id="3" w:name="_GoBack"/>
      <w:bookmarkEnd w:id="3"/>
      <w:r w:rsidR="008C72DB">
        <w:rPr>
          <w:rFonts w:ascii="Palatino Linotype" w:eastAsia="Palatino Linotype" w:hAnsi="Palatino Linotype" w:cs="Palatino Linotype"/>
          <w:color w:val="000000"/>
        </w:rPr>
        <w:t xml:space="preserve">ácora de incidencia, toda vez que el </w:t>
      </w:r>
      <w:r w:rsidR="008C72DB">
        <w:rPr>
          <w:rFonts w:ascii="Palatino Linotype" w:eastAsia="Palatino Linotype" w:hAnsi="Palatino Linotype" w:cs="Palatino Linotype"/>
          <w:b/>
          <w:bCs/>
          <w:color w:val="000000"/>
        </w:rPr>
        <w:t xml:space="preserve">SUJETO OBLIGADO, </w:t>
      </w:r>
      <w:r w:rsidR="008C72DB">
        <w:rPr>
          <w:rFonts w:ascii="Palatino Linotype" w:eastAsia="Palatino Linotype" w:hAnsi="Palatino Linotype" w:cs="Palatino Linotype"/>
          <w:color w:val="000000"/>
        </w:rPr>
        <w:t xml:space="preserve">pretende subir a la Plataforma del Sistema de Acceso a la Información Mexiquense SAIMEX, un documento con un peso equivalente a 5.29 GB, lo cual </w:t>
      </w:r>
      <w:r w:rsidR="008C72DB">
        <w:rPr>
          <w:rFonts w:ascii="Palatino Linotype" w:eastAsia="Palatino Linotype" w:hAnsi="Palatino Linotype" w:cs="Palatino Linotype"/>
        </w:rPr>
        <w:t>sobrepasa</w:t>
      </w:r>
      <w:r w:rsidR="008C72DB">
        <w:rPr>
          <w:rFonts w:ascii="Palatino Linotype" w:eastAsia="Palatino Linotype" w:hAnsi="Palatino Linotype" w:cs="Palatino Linotype"/>
          <w:color w:val="000000"/>
        </w:rPr>
        <w:t xml:space="preserve"> las capacidades técnicas del Sistema SAIMEX</w:t>
      </w:r>
    </w:p>
    <w:p w:rsidR="00DD51FC" w:rsidRDefault="008C72DB">
      <w:pPr>
        <w:numPr>
          <w:ilvl w:val="0"/>
          <w:numId w:val="5"/>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RespuestaInfoemRR1373.pdf: </w:t>
      </w:r>
      <w:r>
        <w:rPr>
          <w:rFonts w:ascii="Palatino Linotype" w:eastAsia="Palatino Linotype" w:hAnsi="Palatino Linotype" w:cs="Palatino Linotype"/>
          <w:color w:val="000000"/>
        </w:rPr>
        <w:t xml:space="preserve">Oficio 201007000/UT/2755/2026 de fecha seis de mayo de dos mil veintiséis, suscrito por el Titular de la Unidad de Transparencia a </w:t>
      </w:r>
      <w:r>
        <w:rPr>
          <w:rFonts w:ascii="Palatino Linotype" w:eastAsia="Palatino Linotype" w:hAnsi="Palatino Linotype" w:cs="Palatino Linotype"/>
        </w:rPr>
        <w:t>través</w:t>
      </w:r>
      <w:r>
        <w:rPr>
          <w:rFonts w:ascii="Palatino Linotype" w:eastAsia="Palatino Linotype" w:hAnsi="Palatino Linotype" w:cs="Palatino Linotype"/>
          <w:color w:val="000000"/>
        </w:rPr>
        <w:t xml:space="preserve"> del cual remite los oficios 206010000/2522/2026 y INFOEM/DGI/266/2026.</w:t>
      </w:r>
    </w:p>
    <w:p w:rsidR="00DD51FC" w:rsidRDefault="008C72DB">
      <w:pPr>
        <w:numPr>
          <w:ilvl w:val="0"/>
          <w:numId w:val="5"/>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RESPUESTA RIA 1373-2026-DGA.pdf: </w:t>
      </w:r>
      <w:r>
        <w:rPr>
          <w:rFonts w:ascii="Palatino Linotype" w:eastAsia="Palatino Linotype" w:hAnsi="Palatino Linotype" w:cs="Palatino Linotype"/>
          <w:color w:val="000000"/>
        </w:rPr>
        <w:t xml:space="preserve">Oficio 206010000/2522/2026 de fecha treinta de abril ,de dos mil veintiséis, suscrito por la Directora General de Administración, a </w:t>
      </w:r>
      <w:r>
        <w:rPr>
          <w:rFonts w:ascii="Palatino Linotype" w:eastAsia="Palatino Linotype" w:hAnsi="Palatino Linotype" w:cs="Palatino Linotype"/>
        </w:rPr>
        <w:t>través</w:t>
      </w:r>
      <w:r>
        <w:rPr>
          <w:rFonts w:ascii="Palatino Linotype" w:eastAsia="Palatino Linotype" w:hAnsi="Palatino Linotype" w:cs="Palatino Linotype"/>
          <w:color w:val="000000"/>
        </w:rPr>
        <w:t xml:space="preserve"> del cual informa que en la información que se pretende entregar respecto al Recurso de Revisión 01373/INFOEM/IP/RR/2026, obran en formato digital y físico en los que se incluyen dispositivos de almacenamiento extraíble (USB); los cuales en su conjunto tienen un peso aproximado de 5.32 GB, siendo un total de 85, 120 fojas aproximadamente; así mismo hace del conocimiento que los documentos requeridos contienen información clasificada como confidencial.</w:t>
      </w:r>
    </w:p>
    <w:p w:rsidR="00DD51FC" w:rsidRDefault="00DD51FC">
      <w:pPr>
        <w:pBdr>
          <w:top w:val="nil"/>
          <w:left w:val="nil"/>
          <w:bottom w:val="nil"/>
          <w:right w:val="nil"/>
          <w:between w:val="nil"/>
        </w:pBdr>
        <w:spacing w:line="360" w:lineRule="auto"/>
        <w:ind w:left="1287" w:right="-989"/>
        <w:jc w:val="both"/>
        <w:rPr>
          <w:rFonts w:ascii="Palatino Linotype" w:eastAsia="Palatino Linotype" w:hAnsi="Palatino Linotype" w:cs="Palatino Linotype"/>
          <w:b/>
          <w:bCs/>
          <w:color w:val="000000"/>
        </w:rPr>
      </w:pPr>
    </w:p>
    <w:p w:rsidR="00DD51FC" w:rsidRDefault="008C72DB">
      <w:pPr>
        <w:ind w:right="-989" w:firstLine="708"/>
        <w:rPr>
          <w:rFonts w:ascii="Palatino Linotype" w:eastAsia="Palatino Linotype" w:hAnsi="Palatino Linotype" w:cs="Palatino Linotype"/>
          <w:b/>
          <w:bCs/>
        </w:rPr>
      </w:pPr>
      <w:r>
        <w:rPr>
          <w:rFonts w:ascii="Palatino Linotype" w:eastAsia="Palatino Linotype" w:hAnsi="Palatino Linotype" w:cs="Palatino Linotype"/>
          <w:b/>
          <w:bCs/>
        </w:rPr>
        <w:t>01378/INFOEM/IP/RR/2026</w:t>
      </w:r>
    </w:p>
    <w:p w:rsidR="00DD51FC" w:rsidRDefault="009C4CBC">
      <w:pPr>
        <w:numPr>
          <w:ilvl w:val="0"/>
          <w:numId w:val="5"/>
        </w:num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hyperlink r:id="rId11">
        <w:r w:rsidR="008C72DB">
          <w:rPr>
            <w:rFonts w:ascii="Palatino Linotype" w:eastAsia="Palatino Linotype" w:hAnsi="Palatino Linotype" w:cs="Palatino Linotype"/>
            <w:b/>
            <w:bCs/>
            <w:color w:val="000000"/>
          </w:rPr>
          <w:t>ROf264CambioMod…idadTOLUCA2026.pdf</w:t>
        </w:r>
      </w:hyperlink>
      <w:r w:rsidR="008C72DB">
        <w:rPr>
          <w:rFonts w:ascii="Palatino Linotype" w:eastAsia="Palatino Linotype" w:hAnsi="Palatino Linotype" w:cs="Palatino Linotype"/>
          <w:b/>
          <w:bCs/>
          <w:color w:val="000000"/>
        </w:rPr>
        <w:t xml:space="preserve">: </w:t>
      </w:r>
      <w:r w:rsidR="008C72DB">
        <w:rPr>
          <w:rFonts w:ascii="Palatino Linotype" w:eastAsia="Palatino Linotype" w:hAnsi="Palatino Linotype" w:cs="Palatino Linotype"/>
          <w:color w:val="000000"/>
        </w:rPr>
        <w:t xml:space="preserve">Oficio INFOEM/DGI/264/2026, mediante el cual el Director General de Informática de este Instituto, confirma el registro de la incidencia técnica en la bitácora de incidencia, toda vez que el </w:t>
      </w:r>
      <w:r w:rsidR="008C72DB">
        <w:rPr>
          <w:rFonts w:ascii="Palatino Linotype" w:eastAsia="Palatino Linotype" w:hAnsi="Palatino Linotype" w:cs="Palatino Linotype"/>
          <w:b/>
          <w:bCs/>
          <w:color w:val="000000"/>
        </w:rPr>
        <w:t xml:space="preserve">SUJETO OBLIGADO, </w:t>
      </w:r>
      <w:r w:rsidR="008C72DB">
        <w:rPr>
          <w:rFonts w:ascii="Palatino Linotype" w:eastAsia="Palatino Linotype" w:hAnsi="Palatino Linotype" w:cs="Palatino Linotype"/>
          <w:color w:val="000000"/>
        </w:rPr>
        <w:t xml:space="preserve">pretende subir a la Plataforma del Sistema de Acceso a la </w:t>
      </w:r>
      <w:r w:rsidR="008C72DB">
        <w:rPr>
          <w:rFonts w:ascii="Palatino Linotype" w:eastAsia="Palatino Linotype" w:hAnsi="Palatino Linotype" w:cs="Palatino Linotype"/>
          <w:color w:val="000000"/>
        </w:rPr>
        <w:lastRenderedPageBreak/>
        <w:t xml:space="preserve">Información Mexiquense SAIMEX, un documento con un peso equivalente a 4.05 GB, lo cual </w:t>
      </w:r>
      <w:r w:rsidR="008C72DB">
        <w:rPr>
          <w:rFonts w:ascii="Palatino Linotype" w:eastAsia="Palatino Linotype" w:hAnsi="Palatino Linotype" w:cs="Palatino Linotype"/>
        </w:rPr>
        <w:t>sobrepasa</w:t>
      </w:r>
      <w:r w:rsidR="008C72DB">
        <w:rPr>
          <w:rFonts w:ascii="Palatino Linotype" w:eastAsia="Palatino Linotype" w:hAnsi="Palatino Linotype" w:cs="Palatino Linotype"/>
          <w:color w:val="000000"/>
        </w:rPr>
        <w:t xml:space="preserve"> las capacidades técnicas del Sistema SAIMEX</w:t>
      </w:r>
    </w:p>
    <w:p w:rsidR="00DD51FC" w:rsidRDefault="008C72DB">
      <w:pPr>
        <w:numPr>
          <w:ilvl w:val="0"/>
          <w:numId w:val="5"/>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RESPUESTA RIA 1378-2026-DGA.PDF: </w:t>
      </w:r>
      <w:r>
        <w:rPr>
          <w:rFonts w:ascii="Palatino Linotype" w:eastAsia="Palatino Linotype" w:hAnsi="Palatino Linotype" w:cs="Palatino Linotype"/>
          <w:color w:val="000000"/>
        </w:rPr>
        <w:t xml:space="preserve">Oficio 206010000/2524/2026 de fecha treinta de abril ,de dos mil veintiséis, suscrito por la Directora General de Administración, a </w:t>
      </w:r>
      <w:r>
        <w:rPr>
          <w:rFonts w:ascii="Palatino Linotype" w:eastAsia="Palatino Linotype" w:hAnsi="Palatino Linotype" w:cs="Palatino Linotype"/>
        </w:rPr>
        <w:t>través</w:t>
      </w:r>
      <w:r>
        <w:rPr>
          <w:rFonts w:ascii="Palatino Linotype" w:eastAsia="Palatino Linotype" w:hAnsi="Palatino Linotype" w:cs="Palatino Linotype"/>
          <w:color w:val="000000"/>
        </w:rPr>
        <w:t xml:space="preserve"> del cual informa que en la información que se pretende entregar respecto al Recurso de Revisión 01378/INFOEM/IP/RR/2026, obran </w:t>
      </w:r>
      <w:r>
        <w:rPr>
          <w:rFonts w:ascii="Palatino Linotype" w:eastAsia="Palatino Linotype" w:hAnsi="Palatino Linotype" w:cs="Palatino Linotype"/>
        </w:rPr>
        <w:t>en formato</w:t>
      </w:r>
      <w:r>
        <w:rPr>
          <w:rFonts w:ascii="Palatino Linotype" w:eastAsia="Palatino Linotype" w:hAnsi="Palatino Linotype" w:cs="Palatino Linotype"/>
          <w:color w:val="000000"/>
        </w:rPr>
        <w:t xml:space="preserve"> digital y físico en los que se incluyen dispositivos de almacenamiento extraíble (USB); los cuales en su conjunto tienen un peso aproximado de 4.05 GB, siendo un total de 64, 800 fojas aproximadamente; así mismo hace del conocimiento que los documentos requeridos contienen información clasificada como confidencial.</w:t>
      </w:r>
    </w:p>
    <w:p w:rsidR="00DD51FC" w:rsidRDefault="009C4CBC">
      <w:pPr>
        <w:numPr>
          <w:ilvl w:val="0"/>
          <w:numId w:val="5"/>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hyperlink r:id="rId12">
        <w:r w:rsidR="008C72DB">
          <w:rPr>
            <w:rFonts w:ascii="Palatino Linotype" w:eastAsia="Palatino Linotype" w:hAnsi="Palatino Linotype" w:cs="Palatino Linotype"/>
            <w:b/>
            <w:bCs/>
            <w:color w:val="000000"/>
          </w:rPr>
          <w:t>RespuestaInfoemRR1378.pdf</w:t>
        </w:r>
      </w:hyperlink>
      <w:r w:rsidR="008C72DB">
        <w:rPr>
          <w:rFonts w:ascii="Palatino Linotype" w:eastAsia="Palatino Linotype" w:hAnsi="Palatino Linotype" w:cs="Palatino Linotype"/>
          <w:b/>
          <w:bCs/>
          <w:color w:val="000000"/>
        </w:rPr>
        <w:t xml:space="preserve">: </w:t>
      </w:r>
      <w:r w:rsidR="008C72DB">
        <w:rPr>
          <w:rFonts w:ascii="Palatino Linotype" w:eastAsia="Palatino Linotype" w:hAnsi="Palatino Linotype" w:cs="Palatino Linotype"/>
          <w:color w:val="000000"/>
        </w:rPr>
        <w:t xml:space="preserve">Oficio 201007000/UT/2757/2026 de fecha seis de mayo de dos mil veintiséis, suscrito por el Titular de la Unidad de Transparencia a </w:t>
      </w:r>
      <w:r w:rsidR="008C72DB">
        <w:rPr>
          <w:rFonts w:ascii="Palatino Linotype" w:eastAsia="Palatino Linotype" w:hAnsi="Palatino Linotype" w:cs="Palatino Linotype"/>
        </w:rPr>
        <w:t>través</w:t>
      </w:r>
      <w:r w:rsidR="008C72DB">
        <w:rPr>
          <w:rFonts w:ascii="Palatino Linotype" w:eastAsia="Palatino Linotype" w:hAnsi="Palatino Linotype" w:cs="Palatino Linotype"/>
          <w:color w:val="000000"/>
        </w:rPr>
        <w:t xml:space="preserve"> del cual remite los oficios 206010000/2524/2026/2026 y INFOEM/DGI/264/2026; descritos en los puntos que anteceden.</w:t>
      </w:r>
    </w:p>
    <w:p w:rsidR="00DD51FC" w:rsidRDefault="00DD51FC">
      <w:pPr>
        <w:pBdr>
          <w:top w:val="nil"/>
          <w:left w:val="nil"/>
          <w:bottom w:val="nil"/>
          <w:right w:val="nil"/>
          <w:between w:val="nil"/>
        </w:pBdr>
        <w:tabs>
          <w:tab w:val="left" w:pos="426"/>
          <w:tab w:val="left" w:pos="567"/>
        </w:tabs>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tabs>
          <w:tab w:val="left" w:pos="426"/>
          <w:tab w:val="left" w:pos="567"/>
        </w:tabs>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veintisiete de abril de dos mil veintiséis</w:t>
      </w:r>
      <w:r>
        <w:rPr>
          <w:rFonts w:ascii="Palatino Linotype" w:eastAsia="Palatino Linotype" w:hAnsi="Palatino Linotype" w:cs="Palatino Linotype"/>
          <w:color w:val="000000"/>
        </w:rPr>
        <w:t xml:space="preserve">, se notificó el Acuerdo por el que se amplió el </w:t>
      </w:r>
      <w:r>
        <w:rPr>
          <w:rFonts w:ascii="Palatino Linotype" w:eastAsia="Palatino Linotype" w:hAnsi="Palatino Linotype" w:cs="Palatino Linotype"/>
        </w:rPr>
        <w:t>término</w:t>
      </w:r>
      <w:r>
        <w:rPr>
          <w:rFonts w:ascii="Palatino Linotype" w:eastAsia="Palatino Linotype" w:hAnsi="Palatino Linotype" w:cs="Palatino Linotype"/>
          <w:color w:val="000000"/>
        </w:rPr>
        <w:t xml:space="preserve"> para resolver el recurso de revisión que nos ocupa.</w:t>
      </w:r>
    </w:p>
    <w:p w:rsidR="00DD51FC" w:rsidRDefault="00DD51FC">
      <w:pPr>
        <w:pBdr>
          <w:top w:val="nil"/>
          <w:left w:val="nil"/>
          <w:bottom w:val="nil"/>
          <w:right w:val="nil"/>
          <w:between w:val="nil"/>
        </w:pBdr>
        <w:ind w:left="720"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tabs>
          <w:tab w:val="left" w:pos="426"/>
          <w:tab w:val="left" w:pos="567"/>
        </w:tabs>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decretó el cierre de instrucción mediante acuerdo del </w:t>
      </w:r>
      <w:r>
        <w:rPr>
          <w:rFonts w:ascii="Palatino Linotype" w:eastAsia="Palatino Linotype" w:hAnsi="Palatino Linotype" w:cs="Palatino Linotype"/>
          <w:b/>
          <w:bCs/>
          <w:color w:val="000000"/>
        </w:rPr>
        <w:t>siete de mayo de dos mil veintiséis</w:t>
      </w:r>
      <w:r>
        <w:rPr>
          <w:rFonts w:ascii="Palatino Linotype" w:eastAsia="Palatino Linotype" w:hAnsi="Palatino Linotype" w:cs="Palatino Linotype"/>
          <w:color w:val="000000"/>
        </w:rPr>
        <w:t>; por lo que se ordenó turnar el expediente a resolución, misma que ahora se pronuncia; y -----------------------------------------------------------------------------</w:t>
      </w:r>
      <w:r w:rsidR="008A13AC">
        <w:rPr>
          <w:rFonts w:ascii="Palatino Linotype" w:eastAsia="Palatino Linotype" w:hAnsi="Palatino Linotype" w:cs="Palatino Linotype"/>
          <w:color w:val="000000"/>
        </w:rPr>
        <w:t>----------</w:t>
      </w:r>
    </w:p>
    <w:p w:rsidR="00DD51FC" w:rsidRDefault="00DD51FC">
      <w:pPr>
        <w:pBdr>
          <w:top w:val="nil"/>
          <w:left w:val="nil"/>
          <w:bottom w:val="nil"/>
          <w:right w:val="nil"/>
          <w:between w:val="nil"/>
        </w:pBdr>
        <w:ind w:left="720" w:right="-989"/>
        <w:rPr>
          <w:rFonts w:ascii="Palatino Linotype" w:eastAsia="Palatino Linotype" w:hAnsi="Palatino Linotype" w:cs="Palatino Linotype"/>
          <w:b/>
          <w:bCs/>
          <w:color w:val="000000"/>
        </w:rPr>
      </w:pP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p>
    <w:p w:rsidR="00DD51FC" w:rsidRDefault="008C72DB">
      <w:pPr>
        <w:pStyle w:val="Ttulo1"/>
        <w:tabs>
          <w:tab w:val="left" w:pos="567"/>
        </w:tabs>
        <w:spacing w:before="0" w:line="360" w:lineRule="auto"/>
        <w:ind w:right="-989"/>
        <w:jc w:val="center"/>
      </w:pPr>
      <w:bookmarkStart w:id="4" w:name="_heading=h.tyjcwt" w:colFirst="0" w:colLast="0"/>
      <w:bookmarkEnd w:id="4"/>
      <w:r>
        <w:lastRenderedPageBreak/>
        <w:t>C O N S I D E R A N D O</w:t>
      </w:r>
    </w:p>
    <w:p w:rsidR="00DD51FC" w:rsidRDefault="00DD51FC">
      <w:pPr>
        <w:spacing w:line="360" w:lineRule="auto"/>
        <w:ind w:right="-989"/>
        <w:rPr>
          <w:rFonts w:ascii="Palatino Linotype" w:eastAsia="Palatino Linotype" w:hAnsi="Palatino Linotype" w:cs="Palatino Linotype"/>
        </w:rPr>
      </w:pPr>
    </w:p>
    <w:p w:rsidR="00DD51FC" w:rsidRDefault="008C72DB">
      <w:pPr>
        <w:pStyle w:val="Ttulo1"/>
        <w:tabs>
          <w:tab w:val="left" w:pos="567"/>
        </w:tabs>
        <w:spacing w:before="0" w:line="360" w:lineRule="auto"/>
        <w:ind w:right="-989"/>
        <w:rPr>
          <w:b w:val="0"/>
          <w:bCs w:val="0"/>
        </w:rPr>
      </w:pPr>
      <w:bookmarkStart w:id="5" w:name="_heading=h.3dy6vkm" w:colFirst="0" w:colLast="0"/>
      <w:bookmarkEnd w:id="5"/>
      <w:r>
        <w:t>PRIMERO. De la competencia</w:t>
      </w:r>
    </w:p>
    <w:p w:rsidR="00DD51FC" w:rsidRDefault="008C72DB">
      <w:pPr>
        <w:numPr>
          <w:ilvl w:val="0"/>
          <w:numId w:val="4"/>
        </w:numPr>
        <w:pBdr>
          <w:top w:val="nil"/>
          <w:left w:val="nil"/>
          <w:bottom w:val="nil"/>
          <w:right w:val="nil"/>
          <w:between w:val="nil"/>
        </w:pBdr>
        <w:tabs>
          <w:tab w:val="left" w:pos="426"/>
          <w:tab w:val="left" w:pos="567"/>
        </w:tabs>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Este Instituto de Transparencia, Acceso a la Información Pública y Protección de Datos Personales del Estado de México y Municipios, es competente para conocer y resolver del presente recurso de conformidad con el artículo: 6, apartado A, fracción IV de la </w:t>
      </w:r>
      <w:r>
        <w:rPr>
          <w:rFonts w:ascii="Palatino Linotype" w:eastAsia="Palatino Linotype" w:hAnsi="Palatino Linotype" w:cs="Palatino Linotype"/>
          <w:b/>
          <w:bCs/>
          <w:color w:val="000000"/>
        </w:rPr>
        <w:t>Constitución Política de los Estados Unidos Mexicanos</w:t>
      </w:r>
      <w:r>
        <w:rPr>
          <w:rFonts w:ascii="Palatino Linotype" w:eastAsia="Palatino Linotype" w:hAnsi="Palatino Linotype" w:cs="Palatino Linotype"/>
          <w:color w:val="000000"/>
        </w:rPr>
        <w:t>; 5, párrafos trigésimo segundo, trigésimo tercero y trigésimo cuarto fracciones IV y V de la </w:t>
      </w:r>
      <w:r>
        <w:rPr>
          <w:rFonts w:ascii="Palatino Linotype" w:eastAsia="Palatino Linotype" w:hAnsi="Palatino Linotype" w:cs="Palatino Linotype"/>
          <w:b/>
          <w:bCs/>
          <w:color w:val="000000"/>
        </w:rPr>
        <w:t>Constitución Política del Estado Libre y Soberano de México</w:t>
      </w:r>
      <w:r>
        <w:rPr>
          <w:rFonts w:ascii="Palatino Linotype" w:eastAsia="Palatino Linotype" w:hAnsi="Palatino Linotype" w:cs="Palatino Linotype"/>
          <w:color w:val="000000"/>
        </w:rPr>
        <w:t>; artículos 1, 2 fracción II, 13, 29, 36 fracciones I y II, 176, 178, 179, 181 párrafo tercero y 185 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y 7, 9 fracciones I y XXIII, y 11 del </w:t>
      </w:r>
      <w:r>
        <w:rPr>
          <w:rFonts w:ascii="Palatino Linotype" w:eastAsia="Palatino Linotype" w:hAnsi="Palatino Linotype" w:cs="Palatino Linotype"/>
          <w:b/>
          <w:bCs/>
          <w:color w:val="000000"/>
        </w:rPr>
        <w:t>Reglamento Interior del Instituto de Transparencia, Acceso a la Información Pública y Protección de Datos Personales del Estado de México y Municipios</w:t>
      </w:r>
      <w:r>
        <w:rPr>
          <w:rFonts w:ascii="Palatino Linotype" w:eastAsia="Palatino Linotype" w:hAnsi="Palatino Linotype" w:cs="Palatino Linotype"/>
          <w:color w:val="000000"/>
        </w:rPr>
        <w:t>.</w:t>
      </w:r>
    </w:p>
    <w:p w:rsidR="00DD51FC" w:rsidRDefault="00DD51FC">
      <w:pPr>
        <w:pBdr>
          <w:top w:val="nil"/>
          <w:left w:val="nil"/>
          <w:bottom w:val="nil"/>
          <w:right w:val="nil"/>
          <w:between w:val="nil"/>
        </w:pBdr>
        <w:tabs>
          <w:tab w:val="left" w:pos="426"/>
          <w:tab w:val="left" w:pos="567"/>
        </w:tabs>
        <w:spacing w:line="360" w:lineRule="auto"/>
        <w:ind w:right="-989"/>
        <w:jc w:val="both"/>
        <w:rPr>
          <w:rFonts w:ascii="Palatino Linotype" w:eastAsia="Palatino Linotype" w:hAnsi="Palatino Linotype" w:cs="Palatino Linotype"/>
          <w:color w:val="000000"/>
        </w:rPr>
      </w:pPr>
    </w:p>
    <w:p w:rsidR="00DD51FC" w:rsidRDefault="008C72DB">
      <w:pPr>
        <w:pStyle w:val="Ttulo2"/>
        <w:spacing w:before="0" w:line="360" w:lineRule="auto"/>
        <w:ind w:right="-989"/>
      </w:pPr>
      <w:bookmarkStart w:id="6" w:name="_heading=h.1t3h5sf" w:colFirst="0" w:colLast="0"/>
      <w:bookmarkEnd w:id="6"/>
      <w:r>
        <w:t>SEGUNDO. De la oportunidad y procedencia.</w:t>
      </w:r>
    </w:p>
    <w:p w:rsidR="00DD51FC" w:rsidRDefault="008C72DB">
      <w:pPr>
        <w:numPr>
          <w:ilvl w:val="0"/>
          <w:numId w:val="4"/>
        </w:numPr>
        <w:pBdr>
          <w:top w:val="nil"/>
          <w:left w:val="nil"/>
          <w:bottom w:val="nil"/>
          <w:right w:val="nil"/>
          <w:between w:val="nil"/>
        </w:pBdr>
        <w:tabs>
          <w:tab w:val="left" w:pos="426"/>
          <w:tab w:val="left" w:pos="567"/>
        </w:tabs>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Los medios de impugnación fueron presentados a través del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en el formato previamente aprobado para tal efecto y dentro del plazo legal de quince días hábiles otorgados; siendo así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respuestas </w:t>
      </w:r>
      <w:r>
        <w:rPr>
          <w:rFonts w:ascii="Palatino Linotype" w:eastAsia="Palatino Linotype" w:hAnsi="Palatino Linotype" w:cs="Palatino Linotype"/>
          <w:b/>
          <w:bCs/>
          <w:color w:val="000000"/>
        </w:rPr>
        <w:t>el tres de febrero de dos mil veintiséis</w:t>
      </w:r>
      <w:r>
        <w:rPr>
          <w:rFonts w:ascii="Palatino Linotype" w:eastAsia="Palatino Linotype" w:hAnsi="Palatino Linotype" w:cs="Palatino Linotype"/>
          <w:color w:val="000000"/>
        </w:rPr>
        <w:t xml:space="preserve">, de tal forma que el plazo para interponer el recurso de revisión transcurrió del </w:t>
      </w:r>
      <w:r>
        <w:rPr>
          <w:rFonts w:ascii="Palatino Linotype" w:eastAsia="Palatino Linotype" w:hAnsi="Palatino Linotype" w:cs="Palatino Linotype"/>
          <w:b/>
          <w:bCs/>
          <w:color w:val="000000"/>
        </w:rPr>
        <w:t>cuatro al veinticuatro de febrero de dos mil veintiséis</w:t>
      </w:r>
      <w:r>
        <w:rPr>
          <w:rFonts w:ascii="Palatino Linotype" w:eastAsia="Palatino Linotype" w:hAnsi="Palatino Linotype" w:cs="Palatino Linotype"/>
          <w:color w:val="000000"/>
        </w:rPr>
        <w:t xml:space="preserve">, en consecuencia, si la parte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presentó sus inconformidades </w:t>
      </w:r>
      <w:r>
        <w:rPr>
          <w:rFonts w:ascii="Palatino Linotype" w:eastAsia="Palatino Linotype" w:hAnsi="Palatino Linotype" w:cs="Palatino Linotype"/>
          <w:b/>
          <w:bCs/>
          <w:color w:val="000000"/>
        </w:rPr>
        <w:t>el cuatro de febrero de dos mil veintiséis</w:t>
      </w:r>
      <w:r>
        <w:rPr>
          <w:rFonts w:ascii="Palatino Linotype" w:eastAsia="Palatino Linotype" w:hAnsi="Palatino Linotype" w:cs="Palatino Linotype"/>
          <w:color w:val="000000"/>
        </w:rPr>
        <w:t>, se encuentra dentro de los márgenes temporales previstos en el artículo 178 de la Ley de Transparencia y Acceso a la Información Pública del Estado de México y Municipios.</w:t>
      </w:r>
    </w:p>
    <w:p w:rsidR="00DD51FC" w:rsidRDefault="008C72DB">
      <w:pPr>
        <w:numPr>
          <w:ilvl w:val="0"/>
          <w:numId w:val="4"/>
        </w:numPr>
        <w:spacing w:line="360" w:lineRule="auto"/>
        <w:ind w:left="0" w:right="-989"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DD51FC" w:rsidRDefault="00DD51FC">
      <w:pPr>
        <w:pBdr>
          <w:top w:val="nil"/>
          <w:left w:val="nil"/>
          <w:bottom w:val="nil"/>
          <w:right w:val="nil"/>
          <w:between w:val="nil"/>
        </w:pBdr>
        <w:tabs>
          <w:tab w:val="left" w:pos="7655"/>
        </w:tabs>
        <w:ind w:left="567" w:right="-989"/>
        <w:jc w:val="both"/>
        <w:rPr>
          <w:rFonts w:ascii="Palatino Linotype" w:eastAsia="Palatino Linotype" w:hAnsi="Palatino Linotype" w:cs="Palatino Linotype"/>
          <w:i/>
          <w:iCs/>
          <w:color w:val="000000"/>
        </w:rPr>
      </w:pPr>
    </w:p>
    <w:p w:rsidR="00DD51FC" w:rsidRDefault="008C72DB">
      <w:pPr>
        <w:pBdr>
          <w:top w:val="nil"/>
          <w:left w:val="nil"/>
          <w:bottom w:val="nil"/>
          <w:right w:val="nil"/>
          <w:between w:val="nil"/>
        </w:pBdr>
        <w:tabs>
          <w:tab w:val="left" w:pos="7655"/>
        </w:tabs>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Las solicitudes anónimas</w:t>
      </w:r>
      <w:r>
        <w:rPr>
          <w:rFonts w:ascii="Palatino Linotype" w:eastAsia="Palatino Linotype" w:hAnsi="Palatino Linotype" w:cs="Palatino Linotype"/>
          <w:i/>
          <w:iCs/>
          <w:color w:val="000000"/>
        </w:rPr>
        <w:t xml:space="preserve">, con nombre incompleto o seudónimo </w:t>
      </w:r>
      <w:r>
        <w:rPr>
          <w:rFonts w:ascii="Palatino Linotype" w:eastAsia="Palatino Linotype" w:hAnsi="Palatino Linotype" w:cs="Palatino Linotype"/>
          <w:b/>
          <w:bCs/>
          <w:i/>
          <w:iCs/>
          <w:color w:val="000000"/>
        </w:rPr>
        <w:t>serán procedentes para su trámite por parte del sujeto obligado ante quien se presente</w:t>
      </w:r>
      <w:r>
        <w:rPr>
          <w:rFonts w:ascii="Palatino Linotype" w:eastAsia="Palatino Linotype" w:hAnsi="Palatino Linotype" w:cs="Palatino Linotype"/>
          <w:i/>
          <w:iCs/>
          <w:color w:val="000000"/>
        </w:rPr>
        <w:t>. No podrá requerirse información adicional con motivo del nombre proporcionado por el solicitante."</w:t>
      </w:r>
    </w:p>
    <w:p w:rsidR="00DD51FC" w:rsidRDefault="00DD51FC">
      <w:pPr>
        <w:pBdr>
          <w:top w:val="nil"/>
          <w:left w:val="nil"/>
          <w:bottom w:val="nil"/>
          <w:right w:val="nil"/>
          <w:between w:val="nil"/>
        </w:pBdr>
        <w:ind w:left="720" w:right="-989"/>
        <w:rPr>
          <w:rFonts w:ascii="Palatino Linotype" w:eastAsia="Palatino Linotype" w:hAnsi="Palatino Linotype" w:cs="Palatino Linotype"/>
        </w:rPr>
      </w:pPr>
    </w:p>
    <w:p w:rsidR="00DD51FC" w:rsidRDefault="00DD51FC">
      <w:pPr>
        <w:pBdr>
          <w:top w:val="nil"/>
          <w:left w:val="nil"/>
          <w:bottom w:val="nil"/>
          <w:right w:val="nil"/>
          <w:between w:val="nil"/>
        </w:pBdr>
        <w:ind w:left="720" w:right="-989"/>
        <w:rPr>
          <w:rFonts w:ascii="Palatino Linotype" w:eastAsia="Palatino Linotype" w:hAnsi="Palatino Linotype" w:cs="Palatino Linotype"/>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6.-</w:t>
      </w:r>
      <w:r>
        <w:rPr>
          <w:rFonts w:ascii="Palatino Linotype" w:eastAsia="Palatino Linotype" w:hAnsi="Palatino Linotype" w:cs="Palatino Linotype"/>
          <w:i/>
          <w:iCs/>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DD51FC" w:rsidRDefault="00DD51FC">
      <w:pPr>
        <w:pBdr>
          <w:top w:val="nil"/>
          <w:left w:val="nil"/>
          <w:bottom w:val="nil"/>
          <w:right w:val="nil"/>
          <w:between w:val="nil"/>
        </w:pBdr>
        <w:ind w:left="567" w:right="-989"/>
        <w:jc w:val="both"/>
        <w:rPr>
          <w:rFonts w:ascii="Palatino Linotype" w:eastAsia="Palatino Linotype" w:hAnsi="Palatino Linotype" w:cs="Palatino Linotype"/>
          <w:i/>
          <w:iCs/>
          <w:color w:val="000000"/>
        </w:rPr>
      </w:pP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efectos de lo dispuesto en el presente artículo se observará lo siguiente:</w:t>
      </w:r>
    </w:p>
    <w:p w:rsidR="00DD51FC" w:rsidRDefault="00DD51FC">
      <w:pPr>
        <w:pBdr>
          <w:top w:val="nil"/>
          <w:left w:val="nil"/>
          <w:bottom w:val="nil"/>
          <w:right w:val="nil"/>
          <w:between w:val="nil"/>
        </w:pBdr>
        <w:ind w:left="567" w:right="-989"/>
        <w:jc w:val="both"/>
        <w:rPr>
          <w:rFonts w:ascii="Palatino Linotype" w:eastAsia="Palatino Linotype" w:hAnsi="Palatino Linotype" w:cs="Palatino Linotype"/>
          <w:i/>
          <w:iCs/>
          <w:color w:val="000000"/>
        </w:rPr>
      </w:pP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 Para el ejercicio del derecho de acceso a la información, la Federación, los Estados y el Distrito Federal, en el ámbito de sus respectivas competencias, se regirán por los siguientes principios y bases:</w:t>
      </w:r>
    </w:p>
    <w:p w:rsidR="00DD51FC" w:rsidRDefault="00DD51FC">
      <w:pPr>
        <w:pBdr>
          <w:top w:val="nil"/>
          <w:left w:val="nil"/>
          <w:bottom w:val="nil"/>
          <w:right w:val="nil"/>
          <w:between w:val="nil"/>
        </w:pBdr>
        <w:ind w:left="567" w:right="-989"/>
        <w:jc w:val="both"/>
        <w:rPr>
          <w:rFonts w:ascii="Palatino Linotype" w:eastAsia="Palatino Linotype" w:hAnsi="Palatino Linotype" w:cs="Palatino Linotype"/>
          <w:i/>
          <w:iCs/>
          <w:color w:val="000000"/>
        </w:rPr>
      </w:pP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Toda persona, sin necesidad de acreditar interés alguno o justificar su utilización, tendrá acceso gratuito a la información pública, a sus datos personales o a la rectificación de éstos.” </w:t>
      </w:r>
      <w:r>
        <w:rPr>
          <w:rFonts w:ascii="Palatino Linotype" w:eastAsia="Palatino Linotype" w:hAnsi="Palatino Linotype" w:cs="Palatino Linotype"/>
          <w:color w:val="000000"/>
        </w:rPr>
        <w:t>(Sic)</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Así como el artículo 5 fracción III, párrafo vigésimo noveno, trigésimo y trigésimo primero, de la Constitución Política del Estado Libre y Soberano de México, que determina lo siguiente:</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5.-</w:t>
      </w:r>
      <w:r>
        <w:rPr>
          <w:rFonts w:ascii="Palatino Linotype" w:eastAsia="Palatino Linotype" w:hAnsi="Palatino Linotype" w:cs="Palatino Linotype"/>
          <w:i/>
          <w:iCs/>
          <w:color w:val="00000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persona en el Estado de México, tiene derecho al libre acceso a la información plural y oportuna, así como a buscar recibir y difundir información e ideas de toda índole por cualquier medio de expresión.</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derecho a la información será garantizado por el Estado. La ley establecerá las previsiones que permitan asegurar la protección, el respeto y la difusión de este derecho.</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III. Toda persona, sin necesidad de acreditar interés alguno o justificar su utilización, tendrá acceso gratuito a la información pública, a sus datos personales o a la rectificación de éstos;</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Pr>
          <w:rFonts w:ascii="Palatino Linotype" w:eastAsia="Palatino Linotype" w:hAnsi="Palatino Linotype" w:cs="Palatino Linotype"/>
          <w:color w:val="000000"/>
        </w:rPr>
        <w:t>(Sic)</w:t>
      </w:r>
    </w:p>
    <w:p w:rsidR="00DD51FC" w:rsidRDefault="00DD51FC">
      <w:pPr>
        <w:tabs>
          <w:tab w:val="left" w:pos="7655"/>
        </w:tabs>
        <w:ind w:left="567" w:right="-989"/>
        <w:jc w:val="both"/>
        <w:rPr>
          <w:rFonts w:ascii="Palatino Linotype" w:eastAsia="Palatino Linotype" w:hAnsi="Palatino Linotype" w:cs="Palatino Linotype"/>
          <w:i/>
          <w:iCs/>
        </w:rPr>
      </w:pPr>
    </w:p>
    <w:p w:rsidR="00DD51FC" w:rsidRDefault="00DD51FC">
      <w:pPr>
        <w:tabs>
          <w:tab w:val="left" w:pos="7655"/>
        </w:tabs>
        <w:ind w:left="567" w:right="-989"/>
        <w:jc w:val="both"/>
        <w:rPr>
          <w:rFonts w:ascii="Palatino Linotype" w:eastAsia="Palatino Linotype" w:hAnsi="Palatino Linotype" w:cs="Palatino Linotype"/>
          <w:i/>
          <w:iCs/>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otra parte, del contenido del artículo 1 de la Constitución Política de los Estados Unidos mexicanos, se destaca lo siguiente:</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w:t>
      </w:r>
      <w:r>
        <w:rPr>
          <w:rFonts w:ascii="Palatino Linotype" w:eastAsia="Palatino Linotype" w:hAnsi="Palatino Linotype" w:cs="Palatino Linotype"/>
          <w:b/>
          <w:bCs/>
          <w:i/>
          <w:iCs/>
          <w:color w:val="000000"/>
        </w:rPr>
        <w:t>Artículo 1</w:t>
      </w:r>
      <w:r>
        <w:rPr>
          <w:rFonts w:ascii="Palatino Linotype" w:eastAsia="Palatino Linotype" w:hAnsi="Palatino Linotype" w:cs="Palatino Linotype"/>
          <w:i/>
          <w:iCs/>
          <w:color w:val="000000"/>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normas relativas a los derechos humanos se interpretarán de conformidad con esta Constitución y con los tratados internacionales de la materia favoreciendo en todo tiempo a las personas la protección más amplia.</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DD51FC" w:rsidRDefault="00DD51FC">
      <w:pPr>
        <w:spacing w:line="360" w:lineRule="auto"/>
        <w:ind w:right="-989"/>
        <w:jc w:val="both"/>
        <w:rPr>
          <w:rFonts w:ascii="Palatino Linotype" w:eastAsia="Palatino Linotype" w:hAnsi="Palatino Linotype" w:cs="Palatino Linotype"/>
        </w:rPr>
      </w:pPr>
    </w:p>
    <w:p w:rsidR="00DD51FC" w:rsidRDefault="008C72DB">
      <w:pPr>
        <w:numPr>
          <w:ilvl w:val="0"/>
          <w:numId w:val="4"/>
        </w:numPr>
        <w:spacing w:line="360" w:lineRule="auto"/>
        <w:ind w:left="0" w:right="-98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Pr>
          <w:rFonts w:ascii="Palatino Linotype" w:eastAsia="Palatino Linotype" w:hAnsi="Palatino Linotype" w:cs="Palatino Linotype"/>
          <w:i/>
          <w:iCs/>
        </w:rPr>
        <w:t>derecho fundamental exime a quien lo ejerce</w:t>
      </w:r>
      <w:r>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DD51FC" w:rsidRDefault="00DD51FC">
      <w:pPr>
        <w:spacing w:line="360" w:lineRule="auto"/>
        <w:ind w:right="-989"/>
        <w:jc w:val="both"/>
        <w:rPr>
          <w:rFonts w:ascii="Palatino Linotype" w:eastAsia="Palatino Linotype" w:hAnsi="Palatino Linotype" w:cs="Palatino Linotype"/>
          <w:b/>
          <w:bCs/>
        </w:rPr>
      </w:pPr>
    </w:p>
    <w:p w:rsidR="00DD51FC" w:rsidRDefault="008C72DB">
      <w:pPr>
        <w:numPr>
          <w:ilvl w:val="0"/>
          <w:numId w:val="4"/>
        </w:numPr>
        <w:spacing w:line="360" w:lineRule="auto"/>
        <w:ind w:left="0" w:right="-98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consecuencia, dado lo expuesto y fundado con anterioridad, se estima que el requisito relativo al nombre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w:t>
      </w:r>
      <w:r>
        <w:rPr>
          <w:rFonts w:ascii="Palatino Linotype" w:eastAsia="Palatino Linotype" w:hAnsi="Palatino Linotype" w:cs="Palatino Linotype"/>
        </w:rPr>
        <w:lastRenderedPageBreak/>
        <w:t>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DD51FC" w:rsidRDefault="00DD51FC">
      <w:pPr>
        <w:pBdr>
          <w:top w:val="nil"/>
          <w:left w:val="nil"/>
          <w:bottom w:val="nil"/>
          <w:right w:val="nil"/>
          <w:between w:val="nil"/>
        </w:pBdr>
        <w:tabs>
          <w:tab w:val="left" w:pos="426"/>
          <w:tab w:val="left" w:pos="567"/>
        </w:tabs>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tabs>
          <w:tab w:val="left" w:pos="426"/>
          <w:tab w:val="left" w:pos="567"/>
        </w:tabs>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DD51FC" w:rsidRDefault="00DD51FC">
      <w:pPr>
        <w:spacing w:line="360" w:lineRule="auto"/>
        <w:ind w:right="-989"/>
        <w:rPr>
          <w:rFonts w:ascii="Palatino Linotype" w:eastAsia="Palatino Linotype" w:hAnsi="Palatino Linotype" w:cs="Palatino Linotype"/>
        </w:rPr>
      </w:pPr>
    </w:p>
    <w:p w:rsidR="00DD51FC" w:rsidRDefault="008C72DB">
      <w:pPr>
        <w:pStyle w:val="Ttulo1"/>
        <w:spacing w:before="0" w:line="360" w:lineRule="auto"/>
        <w:ind w:right="-989"/>
      </w:pPr>
      <w:r>
        <w:t xml:space="preserve">TERCERO. Del planteamiento de la </w:t>
      </w:r>
      <w:r>
        <w:rPr>
          <w:i/>
          <w:iCs/>
        </w:rPr>
        <w:t>Litis</w:t>
      </w:r>
      <w:r>
        <w:t>.</w:t>
      </w: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las constancias que integran el expediente al rubro indicado, se desprende que el particular solicitó tener acceso, a la información que a continuación se desagrega:</w:t>
      </w:r>
    </w:p>
    <w:p w:rsidR="00DD51FC" w:rsidRDefault="008C72DB">
      <w:pPr>
        <w:numPr>
          <w:ilvl w:val="0"/>
          <w:numId w:val="6"/>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Oficios recibidos y emitidos en la Dirección General de Administración; así como de sus áreas subordinadas del uno al treinta de abril de dos mil veinticinco.</w:t>
      </w:r>
    </w:p>
    <w:p w:rsidR="00DD51FC" w:rsidRDefault="008C72DB">
      <w:pPr>
        <w:numPr>
          <w:ilvl w:val="0"/>
          <w:numId w:val="6"/>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Oficios recibidos y emitidos en la Dirección General de Administración; así como de sus áreas subordinadas del uno al treinta de septiembre de dos mil veinticinco.</w:t>
      </w:r>
    </w:p>
    <w:p w:rsidR="00DD51FC" w:rsidRDefault="00DD51FC">
      <w:pPr>
        <w:pBdr>
          <w:top w:val="nil"/>
          <w:left w:val="nil"/>
          <w:bottom w:val="nil"/>
          <w:right w:val="nil"/>
          <w:between w:val="nil"/>
        </w:pBdr>
        <w:spacing w:line="360" w:lineRule="auto"/>
        <w:ind w:left="567" w:right="-989"/>
        <w:jc w:val="both"/>
        <w:rPr>
          <w:rFonts w:ascii="Palatino Linotype" w:eastAsia="Palatino Linotype" w:hAnsi="Palatino Linotype" w:cs="Palatino Linotype"/>
          <w:i/>
          <w:iCs/>
        </w:rPr>
      </w:pPr>
    </w:p>
    <w:p w:rsidR="00DD51FC" w:rsidRPr="008A13A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En respuesta,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dio respuesta como </w:t>
      </w:r>
      <w:r>
        <w:rPr>
          <w:rFonts w:ascii="Palatino Linotype" w:eastAsia="Palatino Linotype" w:hAnsi="Palatino Linotype" w:cs="Palatino Linotype"/>
        </w:rPr>
        <w:t>quedó</w:t>
      </w:r>
      <w:r>
        <w:rPr>
          <w:rFonts w:ascii="Palatino Linotype" w:eastAsia="Palatino Linotype" w:hAnsi="Palatino Linotype" w:cs="Palatino Linotype"/>
          <w:color w:val="000000"/>
        </w:rPr>
        <w:t xml:space="preserve"> referido en el numeral 3 del presente proyecto.</w:t>
      </w:r>
    </w:p>
    <w:p w:rsidR="008A13AC" w:rsidRDefault="008A13AC" w:rsidP="008A13AC">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Inconforme con la respuesta proporcionada, el </w:t>
      </w:r>
      <w:r>
        <w:rPr>
          <w:rFonts w:ascii="Palatino Linotype" w:eastAsia="Palatino Linotype" w:hAnsi="Palatino Linotype" w:cs="Palatino Linotype"/>
          <w:b/>
          <w:bCs/>
          <w:color w:val="000000"/>
        </w:rPr>
        <w:t>PARTICULAR,</w:t>
      </w:r>
      <w:r>
        <w:rPr>
          <w:rFonts w:ascii="Palatino Linotype" w:eastAsia="Palatino Linotype" w:hAnsi="Palatino Linotype" w:cs="Palatino Linotype"/>
        </w:rPr>
        <w:t xml:space="preserve"> interpuso recurso de revisión, arguyendo grosso la negativa de la entrega de la información.</w:t>
      </w:r>
    </w:p>
    <w:p w:rsidR="00DD51FC" w:rsidRDefault="00DD51FC">
      <w:pPr>
        <w:pBdr>
          <w:top w:val="nil"/>
          <w:left w:val="nil"/>
          <w:bottom w:val="nil"/>
          <w:right w:val="nil"/>
          <w:between w:val="nil"/>
        </w:pBdr>
        <w:ind w:left="567"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color w:val="000000"/>
        </w:rPr>
        <w:t xml:space="preserve">fracción I </w:t>
      </w:r>
      <w:r>
        <w:rPr>
          <w:rFonts w:ascii="Palatino Linotype" w:eastAsia="Palatino Linotype" w:hAnsi="Palatino Linotype" w:cs="Palatino Linotype"/>
          <w:color w:val="000000"/>
        </w:rPr>
        <w:t>de la Ley</w:t>
      </w:r>
      <w:r>
        <w:rPr>
          <w:rFonts w:ascii="Palatino Linotype" w:eastAsia="Palatino Linotype" w:hAnsi="Palatino Linotype" w:cs="Palatino Linotype"/>
          <w:b/>
          <w:bCs/>
          <w:color w:val="000000"/>
        </w:rPr>
        <w:t xml:space="preserve"> de Transparencia y Acceso a la Información Pública del Estado de </w:t>
      </w:r>
      <w:r>
        <w:rPr>
          <w:rFonts w:ascii="Palatino Linotype" w:eastAsia="Palatino Linotype" w:hAnsi="Palatino Linotype" w:cs="Palatino Linotype"/>
          <w:color w:val="000000"/>
        </w:rPr>
        <w:t>México</w:t>
      </w:r>
      <w:r>
        <w:rPr>
          <w:rFonts w:ascii="Palatino Linotype" w:eastAsia="Palatino Linotype" w:hAnsi="Palatino Linotype" w:cs="Palatino Linotype"/>
          <w:b/>
          <w:bCs/>
          <w:color w:val="000000"/>
        </w:rPr>
        <w:t xml:space="preserve"> y Municipios</w:t>
      </w:r>
      <w:r>
        <w:rPr>
          <w:rFonts w:ascii="Palatino Linotype" w:eastAsia="Palatino Linotype" w:hAnsi="Palatino Linotype" w:cs="Palatino Linotype"/>
          <w:color w:val="000000"/>
        </w:rPr>
        <w:t xml:space="preserve">; fracción que determina la hipótesis jurídica relativa a la </w:t>
      </w:r>
      <w:r>
        <w:rPr>
          <w:rFonts w:ascii="Palatino Linotype" w:eastAsia="Palatino Linotype" w:hAnsi="Palatino Linotype" w:cs="Palatino Linotype"/>
          <w:b/>
          <w:bCs/>
          <w:color w:val="000000"/>
        </w:rPr>
        <w:t>negativa de la información solicitada</w:t>
      </w:r>
      <w:r>
        <w:rPr>
          <w:rFonts w:ascii="Palatino Linotype" w:eastAsia="Palatino Linotype" w:hAnsi="Palatino Linotype" w:cs="Palatino Linotype"/>
          <w:color w:val="000000"/>
        </w:rPr>
        <w:t xml:space="preserve">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contexto del cual se dolió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al momento de interponer su inconformidad.</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modo tal que el presente recurso de revisión se abocara en determinar si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 su respuesta ciertamente actualizan las causales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DD51FC" w:rsidRDefault="00DD51FC">
      <w:pPr>
        <w:pBdr>
          <w:top w:val="nil"/>
          <w:left w:val="nil"/>
          <w:bottom w:val="nil"/>
          <w:right w:val="nil"/>
          <w:between w:val="nil"/>
        </w:pBdr>
        <w:ind w:left="708" w:right="-989"/>
        <w:rPr>
          <w:rFonts w:ascii="Palatino Linotype" w:eastAsia="Palatino Linotype" w:hAnsi="Palatino Linotype" w:cs="Palatino Linotype"/>
          <w:color w:val="000000"/>
        </w:rPr>
      </w:pPr>
    </w:p>
    <w:p w:rsidR="00DD51FC" w:rsidRDefault="008C72DB">
      <w:pPr>
        <w:pStyle w:val="Ttulo1"/>
        <w:spacing w:before="0" w:line="360" w:lineRule="auto"/>
        <w:ind w:right="-989"/>
        <w:rPr>
          <w:b w:val="0"/>
          <w:bCs w:val="0"/>
        </w:rPr>
      </w:pPr>
      <w:r>
        <w:t>CUARTO. Del estudio y resolución del asunto.</w:t>
      </w: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Acotada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DD51FC" w:rsidRDefault="00DD51FC">
      <w:pPr>
        <w:spacing w:line="360" w:lineRule="auto"/>
        <w:ind w:right="-989"/>
        <w:jc w:val="both"/>
        <w:rPr>
          <w:rFonts w:ascii="Palatino Linotype" w:eastAsia="Palatino Linotype" w:hAnsi="Palatino Linotype" w:cs="Palatino Linotype"/>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DD51FC" w:rsidRDefault="00DD51FC">
      <w:pPr>
        <w:pBdr>
          <w:top w:val="nil"/>
          <w:left w:val="nil"/>
          <w:bottom w:val="nil"/>
          <w:right w:val="nil"/>
          <w:between w:val="nil"/>
        </w:pBdr>
        <w:spacing w:line="360" w:lineRule="auto"/>
        <w:ind w:left="708"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DD51FC" w:rsidRDefault="00DD51FC">
      <w:pPr>
        <w:spacing w:line="360" w:lineRule="auto"/>
        <w:ind w:right="-989"/>
        <w:rPr>
          <w:rFonts w:ascii="Palatino Linotype" w:eastAsia="Palatino Linotype" w:hAnsi="Palatino Linotype" w:cs="Palatino Linotype"/>
        </w:rPr>
      </w:pPr>
    </w:p>
    <w:p w:rsidR="008A13AC" w:rsidRDefault="008A13AC">
      <w:pPr>
        <w:spacing w:line="360" w:lineRule="auto"/>
        <w:ind w:right="-989"/>
        <w:rPr>
          <w:rFonts w:ascii="Palatino Linotype" w:eastAsia="Palatino Linotype" w:hAnsi="Palatino Linotype" w:cs="Palatino Linotype"/>
        </w:rPr>
      </w:pPr>
    </w:p>
    <w:p w:rsidR="00DD51FC" w:rsidRDefault="008C72DB">
      <w:pPr>
        <w:numPr>
          <w:ilvl w:val="0"/>
          <w:numId w:val="3"/>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Estudio de fondo</w:t>
      </w: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Acotada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del presente asunto, es de recordar que la respuesta versó en realizar un cambio de modalidad de entrega de la información a consulta directa, </w:t>
      </w:r>
      <w:r>
        <w:rPr>
          <w:rFonts w:ascii="Palatino Linotype" w:eastAsia="Palatino Linotype" w:hAnsi="Palatino Linotype" w:cs="Palatino Linotype"/>
        </w:rPr>
        <w:t>toda vez que el cúmulo de la información, sobrepasa la capacidad permitida por el Sistema de Acceso a la Información Mexiquense (SAIMEX).</w:t>
      </w:r>
    </w:p>
    <w:p w:rsidR="00DD51FC" w:rsidRDefault="00DD51FC">
      <w:pP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Primeramente resulta necesario referir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asume de manera expresa que genera, posee y administra lo solicitado, tan es así que refiere que dicha documentación sobrepasa la cantidad permitida por SAIMEX, por lo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ofrece al particular que la consulta sea directa con las formalidades que ya han sido precisadas en líneas anteriores.</w:t>
      </w:r>
    </w:p>
    <w:p w:rsidR="00DD51FC" w:rsidRDefault="00DD51FC">
      <w:pPr>
        <w:pBdr>
          <w:top w:val="nil"/>
          <w:left w:val="nil"/>
          <w:bottom w:val="nil"/>
          <w:right w:val="nil"/>
          <w:between w:val="nil"/>
        </w:pBdr>
        <w:ind w:left="720"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tabs>
          <w:tab w:val="left" w:pos="426"/>
        </w:tabs>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Al respecto es de suma importancia aclarar que el </w:t>
      </w:r>
      <w:r>
        <w:rPr>
          <w:rFonts w:ascii="Palatino Linotype" w:eastAsia="Palatino Linotype" w:hAnsi="Palatino Linotype" w:cs="Palatino Linotype"/>
          <w:b/>
          <w:bCs/>
        </w:rPr>
        <w:t>SUJETO</w:t>
      </w:r>
      <w:r>
        <w:rPr>
          <w:rFonts w:ascii="Palatino Linotype" w:eastAsia="Palatino Linotype" w:hAnsi="Palatino Linotype" w:cs="Palatino Linotype"/>
          <w:b/>
          <w:bCs/>
          <w:color w:val="000000"/>
        </w:rPr>
        <w:t xml:space="preserve"> OBLIGADO</w:t>
      </w:r>
      <w:r>
        <w:rPr>
          <w:rFonts w:ascii="Palatino Linotype" w:eastAsia="Palatino Linotype" w:hAnsi="Palatino Linotype" w:cs="Palatino Linotype"/>
          <w:color w:val="000000"/>
        </w:rPr>
        <w:t xml:space="preserve">, marcó el cambio de modalidad a consulta directa, señalando para ello la dirección, horario de atención y que la Directora de Administración designará al personal que hará entrega de la información; sin embargo no ofreció las distintas modalidades de entrega de la información. </w:t>
      </w:r>
    </w:p>
    <w:p w:rsidR="00DD51FC" w:rsidRDefault="00DD51FC">
      <w:pPr>
        <w:pBdr>
          <w:top w:val="nil"/>
          <w:left w:val="nil"/>
          <w:bottom w:val="nil"/>
          <w:right w:val="nil"/>
          <w:between w:val="nil"/>
        </w:pBdr>
        <w:ind w:left="720"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Aclarado lo anterior, un segundo aspecto que resulta importante establecer, es que debido a que el mismo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admite ser poseedor de la información, no es necesario estudiar si este es competente para conocer y en su caso dar respuesta a las solicitudes, pues al manifestar que pone a disposición la información en consulta directa, este reconoce contar con la misma. </w:t>
      </w:r>
    </w:p>
    <w:p w:rsidR="00DD51FC" w:rsidRDefault="00DD51FC">
      <w:pPr>
        <w:pBdr>
          <w:top w:val="nil"/>
          <w:left w:val="nil"/>
          <w:bottom w:val="nil"/>
          <w:right w:val="nil"/>
          <w:between w:val="nil"/>
        </w:pBdr>
        <w:ind w:left="720"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efecto, el hecho de que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xml:space="preserve"> se haya pronunciado respecto de la información requerida por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acepta que genera, posee y administra </w:t>
      </w:r>
      <w:r>
        <w:rPr>
          <w:rFonts w:ascii="Palatino Linotype" w:eastAsia="Palatino Linotype" w:hAnsi="Palatino Linotype" w:cs="Palatino Linotype"/>
          <w:color w:val="000000"/>
        </w:rPr>
        <w:lastRenderedPageBreak/>
        <w:t>dicha información, en ejercicio de sus funciones de derecho público, motivo por el cual se actualiza el supuesto jurídico, previsto en el artículo 12 de la Ley de Transparencia y Acceso a la Información Pública del Estado de México y Municipios.</w:t>
      </w:r>
    </w:p>
    <w:p w:rsidR="00DD51FC" w:rsidRDefault="00DD51FC">
      <w:pPr>
        <w:pBdr>
          <w:top w:val="nil"/>
          <w:left w:val="nil"/>
          <w:bottom w:val="nil"/>
          <w:right w:val="nil"/>
          <w:between w:val="nil"/>
        </w:pBdr>
        <w:ind w:left="720"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Al respecto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DD51FC" w:rsidRDefault="008C72DB">
      <w:pPr>
        <w:spacing w:before="240" w:after="240"/>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4</w:t>
      </w:r>
      <w:r>
        <w:rPr>
          <w:rFonts w:ascii="Palatino Linotype" w:eastAsia="Palatino Linotype" w:hAnsi="Palatino Linotype" w:cs="Palatino Linotype"/>
          <w:i/>
          <w:iCs/>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DD51FC" w:rsidRDefault="008C72DB">
      <w:pPr>
        <w:spacing w:before="240" w:after="240"/>
        <w:ind w:left="567"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DD51FC" w:rsidRDefault="008C72DB">
      <w:pPr>
        <w:spacing w:before="240" w:after="240"/>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Los sujetos obligados deben poner en práctica, políticas y programas de acceso a la información que se apeguen a criterios de publicidad, veracidad, oportunidad, precisión y suficiencia en beneficio de los solicitantes.”(Sic)</w:t>
      </w:r>
    </w:p>
    <w:p w:rsidR="00DD51FC" w:rsidRDefault="00DD51FC">
      <w:pPr>
        <w:pBdr>
          <w:top w:val="nil"/>
          <w:left w:val="nil"/>
          <w:bottom w:val="nil"/>
          <w:right w:val="nil"/>
          <w:between w:val="nil"/>
        </w:pBdr>
        <w:spacing w:before="240"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after="24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rsidR="00DD51FC" w:rsidRDefault="008C72DB">
      <w:pPr>
        <w:spacing w:before="240" w:after="240"/>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rsidR="00DD51FC" w:rsidRDefault="008C72DB">
      <w:pPr>
        <w:spacing w:before="240" w:after="240"/>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rsidR="00DD51FC" w:rsidRDefault="008C72DB">
      <w:pPr>
        <w:numPr>
          <w:ilvl w:val="0"/>
          <w:numId w:val="4"/>
        </w:numPr>
        <w:pBdr>
          <w:top w:val="nil"/>
          <w:left w:val="nil"/>
          <w:bottom w:val="nil"/>
          <w:right w:val="nil"/>
          <w:between w:val="nil"/>
        </w:pBdr>
        <w:spacing w:before="240" w:after="24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decir, que el derecho de acceso a la información pública se satisface en aquellos casos en que se entregue documento en que conste la información requerida, toda vez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no tienen el deber de generar, poseer o administrar la información pública con el grado de detalle solicitado; esto es, que no tienen el deber de generar un documento </w:t>
      </w:r>
      <w:r>
        <w:rPr>
          <w:rFonts w:ascii="Palatino Linotype" w:eastAsia="Palatino Linotype" w:hAnsi="Palatino Linotype" w:cs="Palatino Linotype"/>
          <w:i/>
          <w:iCs/>
          <w:color w:val="000000"/>
        </w:rPr>
        <w:t>ad hoc</w:t>
      </w:r>
      <w:r>
        <w:rPr>
          <w:rFonts w:ascii="Palatino Linotype" w:eastAsia="Palatino Linotype" w:hAnsi="Palatino Linotype" w:cs="Palatino Linotype"/>
          <w:color w:val="000000"/>
        </w:rPr>
        <w:t>, para satisfacer el derecho de acceso a la información pública, como así lo establece</w:t>
      </w:r>
      <w:r>
        <w:rPr>
          <w:rFonts w:ascii="Palatino Linotype" w:eastAsia="Palatino Linotype" w:hAnsi="Palatino Linotype" w:cs="Palatino Linotype"/>
          <w:strike/>
          <w:color w:val="FF0000"/>
        </w:rPr>
        <w:t xml:space="preserve"> </w:t>
      </w:r>
      <w:r>
        <w:rPr>
          <w:rFonts w:ascii="Palatino Linotype" w:eastAsia="Palatino Linotype" w:hAnsi="Palatino Linotype" w:cs="Palatino Linotype"/>
          <w:color w:val="000000"/>
        </w:rPr>
        <w:t>el criterio 03/17 emitido por el Instituto Nacional de Transparencia, Acceso a la Información Pública y Protección de Datos Personales, los cuales señalan lo siguiente:</w:t>
      </w:r>
    </w:p>
    <w:p w:rsidR="008A13AC" w:rsidRDefault="008A13AC">
      <w:pPr>
        <w:spacing w:before="240" w:after="240"/>
        <w:ind w:left="567" w:right="-989"/>
        <w:jc w:val="both"/>
        <w:rPr>
          <w:rFonts w:ascii="Palatino Linotype" w:eastAsia="Palatino Linotype" w:hAnsi="Palatino Linotype" w:cs="Palatino Linotype"/>
          <w:b/>
          <w:bCs/>
          <w:i/>
          <w:iCs/>
        </w:rPr>
      </w:pPr>
    </w:p>
    <w:p w:rsidR="00DD51FC" w:rsidRDefault="008C72DB">
      <w:pPr>
        <w:spacing w:before="240" w:after="240"/>
        <w:ind w:left="567"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03/17</w:t>
      </w:r>
    </w:p>
    <w:p w:rsidR="00DD51FC" w:rsidRDefault="008C72DB">
      <w:pPr>
        <w:spacing w:before="240" w:after="240"/>
        <w:ind w:left="567"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“NO EXISTE OBLIGACIÓN DE ELABORAR DOCUMENTOS AD HOC PARA ATENDER LAS SOLICITUDES DE ACCESO A LA INFORMACIÓN.</w:t>
      </w:r>
    </w:p>
    <w:p w:rsidR="00DD51FC" w:rsidRDefault="008C72DB">
      <w:pPr>
        <w:spacing w:before="240" w:after="240"/>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rsidR="00DD51FC" w:rsidRDefault="00DD51FC">
      <w:pPr>
        <w:spacing w:before="240" w:after="240"/>
        <w:ind w:left="567" w:right="-989"/>
        <w:jc w:val="both"/>
        <w:rPr>
          <w:rFonts w:ascii="Palatino Linotype" w:eastAsia="Palatino Linotype" w:hAnsi="Palatino Linotype" w:cs="Palatino Linotype"/>
          <w:i/>
          <w:iCs/>
        </w:rPr>
      </w:pPr>
    </w:p>
    <w:p w:rsidR="00DD51FC" w:rsidRDefault="008C72DB">
      <w:pPr>
        <w:numPr>
          <w:ilvl w:val="0"/>
          <w:numId w:val="4"/>
        </w:numPr>
        <w:pBdr>
          <w:top w:val="nil"/>
          <w:left w:val="nil"/>
          <w:bottom w:val="nil"/>
          <w:right w:val="nil"/>
          <w:between w:val="nil"/>
        </w:pBdr>
        <w:spacing w:before="24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DD51FC" w:rsidRDefault="00DD51FC">
      <w:pPr>
        <w:pBdr>
          <w:top w:val="nil"/>
          <w:left w:val="nil"/>
          <w:bottom w:val="nil"/>
          <w:right w:val="nil"/>
          <w:between w:val="nil"/>
        </w:pBdr>
        <w:spacing w:line="360" w:lineRule="auto"/>
        <w:ind w:left="720"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after="24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En conclusión, el derecho de acceso a la información pública, consiste en que la información solicitada conste en un documento en cualquiera de sus formas, a saber: expedientes, reportes, estudios, actas, resoluciones, </w:t>
      </w:r>
      <w:r>
        <w:rPr>
          <w:rFonts w:ascii="Palatino Linotype" w:eastAsia="Palatino Linotype" w:hAnsi="Palatino Linotype" w:cs="Palatino Linotype"/>
          <w:b/>
          <w:bCs/>
          <w:color w:val="000000"/>
          <w:u w:val="single"/>
        </w:rPr>
        <w:t>oficios</w:t>
      </w:r>
      <w:r>
        <w:rPr>
          <w:rFonts w:ascii="Palatino Linotype" w:eastAsia="Palatino Linotype" w:hAnsi="Palatino Linotype" w:cs="Palatino Linotype"/>
          <w:color w:val="000000"/>
        </w:rPr>
        <w:t xml:space="preserve">,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DD51FC" w:rsidRDefault="008C72DB">
      <w:pPr>
        <w:spacing w:before="240" w:after="240"/>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 xml:space="preserve">Artículo 3. </w:t>
      </w:r>
      <w:r>
        <w:rPr>
          <w:rFonts w:ascii="Palatino Linotype" w:eastAsia="Palatino Linotype" w:hAnsi="Palatino Linotype" w:cs="Palatino Linotype"/>
          <w:i/>
          <w:iCs/>
        </w:rPr>
        <w:t>Para los efectos de la presente Ley se entenderá por:</w:t>
      </w:r>
    </w:p>
    <w:p w:rsidR="00DD51FC" w:rsidRDefault="008C72DB">
      <w:pPr>
        <w:spacing w:before="240" w:after="240"/>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DD51FC" w:rsidRDefault="008C72DB">
      <w:pPr>
        <w:spacing w:before="240" w:after="240"/>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XI. Documento:</w:t>
      </w:r>
      <w:r>
        <w:rPr>
          <w:rFonts w:ascii="Palatino Linotype" w:eastAsia="Palatino Linotype" w:hAnsi="Palatino Linotype" w:cs="Palatino Linotype"/>
          <w:i/>
          <w:iCs/>
        </w:rPr>
        <w:t xml:space="preserve"> Los expedientes, reportes, estudios, </w:t>
      </w:r>
      <w:r>
        <w:rPr>
          <w:rFonts w:ascii="Palatino Linotype" w:eastAsia="Palatino Linotype" w:hAnsi="Palatino Linotype" w:cs="Palatino Linotype"/>
          <w:b/>
          <w:bCs/>
          <w:i/>
          <w:iCs/>
        </w:rPr>
        <w:t>actas,</w:t>
      </w:r>
      <w:r>
        <w:rPr>
          <w:rFonts w:ascii="Palatino Linotype" w:eastAsia="Palatino Linotype" w:hAnsi="Palatino Linotype" w:cs="Palatino Linotype"/>
          <w:i/>
          <w:iCs/>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Pr>
          <w:rFonts w:ascii="Palatino Linotype" w:eastAsia="Palatino Linotype" w:hAnsi="Palatino Linotype" w:cs="Palatino Linotype"/>
          <w:b/>
          <w:bCs/>
          <w:i/>
          <w:iCs/>
        </w:rPr>
        <w:t>…</w:t>
      </w:r>
      <w:r>
        <w:rPr>
          <w:rFonts w:ascii="Palatino Linotype" w:eastAsia="Palatino Linotype" w:hAnsi="Palatino Linotype" w:cs="Palatino Linotype"/>
          <w:i/>
          <w:iCs/>
        </w:rPr>
        <w:t>” (Sic)</w:t>
      </w:r>
    </w:p>
    <w:p w:rsidR="00DD51FC" w:rsidRDefault="00DD51FC">
      <w:pPr>
        <w:spacing w:before="240" w:after="240"/>
        <w:ind w:left="567" w:right="-989"/>
        <w:jc w:val="both"/>
        <w:rPr>
          <w:rFonts w:ascii="Palatino Linotype" w:eastAsia="Palatino Linotype" w:hAnsi="Palatino Linotype" w:cs="Palatino Linotype"/>
          <w:i/>
          <w:iCs/>
        </w:rPr>
      </w:pPr>
    </w:p>
    <w:p w:rsidR="00DD51FC" w:rsidRDefault="008C72DB">
      <w:pPr>
        <w:numPr>
          <w:ilvl w:val="0"/>
          <w:numId w:val="4"/>
        </w:numPr>
        <w:pBdr>
          <w:top w:val="nil"/>
          <w:left w:val="nil"/>
          <w:bottom w:val="nil"/>
          <w:right w:val="nil"/>
          <w:between w:val="nil"/>
        </w:pBdr>
        <w:spacing w:before="240" w:after="24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8A13AC" w:rsidRDefault="008A13AC">
      <w:pPr>
        <w:spacing w:before="240" w:after="240"/>
        <w:ind w:left="567" w:right="-989"/>
        <w:jc w:val="both"/>
        <w:rPr>
          <w:rFonts w:ascii="Palatino Linotype" w:eastAsia="Palatino Linotype" w:hAnsi="Palatino Linotype" w:cs="Palatino Linotype"/>
          <w:b/>
          <w:bCs/>
        </w:rPr>
      </w:pPr>
    </w:p>
    <w:p w:rsidR="00DD51FC" w:rsidRDefault="008C72DB">
      <w:pPr>
        <w:spacing w:before="240" w:after="240"/>
        <w:ind w:left="567"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rPr>
        <w:lastRenderedPageBreak/>
        <w:t>“</w:t>
      </w:r>
      <w:r>
        <w:rPr>
          <w:rFonts w:ascii="Palatino Linotype" w:eastAsia="Palatino Linotype" w:hAnsi="Palatino Linotype" w:cs="Palatino Linotype"/>
          <w:b/>
          <w:bCs/>
          <w:i/>
          <w:iCs/>
        </w:rPr>
        <w:t>CRITERIO 0002-11</w:t>
      </w:r>
    </w:p>
    <w:p w:rsidR="00DD51FC" w:rsidRDefault="008C72DB">
      <w:pPr>
        <w:spacing w:before="240" w:after="240"/>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DD51FC" w:rsidRDefault="008C72DB">
      <w:pPr>
        <w:spacing w:before="240" w:after="240"/>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DD51FC" w:rsidRDefault="008C72DB">
      <w:pPr>
        <w:numPr>
          <w:ilvl w:val="0"/>
          <w:numId w:val="7"/>
        </w:numPr>
        <w:spacing w:before="240" w:after="240"/>
        <w:ind w:left="567"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Que se trate de información registrada en cualquier soporte documental, que en ejercicio de las atribuciones conferidas, sea generada por los Sujetos Obligados;</w:t>
      </w:r>
    </w:p>
    <w:p w:rsidR="00DD51FC" w:rsidRDefault="008C72DB">
      <w:pPr>
        <w:numPr>
          <w:ilvl w:val="0"/>
          <w:numId w:val="7"/>
        </w:numPr>
        <w:spacing w:before="240" w:after="240"/>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Que se trate de información registrada en cualquier soporte documental, que en ejercicio de las atribuciones conferidas, sea administrada por los Sujetos Obligados, y</w:t>
      </w:r>
    </w:p>
    <w:p w:rsidR="00DD51FC" w:rsidRDefault="008C72DB">
      <w:pPr>
        <w:spacing w:before="240" w:after="240"/>
        <w:ind w:left="567" w:right="-989" w:hanging="284"/>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 (Sic)</w:t>
      </w:r>
    </w:p>
    <w:p w:rsidR="00DD51FC" w:rsidRDefault="00DD51FC">
      <w:pPr>
        <w:spacing w:before="240" w:after="240"/>
        <w:ind w:left="567" w:right="-989" w:hanging="284"/>
        <w:jc w:val="both"/>
        <w:rPr>
          <w:rFonts w:ascii="Palatino Linotype" w:eastAsia="Palatino Linotype" w:hAnsi="Palatino Linotype" w:cs="Palatino Linotype"/>
          <w:i/>
          <w:iCs/>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ahí que </w:t>
      </w:r>
      <w:r>
        <w:rPr>
          <w:rFonts w:ascii="Palatino Linotype" w:eastAsia="Palatino Linotype" w:hAnsi="Palatino Linotype" w:cs="Palatino Linotype"/>
          <w:b/>
          <w:bCs/>
          <w:color w:val="000000"/>
        </w:rPr>
        <w:t>EL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w:t>
      </w:r>
      <w:r>
        <w:rPr>
          <w:rFonts w:ascii="Palatino Linotype" w:eastAsia="Palatino Linotype" w:hAnsi="Palatino Linotype" w:cs="Palatino Linotype"/>
          <w:color w:val="000000"/>
          <w:vertAlign w:val="superscript"/>
        </w:rPr>
        <w:footnoteReference w:id="1"/>
      </w:r>
      <w:r>
        <w:rPr>
          <w:rFonts w:ascii="Palatino Linotype" w:eastAsia="Palatino Linotype" w:hAnsi="Palatino Linotype" w:cs="Palatino Linotype"/>
          <w:color w:val="000000"/>
        </w:rPr>
        <w:t xml:space="preserve">, así como de interés público, es decir, aquella que resulta relevante o beneficiosa para la sociedad y no simplemente de interés individual, y cuya divulgación </w:t>
      </w:r>
      <w:r>
        <w:rPr>
          <w:rFonts w:ascii="Palatino Linotype" w:eastAsia="Palatino Linotype" w:hAnsi="Palatino Linotype" w:cs="Palatino Linotype"/>
          <w:color w:val="000000"/>
        </w:rPr>
        <w:lastRenderedPageBreak/>
        <w:t>resulta útil para que el público comprenda las actividades que llevan a cabo los Sujetos Obligados</w:t>
      </w:r>
      <w:r>
        <w:rPr>
          <w:rFonts w:ascii="Palatino Linotype" w:eastAsia="Palatino Linotype" w:hAnsi="Palatino Linotype" w:cs="Palatino Linotype"/>
          <w:color w:val="000000"/>
          <w:vertAlign w:val="superscript"/>
        </w:rPr>
        <w:footnoteReference w:id="2"/>
      </w:r>
      <w:r>
        <w:rPr>
          <w:rFonts w:ascii="Palatino Linotype" w:eastAsia="Palatino Linotype" w:hAnsi="Palatino Linotype" w:cs="Palatino Linotype"/>
          <w:color w:val="000000"/>
        </w:rPr>
        <w:t>.</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continuidad conviene traer a estudio lo establecido en el artículo 90 del Bando Municipal de Toluca, que a la letra refiere: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90.</w:t>
      </w:r>
      <w:r>
        <w:rPr>
          <w:rFonts w:ascii="Palatino Linotype" w:eastAsia="Palatino Linotype" w:hAnsi="Palatino Linotype" w:cs="Palatino Linotype"/>
          <w:i/>
          <w:iCs/>
          <w:color w:val="000000"/>
        </w:rPr>
        <w:t xml:space="preserve"> 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rsidR="00DD51FC" w:rsidRDefault="00DD51FC">
      <w:pPr>
        <w:pBdr>
          <w:top w:val="nil"/>
          <w:left w:val="nil"/>
          <w:bottom w:val="nil"/>
          <w:right w:val="nil"/>
          <w:between w:val="nil"/>
        </w:pBdr>
        <w:ind w:left="567" w:right="-989"/>
        <w:jc w:val="both"/>
        <w:rPr>
          <w:rFonts w:ascii="Palatino Linotype" w:eastAsia="Palatino Linotype" w:hAnsi="Palatino Linotype" w:cs="Palatino Linotype"/>
          <w:i/>
          <w:iCs/>
          <w:color w:val="000000"/>
        </w:rPr>
      </w:pP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 DEPENDENCIAS: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1. Secretaría del Ayuntamiento;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2. Tesorería Municipal;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3. Órgano Interno de Control;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4. Dirección General de Gobierno;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5. Dirección General de Seguridad y Protección;</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b/>
          <w:bCs/>
          <w:i/>
          <w:iCs/>
          <w:color w:val="000000"/>
          <w:u w:val="single"/>
        </w:rPr>
      </w:pPr>
      <w:r>
        <w:rPr>
          <w:rFonts w:ascii="Palatino Linotype" w:eastAsia="Palatino Linotype" w:hAnsi="Palatino Linotype" w:cs="Palatino Linotype"/>
          <w:b/>
          <w:bCs/>
          <w:i/>
          <w:iCs/>
          <w:color w:val="000000"/>
          <w:u w:val="single"/>
        </w:rPr>
        <w:t xml:space="preserve">6. Dirección General de Administración;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7. Dirección General de Medio Ambiente;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8. Dirección General de Servicios Públicos;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9. Dirección General de Innovación, Planeación y Gestión Urbana;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10. Dirección General de Obras Públicas;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11. Dirección General de Desarrollo Económico;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12. Dirección General de Bienestar; y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13. Dirección General de Educación, Cultura y Turismo.</w:t>
      </w:r>
    </w:p>
    <w:p w:rsidR="00DD51FC" w:rsidRDefault="00DD51FC">
      <w:pPr>
        <w:pBdr>
          <w:top w:val="nil"/>
          <w:left w:val="nil"/>
          <w:bottom w:val="nil"/>
          <w:right w:val="nil"/>
          <w:between w:val="nil"/>
        </w:pBdr>
        <w:ind w:left="567" w:right="-989"/>
        <w:jc w:val="both"/>
        <w:rPr>
          <w:rFonts w:ascii="Palatino Linotype" w:eastAsia="Palatino Linotype" w:hAnsi="Palatino Linotype" w:cs="Palatino Linotype"/>
          <w:b/>
          <w:bCs/>
          <w:i/>
          <w:iCs/>
          <w:color w:val="000000"/>
        </w:rPr>
      </w:pP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II. ORGANISMOS DESCENTRALIZADOS: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rPr>
        <w:t>(…)</w:t>
      </w:r>
    </w:p>
    <w:p w:rsidR="00DD51FC" w:rsidRDefault="00DD51FC">
      <w:pPr>
        <w:pBdr>
          <w:top w:val="nil"/>
          <w:left w:val="nil"/>
          <w:bottom w:val="nil"/>
          <w:right w:val="nil"/>
          <w:between w:val="nil"/>
        </w:pBdr>
        <w:ind w:left="567" w:right="-989"/>
        <w:jc w:val="both"/>
        <w:rPr>
          <w:rFonts w:ascii="Palatino Linotype" w:eastAsia="Palatino Linotype" w:hAnsi="Palatino Linotype" w:cs="Palatino Linotype"/>
          <w:i/>
          <w:iCs/>
          <w:color w:val="000000"/>
        </w:rPr>
      </w:pP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III. ÓRGANO AUTÓNOMO: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rPr>
        <w:lastRenderedPageBreak/>
        <w:t>(…)</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Al respecto el Código Reglamentario Municipal, nos establece en su artículo 3.31 y 3.32 las funciones y atribuciones con la que cuenta dicha Unidad Administrativa, así como las áreas que la conforman, para el cumplimiento de sus objetivos, ordenando lo siguiente: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rPr>
        <w:t>Artículo 3.31. La o el titular de la Dirección General de Administración, tiene las siguientes atribuciones:</w:t>
      </w:r>
    </w:p>
    <w:p w:rsidR="00DD51FC" w:rsidRDefault="00DD51FC">
      <w:pPr>
        <w:pBdr>
          <w:top w:val="nil"/>
          <w:left w:val="nil"/>
          <w:bottom w:val="nil"/>
          <w:right w:val="nil"/>
          <w:between w:val="nil"/>
        </w:pBdr>
        <w:ind w:left="567" w:right="-989"/>
        <w:jc w:val="both"/>
        <w:rPr>
          <w:rFonts w:ascii="Palatino Linotype" w:eastAsia="Palatino Linotype" w:hAnsi="Palatino Linotype" w:cs="Palatino Linotype"/>
          <w:b/>
          <w:bCs/>
          <w:i/>
          <w:iCs/>
          <w:color w:val="000000"/>
        </w:rPr>
      </w:pP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Coordinar y dirigir los sistemas de reclutamiento, selección, contratación e inducción y desarrollo de personal;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Verificar que se cumplan las disposiciones en materia de trabajo, seguridad e higiene laboral, así como las del Código Reglamentario, respecto de los derechos y obligaciones del personal;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Autorizar las altas, bajas, cambios, permisos, licencias, comisiones del personal, entre otras, para su trámite y efectos;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Autorizar la elaboración y distribución oportuna de la nómina al personal que labora en el Ayuntamiento, apegándose a la normatividad en la materia y al presupuesto autorizado;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Coordinar, programar y establecer las políticas de capacitación y adiestramiento para el desarrollo adecuado de personal, conforme a las necesidades institucionales y a las propias del personal;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Vigilar y verificar el cumplimiento de las cláusulas establecidas en los convenios sindicales, para mantener y fortalecer las relaciones con las instituciones, y a su vez buscar el beneficio en cuanto a las prestaciones y condiciones laborales de los trabajadores agremiados;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Intervenir, vigilar y dar el seguimiento correspondiente a todos los procedimientos de adquisición, arrendamiento de inmuebles, contratación de servicios, enajenación y subasta de bienes, conforme a los lineamientos establecidos en la normatividad correspondiente;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VIII. Coordinar la elaboración del programa anual de adquisiciones del Ayuntamiento, con base en los montos establecidos para cada partida por objeto de gasto en el presupuesto, con el fin de ponerlo a disposición de los comités para su debida aprobación;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IX. Integrar el catálogo general de proveedores que permita identificar de manera ágil a quienes, con base en el giro comercial principal, cumplan y cuenten con los documentos y requisitos que establece la ley, con el propósito de considerarlos en los procesos de compra, prestación de servicios y arrendamientos de inmuebles, en la búsqueda de las mejores condiciones a favor del municipio;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X. Supervisar y vigilar que los procedimientos de licitaciones públicas, así como sus excepciones, se desarrollen conforme lo establece la normatividad respectiva y en estricto apego a los lineamientos establecidos de eficiencia, eficacia, honradez y transparencia;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 Establecer los mecanismos y procedimientos necesarios para la investigación y obtención de información sobre estudios de mercado y precios de referencia;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XII. Revisar, suscribir y vigilar todos aquellos contratos que se formalicen con proveedores, así como su ejecución y ejercicio, relativos a fallos de adjudicación de procesos de licitación pública o de sus excepciones, mismos que deberán cumplir con la normatividad en la materia;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rPr>
        <w:t>XIII. Presidir los comités instituidos para atender los procesos de adquisición y enajenación de bienes muebles e inmuebles, contratación de servicios y arrendamientos. Convocar a sus integrantes y desahogar los asuntos que se sometan a consideración de éstos, así como llevar a cabo las funciones que establece la normatividad en la materia;</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XIV. Vigilar, controlar y supervisar el estricto manejo, recepción, resguardo y entrega de los materiales que se reciben en el Almacén General, con la finalidad de que éstos cumplan con las características físicas y técnicas requeridas, asimismo, establecer los mecanismos necesarios para realizar inventarios de manera periódica;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XV. Implementar las actividades relativas al mantenimiento preventivo y correctivo menor de los edificios públicos, que albergan oficinas de la administración pública municipal, incluyendo la adecuación de las áreas, el aseo y la limpieza de las dependencias que integran el gobierno municipal;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XVI. Desarrollar, implementar y supervisar las actividades relativas a la dotación de combustible, gasolina y diésel al parque vehicular del Ayuntamiento, solicitar se realicen las contrataciones pertinentes con el propósito de establecer los mecanismos que coadyuven al control para la dotación de combustible;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XVII. Establecer los mecanismos y procesos administrativos necesarios para el diagnóstico, mantenimiento preventivo y correctivo, del parque vehicular del Ayuntamiento, definir los requisitos para ingresar los vehículos al taller municipal o en su caso canalizarlos a talleres externos;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XVIII. Atender y establecer la logística y las acciones pertinentes para el desarrollo de los eventos públicos con representación del Ayuntamiento;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XIX. Definir y emitir las políticas, normas, lineamientos, metodologías y programas en materia de gobierno digital, innovación, tecnologías de la información y Comunicaciones;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XX. Establecer, operar y evaluar los mecanismos de coordinación con las delegaciones administrativas, en el ejercicio del presupuesto asignado, movimientos de personal y solicitud de </w:t>
      </w:r>
      <w:r>
        <w:rPr>
          <w:rFonts w:ascii="Palatino Linotype" w:eastAsia="Palatino Linotype" w:hAnsi="Palatino Linotype" w:cs="Palatino Linotype"/>
          <w:i/>
          <w:iCs/>
        </w:rPr>
        <w:lastRenderedPageBreak/>
        <w:t xml:space="preserve">bienes, insumos, servicios y arrendamientos que requieran las unidades administrativas para el desempeño de sus funciones;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XXI. Establecer los mecanismos necesarios para la administración de los contratos de arrendamiento de bienes públicos que suscriba la administración pública municipal con particulares, así como determinar los montos en cuestión de rentas, de acuerdo a la normatividad aplicable y los valores comerciales correspondientes;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XXII. Administrar la contratación, trámite de pago, compensación y, en su caso, la terminación del servicio de energía eléctrica para la administración pública municipal;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XXIII. Implementar las medidas necesarias para la actualización y resguardo del inventario general de bienes muebles y vehículos del Ayuntamiento;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XXIV. Identificar los bienes muebles y vehículos que se encuentren en mal estado y obsoletos, para que, en su caso, se inicie el proceso de baja como activo, y se proceda a su enajenación, conforme a la normatividad respectiva;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XXV. Determinar la procedencia, viabilidad técnica y operativa, conforme a las estrategias institucionales, para la contratación o adquisición de bienes, arrendamientos y servicios para atender las necesidades del Ayuntamiento de Toluca, en materia de tecnologías de la información;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XXVI. Establecer mecanismos de coordinación con la Tesorería Municipal con el propósito de mejorar los resultados de la administración pública municipal;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XXVII. Emitir las políticas, normas y lineamientos administrativos relativos a los asuntos de su competencia, con la finalidad de que los trabajos y las actividades que sean inherentes a su responsabilidad se desarrollen con transparencia, considerando los lineamientos establecidos en la normatividad anticorrupción, así mismo con eficiencia y eficacia en el manejo de los recursos; y </w:t>
      </w: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XXVIII. Las demás que le confieran otros ordenamientos jurídicos, el H. Ayuntamiento y la Presidenta o Presidente Municipal.</w:t>
      </w:r>
    </w:p>
    <w:p w:rsidR="00DD51FC" w:rsidRDefault="00DD51FC">
      <w:pPr>
        <w:pBdr>
          <w:top w:val="nil"/>
          <w:left w:val="nil"/>
          <w:bottom w:val="nil"/>
          <w:right w:val="nil"/>
          <w:between w:val="nil"/>
        </w:pBdr>
        <w:ind w:left="567" w:right="-989"/>
        <w:jc w:val="both"/>
        <w:rPr>
          <w:rFonts w:ascii="Palatino Linotype" w:eastAsia="Palatino Linotype" w:hAnsi="Palatino Linotype" w:cs="Palatino Linotype"/>
          <w:i/>
          <w:iCs/>
        </w:rPr>
      </w:pPr>
    </w:p>
    <w:p w:rsidR="00DD51FC" w:rsidRDefault="008C72DB">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3.32.</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u w:val="single"/>
        </w:rPr>
        <w:t>La Dirección General de Administración,</w:t>
      </w:r>
      <w:r>
        <w:rPr>
          <w:rFonts w:ascii="Palatino Linotype" w:eastAsia="Palatino Linotype" w:hAnsi="Palatino Linotype" w:cs="Palatino Linotype"/>
          <w:i/>
          <w:iCs/>
        </w:rPr>
        <w:t xml:space="preserve"> para el cumplimiento de sus atribuciones, se auxiliará de la:</w:t>
      </w:r>
    </w:p>
    <w:p w:rsidR="00DD51FC" w:rsidRDefault="00DD51FC">
      <w:pPr>
        <w:pBdr>
          <w:top w:val="nil"/>
          <w:left w:val="nil"/>
          <w:bottom w:val="nil"/>
          <w:right w:val="nil"/>
          <w:between w:val="nil"/>
        </w:pBdr>
        <w:ind w:left="567" w:right="-989"/>
        <w:jc w:val="both"/>
        <w:rPr>
          <w:rFonts w:ascii="Palatino Linotype" w:eastAsia="Palatino Linotype" w:hAnsi="Palatino Linotype" w:cs="Palatino Linotype"/>
          <w:i/>
          <w:iCs/>
        </w:rPr>
      </w:pPr>
    </w:p>
    <w:p w:rsidR="00DD51FC" w:rsidRDefault="008C72DB">
      <w:pPr>
        <w:numPr>
          <w:ilvl w:val="0"/>
          <w:numId w:val="5"/>
        </w:numPr>
        <w:pBdr>
          <w:top w:val="nil"/>
          <w:left w:val="nil"/>
          <w:bottom w:val="nil"/>
          <w:right w:val="nil"/>
          <w:between w:val="nil"/>
        </w:pBdr>
        <w:ind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Coordinación de Apoyo Técnico; </w:t>
      </w:r>
    </w:p>
    <w:p w:rsidR="00DD51FC" w:rsidRDefault="008C72DB">
      <w:pPr>
        <w:numPr>
          <w:ilvl w:val="0"/>
          <w:numId w:val="5"/>
        </w:numPr>
        <w:pBdr>
          <w:top w:val="nil"/>
          <w:left w:val="nil"/>
          <w:bottom w:val="nil"/>
          <w:right w:val="nil"/>
          <w:between w:val="nil"/>
        </w:pBdr>
        <w:ind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Coordinación de Delegaciones Administrativas;</w:t>
      </w:r>
    </w:p>
    <w:p w:rsidR="00DD51FC" w:rsidRDefault="008C72DB">
      <w:pPr>
        <w:numPr>
          <w:ilvl w:val="0"/>
          <w:numId w:val="5"/>
        </w:numPr>
        <w:pBdr>
          <w:top w:val="nil"/>
          <w:left w:val="nil"/>
          <w:bottom w:val="nil"/>
          <w:right w:val="nil"/>
          <w:between w:val="nil"/>
        </w:pBdr>
        <w:ind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Dirección de Recursos Materiales; </w:t>
      </w:r>
    </w:p>
    <w:p w:rsidR="00DD51FC" w:rsidRDefault="008C72DB">
      <w:pPr>
        <w:numPr>
          <w:ilvl w:val="0"/>
          <w:numId w:val="5"/>
        </w:numPr>
        <w:pBdr>
          <w:top w:val="nil"/>
          <w:left w:val="nil"/>
          <w:bottom w:val="nil"/>
          <w:right w:val="nil"/>
          <w:between w:val="nil"/>
        </w:pBdr>
        <w:ind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Dirección de Recursos Humanos; </w:t>
      </w:r>
    </w:p>
    <w:p w:rsidR="00DD51FC" w:rsidRDefault="008C72DB">
      <w:pPr>
        <w:numPr>
          <w:ilvl w:val="0"/>
          <w:numId w:val="5"/>
        </w:numPr>
        <w:pBdr>
          <w:top w:val="nil"/>
          <w:left w:val="nil"/>
          <w:bottom w:val="nil"/>
          <w:right w:val="nil"/>
          <w:between w:val="nil"/>
        </w:pBdr>
        <w:ind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Dirección de Servicios Generales; </w:t>
      </w:r>
    </w:p>
    <w:p w:rsidR="00DD51FC" w:rsidRDefault="008C72DB">
      <w:pPr>
        <w:numPr>
          <w:ilvl w:val="0"/>
          <w:numId w:val="5"/>
        </w:numPr>
        <w:pBdr>
          <w:top w:val="nil"/>
          <w:left w:val="nil"/>
          <w:bottom w:val="nil"/>
          <w:right w:val="nil"/>
          <w:between w:val="nil"/>
        </w:pBdr>
        <w:ind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Dirección de Innovación y Gobierno Digital, </w:t>
      </w:r>
    </w:p>
    <w:p w:rsidR="00DD51FC" w:rsidRDefault="008C72DB">
      <w:pPr>
        <w:numPr>
          <w:ilvl w:val="0"/>
          <w:numId w:val="5"/>
        </w:numPr>
        <w:pBdr>
          <w:top w:val="nil"/>
          <w:left w:val="nil"/>
          <w:bottom w:val="nil"/>
          <w:right w:val="nil"/>
          <w:between w:val="nil"/>
        </w:pBdr>
        <w:ind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demás Unidades Administrativas necesarias para el cumplimiento de sus atribuciones.</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vislumbran las atribuciones con las que cuenta la Dirección de Administración, actividades relacionadas con diversas autoridades, lo cual origina la realización, administración y posesión de diversos oficios; lo que desprende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debió remitir los oficios recibidos y suscritos por la Dirección General de Administración; así como de sus áreas subordinadas durante los meses de abril y septiembre de dos mil veinticinco, no obstante, solo se limitó a informar el cambio de modalidad para la entrega de la información requerida por el particular, sin fundar ni motivar el cambio de modalidad de entrega de la información.</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bookmarkStart w:id="7" w:name="_heading=h.2s8eyo1" w:colFirst="0" w:colLast="0"/>
      <w:bookmarkEnd w:id="7"/>
      <w:r>
        <w:rPr>
          <w:rFonts w:ascii="Palatino Linotype" w:eastAsia="Palatino Linotype" w:hAnsi="Palatino Linotype" w:cs="Palatino Linotype"/>
          <w:color w:val="000000"/>
        </w:rPr>
        <w:t xml:space="preserve">Así mismo, es preciso señalar que la </w:t>
      </w:r>
      <w:r>
        <w:rPr>
          <w:rFonts w:ascii="Palatino Linotype" w:eastAsia="Palatino Linotype" w:hAnsi="Palatino Linotype" w:cs="Palatino Linotype"/>
        </w:rPr>
        <w:t>respuesta</w:t>
      </w:r>
      <w:r>
        <w:rPr>
          <w:rFonts w:ascii="Palatino Linotype" w:eastAsia="Palatino Linotype" w:hAnsi="Palatino Linotype" w:cs="Palatino Linotype"/>
          <w:color w:val="000000"/>
        </w:rPr>
        <w:t xml:space="preserve"> fue emitida por la Dirección </w:t>
      </w:r>
      <w:r>
        <w:rPr>
          <w:rFonts w:ascii="Palatino Linotype" w:eastAsia="Palatino Linotype" w:hAnsi="Palatino Linotype" w:cs="Palatino Linotype"/>
          <w:color w:val="000000"/>
        </w:rPr>
        <w:br/>
        <w:t xml:space="preserve">General de Administración, lo que advierte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turnó la solicitud de información a la Dirección General de Administración, lo que vislumbra que dio cumplimiento a la búsqueda exhaustiva exigida por la ley de la materia, no obstante no garantizó el derecho de acceso a la información del particular, dado que en respuesta se manifestó que derivado del cúmulo de información, el Comité de Transparencia en sesión extraordinaria al que le recayó el Acuerdo CT/SE/32/02/2026, aprobó el Cambio de Modalidad a consulta directa, poniéndole a su disposición las documentales requeridas, en las oficinas que ocupa la Dirección General de Administración; sin embargo omitió remitir el Acuerdo de aprobación al que hace alusión.</w:t>
      </w:r>
    </w:p>
    <w:p w:rsidR="00DD51FC" w:rsidRDefault="008C72DB">
      <w:pPr>
        <w:numPr>
          <w:ilvl w:val="0"/>
          <w:numId w:val="4"/>
        </w:numPr>
        <w:pBdr>
          <w:top w:val="nil"/>
          <w:left w:val="nil"/>
          <w:bottom w:val="nil"/>
          <w:right w:val="nil"/>
          <w:between w:val="nil"/>
        </w:pBdr>
        <w:tabs>
          <w:tab w:val="left" w:pos="426"/>
        </w:tabs>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De lo anterior, este Instituto realizó un requerimiento de información adicional al Sujeto Obligado, al cual respondió con el reporte de incidencias en la bitácora ante este Instituto, el que se advierte que pretende subir un peso de información que asciende </w:t>
      </w:r>
      <w:r>
        <w:rPr>
          <w:rFonts w:ascii="Palatino Linotype" w:eastAsia="Palatino Linotype" w:hAnsi="Palatino Linotype" w:cs="Palatino Linotype"/>
          <w:b/>
          <w:bCs/>
          <w:color w:val="000000"/>
        </w:rPr>
        <w:t>a 5.32 Gigabytes, constante de 85, 120 fojas</w:t>
      </w:r>
      <w:r>
        <w:rPr>
          <w:rFonts w:ascii="Palatino Linotype" w:eastAsia="Palatino Linotype" w:hAnsi="Palatino Linotype" w:cs="Palatino Linotype"/>
          <w:color w:val="000000"/>
        </w:rPr>
        <w:t xml:space="preserve">, a fin de atender la solicitud de información con folio </w:t>
      </w:r>
      <w:r>
        <w:rPr>
          <w:rFonts w:ascii="Palatino Linotype" w:eastAsia="Palatino Linotype" w:hAnsi="Palatino Linotype" w:cs="Palatino Linotype"/>
          <w:b/>
          <w:bCs/>
          <w:color w:val="000000"/>
        </w:rPr>
        <w:t xml:space="preserve">00129/TOLUCA/IP/2026, </w:t>
      </w:r>
      <w:r>
        <w:rPr>
          <w:rFonts w:ascii="Palatino Linotype" w:eastAsia="Palatino Linotype" w:hAnsi="Palatino Linotype" w:cs="Palatino Linotype"/>
          <w:color w:val="000000"/>
        </w:rPr>
        <w:t xml:space="preserve">correspondiente al Recurso de Revisión </w:t>
      </w:r>
      <w:r>
        <w:rPr>
          <w:rFonts w:ascii="Palatino Linotype" w:eastAsia="Palatino Linotype" w:hAnsi="Palatino Linotype" w:cs="Palatino Linotype"/>
          <w:b/>
          <w:bCs/>
          <w:color w:val="000000"/>
        </w:rPr>
        <w:t xml:space="preserve">01373/INFOEM/IP/RR/2026; </w:t>
      </w:r>
      <w:r>
        <w:rPr>
          <w:rFonts w:ascii="Palatino Linotype" w:eastAsia="Palatino Linotype" w:hAnsi="Palatino Linotype" w:cs="Palatino Linotype"/>
          <w:color w:val="000000"/>
        </w:rPr>
        <w:t xml:space="preserve">mientras que para la solicitud </w:t>
      </w:r>
      <w:r>
        <w:rPr>
          <w:rFonts w:ascii="Palatino Linotype" w:eastAsia="Palatino Linotype" w:hAnsi="Palatino Linotype" w:cs="Palatino Linotype"/>
          <w:b/>
          <w:bCs/>
          <w:color w:val="000000"/>
        </w:rPr>
        <w:t>00134/TOLUCA/IP/2026</w:t>
      </w:r>
      <w:r>
        <w:rPr>
          <w:rFonts w:ascii="Palatino Linotype" w:eastAsia="Palatino Linotype" w:hAnsi="Palatino Linotype" w:cs="Palatino Linotype"/>
          <w:color w:val="000000"/>
        </w:rPr>
        <w:t xml:space="preserve">, relacionado con el Recurso de Revisión </w:t>
      </w:r>
      <w:r>
        <w:rPr>
          <w:rFonts w:ascii="Palatino Linotype" w:eastAsia="Palatino Linotype" w:hAnsi="Palatino Linotype" w:cs="Palatino Linotype"/>
          <w:b/>
          <w:bCs/>
          <w:color w:val="000000"/>
        </w:rPr>
        <w:t xml:space="preserve">01378/INFOEM/IP/RR/2026 </w:t>
      </w:r>
      <w:r>
        <w:rPr>
          <w:rFonts w:ascii="Palatino Linotype" w:eastAsia="Palatino Linotype" w:hAnsi="Palatino Linotype" w:cs="Palatino Linotype"/>
          <w:color w:val="000000"/>
        </w:rPr>
        <w:t xml:space="preserve">el cúmulo de la información es de un peso equivalente a </w:t>
      </w:r>
      <w:r>
        <w:rPr>
          <w:rFonts w:ascii="Palatino Linotype" w:eastAsia="Palatino Linotype" w:hAnsi="Palatino Linotype" w:cs="Palatino Linotype"/>
          <w:b/>
          <w:bCs/>
          <w:color w:val="000000"/>
        </w:rPr>
        <w:t xml:space="preserve">4.05 Gigabytes, </w:t>
      </w:r>
      <w:r>
        <w:rPr>
          <w:rFonts w:ascii="Palatino Linotype" w:eastAsia="Palatino Linotype" w:hAnsi="Palatino Linotype" w:cs="Palatino Linotype"/>
          <w:color w:val="000000"/>
        </w:rPr>
        <w:t xml:space="preserve">constante de </w:t>
      </w:r>
      <w:r>
        <w:rPr>
          <w:rFonts w:ascii="Palatino Linotype" w:eastAsia="Palatino Linotype" w:hAnsi="Palatino Linotype" w:cs="Palatino Linotype"/>
          <w:b/>
          <w:bCs/>
          <w:color w:val="000000"/>
        </w:rPr>
        <w:t>64, 800 fojas</w:t>
      </w:r>
      <w:r>
        <w:rPr>
          <w:rFonts w:ascii="Palatino Linotype" w:eastAsia="Palatino Linotype" w:hAnsi="Palatino Linotype" w:cs="Palatino Linotype"/>
          <w:color w:val="000000"/>
        </w:rPr>
        <w:t xml:space="preserve">, lo cual sobrepasa las capacidades técnicas del Sistema SAIMEX. </w:t>
      </w:r>
    </w:p>
    <w:p w:rsidR="00DD51FC" w:rsidRDefault="00DD51FC">
      <w:pPr>
        <w:pBdr>
          <w:top w:val="nil"/>
          <w:left w:val="nil"/>
          <w:bottom w:val="nil"/>
          <w:right w:val="nil"/>
          <w:between w:val="nil"/>
        </w:pBdr>
        <w:ind w:left="720"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tabs>
          <w:tab w:val="left" w:pos="426"/>
        </w:tabs>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mismo, se solicitó al área de Soporte Técnico de este Instituto verificar en la bitácora de incidencias el reporte realizado por el Sujeto Obligado, el cual confirmó su existencia quedando registrada el cuatro de mayo de dos mil veinticinco. </w:t>
      </w:r>
    </w:p>
    <w:p w:rsidR="00DD51FC" w:rsidRDefault="00DD51FC">
      <w:pPr>
        <w:pBdr>
          <w:top w:val="nil"/>
          <w:left w:val="nil"/>
          <w:bottom w:val="nil"/>
          <w:right w:val="nil"/>
          <w:between w:val="nil"/>
        </w:pBdr>
        <w:ind w:left="720"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tabs>
          <w:tab w:val="left" w:pos="426"/>
        </w:tabs>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ese sentido, el artículo 155, fracción V, de la Ley de Transparencia y Acceso a la Información Pública del Estado de México y Municipios, precisa que para presentar una solicitud, el Particular podrá señalar </w:t>
      </w:r>
      <w:r>
        <w:rPr>
          <w:rFonts w:ascii="Palatino Linotype" w:eastAsia="Palatino Linotype" w:hAnsi="Palatino Linotype" w:cs="Palatino Linotype"/>
          <w:b/>
          <w:bCs/>
          <w:color w:val="000000"/>
        </w:rPr>
        <w:t>la modalidad en la que prefiere se otorgue el acceso a la información</w:t>
      </w:r>
      <w:r>
        <w:rPr>
          <w:rFonts w:ascii="Palatino Linotype" w:eastAsia="Palatino Linotype" w:hAnsi="Palatino Linotype" w:cs="Palatino Linotype"/>
          <w:color w:val="000000"/>
        </w:rPr>
        <w:t>, la cual podrá ser verbal, siempre y cuando sea para fines de orientación, mediante consulta directa, mediante la expedición de copias simples o certificadas o la reproducción en cualquier otro medio, incluidos los electrónicos.</w:t>
      </w:r>
    </w:p>
    <w:p w:rsidR="00DD51FC" w:rsidRDefault="00DD51FC">
      <w:pPr>
        <w:pBdr>
          <w:top w:val="nil"/>
          <w:left w:val="nil"/>
          <w:bottom w:val="nil"/>
          <w:right w:val="nil"/>
          <w:between w:val="nil"/>
        </w:pBdr>
        <w:ind w:left="720"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tabs>
          <w:tab w:val="left" w:pos="426"/>
        </w:tabs>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artículo 158, dispone que, de manera excepcional, cuando de manera fundada y motivada lo determine el Sujeto Obligado,</w:t>
      </w:r>
      <w:r>
        <w:rPr>
          <w:rFonts w:ascii="Palatino Linotype" w:eastAsia="Palatino Linotype" w:hAnsi="Palatino Linotype" w:cs="Palatino Linotype"/>
          <w:b/>
          <w:bCs/>
          <w:color w:val="000000"/>
        </w:rPr>
        <w:t xml:space="preserve"> en los casos en que la entrega de la información que se encuentre a su disposición, sobrepase las capacidades técnicas, administrativas y </w:t>
      </w:r>
      <w:r>
        <w:rPr>
          <w:rFonts w:ascii="Palatino Linotype" w:eastAsia="Palatino Linotype" w:hAnsi="Palatino Linotype" w:cs="Palatino Linotype"/>
          <w:b/>
          <w:bCs/>
          <w:color w:val="000000"/>
        </w:rPr>
        <w:lastRenderedPageBreak/>
        <w:t>humanas del Sujeto Obligado para cumplir con la solicitud, se podrá poner a disposición del solicitante la información en consulta directa.</w:t>
      </w:r>
    </w:p>
    <w:p w:rsidR="00DD51FC" w:rsidRDefault="00DD51FC">
      <w:pPr>
        <w:pBdr>
          <w:top w:val="nil"/>
          <w:left w:val="nil"/>
          <w:bottom w:val="nil"/>
          <w:right w:val="nil"/>
          <w:between w:val="nil"/>
        </w:pBdr>
        <w:ind w:left="720"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tabs>
          <w:tab w:val="left" w:pos="426"/>
        </w:tabs>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ese orden de ideas, el artículo 164 de dicho ordenamiento jurídico, prevé que el acceso se dará en la modalidad de entrega y, en su caso, de envío elegidos por </w:t>
      </w:r>
      <w:r>
        <w:rPr>
          <w:rFonts w:ascii="Palatino Linotype" w:eastAsia="Palatino Linotype" w:hAnsi="Palatino Linotype" w:cs="Palatino Linotype"/>
        </w:rPr>
        <w:t>el solicitante</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Cuando la información no pueda entregarse o enviarse en la modalidad elegida, el sujeto obligado deberá ofrecer otra u otras modalidades de entrega.</w:t>
      </w:r>
      <w:r>
        <w:rPr>
          <w:rFonts w:ascii="Palatino Linotype" w:eastAsia="Palatino Linotype" w:hAnsi="Palatino Linotype" w:cs="Palatino Linotype"/>
          <w:color w:val="000000"/>
        </w:rPr>
        <w:t xml:space="preserve"> En cualquier caso, </w:t>
      </w:r>
      <w:r>
        <w:rPr>
          <w:rFonts w:ascii="Palatino Linotype" w:eastAsia="Palatino Linotype" w:hAnsi="Palatino Linotype" w:cs="Palatino Linotype"/>
          <w:b/>
          <w:bCs/>
          <w:color w:val="000000"/>
        </w:rPr>
        <w:t>se deberá fundar y motivar</w:t>
      </w:r>
      <w:r>
        <w:rPr>
          <w:rFonts w:ascii="Palatino Linotype" w:eastAsia="Palatino Linotype" w:hAnsi="Palatino Linotype" w:cs="Palatino Linotype"/>
          <w:color w:val="000000"/>
        </w:rPr>
        <w:t xml:space="preserve"> la necesidad de ofrecer otras modalidades.</w:t>
      </w:r>
    </w:p>
    <w:p w:rsidR="00DD51FC" w:rsidRDefault="00DD51FC">
      <w:pPr>
        <w:pBdr>
          <w:top w:val="nil"/>
          <w:left w:val="nil"/>
          <w:bottom w:val="nil"/>
          <w:right w:val="nil"/>
          <w:between w:val="nil"/>
        </w:pBdr>
        <w:tabs>
          <w:tab w:val="left" w:pos="2460"/>
        </w:tabs>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Para lo cual, conforme al artículo 174 de la Ley de la materia, indica que los costos de reproducción y, en su caso, de envío para la obtención de la información deberán ser cubiertos por el solicitante de manera previa a la entrega por parte del Sujeto Obligado. En tales consideraciones, la entrega deberá hacerse, </w:t>
      </w:r>
      <w:r>
        <w:rPr>
          <w:rFonts w:ascii="Palatino Linotype" w:eastAsia="Palatino Linotype" w:hAnsi="Palatino Linotype" w:cs="Palatino Linotype"/>
          <w:b/>
          <w:bCs/>
          <w:color w:val="000000"/>
        </w:rPr>
        <w:t>en la medida de lo posible, en la forma solicitada por el interesado, salvo que exista un impedimento justificado para atenderla</w:t>
      </w:r>
      <w:r>
        <w:rPr>
          <w:rFonts w:ascii="Palatino Linotype" w:eastAsia="Palatino Linotype" w:hAnsi="Palatino Linotype" w:cs="Palatino Linotype"/>
          <w:color w:val="000000"/>
        </w:rPr>
        <w:t xml:space="preserve">, en cuyo caso, deberán exponerse las razones por las cuales no es posible utilizar el medio de reproducción solicitado; en este sentido, la entrega de la información en una modalidad distinta a la elegida por la particular </w:t>
      </w:r>
      <w:r>
        <w:rPr>
          <w:rFonts w:ascii="Palatino Linotype" w:eastAsia="Palatino Linotype" w:hAnsi="Palatino Linotype" w:cs="Palatino Linotype"/>
          <w:b/>
          <w:bCs/>
          <w:color w:val="000000"/>
        </w:rPr>
        <w:t>sólo procede, en caso de que se acredite la imposibilidad de atenderla.</w:t>
      </w:r>
      <w:r>
        <w:rPr>
          <w:rFonts w:ascii="Palatino Linotype" w:eastAsia="Palatino Linotype" w:hAnsi="Palatino Linotype" w:cs="Palatino Linotype"/>
          <w:color w:val="000000"/>
        </w:rPr>
        <w:t xml:space="preserve"> </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Así, cuando se justifique el impedimento, </w:t>
      </w:r>
      <w:r>
        <w:rPr>
          <w:rFonts w:ascii="Palatino Linotype" w:eastAsia="Palatino Linotype" w:hAnsi="Palatino Linotype" w:cs="Palatino Linotype"/>
          <w:b/>
          <w:bCs/>
          <w:color w:val="000000"/>
        </w:rPr>
        <w:t>los Sujetos Obligados deberán ofrecer al particular otras modalidades de entrega que permita la información</w:t>
      </w:r>
      <w:r>
        <w:rPr>
          <w:rFonts w:ascii="Palatino Linotype" w:eastAsia="Palatino Linotype" w:hAnsi="Palatino Linotype" w:cs="Palatino Linotype"/>
          <w:color w:val="000000"/>
        </w:rPr>
        <w:t xml:space="preserve">, como consulta directa en las oficinas de la Unidad de Transparencia; lo anterior, es robustecido con el Criterio de Interpretación, con clave de control SO/008/2017, de la Segunda Época emitido por el Instituto Nacional de Transparencia, Acceso a la Información y Protección de Datos Personales, el cual </w:t>
      </w:r>
      <w:r>
        <w:rPr>
          <w:rFonts w:ascii="Palatino Linotype" w:eastAsia="Palatino Linotype" w:hAnsi="Palatino Linotype" w:cs="Palatino Linotype"/>
          <w:color w:val="000000"/>
        </w:rPr>
        <w:lastRenderedPageBreak/>
        <w:t xml:space="preserve">establece que cuando no sea posible </w:t>
      </w:r>
      <w:r>
        <w:rPr>
          <w:rFonts w:ascii="Palatino Linotype" w:eastAsia="Palatino Linotype" w:hAnsi="Palatino Linotype" w:cs="Palatino Linotype"/>
        </w:rPr>
        <w:t>atender</w:t>
      </w:r>
      <w:r>
        <w:rPr>
          <w:rFonts w:ascii="Palatino Linotype" w:eastAsia="Palatino Linotype" w:hAnsi="Palatino Linotype" w:cs="Palatino Linotype"/>
          <w:color w:val="000000"/>
        </w:rPr>
        <w:t xml:space="preserve"> la modalidad elegida por los solicitantes, la obligación de acceso a la información se tendrá por cumplida cuando el Sujeto Obligado justifique el impedimento para atender la misma y se notifique al particular la puesta a disposición de la </w:t>
      </w:r>
      <w:r>
        <w:rPr>
          <w:rFonts w:ascii="Palatino Linotype" w:eastAsia="Palatino Linotype" w:hAnsi="Palatino Linotype" w:cs="Palatino Linotype"/>
          <w:b/>
          <w:bCs/>
          <w:color w:val="000000"/>
        </w:rPr>
        <w:t>información en todas las modalidades que lo permitan, procurando reducir los costos de entrega.</w:t>
      </w:r>
    </w:p>
    <w:p w:rsidR="00DD51FC" w:rsidRDefault="00DD51FC">
      <w:pPr>
        <w:pBdr>
          <w:top w:val="nil"/>
          <w:left w:val="nil"/>
          <w:bottom w:val="nil"/>
          <w:right w:val="nil"/>
          <w:between w:val="nil"/>
        </w:pBdr>
        <w:ind w:left="720"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Además, según Calero, Natalia (2016), en la “Ley General de Transparencia y Acceso a la Información Pública Comentada” (pág. 401), cuando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rsidR="00DD51FC" w:rsidRDefault="008C72DB">
      <w:pPr>
        <w:numPr>
          <w:ilvl w:val="0"/>
          <w:numId w:val="8"/>
        </w:numPr>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rPr>
        <w:t>Las razones por las cuales la información implicaba un análisis, estudio o procesamiento de datos;</w:t>
      </w:r>
    </w:p>
    <w:p w:rsidR="00DD51FC" w:rsidRDefault="008C72DB">
      <w:pPr>
        <w:numPr>
          <w:ilvl w:val="0"/>
          <w:numId w:val="8"/>
        </w:numPr>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rPr>
        <w:t>Por qué motivo el tiempo, que se le otorga al Sujeto Obligado para dar respuesta, en la modalidad elegida a la solicitud de información, no le es suficiente, y</w:t>
      </w:r>
    </w:p>
    <w:p w:rsidR="00DD51FC" w:rsidRDefault="008C72DB">
      <w:pPr>
        <w:numPr>
          <w:ilvl w:val="0"/>
          <w:numId w:val="8"/>
        </w:numPr>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rPr>
        <w:t>La cantidad de recursos humanos y materiales con los que cuenta el Sujeto Obligado son insuficientes.</w:t>
      </w:r>
    </w:p>
    <w:p w:rsidR="00DD51FC" w:rsidRDefault="00DD51FC">
      <w:pP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en respuesta, el Sujeto Obligado a través de la Dirección General de Administración, precisó que el Comité de Transparencia de Toluca aprobó el cambio de modalidad a consulta directa de la información mediante el Acuerdo de Comité de Transparencia con número CT/SE/32/02/2026, de fecha veintiuno de enero de dos mil </w:t>
      </w:r>
      <w:r>
        <w:rPr>
          <w:rFonts w:ascii="Palatino Linotype" w:eastAsia="Palatino Linotype" w:hAnsi="Palatino Linotype" w:cs="Palatino Linotype"/>
          <w:color w:val="000000"/>
        </w:rPr>
        <w:lastRenderedPageBreak/>
        <w:t>veintiséis, aprobado en la Trigésima Segunda Sesión Extraordinaria, empero omitió adjuntar tal documento.</w:t>
      </w: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personal de este Instituto, procedió a indagar en el Portal de Información Pública de Oficio Mexiquense, localizando el Acuerdo de referencia, del que se advierte la clasificación de la información como confidencial para dar cumplimiento a las solicitudes de información 0129/TOLUCA/IP/2026 y 0134/TOLUCA/IP/2026, y no el cambio de modalidad de entrega de la información, como lo refiere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lo cual se comprueba con la siguiente captura de pantalla:</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DD51FC" w:rsidRDefault="008C72DB">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0" distR="0">
            <wp:extent cx="5581015" cy="2004066"/>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581015" cy="2004066"/>
                    </a:xfrm>
                    <a:prstGeom prst="rect">
                      <a:avLst/>
                    </a:prstGeom>
                    <a:ln/>
                  </pic:spPr>
                </pic:pic>
              </a:graphicData>
            </a:graphic>
          </wp:inline>
        </w:drawing>
      </w:r>
      <w:r>
        <w:rPr>
          <w:noProof/>
          <w:lang w:val="es-MX"/>
        </w:rPr>
        <mc:AlternateContent>
          <mc:Choice Requires="wps">
            <w:drawing>
              <wp:anchor distT="0" distB="0" distL="114300" distR="114300" simplePos="0" relativeHeight="251658240" behindDoc="0" locked="0" layoutInCell="1" hidden="0" allowOverlap="1">
                <wp:simplePos x="0" y="0"/>
                <wp:positionH relativeFrom="column">
                  <wp:posOffset>-22858</wp:posOffset>
                </wp:positionH>
                <wp:positionV relativeFrom="paragraph">
                  <wp:posOffset>709295</wp:posOffset>
                </wp:positionV>
                <wp:extent cx="1581150" cy="247650"/>
                <wp:effectExtent l="0" t="0" r="0" b="0"/>
                <wp:wrapNone/>
                <wp:docPr id="1" name="Rectángulo 1"/>
                <wp:cNvGraphicFramePr/>
                <a:graphic xmlns:a="http://schemas.openxmlformats.org/drawingml/2006/main">
                  <a:graphicData uri="http://schemas.microsoft.com/office/word/2010/wordprocessingShape">
                    <wps:wsp>
                      <wps:cNvSpPr/>
                      <wps:spPr>
                        <a:xfrm rot="10800000" flipH="1">
                          <a:off x="4574475" y="3675225"/>
                          <a:ext cx="1543050" cy="209550"/>
                        </a:xfrm>
                        <a:prstGeom prst="rect">
                          <a:avLst/>
                        </a:prstGeom>
                        <a:noFill/>
                        <a:ln w="38100" cap="flat" cmpd="sng">
                          <a:solidFill>
                            <a:srgbClr val="FF0000"/>
                          </a:solidFill>
                          <a:prstDash val="solid"/>
                          <a:round/>
                          <a:headEnd type="none" w="sm" len="sm"/>
                          <a:tailEnd type="none" w="sm" len="sm"/>
                        </a:ln>
                      </wps:spPr>
                      <wps:txbx>
                        <w:txbxContent>
                          <w:p w:rsidR="00DD51FC" w:rsidRDefault="00DD51FC">
                            <w:pPr>
                              <w:textDirection w:val="btLr"/>
                            </w:pPr>
                          </w:p>
                        </w:txbxContent>
                      </wps:txbx>
                      <wps:bodyPr spcFirstLastPara="1" wrap="square" lIns="91425" tIns="91425" rIns="91425" bIns="91425" anchor="ctr" anchorCtr="0">
                        <a:noAutofit/>
                      </wps:bodyPr>
                    </wps:wsp>
                  </a:graphicData>
                </a:graphic>
              </wp:anchor>
            </w:drawing>
          </mc:Choice>
          <mc:Fallback>
            <w:pict>
              <v:rect id="Rectángulo 1" o:spid="_x0000_s1026" style="position:absolute;left:0;text-align:left;margin-left:-1.8pt;margin-top:55.85pt;width:124.5pt;height:19.5pt;rotation:180;flip:x;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" filled="f" strokecolor="red" strokeweight="3pt">
                <v:stroke startarrowwidth="narrow" startarrowlength="short" endarrowwidth="narrow" endarrowlength="short" joinstyle="round"/>
                <v:textbox inset="2.53958mm,2.53958mm,2.53958mm,2.53958mm">
                  <w:txbxContent>
                    <w:p w:rsidR="00DD51FC" w:rsidRDefault="00DD51FC">
                      <w:pPr>
                        <w:textDirection w:val="btLr"/>
                      </w:pPr>
                    </w:p>
                  </w:txbxContent>
                </v:textbox>
              </v:rect>
            </w:pict>
          </mc:Fallback>
        </mc:AlternateContent>
      </w:r>
      <w:r>
        <w:rPr>
          <w:noProof/>
          <w:lang w:val="es-MX"/>
        </w:rPr>
        <mc:AlternateContent>
          <mc:Choice Requires="wps">
            <w:drawing>
              <wp:anchor distT="0" distB="0" distL="114300" distR="114300" simplePos="0" relativeHeight="251659264" behindDoc="0" locked="0" layoutInCell="1" hidden="0" allowOverlap="1">
                <wp:simplePos x="0" y="0"/>
                <wp:positionH relativeFrom="column">
                  <wp:posOffset>4018915</wp:posOffset>
                </wp:positionH>
                <wp:positionV relativeFrom="paragraph">
                  <wp:posOffset>916940</wp:posOffset>
                </wp:positionV>
                <wp:extent cx="1581150" cy="247650"/>
                <wp:effectExtent l="0" t="0" r="0" b="0"/>
                <wp:wrapNone/>
                <wp:docPr id="2" name="Rectángulo 2"/>
                <wp:cNvGraphicFramePr/>
                <a:graphic xmlns:a="http://schemas.openxmlformats.org/drawingml/2006/main">
                  <a:graphicData uri="http://schemas.microsoft.com/office/word/2010/wordprocessingShape">
                    <wps:wsp>
                      <wps:cNvSpPr/>
                      <wps:spPr>
                        <a:xfrm rot="10800000" flipH="1">
                          <a:off x="4574475" y="3675225"/>
                          <a:ext cx="1543050" cy="209550"/>
                        </a:xfrm>
                        <a:prstGeom prst="rect">
                          <a:avLst/>
                        </a:prstGeom>
                        <a:noFill/>
                        <a:ln w="38100" cap="flat" cmpd="sng">
                          <a:solidFill>
                            <a:srgbClr val="FF0000"/>
                          </a:solidFill>
                          <a:prstDash val="solid"/>
                          <a:round/>
                          <a:headEnd type="none" w="sm" len="sm"/>
                          <a:tailEnd type="none" w="sm" len="sm"/>
                        </a:ln>
                      </wps:spPr>
                      <wps:txbx>
                        <w:txbxContent>
                          <w:p w:rsidR="00DD51FC" w:rsidRDefault="00DD51FC">
                            <w:pPr>
                              <w:textDirection w:val="btLr"/>
                            </w:pPr>
                          </w:p>
                        </w:txbxContent>
                      </wps:txbx>
                      <wps:bodyPr spcFirstLastPara="1" wrap="square" lIns="91425" tIns="91425" rIns="91425" bIns="91425" anchor="ctr" anchorCtr="0">
                        <a:noAutofit/>
                      </wps:bodyPr>
                    </wps:wsp>
                  </a:graphicData>
                </a:graphic>
              </wp:anchor>
            </w:drawing>
          </mc:Choice>
          <mc:Fallback>
            <w:pict>
              <v:rect id="Rectángulo 2" o:spid="_x0000_s1027" style="position:absolute;left:0;text-align:left;margin-left:316.45pt;margin-top:72.2pt;width:124.5pt;height:19.5pt;rotation:180;flip:x;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" filled="f" strokecolor="red" strokeweight="3pt">
                <v:stroke startarrowwidth="narrow" startarrowlength="short" endarrowwidth="narrow" endarrowlength="short" joinstyle="round"/>
                <v:textbox inset="2.53958mm,2.53958mm,2.53958mm,2.53958mm">
                  <w:txbxContent>
                    <w:p w:rsidR="00DD51FC" w:rsidRDefault="00DD51FC">
                      <w:pPr>
                        <w:textDirection w:val="btLr"/>
                      </w:pPr>
                    </w:p>
                  </w:txbxContent>
                </v:textbox>
              </v:rect>
            </w:pict>
          </mc:Fallback>
        </mc:AlternateConten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razón de lo anterior,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sólo se concretó a referir el Acuerdo CT/SE/32/02/2026, empero no agregó el documento; no obstante de la indagación realizada por personal de este Instituto, se advierte que dicho Acuerdo no corresponde con lo manifestado en respuesta; de ahí que, la respuesta careció del principio de </w:t>
      </w:r>
      <w:r>
        <w:rPr>
          <w:rFonts w:ascii="Palatino Linotype" w:eastAsia="Palatino Linotype" w:hAnsi="Palatino Linotype" w:cs="Palatino Linotype"/>
          <w:b/>
          <w:bCs/>
          <w:color w:val="000000"/>
        </w:rPr>
        <w:t>congruencia</w:t>
      </w:r>
      <w:r>
        <w:rPr>
          <w:rFonts w:ascii="Palatino Linotype" w:eastAsia="Palatino Linotype" w:hAnsi="Palatino Linotype" w:cs="Palatino Linotype"/>
          <w:color w:val="000000"/>
        </w:rPr>
        <w:t>, como refuerzo de lo anterior, resulta crucial el Criterio orientador 02/17, emitido por el entonces Instituto Nacional de Transparencia y Acceso a la Información y Protección de Datos Personales, de título y texto siguientes:</w:t>
      </w:r>
    </w:p>
    <w:p w:rsidR="00DD51FC" w:rsidRDefault="008C72DB">
      <w:pPr>
        <w:spacing w:before="80" w:after="240"/>
        <w:ind w:left="567"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 xml:space="preserve">“Congruencia. Sus alcances para garantizar el derecho de acceso a la información. </w:t>
      </w:r>
      <w:r>
        <w:rPr>
          <w:rFonts w:ascii="Palatino Linotype" w:eastAsia="Palatino Linotype" w:hAnsi="Palatino Linotype" w:cs="Palatino Linotype"/>
          <w:i/>
          <w:iC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Pr>
          <w:rFonts w:ascii="Palatino Linotype" w:eastAsia="Palatino Linotype" w:hAnsi="Palatino Linotype" w:cs="Palatino Linotype"/>
          <w:b/>
          <w:bCs/>
          <w:i/>
          <w:iCs/>
        </w:rPr>
        <w:t>la congruencia implica que exista concordancia entre el requerimiento formulado por el particular y la respuesta proporcionada por el sujeto obligado</w:t>
      </w:r>
      <w:r>
        <w:rPr>
          <w:rFonts w:ascii="Palatino Linotype" w:eastAsia="Palatino Linotype" w:hAnsi="Palatino Linotype" w:cs="Palatino Linotype"/>
          <w:i/>
          <w:iCs/>
        </w:rPr>
        <w:t xml:space="preserve">; mientras que </w:t>
      </w:r>
      <w:r>
        <w:rPr>
          <w:rFonts w:ascii="Palatino Linotype" w:eastAsia="Palatino Linotype" w:hAnsi="Palatino Linotype" w:cs="Palatino Linotype"/>
          <w:b/>
          <w:bCs/>
          <w:i/>
          <w:iCs/>
        </w:rPr>
        <w:t>la exhaustividad significa que dicha respuesta se refiera expresamente a cada uno de los puntos solicitados</w:t>
      </w:r>
      <w:r>
        <w:rPr>
          <w:rFonts w:ascii="Palatino Linotype" w:eastAsia="Palatino Linotype" w:hAnsi="Palatino Linotype" w:cs="Palatino Linotype"/>
          <w:i/>
          <w:iCs/>
        </w:rPr>
        <w:t>. Por lo anterior, los sujetos obligados cumplirán con los principios de congruencia y exhaustividad, cuando las respuestas que emitan guarden una relación lógica con lo solicitado y atiendan de manera puntual y expresa, cada uno de los contenidos de información.” (Sic)</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lo anterior, se advierte que la respuesta emitida por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 no guarda congruencia, toda vez que el servidor público habilitado de la Dirección General de Administración, hizo alusión a un cambio de modalidad; sin embargo de la documental invocada, el Comité de Transparencia únicamente acreditó la entrega de la información en versión pública.</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se reitera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en respuesta ofreció el cambio de modalidad para la entrega de la información, no obstante al no justificar el cambio de modalidad, ni mucho menos pronunciarse respecto a si lo peticionado implicaba un análisis, procesamiento o estudio de elementos cuya reproducción </w:t>
      </w:r>
      <w:r>
        <w:rPr>
          <w:rFonts w:ascii="Palatino Linotype" w:eastAsia="Palatino Linotype" w:hAnsi="Palatino Linotype" w:cs="Palatino Linotype"/>
        </w:rPr>
        <w:t>sobrepasa</w:t>
      </w:r>
      <w:r>
        <w:rPr>
          <w:rFonts w:ascii="Palatino Linotype" w:eastAsia="Palatino Linotype" w:hAnsi="Palatino Linotype" w:cs="Palatino Linotype"/>
          <w:color w:val="000000"/>
        </w:rPr>
        <w:t xml:space="preserve"> las capacidades técnicas, administrativas y humanas; a fin de contar con los elementos necesarios para la elaboración del proyecto de resolución, se le requirió </w:t>
      </w:r>
      <w:r>
        <w:rPr>
          <w:rFonts w:ascii="Palatino Linotype" w:eastAsia="Palatino Linotype" w:hAnsi="Palatino Linotype" w:cs="Palatino Linotype"/>
        </w:rPr>
        <w:t>informará</w:t>
      </w:r>
      <w:r>
        <w:rPr>
          <w:rFonts w:ascii="Palatino Linotype" w:eastAsia="Palatino Linotype" w:hAnsi="Palatino Linotype" w:cs="Palatino Linotype"/>
          <w:color w:val="000000"/>
        </w:rPr>
        <w:t>:</w:t>
      </w:r>
    </w:p>
    <w:p w:rsidR="00DD51FC" w:rsidRDefault="008C72DB">
      <w:pPr>
        <w:numPr>
          <w:ilvl w:val="0"/>
          <w:numId w:val="9"/>
        </w:numPr>
        <w:spacing w:line="360" w:lineRule="auto"/>
        <w:ind w:left="567" w:right="-989"/>
        <w:jc w:val="both"/>
        <w:rPr>
          <w:rFonts w:ascii="Palatino Linotype" w:eastAsia="Palatino Linotype" w:hAnsi="Palatino Linotype" w:cs="Palatino Linotype"/>
        </w:rPr>
      </w:pPr>
      <w:r>
        <w:rPr>
          <w:rFonts w:ascii="Palatino Linotype" w:eastAsia="Palatino Linotype" w:hAnsi="Palatino Linotype" w:cs="Palatino Linotype"/>
        </w:rPr>
        <w:t>El cúmulo de información que representan los documentos, manifestando el  número de fojas; y</w:t>
      </w:r>
    </w:p>
    <w:p w:rsidR="00DD51FC" w:rsidRDefault="008C72DB">
      <w:pPr>
        <w:numPr>
          <w:ilvl w:val="0"/>
          <w:numId w:val="9"/>
        </w:numPr>
        <w:spacing w:line="360" w:lineRule="auto"/>
        <w:ind w:left="567" w:right="-989"/>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El peso en Megabytes o Gigabytes; </w:t>
      </w:r>
    </w:p>
    <w:p w:rsidR="00DD51FC" w:rsidRDefault="008C72DB">
      <w:pPr>
        <w:numPr>
          <w:ilvl w:val="0"/>
          <w:numId w:val="9"/>
        </w:numPr>
        <w:spacing w:line="360" w:lineRule="auto"/>
        <w:ind w:left="567" w:right="-989"/>
        <w:jc w:val="both"/>
        <w:rPr>
          <w:rFonts w:ascii="Palatino Linotype" w:eastAsia="Palatino Linotype" w:hAnsi="Palatino Linotype" w:cs="Palatino Linotype"/>
        </w:rPr>
      </w:pPr>
      <w:r>
        <w:rPr>
          <w:rFonts w:ascii="Palatino Linotype" w:eastAsia="Palatino Linotype" w:hAnsi="Palatino Linotype" w:cs="Palatino Linotype"/>
        </w:rPr>
        <w:t xml:space="preserve">Mayores elementos que brinden certeza sobre la imposibilidad técnica administrativa o humana de manera excepcional </w:t>
      </w:r>
      <w:r>
        <w:rPr>
          <w:rFonts w:ascii="Palatino Linotype" w:eastAsia="Palatino Linotype" w:hAnsi="Palatino Linotype" w:cs="Palatino Linotype"/>
          <w:b/>
          <w:bCs/>
        </w:rPr>
        <w:t xml:space="preserve">con los respectivos medios de convicción; </w:t>
      </w:r>
    </w:p>
    <w:p w:rsidR="00DD51FC" w:rsidRDefault="008C72DB">
      <w:pPr>
        <w:numPr>
          <w:ilvl w:val="0"/>
          <w:numId w:val="9"/>
        </w:numPr>
        <w:spacing w:line="360" w:lineRule="auto"/>
        <w:ind w:left="567" w:right="-989"/>
        <w:jc w:val="both"/>
        <w:rPr>
          <w:rFonts w:ascii="Palatino Linotype" w:eastAsia="Palatino Linotype" w:hAnsi="Palatino Linotype" w:cs="Palatino Linotype"/>
        </w:rPr>
      </w:pPr>
      <w:r>
        <w:rPr>
          <w:rFonts w:ascii="Palatino Linotype" w:eastAsia="Palatino Linotype" w:hAnsi="Palatino Linotype" w:cs="Palatino Linotype"/>
        </w:rPr>
        <w:t xml:space="preserve">Realice el reporte de incidencias ante la Dirección de Informática, en el área de soporte técnico de este Instituto. </w:t>
      </w:r>
    </w:p>
    <w:p w:rsidR="00DD51FC" w:rsidRDefault="008C72DB">
      <w:pPr>
        <w:numPr>
          <w:ilvl w:val="0"/>
          <w:numId w:val="9"/>
        </w:numPr>
        <w:spacing w:after="160" w:line="360" w:lineRule="auto"/>
        <w:ind w:left="567" w:right="-989"/>
        <w:jc w:val="both"/>
        <w:rPr>
          <w:rFonts w:ascii="Palatino Linotype" w:eastAsia="Palatino Linotype" w:hAnsi="Palatino Linotype" w:cs="Palatino Linotype"/>
          <w:b/>
          <w:bCs/>
        </w:rPr>
      </w:pPr>
      <w:r>
        <w:rPr>
          <w:rFonts w:ascii="Palatino Linotype" w:eastAsia="Palatino Linotype" w:hAnsi="Palatino Linotype" w:cs="Palatino Linotype"/>
        </w:rPr>
        <w:t xml:space="preserve">Acuerdo del Comité de Transparencia mediante el cual se </w:t>
      </w:r>
      <w:r>
        <w:rPr>
          <w:rFonts w:ascii="Palatino Linotype" w:eastAsia="Palatino Linotype" w:hAnsi="Palatino Linotype" w:cs="Palatino Linotype"/>
          <w:b/>
          <w:bCs/>
        </w:rPr>
        <w:t xml:space="preserve">apruebe ofrecer otros tipos de modalidad de consulta de información para el RECURRENTE. </w:t>
      </w:r>
    </w:p>
    <w:p w:rsidR="00DD51FC" w:rsidRDefault="00DD51FC">
      <w:pPr>
        <w:pBdr>
          <w:top w:val="nil"/>
          <w:left w:val="nil"/>
          <w:bottom w:val="nil"/>
          <w:right w:val="nil"/>
          <w:between w:val="nil"/>
        </w:pBdr>
        <w:ind w:left="720"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Sobre lo anterior, es de señalar que el entonces Órgano Garante Nacional, a través de diversas resoluciones de los Recursos de Inconformidad, entre las cuales se encuentran el </w:t>
      </w:r>
      <w:r>
        <w:rPr>
          <w:rFonts w:ascii="Palatino Linotype" w:eastAsia="Palatino Linotype" w:hAnsi="Palatino Linotype" w:cs="Palatino Linotype"/>
          <w:b/>
          <w:bCs/>
          <w:color w:val="000000"/>
        </w:rPr>
        <w:t>RIA 136/20, RIA 140/20, RIA 153/20 RIA 237/20, RIA 257/20, RIA 258/20,</w:t>
      </w:r>
      <w:r>
        <w:rPr>
          <w:rFonts w:ascii="Palatino Linotype" w:eastAsia="Palatino Linotype" w:hAnsi="Palatino Linotype" w:cs="Palatino Linotype"/>
          <w:color w:val="000000"/>
        </w:rPr>
        <w:t xml:space="preserve"> entre otras, ha considerado que no resultaba suficiente justificar una imposibilidad técnica y humana para acreditar un cambio de modalidad, sino que era necesario demostrar otros impedimentos, como la cantidad y formato de la documentación, que fuera de imposible reproducción en el medio elegido por los solicitantes, que la información </w:t>
      </w:r>
      <w:r>
        <w:rPr>
          <w:rFonts w:ascii="Palatino Linotype" w:eastAsia="Palatino Linotype" w:hAnsi="Palatino Linotype" w:cs="Palatino Linotype"/>
        </w:rPr>
        <w:t>amerita</w:t>
      </w:r>
      <w:r>
        <w:rPr>
          <w:rFonts w:ascii="Palatino Linotype" w:eastAsia="Palatino Linotype" w:hAnsi="Palatino Linotype" w:cs="Palatino Linotype"/>
          <w:color w:val="000000"/>
        </w:rPr>
        <w:t xml:space="preserve"> el cruce de información en los sistemas de datos, entre otros. </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Además, precisan que no se debe ceñir el cambio de modalidad, directamente a consulta directa, sino que los sujetos obligados, deben de buscar la posibilidad de </w:t>
      </w:r>
      <w:r>
        <w:rPr>
          <w:rFonts w:ascii="Palatino Linotype" w:eastAsia="Palatino Linotype" w:hAnsi="Palatino Linotype" w:cs="Palatino Linotype"/>
        </w:rPr>
        <w:t>proporcionarle en</w:t>
      </w:r>
      <w:r>
        <w:rPr>
          <w:rFonts w:ascii="Palatino Linotype" w:eastAsia="Palatino Linotype" w:hAnsi="Palatino Linotype" w:cs="Palatino Linotype"/>
          <w:color w:val="000000"/>
        </w:rPr>
        <w:t xml:space="preserve"> las otras formas que establecen en la Ley, ya sean electrónicas o físicas.</w:t>
      </w:r>
    </w:p>
    <w:p w:rsidR="00DD51FC" w:rsidRDefault="00DD51FC">
      <w:pPr>
        <w:pBdr>
          <w:top w:val="nil"/>
          <w:left w:val="nil"/>
          <w:bottom w:val="nil"/>
          <w:right w:val="nil"/>
          <w:between w:val="nil"/>
        </w:pBdr>
        <w:ind w:left="720"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Conforme a lo anterior, el Ayuntamiento de Toluca, no acreditó la imposibilidad humana, técnica y administrativa, establecida en el artículo 158 de la Ley de Transparencia y </w:t>
      </w:r>
      <w:r>
        <w:rPr>
          <w:rFonts w:ascii="Palatino Linotype" w:eastAsia="Palatino Linotype" w:hAnsi="Palatino Linotype" w:cs="Palatino Linotype"/>
          <w:color w:val="000000"/>
        </w:rPr>
        <w:lastRenderedPageBreak/>
        <w:t xml:space="preserve">Acceso a la Información Pública del Estado de México y Municipios, para acreditar el cambio de modalidad a consulta directa, lo cual da como resultado que el agravio </w:t>
      </w:r>
      <w:r>
        <w:rPr>
          <w:rFonts w:ascii="Palatino Linotype" w:eastAsia="Palatino Linotype" w:hAnsi="Palatino Linotype" w:cs="Palatino Linotype"/>
        </w:rPr>
        <w:t>resulta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 xml:space="preserve">FUNDADO; </w:t>
      </w:r>
      <w:r>
        <w:rPr>
          <w:rFonts w:ascii="Palatino Linotype" w:eastAsia="Palatino Linotype" w:hAnsi="Palatino Linotype" w:cs="Palatino Linotype"/>
          <w:color w:val="000000"/>
        </w:rPr>
        <w:t>lo cual se robustece con el hecho de que el Comité de Transparencia en ningún motivo validó el cambio de modalidad.</w:t>
      </w:r>
    </w:p>
    <w:p w:rsidR="00DD51FC" w:rsidRDefault="00DD51FC">
      <w:pPr>
        <w:pBdr>
          <w:top w:val="nil"/>
          <w:left w:val="nil"/>
          <w:bottom w:val="nil"/>
          <w:right w:val="nil"/>
          <w:between w:val="nil"/>
        </w:pBdr>
        <w:ind w:left="720"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No obstante, durante la sustanciación del medio de impugnación y mediante el desahogo del requerimiento de información adicional realizado,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a través de la propia Dirección General de Administración, señaló que la información requerida obraba en formato digital y físico, la cual en su</w:t>
      </w:r>
      <w:r>
        <w:rPr>
          <w:rFonts w:ascii="Palatino Linotype" w:eastAsia="Palatino Linotype" w:hAnsi="Palatino Linotype" w:cs="Palatino Linotype"/>
          <w:b/>
          <w:bCs/>
          <w:color w:val="000000"/>
        </w:rPr>
        <w:t xml:space="preserve"> conjunto</w:t>
      </w:r>
      <w:r>
        <w:rPr>
          <w:rFonts w:ascii="Palatino Linotype" w:eastAsia="Palatino Linotype" w:hAnsi="Palatino Linotype" w:cs="Palatino Linotype"/>
          <w:color w:val="000000"/>
        </w:rPr>
        <w:t xml:space="preserve"> implicaba un peso aproximado de </w:t>
      </w:r>
      <w:r>
        <w:rPr>
          <w:rFonts w:ascii="Palatino Linotype" w:eastAsia="Palatino Linotype" w:hAnsi="Palatino Linotype" w:cs="Palatino Linotype"/>
          <w:b/>
          <w:bCs/>
          <w:color w:val="000000"/>
        </w:rPr>
        <w:t>5.32 Gigabytes, constante de 85, 120 fojas</w:t>
      </w:r>
      <w:r>
        <w:rPr>
          <w:rFonts w:ascii="Palatino Linotype" w:eastAsia="Palatino Linotype" w:hAnsi="Palatino Linotype" w:cs="Palatino Linotype"/>
          <w:color w:val="000000"/>
        </w:rPr>
        <w:t xml:space="preserve">, a fin de atender la solicitud de información con folio </w:t>
      </w:r>
      <w:r>
        <w:rPr>
          <w:rFonts w:ascii="Palatino Linotype" w:eastAsia="Palatino Linotype" w:hAnsi="Palatino Linotype" w:cs="Palatino Linotype"/>
          <w:b/>
          <w:bCs/>
          <w:color w:val="000000"/>
        </w:rPr>
        <w:t xml:space="preserve">00129/TOLUCA/IP/2026, </w:t>
      </w:r>
      <w:r>
        <w:rPr>
          <w:rFonts w:ascii="Palatino Linotype" w:eastAsia="Palatino Linotype" w:hAnsi="Palatino Linotype" w:cs="Palatino Linotype"/>
          <w:color w:val="000000"/>
        </w:rPr>
        <w:t xml:space="preserve">correspondiente al Recurso de Revisión </w:t>
      </w:r>
      <w:r>
        <w:rPr>
          <w:rFonts w:ascii="Palatino Linotype" w:eastAsia="Palatino Linotype" w:hAnsi="Palatino Linotype" w:cs="Palatino Linotype"/>
          <w:b/>
          <w:bCs/>
          <w:color w:val="000000"/>
        </w:rPr>
        <w:t xml:space="preserve">01373/INFOEM/IP/RR/2026; </w:t>
      </w:r>
      <w:r>
        <w:rPr>
          <w:rFonts w:ascii="Palatino Linotype" w:eastAsia="Palatino Linotype" w:hAnsi="Palatino Linotype" w:cs="Palatino Linotype"/>
          <w:color w:val="000000"/>
        </w:rPr>
        <w:t xml:space="preserve">mientras que para la solicitud </w:t>
      </w:r>
      <w:r>
        <w:rPr>
          <w:rFonts w:ascii="Palatino Linotype" w:eastAsia="Palatino Linotype" w:hAnsi="Palatino Linotype" w:cs="Palatino Linotype"/>
          <w:b/>
          <w:bCs/>
          <w:color w:val="000000"/>
        </w:rPr>
        <w:t>00134/TOLUCA/IP/2026</w:t>
      </w:r>
      <w:r>
        <w:rPr>
          <w:rFonts w:ascii="Palatino Linotype" w:eastAsia="Palatino Linotype" w:hAnsi="Palatino Linotype" w:cs="Palatino Linotype"/>
          <w:color w:val="000000"/>
        </w:rPr>
        <w:t xml:space="preserve">, relacionado con el Recurso de Revisión </w:t>
      </w:r>
      <w:r>
        <w:rPr>
          <w:rFonts w:ascii="Palatino Linotype" w:eastAsia="Palatino Linotype" w:hAnsi="Palatino Linotype" w:cs="Palatino Linotype"/>
          <w:b/>
          <w:bCs/>
          <w:color w:val="000000"/>
        </w:rPr>
        <w:t xml:space="preserve">01378/INFOEM/IP/RR/2026 </w:t>
      </w:r>
      <w:r>
        <w:rPr>
          <w:rFonts w:ascii="Palatino Linotype" w:eastAsia="Palatino Linotype" w:hAnsi="Palatino Linotype" w:cs="Palatino Linotype"/>
          <w:color w:val="000000"/>
        </w:rPr>
        <w:t xml:space="preserve">el cúmulo de la información es de un peso equivalente a </w:t>
      </w:r>
      <w:r>
        <w:rPr>
          <w:rFonts w:ascii="Palatino Linotype" w:eastAsia="Palatino Linotype" w:hAnsi="Palatino Linotype" w:cs="Palatino Linotype"/>
          <w:b/>
          <w:bCs/>
          <w:color w:val="000000"/>
        </w:rPr>
        <w:t xml:space="preserve">4.05 Gigabytes, </w:t>
      </w:r>
      <w:r>
        <w:rPr>
          <w:rFonts w:ascii="Palatino Linotype" w:eastAsia="Palatino Linotype" w:hAnsi="Palatino Linotype" w:cs="Palatino Linotype"/>
          <w:color w:val="000000"/>
        </w:rPr>
        <w:t xml:space="preserve">constante de </w:t>
      </w:r>
      <w:r>
        <w:rPr>
          <w:rFonts w:ascii="Palatino Linotype" w:eastAsia="Palatino Linotype" w:hAnsi="Palatino Linotype" w:cs="Palatino Linotype"/>
          <w:b/>
          <w:bCs/>
          <w:color w:val="000000"/>
        </w:rPr>
        <w:t>64, 800 fojas</w:t>
      </w:r>
      <w:r>
        <w:rPr>
          <w:rFonts w:ascii="Palatino Linotype" w:eastAsia="Palatino Linotype" w:hAnsi="Palatino Linotype" w:cs="Palatino Linotype"/>
          <w:color w:val="000000"/>
        </w:rPr>
        <w:t>, lo cual sobrepasa las capacidades técnicas del SAIMEX, circunstancia que fue sustentada mediante registro de incidencia técnica ante la Dirección de Informática de este Instituto.</w:t>
      </w:r>
    </w:p>
    <w:p w:rsidR="00DD51FC" w:rsidRDefault="00DD51FC">
      <w:pP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obstante, este Instituto considera que dicha circunstancia resulta incongruente, pues la pretensión del Recurrente no es obtener expedientes completos u oficios con anexos, sino únicamente requiere tener acceso a los oficios emitidos y recibidos del mes de abril y septiembre de dos mil veinticinco.</w:t>
      </w:r>
    </w:p>
    <w:p w:rsidR="00DD51FC" w:rsidRDefault="00DD51FC">
      <w:pPr>
        <w:pBdr>
          <w:top w:val="nil"/>
          <w:left w:val="nil"/>
          <w:bottom w:val="nil"/>
          <w:right w:val="nil"/>
          <w:between w:val="nil"/>
        </w:pBdr>
        <w:ind w:left="720"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Además, este Instituto de una revisión del Sistema de Acceso a la Información Mexiquense, se logró vislumbrar que la Dirección General de Administración, al diecinueve </w:t>
      </w:r>
      <w:r>
        <w:rPr>
          <w:rFonts w:ascii="Palatino Linotype" w:eastAsia="Palatino Linotype" w:hAnsi="Palatino Linotype" w:cs="Palatino Linotype"/>
          <w:color w:val="000000"/>
        </w:rPr>
        <w:lastRenderedPageBreak/>
        <w:t>noviembre de dos mil veinticinco había emitido menos de 7000 oficios y al siete de julio de dicho año había emitido más de 3800, tal como se muestra a continuación:</w:t>
      </w:r>
    </w:p>
    <w:p w:rsidR="00DD51FC" w:rsidRDefault="008C72DB">
      <w:pPr>
        <w:pBdr>
          <w:top w:val="nil"/>
          <w:left w:val="nil"/>
          <w:bottom w:val="nil"/>
          <w:right w:val="nil"/>
          <w:between w:val="nil"/>
        </w:pBdr>
        <w:spacing w:line="360" w:lineRule="auto"/>
        <w:ind w:right="-989"/>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0" distR="0">
            <wp:extent cx="3675803" cy="1645335"/>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3675803" cy="1645335"/>
                    </a:xfrm>
                    <a:prstGeom prst="rect">
                      <a:avLst/>
                    </a:prstGeom>
                    <a:ln/>
                  </pic:spPr>
                </pic:pic>
              </a:graphicData>
            </a:graphic>
          </wp:inline>
        </w:drawing>
      </w:r>
    </w:p>
    <w:p w:rsidR="00DD51FC" w:rsidRDefault="008C72DB">
      <w:pPr>
        <w:spacing w:line="360" w:lineRule="auto"/>
        <w:ind w:right="-989"/>
        <w:jc w:val="center"/>
        <w:rPr>
          <w:rFonts w:ascii="Palatino Linotype" w:eastAsia="Palatino Linotype" w:hAnsi="Palatino Linotype" w:cs="Palatino Linotype"/>
          <w:color w:val="000000"/>
        </w:rPr>
      </w:pPr>
      <w:r>
        <w:rPr>
          <w:rFonts w:ascii="Palatino Linotype" w:eastAsia="Palatino Linotype" w:hAnsi="Palatino Linotype" w:cs="Palatino Linotype"/>
          <w:noProof/>
          <w:lang w:val="es-MX"/>
        </w:rPr>
        <w:drawing>
          <wp:inline distT="0" distB="0" distL="0" distR="0">
            <wp:extent cx="3968307" cy="1991337"/>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3968307" cy="1991337"/>
                    </a:xfrm>
                    <a:prstGeom prst="rect">
                      <a:avLst/>
                    </a:prstGeom>
                    <a:ln/>
                  </pic:spPr>
                </pic:pic>
              </a:graphicData>
            </a:graphic>
          </wp:inline>
        </w:drawing>
      </w:r>
    </w:p>
    <w:p w:rsidR="00DD51FC" w:rsidRDefault="00DD51FC">
      <w:pPr>
        <w:pBdr>
          <w:top w:val="nil"/>
          <w:left w:val="nil"/>
          <w:bottom w:val="nil"/>
          <w:right w:val="nil"/>
          <w:between w:val="nil"/>
        </w:pBdr>
        <w:spacing w:line="360" w:lineRule="auto"/>
        <w:ind w:left="2629"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lo que es claro que durante los meses de abril y septiembre de dos mil veinticinco, se emitieron menos de 3000 oficios; por lo que, este Instituto no tiene certeza de que forma la información peticionada por el particular, las 85, 120 fojas; así como las 64, 800 fojas, referidas por el SUJETO </w:t>
      </w:r>
      <w:r>
        <w:rPr>
          <w:rFonts w:ascii="Palatino Linotype" w:eastAsia="Palatino Linotype" w:hAnsi="Palatino Linotype" w:cs="Palatino Linotype"/>
        </w:rPr>
        <w:t>OBLIGADO</w:t>
      </w:r>
      <w:r>
        <w:rPr>
          <w:rFonts w:ascii="Palatino Linotype" w:eastAsia="Palatino Linotype" w:hAnsi="Palatino Linotype" w:cs="Palatino Linotype"/>
          <w:color w:val="000000"/>
        </w:rPr>
        <w:t>, cuando únicamente se requieren oficios, sin contar sus anexos, así como, de meses en específico, no de todo un año o varios años, sino únicamente abril y septiembre de dos mil veinticinco.</w:t>
      </w:r>
    </w:p>
    <w:p w:rsidR="00DD51FC" w:rsidRDefault="00DD51FC">
      <w:pP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Conforme a lo anterior, se considera que, para atender el requerimiento de información, el Sujeto Obligado deberá realizar una búsqueda exhaustiva y razonable en los archivos de la Dirección General de </w:t>
      </w:r>
      <w:r>
        <w:rPr>
          <w:rFonts w:ascii="Palatino Linotype" w:eastAsia="Palatino Linotype" w:hAnsi="Palatino Linotype" w:cs="Palatino Linotype"/>
        </w:rPr>
        <w:t>Administración</w:t>
      </w:r>
      <w:r>
        <w:rPr>
          <w:rFonts w:ascii="Palatino Linotype" w:eastAsia="Palatino Linotype" w:hAnsi="Palatino Linotype" w:cs="Palatino Linotype"/>
          <w:color w:val="000000"/>
        </w:rPr>
        <w:t xml:space="preserve"> a efecto de que proporcione los oficios solicitados; 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rsidR="00DD51FC" w:rsidRDefault="00DD51FC">
      <w:pP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esta manera, el derecho de acceso a la información pública se satisface en aquellos casos en que se entregue el soporte documental en el que conste la información solicitada, sin necesidad de elaborar documentos </w:t>
      </w:r>
      <w:r>
        <w:rPr>
          <w:rFonts w:ascii="Palatino Linotype" w:eastAsia="Palatino Linotype" w:hAnsi="Palatino Linotype" w:cs="Palatino Linotype"/>
          <w:i/>
          <w:iCs/>
          <w:color w:val="000000"/>
        </w:rPr>
        <w:t>ad hoc</w:t>
      </w:r>
      <w:r>
        <w:rPr>
          <w:rFonts w:ascii="Palatino Linotype" w:eastAsia="Palatino Linotype" w:hAnsi="Palatino Linotype" w:cs="Palatino Linotype"/>
          <w:color w:val="000000"/>
        </w:rPr>
        <w:t>, situación que toma sustento en el artículo 160 de la Ley de Transparencia y Acceso a la Información Pública del Estado de México y Municipios, el cual refiere que los sujetos obligados únicamente deberán entregar la información que obre en sus archivos.</w:t>
      </w:r>
    </w:p>
    <w:p w:rsidR="00DD51FC" w:rsidRDefault="00DD51FC">
      <w:pPr>
        <w:pBdr>
          <w:top w:val="nil"/>
          <w:left w:val="nil"/>
          <w:bottom w:val="nil"/>
          <w:right w:val="nil"/>
          <w:between w:val="nil"/>
        </w:pBdr>
        <w:spacing w:line="360" w:lineRule="auto"/>
        <w:ind w:left="2629" w:right="-989"/>
        <w:jc w:val="both"/>
        <w:rPr>
          <w:rFonts w:ascii="Palatino Linotype" w:eastAsia="Palatino Linotype" w:hAnsi="Palatino Linotype" w:cs="Palatino Linotype"/>
        </w:rPr>
      </w:pPr>
    </w:p>
    <w:p w:rsidR="00DD51FC" w:rsidRDefault="008C72DB">
      <w:pPr>
        <w:numPr>
          <w:ilvl w:val="0"/>
          <w:numId w:val="4"/>
        </w:numP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proporcionar lo requerido.</w:t>
      </w:r>
    </w:p>
    <w:p w:rsidR="00DD51FC" w:rsidRDefault="00DD51FC">
      <w:pP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Para el caso, de que alguno de los oficios haya sido cancelado, deberá hacerlo del conocimiento de la parte Recurrente de manera clara y precisa, en términos del artículo 19, </w:t>
      </w:r>
      <w:r>
        <w:rPr>
          <w:rFonts w:ascii="Palatino Linotype" w:eastAsia="Palatino Linotype" w:hAnsi="Palatino Linotype" w:cs="Palatino Linotype"/>
          <w:color w:val="000000"/>
        </w:rPr>
        <w:lastRenderedPageBreak/>
        <w:t>párrafo segundo de la Ley de Transparencia y Acceso a la Información Pública del Estado de México y Municipios.</w:t>
      </w:r>
    </w:p>
    <w:p w:rsidR="00DD51FC" w:rsidRDefault="00DD51FC">
      <w:pP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Derivado de todo lo anteriormente señalado, al no fundar y motivar el cambio de entrega de la información resulta dable ordenar la entrega de la información vía SAIMEX, de ser el caso de que la información que se </w:t>
      </w:r>
      <w:r>
        <w:rPr>
          <w:rFonts w:ascii="Palatino Linotype" w:eastAsia="Palatino Linotype" w:hAnsi="Palatino Linotype" w:cs="Palatino Linotype"/>
          <w:b/>
          <w:bCs/>
          <w:color w:val="000000"/>
        </w:rPr>
        <w:t xml:space="preserve">ORDENA </w:t>
      </w:r>
      <w:r>
        <w:rPr>
          <w:rFonts w:ascii="Palatino Linotype" w:eastAsia="Palatino Linotype" w:hAnsi="Palatino Linotype" w:cs="Palatino Linotype"/>
          <w:color w:val="000000"/>
        </w:rPr>
        <w:t xml:space="preserve">entregar contenga datos personales susceptibles de clasificarse como confidenciales,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estará a lo dispuesto en el Considerando que más adelante se enuncia.</w:t>
      </w:r>
    </w:p>
    <w:p w:rsidR="00DD51FC" w:rsidRDefault="00DD51FC">
      <w:pPr>
        <w:tabs>
          <w:tab w:val="left" w:pos="284"/>
        </w:tabs>
        <w:spacing w:line="360" w:lineRule="auto"/>
        <w:ind w:right="-989"/>
        <w:jc w:val="both"/>
        <w:rPr>
          <w:rFonts w:ascii="Palatino Linotype" w:eastAsia="Palatino Linotype" w:hAnsi="Palatino Linotype" w:cs="Palatino Linotype"/>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 la determinación a la que se arriba se concluye que quedará por colmado el Derecho de Acceso a la Información Pública del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el cual se define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color w:val="000000"/>
          <w:vertAlign w:val="superscript"/>
        </w:rPr>
        <w:footnoteReference w:id="3"/>
      </w:r>
      <w:r>
        <w:rPr>
          <w:rFonts w:ascii="Palatino Linotype" w:eastAsia="Palatino Linotype" w:hAnsi="Palatino Linotype" w:cs="Palatino Linotype"/>
          <w:i/>
          <w:iCs/>
          <w:color w:val="000000"/>
        </w:rPr>
        <w:t xml:space="preserve">en posesión de cualquier autoridad, entidad, órgano y organismo de los poderes Ejecutivo, Legislativo y Judicial, órganos autónomos, partidos políticos, fideicomisos y fondos públicos, así como de cualquier persona </w:t>
      </w:r>
      <w:r>
        <w:rPr>
          <w:rFonts w:ascii="Palatino Linotype" w:eastAsia="Palatino Linotype" w:hAnsi="Palatino Linotype" w:cs="Palatino Linotype"/>
          <w:color w:val="000000"/>
        </w:rPr>
        <w:t>física</w:t>
      </w:r>
      <w:r>
        <w:rPr>
          <w:rFonts w:ascii="Palatino Linotype" w:eastAsia="Palatino Linotype" w:hAnsi="Palatino Linotype" w:cs="Palatino Linotype"/>
          <w:i/>
          <w:iCs/>
          <w:color w:val="000000"/>
        </w:rPr>
        <w:t>, moral o sindicato que reciba y ejerza recursos públicos o realice actos de autoridad en el ámbito federal, estatal y municipal,</w:t>
      </w:r>
      <w:r>
        <w:rPr>
          <w:rFonts w:ascii="Palatino Linotype" w:eastAsia="Palatino Linotype" w:hAnsi="Palatino Linotype" w:cs="Palatino Linotype"/>
          <w:i/>
          <w:iCs/>
          <w:color w:val="000000"/>
          <w:vertAlign w:val="superscript"/>
        </w:rPr>
        <w:footnoteReference w:id="4"/>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color w:val="000000"/>
          <w:vertAlign w:val="superscript"/>
        </w:rPr>
        <w:footnoteReference w:id="5"/>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w:t>
      </w:r>
      <w:r>
        <w:rPr>
          <w:rFonts w:ascii="Palatino Linotype" w:eastAsia="Palatino Linotype" w:hAnsi="Palatino Linotype" w:cs="Palatino Linotype"/>
          <w:i/>
          <w:iCs/>
          <w:color w:val="000000"/>
        </w:rPr>
        <w:lastRenderedPageBreak/>
        <w:t>pública,</w:t>
      </w:r>
      <w:r>
        <w:rPr>
          <w:rFonts w:ascii="Palatino Linotype" w:eastAsia="Palatino Linotype" w:hAnsi="Palatino Linotype" w:cs="Palatino Linotype"/>
          <w:i/>
          <w:iCs/>
          <w:color w:val="000000"/>
          <w:vertAlign w:val="superscript"/>
        </w:rPr>
        <w:footnoteReference w:id="6"/>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DD51FC" w:rsidRDefault="00DD51FC">
      <w:pPr>
        <w:tabs>
          <w:tab w:val="left" w:pos="284"/>
        </w:tabs>
        <w:spacing w:line="360" w:lineRule="auto"/>
        <w:ind w:right="-989"/>
        <w:rPr>
          <w:rFonts w:ascii="Palatino Linotype" w:eastAsia="Palatino Linotype" w:hAnsi="Palatino Linotype" w:cs="Palatino Linotype"/>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 xml:space="preserve">Se deduce que el derecho de acceso a la información pública es un derecho humano constitucionalmente reconocido, en consecuencia, todas las autoridades en el ámbito de sus competencias, funciones y atribuciones tienen la obligación de respetarlo, protegerlo y </w:t>
      </w:r>
      <w:r>
        <w:rPr>
          <w:rFonts w:ascii="Palatino Linotype" w:eastAsia="Palatino Linotype" w:hAnsi="Palatino Linotype" w:cs="Palatino Linotype"/>
        </w:rPr>
        <w:t>garantizar</w:t>
      </w:r>
      <w:r>
        <w:rPr>
          <w:rFonts w:ascii="Palatino Linotype" w:eastAsia="Palatino Linotype" w:hAnsi="Palatino Linotype" w:cs="Palatino Linotype"/>
          <w:color w:val="000000"/>
        </w:rPr>
        <w:t>.</w:t>
      </w:r>
    </w:p>
    <w:p w:rsidR="00DD51FC" w:rsidRDefault="008C72DB">
      <w:pPr>
        <w:tabs>
          <w:tab w:val="left" w:pos="284"/>
        </w:tabs>
        <w:spacing w:line="360" w:lineRule="auto"/>
        <w:ind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tal sentido, el derecho de acceso a la información constituye una garantía primaria, tal y como lo señala el artículo 150 de la Ley de Transparencia y Acceso a la Información del Estado de México y Municipios, que además, establece que se regirá </w:t>
      </w:r>
      <w:r>
        <w:rPr>
          <w:rFonts w:ascii="Palatino Linotype" w:eastAsia="Palatino Linotype" w:hAnsi="Palatino Linotype" w:cs="Palatino Linotype"/>
          <w:i/>
          <w:iCs/>
          <w:color w:val="000000"/>
        </w:rPr>
        <w:t>por los principios de simplicidad, rapidez gratuidad del procedimiento, auxilio y orientación a los particulares</w:t>
      </w:r>
      <w:r>
        <w:rPr>
          <w:rFonts w:ascii="Palatino Linotype" w:eastAsia="Palatino Linotype" w:hAnsi="Palatino Linotype" w:cs="Palatino Linotype"/>
          <w:color w:val="000000"/>
        </w:rPr>
        <w:t xml:space="preserve">, contemplando el derecho de las personas con discapacidad y hablantes de lengua indígena. </w:t>
      </w:r>
    </w:p>
    <w:p w:rsidR="00DD51FC" w:rsidRDefault="00DD51FC">
      <w:pPr>
        <w:tabs>
          <w:tab w:val="left" w:pos="284"/>
        </w:tabs>
        <w:spacing w:line="360" w:lineRule="auto"/>
        <w:ind w:right="-989"/>
        <w:jc w:val="both"/>
        <w:rPr>
          <w:rFonts w:ascii="Palatino Linotype" w:eastAsia="Palatino Linotype" w:hAnsi="Palatino Linotype" w:cs="Palatino Linotype"/>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así que la </w:t>
      </w:r>
      <w:r>
        <w:rPr>
          <w:rFonts w:ascii="Palatino Linotype" w:eastAsia="Palatino Linotype" w:hAnsi="Palatino Linotype" w:cs="Palatino Linotype"/>
          <w:b/>
          <w:bCs/>
          <w:color w:val="000000"/>
        </w:rPr>
        <w:t xml:space="preserve">Ley de Transparencia y Acceso a la Información Pública del Estado de México y Municipios, </w:t>
      </w:r>
      <w:r>
        <w:rPr>
          <w:rFonts w:ascii="Palatino Linotype" w:eastAsia="Palatino Linotype" w:hAnsi="Palatino Linotype" w:cs="Palatino Linotype"/>
          <w:color w:val="000000"/>
        </w:rPr>
        <w:t>cuyo objeto es establecer principios, bases generales y procedimientos para tutelar y garantizar la transparencia y el derecho humano de acceso a la información pública en posesión de los sujetos obligados; en su artículo 176</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establece que </w:t>
      </w:r>
      <w:r>
        <w:rPr>
          <w:rFonts w:ascii="Palatino Linotype" w:eastAsia="Palatino Linotype" w:hAnsi="Palatino Linotype" w:cs="Palatino Linotype"/>
          <w:b/>
          <w:bCs/>
          <w:i/>
          <w:iCs/>
          <w:color w:val="000000"/>
          <w:u w:val="single"/>
        </w:rPr>
        <w:t>el recurso de revisión es la garantía secundaria</w:t>
      </w:r>
      <w:r>
        <w:rPr>
          <w:rFonts w:ascii="Palatino Linotype" w:eastAsia="Palatino Linotype" w:hAnsi="Palatino Linotype" w:cs="Palatino Linotype"/>
          <w:b/>
          <w:bCs/>
          <w:i/>
          <w:iCs/>
          <w:color w:val="000000"/>
        </w:rPr>
        <w:t xml:space="preserve"> mediante la cual se pretende reparar cualquier posible afectación al derecho de acceso a la información pública</w:t>
      </w:r>
      <w:r>
        <w:rPr>
          <w:rFonts w:ascii="Palatino Linotype" w:eastAsia="Palatino Linotype" w:hAnsi="Palatino Linotype" w:cs="Palatino Linotype"/>
          <w:b/>
          <w:bCs/>
          <w:color w:val="000000"/>
        </w:rPr>
        <w:t>, s</w:t>
      </w:r>
      <w:r>
        <w:rPr>
          <w:rFonts w:ascii="Palatino Linotype" w:eastAsia="Palatino Linotype" w:hAnsi="Palatino Linotype" w:cs="Palatino Linotype"/>
          <w:color w:val="000000"/>
        </w:rPr>
        <w:t xml:space="preserve">iendo éste el medio a través del cual, este Órgano Garante después de realizar el análisis al procedimiento de acceso a la </w:t>
      </w:r>
      <w:r>
        <w:rPr>
          <w:rFonts w:ascii="Palatino Linotype" w:eastAsia="Palatino Linotype" w:hAnsi="Palatino Linotype" w:cs="Palatino Linotype"/>
          <w:color w:val="000000"/>
        </w:rPr>
        <w:lastRenderedPageBreak/>
        <w:t xml:space="preserve">información, podrá determinar la posible afectación y de ser el caso ordenar la reparación a la violación del derecho en cuestión.  </w:t>
      </w:r>
    </w:p>
    <w:p w:rsidR="00DD51FC" w:rsidRDefault="00DD51FC">
      <w:pPr>
        <w:pBdr>
          <w:top w:val="nil"/>
          <w:left w:val="nil"/>
          <w:bottom w:val="nil"/>
          <w:right w:val="nil"/>
          <w:between w:val="nil"/>
        </w:pBdr>
        <w:spacing w:line="360" w:lineRule="auto"/>
        <w:ind w:left="708" w:right="-989"/>
        <w:rPr>
          <w:rFonts w:ascii="Palatino Linotype" w:eastAsia="Palatino Linotype" w:hAnsi="Palatino Linotype" w:cs="Palatino Linotype"/>
          <w:b/>
          <w:bCs/>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Ahora bien,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DD51FC" w:rsidRDefault="008C72DB">
      <w:pPr>
        <w:spacing w:line="360" w:lineRule="auto"/>
        <w:ind w:left="567"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“CRITERIO 0002-11</w:t>
      </w:r>
    </w:p>
    <w:p w:rsidR="00DD51FC" w:rsidRDefault="008C72DB">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TEMÁTICA DE LOS ARTÍCULOS 2, FRACCIÓN V, XV, Y XVI, 3, 4,11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DD51FC" w:rsidRDefault="008C72DB">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DD51FC" w:rsidRDefault="008C72DB">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Que se trate de información registrada en cualquier soporte documental, que en ejercicio de las atribuciones conferidas, sea generada por los Sujetos Obligados;</w:t>
      </w:r>
    </w:p>
    <w:p w:rsidR="00DD51FC" w:rsidRDefault="008C72DB">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Que se trate de información registrada en cualquier soporte documental, que en ejercicio de las atribuciones conferidas, sea administrada por los Sujetos Obligados, y</w:t>
      </w:r>
    </w:p>
    <w:p w:rsidR="00DD51FC" w:rsidRDefault="008C72DB">
      <w:pPr>
        <w:spacing w:line="360" w:lineRule="auto"/>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rPr>
        <w:lastRenderedPageBreak/>
        <w:t>Que se trate de información registrada en cualquier soporte documental, que en ejercicio de las atribuciones conferidas, se encuentre en posesión de los Sujetos Obligados.”</w:t>
      </w:r>
    </w:p>
    <w:p w:rsidR="00DD51FC" w:rsidRDefault="00DD51FC">
      <w:pPr>
        <w:pBdr>
          <w:top w:val="nil"/>
          <w:left w:val="nil"/>
          <w:bottom w:val="nil"/>
          <w:right w:val="nil"/>
          <w:between w:val="nil"/>
        </w:pBdr>
        <w:tabs>
          <w:tab w:val="left" w:pos="851"/>
        </w:tabs>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DD51FC" w:rsidRDefault="008C72DB">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XI. Documento: </w:t>
      </w:r>
      <w:r>
        <w:rPr>
          <w:rFonts w:ascii="Palatino Linotype" w:eastAsia="Palatino Linotype" w:hAnsi="Palatino Linotype" w:cs="Palatino Linotype"/>
          <w:i/>
          <w:iCs/>
        </w:rPr>
        <w:t>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DD51FC" w:rsidRDefault="00DD51FC">
      <w:pPr>
        <w:pBdr>
          <w:top w:val="nil"/>
          <w:left w:val="nil"/>
          <w:bottom w:val="nil"/>
          <w:right w:val="nil"/>
          <w:between w:val="nil"/>
        </w:pBdr>
        <w:tabs>
          <w:tab w:val="left" w:pos="851"/>
        </w:tabs>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Pr>
          <w:rFonts w:ascii="Palatino Linotype" w:eastAsia="Palatino Linotype" w:hAnsi="Palatino Linotype" w:cs="Palatino Linotype"/>
          <w:b/>
          <w:bCs/>
          <w:color w:val="000000"/>
        </w:rPr>
        <w:t xml:space="preserve">los Sujetos Obligados deberán documentar todo acto que se derive del ejercicio de sus facultades, competencias </w:t>
      </w:r>
      <w:r>
        <w:rPr>
          <w:rFonts w:ascii="Palatino Linotype" w:eastAsia="Palatino Linotype" w:hAnsi="Palatino Linotype" w:cs="Palatino Linotype"/>
          <w:b/>
          <w:bCs/>
          <w:color w:val="000000"/>
        </w:rPr>
        <w:lastRenderedPageBreak/>
        <w:t>o funciones,</w:t>
      </w:r>
      <w:r>
        <w:rPr>
          <w:rFonts w:ascii="Palatino Linotype" w:eastAsia="Palatino Linotype" w:hAnsi="Palatino Linotype" w:cs="Palatino Linotype"/>
          <w:color w:val="000000"/>
        </w:rPr>
        <w:t xml:space="preserve"> considerando desde su origen la eventual publicidad y reutilización de la información que generen, posean o administren.</w:t>
      </w:r>
    </w:p>
    <w:p w:rsidR="00DD51FC" w:rsidRDefault="00DD51FC">
      <w:pPr>
        <w:pBdr>
          <w:top w:val="nil"/>
          <w:left w:val="nil"/>
          <w:bottom w:val="nil"/>
          <w:right w:val="nil"/>
          <w:between w:val="nil"/>
        </w:pBdr>
        <w:ind w:left="708"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DD51FC" w:rsidRDefault="008C72DB">
      <w:pPr>
        <w:spacing w:line="360" w:lineRule="auto"/>
        <w:ind w:left="567" w:right="-989"/>
        <w:jc w:val="both"/>
        <w:rPr>
          <w:rFonts w:ascii="Palatino Linotype" w:eastAsia="Palatino Linotype" w:hAnsi="Palatino Linotype" w:cs="Palatino Linotype"/>
          <w:i/>
          <w:iCs/>
        </w:rPr>
      </w:pPr>
      <w:bookmarkStart w:id="8" w:name="_heading=h.cytuyo79vekx" w:colFirst="0" w:colLast="0"/>
      <w:bookmarkEnd w:id="8"/>
      <w:r>
        <w:rPr>
          <w:rFonts w:ascii="Palatino Linotype" w:eastAsia="Palatino Linotype" w:hAnsi="Palatino Linotype" w:cs="Palatino Linotype"/>
          <w:b/>
          <w:bCs/>
          <w:i/>
          <w:iCs/>
        </w:rPr>
        <w:t xml:space="preserve">Artículo 4. </w:t>
      </w:r>
      <w:r>
        <w:rPr>
          <w:rFonts w:ascii="Palatino Linotype" w:eastAsia="Palatino Linotype" w:hAnsi="Palatino Linotype" w:cs="Palatino Linotype"/>
          <w:i/>
          <w:iCs/>
        </w:rPr>
        <w:t>El derecho humano de acceso a la información pública es la prerrogativa de las personas para buscar, difundir, investigar, recabar, recibir y solicitar información pública, sin necesidad de acreditar personalidad ni interés jurídico.</w:t>
      </w:r>
    </w:p>
    <w:p w:rsidR="00DD51FC" w:rsidRDefault="00DD51FC">
      <w:pPr>
        <w:spacing w:line="360" w:lineRule="auto"/>
        <w:ind w:left="567" w:right="-989"/>
        <w:jc w:val="both"/>
        <w:rPr>
          <w:rFonts w:ascii="Palatino Linotype" w:eastAsia="Palatino Linotype" w:hAnsi="Palatino Linotype" w:cs="Palatino Linotype"/>
          <w:i/>
          <w:iCs/>
        </w:rPr>
      </w:pPr>
    </w:p>
    <w:p w:rsidR="00DD51FC" w:rsidRDefault="008C72DB">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DD51FC" w:rsidRDefault="00DD51FC">
      <w:pPr>
        <w:spacing w:line="360" w:lineRule="auto"/>
        <w:ind w:left="567" w:right="-989"/>
        <w:jc w:val="both"/>
        <w:rPr>
          <w:rFonts w:ascii="Palatino Linotype" w:eastAsia="Palatino Linotype" w:hAnsi="Palatino Linotype" w:cs="Palatino Linotype"/>
          <w:i/>
          <w:iCs/>
        </w:rPr>
      </w:pPr>
    </w:p>
    <w:p w:rsidR="00DD51FC" w:rsidRDefault="008C72DB">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w:t>
      </w:r>
    </w:p>
    <w:p w:rsidR="00DD51FC" w:rsidRDefault="00DD51FC">
      <w:pPr>
        <w:spacing w:line="360" w:lineRule="auto"/>
        <w:ind w:left="567" w:right="-989"/>
        <w:jc w:val="both"/>
        <w:rPr>
          <w:rFonts w:ascii="Palatino Linotype" w:eastAsia="Palatino Linotype" w:hAnsi="Palatino Linotype" w:cs="Palatino Linotype"/>
          <w:i/>
          <w:iCs/>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Es así que, por un lado se tiene la obligación de documentar todos los actos que se lleven a cabo en el ejercicio de sus funciones, atribuciones y competencias, mientras que por </w:t>
      </w:r>
      <w:r>
        <w:rPr>
          <w:rFonts w:ascii="Palatino Linotype" w:eastAsia="Palatino Linotype" w:hAnsi="Palatino Linotype" w:cs="Palatino Linotype"/>
          <w:color w:val="000000"/>
        </w:rPr>
        <w:lastRenderedPageBreak/>
        <w:t>otro, se ven impuestos por la obligación de hacer pública toda aquella información que se encuentre en su posesión en estricto apego a los principios de eficacia</w:t>
      </w:r>
      <w:r>
        <w:rPr>
          <w:rFonts w:ascii="Palatino Linotype" w:eastAsia="Palatino Linotype" w:hAnsi="Palatino Linotype" w:cs="Palatino Linotype"/>
          <w:color w:val="000000"/>
          <w:vertAlign w:val="superscript"/>
        </w:rPr>
        <w:footnoteReference w:id="7"/>
      </w:r>
      <w:r>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cabe la posibilidad de que dentro de la información solicitada, se encuentren documentos que contengan información que actualicen alguna de las causales de reserva o confidencialidad establecidas en los artículos 140 y 143 de la Ley de la materia, como por ejemplo oficios relacionados con procedimientos administrativos en trámite, es decir, que el principio de definitividad no se haya actualizado, por aún existir instancias para su revisión o impugnación o en su caso que no haya causado estado, dicha información reviste el carácter de información reservada y, en este caso, se deberá emitir un acuerdo que clasifique como reservado el procedimiento sobre responsabilidad administrativa. </w:t>
      </w:r>
    </w:p>
    <w:p w:rsidR="00DD51FC" w:rsidRDefault="00DD51FC">
      <w:pPr>
        <w:pBdr>
          <w:top w:val="nil"/>
          <w:left w:val="nil"/>
          <w:bottom w:val="nil"/>
          <w:right w:val="nil"/>
          <w:between w:val="nil"/>
        </w:pBdr>
        <w:ind w:left="720"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lo anterior, es necesario citar el artículo 140 de la Ley de Transparencia y Acceso a la Información Pública del Estado de México y Municipios, el cual precisa que, la información pública será de acceso restringido cuando por razones de interés público, esta sea clasificada como reservada, conforme a los criterios siguientes: </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DD51FC" w:rsidRDefault="008C72DB">
      <w:pPr>
        <w:pBdr>
          <w:top w:val="nil"/>
          <w:left w:val="nil"/>
          <w:bottom w:val="nil"/>
          <w:right w:val="nil"/>
          <w:between w:val="nil"/>
        </w:pBdr>
        <w:spacing w:line="360" w:lineRule="auto"/>
        <w:ind w:left="567"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Pueda causar daño u obstruya la prevención o persecución de los delitos, altere el proceso de investigación de las carpetas de investigación, afecte o vulnere la conducción </w:t>
      </w:r>
      <w:r>
        <w:rPr>
          <w:rFonts w:ascii="Palatino Linotype" w:eastAsia="Palatino Linotype" w:hAnsi="Palatino Linotype" w:cs="Palatino Linotype"/>
          <w:color w:val="000000"/>
        </w:rPr>
        <w:lastRenderedPageBreak/>
        <w:t xml:space="preserve">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 </w:t>
      </w:r>
    </w:p>
    <w:p w:rsidR="00DD51FC" w:rsidRDefault="008C72DB">
      <w:pPr>
        <w:pBdr>
          <w:top w:val="nil"/>
          <w:left w:val="nil"/>
          <w:bottom w:val="nil"/>
          <w:right w:val="nil"/>
          <w:between w:val="nil"/>
        </w:pBdr>
        <w:spacing w:line="360" w:lineRule="auto"/>
        <w:ind w:left="567"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Vulnere la conducción de los expedientes judiciales o de los procedimientos administrativos seguidos en forma de juicio, en tanto no hayan quedado firmes. </w:t>
      </w:r>
    </w:p>
    <w:p w:rsidR="00DD51FC" w:rsidRDefault="008C72DB">
      <w:pPr>
        <w:pBdr>
          <w:top w:val="nil"/>
          <w:left w:val="nil"/>
          <w:bottom w:val="nil"/>
          <w:right w:val="nil"/>
          <w:between w:val="nil"/>
        </w:pBdr>
        <w:spacing w:line="360" w:lineRule="auto"/>
        <w:ind w:left="567"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sentido, cabe la posibilidad de que dentro de la información que se ordena, se encuentren documentos que contengan información que sí actualicen alguna de las causales de reserva o confidencialidad establecidas en los artículos 140 y 143 de la Ley de la materia, dicha información reviste el carácter de información reservada y en este caso, se deberá emitir un acuerdo que clasifique como reservado.</w:t>
      </w:r>
    </w:p>
    <w:p w:rsidR="00DD51FC" w:rsidRDefault="00DD51FC">
      <w:pPr>
        <w:keepNext/>
        <w:keepLines/>
        <w:spacing w:line="360" w:lineRule="auto"/>
        <w:ind w:right="-989"/>
        <w:rPr>
          <w:rFonts w:ascii="Palatino Linotype" w:eastAsia="Palatino Linotype" w:hAnsi="Palatino Linotype" w:cs="Palatino Linotype"/>
          <w:b/>
          <w:bCs/>
          <w:color w:val="000000"/>
        </w:rPr>
      </w:pPr>
      <w:bookmarkStart w:id="9" w:name="_heading=h.17dp8vu" w:colFirst="0" w:colLast="0"/>
      <w:bookmarkEnd w:id="9"/>
    </w:p>
    <w:p w:rsidR="00DD51FC" w:rsidRDefault="008C72DB">
      <w:pPr>
        <w:keepNext/>
        <w:keepLines/>
        <w:spacing w:line="360" w:lineRule="auto"/>
        <w:ind w:right="-98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DD51FC" w:rsidRDefault="008C72DB">
      <w:pPr>
        <w:keepNext/>
        <w:keepLines/>
        <w:numPr>
          <w:ilvl w:val="0"/>
          <w:numId w:val="10"/>
        </w:numPr>
        <w:tabs>
          <w:tab w:val="left" w:pos="284"/>
        </w:tabs>
        <w:spacing w:line="360" w:lineRule="auto"/>
        <w:ind w:right="-989"/>
        <w:rPr>
          <w:rFonts w:ascii="Palatino Linotype" w:eastAsia="Palatino Linotype" w:hAnsi="Palatino Linotype" w:cs="Palatino Linotype"/>
          <w:b/>
          <w:bCs/>
          <w:color w:val="000000"/>
        </w:rPr>
      </w:pPr>
      <w:bookmarkStart w:id="10" w:name="_heading=h.3rdcrjn" w:colFirst="0" w:colLast="0"/>
      <w:bookmarkEnd w:id="10"/>
      <w:r>
        <w:rPr>
          <w:rFonts w:ascii="Palatino Linotype" w:eastAsia="Palatino Linotype" w:hAnsi="Palatino Linotype" w:cs="Palatino Linotype"/>
          <w:b/>
          <w:bCs/>
          <w:color w:val="000000"/>
        </w:rPr>
        <w:t xml:space="preserve">Nociones generales. </w:t>
      </w: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Debe destacarse que,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w:t>
      </w:r>
      <w:r>
        <w:rPr>
          <w:rFonts w:ascii="Palatino Linotype" w:eastAsia="Palatino Linotype" w:hAnsi="Palatino Linotype" w:cs="Palatino Linotype"/>
          <w:color w:val="000000"/>
        </w:rPr>
        <w:lastRenderedPageBreak/>
        <w:t xml:space="preserve">hacer la adecuada versión pública, protegiendo los datos que no son susceptibles de ser proporcionados. </w:t>
      </w:r>
    </w:p>
    <w:p w:rsidR="00DD51FC" w:rsidRDefault="00DD51FC">
      <w:pPr>
        <w:tabs>
          <w:tab w:val="left" w:pos="0"/>
          <w:tab w:val="left" w:pos="284"/>
        </w:tabs>
        <w:spacing w:line="360" w:lineRule="auto"/>
        <w:ind w:right="-989"/>
        <w:jc w:val="both"/>
        <w:rPr>
          <w:rFonts w:ascii="Palatino Linotype" w:eastAsia="Palatino Linotype" w:hAnsi="Palatino Linotype" w:cs="Palatino Linotype"/>
          <w:b/>
          <w:bCs/>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DD51FC" w:rsidRDefault="00DD51FC">
      <w:pPr>
        <w:tabs>
          <w:tab w:val="left" w:pos="284"/>
        </w:tabs>
        <w:spacing w:line="360" w:lineRule="auto"/>
        <w:ind w:right="-989"/>
        <w:jc w:val="both"/>
        <w:rPr>
          <w:rFonts w:ascii="Palatino Linotype" w:eastAsia="Palatino Linotype" w:hAnsi="Palatino Linotype" w:cs="Palatino Linotype"/>
          <w:color w:val="000000"/>
        </w:rPr>
      </w:pPr>
    </w:p>
    <w:tbl>
      <w:tblPr>
        <w:tblStyle w:val="a"/>
        <w:tblW w:w="9825"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5"/>
        <w:gridCol w:w="7140"/>
      </w:tblGrid>
      <w:tr w:rsidR="00DD51FC">
        <w:tc>
          <w:tcPr>
            <w:tcW w:w="2685" w:type="dxa"/>
          </w:tcPr>
          <w:p w:rsidR="00DD51FC" w:rsidRDefault="008C72DB" w:rsidP="008A13AC">
            <w:pPr>
              <w:tabs>
                <w:tab w:val="left" w:pos="284"/>
              </w:tabs>
              <w:spacing w:line="360" w:lineRule="auto"/>
              <w:ind w:right="-97"/>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7140" w:type="dxa"/>
          </w:tcPr>
          <w:p w:rsidR="00DD51FC" w:rsidRDefault="008C72DB" w:rsidP="008A13A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DD51FC" w:rsidRDefault="008C72DB" w:rsidP="008A13A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DD51FC" w:rsidRDefault="008C72DB" w:rsidP="008A13A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DD51FC" w:rsidRDefault="008C72DB" w:rsidP="008A13AC">
            <w:pPr>
              <w:tabs>
                <w:tab w:val="left" w:pos="284"/>
              </w:tabs>
              <w:spacing w:line="360" w:lineRule="auto"/>
              <w:ind w:right="-97"/>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w:t>
            </w:r>
            <w:r>
              <w:rPr>
                <w:rFonts w:ascii="Palatino Linotype" w:eastAsia="Palatino Linotype" w:hAnsi="Palatino Linotype" w:cs="Palatino Linotype"/>
                <w:color w:val="000000"/>
              </w:rPr>
              <w:lastRenderedPageBreak/>
              <w:t>análisis y tampoco se puede hacer un acuerdo por cada dato que se vaya a clasificar dentro de un documento con diez datos, por ejemplo, susceptibles de ser clasificados.</w:t>
            </w:r>
          </w:p>
        </w:tc>
      </w:tr>
      <w:tr w:rsidR="00DD51FC">
        <w:tc>
          <w:tcPr>
            <w:tcW w:w="2685" w:type="dxa"/>
          </w:tcPr>
          <w:p w:rsidR="00DD51FC" w:rsidRDefault="008C72DB" w:rsidP="008A13AC">
            <w:pPr>
              <w:tabs>
                <w:tab w:val="left" w:pos="284"/>
              </w:tabs>
              <w:spacing w:line="360" w:lineRule="auto"/>
              <w:ind w:right="-97"/>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7140" w:type="dxa"/>
          </w:tcPr>
          <w:p w:rsidR="00DD51FC" w:rsidRDefault="008C72DB" w:rsidP="008A13A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DD51FC" w:rsidRDefault="008C72DB" w:rsidP="008A13A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DD51FC" w:rsidRDefault="008C72DB" w:rsidP="008A13AC">
            <w:pPr>
              <w:tabs>
                <w:tab w:val="left" w:pos="284"/>
              </w:tabs>
              <w:spacing w:line="360" w:lineRule="auto"/>
              <w:ind w:right="-97"/>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DD51FC">
        <w:tc>
          <w:tcPr>
            <w:tcW w:w="2685" w:type="dxa"/>
          </w:tcPr>
          <w:p w:rsidR="00DD51FC" w:rsidRDefault="008C72DB" w:rsidP="008A13AC">
            <w:pPr>
              <w:tabs>
                <w:tab w:val="left" w:pos="284"/>
              </w:tabs>
              <w:spacing w:line="360" w:lineRule="auto"/>
              <w:ind w:right="-97"/>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7140" w:type="dxa"/>
          </w:tcPr>
          <w:p w:rsidR="00DD51FC" w:rsidRDefault="008C72DB" w:rsidP="008A13A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DD51FC" w:rsidRDefault="008C72DB" w:rsidP="008A13A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DD51FC" w:rsidRDefault="008C72DB" w:rsidP="008A13AC">
            <w:pPr>
              <w:tabs>
                <w:tab w:val="left" w:pos="284"/>
              </w:tabs>
              <w:spacing w:line="360" w:lineRule="auto"/>
              <w:ind w:right="-97"/>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DD51FC">
        <w:tc>
          <w:tcPr>
            <w:tcW w:w="2685" w:type="dxa"/>
          </w:tcPr>
          <w:p w:rsidR="00DD51FC" w:rsidRDefault="00DD51FC" w:rsidP="008A13AC">
            <w:pPr>
              <w:tabs>
                <w:tab w:val="left" w:pos="284"/>
              </w:tabs>
              <w:spacing w:line="360" w:lineRule="auto"/>
              <w:ind w:right="-97"/>
              <w:rPr>
                <w:rFonts w:ascii="Palatino Linotype" w:eastAsia="Palatino Linotype" w:hAnsi="Palatino Linotype" w:cs="Palatino Linotype"/>
              </w:rPr>
            </w:pPr>
          </w:p>
          <w:p w:rsidR="00DD51FC" w:rsidRDefault="008C72DB" w:rsidP="008A13AC">
            <w:pPr>
              <w:tabs>
                <w:tab w:val="left" w:pos="284"/>
              </w:tabs>
              <w:spacing w:line="360" w:lineRule="auto"/>
              <w:ind w:right="-97"/>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7140" w:type="dxa"/>
          </w:tcPr>
          <w:p w:rsidR="00DD51FC" w:rsidRDefault="008C72DB" w:rsidP="008A13A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DD51FC" w:rsidRDefault="008C72DB" w:rsidP="008A13A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xml:space="preserve">, esto es determinar los datos que se suprimen en las </w:t>
            </w:r>
            <w:r>
              <w:rPr>
                <w:rFonts w:ascii="Palatino Linotype" w:eastAsia="Palatino Linotype" w:hAnsi="Palatino Linotype" w:cs="Palatino Linotype"/>
                <w:color w:val="000000"/>
              </w:rPr>
              <w:lastRenderedPageBreak/>
              <w:t>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DD51FC" w:rsidRDefault="008C72DB" w:rsidP="008A13A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DD51FC" w:rsidRDefault="008C72DB" w:rsidP="008A13A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DD51FC" w:rsidRDefault="008C72DB" w:rsidP="008A13A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DD51FC">
        <w:tc>
          <w:tcPr>
            <w:tcW w:w="2685" w:type="dxa"/>
          </w:tcPr>
          <w:p w:rsidR="00DD51FC" w:rsidRDefault="008C72DB" w:rsidP="008A13AC">
            <w:pPr>
              <w:tabs>
                <w:tab w:val="left" w:pos="284"/>
              </w:tabs>
              <w:spacing w:line="360" w:lineRule="auto"/>
              <w:ind w:right="-97"/>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7140" w:type="dxa"/>
          </w:tcPr>
          <w:p w:rsidR="00DD51FC" w:rsidRDefault="008C72DB" w:rsidP="008A13A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DD51FC" w:rsidRDefault="008C72DB" w:rsidP="008A13A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DD51FC" w:rsidRDefault="008C72DB" w:rsidP="008A13AC">
            <w:pPr>
              <w:tabs>
                <w:tab w:val="left" w:pos="284"/>
              </w:tabs>
              <w:spacing w:line="360" w:lineRule="auto"/>
              <w:ind w:right="-97"/>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DD51FC" w:rsidRDefault="00DD51FC">
      <w:pPr>
        <w:tabs>
          <w:tab w:val="left" w:pos="284"/>
        </w:tabs>
        <w:spacing w:line="360" w:lineRule="auto"/>
        <w:ind w:right="-989"/>
        <w:rPr>
          <w:rFonts w:ascii="Palatino Linotype" w:eastAsia="Palatino Linotype" w:hAnsi="Palatino Linotype" w:cs="Palatino Linotype"/>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p>
    <w:p w:rsidR="00DD51FC" w:rsidRDefault="008C72DB">
      <w:pPr>
        <w:numPr>
          <w:ilvl w:val="0"/>
          <w:numId w:val="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anteriormente expuesto, este Órgano Garante considera fundadas las razones o motivos de inconformidad que plantea el</w:t>
      </w:r>
      <w:r>
        <w:rPr>
          <w:rFonts w:ascii="Palatino Linotype" w:eastAsia="Palatino Linotype" w:hAnsi="Palatino Linotype" w:cs="Palatino Linotype"/>
          <w:b/>
          <w:bCs/>
          <w:color w:val="000000"/>
        </w:rPr>
        <w:t xml:space="preserve"> RECURRENTE</w:t>
      </w:r>
      <w:r>
        <w:rPr>
          <w:rFonts w:ascii="Palatino Linotype" w:eastAsia="Palatino Linotype" w:hAnsi="Palatino Linotype" w:cs="Palatino Linotype"/>
          <w:color w:val="000000"/>
        </w:rPr>
        <w:t xml:space="preserve">, determinando </w:t>
      </w:r>
      <w:r>
        <w:rPr>
          <w:rFonts w:ascii="Palatino Linotype" w:eastAsia="Palatino Linotype" w:hAnsi="Palatino Linotype" w:cs="Palatino Linotype"/>
          <w:b/>
          <w:bCs/>
          <w:color w:val="000000"/>
        </w:rPr>
        <w:t xml:space="preserve">REVOCAR </w:t>
      </w:r>
      <w:r>
        <w:rPr>
          <w:rFonts w:ascii="Palatino Linotype" w:eastAsia="Palatino Linotype" w:hAnsi="Palatino Linotype" w:cs="Palatino Linotype"/>
          <w:color w:val="000000"/>
        </w:rPr>
        <w:t xml:space="preserve">la respuesta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w:t>
      </w:r>
      <w:r>
        <w:rPr>
          <w:rFonts w:ascii="Palatino Linotype" w:eastAsia="Palatino Linotype" w:hAnsi="Palatino Linotype" w:cs="Palatino Linotype"/>
          <w:color w:val="000000"/>
        </w:rPr>
        <w:lastRenderedPageBreak/>
        <w:t xml:space="preserve">Constitución Política del Estado Libre y Soberano de México; 2, fracción II; 29, 36 fracciones I y II; 176, 178, 181, 185 de la Ley de Transparencia y Acceso a la Información Pública del Estado de México y Municipios,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DD51FC" w:rsidRDefault="008C72DB">
      <w:pPr>
        <w:pStyle w:val="Ttulo1"/>
        <w:spacing w:before="0" w:line="360" w:lineRule="auto"/>
        <w:ind w:right="-989"/>
        <w:jc w:val="center"/>
        <w:rPr>
          <w:b w:val="0"/>
          <w:bCs w:val="0"/>
        </w:rPr>
      </w:pPr>
      <w:r>
        <w:t>R E S O L U T I V O S</w:t>
      </w:r>
    </w:p>
    <w:p w:rsidR="00DD51FC" w:rsidRDefault="00DD51FC">
      <w:pPr>
        <w:spacing w:line="360" w:lineRule="auto"/>
        <w:ind w:right="-989"/>
        <w:rPr>
          <w:rFonts w:ascii="Palatino Linotype" w:eastAsia="Palatino Linotype" w:hAnsi="Palatino Linotype" w:cs="Palatino Linotype"/>
        </w:rPr>
      </w:pPr>
    </w:p>
    <w:p w:rsidR="00DD51FC" w:rsidRDefault="008C72DB">
      <w:pPr>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fundadas las razones o motivos de inconformidad hechos valer en los recursos de revisión </w:t>
      </w:r>
      <w:r>
        <w:rPr>
          <w:rFonts w:ascii="Palatino Linotype" w:eastAsia="Palatino Linotype" w:hAnsi="Palatino Linotype" w:cs="Palatino Linotype"/>
          <w:b/>
          <w:bCs/>
        </w:rPr>
        <w:t xml:space="preserve">01373/INFOEM/IP/RR/2026 y 01378/INFOEM/IP/RR/2026, </w:t>
      </w:r>
      <w:r>
        <w:rPr>
          <w:rFonts w:ascii="Palatino Linotype" w:eastAsia="Palatino Linotype" w:hAnsi="Palatino Linotype" w:cs="Palatino Linotype"/>
        </w:rPr>
        <w:t xml:space="preserve">en términos del Considerando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 xml:space="preserve">de la presente resolución. </w:t>
      </w:r>
    </w:p>
    <w:p w:rsidR="00DD51FC" w:rsidRDefault="00DD51FC">
      <w:pPr>
        <w:spacing w:line="360" w:lineRule="auto"/>
        <w:ind w:right="-989"/>
        <w:jc w:val="both"/>
        <w:rPr>
          <w:rFonts w:ascii="Palatino Linotype" w:eastAsia="Palatino Linotype" w:hAnsi="Palatino Linotype" w:cs="Palatino Linotype"/>
        </w:rPr>
      </w:pPr>
    </w:p>
    <w:p w:rsidR="00DD51FC" w:rsidRDefault="008C72DB">
      <w:pPr>
        <w:spacing w:line="360" w:lineRule="auto"/>
        <w:ind w:right="-989"/>
        <w:jc w:val="both"/>
        <w:rPr>
          <w:rFonts w:ascii="Palatino Linotype" w:eastAsia="Palatino Linotype" w:hAnsi="Palatino Linotype" w:cs="Palatino Linotype"/>
          <w:color w:val="000000"/>
        </w:rPr>
      </w:pPr>
      <w:bookmarkStart w:id="11" w:name="_heading=h.26in1rg" w:colFirst="0" w:colLast="0"/>
      <w:bookmarkEnd w:id="11"/>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REVOCAN </w:t>
      </w:r>
      <w:r>
        <w:rPr>
          <w:rFonts w:ascii="Palatino Linotype" w:eastAsia="Palatino Linotype" w:hAnsi="Palatino Linotype" w:cs="Palatino Linotype"/>
          <w:color w:val="000000"/>
        </w:rPr>
        <w:t xml:space="preserve">las respuestas emitidas por el </w:t>
      </w:r>
      <w:r>
        <w:rPr>
          <w:rFonts w:ascii="Palatino Linotype" w:eastAsia="Palatino Linotype" w:hAnsi="Palatino Linotype" w:cs="Palatino Linotype"/>
          <w:b/>
          <w:bCs/>
          <w:color w:val="000000"/>
        </w:rPr>
        <w:t>Ayuntamiento de Toluca,</w:t>
      </w:r>
      <w:r>
        <w:rPr>
          <w:rFonts w:ascii="Palatino Linotype" w:eastAsia="Palatino Linotype" w:hAnsi="Palatino Linotype" w:cs="Palatino Linotype"/>
          <w:color w:val="000000"/>
        </w:rPr>
        <w:t xml:space="preserve"> a las </w:t>
      </w:r>
      <w:r>
        <w:rPr>
          <w:rFonts w:ascii="Palatino Linotype" w:eastAsia="Palatino Linotype" w:hAnsi="Palatino Linotype" w:cs="Palatino Linotype"/>
        </w:rPr>
        <w:t>solicitudes de información pública registradas con los números</w:t>
      </w:r>
      <w:r>
        <w:rPr>
          <w:rFonts w:ascii="Palatino Linotype" w:eastAsia="Palatino Linotype" w:hAnsi="Palatino Linotype" w:cs="Palatino Linotype"/>
          <w:b/>
          <w:bCs/>
        </w:rPr>
        <w:t xml:space="preserve"> </w:t>
      </w:r>
      <w:r>
        <w:rPr>
          <w:rFonts w:ascii="Palatino Linotype" w:eastAsia="Palatino Linotype" w:hAnsi="Palatino Linotype" w:cs="Palatino Linotype"/>
          <w:b/>
          <w:bCs/>
          <w:color w:val="000000"/>
        </w:rPr>
        <w:t xml:space="preserve">00129/TOLUCA/IP/2026 y 00134/TOLUCA/IP/2026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en versión pública, la siguiente información:</w:t>
      </w:r>
    </w:p>
    <w:p w:rsidR="00DD51FC" w:rsidRDefault="00DD51FC">
      <w:pPr>
        <w:spacing w:line="360" w:lineRule="auto"/>
        <w:ind w:right="-989"/>
        <w:jc w:val="both"/>
        <w:rPr>
          <w:rFonts w:ascii="Palatino Linotype" w:eastAsia="Palatino Linotype" w:hAnsi="Palatino Linotype" w:cs="Palatino Linotype"/>
        </w:rPr>
      </w:pPr>
    </w:p>
    <w:p w:rsidR="00DD51FC" w:rsidRDefault="008C72DB">
      <w:pPr>
        <w:numPr>
          <w:ilvl w:val="0"/>
          <w:numId w:val="6"/>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Oficios recibidos y emitidos en la Dirección General de Administración; así como de sus áreas subordinadas del uno al treinta de abril y del uno al treinta de septiembre de dos mil veinticinco.</w:t>
      </w:r>
    </w:p>
    <w:p w:rsidR="00DD51FC" w:rsidRDefault="00DD51FC">
      <w:pPr>
        <w:pBdr>
          <w:top w:val="nil"/>
          <w:left w:val="nil"/>
          <w:bottom w:val="nil"/>
          <w:right w:val="nil"/>
          <w:between w:val="nil"/>
        </w:pBdr>
        <w:spacing w:line="360" w:lineRule="auto"/>
        <w:ind w:left="720" w:right="-989"/>
        <w:jc w:val="both"/>
        <w:rPr>
          <w:rFonts w:ascii="Palatino Linotype" w:eastAsia="Palatino Linotype" w:hAnsi="Palatino Linotype" w:cs="Palatino Linotype"/>
          <w:b/>
          <w:bCs/>
        </w:rPr>
      </w:pPr>
    </w:p>
    <w:p w:rsidR="00DD51FC" w:rsidRDefault="008C72DB">
      <w:pPr>
        <w:spacing w:line="360" w:lineRule="auto"/>
        <w:ind w:right="-989"/>
        <w:jc w:val="both"/>
        <w:rPr>
          <w:rFonts w:ascii="Palatino Linotype" w:eastAsia="Palatino Linotype" w:hAnsi="Palatino Linotype" w:cs="Palatino Linotype"/>
          <w:b/>
          <w:bCs/>
        </w:rPr>
      </w:pPr>
      <w:r>
        <w:rPr>
          <w:rFonts w:ascii="Palatino Linotype" w:eastAsia="Palatino Linotype" w:hAnsi="Palatino Linotype" w:cs="Palatino Linotype"/>
        </w:rPr>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w:t>
      </w:r>
      <w:r>
        <w:rPr>
          <w:rFonts w:ascii="Palatino Linotype" w:eastAsia="Palatino Linotype" w:hAnsi="Palatino Linotype" w:cs="Palatino Linotype"/>
        </w:rPr>
        <w:lastRenderedPageBreak/>
        <w:t xml:space="preserve">respectivo objeto de las versiones públicas que se formulen, y se pongan a disposición del </w:t>
      </w:r>
      <w:r>
        <w:rPr>
          <w:rFonts w:ascii="Palatino Linotype" w:eastAsia="Palatino Linotype" w:hAnsi="Palatino Linotype" w:cs="Palatino Linotype"/>
          <w:b/>
          <w:bCs/>
        </w:rPr>
        <w:t>RECURRENTE.</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bookmarkStart w:id="12" w:name="_heading=h.4d34og8" w:colFirst="0" w:colLast="0"/>
      <w:bookmarkEnd w:id="12"/>
    </w:p>
    <w:p w:rsidR="00DD51FC" w:rsidRDefault="008C72DB">
      <w:pP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Para el caso, de que, alguno de los oficios emitidos haya sido cancelados, deberá hacerlo del conocimiento de la parte Recurrente, de manera clara y precisa.</w:t>
      </w:r>
    </w:p>
    <w:p w:rsidR="00DD51FC" w:rsidRDefault="00DD51FC">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p>
    <w:p w:rsidR="00DD51FC" w:rsidRDefault="008C72DB">
      <w:pPr>
        <w:tabs>
          <w:tab w:val="left" w:pos="8080"/>
        </w:tabs>
        <w:spacing w:line="360" w:lineRule="auto"/>
        <w:ind w:right="-989"/>
        <w:jc w:val="both"/>
        <w:rPr>
          <w:rFonts w:ascii="Palatino Linotype" w:eastAsia="Palatino Linotype" w:hAnsi="Palatino Linotype" w:cs="Palatino Linotype"/>
          <w:b/>
          <w:bCs/>
        </w:rPr>
      </w:pPr>
      <w:bookmarkStart w:id="13" w:name="_heading=h.lnxbz9" w:colFirst="0" w:colLast="0"/>
      <w:bookmarkEnd w:id="13"/>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rPr>
        <w:t>dé cumplimiento a lo ordenado dentro del plazo de diez días hábiles,</w:t>
      </w:r>
      <w:r>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DD51FC" w:rsidRDefault="00DD51FC">
      <w:pPr>
        <w:tabs>
          <w:tab w:val="left" w:pos="8080"/>
        </w:tabs>
        <w:spacing w:line="360" w:lineRule="auto"/>
        <w:ind w:right="-989"/>
        <w:jc w:val="both"/>
        <w:rPr>
          <w:rFonts w:ascii="Palatino Linotype" w:eastAsia="Palatino Linotype" w:hAnsi="Palatino Linotype" w:cs="Palatino Linotype"/>
        </w:rPr>
      </w:pPr>
    </w:p>
    <w:p w:rsidR="00DD51FC" w:rsidRDefault="008C72DB">
      <w:pPr>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DD51FC" w:rsidRDefault="00DD51FC">
      <w:pPr>
        <w:spacing w:line="360" w:lineRule="auto"/>
        <w:ind w:right="-989"/>
        <w:jc w:val="both"/>
        <w:rPr>
          <w:rFonts w:ascii="Palatino Linotype" w:eastAsia="Palatino Linotype" w:hAnsi="Palatino Linotype" w:cs="Palatino Linotype"/>
        </w:rPr>
      </w:pPr>
    </w:p>
    <w:p w:rsidR="00DD51FC" w:rsidRDefault="008C72DB">
      <w:pPr>
        <w:tabs>
          <w:tab w:val="left" w:pos="8080"/>
        </w:tabs>
        <w:spacing w:line="360" w:lineRule="auto"/>
        <w:ind w:right="-989"/>
        <w:jc w:val="both"/>
        <w:rPr>
          <w:rFonts w:ascii="Palatino Linotype" w:eastAsia="Palatino Linotype" w:hAnsi="Palatino Linotype" w:cs="Palatino Linotype"/>
        </w:rPr>
      </w:pPr>
      <w:bookmarkStart w:id="14" w:name="_heading=h.35nkun2" w:colFirst="0" w:colLast="0"/>
      <w:bookmarkEnd w:id="14"/>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vía SAIMEX.</w:t>
      </w:r>
    </w:p>
    <w:p w:rsidR="00DD51FC" w:rsidRDefault="00DD51FC">
      <w:pPr>
        <w:tabs>
          <w:tab w:val="left" w:pos="8080"/>
        </w:tabs>
        <w:spacing w:line="360" w:lineRule="auto"/>
        <w:ind w:right="-989"/>
        <w:jc w:val="both"/>
        <w:rPr>
          <w:rFonts w:ascii="Palatino Linotype" w:eastAsia="Palatino Linotype" w:hAnsi="Palatino Linotype" w:cs="Palatino Linotype"/>
        </w:rPr>
      </w:pPr>
    </w:p>
    <w:p w:rsidR="00DD51FC" w:rsidRDefault="008C72DB">
      <w:pPr>
        <w:shd w:val="clear" w:color="auto" w:fill="FFFFFF"/>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SEXTO.</w:t>
      </w:r>
      <w:r>
        <w:rPr>
          <w:rFonts w:ascii="Palatino Linotype" w:eastAsia="Palatino Linotype" w:hAnsi="Palatino Linotype" w:cs="Palatino Linotype"/>
        </w:rPr>
        <w:t xml:space="preserve"> Se hace del conocimiento de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DD51FC" w:rsidRDefault="00DD51FC">
      <w:pPr>
        <w:shd w:val="clear" w:color="auto" w:fill="FFFFFF"/>
        <w:spacing w:line="360" w:lineRule="auto"/>
        <w:ind w:right="-989"/>
        <w:jc w:val="both"/>
        <w:rPr>
          <w:rFonts w:ascii="Palatino Linotype" w:eastAsia="Palatino Linotype" w:hAnsi="Palatino Linotype" w:cs="Palatino Linotype"/>
        </w:rPr>
      </w:pPr>
    </w:p>
    <w:p w:rsidR="00F916DC" w:rsidRPr="003E2295" w:rsidRDefault="00F916DC" w:rsidP="00F916DC">
      <w:pPr>
        <w:spacing w:before="240" w:after="240" w:line="360" w:lineRule="auto"/>
        <w:ind w:right="-992" w:firstLine="1"/>
        <w:jc w:val="both"/>
        <w:rPr>
          <w:rFonts w:ascii="Palatino Linotype" w:hAnsi="Palatino Linotype"/>
        </w:rPr>
      </w:pPr>
      <w:bookmarkStart w:id="15"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5"/>
    <w:p w:rsidR="00DD51FC" w:rsidRDefault="00DD51FC" w:rsidP="00F916DC">
      <w:pPr>
        <w:spacing w:before="240" w:after="240" w:line="360" w:lineRule="auto"/>
        <w:ind w:right="-992" w:firstLine="1"/>
        <w:jc w:val="both"/>
        <w:rPr>
          <w:rFonts w:ascii="Palatino Linotype" w:eastAsia="Palatino Linotype" w:hAnsi="Palatino Linotype" w:cs="Palatino Linotype"/>
        </w:rPr>
      </w:pPr>
    </w:p>
    <w:p w:rsidR="008A13AC" w:rsidRDefault="008A13AC" w:rsidP="00F916DC">
      <w:pPr>
        <w:spacing w:before="240" w:after="240" w:line="360" w:lineRule="auto"/>
        <w:ind w:right="-992" w:firstLine="1"/>
        <w:jc w:val="both"/>
        <w:rPr>
          <w:rFonts w:ascii="Palatino Linotype" w:eastAsia="Palatino Linotype" w:hAnsi="Palatino Linotype" w:cs="Palatino Linotype"/>
        </w:rPr>
      </w:pPr>
    </w:p>
    <w:p w:rsidR="008A13AC" w:rsidRDefault="008A13AC" w:rsidP="00F916DC">
      <w:pPr>
        <w:spacing w:before="240" w:after="240" w:line="360" w:lineRule="auto"/>
        <w:ind w:right="-992" w:firstLine="1"/>
        <w:jc w:val="both"/>
        <w:rPr>
          <w:rFonts w:ascii="Palatino Linotype" w:eastAsia="Palatino Linotype" w:hAnsi="Palatino Linotype" w:cs="Palatino Linotype"/>
        </w:rPr>
      </w:pPr>
    </w:p>
    <w:p w:rsidR="008A13AC" w:rsidRDefault="008A13AC" w:rsidP="00F916DC">
      <w:pPr>
        <w:spacing w:before="240" w:after="240" w:line="360" w:lineRule="auto"/>
        <w:ind w:right="-992" w:firstLine="1"/>
        <w:jc w:val="both"/>
        <w:rPr>
          <w:rFonts w:ascii="Palatino Linotype" w:eastAsia="Palatino Linotype" w:hAnsi="Palatino Linotype" w:cs="Palatino Linotype"/>
        </w:rPr>
      </w:pPr>
    </w:p>
    <w:p w:rsidR="008A13AC" w:rsidRDefault="008A13AC" w:rsidP="00F916DC">
      <w:pPr>
        <w:spacing w:before="240" w:after="240" w:line="360" w:lineRule="auto"/>
        <w:ind w:right="-992" w:firstLine="1"/>
        <w:jc w:val="both"/>
        <w:rPr>
          <w:rFonts w:ascii="Palatino Linotype" w:eastAsia="Palatino Linotype" w:hAnsi="Palatino Linotype" w:cs="Palatino Linotype"/>
        </w:rPr>
      </w:pPr>
    </w:p>
    <w:p w:rsidR="008A13AC" w:rsidRDefault="008A13AC" w:rsidP="00F916DC">
      <w:pPr>
        <w:spacing w:before="240" w:after="240" w:line="360" w:lineRule="auto"/>
        <w:ind w:right="-992" w:firstLine="1"/>
        <w:jc w:val="both"/>
        <w:rPr>
          <w:rFonts w:ascii="Palatino Linotype" w:eastAsia="Palatino Linotype" w:hAnsi="Palatino Linotype" w:cs="Palatino Linotype"/>
        </w:rPr>
      </w:pPr>
    </w:p>
    <w:p w:rsidR="008A13AC" w:rsidRDefault="008A13AC" w:rsidP="00F916DC">
      <w:pPr>
        <w:spacing w:before="240" w:after="240" w:line="360" w:lineRule="auto"/>
        <w:ind w:right="-992" w:firstLine="1"/>
        <w:jc w:val="both"/>
        <w:rPr>
          <w:rFonts w:ascii="Palatino Linotype" w:eastAsia="Palatino Linotype" w:hAnsi="Palatino Linotype" w:cs="Palatino Linotype"/>
        </w:rPr>
      </w:pPr>
    </w:p>
    <w:p w:rsidR="008A13AC" w:rsidRDefault="008A13AC" w:rsidP="00F916DC">
      <w:pPr>
        <w:spacing w:before="240" w:after="240" w:line="360" w:lineRule="auto"/>
        <w:ind w:right="-992" w:firstLine="1"/>
        <w:jc w:val="both"/>
        <w:rPr>
          <w:rFonts w:ascii="Palatino Linotype" w:eastAsia="Palatino Linotype" w:hAnsi="Palatino Linotype" w:cs="Palatino Linotype"/>
        </w:rPr>
      </w:pPr>
    </w:p>
    <w:p w:rsidR="008A13AC" w:rsidRDefault="008A13AC" w:rsidP="00F916DC">
      <w:pPr>
        <w:spacing w:before="240" w:after="240" w:line="360" w:lineRule="auto"/>
        <w:ind w:right="-992" w:firstLine="1"/>
        <w:jc w:val="both"/>
        <w:rPr>
          <w:rFonts w:ascii="Palatino Linotype" w:eastAsia="Palatino Linotype" w:hAnsi="Palatino Linotype" w:cs="Palatino Linotype"/>
        </w:rPr>
      </w:pPr>
    </w:p>
    <w:p w:rsidR="00DD51FC" w:rsidRDefault="00DD51FC">
      <w:pPr>
        <w:spacing w:before="240" w:after="240" w:line="360" w:lineRule="auto"/>
        <w:ind w:right="-989" w:firstLine="1"/>
        <w:jc w:val="both"/>
        <w:rPr>
          <w:rFonts w:ascii="Palatino Linotype" w:eastAsia="Palatino Linotype" w:hAnsi="Palatino Linotype" w:cs="Palatino Linotype"/>
        </w:rPr>
      </w:pPr>
    </w:p>
    <w:p w:rsidR="00DD51FC" w:rsidRDefault="00DD51FC">
      <w:pPr>
        <w:spacing w:before="240" w:after="240" w:line="360" w:lineRule="auto"/>
        <w:ind w:right="-989" w:firstLine="1"/>
        <w:jc w:val="both"/>
        <w:rPr>
          <w:rFonts w:ascii="Palatino Linotype" w:eastAsia="Palatino Linotype" w:hAnsi="Palatino Linotype" w:cs="Palatino Linotype"/>
        </w:rPr>
      </w:pPr>
    </w:p>
    <w:p w:rsidR="00DD51FC" w:rsidRDefault="00DD51FC">
      <w:pPr>
        <w:spacing w:before="240" w:after="240" w:line="360" w:lineRule="auto"/>
        <w:ind w:right="-989" w:firstLine="1"/>
        <w:jc w:val="both"/>
        <w:rPr>
          <w:rFonts w:ascii="Palatino Linotype" w:eastAsia="Palatino Linotype" w:hAnsi="Palatino Linotype" w:cs="Palatino Linotype"/>
        </w:rPr>
      </w:pPr>
    </w:p>
    <w:p w:rsidR="00DD51FC" w:rsidRDefault="00DD51FC">
      <w:pPr>
        <w:spacing w:line="360" w:lineRule="auto"/>
        <w:ind w:right="-989"/>
        <w:jc w:val="both"/>
        <w:rPr>
          <w:rFonts w:ascii="Palatino Linotype" w:eastAsia="Palatino Linotype" w:hAnsi="Palatino Linotype" w:cs="Palatino Linotype"/>
        </w:rPr>
      </w:pPr>
    </w:p>
    <w:p w:rsidR="00DD51FC" w:rsidRDefault="00DD51FC">
      <w:pPr>
        <w:pStyle w:val="Ttulo2"/>
        <w:spacing w:before="0" w:line="360" w:lineRule="auto"/>
        <w:ind w:right="-989"/>
      </w:pPr>
    </w:p>
    <w:sectPr w:rsidR="00DD51FC">
      <w:headerReference w:type="default" r:id="rId16"/>
      <w:footerReference w:type="default" r:id="rId17"/>
      <w:headerReference w:type="first" r:id="rId18"/>
      <w:footerReference w:type="first" r:id="rId19"/>
      <w:pgSz w:w="12240" w:h="15840"/>
      <w:pgMar w:top="1691" w:right="1750"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CBC" w:rsidRDefault="009C4CBC">
      <w:r>
        <w:separator/>
      </w:r>
    </w:p>
  </w:endnote>
  <w:endnote w:type="continuationSeparator" w:id="0">
    <w:p w:rsidR="009C4CBC" w:rsidRDefault="009C4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17C93836-D7A0-4445-95BA-1AE359C5CE00}"/>
    <w:embedBold r:id="rId2" w:fontKey="{F02C024A-D9A3-4D8A-A856-BBE814BACC6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3" w:fontKey="{C0084E3A-1711-407E-AB58-F4A530324FE8}"/>
    <w:embedBold r:id="rId4" w:fontKey="{7B6BA478-D824-4E77-B16A-D61572003071}"/>
    <w:embedItalic r:id="rId5" w:fontKey="{82F88E46-0A8D-42CC-8F3B-F2DC6DC342CA}"/>
    <w:embedBoldItalic r:id="rId6" w:fontKey="{72AE8DE5-1AE5-4954-9AB3-677840B8705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9B5A469A-48F7-457C-ADCE-BBD1C26D6B2F}"/>
    <w:embedBold r:id="rId8" w:fontKey="{358C8D03-2964-4990-A3D5-173907CEE282}"/>
  </w:font>
  <w:font w:name="Calibri">
    <w:panose1 w:val="020F0502020204030204"/>
    <w:charset w:val="00"/>
    <w:family w:val="swiss"/>
    <w:pitch w:val="variable"/>
    <w:sig w:usb0="E4002EFF" w:usb1="C200247B" w:usb2="00000009" w:usb3="00000000" w:csb0="000001FF" w:csb1="00000000"/>
    <w:embedRegular r:id="rId9" w:fontKey="{AC1DB751-76E2-419B-B343-C92B7A23BE41}"/>
    <w:embedItalic r:id="rId10" w:fontKey="{C0961AD5-53DE-45C3-B30D-3F07650017E1}"/>
  </w:font>
  <w:font w:name="Georgia">
    <w:panose1 w:val="02040502050405020303"/>
    <w:charset w:val="00"/>
    <w:family w:val="roman"/>
    <w:pitch w:val="variable"/>
    <w:sig w:usb0="00000287" w:usb1="00000000" w:usb2="00000000" w:usb3="00000000" w:csb0="0000009F" w:csb1="00000000"/>
    <w:embedItalic r:id="rId11" w:fontKey="{DB41CC12-5958-40CF-BB1A-8A649097B14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1FC" w:rsidRDefault="008C72DB">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F820D8">
      <w:rPr>
        <w:rFonts w:ascii="Palatino Linotype" w:eastAsia="Palatino Linotype" w:hAnsi="Palatino Linotype" w:cs="Palatino Linotype"/>
        <w:b/>
        <w:bCs/>
        <w:noProof/>
        <w:color w:val="000000"/>
        <w:sz w:val="22"/>
        <w:szCs w:val="22"/>
      </w:rPr>
      <w:t>22</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F820D8">
      <w:rPr>
        <w:rFonts w:ascii="Palatino Linotype" w:eastAsia="Palatino Linotype" w:hAnsi="Palatino Linotype" w:cs="Palatino Linotype"/>
        <w:b/>
        <w:bCs/>
        <w:noProof/>
        <w:color w:val="000000"/>
        <w:sz w:val="22"/>
        <w:szCs w:val="22"/>
      </w:rPr>
      <w:t>50</w:t>
    </w:r>
    <w:r>
      <w:rPr>
        <w:rFonts w:ascii="Palatino Linotype" w:eastAsia="Palatino Linotype" w:hAnsi="Palatino Linotype" w:cs="Palatino Linotype"/>
        <w:b/>
        <w:bCs/>
        <w:color w:val="000000"/>
        <w:sz w:val="22"/>
        <w:szCs w:val="22"/>
      </w:rPr>
      <w:fldChar w:fldCharType="end"/>
    </w:r>
  </w:p>
  <w:p w:rsidR="00DD51FC" w:rsidRDefault="00DD51FC">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rsidR="00DD51FC" w:rsidRDefault="00DD51F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1FC" w:rsidRDefault="008C72DB">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F820D8">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F820D8">
      <w:rPr>
        <w:rFonts w:ascii="Palatino Linotype" w:eastAsia="Palatino Linotype" w:hAnsi="Palatino Linotype" w:cs="Palatino Linotype"/>
        <w:noProof/>
        <w:color w:val="000000"/>
        <w:sz w:val="22"/>
        <w:szCs w:val="22"/>
      </w:rPr>
      <w:t>50</w:t>
    </w:r>
    <w:r>
      <w:rPr>
        <w:rFonts w:ascii="Palatino Linotype" w:eastAsia="Palatino Linotype" w:hAnsi="Palatino Linotype" w:cs="Palatino Linotype"/>
        <w:color w:val="000000"/>
        <w:sz w:val="22"/>
        <w:szCs w:val="22"/>
      </w:rPr>
      <w:fldChar w:fldCharType="end"/>
    </w:r>
  </w:p>
  <w:p w:rsidR="00DD51FC" w:rsidRDefault="00DD51FC">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rsidR="00DD51FC" w:rsidRDefault="00DD51F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CBC" w:rsidRDefault="009C4CBC">
      <w:r>
        <w:separator/>
      </w:r>
    </w:p>
  </w:footnote>
  <w:footnote w:type="continuationSeparator" w:id="0">
    <w:p w:rsidR="009C4CBC" w:rsidRDefault="009C4CBC">
      <w:r>
        <w:continuationSeparator/>
      </w:r>
    </w:p>
  </w:footnote>
  <w:footnote w:id="1">
    <w:p w:rsidR="00DD51FC" w:rsidRDefault="008C72DB">
      <w:pPr>
        <w:rPr>
          <w:sz w:val="20"/>
          <w:szCs w:val="20"/>
        </w:rPr>
      </w:pPr>
      <w:r>
        <w:rPr>
          <w:vertAlign w:val="superscript"/>
        </w:rPr>
        <w:footnoteRef/>
      </w:r>
      <w:r>
        <w:rPr>
          <w:sz w:val="20"/>
          <w:szCs w:val="20"/>
        </w:rPr>
        <w:t xml:space="preserve"> </w:t>
      </w:r>
      <w:r>
        <w:rPr>
          <w:rFonts w:ascii="Palatino Linotype" w:eastAsia="Palatino Linotype" w:hAnsi="Palatino Linotype" w:cs="Palatino Linotype"/>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sz w:val="20"/>
          <w:szCs w:val="20"/>
        </w:rPr>
        <w:t xml:space="preserve"> (…)</w:t>
      </w:r>
    </w:p>
  </w:footnote>
  <w:footnote w:id="2">
    <w:p w:rsidR="00DD51FC" w:rsidRDefault="008C72DB">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9"/>
          <w:szCs w:val="19"/>
        </w:rPr>
        <w:t xml:space="preserve"> </w:t>
      </w:r>
      <w:r>
        <w:rPr>
          <w:rFonts w:ascii="Palatino Linotype" w:eastAsia="Palatino Linotype" w:hAnsi="Palatino Linotype" w:cs="Palatino Linotype"/>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rsidR="00DD51FC" w:rsidRDefault="008C72D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4">
    <w:p w:rsidR="00DD51FC" w:rsidRDefault="008C72D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5">
    <w:p w:rsidR="00DD51FC" w:rsidRDefault="008C72D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6">
    <w:p w:rsidR="00DD51FC" w:rsidRDefault="008C72D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7">
    <w:p w:rsidR="00DD51FC" w:rsidRDefault="008C72D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DD51FC" w:rsidRDefault="008C72DB">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DD51FC" w:rsidRDefault="008C72DB">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1FC" w:rsidRDefault="008C72DB">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8240" behindDoc="1" locked="0" layoutInCell="1" hidden="0" allowOverlap="1">
          <wp:simplePos x="0" y="0"/>
          <wp:positionH relativeFrom="column">
            <wp:posOffset>-876825</wp:posOffset>
          </wp:positionH>
          <wp:positionV relativeFrom="paragraph">
            <wp:posOffset>-421000</wp:posOffset>
          </wp:positionV>
          <wp:extent cx="7809876" cy="10165823"/>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0"/>
      <w:tblW w:w="7635" w:type="dxa"/>
      <w:tblInd w:w="2688" w:type="dxa"/>
      <w:tblBorders>
        <w:top w:val="nil"/>
        <w:left w:val="nil"/>
        <w:bottom w:val="nil"/>
        <w:right w:val="nil"/>
        <w:insideH w:val="nil"/>
        <w:insideV w:val="nil"/>
      </w:tblBorders>
      <w:tblLayout w:type="fixed"/>
      <w:tblLook w:val="0400" w:firstRow="0" w:lastRow="0" w:firstColumn="0" w:lastColumn="0" w:noHBand="0" w:noVBand="1"/>
    </w:tblPr>
    <w:tblGrid>
      <w:gridCol w:w="2760"/>
      <w:gridCol w:w="4875"/>
    </w:tblGrid>
    <w:tr w:rsidR="00DD51FC">
      <w:trPr>
        <w:trHeight w:val="138"/>
      </w:trPr>
      <w:tc>
        <w:tcPr>
          <w:tcW w:w="2760" w:type="dxa"/>
          <w:vAlign w:val="center"/>
        </w:tcPr>
        <w:p w:rsidR="00DD51FC" w:rsidRDefault="008C72DB" w:rsidP="00CF0BA1">
          <w:pPr>
            <w:ind w:left="-141" w:right="-249" w:firstLine="141"/>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4875" w:type="dxa"/>
          <w:vAlign w:val="center"/>
        </w:tcPr>
        <w:p w:rsidR="00DD51FC" w:rsidRDefault="008C72DB" w:rsidP="00CF0BA1">
          <w:pPr>
            <w:pBdr>
              <w:top w:val="nil"/>
              <w:left w:val="nil"/>
              <w:bottom w:val="nil"/>
              <w:right w:val="nil"/>
              <w:between w:val="nil"/>
            </w:pBdr>
            <w:tabs>
              <w:tab w:val="center" w:pos="4252"/>
              <w:tab w:val="right" w:pos="8504"/>
            </w:tabs>
            <w:ind w:left="39" w:right="-249" w:firstLine="141"/>
            <w:rPr>
              <w:rFonts w:ascii="Palatino Linotype" w:eastAsia="Palatino Linotype" w:hAnsi="Palatino Linotype" w:cs="Palatino Linotype"/>
              <w:color w:val="000000"/>
              <w:sz w:val="24"/>
              <w:szCs w:val="24"/>
              <w:highlight w:val="yellow"/>
            </w:rPr>
          </w:pPr>
          <w:r>
            <w:rPr>
              <w:rFonts w:ascii="Palatino Linotype" w:eastAsia="Palatino Linotype" w:hAnsi="Palatino Linotype" w:cs="Palatino Linotype"/>
              <w:color w:val="000000"/>
              <w:sz w:val="24"/>
              <w:szCs w:val="24"/>
            </w:rPr>
            <w:t>01373/INFOEM/IP/RR/2026 y Acumulado</w:t>
          </w:r>
        </w:p>
      </w:tc>
    </w:tr>
    <w:tr w:rsidR="00DD51FC">
      <w:trPr>
        <w:trHeight w:val="321"/>
      </w:trPr>
      <w:tc>
        <w:tcPr>
          <w:tcW w:w="2760" w:type="dxa"/>
          <w:vAlign w:val="center"/>
        </w:tcPr>
        <w:p w:rsidR="00DD51FC" w:rsidRDefault="008C72DB" w:rsidP="00CF0BA1">
          <w:pPr>
            <w:ind w:left="-141" w:right="-249" w:firstLine="141"/>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4875" w:type="dxa"/>
          <w:vAlign w:val="center"/>
        </w:tcPr>
        <w:p w:rsidR="00DD51FC" w:rsidRDefault="008C72DB" w:rsidP="00CF0BA1">
          <w:pPr>
            <w:ind w:left="39" w:right="-249" w:firstLine="141"/>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Ayuntamiento de Toluca</w:t>
          </w:r>
        </w:p>
      </w:tc>
    </w:tr>
    <w:tr w:rsidR="00DD51FC">
      <w:tc>
        <w:tcPr>
          <w:tcW w:w="2760" w:type="dxa"/>
          <w:vAlign w:val="center"/>
        </w:tcPr>
        <w:p w:rsidR="00DD51FC" w:rsidRDefault="008C72DB" w:rsidP="00CF0BA1">
          <w:pPr>
            <w:ind w:left="-141" w:right="-249" w:firstLine="141"/>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4875" w:type="dxa"/>
          <w:vAlign w:val="center"/>
        </w:tcPr>
        <w:p w:rsidR="00DD51FC" w:rsidRDefault="008C72DB" w:rsidP="00CF0BA1">
          <w:pPr>
            <w:pBdr>
              <w:top w:val="nil"/>
              <w:left w:val="nil"/>
              <w:bottom w:val="nil"/>
              <w:right w:val="nil"/>
              <w:between w:val="nil"/>
            </w:pBdr>
            <w:tabs>
              <w:tab w:val="center" w:pos="4252"/>
              <w:tab w:val="right" w:pos="8504"/>
            </w:tabs>
            <w:ind w:left="39" w:right="-249" w:firstLine="141"/>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María del Rosario Mejía Ayala</w:t>
          </w:r>
        </w:p>
      </w:tc>
    </w:tr>
  </w:tbl>
  <w:p w:rsidR="00DD51FC" w:rsidRDefault="00DD51FC">
    <w:pPr>
      <w:pBdr>
        <w:top w:val="nil"/>
        <w:left w:val="nil"/>
        <w:bottom w:val="nil"/>
        <w:right w:val="nil"/>
        <w:between w:val="nil"/>
      </w:pBdr>
      <w:tabs>
        <w:tab w:val="center" w:pos="4252"/>
        <w:tab w:val="right" w:pos="8504"/>
      </w:tabs>
      <w:rPr>
        <w:color w:val="000000"/>
      </w:rPr>
    </w:pPr>
  </w:p>
  <w:p w:rsidR="00DD51FC" w:rsidRDefault="00DD51F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1FC" w:rsidRDefault="008C72DB">
    <w:pPr>
      <w:rPr>
        <w:color w:val="000000"/>
      </w:rPr>
    </w:pPr>
    <w:r>
      <w:rPr>
        <w:color w:val="000000"/>
      </w:rPr>
      <w:tab/>
    </w:r>
    <w:r>
      <w:rPr>
        <w:color w:val="000000"/>
      </w:rPr>
      <w:tab/>
    </w:r>
    <w:r>
      <w:rPr>
        <w:noProof/>
        <w:lang w:val="es-MX"/>
      </w:rPr>
      <w:drawing>
        <wp:anchor distT="0" distB="0" distL="0" distR="0" simplePos="0" relativeHeight="251659264" behindDoc="1" locked="0" layoutInCell="1" hidden="0" allowOverlap="1">
          <wp:simplePos x="0" y="0"/>
          <wp:positionH relativeFrom="column">
            <wp:posOffset>-873650</wp:posOffset>
          </wp:positionH>
          <wp:positionV relativeFrom="paragraph">
            <wp:posOffset>-375914</wp:posOffset>
          </wp:positionV>
          <wp:extent cx="7809876" cy="10165823"/>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1"/>
      <w:tblW w:w="8009" w:type="dxa"/>
      <w:tblInd w:w="25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866"/>
      <w:gridCol w:w="255"/>
      <w:gridCol w:w="4888"/>
    </w:tblGrid>
    <w:tr w:rsidR="00DD51FC" w:rsidTr="00CF0BA1">
      <w:trPr>
        <w:trHeight w:val="138"/>
      </w:trPr>
      <w:tc>
        <w:tcPr>
          <w:tcW w:w="2866" w:type="dxa"/>
          <w:vAlign w:val="center"/>
        </w:tcPr>
        <w:p w:rsidR="00DD51FC" w:rsidRDefault="008C72DB" w:rsidP="00CF0BA1">
          <w:pPr>
            <w:ind w:firstLine="6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255" w:type="dxa"/>
          <w:vAlign w:val="center"/>
        </w:tcPr>
        <w:p w:rsidR="00DD51FC" w:rsidRDefault="00DD51FC" w:rsidP="00CF0BA1">
          <w:pPr>
            <w:pBdr>
              <w:top w:val="nil"/>
              <w:left w:val="nil"/>
              <w:bottom w:val="nil"/>
              <w:right w:val="nil"/>
              <w:between w:val="nil"/>
            </w:pBdr>
            <w:tabs>
              <w:tab w:val="center" w:pos="4252"/>
              <w:tab w:val="right" w:pos="8504"/>
            </w:tabs>
            <w:ind w:hanging="360"/>
            <w:jc w:val="center"/>
            <w:rPr>
              <w:rFonts w:ascii="Palatino Linotype" w:eastAsia="Palatino Linotype" w:hAnsi="Palatino Linotype" w:cs="Palatino Linotype"/>
              <w:b/>
              <w:bCs/>
              <w:color w:val="000000"/>
              <w:sz w:val="24"/>
              <w:szCs w:val="24"/>
            </w:rPr>
          </w:pPr>
        </w:p>
      </w:tc>
      <w:tc>
        <w:tcPr>
          <w:tcW w:w="4888" w:type="dxa"/>
          <w:vAlign w:val="center"/>
        </w:tcPr>
        <w:p w:rsidR="00DD51FC" w:rsidRDefault="008C72DB" w:rsidP="00CF0BA1">
          <w:pPr>
            <w:pBdr>
              <w:top w:val="nil"/>
              <w:left w:val="nil"/>
              <w:bottom w:val="nil"/>
              <w:right w:val="nil"/>
              <w:between w:val="nil"/>
            </w:pBdr>
            <w:tabs>
              <w:tab w:val="center" w:pos="4252"/>
              <w:tab w:val="right" w:pos="8504"/>
            </w:tabs>
            <w:ind w:left="62" w:right="-73" w:hanging="62"/>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01373/INFOEM/IP/RR/202</w:t>
          </w:r>
          <w:r w:rsidR="00A37206">
            <w:rPr>
              <w:rFonts w:ascii="Palatino Linotype" w:eastAsia="Palatino Linotype" w:hAnsi="Palatino Linotype" w:cs="Palatino Linotype"/>
              <w:color w:val="000000"/>
              <w:sz w:val="24"/>
              <w:szCs w:val="24"/>
            </w:rPr>
            <w:t>6</w:t>
          </w:r>
          <w:r>
            <w:rPr>
              <w:rFonts w:ascii="Palatino Linotype" w:eastAsia="Palatino Linotype" w:hAnsi="Palatino Linotype" w:cs="Palatino Linotype"/>
              <w:color w:val="000000"/>
              <w:sz w:val="24"/>
              <w:szCs w:val="24"/>
            </w:rPr>
            <w:t xml:space="preserve"> y Acumulado</w:t>
          </w:r>
        </w:p>
      </w:tc>
    </w:tr>
    <w:tr w:rsidR="00DD51FC" w:rsidTr="00CF0BA1">
      <w:trPr>
        <w:trHeight w:val="227"/>
      </w:trPr>
      <w:tc>
        <w:tcPr>
          <w:tcW w:w="2866" w:type="dxa"/>
          <w:vAlign w:val="center"/>
        </w:tcPr>
        <w:p w:rsidR="00DD51FC" w:rsidRDefault="008C72DB" w:rsidP="00CF0BA1">
          <w:pPr>
            <w:ind w:firstLine="6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Recurrente:</w:t>
          </w:r>
        </w:p>
      </w:tc>
      <w:tc>
        <w:tcPr>
          <w:tcW w:w="255" w:type="dxa"/>
          <w:vAlign w:val="center"/>
        </w:tcPr>
        <w:p w:rsidR="00DD51FC" w:rsidRDefault="00DD51FC" w:rsidP="00CF0BA1">
          <w:pPr>
            <w:pBdr>
              <w:top w:val="nil"/>
              <w:left w:val="nil"/>
              <w:bottom w:val="nil"/>
              <w:right w:val="nil"/>
              <w:between w:val="nil"/>
            </w:pBdr>
            <w:tabs>
              <w:tab w:val="center" w:pos="4252"/>
              <w:tab w:val="right" w:pos="8504"/>
            </w:tabs>
            <w:ind w:hanging="360"/>
            <w:jc w:val="center"/>
            <w:rPr>
              <w:rFonts w:ascii="Palatino Linotype" w:eastAsia="Palatino Linotype" w:hAnsi="Palatino Linotype" w:cs="Palatino Linotype"/>
              <w:b/>
              <w:bCs/>
              <w:color w:val="000000"/>
              <w:sz w:val="24"/>
              <w:szCs w:val="24"/>
            </w:rPr>
          </w:pPr>
        </w:p>
      </w:tc>
      <w:tc>
        <w:tcPr>
          <w:tcW w:w="4888" w:type="dxa"/>
          <w:vAlign w:val="center"/>
        </w:tcPr>
        <w:p w:rsidR="00DD51FC" w:rsidRDefault="00DD51FC" w:rsidP="00CF0BA1">
          <w:pPr>
            <w:pBdr>
              <w:top w:val="nil"/>
              <w:left w:val="nil"/>
              <w:bottom w:val="nil"/>
              <w:right w:val="nil"/>
              <w:between w:val="nil"/>
            </w:pBdr>
            <w:tabs>
              <w:tab w:val="center" w:pos="4252"/>
              <w:tab w:val="right" w:pos="8504"/>
            </w:tabs>
            <w:ind w:left="62" w:right="-73" w:hanging="62"/>
            <w:rPr>
              <w:rFonts w:ascii="Palatino Linotype" w:eastAsia="Palatino Linotype" w:hAnsi="Palatino Linotype" w:cs="Palatino Linotype"/>
              <w:color w:val="000000"/>
              <w:sz w:val="24"/>
              <w:szCs w:val="24"/>
            </w:rPr>
          </w:pPr>
        </w:p>
      </w:tc>
    </w:tr>
    <w:tr w:rsidR="00DD51FC" w:rsidTr="00CF0BA1">
      <w:trPr>
        <w:trHeight w:val="232"/>
      </w:trPr>
      <w:tc>
        <w:tcPr>
          <w:tcW w:w="2866" w:type="dxa"/>
          <w:vAlign w:val="center"/>
        </w:tcPr>
        <w:p w:rsidR="00DD51FC" w:rsidRDefault="008C72DB" w:rsidP="00CF0BA1">
          <w:pPr>
            <w:ind w:firstLine="6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255" w:type="dxa"/>
          <w:vAlign w:val="center"/>
        </w:tcPr>
        <w:p w:rsidR="00DD51FC" w:rsidRDefault="00DD51FC" w:rsidP="00CF0BA1">
          <w:pPr>
            <w:pBdr>
              <w:top w:val="nil"/>
              <w:left w:val="nil"/>
              <w:bottom w:val="nil"/>
              <w:right w:val="nil"/>
              <w:between w:val="nil"/>
            </w:pBdr>
            <w:tabs>
              <w:tab w:val="center" w:pos="4252"/>
              <w:tab w:val="right" w:pos="8504"/>
            </w:tabs>
            <w:ind w:hanging="360"/>
            <w:jc w:val="center"/>
            <w:rPr>
              <w:rFonts w:ascii="Palatino Linotype" w:eastAsia="Palatino Linotype" w:hAnsi="Palatino Linotype" w:cs="Palatino Linotype"/>
              <w:b/>
              <w:bCs/>
              <w:color w:val="000000"/>
              <w:sz w:val="24"/>
              <w:szCs w:val="24"/>
            </w:rPr>
          </w:pPr>
        </w:p>
      </w:tc>
      <w:tc>
        <w:tcPr>
          <w:tcW w:w="4888" w:type="dxa"/>
          <w:vAlign w:val="center"/>
        </w:tcPr>
        <w:p w:rsidR="00DD51FC" w:rsidRDefault="008C72DB" w:rsidP="00CF0BA1">
          <w:pPr>
            <w:ind w:left="62" w:right="-73" w:hanging="62"/>
            <w:rPr>
              <w:sz w:val="24"/>
              <w:szCs w:val="24"/>
            </w:rPr>
          </w:pPr>
          <w:r>
            <w:rPr>
              <w:rFonts w:ascii="Palatino Linotype" w:eastAsia="Palatino Linotype" w:hAnsi="Palatino Linotype" w:cs="Palatino Linotype"/>
              <w:sz w:val="24"/>
              <w:szCs w:val="24"/>
            </w:rPr>
            <w:t>Ayuntamiento de Toluca</w:t>
          </w:r>
        </w:p>
      </w:tc>
    </w:tr>
    <w:tr w:rsidR="00DD51FC" w:rsidTr="00CF0BA1">
      <w:trPr>
        <w:trHeight w:val="320"/>
      </w:trPr>
      <w:tc>
        <w:tcPr>
          <w:tcW w:w="2866" w:type="dxa"/>
          <w:vAlign w:val="center"/>
        </w:tcPr>
        <w:p w:rsidR="00DD51FC" w:rsidRDefault="008C72DB" w:rsidP="00CF0BA1">
          <w:pPr>
            <w:ind w:firstLine="6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255" w:type="dxa"/>
          <w:vAlign w:val="center"/>
        </w:tcPr>
        <w:p w:rsidR="00DD51FC" w:rsidRDefault="00DD51FC" w:rsidP="00CF0BA1">
          <w:pPr>
            <w:pBdr>
              <w:top w:val="nil"/>
              <w:left w:val="nil"/>
              <w:bottom w:val="nil"/>
              <w:right w:val="nil"/>
              <w:between w:val="nil"/>
            </w:pBdr>
            <w:tabs>
              <w:tab w:val="center" w:pos="4252"/>
              <w:tab w:val="right" w:pos="8504"/>
            </w:tabs>
            <w:ind w:hanging="360"/>
            <w:jc w:val="center"/>
            <w:rPr>
              <w:rFonts w:ascii="Palatino Linotype" w:eastAsia="Palatino Linotype" w:hAnsi="Palatino Linotype" w:cs="Palatino Linotype"/>
              <w:b/>
              <w:bCs/>
              <w:color w:val="000000"/>
              <w:sz w:val="24"/>
              <w:szCs w:val="24"/>
            </w:rPr>
          </w:pPr>
        </w:p>
      </w:tc>
      <w:tc>
        <w:tcPr>
          <w:tcW w:w="4888" w:type="dxa"/>
          <w:vAlign w:val="center"/>
        </w:tcPr>
        <w:p w:rsidR="00DD51FC" w:rsidRDefault="008C72DB" w:rsidP="00CF0BA1">
          <w:pPr>
            <w:pBdr>
              <w:top w:val="nil"/>
              <w:left w:val="nil"/>
              <w:bottom w:val="nil"/>
              <w:right w:val="nil"/>
              <w:between w:val="nil"/>
            </w:pBdr>
            <w:tabs>
              <w:tab w:val="center" w:pos="4252"/>
              <w:tab w:val="right" w:pos="8504"/>
            </w:tabs>
            <w:ind w:left="62" w:right="-73" w:hanging="62"/>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María del Rosario Mejía Ayala</w:t>
          </w:r>
        </w:p>
      </w:tc>
    </w:tr>
  </w:tbl>
  <w:p w:rsidR="00DD51FC" w:rsidRDefault="00DD51FC">
    <w:pPr>
      <w:pBdr>
        <w:top w:val="nil"/>
        <w:left w:val="nil"/>
        <w:bottom w:val="nil"/>
        <w:right w:val="nil"/>
        <w:between w:val="nil"/>
      </w:pBdr>
      <w:tabs>
        <w:tab w:val="center" w:pos="4252"/>
        <w:tab w:val="right" w:pos="8504"/>
      </w:tabs>
      <w:rPr>
        <w:color w:val="000000"/>
      </w:rPr>
    </w:pPr>
  </w:p>
  <w:p w:rsidR="00DD51FC" w:rsidRDefault="00DD51F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4221F"/>
    <w:multiLevelType w:val="multilevel"/>
    <w:tmpl w:val="9162BF5A"/>
    <w:lvl w:ilvl="0">
      <w:start w:val="1"/>
      <w:numFmt w:val="bullet"/>
      <w:lvlText w:val="●"/>
      <w:lvlJc w:val="left"/>
      <w:pPr>
        <w:ind w:left="720" w:hanging="360"/>
      </w:pPr>
      <w:rPr>
        <w:rFonts w:ascii="Noto Sans Symbols" w:eastAsia="Noto Sans Symbols" w:hAnsi="Noto Sans Symbols" w:cs="Noto Sans Symbols"/>
        <w:b/>
        <w:bC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BCE4836"/>
    <w:multiLevelType w:val="multilevel"/>
    <w:tmpl w:val="ED02F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3C288A"/>
    <w:multiLevelType w:val="multilevel"/>
    <w:tmpl w:val="FCAA9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1BA2DAA"/>
    <w:multiLevelType w:val="multilevel"/>
    <w:tmpl w:val="035087C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8E24CB8"/>
    <w:multiLevelType w:val="multilevel"/>
    <w:tmpl w:val="1BB44B70"/>
    <w:lvl w:ilvl="0">
      <w:start w:val="1"/>
      <w:numFmt w:val="decimal"/>
      <w:lvlText w:val="%1."/>
      <w:lvlJc w:val="left"/>
      <w:pPr>
        <w:ind w:left="2629" w:hanging="360"/>
      </w:pPr>
      <w:rPr>
        <w:rFonts w:ascii="Palatino Linotype" w:eastAsia="Arial" w:hAnsi="Palatino Linotype" w:cs="Arial" w:hint="default"/>
        <w:b/>
        <w:bCs/>
        <w:i w:val="0"/>
        <w:iCs w:val="0"/>
      </w:rPr>
    </w:lvl>
    <w:lvl w:ilvl="1">
      <w:start w:val="1"/>
      <w:numFmt w:val="lowerLetter"/>
      <w:lvlText w:val="%2."/>
      <w:lvlJc w:val="left"/>
      <w:pPr>
        <w:ind w:left="1440" w:hanging="360"/>
      </w:p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4492F06"/>
    <w:multiLevelType w:val="multilevel"/>
    <w:tmpl w:val="4CE66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6CA4474"/>
    <w:multiLevelType w:val="multilevel"/>
    <w:tmpl w:val="C45EBD5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15:restartNumberingAfterBreak="0">
    <w:nsid w:val="5D960ED4"/>
    <w:multiLevelType w:val="multilevel"/>
    <w:tmpl w:val="1B04B40A"/>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8" w15:restartNumberingAfterBreak="0">
    <w:nsid w:val="5E80263C"/>
    <w:multiLevelType w:val="multilevel"/>
    <w:tmpl w:val="FC5CF3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E630ED3"/>
    <w:multiLevelType w:val="multilevel"/>
    <w:tmpl w:val="CBE6AF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8C872FF"/>
    <w:multiLevelType w:val="multilevel"/>
    <w:tmpl w:val="EA5A1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D1C5FCB"/>
    <w:multiLevelType w:val="multilevel"/>
    <w:tmpl w:val="94E457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2"/>
  </w:num>
  <w:num w:numId="3">
    <w:abstractNumId w:val="0"/>
  </w:num>
  <w:num w:numId="4">
    <w:abstractNumId w:val="4"/>
  </w:num>
  <w:num w:numId="5">
    <w:abstractNumId w:val="6"/>
  </w:num>
  <w:num w:numId="6">
    <w:abstractNumId w:val="8"/>
  </w:num>
  <w:num w:numId="7">
    <w:abstractNumId w:val="7"/>
  </w:num>
  <w:num w:numId="8">
    <w:abstractNumId w:val="1"/>
  </w:num>
  <w:num w:numId="9">
    <w:abstractNumId w:val="11"/>
  </w:num>
  <w:num w:numId="10">
    <w:abstractNumId w:val="3"/>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1FC"/>
    <w:rsid w:val="00292C78"/>
    <w:rsid w:val="003B671B"/>
    <w:rsid w:val="008A13AC"/>
    <w:rsid w:val="008C72DB"/>
    <w:rsid w:val="009C4CBC"/>
    <w:rsid w:val="00A37206"/>
    <w:rsid w:val="00CF0BA1"/>
    <w:rsid w:val="00D308EC"/>
    <w:rsid w:val="00DD51FC"/>
    <w:rsid w:val="00F820D8"/>
    <w:rsid w:val="00F916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8731F8-1044-4B70-A8AF-CDB43347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b/>
      <w:bCs/>
      <w:color w:val="000000"/>
    </w:rPr>
  </w:style>
  <w:style w:type="paragraph" w:styleId="Ttulo2">
    <w:name w:val="heading 2"/>
    <w:basedOn w:val="Normal"/>
    <w:next w:val="Normal"/>
    <w:pPr>
      <w:keepNext/>
      <w:keepLines/>
      <w:spacing w:before="40" w:line="259" w:lineRule="auto"/>
      <w:outlineLvl w:val="1"/>
    </w:pPr>
    <w:rPr>
      <w:rFonts w:ascii="Palatino Linotype" w:eastAsia="Palatino Linotype" w:hAnsi="Palatino Linotype" w:cs="Palatino Linotype"/>
      <w:b/>
      <w:bCs/>
      <w:color w:val="000000"/>
    </w:rPr>
  </w:style>
  <w:style w:type="paragraph" w:styleId="Ttulo3">
    <w:name w:val="heading 3"/>
    <w:basedOn w:val="Normal"/>
    <w:next w:val="Normal"/>
    <w:pPr>
      <w:keepNext/>
      <w:keepLines/>
      <w:spacing w:before="40"/>
      <w:outlineLvl w:val="2"/>
    </w:pPr>
    <w:rPr>
      <w:rFonts w:ascii="Calibri" w:eastAsia="Calibri" w:hAnsi="Calibri" w:cs="Calibri"/>
      <w:color w:val="243F61"/>
    </w:rPr>
  </w:style>
  <w:style w:type="paragraph" w:styleId="Ttulo4">
    <w:name w:val="heading 4"/>
    <w:basedOn w:val="Normal"/>
    <w:next w:val="Normal"/>
    <w:pPr>
      <w:keepNext/>
      <w:keepLines/>
      <w:spacing w:before="40"/>
      <w:outlineLvl w:val="3"/>
    </w:pPr>
    <w:rPr>
      <w:rFonts w:ascii="Calibri" w:eastAsia="Calibri" w:hAnsi="Calibri" w:cs="Calibri"/>
      <w:i/>
      <w:iCs/>
      <w:color w:val="366091"/>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1">
    <w:basedOn w:val="TableNormal"/>
    <w:rPr>
      <w:sz w:val="22"/>
      <w:szCs w:val="22"/>
    </w:r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A37206"/>
    <w:pPr>
      <w:tabs>
        <w:tab w:val="center" w:pos="4419"/>
        <w:tab w:val="right" w:pos="8838"/>
      </w:tabs>
    </w:pPr>
  </w:style>
  <w:style w:type="character" w:customStyle="1" w:styleId="EncabezadoCar">
    <w:name w:val="Encabezado Car"/>
    <w:basedOn w:val="Fuentedeprrafopredeter"/>
    <w:link w:val="Encabezado"/>
    <w:uiPriority w:val="99"/>
    <w:rsid w:val="00A37206"/>
  </w:style>
  <w:style w:type="paragraph" w:styleId="Piedepgina">
    <w:name w:val="footer"/>
    <w:basedOn w:val="Normal"/>
    <w:link w:val="PiedepginaCar"/>
    <w:uiPriority w:val="99"/>
    <w:unhideWhenUsed/>
    <w:rsid w:val="00A37206"/>
    <w:pPr>
      <w:tabs>
        <w:tab w:val="center" w:pos="4419"/>
        <w:tab w:val="right" w:pos="8838"/>
      </w:tabs>
    </w:pPr>
  </w:style>
  <w:style w:type="character" w:customStyle="1" w:styleId="PiedepginaCar">
    <w:name w:val="Pie de página Car"/>
    <w:basedOn w:val="Fuentedeprrafopredeter"/>
    <w:link w:val="Piedepgina"/>
    <w:uiPriority w:val="99"/>
    <w:rsid w:val="00A37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71813.page" TargetMode="Externa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ail1.itaipem.org.mx/service/home/~/?auth=co&amp;loc=es&amp;id=3441&amp;part=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il1.itaipem.org.mx/service/home/~/?auth=co&amp;loc=es&amp;id=3441&amp;part=2"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mail1.itaipem.org.mx/service/home/~/?auth=co&amp;loc=es&amp;id=3441&amp;part=2"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aimex.org.mx/saimex/solicitud/downloadAttach/2671833.page" TargetMode="Externa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5uTukYGx1qCZL6On085zEm6cLQ==">CgMxLjAyDmguc3JlOWgwNXE0djBiMghoLmdqZGd4czIJaC4zMGowemxsMghoLnR5amN3dDIJaC4zZHk2dmttMgloLjF0M2g1c2YyCWguMnM4ZXlvMTIOaC5jeXR1eW83OXZla3gyCWguMTdkcDh2dTIJaC4zcmRjcmpuMgloLjI2aW4xcmcyCWguNGQzNG9nODIIaC5sbnhiejkyCWguMzVua3VuMjgAciExLTRzOERoeElsRlE1Qk9OZG8td1VEblZlT29tQk8wcWg=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50</Pages>
  <Words>12441</Words>
  <Characters>68429</Characters>
  <Application>Microsoft Office Word</Application>
  <DocSecurity>0</DocSecurity>
  <Lines>570</Lines>
  <Paragraphs>161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80709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2026-05-21T23:12:00Z</cp:lastPrinted>
  <dcterms:created xsi:type="dcterms:W3CDTF">2026-05-20T18:44:00Z</dcterms:created>
  <dcterms:modified xsi:type="dcterms:W3CDTF">2026-05-28T23:19:00Z</dcterms:modified>
</cp:coreProperties>
</file>