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5B2AC" w14:textId="2AEF12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Resolución del Pleno del Instituto de Transparencia, Acceso a la Información Pública y Protección de Datos Personales del Estado de México y Municipios, con domicilio en Metepec, Estado de México, de fecha </w:t>
      </w:r>
      <w:r w:rsidR="006A2C52" w:rsidRPr="00686FB4">
        <w:rPr>
          <w:rFonts w:ascii="Palatino Linotype" w:eastAsia="Palatino Linotype" w:hAnsi="Palatino Linotype" w:cs="Palatino Linotype"/>
          <w:b/>
          <w:bCs/>
        </w:rPr>
        <w:t>veinti</w:t>
      </w:r>
      <w:r w:rsidR="000A7117" w:rsidRPr="00686FB4">
        <w:rPr>
          <w:rFonts w:ascii="Palatino Linotype" w:eastAsia="Palatino Linotype" w:hAnsi="Palatino Linotype" w:cs="Palatino Linotype"/>
          <w:b/>
          <w:bCs/>
        </w:rPr>
        <w:t>cuatro</w:t>
      </w:r>
      <w:r w:rsidR="006A2C52" w:rsidRPr="00686FB4">
        <w:rPr>
          <w:rFonts w:ascii="Palatino Linotype" w:eastAsia="Palatino Linotype" w:hAnsi="Palatino Linotype" w:cs="Palatino Linotype"/>
          <w:b/>
          <w:bCs/>
        </w:rPr>
        <w:t xml:space="preserve"> de septiembre</w:t>
      </w:r>
      <w:r w:rsidR="00506E7C" w:rsidRPr="00686FB4">
        <w:rPr>
          <w:rFonts w:ascii="Palatino Linotype" w:eastAsia="Palatino Linotype" w:hAnsi="Palatino Linotype" w:cs="Palatino Linotype"/>
          <w:b/>
          <w:bCs/>
        </w:rPr>
        <w:t xml:space="preserve"> d</w:t>
      </w:r>
      <w:r w:rsidRPr="00686FB4">
        <w:rPr>
          <w:rFonts w:ascii="Palatino Linotype" w:eastAsia="Palatino Linotype" w:hAnsi="Palatino Linotype" w:cs="Palatino Linotype"/>
          <w:b/>
          <w:bCs/>
        </w:rPr>
        <w:t>e dos mil veintiséis</w:t>
      </w:r>
      <w:r w:rsidRPr="00686FB4">
        <w:rPr>
          <w:rFonts w:ascii="Palatino Linotype" w:eastAsia="Palatino Linotype" w:hAnsi="Palatino Linotype" w:cs="Palatino Linotype"/>
        </w:rPr>
        <w:t xml:space="preserve">. </w:t>
      </w:r>
    </w:p>
    <w:p w14:paraId="17D431F9"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428DEDDB" w14:textId="26676288"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Visto el expediente relativo al recurso de revisión </w:t>
      </w:r>
      <w:r w:rsidR="00506E7C" w:rsidRPr="00686FB4">
        <w:rPr>
          <w:rFonts w:ascii="Palatino Linotype" w:eastAsia="Palatino Linotype" w:hAnsi="Palatino Linotype" w:cs="Palatino Linotype"/>
          <w:b/>
          <w:bCs/>
        </w:rPr>
        <w:t>0</w:t>
      </w:r>
      <w:r w:rsidR="006A2C52" w:rsidRPr="00686FB4">
        <w:rPr>
          <w:rFonts w:ascii="Palatino Linotype" w:eastAsia="Palatino Linotype" w:hAnsi="Palatino Linotype" w:cs="Palatino Linotype"/>
          <w:b/>
          <w:bCs/>
        </w:rPr>
        <w:t>6067</w:t>
      </w:r>
      <w:r w:rsidRPr="00686FB4">
        <w:rPr>
          <w:rFonts w:ascii="Palatino Linotype" w:eastAsia="Palatino Linotype" w:hAnsi="Palatino Linotype" w:cs="Palatino Linotype"/>
          <w:b/>
          <w:bCs/>
        </w:rPr>
        <w:t>/INFOEM/IP/RR/2026</w:t>
      </w:r>
      <w:r w:rsidRPr="00686FB4">
        <w:rPr>
          <w:rFonts w:ascii="Palatino Linotype" w:eastAsia="Palatino Linotype" w:hAnsi="Palatino Linotype" w:cs="Palatino Linotype"/>
        </w:rPr>
        <w:t xml:space="preserve">, interpuesto por </w:t>
      </w:r>
      <w:r w:rsidR="00B61D2C">
        <w:rPr>
          <w:rFonts w:ascii="Palatino Linotype" w:eastAsia="Palatino Linotype" w:hAnsi="Palatino Linotype" w:cs="Palatino Linotype"/>
          <w:b/>
          <w:bCs/>
        </w:rPr>
        <w:t>XXXXXX XXXX XXXXXX</w:t>
      </w:r>
      <w:r w:rsidRPr="00B61D2C">
        <w:rPr>
          <w:rFonts w:ascii="Palatino Linotype" w:eastAsia="Palatino Linotype" w:hAnsi="Palatino Linotype" w:cs="Palatino Linotype"/>
          <w:b/>
          <w:bCs/>
        </w:rPr>
        <w:t>,</w:t>
      </w:r>
      <w:r w:rsidRPr="00686FB4">
        <w:rPr>
          <w:rFonts w:ascii="Palatino Linotype" w:eastAsia="Palatino Linotype" w:hAnsi="Palatino Linotype" w:cs="Palatino Linotype"/>
        </w:rPr>
        <w:t xml:space="preserve"> al cual en lo sucesivo se le denominará la parte </w:t>
      </w:r>
      <w:r w:rsidRPr="00686FB4">
        <w:rPr>
          <w:rFonts w:ascii="Palatino Linotype" w:eastAsia="Palatino Linotype" w:hAnsi="Palatino Linotype" w:cs="Palatino Linotype"/>
          <w:b/>
          <w:bCs/>
        </w:rPr>
        <w:t>Recurrente</w:t>
      </w:r>
      <w:r w:rsidRPr="00686FB4">
        <w:rPr>
          <w:rFonts w:ascii="Palatino Linotype" w:eastAsia="Palatino Linotype" w:hAnsi="Palatino Linotype" w:cs="Palatino Linotype"/>
        </w:rPr>
        <w:t xml:space="preserve">, en contra de la respuesta a su solicitud de información identificada con número de folio </w:t>
      </w:r>
      <w:r w:rsidR="006A2C52" w:rsidRPr="00686FB4">
        <w:rPr>
          <w:rFonts w:ascii="Palatino Linotype" w:eastAsia="Palatino Linotype" w:hAnsi="Palatino Linotype" w:cs="Palatino Linotype"/>
          <w:b/>
          <w:bCs/>
        </w:rPr>
        <w:t>00052/ALMOJU/IP/2026</w:t>
      </w:r>
      <w:r w:rsidR="007A4D7A" w:rsidRPr="00686FB4">
        <w:rPr>
          <w:rFonts w:ascii="Palatino Linotype" w:eastAsia="Palatino Linotype" w:hAnsi="Palatino Linotype" w:cs="Palatino Linotype"/>
          <w:b/>
          <w:bCs/>
        </w:rPr>
        <w:t xml:space="preserve"> </w:t>
      </w:r>
      <w:r w:rsidRPr="00686FB4">
        <w:rPr>
          <w:rFonts w:ascii="Palatino Linotype" w:eastAsia="Palatino Linotype" w:hAnsi="Palatino Linotype" w:cs="Palatino Linotype"/>
        </w:rPr>
        <w:t xml:space="preserve">por parte del </w:t>
      </w:r>
      <w:r w:rsidR="007A4D7A" w:rsidRPr="00686FB4">
        <w:rPr>
          <w:rFonts w:ascii="Palatino Linotype" w:eastAsia="Palatino Linotype" w:hAnsi="Palatino Linotype" w:cs="Palatino Linotype"/>
          <w:b/>
          <w:bCs/>
        </w:rPr>
        <w:t>Ayuntamiento de Almoloya de Juárez</w:t>
      </w:r>
      <w:r w:rsidRPr="00686FB4">
        <w:rPr>
          <w:rFonts w:ascii="Palatino Linotype" w:eastAsia="Palatino Linotype" w:hAnsi="Palatino Linotype" w:cs="Palatino Linotype"/>
        </w:rPr>
        <w:t xml:space="preserve">, en lo sucesivo el </w:t>
      </w:r>
      <w:r w:rsidRPr="00686FB4">
        <w:rPr>
          <w:rFonts w:ascii="Palatino Linotype" w:eastAsia="Palatino Linotype" w:hAnsi="Palatino Linotype" w:cs="Palatino Linotype"/>
          <w:b/>
          <w:bCs/>
        </w:rPr>
        <w:t>Sujeto Obligado</w:t>
      </w:r>
      <w:r w:rsidRPr="00686FB4">
        <w:rPr>
          <w:rFonts w:ascii="Palatino Linotype" w:eastAsia="Palatino Linotype" w:hAnsi="Palatino Linotype" w:cs="Palatino Linotype"/>
        </w:rPr>
        <w:t>; se procede a dictar la presente resolución, con base en los siguientes:</w:t>
      </w:r>
    </w:p>
    <w:p w14:paraId="59EAC093"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1DEAB553" w14:textId="77777777" w:rsidR="000A372D" w:rsidRPr="00686FB4" w:rsidRDefault="00DA4FFE" w:rsidP="00FF51E8">
      <w:pPr>
        <w:spacing w:after="0" w:line="360" w:lineRule="auto"/>
        <w:ind w:right="49"/>
        <w:jc w:val="center"/>
        <w:rPr>
          <w:rFonts w:ascii="Palatino Linotype" w:eastAsia="Palatino Linotype" w:hAnsi="Palatino Linotype" w:cs="Palatino Linotype"/>
          <w:b/>
          <w:bCs/>
        </w:rPr>
      </w:pPr>
      <w:r w:rsidRPr="00686FB4">
        <w:rPr>
          <w:rFonts w:ascii="Palatino Linotype" w:eastAsia="Palatino Linotype" w:hAnsi="Palatino Linotype" w:cs="Palatino Linotype"/>
          <w:b/>
          <w:bCs/>
        </w:rPr>
        <w:t>I.</w:t>
      </w:r>
      <w:r w:rsidRPr="00686FB4">
        <w:rPr>
          <w:rFonts w:ascii="Palatino Linotype" w:eastAsia="Palatino Linotype" w:hAnsi="Palatino Linotype" w:cs="Palatino Linotype"/>
          <w:b/>
          <w:bCs/>
        </w:rPr>
        <w:tab/>
        <w:t>A N T E C E D E N T E S</w:t>
      </w:r>
    </w:p>
    <w:p w14:paraId="503AF689" w14:textId="77777777" w:rsidR="000A372D" w:rsidRPr="00686FB4" w:rsidRDefault="000A372D" w:rsidP="00FF51E8">
      <w:pPr>
        <w:spacing w:after="0" w:line="360" w:lineRule="auto"/>
        <w:ind w:right="49"/>
        <w:jc w:val="center"/>
        <w:rPr>
          <w:rFonts w:ascii="Palatino Linotype" w:eastAsia="Palatino Linotype" w:hAnsi="Palatino Linotype" w:cs="Palatino Linotype"/>
          <w:b/>
          <w:bCs/>
        </w:rPr>
      </w:pPr>
    </w:p>
    <w:p w14:paraId="0110C741" w14:textId="0AB8631B" w:rsidR="000A372D" w:rsidRPr="00686FB4" w:rsidRDefault="00DA4FFE" w:rsidP="00FF51E8">
      <w:pPr>
        <w:numPr>
          <w:ilvl w:val="0"/>
          <w:numId w:val="8"/>
        </w:numPr>
        <w:pBdr>
          <w:top w:val="nil"/>
          <w:left w:val="nil"/>
          <w:bottom w:val="nil"/>
          <w:right w:val="nil"/>
          <w:between w:val="nil"/>
        </w:pBdr>
        <w:spacing w:after="0" w:line="360" w:lineRule="auto"/>
        <w:ind w:left="0" w:right="49" w:firstLine="0"/>
        <w:jc w:val="both"/>
        <w:rPr>
          <w:rFonts w:ascii="Palatino Linotype" w:eastAsia="Palatino Linotype" w:hAnsi="Palatino Linotype" w:cs="Palatino Linotype"/>
        </w:rPr>
      </w:pPr>
      <w:r w:rsidRPr="00686FB4">
        <w:rPr>
          <w:rFonts w:ascii="Palatino Linotype" w:eastAsia="Palatino Linotype" w:hAnsi="Palatino Linotype" w:cs="Palatino Linotype"/>
          <w:b/>
          <w:bCs/>
        </w:rPr>
        <w:t>Solicitud de acceso a la información.</w:t>
      </w:r>
      <w:r w:rsidRPr="00686FB4">
        <w:rPr>
          <w:rFonts w:ascii="Palatino Linotype" w:eastAsia="Palatino Linotype" w:hAnsi="Palatino Linotype" w:cs="Palatino Linotype"/>
        </w:rPr>
        <w:t xml:space="preserve"> Con fecha </w:t>
      </w:r>
      <w:r w:rsidR="006A2C52" w:rsidRPr="00686FB4">
        <w:rPr>
          <w:rFonts w:ascii="Palatino Linotype" w:eastAsia="Palatino Linotype" w:hAnsi="Palatino Linotype" w:cs="Palatino Linotype"/>
          <w:b/>
          <w:bCs/>
        </w:rPr>
        <w:t>trece de mayo</w:t>
      </w:r>
      <w:r w:rsidR="00506E7C" w:rsidRPr="00686FB4">
        <w:rPr>
          <w:rFonts w:ascii="Palatino Linotype" w:eastAsia="Palatino Linotype" w:hAnsi="Palatino Linotype" w:cs="Palatino Linotype"/>
          <w:b/>
          <w:bCs/>
        </w:rPr>
        <w:t xml:space="preserve"> </w:t>
      </w:r>
      <w:r w:rsidRPr="00686FB4">
        <w:rPr>
          <w:rFonts w:ascii="Palatino Linotype" w:eastAsia="Palatino Linotype" w:hAnsi="Palatino Linotype" w:cs="Palatino Linotype"/>
          <w:b/>
          <w:bCs/>
        </w:rPr>
        <w:t xml:space="preserve">de dos mil </w:t>
      </w:r>
      <w:r w:rsidR="00506E7C" w:rsidRPr="00686FB4">
        <w:rPr>
          <w:rFonts w:ascii="Palatino Linotype" w:eastAsia="Palatino Linotype" w:hAnsi="Palatino Linotype" w:cs="Palatino Linotype"/>
          <w:b/>
          <w:bCs/>
        </w:rPr>
        <w:t>veintiséis</w:t>
      </w:r>
      <w:r w:rsidRPr="00686FB4">
        <w:rPr>
          <w:rFonts w:ascii="Palatino Linotype" w:eastAsia="Palatino Linotype" w:hAnsi="Palatino Linotype" w:cs="Palatino Linotype"/>
        </w:rPr>
        <w:t xml:space="preserve">, la parte </w:t>
      </w:r>
      <w:r w:rsidRPr="00686FB4">
        <w:rPr>
          <w:rFonts w:ascii="Palatino Linotype" w:eastAsia="Palatino Linotype" w:hAnsi="Palatino Linotype" w:cs="Palatino Linotype"/>
          <w:b/>
          <w:bCs/>
        </w:rPr>
        <w:t>Recurrente</w:t>
      </w:r>
      <w:r w:rsidRPr="00686FB4">
        <w:rPr>
          <w:rFonts w:ascii="Palatino Linotype" w:eastAsia="Palatino Linotype" w:hAnsi="Palatino Linotype" w:cs="Palatino Linotype"/>
        </w:rPr>
        <w:t xml:space="preserve"> formuló solicitud de acceso a información pública al</w:t>
      </w:r>
      <w:r w:rsidRPr="00686FB4">
        <w:rPr>
          <w:rFonts w:ascii="Palatino Linotype" w:eastAsia="Palatino Linotype" w:hAnsi="Palatino Linotype" w:cs="Palatino Linotype"/>
          <w:b/>
          <w:bCs/>
        </w:rPr>
        <w:t xml:space="preserve"> Sujeto Obligado</w:t>
      </w:r>
      <w:r w:rsidRPr="00686FB4">
        <w:rPr>
          <w:rFonts w:ascii="Palatino Linotype" w:eastAsia="Palatino Linotype" w:hAnsi="Palatino Linotype" w:cs="Palatino Linotype"/>
        </w:rPr>
        <w:t xml:space="preserve"> a través del Sistema de Acceso a la Información Mexiquense, en adelante SAIMEX, en la que requirió lo siguiente: </w:t>
      </w:r>
    </w:p>
    <w:p w14:paraId="4F3260C6" w14:textId="77777777" w:rsidR="0081727F" w:rsidRPr="00686FB4" w:rsidRDefault="0081727F" w:rsidP="00FF51E8">
      <w:pPr>
        <w:spacing w:after="0"/>
        <w:ind w:left="851" w:right="709"/>
        <w:jc w:val="both"/>
        <w:rPr>
          <w:rFonts w:ascii="Palatino Linotype" w:eastAsia="Palatino Linotype" w:hAnsi="Palatino Linotype" w:cs="Palatino Linotype"/>
          <w:i/>
          <w:iCs/>
        </w:rPr>
      </w:pPr>
      <w:bookmarkStart w:id="0" w:name="_heading=h.30j0zll" w:colFirst="0" w:colLast="0"/>
      <w:bookmarkEnd w:id="0"/>
    </w:p>
    <w:p w14:paraId="7AE35B34" w14:textId="43DA557A"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w:t>
      </w:r>
      <w:r w:rsidR="006A2C52" w:rsidRPr="00686FB4">
        <w:rPr>
          <w:rFonts w:ascii="Palatino Linotype" w:eastAsia="Palatino Linotype" w:hAnsi="Palatino Linotype" w:cs="Palatino Linotype"/>
          <w:i/>
          <w:iCs/>
        </w:rPr>
        <w:t>solicito de la manera mas atenta la siguiente informacion: 1. Nombre del titular de la Coordinacion de Catastro Municipal de Almoloya de Juarez, de esta administracion actual. 2. Curriculum titular de la Coordinacion de Catastro Municipal de Almoloya de Juarez, de esta administracion actual. 3. Si cuenta con certificacion el titular de la Coordinacion de Catastro Municipal de Almoloya de Juarez, de esta administracion actual. 4. Solicito nomina testadada osea sin datos personales, de todo el personal que labora en la Coordinacion de Catastro de esta administracion actual. 5. Solicto Curriculum del personal que labora en la Coordinacion de Catastro de esta administracion actual.</w:t>
      </w:r>
      <w:r w:rsidRPr="00686FB4">
        <w:rPr>
          <w:rFonts w:ascii="Palatino Linotype" w:eastAsia="Palatino Linotype" w:hAnsi="Palatino Linotype" w:cs="Palatino Linotype"/>
          <w:i/>
          <w:iCs/>
        </w:rPr>
        <w:t>” (sic)</w:t>
      </w:r>
    </w:p>
    <w:p w14:paraId="7F2ED9F1" w14:textId="77777777" w:rsidR="000A372D" w:rsidRPr="00686FB4" w:rsidRDefault="000A372D" w:rsidP="00FF51E8">
      <w:pPr>
        <w:spacing w:after="0" w:line="360" w:lineRule="auto"/>
        <w:ind w:right="49"/>
        <w:jc w:val="both"/>
        <w:rPr>
          <w:rFonts w:ascii="Palatino Linotype" w:eastAsia="Palatino Linotype" w:hAnsi="Palatino Linotype" w:cs="Palatino Linotype"/>
          <w:b/>
          <w:bCs/>
        </w:rPr>
      </w:pPr>
    </w:p>
    <w:p w14:paraId="436BDCB9"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bCs/>
        </w:rPr>
        <w:lastRenderedPageBreak/>
        <w:t>Modalidad elegida para la entrega de la información:</w:t>
      </w:r>
      <w:r w:rsidRPr="00686FB4">
        <w:rPr>
          <w:rFonts w:ascii="Palatino Linotype" w:eastAsia="Palatino Linotype" w:hAnsi="Palatino Linotype" w:cs="Palatino Linotype"/>
        </w:rPr>
        <w:t xml:space="preserve"> a través del Sistema de Acceso a la Información Mexiquense (SAIMEX). </w:t>
      </w:r>
    </w:p>
    <w:p w14:paraId="1BFF8DE2"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35F2E76D" w14:textId="1BBF5ADE" w:rsidR="00506E7C" w:rsidRPr="00686FB4" w:rsidRDefault="00506E7C"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b/>
          <w:bCs/>
        </w:rPr>
        <w:t xml:space="preserve">2. </w:t>
      </w:r>
      <w:r w:rsidR="00DA4FFE" w:rsidRPr="00686FB4">
        <w:rPr>
          <w:rFonts w:ascii="Palatino Linotype" w:eastAsia="Palatino Linotype" w:hAnsi="Palatino Linotype" w:cs="Palatino Linotype"/>
          <w:b/>
          <w:bCs/>
        </w:rPr>
        <w:t xml:space="preserve">Respuesta. </w:t>
      </w:r>
      <w:r w:rsidRPr="00686FB4">
        <w:rPr>
          <w:rFonts w:ascii="Palatino Linotype" w:eastAsia="Palatino Linotype" w:hAnsi="Palatino Linotype" w:cs="Palatino Linotype"/>
        </w:rPr>
        <w:t xml:space="preserve">Con fecha </w:t>
      </w:r>
      <w:r w:rsidR="00747E0E" w:rsidRPr="00686FB4">
        <w:rPr>
          <w:rFonts w:ascii="Palatino Linotype" w:eastAsia="Palatino Linotype" w:hAnsi="Palatino Linotype" w:cs="Palatino Linotype"/>
          <w:b/>
        </w:rPr>
        <w:t>cuatro de junio</w:t>
      </w:r>
      <w:r w:rsidR="007A4D7A" w:rsidRPr="00686FB4">
        <w:rPr>
          <w:rFonts w:ascii="Palatino Linotype" w:eastAsia="Palatino Linotype" w:hAnsi="Palatino Linotype" w:cs="Palatino Linotype"/>
          <w:b/>
        </w:rPr>
        <w:t xml:space="preserve"> </w:t>
      </w:r>
      <w:r w:rsidRPr="00686FB4">
        <w:rPr>
          <w:rFonts w:ascii="Palatino Linotype" w:eastAsia="Palatino Linotype" w:hAnsi="Palatino Linotype" w:cs="Palatino Linotype"/>
          <w:b/>
        </w:rPr>
        <w:t>de dos mil veintiséis</w:t>
      </w:r>
      <w:r w:rsidRPr="00686FB4">
        <w:rPr>
          <w:rFonts w:ascii="Palatino Linotype" w:eastAsia="Palatino Linotype" w:hAnsi="Palatino Linotype" w:cs="Palatino Linotype"/>
        </w:rPr>
        <w:t xml:space="preserve">, 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envió su respuesta a la solicitud de acceso a la información a través del SAIMEX, la cual versa como sigue: </w:t>
      </w:r>
    </w:p>
    <w:p w14:paraId="542B3CFF" w14:textId="77777777" w:rsidR="00747E0E" w:rsidRPr="00686FB4" w:rsidRDefault="00506E7C" w:rsidP="00FF51E8">
      <w:pPr>
        <w:tabs>
          <w:tab w:val="left" w:pos="7371"/>
        </w:tabs>
        <w:spacing w:after="0"/>
        <w:ind w:left="851" w:right="616"/>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r w:rsidR="00747E0E" w:rsidRPr="00686FB4">
        <w:rPr>
          <w:rFonts w:ascii="Palatino Linotype" w:eastAsia="Palatino Linotype" w:hAnsi="Palatino Linotype" w:cs="Palatino Linotype"/>
          <w:i/>
        </w:rPr>
        <w:t xml:space="preserve">Con fundamento en lo establecido en los artículos 4, 12, 59 y 164 de la Ley de Transparencia y Acceso a la Información Pública del Estado de México y Municipios, </w:t>
      </w:r>
      <w:r w:rsidR="00747E0E" w:rsidRPr="00686FB4">
        <w:rPr>
          <w:rFonts w:ascii="Palatino Linotype" w:eastAsia="Palatino Linotype" w:hAnsi="Palatino Linotype" w:cs="Palatino Linotype"/>
          <w:b/>
          <w:i/>
        </w:rPr>
        <w:t>se adjunta la respuesta proporcionada por autoridad competente</w:t>
      </w:r>
      <w:r w:rsidR="00747E0E" w:rsidRPr="00686FB4">
        <w:rPr>
          <w:rFonts w:ascii="Palatino Linotype" w:eastAsia="Palatino Linotype" w:hAnsi="Palatino Linotype" w:cs="Palatino Linotype"/>
          <w:i/>
        </w:rPr>
        <w:t>. Se le hace de su conocimiento que, en caso de no estar conforme con la respuesta proporcionada, tiene derecho a impugnarla a través del recurso de revisión de conformidad con lo dispuesto en el artículo 177 de la Ley de Transparencia y Acceso a la Información Pública del Estado de México y Municipios, dentro del plazo de 15 días hábiles contados a partir del día siguiente de la presente notificación. Se anexa acuse del oficio enviado al área competente. A la fecha, no se ha recibido respuesta por parte de dicha área, por lo que la Unidad de Transparencia contuinúa en espera de información solicitada.</w:t>
      </w:r>
    </w:p>
    <w:p w14:paraId="19CFE818" w14:textId="77777777" w:rsidR="00747E0E" w:rsidRPr="00686FB4" w:rsidRDefault="00747E0E" w:rsidP="00FF51E8">
      <w:pPr>
        <w:tabs>
          <w:tab w:val="left" w:pos="7371"/>
        </w:tabs>
        <w:spacing w:after="0"/>
        <w:ind w:left="851" w:right="616"/>
        <w:jc w:val="both"/>
        <w:rPr>
          <w:rFonts w:ascii="Palatino Linotype" w:eastAsia="Palatino Linotype" w:hAnsi="Palatino Linotype" w:cs="Palatino Linotype"/>
          <w:i/>
        </w:rPr>
      </w:pPr>
      <w:r w:rsidRPr="00686FB4">
        <w:rPr>
          <w:rFonts w:ascii="Palatino Linotype" w:eastAsia="Palatino Linotype" w:hAnsi="Palatino Linotype" w:cs="Palatino Linotype"/>
          <w:i/>
        </w:rPr>
        <w:t>ATENTAMENTE</w:t>
      </w:r>
    </w:p>
    <w:p w14:paraId="4248CF00" w14:textId="580791F2" w:rsidR="00506E7C" w:rsidRPr="00686FB4" w:rsidRDefault="00747E0E" w:rsidP="00FF51E8">
      <w:pPr>
        <w:tabs>
          <w:tab w:val="left" w:pos="7371"/>
        </w:tabs>
        <w:spacing w:after="0"/>
        <w:ind w:left="851" w:right="616"/>
        <w:jc w:val="both"/>
        <w:rPr>
          <w:rFonts w:ascii="Palatino Linotype" w:eastAsia="Palatino Linotype" w:hAnsi="Palatino Linotype" w:cs="Palatino Linotype"/>
          <w:i/>
        </w:rPr>
      </w:pPr>
      <w:r w:rsidRPr="00686FB4">
        <w:rPr>
          <w:rFonts w:ascii="Palatino Linotype" w:eastAsia="Palatino Linotype" w:hAnsi="Palatino Linotype" w:cs="Palatino Linotype"/>
          <w:i/>
        </w:rPr>
        <w:t>LICENCIADO Christian Alejandro Arellano Serrano</w:t>
      </w:r>
      <w:r w:rsidR="00506E7C" w:rsidRPr="00686FB4">
        <w:rPr>
          <w:rFonts w:ascii="Palatino Linotype" w:eastAsia="Palatino Linotype" w:hAnsi="Palatino Linotype" w:cs="Palatino Linotype"/>
          <w:i/>
        </w:rPr>
        <w:t>”</w:t>
      </w:r>
    </w:p>
    <w:p w14:paraId="7E3A0C29" w14:textId="77777777" w:rsidR="00506E7C" w:rsidRPr="00686FB4" w:rsidRDefault="00506E7C" w:rsidP="00FF51E8">
      <w:pPr>
        <w:tabs>
          <w:tab w:val="left" w:pos="7371"/>
        </w:tabs>
        <w:spacing w:after="0" w:line="360" w:lineRule="auto"/>
        <w:ind w:left="567" w:right="616"/>
        <w:jc w:val="both"/>
        <w:rPr>
          <w:rFonts w:ascii="Palatino Linotype" w:eastAsia="Palatino Linotype" w:hAnsi="Palatino Linotype" w:cs="Palatino Linotype"/>
          <w:i/>
        </w:rPr>
      </w:pPr>
    </w:p>
    <w:p w14:paraId="2FBA5189" w14:textId="77777777" w:rsidR="007A4D7A" w:rsidRPr="00686FB4" w:rsidRDefault="00506E7C"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Del mismo modo, 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adjuntó a su respuesta </w:t>
      </w:r>
      <w:r w:rsidR="007A4D7A" w:rsidRPr="00686FB4">
        <w:rPr>
          <w:rFonts w:ascii="Palatino Linotype" w:eastAsia="Palatino Linotype" w:hAnsi="Palatino Linotype" w:cs="Palatino Linotype"/>
        </w:rPr>
        <w:t xml:space="preserve">los siguientes </w:t>
      </w:r>
      <w:r w:rsidRPr="00686FB4">
        <w:rPr>
          <w:rFonts w:ascii="Palatino Linotype" w:eastAsia="Palatino Linotype" w:hAnsi="Palatino Linotype" w:cs="Palatino Linotype"/>
        </w:rPr>
        <w:t>archivo</w:t>
      </w:r>
      <w:r w:rsidR="007A4D7A" w:rsidRPr="00686FB4">
        <w:rPr>
          <w:rFonts w:ascii="Palatino Linotype" w:eastAsia="Palatino Linotype" w:hAnsi="Palatino Linotype" w:cs="Palatino Linotype"/>
        </w:rPr>
        <w:t>s</w:t>
      </w:r>
      <w:r w:rsidRPr="00686FB4">
        <w:rPr>
          <w:rFonts w:ascii="Palatino Linotype" w:eastAsia="Palatino Linotype" w:hAnsi="Palatino Linotype" w:cs="Palatino Linotype"/>
        </w:rPr>
        <w:t xml:space="preserve"> electrónico</w:t>
      </w:r>
      <w:r w:rsidR="007A4D7A" w:rsidRPr="00686FB4">
        <w:rPr>
          <w:rFonts w:ascii="Palatino Linotype" w:eastAsia="Palatino Linotype" w:hAnsi="Palatino Linotype" w:cs="Palatino Linotype"/>
        </w:rPr>
        <w:t xml:space="preserve">s: </w:t>
      </w:r>
    </w:p>
    <w:p w14:paraId="4750D246" w14:textId="77777777" w:rsidR="00CA4402" w:rsidRPr="00686FB4" w:rsidRDefault="00CA4402" w:rsidP="00FF51E8">
      <w:pPr>
        <w:spacing w:after="0" w:line="360" w:lineRule="auto"/>
        <w:ind w:right="49"/>
        <w:jc w:val="both"/>
        <w:rPr>
          <w:rFonts w:ascii="Palatino Linotype" w:eastAsia="Palatino Linotype" w:hAnsi="Palatino Linotype" w:cs="Palatino Linotype"/>
        </w:rPr>
      </w:pPr>
    </w:p>
    <w:p w14:paraId="703FA2A0" w14:textId="2B14148D" w:rsidR="00DD09D0" w:rsidRPr="00686FB4" w:rsidRDefault="005E138B" w:rsidP="00FF51E8">
      <w:pPr>
        <w:pStyle w:val="Prrafodelista"/>
        <w:numPr>
          <w:ilvl w:val="0"/>
          <w:numId w:val="12"/>
        </w:num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bCs/>
          <w:i/>
          <w:iCs/>
        </w:rPr>
        <w:t>Acuse de la Sol. 00052-2026.pdf</w:t>
      </w:r>
      <w:r w:rsidR="007A4D7A" w:rsidRPr="00686FB4">
        <w:rPr>
          <w:rFonts w:ascii="Palatino Linotype" w:eastAsia="Palatino Linotype" w:hAnsi="Palatino Linotype" w:cs="Palatino Linotype"/>
        </w:rPr>
        <w:t xml:space="preserve">: oficio </w:t>
      </w:r>
      <w:r w:rsidRPr="00686FB4">
        <w:rPr>
          <w:rFonts w:ascii="Palatino Linotype" w:eastAsia="Palatino Linotype" w:hAnsi="Palatino Linotype" w:cs="Palatino Linotype"/>
        </w:rPr>
        <w:t xml:space="preserve">número STGAJ/UT/141/2026 </w:t>
      </w:r>
      <w:r w:rsidR="007A4D7A" w:rsidRPr="00686FB4">
        <w:rPr>
          <w:rFonts w:ascii="Palatino Linotype" w:eastAsia="Palatino Linotype" w:hAnsi="Palatino Linotype" w:cs="Palatino Linotype"/>
        </w:rPr>
        <w:t xml:space="preserve">suscrito por el </w:t>
      </w:r>
      <w:r w:rsidRPr="00686FB4">
        <w:rPr>
          <w:rFonts w:ascii="Palatino Linotype" w:eastAsia="Palatino Linotype" w:hAnsi="Palatino Linotype" w:cs="Palatino Linotype"/>
        </w:rPr>
        <w:t xml:space="preserve">Suplente del </w:t>
      </w:r>
      <w:r w:rsidR="007A4D7A" w:rsidRPr="00686FB4">
        <w:rPr>
          <w:rFonts w:ascii="Palatino Linotype" w:eastAsia="Palatino Linotype" w:hAnsi="Palatino Linotype" w:cs="Palatino Linotype"/>
        </w:rPr>
        <w:t>Titular de la Unidad de Transparencia mediante el cual</w:t>
      </w:r>
      <w:r w:rsidRPr="00686FB4">
        <w:rPr>
          <w:rFonts w:ascii="Palatino Linotype" w:eastAsia="Palatino Linotype" w:hAnsi="Palatino Linotype" w:cs="Palatino Linotype"/>
        </w:rPr>
        <w:t xml:space="preserve"> solicitó a la Coordinadora de Recursos Humanos la entrega de la información solicitada. </w:t>
      </w:r>
    </w:p>
    <w:p w14:paraId="33D2A3BE" w14:textId="77777777" w:rsidR="00506E7C" w:rsidRPr="00686FB4" w:rsidRDefault="00506E7C"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32E081D9" w14:textId="147E1A42" w:rsidR="000A372D" w:rsidRPr="00686FB4" w:rsidRDefault="00DA4FFE" w:rsidP="00FF51E8">
      <w:pPr>
        <w:numPr>
          <w:ilvl w:val="0"/>
          <w:numId w:val="1"/>
        </w:numPr>
        <w:pBdr>
          <w:top w:val="nil"/>
          <w:left w:val="nil"/>
          <w:bottom w:val="nil"/>
          <w:right w:val="nil"/>
          <w:between w:val="nil"/>
        </w:pBdr>
        <w:spacing w:after="0" w:line="360" w:lineRule="auto"/>
        <w:ind w:left="0" w:right="49" w:firstLine="0"/>
        <w:jc w:val="both"/>
        <w:rPr>
          <w:rFonts w:ascii="Palatino Linotype" w:eastAsia="Palatino Linotype" w:hAnsi="Palatino Linotype" w:cs="Palatino Linotype"/>
        </w:rPr>
      </w:pPr>
      <w:r w:rsidRPr="00686FB4">
        <w:rPr>
          <w:rFonts w:ascii="Palatino Linotype" w:eastAsia="Palatino Linotype" w:hAnsi="Palatino Linotype" w:cs="Palatino Linotype"/>
          <w:b/>
          <w:bCs/>
        </w:rPr>
        <w:lastRenderedPageBreak/>
        <w:t xml:space="preserve">Recurso de Revisión. </w:t>
      </w:r>
      <w:r w:rsidRPr="00686FB4">
        <w:rPr>
          <w:rFonts w:ascii="Palatino Linotype" w:eastAsia="Palatino Linotype" w:hAnsi="Palatino Linotype" w:cs="Palatino Linotype"/>
        </w:rPr>
        <w:t xml:space="preserve">En fecha </w:t>
      </w:r>
      <w:r w:rsidR="005E138B" w:rsidRPr="00686FB4">
        <w:rPr>
          <w:rFonts w:ascii="Palatino Linotype" w:eastAsia="Palatino Linotype" w:hAnsi="Palatino Linotype" w:cs="Palatino Linotype"/>
          <w:b/>
          <w:bCs/>
        </w:rPr>
        <w:t>cinco de junio</w:t>
      </w:r>
      <w:r w:rsidR="0038691D" w:rsidRPr="00686FB4">
        <w:rPr>
          <w:rFonts w:ascii="Palatino Linotype" w:eastAsia="Palatino Linotype" w:hAnsi="Palatino Linotype" w:cs="Palatino Linotype"/>
          <w:b/>
          <w:bCs/>
        </w:rPr>
        <w:t xml:space="preserve"> </w:t>
      </w:r>
      <w:r w:rsidR="00D617E9" w:rsidRPr="00686FB4">
        <w:rPr>
          <w:rFonts w:ascii="Palatino Linotype" w:eastAsia="Palatino Linotype" w:hAnsi="Palatino Linotype" w:cs="Palatino Linotype"/>
          <w:b/>
          <w:bCs/>
        </w:rPr>
        <w:t>de dos mil veintiséis</w:t>
      </w:r>
      <w:r w:rsidRPr="00686FB4">
        <w:rPr>
          <w:rFonts w:ascii="Palatino Linotype" w:eastAsia="Palatino Linotype" w:hAnsi="Palatino Linotype" w:cs="Palatino Linotype"/>
        </w:rPr>
        <w:t xml:space="preserve"> la persona Solicitante interpuso Recurso de Revisión a través del </w:t>
      </w:r>
      <w:r w:rsidRPr="00686FB4">
        <w:rPr>
          <w:rFonts w:ascii="Palatino Linotype" w:eastAsia="Palatino Linotype" w:hAnsi="Palatino Linotype" w:cs="Palatino Linotype"/>
          <w:b/>
          <w:bCs/>
        </w:rPr>
        <w:t>SAIMEX</w:t>
      </w:r>
      <w:r w:rsidRPr="00686FB4">
        <w:rPr>
          <w:rFonts w:ascii="Palatino Linotype" w:eastAsia="Palatino Linotype" w:hAnsi="Palatino Linotype" w:cs="Palatino Linotype"/>
        </w:rPr>
        <w:t>, a través del cual expresó lo siguiente:</w:t>
      </w:r>
    </w:p>
    <w:p w14:paraId="69E222CB" w14:textId="77777777" w:rsidR="000A372D" w:rsidRPr="00686FB4" w:rsidRDefault="000A372D" w:rsidP="00FF51E8">
      <w:pPr>
        <w:pBdr>
          <w:top w:val="nil"/>
          <w:left w:val="nil"/>
          <w:bottom w:val="nil"/>
          <w:right w:val="nil"/>
          <w:between w:val="nil"/>
        </w:pBdr>
        <w:tabs>
          <w:tab w:val="left" w:pos="1276"/>
        </w:tabs>
        <w:spacing w:after="0" w:line="360" w:lineRule="auto"/>
        <w:ind w:left="567" w:right="701"/>
        <w:jc w:val="both"/>
        <w:rPr>
          <w:rFonts w:ascii="Palatino Linotype" w:eastAsia="Palatino Linotype" w:hAnsi="Palatino Linotype" w:cs="Palatino Linotype"/>
          <w:b/>
          <w:bCs/>
        </w:rPr>
      </w:pPr>
    </w:p>
    <w:p w14:paraId="235DB218" w14:textId="77777777" w:rsidR="000A372D" w:rsidRPr="00686FB4" w:rsidRDefault="00DA4FFE" w:rsidP="00FF51E8">
      <w:pPr>
        <w:pBdr>
          <w:top w:val="nil"/>
          <w:left w:val="nil"/>
          <w:bottom w:val="nil"/>
          <w:right w:val="nil"/>
          <w:between w:val="nil"/>
        </w:pBdr>
        <w:tabs>
          <w:tab w:val="left" w:pos="1276"/>
        </w:tabs>
        <w:spacing w:after="0" w:line="360" w:lineRule="auto"/>
        <w:ind w:left="851" w:right="701"/>
        <w:jc w:val="both"/>
        <w:rPr>
          <w:rFonts w:ascii="Palatino Linotype" w:eastAsia="Palatino Linotype" w:hAnsi="Palatino Linotype" w:cs="Palatino Linotype"/>
          <w:b/>
          <w:bCs/>
          <w:i/>
          <w:iCs/>
        </w:rPr>
      </w:pPr>
      <w:r w:rsidRPr="00686FB4">
        <w:rPr>
          <w:rFonts w:ascii="Palatino Linotype" w:eastAsia="Palatino Linotype" w:hAnsi="Palatino Linotype" w:cs="Palatino Linotype"/>
          <w:b/>
          <w:bCs/>
        </w:rPr>
        <w:t>Acto impugnado</w:t>
      </w:r>
      <w:r w:rsidRPr="00686FB4">
        <w:rPr>
          <w:rFonts w:ascii="Palatino Linotype" w:eastAsia="Palatino Linotype" w:hAnsi="Palatino Linotype" w:cs="Palatino Linotype"/>
          <w:b/>
          <w:bCs/>
          <w:i/>
          <w:iCs/>
        </w:rPr>
        <w:t xml:space="preserve">. </w:t>
      </w:r>
    </w:p>
    <w:p w14:paraId="5C860F38" w14:textId="10ACBDF0" w:rsidR="000A372D" w:rsidRPr="00686FB4" w:rsidRDefault="00DA4FFE" w:rsidP="00FF51E8">
      <w:pPr>
        <w:pBdr>
          <w:top w:val="nil"/>
          <w:left w:val="nil"/>
          <w:bottom w:val="nil"/>
          <w:right w:val="nil"/>
          <w:between w:val="nil"/>
        </w:pBdr>
        <w:tabs>
          <w:tab w:val="left" w:pos="1276"/>
        </w:tabs>
        <w:spacing w:after="0"/>
        <w:ind w:left="851" w:right="701"/>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w:t>
      </w:r>
      <w:r w:rsidR="005E138B" w:rsidRPr="00686FB4">
        <w:rPr>
          <w:rFonts w:ascii="Palatino Linotype" w:eastAsia="Palatino Linotype" w:hAnsi="Palatino Linotype" w:cs="Palatino Linotype"/>
          <w:i/>
          <w:iCs/>
        </w:rPr>
        <w:t>por dedio de la presente me inconformo ante el INFOEM, ya que mi solicitud presentada a travez de este medio NO se me entrego la informacion solicitada, y hago uso de mis derechos para que el Infoem ponga cartas en el asunto</w:t>
      </w:r>
      <w:r w:rsidRPr="00686FB4">
        <w:rPr>
          <w:rFonts w:ascii="Palatino Linotype" w:eastAsia="Palatino Linotype" w:hAnsi="Palatino Linotype" w:cs="Palatino Linotype"/>
          <w:i/>
          <w:iCs/>
        </w:rPr>
        <w:t>” (sic)</w:t>
      </w:r>
    </w:p>
    <w:p w14:paraId="1E02C2A5" w14:textId="77777777" w:rsidR="006B2C4B" w:rsidRPr="00686FB4" w:rsidRDefault="006B2C4B" w:rsidP="00FF51E8">
      <w:pPr>
        <w:pBdr>
          <w:top w:val="nil"/>
          <w:left w:val="nil"/>
          <w:bottom w:val="nil"/>
          <w:right w:val="nil"/>
          <w:between w:val="nil"/>
        </w:pBdr>
        <w:tabs>
          <w:tab w:val="left" w:pos="1276"/>
        </w:tabs>
        <w:spacing w:after="0" w:line="360" w:lineRule="auto"/>
        <w:ind w:left="851" w:right="701"/>
        <w:jc w:val="both"/>
        <w:rPr>
          <w:rFonts w:ascii="Palatino Linotype" w:eastAsia="Palatino Linotype" w:hAnsi="Palatino Linotype" w:cs="Palatino Linotype"/>
          <w:b/>
          <w:bCs/>
        </w:rPr>
      </w:pPr>
    </w:p>
    <w:p w14:paraId="6AF1EB9C" w14:textId="77777777" w:rsidR="000A372D" w:rsidRPr="00686FB4" w:rsidRDefault="00DA4FFE" w:rsidP="00FF51E8">
      <w:pPr>
        <w:pBdr>
          <w:top w:val="nil"/>
          <w:left w:val="nil"/>
          <w:bottom w:val="nil"/>
          <w:right w:val="nil"/>
          <w:between w:val="nil"/>
        </w:pBdr>
        <w:tabs>
          <w:tab w:val="left" w:pos="1276"/>
        </w:tabs>
        <w:spacing w:after="0" w:line="360" w:lineRule="auto"/>
        <w:ind w:left="851" w:right="701"/>
        <w:jc w:val="both"/>
        <w:rPr>
          <w:rFonts w:ascii="Palatino Linotype" w:eastAsia="Palatino Linotype" w:hAnsi="Palatino Linotype" w:cs="Palatino Linotype"/>
          <w:b/>
          <w:bCs/>
        </w:rPr>
      </w:pPr>
      <w:r w:rsidRPr="00686FB4">
        <w:rPr>
          <w:rFonts w:ascii="Palatino Linotype" w:eastAsia="Palatino Linotype" w:hAnsi="Palatino Linotype" w:cs="Palatino Linotype"/>
          <w:b/>
          <w:bCs/>
        </w:rPr>
        <w:t xml:space="preserve">Razones o motivos de la inconformidad: </w:t>
      </w:r>
    </w:p>
    <w:p w14:paraId="5DE8BE4D" w14:textId="611DC219" w:rsidR="000A372D" w:rsidRPr="00686FB4" w:rsidRDefault="00DA4FFE" w:rsidP="00FF51E8">
      <w:pPr>
        <w:pBdr>
          <w:top w:val="nil"/>
          <w:left w:val="nil"/>
          <w:bottom w:val="nil"/>
          <w:right w:val="nil"/>
          <w:between w:val="nil"/>
        </w:pBdr>
        <w:tabs>
          <w:tab w:val="left" w:pos="1276"/>
        </w:tabs>
        <w:spacing w:after="0"/>
        <w:ind w:left="851" w:right="701"/>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w:t>
      </w:r>
      <w:r w:rsidR="005E138B" w:rsidRPr="00686FB4">
        <w:rPr>
          <w:rFonts w:ascii="Palatino Linotype" w:eastAsia="Palatino Linotype" w:hAnsi="Palatino Linotype" w:cs="Palatino Linotype"/>
          <w:i/>
          <w:iCs/>
        </w:rPr>
        <w:t>nio se me entrego la informacion solicitada</w:t>
      </w:r>
      <w:r w:rsidR="00123D1E" w:rsidRPr="00686FB4">
        <w:rPr>
          <w:rFonts w:ascii="Palatino Linotype" w:eastAsia="Palatino Linotype" w:hAnsi="Palatino Linotype" w:cs="Palatino Linotype"/>
          <w:i/>
          <w:iCs/>
        </w:rPr>
        <w:t>”</w:t>
      </w:r>
      <w:r w:rsidRPr="00686FB4">
        <w:rPr>
          <w:rFonts w:ascii="Palatino Linotype" w:eastAsia="Palatino Linotype" w:hAnsi="Palatino Linotype" w:cs="Palatino Linotype"/>
          <w:i/>
          <w:iCs/>
        </w:rPr>
        <w:t xml:space="preserve"> (sic)</w:t>
      </w:r>
    </w:p>
    <w:p w14:paraId="3E8A3A80" w14:textId="77777777" w:rsidR="00123D1E" w:rsidRPr="00686FB4" w:rsidRDefault="00123D1E" w:rsidP="00FF51E8">
      <w:pPr>
        <w:pBdr>
          <w:top w:val="nil"/>
          <w:left w:val="nil"/>
          <w:bottom w:val="nil"/>
          <w:right w:val="nil"/>
          <w:between w:val="nil"/>
        </w:pBdr>
        <w:tabs>
          <w:tab w:val="left" w:pos="1276"/>
        </w:tabs>
        <w:spacing w:after="0"/>
        <w:ind w:right="701"/>
        <w:jc w:val="both"/>
        <w:rPr>
          <w:rFonts w:ascii="Palatino Linotype" w:eastAsia="Palatino Linotype" w:hAnsi="Palatino Linotype" w:cs="Palatino Linotype"/>
          <w:i/>
          <w:iCs/>
        </w:rPr>
      </w:pPr>
    </w:p>
    <w:p w14:paraId="57F30A3A" w14:textId="41D952E7" w:rsidR="000A372D" w:rsidRPr="00686FB4" w:rsidRDefault="00DA4FFE" w:rsidP="00FF51E8">
      <w:pPr>
        <w:numPr>
          <w:ilvl w:val="0"/>
          <w:numId w:val="1"/>
        </w:numPr>
        <w:pBdr>
          <w:top w:val="nil"/>
          <w:left w:val="nil"/>
          <w:bottom w:val="nil"/>
          <w:right w:val="nil"/>
          <w:between w:val="nil"/>
        </w:pBdr>
        <w:spacing w:after="0" w:line="360" w:lineRule="auto"/>
        <w:ind w:left="0" w:right="49" w:firstLine="0"/>
        <w:jc w:val="both"/>
        <w:rPr>
          <w:rFonts w:ascii="Palatino Linotype" w:eastAsia="Palatino Linotype" w:hAnsi="Palatino Linotype" w:cs="Palatino Linotype"/>
        </w:rPr>
      </w:pPr>
      <w:r w:rsidRPr="00686FB4">
        <w:rPr>
          <w:rFonts w:ascii="Palatino Linotype" w:eastAsia="Palatino Linotype" w:hAnsi="Palatino Linotype" w:cs="Palatino Linotype"/>
          <w:b/>
          <w:bCs/>
        </w:rPr>
        <w:t>Turno.</w:t>
      </w:r>
      <w:r w:rsidRPr="00686FB4">
        <w:rPr>
          <w:rFonts w:ascii="Palatino Linotype" w:eastAsia="Palatino Linotype" w:hAnsi="Palatino Linotype" w:cs="Palatino Linotype"/>
        </w:rPr>
        <w:t xml:space="preserve"> De conformidad con el artículo 185, fracción I de la Ley de Transparencia y Acceso a la Información Pública del Estado de México y Municipios, el recurso de revisión número </w:t>
      </w:r>
      <w:r w:rsidR="00123D1E" w:rsidRPr="00686FB4">
        <w:rPr>
          <w:rFonts w:ascii="Palatino Linotype" w:eastAsia="Palatino Linotype" w:hAnsi="Palatino Linotype" w:cs="Palatino Linotype"/>
          <w:b/>
          <w:bCs/>
        </w:rPr>
        <w:t>0</w:t>
      </w:r>
      <w:r w:rsidR="005E138B" w:rsidRPr="00686FB4">
        <w:rPr>
          <w:rFonts w:ascii="Palatino Linotype" w:eastAsia="Palatino Linotype" w:hAnsi="Palatino Linotype" w:cs="Palatino Linotype"/>
          <w:b/>
          <w:bCs/>
        </w:rPr>
        <w:t>6067</w:t>
      </w:r>
      <w:r w:rsidRPr="00686FB4">
        <w:rPr>
          <w:rFonts w:ascii="Palatino Linotype" w:eastAsia="Palatino Linotype" w:hAnsi="Palatino Linotype" w:cs="Palatino Linotype"/>
          <w:b/>
          <w:bCs/>
        </w:rPr>
        <w:t>/INFOEM/IP/RR/2026</w:t>
      </w:r>
      <w:r w:rsidRPr="00686FB4">
        <w:rPr>
          <w:rFonts w:ascii="Palatino Linotype" w:eastAsia="Palatino Linotype" w:hAnsi="Palatino Linotype" w:cs="Palatino Linotype"/>
        </w:rPr>
        <w:t>, se turnó por el sistema electrónico del Instituto de Transparencia, Acceso a la Información Pública y Protección de Datos Personales del Estado de México y Municipios, a la Comisionada Guadalupe Ramírez Peña para su análisis, estudio, elaboración del proyecto y presentación ante el Pleno de este Instituto.</w:t>
      </w:r>
    </w:p>
    <w:p w14:paraId="21DC4916" w14:textId="77777777" w:rsidR="000A372D" w:rsidRPr="00686FB4" w:rsidRDefault="000A372D" w:rsidP="00FF51E8">
      <w:pPr>
        <w:pBdr>
          <w:top w:val="nil"/>
          <w:left w:val="nil"/>
          <w:bottom w:val="nil"/>
          <w:right w:val="nil"/>
          <w:between w:val="nil"/>
        </w:pBdr>
        <w:spacing w:after="0" w:line="360" w:lineRule="auto"/>
        <w:ind w:right="49"/>
        <w:jc w:val="both"/>
        <w:rPr>
          <w:rFonts w:ascii="Palatino Linotype" w:eastAsia="Palatino Linotype" w:hAnsi="Palatino Linotype" w:cs="Palatino Linotype"/>
        </w:rPr>
      </w:pPr>
    </w:p>
    <w:p w14:paraId="1AEC87B1" w14:textId="24FE4614" w:rsidR="000A372D" w:rsidRPr="00686FB4" w:rsidRDefault="00DA4FFE" w:rsidP="00FF51E8">
      <w:pPr>
        <w:numPr>
          <w:ilvl w:val="0"/>
          <w:numId w:val="1"/>
        </w:numPr>
        <w:pBdr>
          <w:top w:val="nil"/>
          <w:left w:val="nil"/>
          <w:bottom w:val="nil"/>
          <w:right w:val="nil"/>
          <w:between w:val="nil"/>
        </w:pBdr>
        <w:spacing w:after="0" w:line="360" w:lineRule="auto"/>
        <w:ind w:left="0" w:right="49" w:firstLine="0"/>
        <w:jc w:val="both"/>
        <w:rPr>
          <w:rFonts w:ascii="Palatino Linotype" w:eastAsia="Palatino Linotype" w:hAnsi="Palatino Linotype" w:cs="Palatino Linotype"/>
        </w:rPr>
      </w:pPr>
      <w:r w:rsidRPr="00686FB4">
        <w:rPr>
          <w:rFonts w:ascii="Palatino Linotype" w:eastAsia="Palatino Linotype" w:hAnsi="Palatino Linotype" w:cs="Palatino Linotype"/>
          <w:b/>
          <w:bCs/>
        </w:rPr>
        <w:t>Admisión del recurso de revisión</w:t>
      </w:r>
      <w:r w:rsidRPr="00686FB4">
        <w:rPr>
          <w:rFonts w:ascii="Palatino Linotype" w:eastAsia="Palatino Linotype" w:hAnsi="Palatino Linotype" w:cs="Palatino Linotype"/>
        </w:rPr>
        <w:t>: En fecha</w:t>
      </w:r>
      <w:r w:rsidRPr="00686FB4">
        <w:rPr>
          <w:rFonts w:ascii="Palatino Linotype" w:eastAsia="Palatino Linotype" w:hAnsi="Palatino Linotype" w:cs="Palatino Linotype"/>
          <w:b/>
          <w:bCs/>
        </w:rPr>
        <w:t xml:space="preserve"> </w:t>
      </w:r>
      <w:r w:rsidR="005E138B" w:rsidRPr="00686FB4">
        <w:rPr>
          <w:rFonts w:ascii="Palatino Linotype" w:eastAsia="Palatino Linotype" w:hAnsi="Palatino Linotype" w:cs="Palatino Linotype"/>
          <w:b/>
          <w:bCs/>
        </w:rPr>
        <w:t>nueve de junio</w:t>
      </w:r>
      <w:r w:rsidRPr="00686FB4">
        <w:rPr>
          <w:rFonts w:ascii="Palatino Linotype" w:eastAsia="Palatino Linotype" w:hAnsi="Palatino Linotype" w:cs="Palatino Linotype"/>
          <w:b/>
          <w:bCs/>
        </w:rPr>
        <w:t xml:space="preserve"> de dos mil veintiséis</w:t>
      </w:r>
      <w:r w:rsidRPr="00686FB4">
        <w:rPr>
          <w:rFonts w:ascii="Palatino Linotype" w:eastAsia="Palatino Linotype" w:hAnsi="Palatino Linotype" w:cs="Palatino Linotype"/>
        </w:rPr>
        <w:t xml:space="preserve">, la Comisionada Ponente admitió a trámite el recurso de revisión que ahora se resuelve, dando un plazo máximo de siete días hábiles para que las partes manifestaran lo que a su derecho resultara conveniente, ofrecieran pruebas, formularan alegatos y el Sujeto Obligado presentara su informe justificado. </w:t>
      </w:r>
    </w:p>
    <w:p w14:paraId="7F1E5BB3" w14:textId="77777777" w:rsidR="000A372D" w:rsidRPr="00686FB4" w:rsidRDefault="000A372D" w:rsidP="00FF51E8">
      <w:pPr>
        <w:pBdr>
          <w:top w:val="nil"/>
          <w:left w:val="nil"/>
          <w:bottom w:val="nil"/>
          <w:right w:val="nil"/>
          <w:between w:val="nil"/>
        </w:pBdr>
        <w:spacing w:after="0" w:line="360" w:lineRule="auto"/>
        <w:ind w:right="49"/>
        <w:jc w:val="both"/>
        <w:rPr>
          <w:rFonts w:ascii="Palatino Linotype" w:eastAsia="Palatino Linotype" w:hAnsi="Palatino Linotype" w:cs="Palatino Linotype"/>
        </w:rPr>
      </w:pPr>
    </w:p>
    <w:p w14:paraId="3CFE9474" w14:textId="77777777" w:rsidR="005E138B" w:rsidRPr="00686FB4" w:rsidRDefault="00DA4FFE" w:rsidP="00FF51E8">
      <w:pPr>
        <w:numPr>
          <w:ilvl w:val="0"/>
          <w:numId w:val="1"/>
        </w:numPr>
        <w:pBdr>
          <w:top w:val="nil"/>
          <w:left w:val="nil"/>
          <w:bottom w:val="nil"/>
          <w:right w:val="nil"/>
          <w:between w:val="nil"/>
        </w:pBdr>
        <w:spacing w:after="0" w:line="360" w:lineRule="auto"/>
        <w:ind w:left="0" w:right="49" w:firstLine="0"/>
        <w:jc w:val="both"/>
        <w:rPr>
          <w:rFonts w:ascii="Palatino Linotype" w:eastAsia="Palatino Linotype" w:hAnsi="Palatino Linotype" w:cs="Palatino Linotype"/>
        </w:rPr>
      </w:pPr>
      <w:r w:rsidRPr="00686FB4">
        <w:rPr>
          <w:rFonts w:ascii="Palatino Linotype" w:eastAsia="Palatino Linotype" w:hAnsi="Palatino Linotype" w:cs="Palatino Linotype"/>
          <w:b/>
          <w:bCs/>
        </w:rPr>
        <w:t xml:space="preserve">Manifestaciones: </w:t>
      </w:r>
      <w:r w:rsidRPr="00686FB4">
        <w:rPr>
          <w:rFonts w:ascii="Palatino Linotype" w:eastAsia="Palatino Linotype" w:hAnsi="Palatino Linotype" w:cs="Palatino Linotype"/>
        </w:rPr>
        <w:t xml:space="preserve">De las constancias que obran en el expediente electrónico del </w:t>
      </w:r>
      <w:r w:rsidRPr="00686FB4">
        <w:rPr>
          <w:rFonts w:ascii="Palatino Linotype" w:eastAsia="Palatino Linotype" w:hAnsi="Palatino Linotype" w:cs="Palatino Linotype"/>
          <w:b/>
          <w:bCs/>
        </w:rPr>
        <w:t>SAIMEX</w:t>
      </w:r>
      <w:r w:rsidRPr="00686FB4">
        <w:rPr>
          <w:rFonts w:ascii="Palatino Linotype" w:eastAsia="Palatino Linotype" w:hAnsi="Palatino Linotype" w:cs="Palatino Linotype"/>
        </w:rPr>
        <w:t xml:space="preserve">, se advierte que, </w:t>
      </w:r>
      <w:r w:rsidR="0038691D" w:rsidRPr="00686FB4">
        <w:rPr>
          <w:rFonts w:ascii="Palatino Linotype" w:eastAsia="Palatino Linotype" w:hAnsi="Palatino Linotype" w:cs="Palatino Linotype"/>
        </w:rPr>
        <w:t xml:space="preserve">en fecha </w:t>
      </w:r>
      <w:r w:rsidR="005E138B" w:rsidRPr="00686FB4">
        <w:rPr>
          <w:rFonts w:ascii="Palatino Linotype" w:eastAsia="Palatino Linotype" w:hAnsi="Palatino Linotype" w:cs="Palatino Linotype"/>
          <w:b/>
          <w:bCs/>
        </w:rPr>
        <w:t>diez de junio</w:t>
      </w:r>
      <w:r w:rsidR="0038691D" w:rsidRPr="00686FB4">
        <w:rPr>
          <w:rFonts w:ascii="Palatino Linotype" w:eastAsia="Palatino Linotype" w:hAnsi="Palatino Linotype" w:cs="Palatino Linotype"/>
          <w:b/>
          <w:bCs/>
        </w:rPr>
        <w:t xml:space="preserve"> de dos mil veintiséis</w:t>
      </w:r>
      <w:r w:rsidRPr="00686FB4">
        <w:rPr>
          <w:rFonts w:ascii="Palatino Linotype" w:eastAsia="Palatino Linotype" w:hAnsi="Palatino Linotype" w:cs="Palatino Linotype"/>
        </w:rPr>
        <w:t xml:space="preserve"> el </w:t>
      </w:r>
      <w:r w:rsidRPr="00686FB4">
        <w:rPr>
          <w:rFonts w:ascii="Palatino Linotype" w:eastAsia="Palatino Linotype" w:hAnsi="Palatino Linotype" w:cs="Palatino Linotype"/>
          <w:b/>
          <w:bCs/>
        </w:rPr>
        <w:t>Sujeto Obligado</w:t>
      </w:r>
      <w:r w:rsidRPr="00686FB4">
        <w:rPr>
          <w:rFonts w:ascii="Palatino Linotype" w:eastAsia="Palatino Linotype" w:hAnsi="Palatino Linotype" w:cs="Palatino Linotype"/>
        </w:rPr>
        <w:t xml:space="preserve"> </w:t>
      </w:r>
      <w:r w:rsidR="0038691D" w:rsidRPr="00686FB4">
        <w:rPr>
          <w:rFonts w:ascii="Palatino Linotype" w:eastAsia="Palatino Linotype" w:hAnsi="Palatino Linotype" w:cs="Palatino Linotype"/>
        </w:rPr>
        <w:t xml:space="preserve">rindió su informe justificado </w:t>
      </w:r>
      <w:r w:rsidR="009339FC" w:rsidRPr="00686FB4">
        <w:rPr>
          <w:rFonts w:ascii="Palatino Linotype" w:eastAsia="Palatino Linotype" w:hAnsi="Palatino Linotype" w:cs="Palatino Linotype"/>
        </w:rPr>
        <w:t xml:space="preserve">a través de los </w:t>
      </w:r>
      <w:r w:rsidR="005E138B" w:rsidRPr="00686FB4">
        <w:rPr>
          <w:rFonts w:ascii="Palatino Linotype" w:eastAsia="Palatino Linotype" w:hAnsi="Palatino Linotype" w:cs="Palatino Linotype"/>
        </w:rPr>
        <w:t xml:space="preserve">siguientes </w:t>
      </w:r>
      <w:r w:rsidR="009339FC" w:rsidRPr="00686FB4">
        <w:rPr>
          <w:rFonts w:ascii="Palatino Linotype" w:eastAsia="Palatino Linotype" w:hAnsi="Palatino Linotype" w:cs="Palatino Linotype"/>
        </w:rPr>
        <w:t>archivos electrónicos</w:t>
      </w:r>
      <w:r w:rsidR="005E138B" w:rsidRPr="00686FB4">
        <w:rPr>
          <w:rFonts w:ascii="Palatino Linotype" w:eastAsia="Palatino Linotype" w:hAnsi="Palatino Linotype" w:cs="Palatino Linotype"/>
        </w:rPr>
        <w:t xml:space="preserve">: </w:t>
      </w:r>
    </w:p>
    <w:p w14:paraId="3E8DC1AC" w14:textId="77777777" w:rsidR="00CA4402" w:rsidRPr="00686FB4" w:rsidRDefault="00CA4402" w:rsidP="00CA4402">
      <w:pPr>
        <w:pBdr>
          <w:top w:val="nil"/>
          <w:left w:val="nil"/>
          <w:bottom w:val="nil"/>
          <w:right w:val="nil"/>
          <w:between w:val="nil"/>
        </w:pBdr>
        <w:spacing w:after="0" w:line="360" w:lineRule="auto"/>
        <w:ind w:right="49"/>
        <w:jc w:val="both"/>
        <w:rPr>
          <w:rFonts w:ascii="Palatino Linotype" w:eastAsia="Palatino Linotype" w:hAnsi="Palatino Linotype" w:cs="Palatino Linotype"/>
        </w:rPr>
      </w:pPr>
    </w:p>
    <w:p w14:paraId="71899817" w14:textId="46AD4732" w:rsidR="005E138B" w:rsidRPr="00686FB4" w:rsidRDefault="005E138B" w:rsidP="00FF51E8">
      <w:pPr>
        <w:pStyle w:val="Prrafodelista"/>
        <w:numPr>
          <w:ilvl w:val="0"/>
          <w:numId w:val="12"/>
        </w:numPr>
        <w:pBdr>
          <w:top w:val="nil"/>
          <w:left w:val="nil"/>
          <w:bottom w:val="nil"/>
          <w:right w:val="nil"/>
          <w:between w:val="nil"/>
        </w:pBd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i/>
        </w:rPr>
        <w:t>CERTIFICACION COORD. DE CATASTRO (1).pdf</w:t>
      </w:r>
      <w:r w:rsidRPr="00686FB4">
        <w:rPr>
          <w:rFonts w:ascii="Palatino Linotype" w:eastAsia="Palatino Linotype" w:hAnsi="Palatino Linotype" w:cs="Palatino Linotype"/>
        </w:rPr>
        <w:t xml:space="preserve">: Certificado de Competencia Laboral en la Norma Institucional </w:t>
      </w:r>
      <w:r w:rsidRPr="00686FB4">
        <w:rPr>
          <w:rFonts w:ascii="Palatino Linotype" w:eastAsia="Palatino Linotype" w:hAnsi="Palatino Linotype" w:cs="Palatino Linotype"/>
          <w:i/>
        </w:rPr>
        <w:t>“Administración de la actividad catastral en el Estado de México y Municipios”</w:t>
      </w:r>
      <w:r w:rsidRPr="00686FB4">
        <w:rPr>
          <w:rFonts w:ascii="Palatino Linotype" w:eastAsia="Palatino Linotype" w:hAnsi="Palatino Linotype" w:cs="Palatino Linotype"/>
        </w:rPr>
        <w:t xml:space="preserve">. </w:t>
      </w:r>
    </w:p>
    <w:p w14:paraId="469CAFF4" w14:textId="749A689D" w:rsidR="005E138B" w:rsidRPr="00686FB4" w:rsidRDefault="005E138B" w:rsidP="00FF51E8">
      <w:pPr>
        <w:pStyle w:val="Prrafodelista"/>
        <w:numPr>
          <w:ilvl w:val="0"/>
          <w:numId w:val="12"/>
        </w:numPr>
        <w:pBdr>
          <w:top w:val="nil"/>
          <w:left w:val="nil"/>
          <w:bottom w:val="nil"/>
          <w:right w:val="nil"/>
          <w:between w:val="nil"/>
        </w:pBd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i/>
        </w:rPr>
        <w:t>RECIBOS PERSONAL DE CATASTRO (1).pdf</w:t>
      </w:r>
      <w:r w:rsidRPr="00686FB4">
        <w:rPr>
          <w:rFonts w:ascii="Palatino Linotype" w:eastAsia="Palatino Linotype" w:hAnsi="Palatino Linotype" w:cs="Palatino Linotype"/>
        </w:rPr>
        <w:t xml:space="preserve">: Contiene siete recibos de nómina, correspondientes a la primera quincena de mayo de dos mil veintiséis, en versión pública. </w:t>
      </w:r>
    </w:p>
    <w:p w14:paraId="0416F863" w14:textId="7B57612B" w:rsidR="005E138B" w:rsidRPr="00686FB4" w:rsidRDefault="005E138B" w:rsidP="00FF51E8">
      <w:pPr>
        <w:pStyle w:val="Prrafodelista"/>
        <w:numPr>
          <w:ilvl w:val="0"/>
          <w:numId w:val="12"/>
        </w:numPr>
        <w:pBdr>
          <w:top w:val="nil"/>
          <w:left w:val="nil"/>
          <w:bottom w:val="nil"/>
          <w:right w:val="nil"/>
          <w:between w:val="nil"/>
        </w:pBd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i/>
        </w:rPr>
        <w:t>CV COORD. Y PERSONAL DE CATASTRO (1).pdf</w:t>
      </w:r>
      <w:r w:rsidR="004439E7" w:rsidRPr="00686FB4">
        <w:rPr>
          <w:rFonts w:ascii="Palatino Linotype" w:eastAsia="Palatino Linotype" w:hAnsi="Palatino Linotype" w:cs="Palatino Linotype"/>
        </w:rPr>
        <w:t xml:space="preserve">: Contiene </w:t>
      </w:r>
      <w:r w:rsidR="00CA4402" w:rsidRPr="00686FB4">
        <w:rPr>
          <w:rFonts w:ascii="Palatino Linotype" w:eastAsia="Palatino Linotype" w:hAnsi="Palatino Linotype" w:cs="Palatino Linotype"/>
        </w:rPr>
        <w:t>siete currículums</w:t>
      </w:r>
      <w:r w:rsidR="004439E7" w:rsidRPr="00686FB4">
        <w:rPr>
          <w:rFonts w:ascii="Palatino Linotype" w:eastAsia="Palatino Linotype" w:hAnsi="Palatino Linotype" w:cs="Palatino Linotype"/>
        </w:rPr>
        <w:t xml:space="preserve"> v</w:t>
      </w:r>
      <w:r w:rsidR="00C81764" w:rsidRPr="00686FB4">
        <w:rPr>
          <w:rFonts w:ascii="Palatino Linotype" w:eastAsia="Palatino Linotype" w:hAnsi="Palatino Linotype" w:cs="Palatino Linotype"/>
        </w:rPr>
        <w:t>itae en versión pública, sin embargo no se hi</w:t>
      </w:r>
      <w:r w:rsidR="004439E7" w:rsidRPr="00686FB4">
        <w:rPr>
          <w:rFonts w:ascii="Palatino Linotype" w:eastAsia="Palatino Linotype" w:hAnsi="Palatino Linotype" w:cs="Palatino Linotype"/>
        </w:rPr>
        <w:t xml:space="preserve">cieron </w:t>
      </w:r>
      <w:r w:rsidR="00C81764" w:rsidRPr="00686FB4">
        <w:rPr>
          <w:rFonts w:ascii="Palatino Linotype" w:eastAsia="Palatino Linotype" w:hAnsi="Palatino Linotype" w:cs="Palatino Linotype"/>
        </w:rPr>
        <w:t xml:space="preserve">del conocimiento de la parte </w:t>
      </w:r>
      <w:r w:rsidR="00C81764" w:rsidRPr="00686FB4">
        <w:rPr>
          <w:rFonts w:ascii="Palatino Linotype" w:eastAsia="Palatino Linotype" w:hAnsi="Palatino Linotype" w:cs="Palatino Linotype"/>
          <w:b/>
        </w:rPr>
        <w:t>Recurrente</w:t>
      </w:r>
      <w:r w:rsidR="00C81764" w:rsidRPr="00686FB4">
        <w:rPr>
          <w:rFonts w:ascii="Palatino Linotype" w:eastAsia="Palatino Linotype" w:hAnsi="Palatino Linotype" w:cs="Palatino Linotype"/>
        </w:rPr>
        <w:t xml:space="preserve"> por dejar visible información que es de carácter confidencial como lo es números telefónicos particulares. </w:t>
      </w:r>
    </w:p>
    <w:p w14:paraId="0043B227" w14:textId="2A61C6B4" w:rsidR="005E138B" w:rsidRPr="00686FB4" w:rsidRDefault="004439E7" w:rsidP="00FF51E8">
      <w:pPr>
        <w:pStyle w:val="Prrafodelista"/>
        <w:numPr>
          <w:ilvl w:val="0"/>
          <w:numId w:val="12"/>
        </w:numPr>
        <w:pBdr>
          <w:top w:val="nil"/>
          <w:left w:val="nil"/>
          <w:bottom w:val="nil"/>
          <w:right w:val="nil"/>
          <w:between w:val="nil"/>
        </w:pBd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i/>
        </w:rPr>
        <w:t>Respuesta Sol. 00052-2025.pdf</w:t>
      </w:r>
      <w:r w:rsidRPr="00686FB4">
        <w:rPr>
          <w:rFonts w:ascii="Palatino Linotype" w:eastAsia="Palatino Linotype" w:hAnsi="Palatino Linotype" w:cs="Palatino Linotype"/>
        </w:rPr>
        <w:t xml:space="preserve">: </w:t>
      </w:r>
      <w:r w:rsidR="004A1A24" w:rsidRPr="00686FB4">
        <w:rPr>
          <w:rFonts w:ascii="Palatino Linotype" w:eastAsia="Palatino Linotype" w:hAnsi="Palatino Linotype" w:cs="Palatino Linotype"/>
        </w:rPr>
        <w:t xml:space="preserve">Oficio número PMAJ/RHAJ/IDCR/306/2026 suscrito por </w:t>
      </w:r>
      <w:r w:rsidR="00A8472C" w:rsidRPr="00686FB4">
        <w:rPr>
          <w:rFonts w:ascii="Palatino Linotype" w:eastAsia="Palatino Linotype" w:hAnsi="Palatino Linotype" w:cs="Palatino Linotype"/>
        </w:rPr>
        <w:t xml:space="preserve">la Coordinadora de Recursos Humanos en el que informó la entrega de la información solicitada. </w:t>
      </w:r>
    </w:p>
    <w:p w14:paraId="47DF32B7" w14:textId="77777777" w:rsidR="0081727F" w:rsidRPr="00686FB4" w:rsidRDefault="0081727F" w:rsidP="00FF51E8">
      <w:pPr>
        <w:spacing w:after="0" w:line="360" w:lineRule="auto"/>
        <w:jc w:val="both"/>
        <w:rPr>
          <w:rFonts w:ascii="Palatino Linotype" w:eastAsia="Palatino Linotype" w:hAnsi="Palatino Linotype" w:cs="Palatino Linotype"/>
        </w:rPr>
      </w:pPr>
    </w:p>
    <w:p w14:paraId="1D97AAE6" w14:textId="7E45BD07" w:rsidR="0016547E" w:rsidRPr="00686FB4" w:rsidRDefault="004C0556"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Documentos que fueron hechos del conocimiento de la parte </w:t>
      </w:r>
      <w:r w:rsidRPr="00686FB4">
        <w:rPr>
          <w:rFonts w:ascii="Palatino Linotype" w:eastAsia="Palatino Linotype" w:hAnsi="Palatino Linotype" w:cs="Palatino Linotype"/>
          <w:b/>
        </w:rPr>
        <w:t>Recurrente</w:t>
      </w:r>
      <w:r w:rsidRPr="00686FB4">
        <w:rPr>
          <w:rFonts w:ascii="Palatino Linotype" w:eastAsia="Palatino Linotype" w:hAnsi="Palatino Linotype" w:cs="Palatino Linotype"/>
        </w:rPr>
        <w:t xml:space="preserve"> en fecha </w:t>
      </w:r>
      <w:r w:rsidRPr="00686FB4">
        <w:rPr>
          <w:rFonts w:ascii="Palatino Linotype" w:eastAsia="Palatino Linotype" w:hAnsi="Palatino Linotype" w:cs="Palatino Linotype"/>
          <w:b/>
          <w:bCs/>
        </w:rPr>
        <w:t>dieciocho de agosto de dos mil veintiséis</w:t>
      </w:r>
      <w:r w:rsidRPr="00686FB4">
        <w:rPr>
          <w:rFonts w:ascii="Palatino Linotype" w:eastAsia="Palatino Linotype" w:hAnsi="Palatino Linotype" w:cs="Palatino Linotype"/>
        </w:rPr>
        <w:t>, m</w:t>
      </w:r>
      <w:r w:rsidR="009339FC" w:rsidRPr="00686FB4">
        <w:rPr>
          <w:rFonts w:ascii="Palatino Linotype" w:eastAsia="Palatino Linotype" w:hAnsi="Palatino Linotype" w:cs="Palatino Linotype"/>
        </w:rPr>
        <w:t>i</w:t>
      </w:r>
      <w:r w:rsidRPr="00686FB4">
        <w:rPr>
          <w:rFonts w:ascii="Palatino Linotype" w:eastAsia="Palatino Linotype" w:hAnsi="Palatino Linotype" w:cs="Palatino Linotype"/>
        </w:rPr>
        <w:t xml:space="preserve">sma que fue omisa en realizar alguna manifestación al respecto. </w:t>
      </w:r>
    </w:p>
    <w:p w14:paraId="5471BCDD" w14:textId="77777777" w:rsidR="004C0556" w:rsidRPr="00686FB4" w:rsidRDefault="004C0556" w:rsidP="00FF51E8">
      <w:pPr>
        <w:spacing w:after="0" w:line="360" w:lineRule="auto"/>
        <w:jc w:val="both"/>
        <w:rPr>
          <w:rFonts w:ascii="Palatino Linotype" w:eastAsia="Palatino Linotype" w:hAnsi="Palatino Linotype" w:cs="Palatino Linotype"/>
        </w:rPr>
      </w:pPr>
    </w:p>
    <w:p w14:paraId="5E840A40" w14:textId="6820E603" w:rsidR="000A372D" w:rsidRPr="00686FB4" w:rsidRDefault="0016547E" w:rsidP="00FF51E8">
      <w:pPr>
        <w:numPr>
          <w:ilvl w:val="0"/>
          <w:numId w:val="1"/>
        </w:numPr>
        <w:pBdr>
          <w:top w:val="nil"/>
          <w:left w:val="nil"/>
          <w:bottom w:val="nil"/>
          <w:right w:val="nil"/>
          <w:between w:val="nil"/>
        </w:pBdr>
        <w:spacing w:after="0" w:line="360" w:lineRule="auto"/>
        <w:ind w:left="0" w:right="49" w:firstLine="0"/>
        <w:jc w:val="both"/>
        <w:rPr>
          <w:rFonts w:ascii="Palatino Linotype" w:eastAsia="Palatino Linotype" w:hAnsi="Palatino Linotype" w:cs="Palatino Linotype"/>
        </w:rPr>
      </w:pPr>
      <w:r w:rsidRPr="00686FB4">
        <w:rPr>
          <w:rFonts w:ascii="Palatino Linotype" w:eastAsia="Palatino Linotype" w:hAnsi="Palatino Linotype" w:cs="Palatino Linotype"/>
          <w:b/>
          <w:bCs/>
        </w:rPr>
        <w:t>Ampliación del plazo para emitir resolución.</w:t>
      </w:r>
      <w:r w:rsidRPr="00686FB4">
        <w:rPr>
          <w:rFonts w:ascii="Palatino Linotype" w:eastAsia="Palatino Linotype" w:hAnsi="Palatino Linotype" w:cs="Palatino Linotype"/>
        </w:rPr>
        <w:t xml:space="preserve"> El </w:t>
      </w:r>
      <w:r w:rsidR="004C0556" w:rsidRPr="00686FB4">
        <w:rPr>
          <w:rFonts w:ascii="Palatino Linotype" w:eastAsia="Palatino Linotype" w:hAnsi="Palatino Linotype" w:cs="Palatino Linotype"/>
          <w:b/>
          <w:bCs/>
        </w:rPr>
        <w:t>diez de agosto</w:t>
      </w:r>
      <w:r w:rsidRPr="00686FB4">
        <w:rPr>
          <w:rFonts w:ascii="Palatino Linotype" w:eastAsia="Palatino Linotype" w:hAnsi="Palatino Linotype" w:cs="Palatino Linotype"/>
          <w:b/>
          <w:bCs/>
        </w:rPr>
        <w:t xml:space="preserve"> de dos mil veintiséis</w:t>
      </w:r>
      <w:r w:rsidRPr="00686FB4">
        <w:rPr>
          <w:rFonts w:ascii="Palatino Linotype" w:eastAsia="Palatino Linotype" w:hAnsi="Palatino Linotype" w:cs="Palatino Linotype"/>
        </w:rPr>
        <w:t xml:space="preserve">, </w:t>
      </w:r>
      <w:r w:rsidR="00123D1E" w:rsidRPr="00686FB4">
        <w:rPr>
          <w:rFonts w:ascii="Palatino Linotype" w:eastAsia="Palatino Linotype" w:hAnsi="Palatino Linotype" w:cs="Palatino Linotype"/>
        </w:rPr>
        <w:t>con fundamento e</w:t>
      </w:r>
      <w:bookmarkStart w:id="1" w:name="_GoBack"/>
      <w:bookmarkEnd w:id="1"/>
      <w:r w:rsidR="00123D1E" w:rsidRPr="00686FB4">
        <w:rPr>
          <w:rFonts w:ascii="Palatino Linotype" w:eastAsia="Palatino Linotype" w:hAnsi="Palatino Linotype" w:cs="Palatino Linotype"/>
        </w:rPr>
        <w:t>n el artículo 181, párrafo tercero de la Ley de Transparencia y Acceso a la Información Pública del Estado de México y Municipios, se acordó la ampliación del plazo para su resolución.</w:t>
      </w:r>
    </w:p>
    <w:p w14:paraId="0A8A2B25" w14:textId="77777777" w:rsidR="00123D1E" w:rsidRPr="00686FB4" w:rsidRDefault="00123D1E" w:rsidP="00FF51E8">
      <w:pPr>
        <w:pBdr>
          <w:top w:val="nil"/>
          <w:left w:val="nil"/>
          <w:bottom w:val="nil"/>
          <w:right w:val="nil"/>
          <w:between w:val="nil"/>
        </w:pBdr>
        <w:spacing w:after="0" w:line="360" w:lineRule="auto"/>
        <w:ind w:right="49"/>
        <w:jc w:val="both"/>
        <w:rPr>
          <w:rFonts w:ascii="Palatino Linotype" w:eastAsia="Palatino Linotype" w:hAnsi="Palatino Linotype" w:cs="Palatino Linotype"/>
        </w:rPr>
      </w:pPr>
    </w:p>
    <w:p w14:paraId="71A5E183" w14:textId="77777777" w:rsidR="00123D1E" w:rsidRPr="00686FB4" w:rsidRDefault="00123D1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Este organismo garante no pasa por alto justificar, que el plazo para emitir la resolución en el presente asunto encuentra justificación en el alto número de recursos de revisión recibidos, circunstancia atípica que ha rebasado las capacidades técnicas y humanas del personal encargado de la proyección de las resoluciones a dichos medios de impugnación.</w:t>
      </w:r>
    </w:p>
    <w:p w14:paraId="03C94BD7" w14:textId="77777777" w:rsidR="00123D1E" w:rsidRPr="00686FB4" w:rsidRDefault="00123D1E" w:rsidP="00FF51E8">
      <w:pPr>
        <w:spacing w:after="0" w:line="360" w:lineRule="auto"/>
        <w:jc w:val="both"/>
        <w:rPr>
          <w:rFonts w:ascii="Palatino Linotype" w:eastAsia="Palatino Linotype" w:hAnsi="Palatino Linotype" w:cs="Palatino Linotype"/>
        </w:rPr>
      </w:pPr>
    </w:p>
    <w:p w14:paraId="5C6F2449" w14:textId="77777777" w:rsidR="00123D1E" w:rsidRPr="00686FB4" w:rsidRDefault="00123D1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Por ello, es menester precisar que, si bien se ha excedido el plazo para resolver el presente medio de impugnación, de conformidad con la ley de la materia, el plazo para emitir la resolución se encuentra justificado en los elementos para medir la razonabilidad de asuntos conforme a los parámetros establecidos por diversos órganos jurisdiccionales federales, aplicables también en procedimientos análogos, como el que nos ocupa.</w:t>
      </w:r>
    </w:p>
    <w:p w14:paraId="2ECFF2AA" w14:textId="77777777" w:rsidR="00123D1E" w:rsidRPr="00686FB4" w:rsidRDefault="00123D1E" w:rsidP="00FF51E8">
      <w:pPr>
        <w:spacing w:after="0" w:line="360" w:lineRule="auto"/>
        <w:jc w:val="both"/>
        <w:rPr>
          <w:rFonts w:ascii="Palatino Linotype" w:eastAsia="Palatino Linotype" w:hAnsi="Palatino Linotype" w:cs="Palatino Linotype"/>
        </w:rPr>
      </w:pPr>
    </w:p>
    <w:p w14:paraId="7A9D3E0B" w14:textId="77777777" w:rsidR="00123D1E" w:rsidRPr="00686FB4" w:rsidRDefault="00123D1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Así, en términos de lo que establecen los artículos 8.1 y 25 de la Convención Americana sobre Derechos Humanos, los recursos deben ser sencillos y resolverse en el menor tiempo posible, tomando en consideración la dilación total del procedimiento; esto es, en un plazo razonable.</w:t>
      </w:r>
    </w:p>
    <w:p w14:paraId="7D622779" w14:textId="77777777" w:rsidR="00123D1E" w:rsidRPr="00686FB4" w:rsidRDefault="00123D1E" w:rsidP="00FF51E8">
      <w:pPr>
        <w:spacing w:after="0" w:line="360" w:lineRule="auto"/>
        <w:jc w:val="both"/>
        <w:rPr>
          <w:rFonts w:ascii="Palatino Linotype" w:eastAsia="Palatino Linotype" w:hAnsi="Palatino Linotype" w:cs="Palatino Linotype"/>
        </w:rPr>
      </w:pPr>
    </w:p>
    <w:p w14:paraId="39915A59" w14:textId="77777777" w:rsidR="00123D1E" w:rsidRPr="00686FB4" w:rsidRDefault="00123D1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En ese sentido, el legislador fijó los términos procesales en las leyes, de manera general, sin que pudiera prever la variada gama de casos que son resueltos por los órganos jurisdiccionales o cuasi jurisdiccionales, tanto por la complejidad de los hechos, como por el número de casos que conocen. </w:t>
      </w:r>
    </w:p>
    <w:p w14:paraId="1843D8E2" w14:textId="77777777" w:rsidR="00123D1E" w:rsidRPr="00686FB4" w:rsidRDefault="00123D1E" w:rsidP="00FF51E8">
      <w:pPr>
        <w:spacing w:after="0" w:line="360" w:lineRule="auto"/>
        <w:jc w:val="both"/>
        <w:rPr>
          <w:rFonts w:ascii="Palatino Linotype" w:eastAsia="Palatino Linotype" w:hAnsi="Palatino Linotype" w:cs="Palatino Linotype"/>
        </w:rPr>
      </w:pPr>
    </w:p>
    <w:p w14:paraId="7DE413B0" w14:textId="77777777" w:rsidR="00123D1E" w:rsidRPr="00686FB4" w:rsidRDefault="00123D1E" w:rsidP="00FF51E8">
      <w:pPr>
        <w:spacing w:after="0" w:line="360" w:lineRule="auto"/>
        <w:jc w:val="both"/>
        <w:rPr>
          <w:rFonts w:ascii="Palatino Linotype" w:eastAsia="Palatino Linotype" w:hAnsi="Palatino Linotype" w:cs="Palatino Linotype"/>
          <w:strike/>
        </w:rPr>
      </w:pPr>
      <w:r w:rsidRPr="00686FB4">
        <w:rPr>
          <w:rFonts w:ascii="Palatino Linotype" w:eastAsia="Palatino Linotype" w:hAnsi="Palatino Linotype" w:cs="Palatino Linotype"/>
        </w:rPr>
        <w:t xml:space="preserve">Por ello, excepcionalmente, si un asunto es resuelto con posterioridad a los plazos señalados por la norma debe analizarse la razonabilidad del tiempo necesario para su resolución, atentos a los siguientes criterios: </w:t>
      </w:r>
    </w:p>
    <w:p w14:paraId="31D452FB" w14:textId="77777777" w:rsidR="00123D1E" w:rsidRPr="00686FB4" w:rsidRDefault="00123D1E" w:rsidP="00FF51E8">
      <w:pPr>
        <w:spacing w:after="0" w:line="360" w:lineRule="auto"/>
        <w:jc w:val="both"/>
        <w:rPr>
          <w:rFonts w:ascii="Palatino Linotype" w:eastAsia="Palatino Linotype" w:hAnsi="Palatino Linotype" w:cs="Palatino Linotype"/>
        </w:rPr>
      </w:pPr>
    </w:p>
    <w:p w14:paraId="39802D64" w14:textId="77777777" w:rsidR="00123D1E" w:rsidRPr="00686FB4" w:rsidRDefault="00123D1E" w:rsidP="00FF51E8">
      <w:pPr>
        <w:numPr>
          <w:ilvl w:val="0"/>
          <w:numId w:val="10"/>
        </w:num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b/>
        </w:rPr>
        <w:t>Complejidad del Asunto:</w:t>
      </w:r>
      <w:r w:rsidRPr="00686FB4">
        <w:rPr>
          <w:rFonts w:ascii="Palatino Linotype" w:eastAsia="Palatino Linotype" w:hAnsi="Palatino Linotype" w:cs="Palatino Linotype"/>
        </w:rPr>
        <w:t xml:space="preserve"> La complejidad de la prueba, la pluralidad de sujetos procesales, el tiempo transcurrido, las características y contexto del recurso. </w:t>
      </w:r>
    </w:p>
    <w:p w14:paraId="055A36BD" w14:textId="77777777" w:rsidR="00123D1E" w:rsidRPr="00686FB4" w:rsidRDefault="00123D1E" w:rsidP="00FF51E8">
      <w:pPr>
        <w:spacing w:after="0" w:line="360" w:lineRule="auto"/>
        <w:ind w:left="927"/>
        <w:jc w:val="both"/>
        <w:rPr>
          <w:rFonts w:ascii="Palatino Linotype" w:eastAsia="Palatino Linotype" w:hAnsi="Palatino Linotype" w:cs="Palatino Linotype"/>
        </w:rPr>
      </w:pPr>
    </w:p>
    <w:p w14:paraId="70F2A93A" w14:textId="77777777" w:rsidR="00123D1E" w:rsidRPr="00686FB4" w:rsidRDefault="00123D1E" w:rsidP="00FF51E8">
      <w:pPr>
        <w:numPr>
          <w:ilvl w:val="0"/>
          <w:numId w:val="10"/>
        </w:num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b/>
        </w:rPr>
        <w:t>Actividad Procesal del interesado.</w:t>
      </w:r>
      <w:r w:rsidRPr="00686FB4">
        <w:rPr>
          <w:rFonts w:ascii="Palatino Linotype" w:eastAsia="Palatino Linotype" w:hAnsi="Palatino Linotype" w:cs="Palatino Linotype"/>
        </w:rPr>
        <w:t xml:space="preserve"> Acciones u omisiones del interesado.</w:t>
      </w:r>
    </w:p>
    <w:p w14:paraId="28531B98" w14:textId="77777777" w:rsidR="00123D1E" w:rsidRPr="00686FB4" w:rsidRDefault="00123D1E" w:rsidP="00FF51E8">
      <w:pPr>
        <w:spacing w:after="0" w:line="360" w:lineRule="auto"/>
        <w:ind w:left="927"/>
        <w:jc w:val="both"/>
        <w:rPr>
          <w:rFonts w:ascii="Palatino Linotype" w:eastAsia="Palatino Linotype" w:hAnsi="Palatino Linotype" w:cs="Palatino Linotype"/>
        </w:rPr>
      </w:pPr>
    </w:p>
    <w:p w14:paraId="17566412" w14:textId="77777777" w:rsidR="00123D1E" w:rsidRPr="00686FB4" w:rsidRDefault="00123D1E" w:rsidP="00FF51E8">
      <w:pPr>
        <w:numPr>
          <w:ilvl w:val="0"/>
          <w:numId w:val="10"/>
        </w:num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b/>
        </w:rPr>
        <w:t>Conducta de la Autoridad:</w:t>
      </w:r>
      <w:r w:rsidRPr="00686FB4">
        <w:rPr>
          <w:rFonts w:ascii="Palatino Linotype" w:eastAsia="Palatino Linotype" w:hAnsi="Palatino Linotype" w:cs="Palatino Linotype"/>
        </w:rPr>
        <w:t xml:space="preserve"> Las Acciones u omisiones realizadas en el procedimiento. Así como si la autoridad actuó con la debida diligencia.</w:t>
      </w:r>
    </w:p>
    <w:p w14:paraId="6849D5D0" w14:textId="77777777" w:rsidR="00123D1E" w:rsidRPr="00686FB4" w:rsidRDefault="00123D1E" w:rsidP="00FF51E8">
      <w:pPr>
        <w:spacing w:after="0" w:line="360" w:lineRule="auto"/>
        <w:ind w:left="927"/>
        <w:jc w:val="both"/>
        <w:rPr>
          <w:rFonts w:ascii="Palatino Linotype" w:eastAsia="Palatino Linotype" w:hAnsi="Palatino Linotype" w:cs="Palatino Linotype"/>
        </w:rPr>
      </w:pPr>
    </w:p>
    <w:p w14:paraId="739C6D24" w14:textId="77777777" w:rsidR="00123D1E" w:rsidRPr="00686FB4" w:rsidRDefault="00123D1E" w:rsidP="00FF51E8">
      <w:pPr>
        <w:numPr>
          <w:ilvl w:val="0"/>
          <w:numId w:val="10"/>
        </w:num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b/>
        </w:rPr>
        <w:t xml:space="preserve">La afectación generada en la situación jurídica de la persona involucrada en el proceso: </w:t>
      </w:r>
      <w:r w:rsidRPr="00686FB4">
        <w:rPr>
          <w:rFonts w:ascii="Palatino Linotype" w:eastAsia="Palatino Linotype" w:hAnsi="Palatino Linotype" w:cs="Palatino Linotype"/>
        </w:rPr>
        <w:t>Violación a sus derechos humanos.</w:t>
      </w:r>
    </w:p>
    <w:p w14:paraId="53140373" w14:textId="77777777" w:rsidR="00123D1E" w:rsidRPr="00686FB4" w:rsidRDefault="00123D1E" w:rsidP="00FF51E8">
      <w:pPr>
        <w:spacing w:after="0" w:line="360" w:lineRule="auto"/>
        <w:jc w:val="both"/>
        <w:rPr>
          <w:rFonts w:ascii="Palatino Linotype" w:eastAsia="Palatino Linotype" w:hAnsi="Palatino Linotype" w:cs="Palatino Linotype"/>
        </w:rPr>
      </w:pPr>
    </w:p>
    <w:p w14:paraId="41D538E8" w14:textId="77777777" w:rsidR="00123D1E" w:rsidRPr="00686FB4" w:rsidRDefault="00123D1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De modo que, cuando se trate de un asunto excepcional, por alguna o todas las características mencionadas; o bien, cuando el ingreso de asuntos al órgano jurisdiccional o cuasi jurisdiccional respectivo supere notoriamente al que podría considerarse normal, debe concluirse que es una excluyente de responsabilidad en relación con la actuación del funcionario, como ha acontecido en el caso que nos ocupa.</w:t>
      </w:r>
    </w:p>
    <w:p w14:paraId="2BF4E5DD" w14:textId="77777777" w:rsidR="00123D1E" w:rsidRPr="00686FB4" w:rsidRDefault="00123D1E" w:rsidP="00FF51E8">
      <w:pPr>
        <w:spacing w:after="0" w:line="360" w:lineRule="auto"/>
        <w:jc w:val="both"/>
        <w:rPr>
          <w:rFonts w:ascii="Palatino Linotype" w:eastAsia="Palatino Linotype" w:hAnsi="Palatino Linotype" w:cs="Palatino Linotype"/>
        </w:rPr>
      </w:pPr>
    </w:p>
    <w:p w14:paraId="6D2310FF" w14:textId="77777777" w:rsidR="00123D1E" w:rsidRPr="00686FB4" w:rsidRDefault="00123D1E" w:rsidP="00FF51E8">
      <w:pPr>
        <w:spacing w:after="0" w:line="360" w:lineRule="auto"/>
        <w:jc w:val="both"/>
        <w:rPr>
          <w:rFonts w:ascii="Palatino Linotype" w:eastAsia="Palatino Linotype" w:hAnsi="Palatino Linotype" w:cs="Palatino Linotype"/>
          <w:b/>
        </w:rPr>
      </w:pPr>
      <w:r w:rsidRPr="00686FB4">
        <w:rPr>
          <w:rFonts w:ascii="Palatino Linotype" w:eastAsia="Palatino Linotype" w:hAnsi="Palatino Linotype" w:cs="Palatino Linotype"/>
        </w:rPr>
        <w:t xml:space="preserve">Argumento que encuentra sustento en la jurisprudencia P./J. 32/92 emitida por el Pleno de la Suprema Corte de Justicia de la Nación de rubro </w:t>
      </w:r>
      <w:r w:rsidRPr="00686FB4">
        <w:rPr>
          <w:rFonts w:ascii="Palatino Linotype" w:eastAsia="Palatino Linotype" w:hAnsi="Palatino Linotype" w:cs="Palatino Linotype"/>
          <w:i/>
        </w:rPr>
        <w:t>“TÉRMINOS PROCESALES. PARA DETERMINAR SI UN FUNCIONARIO JUDICIAL ACTUÓ INDEBIDAMENTE POR NO RESPETARLOS SE DEBE ATENDER AL PRESUPUESTO QUE CONSIDERÓ EL LEGISLADOR AL FIJARLOS Y LAS CARACTERÍSTICAS DEL CASO.”</w:t>
      </w:r>
      <w:r w:rsidRPr="00686FB4">
        <w:rPr>
          <w:rFonts w:ascii="Palatino Linotype" w:eastAsia="Palatino Linotype" w:hAnsi="Palatino Linotype" w:cs="Palatino Linotype"/>
        </w:rPr>
        <w:t>, visible en la Gaceta del Seminario Judicial de la Federación con el registro digital 205635.</w:t>
      </w:r>
    </w:p>
    <w:p w14:paraId="754FEBF0" w14:textId="77777777" w:rsidR="00123D1E" w:rsidRPr="00686FB4" w:rsidRDefault="00123D1E" w:rsidP="00FF51E8">
      <w:pPr>
        <w:spacing w:after="0" w:line="360" w:lineRule="auto"/>
        <w:jc w:val="both"/>
        <w:rPr>
          <w:rFonts w:ascii="Palatino Linotype" w:eastAsia="Palatino Linotype" w:hAnsi="Palatino Linotype" w:cs="Palatino Linotype"/>
        </w:rPr>
      </w:pPr>
    </w:p>
    <w:p w14:paraId="161B4635" w14:textId="77777777" w:rsidR="00123D1E" w:rsidRPr="00686FB4" w:rsidRDefault="00123D1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Razones por las cuales cabe concluir que, la resolución al recurso de revisión se solventa hasta esta fecha, debido a que existe una excesiva carga de trabajo en desproporción a la capacidad de los recursos materiales y humanos con que cuenta este Instituto para atender la enorme demanda de usuarios que acuden para que se les garantice su Derecho de acceso a la información Pública y Protección de Datos Personales, aunado a la complejidad de los hechos a los que se refieren, así como al volumen del expediente, la extensión de los escritos y pruebas aportadas y desahogadas por las partes; lo que impide la tramitación de los recursos dentro de los términos legales previamente establecidos por la Ley, por tratarse de causas de fuerza mayor.</w:t>
      </w:r>
    </w:p>
    <w:p w14:paraId="2F612803" w14:textId="77777777" w:rsidR="00123D1E" w:rsidRPr="00686FB4" w:rsidRDefault="00123D1E" w:rsidP="00FF51E8">
      <w:pPr>
        <w:spacing w:after="0" w:line="360" w:lineRule="auto"/>
        <w:jc w:val="both"/>
        <w:rPr>
          <w:rFonts w:ascii="Palatino Linotype" w:eastAsia="Palatino Linotype" w:hAnsi="Palatino Linotype" w:cs="Palatino Linotype"/>
        </w:rPr>
      </w:pPr>
    </w:p>
    <w:p w14:paraId="3D48BCE1" w14:textId="77777777" w:rsidR="00123D1E" w:rsidRPr="00686FB4" w:rsidRDefault="00123D1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Al respecto, también son de considerar los criterios sostenidos por el Cuarto Tribunal Colegiado en Materia Administrativa del Primer Circuito, cuyos rubros y datos de identificación son los siguientes:</w:t>
      </w:r>
    </w:p>
    <w:p w14:paraId="2A82C9A6" w14:textId="77777777" w:rsidR="00123D1E" w:rsidRPr="00686FB4" w:rsidRDefault="00123D1E" w:rsidP="00FF51E8">
      <w:pPr>
        <w:spacing w:after="0" w:line="360" w:lineRule="auto"/>
        <w:jc w:val="both"/>
        <w:rPr>
          <w:rFonts w:ascii="Palatino Linotype" w:eastAsia="Palatino Linotype" w:hAnsi="Palatino Linotype" w:cs="Palatino Linotype"/>
        </w:rPr>
      </w:pPr>
    </w:p>
    <w:p w14:paraId="767EAAD6" w14:textId="77777777" w:rsidR="00123D1E" w:rsidRPr="00686FB4" w:rsidRDefault="00123D1E" w:rsidP="00FF51E8">
      <w:pPr>
        <w:spacing w:after="0" w:line="360" w:lineRule="auto"/>
        <w:ind w:left="851" w:right="616"/>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i/>
        </w:rPr>
        <w:t>“PLAZO RAZONABLE PARA RESOLVER. DIMENSIÓN Y EFECTOS DE ESTE CONCEPTO CUANDO SE ADUCE EXCESIVA CARGA DE TRABAJO.”</w:t>
      </w:r>
      <w:r w:rsidRPr="00686FB4">
        <w:rPr>
          <w:rFonts w:ascii="Palatino Linotype" w:eastAsia="Palatino Linotype" w:hAnsi="Palatino Linotype" w:cs="Palatino Linotype"/>
        </w:rPr>
        <w:t xml:space="preserve"> consultable en el Seminario Judicial de la Federación y su gaceta, con el registro digital 2002351.</w:t>
      </w:r>
    </w:p>
    <w:p w14:paraId="746CC328" w14:textId="77777777" w:rsidR="00123D1E" w:rsidRPr="00686FB4" w:rsidRDefault="00123D1E" w:rsidP="00FF51E8">
      <w:pPr>
        <w:spacing w:after="0" w:line="360" w:lineRule="auto"/>
        <w:ind w:left="851" w:right="616"/>
        <w:jc w:val="both"/>
        <w:rPr>
          <w:rFonts w:ascii="Palatino Linotype" w:eastAsia="Palatino Linotype" w:hAnsi="Palatino Linotype" w:cs="Palatino Linotype"/>
          <w:b/>
        </w:rPr>
      </w:pPr>
    </w:p>
    <w:p w14:paraId="0B87D9A2" w14:textId="77777777" w:rsidR="00123D1E" w:rsidRPr="00686FB4" w:rsidRDefault="00123D1E" w:rsidP="00FF51E8">
      <w:pPr>
        <w:spacing w:after="0" w:line="360" w:lineRule="auto"/>
        <w:ind w:left="851" w:right="616"/>
        <w:jc w:val="both"/>
        <w:rPr>
          <w:rFonts w:ascii="Palatino Linotype" w:eastAsia="Palatino Linotype" w:hAnsi="Palatino Linotype" w:cs="Palatino Linotype"/>
        </w:rPr>
      </w:pPr>
      <w:r w:rsidRPr="00686FB4">
        <w:rPr>
          <w:rFonts w:ascii="Palatino Linotype" w:eastAsia="Palatino Linotype" w:hAnsi="Palatino Linotype" w:cs="Palatino Linotype"/>
          <w:i/>
        </w:rPr>
        <w:t>“PLAZO RAZONABLE PARA RESOLVER. CONCEPTO Y ELEMENTOS QUE LO INTEGRAN A LA LUZ DEL DERECHO INTERNACIONAL DE LOS DERECHOS HUMANOS.”</w:t>
      </w:r>
      <w:r w:rsidRPr="00686FB4">
        <w:rPr>
          <w:rFonts w:ascii="Palatino Linotype" w:eastAsia="Palatino Linotype" w:hAnsi="Palatino Linotype" w:cs="Palatino Linotype"/>
        </w:rPr>
        <w:t>, visible en el Seminario Judicial de la Federación y su gaceta, con el registro digital 2002350.</w:t>
      </w:r>
    </w:p>
    <w:p w14:paraId="75B4D851" w14:textId="77777777" w:rsidR="00123D1E" w:rsidRPr="00686FB4" w:rsidRDefault="00123D1E" w:rsidP="00FF51E8">
      <w:pPr>
        <w:spacing w:after="0" w:line="360" w:lineRule="auto"/>
        <w:ind w:left="567" w:right="616"/>
        <w:jc w:val="both"/>
        <w:rPr>
          <w:rFonts w:ascii="Palatino Linotype" w:eastAsia="Palatino Linotype" w:hAnsi="Palatino Linotype" w:cs="Palatino Linotype"/>
        </w:rPr>
      </w:pPr>
    </w:p>
    <w:p w14:paraId="35DB8BAB" w14:textId="77777777" w:rsidR="00123D1E" w:rsidRPr="00686FB4" w:rsidRDefault="00123D1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Por ello, este organismo garante comprometido con la tutela de los derechos humanos confiados, señala que este exceso de plazo legal para resolver el presente asunto, resulta de carácter excepcional.</w:t>
      </w:r>
    </w:p>
    <w:p w14:paraId="332BCB50" w14:textId="77777777" w:rsidR="009339FC" w:rsidRPr="00686FB4" w:rsidRDefault="009339FC" w:rsidP="00FF51E8">
      <w:pPr>
        <w:spacing w:after="0" w:line="360" w:lineRule="auto"/>
        <w:jc w:val="both"/>
        <w:rPr>
          <w:rFonts w:ascii="Palatino Linotype" w:eastAsia="Palatino Linotype" w:hAnsi="Palatino Linotype" w:cs="Palatino Linotype"/>
        </w:rPr>
      </w:pPr>
    </w:p>
    <w:p w14:paraId="57931B89" w14:textId="72832F50" w:rsidR="004C0556" w:rsidRPr="00686FB4" w:rsidRDefault="004C0556" w:rsidP="00FF51E8">
      <w:pPr>
        <w:numPr>
          <w:ilvl w:val="0"/>
          <w:numId w:val="1"/>
        </w:numPr>
        <w:pBdr>
          <w:top w:val="nil"/>
          <w:left w:val="nil"/>
          <w:bottom w:val="nil"/>
          <w:right w:val="nil"/>
          <w:between w:val="nil"/>
        </w:pBdr>
        <w:spacing w:after="0" w:line="360" w:lineRule="auto"/>
        <w:ind w:left="0" w:right="49" w:firstLine="0"/>
        <w:jc w:val="both"/>
        <w:rPr>
          <w:rFonts w:ascii="Palatino Linotype" w:eastAsia="Palatino Linotype" w:hAnsi="Palatino Linotype" w:cs="Palatino Linotype"/>
        </w:rPr>
      </w:pPr>
      <w:r w:rsidRPr="00686FB4">
        <w:rPr>
          <w:rFonts w:ascii="Palatino Linotype" w:eastAsia="Palatino Linotype" w:hAnsi="Palatino Linotype" w:cs="Palatino Linotype"/>
          <w:b/>
        </w:rPr>
        <w:t xml:space="preserve">Returno. </w:t>
      </w:r>
      <w:r w:rsidR="00622F41" w:rsidRPr="00686FB4">
        <w:rPr>
          <w:rFonts w:ascii="Palatino Linotype" w:eastAsia="Palatino Linotype" w:hAnsi="Palatino Linotype" w:cs="Palatino Linotype"/>
        </w:rPr>
        <w:t xml:space="preserve">Mediante acuerdo de fecha diecinueve de agosto de dos mil veintiséis, el Pleno de este Organismo Garante, aprobó returnar el recurso de revisión a la </w:t>
      </w:r>
      <w:r w:rsidR="00622F41" w:rsidRPr="00686FB4">
        <w:rPr>
          <w:rFonts w:ascii="Palatino Linotype" w:eastAsia="Palatino Linotype" w:hAnsi="Palatino Linotype" w:cs="Palatino Linotype"/>
          <w:b/>
          <w:bCs/>
        </w:rPr>
        <w:t>Comisionada Guadalupe Ramírez Peña</w:t>
      </w:r>
      <w:r w:rsidR="00622F41" w:rsidRPr="00686FB4">
        <w:rPr>
          <w:rFonts w:ascii="Palatino Linotype" w:eastAsia="Palatino Linotype" w:hAnsi="Palatino Linotype" w:cs="Palatino Linotype"/>
        </w:rPr>
        <w:t>, a efecto de que formulara y presentara el proyecto de resolución correspondiente.</w:t>
      </w:r>
    </w:p>
    <w:p w14:paraId="41943614" w14:textId="77777777" w:rsidR="004C0556" w:rsidRPr="00686FB4" w:rsidRDefault="004C0556" w:rsidP="00FF51E8">
      <w:pPr>
        <w:pBdr>
          <w:top w:val="nil"/>
          <w:left w:val="nil"/>
          <w:bottom w:val="nil"/>
          <w:right w:val="nil"/>
          <w:between w:val="nil"/>
        </w:pBdr>
        <w:spacing w:after="0" w:line="360" w:lineRule="auto"/>
        <w:ind w:right="49"/>
        <w:jc w:val="both"/>
        <w:rPr>
          <w:rFonts w:ascii="Palatino Linotype" w:eastAsia="Palatino Linotype" w:hAnsi="Palatino Linotype" w:cs="Palatino Linotype"/>
        </w:rPr>
      </w:pPr>
    </w:p>
    <w:p w14:paraId="68B9548B" w14:textId="23EBD2B4" w:rsidR="009339FC" w:rsidRPr="00686FB4" w:rsidRDefault="009339FC" w:rsidP="00FF51E8">
      <w:pPr>
        <w:numPr>
          <w:ilvl w:val="0"/>
          <w:numId w:val="1"/>
        </w:numPr>
        <w:pBdr>
          <w:top w:val="nil"/>
          <w:left w:val="nil"/>
          <w:bottom w:val="nil"/>
          <w:right w:val="nil"/>
          <w:between w:val="nil"/>
        </w:pBdr>
        <w:spacing w:after="0" w:line="360" w:lineRule="auto"/>
        <w:ind w:left="0" w:right="49" w:firstLine="0"/>
        <w:jc w:val="both"/>
        <w:rPr>
          <w:rFonts w:ascii="Palatino Linotype" w:eastAsia="Palatino Linotype" w:hAnsi="Palatino Linotype" w:cs="Palatino Linotype"/>
        </w:rPr>
      </w:pPr>
      <w:r w:rsidRPr="00686FB4">
        <w:rPr>
          <w:rFonts w:ascii="Palatino Linotype" w:eastAsia="Palatino Linotype" w:hAnsi="Palatino Linotype" w:cs="Palatino Linotype"/>
          <w:b/>
          <w:bCs/>
        </w:rPr>
        <w:t>Cierre de instrucción</w:t>
      </w:r>
      <w:r w:rsidRPr="00686FB4">
        <w:rPr>
          <w:rFonts w:ascii="Palatino Linotype" w:eastAsia="Palatino Linotype" w:hAnsi="Palatino Linotype" w:cs="Palatino Linotype"/>
        </w:rPr>
        <w:t xml:space="preserve">. En fecha </w:t>
      </w:r>
      <w:r w:rsidR="00CA4402" w:rsidRPr="00686FB4">
        <w:rPr>
          <w:rFonts w:ascii="Palatino Linotype" w:eastAsia="Palatino Linotype" w:hAnsi="Palatino Linotype" w:cs="Palatino Linotype"/>
          <w:b/>
          <w:bCs/>
        </w:rPr>
        <w:t>quince</w:t>
      </w:r>
      <w:r w:rsidR="00622F41" w:rsidRPr="00686FB4">
        <w:rPr>
          <w:rFonts w:ascii="Palatino Linotype" w:eastAsia="Palatino Linotype" w:hAnsi="Palatino Linotype" w:cs="Palatino Linotype"/>
          <w:b/>
          <w:bCs/>
        </w:rPr>
        <w:t xml:space="preserve"> de septiembre</w:t>
      </w:r>
      <w:r w:rsidRPr="00686FB4">
        <w:rPr>
          <w:rFonts w:ascii="Palatino Linotype" w:eastAsia="Palatino Linotype" w:hAnsi="Palatino Linotype" w:cs="Palatino Linotype"/>
          <w:b/>
          <w:bCs/>
        </w:rPr>
        <w:t xml:space="preserve"> de dos mil veintiséis</w:t>
      </w:r>
      <w:r w:rsidRPr="00686FB4">
        <w:rPr>
          <w:rFonts w:ascii="Palatino Linotype" w:eastAsia="Palatino Linotype" w:hAnsi="Palatino Linotype" w:cs="Palatino Linotype"/>
        </w:rPr>
        <w:t>, la Comisionada Ponente determinó el cierre de instrucción en términos de la fracción VI del artículo 185 de la Ley de Transparencia y Acceso a la Información Pública del Estado de México y Municipios.</w:t>
      </w:r>
    </w:p>
    <w:p w14:paraId="4289FCDB" w14:textId="77777777" w:rsidR="00123D1E" w:rsidRPr="00686FB4" w:rsidRDefault="00123D1E" w:rsidP="00FF51E8">
      <w:pPr>
        <w:pBdr>
          <w:top w:val="nil"/>
          <w:left w:val="nil"/>
          <w:bottom w:val="nil"/>
          <w:right w:val="nil"/>
          <w:between w:val="nil"/>
        </w:pBdr>
        <w:spacing w:after="0" w:line="360" w:lineRule="auto"/>
        <w:ind w:right="49"/>
        <w:jc w:val="both"/>
        <w:rPr>
          <w:rFonts w:ascii="Palatino Linotype" w:eastAsia="Palatino Linotype" w:hAnsi="Palatino Linotype" w:cs="Palatino Linotype"/>
        </w:rPr>
      </w:pPr>
    </w:p>
    <w:p w14:paraId="42B64050"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Debido a que fue debidamente sustanciado el expediente electrónico y no existe diligencia pendiente de desahogo, se emite la Resolución que conforme a Derecho proceda, de acuerdo con los siguientes: </w:t>
      </w:r>
    </w:p>
    <w:p w14:paraId="64CE2656"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53A192F3" w14:textId="77777777" w:rsidR="000A372D" w:rsidRPr="00686FB4" w:rsidRDefault="00DA4FFE" w:rsidP="00FF51E8">
      <w:pPr>
        <w:spacing w:after="0" w:line="360" w:lineRule="auto"/>
        <w:ind w:right="49"/>
        <w:jc w:val="center"/>
        <w:rPr>
          <w:rFonts w:ascii="Palatino Linotype" w:eastAsia="Palatino Linotype" w:hAnsi="Palatino Linotype" w:cs="Palatino Linotype"/>
          <w:b/>
          <w:bCs/>
        </w:rPr>
      </w:pPr>
      <w:r w:rsidRPr="00686FB4">
        <w:rPr>
          <w:rFonts w:ascii="Palatino Linotype" w:eastAsia="Palatino Linotype" w:hAnsi="Palatino Linotype" w:cs="Palatino Linotype"/>
          <w:b/>
          <w:bCs/>
        </w:rPr>
        <w:t>II.</w:t>
      </w:r>
      <w:r w:rsidRPr="00686FB4">
        <w:rPr>
          <w:rFonts w:ascii="Palatino Linotype" w:eastAsia="Palatino Linotype" w:hAnsi="Palatino Linotype" w:cs="Palatino Linotype"/>
          <w:b/>
          <w:bCs/>
        </w:rPr>
        <w:tab/>
        <w:t>C O N S I D E R A N D O:</w:t>
      </w:r>
    </w:p>
    <w:p w14:paraId="788F48B8" w14:textId="77777777" w:rsidR="000A372D" w:rsidRPr="00686FB4" w:rsidRDefault="000A372D" w:rsidP="00FF51E8">
      <w:pPr>
        <w:spacing w:after="0" w:line="360" w:lineRule="auto"/>
        <w:jc w:val="both"/>
        <w:rPr>
          <w:rFonts w:ascii="Palatino Linotype" w:eastAsia="Palatino Linotype" w:hAnsi="Palatino Linotype" w:cs="Palatino Linotype"/>
          <w:b/>
          <w:bCs/>
        </w:rPr>
      </w:pPr>
    </w:p>
    <w:p w14:paraId="2BE5AFE2" w14:textId="77777777" w:rsidR="000A372D" w:rsidRPr="00686FB4" w:rsidRDefault="00DA4FF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b/>
          <w:bCs/>
        </w:rPr>
        <w:t>Primero. Competencia.</w:t>
      </w:r>
      <w:r w:rsidRPr="00686FB4">
        <w:rPr>
          <w:rFonts w:ascii="Palatino Linotype" w:eastAsia="Palatino Linotype" w:hAnsi="Palatino Linotype" w:cs="Palatino Linotype"/>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y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25994074" w14:textId="77777777" w:rsidR="000A372D" w:rsidRPr="00686FB4" w:rsidRDefault="000A372D" w:rsidP="00FF51E8">
      <w:pPr>
        <w:spacing w:after="0" w:line="360" w:lineRule="auto"/>
        <w:jc w:val="both"/>
        <w:rPr>
          <w:rFonts w:ascii="Palatino Linotype" w:eastAsia="Palatino Linotype" w:hAnsi="Palatino Linotype" w:cs="Palatino Linotype"/>
        </w:rPr>
      </w:pPr>
    </w:p>
    <w:p w14:paraId="034A6355"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bCs/>
        </w:rPr>
        <w:t>Segundo. Oportunidad y Procedibilidad del Recurso de Revisión.</w:t>
      </w:r>
      <w:r w:rsidRPr="00686FB4">
        <w:rPr>
          <w:rFonts w:ascii="Palatino Linotype" w:eastAsia="Palatino Linotype" w:hAnsi="Palatino Linotype" w:cs="Palatino Linotype"/>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57D16867" w14:textId="77777777" w:rsidR="000A372D" w:rsidRPr="00686FB4" w:rsidRDefault="000A372D" w:rsidP="00FF51E8">
      <w:pPr>
        <w:spacing w:after="0" w:line="360" w:lineRule="auto"/>
        <w:jc w:val="both"/>
        <w:rPr>
          <w:rFonts w:ascii="Palatino Linotype" w:eastAsia="Palatino Linotype" w:hAnsi="Palatino Linotype" w:cs="Palatino Linotype"/>
        </w:rPr>
      </w:pPr>
    </w:p>
    <w:p w14:paraId="179F1DED" w14:textId="46D5A56B" w:rsidR="000A372D" w:rsidRPr="00686FB4" w:rsidRDefault="00DA4FF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El recurso de revisión fue interpuesto dentro del plazo de quince días hábiles, previsto en el artículo 178 de la Ley de Transparencia y Acceso a la Información Pública del Estado de México y Municipios, toda vez que el </w:t>
      </w:r>
      <w:r w:rsidRPr="00686FB4">
        <w:rPr>
          <w:rFonts w:ascii="Palatino Linotype" w:eastAsia="Palatino Linotype" w:hAnsi="Palatino Linotype" w:cs="Palatino Linotype"/>
          <w:b/>
          <w:bCs/>
        </w:rPr>
        <w:t xml:space="preserve">Sujeto Obligado </w:t>
      </w:r>
      <w:r w:rsidRPr="00686FB4">
        <w:rPr>
          <w:rFonts w:ascii="Palatino Linotype" w:eastAsia="Palatino Linotype" w:hAnsi="Palatino Linotype" w:cs="Palatino Linotype"/>
        </w:rPr>
        <w:t xml:space="preserve">remitió la respuesta a la solicitud de información el día </w:t>
      </w:r>
      <w:r w:rsidR="003E11BC" w:rsidRPr="00686FB4">
        <w:rPr>
          <w:rFonts w:ascii="Palatino Linotype" w:eastAsia="Palatino Linotype" w:hAnsi="Palatino Linotype" w:cs="Palatino Linotype"/>
          <w:b/>
          <w:bCs/>
        </w:rPr>
        <w:t>cuatro de junio</w:t>
      </w:r>
      <w:r w:rsidR="002B4EDE" w:rsidRPr="00686FB4">
        <w:rPr>
          <w:rFonts w:ascii="Palatino Linotype" w:eastAsia="Palatino Linotype" w:hAnsi="Palatino Linotype" w:cs="Palatino Linotype"/>
          <w:b/>
          <w:bCs/>
        </w:rPr>
        <w:t xml:space="preserve"> de dos mil veintiséis</w:t>
      </w:r>
      <w:r w:rsidRPr="00686FB4">
        <w:rPr>
          <w:rFonts w:ascii="Palatino Linotype" w:eastAsia="Palatino Linotype" w:hAnsi="Palatino Linotype" w:cs="Palatino Linotype"/>
          <w:b/>
          <w:bCs/>
        </w:rPr>
        <w:t xml:space="preserve">, </w:t>
      </w:r>
      <w:r w:rsidRPr="00686FB4">
        <w:rPr>
          <w:rFonts w:ascii="Palatino Linotype" w:eastAsia="Palatino Linotype" w:hAnsi="Palatino Linotype" w:cs="Palatino Linotype"/>
        </w:rPr>
        <w:t xml:space="preserve">mientras que el recurso de revisión interpuesto por la parte </w:t>
      </w:r>
      <w:r w:rsidRPr="00686FB4">
        <w:rPr>
          <w:rFonts w:ascii="Palatino Linotype" w:eastAsia="Palatino Linotype" w:hAnsi="Palatino Linotype" w:cs="Palatino Linotype"/>
          <w:b/>
          <w:bCs/>
        </w:rPr>
        <w:t xml:space="preserve">Recurrente, </w:t>
      </w:r>
      <w:r w:rsidRPr="00686FB4">
        <w:rPr>
          <w:rFonts w:ascii="Palatino Linotype" w:eastAsia="Palatino Linotype" w:hAnsi="Palatino Linotype" w:cs="Palatino Linotype"/>
        </w:rPr>
        <w:t>se tuvo por presentado el día</w:t>
      </w:r>
      <w:r w:rsidRPr="00686FB4">
        <w:rPr>
          <w:rFonts w:ascii="Palatino Linotype" w:eastAsia="Palatino Linotype" w:hAnsi="Palatino Linotype" w:cs="Palatino Linotype"/>
          <w:b/>
          <w:bCs/>
        </w:rPr>
        <w:t xml:space="preserve"> </w:t>
      </w:r>
      <w:r w:rsidR="003E11BC" w:rsidRPr="00686FB4">
        <w:rPr>
          <w:rFonts w:ascii="Palatino Linotype" w:eastAsia="Palatino Linotype" w:hAnsi="Palatino Linotype" w:cs="Palatino Linotype"/>
          <w:b/>
          <w:bCs/>
        </w:rPr>
        <w:t xml:space="preserve">cinco de junio de dos mil </w:t>
      </w:r>
      <w:r w:rsidRPr="00686FB4">
        <w:rPr>
          <w:rFonts w:ascii="Palatino Linotype" w:eastAsia="Palatino Linotype" w:hAnsi="Palatino Linotype" w:cs="Palatino Linotype"/>
          <w:b/>
          <w:bCs/>
        </w:rPr>
        <w:t xml:space="preserve">veintiséis, </w:t>
      </w:r>
      <w:r w:rsidR="003E11BC" w:rsidRPr="00686FB4">
        <w:rPr>
          <w:rFonts w:ascii="Palatino Linotype" w:eastAsia="Palatino Linotype" w:hAnsi="Palatino Linotype" w:cs="Palatino Linotype"/>
        </w:rPr>
        <w:t>esto es, el</w:t>
      </w:r>
      <w:r w:rsidR="002B4EDE" w:rsidRPr="00686FB4">
        <w:rPr>
          <w:rFonts w:ascii="Palatino Linotype" w:eastAsia="Palatino Linotype" w:hAnsi="Palatino Linotype" w:cs="Palatino Linotype"/>
        </w:rPr>
        <w:t xml:space="preserve"> </w:t>
      </w:r>
      <w:r w:rsidR="003E11BC" w:rsidRPr="00686FB4">
        <w:rPr>
          <w:rFonts w:ascii="Palatino Linotype" w:eastAsia="Palatino Linotype" w:hAnsi="Palatino Linotype" w:cs="Palatino Linotype"/>
        </w:rPr>
        <w:t xml:space="preserve">primer </w:t>
      </w:r>
      <w:r w:rsidRPr="00686FB4">
        <w:rPr>
          <w:rFonts w:ascii="Palatino Linotype" w:eastAsia="Palatino Linotype" w:hAnsi="Palatino Linotype" w:cs="Palatino Linotype"/>
        </w:rPr>
        <w:t>día</w:t>
      </w:r>
      <w:r w:rsidR="003E11BC" w:rsidRPr="00686FB4">
        <w:rPr>
          <w:rFonts w:ascii="Palatino Linotype" w:eastAsia="Palatino Linotype" w:hAnsi="Palatino Linotype" w:cs="Palatino Linotype"/>
        </w:rPr>
        <w:t xml:space="preserve"> hábil</w:t>
      </w:r>
      <w:r w:rsidRPr="00686FB4">
        <w:rPr>
          <w:rFonts w:ascii="Palatino Linotype" w:eastAsia="Palatino Linotype" w:hAnsi="Palatino Linotype" w:cs="Palatino Linotype"/>
        </w:rPr>
        <w:t xml:space="preserve"> en que tuvo conocimiento de la respuesta impugnada. </w:t>
      </w:r>
    </w:p>
    <w:p w14:paraId="4E4BC3CB" w14:textId="77777777" w:rsidR="000A372D" w:rsidRPr="00686FB4" w:rsidRDefault="000A372D" w:rsidP="00FF51E8">
      <w:pPr>
        <w:spacing w:after="0" w:line="360" w:lineRule="auto"/>
        <w:jc w:val="both"/>
        <w:rPr>
          <w:rFonts w:ascii="Palatino Linotype" w:eastAsia="Palatino Linotype" w:hAnsi="Palatino Linotype" w:cs="Palatino Linotype"/>
        </w:rPr>
      </w:pPr>
    </w:p>
    <w:p w14:paraId="4BA33383" w14:textId="77777777" w:rsidR="000A372D" w:rsidRPr="00686FB4" w:rsidRDefault="00DA4FF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En este sentido, se concluye que el presente recurso de revisión se encuentra dentro de los márgenes temporales previstos en las disposiciones legales referidas.</w:t>
      </w:r>
    </w:p>
    <w:p w14:paraId="4EFC1097" w14:textId="77777777" w:rsidR="000A372D" w:rsidRPr="00686FB4" w:rsidRDefault="000A372D" w:rsidP="00FF51E8">
      <w:pPr>
        <w:spacing w:after="0" w:line="360" w:lineRule="auto"/>
        <w:jc w:val="both"/>
        <w:rPr>
          <w:rFonts w:ascii="Palatino Linotype" w:eastAsia="Palatino Linotype" w:hAnsi="Palatino Linotype" w:cs="Palatino Linotype"/>
        </w:rPr>
      </w:pPr>
    </w:p>
    <w:p w14:paraId="37154F31" w14:textId="77777777" w:rsidR="000A372D" w:rsidRPr="00686FB4" w:rsidRDefault="00DA4FF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14:paraId="6DE0822D" w14:textId="6145835D" w:rsidR="000A372D" w:rsidRPr="00686FB4" w:rsidRDefault="000A372D" w:rsidP="00FF51E8">
      <w:pPr>
        <w:spacing w:after="0" w:line="360" w:lineRule="auto"/>
        <w:jc w:val="both"/>
        <w:rPr>
          <w:rFonts w:ascii="Palatino Linotype" w:eastAsia="Palatino Linotype" w:hAnsi="Palatino Linotype" w:cs="Palatino Linotype"/>
        </w:rPr>
      </w:pPr>
    </w:p>
    <w:p w14:paraId="58EEFCE5" w14:textId="33E365C4" w:rsidR="000A372D" w:rsidRPr="00686FB4" w:rsidRDefault="00DA4FF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Finalmente, se advierte que resulta procedente la interposición del recurso, según lo manifestado por la parte </w:t>
      </w:r>
      <w:r w:rsidRPr="00686FB4">
        <w:rPr>
          <w:rFonts w:ascii="Palatino Linotype" w:eastAsia="Palatino Linotype" w:hAnsi="Palatino Linotype" w:cs="Palatino Linotype"/>
          <w:b/>
          <w:bCs/>
        </w:rPr>
        <w:t>Recurrente</w:t>
      </w:r>
      <w:r w:rsidRPr="00686FB4">
        <w:rPr>
          <w:rFonts w:ascii="Palatino Linotype" w:eastAsia="Palatino Linotype" w:hAnsi="Palatino Linotype" w:cs="Palatino Linotype"/>
        </w:rPr>
        <w:t xml:space="preserve"> en sus motivos de inconformidad, de acuerdo con el artículo 179, fracción I del ordenamiento legal citado, que a la letra dice: </w:t>
      </w:r>
    </w:p>
    <w:p w14:paraId="6368C377" w14:textId="77777777" w:rsidR="000A372D" w:rsidRPr="00686FB4" w:rsidRDefault="000A372D" w:rsidP="00FF51E8">
      <w:pPr>
        <w:spacing w:after="0" w:line="360" w:lineRule="auto"/>
        <w:jc w:val="both"/>
        <w:rPr>
          <w:rFonts w:ascii="Palatino Linotype" w:eastAsia="Palatino Linotype" w:hAnsi="Palatino Linotype" w:cs="Palatino Linotype"/>
        </w:rPr>
      </w:pPr>
    </w:p>
    <w:p w14:paraId="451FAA1C" w14:textId="77777777" w:rsidR="000A372D" w:rsidRPr="00686FB4" w:rsidRDefault="00DA4FFE" w:rsidP="00FF51E8">
      <w:pPr>
        <w:spacing w:after="0"/>
        <w:ind w:left="851" w:right="709"/>
        <w:jc w:val="both"/>
        <w:rPr>
          <w:rFonts w:ascii="Palatino Linotype" w:eastAsia="Palatino Linotype" w:hAnsi="Palatino Linotype" w:cs="Palatino Linotype"/>
        </w:rPr>
      </w:pPr>
      <w:r w:rsidRPr="00686FB4">
        <w:rPr>
          <w:rFonts w:ascii="Palatino Linotype" w:eastAsia="Palatino Linotype" w:hAnsi="Palatino Linotype" w:cs="Palatino Linotype"/>
          <w:i/>
          <w:iCs/>
        </w:rPr>
        <w:t>“</w:t>
      </w:r>
      <w:r w:rsidRPr="00686FB4">
        <w:rPr>
          <w:rFonts w:ascii="Palatino Linotype" w:eastAsia="Palatino Linotype" w:hAnsi="Palatino Linotype" w:cs="Palatino Linotype"/>
          <w:b/>
          <w:bCs/>
          <w:i/>
          <w:iCs/>
        </w:rPr>
        <w:t>Artículo 179.</w:t>
      </w:r>
      <w:r w:rsidRPr="00686FB4">
        <w:rPr>
          <w:rFonts w:ascii="Palatino Linotype" w:eastAsia="Palatino Linotype" w:hAnsi="Palatino Linotype" w:cs="Palatino Linotype"/>
          <w:i/>
          <w:iCs/>
        </w:rPr>
        <w:t xml:space="preserve"> El recurso de revisión es un medio de protección que la Ley otorga a los particulares, para hacer valer su derecho de acceso a la información pública, y procederá en contra de las siguientes causas:</w:t>
      </w:r>
    </w:p>
    <w:p w14:paraId="6ACDD401" w14:textId="77777777" w:rsidR="000A372D" w:rsidRPr="00686FB4" w:rsidRDefault="00DA4FFE" w:rsidP="00FF51E8">
      <w:pPr>
        <w:spacing w:after="0"/>
        <w:ind w:left="851" w:right="709"/>
        <w:jc w:val="both"/>
        <w:rPr>
          <w:rFonts w:ascii="Palatino Linotype" w:eastAsia="Palatino Linotype" w:hAnsi="Palatino Linotype" w:cs="Palatino Linotype"/>
        </w:rPr>
      </w:pPr>
      <w:r w:rsidRPr="00686FB4">
        <w:rPr>
          <w:rFonts w:ascii="Palatino Linotype" w:eastAsia="Palatino Linotype" w:hAnsi="Palatino Linotype" w:cs="Palatino Linotype"/>
          <w:i/>
          <w:iCs/>
        </w:rPr>
        <w:t>...</w:t>
      </w:r>
    </w:p>
    <w:p w14:paraId="754B106A" w14:textId="468E53AA" w:rsidR="000A372D" w:rsidRPr="00686FB4" w:rsidRDefault="00FD0EF5" w:rsidP="00FF51E8">
      <w:pPr>
        <w:spacing w:after="0"/>
        <w:ind w:left="851" w:right="709"/>
        <w:jc w:val="both"/>
        <w:rPr>
          <w:rFonts w:ascii="Palatino Linotype" w:eastAsia="Palatino Linotype" w:hAnsi="Palatino Linotype" w:cs="Palatino Linotype"/>
        </w:rPr>
      </w:pPr>
      <w:r w:rsidRPr="00686FB4">
        <w:rPr>
          <w:rFonts w:ascii="Palatino Linotype" w:eastAsia="Palatino Linotype" w:hAnsi="Palatino Linotype" w:cs="Palatino Linotype"/>
          <w:i/>
          <w:iCs/>
        </w:rPr>
        <w:t>I. La negativa a la información solicitada…</w:t>
      </w:r>
      <w:r w:rsidR="00DA4FFE" w:rsidRPr="00686FB4">
        <w:rPr>
          <w:rFonts w:ascii="Palatino Linotype" w:eastAsia="Palatino Linotype" w:hAnsi="Palatino Linotype" w:cs="Palatino Linotype"/>
          <w:i/>
          <w:iCs/>
        </w:rPr>
        <w:t>;”</w:t>
      </w:r>
    </w:p>
    <w:p w14:paraId="5BC19BA1"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2D7C69B3"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bCs/>
        </w:rPr>
        <w:t>Tercero. Materia de la revisión</w:t>
      </w:r>
      <w:r w:rsidRPr="00686FB4">
        <w:rPr>
          <w:rFonts w:ascii="Palatino Linotype" w:eastAsia="Palatino Linotype" w:hAnsi="Palatino Linotype" w:cs="Palatino Linotype"/>
        </w:rPr>
        <w:t>. Este Organismo Garante procede del análisis de los agravios hechos valer por la parte Recurrente, a fin de determinar si se violenta en perjuicio de este, el derecho de acceso a la información previsto en la Constitución Política de los Estados Unidos Mexicanos y en la Constitución Política del Estado Libre y Soberano de México.</w:t>
      </w:r>
    </w:p>
    <w:p w14:paraId="18EFB552"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3F0BD498" w14:textId="37FC3969"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bCs/>
        </w:rPr>
        <w:t>Cuarto.</w:t>
      </w:r>
      <w:r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b/>
          <w:bCs/>
        </w:rPr>
        <w:t>Estudio de fondo del asunto.</w:t>
      </w:r>
      <w:r w:rsidR="00FD0EF5"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rPr>
        <w:t>Antes de entrar al análisis de los pronunciamientos del Sujeto Obligado vertidos mediante informe justificado, es necesario mencionar que cualquier persona tiene el derecho al acceso de la información pública, información que consiste en aquella que sea generada, obtenida, adquirida, transformada, administrada o en posesión de los Sujetos Obligados, como así también lo señala la Ley de Transparencia y Acceso a la Información Pública del Estado de México y Municipios en su artículo 4, que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43E7A1D6"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283867AF" w14:textId="77777777" w:rsidR="000A372D" w:rsidRPr="00686FB4" w:rsidRDefault="00DA4FFE" w:rsidP="00FF51E8">
      <w:pPr>
        <w:tabs>
          <w:tab w:val="left" w:pos="8222"/>
        </w:tabs>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w:t>
      </w:r>
      <w:r w:rsidRPr="00686FB4">
        <w:rPr>
          <w:rFonts w:ascii="Palatino Linotype" w:eastAsia="Palatino Linotype" w:hAnsi="Palatino Linotype" w:cs="Palatino Linotype"/>
          <w:b/>
          <w:bCs/>
          <w:i/>
          <w:iCs/>
        </w:rPr>
        <w:t>Artículo 4.</w:t>
      </w:r>
      <w:r w:rsidRPr="00686FB4">
        <w:rPr>
          <w:rFonts w:ascii="Palatino Linotype" w:eastAsia="Palatino Linotype" w:hAnsi="Palatino Linotype" w:cs="Palatino Linotype"/>
          <w:i/>
          <w:iCs/>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16EE6F5B" w14:textId="77777777" w:rsidR="000A372D" w:rsidRPr="00686FB4" w:rsidRDefault="00DA4FFE" w:rsidP="00FF51E8">
      <w:pPr>
        <w:tabs>
          <w:tab w:val="left" w:pos="8222"/>
        </w:tabs>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Toda la información generada, obtenida, adquirida, transformada, administrada o en posesión de los sujetos obligados es pública y accesible de manera permanente a cualquier persona,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5432B42C" w14:textId="77777777" w:rsidR="000A372D" w:rsidRPr="00686FB4" w:rsidRDefault="000A372D" w:rsidP="00FF51E8">
      <w:pPr>
        <w:tabs>
          <w:tab w:val="left" w:pos="8222"/>
        </w:tabs>
        <w:spacing w:after="0"/>
        <w:ind w:left="851" w:right="709"/>
        <w:jc w:val="both"/>
        <w:rPr>
          <w:rFonts w:ascii="Palatino Linotype" w:eastAsia="Palatino Linotype" w:hAnsi="Palatino Linotype" w:cs="Palatino Linotype"/>
          <w:i/>
          <w:iCs/>
        </w:rPr>
      </w:pPr>
    </w:p>
    <w:p w14:paraId="3836EC14" w14:textId="77777777" w:rsidR="000A372D" w:rsidRPr="00686FB4" w:rsidRDefault="00DA4FFE" w:rsidP="00FF51E8">
      <w:pPr>
        <w:tabs>
          <w:tab w:val="left" w:pos="8222"/>
        </w:tabs>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Los sujetos obligados deben poner en práctica, políticas y programas de acceso a la información que se apeguen a criterios de publicidad, veracidad, oportunidad, precisión y suficiencia en beneficio de los solicitantes.”</w:t>
      </w:r>
    </w:p>
    <w:p w14:paraId="2E0B8AEA"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0BDD1012"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De lo precedente, se desprende que los Sujetos Obligados tienen la obligación o deber de atender las solicitudes de acceso a la información pública que se les hagan de su conocimiento y proporcionar la información pública que obren en su poder como así lo establece el artículo 12 de la Ley de Transparencia y Acceso a la Información Pública del Estado de México y Municipios, el cual a la letra dice:</w:t>
      </w:r>
    </w:p>
    <w:p w14:paraId="3ABE4CF2"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319AA18D" w14:textId="77777777" w:rsidR="000A372D" w:rsidRPr="00686FB4" w:rsidRDefault="00DA4FFE" w:rsidP="00FF51E8">
      <w:pPr>
        <w:spacing w:after="0"/>
        <w:ind w:left="851" w:right="709"/>
        <w:jc w:val="both"/>
        <w:rPr>
          <w:rFonts w:ascii="Palatino Linotype" w:eastAsia="Palatino Linotype" w:hAnsi="Palatino Linotype" w:cs="Palatino Linotype"/>
          <w:i/>
          <w:iCs/>
        </w:rPr>
      </w:pPr>
      <w:bookmarkStart w:id="2" w:name="_heading=h.3znysh7" w:colFirst="0" w:colLast="0"/>
      <w:bookmarkEnd w:id="2"/>
      <w:r w:rsidRPr="00686FB4">
        <w:rPr>
          <w:rFonts w:ascii="Palatino Linotype" w:eastAsia="Palatino Linotype" w:hAnsi="Palatino Linotype" w:cs="Palatino Linotype"/>
          <w:i/>
          <w:iCs/>
        </w:rPr>
        <w:t>“</w:t>
      </w:r>
      <w:r w:rsidRPr="00686FB4">
        <w:rPr>
          <w:rFonts w:ascii="Palatino Linotype" w:eastAsia="Palatino Linotype" w:hAnsi="Palatino Linotype" w:cs="Palatino Linotype"/>
          <w:b/>
          <w:bCs/>
          <w:i/>
          <w:iCs/>
        </w:rPr>
        <w:t>Artículo 12.</w:t>
      </w:r>
      <w:r w:rsidRPr="00686FB4">
        <w:rPr>
          <w:rFonts w:ascii="Palatino Linotype" w:eastAsia="Palatino Linotype" w:hAnsi="Palatino Linotype" w:cs="Palatino Linotype"/>
          <w:i/>
          <w:iCs/>
        </w:rPr>
        <w:t xml:space="preserve"> Quienes generen, recopilen, administren, manejen, procesen, archiven o conserven información pública serán responsables de la misma en los términos de las disposiciones jurídicas aplicables. </w:t>
      </w:r>
    </w:p>
    <w:p w14:paraId="14347C8F" w14:textId="77777777"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 xml:space="preserve">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 </w:t>
      </w:r>
    </w:p>
    <w:p w14:paraId="3C9B47BA"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2C1B72E1"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Es decir, que el derecho de acceso a la información pública se satisface en aquellos casos en que se entregue documento en que conste la información requerida, toda vez que, los Sujetos Obligados no tienen el deber de generar, poseer o administrar la información pública con el grado de detalle solicitado; esto es, que no tienen el deber de generar un documento ad hoc, para satisfacer el derecho de acceso a la información pública, como así lo establece el Criterio orientador 03/17 emitido por el entonces Instituto Nacional de Transparencia, Acceso a la Información Pública y Protección de Datos Personales, el cual señala lo siguiente:</w:t>
      </w:r>
    </w:p>
    <w:p w14:paraId="3412E014"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532B3DE6" w14:textId="77777777" w:rsidR="000A372D" w:rsidRPr="00686FB4" w:rsidRDefault="00DA4FFE" w:rsidP="00FF51E8">
      <w:pPr>
        <w:spacing w:after="0"/>
        <w:ind w:left="851" w:right="709"/>
        <w:jc w:val="both"/>
        <w:rPr>
          <w:rFonts w:ascii="Palatino Linotype" w:eastAsia="Palatino Linotype" w:hAnsi="Palatino Linotype" w:cs="Palatino Linotype"/>
          <w:b/>
          <w:bCs/>
          <w:i/>
          <w:iCs/>
        </w:rPr>
      </w:pPr>
      <w:r w:rsidRPr="00686FB4">
        <w:rPr>
          <w:rFonts w:ascii="Palatino Linotype" w:eastAsia="Palatino Linotype" w:hAnsi="Palatino Linotype" w:cs="Palatino Linotype"/>
          <w:b/>
          <w:bCs/>
          <w:i/>
          <w:iCs/>
        </w:rPr>
        <w:t>Criterio 03/17</w:t>
      </w:r>
    </w:p>
    <w:p w14:paraId="3CF28A34" w14:textId="77777777"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b/>
          <w:bCs/>
          <w:i/>
          <w:iCs/>
        </w:rPr>
        <w:t xml:space="preserve">“NO EXISTE OBLIGACIÓN DE ELABORAR DOCUMENTOS AD HOC PARA ATENDER LAS SOLICITUDES DE ACCESO A LA INFORMACIÓN. </w:t>
      </w:r>
      <w:r w:rsidRPr="00686FB4">
        <w:rPr>
          <w:rFonts w:ascii="Palatino Linotype" w:eastAsia="Palatino Linotype" w:hAnsi="Palatino Linotype" w:cs="Palatino Linotype"/>
          <w:i/>
          <w:iCs/>
        </w:rPr>
        <w:t>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14:paraId="3FACCB13"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62F77E1A"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Por otra parte, y aunado a lo antepuesto, el último párrafo del artículo 24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4BADA25B"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5F3A6103"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Siempre y cuando no se trate de información reservada o clasificada, que difundirla pondría en riesgo la seguridad jurídica y física del titular de la información,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5DA895C4"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27866CB3"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6B04E977"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367D5D49" w14:textId="77777777"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w:t>
      </w:r>
      <w:r w:rsidRPr="00686FB4">
        <w:rPr>
          <w:rFonts w:ascii="Palatino Linotype" w:eastAsia="Palatino Linotype" w:hAnsi="Palatino Linotype" w:cs="Palatino Linotype"/>
          <w:b/>
          <w:bCs/>
          <w:i/>
          <w:iCs/>
        </w:rPr>
        <w:t>Artículo 3.</w:t>
      </w:r>
      <w:r w:rsidRPr="00686FB4">
        <w:rPr>
          <w:rFonts w:ascii="Palatino Linotype" w:eastAsia="Palatino Linotype" w:hAnsi="Palatino Linotype" w:cs="Palatino Linotype"/>
          <w:i/>
          <w:iCs/>
        </w:rPr>
        <w:t xml:space="preserve"> Para los efectos de la presente Ley se entenderá por:</w:t>
      </w:r>
    </w:p>
    <w:p w14:paraId="02709875" w14:textId="77777777"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w:t>
      </w:r>
    </w:p>
    <w:p w14:paraId="3495794D" w14:textId="77777777"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b/>
          <w:bCs/>
          <w:i/>
          <w:iCs/>
        </w:rPr>
        <w:t>XI. Documento:</w:t>
      </w:r>
      <w:r w:rsidRPr="00686FB4">
        <w:rPr>
          <w:rFonts w:ascii="Palatino Linotype" w:eastAsia="Palatino Linotype" w:hAnsi="Palatino Linotype" w:cs="Palatino Linotype"/>
          <w:i/>
          <w:iCs/>
        </w:rPr>
        <w:t xml:space="preserve"> Los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655B4CAC"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7A99612F"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5474A24C" w14:textId="77777777" w:rsidR="00192E56" w:rsidRPr="00686FB4" w:rsidRDefault="00192E56" w:rsidP="00FF51E8">
      <w:pPr>
        <w:spacing w:after="0"/>
        <w:ind w:left="851" w:right="709"/>
        <w:jc w:val="both"/>
        <w:rPr>
          <w:rFonts w:ascii="Palatino Linotype" w:eastAsia="Palatino Linotype" w:hAnsi="Palatino Linotype" w:cs="Palatino Linotype"/>
          <w:i/>
          <w:iCs/>
        </w:rPr>
      </w:pPr>
    </w:p>
    <w:p w14:paraId="69324E32" w14:textId="77777777" w:rsidR="000A372D" w:rsidRPr="00686FB4" w:rsidRDefault="00DA4FFE" w:rsidP="00FF51E8">
      <w:pPr>
        <w:spacing w:after="0"/>
        <w:ind w:left="851" w:right="709"/>
        <w:jc w:val="both"/>
        <w:rPr>
          <w:rFonts w:ascii="Palatino Linotype" w:eastAsia="Palatino Linotype" w:hAnsi="Palatino Linotype" w:cs="Palatino Linotype"/>
          <w:b/>
          <w:bCs/>
          <w:i/>
          <w:iCs/>
        </w:rPr>
      </w:pPr>
      <w:r w:rsidRPr="00686FB4">
        <w:rPr>
          <w:rFonts w:ascii="Palatino Linotype" w:eastAsia="Palatino Linotype" w:hAnsi="Palatino Linotype" w:cs="Palatino Linotype"/>
          <w:i/>
          <w:iCs/>
        </w:rPr>
        <w:t>“</w:t>
      </w:r>
      <w:r w:rsidRPr="00686FB4">
        <w:rPr>
          <w:rFonts w:ascii="Palatino Linotype" w:eastAsia="Palatino Linotype" w:hAnsi="Palatino Linotype" w:cs="Palatino Linotype"/>
          <w:b/>
          <w:bCs/>
          <w:i/>
          <w:iCs/>
        </w:rPr>
        <w:t>CRITERIO 0002-11</w:t>
      </w:r>
    </w:p>
    <w:p w14:paraId="49EEB366" w14:textId="77777777"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b/>
          <w:bCs/>
          <w:i/>
          <w:iCs/>
        </w:rPr>
        <w:t>INFORMACIÓN PÚBLICA, CONCEPTO DE, EN MATERIA DE TRANSPARENCIA. INTERPRETACIÓN SISTEMÁTICA DE LOS ARTÍCULOS 2°, FRACCIÓN V, XV, Y XVI, 3°, 4°, 11 Y 41.</w:t>
      </w:r>
      <w:r w:rsidRPr="00686FB4">
        <w:rPr>
          <w:rFonts w:ascii="Palatino Linotype" w:eastAsia="Palatino Linotype" w:hAnsi="Palatino Linotype" w:cs="Palatino Linotype"/>
          <w:i/>
          <w:iCs/>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656524B9" w14:textId="77777777"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En consecuencia el acceso a la información se refiere a que se cumplan cualquiera de los siguientes tres supuestos:</w:t>
      </w:r>
    </w:p>
    <w:p w14:paraId="743EB0C9" w14:textId="77777777"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1)</w:t>
      </w:r>
      <w:r w:rsidRPr="00686FB4">
        <w:rPr>
          <w:rFonts w:ascii="Palatino Linotype" w:eastAsia="Palatino Linotype" w:hAnsi="Palatino Linotype" w:cs="Palatino Linotype"/>
          <w:i/>
          <w:iCs/>
        </w:rPr>
        <w:tab/>
        <w:t>Que se trate de información registrada en cualquier soporte documental, que en ejercicio de las atribuciones conferidas, sea generada por los Sujetos Obligados;</w:t>
      </w:r>
    </w:p>
    <w:p w14:paraId="2410F839" w14:textId="77777777"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2)</w:t>
      </w:r>
      <w:r w:rsidRPr="00686FB4">
        <w:rPr>
          <w:rFonts w:ascii="Palatino Linotype" w:eastAsia="Palatino Linotype" w:hAnsi="Palatino Linotype" w:cs="Palatino Linotype"/>
          <w:i/>
          <w:iCs/>
        </w:rPr>
        <w:tab/>
        <w:t>Que se trate de información registrada en cualquier soporte documental, que en ejercicio de las atribuciones conferidas, sea administrada por los Sujetos Obligados, y</w:t>
      </w:r>
    </w:p>
    <w:p w14:paraId="3A0F5715" w14:textId="77777777" w:rsidR="000A372D" w:rsidRPr="00686FB4" w:rsidRDefault="00DA4FFE"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 xml:space="preserve">3) Que se trate de información registrada en cualquier soporte documental, que en ejercicio de las atribuciones conferidas, se encuentre en posesión de los Sujetos Obligados.” </w:t>
      </w:r>
    </w:p>
    <w:p w14:paraId="798C9931"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21DDE177"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De ahí que 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cuenta con el deber de satisfacer las solicitudes de acceso a la información que le sean formuladas y entregar la información pública que obre en sus archivos; más aún si la misma se trata de información pública de oficio la cual se relaciona con aquella que se genere de acuerdo con sus facultades, atribuciones señaladas por la Ley en la materia, así como de interés público, es decir, aquella que resulta relevante o beneficiosa para la sociedad y no simplemente de interés individual y cuya divulgación resulta útil para que el público comprenda las actividades que llevan a cabo los Sujetos Obligados.</w:t>
      </w:r>
    </w:p>
    <w:p w14:paraId="581F6506"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47738C5E"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36DCCF49"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5008F4E4" w14:textId="4FF602B1"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En este tenor, a través de la solicitud de información, motivo del recurso de revisión que ahora se resuelve, se advierte que la parte </w:t>
      </w:r>
      <w:r w:rsidRPr="00686FB4">
        <w:rPr>
          <w:rFonts w:ascii="Palatino Linotype" w:eastAsia="Palatino Linotype" w:hAnsi="Palatino Linotype" w:cs="Palatino Linotype"/>
          <w:b/>
          <w:bCs/>
        </w:rPr>
        <w:t>Recurrente</w:t>
      </w:r>
      <w:r w:rsidRPr="00686FB4">
        <w:rPr>
          <w:rFonts w:ascii="Palatino Linotype" w:eastAsia="Palatino Linotype" w:hAnsi="Palatino Linotype" w:cs="Palatino Linotype"/>
        </w:rPr>
        <w:t xml:space="preserve"> requirió al </w:t>
      </w:r>
      <w:r w:rsidRPr="00686FB4">
        <w:rPr>
          <w:rFonts w:ascii="Palatino Linotype" w:eastAsia="Palatino Linotype" w:hAnsi="Palatino Linotype" w:cs="Palatino Linotype"/>
          <w:b/>
          <w:bCs/>
        </w:rPr>
        <w:t xml:space="preserve">Sujeto Obligado </w:t>
      </w:r>
      <w:r w:rsidRPr="00686FB4">
        <w:rPr>
          <w:rFonts w:ascii="Palatino Linotype" w:eastAsia="Palatino Linotype" w:hAnsi="Palatino Linotype" w:cs="Palatino Linotype"/>
        </w:rPr>
        <w:t>le proporcione</w:t>
      </w:r>
      <w:r w:rsidR="00DD427B" w:rsidRPr="00686FB4">
        <w:rPr>
          <w:rFonts w:ascii="Palatino Linotype" w:eastAsia="Palatino Linotype" w:hAnsi="Palatino Linotype" w:cs="Palatino Linotype"/>
        </w:rPr>
        <w:t xml:space="preserve"> de la administración actual</w:t>
      </w:r>
      <w:r w:rsidRPr="00686FB4">
        <w:rPr>
          <w:rFonts w:ascii="Palatino Linotype" w:eastAsia="Palatino Linotype" w:hAnsi="Palatino Linotype" w:cs="Palatino Linotype"/>
        </w:rPr>
        <w:t>, lo siguiente:</w:t>
      </w:r>
    </w:p>
    <w:p w14:paraId="02A7B2B6"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76600A81" w14:textId="3525158E" w:rsidR="00FD0EF5" w:rsidRPr="00686FB4" w:rsidRDefault="00FD0EF5" w:rsidP="00FF51E8">
      <w:pPr>
        <w:numPr>
          <w:ilvl w:val="0"/>
          <w:numId w:val="15"/>
        </w:numPr>
        <w:pBdr>
          <w:top w:val="nil"/>
          <w:left w:val="nil"/>
          <w:bottom w:val="nil"/>
          <w:right w:val="nil"/>
          <w:between w:val="nil"/>
        </w:pBdr>
        <w:spacing w:after="0" w:line="360" w:lineRule="auto"/>
        <w:ind w:right="49"/>
        <w:jc w:val="both"/>
        <w:rPr>
          <w:rFonts w:ascii="Palatino Linotype" w:eastAsia="Palatino Linotype" w:hAnsi="Palatino Linotype" w:cs="Palatino Linotype"/>
          <w:b/>
          <w:bCs/>
        </w:rPr>
      </w:pPr>
      <w:r w:rsidRPr="00686FB4">
        <w:rPr>
          <w:rFonts w:ascii="Palatino Linotype" w:eastAsia="Palatino Linotype" w:hAnsi="Palatino Linotype" w:cs="Palatino Linotype"/>
          <w:b/>
          <w:bCs/>
        </w:rPr>
        <w:t xml:space="preserve">Nombre del </w:t>
      </w:r>
      <w:r w:rsidR="00DD427B" w:rsidRPr="00686FB4">
        <w:rPr>
          <w:rFonts w:ascii="Palatino Linotype" w:eastAsia="Palatino Linotype" w:hAnsi="Palatino Linotype" w:cs="Palatino Linotype"/>
          <w:b/>
          <w:bCs/>
        </w:rPr>
        <w:t xml:space="preserve">Titular </w:t>
      </w:r>
      <w:r w:rsidRPr="00686FB4">
        <w:rPr>
          <w:rFonts w:ascii="Palatino Linotype" w:eastAsia="Palatino Linotype" w:hAnsi="Palatino Linotype" w:cs="Palatino Linotype"/>
          <w:b/>
          <w:bCs/>
        </w:rPr>
        <w:t xml:space="preserve">de la Coordinación de Catastro Municipal. </w:t>
      </w:r>
    </w:p>
    <w:p w14:paraId="0EEE931B" w14:textId="05A45252" w:rsidR="00FD0EF5" w:rsidRPr="00686FB4" w:rsidRDefault="005F4A4F" w:rsidP="00FF51E8">
      <w:pPr>
        <w:numPr>
          <w:ilvl w:val="0"/>
          <w:numId w:val="15"/>
        </w:numPr>
        <w:pBdr>
          <w:top w:val="nil"/>
          <w:left w:val="nil"/>
          <w:bottom w:val="nil"/>
          <w:right w:val="nil"/>
          <w:between w:val="nil"/>
        </w:pBdr>
        <w:spacing w:after="0" w:line="360" w:lineRule="auto"/>
        <w:ind w:right="49"/>
        <w:jc w:val="both"/>
        <w:rPr>
          <w:rFonts w:ascii="Palatino Linotype" w:eastAsia="Palatino Linotype" w:hAnsi="Palatino Linotype" w:cs="Palatino Linotype"/>
          <w:b/>
          <w:bCs/>
        </w:rPr>
      </w:pPr>
      <w:r w:rsidRPr="00686FB4">
        <w:rPr>
          <w:rFonts w:ascii="Palatino Linotype" w:eastAsia="Palatino Linotype" w:hAnsi="Palatino Linotype" w:cs="Palatino Linotype"/>
          <w:b/>
          <w:bCs/>
        </w:rPr>
        <w:t>Currí</w:t>
      </w:r>
      <w:r w:rsidR="00FD0EF5" w:rsidRPr="00686FB4">
        <w:rPr>
          <w:rFonts w:ascii="Palatino Linotype" w:eastAsia="Palatino Linotype" w:hAnsi="Palatino Linotype" w:cs="Palatino Linotype"/>
          <w:b/>
          <w:bCs/>
        </w:rPr>
        <w:t xml:space="preserve">culum </w:t>
      </w:r>
      <w:r w:rsidR="00DD427B" w:rsidRPr="00686FB4">
        <w:rPr>
          <w:rFonts w:ascii="Palatino Linotype" w:eastAsia="Palatino Linotype" w:hAnsi="Palatino Linotype" w:cs="Palatino Linotype"/>
          <w:b/>
          <w:bCs/>
        </w:rPr>
        <w:t>del T</w:t>
      </w:r>
      <w:r w:rsidR="00FD0EF5" w:rsidRPr="00686FB4">
        <w:rPr>
          <w:rFonts w:ascii="Palatino Linotype" w:eastAsia="Palatino Linotype" w:hAnsi="Palatino Linotype" w:cs="Palatino Linotype"/>
          <w:b/>
          <w:bCs/>
        </w:rPr>
        <w:t xml:space="preserve">itular de la </w:t>
      </w:r>
      <w:r w:rsidRPr="00686FB4">
        <w:rPr>
          <w:rFonts w:ascii="Palatino Linotype" w:eastAsia="Palatino Linotype" w:hAnsi="Palatino Linotype" w:cs="Palatino Linotype"/>
          <w:b/>
          <w:bCs/>
        </w:rPr>
        <w:t>Coordinación</w:t>
      </w:r>
      <w:r w:rsidR="00FD0EF5" w:rsidRPr="00686FB4">
        <w:rPr>
          <w:rFonts w:ascii="Palatino Linotype" w:eastAsia="Palatino Linotype" w:hAnsi="Palatino Linotype" w:cs="Palatino Linotype"/>
          <w:b/>
          <w:bCs/>
        </w:rPr>
        <w:t xml:space="preserve"> de Catastro, </w:t>
      </w:r>
    </w:p>
    <w:p w14:paraId="7431BDC5" w14:textId="172D8EF9" w:rsidR="00FD0EF5" w:rsidRPr="00686FB4" w:rsidRDefault="00FD0EF5" w:rsidP="00FF51E8">
      <w:pPr>
        <w:numPr>
          <w:ilvl w:val="0"/>
          <w:numId w:val="15"/>
        </w:numPr>
        <w:pBdr>
          <w:top w:val="nil"/>
          <w:left w:val="nil"/>
          <w:bottom w:val="nil"/>
          <w:right w:val="nil"/>
          <w:between w:val="nil"/>
        </w:pBdr>
        <w:spacing w:after="0" w:line="360" w:lineRule="auto"/>
        <w:ind w:right="49"/>
        <w:jc w:val="both"/>
        <w:rPr>
          <w:rFonts w:ascii="Palatino Linotype" w:eastAsia="Palatino Linotype" w:hAnsi="Palatino Linotype" w:cs="Palatino Linotype"/>
          <w:b/>
          <w:bCs/>
        </w:rPr>
      </w:pPr>
      <w:r w:rsidRPr="00686FB4">
        <w:rPr>
          <w:rFonts w:ascii="Palatino Linotype" w:eastAsia="Palatino Linotype" w:hAnsi="Palatino Linotype" w:cs="Palatino Linotype"/>
          <w:b/>
          <w:bCs/>
        </w:rPr>
        <w:t xml:space="preserve">Si cuenta con </w:t>
      </w:r>
      <w:r w:rsidR="00E12D17" w:rsidRPr="00686FB4">
        <w:rPr>
          <w:rFonts w:ascii="Palatino Linotype" w:eastAsia="Palatino Linotype" w:hAnsi="Palatino Linotype" w:cs="Palatino Linotype"/>
          <w:b/>
          <w:bCs/>
        </w:rPr>
        <w:t>certificación</w:t>
      </w:r>
      <w:r w:rsidRPr="00686FB4">
        <w:rPr>
          <w:rFonts w:ascii="Palatino Linotype" w:eastAsia="Palatino Linotype" w:hAnsi="Palatino Linotype" w:cs="Palatino Linotype"/>
          <w:b/>
          <w:bCs/>
        </w:rPr>
        <w:t xml:space="preserve"> el titular de la </w:t>
      </w:r>
      <w:r w:rsidR="00E12D17" w:rsidRPr="00686FB4">
        <w:rPr>
          <w:rFonts w:ascii="Palatino Linotype" w:eastAsia="Palatino Linotype" w:hAnsi="Palatino Linotype" w:cs="Palatino Linotype"/>
          <w:b/>
          <w:bCs/>
        </w:rPr>
        <w:t>Coordinación</w:t>
      </w:r>
      <w:r w:rsidRPr="00686FB4">
        <w:rPr>
          <w:rFonts w:ascii="Palatino Linotype" w:eastAsia="Palatino Linotype" w:hAnsi="Palatino Linotype" w:cs="Palatino Linotype"/>
          <w:b/>
          <w:bCs/>
        </w:rPr>
        <w:t xml:space="preserve"> de Catastro</w:t>
      </w:r>
      <w:r w:rsidR="00DD427B" w:rsidRPr="00686FB4">
        <w:rPr>
          <w:rFonts w:ascii="Palatino Linotype" w:eastAsia="Palatino Linotype" w:hAnsi="Palatino Linotype" w:cs="Palatino Linotype"/>
          <w:b/>
          <w:bCs/>
        </w:rPr>
        <w:t xml:space="preserve">. </w:t>
      </w:r>
    </w:p>
    <w:p w14:paraId="3BBDFDAE" w14:textId="72293CAB" w:rsidR="00FD0EF5" w:rsidRPr="00686FB4" w:rsidRDefault="005F4A4F" w:rsidP="00FF51E8">
      <w:pPr>
        <w:numPr>
          <w:ilvl w:val="0"/>
          <w:numId w:val="15"/>
        </w:numPr>
        <w:pBdr>
          <w:top w:val="nil"/>
          <w:left w:val="nil"/>
          <w:bottom w:val="nil"/>
          <w:right w:val="nil"/>
          <w:between w:val="nil"/>
        </w:pBdr>
        <w:spacing w:after="0" w:line="360" w:lineRule="auto"/>
        <w:ind w:right="49"/>
        <w:jc w:val="both"/>
        <w:rPr>
          <w:rFonts w:ascii="Palatino Linotype" w:eastAsia="Palatino Linotype" w:hAnsi="Palatino Linotype" w:cs="Palatino Linotype"/>
          <w:b/>
          <w:bCs/>
        </w:rPr>
      </w:pPr>
      <w:r w:rsidRPr="00686FB4">
        <w:rPr>
          <w:rFonts w:ascii="Palatino Linotype" w:eastAsia="Palatino Linotype" w:hAnsi="Palatino Linotype" w:cs="Palatino Linotype"/>
          <w:b/>
          <w:bCs/>
        </w:rPr>
        <w:t>Nó</w:t>
      </w:r>
      <w:r w:rsidR="00FD0EF5" w:rsidRPr="00686FB4">
        <w:rPr>
          <w:rFonts w:ascii="Palatino Linotype" w:eastAsia="Palatino Linotype" w:hAnsi="Palatino Linotype" w:cs="Palatino Linotype"/>
          <w:b/>
          <w:bCs/>
        </w:rPr>
        <w:t xml:space="preserve">mina testada de todo el personal que labora en la </w:t>
      </w:r>
      <w:r w:rsidRPr="00686FB4">
        <w:rPr>
          <w:rFonts w:ascii="Palatino Linotype" w:eastAsia="Palatino Linotype" w:hAnsi="Palatino Linotype" w:cs="Palatino Linotype"/>
          <w:b/>
          <w:bCs/>
        </w:rPr>
        <w:t>Coordinación</w:t>
      </w:r>
      <w:r w:rsidR="00DD427B" w:rsidRPr="00686FB4">
        <w:rPr>
          <w:rFonts w:ascii="Palatino Linotype" w:eastAsia="Palatino Linotype" w:hAnsi="Palatino Linotype" w:cs="Palatino Linotype"/>
          <w:b/>
          <w:bCs/>
        </w:rPr>
        <w:t xml:space="preserve"> de Catastro</w:t>
      </w:r>
      <w:r w:rsidR="00FD0EF5" w:rsidRPr="00686FB4">
        <w:rPr>
          <w:rFonts w:ascii="Palatino Linotype" w:eastAsia="Palatino Linotype" w:hAnsi="Palatino Linotype" w:cs="Palatino Linotype"/>
          <w:b/>
          <w:bCs/>
        </w:rPr>
        <w:t xml:space="preserve">. </w:t>
      </w:r>
    </w:p>
    <w:p w14:paraId="767FA876" w14:textId="4A56F425" w:rsidR="000A372D" w:rsidRPr="00686FB4" w:rsidRDefault="00FD0EF5" w:rsidP="00FF51E8">
      <w:pPr>
        <w:numPr>
          <w:ilvl w:val="0"/>
          <w:numId w:val="15"/>
        </w:numPr>
        <w:pBdr>
          <w:top w:val="nil"/>
          <w:left w:val="nil"/>
          <w:bottom w:val="nil"/>
          <w:right w:val="nil"/>
          <w:between w:val="nil"/>
        </w:pBdr>
        <w:spacing w:after="0" w:line="360" w:lineRule="auto"/>
        <w:ind w:right="49"/>
        <w:jc w:val="both"/>
        <w:rPr>
          <w:rFonts w:ascii="Palatino Linotype" w:eastAsia="Palatino Linotype" w:hAnsi="Palatino Linotype" w:cs="Palatino Linotype"/>
          <w:b/>
          <w:bCs/>
        </w:rPr>
      </w:pPr>
      <w:r w:rsidRPr="00686FB4">
        <w:rPr>
          <w:rFonts w:ascii="Palatino Linotype" w:eastAsia="Palatino Linotype" w:hAnsi="Palatino Linotype" w:cs="Palatino Linotype"/>
          <w:b/>
          <w:bCs/>
        </w:rPr>
        <w:t>Curr</w:t>
      </w:r>
      <w:r w:rsidR="005F4A4F" w:rsidRPr="00686FB4">
        <w:rPr>
          <w:rFonts w:ascii="Palatino Linotype" w:eastAsia="Palatino Linotype" w:hAnsi="Palatino Linotype" w:cs="Palatino Linotype"/>
          <w:b/>
          <w:bCs/>
        </w:rPr>
        <w:t>í</w:t>
      </w:r>
      <w:r w:rsidRPr="00686FB4">
        <w:rPr>
          <w:rFonts w:ascii="Palatino Linotype" w:eastAsia="Palatino Linotype" w:hAnsi="Palatino Linotype" w:cs="Palatino Linotype"/>
          <w:b/>
          <w:bCs/>
        </w:rPr>
        <w:t xml:space="preserve">culum del personal que labora en la </w:t>
      </w:r>
      <w:r w:rsidR="005F4A4F" w:rsidRPr="00686FB4">
        <w:rPr>
          <w:rFonts w:ascii="Palatino Linotype" w:eastAsia="Palatino Linotype" w:hAnsi="Palatino Linotype" w:cs="Palatino Linotype"/>
          <w:b/>
          <w:bCs/>
        </w:rPr>
        <w:t>Coordinación</w:t>
      </w:r>
      <w:r w:rsidR="00DD427B" w:rsidRPr="00686FB4">
        <w:rPr>
          <w:rFonts w:ascii="Palatino Linotype" w:eastAsia="Palatino Linotype" w:hAnsi="Palatino Linotype" w:cs="Palatino Linotype"/>
          <w:b/>
          <w:bCs/>
        </w:rPr>
        <w:t xml:space="preserve"> de Catastro</w:t>
      </w:r>
      <w:r w:rsidRPr="00686FB4">
        <w:rPr>
          <w:rFonts w:ascii="Palatino Linotype" w:eastAsia="Palatino Linotype" w:hAnsi="Palatino Linotype" w:cs="Palatino Linotype"/>
          <w:b/>
          <w:bCs/>
        </w:rPr>
        <w:t>.</w:t>
      </w:r>
    </w:p>
    <w:p w14:paraId="1A6EA77D" w14:textId="77777777" w:rsidR="000A372D" w:rsidRPr="00686FB4" w:rsidRDefault="000A372D" w:rsidP="00FF51E8">
      <w:pPr>
        <w:spacing w:after="0" w:line="360" w:lineRule="auto"/>
        <w:jc w:val="both"/>
        <w:rPr>
          <w:rFonts w:ascii="Palatino Linotype" w:eastAsia="Palatino Linotype" w:hAnsi="Palatino Linotype" w:cs="Palatino Linotype"/>
        </w:rPr>
      </w:pPr>
    </w:p>
    <w:p w14:paraId="7A357B08" w14:textId="42FA3E14" w:rsidR="00155EF6" w:rsidRPr="00686FB4" w:rsidRDefault="002B4ED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En respuesta el </w:t>
      </w:r>
      <w:r w:rsidR="00DA4FFE" w:rsidRPr="00686FB4">
        <w:rPr>
          <w:rFonts w:ascii="Palatino Linotype" w:eastAsia="Palatino Linotype" w:hAnsi="Palatino Linotype" w:cs="Palatino Linotype"/>
          <w:b/>
          <w:bCs/>
        </w:rPr>
        <w:t>Sujeto Obligado</w:t>
      </w:r>
      <w:r w:rsidRPr="00686FB4">
        <w:rPr>
          <w:rFonts w:ascii="Palatino Linotype" w:eastAsia="Palatino Linotype" w:hAnsi="Palatino Linotype" w:cs="Palatino Linotype"/>
        </w:rPr>
        <w:t xml:space="preserve"> a través del </w:t>
      </w:r>
      <w:r w:rsidR="00155EF6" w:rsidRPr="00686FB4">
        <w:rPr>
          <w:rFonts w:ascii="Palatino Linotype" w:eastAsia="Palatino Linotype" w:hAnsi="Palatino Linotype" w:cs="Palatino Linotype"/>
        </w:rPr>
        <w:t>Titular de la Unidad de Transparencia</w:t>
      </w:r>
      <w:r w:rsidR="00354FAB" w:rsidRPr="00686FB4">
        <w:rPr>
          <w:rFonts w:ascii="Palatino Linotype" w:eastAsia="Palatino Linotype" w:hAnsi="Palatino Linotype" w:cs="Palatino Linotype"/>
        </w:rPr>
        <w:t xml:space="preserve"> hizo entrega del oficio dirigido a la </w:t>
      </w:r>
      <w:r w:rsidR="00811C74" w:rsidRPr="00686FB4">
        <w:rPr>
          <w:rFonts w:ascii="Palatino Linotype" w:eastAsia="Palatino Linotype" w:hAnsi="Palatino Linotype" w:cs="Palatino Linotype"/>
        </w:rPr>
        <w:t>C</w:t>
      </w:r>
      <w:r w:rsidR="00354FAB" w:rsidRPr="00686FB4">
        <w:rPr>
          <w:rFonts w:ascii="Palatino Linotype" w:eastAsia="Palatino Linotype" w:hAnsi="Palatino Linotype" w:cs="Palatino Linotype"/>
        </w:rPr>
        <w:t>oordinadora de Recursos Humanos en el que solicitó la entrega de la información solicitada</w:t>
      </w:r>
      <w:r w:rsidR="005D1972" w:rsidRPr="00686FB4">
        <w:rPr>
          <w:rFonts w:ascii="Palatino Linotype" w:eastAsia="Palatino Linotype" w:hAnsi="Palatino Linotype" w:cs="Palatino Linotype"/>
        </w:rPr>
        <w:t xml:space="preserve">. </w:t>
      </w:r>
    </w:p>
    <w:p w14:paraId="2E95030C" w14:textId="77777777" w:rsidR="002B4EDE" w:rsidRPr="00686FB4" w:rsidRDefault="002B4EDE" w:rsidP="00FF51E8">
      <w:pPr>
        <w:spacing w:after="0" w:line="360" w:lineRule="auto"/>
        <w:jc w:val="both"/>
        <w:rPr>
          <w:rFonts w:ascii="Palatino Linotype" w:eastAsia="Palatino Linotype" w:hAnsi="Palatino Linotype" w:cs="Palatino Linotype"/>
        </w:rPr>
      </w:pPr>
    </w:p>
    <w:p w14:paraId="07A03AE7" w14:textId="29005682" w:rsidR="00B00B17" w:rsidRPr="00686FB4" w:rsidRDefault="00543346"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Conocida la respuesta por la persona solicitante, al no estar conforme con los términos de la misma, interpuso el recurso de revisión que nos ocupa, mediante el cual se inconformó medularmente por la</w:t>
      </w:r>
      <w:r w:rsidR="00B00B17" w:rsidRPr="00686FB4">
        <w:rPr>
          <w:rFonts w:ascii="Palatino Linotype" w:eastAsia="Palatino Linotype" w:hAnsi="Palatino Linotype" w:cs="Palatino Linotype"/>
        </w:rPr>
        <w:t xml:space="preserve"> negativa a la información solicitada. </w:t>
      </w:r>
    </w:p>
    <w:p w14:paraId="6D7533E4" w14:textId="77777777" w:rsidR="00342FB3" w:rsidRPr="00686FB4" w:rsidRDefault="00342FB3" w:rsidP="00FF51E8">
      <w:pPr>
        <w:spacing w:after="0" w:line="360" w:lineRule="auto"/>
        <w:ind w:right="49"/>
        <w:jc w:val="both"/>
        <w:rPr>
          <w:rFonts w:ascii="Palatino Linotype" w:eastAsia="Palatino Linotype" w:hAnsi="Palatino Linotype" w:cs="Palatino Linotype"/>
        </w:rPr>
      </w:pPr>
    </w:p>
    <w:p w14:paraId="1D54B075" w14:textId="5E7A5CEF" w:rsidR="00B00B17" w:rsidRPr="00686FB4" w:rsidRDefault="00543346"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Admitido el presente recurso de revisión, en términos del artículo 185 fracción II</w:t>
      </w:r>
      <w:r w:rsidRPr="00686FB4">
        <w:rPr>
          <w:rFonts w:ascii="Palatino Linotype" w:eastAsia="Palatino Linotype" w:hAnsi="Palatino Linotype" w:cs="Palatino Linotype"/>
          <w:vertAlign w:val="superscript"/>
        </w:rPr>
        <w:footnoteReference w:id="1"/>
      </w:r>
      <w:r w:rsidRPr="00686FB4">
        <w:rPr>
          <w:rFonts w:ascii="Palatino Linotype" w:eastAsia="Palatino Linotype" w:hAnsi="Palatino Linotype" w:cs="Palatino Linotype"/>
        </w:rPr>
        <w:t xml:space="preserve"> de la Ley de Transparencia y Acceso a la Información Pública del Estado de México y Municipios, se integró el expediente y se puso a disposición de las partes para que, en un plazo máximo de siete días hábiles, manifestaran lo que a su derecho resultara conveniente, teniendo así que </w:t>
      </w:r>
      <w:r w:rsidR="001B790D" w:rsidRPr="00686FB4">
        <w:rPr>
          <w:rFonts w:ascii="Palatino Linotype" w:eastAsia="Palatino Linotype" w:hAnsi="Palatino Linotype" w:cs="Palatino Linotype"/>
        </w:rPr>
        <w:t xml:space="preserve">el </w:t>
      </w:r>
      <w:r w:rsidR="001B790D" w:rsidRPr="00686FB4">
        <w:rPr>
          <w:rFonts w:ascii="Palatino Linotype" w:eastAsia="Palatino Linotype" w:hAnsi="Palatino Linotype" w:cs="Palatino Linotype"/>
          <w:b/>
          <w:bCs/>
        </w:rPr>
        <w:t>Sujeto Obligado</w:t>
      </w:r>
      <w:r w:rsidR="00B00B17" w:rsidRPr="00686FB4">
        <w:rPr>
          <w:rFonts w:ascii="Palatino Linotype" w:eastAsia="Palatino Linotype" w:hAnsi="Palatino Linotype" w:cs="Palatino Linotype"/>
        </w:rPr>
        <w:t xml:space="preserve"> </w:t>
      </w:r>
      <w:r w:rsidR="00192E56" w:rsidRPr="00686FB4">
        <w:rPr>
          <w:rFonts w:ascii="Palatino Linotype" w:eastAsia="Palatino Linotype" w:hAnsi="Palatino Linotype" w:cs="Palatino Linotype"/>
        </w:rPr>
        <w:t xml:space="preserve">a través de la Coordinadora de Recursos Humanos </w:t>
      </w:r>
      <w:r w:rsidR="00B00B17" w:rsidRPr="00686FB4">
        <w:rPr>
          <w:rFonts w:ascii="Palatino Linotype" w:eastAsia="Palatino Linotype" w:hAnsi="Palatino Linotype" w:cs="Palatino Linotype"/>
        </w:rPr>
        <w:t xml:space="preserve">hizo entrega de los siguientes documentos: </w:t>
      </w:r>
    </w:p>
    <w:p w14:paraId="4F750CD2" w14:textId="77777777" w:rsidR="00B00B17" w:rsidRPr="00686FB4" w:rsidRDefault="00B00B17" w:rsidP="00FF51E8">
      <w:pPr>
        <w:spacing w:after="0" w:line="360" w:lineRule="auto"/>
        <w:ind w:right="49"/>
        <w:jc w:val="both"/>
        <w:rPr>
          <w:rFonts w:ascii="Palatino Linotype" w:eastAsia="Palatino Linotype" w:hAnsi="Palatino Linotype" w:cs="Palatino Linotype"/>
        </w:rPr>
      </w:pPr>
    </w:p>
    <w:p w14:paraId="4F3574E7" w14:textId="174C1997" w:rsidR="00192E56" w:rsidRPr="00686FB4" w:rsidRDefault="00192E56" w:rsidP="00FF51E8">
      <w:pPr>
        <w:pStyle w:val="Prrafodelista"/>
        <w:numPr>
          <w:ilvl w:val="0"/>
          <w:numId w:val="12"/>
        </w:numPr>
        <w:pBdr>
          <w:top w:val="nil"/>
          <w:left w:val="nil"/>
          <w:bottom w:val="nil"/>
          <w:right w:val="nil"/>
          <w:between w:val="nil"/>
        </w:pBd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Certificado de Competencia Laboral en la Norma Institucional </w:t>
      </w:r>
      <w:r w:rsidRPr="00686FB4">
        <w:rPr>
          <w:rFonts w:ascii="Palatino Linotype" w:eastAsia="Palatino Linotype" w:hAnsi="Palatino Linotype" w:cs="Palatino Linotype"/>
          <w:i/>
        </w:rPr>
        <w:t>“Administración de la actividad catastral en el Estado de México y Municipios”</w:t>
      </w:r>
      <w:r w:rsidRPr="00686FB4">
        <w:rPr>
          <w:rFonts w:ascii="Palatino Linotype" w:eastAsia="Palatino Linotype" w:hAnsi="Palatino Linotype" w:cs="Palatino Linotype"/>
        </w:rPr>
        <w:t xml:space="preserve">. </w:t>
      </w:r>
    </w:p>
    <w:p w14:paraId="50D2AB31" w14:textId="631CB4D4" w:rsidR="00192E56" w:rsidRPr="00686FB4" w:rsidRDefault="00192E56" w:rsidP="00FF51E8">
      <w:pPr>
        <w:pStyle w:val="Prrafodelista"/>
        <w:numPr>
          <w:ilvl w:val="0"/>
          <w:numId w:val="12"/>
        </w:numPr>
        <w:pBdr>
          <w:top w:val="nil"/>
          <w:left w:val="nil"/>
          <w:bottom w:val="nil"/>
          <w:right w:val="nil"/>
          <w:between w:val="nil"/>
        </w:pBd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Siete recibos de nómina, correspondientes a la primera quincena de mayo de dos mil veintiséis, en versión pública. </w:t>
      </w:r>
    </w:p>
    <w:p w14:paraId="3CFE5882" w14:textId="2CFAD2BC" w:rsidR="00192E56" w:rsidRPr="00686FB4" w:rsidRDefault="00811C74" w:rsidP="00FF51E8">
      <w:pPr>
        <w:pStyle w:val="Prrafodelista"/>
        <w:numPr>
          <w:ilvl w:val="0"/>
          <w:numId w:val="12"/>
        </w:numPr>
        <w:pBdr>
          <w:top w:val="nil"/>
          <w:left w:val="nil"/>
          <w:bottom w:val="nil"/>
          <w:right w:val="nil"/>
          <w:between w:val="nil"/>
        </w:pBd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Siete currículums</w:t>
      </w:r>
      <w:r w:rsidR="00192E56" w:rsidRPr="00686FB4">
        <w:rPr>
          <w:rFonts w:ascii="Palatino Linotype" w:eastAsia="Palatino Linotype" w:hAnsi="Palatino Linotype" w:cs="Palatino Linotype"/>
        </w:rPr>
        <w:t xml:space="preserve"> vitae en versión pública, </w:t>
      </w:r>
      <w:r w:rsidRPr="00686FB4">
        <w:rPr>
          <w:rFonts w:ascii="Palatino Linotype" w:eastAsia="Palatino Linotype" w:hAnsi="Palatino Linotype" w:cs="Palatino Linotype"/>
        </w:rPr>
        <w:t xml:space="preserve">los cuales </w:t>
      </w:r>
      <w:r w:rsidR="00192E56" w:rsidRPr="00686FB4">
        <w:rPr>
          <w:rFonts w:ascii="Palatino Linotype" w:eastAsia="Palatino Linotype" w:hAnsi="Palatino Linotype" w:cs="Palatino Linotype"/>
        </w:rPr>
        <w:t xml:space="preserve">no se hicieron del conocimiento de la parte </w:t>
      </w:r>
      <w:r w:rsidR="00192E56" w:rsidRPr="00686FB4">
        <w:rPr>
          <w:rFonts w:ascii="Palatino Linotype" w:eastAsia="Palatino Linotype" w:hAnsi="Palatino Linotype" w:cs="Palatino Linotype"/>
          <w:b/>
        </w:rPr>
        <w:t>Recurrente</w:t>
      </w:r>
      <w:r w:rsidR="00192E56" w:rsidRPr="00686FB4">
        <w:rPr>
          <w:rFonts w:ascii="Palatino Linotype" w:eastAsia="Palatino Linotype" w:hAnsi="Palatino Linotype" w:cs="Palatino Linotype"/>
        </w:rPr>
        <w:t xml:space="preserve"> por dejar visible información que es de carácter confidencial. </w:t>
      </w:r>
    </w:p>
    <w:p w14:paraId="1ACC9B0B" w14:textId="77777777" w:rsidR="00192E56" w:rsidRPr="00686FB4" w:rsidRDefault="00192E56" w:rsidP="00FF51E8">
      <w:pPr>
        <w:spacing w:after="0" w:line="360" w:lineRule="auto"/>
        <w:ind w:right="49"/>
        <w:jc w:val="both"/>
        <w:rPr>
          <w:rFonts w:ascii="Palatino Linotype" w:eastAsia="Palatino Linotype" w:hAnsi="Palatino Linotype" w:cs="Palatino Linotype"/>
        </w:rPr>
      </w:pPr>
    </w:p>
    <w:p w14:paraId="427E2B37" w14:textId="3EB75888" w:rsidR="001B790D" w:rsidRPr="00686FB4" w:rsidRDefault="00B00B17"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Mientras que la parte </w:t>
      </w:r>
      <w:r w:rsidRPr="00686FB4">
        <w:rPr>
          <w:rFonts w:ascii="Palatino Linotype" w:eastAsia="Palatino Linotype" w:hAnsi="Palatino Linotype" w:cs="Palatino Linotype"/>
          <w:b/>
        </w:rPr>
        <w:t>Recurrente</w:t>
      </w:r>
      <w:r w:rsidRPr="00686FB4">
        <w:rPr>
          <w:rFonts w:ascii="Palatino Linotype" w:eastAsia="Palatino Linotype" w:hAnsi="Palatino Linotype" w:cs="Palatino Linotype"/>
        </w:rPr>
        <w:t xml:space="preserve"> fue omisa en realizar alguna manifestación al respecto. </w:t>
      </w:r>
    </w:p>
    <w:p w14:paraId="7B81A53A" w14:textId="77777777" w:rsidR="00342FB3" w:rsidRPr="00686FB4" w:rsidRDefault="00342FB3" w:rsidP="00FF51E8">
      <w:pPr>
        <w:spacing w:after="0" w:line="360" w:lineRule="auto"/>
        <w:ind w:right="49"/>
        <w:jc w:val="both"/>
        <w:rPr>
          <w:rFonts w:ascii="Palatino Linotype" w:eastAsia="Palatino Linotype" w:hAnsi="Palatino Linotype" w:cs="Palatino Linotype"/>
        </w:rPr>
      </w:pPr>
    </w:p>
    <w:p w14:paraId="37AC8F2B" w14:textId="77777777" w:rsidR="00543346" w:rsidRPr="00686FB4" w:rsidRDefault="00543346"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rPr>
        <w:t xml:space="preserve">Una vez expuestas las posturas de las partes, </w:t>
      </w:r>
      <w:r w:rsidRPr="00686FB4">
        <w:rPr>
          <w:rFonts w:ascii="Palatino Linotype" w:eastAsia="Palatino Linotype" w:hAnsi="Palatino Linotype" w:cs="Palatino Linotype"/>
          <w:lang w:val="es-ES"/>
        </w:rPr>
        <w:t xml:space="preserve">se procede al análisis de la respuesta emitida por el </w:t>
      </w:r>
      <w:r w:rsidRPr="00686FB4">
        <w:rPr>
          <w:rFonts w:ascii="Palatino Linotype" w:eastAsia="Palatino Linotype" w:hAnsi="Palatino Linotype" w:cs="Palatino Linotype"/>
          <w:b/>
          <w:lang w:val="es-ES"/>
        </w:rPr>
        <w:t>Sujeto Obligado</w:t>
      </w:r>
      <w:r w:rsidRPr="00686FB4">
        <w:rPr>
          <w:rFonts w:ascii="Palatino Linotype" w:eastAsia="Palatino Linotype" w:hAnsi="Palatino Linotype" w:cs="Palatino Linotype"/>
          <w:lang w:val="es-ES"/>
        </w:rPr>
        <w:t xml:space="preserve">, a efecto de determinar si es suficiente para tener por colmado el derecho de acceso a la información de la parte </w:t>
      </w:r>
      <w:r w:rsidRPr="00686FB4">
        <w:rPr>
          <w:rFonts w:ascii="Palatino Linotype" w:eastAsia="Palatino Linotype" w:hAnsi="Palatino Linotype" w:cs="Palatino Linotype"/>
          <w:b/>
          <w:lang w:val="es-ES"/>
        </w:rPr>
        <w:t>Recurrente</w:t>
      </w:r>
      <w:r w:rsidRPr="00686FB4">
        <w:rPr>
          <w:rFonts w:ascii="Palatino Linotype" w:eastAsia="Palatino Linotype" w:hAnsi="Palatino Linotype" w:cs="Palatino Linotype"/>
          <w:lang w:val="es-ES"/>
        </w:rPr>
        <w:t>, o en su defecto ordenar la entrega del o los documentos que lo satisfagan.</w:t>
      </w:r>
    </w:p>
    <w:p w14:paraId="08A1939F" w14:textId="77777777" w:rsidR="005E74DD" w:rsidRPr="00686FB4" w:rsidRDefault="005E74DD" w:rsidP="00FF51E8">
      <w:pPr>
        <w:spacing w:after="0" w:line="360" w:lineRule="auto"/>
        <w:ind w:right="49"/>
        <w:jc w:val="both"/>
        <w:rPr>
          <w:rFonts w:ascii="Palatino Linotype" w:eastAsia="Palatino Linotype" w:hAnsi="Palatino Linotype" w:cs="Palatino Linotype"/>
          <w:lang w:val="es-ES"/>
        </w:rPr>
      </w:pPr>
    </w:p>
    <w:p w14:paraId="2CA0D46C" w14:textId="77777777" w:rsidR="001B790D" w:rsidRPr="00686FB4" w:rsidRDefault="001B790D"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En este tenor, en principio es imprescindible mencionar que las Unidades de Transparencia, son el área responsable en cada Sujeto Obligado para dar atención a las solicitudes de información que se realicen al amparo de la Ley, el responsable de dicha área funge como enlace entre el Sujeto Obligado y los solicitantes, y tiene bajo su responsabilidad el tramitar internamente la solicitud de información.</w:t>
      </w:r>
    </w:p>
    <w:p w14:paraId="75DCE91A" w14:textId="77777777" w:rsidR="005E74DD" w:rsidRPr="00686FB4" w:rsidRDefault="005E74DD" w:rsidP="00FF51E8">
      <w:pPr>
        <w:spacing w:after="0" w:line="360" w:lineRule="auto"/>
        <w:ind w:right="49"/>
        <w:jc w:val="both"/>
        <w:rPr>
          <w:rFonts w:ascii="Palatino Linotype" w:eastAsia="Palatino Linotype" w:hAnsi="Palatino Linotype" w:cs="Palatino Linotype"/>
        </w:rPr>
      </w:pPr>
    </w:p>
    <w:p w14:paraId="3101EB5B" w14:textId="77777777" w:rsidR="001B790D" w:rsidRPr="00686FB4" w:rsidRDefault="001B790D"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De tal manera que, si bien el Titular de la Unidad de Transparencia no tiene bajo su resguardo el archivo que contiene la documentación en donde consta la información solicitada, esta puede obrar en las distintas áreas que conforman la estructura orgánica del Sujeto Obligado, es por ello que debe turnar la solicitud al servidor público habilitado que tiene bajo su resguardo la misma, de conformidad con los artículos 53, fracciones II y IV y 162 de la Ley de Transparencia y Acceso a la Información Pública del Estado de México y Municipios.</w:t>
      </w:r>
    </w:p>
    <w:p w14:paraId="67A5A354" w14:textId="77777777" w:rsidR="005E74DD" w:rsidRPr="00686FB4" w:rsidRDefault="005E74DD" w:rsidP="00FF51E8">
      <w:pPr>
        <w:spacing w:after="0" w:line="360" w:lineRule="auto"/>
        <w:jc w:val="both"/>
        <w:rPr>
          <w:rFonts w:ascii="Palatino Linotype" w:eastAsia="Palatino Linotype" w:hAnsi="Palatino Linotype" w:cs="Palatino Linotype"/>
        </w:rPr>
      </w:pPr>
    </w:p>
    <w:p w14:paraId="31AEDDC6" w14:textId="77777777" w:rsidR="001B790D" w:rsidRPr="00686FB4" w:rsidRDefault="001B790D" w:rsidP="00FF51E8">
      <w:pPr>
        <w:spacing w:after="0" w:line="360" w:lineRule="auto"/>
        <w:ind w:right="51"/>
        <w:jc w:val="both"/>
        <w:rPr>
          <w:rFonts w:ascii="Palatino Linotype" w:eastAsia="Palatino Linotype" w:hAnsi="Palatino Linotype" w:cs="Palatino Linotype"/>
        </w:rPr>
      </w:pPr>
      <w:r w:rsidRPr="00686FB4">
        <w:rPr>
          <w:rFonts w:ascii="Palatino Linotype" w:eastAsia="Palatino Linotype" w:hAnsi="Palatino Linotype" w:cs="Palatino Linotype"/>
        </w:rPr>
        <w:t>Por su parte, los servidores públicos habilitados, quienes son designados por el titular de cada Sujeto Obligado derivado de la propuesta del responsable de la Unidad de Transparencia, son las personas encargadas dentro de las diversas unidades administrativas o áreas de los Sujeto Obligado, de apoyar, gestionar y entregar la información o datos personales que se ubiquen en la misma, a sus respectivas unidades de transparencia; respecto de las solicitudes presentadas, y aportar en primera instancia el fundamento y motivación de la clasificación de la información, teniendo como función buscar, localizar y en su caso entregar la información solicitada, así como integrar y presentar al responsable de la Unidad de Transparencia la propuesta de clasificación de información, la cual tendrá los fundamentos y argumentos en que se basa dicha propuesta y verificar, una vez analizado el contenido de la información, que no se encuentre en los supuestos de información clasificada, de conformidad con los artículos 3, fracción XXXIX, 58 y 59, de la Ley de Transparencia y Acceso a la Información Pública del Estado de México y Municipios.</w:t>
      </w:r>
    </w:p>
    <w:p w14:paraId="04951A9E" w14:textId="77777777" w:rsidR="005E74DD" w:rsidRPr="00686FB4" w:rsidRDefault="005E74DD" w:rsidP="00FF51E8">
      <w:pPr>
        <w:spacing w:after="0" w:line="360" w:lineRule="auto"/>
        <w:ind w:right="51"/>
        <w:jc w:val="both"/>
        <w:rPr>
          <w:rFonts w:ascii="Palatino Linotype" w:eastAsia="Palatino Linotype" w:hAnsi="Palatino Linotype" w:cs="Palatino Linotype"/>
        </w:rPr>
      </w:pPr>
    </w:p>
    <w:p w14:paraId="1C7EB4FF" w14:textId="77777777" w:rsidR="001B790D" w:rsidRPr="00686FB4" w:rsidRDefault="001B790D"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De lo manifestado con antelación se advierte que la persona Titular de la Unidad de Transparencia debe garantizar que las solicitudes se turnen a todas las áreas competentes que puedan contar con la información, con el objeto de que los servidores públicos habilitados realicen la búsqueda exhaustiva y razonable de la información solicitada, y que una vez localizada, la misma sea proporcionada a las personas solicitantes atendiendo a la naturaleza jurídica de la misma.</w:t>
      </w:r>
    </w:p>
    <w:p w14:paraId="71D18292" w14:textId="77777777" w:rsidR="005E74DD" w:rsidRPr="00686FB4" w:rsidRDefault="005E74DD" w:rsidP="00FF51E8">
      <w:pPr>
        <w:spacing w:after="0" w:line="360" w:lineRule="auto"/>
        <w:jc w:val="both"/>
        <w:rPr>
          <w:rFonts w:ascii="Palatino Linotype" w:eastAsia="Palatino Linotype" w:hAnsi="Palatino Linotype" w:cs="Palatino Linotype"/>
        </w:rPr>
      </w:pPr>
    </w:p>
    <w:p w14:paraId="43690C29" w14:textId="5E1B7917" w:rsidR="001B790D" w:rsidRPr="00686FB4" w:rsidRDefault="001B790D"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En esta línea de pensamiento, derivado del análisis de las constancias que obran en el expediente electrónico en el que se actúa, se advirtió que la Unidad de Transparencia turnó la solicitud de información a</w:t>
      </w:r>
      <w:r w:rsidR="003C3CFF" w:rsidRPr="00686FB4">
        <w:rPr>
          <w:rFonts w:ascii="Palatino Linotype" w:eastAsia="Palatino Linotype" w:hAnsi="Palatino Linotype" w:cs="Palatino Linotype"/>
        </w:rPr>
        <w:t>l</w:t>
      </w:r>
      <w:r w:rsidRPr="00686FB4">
        <w:rPr>
          <w:rFonts w:ascii="Palatino Linotype" w:eastAsia="Palatino Linotype" w:hAnsi="Palatino Linotype" w:cs="Palatino Linotype"/>
        </w:rPr>
        <w:t xml:space="preserve"> área competente para conocer de la información que es del interés de la persona solicitante, garantiz</w:t>
      </w:r>
      <w:r w:rsidR="003C3CFF" w:rsidRPr="00686FB4">
        <w:rPr>
          <w:rFonts w:ascii="Palatino Linotype" w:eastAsia="Palatino Linotype" w:hAnsi="Palatino Linotype" w:cs="Palatino Linotype"/>
        </w:rPr>
        <w:t xml:space="preserve">ando </w:t>
      </w:r>
      <w:r w:rsidRPr="00686FB4">
        <w:rPr>
          <w:rFonts w:ascii="Palatino Linotype" w:eastAsia="Palatino Linotype" w:hAnsi="Palatino Linotype" w:cs="Palatino Linotype"/>
        </w:rPr>
        <w:t>el procedimiento de búsqueda, el cual se constituye como la garantía primaria del derecho humano de acceso a la información pública, y se rige por los principios de simplicidad, rapidez, gratuidad del procedimiento, auxilio y orientación a los particulares con el fin de otorgar la protección más amplia de este derecho, en virtud de que la Unidad de transparencia llevó a cabo los pasos que le conmina sus funciones, de acuerdo con la Ley de la materia.</w:t>
      </w:r>
    </w:p>
    <w:p w14:paraId="4C05AD95" w14:textId="77777777" w:rsidR="005E74DD" w:rsidRPr="00686FB4" w:rsidRDefault="005E74DD" w:rsidP="00FF51E8">
      <w:pPr>
        <w:spacing w:after="0" w:line="360" w:lineRule="auto"/>
        <w:ind w:right="49"/>
        <w:jc w:val="both"/>
        <w:rPr>
          <w:rFonts w:ascii="Palatino Linotype" w:eastAsia="Palatino Linotype" w:hAnsi="Palatino Linotype" w:cs="Palatino Linotype"/>
        </w:rPr>
      </w:pPr>
    </w:p>
    <w:p w14:paraId="25C4B6F6" w14:textId="28BC78D7" w:rsidR="00D53CCB" w:rsidRPr="00686FB4" w:rsidRDefault="001B790D"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Bajo esta línea de pensamiento, se estima necesari</w:t>
      </w:r>
      <w:r w:rsidR="00960BDA" w:rsidRPr="00686FB4">
        <w:rPr>
          <w:rFonts w:ascii="Palatino Linotype" w:eastAsia="Palatino Linotype" w:hAnsi="Palatino Linotype" w:cs="Palatino Linotype"/>
        </w:rPr>
        <w:t>o traer al estudio el artículo 36 y 37 de</w:t>
      </w:r>
      <w:r w:rsidR="00D53CCB" w:rsidRPr="00686FB4">
        <w:rPr>
          <w:rFonts w:ascii="Palatino Linotype" w:eastAsia="Palatino Linotype" w:hAnsi="Palatino Linotype" w:cs="Palatino Linotype"/>
        </w:rPr>
        <w:t>l</w:t>
      </w:r>
      <w:r w:rsidR="00960BDA" w:rsidRPr="00686FB4">
        <w:rPr>
          <w:rFonts w:ascii="Palatino Linotype" w:eastAsia="Palatino Linotype" w:hAnsi="Palatino Linotype" w:cs="Palatino Linotype"/>
        </w:rPr>
        <w:t xml:space="preserve"> Reglamento Orgánico de la Administración </w:t>
      </w:r>
      <w:r w:rsidR="00960BDA" w:rsidRPr="00686FB4">
        <w:rPr>
          <w:rFonts w:ascii="Palatino Linotype" w:eastAsia="Palatino Linotype" w:hAnsi="Palatino Linotype" w:cs="Palatino Linotype"/>
        </w:rPr>
        <w:tab/>
        <w:t xml:space="preserve">Pública Municipal de Almoloya de Juárez, que establecen </w:t>
      </w:r>
      <w:r w:rsidR="00D53CCB" w:rsidRPr="00686FB4">
        <w:rPr>
          <w:rFonts w:ascii="Palatino Linotype" w:eastAsia="Palatino Linotype" w:hAnsi="Palatino Linotype" w:cs="Palatino Linotype"/>
        </w:rPr>
        <w:t xml:space="preserve">lo siguiente: </w:t>
      </w:r>
    </w:p>
    <w:p w14:paraId="24C0DF2A" w14:textId="77777777" w:rsidR="005E74DD" w:rsidRPr="00686FB4" w:rsidRDefault="005E74DD" w:rsidP="00FF51E8">
      <w:pPr>
        <w:spacing w:after="0"/>
        <w:ind w:left="851" w:right="709"/>
        <w:jc w:val="both"/>
        <w:rPr>
          <w:rFonts w:ascii="Palatino Linotype" w:eastAsia="Palatino Linotype" w:hAnsi="Palatino Linotype" w:cs="Palatino Linotype"/>
          <w:i/>
          <w:iCs/>
        </w:rPr>
      </w:pPr>
    </w:p>
    <w:p w14:paraId="4D1FDDA2" w14:textId="51F62E35" w:rsidR="003C3CFF" w:rsidRPr="00686FB4" w:rsidRDefault="00D53CCB" w:rsidP="00FF51E8">
      <w:pPr>
        <w:spacing w:after="0"/>
        <w:ind w:left="851" w:right="709"/>
        <w:jc w:val="both"/>
        <w:rPr>
          <w:rFonts w:ascii="Palatino Linotype" w:eastAsia="Palatino Linotype" w:hAnsi="Palatino Linotype" w:cs="Palatino Linotype"/>
          <w:b/>
          <w:i/>
          <w:iCs/>
        </w:rPr>
      </w:pPr>
      <w:r w:rsidRPr="00686FB4">
        <w:rPr>
          <w:rFonts w:ascii="Palatino Linotype" w:eastAsia="Palatino Linotype" w:hAnsi="Palatino Linotype" w:cs="Palatino Linotype"/>
          <w:i/>
          <w:iCs/>
        </w:rPr>
        <w:t>“</w:t>
      </w:r>
      <w:r w:rsidRPr="00686FB4">
        <w:rPr>
          <w:rFonts w:ascii="Palatino Linotype" w:eastAsia="Palatino Linotype" w:hAnsi="Palatino Linotype" w:cs="Palatino Linotype"/>
          <w:b/>
          <w:bCs/>
          <w:i/>
          <w:iCs/>
        </w:rPr>
        <w:t xml:space="preserve">Artículo </w:t>
      </w:r>
      <w:r w:rsidR="003C3CFF" w:rsidRPr="00686FB4">
        <w:rPr>
          <w:rFonts w:ascii="Palatino Linotype" w:eastAsia="Palatino Linotype" w:hAnsi="Palatino Linotype" w:cs="Palatino Linotype"/>
          <w:b/>
          <w:i/>
          <w:iCs/>
        </w:rPr>
        <w:t>36.</w:t>
      </w:r>
      <w:r w:rsidR="003C3CFF" w:rsidRPr="00686FB4">
        <w:rPr>
          <w:rFonts w:ascii="Palatino Linotype" w:eastAsia="Palatino Linotype" w:hAnsi="Palatino Linotype" w:cs="Palatino Linotype"/>
          <w:i/>
          <w:iCs/>
        </w:rPr>
        <w:t xml:space="preserve"> Para el desarrollo de sus funciones </w:t>
      </w:r>
      <w:r w:rsidR="003C3CFF" w:rsidRPr="00686FB4">
        <w:rPr>
          <w:rFonts w:ascii="Palatino Linotype" w:eastAsia="Palatino Linotype" w:hAnsi="Palatino Linotype" w:cs="Palatino Linotype"/>
          <w:b/>
          <w:i/>
          <w:iCs/>
        </w:rPr>
        <w:t>la Dirección de Administración se auxiliará de:</w:t>
      </w:r>
    </w:p>
    <w:p w14:paraId="5A866D96" w14:textId="77777777" w:rsidR="003C3CFF" w:rsidRPr="00686FB4" w:rsidRDefault="003C3CFF"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A) Área de Adjudicación;</w:t>
      </w:r>
    </w:p>
    <w:p w14:paraId="7226F63F" w14:textId="77777777" w:rsidR="003C3CFF" w:rsidRPr="00686FB4" w:rsidRDefault="003C3CFF"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 xml:space="preserve">B) </w:t>
      </w:r>
      <w:r w:rsidRPr="00686FB4">
        <w:rPr>
          <w:rFonts w:ascii="Palatino Linotype" w:eastAsia="Palatino Linotype" w:hAnsi="Palatino Linotype" w:cs="Palatino Linotype"/>
          <w:b/>
          <w:i/>
          <w:iCs/>
        </w:rPr>
        <w:t>Coordinación de Recursos Humanos</w:t>
      </w:r>
      <w:r w:rsidRPr="00686FB4">
        <w:rPr>
          <w:rFonts w:ascii="Palatino Linotype" w:eastAsia="Palatino Linotype" w:hAnsi="Palatino Linotype" w:cs="Palatino Linotype"/>
          <w:i/>
          <w:iCs/>
        </w:rPr>
        <w:t>;</w:t>
      </w:r>
    </w:p>
    <w:p w14:paraId="5BC1B829" w14:textId="77777777" w:rsidR="003C3CFF" w:rsidRPr="00686FB4" w:rsidRDefault="003C3CFF"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C) Coordinación de Recursos Materiales;</w:t>
      </w:r>
    </w:p>
    <w:p w14:paraId="31C2DEAD" w14:textId="77777777" w:rsidR="003C3CFF" w:rsidRPr="00686FB4" w:rsidRDefault="003C3CFF"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D) Coordinación de Informática; y</w:t>
      </w:r>
    </w:p>
    <w:p w14:paraId="1BE56E43" w14:textId="77777777" w:rsidR="003C3CFF" w:rsidRPr="00686FB4" w:rsidRDefault="003C3CFF"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E) Servicios Generales.</w:t>
      </w:r>
    </w:p>
    <w:p w14:paraId="4BC3CAE5" w14:textId="77777777" w:rsidR="003C3CFF" w:rsidRPr="00686FB4" w:rsidRDefault="003C3CFF" w:rsidP="00FF51E8">
      <w:pPr>
        <w:spacing w:after="0"/>
        <w:ind w:left="851" w:right="709"/>
        <w:jc w:val="both"/>
        <w:rPr>
          <w:rFonts w:ascii="Palatino Linotype" w:eastAsia="Palatino Linotype" w:hAnsi="Palatino Linotype" w:cs="Palatino Linotype"/>
          <w:b/>
          <w:i/>
          <w:iCs/>
        </w:rPr>
      </w:pPr>
      <w:r w:rsidRPr="00686FB4">
        <w:rPr>
          <w:rFonts w:ascii="Palatino Linotype" w:eastAsia="Palatino Linotype" w:hAnsi="Palatino Linotype" w:cs="Palatino Linotype"/>
          <w:b/>
          <w:i/>
          <w:iCs/>
        </w:rPr>
        <w:t>Artículo 37. La Dirección de Administración tendrá las siguientes atribuciones:</w:t>
      </w:r>
    </w:p>
    <w:p w14:paraId="38E46F4C" w14:textId="7741E1E2" w:rsidR="003C3CFF" w:rsidRPr="00686FB4" w:rsidRDefault="003C3CFF"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b/>
          <w:i/>
          <w:iCs/>
        </w:rPr>
        <w:t>I. Promover y vigilar el cumplimiento de los lineamientos sobre los procesos de reclutamiento y selección de personal</w:t>
      </w:r>
      <w:r w:rsidRPr="00686FB4">
        <w:rPr>
          <w:rFonts w:ascii="Palatino Linotype" w:eastAsia="Palatino Linotype" w:hAnsi="Palatino Linotype" w:cs="Palatino Linotype"/>
          <w:i/>
          <w:iCs/>
        </w:rPr>
        <w:t>;</w:t>
      </w:r>
    </w:p>
    <w:p w14:paraId="2C9650FB" w14:textId="13F85BF3" w:rsidR="003C3CFF" w:rsidRPr="00686FB4" w:rsidRDefault="003C3CFF"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II. Promover y vigilar la adquisición y mantenimiento de equipo y recursos materiales;</w:t>
      </w:r>
    </w:p>
    <w:p w14:paraId="2095973B" w14:textId="359A4CFC" w:rsidR="003C3CFF" w:rsidRPr="00686FB4" w:rsidRDefault="003C3CFF"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III. Vigilar, promover y coordinar acciones de capacitación para los servidores públicos municipales;</w:t>
      </w:r>
    </w:p>
    <w:p w14:paraId="5644AC99" w14:textId="3056E772" w:rsidR="003C3CFF" w:rsidRPr="00686FB4" w:rsidRDefault="003C3CFF"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IV. Vigilar el cumplimiento de la normatividad en el proceso adquisitivo de bienes y servicios municipales;</w:t>
      </w:r>
    </w:p>
    <w:p w14:paraId="08768474" w14:textId="599BDF4A" w:rsidR="003C3CFF" w:rsidRPr="00686FB4" w:rsidRDefault="003C3CFF"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V. Establecer políticas y estrategias para contribuir a conservar y mejorar el ambiente laboral;</w:t>
      </w:r>
    </w:p>
    <w:p w14:paraId="3B51903D" w14:textId="5C148494" w:rsidR="003C3CFF" w:rsidRPr="00686FB4" w:rsidRDefault="003C3CFF" w:rsidP="00FF51E8">
      <w:pPr>
        <w:spacing w:after="0"/>
        <w:ind w:left="851" w:right="709"/>
        <w:jc w:val="both"/>
        <w:rPr>
          <w:rFonts w:ascii="Palatino Linotype" w:eastAsia="Palatino Linotype" w:hAnsi="Palatino Linotype" w:cs="Palatino Linotype"/>
          <w:b/>
          <w:i/>
          <w:iCs/>
        </w:rPr>
      </w:pPr>
      <w:r w:rsidRPr="00686FB4">
        <w:rPr>
          <w:rFonts w:ascii="Palatino Linotype" w:eastAsia="Palatino Linotype" w:hAnsi="Palatino Linotype" w:cs="Palatino Linotype"/>
          <w:i/>
          <w:iCs/>
        </w:rPr>
        <w:t>VI</w:t>
      </w:r>
      <w:r w:rsidRPr="00686FB4">
        <w:rPr>
          <w:rFonts w:ascii="Palatino Linotype" w:eastAsia="Palatino Linotype" w:hAnsi="Palatino Linotype" w:cs="Palatino Linotype"/>
          <w:b/>
          <w:i/>
          <w:iCs/>
        </w:rPr>
        <w:t>. Desarrollar un registro para el control de</w:t>
      </w:r>
      <w:r w:rsidRPr="00686FB4">
        <w:rPr>
          <w:rFonts w:ascii="Palatino Linotype" w:eastAsia="Palatino Linotype" w:hAnsi="Palatino Linotype" w:cs="Palatino Linotype"/>
          <w:i/>
          <w:iCs/>
        </w:rPr>
        <w:t xml:space="preserve"> asistencias, </w:t>
      </w:r>
      <w:r w:rsidRPr="00686FB4">
        <w:rPr>
          <w:rFonts w:ascii="Palatino Linotype" w:eastAsia="Palatino Linotype" w:hAnsi="Palatino Linotype" w:cs="Palatino Linotype"/>
          <w:b/>
          <w:i/>
          <w:iCs/>
        </w:rPr>
        <w:t>nombramientos,</w:t>
      </w:r>
      <w:r w:rsidRPr="00686FB4">
        <w:rPr>
          <w:rFonts w:ascii="Palatino Linotype" w:eastAsia="Palatino Linotype" w:hAnsi="Palatino Linotype" w:cs="Palatino Linotype"/>
          <w:i/>
          <w:iCs/>
        </w:rPr>
        <w:t xml:space="preserve"> remociones, renuncias, licencias, cambios de adscripción, promociones, incapacidades, vacaciones, días no laborables, y demás días de inasistencias </w:t>
      </w:r>
      <w:r w:rsidRPr="00686FB4">
        <w:rPr>
          <w:rFonts w:ascii="Palatino Linotype" w:eastAsia="Palatino Linotype" w:hAnsi="Palatino Linotype" w:cs="Palatino Linotype"/>
          <w:b/>
          <w:i/>
          <w:iCs/>
        </w:rPr>
        <w:t>en los Servidores Públicos Municipales;</w:t>
      </w:r>
    </w:p>
    <w:p w14:paraId="4BE6A473" w14:textId="3C0E8162" w:rsidR="00162022" w:rsidRPr="00686FB4" w:rsidRDefault="00162022"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VII. Supervisar que se proporcionen los servicios generales que requieran las distintas áreas que conforman la Administración Pública Municipal;</w:t>
      </w:r>
    </w:p>
    <w:p w14:paraId="43173FEA" w14:textId="2500DB24" w:rsidR="003C3CFF" w:rsidRPr="00686FB4" w:rsidRDefault="00162022"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VIII. Implementar estrategias y políticas en los programas de profesionalización de los Servidores Públicos Municipales;</w:t>
      </w:r>
    </w:p>
    <w:p w14:paraId="66CDF24C" w14:textId="66A86CD5" w:rsidR="00162022" w:rsidRPr="00686FB4" w:rsidRDefault="00162022"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w:t>
      </w:r>
    </w:p>
    <w:p w14:paraId="087680AA" w14:textId="2A22DD46" w:rsidR="00162022" w:rsidRPr="00686FB4" w:rsidRDefault="00162022" w:rsidP="00FF51E8">
      <w:pPr>
        <w:spacing w:after="0"/>
        <w:ind w:left="851" w:right="709"/>
        <w:jc w:val="both"/>
        <w:rPr>
          <w:rFonts w:ascii="Palatino Linotype" w:eastAsia="Palatino Linotype" w:hAnsi="Palatino Linotype" w:cs="Palatino Linotype"/>
          <w:b/>
          <w:i/>
          <w:iCs/>
        </w:rPr>
      </w:pPr>
      <w:r w:rsidRPr="00686FB4">
        <w:rPr>
          <w:rFonts w:ascii="Palatino Linotype" w:eastAsia="Palatino Linotype" w:hAnsi="Palatino Linotype" w:cs="Palatino Linotype"/>
          <w:i/>
          <w:iCs/>
        </w:rPr>
        <w:t xml:space="preserve">XVI. </w:t>
      </w:r>
      <w:r w:rsidRPr="00686FB4">
        <w:rPr>
          <w:rFonts w:ascii="Palatino Linotype" w:eastAsia="Palatino Linotype" w:hAnsi="Palatino Linotype" w:cs="Palatino Linotype"/>
          <w:b/>
          <w:i/>
          <w:iCs/>
        </w:rPr>
        <w:t>Supervisar que las coordinaciones adscritas a la Dirección de Administración cumplan con cada una de sus actividades;</w:t>
      </w:r>
    </w:p>
    <w:p w14:paraId="3AAB769D" w14:textId="6B61DDD5" w:rsidR="00D53CCB" w:rsidRPr="00686FB4" w:rsidRDefault="00162022" w:rsidP="00FF51E8">
      <w:pPr>
        <w:spacing w:after="0"/>
        <w:ind w:left="851" w:right="709"/>
        <w:jc w:val="both"/>
        <w:rPr>
          <w:rFonts w:ascii="Palatino Linotype" w:eastAsia="Palatino Linotype" w:hAnsi="Palatino Linotype" w:cs="Palatino Linotype"/>
          <w:i/>
          <w:iCs/>
        </w:rPr>
      </w:pPr>
      <w:r w:rsidRPr="00686FB4">
        <w:rPr>
          <w:rFonts w:ascii="Palatino Linotype" w:eastAsia="Palatino Linotype" w:hAnsi="Palatino Linotype" w:cs="Palatino Linotype"/>
          <w:i/>
          <w:iCs/>
        </w:rPr>
        <w:t>XVII. Las demás que señalan las leyes, reglamentos y disposiciones jurídicas aplicables, o las que señale la Presidencia Municipal.</w:t>
      </w:r>
      <w:r w:rsidR="00D53CCB" w:rsidRPr="00686FB4">
        <w:rPr>
          <w:rFonts w:ascii="Palatino Linotype" w:eastAsia="Palatino Linotype" w:hAnsi="Palatino Linotype" w:cs="Palatino Linotype"/>
          <w:i/>
          <w:iCs/>
        </w:rPr>
        <w:t>”</w:t>
      </w:r>
    </w:p>
    <w:p w14:paraId="452ED5AD" w14:textId="77777777" w:rsidR="00830175" w:rsidRPr="00686FB4" w:rsidRDefault="00830175" w:rsidP="00FF51E8">
      <w:pPr>
        <w:tabs>
          <w:tab w:val="left" w:pos="4962"/>
        </w:tabs>
        <w:spacing w:after="0" w:line="360" w:lineRule="auto"/>
        <w:ind w:right="-28"/>
        <w:jc w:val="both"/>
        <w:rPr>
          <w:rFonts w:ascii="Palatino Linotype" w:eastAsia="Palatino Linotype" w:hAnsi="Palatino Linotype" w:cs="Palatino Linotype"/>
        </w:rPr>
      </w:pPr>
    </w:p>
    <w:p w14:paraId="30C82A9C" w14:textId="04F9F16D" w:rsidR="00830175" w:rsidRPr="00686FB4" w:rsidRDefault="00830175"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De tal circunstancia, se logra colegir que 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cumplió con el procedimiento de búsqueda establecido en el artículo 162 de la Ley de Transparencia y Acceso a la Información Pública del Estado de México y Municipios, toda vez que turnó la solicitud de información a la unidad administrativa competente, a saber, la Coordinación de Recursos Humanos adscrita a la Dirección de Administración. </w:t>
      </w:r>
    </w:p>
    <w:p w14:paraId="7FC777CE" w14:textId="77777777" w:rsidR="008A7C08" w:rsidRPr="00686FB4" w:rsidRDefault="008A7C08" w:rsidP="00FF51E8">
      <w:pPr>
        <w:spacing w:after="0" w:line="360" w:lineRule="auto"/>
        <w:jc w:val="both"/>
        <w:rPr>
          <w:rFonts w:ascii="Palatino Linotype" w:eastAsia="Palatino Linotype" w:hAnsi="Palatino Linotype" w:cs="Palatino Linotype"/>
        </w:rPr>
      </w:pPr>
    </w:p>
    <w:p w14:paraId="4152C7CC" w14:textId="77777777" w:rsidR="00830175" w:rsidRPr="00686FB4" w:rsidRDefault="00830175"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Expuesto lo anterior, se procede al análisis pormenorizado de los requerimientos de información, a efecto de determinar si con la información remitida tanto en respuesta como en informe justificado, 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colmó el derecho de acceso a la información de la parte </w:t>
      </w:r>
      <w:r w:rsidRPr="00686FB4">
        <w:rPr>
          <w:rFonts w:ascii="Palatino Linotype" w:eastAsia="Palatino Linotype" w:hAnsi="Palatino Linotype" w:cs="Palatino Linotype"/>
          <w:b/>
        </w:rPr>
        <w:t>Recurrente</w:t>
      </w:r>
      <w:r w:rsidRPr="00686FB4">
        <w:rPr>
          <w:rFonts w:ascii="Palatino Linotype" w:eastAsia="Palatino Linotype" w:hAnsi="Palatino Linotype" w:cs="Palatino Linotype"/>
        </w:rPr>
        <w:t xml:space="preserve"> o en su defecto ordenar su entrega; </w:t>
      </w:r>
      <w:r w:rsidRPr="00686FB4">
        <w:rPr>
          <w:rFonts w:ascii="Palatino Linotype" w:eastAsia="Palatino Linotype" w:hAnsi="Palatino Linotype" w:cs="Palatino Linotype"/>
          <w:lang w:val="es-ES"/>
        </w:rPr>
        <w:t>por lo que</w:t>
      </w:r>
      <w:r w:rsidRPr="00686FB4">
        <w:rPr>
          <w:rFonts w:ascii="Palatino Linotype" w:eastAsia="Palatino Linotype" w:hAnsi="Palatino Linotype" w:cs="Palatino Linotype"/>
        </w:rPr>
        <w:t xml:space="preserve">, se procede a realizar un cuadro comparativo de la información solicitada con la información entregada, para determinar si colman el derecho de acceso a la información pública del hoy </w:t>
      </w:r>
      <w:r w:rsidRPr="00686FB4">
        <w:rPr>
          <w:rFonts w:ascii="Palatino Linotype" w:eastAsia="Palatino Linotype" w:hAnsi="Palatino Linotype" w:cs="Palatino Linotype"/>
          <w:b/>
          <w:bCs/>
        </w:rPr>
        <w:t>Recurrente</w:t>
      </w:r>
      <w:r w:rsidRPr="00686FB4">
        <w:rPr>
          <w:rFonts w:ascii="Palatino Linotype" w:eastAsia="Palatino Linotype" w:hAnsi="Palatino Linotype" w:cs="Palatino Linotype"/>
        </w:rPr>
        <w:t>, conforme a lo siguiente:</w:t>
      </w:r>
    </w:p>
    <w:p w14:paraId="5C05C996" w14:textId="77777777" w:rsidR="008A7C08" w:rsidRPr="00686FB4" w:rsidRDefault="008A7C08" w:rsidP="00FF51E8">
      <w:pPr>
        <w:spacing w:after="0" w:line="360" w:lineRule="auto"/>
        <w:jc w:val="both"/>
        <w:rPr>
          <w:rFonts w:ascii="Palatino Linotype" w:eastAsia="Palatino Linotype" w:hAnsi="Palatino Linotype" w:cs="Palatino Linotype"/>
        </w:rPr>
      </w:pPr>
    </w:p>
    <w:tbl>
      <w:tblPr>
        <w:tblStyle w:val="Tablaconcuadrcula"/>
        <w:tblW w:w="9209" w:type="dxa"/>
        <w:tblLayout w:type="fixed"/>
        <w:tblLook w:val="04A0" w:firstRow="1" w:lastRow="0" w:firstColumn="1" w:lastColumn="0" w:noHBand="0" w:noVBand="1"/>
      </w:tblPr>
      <w:tblGrid>
        <w:gridCol w:w="2263"/>
        <w:gridCol w:w="1843"/>
        <w:gridCol w:w="2268"/>
        <w:gridCol w:w="2835"/>
      </w:tblGrid>
      <w:tr w:rsidR="000A7117" w:rsidRPr="00686FB4" w14:paraId="4FBF3C3A" w14:textId="77777777" w:rsidTr="00B7549D">
        <w:tc>
          <w:tcPr>
            <w:tcW w:w="226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C3554C7" w14:textId="77777777" w:rsidR="00830175" w:rsidRPr="00686FB4" w:rsidRDefault="00830175" w:rsidP="008A7C08">
            <w:pPr>
              <w:jc w:val="center"/>
              <w:rPr>
                <w:rFonts w:ascii="Palatino Linotype" w:eastAsia="Palatino Linotype" w:hAnsi="Palatino Linotype" w:cs="Palatino Linotype"/>
                <w:b/>
                <w:sz w:val="20"/>
                <w:szCs w:val="20"/>
                <w:lang w:val="es-ES"/>
              </w:rPr>
            </w:pPr>
            <w:r w:rsidRPr="00686FB4">
              <w:rPr>
                <w:rFonts w:ascii="Palatino Linotype" w:eastAsia="Palatino Linotype" w:hAnsi="Palatino Linotype" w:cs="Palatino Linotype"/>
                <w:b/>
                <w:sz w:val="20"/>
                <w:szCs w:val="20"/>
                <w:lang w:val="es-ES"/>
              </w:rPr>
              <w:t>Solicitud</w:t>
            </w:r>
          </w:p>
        </w:tc>
        <w:tc>
          <w:tcPr>
            <w:tcW w:w="184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502244B" w14:textId="77777777" w:rsidR="00830175" w:rsidRPr="00686FB4" w:rsidRDefault="00830175" w:rsidP="00FF51E8">
            <w:pPr>
              <w:jc w:val="center"/>
              <w:rPr>
                <w:rFonts w:ascii="Palatino Linotype" w:eastAsia="Palatino Linotype" w:hAnsi="Palatino Linotype" w:cs="Palatino Linotype"/>
                <w:b/>
                <w:sz w:val="20"/>
                <w:szCs w:val="20"/>
                <w:lang w:val="es-ES"/>
              </w:rPr>
            </w:pPr>
            <w:r w:rsidRPr="00686FB4">
              <w:rPr>
                <w:rFonts w:ascii="Palatino Linotype" w:eastAsia="Palatino Linotype" w:hAnsi="Palatino Linotype" w:cs="Palatino Linotype"/>
                <w:b/>
                <w:sz w:val="20"/>
                <w:szCs w:val="20"/>
                <w:lang w:val="es-ES"/>
              </w:rPr>
              <w:t>Respuesta</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E372E75" w14:textId="5A0005B8" w:rsidR="00830175" w:rsidRPr="00686FB4" w:rsidRDefault="00830175" w:rsidP="008A7C08">
            <w:pPr>
              <w:jc w:val="center"/>
              <w:rPr>
                <w:rFonts w:ascii="Palatino Linotype" w:eastAsia="Palatino Linotype" w:hAnsi="Palatino Linotype" w:cs="Palatino Linotype"/>
                <w:b/>
                <w:sz w:val="20"/>
                <w:szCs w:val="20"/>
                <w:lang w:val="es-ES"/>
              </w:rPr>
            </w:pPr>
            <w:r w:rsidRPr="00686FB4">
              <w:rPr>
                <w:rFonts w:ascii="Palatino Linotype" w:eastAsia="Palatino Linotype" w:hAnsi="Palatino Linotype" w:cs="Palatino Linotype"/>
                <w:b/>
                <w:sz w:val="20"/>
                <w:szCs w:val="20"/>
                <w:lang w:val="es-ES"/>
              </w:rPr>
              <w:t>Informe Justificado</w:t>
            </w:r>
          </w:p>
        </w:tc>
        <w:tc>
          <w:tcPr>
            <w:tcW w:w="283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5FE16D9" w14:textId="77777777" w:rsidR="00830175" w:rsidRPr="00686FB4" w:rsidRDefault="00830175" w:rsidP="008A7C08">
            <w:pPr>
              <w:jc w:val="center"/>
              <w:rPr>
                <w:rFonts w:ascii="Palatino Linotype" w:eastAsia="Palatino Linotype" w:hAnsi="Palatino Linotype" w:cs="Palatino Linotype"/>
                <w:b/>
                <w:sz w:val="20"/>
                <w:szCs w:val="20"/>
                <w:lang w:val="es-ES"/>
              </w:rPr>
            </w:pPr>
            <w:r w:rsidRPr="00686FB4">
              <w:rPr>
                <w:rFonts w:ascii="Palatino Linotype" w:eastAsia="Palatino Linotype" w:hAnsi="Palatino Linotype" w:cs="Palatino Linotype"/>
                <w:b/>
                <w:sz w:val="20"/>
                <w:szCs w:val="20"/>
                <w:lang w:val="es-ES"/>
              </w:rPr>
              <w:t>Colmó / No colmó</w:t>
            </w:r>
          </w:p>
        </w:tc>
      </w:tr>
      <w:tr w:rsidR="000A7117" w:rsidRPr="00686FB4" w14:paraId="35BA3144" w14:textId="77777777" w:rsidTr="00B7549D">
        <w:trPr>
          <w:trHeight w:val="119"/>
        </w:trPr>
        <w:tc>
          <w:tcPr>
            <w:tcW w:w="9209"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6765C27" w14:textId="3436EDF4" w:rsidR="00830175" w:rsidRPr="00686FB4" w:rsidRDefault="00830175" w:rsidP="00FF51E8">
            <w:pPr>
              <w:jc w:val="both"/>
              <w:rPr>
                <w:rFonts w:ascii="Palatino Linotype" w:eastAsia="Palatino Linotype" w:hAnsi="Palatino Linotype" w:cs="Palatino Linotype"/>
                <w:b/>
                <w:sz w:val="20"/>
                <w:szCs w:val="20"/>
                <w:lang w:val="es-ES"/>
              </w:rPr>
            </w:pPr>
            <w:r w:rsidRPr="00686FB4">
              <w:rPr>
                <w:rFonts w:ascii="Palatino Linotype" w:eastAsia="Palatino Linotype" w:hAnsi="Palatino Linotype" w:cs="Palatino Linotype"/>
                <w:b/>
                <w:sz w:val="20"/>
                <w:szCs w:val="20"/>
                <w:lang w:val="es-ES"/>
              </w:rPr>
              <w:t>•De</w:t>
            </w:r>
            <w:r w:rsidR="008A7C08" w:rsidRPr="00686FB4">
              <w:rPr>
                <w:rFonts w:ascii="Palatino Linotype" w:eastAsia="Palatino Linotype" w:hAnsi="Palatino Linotype" w:cs="Palatino Linotype"/>
                <w:b/>
                <w:sz w:val="20"/>
                <w:szCs w:val="20"/>
                <w:lang w:val="es-ES"/>
              </w:rPr>
              <w:t xml:space="preserve"> </w:t>
            </w:r>
            <w:r w:rsidR="00EA1260" w:rsidRPr="00686FB4">
              <w:rPr>
                <w:rFonts w:ascii="Palatino Linotype" w:eastAsia="Palatino Linotype" w:hAnsi="Palatino Linotype" w:cs="Palatino Linotype"/>
                <w:b/>
                <w:sz w:val="20"/>
                <w:szCs w:val="20"/>
                <w:lang w:val="es-ES"/>
              </w:rPr>
              <w:t>l</w:t>
            </w:r>
            <w:r w:rsidR="008A7C08" w:rsidRPr="00686FB4">
              <w:rPr>
                <w:rFonts w:ascii="Palatino Linotype" w:eastAsia="Palatino Linotype" w:hAnsi="Palatino Linotype" w:cs="Palatino Linotype"/>
                <w:b/>
                <w:sz w:val="20"/>
                <w:szCs w:val="20"/>
                <w:lang w:val="es-ES"/>
              </w:rPr>
              <w:t>a</w:t>
            </w:r>
            <w:r w:rsidR="00EA1260" w:rsidRPr="00686FB4">
              <w:rPr>
                <w:rFonts w:ascii="Palatino Linotype" w:eastAsia="Palatino Linotype" w:hAnsi="Palatino Linotype" w:cs="Palatino Linotype"/>
                <w:b/>
                <w:sz w:val="20"/>
                <w:szCs w:val="20"/>
                <w:lang w:val="es-ES"/>
              </w:rPr>
              <w:t xml:space="preserve"> actual </w:t>
            </w:r>
            <w:r w:rsidR="00810484" w:rsidRPr="00686FB4">
              <w:rPr>
                <w:rFonts w:ascii="Palatino Linotype" w:eastAsia="Palatino Linotype" w:hAnsi="Palatino Linotype" w:cs="Palatino Linotype"/>
                <w:b/>
                <w:sz w:val="20"/>
                <w:szCs w:val="20"/>
                <w:lang w:val="es-ES"/>
              </w:rPr>
              <w:t>administración</w:t>
            </w:r>
            <w:r w:rsidRPr="00686FB4">
              <w:rPr>
                <w:rFonts w:ascii="Palatino Linotype" w:eastAsia="Palatino Linotype" w:hAnsi="Palatino Linotype" w:cs="Palatino Linotype"/>
                <w:b/>
                <w:sz w:val="20"/>
                <w:szCs w:val="20"/>
                <w:lang w:val="es-ES"/>
              </w:rPr>
              <w:t xml:space="preserve">, lo siguiente: </w:t>
            </w:r>
          </w:p>
        </w:tc>
      </w:tr>
      <w:tr w:rsidR="000A7117" w:rsidRPr="00686FB4" w14:paraId="51A46F9D" w14:textId="77777777" w:rsidTr="00DC39CD">
        <w:tc>
          <w:tcPr>
            <w:tcW w:w="2263" w:type="dxa"/>
            <w:tcBorders>
              <w:top w:val="single" w:sz="4" w:space="0" w:color="auto"/>
              <w:left w:val="single" w:sz="4" w:space="0" w:color="auto"/>
              <w:bottom w:val="single" w:sz="4" w:space="0" w:color="auto"/>
              <w:right w:val="single" w:sz="4" w:space="0" w:color="auto"/>
            </w:tcBorders>
          </w:tcPr>
          <w:p w14:paraId="0F4BE459" w14:textId="4C8FC177" w:rsidR="00530E22" w:rsidRPr="00686FB4" w:rsidRDefault="00530E22" w:rsidP="00FF51E8">
            <w:pPr>
              <w:jc w:val="both"/>
              <w:rPr>
                <w:rFonts w:ascii="Palatino Linotype" w:eastAsia="Palatino Linotype" w:hAnsi="Palatino Linotype" w:cs="Palatino Linotype"/>
                <w:sz w:val="20"/>
                <w:szCs w:val="20"/>
                <w:lang w:val="es-ES"/>
              </w:rPr>
            </w:pPr>
            <w:r w:rsidRPr="00686FB4">
              <w:rPr>
                <w:rFonts w:ascii="Palatino Linotype" w:eastAsia="Palatino Linotype" w:hAnsi="Palatino Linotype" w:cs="Palatino Linotype"/>
                <w:sz w:val="20"/>
                <w:szCs w:val="20"/>
                <w:lang w:val="es-ES"/>
              </w:rPr>
              <w:t>Nombre del Titular de la Coordinación de Catastro Municipal.</w:t>
            </w:r>
          </w:p>
        </w:tc>
        <w:tc>
          <w:tcPr>
            <w:tcW w:w="1843" w:type="dxa"/>
            <w:vMerge w:val="restart"/>
            <w:tcBorders>
              <w:top w:val="single" w:sz="4" w:space="0" w:color="auto"/>
              <w:left w:val="single" w:sz="4" w:space="0" w:color="auto"/>
              <w:right w:val="single" w:sz="4" w:space="0" w:color="auto"/>
            </w:tcBorders>
          </w:tcPr>
          <w:p w14:paraId="4539B37F" w14:textId="77777777" w:rsidR="00530E22" w:rsidRPr="00686FB4" w:rsidRDefault="00530E22" w:rsidP="00FF51E8">
            <w:pPr>
              <w:jc w:val="both"/>
              <w:rPr>
                <w:rFonts w:ascii="Palatino Linotype" w:eastAsia="Palatino Linotype" w:hAnsi="Palatino Linotype" w:cs="Palatino Linotype"/>
                <w:sz w:val="20"/>
                <w:szCs w:val="20"/>
                <w:lang w:val="es-ES"/>
              </w:rPr>
            </w:pPr>
          </w:p>
          <w:p w14:paraId="51A7DC16" w14:textId="77777777" w:rsidR="00530E22" w:rsidRPr="00686FB4" w:rsidRDefault="00530E22" w:rsidP="00FF51E8">
            <w:pPr>
              <w:jc w:val="both"/>
              <w:rPr>
                <w:rFonts w:ascii="Palatino Linotype" w:eastAsia="Palatino Linotype" w:hAnsi="Palatino Linotype" w:cs="Palatino Linotype"/>
                <w:sz w:val="20"/>
                <w:szCs w:val="20"/>
                <w:lang w:val="es-ES"/>
              </w:rPr>
            </w:pPr>
          </w:p>
          <w:p w14:paraId="2FB326BD" w14:textId="77777777" w:rsidR="00530E22" w:rsidRPr="00686FB4" w:rsidRDefault="00530E22" w:rsidP="00FF51E8">
            <w:pPr>
              <w:jc w:val="both"/>
              <w:rPr>
                <w:rFonts w:ascii="Palatino Linotype" w:eastAsia="Palatino Linotype" w:hAnsi="Palatino Linotype" w:cs="Palatino Linotype"/>
                <w:sz w:val="20"/>
                <w:szCs w:val="20"/>
                <w:lang w:val="es-ES"/>
              </w:rPr>
            </w:pPr>
          </w:p>
          <w:p w14:paraId="06E1E5F9" w14:textId="77777777" w:rsidR="00530E22" w:rsidRPr="00686FB4" w:rsidRDefault="00530E22" w:rsidP="00FF51E8">
            <w:pPr>
              <w:jc w:val="both"/>
              <w:rPr>
                <w:rFonts w:ascii="Palatino Linotype" w:eastAsia="Palatino Linotype" w:hAnsi="Palatino Linotype" w:cs="Palatino Linotype"/>
                <w:sz w:val="20"/>
                <w:szCs w:val="20"/>
                <w:lang w:val="es-ES"/>
              </w:rPr>
            </w:pPr>
          </w:p>
          <w:p w14:paraId="2340359C" w14:textId="77777777" w:rsidR="00530E22" w:rsidRPr="00686FB4" w:rsidRDefault="00530E22" w:rsidP="00FF51E8">
            <w:pPr>
              <w:jc w:val="both"/>
              <w:rPr>
                <w:rFonts w:ascii="Palatino Linotype" w:eastAsia="Palatino Linotype" w:hAnsi="Palatino Linotype" w:cs="Palatino Linotype"/>
                <w:sz w:val="20"/>
                <w:szCs w:val="20"/>
                <w:lang w:val="es-ES"/>
              </w:rPr>
            </w:pPr>
          </w:p>
          <w:p w14:paraId="71556554" w14:textId="77777777" w:rsidR="00530E22" w:rsidRPr="00686FB4" w:rsidRDefault="00530E22" w:rsidP="00FF51E8">
            <w:pPr>
              <w:jc w:val="both"/>
              <w:rPr>
                <w:rFonts w:ascii="Palatino Linotype" w:eastAsia="Palatino Linotype" w:hAnsi="Palatino Linotype" w:cs="Palatino Linotype"/>
                <w:sz w:val="20"/>
                <w:szCs w:val="20"/>
                <w:lang w:val="es-ES"/>
              </w:rPr>
            </w:pPr>
          </w:p>
          <w:p w14:paraId="741D488A" w14:textId="77777777" w:rsidR="00530E22" w:rsidRPr="00686FB4" w:rsidRDefault="00530E22" w:rsidP="00FF51E8">
            <w:pPr>
              <w:jc w:val="both"/>
              <w:rPr>
                <w:rFonts w:ascii="Palatino Linotype" w:eastAsia="Palatino Linotype" w:hAnsi="Palatino Linotype" w:cs="Palatino Linotype"/>
                <w:sz w:val="20"/>
                <w:szCs w:val="20"/>
                <w:lang w:val="es-ES"/>
              </w:rPr>
            </w:pPr>
          </w:p>
          <w:p w14:paraId="6D83E5BF" w14:textId="3AC5E0F7" w:rsidR="00530E22" w:rsidRPr="00686FB4" w:rsidRDefault="00530E22" w:rsidP="00FF51E8">
            <w:pPr>
              <w:jc w:val="both"/>
              <w:rPr>
                <w:rFonts w:ascii="Palatino Linotype" w:eastAsia="Palatino Linotype" w:hAnsi="Palatino Linotype" w:cs="Palatino Linotype"/>
                <w:sz w:val="20"/>
                <w:szCs w:val="20"/>
                <w:lang w:val="es-ES"/>
              </w:rPr>
            </w:pPr>
            <w:r w:rsidRPr="00686FB4">
              <w:rPr>
                <w:rFonts w:ascii="Palatino Linotype" w:eastAsia="Palatino Linotype" w:hAnsi="Palatino Linotype" w:cs="Palatino Linotype"/>
                <w:sz w:val="20"/>
                <w:szCs w:val="20"/>
                <w:lang w:val="es-ES"/>
              </w:rPr>
              <w:t>Oficio número STGAJ/UT/141/2026 suscrito por el Suplente del Titular de la Unidad de Transparencia mediante el cual solicitó a la Coordinadora de Recursos Humanos la entrega de la información solicitada.</w:t>
            </w:r>
          </w:p>
        </w:tc>
        <w:tc>
          <w:tcPr>
            <w:tcW w:w="2268" w:type="dxa"/>
            <w:tcBorders>
              <w:top w:val="single" w:sz="4" w:space="0" w:color="auto"/>
              <w:left w:val="single" w:sz="4" w:space="0" w:color="auto"/>
              <w:bottom w:val="single" w:sz="4" w:space="0" w:color="auto"/>
              <w:right w:val="single" w:sz="4" w:space="0" w:color="auto"/>
            </w:tcBorders>
          </w:tcPr>
          <w:p w14:paraId="0999DB77" w14:textId="208FB458" w:rsidR="00530E22" w:rsidRPr="00686FB4" w:rsidRDefault="0043362A" w:rsidP="00FF51E8">
            <w:pPr>
              <w:jc w:val="both"/>
              <w:rPr>
                <w:rFonts w:ascii="Palatino Linotype" w:eastAsia="Palatino Linotype" w:hAnsi="Palatino Linotype" w:cs="Palatino Linotype"/>
                <w:bCs/>
                <w:sz w:val="20"/>
                <w:szCs w:val="20"/>
                <w:lang w:val="es-ES"/>
              </w:rPr>
            </w:pPr>
            <w:r w:rsidRPr="00686FB4">
              <w:rPr>
                <w:rFonts w:ascii="Palatino Linotype" w:eastAsia="Palatino Linotype" w:hAnsi="Palatino Linotype" w:cs="Palatino Linotype"/>
                <w:bCs/>
                <w:sz w:val="20"/>
                <w:szCs w:val="20"/>
                <w:lang w:val="es-ES"/>
              </w:rPr>
              <w:t>Hizo entrega del recibo de nómina del coordinador de catastro y el c</w:t>
            </w:r>
            <w:r w:rsidR="00530E22" w:rsidRPr="00686FB4">
              <w:rPr>
                <w:rFonts w:ascii="Palatino Linotype" w:eastAsia="Palatino Linotype" w:hAnsi="Palatino Linotype" w:cs="Palatino Linotype"/>
                <w:bCs/>
                <w:sz w:val="20"/>
                <w:szCs w:val="20"/>
                <w:lang w:val="es-ES"/>
              </w:rPr>
              <w:t>ertifi</w:t>
            </w:r>
            <w:r w:rsidRPr="00686FB4">
              <w:rPr>
                <w:rFonts w:ascii="Palatino Linotype" w:eastAsia="Palatino Linotype" w:hAnsi="Palatino Linotype" w:cs="Palatino Linotype"/>
                <w:bCs/>
                <w:sz w:val="20"/>
                <w:szCs w:val="20"/>
                <w:lang w:val="es-ES"/>
              </w:rPr>
              <w:t>cado de competencia l</w:t>
            </w:r>
            <w:r w:rsidR="00530E22" w:rsidRPr="00686FB4">
              <w:rPr>
                <w:rFonts w:ascii="Palatino Linotype" w:eastAsia="Palatino Linotype" w:hAnsi="Palatino Linotype" w:cs="Palatino Linotype"/>
                <w:bCs/>
                <w:sz w:val="20"/>
                <w:szCs w:val="20"/>
                <w:lang w:val="es-ES"/>
              </w:rPr>
              <w:t xml:space="preserve">aboral </w:t>
            </w:r>
            <w:r w:rsidRPr="00686FB4">
              <w:rPr>
                <w:rFonts w:ascii="Palatino Linotype" w:eastAsia="Palatino Linotype" w:hAnsi="Palatino Linotype" w:cs="Palatino Linotype"/>
                <w:bCs/>
                <w:sz w:val="20"/>
                <w:szCs w:val="20"/>
                <w:lang w:val="es-ES"/>
              </w:rPr>
              <w:t>del que se advierte el nombre:</w:t>
            </w:r>
          </w:p>
          <w:p w14:paraId="5EB85FCF" w14:textId="75BC2555" w:rsidR="00530E22" w:rsidRPr="00686FB4" w:rsidRDefault="00530E22" w:rsidP="00FF51E8">
            <w:pPr>
              <w:jc w:val="both"/>
              <w:rPr>
                <w:rFonts w:ascii="Palatino Linotype" w:eastAsia="Palatino Linotype" w:hAnsi="Palatino Linotype" w:cs="Palatino Linotype"/>
                <w:bCs/>
                <w:sz w:val="20"/>
                <w:szCs w:val="20"/>
                <w:lang w:val="es-ES"/>
              </w:rPr>
            </w:pPr>
            <w:r w:rsidRPr="00686FB4">
              <w:rPr>
                <w:rFonts w:ascii="Palatino Linotype" w:eastAsia="Palatino Linotype" w:hAnsi="Palatino Linotype" w:cs="Palatino Linotype"/>
                <w:bCs/>
                <w:noProof/>
                <w:sz w:val="20"/>
                <w:szCs w:val="20"/>
              </w:rPr>
              <w:drawing>
                <wp:inline distT="0" distB="0" distL="0" distR="0" wp14:anchorId="4DF137AC" wp14:editId="39F19CD3">
                  <wp:extent cx="1306195" cy="62865"/>
                  <wp:effectExtent l="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06195" cy="62865"/>
                          </a:xfrm>
                          <a:prstGeom prst="rect">
                            <a:avLst/>
                          </a:prstGeom>
                        </pic:spPr>
                      </pic:pic>
                    </a:graphicData>
                  </a:graphic>
                </wp:inline>
              </w:drawing>
            </w:r>
          </w:p>
        </w:tc>
        <w:tc>
          <w:tcPr>
            <w:tcW w:w="2835" w:type="dxa"/>
            <w:tcBorders>
              <w:top w:val="single" w:sz="4" w:space="0" w:color="auto"/>
              <w:left w:val="single" w:sz="4" w:space="0" w:color="auto"/>
              <w:bottom w:val="single" w:sz="4" w:space="0" w:color="auto"/>
              <w:right w:val="single" w:sz="4" w:space="0" w:color="auto"/>
            </w:tcBorders>
            <w:hideMark/>
          </w:tcPr>
          <w:p w14:paraId="62407E36" w14:textId="0E8988E1" w:rsidR="00530E22" w:rsidRPr="00686FB4" w:rsidRDefault="00530E22" w:rsidP="00FF51E8">
            <w:pPr>
              <w:jc w:val="center"/>
              <w:rPr>
                <w:rFonts w:ascii="Palatino Linotype" w:eastAsia="Palatino Linotype" w:hAnsi="Palatino Linotype" w:cs="Palatino Linotype"/>
                <w:b/>
                <w:sz w:val="20"/>
                <w:szCs w:val="20"/>
                <w:lang w:val="es-ES"/>
              </w:rPr>
            </w:pPr>
            <w:r w:rsidRPr="00686FB4">
              <w:rPr>
                <w:rFonts w:ascii="Palatino Linotype" w:eastAsia="Palatino Linotype" w:hAnsi="Palatino Linotype" w:cs="Palatino Linotype"/>
                <w:b/>
                <w:sz w:val="20"/>
                <w:szCs w:val="20"/>
                <w:lang w:val="es-ES"/>
              </w:rPr>
              <w:t xml:space="preserve">Colmó </w:t>
            </w:r>
          </w:p>
          <w:p w14:paraId="5F36BAAD" w14:textId="4DE848D9" w:rsidR="00530E22" w:rsidRPr="00686FB4" w:rsidRDefault="00530E22" w:rsidP="00FF51E8">
            <w:pPr>
              <w:jc w:val="both"/>
              <w:rPr>
                <w:rFonts w:ascii="Palatino Linotype" w:eastAsia="Palatino Linotype" w:hAnsi="Palatino Linotype" w:cs="Palatino Linotype"/>
                <w:sz w:val="20"/>
                <w:szCs w:val="20"/>
                <w:lang w:val="es-ES"/>
              </w:rPr>
            </w:pPr>
          </w:p>
        </w:tc>
      </w:tr>
      <w:tr w:rsidR="000A7117" w:rsidRPr="00686FB4" w14:paraId="127437DA" w14:textId="77777777" w:rsidTr="00DC39CD">
        <w:tc>
          <w:tcPr>
            <w:tcW w:w="2263" w:type="dxa"/>
            <w:tcBorders>
              <w:top w:val="single" w:sz="4" w:space="0" w:color="auto"/>
              <w:left w:val="single" w:sz="4" w:space="0" w:color="auto"/>
              <w:bottom w:val="single" w:sz="4" w:space="0" w:color="auto"/>
              <w:right w:val="single" w:sz="4" w:space="0" w:color="auto"/>
            </w:tcBorders>
          </w:tcPr>
          <w:p w14:paraId="130B2330" w14:textId="77777777" w:rsidR="00530E22" w:rsidRPr="00686FB4" w:rsidRDefault="00530E22" w:rsidP="00FF51E8">
            <w:pPr>
              <w:jc w:val="both"/>
              <w:rPr>
                <w:rFonts w:ascii="Palatino Linotype" w:eastAsia="Palatino Linotype" w:hAnsi="Palatino Linotype" w:cs="Palatino Linotype"/>
                <w:sz w:val="20"/>
                <w:szCs w:val="20"/>
                <w:lang w:val="es-ES"/>
              </w:rPr>
            </w:pPr>
            <w:r w:rsidRPr="00686FB4">
              <w:rPr>
                <w:rFonts w:ascii="Palatino Linotype" w:eastAsia="Palatino Linotype" w:hAnsi="Palatino Linotype" w:cs="Palatino Linotype"/>
                <w:sz w:val="20"/>
                <w:szCs w:val="20"/>
                <w:lang w:val="es-ES"/>
              </w:rPr>
              <w:t>Currículum del Titular de la Coordinación de Catastro</w:t>
            </w:r>
          </w:p>
          <w:p w14:paraId="039F98EB" w14:textId="77777777" w:rsidR="00530E22" w:rsidRPr="00686FB4" w:rsidRDefault="00530E22" w:rsidP="00FF51E8">
            <w:pPr>
              <w:jc w:val="both"/>
              <w:rPr>
                <w:rFonts w:ascii="Palatino Linotype" w:eastAsia="Palatino Linotype" w:hAnsi="Palatino Linotype" w:cs="Palatino Linotype"/>
                <w:sz w:val="20"/>
                <w:szCs w:val="20"/>
                <w:lang w:val="es-ES"/>
              </w:rPr>
            </w:pPr>
          </w:p>
          <w:p w14:paraId="15CF3E49" w14:textId="1CBA1330" w:rsidR="00530E22" w:rsidRPr="00686FB4" w:rsidRDefault="00530E22" w:rsidP="00FF51E8">
            <w:pPr>
              <w:jc w:val="both"/>
              <w:rPr>
                <w:rFonts w:ascii="Palatino Linotype" w:eastAsia="Palatino Linotype" w:hAnsi="Palatino Linotype" w:cs="Palatino Linotype"/>
                <w:sz w:val="20"/>
                <w:szCs w:val="20"/>
                <w:lang w:val="es-ES"/>
              </w:rPr>
            </w:pPr>
            <w:r w:rsidRPr="00686FB4">
              <w:rPr>
                <w:rFonts w:ascii="Palatino Linotype" w:eastAsia="Palatino Linotype" w:hAnsi="Palatino Linotype" w:cs="Palatino Linotype"/>
                <w:sz w:val="20"/>
                <w:szCs w:val="20"/>
                <w:lang w:val="es-ES"/>
              </w:rPr>
              <w:t>Currículum del personal que labora en la Coordinación de Catastro.</w:t>
            </w:r>
          </w:p>
        </w:tc>
        <w:tc>
          <w:tcPr>
            <w:tcW w:w="1843" w:type="dxa"/>
            <w:vMerge/>
            <w:tcBorders>
              <w:left w:val="single" w:sz="4" w:space="0" w:color="auto"/>
              <w:right w:val="single" w:sz="4" w:space="0" w:color="auto"/>
            </w:tcBorders>
          </w:tcPr>
          <w:p w14:paraId="4A9536A8" w14:textId="77777777" w:rsidR="00530E22" w:rsidRPr="00686FB4" w:rsidRDefault="00530E22" w:rsidP="00FF51E8">
            <w:pPr>
              <w:jc w:val="both"/>
              <w:rPr>
                <w:rFonts w:ascii="Palatino Linotype" w:eastAsia="Palatino Linotype" w:hAnsi="Palatino Linotype" w:cs="Palatino Linotype"/>
                <w:sz w:val="20"/>
                <w:szCs w:val="20"/>
                <w:lang w:val="es-ES"/>
              </w:rPr>
            </w:pPr>
          </w:p>
        </w:tc>
        <w:tc>
          <w:tcPr>
            <w:tcW w:w="2268" w:type="dxa"/>
            <w:tcBorders>
              <w:top w:val="single" w:sz="4" w:space="0" w:color="auto"/>
              <w:left w:val="single" w:sz="4" w:space="0" w:color="auto"/>
              <w:bottom w:val="single" w:sz="4" w:space="0" w:color="auto"/>
              <w:right w:val="single" w:sz="4" w:space="0" w:color="auto"/>
            </w:tcBorders>
          </w:tcPr>
          <w:p w14:paraId="4CE1BFC8" w14:textId="77777777" w:rsidR="00530E22" w:rsidRPr="00686FB4" w:rsidRDefault="00530E22" w:rsidP="00FF51E8">
            <w:pPr>
              <w:jc w:val="both"/>
              <w:rPr>
                <w:rFonts w:ascii="Palatino Linotype" w:eastAsia="Palatino Linotype" w:hAnsi="Palatino Linotype" w:cs="Palatino Linotype"/>
                <w:bCs/>
                <w:sz w:val="20"/>
                <w:szCs w:val="20"/>
                <w:lang w:val="es-ES"/>
              </w:rPr>
            </w:pPr>
          </w:p>
          <w:p w14:paraId="595EB774" w14:textId="428ED63B" w:rsidR="00530E22" w:rsidRPr="00686FB4" w:rsidRDefault="00530E22" w:rsidP="00FF51E8">
            <w:pPr>
              <w:jc w:val="both"/>
              <w:rPr>
                <w:rFonts w:ascii="Palatino Linotype" w:eastAsia="Palatino Linotype" w:hAnsi="Palatino Linotype" w:cs="Palatino Linotype"/>
                <w:bCs/>
                <w:sz w:val="20"/>
                <w:szCs w:val="20"/>
                <w:lang w:val="es-ES"/>
              </w:rPr>
            </w:pPr>
            <w:r w:rsidRPr="00686FB4">
              <w:rPr>
                <w:rFonts w:ascii="Palatino Linotype" w:eastAsia="Palatino Linotype" w:hAnsi="Palatino Linotype" w:cs="Palatino Linotype"/>
                <w:bCs/>
                <w:sz w:val="20"/>
                <w:szCs w:val="20"/>
                <w:lang w:val="es-ES"/>
              </w:rPr>
              <w:t xml:space="preserve">Hizo entrega de </w:t>
            </w:r>
            <w:r w:rsidR="008A7C08" w:rsidRPr="00686FB4">
              <w:rPr>
                <w:rFonts w:ascii="Palatino Linotype" w:eastAsia="Palatino Linotype" w:hAnsi="Palatino Linotype" w:cs="Palatino Linotype"/>
                <w:bCs/>
                <w:sz w:val="20"/>
                <w:szCs w:val="20"/>
                <w:lang w:val="es-ES"/>
              </w:rPr>
              <w:t>siete currículums</w:t>
            </w:r>
            <w:r w:rsidRPr="00686FB4">
              <w:rPr>
                <w:rFonts w:ascii="Palatino Linotype" w:eastAsia="Palatino Linotype" w:hAnsi="Palatino Linotype" w:cs="Palatino Linotype"/>
                <w:bCs/>
                <w:sz w:val="20"/>
                <w:szCs w:val="20"/>
                <w:lang w:val="es-ES"/>
              </w:rPr>
              <w:t xml:space="preserve"> vitae en versión pública, sin embargo no se hicieron del conocimiento de la parte </w:t>
            </w:r>
            <w:r w:rsidRPr="00686FB4">
              <w:rPr>
                <w:rFonts w:ascii="Palatino Linotype" w:eastAsia="Palatino Linotype" w:hAnsi="Palatino Linotype" w:cs="Palatino Linotype"/>
                <w:b/>
                <w:bCs/>
                <w:sz w:val="20"/>
                <w:szCs w:val="20"/>
                <w:lang w:val="es-ES"/>
              </w:rPr>
              <w:t>Recurrente</w:t>
            </w:r>
            <w:r w:rsidRPr="00686FB4">
              <w:rPr>
                <w:rFonts w:ascii="Palatino Linotype" w:eastAsia="Palatino Linotype" w:hAnsi="Palatino Linotype" w:cs="Palatino Linotype"/>
                <w:bCs/>
                <w:sz w:val="20"/>
                <w:szCs w:val="20"/>
                <w:lang w:val="es-ES"/>
              </w:rPr>
              <w:t xml:space="preserve"> por dejar visible información que es de carácter confidencial. </w:t>
            </w:r>
          </w:p>
        </w:tc>
        <w:tc>
          <w:tcPr>
            <w:tcW w:w="2835" w:type="dxa"/>
            <w:tcBorders>
              <w:top w:val="single" w:sz="4" w:space="0" w:color="auto"/>
              <w:left w:val="single" w:sz="4" w:space="0" w:color="auto"/>
              <w:bottom w:val="single" w:sz="4" w:space="0" w:color="auto"/>
              <w:right w:val="single" w:sz="4" w:space="0" w:color="auto"/>
            </w:tcBorders>
          </w:tcPr>
          <w:p w14:paraId="1705A75A" w14:textId="77777777" w:rsidR="00530E22" w:rsidRPr="00686FB4" w:rsidRDefault="00530E22" w:rsidP="00FF51E8">
            <w:pPr>
              <w:jc w:val="center"/>
              <w:rPr>
                <w:rFonts w:ascii="Palatino Linotype" w:eastAsia="Palatino Linotype" w:hAnsi="Palatino Linotype" w:cs="Palatino Linotype"/>
                <w:b/>
                <w:sz w:val="20"/>
                <w:szCs w:val="20"/>
                <w:lang w:val="es-ES"/>
              </w:rPr>
            </w:pPr>
            <w:r w:rsidRPr="00686FB4">
              <w:rPr>
                <w:rFonts w:ascii="Palatino Linotype" w:eastAsia="Palatino Linotype" w:hAnsi="Palatino Linotype" w:cs="Palatino Linotype"/>
                <w:b/>
                <w:sz w:val="20"/>
                <w:szCs w:val="20"/>
                <w:lang w:val="es-ES"/>
              </w:rPr>
              <w:t xml:space="preserve">No colmó </w:t>
            </w:r>
          </w:p>
          <w:p w14:paraId="21B0B09D" w14:textId="6439D59A" w:rsidR="00530E22" w:rsidRPr="00686FB4" w:rsidRDefault="00530E22" w:rsidP="00FF51E8">
            <w:pPr>
              <w:jc w:val="both"/>
              <w:rPr>
                <w:rFonts w:ascii="Palatino Linotype" w:eastAsia="Palatino Linotype" w:hAnsi="Palatino Linotype" w:cs="Palatino Linotype"/>
                <w:sz w:val="20"/>
                <w:szCs w:val="20"/>
                <w:lang w:val="es-ES"/>
              </w:rPr>
            </w:pPr>
            <w:r w:rsidRPr="00686FB4">
              <w:rPr>
                <w:rFonts w:ascii="Palatino Linotype" w:eastAsia="Palatino Linotype" w:hAnsi="Palatino Linotype" w:cs="Palatino Linotype"/>
                <w:sz w:val="20"/>
                <w:szCs w:val="20"/>
                <w:lang w:val="es-ES"/>
              </w:rPr>
              <w:t xml:space="preserve">Si bien en informe justificado hizo entrega del currículum de los servidores públicos adscritos a la Coordinación de Catastro incluyendo al titular, lo cierto es que estos no se hicieron de su conocimiento por dejar visibles datos personales como números telefónicos particulares. </w:t>
            </w:r>
          </w:p>
        </w:tc>
      </w:tr>
      <w:tr w:rsidR="000A7117" w:rsidRPr="00686FB4" w14:paraId="006AE2A3" w14:textId="77777777" w:rsidTr="00DC39CD">
        <w:tc>
          <w:tcPr>
            <w:tcW w:w="2263" w:type="dxa"/>
            <w:tcBorders>
              <w:top w:val="single" w:sz="4" w:space="0" w:color="auto"/>
              <w:left w:val="single" w:sz="4" w:space="0" w:color="auto"/>
              <w:bottom w:val="single" w:sz="4" w:space="0" w:color="auto"/>
              <w:right w:val="single" w:sz="4" w:space="0" w:color="auto"/>
            </w:tcBorders>
          </w:tcPr>
          <w:p w14:paraId="414409B4" w14:textId="784C143A" w:rsidR="00530E22" w:rsidRPr="00686FB4" w:rsidRDefault="00530E22" w:rsidP="00FF51E8">
            <w:pPr>
              <w:jc w:val="both"/>
              <w:rPr>
                <w:rFonts w:ascii="Palatino Linotype" w:eastAsia="Palatino Linotype" w:hAnsi="Palatino Linotype" w:cs="Palatino Linotype"/>
                <w:sz w:val="20"/>
                <w:szCs w:val="20"/>
                <w:lang w:val="es-ES"/>
              </w:rPr>
            </w:pPr>
            <w:r w:rsidRPr="00686FB4">
              <w:rPr>
                <w:rFonts w:ascii="Palatino Linotype" w:eastAsia="Palatino Linotype" w:hAnsi="Palatino Linotype" w:cs="Palatino Linotype"/>
                <w:sz w:val="20"/>
                <w:szCs w:val="20"/>
                <w:lang w:val="es-ES"/>
              </w:rPr>
              <w:t>Cuenta con certificación el titular de la Coordinación de Catastro.</w:t>
            </w:r>
          </w:p>
        </w:tc>
        <w:tc>
          <w:tcPr>
            <w:tcW w:w="1843" w:type="dxa"/>
            <w:vMerge/>
            <w:tcBorders>
              <w:left w:val="single" w:sz="4" w:space="0" w:color="auto"/>
              <w:right w:val="single" w:sz="4" w:space="0" w:color="auto"/>
            </w:tcBorders>
          </w:tcPr>
          <w:p w14:paraId="6A351A66" w14:textId="77777777" w:rsidR="00530E22" w:rsidRPr="00686FB4" w:rsidRDefault="00530E22" w:rsidP="00FF51E8">
            <w:pPr>
              <w:jc w:val="both"/>
              <w:rPr>
                <w:rFonts w:ascii="Palatino Linotype" w:eastAsia="Palatino Linotype" w:hAnsi="Palatino Linotype" w:cs="Palatino Linotype"/>
                <w:sz w:val="20"/>
                <w:szCs w:val="20"/>
                <w:lang w:val="es-ES"/>
              </w:rPr>
            </w:pPr>
          </w:p>
        </w:tc>
        <w:tc>
          <w:tcPr>
            <w:tcW w:w="2268" w:type="dxa"/>
            <w:tcBorders>
              <w:top w:val="single" w:sz="4" w:space="0" w:color="auto"/>
              <w:left w:val="single" w:sz="4" w:space="0" w:color="auto"/>
              <w:bottom w:val="single" w:sz="4" w:space="0" w:color="auto"/>
              <w:right w:val="single" w:sz="4" w:space="0" w:color="auto"/>
            </w:tcBorders>
          </w:tcPr>
          <w:p w14:paraId="1242BD5C" w14:textId="7440509C" w:rsidR="00530E22" w:rsidRPr="00686FB4" w:rsidRDefault="00530E22" w:rsidP="00FF51E8">
            <w:pPr>
              <w:jc w:val="both"/>
              <w:rPr>
                <w:rFonts w:ascii="Palatino Linotype" w:eastAsia="Palatino Linotype" w:hAnsi="Palatino Linotype" w:cs="Palatino Linotype"/>
                <w:bCs/>
                <w:sz w:val="20"/>
                <w:szCs w:val="20"/>
                <w:lang w:val="es-ES"/>
              </w:rPr>
            </w:pPr>
            <w:r w:rsidRPr="00686FB4">
              <w:rPr>
                <w:rFonts w:ascii="Palatino Linotype" w:eastAsia="Palatino Linotype" w:hAnsi="Palatino Linotype" w:cs="Palatino Linotype"/>
                <w:bCs/>
                <w:sz w:val="20"/>
                <w:szCs w:val="20"/>
                <w:lang w:val="es-ES"/>
              </w:rPr>
              <w:t xml:space="preserve">Hizo entrega del Certificado de Competencia Laboral en la Norma Institucional </w:t>
            </w:r>
            <w:r w:rsidRPr="00686FB4">
              <w:rPr>
                <w:rFonts w:ascii="Palatino Linotype" w:eastAsia="Palatino Linotype" w:hAnsi="Palatino Linotype" w:cs="Palatino Linotype"/>
                <w:bCs/>
                <w:i/>
                <w:iCs/>
                <w:sz w:val="20"/>
                <w:szCs w:val="20"/>
                <w:lang w:val="es-ES"/>
              </w:rPr>
              <w:t>“Administración de la actividad catastral en el Estado de México y Municipios”</w:t>
            </w:r>
            <w:r w:rsidRPr="00686FB4">
              <w:rPr>
                <w:rFonts w:ascii="Palatino Linotype" w:eastAsia="Palatino Linotype" w:hAnsi="Palatino Linotype" w:cs="Palatino Linotype"/>
                <w:bCs/>
                <w:sz w:val="20"/>
                <w:szCs w:val="20"/>
                <w:lang w:val="es-ES"/>
              </w:rPr>
              <w:t xml:space="preserve"> a favor del Coordinador de Catastro. </w:t>
            </w:r>
          </w:p>
        </w:tc>
        <w:tc>
          <w:tcPr>
            <w:tcW w:w="2835" w:type="dxa"/>
            <w:tcBorders>
              <w:top w:val="single" w:sz="4" w:space="0" w:color="auto"/>
              <w:left w:val="single" w:sz="4" w:space="0" w:color="auto"/>
              <w:bottom w:val="single" w:sz="4" w:space="0" w:color="auto"/>
              <w:right w:val="single" w:sz="4" w:space="0" w:color="auto"/>
            </w:tcBorders>
          </w:tcPr>
          <w:p w14:paraId="25672107" w14:textId="17DCC495" w:rsidR="00530E22" w:rsidRPr="00686FB4" w:rsidRDefault="00530E22" w:rsidP="00FF51E8">
            <w:pPr>
              <w:jc w:val="center"/>
              <w:rPr>
                <w:rFonts w:ascii="Palatino Linotype" w:eastAsia="Palatino Linotype" w:hAnsi="Palatino Linotype" w:cs="Palatino Linotype"/>
                <w:b/>
                <w:sz w:val="20"/>
                <w:szCs w:val="20"/>
                <w:lang w:val="es-ES"/>
              </w:rPr>
            </w:pPr>
            <w:r w:rsidRPr="00686FB4">
              <w:rPr>
                <w:rFonts w:ascii="Palatino Linotype" w:eastAsia="Palatino Linotype" w:hAnsi="Palatino Linotype" w:cs="Palatino Linotype"/>
                <w:b/>
                <w:sz w:val="20"/>
                <w:szCs w:val="20"/>
                <w:lang w:val="es-ES"/>
              </w:rPr>
              <w:t xml:space="preserve">Colmó </w:t>
            </w:r>
          </w:p>
        </w:tc>
      </w:tr>
      <w:tr w:rsidR="00530E22" w:rsidRPr="00686FB4" w14:paraId="6D4C5FCD" w14:textId="77777777" w:rsidTr="00DC39CD">
        <w:tc>
          <w:tcPr>
            <w:tcW w:w="2263" w:type="dxa"/>
            <w:tcBorders>
              <w:top w:val="single" w:sz="4" w:space="0" w:color="auto"/>
              <w:left w:val="single" w:sz="4" w:space="0" w:color="auto"/>
              <w:bottom w:val="single" w:sz="4" w:space="0" w:color="auto"/>
              <w:right w:val="single" w:sz="4" w:space="0" w:color="auto"/>
            </w:tcBorders>
          </w:tcPr>
          <w:p w14:paraId="1E581E55" w14:textId="25E1031B" w:rsidR="00530E22" w:rsidRPr="00686FB4" w:rsidRDefault="00530E22" w:rsidP="00FF51E8">
            <w:pPr>
              <w:jc w:val="both"/>
              <w:rPr>
                <w:rFonts w:ascii="Palatino Linotype" w:eastAsia="Palatino Linotype" w:hAnsi="Palatino Linotype" w:cs="Palatino Linotype"/>
                <w:sz w:val="20"/>
                <w:szCs w:val="20"/>
                <w:lang w:val="es-ES"/>
              </w:rPr>
            </w:pPr>
            <w:r w:rsidRPr="00686FB4">
              <w:rPr>
                <w:rFonts w:ascii="Palatino Linotype" w:eastAsia="Palatino Linotype" w:hAnsi="Palatino Linotype" w:cs="Palatino Linotype"/>
                <w:sz w:val="20"/>
                <w:szCs w:val="20"/>
                <w:lang w:val="es-ES"/>
              </w:rPr>
              <w:t>Nómina testada de todo el personal que labora en la Coordinación de Catastro.</w:t>
            </w:r>
          </w:p>
        </w:tc>
        <w:tc>
          <w:tcPr>
            <w:tcW w:w="1843" w:type="dxa"/>
            <w:vMerge/>
            <w:tcBorders>
              <w:left w:val="single" w:sz="4" w:space="0" w:color="auto"/>
              <w:bottom w:val="single" w:sz="4" w:space="0" w:color="auto"/>
              <w:right w:val="single" w:sz="4" w:space="0" w:color="auto"/>
            </w:tcBorders>
          </w:tcPr>
          <w:p w14:paraId="35906CAF" w14:textId="77777777" w:rsidR="00530E22" w:rsidRPr="00686FB4" w:rsidRDefault="00530E22" w:rsidP="00FF51E8">
            <w:pPr>
              <w:jc w:val="both"/>
              <w:rPr>
                <w:rFonts w:ascii="Palatino Linotype" w:eastAsia="Palatino Linotype" w:hAnsi="Palatino Linotype" w:cs="Palatino Linotype"/>
                <w:sz w:val="20"/>
                <w:szCs w:val="20"/>
                <w:lang w:val="es-ES"/>
              </w:rPr>
            </w:pPr>
          </w:p>
        </w:tc>
        <w:tc>
          <w:tcPr>
            <w:tcW w:w="2268" w:type="dxa"/>
            <w:tcBorders>
              <w:top w:val="single" w:sz="4" w:space="0" w:color="auto"/>
              <w:left w:val="single" w:sz="4" w:space="0" w:color="auto"/>
              <w:bottom w:val="single" w:sz="4" w:space="0" w:color="auto"/>
              <w:right w:val="single" w:sz="4" w:space="0" w:color="auto"/>
            </w:tcBorders>
          </w:tcPr>
          <w:p w14:paraId="487937D1" w14:textId="77777777" w:rsidR="00D503CC" w:rsidRPr="00686FB4" w:rsidRDefault="00D503CC" w:rsidP="00FF51E8">
            <w:pPr>
              <w:jc w:val="both"/>
              <w:rPr>
                <w:rFonts w:ascii="Palatino Linotype" w:eastAsia="Palatino Linotype" w:hAnsi="Palatino Linotype" w:cs="Palatino Linotype"/>
                <w:bCs/>
                <w:sz w:val="20"/>
                <w:szCs w:val="20"/>
                <w:lang w:val="es-ES"/>
              </w:rPr>
            </w:pPr>
          </w:p>
          <w:p w14:paraId="6D5F1CDF" w14:textId="77777777" w:rsidR="00D503CC" w:rsidRPr="00686FB4" w:rsidRDefault="00D503CC" w:rsidP="00FF51E8">
            <w:pPr>
              <w:jc w:val="both"/>
              <w:rPr>
                <w:rFonts w:ascii="Palatino Linotype" w:eastAsia="Palatino Linotype" w:hAnsi="Palatino Linotype" w:cs="Palatino Linotype"/>
                <w:bCs/>
                <w:sz w:val="20"/>
                <w:szCs w:val="20"/>
                <w:lang w:val="es-ES"/>
              </w:rPr>
            </w:pPr>
          </w:p>
          <w:p w14:paraId="00A64C32" w14:textId="05AB21AB" w:rsidR="00530E22" w:rsidRPr="00686FB4" w:rsidRDefault="00530E22" w:rsidP="00FF51E8">
            <w:pPr>
              <w:jc w:val="both"/>
              <w:rPr>
                <w:rFonts w:ascii="Palatino Linotype" w:eastAsia="Palatino Linotype" w:hAnsi="Palatino Linotype" w:cs="Palatino Linotype"/>
                <w:bCs/>
                <w:sz w:val="20"/>
                <w:szCs w:val="20"/>
                <w:lang w:val="es-ES"/>
              </w:rPr>
            </w:pPr>
            <w:r w:rsidRPr="00686FB4">
              <w:rPr>
                <w:rFonts w:ascii="Palatino Linotype" w:eastAsia="Palatino Linotype" w:hAnsi="Palatino Linotype" w:cs="Palatino Linotype"/>
                <w:bCs/>
                <w:sz w:val="20"/>
                <w:szCs w:val="20"/>
                <w:lang w:val="es-ES"/>
              </w:rPr>
              <w:t>Hizo entrega de siete recibos de nómina, correspondientes a la primera quincena de mayo de dos mil veintiséis, en versión pública.</w:t>
            </w:r>
          </w:p>
        </w:tc>
        <w:tc>
          <w:tcPr>
            <w:tcW w:w="2835" w:type="dxa"/>
            <w:tcBorders>
              <w:top w:val="single" w:sz="4" w:space="0" w:color="auto"/>
              <w:left w:val="single" w:sz="4" w:space="0" w:color="auto"/>
              <w:bottom w:val="single" w:sz="4" w:space="0" w:color="auto"/>
              <w:right w:val="single" w:sz="4" w:space="0" w:color="auto"/>
            </w:tcBorders>
          </w:tcPr>
          <w:p w14:paraId="51237096" w14:textId="5294630B" w:rsidR="00530E22" w:rsidRPr="00686FB4" w:rsidRDefault="00D503CC" w:rsidP="00FF51E8">
            <w:pPr>
              <w:jc w:val="center"/>
              <w:rPr>
                <w:rFonts w:ascii="Palatino Linotype" w:eastAsia="Palatino Linotype" w:hAnsi="Palatino Linotype" w:cs="Palatino Linotype"/>
                <w:b/>
                <w:sz w:val="20"/>
                <w:szCs w:val="20"/>
                <w:lang w:val="es-ES"/>
              </w:rPr>
            </w:pPr>
            <w:r w:rsidRPr="00686FB4">
              <w:rPr>
                <w:rFonts w:ascii="Palatino Linotype" w:eastAsia="Palatino Linotype" w:hAnsi="Palatino Linotype" w:cs="Palatino Linotype"/>
                <w:b/>
                <w:sz w:val="20"/>
                <w:szCs w:val="20"/>
                <w:lang w:val="es-ES"/>
              </w:rPr>
              <w:t>Parcialmente</w:t>
            </w:r>
          </w:p>
          <w:p w14:paraId="06C5CCBF" w14:textId="16F42395" w:rsidR="00530E22" w:rsidRPr="00686FB4" w:rsidRDefault="00530E22" w:rsidP="00FF51E8">
            <w:pPr>
              <w:jc w:val="both"/>
              <w:rPr>
                <w:rFonts w:ascii="Palatino Linotype" w:eastAsia="Palatino Linotype" w:hAnsi="Palatino Linotype" w:cs="Palatino Linotype"/>
                <w:sz w:val="20"/>
                <w:szCs w:val="20"/>
                <w:lang w:val="es-ES"/>
              </w:rPr>
            </w:pPr>
            <w:r w:rsidRPr="00686FB4">
              <w:rPr>
                <w:rFonts w:ascii="Palatino Linotype" w:eastAsia="Palatino Linotype" w:hAnsi="Palatino Linotype" w:cs="Palatino Linotype"/>
                <w:sz w:val="20"/>
                <w:szCs w:val="20"/>
                <w:lang w:val="es-ES"/>
              </w:rPr>
              <w:t>Se advierte que los recibos de nómina remitidos no se encuentran en correcta versión pública, aunado a que a</w:t>
            </w:r>
            <w:r w:rsidR="0063475B" w:rsidRPr="00686FB4">
              <w:rPr>
                <w:rFonts w:ascii="Palatino Linotype" w:eastAsia="Palatino Linotype" w:hAnsi="Palatino Linotype" w:cs="Palatino Linotype"/>
                <w:sz w:val="20"/>
                <w:szCs w:val="20"/>
                <w:lang w:val="es-ES"/>
              </w:rPr>
              <w:t>tendiendo al criterio reiterado 04/2024, del Pleno de este Instituto</w:t>
            </w:r>
            <w:r w:rsidR="0063475B" w:rsidRPr="00686FB4">
              <w:rPr>
                <w:rFonts w:ascii="Palatino Linotype" w:hAnsi="Palatino Linotype"/>
                <w:sz w:val="20"/>
                <w:szCs w:val="20"/>
              </w:rPr>
              <w:t xml:space="preserve">, </w:t>
            </w:r>
            <w:r w:rsidR="0063475B" w:rsidRPr="00686FB4">
              <w:rPr>
                <w:rFonts w:ascii="Palatino Linotype" w:eastAsia="Palatino Linotype" w:hAnsi="Palatino Linotype" w:cs="Palatino Linotype"/>
                <w:sz w:val="20"/>
                <w:szCs w:val="20"/>
                <w:lang w:val="es-ES"/>
              </w:rPr>
              <w:t xml:space="preserve">la temporalidad que procede para la entrega de la información es la correspondiente a la primera y segunda quincena de abril de dos mil veintiséis. </w:t>
            </w:r>
          </w:p>
        </w:tc>
      </w:tr>
    </w:tbl>
    <w:p w14:paraId="490E2F2A" w14:textId="77777777" w:rsidR="00C00C9F" w:rsidRPr="00686FB4" w:rsidRDefault="00C00C9F" w:rsidP="00FF51E8">
      <w:pPr>
        <w:spacing w:after="0" w:line="360" w:lineRule="auto"/>
        <w:ind w:right="49"/>
        <w:jc w:val="both"/>
        <w:rPr>
          <w:rFonts w:ascii="Palatino Linotype" w:eastAsia="Palatino Linotype" w:hAnsi="Palatino Linotype" w:cs="Palatino Linotype"/>
        </w:rPr>
      </w:pPr>
    </w:p>
    <w:p w14:paraId="4869C96B" w14:textId="42773403" w:rsidR="00086324" w:rsidRPr="00686FB4" w:rsidRDefault="00086324" w:rsidP="00FF51E8">
      <w:pPr>
        <w:tabs>
          <w:tab w:val="left" w:pos="0"/>
        </w:tabs>
        <w:spacing w:after="0" w:line="360" w:lineRule="auto"/>
        <w:ind w:right="49"/>
        <w:jc w:val="both"/>
        <w:rPr>
          <w:rFonts w:ascii="Palatino Linotype" w:eastAsia="Palatino Linotype" w:hAnsi="Palatino Linotype" w:cs="Palatino Linotype"/>
          <w:bCs/>
        </w:rPr>
      </w:pPr>
      <w:r w:rsidRPr="00686FB4">
        <w:rPr>
          <w:rFonts w:ascii="Palatino Linotype" w:eastAsia="Palatino Linotype" w:hAnsi="Palatino Linotype" w:cs="Palatino Linotype"/>
          <w:bCs/>
        </w:rPr>
        <w:t xml:space="preserve">Como se desprende de lo anterior, respecto a la información consistente al </w:t>
      </w:r>
      <w:r w:rsidRPr="00686FB4">
        <w:rPr>
          <w:rFonts w:ascii="Palatino Linotype" w:eastAsia="Palatino Linotype" w:hAnsi="Palatino Linotype" w:cs="Palatino Linotype"/>
          <w:bCs/>
          <w:i/>
          <w:iCs/>
        </w:rPr>
        <w:t>“</w:t>
      </w:r>
      <w:r w:rsidR="00B95004" w:rsidRPr="00686FB4">
        <w:rPr>
          <w:rFonts w:ascii="Palatino Linotype" w:eastAsia="Palatino Linotype" w:hAnsi="Palatino Linotype" w:cs="Palatino Linotype"/>
          <w:bCs/>
          <w:i/>
          <w:iCs/>
        </w:rPr>
        <w:t>Currículum del Titular de la Coordinación de Catastro… Currículum del personal que labora en la Coordinación de Catastro.</w:t>
      </w:r>
      <w:r w:rsidRPr="00686FB4">
        <w:rPr>
          <w:rFonts w:ascii="Palatino Linotype" w:eastAsia="Palatino Linotype" w:hAnsi="Palatino Linotype" w:cs="Palatino Linotype"/>
          <w:bCs/>
          <w:i/>
          <w:iCs/>
        </w:rPr>
        <w:t>”</w:t>
      </w:r>
      <w:r w:rsidRPr="00686FB4">
        <w:rPr>
          <w:rFonts w:ascii="Palatino Linotype" w:eastAsia="Palatino Linotype" w:hAnsi="Palatino Linotype" w:cs="Palatino Linotype"/>
          <w:bCs/>
        </w:rPr>
        <w:t xml:space="preserve">, </w:t>
      </w:r>
      <w:r w:rsidRPr="00686FB4">
        <w:rPr>
          <w:rFonts w:ascii="Palatino Linotype" w:eastAsia="Palatino Linotype" w:hAnsi="Palatino Linotype" w:cs="Palatino Linotype"/>
          <w:b/>
          <w:bCs/>
        </w:rPr>
        <w:t xml:space="preserve">se </w:t>
      </w:r>
      <w:r w:rsidRPr="00686FB4">
        <w:rPr>
          <w:rFonts w:ascii="Palatino Linotype" w:eastAsia="Palatino Linotype" w:hAnsi="Palatino Linotype" w:cs="Palatino Linotype"/>
          <w:b/>
          <w:bCs/>
          <w:u w:val="single"/>
        </w:rPr>
        <w:t xml:space="preserve">reporta un </w:t>
      </w:r>
      <w:r w:rsidR="004D3F07" w:rsidRPr="00686FB4">
        <w:rPr>
          <w:rFonts w:ascii="Palatino Linotype" w:eastAsia="Palatino Linotype" w:hAnsi="Palatino Linotype" w:cs="Palatino Linotype"/>
          <w:b/>
          <w:bCs/>
          <w:u w:val="single"/>
        </w:rPr>
        <w:t>in</w:t>
      </w:r>
      <w:r w:rsidRPr="00686FB4">
        <w:rPr>
          <w:rFonts w:ascii="Palatino Linotype" w:eastAsia="Palatino Linotype" w:hAnsi="Palatino Linotype" w:cs="Palatino Linotype"/>
          <w:b/>
          <w:bCs/>
          <w:u w:val="single"/>
        </w:rPr>
        <w:t xml:space="preserve">cumplimiento, </w:t>
      </w:r>
      <w:r w:rsidRPr="00686FB4">
        <w:rPr>
          <w:rFonts w:ascii="Palatino Linotype" w:eastAsia="Palatino Linotype" w:hAnsi="Palatino Linotype" w:cs="Palatino Linotype"/>
          <w:bCs/>
        </w:rPr>
        <w:t xml:space="preserve">en razón de que, si bien es cierto que el </w:t>
      </w:r>
      <w:r w:rsidRPr="00686FB4">
        <w:rPr>
          <w:rFonts w:ascii="Palatino Linotype" w:eastAsia="Palatino Linotype" w:hAnsi="Palatino Linotype" w:cs="Palatino Linotype"/>
          <w:b/>
          <w:bCs/>
        </w:rPr>
        <w:t>Sujeto Obligado</w:t>
      </w:r>
      <w:r w:rsidRPr="00686FB4">
        <w:rPr>
          <w:rFonts w:ascii="Palatino Linotype" w:eastAsia="Palatino Linotype" w:hAnsi="Palatino Linotype" w:cs="Palatino Linotype"/>
          <w:bCs/>
        </w:rPr>
        <w:t xml:space="preserve"> </w:t>
      </w:r>
      <w:r w:rsidR="004D3F07" w:rsidRPr="00686FB4">
        <w:rPr>
          <w:rFonts w:ascii="Palatino Linotype" w:eastAsia="Palatino Linotype" w:hAnsi="Palatino Linotype" w:cs="Palatino Linotype"/>
          <w:bCs/>
        </w:rPr>
        <w:t>a través de la Coordinación de Recursos Humanos hizo entrega del currículum vitae de los servidores públicos que integran la Coordinación de Catastro</w:t>
      </w:r>
      <w:r w:rsidRPr="00686FB4">
        <w:rPr>
          <w:rFonts w:ascii="Palatino Linotype" w:eastAsia="Palatino Linotype" w:hAnsi="Palatino Linotype" w:cs="Palatino Linotype"/>
          <w:bCs/>
        </w:rPr>
        <w:t xml:space="preserve">, lo cierto es que </w:t>
      </w:r>
      <w:r w:rsidR="004E402F" w:rsidRPr="00686FB4">
        <w:rPr>
          <w:rFonts w:ascii="Palatino Linotype" w:eastAsia="Palatino Linotype" w:hAnsi="Palatino Linotype" w:cs="Palatino Linotype"/>
          <w:bCs/>
        </w:rPr>
        <w:t xml:space="preserve">estos no se hicieron del conocimiento de la parte </w:t>
      </w:r>
      <w:r w:rsidR="004E402F" w:rsidRPr="00686FB4">
        <w:rPr>
          <w:rFonts w:ascii="Palatino Linotype" w:eastAsia="Palatino Linotype" w:hAnsi="Palatino Linotype" w:cs="Palatino Linotype"/>
          <w:b/>
          <w:bCs/>
        </w:rPr>
        <w:t>Recurrente</w:t>
      </w:r>
      <w:r w:rsidR="004E402F" w:rsidRPr="00686FB4">
        <w:rPr>
          <w:rFonts w:ascii="Palatino Linotype" w:eastAsia="Palatino Linotype" w:hAnsi="Palatino Linotype" w:cs="Palatino Linotype"/>
          <w:bCs/>
        </w:rPr>
        <w:t xml:space="preserve"> por contener información que es de carácter confidencial</w:t>
      </w:r>
      <w:r w:rsidR="000616D8" w:rsidRPr="00686FB4">
        <w:rPr>
          <w:rFonts w:ascii="Palatino Linotype" w:eastAsia="Palatino Linotype" w:hAnsi="Palatino Linotype" w:cs="Palatino Linotype"/>
          <w:bCs/>
        </w:rPr>
        <w:t xml:space="preserve">. </w:t>
      </w:r>
    </w:p>
    <w:p w14:paraId="20546141" w14:textId="77777777" w:rsidR="008A7C08" w:rsidRPr="00686FB4" w:rsidRDefault="008A7C08" w:rsidP="00FF51E8">
      <w:pPr>
        <w:tabs>
          <w:tab w:val="left" w:pos="0"/>
        </w:tabs>
        <w:spacing w:after="0" w:line="360" w:lineRule="auto"/>
        <w:ind w:right="49"/>
        <w:jc w:val="both"/>
        <w:rPr>
          <w:rFonts w:ascii="Palatino Linotype" w:eastAsia="Palatino Linotype" w:hAnsi="Palatino Linotype" w:cs="Palatino Linotype"/>
          <w:bCs/>
        </w:rPr>
      </w:pPr>
    </w:p>
    <w:p w14:paraId="7A9E80F2" w14:textId="3E853FC3" w:rsidR="008F2A83" w:rsidRPr="00686FB4" w:rsidRDefault="008F2A83" w:rsidP="00FF51E8">
      <w:pPr>
        <w:spacing w:after="0" w:line="360" w:lineRule="auto"/>
        <w:jc w:val="both"/>
        <w:rPr>
          <w:rFonts w:ascii="Palatino Linotype" w:eastAsia="Palatino Linotype" w:hAnsi="Palatino Linotype" w:cs="Palatino Linotype"/>
          <w:i/>
        </w:rPr>
      </w:pPr>
      <w:r w:rsidRPr="00686FB4">
        <w:rPr>
          <w:rFonts w:ascii="Palatino Linotype" w:eastAsia="Palatino Linotype" w:hAnsi="Palatino Linotype" w:cs="Palatino Linotype"/>
        </w:rPr>
        <w:t>Acotado lo anterior, atendiendo la naturaleza de la información solicitada, debe precisarse en primer lugar, que el concepto “</w:t>
      </w:r>
      <w:r w:rsidRPr="00686FB4">
        <w:rPr>
          <w:rFonts w:ascii="Palatino Linotype" w:eastAsia="Palatino Linotype" w:hAnsi="Palatino Linotype" w:cs="Palatino Linotype"/>
          <w:i/>
        </w:rPr>
        <w:t>currículum</w:t>
      </w:r>
      <w:r w:rsidRPr="00686FB4">
        <w:rPr>
          <w:rFonts w:ascii="Palatino Linotype" w:eastAsia="Palatino Linotype" w:hAnsi="Palatino Linotype" w:cs="Palatino Linotype"/>
        </w:rPr>
        <w:t xml:space="preserve">” corresponde a una locución latina cuyo significado es </w:t>
      </w:r>
      <w:r w:rsidRPr="00686FB4">
        <w:rPr>
          <w:rFonts w:ascii="Palatino Linotype" w:eastAsia="Palatino Linotype" w:hAnsi="Palatino Linotype" w:cs="Palatino Linotype"/>
          <w:i/>
        </w:rPr>
        <w:t>“carrera de vida”, Se usa como locución nominal masculina para designar la relación de los datos personales, formación académica, actividad laboral y méritos de una persona.” (Sic)</w:t>
      </w:r>
    </w:p>
    <w:p w14:paraId="2DC5D042" w14:textId="77777777" w:rsidR="008F2A83" w:rsidRPr="00686FB4" w:rsidRDefault="008F2A83" w:rsidP="00FF51E8">
      <w:pPr>
        <w:spacing w:after="0" w:line="360" w:lineRule="auto"/>
        <w:jc w:val="both"/>
        <w:rPr>
          <w:rFonts w:ascii="Palatino Linotype" w:eastAsia="Palatino Linotype" w:hAnsi="Palatino Linotype" w:cs="Palatino Linotype"/>
          <w:i/>
        </w:rPr>
      </w:pPr>
    </w:p>
    <w:p w14:paraId="18D32FB2" w14:textId="77777777" w:rsidR="008F2A83" w:rsidRPr="00686FB4" w:rsidRDefault="008F2A83"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De la interpretación a esta definición se desprende que el currículum vitae está relacionado con la hoja de vida o carrera de vida de una persona, donde se podría apreciar la preparación académica y laboral que tiene, además de los méritos obtenidos tal y como podrían ser cursos, certificaciones o capacitaciones.</w:t>
      </w:r>
    </w:p>
    <w:p w14:paraId="78D99095" w14:textId="77777777" w:rsidR="008F2A83" w:rsidRPr="00686FB4" w:rsidRDefault="008F2A83" w:rsidP="00FF51E8">
      <w:pPr>
        <w:spacing w:after="0" w:line="360" w:lineRule="auto"/>
        <w:jc w:val="both"/>
        <w:rPr>
          <w:rFonts w:ascii="Palatino Linotype" w:eastAsia="Palatino Linotype" w:hAnsi="Palatino Linotype" w:cs="Palatino Linotype"/>
        </w:rPr>
      </w:pPr>
    </w:p>
    <w:p w14:paraId="2886173F" w14:textId="6023AE3D" w:rsidR="008F2A83" w:rsidRPr="00686FB4" w:rsidRDefault="008F2A83" w:rsidP="008A7C08">
      <w:pPr>
        <w:spacing w:after="0" w:line="360" w:lineRule="auto"/>
        <w:jc w:val="both"/>
        <w:rPr>
          <w:rFonts w:ascii="Palatino Linotype" w:eastAsia="Palatino Linotype" w:hAnsi="Palatino Linotype" w:cs="Palatino Linotype"/>
          <w:i/>
        </w:rPr>
      </w:pPr>
      <w:r w:rsidRPr="00686FB4">
        <w:rPr>
          <w:rFonts w:ascii="Palatino Linotype" w:eastAsia="Palatino Linotype" w:hAnsi="Palatino Linotype" w:cs="Palatino Linotype"/>
        </w:rPr>
        <w:t xml:space="preserve">Por su lado, la Real Academia Española, lo define como a continuación se cita: </w:t>
      </w:r>
      <w:r w:rsidRPr="00686FB4">
        <w:rPr>
          <w:rFonts w:ascii="Palatino Linotype" w:eastAsia="Palatino Linotype" w:hAnsi="Palatino Linotype" w:cs="Palatino Linotype"/>
          <w:i/>
        </w:rPr>
        <w:t>“Relación de los títulos, honores, cargos, trabajos realizados, datos biográficos, etc, que califican a una persona” (Sic)</w:t>
      </w:r>
    </w:p>
    <w:p w14:paraId="456AA4AB" w14:textId="77777777" w:rsidR="008F2A83" w:rsidRPr="00686FB4" w:rsidRDefault="008F2A83" w:rsidP="00FF51E8">
      <w:pPr>
        <w:spacing w:after="0" w:line="360" w:lineRule="auto"/>
        <w:jc w:val="both"/>
        <w:rPr>
          <w:rFonts w:ascii="Palatino Linotype" w:eastAsia="Palatino Linotype" w:hAnsi="Palatino Linotype" w:cs="Palatino Linotype"/>
        </w:rPr>
      </w:pPr>
    </w:p>
    <w:p w14:paraId="38DFD4FF" w14:textId="77777777" w:rsidR="008F2A83" w:rsidRPr="00686FB4" w:rsidRDefault="008F2A83"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De esta manera, el </w:t>
      </w:r>
      <w:r w:rsidRPr="00686FB4">
        <w:rPr>
          <w:rFonts w:ascii="Palatino Linotype" w:eastAsia="Palatino Linotype" w:hAnsi="Palatino Linotype" w:cs="Palatino Linotype"/>
          <w:i/>
        </w:rPr>
        <w:t>curriculum vitae</w:t>
      </w:r>
      <w:r w:rsidRPr="00686FB4">
        <w:rPr>
          <w:rFonts w:ascii="Palatino Linotype" w:eastAsia="Palatino Linotype" w:hAnsi="Palatino Linotype" w:cs="Palatino Linotype"/>
        </w:rPr>
        <w:t>, es el documento que las personas elaboran con los datos de identificación y contacto, preparación académica y experiencia profesional</w:t>
      </w:r>
      <w:r w:rsidRPr="00686FB4">
        <w:rPr>
          <w:rFonts w:ascii="Palatino Linotype" w:eastAsia="Palatino Linotype" w:hAnsi="Palatino Linotype" w:cs="Palatino Linotype"/>
          <w:b/>
        </w:rPr>
        <w:t>,</w:t>
      </w:r>
      <w:r w:rsidRPr="00686FB4">
        <w:rPr>
          <w:rFonts w:ascii="Palatino Linotype" w:eastAsia="Palatino Linotype" w:hAnsi="Palatino Linotype" w:cs="Palatino Linotype"/>
        </w:rPr>
        <w:t xml:space="preserve"> para presentarse ante un posible empleador. En este sentido, los documentos que dan cuenta de la preparación académica sirven como medios de identificación para que a su titular lo relacionen con el nivel de estudios con que cuenta y, por lo que hace al </w:t>
      </w:r>
      <w:r w:rsidRPr="00686FB4">
        <w:rPr>
          <w:rFonts w:ascii="Palatino Linotype" w:eastAsia="Palatino Linotype" w:hAnsi="Palatino Linotype" w:cs="Palatino Linotype"/>
          <w:i/>
        </w:rPr>
        <w:t>curriculum vitae</w:t>
      </w:r>
      <w:r w:rsidRPr="00686FB4">
        <w:rPr>
          <w:rFonts w:ascii="Palatino Linotype" w:eastAsia="Palatino Linotype" w:hAnsi="Palatino Linotype" w:cs="Palatino Linotype"/>
          <w:bCs/>
          <w:u w:val="single"/>
        </w:rPr>
        <w:t>, se le suma la experiencia laboral</w:t>
      </w:r>
      <w:r w:rsidRPr="00686FB4">
        <w:rPr>
          <w:rFonts w:ascii="Palatino Linotype" w:eastAsia="Palatino Linotype" w:hAnsi="Palatino Linotype" w:cs="Palatino Linotype"/>
          <w:bCs/>
        </w:rPr>
        <w:t xml:space="preserve"> </w:t>
      </w:r>
      <w:r w:rsidRPr="00686FB4">
        <w:rPr>
          <w:rFonts w:ascii="Palatino Linotype" w:eastAsia="Palatino Linotype" w:hAnsi="Palatino Linotype" w:cs="Palatino Linotype"/>
          <w:bCs/>
          <w:u w:val="single"/>
        </w:rPr>
        <w:t>pues permiten identificar el nivel y tipo de preparación de su titular y en su caso su perfil profesional o laboral.</w:t>
      </w:r>
    </w:p>
    <w:p w14:paraId="7DFB03C3" w14:textId="77777777" w:rsidR="008F2A83" w:rsidRPr="00686FB4" w:rsidRDefault="008F2A83" w:rsidP="00FF51E8">
      <w:pPr>
        <w:spacing w:after="0" w:line="360" w:lineRule="auto"/>
        <w:jc w:val="both"/>
        <w:rPr>
          <w:rFonts w:ascii="Palatino Linotype" w:eastAsia="Palatino Linotype" w:hAnsi="Palatino Linotype" w:cs="Palatino Linotype"/>
        </w:rPr>
      </w:pPr>
    </w:p>
    <w:p w14:paraId="21CC5AD6" w14:textId="77777777" w:rsidR="008F2A83" w:rsidRPr="00686FB4" w:rsidRDefault="008F2A83"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Desde esta perspectiva, a través del currículum vite la persona solicitante puede advertir los estudios realizados o bien el nivel académico, así como la experiencia laboral de los servidores públicos que se encuentran adscritos al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información que es de carácter público de conformidad con el criterio orientador 03/2009, emitido por el entonces Instituto Nacional de Transparencia Acceso a la Información Pública y Protección de Datos Personales (INAI), que establece que una de las formas en que los ciudadanos puedan evaluar las aptitudes de los servidores públicos para desempeñar el cargo público que les ha sido encomendado, </w:t>
      </w:r>
      <w:r w:rsidRPr="00686FB4">
        <w:rPr>
          <w:rFonts w:ascii="Palatino Linotype" w:eastAsia="Palatino Linotype" w:hAnsi="Palatino Linotype" w:cs="Palatino Linotype"/>
          <w:b/>
          <w:u w:val="single"/>
        </w:rPr>
        <w:t>es mediante la publicidad de ciertos datos contenidos en los currículos, o bien en las solicitudes de empleo,</w:t>
      </w:r>
      <w:r w:rsidRPr="00686FB4">
        <w:rPr>
          <w:rFonts w:ascii="Palatino Linotype" w:eastAsia="Palatino Linotype" w:hAnsi="Palatino Linotype" w:cs="Palatino Linotype"/>
        </w:rPr>
        <w:t xml:space="preserve"> el cual, para mayor ilustración se transcribe a continuación:</w:t>
      </w:r>
    </w:p>
    <w:p w14:paraId="37C5751F" w14:textId="77777777" w:rsidR="008F2A83" w:rsidRPr="00686FB4" w:rsidRDefault="008F2A83" w:rsidP="00FF51E8">
      <w:pPr>
        <w:spacing w:after="0" w:line="360" w:lineRule="auto"/>
        <w:jc w:val="both"/>
        <w:rPr>
          <w:rFonts w:ascii="Palatino Linotype" w:eastAsia="Palatino Linotype" w:hAnsi="Palatino Linotype" w:cs="Palatino Linotype"/>
        </w:rPr>
      </w:pPr>
    </w:p>
    <w:p w14:paraId="2D2AF4A3" w14:textId="53E039C5" w:rsidR="008F2A83" w:rsidRPr="00686FB4" w:rsidRDefault="008F2A83" w:rsidP="008A7C08">
      <w:pP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r w:rsidRPr="00686FB4">
        <w:rPr>
          <w:rFonts w:ascii="Palatino Linotype" w:eastAsia="Palatino Linotype" w:hAnsi="Palatino Linotype" w:cs="Palatino Linotype"/>
          <w:b/>
          <w:i/>
        </w:rPr>
        <w:t>Curriculum Vitae de servidores públicos.</w:t>
      </w:r>
      <w:r w:rsidRPr="00686FB4">
        <w:rPr>
          <w:rFonts w:ascii="Palatino Linotype" w:eastAsia="Palatino Linotype" w:hAnsi="Palatino Linotype" w:cs="Palatino Linotype"/>
          <w:i/>
        </w:rPr>
        <w:t xml:space="preserve"> Es obligación de los sujetos obligados otorgar acceso a versiones públicas de los mismos ante una solicitud de acceso. Uno de los objetivos de la Ley Federal de Transparencia y Acceso a la Información Pública Gubernamental, de acuerdo con su artículo 4, fracción IV, es favorecer la rendición de cuentas a las personas, de manera que puedan valorar el desempeño de los sujetos obligados. Si bien en el curriculum vitae se describe información de una persona relacionada con su formación académica, trayectoria profesional, datos de contacto, datos biográficos, entre otros, los cuales constituyen datos personales, de acuerdo con lo previsto en el artículo 3, fracción II de la Ley Federal de Transparencia y Acceso a la Información Pública Gubernamental, y en consecuencia, representan información confidencial, en términos de lo establecido en el artículo 18, fracción II de la Ley Federal de Transparencia y Acceso a la Información Pública Gubernamental, tratándose del curriculum vitae de un servidor público, una de las formas en que los ciudadanos pueden evaluar sus aptitudes para desempeñar el cargo público que le ha sido encomendado, es mediante la publicidad de ciertos datos de los ahí contenidos. En esa tesitura, entre los datos personales del curriculum vitae de un servidor público susceptibles de hacerse del conocimiento público, ante una solicitud de acceso, se encuentran los relativos a su trayectoria académica, profesional, laboral, así como todos aquellos que acrediten su capacidad, habilidades o pericia para ocupar el cargo público.” (Sic)</w:t>
      </w:r>
    </w:p>
    <w:p w14:paraId="63F7EAE7" w14:textId="77777777" w:rsidR="008F2A83" w:rsidRPr="00686FB4" w:rsidRDefault="008F2A83" w:rsidP="00FF51E8">
      <w:pPr>
        <w:spacing w:after="0"/>
        <w:jc w:val="both"/>
        <w:rPr>
          <w:rFonts w:ascii="Palatino Linotype" w:eastAsia="Palatino Linotype" w:hAnsi="Palatino Linotype" w:cs="Palatino Linotype"/>
          <w:i/>
        </w:rPr>
      </w:pPr>
    </w:p>
    <w:p w14:paraId="38FB8A04" w14:textId="77777777" w:rsidR="008F2A83" w:rsidRPr="00686FB4" w:rsidRDefault="008F2A83" w:rsidP="00FF51E8">
      <w:pPr>
        <w:spacing w:after="0" w:line="360" w:lineRule="auto"/>
        <w:jc w:val="both"/>
        <w:rPr>
          <w:rFonts w:ascii="Palatino Linotype" w:eastAsia="Palatino Linotype" w:hAnsi="Palatino Linotype" w:cs="Palatino Linotype"/>
          <w:b/>
        </w:rPr>
      </w:pPr>
      <w:r w:rsidRPr="00686FB4">
        <w:rPr>
          <w:rFonts w:ascii="Palatino Linotype" w:eastAsia="Palatino Linotype" w:hAnsi="Palatino Linotype" w:cs="Palatino Linotype"/>
        </w:rPr>
        <w:t xml:space="preserve">Del cual se advierte que si bien en el currículum vitae se describe información de una persona relacionada con su formación académica, trayectoria profesional y datos de contacto entre otros que pudieran constituir datos personales; tratándose de servidores públicos, el conocimiento de los mismos por los gobernados contribuye a la evaluación de sus aptitudes </w:t>
      </w:r>
      <w:r w:rsidRPr="00686FB4">
        <w:rPr>
          <w:rFonts w:ascii="Palatino Linotype" w:eastAsia="Palatino Linotype" w:hAnsi="Palatino Linotype" w:cs="Palatino Linotype"/>
          <w:b/>
        </w:rPr>
        <w:t>de acuerdo a su nivel profesional y laboral</w:t>
      </w:r>
      <w:r w:rsidRPr="00686FB4">
        <w:rPr>
          <w:rFonts w:ascii="Palatino Linotype" w:eastAsia="Palatino Linotype" w:hAnsi="Palatino Linotype" w:cs="Palatino Linotype"/>
        </w:rPr>
        <w:t xml:space="preserve">, para el desempeño de sus funciones en el cargo que ostenten, razón que resulta suficiente para que sean de conocimiento público </w:t>
      </w:r>
      <w:r w:rsidRPr="00686FB4">
        <w:rPr>
          <w:rFonts w:ascii="Palatino Linotype" w:eastAsia="Palatino Linotype" w:hAnsi="Palatino Linotype" w:cs="Palatino Linotype"/>
          <w:u w:val="single"/>
        </w:rPr>
        <w:t>y si bien es cierto que no existe disposición legal que ordene de manera expresa que el sujeto obligado, deba contar en sus archivos con un documento denominado “currículum vitae”</w:t>
      </w:r>
      <w:r w:rsidRPr="00686FB4">
        <w:rPr>
          <w:rFonts w:ascii="Palatino Linotype" w:eastAsia="Palatino Linotype" w:hAnsi="Palatino Linotype" w:cs="Palatino Linotype"/>
        </w:rPr>
        <w:t xml:space="preserve"> de sus servidores públicos, </w:t>
      </w:r>
      <w:r w:rsidRPr="00686FB4">
        <w:rPr>
          <w:rFonts w:ascii="Palatino Linotype" w:eastAsia="Palatino Linotype" w:hAnsi="Palatino Linotype" w:cs="Palatino Linotype"/>
          <w:b/>
        </w:rPr>
        <w:t>también lo es que para el desempeño de un empleo, cargo o comisión en el servicio público sí es requisito, entre otros, presentar una solicitud del empleo, como se desprende del artículo 47 fracción I de la Ley del Trabajo para los Servidores Públicos del Estado y Municipios, a saber:</w:t>
      </w:r>
    </w:p>
    <w:p w14:paraId="24EA9D16" w14:textId="77777777" w:rsidR="008F2A83" w:rsidRPr="00686FB4" w:rsidRDefault="008F2A83" w:rsidP="00FF51E8">
      <w:pPr>
        <w:spacing w:after="0" w:line="360" w:lineRule="auto"/>
        <w:jc w:val="both"/>
        <w:rPr>
          <w:rFonts w:ascii="Palatino Linotype" w:eastAsia="Palatino Linotype" w:hAnsi="Palatino Linotype" w:cs="Palatino Linotype"/>
          <w:b/>
        </w:rPr>
      </w:pPr>
    </w:p>
    <w:p w14:paraId="57992278" w14:textId="77777777" w:rsidR="008F2A83" w:rsidRPr="00686FB4" w:rsidRDefault="008F2A83" w:rsidP="008A7C08">
      <w:pP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 xml:space="preserve">“ARTÍCULO 47. Para ingresar al servicio público se requiere: </w:t>
      </w:r>
    </w:p>
    <w:p w14:paraId="28CC2864" w14:textId="77777777" w:rsidR="008F2A83" w:rsidRPr="00686FB4" w:rsidRDefault="008F2A83" w:rsidP="008A7C08">
      <w:pP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I. Presentar una solicitud utilizando la forma oficial que se autorice por la institución pública o dependencia correspondiente, a la cual se le prohíbe incluir la fotografía de quien solicita el empleo;[…]”</w:t>
      </w:r>
    </w:p>
    <w:p w14:paraId="3B365327" w14:textId="77777777" w:rsidR="008F2A83" w:rsidRPr="00686FB4" w:rsidRDefault="008F2A83" w:rsidP="00FF51E8">
      <w:pPr>
        <w:spacing w:after="0" w:line="360" w:lineRule="auto"/>
        <w:jc w:val="both"/>
        <w:rPr>
          <w:rFonts w:ascii="Palatino Linotype" w:eastAsia="Palatino Linotype" w:hAnsi="Palatino Linotype" w:cs="Palatino Linotype"/>
        </w:rPr>
      </w:pPr>
    </w:p>
    <w:p w14:paraId="2E20DC4E" w14:textId="77777777" w:rsidR="008F2A83" w:rsidRPr="00686FB4" w:rsidRDefault="008F2A83"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bCs/>
        </w:rPr>
        <w:t xml:space="preserve">Por lo que es posible determinar que, </w:t>
      </w:r>
      <w:r w:rsidRPr="00686FB4">
        <w:rPr>
          <w:rFonts w:ascii="Palatino Linotype" w:eastAsia="Palatino Linotype" w:hAnsi="Palatino Linotype" w:cs="Palatino Linotype"/>
          <w:b/>
        </w:rPr>
        <w:t xml:space="preserve">el </w:t>
      </w:r>
      <w:r w:rsidRPr="00686FB4">
        <w:rPr>
          <w:rFonts w:ascii="Palatino Linotype" w:eastAsia="Palatino Linotype" w:hAnsi="Palatino Linotype" w:cs="Palatino Linotype"/>
          <w:b/>
          <w:i/>
          <w:iCs/>
        </w:rPr>
        <w:t>currículum vítae, ficha curricular, solicitud de empleo o documento análogo</w:t>
      </w:r>
      <w:r w:rsidRPr="00686FB4">
        <w:rPr>
          <w:rFonts w:ascii="Palatino Linotype" w:eastAsia="Palatino Linotype" w:hAnsi="Palatino Linotype" w:cs="Palatino Linotype"/>
          <w:b/>
        </w:rPr>
        <w:t xml:space="preserve">, </w:t>
      </w:r>
      <w:r w:rsidRPr="00686FB4">
        <w:rPr>
          <w:rFonts w:ascii="Palatino Linotype" w:eastAsia="Palatino Linotype" w:hAnsi="Palatino Linotype" w:cs="Palatino Linotype"/>
          <w:bCs/>
        </w:rPr>
        <w:t>contienen información relacionada con la trayectoria académica, profesional y laboral,</w:t>
      </w:r>
      <w:r w:rsidRPr="00686FB4">
        <w:rPr>
          <w:rFonts w:ascii="Palatino Linotype" w:eastAsia="Palatino Linotype" w:hAnsi="Palatino Linotype" w:cs="Palatino Linotype"/>
        </w:rPr>
        <w:t xml:space="preserve"> por medio del cual se acredita la capacidad, habilidades, experiencia o pericia de una persona para ocupar un cargo, puesto o comisión, que permitan realizar una comparación de las actividades que ha realizado con las que habrá de desarrollar, y determinar si cumple con el perfil del cargo a ocupar.</w:t>
      </w:r>
    </w:p>
    <w:p w14:paraId="3DB06DB5" w14:textId="77777777" w:rsidR="008F2A83" w:rsidRPr="00686FB4" w:rsidRDefault="008F2A83" w:rsidP="00FF51E8">
      <w:pPr>
        <w:spacing w:after="0" w:line="360" w:lineRule="auto"/>
        <w:jc w:val="both"/>
        <w:rPr>
          <w:rFonts w:ascii="Palatino Linotype" w:eastAsia="Palatino Linotype" w:hAnsi="Palatino Linotype" w:cs="Palatino Linotype"/>
        </w:rPr>
      </w:pPr>
    </w:p>
    <w:p w14:paraId="346D9CA2" w14:textId="77777777" w:rsidR="008F2A83" w:rsidRPr="00686FB4" w:rsidRDefault="008F2A83"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En esa tesitura, debe apuntarse que la información curricular constituye una obligación de transparencia, pues </w:t>
      </w:r>
      <w:r w:rsidRPr="00686FB4">
        <w:rPr>
          <w:rFonts w:ascii="Palatino Linotype" w:eastAsia="Palatino Linotype" w:hAnsi="Palatino Linotype" w:cs="Palatino Linotype"/>
          <w:b/>
        </w:rPr>
        <w:t>el Sujeto Obligado</w:t>
      </w:r>
      <w:r w:rsidRPr="00686FB4">
        <w:rPr>
          <w:rFonts w:ascii="Palatino Linotype" w:eastAsia="Palatino Linotype" w:hAnsi="Palatino Linotype" w:cs="Palatino Linotype"/>
        </w:rPr>
        <w:t xml:space="preserve"> se encuentra constreñido a poner a disposición del público en su portal de Información Pública de Oficio Mexiquense (IPOMEX), la información curricular de sus servidores públicos, ello con la finalidad de enaltecer los principios de máxima publicidad, transparencia y certeza, como lo estipula  el artículo 92, fracción XXI de la ley aplicable a la materia, que es del tenor literal siguiente: </w:t>
      </w:r>
    </w:p>
    <w:p w14:paraId="755A4B90" w14:textId="77777777" w:rsidR="008F2A83" w:rsidRPr="00686FB4" w:rsidRDefault="008F2A83" w:rsidP="008A7C08">
      <w:pP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 xml:space="preserve"> “</w:t>
      </w:r>
      <w:r w:rsidRPr="00686FB4">
        <w:rPr>
          <w:rFonts w:ascii="Palatino Linotype" w:eastAsia="Palatino Linotype" w:hAnsi="Palatino Linotype" w:cs="Palatino Linotype"/>
          <w:b/>
          <w:bCs/>
          <w:i/>
        </w:rPr>
        <w:t>Artículo 92.</w:t>
      </w:r>
      <w:r w:rsidRPr="00686FB4">
        <w:rPr>
          <w:rFonts w:ascii="Palatino Linotype" w:eastAsia="Palatino Linotype" w:hAnsi="Palatino Linotype" w:cs="Palatino Linotype"/>
          <w:i/>
        </w:rPr>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14:paraId="2411D3D1" w14:textId="77777777" w:rsidR="008F2A83" w:rsidRPr="00686FB4" w:rsidRDefault="008F2A83" w:rsidP="008A7C08">
      <w:pP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p>
    <w:p w14:paraId="5AF7C02E" w14:textId="77777777" w:rsidR="008F2A83" w:rsidRPr="00686FB4" w:rsidRDefault="008F2A83" w:rsidP="008A7C08">
      <w:pP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bCs/>
          <w:i/>
        </w:rPr>
        <w:t>XXI. La información curricular</w:t>
      </w:r>
      <w:r w:rsidRPr="00686FB4">
        <w:rPr>
          <w:rFonts w:ascii="Palatino Linotype" w:eastAsia="Palatino Linotype" w:hAnsi="Palatino Linotype" w:cs="Palatino Linotype"/>
          <w:i/>
        </w:rPr>
        <w:t>, desde el nivel de jefe de departamento o equivalente, hasta el titular del sujeto obligado, así como, en su caso, las sanciones administrativas de que haya sido objeto;”</w:t>
      </w:r>
    </w:p>
    <w:p w14:paraId="6D949AF2" w14:textId="77777777" w:rsidR="008F2A83" w:rsidRPr="00686FB4" w:rsidRDefault="008F2A83" w:rsidP="00FF51E8">
      <w:pPr>
        <w:spacing w:after="0" w:line="360" w:lineRule="auto"/>
        <w:ind w:right="49"/>
        <w:jc w:val="both"/>
        <w:rPr>
          <w:rFonts w:ascii="Palatino Linotype" w:eastAsia="Palatino Linotype" w:hAnsi="Palatino Linotype" w:cs="Palatino Linotype"/>
        </w:rPr>
      </w:pPr>
    </w:p>
    <w:p w14:paraId="790927E0" w14:textId="77777777" w:rsidR="008F2A83" w:rsidRPr="00686FB4" w:rsidRDefault="008F2A83" w:rsidP="00FF51E8">
      <w:pPr>
        <w:spacing w:after="0" w:line="360" w:lineRule="auto"/>
        <w:jc w:val="both"/>
        <w:rPr>
          <w:rFonts w:ascii="Palatino Linotype" w:eastAsia="Palatino Linotype" w:hAnsi="Palatino Linotype" w:cs="Palatino Linotype"/>
          <w:b/>
        </w:rPr>
      </w:pPr>
      <w:r w:rsidRPr="00686FB4">
        <w:rPr>
          <w:rFonts w:ascii="Palatino Linotype" w:eastAsia="Palatino Linotype" w:hAnsi="Palatino Linotype" w:cs="Palatino Linotype"/>
        </w:rPr>
        <w:t xml:space="preserve">En ese contexto, según Islas, Jorge (2016), en la “Ley General de Transparencia y Acceso a la Información Pública Comentada” (p. 244), refirió que el </w:t>
      </w:r>
      <w:r w:rsidRPr="00686FB4">
        <w:rPr>
          <w:rFonts w:ascii="Palatino Linotype" w:eastAsia="Palatino Linotype" w:hAnsi="Palatino Linotype" w:cs="Palatino Linotype"/>
          <w:b/>
          <w:i/>
        </w:rPr>
        <w:t>curriculum vitae</w:t>
      </w:r>
      <w:r w:rsidRPr="00686FB4">
        <w:rPr>
          <w:rFonts w:ascii="Palatino Linotype" w:eastAsia="Palatino Linotype" w:hAnsi="Palatino Linotype" w:cs="Palatino Linotype"/>
          <w:b/>
        </w:rPr>
        <w:t xml:space="preserve"> </w:t>
      </w:r>
      <w:r w:rsidRPr="00686FB4">
        <w:rPr>
          <w:rFonts w:ascii="Palatino Linotype" w:eastAsia="Palatino Linotype" w:hAnsi="Palatino Linotype" w:cs="Palatino Linotype"/>
        </w:rPr>
        <w:t>d</w:t>
      </w:r>
      <w:r w:rsidRPr="00686FB4">
        <w:rPr>
          <w:rFonts w:ascii="Palatino Linotype" w:eastAsia="Palatino Linotype" w:hAnsi="Palatino Linotype" w:cs="Palatino Linotype"/>
          <w:b/>
        </w:rPr>
        <w:t>e un servidor público, justifica que su formación académica resulta viable para el desempeño eficiente y correcto de su encargo; lo anterior, con el fin de acreditar que dichos trabajadores sean los más capacitados acordes al área solicitada.</w:t>
      </w:r>
    </w:p>
    <w:p w14:paraId="6F4BC737" w14:textId="77777777" w:rsidR="008F2A83" w:rsidRPr="00686FB4" w:rsidRDefault="008F2A83" w:rsidP="00FF51E8">
      <w:pPr>
        <w:spacing w:after="0" w:line="360" w:lineRule="auto"/>
        <w:jc w:val="both"/>
        <w:rPr>
          <w:rFonts w:ascii="Palatino Linotype" w:eastAsia="Palatino Linotype" w:hAnsi="Palatino Linotype" w:cs="Palatino Linotype"/>
        </w:rPr>
      </w:pPr>
    </w:p>
    <w:p w14:paraId="59C0AAF0" w14:textId="522197A2" w:rsidR="0030123D" w:rsidRPr="00686FB4" w:rsidRDefault="008F2A83"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Conforme lo anterior, si bien en informe justificado el </w:t>
      </w:r>
      <w:r w:rsidRPr="00686FB4">
        <w:rPr>
          <w:rFonts w:ascii="Palatino Linotype" w:eastAsia="Palatino Linotype" w:hAnsi="Palatino Linotype" w:cs="Palatino Linotype"/>
          <w:b/>
        </w:rPr>
        <w:t xml:space="preserve">Sujeto Obligado </w:t>
      </w:r>
      <w:r w:rsidRPr="00686FB4">
        <w:rPr>
          <w:rFonts w:ascii="Palatino Linotype" w:eastAsia="Palatino Linotype" w:hAnsi="Palatino Linotype" w:cs="Palatino Linotype"/>
        </w:rPr>
        <w:t>proporcionó en versión pública el curr</w:t>
      </w:r>
      <w:r w:rsidR="00EB41FD" w:rsidRPr="00686FB4">
        <w:rPr>
          <w:rFonts w:ascii="Palatino Linotype" w:eastAsia="Palatino Linotype" w:hAnsi="Palatino Linotype" w:cs="Palatino Linotype"/>
        </w:rPr>
        <w:t>í</w:t>
      </w:r>
      <w:r w:rsidRPr="00686FB4">
        <w:rPr>
          <w:rFonts w:ascii="Palatino Linotype" w:eastAsia="Palatino Linotype" w:hAnsi="Palatino Linotype" w:cs="Palatino Linotype"/>
        </w:rPr>
        <w:t>culum vitae de</w:t>
      </w:r>
      <w:r w:rsidR="008A7C08" w:rsidRPr="00686FB4">
        <w:rPr>
          <w:rFonts w:ascii="Palatino Linotype" w:eastAsia="Palatino Linotype" w:hAnsi="Palatino Linotype" w:cs="Palatino Linotype"/>
        </w:rPr>
        <w:t xml:space="preserve"> los</w:t>
      </w:r>
      <w:r w:rsidR="00EB41FD" w:rsidRPr="00686FB4">
        <w:rPr>
          <w:rFonts w:ascii="Palatino Linotype" w:eastAsia="Palatino Linotype" w:hAnsi="Palatino Linotype" w:cs="Palatino Linotype"/>
        </w:rPr>
        <w:t xml:space="preserve"> servidores públicos adscritos a la Coordinación de Catastro</w:t>
      </w:r>
      <w:r w:rsidRPr="00686FB4">
        <w:rPr>
          <w:rFonts w:ascii="Palatino Linotype" w:eastAsia="Palatino Linotype" w:hAnsi="Palatino Linotype" w:cs="Palatino Linotype"/>
        </w:rPr>
        <w:t>, e</w:t>
      </w:r>
      <w:r w:rsidR="00EB41FD" w:rsidRPr="00686FB4">
        <w:rPr>
          <w:rFonts w:ascii="Palatino Linotype" w:eastAsia="Palatino Linotype" w:hAnsi="Palatino Linotype" w:cs="Palatino Linotype"/>
        </w:rPr>
        <w:t xml:space="preserve">stos no </w:t>
      </w:r>
      <w:r w:rsidRPr="00686FB4">
        <w:rPr>
          <w:rFonts w:ascii="Palatino Linotype" w:eastAsia="Palatino Linotype" w:hAnsi="Palatino Linotype" w:cs="Palatino Linotype"/>
        </w:rPr>
        <w:t>se</w:t>
      </w:r>
      <w:r w:rsidR="008A7C08" w:rsidRPr="00686FB4">
        <w:rPr>
          <w:rFonts w:ascii="Palatino Linotype" w:eastAsia="Palatino Linotype" w:hAnsi="Palatino Linotype" w:cs="Palatino Linotype"/>
        </w:rPr>
        <w:t xml:space="preserve"> hicieron del conocimiento de </w:t>
      </w:r>
      <w:r w:rsidR="00EB41FD" w:rsidRPr="00686FB4">
        <w:rPr>
          <w:rFonts w:ascii="Palatino Linotype" w:eastAsia="Palatino Linotype" w:hAnsi="Palatino Linotype" w:cs="Palatino Linotype"/>
        </w:rPr>
        <w:t xml:space="preserve">la parte </w:t>
      </w:r>
      <w:r w:rsidR="00EB41FD" w:rsidRPr="00686FB4">
        <w:rPr>
          <w:rFonts w:ascii="Palatino Linotype" w:eastAsia="Palatino Linotype" w:hAnsi="Palatino Linotype" w:cs="Palatino Linotype"/>
          <w:b/>
          <w:bCs/>
        </w:rPr>
        <w:t>Recurrente</w:t>
      </w:r>
      <w:r w:rsidR="00EB41FD" w:rsidRPr="00686FB4">
        <w:rPr>
          <w:rFonts w:ascii="Palatino Linotype" w:eastAsia="Palatino Linotype" w:hAnsi="Palatino Linotype" w:cs="Palatino Linotype"/>
        </w:rPr>
        <w:t xml:space="preserve">, por dejar a la vista </w:t>
      </w:r>
      <w:r w:rsidRPr="00686FB4">
        <w:rPr>
          <w:rFonts w:ascii="Palatino Linotype" w:eastAsia="Palatino Linotype" w:hAnsi="Palatino Linotype" w:cs="Palatino Linotype"/>
        </w:rPr>
        <w:t>un dato personal confidencial</w:t>
      </w:r>
      <w:r w:rsidR="00EB41FD" w:rsidRPr="00686FB4">
        <w:rPr>
          <w:rFonts w:ascii="Palatino Linotype" w:eastAsia="Palatino Linotype" w:hAnsi="Palatino Linotype" w:cs="Palatino Linotype"/>
        </w:rPr>
        <w:t xml:space="preserve">, como </w:t>
      </w:r>
      <w:r w:rsidR="008A7C08" w:rsidRPr="00686FB4">
        <w:rPr>
          <w:rFonts w:ascii="Palatino Linotype" w:eastAsia="Palatino Linotype" w:hAnsi="Palatino Linotype" w:cs="Palatino Linotype"/>
        </w:rPr>
        <w:t xml:space="preserve">lo son </w:t>
      </w:r>
      <w:r w:rsidR="00EB41FD" w:rsidRPr="00686FB4">
        <w:rPr>
          <w:rFonts w:ascii="Palatino Linotype" w:eastAsia="Palatino Linotype" w:hAnsi="Palatino Linotype" w:cs="Palatino Linotype"/>
        </w:rPr>
        <w:t>telefónicos particulares</w:t>
      </w:r>
      <w:r w:rsidR="0030123D" w:rsidRPr="00686FB4">
        <w:rPr>
          <w:rFonts w:ascii="Palatino Linotype" w:eastAsia="Palatino Linotype" w:hAnsi="Palatino Linotype" w:cs="Palatino Linotype"/>
        </w:rPr>
        <w:t>, en atención a que el número asignado a un teléfono particular o celular permite localizar a una persona física identificada o identificable, ya sea a través de un dispositivo móvil o bien, en un lugar como el domicilio. En ese sentido, es necesario señalar que estos datos pertenecen a los servidores públicos y las referencias personales y familiares, en su carácter de particulares, al ser proporcionado como número contacto; por lo que, la titularidad del mismo corresponde a la persona física en su calidad de particular. En tales consideraciones, dicho dato personal es susceptible de ser clasificado como confidencial, con fundamento en el artículo 143, fracción I, de la Ley de Transparencia y Acceso a la Información Pública.</w:t>
      </w:r>
    </w:p>
    <w:p w14:paraId="6E18D1A2" w14:textId="77777777" w:rsidR="008A7C08" w:rsidRPr="00686FB4" w:rsidRDefault="008A7C08" w:rsidP="00FF51E8">
      <w:pPr>
        <w:spacing w:after="0" w:line="360" w:lineRule="auto"/>
        <w:ind w:right="49"/>
        <w:jc w:val="both"/>
        <w:rPr>
          <w:rFonts w:ascii="Palatino Linotype" w:eastAsia="Palatino Linotype" w:hAnsi="Palatino Linotype" w:cs="Palatino Linotype"/>
        </w:rPr>
      </w:pPr>
    </w:p>
    <w:p w14:paraId="78347E4E" w14:textId="7D9F6D96" w:rsidR="008F2A83" w:rsidRPr="00686FB4" w:rsidRDefault="008F2A83" w:rsidP="00FF51E8">
      <w:pPr>
        <w:spacing w:after="0" w:line="360" w:lineRule="auto"/>
        <w:ind w:right="49"/>
        <w:jc w:val="both"/>
        <w:rPr>
          <w:rFonts w:ascii="Palatino Linotype" w:eastAsia="Palatino Linotype" w:hAnsi="Palatino Linotype" w:cs="Palatino Linotype"/>
          <w:bCs/>
        </w:rPr>
      </w:pPr>
      <w:r w:rsidRPr="00686FB4">
        <w:rPr>
          <w:rFonts w:ascii="Palatino Linotype" w:eastAsia="Palatino Linotype" w:hAnsi="Palatino Linotype" w:cs="Palatino Linotype"/>
        </w:rPr>
        <w:t xml:space="preserve">Máxime </w:t>
      </w:r>
      <w:r w:rsidR="0009544F" w:rsidRPr="00686FB4">
        <w:rPr>
          <w:rFonts w:ascii="Palatino Linotype" w:eastAsia="Palatino Linotype" w:hAnsi="Palatino Linotype" w:cs="Palatino Linotype"/>
        </w:rPr>
        <w:t>que,</w:t>
      </w:r>
      <w:r w:rsidRPr="00686FB4">
        <w:rPr>
          <w:rFonts w:ascii="Palatino Linotype" w:eastAsia="Palatino Linotype" w:hAnsi="Palatino Linotype" w:cs="Palatino Linotype"/>
        </w:rPr>
        <w:t xml:space="preserve"> en el caso del análisis a</w:t>
      </w:r>
      <w:r w:rsidR="0030123D" w:rsidRPr="00686FB4">
        <w:rPr>
          <w:rFonts w:ascii="Palatino Linotype" w:eastAsia="Palatino Linotype" w:hAnsi="Palatino Linotype" w:cs="Palatino Linotype"/>
        </w:rPr>
        <w:t xml:space="preserve"> los </w:t>
      </w:r>
      <w:r w:rsidRPr="00686FB4">
        <w:rPr>
          <w:rFonts w:ascii="Palatino Linotype" w:eastAsia="Palatino Linotype" w:hAnsi="Palatino Linotype" w:cs="Palatino Linotype"/>
        </w:rPr>
        <w:t>curr</w:t>
      </w:r>
      <w:r w:rsidR="0030123D" w:rsidRPr="00686FB4">
        <w:rPr>
          <w:rFonts w:ascii="Palatino Linotype" w:eastAsia="Palatino Linotype" w:hAnsi="Palatino Linotype" w:cs="Palatino Linotype"/>
        </w:rPr>
        <w:t>í</w:t>
      </w:r>
      <w:r w:rsidRPr="00686FB4">
        <w:rPr>
          <w:rFonts w:ascii="Palatino Linotype" w:eastAsia="Palatino Linotype" w:hAnsi="Palatino Linotype" w:cs="Palatino Linotype"/>
        </w:rPr>
        <w:t>culum</w:t>
      </w:r>
      <w:r w:rsidR="0030123D" w:rsidRPr="00686FB4">
        <w:rPr>
          <w:rFonts w:ascii="Palatino Linotype" w:eastAsia="Palatino Linotype" w:hAnsi="Palatino Linotype" w:cs="Palatino Linotype"/>
        </w:rPr>
        <w:t>s</w:t>
      </w:r>
      <w:r w:rsidRPr="00686FB4">
        <w:rPr>
          <w:rFonts w:ascii="Palatino Linotype" w:eastAsia="Palatino Linotype" w:hAnsi="Palatino Linotype" w:cs="Palatino Linotype"/>
        </w:rPr>
        <w:t xml:space="preserve"> vitae se advierte que de</w:t>
      </w:r>
      <w:r w:rsidR="0030123D" w:rsidRPr="00686FB4">
        <w:rPr>
          <w:rFonts w:ascii="Palatino Linotype" w:eastAsia="Palatino Linotype" w:hAnsi="Palatino Linotype" w:cs="Palatino Linotype"/>
        </w:rPr>
        <w:t xml:space="preserve"> los</w:t>
      </w:r>
      <w:r w:rsidRPr="00686FB4">
        <w:rPr>
          <w:rFonts w:ascii="Palatino Linotype" w:eastAsia="Palatino Linotype" w:hAnsi="Palatino Linotype" w:cs="Palatino Linotype"/>
        </w:rPr>
        <w:t xml:space="preserve"> mismo</w:t>
      </w:r>
      <w:r w:rsidR="0030123D" w:rsidRPr="00686FB4">
        <w:rPr>
          <w:rFonts w:ascii="Palatino Linotype" w:eastAsia="Palatino Linotype" w:hAnsi="Palatino Linotype" w:cs="Palatino Linotype"/>
        </w:rPr>
        <w:t>s</w:t>
      </w:r>
      <w:r w:rsidRPr="00686FB4">
        <w:rPr>
          <w:rFonts w:ascii="Palatino Linotype" w:eastAsia="Palatino Linotype" w:hAnsi="Palatino Linotype" w:cs="Palatino Linotype"/>
        </w:rPr>
        <w:t xml:space="preserve"> no se puede determinar si su versión pública se elaboró de manera correcta en razón de que se desconoce los datos que fueron testados, aunado a que el ente obligado fue omiso en proporcionar el Acuerdo del Comité de Transparencia que funde y motive los datos que fueron clasificados.</w:t>
      </w:r>
      <w:r w:rsidR="008A7C08"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rPr>
        <w:t xml:space="preserve">De ahí </w:t>
      </w:r>
      <w:r w:rsidR="0009544F" w:rsidRPr="00686FB4">
        <w:rPr>
          <w:rFonts w:ascii="Palatino Linotype" w:eastAsia="Palatino Linotype" w:hAnsi="Palatino Linotype" w:cs="Palatino Linotype"/>
        </w:rPr>
        <w:t>que,</w:t>
      </w:r>
      <w:r w:rsidRPr="00686FB4">
        <w:rPr>
          <w:rFonts w:ascii="Palatino Linotype" w:eastAsia="Palatino Linotype" w:hAnsi="Palatino Linotype" w:cs="Palatino Linotype"/>
        </w:rPr>
        <w:t xml:space="preserve"> en cumplimiento a la presente, se deberá hacer entrega, de ser procedente en versión pública, el curr</w:t>
      </w:r>
      <w:r w:rsidR="0030123D" w:rsidRPr="00686FB4">
        <w:rPr>
          <w:rFonts w:ascii="Palatino Linotype" w:eastAsia="Palatino Linotype" w:hAnsi="Palatino Linotype" w:cs="Palatino Linotype"/>
        </w:rPr>
        <w:t>í</w:t>
      </w:r>
      <w:r w:rsidRPr="00686FB4">
        <w:rPr>
          <w:rFonts w:ascii="Palatino Linotype" w:eastAsia="Palatino Linotype" w:hAnsi="Palatino Linotype" w:cs="Palatino Linotype"/>
        </w:rPr>
        <w:t>culum vitae d</w:t>
      </w:r>
      <w:r w:rsidR="0030123D" w:rsidRPr="00686FB4">
        <w:rPr>
          <w:rFonts w:ascii="Palatino Linotype" w:eastAsia="Palatino Linotype" w:hAnsi="Palatino Linotype" w:cs="Palatino Linotype"/>
        </w:rPr>
        <w:t>e los servidores público</w:t>
      </w:r>
      <w:r w:rsidR="0009544F" w:rsidRPr="00686FB4">
        <w:rPr>
          <w:rFonts w:ascii="Palatino Linotype" w:eastAsia="Palatino Linotype" w:hAnsi="Palatino Linotype" w:cs="Palatino Linotype"/>
        </w:rPr>
        <w:t>s</w:t>
      </w:r>
      <w:r w:rsidR="0030123D" w:rsidRPr="00686FB4">
        <w:rPr>
          <w:rFonts w:ascii="Palatino Linotype" w:eastAsia="Palatino Linotype" w:hAnsi="Palatino Linotype" w:cs="Palatino Linotype"/>
        </w:rPr>
        <w:t xml:space="preserve"> adscritos a la Coordinación de Catastro, </w:t>
      </w:r>
      <w:r w:rsidRPr="00686FB4">
        <w:rPr>
          <w:rFonts w:ascii="Palatino Linotype" w:eastAsia="Palatino Linotype" w:hAnsi="Palatino Linotype" w:cs="Palatino Linotype"/>
        </w:rPr>
        <w:t>remitido</w:t>
      </w:r>
      <w:r w:rsidR="0030123D" w:rsidRPr="00686FB4">
        <w:rPr>
          <w:rFonts w:ascii="Palatino Linotype" w:eastAsia="Palatino Linotype" w:hAnsi="Palatino Linotype" w:cs="Palatino Linotype"/>
        </w:rPr>
        <w:t>s</w:t>
      </w:r>
      <w:r w:rsidRPr="00686FB4">
        <w:rPr>
          <w:rFonts w:ascii="Palatino Linotype" w:eastAsia="Palatino Linotype" w:hAnsi="Palatino Linotype" w:cs="Palatino Linotype"/>
        </w:rPr>
        <w:t xml:space="preserve"> en informe justificado, y el acuerdo del Comité</w:t>
      </w:r>
      <w:r w:rsidRPr="00686FB4">
        <w:rPr>
          <w:rFonts w:ascii="Palatino Linotype" w:eastAsia="Palatino Linotype" w:hAnsi="Palatino Linotype" w:cs="Palatino Linotype"/>
          <w:bCs/>
        </w:rPr>
        <w:t xml:space="preserve"> de Transparencia que sustente su versión pública.</w:t>
      </w:r>
    </w:p>
    <w:p w14:paraId="2EA68543" w14:textId="77777777" w:rsidR="00C00C9F" w:rsidRPr="00686FB4" w:rsidRDefault="00C00C9F" w:rsidP="00FF51E8">
      <w:pPr>
        <w:spacing w:after="0" w:line="360" w:lineRule="auto"/>
        <w:ind w:right="49"/>
        <w:jc w:val="both"/>
        <w:rPr>
          <w:rFonts w:ascii="Palatino Linotype" w:eastAsia="Palatino Linotype" w:hAnsi="Palatino Linotype" w:cs="Palatino Linotype"/>
        </w:rPr>
      </w:pPr>
    </w:p>
    <w:p w14:paraId="533B4F0F" w14:textId="11D56309"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Referente a </w:t>
      </w:r>
      <w:r w:rsidR="003338E6" w:rsidRPr="00686FB4">
        <w:rPr>
          <w:rFonts w:ascii="Palatino Linotype" w:eastAsia="Palatino Linotype" w:hAnsi="Palatino Linotype" w:cs="Palatino Linotype"/>
          <w:lang w:val="es-ES"/>
        </w:rPr>
        <w:t xml:space="preserve">la </w:t>
      </w:r>
      <w:r w:rsidR="003338E6" w:rsidRPr="00686FB4">
        <w:rPr>
          <w:rFonts w:ascii="Palatino Linotype" w:eastAsia="Palatino Linotype" w:hAnsi="Palatino Linotype" w:cs="Palatino Linotype"/>
          <w:b/>
          <w:bCs/>
          <w:i/>
          <w:iCs/>
          <w:lang w:val="es-ES"/>
        </w:rPr>
        <w:t>nómina del personal de la Coordinación de Catastro</w:t>
      </w:r>
      <w:r w:rsidRPr="00686FB4">
        <w:rPr>
          <w:rFonts w:ascii="Palatino Linotype" w:eastAsia="Palatino Linotype" w:hAnsi="Palatino Linotype" w:cs="Palatino Linotype"/>
          <w:lang w:val="es-ES"/>
        </w:rPr>
        <w:t>, se procede al análisis de la naturaleza de la información solicitada, para lo cual conviene precisar que si bien el término “</w:t>
      </w:r>
      <w:r w:rsidRPr="00686FB4">
        <w:rPr>
          <w:rFonts w:ascii="Palatino Linotype" w:eastAsia="Palatino Linotype" w:hAnsi="Palatino Linotype" w:cs="Palatino Linotype"/>
          <w:i/>
          <w:lang w:val="es-ES"/>
        </w:rPr>
        <w:t xml:space="preserve">nómina” </w:t>
      </w:r>
      <w:r w:rsidRPr="00686FB4">
        <w:rPr>
          <w:rFonts w:ascii="Palatino Linotype" w:eastAsia="Palatino Linotype" w:hAnsi="Palatino Linotype" w:cs="Palatino Linotype"/>
          <w:lang w:val="es-ES"/>
        </w:rPr>
        <w:t xml:space="preserve">no está definido en nuestra legislación, también lo es que el “Glosario de Términos para el Proceso de Planeación, Programación, Presupuestación y Evaluación en la Administración Pública”, elaborado por el Grupo de Trabajo de Sistemas de Información Financiera, Contable y Presupuestal de la Comisión Permanente de Funcionarios Fiscales del Instituto para el Desarrollo Técnico de las Haciendas Públicas (INDETEC), la definen como el </w:t>
      </w:r>
      <w:r w:rsidRPr="00686FB4">
        <w:rPr>
          <w:rFonts w:ascii="Palatino Linotype" w:eastAsia="Palatino Linotype" w:hAnsi="Palatino Linotype" w:cs="Palatino Linotype"/>
          <w:i/>
          <w:lang w:val="es-ES"/>
        </w:rPr>
        <w:t>listado general de los trabajadores de una institución, en</w:t>
      </w:r>
      <w:r w:rsidRPr="00686FB4">
        <w:rPr>
          <w:rFonts w:ascii="Palatino Linotype" w:eastAsia="Palatino Linotype" w:hAnsi="Palatino Linotype" w:cs="Palatino Linotype"/>
          <w:b/>
          <w:i/>
          <w:lang w:val="es-ES"/>
        </w:rPr>
        <w:t xml:space="preserve"> </w:t>
      </w:r>
      <w:r w:rsidRPr="00686FB4">
        <w:rPr>
          <w:rFonts w:ascii="Palatino Linotype" w:eastAsia="Palatino Linotype" w:hAnsi="Palatino Linotype" w:cs="Palatino Linotype"/>
          <w:i/>
          <w:lang w:val="es-ES"/>
        </w:rPr>
        <w:t xml:space="preserve">el cual se </w:t>
      </w:r>
      <w:r w:rsidRPr="00686FB4">
        <w:rPr>
          <w:rFonts w:ascii="Palatino Linotype" w:eastAsia="Palatino Linotype" w:hAnsi="Palatino Linotype" w:cs="Palatino Linotype"/>
          <w:b/>
          <w:i/>
          <w:lang w:val="es-ES"/>
        </w:rPr>
        <w:t xml:space="preserve">asientan las </w:t>
      </w:r>
      <w:r w:rsidRPr="00686FB4">
        <w:rPr>
          <w:rFonts w:ascii="Palatino Linotype" w:eastAsia="Palatino Linotype" w:hAnsi="Palatino Linotype" w:cs="Palatino Linotype"/>
          <w:b/>
          <w:i/>
          <w:u w:val="single"/>
          <w:lang w:val="es-ES"/>
        </w:rPr>
        <w:t>percepciones brutas, deducciones y alcance neto de las mismas</w:t>
      </w:r>
      <w:r w:rsidRPr="00686FB4">
        <w:rPr>
          <w:rFonts w:ascii="Palatino Linotype" w:eastAsia="Palatino Linotype" w:hAnsi="Palatino Linotype" w:cs="Palatino Linotype"/>
          <w:i/>
          <w:lang w:val="es-ES"/>
        </w:rPr>
        <w:t>; la nómina es utilizada para</w:t>
      </w:r>
      <w:r w:rsidRPr="00686FB4">
        <w:rPr>
          <w:rFonts w:ascii="Palatino Linotype" w:eastAsia="Palatino Linotype" w:hAnsi="Palatino Linotype" w:cs="Palatino Linotype"/>
          <w:b/>
          <w:i/>
          <w:lang w:val="es-ES"/>
        </w:rPr>
        <w:t xml:space="preserve"> efectuar los pagos periódicos</w:t>
      </w:r>
      <w:r w:rsidRPr="00686FB4">
        <w:rPr>
          <w:rFonts w:ascii="Palatino Linotype" w:eastAsia="Palatino Linotype" w:hAnsi="Palatino Linotype" w:cs="Palatino Linotype"/>
          <w:i/>
          <w:lang w:val="es-ES"/>
        </w:rPr>
        <w:t xml:space="preserve"> (semanales, quincenales o</w:t>
      </w:r>
      <w:r w:rsidRPr="00686FB4">
        <w:rPr>
          <w:rFonts w:ascii="Palatino Linotype" w:eastAsia="Palatino Linotype" w:hAnsi="Palatino Linotype" w:cs="Palatino Linotype"/>
          <w:b/>
          <w:i/>
          <w:lang w:val="es-ES"/>
        </w:rPr>
        <w:t xml:space="preserve"> </w:t>
      </w:r>
      <w:r w:rsidRPr="00686FB4">
        <w:rPr>
          <w:rFonts w:ascii="Palatino Linotype" w:eastAsia="Palatino Linotype" w:hAnsi="Palatino Linotype" w:cs="Palatino Linotype"/>
          <w:i/>
          <w:lang w:val="es-ES"/>
        </w:rPr>
        <w:t xml:space="preserve">mensuales) a los trabajadores por concepto de </w:t>
      </w:r>
      <w:r w:rsidRPr="00686FB4">
        <w:rPr>
          <w:rFonts w:ascii="Palatino Linotype" w:eastAsia="Palatino Linotype" w:hAnsi="Palatino Linotype" w:cs="Palatino Linotype"/>
          <w:b/>
          <w:i/>
          <w:lang w:val="es-ES"/>
        </w:rPr>
        <w:t>sueldos y salarios</w:t>
      </w:r>
      <w:r w:rsidRPr="00686FB4">
        <w:rPr>
          <w:rFonts w:ascii="Palatino Linotype" w:eastAsia="Palatino Linotype" w:hAnsi="Palatino Linotype" w:cs="Palatino Linotype"/>
          <w:i/>
          <w:lang w:val="es-ES"/>
        </w:rPr>
        <w:t>.</w:t>
      </w:r>
    </w:p>
    <w:p w14:paraId="2554D20F"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420B5A99"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Documento o término que ha sido mencionado en diferentes ordenamientos legales, tal es el caso, de la </w:t>
      </w:r>
      <w:r w:rsidRPr="00686FB4">
        <w:rPr>
          <w:rFonts w:ascii="Palatino Linotype" w:eastAsia="Palatino Linotype" w:hAnsi="Palatino Linotype" w:cs="Palatino Linotype"/>
          <w:i/>
          <w:lang w:val="es-ES"/>
        </w:rPr>
        <w:t>Ley Federal del Trabajo</w:t>
      </w:r>
      <w:r w:rsidRPr="00686FB4">
        <w:rPr>
          <w:rFonts w:ascii="Palatino Linotype" w:eastAsia="Palatino Linotype" w:hAnsi="Palatino Linotype" w:cs="Palatino Linotype"/>
          <w:lang w:val="es-ES"/>
        </w:rPr>
        <w:t xml:space="preserve"> en el artículo 804 fracción II, que además reconoce los recibos de pagos de salarios, por lo que resulta indispensable citar el artículo de referencia.</w:t>
      </w:r>
    </w:p>
    <w:p w14:paraId="489F6E8E"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276128A9"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lang w:val="es-ES"/>
        </w:rPr>
        <w:t>“Artículo 804.-</w:t>
      </w:r>
      <w:r w:rsidRPr="00686FB4">
        <w:rPr>
          <w:rFonts w:ascii="Palatino Linotype" w:eastAsia="Palatino Linotype" w:hAnsi="Palatino Linotype" w:cs="Palatino Linotype"/>
          <w:i/>
          <w:lang w:val="es-ES"/>
        </w:rPr>
        <w:t xml:space="preserve"> El patrón tiene obligación de conservar y exhibir en juicio los documentos que a continuación se precisan:</w:t>
      </w:r>
    </w:p>
    <w:p w14:paraId="5561A486"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lang w:val="es-ES"/>
        </w:rPr>
        <w:t>…</w:t>
      </w:r>
    </w:p>
    <w:p w14:paraId="1DF18D50"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lang w:val="es-ES"/>
        </w:rPr>
        <w:t>II.</w:t>
      </w:r>
      <w:r w:rsidRPr="00686FB4">
        <w:rPr>
          <w:rFonts w:ascii="Palatino Linotype" w:eastAsia="Palatino Linotype" w:hAnsi="Palatino Linotype" w:cs="Palatino Linotype"/>
          <w:i/>
          <w:lang w:val="es-ES"/>
        </w:rPr>
        <w:t xml:space="preserve"> </w:t>
      </w:r>
      <w:r w:rsidRPr="00686FB4">
        <w:rPr>
          <w:rFonts w:ascii="Palatino Linotype" w:eastAsia="Palatino Linotype" w:hAnsi="Palatino Linotype" w:cs="Palatino Linotype"/>
          <w:bCs/>
          <w:i/>
          <w:lang w:val="es-ES"/>
        </w:rPr>
        <w:t>Listas de raya o</w:t>
      </w:r>
      <w:r w:rsidRPr="00686FB4">
        <w:rPr>
          <w:rFonts w:ascii="Palatino Linotype" w:eastAsia="Palatino Linotype" w:hAnsi="Palatino Linotype" w:cs="Palatino Linotype"/>
          <w:b/>
          <w:i/>
          <w:lang w:val="es-ES"/>
        </w:rPr>
        <w:t xml:space="preserve"> nómina de personal</w:t>
      </w:r>
      <w:r w:rsidRPr="00686FB4">
        <w:rPr>
          <w:rFonts w:ascii="Palatino Linotype" w:eastAsia="Palatino Linotype" w:hAnsi="Palatino Linotype" w:cs="Palatino Linotype"/>
          <w:i/>
          <w:lang w:val="es-ES"/>
        </w:rPr>
        <w:t xml:space="preserve">, cuando se lleven en el centro de trabajo; </w:t>
      </w:r>
      <w:r w:rsidRPr="00686FB4">
        <w:rPr>
          <w:rFonts w:ascii="Palatino Linotype" w:eastAsia="Palatino Linotype" w:hAnsi="Palatino Linotype" w:cs="Palatino Linotype"/>
          <w:b/>
          <w:i/>
          <w:lang w:val="es-ES"/>
        </w:rPr>
        <w:t>o recibos de pagos de salarios;</w:t>
      </w:r>
    </w:p>
    <w:p w14:paraId="56C6E75D"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w:t>
      </w:r>
    </w:p>
    <w:p w14:paraId="27A6C88F"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 xml:space="preserve">Los documentos señalados en la fracción I deberán conservarse mientras dure la relación laboral y hasta un año después; los señalados en las fracciones </w:t>
      </w:r>
      <w:r w:rsidRPr="00686FB4">
        <w:rPr>
          <w:rFonts w:ascii="Palatino Linotype" w:eastAsia="Palatino Linotype" w:hAnsi="Palatino Linotype" w:cs="Palatino Linotype"/>
          <w:b/>
          <w:i/>
          <w:lang w:val="es-ES"/>
        </w:rPr>
        <w:t>II</w:t>
      </w:r>
      <w:r w:rsidRPr="00686FB4">
        <w:rPr>
          <w:rFonts w:ascii="Palatino Linotype" w:eastAsia="Palatino Linotype" w:hAnsi="Palatino Linotype" w:cs="Palatino Linotype"/>
          <w:i/>
          <w:lang w:val="es-ES"/>
        </w:rPr>
        <w:t>, III y IV, durante el último año y un año después de que se extinga la relación laboral; y los mencionados en la fracción V, conforme lo señalen las Leyes que los rijan.”</w:t>
      </w:r>
    </w:p>
    <w:p w14:paraId="4468CD65"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039C856B"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De lo anteriormente citado, se puede llegar a la conclusión de que la nómina, es el documento que contiene el registro de los trabajadores a los cuales se va a remunerar por los </w:t>
      </w:r>
      <w:hyperlink r:id="rId9" w:history="1">
        <w:r w:rsidRPr="00686FB4">
          <w:rPr>
            <w:rStyle w:val="Hipervnculo"/>
            <w:rFonts w:ascii="Palatino Linotype" w:eastAsia="Palatino Linotype" w:hAnsi="Palatino Linotype" w:cs="Palatino Linotype"/>
            <w:color w:val="auto"/>
            <w:u w:val="none"/>
            <w:lang w:val="es-ES"/>
          </w:rPr>
          <w:t>servicios</w:t>
        </w:r>
      </w:hyperlink>
      <w:r w:rsidRPr="00686FB4">
        <w:rPr>
          <w:rFonts w:ascii="Palatino Linotype" w:eastAsia="Palatino Linotype" w:hAnsi="Palatino Linotype" w:cs="Palatino Linotype"/>
          <w:lang w:val="es-ES"/>
        </w:rPr>
        <w:t xml:space="preserve"> que éstos le prestan al patrón, en el cual </w:t>
      </w:r>
      <w:r w:rsidRPr="00686FB4">
        <w:rPr>
          <w:rFonts w:ascii="Palatino Linotype" w:eastAsia="Palatino Linotype" w:hAnsi="Palatino Linotype" w:cs="Palatino Linotype"/>
          <w:b/>
          <w:lang w:val="es-ES"/>
        </w:rPr>
        <w:t>se asientan las percepciones brutas, deducciones y el neto</w:t>
      </w:r>
      <w:r w:rsidRPr="00686FB4">
        <w:rPr>
          <w:rFonts w:ascii="Palatino Linotype" w:eastAsia="Palatino Linotype" w:hAnsi="Palatino Linotype" w:cs="Palatino Linotype"/>
          <w:lang w:val="es-ES"/>
        </w:rPr>
        <w:t xml:space="preserve"> a recibir de dichos trabajadores.</w:t>
      </w:r>
    </w:p>
    <w:p w14:paraId="26B718AA"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5939ED79"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Ahora bien, relativo a los </w:t>
      </w:r>
      <w:r w:rsidRPr="00686FB4">
        <w:rPr>
          <w:rFonts w:ascii="Palatino Linotype" w:eastAsia="Palatino Linotype" w:hAnsi="Palatino Linotype" w:cs="Palatino Linotype"/>
          <w:b/>
          <w:lang w:val="es-ES"/>
        </w:rPr>
        <w:t>recibos de nómina</w:t>
      </w:r>
      <w:r w:rsidRPr="00686FB4">
        <w:rPr>
          <w:rFonts w:ascii="Palatino Linotype" w:eastAsia="Palatino Linotype" w:hAnsi="Palatino Linotype" w:cs="Palatino Linotype"/>
          <w:lang w:val="es-ES"/>
        </w:rPr>
        <w:t>, la Ley del Trabajo de los Servidores Públicos del Estado y Municipios hace referencia a los comprobantes que las instituciones públicas realizan para documentar el pago de salarios, prima vacacional, aguinaldo y demás prestaciones otorgadas a un servidor público, denominándose "</w:t>
      </w:r>
      <w:r w:rsidRPr="00686FB4">
        <w:rPr>
          <w:rFonts w:ascii="Palatino Linotype" w:eastAsia="Palatino Linotype" w:hAnsi="Palatino Linotype" w:cs="Palatino Linotype"/>
          <w:i/>
          <w:lang w:val="es-ES"/>
        </w:rPr>
        <w:t>recibos o comprobantes de pago</w:t>
      </w:r>
      <w:r w:rsidRPr="00686FB4">
        <w:rPr>
          <w:rFonts w:ascii="Palatino Linotype" w:eastAsia="Palatino Linotype" w:hAnsi="Palatino Linotype" w:cs="Palatino Linotype"/>
          <w:lang w:val="es-ES"/>
        </w:rPr>
        <w:t>", los cuales constituyen un instrumento mediante el cual el sujeto obligado acredita las remuneraciones al personal y, que de acuerdo al uso implantado en la colectividad se denominan "recibos de nómina".</w:t>
      </w:r>
    </w:p>
    <w:p w14:paraId="1E58323F"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388C54F5"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A efecto de robustecer lo anterior, es preciso hacer alusión, en primera instancia, a lo establecido en las normas de carácter general del </w:t>
      </w:r>
      <w:r w:rsidRPr="00686FB4">
        <w:rPr>
          <w:rFonts w:ascii="Palatino Linotype" w:eastAsia="Palatino Linotype" w:hAnsi="Palatino Linotype" w:cs="Palatino Linotype"/>
          <w:b/>
          <w:lang w:val="es-ES"/>
        </w:rPr>
        <w:t>Manual Único de Contabilidad Gubernamental para las Dependencias y Entidades Públicas del Gobierno y Municipios del Estado de México</w:t>
      </w:r>
      <w:r w:rsidRPr="00686FB4">
        <w:rPr>
          <w:rFonts w:ascii="Palatino Linotype" w:eastAsia="Palatino Linotype" w:hAnsi="Palatino Linotype" w:cs="Palatino Linotype"/>
          <w:i/>
          <w:lang w:val="es-ES"/>
        </w:rPr>
        <w:t xml:space="preserve">,  </w:t>
      </w:r>
      <w:r w:rsidRPr="00686FB4">
        <w:rPr>
          <w:rFonts w:ascii="Palatino Linotype" w:eastAsia="Palatino Linotype" w:hAnsi="Palatino Linotype" w:cs="Palatino Linotype"/>
          <w:lang w:val="es-ES"/>
        </w:rPr>
        <w:t xml:space="preserve">en donde se señala que el Régimen Fiscal para las entidades públicas es el correspondiente a </w:t>
      </w:r>
      <w:r w:rsidRPr="00686FB4">
        <w:rPr>
          <w:rFonts w:ascii="Palatino Linotype" w:eastAsia="Palatino Linotype" w:hAnsi="Palatino Linotype" w:cs="Palatino Linotype"/>
          <w:i/>
          <w:lang w:val="es-ES"/>
        </w:rPr>
        <w:t xml:space="preserve">personas morales con fines no lucrativos, </w:t>
      </w:r>
      <w:r w:rsidRPr="00686FB4">
        <w:rPr>
          <w:rFonts w:ascii="Palatino Linotype" w:eastAsia="Palatino Linotype" w:hAnsi="Palatino Linotype" w:cs="Palatino Linotype"/>
          <w:lang w:val="es-ES"/>
        </w:rPr>
        <w:t xml:space="preserve">y en segundo lugar remitirnos al párrafo séptimo del artículo 86 del Título III del Régimen de las Personas Morales con fines no lucrativos, de la </w:t>
      </w:r>
      <w:r w:rsidRPr="00686FB4">
        <w:rPr>
          <w:rFonts w:ascii="Palatino Linotype" w:eastAsia="Palatino Linotype" w:hAnsi="Palatino Linotype" w:cs="Palatino Linotype"/>
          <w:b/>
          <w:lang w:val="es-ES"/>
        </w:rPr>
        <w:t>Ley del Impuesto Sobre la Renta</w:t>
      </w:r>
      <w:r w:rsidRPr="00686FB4">
        <w:rPr>
          <w:rFonts w:ascii="Palatino Linotype" w:eastAsia="Palatino Linotype" w:hAnsi="Palatino Linotype" w:cs="Palatino Linotype"/>
          <w:i/>
          <w:lang w:val="es-ES"/>
        </w:rPr>
        <w:t xml:space="preserve">, </w:t>
      </w:r>
      <w:r w:rsidRPr="00686FB4">
        <w:rPr>
          <w:rFonts w:ascii="Palatino Linotype" w:eastAsia="Palatino Linotype" w:hAnsi="Palatino Linotype" w:cs="Palatino Linotype"/>
          <w:lang w:val="es-ES"/>
        </w:rPr>
        <w:t>que a la letra señala lo siguiente:</w:t>
      </w:r>
    </w:p>
    <w:p w14:paraId="7AA40C13" w14:textId="77777777" w:rsidR="00F22901" w:rsidRPr="00686FB4" w:rsidRDefault="00F22901" w:rsidP="00FF51E8">
      <w:pPr>
        <w:spacing w:after="0" w:line="360" w:lineRule="auto"/>
        <w:ind w:right="49"/>
        <w:jc w:val="both"/>
        <w:rPr>
          <w:rFonts w:ascii="Palatino Linotype" w:eastAsia="Palatino Linotype" w:hAnsi="Palatino Linotype" w:cs="Palatino Linotype"/>
          <w:b/>
          <w:i/>
          <w:lang w:val="es-ES"/>
        </w:rPr>
      </w:pPr>
    </w:p>
    <w:p w14:paraId="02702347" w14:textId="77777777" w:rsidR="00F22901" w:rsidRPr="00686FB4" w:rsidRDefault="00F22901" w:rsidP="003338E6">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lang w:val="es-ES"/>
        </w:rPr>
        <w:t>“Artículo.- 86 </w:t>
      </w:r>
    </w:p>
    <w:p w14:paraId="2305FD56" w14:textId="77777777" w:rsidR="00F22901" w:rsidRPr="00686FB4" w:rsidRDefault="00F22901" w:rsidP="003338E6">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lang w:val="es-ES"/>
        </w:rPr>
        <w:t>(</w:t>
      </w:r>
      <w:r w:rsidRPr="00686FB4">
        <w:rPr>
          <w:rFonts w:ascii="Palatino Linotype" w:eastAsia="Palatino Linotype" w:hAnsi="Palatino Linotype" w:cs="Palatino Linotype"/>
          <w:i/>
          <w:lang w:val="es-ES"/>
        </w:rPr>
        <w:t>…)</w:t>
      </w:r>
    </w:p>
    <w:p w14:paraId="37D49BF8" w14:textId="77777777" w:rsidR="00F22901" w:rsidRPr="00686FB4" w:rsidRDefault="00F22901" w:rsidP="003338E6">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 xml:space="preserve">Los partidos y asociaciones políticas, legalmente reconocidos, la Federación, las entidades federativas, los municipios y las instituciones que por Ley estén obligadas a entregar al Gobierno Federal el importe íntegro de su remanente de operación y los organismos descentralizados que no tributen conforme al Título II de esta Ley </w:t>
      </w:r>
      <w:r w:rsidRPr="00686FB4">
        <w:rPr>
          <w:rFonts w:ascii="Palatino Linotype" w:eastAsia="Palatino Linotype" w:hAnsi="Palatino Linotype" w:cs="Palatino Linotype"/>
          <w:b/>
          <w:i/>
          <w:lang w:val="es-ES"/>
        </w:rPr>
        <w:t>están obligados a expedir y entregar comprobantes fiscales a las personas que reciban pagos por concepto de salarios y, en general, por la prestación de un servicio personal subordinado, en la fecha en que se realice la erogación correspondiente, los cuales podrán utilizarse como constancia o recibo de pago</w:t>
      </w:r>
      <w:r w:rsidRPr="00686FB4">
        <w:rPr>
          <w:rFonts w:ascii="Palatino Linotype" w:eastAsia="Palatino Linotype" w:hAnsi="Palatino Linotype" w:cs="Palatino Linotype"/>
          <w:i/>
          <w:lang w:val="es-ES"/>
        </w:rPr>
        <w:t xml:space="preserve"> para efectos de la legislación laboral a que se refieren los artículos 132 fracciones VII y VIII, y 804 primer párrafo fracciones II y IV de la Ley Federal del Trabajo…</w:t>
      </w:r>
      <w:r w:rsidRPr="00686FB4">
        <w:rPr>
          <w:rFonts w:ascii="Palatino Linotype" w:eastAsia="Palatino Linotype" w:hAnsi="Palatino Linotype" w:cs="Palatino Linotype"/>
          <w:lang w:val="es-ES"/>
        </w:rPr>
        <w:t>” </w:t>
      </w:r>
    </w:p>
    <w:p w14:paraId="72704DC3"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5964156B"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Del precepto citado, se advierte que las entidades federativas al ser entes públicos se encuentran constreñidos a expedir y entregar los </w:t>
      </w:r>
      <w:r w:rsidRPr="00686FB4">
        <w:rPr>
          <w:rFonts w:ascii="Palatino Linotype" w:eastAsia="Palatino Linotype" w:hAnsi="Palatino Linotype" w:cs="Palatino Linotype"/>
          <w:b/>
          <w:lang w:val="es-ES"/>
        </w:rPr>
        <w:t xml:space="preserve">comprobantes fiscales correspondientes a las personas que reciban pagos por conceptos de salarios, </w:t>
      </w:r>
      <w:r w:rsidRPr="00686FB4">
        <w:rPr>
          <w:rFonts w:ascii="Palatino Linotype" w:eastAsia="Palatino Linotype" w:hAnsi="Palatino Linotype" w:cs="Palatino Linotype"/>
          <w:lang w:val="es-ES"/>
        </w:rPr>
        <w:t xml:space="preserve">mismos que pueden ser utilizados como </w:t>
      </w:r>
      <w:r w:rsidRPr="00686FB4">
        <w:rPr>
          <w:rFonts w:ascii="Palatino Linotype" w:eastAsia="Palatino Linotype" w:hAnsi="Palatino Linotype" w:cs="Palatino Linotype"/>
          <w:b/>
          <w:lang w:val="es-ES"/>
        </w:rPr>
        <w:t>constancia o</w:t>
      </w:r>
      <w:r w:rsidRPr="00686FB4">
        <w:rPr>
          <w:rFonts w:ascii="Palatino Linotype" w:eastAsia="Palatino Linotype" w:hAnsi="Palatino Linotype" w:cs="Palatino Linotype"/>
          <w:lang w:val="es-ES"/>
        </w:rPr>
        <w:t xml:space="preserve"> </w:t>
      </w:r>
      <w:r w:rsidRPr="00686FB4">
        <w:rPr>
          <w:rFonts w:ascii="Palatino Linotype" w:eastAsia="Palatino Linotype" w:hAnsi="Palatino Linotype" w:cs="Palatino Linotype"/>
          <w:b/>
          <w:lang w:val="es-ES"/>
        </w:rPr>
        <w:t>recibo de pago</w:t>
      </w:r>
      <w:r w:rsidRPr="00686FB4">
        <w:rPr>
          <w:rFonts w:ascii="Palatino Linotype" w:eastAsia="Palatino Linotype" w:hAnsi="Palatino Linotype" w:cs="Palatino Linotype"/>
          <w:lang w:val="es-ES"/>
        </w:rPr>
        <w:t>.</w:t>
      </w:r>
    </w:p>
    <w:p w14:paraId="6F969325" w14:textId="77777777" w:rsidR="00F22901" w:rsidRPr="00686FB4" w:rsidRDefault="00F22901" w:rsidP="00FF51E8">
      <w:pPr>
        <w:spacing w:after="0" w:line="360" w:lineRule="auto"/>
        <w:ind w:right="49"/>
        <w:jc w:val="both"/>
        <w:rPr>
          <w:rFonts w:ascii="Palatino Linotype" w:eastAsia="Palatino Linotype" w:hAnsi="Palatino Linotype" w:cs="Palatino Linotype"/>
          <w:i/>
          <w:lang w:val="es-ES"/>
        </w:rPr>
      </w:pPr>
    </w:p>
    <w:p w14:paraId="7E97D425"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Por su parte la Ley del Trabajo de los Servidores Públicos del Estado y Municipios, en su artículo 220-K fracciones II y IV y último párrafo, establecen lo siguiente:</w:t>
      </w:r>
    </w:p>
    <w:p w14:paraId="21B28A40" w14:textId="77777777" w:rsidR="00F22901" w:rsidRPr="00686FB4" w:rsidRDefault="00F22901" w:rsidP="00FF51E8">
      <w:pPr>
        <w:spacing w:after="0" w:line="360" w:lineRule="auto"/>
        <w:ind w:right="49"/>
        <w:jc w:val="both"/>
        <w:rPr>
          <w:rFonts w:ascii="Palatino Linotype" w:eastAsia="Palatino Linotype" w:hAnsi="Palatino Linotype" w:cs="Palatino Linotype"/>
          <w:i/>
          <w:lang w:val="es-ES"/>
        </w:rPr>
      </w:pPr>
    </w:p>
    <w:p w14:paraId="596E8800" w14:textId="77777777" w:rsidR="00F22901" w:rsidRPr="00686FB4" w:rsidRDefault="00F22901" w:rsidP="003338E6">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w:t>
      </w:r>
      <w:r w:rsidRPr="00686FB4">
        <w:rPr>
          <w:rFonts w:ascii="Palatino Linotype" w:eastAsia="Palatino Linotype" w:hAnsi="Palatino Linotype" w:cs="Palatino Linotype"/>
          <w:b/>
          <w:i/>
          <w:lang w:val="es-ES"/>
        </w:rPr>
        <w:t>ARTÍCULO 220 K.-</w:t>
      </w:r>
      <w:r w:rsidRPr="00686FB4">
        <w:rPr>
          <w:rFonts w:ascii="Palatino Linotype" w:eastAsia="Palatino Linotype" w:hAnsi="Palatino Linotype" w:cs="Palatino Linotype"/>
          <w:i/>
          <w:lang w:val="es-ES"/>
        </w:rPr>
        <w:t xml:space="preserve"> La institución o dependencia pública tiene la obligación de conservar y exhibir en el proceso los documentos que a continuación se precisan:</w:t>
      </w:r>
    </w:p>
    <w:p w14:paraId="00643E2C" w14:textId="77777777" w:rsidR="00F22901" w:rsidRPr="00686FB4" w:rsidRDefault="00F22901" w:rsidP="003338E6">
      <w:pPr>
        <w:spacing w:after="0"/>
        <w:ind w:left="851" w:right="709"/>
        <w:jc w:val="both"/>
        <w:rPr>
          <w:rFonts w:ascii="Palatino Linotype" w:eastAsia="Palatino Linotype" w:hAnsi="Palatino Linotype" w:cs="Palatino Linotype"/>
          <w:b/>
          <w:bCs/>
          <w:lang w:val="es-ES"/>
        </w:rPr>
      </w:pPr>
      <w:r w:rsidRPr="00686FB4">
        <w:rPr>
          <w:rFonts w:ascii="Palatino Linotype" w:eastAsia="Palatino Linotype" w:hAnsi="Palatino Linotype" w:cs="Palatino Linotype"/>
          <w:i/>
          <w:lang w:val="es-ES"/>
        </w:rPr>
        <w:t>(…)</w:t>
      </w:r>
    </w:p>
    <w:p w14:paraId="20B1CD1E" w14:textId="77777777" w:rsidR="00F22901" w:rsidRPr="00686FB4" w:rsidRDefault="00F22901" w:rsidP="003338E6">
      <w:pPr>
        <w:spacing w:after="0"/>
        <w:ind w:left="851" w:right="709"/>
        <w:jc w:val="both"/>
        <w:rPr>
          <w:rFonts w:ascii="Palatino Linotype" w:eastAsia="Palatino Linotype" w:hAnsi="Palatino Linotype" w:cs="Palatino Linotype"/>
          <w:b/>
          <w:bCs/>
          <w:lang w:val="es-ES"/>
        </w:rPr>
      </w:pPr>
      <w:r w:rsidRPr="00686FB4">
        <w:rPr>
          <w:rFonts w:ascii="Palatino Linotype" w:eastAsia="Palatino Linotype" w:hAnsi="Palatino Linotype" w:cs="Palatino Linotype"/>
          <w:b/>
          <w:bCs/>
          <w:i/>
          <w:lang w:val="es-ES"/>
        </w:rPr>
        <w:t>II. Recibos de pagos de salarios o las constancias documentales del pago de salario cuando sea por depósito o mediante información electrónica;</w:t>
      </w:r>
    </w:p>
    <w:p w14:paraId="6016B50A" w14:textId="77777777" w:rsidR="00F22901" w:rsidRPr="00686FB4" w:rsidRDefault="00F22901" w:rsidP="003338E6">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w:t>
      </w:r>
    </w:p>
    <w:p w14:paraId="622C3140" w14:textId="77777777" w:rsidR="00F22901" w:rsidRPr="00686FB4" w:rsidRDefault="00F22901" w:rsidP="003338E6">
      <w:pPr>
        <w:spacing w:after="0"/>
        <w:ind w:left="851" w:right="709"/>
        <w:jc w:val="both"/>
        <w:rPr>
          <w:rFonts w:ascii="Palatino Linotype" w:eastAsia="Palatino Linotype" w:hAnsi="Palatino Linotype" w:cs="Palatino Linotype"/>
          <w:lang w:val="es-ES"/>
        </w:rPr>
      </w:pPr>
    </w:p>
    <w:p w14:paraId="546A3E50" w14:textId="77777777" w:rsidR="00F22901" w:rsidRPr="00686FB4" w:rsidRDefault="00F22901" w:rsidP="003338E6">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IV. Recibos o las constancias de depósito o del medio de información magnética o electrónica que sean utilizadas para el pago de salarios, prima vacacional, aguinaldo y demás prestaciones establecidas en la presente ley; y…</w:t>
      </w:r>
    </w:p>
    <w:p w14:paraId="0AE569A5" w14:textId="77777777" w:rsidR="00F22901" w:rsidRPr="00686FB4" w:rsidRDefault="00F22901" w:rsidP="003338E6">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Los documentos señalados en la fracción I de este artículo, deberán conservarse mientras dure la relación laboral y hasta un año después; los señalados por las fracciones II, III, IV durante el último año y un año después de que se extinga la relación laboral, y los mencionados en la fracción V, conforme lo señalen las leyes que los rijan.</w:t>
      </w:r>
    </w:p>
    <w:p w14:paraId="1E12859B" w14:textId="77777777" w:rsidR="00F22901" w:rsidRPr="00686FB4" w:rsidRDefault="00F22901" w:rsidP="003338E6">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Los documentos y constancias aquí señalados, la institución o dependencia podrá conservarlos por medio de los sistemas de digitalización o de información magnética o electrónica o cualquier medio descubierto por la ciencia y las constancias expedidas por el encargado del área de personal de éstas, harán prueba plena.</w:t>
      </w:r>
    </w:p>
    <w:p w14:paraId="479C5AA8" w14:textId="77777777" w:rsidR="00F22901" w:rsidRPr="00686FB4" w:rsidRDefault="00F22901" w:rsidP="003338E6">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El incumplimiento por lo dispuesto por este artículo, establecerá la presunción de ser ciertos los hechos que el actor exprese en su demanda, en relación con tales documentos, salvo prueba en contrario.”</w:t>
      </w:r>
    </w:p>
    <w:p w14:paraId="544EC695"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6D251D04"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Sobre la base del precepto legal citado, se advierte que toda institución pública o dependencia pública del Estado de México debe conservar las constancias de pago de salarios, prima vacacional, aguinaldo y demás prestaciones legales de acuerdo con la forma en que se haya realizado el pago; es decir, en efectivo, cheque, depósito, transferencia u otra, debiendo conservar dicha documentación durante el último año y un año después de que se extingue la relación laboral a través de los sistemas de digitalización o de información magnética o electrónica.</w:t>
      </w:r>
    </w:p>
    <w:p w14:paraId="43D708F5"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2B7F6510"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En estas condiciones, resulta claro que la información de mérito es generada en ejercicio de las atribuciones del </w:t>
      </w:r>
      <w:r w:rsidRPr="00686FB4">
        <w:rPr>
          <w:rFonts w:ascii="Palatino Linotype" w:eastAsia="Palatino Linotype" w:hAnsi="Palatino Linotype" w:cs="Palatino Linotype"/>
          <w:b/>
          <w:lang w:val="es-ES"/>
        </w:rPr>
        <w:t>Sujeto Obligado</w:t>
      </w:r>
      <w:r w:rsidRPr="00686FB4">
        <w:rPr>
          <w:rFonts w:ascii="Palatino Linotype" w:eastAsia="Palatino Linotype" w:hAnsi="Palatino Linotype" w:cs="Palatino Linotype"/>
          <w:lang w:val="es-ES"/>
        </w:rPr>
        <w:t xml:space="preserve"> de acuerdo a lo dispuesto por los artículos 4, segundo párrafo y 12, segundo párrafo de la Ley de Transparencia y Acceso a la Información Pública del Estado de México y Municipios; consecuentemente debe obrar en sus archivos de conformidad a lo que señala el artículo 19 de la Ley de Transparencia Local que establece que debe presumirse la existencia de la información, si se refiere a las facultades, competencias y funciones que los ordenamientos jurídicos aplicables otorgan a los Sujetos Obligados.</w:t>
      </w:r>
    </w:p>
    <w:p w14:paraId="5154EA48"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41ACB355"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Además, de que la información de análisis, es de interés general y de alcance público, puesto que la ciudadanía tiene derecho a saber cuál es el gasto ejercido para el pago de remuneraciones por servicios personales al realizar las funciones públicas; esto es, su acceso permite transparentar la aplicación de los recursos públicos que son otorgados para el cumplimiento de sus funciones, ello conforme a lo dispuesto por los artículos 7 y 23 de la Ley de Transparencia y Acceso a la Información Pública del Estado de México y Municipios, que establece como deber de los Sujetos Obligados el hacer pública toda la información respecto a los montos y nombres de las personas a quienes se entreguen recursos públicos y con ello transparentar la forma, términos, causas y finalidad en la disposición de esos recursos; precepto legal que es del tenor siguiente:</w:t>
      </w:r>
    </w:p>
    <w:p w14:paraId="1968A24B"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5E26C5A0" w14:textId="77777777" w:rsidR="00F22901" w:rsidRPr="00686FB4" w:rsidRDefault="00F22901"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u w:val="single"/>
          <w:lang w:val="es-ES"/>
        </w:rPr>
        <w:t>“</w:t>
      </w:r>
      <w:r w:rsidRPr="00686FB4">
        <w:rPr>
          <w:rFonts w:ascii="Palatino Linotype" w:eastAsia="Palatino Linotype" w:hAnsi="Palatino Linotype" w:cs="Palatino Linotype"/>
          <w:b/>
          <w:i/>
          <w:u w:val="single"/>
          <w:lang w:val="es-ES"/>
        </w:rPr>
        <w:t>Artículo 7. El Estado de México garantizará el efectivo acceso de toda persona a la información en posesión de cualquier entidad,</w:t>
      </w:r>
      <w:r w:rsidRPr="00686FB4">
        <w:rPr>
          <w:rFonts w:ascii="Palatino Linotype" w:eastAsia="Palatino Linotype" w:hAnsi="Palatino Linotype" w:cs="Palatino Linotype"/>
          <w:i/>
          <w:lang w:val="es-ES"/>
        </w:rPr>
        <w:t xml:space="preserve"> autoridad, órgano y organismo de los poderes Ejecutivo, Legislativo y Judicial, órganos autónomos, partidos políticos, fideicomisos y fondos públicos, así como de cualquier persona física, jurídico colectiva o sindicato </w:t>
      </w:r>
      <w:r w:rsidRPr="00686FB4">
        <w:rPr>
          <w:rFonts w:ascii="Palatino Linotype" w:eastAsia="Palatino Linotype" w:hAnsi="Palatino Linotype" w:cs="Palatino Linotype"/>
          <w:b/>
          <w:i/>
          <w:u w:val="single"/>
          <w:lang w:val="es-ES"/>
        </w:rPr>
        <w:t>que reciba y ejerza recursos públicos</w:t>
      </w:r>
      <w:r w:rsidRPr="00686FB4">
        <w:rPr>
          <w:rFonts w:ascii="Palatino Linotype" w:eastAsia="Palatino Linotype" w:hAnsi="Palatino Linotype" w:cs="Palatino Linotype"/>
          <w:i/>
          <w:lang w:val="es-ES"/>
        </w:rPr>
        <w:t xml:space="preserve"> o realice actos de autoridad </w:t>
      </w:r>
      <w:r w:rsidRPr="00686FB4">
        <w:rPr>
          <w:rFonts w:ascii="Palatino Linotype" w:eastAsia="Palatino Linotype" w:hAnsi="Palatino Linotype" w:cs="Palatino Linotype"/>
          <w:b/>
          <w:i/>
          <w:u w:val="single"/>
          <w:lang w:val="es-ES"/>
        </w:rPr>
        <w:t xml:space="preserve">en el ámbito de competencia del Estado de México </w:t>
      </w:r>
      <w:r w:rsidRPr="00686FB4">
        <w:rPr>
          <w:rFonts w:ascii="Palatino Linotype" w:eastAsia="Palatino Linotype" w:hAnsi="Palatino Linotype" w:cs="Palatino Linotype"/>
          <w:i/>
          <w:lang w:val="es-ES"/>
        </w:rPr>
        <w:t>y sus municipios.</w:t>
      </w:r>
    </w:p>
    <w:p w14:paraId="107875AD"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lang w:val="es-ES"/>
        </w:rPr>
        <w:t>Artículo 23</w:t>
      </w:r>
      <w:r w:rsidRPr="00686FB4">
        <w:rPr>
          <w:rFonts w:ascii="Palatino Linotype" w:eastAsia="Palatino Linotype" w:hAnsi="Palatino Linotype" w:cs="Palatino Linotype"/>
          <w:i/>
          <w:lang w:val="es-ES"/>
        </w:rPr>
        <w:t>. Son sujetos obligados a transparentar y permitir el acceso a su información y proteger los datos personales que obren en su poder:</w:t>
      </w:r>
    </w:p>
    <w:p w14:paraId="78472C8F"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u w:val="single"/>
          <w:lang w:val="es-ES"/>
        </w:rPr>
        <w:t>I. El Poder Ejecutivo del Estado de México, las dependencias, organismos auxiliares, órganos, entidades, fideicomisos y fondos públicos, así como la Fiscalía General de Justicia del Estado de México;</w:t>
      </w:r>
    </w:p>
    <w:p w14:paraId="5D856B6C"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w:t>
      </w:r>
    </w:p>
    <w:p w14:paraId="627709A4"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u w:val="single"/>
          <w:lang w:val="es-ES"/>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0BB9B8A4"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Los servidores públicos deberán transparentar sus acciones así como garantizar y respetar el derecho de acceso a la información pública.”</w:t>
      </w:r>
      <w:r w:rsidRPr="00686FB4">
        <w:rPr>
          <w:rFonts w:ascii="Palatino Linotype" w:eastAsia="Palatino Linotype" w:hAnsi="Palatino Linotype" w:cs="Palatino Linotype"/>
          <w:b/>
          <w:i/>
          <w:lang w:val="es-ES"/>
        </w:rPr>
        <w:t xml:space="preserve"> </w:t>
      </w:r>
    </w:p>
    <w:p w14:paraId="6EED19CE"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1903F6D0"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Sirve de sustento por analogía, para justificar la publicidad sobre los datos relativos a los montos por concepto de pago de las remuneraciones, los criterios </w:t>
      </w:r>
      <w:r w:rsidRPr="00686FB4">
        <w:rPr>
          <w:rFonts w:ascii="Palatino Linotype" w:eastAsia="Palatino Linotype" w:hAnsi="Palatino Linotype" w:cs="Palatino Linotype"/>
          <w:b/>
          <w:lang w:val="es-ES"/>
        </w:rPr>
        <w:t>01/2003</w:t>
      </w:r>
      <w:r w:rsidRPr="00686FB4">
        <w:rPr>
          <w:rFonts w:ascii="Palatino Linotype" w:eastAsia="Palatino Linotype" w:hAnsi="Palatino Linotype" w:cs="Palatino Linotype"/>
          <w:lang w:val="es-ES"/>
        </w:rPr>
        <w:t xml:space="preserve"> y </w:t>
      </w:r>
      <w:r w:rsidRPr="00686FB4">
        <w:rPr>
          <w:rFonts w:ascii="Palatino Linotype" w:eastAsia="Palatino Linotype" w:hAnsi="Palatino Linotype" w:cs="Palatino Linotype"/>
          <w:b/>
          <w:lang w:val="es-ES"/>
        </w:rPr>
        <w:t>02/2003</w:t>
      </w:r>
      <w:r w:rsidRPr="00686FB4">
        <w:rPr>
          <w:rFonts w:ascii="Palatino Linotype" w:eastAsia="Palatino Linotype" w:hAnsi="Palatino Linotype" w:cs="Palatino Linotype"/>
          <w:lang w:val="es-ES"/>
        </w:rPr>
        <w:t xml:space="preserve"> emitidos por el Comité de Acceso a la Información Pública y Protección de Datos Personales de la Suprema Corte de Justicia de la Nación que a continuación se citan: </w:t>
      </w:r>
    </w:p>
    <w:p w14:paraId="48205085" w14:textId="77777777" w:rsidR="00F22901" w:rsidRPr="00686FB4" w:rsidRDefault="00F22901" w:rsidP="00FF51E8">
      <w:pPr>
        <w:spacing w:after="0" w:line="360" w:lineRule="auto"/>
        <w:ind w:right="49"/>
        <w:jc w:val="both"/>
        <w:rPr>
          <w:rFonts w:ascii="Palatino Linotype" w:eastAsia="Palatino Linotype" w:hAnsi="Palatino Linotype" w:cs="Palatino Linotype"/>
          <w:i/>
          <w:lang w:val="es-ES"/>
        </w:rPr>
      </w:pPr>
    </w:p>
    <w:p w14:paraId="1ABDD8AF"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w:t>
      </w:r>
      <w:r w:rsidRPr="00686FB4">
        <w:rPr>
          <w:rFonts w:ascii="Palatino Linotype" w:eastAsia="Palatino Linotype" w:hAnsi="Palatino Linotype" w:cs="Palatino Linotype"/>
          <w:b/>
          <w:i/>
          <w:lang w:val="es-ES"/>
        </w:rPr>
        <w:t>Criterio 01/2003.</w:t>
      </w:r>
    </w:p>
    <w:p w14:paraId="002E674D"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lang w:val="es-ES"/>
        </w:rPr>
        <w:t>INGRESOS DE LOS SERVIDORES PÚBLICOS. CONSTITUYEN INFORMACIÓN PÚBLICA AÚN Y CUANDO SU DIFUSIÓN PUEDE AFECTAR LA VIDA O LA SEGURIDAD DE AQUELLOS.</w:t>
      </w:r>
      <w:r w:rsidRPr="00686FB4">
        <w:rPr>
          <w:rFonts w:ascii="Palatino Linotype" w:eastAsia="Palatino Linotype" w:hAnsi="Palatino Linotype" w:cs="Palatino Linotype"/>
          <w:i/>
          <w:lang w:val="es-ES"/>
        </w:rPr>
        <w:t> </w:t>
      </w:r>
    </w:p>
    <w:p w14:paraId="0F3DB185"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 xml:space="preserve">Si bien el artículo 13, fracción IV, de la Ley Federal de Transparencia y  Acceso  a la información Pública Gubernamental establece que debe clasificarse como información confidencial la que conste en expedientes administrativos cuya difusión  pueda poner en riesgo la vida, la seguridad o la salud de cualquier persona, debe reconocerse que aun y  cuando en ese supuesto podría encuadrar la relativa a las percepciones ordinarias y extraordinaria de los servidores públicos, ello no obsta para reconocer que el legislador estableció en el artículo 7 de ese mismo ordenamiento que la referida información, como una obligación de trasparencia, </w:t>
      </w:r>
      <w:r w:rsidRPr="00686FB4">
        <w:rPr>
          <w:rFonts w:ascii="Palatino Linotype" w:eastAsia="Palatino Linotype" w:hAnsi="Palatino Linotype" w:cs="Palatino Linotype"/>
          <w:b/>
          <w:i/>
          <w:u w:val="single"/>
          <w:lang w:val="es-ES"/>
        </w:rPr>
        <w:t>deben publicarse en medios remotos o locales de comunicación electrónica, lo que se sustenta en el hecho de que el monto de todos los ingresos que recibe un servidor público por desarrollar las labores que les son encomendadas con motivo del desempeño del cargo respecto. Constituyen información pública, en tanto que se trata de erogaciones que realiza un órgano del Estado en base con los recursos que encuentran su origen en mayor medida en las contribuciones aportados por los gobernados</w:t>
      </w:r>
      <w:r w:rsidRPr="00686FB4">
        <w:rPr>
          <w:rFonts w:ascii="Palatino Linotype" w:eastAsia="Palatino Linotype" w:hAnsi="Palatino Linotype" w:cs="Palatino Linotype"/>
          <w:i/>
          <w:u w:val="single"/>
          <w:lang w:val="es-ES"/>
        </w:rPr>
        <w:t>…”</w:t>
      </w:r>
    </w:p>
    <w:p w14:paraId="4CCFE5CD"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p>
    <w:p w14:paraId="5EAFD14E"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lang w:val="es-ES"/>
        </w:rPr>
        <w:t>“Criterio 02/2003.</w:t>
      </w:r>
    </w:p>
    <w:p w14:paraId="19FD759B"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i/>
          <w:lang w:val="es-ES"/>
        </w:rPr>
        <w:t>INGRESOS DE LOS SERVIDORES PÚBLICOS, SON INFORMACIÓN PÚBLICA AÚN Y CUANDO CONSTITUYEN DATOS PERSONALES QUE SE REFIEREN AL PATRIMONIO DE AQUÉLLOS.</w:t>
      </w:r>
      <w:r w:rsidRPr="00686FB4">
        <w:rPr>
          <w:rFonts w:ascii="Palatino Linotype" w:eastAsia="Palatino Linotype" w:hAnsi="Palatino Linotype" w:cs="Palatino Linotype"/>
          <w:i/>
          <w:lang w:val="es-ES"/>
        </w:rPr>
        <w:t> </w:t>
      </w:r>
    </w:p>
    <w:p w14:paraId="2B956DBD"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 xml:space="preserve">De la interpretación sistemática de lo previsto en los artículos 3º, fracción II; 7º, 9º y 18, fracción II, de la Ley Federal de Transparencia y Acceso a la Información Pública Gubernamental se advierte que no constituye información confidencial la relativa a los ingresos que reciben los servidores públicos, ya que aun y cuando se trata de datos personales relativos a su patrimonio, para su difusión no se requiere consentimiento de aquellos, </w:t>
      </w:r>
      <w:r w:rsidRPr="00686FB4">
        <w:rPr>
          <w:rFonts w:ascii="Palatino Linotype" w:eastAsia="Palatino Linotype" w:hAnsi="Palatino Linotype" w:cs="Palatino Linotype"/>
          <w:b/>
          <w:i/>
          <w:u w:val="single"/>
          <w:lang w:val="es-ES"/>
        </w:rPr>
        <w:t>lo que deriva del hecho de que en términos de los previsto en el citado ordenamiento deben ponerse a disposición del público a través de medios remotos o locales de comunicación electrónica, tanto el directorio de servidores públicos como las remuneraciones mensuales por puesto incluso</w:t>
      </w:r>
      <w:r w:rsidRPr="00686FB4">
        <w:rPr>
          <w:rFonts w:ascii="Palatino Linotype" w:eastAsia="Palatino Linotype" w:hAnsi="Palatino Linotype" w:cs="Palatino Linotype"/>
          <w:i/>
          <w:lang w:val="es-ES"/>
        </w:rPr>
        <w:t xml:space="preserve"> el sistema de compensación…”</w:t>
      </w:r>
    </w:p>
    <w:p w14:paraId="1E9FA881"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6E102338"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Ahora bien, el artículo 92, fracción VIII de la Ley de Transparencia y Acceso a la Información Pública del Estado de México y Municipios, señala: </w:t>
      </w:r>
    </w:p>
    <w:p w14:paraId="7C240AAF" w14:textId="77777777" w:rsidR="00F22901" w:rsidRPr="00686FB4" w:rsidRDefault="00F22901" w:rsidP="00FF51E8">
      <w:pPr>
        <w:spacing w:after="0" w:line="360" w:lineRule="auto"/>
        <w:ind w:right="49"/>
        <w:jc w:val="both"/>
        <w:rPr>
          <w:rFonts w:ascii="Palatino Linotype" w:eastAsia="Palatino Linotype" w:hAnsi="Palatino Linotype" w:cs="Palatino Linotype"/>
          <w:i/>
          <w:lang w:val="es-ES"/>
        </w:rPr>
      </w:pPr>
    </w:p>
    <w:p w14:paraId="0DBAD8C8"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w:t>
      </w:r>
      <w:r w:rsidRPr="00686FB4">
        <w:rPr>
          <w:rFonts w:ascii="Palatino Linotype" w:eastAsia="Palatino Linotype" w:hAnsi="Palatino Linotype" w:cs="Palatino Linotype"/>
          <w:b/>
          <w:bCs/>
          <w:i/>
          <w:lang w:val="es-ES"/>
        </w:rPr>
        <w:t>Artículo 92.</w:t>
      </w:r>
      <w:r w:rsidRPr="00686FB4">
        <w:rPr>
          <w:rFonts w:ascii="Palatino Linotype" w:eastAsia="Palatino Linotype" w:hAnsi="Palatino Linotype" w:cs="Palatino Linotype"/>
          <w:i/>
          <w:lang w:val="es-ES"/>
        </w:rPr>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 </w:t>
      </w:r>
    </w:p>
    <w:p w14:paraId="541B3836"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w:t>
      </w:r>
    </w:p>
    <w:p w14:paraId="33485B5D" w14:textId="77777777" w:rsidR="00F22901" w:rsidRPr="00686FB4" w:rsidRDefault="00F22901"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bCs/>
          <w:i/>
          <w:lang w:val="es-ES"/>
        </w:rPr>
        <w:t>VIII.</w:t>
      </w:r>
      <w:r w:rsidRPr="00686FB4">
        <w:rPr>
          <w:rFonts w:ascii="Palatino Linotype" w:eastAsia="Palatino Linotype" w:hAnsi="Palatino Linotype" w:cs="Palatino Linotype"/>
          <w:i/>
          <w:lang w:val="es-ES"/>
        </w:rPr>
        <w:t xml:space="preserve"> </w:t>
      </w:r>
      <w:r w:rsidRPr="00686FB4">
        <w:rPr>
          <w:rFonts w:ascii="Palatino Linotype" w:eastAsia="Palatino Linotype" w:hAnsi="Palatino Linotype" w:cs="Palatino Linotype"/>
          <w:b/>
          <w:bCs/>
          <w:i/>
          <w:lang w:val="es-ES"/>
        </w:rPr>
        <w:t>La remuneración bruta y neta de todos los servidores públicos</w:t>
      </w:r>
      <w:r w:rsidRPr="00686FB4">
        <w:rPr>
          <w:rFonts w:ascii="Palatino Linotype" w:eastAsia="Palatino Linotype" w:hAnsi="Palatino Linotype" w:cs="Palatino Linotype"/>
          <w:i/>
          <w:lang w:val="es-ES"/>
        </w:rPr>
        <w:t xml:space="preserve"> de base o de confianza, de todas las percepciones, incluyendo sueldos, prestaciones, gratificaciones, primas, comisiones, dietas, bonos, estímulos, ingresos y sistemas de compensación, señalando la periodicidad de dicha remuneración;”</w:t>
      </w:r>
    </w:p>
    <w:p w14:paraId="79E5E043"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02D9769C" w14:textId="1021B775" w:rsidR="00F22901" w:rsidRPr="00686FB4" w:rsidRDefault="00F22901" w:rsidP="00FF51E8">
      <w:pPr>
        <w:spacing w:after="0" w:line="360" w:lineRule="auto"/>
        <w:ind w:right="49"/>
        <w:jc w:val="both"/>
        <w:rPr>
          <w:rFonts w:ascii="Palatino Linotype" w:eastAsia="Palatino Linotype" w:hAnsi="Palatino Linotype" w:cs="Palatino Linotype"/>
          <w:b/>
          <w:bCs/>
          <w:lang w:val="es-ES"/>
        </w:rPr>
      </w:pPr>
      <w:r w:rsidRPr="00686FB4">
        <w:rPr>
          <w:rFonts w:ascii="Palatino Linotype" w:eastAsia="Palatino Linotype" w:hAnsi="Palatino Linotype" w:cs="Palatino Linotype"/>
          <w:lang w:val="es-ES"/>
        </w:rPr>
        <w:t xml:space="preserve">De lo anterior, se colige que el </w:t>
      </w:r>
      <w:r w:rsidRPr="00686FB4">
        <w:rPr>
          <w:rFonts w:ascii="Palatino Linotype" w:eastAsia="Palatino Linotype" w:hAnsi="Palatino Linotype" w:cs="Palatino Linotype"/>
          <w:b/>
          <w:lang w:val="es-ES"/>
        </w:rPr>
        <w:t>Sujeto Obligado</w:t>
      </w:r>
      <w:r w:rsidRPr="00686FB4">
        <w:rPr>
          <w:rFonts w:ascii="Palatino Linotype" w:eastAsia="Palatino Linotype" w:hAnsi="Palatino Linotype" w:cs="Palatino Linotype"/>
          <w:lang w:val="es-ES"/>
        </w:rPr>
        <w:t>, cuenta con las competencias, facultades y atribuciones para conocer, administrar y generar la información relacionada con l</w:t>
      </w:r>
      <w:r w:rsidR="0076599E" w:rsidRPr="00686FB4">
        <w:rPr>
          <w:rFonts w:ascii="Palatino Linotype" w:eastAsia="Palatino Linotype" w:hAnsi="Palatino Linotype" w:cs="Palatino Linotype"/>
          <w:lang w:val="es-ES"/>
        </w:rPr>
        <w:t xml:space="preserve">a </w:t>
      </w:r>
      <w:r w:rsidRPr="00686FB4">
        <w:rPr>
          <w:rFonts w:ascii="Palatino Linotype" w:eastAsia="Palatino Linotype" w:hAnsi="Palatino Linotype" w:cs="Palatino Linotype"/>
          <w:b/>
          <w:bCs/>
          <w:lang w:val="es-ES"/>
        </w:rPr>
        <w:t>nómina del personal adscrito a</w:t>
      </w:r>
      <w:r w:rsidR="0076599E" w:rsidRPr="00686FB4">
        <w:rPr>
          <w:rFonts w:ascii="Palatino Linotype" w:eastAsia="Palatino Linotype" w:hAnsi="Palatino Linotype" w:cs="Palatino Linotype"/>
          <w:b/>
          <w:bCs/>
          <w:lang w:val="es-ES"/>
        </w:rPr>
        <w:t xml:space="preserve"> la Coordinación de Catastro</w:t>
      </w:r>
      <w:r w:rsidRPr="00686FB4">
        <w:rPr>
          <w:rFonts w:ascii="Palatino Linotype" w:eastAsia="Palatino Linotype" w:hAnsi="Palatino Linotype" w:cs="Palatino Linotype"/>
          <w:b/>
          <w:bCs/>
          <w:lang w:val="es-ES"/>
        </w:rPr>
        <w:t xml:space="preserve">, </w:t>
      </w:r>
      <w:r w:rsidRPr="00686FB4">
        <w:rPr>
          <w:rFonts w:ascii="Palatino Linotype" w:eastAsia="Palatino Linotype" w:hAnsi="Palatino Linotype" w:cs="Palatino Linotype"/>
          <w:lang w:val="es-ES"/>
        </w:rPr>
        <w:t xml:space="preserve">solicitados por </w:t>
      </w:r>
      <w:r w:rsidR="003338E6" w:rsidRPr="00686FB4">
        <w:rPr>
          <w:rFonts w:ascii="Palatino Linotype" w:eastAsia="Palatino Linotype" w:hAnsi="Palatino Linotype" w:cs="Palatino Linotype"/>
          <w:lang w:val="es-ES"/>
        </w:rPr>
        <w:t xml:space="preserve">la parte </w:t>
      </w:r>
      <w:r w:rsidRPr="00686FB4">
        <w:rPr>
          <w:rFonts w:ascii="Palatino Linotype" w:eastAsia="Palatino Linotype" w:hAnsi="Palatino Linotype" w:cs="Palatino Linotype"/>
          <w:b/>
          <w:lang w:val="es-ES"/>
        </w:rPr>
        <w:t>Recurrente</w:t>
      </w:r>
      <w:r w:rsidRPr="00686FB4">
        <w:rPr>
          <w:rFonts w:ascii="Palatino Linotype" w:eastAsia="Palatino Linotype" w:hAnsi="Palatino Linotype" w:cs="Palatino Linotype"/>
          <w:lang w:val="es-ES"/>
        </w:rPr>
        <w:t xml:space="preserve">. </w:t>
      </w:r>
    </w:p>
    <w:p w14:paraId="6BA7F358"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252F6B69" w14:textId="347C7ACC" w:rsidR="00F22901" w:rsidRPr="00686FB4" w:rsidRDefault="00F22901"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Establecido lo anterior, conviene recordar que el </w:t>
      </w:r>
      <w:r w:rsidRPr="00686FB4">
        <w:rPr>
          <w:rFonts w:ascii="Palatino Linotype" w:eastAsia="Palatino Linotype" w:hAnsi="Palatino Linotype" w:cs="Palatino Linotype"/>
          <w:b/>
          <w:lang w:val="es-ES"/>
        </w:rPr>
        <w:t>Sujeto Obligado</w:t>
      </w:r>
      <w:r w:rsidRPr="00686FB4">
        <w:rPr>
          <w:rFonts w:ascii="Palatino Linotype" w:eastAsia="Palatino Linotype" w:hAnsi="Palatino Linotype" w:cs="Palatino Linotype"/>
          <w:lang w:val="es-ES"/>
        </w:rPr>
        <w:t xml:space="preserve"> hizo entrega de </w:t>
      </w:r>
      <w:r w:rsidR="0076599E" w:rsidRPr="00686FB4">
        <w:rPr>
          <w:rFonts w:ascii="Palatino Linotype" w:eastAsia="Palatino Linotype" w:hAnsi="Palatino Linotype" w:cs="Palatino Linotype"/>
          <w:lang w:val="es-ES"/>
        </w:rPr>
        <w:t>siete</w:t>
      </w:r>
      <w:r w:rsidRPr="00686FB4">
        <w:rPr>
          <w:rFonts w:ascii="Palatino Linotype" w:eastAsia="Palatino Linotype" w:hAnsi="Palatino Linotype" w:cs="Palatino Linotype"/>
          <w:lang w:val="es-ES"/>
        </w:rPr>
        <w:t xml:space="preserve"> recibos de nómina </w:t>
      </w:r>
      <w:r w:rsidR="0076599E" w:rsidRPr="00686FB4">
        <w:rPr>
          <w:rFonts w:ascii="Palatino Linotype" w:eastAsia="Palatino Linotype" w:hAnsi="Palatino Linotype" w:cs="Palatino Linotype"/>
          <w:lang w:val="es-ES"/>
        </w:rPr>
        <w:t>del personal adscrito a la Coordinación de Catastro</w:t>
      </w:r>
      <w:r w:rsidRPr="00686FB4">
        <w:rPr>
          <w:rFonts w:ascii="Palatino Linotype" w:eastAsia="Palatino Linotype" w:hAnsi="Palatino Linotype" w:cs="Palatino Linotype"/>
          <w:lang w:val="es-ES"/>
        </w:rPr>
        <w:t xml:space="preserve">, correspondientes a la primera quincena de </w:t>
      </w:r>
      <w:r w:rsidR="0076599E" w:rsidRPr="00686FB4">
        <w:rPr>
          <w:rFonts w:ascii="Palatino Linotype" w:eastAsia="Palatino Linotype" w:hAnsi="Palatino Linotype" w:cs="Palatino Linotype"/>
          <w:lang w:val="es-ES"/>
        </w:rPr>
        <w:t xml:space="preserve">mayo </w:t>
      </w:r>
      <w:r w:rsidRPr="00686FB4">
        <w:rPr>
          <w:rFonts w:ascii="Palatino Linotype" w:eastAsia="Palatino Linotype" w:hAnsi="Palatino Linotype" w:cs="Palatino Linotype"/>
          <w:lang w:val="es-ES"/>
        </w:rPr>
        <w:t xml:space="preserve">de dos mil </w:t>
      </w:r>
      <w:r w:rsidR="0076599E" w:rsidRPr="00686FB4">
        <w:rPr>
          <w:rFonts w:ascii="Palatino Linotype" w:eastAsia="Palatino Linotype" w:hAnsi="Palatino Linotype" w:cs="Palatino Linotype"/>
          <w:lang w:val="es-ES"/>
        </w:rPr>
        <w:t xml:space="preserve">veintiséis </w:t>
      </w:r>
      <w:r w:rsidRPr="00686FB4">
        <w:rPr>
          <w:rFonts w:ascii="Palatino Linotype" w:eastAsia="Palatino Linotype" w:hAnsi="Palatino Linotype" w:cs="Palatino Linotype"/>
          <w:lang w:val="es-ES"/>
        </w:rPr>
        <w:t xml:space="preserve">en versión pública, tal y como se observa a continuación, a manera de ejemplo: </w:t>
      </w:r>
    </w:p>
    <w:p w14:paraId="2738700A" w14:textId="77777777" w:rsidR="00F22901" w:rsidRPr="00686FB4" w:rsidRDefault="00F22901" w:rsidP="00FF51E8">
      <w:pPr>
        <w:spacing w:after="0" w:line="360" w:lineRule="auto"/>
        <w:ind w:right="49"/>
        <w:jc w:val="both"/>
        <w:rPr>
          <w:rFonts w:ascii="Palatino Linotype" w:eastAsia="Palatino Linotype" w:hAnsi="Palatino Linotype" w:cs="Palatino Linotype"/>
          <w:lang w:val="es-ES"/>
        </w:rPr>
      </w:pPr>
    </w:p>
    <w:p w14:paraId="18F3C0E2" w14:textId="3405D017" w:rsidR="00F22901" w:rsidRPr="00686FB4" w:rsidRDefault="00881274" w:rsidP="00FF51E8">
      <w:pPr>
        <w:spacing w:after="0" w:line="360" w:lineRule="auto"/>
        <w:ind w:right="49"/>
        <w:jc w:val="center"/>
        <w:rPr>
          <w:rFonts w:ascii="Palatino Linotype" w:eastAsia="Palatino Linotype" w:hAnsi="Palatino Linotype" w:cs="Palatino Linotype"/>
        </w:rPr>
      </w:pPr>
      <w:r w:rsidRPr="00686FB4">
        <w:rPr>
          <w:rFonts w:ascii="Palatino Linotype" w:eastAsia="Palatino Linotype" w:hAnsi="Palatino Linotype" w:cs="Palatino Linotype"/>
          <w:noProof/>
        </w:rPr>
        <mc:AlternateContent>
          <mc:Choice Requires="wps">
            <w:drawing>
              <wp:anchor distT="0" distB="0" distL="114300" distR="114300" simplePos="0" relativeHeight="251661312" behindDoc="0" locked="0" layoutInCell="1" allowOverlap="1" wp14:anchorId="5E0CE316" wp14:editId="4C4059C7">
                <wp:simplePos x="0" y="0"/>
                <wp:positionH relativeFrom="column">
                  <wp:posOffset>3396973</wp:posOffset>
                </wp:positionH>
                <wp:positionV relativeFrom="paragraph">
                  <wp:posOffset>956549</wp:posOffset>
                </wp:positionV>
                <wp:extent cx="1639019" cy="362309"/>
                <wp:effectExtent l="0" t="0" r="18415" b="19050"/>
                <wp:wrapNone/>
                <wp:docPr id="880676156" name="Rectángulo 4"/>
                <wp:cNvGraphicFramePr/>
                <a:graphic xmlns:a="http://schemas.openxmlformats.org/drawingml/2006/main">
                  <a:graphicData uri="http://schemas.microsoft.com/office/word/2010/wordprocessingShape">
                    <wps:wsp>
                      <wps:cNvSpPr/>
                      <wps:spPr>
                        <a:xfrm>
                          <a:off x="0" y="0"/>
                          <a:ext cx="1639019" cy="362309"/>
                        </a:xfrm>
                        <a:prstGeom prst="rect">
                          <a:avLst/>
                        </a:prstGeom>
                        <a:noFill/>
                        <a:ln w="63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rect w14:anchorId="3A7033B0" id="Rectángulo 4" o:spid="_x0000_s1026" style="position:absolute;margin-left:267.5pt;margin-top:75.3pt;width:129.05pt;height:2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" filled="f" strokecolor="#e00" strokeweight=".5pt"/>
            </w:pict>
          </mc:Fallback>
        </mc:AlternateContent>
      </w:r>
      <w:r w:rsidR="0076599E" w:rsidRPr="00686FB4">
        <w:rPr>
          <w:rFonts w:ascii="Palatino Linotype" w:eastAsia="Palatino Linotype" w:hAnsi="Palatino Linotype" w:cs="Palatino Linotype"/>
          <w:noProof/>
        </w:rPr>
        <w:drawing>
          <wp:inline distT="0" distB="0" distL="0" distR="0" wp14:anchorId="3A23C06E" wp14:editId="6600F196">
            <wp:extent cx="4897120" cy="1509622"/>
            <wp:effectExtent l="0" t="0" r="0" b="0"/>
            <wp:docPr id="4665755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75592" name=""/>
                    <pic:cNvPicPr/>
                  </pic:nvPicPr>
                  <pic:blipFill rotWithShape="1">
                    <a:blip r:embed="rId10"/>
                    <a:srcRect b="73522"/>
                    <a:stretch>
                      <a:fillRect/>
                    </a:stretch>
                  </pic:blipFill>
                  <pic:spPr bwMode="auto">
                    <a:xfrm>
                      <a:off x="0" y="0"/>
                      <a:ext cx="4899365" cy="1510314"/>
                    </a:xfrm>
                    <a:prstGeom prst="rect">
                      <a:avLst/>
                    </a:prstGeom>
                    <a:ln>
                      <a:noFill/>
                    </a:ln>
                    <a:extLst>
                      <a:ext uri="{53640926-AAD7-44D8-BBD7-CCE9431645EC}">
                        <a14:shadowObscured xmlns:a14="http://schemas.microsoft.com/office/drawing/2010/main"/>
                      </a:ext>
                    </a:extLst>
                  </pic:spPr>
                </pic:pic>
              </a:graphicData>
            </a:graphic>
          </wp:inline>
        </w:drawing>
      </w:r>
    </w:p>
    <w:p w14:paraId="50E57F73" w14:textId="16EFBD29" w:rsidR="00881274" w:rsidRPr="00686FB4" w:rsidRDefault="00881274" w:rsidP="00FF51E8">
      <w:pPr>
        <w:spacing w:after="0" w:line="360" w:lineRule="auto"/>
        <w:ind w:right="49"/>
        <w:jc w:val="center"/>
        <w:rPr>
          <w:rFonts w:ascii="Palatino Linotype" w:eastAsia="Palatino Linotype" w:hAnsi="Palatino Linotype" w:cs="Palatino Linotype"/>
        </w:rPr>
      </w:pPr>
      <w:r w:rsidRPr="00686FB4">
        <w:rPr>
          <w:rFonts w:ascii="Palatino Linotype" w:eastAsia="Palatino Linotype" w:hAnsi="Palatino Linotype" w:cs="Palatino Linotype"/>
          <w:noProof/>
        </w:rPr>
        <mc:AlternateContent>
          <mc:Choice Requires="wps">
            <w:drawing>
              <wp:anchor distT="0" distB="0" distL="114300" distR="114300" simplePos="0" relativeHeight="251663360" behindDoc="0" locked="0" layoutInCell="1" allowOverlap="1" wp14:anchorId="063884F8" wp14:editId="0AC17753">
                <wp:simplePos x="0" y="0"/>
                <wp:positionH relativeFrom="column">
                  <wp:posOffset>3310709</wp:posOffset>
                </wp:positionH>
                <wp:positionV relativeFrom="paragraph">
                  <wp:posOffset>914555</wp:posOffset>
                </wp:positionV>
                <wp:extent cx="1673525" cy="431321"/>
                <wp:effectExtent l="0" t="0" r="22225" b="26035"/>
                <wp:wrapNone/>
                <wp:docPr id="1073878645" name="Rectángulo 4"/>
                <wp:cNvGraphicFramePr/>
                <a:graphic xmlns:a="http://schemas.openxmlformats.org/drawingml/2006/main">
                  <a:graphicData uri="http://schemas.microsoft.com/office/word/2010/wordprocessingShape">
                    <wps:wsp>
                      <wps:cNvSpPr/>
                      <wps:spPr>
                        <a:xfrm>
                          <a:off x="0" y="0"/>
                          <a:ext cx="1673525" cy="431321"/>
                        </a:xfrm>
                        <a:prstGeom prst="rect">
                          <a:avLst/>
                        </a:prstGeom>
                        <a:noFill/>
                        <a:ln w="63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rect w14:anchorId="6936E10D" id="Rectángulo 4" o:spid="_x0000_s1026" style="position:absolute;margin-left:260.7pt;margin-top:1in;width:131.75pt;height:3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" filled="f" strokecolor="#e00" strokeweight=".5pt"/>
            </w:pict>
          </mc:Fallback>
        </mc:AlternateContent>
      </w:r>
      <w:r w:rsidRPr="00686FB4">
        <w:rPr>
          <w:rFonts w:ascii="Palatino Linotype" w:eastAsia="Palatino Linotype" w:hAnsi="Palatino Linotype" w:cs="Palatino Linotype"/>
          <w:noProof/>
        </w:rPr>
        <w:drawing>
          <wp:inline distT="0" distB="0" distL="0" distR="0" wp14:anchorId="6DA4AC08" wp14:editId="0BE2F614">
            <wp:extent cx="4787660" cy="1654319"/>
            <wp:effectExtent l="0" t="0" r="0" b="3175"/>
            <wp:docPr id="5376069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06914" name=""/>
                    <pic:cNvPicPr/>
                  </pic:nvPicPr>
                  <pic:blipFill>
                    <a:blip r:embed="rId11"/>
                    <a:stretch>
                      <a:fillRect/>
                    </a:stretch>
                  </pic:blipFill>
                  <pic:spPr>
                    <a:xfrm>
                      <a:off x="0" y="0"/>
                      <a:ext cx="4802354" cy="1659396"/>
                    </a:xfrm>
                    <a:prstGeom prst="rect">
                      <a:avLst/>
                    </a:prstGeom>
                  </pic:spPr>
                </pic:pic>
              </a:graphicData>
            </a:graphic>
          </wp:inline>
        </w:drawing>
      </w:r>
    </w:p>
    <w:p w14:paraId="1595167B" w14:textId="77777777" w:rsidR="00B520A5" w:rsidRPr="00686FB4" w:rsidRDefault="00B520A5" w:rsidP="00FF51E8">
      <w:pPr>
        <w:spacing w:after="0" w:line="360" w:lineRule="auto"/>
        <w:ind w:right="49"/>
        <w:jc w:val="both"/>
        <w:rPr>
          <w:rFonts w:ascii="Palatino Linotype" w:eastAsia="Palatino Linotype" w:hAnsi="Palatino Linotype" w:cs="Palatino Linotype"/>
        </w:rPr>
      </w:pPr>
    </w:p>
    <w:p w14:paraId="7D3998E4" w14:textId="05A2865D"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Tal y como se aprecia, el </w:t>
      </w:r>
      <w:r w:rsidRPr="00686FB4">
        <w:rPr>
          <w:rFonts w:ascii="Palatino Linotype" w:eastAsia="Palatino Linotype" w:hAnsi="Palatino Linotype" w:cs="Palatino Linotype"/>
          <w:b/>
          <w:lang w:val="es-ES"/>
        </w:rPr>
        <w:t>Sujeto Obligado</w:t>
      </w:r>
      <w:r w:rsidRPr="00686FB4">
        <w:rPr>
          <w:rFonts w:ascii="Palatino Linotype" w:eastAsia="Palatino Linotype" w:hAnsi="Palatino Linotype" w:cs="Palatino Linotype"/>
          <w:lang w:val="es-ES"/>
        </w:rPr>
        <w:t xml:space="preserve"> remitió los recibos de nómina de los servidores públicos adscritos a la Coordinación de Catastro, correspondientes a la primera quincena de mayo de dos mil veintiséis, sin embargo, es necesario precisar que de las constancias que obran en el expediente se logra vislumbrar que la parte </w:t>
      </w:r>
      <w:r w:rsidRPr="00686FB4">
        <w:rPr>
          <w:rFonts w:ascii="Palatino Linotype" w:eastAsia="Palatino Linotype" w:hAnsi="Palatino Linotype" w:cs="Palatino Linotype"/>
          <w:b/>
          <w:lang w:val="es-ES"/>
        </w:rPr>
        <w:t>Recurrente,</w:t>
      </w:r>
      <w:r w:rsidRPr="00686FB4">
        <w:rPr>
          <w:rFonts w:ascii="Palatino Linotype" w:eastAsia="Palatino Linotype" w:hAnsi="Palatino Linotype" w:cs="Palatino Linotype"/>
          <w:lang w:val="es-ES"/>
        </w:rPr>
        <w:t xml:space="preserve"> no especifico temporalidad para conocer de la información solicitada, dado que únicamente se limitó en señalar que requería la información de la actual administración, por lo que tomando en consideración que la solicitud de información se recibió el trece de mayo de dos mil veintiséis, la temporalidad que procede para la entrega de la información es la correspondiente a la primera y segunda quincena de abril de dos mil veintiséis, esto atendiendo al criterio reiterado 04/2024, del Pleno de este Instituto, que a la letra señala:</w:t>
      </w:r>
    </w:p>
    <w:p w14:paraId="25AB70BF"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p>
    <w:p w14:paraId="3D110410" w14:textId="77777777" w:rsidR="00881274" w:rsidRPr="00686FB4" w:rsidRDefault="00881274" w:rsidP="00FF51E8">
      <w:pPr>
        <w:spacing w:after="0"/>
        <w:ind w:left="851" w:right="709"/>
        <w:jc w:val="both"/>
        <w:rPr>
          <w:rFonts w:ascii="Palatino Linotype" w:eastAsia="Palatino Linotype" w:hAnsi="Palatino Linotype" w:cs="Palatino Linotype"/>
          <w:b/>
          <w:i/>
          <w:lang w:val="es-ES"/>
        </w:rPr>
      </w:pPr>
      <w:r w:rsidRPr="00686FB4">
        <w:rPr>
          <w:rFonts w:ascii="Palatino Linotype" w:eastAsia="Palatino Linotype" w:hAnsi="Palatino Linotype" w:cs="Palatino Linotype"/>
          <w:i/>
          <w:lang w:val="es-ES"/>
        </w:rPr>
        <w:t>“</w:t>
      </w:r>
      <w:r w:rsidRPr="00686FB4">
        <w:rPr>
          <w:rFonts w:ascii="Palatino Linotype" w:eastAsia="Palatino Linotype" w:hAnsi="Palatino Linotype" w:cs="Palatino Linotype"/>
          <w:b/>
          <w:i/>
          <w:lang w:val="es-ES"/>
        </w:rPr>
        <w:t>CRITERIO REITERADO 04/2024</w:t>
      </w:r>
    </w:p>
    <w:p w14:paraId="50D5A7E3" w14:textId="77777777" w:rsidR="00881274" w:rsidRPr="00686FB4" w:rsidRDefault="00881274" w:rsidP="00FF51E8">
      <w:pPr>
        <w:spacing w:after="0"/>
        <w:ind w:left="851" w:right="709"/>
        <w:jc w:val="both"/>
        <w:rPr>
          <w:rFonts w:ascii="Palatino Linotype" w:eastAsia="Palatino Linotype" w:hAnsi="Palatino Linotype" w:cs="Palatino Linotype"/>
          <w:b/>
          <w:i/>
          <w:lang w:val="es-ES"/>
        </w:rPr>
      </w:pPr>
      <w:r w:rsidRPr="00686FB4">
        <w:rPr>
          <w:rFonts w:ascii="Palatino Linotype" w:eastAsia="Palatino Linotype" w:hAnsi="Palatino Linotype" w:cs="Palatino Linotype"/>
          <w:b/>
          <w:i/>
          <w:lang w:val="es-ES"/>
        </w:rPr>
        <w:t>NÓMINA DE SERVIDORES PÚBLICOS. PERIODO DE BÚSQUEDA Y ENTREGA DE LA INFORMACIÓN, CUANDO NO SE PRECISA EN LA SOLICITUD DE INFORMACIÓN.</w:t>
      </w:r>
      <w:r w:rsidRPr="00686FB4">
        <w:rPr>
          <w:rFonts w:ascii="Palatino Linotype" w:eastAsia="Palatino Linotype" w:hAnsi="Palatino Linotype" w:cs="Palatino Linotype"/>
          <w:i/>
          <w:lang w:val="es-ES"/>
        </w:rPr>
        <w:t xml:space="preserve"> Cuando el particular no refiriera el periodo respecto del cual requiere la información, o bien, de la solicitud presentada no se adviertan elementos que permitan identificarlo, tratándose exclusivamente de información relativa a la nómina, </w:t>
      </w:r>
      <w:r w:rsidRPr="00686FB4">
        <w:rPr>
          <w:rFonts w:ascii="Palatino Linotype" w:eastAsia="Palatino Linotype" w:hAnsi="Palatino Linotype" w:cs="Palatino Linotype"/>
          <w:b/>
          <w:i/>
          <w:lang w:val="es-ES"/>
        </w:rPr>
        <w:t>se deberá hacer entrega de la información relativa a las últimas dos quincenas pagadas previo a la fecha en que se presentó la solicitud</w:t>
      </w:r>
      <w:r w:rsidRPr="00686FB4">
        <w:rPr>
          <w:rFonts w:ascii="Palatino Linotype" w:eastAsia="Palatino Linotype" w:hAnsi="Palatino Linotype" w:cs="Palatino Linotype"/>
          <w:i/>
          <w:lang w:val="es-ES"/>
        </w:rPr>
        <w:t>.”</w:t>
      </w:r>
    </w:p>
    <w:p w14:paraId="2F9693A5" w14:textId="77777777" w:rsidR="00881274" w:rsidRPr="00686FB4" w:rsidRDefault="00881274" w:rsidP="00FF51E8">
      <w:pPr>
        <w:spacing w:after="0" w:line="360" w:lineRule="auto"/>
        <w:ind w:right="49"/>
        <w:jc w:val="both"/>
        <w:rPr>
          <w:rFonts w:ascii="Palatino Linotype" w:eastAsia="Palatino Linotype" w:hAnsi="Palatino Linotype" w:cs="Palatino Linotype"/>
        </w:rPr>
      </w:pPr>
    </w:p>
    <w:p w14:paraId="3EAAF529" w14:textId="0958D702" w:rsidR="00881274" w:rsidRPr="00686FB4" w:rsidRDefault="00881274"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En esta tesitura, de las constancias que integran el expediente electrónico relacionado con el recurso de revisión materia de estudio, se colige que </w:t>
      </w:r>
      <w:r w:rsidRPr="00686FB4">
        <w:rPr>
          <w:rFonts w:ascii="Palatino Linotype" w:eastAsia="Palatino Linotype" w:hAnsi="Palatino Linotype" w:cs="Palatino Linotype"/>
          <w:b/>
        </w:rPr>
        <w:t>el Sujeto Obligado</w:t>
      </w:r>
      <w:r w:rsidRPr="00686FB4">
        <w:rPr>
          <w:rFonts w:ascii="Palatino Linotype" w:eastAsia="Palatino Linotype" w:hAnsi="Palatino Linotype" w:cs="Palatino Linotype"/>
        </w:rPr>
        <w:t xml:space="preserve"> no niega la competencia para conocer de la información solicitada, sino por el contrario, con la</w:t>
      </w:r>
      <w:r w:rsidR="00E650E1" w:rsidRPr="00686FB4">
        <w:rPr>
          <w:rFonts w:ascii="Palatino Linotype" w:eastAsia="Palatino Linotype" w:hAnsi="Palatino Linotype" w:cs="Palatino Linotype"/>
        </w:rPr>
        <w:t xml:space="preserve">s documentales remitidas en informe justificado </w:t>
      </w:r>
      <w:r w:rsidRPr="00686FB4">
        <w:rPr>
          <w:rFonts w:ascii="Palatino Linotype" w:eastAsia="Palatino Linotype" w:hAnsi="Palatino Linotype" w:cs="Palatino Linotype"/>
        </w:rPr>
        <w:t>asevera que es competente para conocer de la solicitud de información</w:t>
      </w:r>
      <w:r w:rsidRPr="00686FB4">
        <w:rPr>
          <w:rFonts w:ascii="Palatino Linotype" w:eastAsia="Palatino Linotype" w:hAnsi="Palatino Linotype" w:cs="Palatino Linotype"/>
          <w:i/>
        </w:rPr>
        <w:t xml:space="preserve">, </w:t>
      </w:r>
      <w:r w:rsidRPr="00686FB4">
        <w:rPr>
          <w:rFonts w:ascii="Palatino Linotype" w:eastAsia="Palatino Linotype" w:hAnsi="Palatino Linotype" w:cs="Palatino Linotype"/>
        </w:rPr>
        <w:t xml:space="preserve">lo anterior es así, ya que el estudio enunciado tiene por objeto determinar si los Sujetos Obligados generan, poseen o administran la información solicitada, sin embargo, en aquellos casos en que estos han asumido </w:t>
      </w:r>
      <w:r w:rsidRPr="00686FB4">
        <w:rPr>
          <w:rFonts w:ascii="Palatino Linotype" w:eastAsia="Palatino Linotype" w:hAnsi="Palatino Linotype" w:cs="Palatino Linotype"/>
          <w:b/>
        </w:rPr>
        <w:t>la competencia</w:t>
      </w:r>
      <w:r w:rsidRPr="00686FB4">
        <w:rPr>
          <w:rFonts w:ascii="Palatino Linotype" w:eastAsia="Palatino Linotype" w:hAnsi="Palatino Linotype" w:cs="Palatino Linotype"/>
        </w:rPr>
        <w:t xml:space="preserve">, sería ocioso y a nada práctico nos conduciría su estudio, ya que, se insiste, el ente obligado </w:t>
      </w:r>
      <w:r w:rsidRPr="00686FB4">
        <w:rPr>
          <w:rFonts w:ascii="Palatino Linotype" w:eastAsia="Palatino Linotype" w:hAnsi="Palatino Linotype" w:cs="Palatino Linotype"/>
          <w:b/>
          <w:u w:val="single"/>
        </w:rPr>
        <w:t>asumió la competencia referida</w:t>
      </w:r>
      <w:r w:rsidRPr="00686FB4">
        <w:rPr>
          <w:rFonts w:ascii="Palatino Linotype" w:eastAsia="Palatino Linotype" w:hAnsi="Palatino Linotype" w:cs="Palatino Linotype"/>
        </w:rPr>
        <w:t>, motivo por el cual se actualiza el supuesto previsto en el artículo 12 de la legislación aplicable en la materia, citado con antelación.</w:t>
      </w:r>
    </w:p>
    <w:p w14:paraId="3F8C0607" w14:textId="77777777" w:rsidR="00881274" w:rsidRPr="00686FB4" w:rsidRDefault="00881274" w:rsidP="00FF51E8">
      <w:pPr>
        <w:spacing w:after="0" w:line="360" w:lineRule="auto"/>
        <w:ind w:right="49"/>
        <w:jc w:val="both"/>
        <w:rPr>
          <w:rFonts w:ascii="Palatino Linotype" w:eastAsia="Palatino Linotype" w:hAnsi="Palatino Linotype" w:cs="Palatino Linotype"/>
        </w:rPr>
      </w:pPr>
    </w:p>
    <w:p w14:paraId="63E155DA" w14:textId="23DD4B22"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Ahora bien, cabe precisar que, de los recibos de nómina remitidos, se testaron datos que el </w:t>
      </w:r>
      <w:r w:rsidRPr="00686FB4">
        <w:rPr>
          <w:rFonts w:ascii="Palatino Linotype" w:eastAsia="Palatino Linotype" w:hAnsi="Palatino Linotype" w:cs="Palatino Linotype"/>
          <w:b/>
          <w:lang w:val="es-ES"/>
        </w:rPr>
        <w:t>Sujeto Obligado</w:t>
      </w:r>
      <w:r w:rsidRPr="00686FB4">
        <w:rPr>
          <w:rFonts w:ascii="Palatino Linotype" w:eastAsia="Palatino Linotype" w:hAnsi="Palatino Linotype" w:cs="Palatino Linotype"/>
          <w:lang w:val="es-ES"/>
        </w:rPr>
        <w:t xml:space="preserve"> considero como confidencial, como lo son </w:t>
      </w:r>
      <w:r w:rsidR="00E35623" w:rsidRPr="00686FB4">
        <w:rPr>
          <w:rFonts w:ascii="Palatino Linotype" w:eastAsia="Palatino Linotype" w:hAnsi="Palatino Linotype" w:cs="Palatino Linotype"/>
          <w:lang w:val="es-ES"/>
        </w:rPr>
        <w:t xml:space="preserve">RFC, CURP, Clave ISSEMYM, </w:t>
      </w:r>
      <w:r w:rsidR="003024DE" w:rsidRPr="00686FB4">
        <w:rPr>
          <w:rFonts w:ascii="Palatino Linotype" w:eastAsia="Palatino Linotype" w:hAnsi="Palatino Linotype" w:cs="Palatino Linotype"/>
          <w:lang w:val="es-ES"/>
        </w:rPr>
        <w:t xml:space="preserve">firma de los servidores públicos, </w:t>
      </w:r>
      <w:r w:rsidRPr="00686FB4">
        <w:rPr>
          <w:rFonts w:ascii="Palatino Linotype" w:eastAsia="Palatino Linotype" w:hAnsi="Palatino Linotype" w:cs="Palatino Linotype"/>
          <w:lang w:val="es-ES"/>
        </w:rPr>
        <w:t>Código QR, Sello Digital del SAT, sello Digital del Contribuyente, Número de Serie del CSD del SAT, Número de Serie del CDS del emisor</w:t>
      </w:r>
      <w:r w:rsidR="00E35623" w:rsidRPr="00686FB4">
        <w:rPr>
          <w:rFonts w:ascii="Palatino Linotype" w:eastAsia="Palatino Linotype" w:hAnsi="Palatino Linotype" w:cs="Palatino Linotype"/>
          <w:lang w:val="es-ES"/>
        </w:rPr>
        <w:t>, folio fiscal;</w:t>
      </w:r>
      <w:r w:rsidRPr="00686FB4">
        <w:rPr>
          <w:rFonts w:ascii="Palatino Linotype" w:eastAsia="Palatino Linotype" w:hAnsi="Palatino Linotype" w:cs="Palatino Linotype"/>
          <w:lang w:val="es-ES"/>
        </w:rPr>
        <w:t xml:space="preserve"> y, Serie y folio, por lo que se procede a analizar si procede o no la clasificación de la información: </w:t>
      </w:r>
    </w:p>
    <w:p w14:paraId="56A783A1"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p>
    <w:p w14:paraId="42F72338" w14:textId="77777777" w:rsidR="00E35623" w:rsidRPr="00686FB4" w:rsidRDefault="00E35623" w:rsidP="00FF51E8">
      <w:pPr>
        <w:pStyle w:val="Prrafodelista"/>
        <w:numPr>
          <w:ilvl w:val="0"/>
          <w:numId w:val="17"/>
        </w:numPr>
        <w:spacing w:after="0" w:line="360" w:lineRule="auto"/>
        <w:ind w:right="49"/>
        <w:jc w:val="both"/>
        <w:rPr>
          <w:rFonts w:ascii="Palatino Linotype" w:eastAsia="Palatino Linotype" w:hAnsi="Palatino Linotype" w:cs="Palatino Linotype"/>
          <w:b/>
        </w:rPr>
      </w:pPr>
      <w:r w:rsidRPr="00686FB4">
        <w:rPr>
          <w:rFonts w:ascii="Palatino Linotype" w:eastAsia="Palatino Linotype" w:hAnsi="Palatino Linotype" w:cs="Palatino Linotype"/>
          <w:b/>
        </w:rPr>
        <w:t>Registro Federal de Contribuyentes (RFC)</w:t>
      </w:r>
      <w:bookmarkStart w:id="3" w:name="_heading=h.mdhfre415bry"/>
      <w:bookmarkEnd w:id="3"/>
    </w:p>
    <w:p w14:paraId="1E0EE60D"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El RFC es el Registro Federal de Contribuyentes, esta inscripción es realizada por el Servicio de Administración Tributaria, quien entrega una cédula de identificación fiscal en donde consta la clave que asigna este órgano desconcentrado de la Secretaría de Hacienda y Crédito Público, de acuerdo al artículo 27 del Código Fiscal de la Federación.</w:t>
      </w:r>
    </w:p>
    <w:p w14:paraId="3C9C37DF"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p>
    <w:p w14:paraId="501833DD"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De acuerdo a lo establecido en el artículo en comento, esta clave se compone de trece caracteres alfanuméricos, con datos obtenidos de los apellidos, nombre (s), fecha de nacimiento del titular, más una homoclave que establece el sistema automático del Servicio de Administración Tributaria.</w:t>
      </w:r>
    </w:p>
    <w:p w14:paraId="4B8A748F"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p>
    <w:p w14:paraId="19A67289"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Ahora bien, la clave del Registro Federal de Contribuyentes, es el medio de control que tiene la Secretaría de Hacienda y Crédito Público (SHCP) a través del Servicio de Administración Tributaria (SAT), para exigir y vigilar el cumplimiento de las obligaciones fiscales de los contribuyentes; mientras que los particulares tramitan dicho dato, con el único propósito de realizar mediante esa clave de identificación, operaciones o actividades de naturaleza fiscal.</w:t>
      </w:r>
    </w:p>
    <w:p w14:paraId="2184AA6B"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p>
    <w:p w14:paraId="798A8AA2" w14:textId="68EC7F8E" w:rsidR="00E35623" w:rsidRPr="00686FB4" w:rsidRDefault="00E35623"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Conforme a lo expuesto, el Registro Federal de Contribuyentes, es un dato personal, ya que hace a las personas físicas identificadas e identificables, además de que las relaciona como contribuyentes de las autoridades fiscales. Es de destacar que el Registro Federal de Contribuyentes únicamente sirve para efectos fiscales y pago de contribuciones, por lo que se trata de un dato relevante únicamente para las personas involucradas, en el pago de estos.</w:t>
      </w:r>
    </w:p>
    <w:p w14:paraId="52F558CB"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p>
    <w:p w14:paraId="295C4BF9"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Lo anterior, resulta congruente con el Criterio 19/17 emitido por el entonces Instituto Nacional de Transparencia, Acceso a la Información y Protección de Datos Personales, en el cual se señala lo siguiente:</w:t>
      </w:r>
    </w:p>
    <w:p w14:paraId="54DB5C55"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p>
    <w:p w14:paraId="7E7210A7" w14:textId="77777777" w:rsidR="00E35623" w:rsidRPr="00686FB4" w:rsidRDefault="00E35623" w:rsidP="00FF51E8">
      <w:pPr>
        <w:spacing w:after="0"/>
        <w:ind w:left="851" w:right="709"/>
        <w:jc w:val="both"/>
        <w:rPr>
          <w:rFonts w:ascii="Palatino Linotype" w:eastAsia="Palatino Linotype" w:hAnsi="Palatino Linotype" w:cs="Palatino Linotype"/>
          <w:b/>
          <w:i/>
          <w:lang w:val="es-ES"/>
        </w:rPr>
      </w:pPr>
      <w:r w:rsidRPr="00686FB4">
        <w:rPr>
          <w:rFonts w:ascii="Palatino Linotype" w:eastAsia="Palatino Linotype" w:hAnsi="Palatino Linotype" w:cs="Palatino Linotype"/>
          <w:b/>
          <w:i/>
          <w:lang w:val="es-ES"/>
        </w:rPr>
        <w:t xml:space="preserve">Registro Federal de Contribuyentes (RFC) de personas físicas. </w:t>
      </w:r>
    </w:p>
    <w:p w14:paraId="78F5C675" w14:textId="77777777" w:rsidR="00E35623" w:rsidRPr="00686FB4" w:rsidRDefault="00E35623"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lang w:val="es-ES"/>
        </w:rPr>
        <w:t>El RFC es una clave de carácter fiscal, única e irrepetible, que permite identificar al titular, su edad y fecha de nacimiento, por lo que es un dato personal de carácter confidencial.</w:t>
      </w:r>
    </w:p>
    <w:p w14:paraId="07CB7702"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p>
    <w:p w14:paraId="23A14EFC"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
          <w:lang w:val="es-ES"/>
        </w:rPr>
        <w:t>De tal suerte, el Registro Federal de Contribuyentes de las personas físicas no guarda relación con la transparencia de los recursos públicos</w:t>
      </w:r>
      <w:r w:rsidRPr="00686FB4">
        <w:rPr>
          <w:rFonts w:ascii="Palatino Linotype" w:eastAsia="Palatino Linotype" w:hAnsi="Palatino Linotype" w:cs="Palatino Linotype"/>
          <w:lang w:val="es-ES"/>
        </w:rPr>
        <w:t xml:space="preserve">, así como tampoco con el desempeño laboral que pueda tener una persona, por lo que </w:t>
      </w:r>
      <w:r w:rsidRPr="00686FB4">
        <w:rPr>
          <w:rFonts w:ascii="Palatino Linotype" w:eastAsia="Palatino Linotype" w:hAnsi="Palatino Linotype" w:cs="Palatino Linotype"/>
          <w:b/>
          <w:bCs/>
          <w:u w:val="single"/>
          <w:lang w:val="es-ES"/>
        </w:rPr>
        <w:t>procede su clasificación como confidencial.</w:t>
      </w:r>
      <w:r w:rsidRPr="00686FB4">
        <w:rPr>
          <w:rFonts w:ascii="Palatino Linotype" w:eastAsia="Palatino Linotype" w:hAnsi="Palatino Linotype" w:cs="Palatino Linotype"/>
          <w:lang w:val="es-ES"/>
        </w:rPr>
        <w:t xml:space="preserve"> En términos del artículo 143, fracción I de la Ley de Transparencia y Acceso a la Información Pública del Estado de México y Municipios.</w:t>
      </w:r>
    </w:p>
    <w:p w14:paraId="7E5FE96B"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p>
    <w:p w14:paraId="408A9FD6" w14:textId="77777777" w:rsidR="00E35623" w:rsidRPr="00686FB4" w:rsidRDefault="00E35623" w:rsidP="00FF51E8">
      <w:pPr>
        <w:numPr>
          <w:ilvl w:val="0"/>
          <w:numId w:val="17"/>
        </w:numPr>
        <w:spacing w:after="0" w:line="360" w:lineRule="auto"/>
        <w:ind w:right="49"/>
        <w:jc w:val="both"/>
        <w:rPr>
          <w:rFonts w:ascii="Palatino Linotype" w:eastAsia="Palatino Linotype" w:hAnsi="Palatino Linotype" w:cs="Palatino Linotype"/>
          <w:b/>
        </w:rPr>
      </w:pPr>
      <w:r w:rsidRPr="00686FB4">
        <w:rPr>
          <w:rFonts w:ascii="Palatino Linotype" w:eastAsia="Palatino Linotype" w:hAnsi="Palatino Linotype" w:cs="Palatino Linotype"/>
          <w:b/>
        </w:rPr>
        <w:t>Clave Única de Registro de Población.</w:t>
      </w:r>
    </w:p>
    <w:p w14:paraId="2122B939"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La </w:t>
      </w:r>
      <w:r w:rsidRPr="00686FB4">
        <w:rPr>
          <w:rFonts w:ascii="Palatino Linotype" w:eastAsia="Palatino Linotype" w:hAnsi="Palatino Linotype" w:cs="Palatino Linotype"/>
          <w:bCs/>
          <w:lang w:val="es-ES"/>
        </w:rPr>
        <w:t>clave única del registro de población</w:t>
      </w:r>
      <w:r w:rsidRPr="00686FB4">
        <w:rPr>
          <w:rFonts w:ascii="Palatino Linotype" w:eastAsia="Palatino Linotype" w:hAnsi="Palatino Linotype" w:cs="Palatino Linotype"/>
          <w:b/>
          <w:lang w:val="es-ES"/>
        </w:rPr>
        <w:t>,</w:t>
      </w:r>
      <w:r w:rsidRPr="00686FB4">
        <w:rPr>
          <w:rFonts w:ascii="Palatino Linotype" w:eastAsia="Palatino Linotype" w:hAnsi="Palatino Linotype" w:cs="Palatino Linotype"/>
          <w:i/>
          <w:lang w:val="es-ES"/>
        </w:rPr>
        <w:t xml:space="preserve"> </w:t>
      </w:r>
      <w:r w:rsidRPr="00686FB4">
        <w:rPr>
          <w:rFonts w:ascii="Palatino Linotype" w:eastAsia="Palatino Linotype" w:hAnsi="Palatino Linotype" w:cs="Palatino Linotype"/>
          <w:lang w:val="es-ES"/>
        </w:rPr>
        <w:t xml:space="preserve">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está considerada como información confidencial, por lo que </w:t>
      </w:r>
      <w:r w:rsidRPr="00686FB4">
        <w:rPr>
          <w:rFonts w:ascii="Palatino Linotype" w:eastAsia="Palatino Linotype" w:hAnsi="Palatino Linotype" w:cs="Palatino Linotype"/>
          <w:b/>
          <w:bCs/>
          <w:lang w:val="es-ES"/>
        </w:rPr>
        <w:t>procede su clasificación</w:t>
      </w:r>
      <w:r w:rsidRPr="00686FB4">
        <w:rPr>
          <w:rFonts w:ascii="Palatino Linotype" w:eastAsia="Palatino Linotype" w:hAnsi="Palatino Linotype" w:cs="Palatino Linotype"/>
          <w:lang w:val="es-ES"/>
        </w:rPr>
        <w:t xml:space="preserve"> en términos del artículo 143, fracción I de la Ley de la materia. </w:t>
      </w:r>
    </w:p>
    <w:p w14:paraId="4C288970"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p>
    <w:p w14:paraId="4A2D5D56"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Al respecto, el entonces INAI a través del Criterio orientador 18/17, señala literalmente lo siguiente:</w:t>
      </w:r>
    </w:p>
    <w:p w14:paraId="070F81ED" w14:textId="77777777" w:rsidR="00E35623" w:rsidRPr="00686FB4" w:rsidRDefault="00E35623" w:rsidP="00FF51E8">
      <w:pPr>
        <w:spacing w:after="0"/>
        <w:ind w:left="851" w:right="709"/>
        <w:jc w:val="both"/>
        <w:rPr>
          <w:rFonts w:ascii="Palatino Linotype" w:eastAsia="Palatino Linotype" w:hAnsi="Palatino Linotype" w:cs="Palatino Linotype"/>
          <w:i/>
          <w:lang w:val="es-ES"/>
        </w:rPr>
      </w:pPr>
    </w:p>
    <w:p w14:paraId="4962894E" w14:textId="2D7F4890" w:rsidR="00E35623" w:rsidRPr="00686FB4" w:rsidRDefault="00E35623" w:rsidP="00FF51E8">
      <w:pPr>
        <w:spacing w:after="0"/>
        <w:ind w:left="851" w:right="709"/>
        <w:jc w:val="both"/>
        <w:rPr>
          <w:rFonts w:ascii="Palatino Linotype" w:eastAsia="Palatino Linotype" w:hAnsi="Palatino Linotype" w:cs="Palatino Linotype"/>
          <w:b/>
          <w:bCs/>
          <w:u w:val="single"/>
          <w:lang w:val="es-ES"/>
        </w:rPr>
      </w:pPr>
      <w:r w:rsidRPr="00686FB4">
        <w:rPr>
          <w:rFonts w:ascii="Palatino Linotype" w:eastAsia="Palatino Linotype" w:hAnsi="Palatino Linotype" w:cs="Palatino Linotype"/>
          <w:i/>
          <w:lang w:val="es-ES"/>
        </w:rPr>
        <w:t>“</w:t>
      </w:r>
      <w:r w:rsidRPr="00686FB4">
        <w:rPr>
          <w:rFonts w:ascii="Palatino Linotype" w:eastAsia="Palatino Linotype" w:hAnsi="Palatino Linotype" w:cs="Palatino Linotype"/>
          <w:b/>
          <w:i/>
          <w:lang w:val="es-ES"/>
        </w:rPr>
        <w:t>Clave Única de Registro de Población (CURP).</w:t>
      </w:r>
      <w:r w:rsidRPr="00686FB4">
        <w:rPr>
          <w:rFonts w:ascii="Palatino Linotype" w:eastAsia="Palatino Linotype" w:hAnsi="Palatino Linotype" w:cs="Palatino Linotype"/>
          <w:i/>
          <w:lang w:val="es-ES"/>
        </w:rPr>
        <w:t xml:space="preserve"> 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w:t>
      </w:r>
      <w:r w:rsidRPr="00686FB4">
        <w:rPr>
          <w:rFonts w:ascii="Palatino Linotype" w:eastAsia="Palatino Linotype" w:hAnsi="Palatino Linotype" w:cs="Palatino Linotype"/>
          <w:b/>
          <w:bCs/>
          <w:i/>
          <w:u w:val="single"/>
          <w:lang w:val="es-ES"/>
        </w:rPr>
        <w:t>la CURP está considerada como información confidencial.</w:t>
      </w:r>
    </w:p>
    <w:p w14:paraId="643A3FBD" w14:textId="77777777" w:rsidR="00E35623" w:rsidRPr="00686FB4" w:rsidRDefault="00E35623"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Resoluciones:</w:t>
      </w:r>
    </w:p>
    <w:p w14:paraId="29AC1DAA" w14:textId="77777777" w:rsidR="00E35623" w:rsidRPr="00686FB4" w:rsidRDefault="00E35623"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 RRA 3995/16. Secretaría de la Defensa Nacional. 1 de febrero de 2017. Por unanimidad. Comisionado Ponente Rosendoevgueni Monterrey Chepov.</w:t>
      </w:r>
    </w:p>
    <w:p w14:paraId="4AFABABB" w14:textId="77777777" w:rsidR="00E35623" w:rsidRPr="00686FB4" w:rsidRDefault="00E35623" w:rsidP="00FF51E8">
      <w:pPr>
        <w:spacing w:after="0"/>
        <w:ind w:left="851" w:right="709"/>
        <w:jc w:val="both"/>
        <w:rPr>
          <w:rFonts w:ascii="Palatino Linotype" w:eastAsia="Palatino Linotype" w:hAnsi="Palatino Linotype" w:cs="Palatino Linotype"/>
          <w:lang w:val="es-ES"/>
        </w:rPr>
      </w:pPr>
      <w:r w:rsidRPr="00686FB4">
        <w:rPr>
          <w:rFonts w:ascii="Palatino Linotype" w:eastAsia="Palatino Linotype" w:hAnsi="Palatino Linotype" w:cs="Palatino Linotype"/>
          <w:i/>
          <w:lang w:val="es-ES"/>
        </w:rPr>
        <w:t>• RRA 0937/17. Senado de la República. 15 de marzo de 2017. Por unanimidad. Comisionada Ponente Ximena Puente de la Mora.</w:t>
      </w:r>
    </w:p>
    <w:p w14:paraId="0FDA65B6" w14:textId="77777777" w:rsidR="00E35623" w:rsidRPr="00686FB4" w:rsidRDefault="00E35623"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lang w:val="es-ES"/>
        </w:rPr>
        <w:t>• RRA 0478/17. Secretaría de Relaciones Exteriores. 26 de abril de 2017. Por unanimidad. Comisionada Ponente Areli Cano Guadiana.”</w:t>
      </w:r>
      <w:bookmarkStart w:id="4" w:name="_heading=h.rl5gsloww2o0"/>
      <w:bookmarkEnd w:id="4"/>
    </w:p>
    <w:p w14:paraId="487CBF6C" w14:textId="77777777" w:rsidR="00E35623" w:rsidRPr="00686FB4" w:rsidRDefault="00E35623" w:rsidP="00FF51E8">
      <w:pPr>
        <w:spacing w:after="0" w:line="360" w:lineRule="auto"/>
        <w:ind w:right="49"/>
        <w:jc w:val="both"/>
        <w:rPr>
          <w:rFonts w:ascii="Palatino Linotype" w:eastAsia="Palatino Linotype" w:hAnsi="Palatino Linotype" w:cs="Palatino Linotype"/>
          <w:bCs/>
          <w:lang w:val="es-ES"/>
        </w:rPr>
      </w:pPr>
    </w:p>
    <w:p w14:paraId="5EC18E04" w14:textId="77777777" w:rsidR="00E35623" w:rsidRPr="00686FB4" w:rsidRDefault="00E35623" w:rsidP="00FF51E8">
      <w:pPr>
        <w:numPr>
          <w:ilvl w:val="0"/>
          <w:numId w:val="17"/>
        </w:numPr>
        <w:spacing w:after="0" w:line="360" w:lineRule="auto"/>
        <w:ind w:right="49"/>
        <w:jc w:val="both"/>
        <w:rPr>
          <w:rFonts w:ascii="Palatino Linotype" w:eastAsia="Palatino Linotype" w:hAnsi="Palatino Linotype" w:cs="Palatino Linotype"/>
          <w:bCs/>
        </w:rPr>
      </w:pPr>
      <w:r w:rsidRPr="00686FB4">
        <w:rPr>
          <w:rFonts w:ascii="Palatino Linotype" w:eastAsia="Palatino Linotype" w:hAnsi="Palatino Linotype" w:cs="Palatino Linotype"/>
          <w:b/>
        </w:rPr>
        <w:t>Clave de seguridad social ISSEMYM</w:t>
      </w:r>
      <w:r w:rsidRPr="00686FB4">
        <w:rPr>
          <w:rFonts w:ascii="Palatino Linotype" w:eastAsia="Palatino Linotype" w:hAnsi="Palatino Linotype" w:cs="Palatino Linotype"/>
          <w:bCs/>
        </w:rPr>
        <w:t xml:space="preserve">. </w:t>
      </w:r>
    </w:p>
    <w:p w14:paraId="74C876EF" w14:textId="78F80AC1" w:rsidR="00E35623" w:rsidRPr="00686FB4" w:rsidRDefault="00E35623" w:rsidP="00FF51E8">
      <w:pPr>
        <w:spacing w:after="0" w:line="360" w:lineRule="auto"/>
        <w:ind w:right="49"/>
        <w:jc w:val="both"/>
        <w:rPr>
          <w:rFonts w:ascii="Palatino Linotype" w:eastAsia="Palatino Linotype" w:hAnsi="Palatino Linotype" w:cs="Palatino Linotype"/>
          <w:bCs/>
        </w:rPr>
      </w:pPr>
      <w:r w:rsidRPr="00686FB4">
        <w:rPr>
          <w:rFonts w:ascii="Palatino Linotype" w:eastAsia="Palatino Linotype" w:hAnsi="Palatino Linotype" w:cs="Palatino Linotype"/>
          <w:bCs/>
        </w:rPr>
        <w:t>El Instituto de Seguridad Social del Estado de México y Municipios (ISSEMYM) es el organismo público encargado de proporcionar los servicios de seguridad social a los servidores públicos del Estado de México, con el objetivo de garantizar a los derechohabientes el acceso a las prestaciones que otorga, de conformidad con el artículo 14 de la Ley de Seguridad Social para los Servidores Públicos del Estado de México y Municipios.</w:t>
      </w:r>
    </w:p>
    <w:p w14:paraId="4987B3D2" w14:textId="77777777" w:rsidR="00E35623" w:rsidRPr="00686FB4" w:rsidRDefault="00E35623" w:rsidP="00FF51E8">
      <w:pPr>
        <w:spacing w:after="0" w:line="360" w:lineRule="auto"/>
        <w:ind w:right="49"/>
        <w:jc w:val="both"/>
        <w:rPr>
          <w:rFonts w:ascii="Palatino Linotype" w:eastAsia="Palatino Linotype" w:hAnsi="Palatino Linotype" w:cs="Palatino Linotype"/>
          <w:bCs/>
          <w:lang w:val="es-ES"/>
        </w:rPr>
      </w:pPr>
    </w:p>
    <w:p w14:paraId="760A6903" w14:textId="77777777" w:rsidR="00E35623" w:rsidRPr="00686FB4" w:rsidRDefault="00E35623" w:rsidP="00FF51E8">
      <w:pPr>
        <w:spacing w:after="0" w:line="360" w:lineRule="auto"/>
        <w:ind w:right="49"/>
        <w:jc w:val="both"/>
        <w:rPr>
          <w:rFonts w:ascii="Palatino Linotype" w:eastAsia="Palatino Linotype" w:hAnsi="Palatino Linotype" w:cs="Palatino Linotype"/>
          <w:bCs/>
          <w:lang w:val="es-ES"/>
        </w:rPr>
      </w:pPr>
      <w:r w:rsidRPr="00686FB4">
        <w:rPr>
          <w:rFonts w:ascii="Palatino Linotype" w:eastAsia="Palatino Linotype" w:hAnsi="Palatino Linotype" w:cs="Palatino Linotype"/>
          <w:bCs/>
          <w:lang w:val="es-ES"/>
        </w:rPr>
        <w:t>El artículo 9° del mismo ordenamiento, dispone que el ISSEMYM expedirá documentos de identificación para facilitar el acceso a las prestaciones a que tengan derecho. En este orden de ideas, el artículo 158, fracción I del Reglamento de Servicios de Salud del Instituto de Seguridad Social del Estado de México y Municipios, establece que es obligación de los derechohabientes tramitar la credencial que los acredite como tal, la cual será de naturaleza personal e intransferible. En esta credencial se consignan diversos datos personales y se le asigna una clave para hacer identificable al trabajador con el objetivo de poder proporcionar los servicios que brinda el ISSEMYM.</w:t>
      </w:r>
    </w:p>
    <w:p w14:paraId="086B7D3F" w14:textId="77777777" w:rsidR="00E35623" w:rsidRPr="00686FB4" w:rsidRDefault="00E35623" w:rsidP="00FF51E8">
      <w:pPr>
        <w:spacing w:after="0" w:line="360" w:lineRule="auto"/>
        <w:ind w:right="49"/>
        <w:jc w:val="both"/>
        <w:rPr>
          <w:rFonts w:ascii="Palatino Linotype" w:eastAsia="Palatino Linotype" w:hAnsi="Palatino Linotype" w:cs="Palatino Linotype"/>
          <w:bCs/>
          <w:lang w:val="es-ES"/>
        </w:rPr>
      </w:pPr>
    </w:p>
    <w:p w14:paraId="1EB095C2" w14:textId="77777777" w:rsidR="00E35623" w:rsidRPr="00686FB4" w:rsidRDefault="00E35623" w:rsidP="00FF51E8">
      <w:pPr>
        <w:spacing w:after="0" w:line="360" w:lineRule="auto"/>
        <w:ind w:right="49"/>
        <w:jc w:val="both"/>
        <w:rPr>
          <w:rFonts w:ascii="Palatino Linotype" w:eastAsia="Palatino Linotype" w:hAnsi="Palatino Linotype" w:cs="Palatino Linotype"/>
          <w:bCs/>
          <w:lang w:val="es-ES"/>
        </w:rPr>
      </w:pPr>
      <w:r w:rsidRPr="00686FB4">
        <w:rPr>
          <w:rFonts w:ascii="Palatino Linotype" w:eastAsia="Palatino Linotype" w:hAnsi="Palatino Linotype" w:cs="Palatino Linotype"/>
          <w:bCs/>
          <w:lang w:val="es-ES"/>
        </w:rPr>
        <w:t>Como se advierte, la clave ISSEMYM es un dato personal que permite identificar que una persona ya trabajó o trabaja en alguna institución pública del Estado de México, por la que tiene o tuvo derecho a esta prestación de seguridad social; es de destacar que la clave ISSEMYM no cambia, aunque el trabajador se dé de baja y alta en diversas ocasiones, con motivo de haber trabajado en diferentes instituciones públicas de la Entidad.</w:t>
      </w:r>
    </w:p>
    <w:p w14:paraId="776DEBF8" w14:textId="77777777" w:rsidR="00E35623" w:rsidRPr="00686FB4" w:rsidRDefault="00E35623" w:rsidP="00FF51E8">
      <w:pPr>
        <w:spacing w:after="0" w:line="360" w:lineRule="auto"/>
        <w:ind w:right="49"/>
        <w:jc w:val="both"/>
        <w:rPr>
          <w:rFonts w:ascii="Palatino Linotype" w:eastAsia="Palatino Linotype" w:hAnsi="Palatino Linotype" w:cs="Palatino Linotype"/>
          <w:bCs/>
          <w:lang w:val="es-ES"/>
        </w:rPr>
      </w:pPr>
    </w:p>
    <w:p w14:paraId="4F0287A6" w14:textId="42720BB1" w:rsidR="00E35623" w:rsidRPr="00686FB4" w:rsidRDefault="00E35623" w:rsidP="00FF51E8">
      <w:pPr>
        <w:spacing w:after="0" w:line="360" w:lineRule="auto"/>
        <w:ind w:right="49"/>
        <w:jc w:val="both"/>
        <w:rPr>
          <w:rFonts w:ascii="Palatino Linotype" w:eastAsia="Palatino Linotype" w:hAnsi="Palatino Linotype" w:cs="Palatino Linotype"/>
          <w:bCs/>
          <w:lang w:val="es-ES"/>
        </w:rPr>
      </w:pPr>
      <w:r w:rsidRPr="00686FB4">
        <w:rPr>
          <w:rFonts w:ascii="Palatino Linotype" w:eastAsia="Palatino Linotype" w:hAnsi="Palatino Linotype" w:cs="Palatino Linotype"/>
          <w:bCs/>
          <w:lang w:val="es-ES"/>
        </w:rPr>
        <w:t xml:space="preserve">Contar con la prestación de seguridad social que brinda el ISSEMYM no es una obligación para entrar a trabajar a una institución pública, por el contrario es un derecho que se adquiere cuando se ingresa al servicio público, por tal motivo, </w:t>
      </w:r>
      <w:r w:rsidRPr="00686FB4">
        <w:rPr>
          <w:rFonts w:ascii="Palatino Linotype" w:eastAsia="Palatino Linotype" w:hAnsi="Palatino Linotype" w:cs="Palatino Linotype"/>
          <w:b/>
          <w:lang w:val="es-ES"/>
        </w:rPr>
        <w:t>es un dato personal confidencial,</w:t>
      </w:r>
      <w:r w:rsidRPr="00686FB4">
        <w:rPr>
          <w:rFonts w:ascii="Palatino Linotype" w:eastAsia="Palatino Linotype" w:hAnsi="Palatino Linotype" w:cs="Palatino Linotype"/>
          <w:bCs/>
          <w:lang w:val="es-ES"/>
        </w:rPr>
        <w:t xml:space="preserve"> </w:t>
      </w:r>
      <w:r w:rsidRPr="00686FB4">
        <w:rPr>
          <w:rFonts w:ascii="Palatino Linotype" w:eastAsia="Palatino Linotype" w:hAnsi="Palatino Linotype" w:cs="Palatino Linotype"/>
          <w:b/>
          <w:lang w:val="es-ES"/>
        </w:rPr>
        <w:t>por lo que es procedente su eliminación</w:t>
      </w:r>
      <w:r w:rsidRPr="00686FB4">
        <w:rPr>
          <w:rFonts w:ascii="Palatino Linotype" w:eastAsia="Palatino Linotype" w:hAnsi="Palatino Linotype" w:cs="Palatino Linotype"/>
          <w:bCs/>
          <w:lang w:val="es-ES"/>
        </w:rPr>
        <w:t xml:space="preserve"> en las versiones públicas, toda vez que actualiza el supuesto de confidencialidad del artículo 143, fracción I de la Ley de Transparencia y Acceso a la Información Pública del Estado de México y Municipios.</w:t>
      </w:r>
    </w:p>
    <w:p w14:paraId="7C6B7F14" w14:textId="77777777" w:rsidR="00E35623" w:rsidRPr="00686FB4" w:rsidRDefault="00E35623" w:rsidP="00FF51E8">
      <w:pPr>
        <w:spacing w:after="0" w:line="360" w:lineRule="auto"/>
        <w:ind w:right="49"/>
        <w:jc w:val="both"/>
        <w:rPr>
          <w:rFonts w:ascii="Palatino Linotype" w:eastAsia="Palatino Linotype" w:hAnsi="Palatino Linotype" w:cs="Palatino Linotype"/>
          <w:lang w:val="es-ES"/>
        </w:rPr>
      </w:pPr>
    </w:p>
    <w:p w14:paraId="383BBE32" w14:textId="358B5E50" w:rsidR="003024DE" w:rsidRPr="00686FB4" w:rsidRDefault="003024DE" w:rsidP="00FF51E8">
      <w:pPr>
        <w:pStyle w:val="Prrafodelista"/>
        <w:numPr>
          <w:ilvl w:val="0"/>
          <w:numId w:val="17"/>
        </w:numPr>
        <w:spacing w:after="0" w:line="360" w:lineRule="auto"/>
        <w:ind w:right="49"/>
        <w:jc w:val="both"/>
        <w:rPr>
          <w:rFonts w:ascii="Palatino Linotype" w:eastAsia="Palatino Linotype" w:hAnsi="Palatino Linotype" w:cs="Palatino Linotype"/>
          <w:b/>
          <w:bCs/>
          <w:lang w:val="es-ES"/>
        </w:rPr>
      </w:pPr>
      <w:r w:rsidRPr="00686FB4">
        <w:rPr>
          <w:rFonts w:ascii="Palatino Linotype" w:eastAsia="Palatino Linotype" w:hAnsi="Palatino Linotype" w:cs="Palatino Linotype"/>
          <w:b/>
          <w:bCs/>
          <w:lang w:val="es-ES"/>
        </w:rPr>
        <w:t>Firma de servidores públicos</w:t>
      </w:r>
    </w:p>
    <w:p w14:paraId="2E7BE942" w14:textId="77777777" w:rsidR="003024DE" w:rsidRPr="00686FB4" w:rsidRDefault="003024D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rPr>
        <w:t>En relación a la</w:t>
      </w:r>
      <w:r w:rsidRPr="00686FB4">
        <w:rPr>
          <w:rFonts w:ascii="Palatino Linotype" w:eastAsia="Palatino Linotype" w:hAnsi="Palatino Linotype" w:cs="Palatino Linotype"/>
          <w:b/>
        </w:rPr>
        <w:t xml:space="preserve"> </w:t>
      </w:r>
      <w:r w:rsidRPr="00686FB4">
        <w:rPr>
          <w:rFonts w:ascii="Palatino Linotype" w:eastAsia="Palatino Linotype" w:hAnsi="Palatino Linotype" w:cs="Palatino Linotype"/>
          <w:bCs/>
          <w:i/>
        </w:rPr>
        <w:t>Firma de servidores públicos,</w:t>
      </w:r>
      <w:r w:rsidRPr="00686FB4">
        <w:rPr>
          <w:rFonts w:ascii="Palatino Linotype" w:eastAsia="Palatino Linotype" w:hAnsi="Palatino Linotype" w:cs="Palatino Linotype"/>
          <w:bCs/>
        </w:rPr>
        <w:t xml:space="preserve"> resulta</w:t>
      </w:r>
      <w:r w:rsidRPr="00686FB4">
        <w:rPr>
          <w:rFonts w:ascii="Palatino Linotype" w:eastAsia="Palatino Linotype" w:hAnsi="Palatino Linotype" w:cs="Palatino Linotype"/>
        </w:rPr>
        <w:t xml:space="preserve"> procedente señalar que la </w:t>
      </w:r>
      <w:r w:rsidRPr="00686FB4">
        <w:rPr>
          <w:rFonts w:ascii="Palatino Linotype" w:eastAsia="Palatino Linotype" w:hAnsi="Palatino Linotype" w:cs="Palatino Linotype"/>
          <w:u w:val="single"/>
        </w:rPr>
        <w:t>firma</w:t>
      </w:r>
      <w:r w:rsidRPr="00686FB4">
        <w:rPr>
          <w:rFonts w:ascii="Palatino Linotype" w:eastAsia="Palatino Linotype" w:hAnsi="Palatino Linotype" w:cs="Palatino Linotype"/>
          <w:b/>
        </w:rPr>
        <w:t xml:space="preserve"> </w:t>
      </w:r>
      <w:r w:rsidRPr="00686FB4">
        <w:rPr>
          <w:rFonts w:ascii="Palatino Linotype" w:eastAsia="Palatino Linotype" w:hAnsi="Palatino Linotype" w:cs="Palatino Linotype"/>
        </w:rPr>
        <w:t>constituye un dato personal confidencial y únicamente será público dicho dato cuando sirva para la emisión de un acto de autoridad, en ejercicio de sus funciones, en el caso se considera que al tratarse de recibos de nómina por la prestación de servicios como servidores públicos y realizar actividades laborales en una institución pública se considera que su firma es pública, ya que acepta la conformidad del pago por la prestación de sus servicios.</w:t>
      </w:r>
    </w:p>
    <w:p w14:paraId="62B05840" w14:textId="77777777" w:rsidR="003024DE" w:rsidRPr="00686FB4" w:rsidRDefault="003024DE" w:rsidP="00FF51E8">
      <w:pPr>
        <w:spacing w:after="0" w:line="360" w:lineRule="auto"/>
        <w:ind w:right="49"/>
        <w:jc w:val="both"/>
        <w:rPr>
          <w:rFonts w:ascii="Palatino Linotype" w:eastAsia="Palatino Linotype" w:hAnsi="Palatino Linotype" w:cs="Palatino Linotype"/>
          <w:lang w:val="es-ES"/>
        </w:rPr>
      </w:pPr>
    </w:p>
    <w:p w14:paraId="22366FD6" w14:textId="77777777" w:rsidR="003024DE" w:rsidRPr="00686FB4" w:rsidRDefault="003024DE"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De esta manera, se colige que </w:t>
      </w:r>
      <w:r w:rsidRPr="00686FB4">
        <w:rPr>
          <w:rFonts w:ascii="Palatino Linotype" w:eastAsia="Palatino Linotype" w:hAnsi="Palatino Linotype" w:cs="Palatino Linotype"/>
          <w:b/>
          <w:bCs/>
          <w:lang w:val="es-ES"/>
        </w:rPr>
        <w:t xml:space="preserve">la firma de servidores públicos, vinculada al ejercicio de la función pública </w:t>
      </w:r>
      <w:r w:rsidRPr="00686FB4">
        <w:rPr>
          <w:rFonts w:ascii="Palatino Linotype" w:eastAsia="Palatino Linotype" w:hAnsi="Palatino Linotype" w:cs="Palatino Linotype"/>
          <w:b/>
          <w:bCs/>
          <w:u w:val="single"/>
          <w:lang w:val="es-ES"/>
        </w:rPr>
        <w:t>es información de naturaleza pública</w:t>
      </w:r>
      <w:r w:rsidRPr="00686FB4">
        <w:rPr>
          <w:rFonts w:ascii="Palatino Linotype" w:eastAsia="Palatino Linotype" w:hAnsi="Palatino Linotype" w:cs="Palatino Linotype"/>
          <w:lang w:val="es-ES"/>
        </w:rPr>
        <w:t>, pues documenta y rinde cuentas sobre el debido ejercicio de los recursos públicos en contraprestación a sus servicios prestados.</w:t>
      </w:r>
    </w:p>
    <w:p w14:paraId="1D6D1D64" w14:textId="77777777" w:rsidR="003024DE" w:rsidRPr="00686FB4" w:rsidRDefault="003024DE" w:rsidP="00FF51E8">
      <w:pPr>
        <w:spacing w:after="0" w:line="360" w:lineRule="auto"/>
        <w:ind w:right="49"/>
        <w:jc w:val="both"/>
        <w:rPr>
          <w:rFonts w:ascii="Palatino Linotype" w:eastAsia="Palatino Linotype" w:hAnsi="Palatino Linotype" w:cs="Palatino Linotype"/>
          <w:lang w:val="es-ES"/>
        </w:rPr>
      </w:pPr>
    </w:p>
    <w:p w14:paraId="7E0D4517" w14:textId="400072D5" w:rsidR="003024DE" w:rsidRPr="00686FB4" w:rsidRDefault="003024DE"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La publicidad de dicho dato, se robustece, con el Criterio de Interpretación, de la Segunda Época, con clave de control SO/002/2019, emitido por el entonces Instituto Nacional de Transparencia, Acceso a la Información y Protección de Datos Personales, que establece lo siguiente:</w:t>
      </w:r>
    </w:p>
    <w:p w14:paraId="1DF412D6" w14:textId="77777777" w:rsidR="003024DE" w:rsidRPr="00686FB4" w:rsidRDefault="003024DE"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lang w:val="es-ES"/>
        </w:rPr>
        <w:t> </w:t>
      </w:r>
      <w:r w:rsidRPr="00686FB4">
        <w:rPr>
          <w:rFonts w:ascii="Palatino Linotype" w:eastAsia="Palatino Linotype" w:hAnsi="Palatino Linotype" w:cs="Palatino Linotype"/>
          <w:b/>
          <w:i/>
          <w:lang w:val="es-ES"/>
        </w:rPr>
        <w:t>“Firma y rúbrica de servidores públicos.</w:t>
      </w:r>
      <w:r w:rsidRPr="00686FB4">
        <w:rPr>
          <w:rFonts w:ascii="Palatino Linotype" w:eastAsia="Palatino Linotype" w:hAnsi="Palatino Linotype" w:cs="Palatino Linotype"/>
          <w:i/>
          <w:lang w:val="es-ES"/>
        </w:rPr>
        <w:t> Si bien la firma y la rúbrica son datos personales confidenciales, cuando un servidor público emite un acto como autoridad, en ejercicio de las funciones que tiene conferidas, la firma o rúbrica mediante la cual se valida dicho acto es pública.”</w:t>
      </w:r>
    </w:p>
    <w:p w14:paraId="2FD01B70" w14:textId="77777777" w:rsidR="003024DE" w:rsidRPr="00686FB4" w:rsidRDefault="003024DE" w:rsidP="00FF51E8">
      <w:pPr>
        <w:spacing w:after="0" w:line="360" w:lineRule="auto"/>
        <w:ind w:right="49"/>
        <w:jc w:val="both"/>
        <w:rPr>
          <w:rFonts w:ascii="Palatino Linotype" w:eastAsia="Palatino Linotype" w:hAnsi="Palatino Linotype" w:cs="Palatino Linotype"/>
          <w:lang w:val="es-ES"/>
        </w:rPr>
      </w:pPr>
    </w:p>
    <w:p w14:paraId="7371A5DB" w14:textId="77777777" w:rsidR="00881274" w:rsidRPr="00686FB4" w:rsidRDefault="00881274" w:rsidP="00FF51E8">
      <w:pPr>
        <w:numPr>
          <w:ilvl w:val="0"/>
          <w:numId w:val="17"/>
        </w:numPr>
        <w:spacing w:after="0" w:line="360" w:lineRule="auto"/>
        <w:ind w:right="49"/>
        <w:jc w:val="both"/>
        <w:rPr>
          <w:rFonts w:ascii="Palatino Linotype" w:eastAsia="Palatino Linotype" w:hAnsi="Palatino Linotype" w:cs="Palatino Linotype"/>
          <w:b/>
        </w:rPr>
      </w:pPr>
      <w:r w:rsidRPr="00686FB4">
        <w:rPr>
          <w:rFonts w:ascii="Palatino Linotype" w:eastAsia="Palatino Linotype" w:hAnsi="Palatino Linotype" w:cs="Palatino Linotype"/>
          <w:b/>
        </w:rPr>
        <w:t>Código QR</w:t>
      </w:r>
    </w:p>
    <w:p w14:paraId="69F4B1C0"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Los comprobantes fiscales digitales por Internet, deben de incluir un código bidimensional conforme al formato </w:t>
      </w:r>
      <w:r w:rsidRPr="00686FB4">
        <w:rPr>
          <w:rFonts w:ascii="Palatino Linotype" w:eastAsia="Palatino Linotype" w:hAnsi="Palatino Linotype" w:cs="Palatino Linotype"/>
          <w:i/>
          <w:lang w:val="es-ES"/>
        </w:rPr>
        <w:t>QR Code (Quick Response Code)</w:t>
      </w:r>
      <w:r w:rsidRPr="00686FB4">
        <w:rPr>
          <w:rFonts w:ascii="Palatino Linotype" w:eastAsia="Palatino Linotype" w:hAnsi="Palatino Linotype" w:cs="Palatino Linotype"/>
          <w:lang w:val="es-ES"/>
        </w:rPr>
        <w:t xml:space="preserve">, el cual contiene el Registro Federal de Contribuyentes del receptor, del emisor, o de ambos; lo anterior, conforme al Anexo 20 de la Segunda Resolución de modificación a la Resolución Miscelánea Fiscal para el 2017, localizada en la página electrónica </w:t>
      </w:r>
      <w:hyperlink r:id="rId12" w:history="1">
        <w:r w:rsidRPr="00686FB4">
          <w:rPr>
            <w:rStyle w:val="Hipervnculo"/>
            <w:rFonts w:ascii="Palatino Linotype" w:eastAsia="Palatino Linotype" w:hAnsi="Palatino Linotype" w:cs="Palatino Linotype"/>
            <w:color w:val="auto"/>
            <w:lang w:val="es-ES"/>
          </w:rPr>
          <w:t>http://dof.gob.mx/nota_detalle.php?codigo=5492254&amp;fecha=28/07/2017</w:t>
        </w:r>
      </w:hyperlink>
      <w:r w:rsidRPr="00686FB4">
        <w:rPr>
          <w:rFonts w:ascii="Palatino Linotype" w:eastAsia="Palatino Linotype" w:hAnsi="Palatino Linotype" w:cs="Palatino Linotype"/>
          <w:lang w:val="es-ES"/>
        </w:rPr>
        <w:t>. Incluso con la captura de dicho código, a través de la aplicación móvil del Servicio de Administración Tributaria, permite el acceso al Registro Federal de Contribuyentes, como del Sujeto Obligado, como de los servidores públicos.</w:t>
      </w:r>
    </w:p>
    <w:p w14:paraId="6B5401DE"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p>
    <w:p w14:paraId="10D889CD"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De tales circunstancias, se considera que </w:t>
      </w:r>
      <w:r w:rsidRPr="00686FB4">
        <w:rPr>
          <w:rFonts w:ascii="Palatino Linotype" w:eastAsia="Palatino Linotype" w:hAnsi="Palatino Linotype" w:cs="Palatino Linotype"/>
          <w:b/>
          <w:bCs/>
          <w:lang w:val="es-ES"/>
        </w:rPr>
        <w:t>dicho dato actualiza la causal de clasificación prevista en el artículo 143, fracción I de la Ley de la materia</w:t>
      </w:r>
      <w:r w:rsidRPr="00686FB4">
        <w:rPr>
          <w:rFonts w:ascii="Palatino Linotype" w:eastAsia="Palatino Linotype" w:hAnsi="Palatino Linotype" w:cs="Palatino Linotype"/>
          <w:lang w:val="es-ES"/>
        </w:rPr>
        <w:t>, toda vez que da acceso al Registro Federal de Contribuyentes de los servidores públicos del Sujeto Obligado, datos que son clasificados.</w:t>
      </w:r>
      <w:bookmarkStart w:id="5" w:name="_heading=h.fch3unp5vro1"/>
      <w:bookmarkEnd w:id="5"/>
    </w:p>
    <w:p w14:paraId="5E2B4387"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p>
    <w:p w14:paraId="3CCA8BE0" w14:textId="77777777" w:rsidR="00881274" w:rsidRPr="00686FB4" w:rsidRDefault="00881274" w:rsidP="00FF51E8">
      <w:pPr>
        <w:numPr>
          <w:ilvl w:val="0"/>
          <w:numId w:val="17"/>
        </w:numPr>
        <w:spacing w:after="0" w:line="360" w:lineRule="auto"/>
        <w:ind w:right="49"/>
        <w:jc w:val="both"/>
        <w:rPr>
          <w:rFonts w:ascii="Palatino Linotype" w:eastAsia="Palatino Linotype" w:hAnsi="Palatino Linotype" w:cs="Palatino Linotype"/>
          <w:b/>
        </w:rPr>
      </w:pPr>
      <w:r w:rsidRPr="00686FB4">
        <w:rPr>
          <w:rFonts w:ascii="Palatino Linotype" w:eastAsia="Palatino Linotype" w:hAnsi="Palatino Linotype" w:cs="Palatino Linotype"/>
          <w:b/>
        </w:rPr>
        <w:t xml:space="preserve">Sellos digitales del emisor y del Servicio de Administración Tributaria y cadena original del complemento de certificación digital del órgano previamente señalado; así como folio fiscal. </w:t>
      </w:r>
    </w:p>
    <w:p w14:paraId="4164F78D"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bCs/>
          <w:u w:val="single"/>
          <w:lang w:val="es-ES"/>
        </w:rPr>
        <w:t>Cuando, de la secuencia de números y letras, no se advierta un Registro Federal de Contribuyentes o una Clave Única de Registro de Población, que pueda hacer identificable al titular del dato personal, no puede tenerse como dato personal</w:t>
      </w:r>
      <w:r w:rsidRPr="00686FB4">
        <w:rPr>
          <w:rFonts w:ascii="Palatino Linotype" w:eastAsia="Palatino Linotype" w:hAnsi="Palatino Linotype" w:cs="Palatino Linotype"/>
          <w:lang w:val="es-ES"/>
        </w:rPr>
        <w:t xml:space="preserve"> y por ende información confidencial. Por el contrario, debe considerarse que esta información incluida en los documentos fiscales, constituyen un elemento adicional que permite a cualquier persona verificar la legitimidad del documento entregado en una solicitud de acceso a la información y, por sí solos no contienen datos personales susceptibles de clasificación, ya que no hacen identificado o identificable a su titular, pues dichos datos sólo son de utilidad de manera directa a la Secretaría de Hacienda y Crédito Público y si bien, dichas cadenas sí derivan de la información personal de los contribuyentes, esta se encuentra encriptada como se verá a continuación.</w:t>
      </w:r>
    </w:p>
    <w:p w14:paraId="5979BAA2"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p>
    <w:p w14:paraId="2DF9AD99"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Las cadenas originales y sellos que se agregan a las facturas tienen una secuencia de generación, determinados con base en el ANEXO 20 de la Segunda Resolución de modificaciones a la Resolución Miscelánea Fiscal para dos mil diecisiete, publicada en el Diario Oficial de la Federación el dieciocho de julio de dos mil diecisiete, que precisa los datos de los que se componen los elementos de seguridad y se puntualiza que dicha información está encriptada.</w:t>
      </w:r>
    </w:p>
    <w:p w14:paraId="5E858AC4" w14:textId="77777777" w:rsidR="00881274" w:rsidRPr="00686FB4" w:rsidRDefault="00881274" w:rsidP="00FF51E8">
      <w:pPr>
        <w:spacing w:after="0" w:line="360" w:lineRule="auto"/>
        <w:ind w:right="49"/>
        <w:jc w:val="both"/>
        <w:rPr>
          <w:rFonts w:ascii="Palatino Linotype" w:eastAsia="Palatino Linotype" w:hAnsi="Palatino Linotype" w:cs="Palatino Linotype"/>
          <w:i/>
          <w:lang w:val="es-ES"/>
        </w:rPr>
      </w:pPr>
    </w:p>
    <w:p w14:paraId="44296648" w14:textId="77777777" w:rsidR="00881274" w:rsidRPr="00686FB4" w:rsidRDefault="00881274"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lang w:val="es-ES"/>
        </w:rPr>
        <w:t>“Elementos utilizados en la generación de Sellos Digitales:</w:t>
      </w:r>
    </w:p>
    <w:p w14:paraId="0345B346" w14:textId="77777777" w:rsidR="00881274" w:rsidRPr="00686FB4" w:rsidRDefault="00881274"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lang w:val="es-ES"/>
        </w:rPr>
        <w:t>•</w:t>
      </w:r>
      <w:r w:rsidRPr="00686FB4">
        <w:rPr>
          <w:rFonts w:ascii="Palatino Linotype" w:eastAsia="Palatino Linotype" w:hAnsi="Palatino Linotype" w:cs="Palatino Linotype"/>
          <w:i/>
          <w:lang w:val="es-ES"/>
        </w:rPr>
        <w:tab/>
        <w:t>Cadena Original, el elemento a sellar, en este caso de un comprobante fiscal digital a través de Internet.</w:t>
      </w:r>
    </w:p>
    <w:p w14:paraId="23FB331D" w14:textId="77777777" w:rsidR="00881274" w:rsidRPr="00686FB4" w:rsidRDefault="00881274"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lang w:val="es-ES"/>
        </w:rPr>
        <w:t>•</w:t>
      </w:r>
      <w:r w:rsidRPr="00686FB4">
        <w:rPr>
          <w:rFonts w:ascii="Palatino Linotype" w:eastAsia="Palatino Linotype" w:hAnsi="Palatino Linotype" w:cs="Palatino Linotype"/>
          <w:i/>
          <w:lang w:val="es-ES"/>
        </w:rPr>
        <w:tab/>
        <w:t>Certificado de Sello Digital y su correspondiente clave privada.</w:t>
      </w:r>
    </w:p>
    <w:p w14:paraId="76E4993B" w14:textId="77777777" w:rsidR="00881274" w:rsidRPr="00686FB4" w:rsidRDefault="00881274"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lang w:val="es-ES"/>
        </w:rPr>
        <w:t>•</w:t>
      </w:r>
      <w:r w:rsidRPr="00686FB4">
        <w:rPr>
          <w:rFonts w:ascii="Palatino Linotype" w:eastAsia="Palatino Linotype" w:hAnsi="Palatino Linotype" w:cs="Palatino Linotype"/>
          <w:i/>
          <w:lang w:val="es-ES"/>
        </w:rPr>
        <w:tab/>
        <w:t>Algoritmos de criptografía de clave pública para firma electrónica avanzada.</w:t>
      </w:r>
    </w:p>
    <w:p w14:paraId="3AD75808" w14:textId="77777777" w:rsidR="00881274" w:rsidRPr="00686FB4" w:rsidRDefault="00881274"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lang w:val="es-ES"/>
        </w:rPr>
        <w:t>•</w:t>
      </w:r>
      <w:r w:rsidRPr="00686FB4">
        <w:rPr>
          <w:rFonts w:ascii="Palatino Linotype" w:eastAsia="Palatino Linotype" w:hAnsi="Palatino Linotype" w:cs="Palatino Linotype"/>
          <w:i/>
          <w:lang w:val="es-ES"/>
        </w:rPr>
        <w:tab/>
        <w:t>Especificaciones de conversión de la firma electrónica avanzada a Base 64.</w:t>
      </w:r>
    </w:p>
    <w:p w14:paraId="7258FE73" w14:textId="77777777" w:rsidR="00881274" w:rsidRPr="00686FB4" w:rsidRDefault="00881274"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lang w:val="es-ES"/>
        </w:rPr>
        <w:t>Para la generación de sellos digitales se utiliza criptografía de clave pública aplicada a una cadena original.</w:t>
      </w:r>
    </w:p>
    <w:p w14:paraId="5B266FEC" w14:textId="77777777" w:rsidR="00881274" w:rsidRPr="00686FB4" w:rsidRDefault="00881274" w:rsidP="00FF51E8">
      <w:pPr>
        <w:spacing w:after="0"/>
        <w:ind w:left="851" w:right="709"/>
        <w:jc w:val="both"/>
        <w:rPr>
          <w:rFonts w:ascii="Palatino Linotype" w:eastAsia="Palatino Linotype" w:hAnsi="Palatino Linotype" w:cs="Palatino Linotype"/>
          <w:i/>
          <w:lang w:val="es-ES"/>
        </w:rPr>
      </w:pPr>
    </w:p>
    <w:p w14:paraId="6CA08B2C" w14:textId="77777777" w:rsidR="00881274" w:rsidRPr="00686FB4" w:rsidRDefault="00881274"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lang w:val="es-ES"/>
        </w:rPr>
        <w:t>Criptografía de la Clave Pública</w:t>
      </w:r>
    </w:p>
    <w:p w14:paraId="6607FA0A" w14:textId="77777777" w:rsidR="00881274" w:rsidRPr="00686FB4" w:rsidRDefault="00881274" w:rsidP="00FF51E8">
      <w:pPr>
        <w:spacing w:after="0"/>
        <w:ind w:left="851" w:right="709"/>
        <w:jc w:val="both"/>
        <w:rPr>
          <w:rFonts w:ascii="Palatino Linotype" w:eastAsia="Palatino Linotype" w:hAnsi="Palatino Linotype" w:cs="Palatino Linotype"/>
          <w:i/>
          <w:lang w:val="es-ES"/>
        </w:rPr>
      </w:pPr>
      <w:r w:rsidRPr="00686FB4">
        <w:rPr>
          <w:rFonts w:ascii="Palatino Linotype" w:eastAsia="Palatino Linotype" w:hAnsi="Palatino Linotype" w:cs="Palatino Linotype"/>
          <w:i/>
          <w:lang w:val="es-ES"/>
        </w:rPr>
        <w:t>La criptografía de Clave Pública se basa en la generación de una pareja de números muy grandes relacionados íntimamente entre sí, de tal manera que una operación de encripción sobre un mensaje tomando como clave de encripción a uno de los dos números, produce un mensaje alterado en su significado que solo puede ser devuelto a su estado original mediante la operación de desencripción correspondiente tomando como clave de desencripción al otro número de la pareja.”</w:t>
      </w:r>
    </w:p>
    <w:p w14:paraId="5B103091"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w:t>
      </w:r>
    </w:p>
    <w:p w14:paraId="172409D6"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Es decir, por sí solos </w:t>
      </w:r>
      <w:r w:rsidRPr="00686FB4">
        <w:rPr>
          <w:rFonts w:ascii="Palatino Linotype" w:eastAsia="Palatino Linotype" w:hAnsi="Palatino Linotype" w:cs="Palatino Linotype"/>
          <w:b/>
          <w:bCs/>
          <w:lang w:val="es-ES"/>
        </w:rPr>
        <w:t>las cadenas originales y los sellos originales no contienen datos personales confidenciales,</w:t>
      </w:r>
      <w:r w:rsidRPr="00686FB4">
        <w:rPr>
          <w:rFonts w:ascii="Palatino Linotype" w:eastAsia="Palatino Linotype" w:hAnsi="Palatino Linotype" w:cs="Palatino Linotype"/>
          <w:lang w:val="es-ES"/>
        </w:rPr>
        <w:t xml:space="preserve"> por lo que se considera que </w:t>
      </w:r>
      <w:r w:rsidRPr="00686FB4">
        <w:rPr>
          <w:rFonts w:ascii="Palatino Linotype" w:eastAsia="Palatino Linotype" w:hAnsi="Palatino Linotype" w:cs="Palatino Linotype"/>
          <w:b/>
          <w:bCs/>
          <w:u w:val="single"/>
          <w:lang w:val="es-ES"/>
        </w:rPr>
        <w:t>no actualizan en supuesto de confidencialida</w:t>
      </w:r>
      <w:r w:rsidRPr="00686FB4">
        <w:rPr>
          <w:rFonts w:ascii="Palatino Linotype" w:eastAsia="Palatino Linotype" w:hAnsi="Palatino Linotype" w:cs="Palatino Linotype"/>
          <w:b/>
          <w:bCs/>
          <w:lang w:val="es-ES"/>
        </w:rPr>
        <w:t>d</w:t>
      </w:r>
      <w:r w:rsidRPr="00686FB4">
        <w:rPr>
          <w:rFonts w:ascii="Palatino Linotype" w:eastAsia="Palatino Linotype" w:hAnsi="Palatino Linotype" w:cs="Palatino Linotype"/>
          <w:lang w:val="es-ES"/>
        </w:rPr>
        <w:t xml:space="preserve"> previsto en el artículo 143, fracción I, de la Ley de Transparencia y Acceso a la Información Pública del Estado de México y Municipios y, por el contrario, son información que permite corroborar la legitimidad de la factura, de ser el caso, por lo que guardan el carácter de público.</w:t>
      </w:r>
    </w:p>
    <w:p w14:paraId="5C9A2471"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p>
    <w:p w14:paraId="2074EAC1"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Por otra parte, por lo que hace </w:t>
      </w:r>
      <w:r w:rsidRPr="00686FB4">
        <w:rPr>
          <w:rFonts w:ascii="Palatino Linotype" w:eastAsia="Palatino Linotype" w:hAnsi="Palatino Linotype" w:cs="Palatino Linotype"/>
          <w:b/>
          <w:bCs/>
          <w:lang w:val="es-ES"/>
        </w:rPr>
        <w:t>Folio Fiscal</w:t>
      </w:r>
      <w:r w:rsidRPr="00686FB4">
        <w:rPr>
          <w:rFonts w:ascii="Palatino Linotype" w:eastAsia="Palatino Linotype" w:hAnsi="Palatino Linotype" w:cs="Palatino Linotype"/>
          <w:lang w:val="es-ES"/>
        </w:rPr>
        <w:t xml:space="preserve">, cabe precisar que conforme al ANEXO 20 de la Segunda Resolución de modificaciones a la Resolución Miscelánea Fiscal para dos mil diecisiete, el folio fiscal se conforma de treinta seis caracteres alfanuméricos; además, que conforme al documento denominado </w:t>
      </w:r>
      <w:r w:rsidRPr="00686FB4">
        <w:rPr>
          <w:rFonts w:ascii="Palatino Linotype" w:eastAsia="Palatino Linotype" w:hAnsi="Palatino Linotype" w:cs="Palatino Linotype"/>
          <w:i/>
          <w:iCs/>
          <w:lang w:val="es-ES"/>
        </w:rPr>
        <w:t>“Cómo ubicar el Folio Fiscal en una factura”,</w:t>
      </w:r>
      <w:r w:rsidRPr="00686FB4">
        <w:rPr>
          <w:rFonts w:ascii="Palatino Linotype" w:eastAsia="Palatino Linotype" w:hAnsi="Palatino Linotype" w:cs="Palatino Linotype"/>
          <w:lang w:val="es-ES"/>
        </w:rPr>
        <w:t xml:space="preserve"> el dato se ubica dentro de los datos del emisor o en el recuadro de los datos de identificación del comprobante fiscal. Es un número consecutivo contenido en los comprobantes fiscales digitales, compuesto por 5 grupos de números y letras separados por guiones, tal como se muestra a continuación:</w:t>
      </w:r>
    </w:p>
    <w:p w14:paraId="2A3ABFEE" w14:textId="77777777" w:rsidR="003338E6" w:rsidRPr="00686FB4" w:rsidRDefault="003338E6" w:rsidP="00FF51E8">
      <w:pPr>
        <w:spacing w:after="0" w:line="360" w:lineRule="auto"/>
        <w:ind w:right="49"/>
        <w:jc w:val="both"/>
        <w:rPr>
          <w:rFonts w:ascii="Palatino Linotype" w:eastAsia="Palatino Linotype" w:hAnsi="Palatino Linotype" w:cs="Palatino Linotype"/>
          <w:lang w:val="es-ES"/>
        </w:rPr>
      </w:pPr>
    </w:p>
    <w:p w14:paraId="405EB093" w14:textId="7A644323" w:rsidR="00881274" w:rsidRPr="00686FB4" w:rsidRDefault="00881274" w:rsidP="00FF51E8">
      <w:pPr>
        <w:spacing w:after="0" w:line="360" w:lineRule="auto"/>
        <w:ind w:right="49"/>
        <w:jc w:val="center"/>
        <w:rPr>
          <w:rFonts w:ascii="Palatino Linotype" w:eastAsia="Palatino Linotype" w:hAnsi="Palatino Linotype" w:cs="Palatino Linotype"/>
          <w:lang w:val="es-ES"/>
        </w:rPr>
      </w:pPr>
      <w:r w:rsidRPr="00686FB4">
        <w:rPr>
          <w:rFonts w:ascii="Palatino Linotype" w:eastAsia="Palatino Linotype" w:hAnsi="Palatino Linotype" w:cs="Palatino Linotype"/>
          <w:noProof/>
        </w:rPr>
        <w:drawing>
          <wp:inline distT="0" distB="0" distL="0" distR="0" wp14:anchorId="50DEE8D7" wp14:editId="776BB74F">
            <wp:extent cx="4772025" cy="352425"/>
            <wp:effectExtent l="0" t="0" r="9525" b="9525"/>
            <wp:docPr id="97735652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3">
                      <a:extLst>
                        <a:ext uri="{28A0092B-C50C-407E-A947-70E740481C1C}">
                          <a14:useLocalDpi xmlns:a14="http://schemas.microsoft.com/office/drawing/2010/main" val="0"/>
                        </a:ext>
                      </a:extLst>
                    </a:blip>
                    <a:srcRect t="40504" r="32587" b="47481"/>
                    <a:stretch>
                      <a:fillRect/>
                    </a:stretch>
                  </pic:blipFill>
                  <pic:spPr bwMode="auto">
                    <a:xfrm>
                      <a:off x="0" y="0"/>
                      <a:ext cx="4772025" cy="352425"/>
                    </a:xfrm>
                    <a:prstGeom prst="rect">
                      <a:avLst/>
                    </a:prstGeom>
                    <a:noFill/>
                    <a:ln>
                      <a:noFill/>
                    </a:ln>
                  </pic:spPr>
                </pic:pic>
              </a:graphicData>
            </a:graphic>
          </wp:inline>
        </w:drawing>
      </w:r>
    </w:p>
    <w:p w14:paraId="194B7DF4" w14:textId="77777777" w:rsidR="003338E6" w:rsidRPr="00686FB4" w:rsidRDefault="003338E6" w:rsidP="00FF51E8">
      <w:pPr>
        <w:spacing w:after="0" w:line="360" w:lineRule="auto"/>
        <w:ind w:right="49"/>
        <w:jc w:val="center"/>
        <w:rPr>
          <w:rFonts w:ascii="Palatino Linotype" w:eastAsia="Palatino Linotype" w:hAnsi="Palatino Linotype" w:cs="Palatino Linotype"/>
          <w:lang w:val="es-ES"/>
        </w:rPr>
      </w:pPr>
    </w:p>
    <w:p w14:paraId="0BA8D5AA" w14:textId="77777777"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En ese contexto, de la misma manera que en los casos previamente analizados, el </w:t>
      </w:r>
      <w:r w:rsidRPr="00686FB4">
        <w:rPr>
          <w:rFonts w:ascii="Palatino Linotype" w:eastAsia="Palatino Linotype" w:hAnsi="Palatino Linotype" w:cs="Palatino Linotype"/>
          <w:b/>
          <w:bCs/>
          <w:lang w:val="es-ES"/>
        </w:rPr>
        <w:t xml:space="preserve">folio fiscal, </w:t>
      </w:r>
      <w:r w:rsidRPr="00686FB4">
        <w:rPr>
          <w:rFonts w:ascii="Palatino Linotype" w:eastAsia="Palatino Linotype" w:hAnsi="Palatino Linotype" w:cs="Palatino Linotype"/>
          <w:b/>
          <w:bCs/>
          <w:u w:val="single"/>
          <w:lang w:val="es-ES"/>
        </w:rPr>
        <w:t>no contiene datos personales del emisor y tampoco se puede obtener información confidencial con el mismo,</w:t>
      </w:r>
      <w:r w:rsidRPr="00686FB4">
        <w:rPr>
          <w:rFonts w:ascii="Palatino Linotype" w:eastAsia="Palatino Linotype" w:hAnsi="Palatino Linotype" w:cs="Palatino Linotype"/>
          <w:lang w:val="es-ES"/>
        </w:rPr>
        <w:t xml:space="preserve"> pues solamente es un identificador del emisor, del cual su transparencia ayuda a legitimar que el documento cumple con todos los requisitos establecidos en la normatividad aplicable, sin necesidad algún dato personal, por lo que, </w:t>
      </w:r>
      <w:r w:rsidRPr="00686FB4">
        <w:rPr>
          <w:rFonts w:ascii="Palatino Linotype" w:eastAsia="Palatino Linotype" w:hAnsi="Palatino Linotype" w:cs="Palatino Linotype"/>
          <w:b/>
          <w:bCs/>
          <w:u w:val="single"/>
          <w:lang w:val="es-ES"/>
        </w:rPr>
        <w:t>tampoco actualiza la clasificación,</w:t>
      </w:r>
      <w:r w:rsidRPr="00686FB4">
        <w:rPr>
          <w:rFonts w:ascii="Palatino Linotype" w:eastAsia="Palatino Linotype" w:hAnsi="Palatino Linotype" w:cs="Palatino Linotype"/>
          <w:lang w:val="es-ES"/>
        </w:rPr>
        <w:t xml:space="preserve"> en términos del artículo 143, fracción I de la Ley de la materia. </w:t>
      </w:r>
    </w:p>
    <w:p w14:paraId="1B0306FA" w14:textId="77777777" w:rsidR="00E14FE5" w:rsidRPr="00686FB4" w:rsidRDefault="00E14FE5" w:rsidP="00FF51E8">
      <w:pPr>
        <w:spacing w:after="0" w:line="360" w:lineRule="auto"/>
        <w:ind w:right="49"/>
        <w:jc w:val="both"/>
        <w:rPr>
          <w:rFonts w:ascii="Palatino Linotype" w:eastAsia="Palatino Linotype" w:hAnsi="Palatino Linotype" w:cs="Palatino Linotype"/>
          <w:lang w:val="es-ES"/>
        </w:rPr>
      </w:pPr>
    </w:p>
    <w:p w14:paraId="6F8734F5" w14:textId="12DF7651" w:rsidR="00881274" w:rsidRPr="00686FB4" w:rsidRDefault="00881274" w:rsidP="00FF51E8">
      <w:pPr>
        <w:spacing w:after="0" w:line="360" w:lineRule="auto"/>
        <w:ind w:right="49"/>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De lo anteriormente transcrito, se concluye que la versión pública que remitió el </w:t>
      </w:r>
      <w:r w:rsidRPr="00686FB4">
        <w:rPr>
          <w:rFonts w:ascii="Palatino Linotype" w:eastAsia="Palatino Linotype" w:hAnsi="Palatino Linotype" w:cs="Palatino Linotype"/>
          <w:b/>
          <w:bCs/>
          <w:lang w:val="es-ES"/>
        </w:rPr>
        <w:t>Sujeto Obligado</w:t>
      </w:r>
      <w:r w:rsidRPr="00686FB4">
        <w:rPr>
          <w:rFonts w:ascii="Palatino Linotype" w:eastAsia="Palatino Linotype" w:hAnsi="Palatino Linotype" w:cs="Palatino Linotype"/>
          <w:lang w:val="es-ES"/>
        </w:rPr>
        <w:t xml:space="preserve"> resulta incorrecta, </w:t>
      </w:r>
      <w:r w:rsidR="00E14FE5" w:rsidRPr="00686FB4">
        <w:rPr>
          <w:rFonts w:ascii="Palatino Linotype" w:eastAsia="Palatino Linotype" w:hAnsi="Palatino Linotype" w:cs="Palatino Linotype"/>
          <w:lang w:val="es-ES"/>
        </w:rPr>
        <w:t>toda vez qu</w:t>
      </w:r>
      <w:r w:rsidRPr="00686FB4">
        <w:rPr>
          <w:rFonts w:ascii="Palatino Linotype" w:eastAsia="Palatino Linotype" w:hAnsi="Palatino Linotype" w:cs="Palatino Linotype"/>
          <w:lang w:val="es-ES"/>
        </w:rPr>
        <w:t>e clasificó información que es de carácter público, tal como sellos, cadenas digitales, folio fiscal</w:t>
      </w:r>
      <w:r w:rsidR="00AD0DD5" w:rsidRPr="00686FB4">
        <w:rPr>
          <w:rFonts w:ascii="Palatino Linotype" w:eastAsia="Palatino Linotype" w:hAnsi="Palatino Linotype" w:cs="Palatino Linotype"/>
          <w:lang w:val="es-ES"/>
        </w:rPr>
        <w:t xml:space="preserve"> y la </w:t>
      </w:r>
      <w:r w:rsidR="003024DE" w:rsidRPr="00686FB4">
        <w:rPr>
          <w:rFonts w:ascii="Palatino Linotype" w:eastAsia="Palatino Linotype" w:hAnsi="Palatino Linotype" w:cs="Palatino Linotype"/>
          <w:lang w:val="es-ES"/>
        </w:rPr>
        <w:t>firma de los servidores públicos</w:t>
      </w:r>
      <w:r w:rsidRPr="00686FB4">
        <w:rPr>
          <w:rFonts w:ascii="Palatino Linotype" w:eastAsia="Palatino Linotype" w:hAnsi="Palatino Linotype" w:cs="Palatino Linotype"/>
          <w:lang w:val="es-ES"/>
        </w:rPr>
        <w:t xml:space="preserve">; </w:t>
      </w:r>
      <w:r w:rsidR="00AD0DD5" w:rsidRPr="00686FB4">
        <w:rPr>
          <w:rFonts w:ascii="Palatino Linotype" w:eastAsia="Palatino Linotype" w:hAnsi="Palatino Linotype" w:cs="Palatino Linotype"/>
          <w:lang w:val="es-ES"/>
        </w:rPr>
        <w:t xml:space="preserve">así como </w:t>
      </w:r>
      <w:r w:rsidR="003024DE" w:rsidRPr="00686FB4">
        <w:rPr>
          <w:rFonts w:ascii="Palatino Linotype" w:eastAsia="Palatino Linotype" w:hAnsi="Palatino Linotype" w:cs="Palatino Linotype"/>
          <w:lang w:val="es-ES"/>
        </w:rPr>
        <w:t xml:space="preserve">tampoco </w:t>
      </w:r>
      <w:r w:rsidRPr="00686FB4">
        <w:rPr>
          <w:rFonts w:ascii="Palatino Linotype" w:eastAsia="Palatino Linotype" w:hAnsi="Palatino Linotype" w:cs="Palatino Linotype"/>
          <w:lang w:val="es-ES"/>
        </w:rPr>
        <w:t xml:space="preserve">hizo entrega del Acta del Comité de Transparencia que fundara y motivara dicha clasificación, </w:t>
      </w:r>
      <w:r w:rsidR="00AD0DD5" w:rsidRPr="00686FB4">
        <w:rPr>
          <w:rFonts w:ascii="Palatino Linotype" w:eastAsia="Palatino Linotype" w:hAnsi="Palatino Linotype" w:cs="Palatino Linotype"/>
          <w:lang w:val="es-ES"/>
        </w:rPr>
        <w:t>sin embargo</w:t>
      </w:r>
      <w:r w:rsidRPr="00686FB4">
        <w:rPr>
          <w:rFonts w:ascii="Palatino Linotype" w:eastAsia="Palatino Linotype" w:hAnsi="Palatino Linotype" w:cs="Palatino Linotype"/>
          <w:lang w:val="es-ES"/>
        </w:rPr>
        <w:t>, como ya fue señalado en párrafos que anteceden, no resulta procedente la clasificación de todos los datos que</w:t>
      </w:r>
      <w:r w:rsidR="00AD0DD5" w:rsidRPr="00686FB4">
        <w:rPr>
          <w:rFonts w:ascii="Palatino Linotype" w:eastAsia="Palatino Linotype" w:hAnsi="Palatino Linotype" w:cs="Palatino Linotype"/>
          <w:lang w:val="es-ES"/>
        </w:rPr>
        <w:t xml:space="preserve"> testo, </w:t>
      </w:r>
      <w:r w:rsidR="003024DE" w:rsidRPr="00686FB4">
        <w:rPr>
          <w:rFonts w:ascii="Palatino Linotype" w:eastAsia="Palatino Linotype" w:hAnsi="Palatino Linotype" w:cs="Palatino Linotype"/>
          <w:lang w:val="es-ES"/>
        </w:rPr>
        <w:t xml:space="preserve">aunado a que, estos no corresponden con la temporalidad que atiende el criterio </w:t>
      </w:r>
      <w:r w:rsidR="00AD0DD5" w:rsidRPr="00686FB4">
        <w:rPr>
          <w:rFonts w:ascii="Palatino Linotype" w:eastAsia="Palatino Linotype" w:hAnsi="Palatino Linotype" w:cs="Palatino Linotype"/>
          <w:lang w:val="es-ES"/>
        </w:rPr>
        <w:t>del</w:t>
      </w:r>
      <w:r w:rsidR="003024DE" w:rsidRPr="00686FB4">
        <w:rPr>
          <w:rFonts w:ascii="Palatino Linotype" w:eastAsia="Palatino Linotype" w:hAnsi="Palatino Linotype" w:cs="Palatino Linotype"/>
          <w:lang w:val="es-ES"/>
        </w:rPr>
        <w:t xml:space="preserve"> Pleno de este Instituto, siendo la primera y segunda quincena de abril de dos mil veintiséis; </w:t>
      </w:r>
      <w:r w:rsidRPr="00686FB4">
        <w:rPr>
          <w:rFonts w:ascii="Palatino Linotype" w:eastAsia="Palatino Linotype" w:hAnsi="Palatino Linotype" w:cs="Palatino Linotype"/>
          <w:lang w:val="es-ES"/>
        </w:rPr>
        <w:t xml:space="preserve">por lo que, lo procedente es ordenar la entrega de </w:t>
      </w:r>
      <w:r w:rsidR="003024DE" w:rsidRPr="00686FB4">
        <w:rPr>
          <w:rFonts w:ascii="Palatino Linotype" w:eastAsia="Palatino Linotype" w:hAnsi="Palatino Linotype" w:cs="Palatino Linotype"/>
          <w:lang w:val="es-ES"/>
        </w:rPr>
        <w:t xml:space="preserve">la nómina </w:t>
      </w:r>
      <w:r w:rsidR="00AD0DD5" w:rsidRPr="00686FB4">
        <w:rPr>
          <w:rFonts w:ascii="Palatino Linotype" w:eastAsia="Palatino Linotype" w:hAnsi="Palatino Linotype" w:cs="Palatino Linotype"/>
          <w:lang w:val="es-ES"/>
        </w:rPr>
        <w:t>completa de todos los servidores públicos adscritos a la Coordinación de Catastro, de la primera y segunda quincena de abril de dos mil veintiséis</w:t>
      </w:r>
      <w:r w:rsidRPr="00686FB4">
        <w:rPr>
          <w:rFonts w:ascii="Palatino Linotype" w:eastAsia="Palatino Linotype" w:hAnsi="Palatino Linotype" w:cs="Palatino Linotype"/>
          <w:lang w:val="es-ES"/>
        </w:rPr>
        <w:t xml:space="preserve">, en versión pública. </w:t>
      </w:r>
    </w:p>
    <w:p w14:paraId="28FA6A32"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35F77737"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b/>
        </w:rPr>
        <w:t>Quinto. Versión Pública.</w:t>
      </w:r>
      <w:r w:rsidRPr="00686FB4">
        <w:rPr>
          <w:rFonts w:ascii="Palatino Linotype" w:eastAsia="Palatino Linotype" w:hAnsi="Palatino Linotype" w:cs="Palatino Linotype"/>
        </w:rPr>
        <w:t xml:space="preserve"> Como fue debidamente apuntado, 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14:paraId="71A54B40"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6D44C105"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14:paraId="01ADD6E1"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0519252C"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14:paraId="30B3BBA4"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7A3244F4"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Al respecto, los artículos 3, fracciones IX, XX, XXI, XXXII, XLV; 6, 91, 132, 137, 143, fracción I, de la Ley de Transparencia y Acceso a la Información Pública del Estado de México y Municipios vigente establecen:</w:t>
      </w:r>
    </w:p>
    <w:p w14:paraId="758C330B"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i/>
        </w:rPr>
      </w:pPr>
    </w:p>
    <w:p w14:paraId="1E8F32E5"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r w:rsidRPr="00686FB4">
        <w:rPr>
          <w:rFonts w:ascii="Palatino Linotype" w:eastAsia="Palatino Linotype" w:hAnsi="Palatino Linotype" w:cs="Palatino Linotype"/>
          <w:b/>
          <w:i/>
        </w:rPr>
        <w:t>Artículo 3.</w:t>
      </w:r>
      <w:r w:rsidRPr="00686FB4">
        <w:rPr>
          <w:rFonts w:ascii="Palatino Linotype" w:eastAsia="Palatino Linotype" w:hAnsi="Palatino Linotype" w:cs="Palatino Linotype"/>
          <w:i/>
        </w:rPr>
        <w:t xml:space="preserve"> Para los efectos de la presente Ley se entenderá por:</w:t>
      </w:r>
    </w:p>
    <w:p w14:paraId="76A04571"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p>
    <w:p w14:paraId="7D950079"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IX. Datos personales</w:t>
      </w:r>
      <w:r w:rsidRPr="00686FB4">
        <w:rPr>
          <w:rFonts w:ascii="Palatino Linotype" w:eastAsia="Palatino Linotype" w:hAnsi="Palatino Linotype" w:cs="Palatino Linotype"/>
          <w:i/>
        </w:rPr>
        <w:t>: La información concerniente a una persona, identificada o identificable según lo dispuesto por la Ley de Protección de Datos Personales del Estado de México;</w:t>
      </w:r>
    </w:p>
    <w:p w14:paraId="58402F0C"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p>
    <w:p w14:paraId="3159BA66"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XX. Información clasificada</w:t>
      </w:r>
      <w:r w:rsidRPr="00686FB4">
        <w:rPr>
          <w:rFonts w:ascii="Palatino Linotype" w:eastAsia="Palatino Linotype" w:hAnsi="Palatino Linotype" w:cs="Palatino Linotype"/>
          <w:i/>
        </w:rPr>
        <w:t>: Aquella considerada por la presente Ley como reservada o confidencial;</w:t>
      </w:r>
    </w:p>
    <w:p w14:paraId="5A50A921"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XXI. Información confidencial</w:t>
      </w:r>
      <w:r w:rsidRPr="00686FB4">
        <w:rPr>
          <w:rFonts w:ascii="Palatino Linotype" w:eastAsia="Palatino Linotype" w:hAnsi="Palatino Linotype" w:cs="Palatino Linotype"/>
          <w:i/>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63753B2A"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p>
    <w:p w14:paraId="236BB4D8"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XXXII. Protección de Datos Personales</w:t>
      </w:r>
      <w:r w:rsidRPr="00686FB4">
        <w:rPr>
          <w:rFonts w:ascii="Palatino Linotype" w:eastAsia="Palatino Linotype" w:hAnsi="Palatino Linotype" w:cs="Palatino Linotype"/>
          <w:i/>
        </w:rPr>
        <w:t>: Derecho humano que tutela la privacidad de datos personales en poder de los sujetos obligados y sujetos particulares;</w:t>
      </w:r>
    </w:p>
    <w:p w14:paraId="76057C3C"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p>
    <w:p w14:paraId="4B7C0BB9"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XLV. Versión pública</w:t>
      </w:r>
      <w:r w:rsidRPr="00686FB4">
        <w:rPr>
          <w:rFonts w:ascii="Palatino Linotype" w:eastAsia="Palatino Linotype" w:hAnsi="Palatino Linotype" w:cs="Palatino Linotype"/>
          <w:i/>
        </w:rPr>
        <w:t>: Documento en el que se elimine, suprime o borra la información clasificada como reservada o confidencial para permitir su acceso.</w:t>
      </w:r>
    </w:p>
    <w:p w14:paraId="70DA90D8"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 Artículo 6</w:t>
      </w:r>
      <w:r w:rsidRPr="00686FB4">
        <w:rPr>
          <w:rFonts w:ascii="Palatino Linotype" w:eastAsia="Palatino Linotype" w:hAnsi="Palatino Linotype" w:cs="Palatino Linotype"/>
          <w:i/>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14:paraId="0BF3AA1B"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p>
    <w:p w14:paraId="1DD17633"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Artículo 91.</w:t>
      </w:r>
      <w:r w:rsidRPr="00686FB4">
        <w:rPr>
          <w:rFonts w:ascii="Palatino Linotype" w:eastAsia="Palatino Linotype" w:hAnsi="Palatino Linotype" w:cs="Palatino Linotype"/>
          <w:i/>
        </w:rPr>
        <w:t xml:space="preserve"> El acceso a la información pública será restringido excepcionalmente, cuando ésta sea clasificada como reservada o confidencial.</w:t>
      </w:r>
      <w:r w:rsidRPr="00686FB4">
        <w:rPr>
          <w:rFonts w:ascii="Palatino Linotype" w:eastAsia="Palatino Linotype" w:hAnsi="Palatino Linotype" w:cs="Palatino Linotype"/>
          <w:i/>
        </w:rPr>
        <w:br/>
        <w:t>…</w:t>
      </w:r>
    </w:p>
    <w:p w14:paraId="07B03256"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Artículo 132.</w:t>
      </w:r>
      <w:r w:rsidRPr="00686FB4">
        <w:rPr>
          <w:rFonts w:ascii="Palatino Linotype" w:eastAsia="Palatino Linotype" w:hAnsi="Palatino Linotype" w:cs="Palatino Linotype"/>
          <w:i/>
        </w:rPr>
        <w:t xml:space="preserve"> La clasificación de la información se llevará a cabo en el momento en que:</w:t>
      </w:r>
    </w:p>
    <w:p w14:paraId="0D87BC60"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w:t>
      </w:r>
      <w:r w:rsidRPr="00686FB4">
        <w:rPr>
          <w:rFonts w:ascii="Palatino Linotype" w:eastAsia="Palatino Linotype" w:hAnsi="Palatino Linotype" w:cs="Palatino Linotype"/>
          <w:i/>
        </w:rPr>
        <w:t>. Se reciba una solicitud de acceso a la información;</w:t>
      </w:r>
    </w:p>
    <w:p w14:paraId="2B526C05"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w:t>
      </w:r>
      <w:r w:rsidRPr="00686FB4">
        <w:rPr>
          <w:rFonts w:ascii="Palatino Linotype" w:eastAsia="Palatino Linotype" w:hAnsi="Palatino Linotype" w:cs="Palatino Linotype"/>
          <w:i/>
        </w:rPr>
        <w:t xml:space="preserve"> Se determine mediante resolución de autoridad competente; o</w:t>
      </w:r>
    </w:p>
    <w:p w14:paraId="1406B7B0"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III.</w:t>
      </w:r>
      <w:r w:rsidRPr="00686FB4">
        <w:rPr>
          <w:rFonts w:ascii="Palatino Linotype" w:eastAsia="Palatino Linotype" w:hAnsi="Palatino Linotype" w:cs="Palatino Linotype"/>
          <w:i/>
        </w:rPr>
        <w:t xml:space="preserve"> Se generen versiones públicas para dar cumplimiento a las obligaciones de transparencia previstas en esta Ley.</w:t>
      </w:r>
    </w:p>
    <w:p w14:paraId="60C1936F"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w:t>
      </w:r>
    </w:p>
    <w:p w14:paraId="7D41E183"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Artículo 137.</w:t>
      </w:r>
      <w:r w:rsidRPr="00686FB4">
        <w:rPr>
          <w:rFonts w:ascii="Palatino Linotype" w:eastAsia="Palatino Linotype" w:hAnsi="Palatino Linotype" w:cs="Palatino Linotype"/>
          <w:i/>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637556C6"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 Artículo 143.</w:t>
      </w:r>
      <w:r w:rsidRPr="00686FB4">
        <w:rPr>
          <w:rFonts w:ascii="Palatino Linotype" w:eastAsia="Palatino Linotype" w:hAnsi="Palatino Linotype" w:cs="Palatino Linotype"/>
          <w:i/>
        </w:rPr>
        <w:t xml:space="preserve"> Para los efectos de esta Ley se considera información confidencial, la clasificada como tal, de manera permanente, por su naturaleza, cuando:</w:t>
      </w:r>
    </w:p>
    <w:p w14:paraId="278ED142"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w:t>
      </w:r>
      <w:r w:rsidRPr="00686FB4">
        <w:rPr>
          <w:rFonts w:ascii="Palatino Linotype" w:eastAsia="Palatino Linotype" w:hAnsi="Palatino Linotype" w:cs="Palatino Linotype"/>
          <w:i/>
        </w:rPr>
        <w:t xml:space="preserve"> Se refiera a la información privada y los datos personales concernientes a una persona física o jurídico colectiva identificada o identificable...”</w:t>
      </w:r>
    </w:p>
    <w:p w14:paraId="2CFE96F6"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3DF227DF"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0DF05AF3"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58DDD3F3"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5118E98B"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43C45249"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En el caso específico, la información que se ordena si bien tiene el carácter información pública en razón de que se trata de documentos que se encuentran en posesión del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derivado del ejercicio de sus atribuciones, tal como quedo acotado en el cuerpo de la presente Resolución, también contienen los datos personales de servidores públicos, que de hacerse públicos afectarían su intimidad y vida privada; es por ello que es criterio reiterado en las resoluciones de este Pleno que, además de los datos especificados en la Ley de Transparencia y Acceso a la Información Pública del Estado de México y Municipios, se consideran confidenciales y por tanto deben testarse al momento de la elaboración de versiones públicas el </w:t>
      </w:r>
      <w:r w:rsidRPr="00686FB4">
        <w:rPr>
          <w:rFonts w:ascii="Palatino Linotype" w:eastAsia="Palatino Linotype" w:hAnsi="Palatino Linotype" w:cs="Palatino Linotype"/>
          <w:b/>
        </w:rPr>
        <w:t>Registro Federal de Contribuyentes</w:t>
      </w:r>
      <w:r w:rsidRPr="00686FB4">
        <w:rPr>
          <w:rFonts w:ascii="Palatino Linotype" w:eastAsia="Palatino Linotype" w:hAnsi="Palatino Linotype" w:cs="Palatino Linotype"/>
        </w:rPr>
        <w:t xml:space="preserve"> (RFC), la </w:t>
      </w:r>
      <w:r w:rsidRPr="00686FB4">
        <w:rPr>
          <w:rFonts w:ascii="Palatino Linotype" w:eastAsia="Palatino Linotype" w:hAnsi="Palatino Linotype" w:cs="Palatino Linotype"/>
          <w:b/>
        </w:rPr>
        <w:t>Clave Única de Registro de Población</w:t>
      </w:r>
      <w:r w:rsidRPr="00686FB4">
        <w:rPr>
          <w:rFonts w:ascii="Palatino Linotype" w:eastAsia="Palatino Linotype" w:hAnsi="Palatino Linotype" w:cs="Palatino Linotype"/>
        </w:rPr>
        <w:t xml:space="preserve"> (CURP), la </w:t>
      </w:r>
      <w:r w:rsidRPr="00686FB4">
        <w:rPr>
          <w:rFonts w:ascii="Palatino Linotype" w:eastAsia="Palatino Linotype" w:hAnsi="Palatino Linotype" w:cs="Palatino Linotype"/>
          <w:b/>
        </w:rPr>
        <w:t>Clave de cualquier tipo de seguridad social</w:t>
      </w:r>
      <w:r w:rsidRPr="00686FB4">
        <w:rPr>
          <w:rFonts w:ascii="Palatino Linotype" w:eastAsia="Palatino Linotype" w:hAnsi="Palatino Linotype" w:cs="Palatino Linotype"/>
        </w:rPr>
        <w:t xml:space="preserve"> (ISSEMYM, u otros), los </w:t>
      </w:r>
      <w:r w:rsidRPr="00686FB4">
        <w:rPr>
          <w:rFonts w:ascii="Palatino Linotype" w:eastAsia="Palatino Linotype" w:hAnsi="Palatino Linotype" w:cs="Palatino Linotype"/>
          <w:b/>
        </w:rPr>
        <w:t>números de cuentas bancarias</w:t>
      </w:r>
      <w:r w:rsidRPr="00686FB4">
        <w:rPr>
          <w:rFonts w:ascii="Palatino Linotype" w:eastAsia="Palatino Linotype" w:hAnsi="Palatino Linotype" w:cs="Palatino Linotype"/>
        </w:rPr>
        <w:t xml:space="preserve">, claves estandarizadas – interbancarias - (CLABES) y de tarjetas, los </w:t>
      </w:r>
      <w:r w:rsidRPr="00686FB4">
        <w:rPr>
          <w:rFonts w:ascii="Palatino Linotype" w:eastAsia="Palatino Linotype" w:hAnsi="Palatino Linotype" w:cs="Palatino Linotype"/>
          <w:b/>
        </w:rPr>
        <w:t>préstamos o descuentos</w:t>
      </w:r>
      <w:r w:rsidRPr="00686FB4">
        <w:rPr>
          <w:rFonts w:ascii="Palatino Linotype" w:eastAsia="Palatino Linotype" w:hAnsi="Palatino Linotype" w:cs="Palatino Linotype"/>
        </w:rPr>
        <w:t xml:space="preserve"> que se le hagan a la persona y que no tengan relación con los impuestos o la cuota por seguridad social, el</w:t>
      </w:r>
      <w:r w:rsidRPr="00686FB4">
        <w:rPr>
          <w:rFonts w:ascii="Palatino Linotype" w:eastAsia="Palatino Linotype" w:hAnsi="Palatino Linotype" w:cs="Palatino Linotype"/>
          <w:b/>
        </w:rPr>
        <w:t xml:space="preserve"> número de empleado, </w:t>
      </w:r>
      <w:r w:rsidRPr="00686FB4">
        <w:rPr>
          <w:rFonts w:ascii="Palatino Linotype" w:eastAsia="Palatino Linotype" w:hAnsi="Palatino Linotype" w:cs="Palatino Linotype"/>
        </w:rPr>
        <w:t xml:space="preserve">y, de ser el caso, el </w:t>
      </w:r>
      <w:r w:rsidRPr="00686FB4">
        <w:rPr>
          <w:rFonts w:ascii="Palatino Linotype" w:eastAsia="Palatino Linotype" w:hAnsi="Palatino Linotype" w:cs="Palatino Linotype"/>
          <w:b/>
        </w:rPr>
        <w:t>folio fiscal</w:t>
      </w:r>
      <w:r w:rsidRPr="00686FB4">
        <w:rPr>
          <w:rFonts w:ascii="Palatino Linotype" w:eastAsia="Palatino Linotype" w:hAnsi="Palatino Linotype" w:cs="Palatino Linotype"/>
        </w:rPr>
        <w:t xml:space="preserve">, la </w:t>
      </w:r>
      <w:r w:rsidRPr="00686FB4">
        <w:rPr>
          <w:rFonts w:ascii="Palatino Linotype" w:eastAsia="Palatino Linotype" w:hAnsi="Palatino Linotype" w:cs="Palatino Linotype"/>
          <w:b/>
        </w:rPr>
        <w:t xml:space="preserve">cadena original, </w:t>
      </w:r>
      <w:r w:rsidRPr="00686FB4">
        <w:rPr>
          <w:rFonts w:ascii="Palatino Linotype" w:eastAsia="Palatino Linotype" w:hAnsi="Palatino Linotype" w:cs="Palatino Linotype"/>
        </w:rPr>
        <w:t>los</w:t>
      </w:r>
      <w:r w:rsidRPr="00686FB4">
        <w:rPr>
          <w:rFonts w:ascii="Palatino Linotype" w:eastAsia="Palatino Linotype" w:hAnsi="Palatino Linotype" w:cs="Palatino Linotype"/>
          <w:b/>
        </w:rPr>
        <w:t xml:space="preserve"> códigos bidimensionales o códigos QR,</w:t>
      </w:r>
      <w:r w:rsidRPr="00686FB4">
        <w:rPr>
          <w:rFonts w:ascii="Palatino Linotype" w:eastAsia="Palatino Linotype" w:hAnsi="Palatino Linotype" w:cs="Palatino Linotype"/>
        </w:rPr>
        <w:t xml:space="preserve"> y cualquier información de carácter fiscal.</w:t>
      </w:r>
    </w:p>
    <w:p w14:paraId="5D959DB9"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4FD0AEED"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13D3A972"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3A182ABE"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Respecto de los </w:t>
      </w:r>
      <w:r w:rsidRPr="00686FB4">
        <w:rPr>
          <w:rFonts w:ascii="Palatino Linotype" w:eastAsia="Palatino Linotype" w:hAnsi="Palatino Linotype" w:cs="Palatino Linotype"/>
          <w:b/>
        </w:rPr>
        <w:t>números de cuentas bancari</w:t>
      </w:r>
      <w:r w:rsidRPr="00686FB4">
        <w:rPr>
          <w:rFonts w:ascii="Palatino Linotype" w:eastAsia="Palatino Linotype" w:hAnsi="Palatino Linotype" w:cs="Palatino Linotype"/>
        </w:rPr>
        <w:t xml:space="preserve">as, </w:t>
      </w:r>
      <w:r w:rsidRPr="00686FB4">
        <w:rPr>
          <w:rFonts w:ascii="Palatino Linotype" w:eastAsia="Palatino Linotype" w:hAnsi="Palatino Linotype" w:cs="Palatino Linotype"/>
          <w:b/>
        </w:rPr>
        <w:t>claves estandarizadas –interbancarias- (CLABES) y de tarjetas</w:t>
      </w:r>
      <w:r w:rsidRPr="00686FB4">
        <w:rPr>
          <w:rFonts w:ascii="Palatino Linotype" w:eastAsia="Palatino Linotype" w:hAnsi="Palatino Linotype" w:cs="Palatino Linotype"/>
        </w:rPr>
        <w:t>, el Pleno de este Instituto ha determinado que esa información debe clasificarse como confidencial, y elaborarse una versión pública en la que se teste la misma.</w:t>
      </w:r>
    </w:p>
    <w:p w14:paraId="4C2C9AEE"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Igualmente, resulta importante destacar que el número de cuenta bancaria de las personas físicas 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14:paraId="6640897B"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54E71889"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Por lo anterior, el número de cuenta bancaria debe ser clasificado como confidencial con fundamento en las fracciones I y II del artículo 143 de la Ley de la Materia vigente en la Entidad; en razón de que con su difusión se estaría poniendo en riesgo la seguridad de su titular.</w:t>
      </w:r>
    </w:p>
    <w:p w14:paraId="40A52C57"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BA2E704"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En esa virtud, este Pleno determina que dicha información no puede ser del dominio público, toda vez que se podría dar un uso inadecuado a la misma o cometer algún ilícito o fraude como ya ha sido expuesto. </w:t>
      </w:r>
    </w:p>
    <w:p w14:paraId="53853D06"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3982EE57"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Lo anterior no es así tratándose de las cuentas bancarias o claves interbancarias de los Sujetos Obligados ya que su publicidad cede a la rendición de cuentas al transparentar la forma en que son administrados los recursos públicos.</w:t>
      </w:r>
    </w:p>
    <w:p w14:paraId="259DBA7A"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6EFE4D4E"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Lo argumentado encuentra sustento en los Criterios orientadores con Clave de control SO/010/2017 y SO/011/2017, emitidos por el entonces Instituto Nacional de Transparencia, Acceso a la Información y Protección de Datos Personales, que llevan por rubro y texto los siguientes:</w:t>
      </w:r>
    </w:p>
    <w:p w14:paraId="33FDFCDD" w14:textId="77777777" w:rsidR="003338E6" w:rsidRPr="00686FB4" w:rsidRDefault="003338E6"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p>
    <w:p w14:paraId="7110EF17" w14:textId="2AE1D03A"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r w:rsidRPr="00686FB4">
        <w:rPr>
          <w:rFonts w:ascii="Palatino Linotype" w:eastAsia="Palatino Linotype" w:hAnsi="Palatino Linotype" w:cs="Palatino Linotype"/>
          <w:b/>
          <w:i/>
        </w:rPr>
        <w:t>Cuentas bancarias y/o CLABE interbancaria de personas físicas y morales privadas.</w:t>
      </w:r>
      <w:r w:rsidRPr="00686FB4">
        <w:rPr>
          <w:rFonts w:ascii="Palatino Linotype" w:eastAsia="Palatino Linotype" w:hAnsi="Palatino Linotype" w:cs="Palatino Linotype"/>
          <w:i/>
        </w:rPr>
        <w:t>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14:paraId="31B149FB"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“Cuentas bancarias y/o CLABE interbancaria de sujetos obligados que reciben y/o transfieren recursos públicos, son información pública.</w:t>
      </w:r>
      <w:r w:rsidRPr="00686FB4">
        <w:rPr>
          <w:rFonts w:ascii="Palatino Linotype" w:eastAsia="Palatino Linotype" w:hAnsi="Palatino Linotype" w:cs="Palatino Linotype"/>
          <w:i/>
        </w:rPr>
        <w:t xml:space="preserve">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p>
    <w:p w14:paraId="796FE923"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bookmarkStart w:id="6" w:name="_heading=h.z337ya"/>
      <w:bookmarkEnd w:id="6"/>
    </w:p>
    <w:p w14:paraId="554FE471"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Por cuanto hace a los </w:t>
      </w:r>
      <w:r w:rsidRPr="00686FB4">
        <w:rPr>
          <w:rFonts w:ascii="Palatino Linotype" w:eastAsia="Palatino Linotype" w:hAnsi="Palatino Linotype" w:cs="Palatino Linotype"/>
          <w:b/>
        </w:rPr>
        <w:t>préstamos o descuentos de carácter personal</w:t>
      </w:r>
      <w:r w:rsidRPr="00686FB4">
        <w:rPr>
          <w:rFonts w:ascii="Palatino Linotype" w:eastAsia="Palatino Linotype" w:hAnsi="Palatino Linotype" w:cs="Palatino Linotype"/>
        </w:rPr>
        <w:t>, en virtud de no tener relación con la prestación del servicio y al no involucrar instituciones públicas, se consideran datos confidenciales.</w:t>
      </w:r>
    </w:p>
    <w:p w14:paraId="74FB9F49"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741AA45C"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Para entender los límites y alcances de esta restricción, es oportuno recurrir al artículo 84 de la Ley del Trabajo de los Servidores Públicos del Estado y Municipios:</w:t>
      </w:r>
    </w:p>
    <w:p w14:paraId="3D204C8B"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b/>
          <w:i/>
        </w:rPr>
      </w:pPr>
    </w:p>
    <w:p w14:paraId="1B25325C"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b/>
          <w:i/>
        </w:rPr>
      </w:pPr>
      <w:r w:rsidRPr="00686FB4">
        <w:rPr>
          <w:rFonts w:ascii="Palatino Linotype" w:eastAsia="Palatino Linotype" w:hAnsi="Palatino Linotype" w:cs="Palatino Linotype"/>
          <w:b/>
          <w:i/>
        </w:rPr>
        <w:t xml:space="preserve">“ARTÍCULO 84. </w:t>
      </w:r>
      <w:r w:rsidRPr="00686FB4">
        <w:rPr>
          <w:rFonts w:ascii="Palatino Linotype" w:eastAsia="Palatino Linotype" w:hAnsi="Palatino Linotype" w:cs="Palatino Linotype"/>
          <w:i/>
        </w:rPr>
        <w:t>Sólo podrán hacerse retenciones, descuentos o deducciones al sueldo de los servidores públicos por concepto de:</w:t>
      </w:r>
    </w:p>
    <w:p w14:paraId="7D09C04B"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w:t>
      </w:r>
      <w:r w:rsidRPr="00686FB4">
        <w:rPr>
          <w:rFonts w:ascii="Palatino Linotype" w:eastAsia="Palatino Linotype" w:hAnsi="Palatino Linotype" w:cs="Palatino Linotype"/>
          <w:i/>
        </w:rPr>
        <w:t xml:space="preserve"> Gravámenes fiscales relacionados con el sueldo;</w:t>
      </w:r>
    </w:p>
    <w:p w14:paraId="7A230B62"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w:t>
      </w:r>
      <w:r w:rsidRPr="00686FB4">
        <w:rPr>
          <w:rFonts w:ascii="Palatino Linotype" w:eastAsia="Palatino Linotype" w:hAnsi="Palatino Linotype" w:cs="Palatino Linotype"/>
          <w:i/>
        </w:rPr>
        <w:t xml:space="preserve"> Deudas contraídas con las instituciones públicas o dependencias por concepto de anticipos de sueldo, pagos hechos con exceso, errores o pérdidas debidamente comprobados;</w:t>
      </w:r>
    </w:p>
    <w:p w14:paraId="2D789E79"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III.</w:t>
      </w:r>
      <w:r w:rsidRPr="00686FB4">
        <w:rPr>
          <w:rFonts w:ascii="Palatino Linotype" w:eastAsia="Palatino Linotype" w:hAnsi="Palatino Linotype" w:cs="Palatino Linotype"/>
          <w:i/>
        </w:rPr>
        <w:t xml:space="preserve"> </w:t>
      </w:r>
      <w:r w:rsidRPr="00686FB4">
        <w:rPr>
          <w:rFonts w:ascii="Palatino Linotype" w:eastAsia="Palatino Linotype" w:hAnsi="Palatino Linotype" w:cs="Palatino Linotype"/>
          <w:b/>
          <w:i/>
        </w:rPr>
        <w:t>Cuotas sindicales</w:t>
      </w:r>
      <w:r w:rsidRPr="00686FB4">
        <w:rPr>
          <w:rFonts w:ascii="Palatino Linotype" w:eastAsia="Palatino Linotype" w:hAnsi="Palatino Linotype" w:cs="Palatino Linotype"/>
          <w:i/>
        </w:rPr>
        <w:t>;</w:t>
      </w:r>
    </w:p>
    <w:p w14:paraId="076442C8"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IV.</w:t>
      </w:r>
      <w:r w:rsidRPr="00686FB4">
        <w:rPr>
          <w:rFonts w:ascii="Palatino Linotype" w:eastAsia="Palatino Linotype" w:hAnsi="Palatino Linotype" w:cs="Palatino Linotype"/>
          <w:i/>
        </w:rPr>
        <w:t xml:space="preserve"> Cuotas de aportación a fondos para la constitución de cooperativas y de cajas de ahorro, siempre que el servidor público hubiese manifestado previamente, de manera expresa, su conformidad;</w:t>
      </w:r>
    </w:p>
    <w:p w14:paraId="2C629653"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V.</w:t>
      </w:r>
      <w:r w:rsidRPr="00686FB4">
        <w:rPr>
          <w:rFonts w:ascii="Palatino Linotype" w:eastAsia="Palatino Linotype" w:hAnsi="Palatino Linotype" w:cs="Palatino Linotype"/>
          <w:i/>
        </w:rPr>
        <w:t xml:space="preserve"> Descuentos ordenados por el Instituto de Seguridad Social del Estado de México y Municipios, con motivo de cuotas y obligaciones contraídas con éste por los servidores públicos;</w:t>
      </w:r>
    </w:p>
    <w:p w14:paraId="5D2DB34F"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VI.</w:t>
      </w:r>
      <w:r w:rsidRPr="00686FB4">
        <w:rPr>
          <w:rFonts w:ascii="Palatino Linotype" w:eastAsia="Palatino Linotype" w:hAnsi="Palatino Linotype" w:cs="Palatino Linotype"/>
          <w:i/>
        </w:rPr>
        <w:t xml:space="preserve"> Obligaciones a cargo del servidor público con las que haya consentido, derivadas de la adquisición o del uso de habitaciones consideradas como de interés social;</w:t>
      </w:r>
    </w:p>
    <w:p w14:paraId="3D44D0A4"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VII.</w:t>
      </w:r>
      <w:r w:rsidRPr="00686FB4">
        <w:rPr>
          <w:rFonts w:ascii="Palatino Linotype" w:eastAsia="Palatino Linotype" w:hAnsi="Palatino Linotype" w:cs="Palatino Linotype"/>
          <w:i/>
        </w:rPr>
        <w:t xml:space="preserve"> Faltas de puntualidad o de asistencia injustificadas;</w:t>
      </w:r>
    </w:p>
    <w:p w14:paraId="1404EF7C"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VIII. Pensiones alimenticias ordenadas por la autoridad judicial;</w:t>
      </w:r>
      <w:r w:rsidRPr="00686FB4">
        <w:rPr>
          <w:rFonts w:ascii="Palatino Linotype" w:eastAsia="Palatino Linotype" w:hAnsi="Palatino Linotype" w:cs="Palatino Linotype"/>
          <w:i/>
        </w:rPr>
        <w:t xml:space="preserve"> o</w:t>
      </w:r>
    </w:p>
    <w:p w14:paraId="1C641B9A"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b/>
          <w:i/>
        </w:rPr>
      </w:pPr>
      <w:r w:rsidRPr="00686FB4">
        <w:rPr>
          <w:rFonts w:ascii="Palatino Linotype" w:eastAsia="Palatino Linotype" w:hAnsi="Palatino Linotype" w:cs="Palatino Linotype"/>
          <w:b/>
          <w:i/>
        </w:rPr>
        <w:t>IX. Cualquier otro convenido con instituciones de servicios y aceptado por el servidor público.</w:t>
      </w:r>
    </w:p>
    <w:p w14:paraId="47839539"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 xml:space="preserve">El monto total de las retenciones, descuentos o deducciones no podrá exceder del 30% de la remuneración total, excepto en los casos a que se refieren las fracciones IV, V y VI de este artículo, en que podrán ser de hasta el 50%, salvo en los casos en que se demuestre que el crédito se concedió con base en los ingresos familiares para hacer posible el derecho constitucional a una vivienda digna, o se refieran a lo establecido en la fracción VIII de este artículo, en que se ajustará a lo determinado por la autoridad judicial.” </w:t>
      </w:r>
    </w:p>
    <w:p w14:paraId="1E0080FA"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460C56C"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Como se puede observar, el precepto citado establece claramente cuáles son esos descuentos o gravámenes que directamente se relacionan con las obligaciones adquiridas como servidores públicos y aquéllos que únicamente inciden en su vida privada. </w:t>
      </w:r>
    </w:p>
    <w:p w14:paraId="5F828877"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2DBA1AF8"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De este modo, los </w:t>
      </w:r>
      <w:r w:rsidRPr="00686FB4">
        <w:rPr>
          <w:rFonts w:ascii="Palatino Linotype" w:eastAsia="Palatino Linotype" w:hAnsi="Palatino Linotype" w:cs="Palatino Linotype"/>
          <w:b/>
        </w:rPr>
        <w:t>descuentos o deducciones por cuotas sindicales</w:t>
      </w:r>
      <w:r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b/>
        </w:rPr>
        <w:t>pensiones alimenticias</w:t>
      </w:r>
      <w:r w:rsidRPr="00686FB4">
        <w:rPr>
          <w:rFonts w:ascii="Palatino Linotype" w:eastAsia="Palatino Linotype" w:hAnsi="Palatino Linotype" w:cs="Palatino Linotype"/>
        </w:rPr>
        <w:t xml:space="preserve"> o </w:t>
      </w:r>
      <w:r w:rsidRPr="00686FB4">
        <w:rPr>
          <w:rFonts w:ascii="Palatino Linotype" w:eastAsia="Palatino Linotype" w:hAnsi="Palatino Linotype" w:cs="Palatino Linotype"/>
          <w:b/>
        </w:rPr>
        <w:t>créditos adquiridos con instituciones privadas</w:t>
      </w:r>
      <w:r w:rsidRPr="00686FB4">
        <w:rPr>
          <w:rFonts w:ascii="Palatino Linotype" w:eastAsia="Palatino Linotype" w:hAnsi="Palatino Linotype" w:cs="Palatino Linotype"/>
        </w:rPr>
        <w:t xml:space="preserve">, entre otros que no se relacionen con el gasto público, al revelar parte de las decisiones que adopta una persona respecto del uso y destino de su remuneración salarial, lo cual incide en la manera en que se integra su patrimonio, </w:t>
      </w:r>
      <w:r w:rsidRPr="00686FB4">
        <w:rPr>
          <w:rFonts w:ascii="Palatino Linotype" w:eastAsia="Palatino Linotype" w:hAnsi="Palatino Linotype" w:cs="Palatino Linotype"/>
          <w:b/>
        </w:rPr>
        <w:t>es información que no es de carácter público, sino que constituye información confidencial</w:t>
      </w:r>
      <w:r w:rsidRPr="00686FB4">
        <w:rPr>
          <w:rFonts w:ascii="Palatino Linotype" w:eastAsia="Palatino Linotype" w:hAnsi="Palatino Linotype" w:cs="Palatino Linotype"/>
        </w:rPr>
        <w:t xml:space="preserve"> en virtud de que corresponde con decisiones personales, y por tanto, se debe clasificar.</w:t>
      </w:r>
    </w:p>
    <w:p w14:paraId="57A9587C"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6B47653"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Las claves y conceptos de los descuentos personales guardan también la misma naturaleza que los importes, ya que al hacerse públicas, es posible inferir que cierto servidor público tiene determinada deducción personal, misma que se relaciona con su esfera más íntima de privacidad, asimismo, en aquellos casos en los que sólo se tenga una deducción, inclusive es posible deducir el importe de la misma, derivado de los cálculos que se hagan respecto al sueldo bruto y sueldo neto.</w:t>
      </w:r>
    </w:p>
    <w:p w14:paraId="242C097F"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48752195"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En conclusión, la información relacionada con los préstamos o descuentos de carácter personal, en virtud de no tener relación con la prestación del servicio y al no involucrar instituciones públicas, se consideran datos confidenciales.</w:t>
      </w:r>
    </w:p>
    <w:p w14:paraId="50961FCE"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bookmarkStart w:id="7" w:name="_heading=h.3j2qqm3"/>
      <w:bookmarkEnd w:id="7"/>
    </w:p>
    <w:p w14:paraId="30FC0111"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Por lo que hace a las </w:t>
      </w:r>
      <w:r w:rsidRPr="00686FB4">
        <w:rPr>
          <w:rFonts w:ascii="Palatino Linotype" w:eastAsia="Palatino Linotype" w:hAnsi="Palatino Linotype" w:cs="Palatino Linotype"/>
          <w:b/>
          <w:bCs/>
          <w:lang w:val="es-ES"/>
        </w:rPr>
        <w:t>fotografías,</w:t>
      </w:r>
      <w:r w:rsidRPr="00686FB4">
        <w:rPr>
          <w:rFonts w:ascii="Palatino Linotype" w:eastAsia="Palatino Linotype" w:hAnsi="Palatino Linotype" w:cs="Palatino Linotype"/>
          <w:lang w:val="es-ES"/>
        </w:rPr>
        <w:t xml:space="preserve">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rudimentaria, hasta filmaciones y fotografías transmitidas por televisión cine, video, correo electrónico o Internet.</w:t>
      </w:r>
    </w:p>
    <w:p w14:paraId="4EC1BC6C"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p>
    <w:p w14:paraId="79664D81"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14:paraId="64B838A2"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p>
    <w:p w14:paraId="0A6198EA"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(con excepción del personal operativo en materia de seguridad, respecto del cual el Pleno de este Instituto ya se ha pronunciado en el sentido de que la información que los haga identificados o identificables debe clasificarse como reservada).</w:t>
      </w:r>
    </w:p>
    <w:p w14:paraId="5D33F85C"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p>
    <w:p w14:paraId="2DCBD9D5"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En este sentido, resultan aplicables por analogía, los Criterios 15/17 y 1/13 del Instituto Nacional de Transparencia y Acceso a la Información Pública y Protección de Datos Personales, en los cuales se esgrimen argumentos, que, si bien no refieren de manera específica a fotografías de servidores públicos, sí establecen un criterio para que este dato personal pueda ser considerado como público, cuando se pretende acreditar que una persona es servidor público.</w:t>
      </w:r>
    </w:p>
    <w:p w14:paraId="00709640"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p>
    <w:p w14:paraId="7A40CEDE"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documentos que obran en los archivos de los sujetos obligados y que además están directamente relacionados con el cumplimiento de disposiciones normativas o el ejercicio de funciones revisten un interés público. </w:t>
      </w:r>
    </w:p>
    <w:p w14:paraId="234D0EA4"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p>
    <w:p w14:paraId="5E376F7C"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Por lo anterior, cuando las fotografías de los servidores públicos obran en documentos que dan cuenta del cumplimiento de funciones, requisitos legales o los acredita como servidores públicos, deben ser consideradas un dato personal, que no puede ser clasificado como confidencial,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14:paraId="0FBCD3F2"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p>
    <w:p w14:paraId="5A1BB3F8"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De acuerdo con el argumento planteado, la determinación de esta resolución deja sin efectos el criterio adoptado anteriormente por el Pleno de este Instituto, con número 03/2019, en el que solo se consideraban como públicas las fotografías de mandos medios y/o superiores.</w:t>
      </w:r>
    </w:p>
    <w:p w14:paraId="73D40EC0"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p>
    <w:p w14:paraId="2946DDE7"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r w:rsidRPr="00686FB4">
        <w:rPr>
          <w:rFonts w:ascii="Palatino Linotype" w:eastAsia="Palatino Linotype" w:hAnsi="Palatino Linotype" w:cs="Palatino Linotype"/>
          <w:lang w:val="es-ES"/>
        </w:rPr>
        <w:t xml:space="preserve">Conforme a lo anterior, las fotografías de servidores públicos sin importar el nivel o rango guardan la naturaleza de públicas (con excepción del personal operativo en materia de seguridad) y no procede su clasificación, en términos del artículo 143, fracción I, de la Ley de Transparencia y Acceso a la Información Pública del Estado de México y Municipios, por lo que en la versión pública que se ordena, no podrá clasificarse esa información. </w:t>
      </w:r>
    </w:p>
    <w:p w14:paraId="1EBBAE07"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lang w:val="es-ES"/>
        </w:rPr>
      </w:pPr>
    </w:p>
    <w:p w14:paraId="2A4EF109"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14:paraId="3181BFE3"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b/>
          <w:i/>
        </w:rPr>
      </w:pPr>
    </w:p>
    <w:p w14:paraId="59AB243B"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r w:rsidRPr="00686FB4">
        <w:rPr>
          <w:rFonts w:ascii="Palatino Linotype" w:eastAsia="Palatino Linotype" w:hAnsi="Palatino Linotype" w:cs="Palatino Linotype"/>
          <w:b/>
          <w:i/>
        </w:rPr>
        <w:t>Artículo 49.</w:t>
      </w:r>
      <w:r w:rsidRPr="00686FB4">
        <w:rPr>
          <w:rFonts w:ascii="Palatino Linotype" w:eastAsia="Palatino Linotype" w:hAnsi="Palatino Linotype" w:cs="Palatino Linotype"/>
          <w:i/>
        </w:rPr>
        <w:t xml:space="preserve"> </w:t>
      </w:r>
      <w:r w:rsidRPr="00686FB4">
        <w:rPr>
          <w:rFonts w:ascii="Palatino Linotype" w:eastAsia="Palatino Linotype" w:hAnsi="Palatino Linotype" w:cs="Palatino Linotype"/>
          <w:b/>
          <w:i/>
        </w:rPr>
        <w:t>Los Comités de Transparencia</w:t>
      </w:r>
      <w:r w:rsidRPr="00686FB4">
        <w:rPr>
          <w:rFonts w:ascii="Palatino Linotype" w:eastAsia="Palatino Linotype" w:hAnsi="Palatino Linotype" w:cs="Palatino Linotype"/>
          <w:i/>
        </w:rPr>
        <w:t xml:space="preserve"> tendrán las siguientes atribuciones:</w:t>
      </w:r>
    </w:p>
    <w:p w14:paraId="1599D130"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VIII. Aprobar, modificar o revocar la clasificación de la información</w:t>
      </w:r>
      <w:r w:rsidRPr="00686FB4">
        <w:rPr>
          <w:rFonts w:ascii="Palatino Linotype" w:eastAsia="Palatino Linotype" w:hAnsi="Palatino Linotype" w:cs="Palatino Linotype"/>
          <w:i/>
        </w:rPr>
        <w:t>…”</w:t>
      </w:r>
    </w:p>
    <w:p w14:paraId="48FAEB8A"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r w:rsidRPr="00686FB4">
        <w:rPr>
          <w:rFonts w:ascii="Palatino Linotype" w:eastAsia="Palatino Linotype" w:hAnsi="Palatino Linotype" w:cs="Palatino Linotype"/>
          <w:b/>
          <w:i/>
        </w:rPr>
        <w:t>Artículo 53.</w:t>
      </w:r>
      <w:r w:rsidRPr="00686FB4">
        <w:rPr>
          <w:rFonts w:ascii="Palatino Linotype" w:eastAsia="Palatino Linotype" w:hAnsi="Palatino Linotype" w:cs="Palatino Linotype"/>
          <w:i/>
        </w:rPr>
        <w:t xml:space="preserve"> Las </w:t>
      </w:r>
      <w:r w:rsidRPr="00686FB4">
        <w:rPr>
          <w:rFonts w:ascii="Palatino Linotype" w:eastAsia="Palatino Linotype" w:hAnsi="Palatino Linotype" w:cs="Palatino Linotype"/>
          <w:b/>
          <w:i/>
        </w:rPr>
        <w:t>Unidades de Transparencia</w:t>
      </w:r>
      <w:r w:rsidRPr="00686FB4">
        <w:rPr>
          <w:rFonts w:ascii="Palatino Linotype" w:eastAsia="Palatino Linotype" w:hAnsi="Palatino Linotype" w:cs="Palatino Linotype"/>
          <w:i/>
        </w:rPr>
        <w:t xml:space="preserve"> tendrán las siguientes </w:t>
      </w:r>
      <w:r w:rsidRPr="00686FB4">
        <w:rPr>
          <w:rFonts w:ascii="Palatino Linotype" w:eastAsia="Palatino Linotype" w:hAnsi="Palatino Linotype" w:cs="Palatino Linotype"/>
          <w:b/>
          <w:i/>
        </w:rPr>
        <w:t>funciones</w:t>
      </w:r>
      <w:r w:rsidRPr="00686FB4">
        <w:rPr>
          <w:rFonts w:ascii="Palatino Linotype" w:eastAsia="Palatino Linotype" w:hAnsi="Palatino Linotype" w:cs="Palatino Linotype"/>
          <w:i/>
        </w:rPr>
        <w:t>:</w:t>
      </w:r>
    </w:p>
    <w:p w14:paraId="5D2AE373"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X. Presentar ante el Comité, el proyecto de clasificación de información</w:t>
      </w:r>
      <w:r w:rsidRPr="00686FB4">
        <w:rPr>
          <w:rFonts w:ascii="Palatino Linotype" w:eastAsia="Palatino Linotype" w:hAnsi="Palatino Linotype" w:cs="Palatino Linotype"/>
          <w:i/>
        </w:rPr>
        <w:t xml:space="preserve">…” </w:t>
      </w:r>
    </w:p>
    <w:p w14:paraId="51649635"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“Artículo 59.</w:t>
      </w:r>
      <w:r w:rsidRPr="00686FB4">
        <w:rPr>
          <w:rFonts w:ascii="Palatino Linotype" w:eastAsia="Palatino Linotype" w:hAnsi="Palatino Linotype" w:cs="Palatino Linotype"/>
          <w:i/>
        </w:rPr>
        <w:t xml:space="preserve"> Los </w:t>
      </w:r>
      <w:r w:rsidRPr="00686FB4">
        <w:rPr>
          <w:rFonts w:ascii="Palatino Linotype" w:eastAsia="Palatino Linotype" w:hAnsi="Palatino Linotype" w:cs="Palatino Linotype"/>
          <w:b/>
          <w:i/>
        </w:rPr>
        <w:t>servidores públicos habilitados</w:t>
      </w:r>
      <w:r w:rsidRPr="00686FB4">
        <w:rPr>
          <w:rFonts w:ascii="Palatino Linotype" w:eastAsia="Palatino Linotype" w:hAnsi="Palatino Linotype" w:cs="Palatino Linotype"/>
          <w:i/>
        </w:rPr>
        <w:t xml:space="preserve"> tendrán las </w:t>
      </w:r>
      <w:r w:rsidRPr="00686FB4">
        <w:rPr>
          <w:rFonts w:ascii="Palatino Linotype" w:eastAsia="Palatino Linotype" w:hAnsi="Palatino Linotype" w:cs="Palatino Linotype"/>
          <w:b/>
          <w:i/>
        </w:rPr>
        <w:t>funciones</w:t>
      </w:r>
      <w:r w:rsidRPr="00686FB4">
        <w:rPr>
          <w:rFonts w:ascii="Palatino Linotype" w:eastAsia="Palatino Linotype" w:hAnsi="Palatino Linotype" w:cs="Palatino Linotype"/>
          <w:i/>
        </w:rPr>
        <w:t xml:space="preserve"> siguientes:</w:t>
      </w:r>
    </w:p>
    <w:p w14:paraId="1AE34A85"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V. Integrar y presentar al responsable de la Unidad de Transparencia la propuesta de clasificación de información</w:t>
      </w:r>
      <w:r w:rsidRPr="00686FB4">
        <w:rPr>
          <w:rFonts w:ascii="Palatino Linotype" w:eastAsia="Palatino Linotype" w:hAnsi="Palatino Linotype" w:cs="Palatino Linotype"/>
          <w:i/>
        </w:rPr>
        <w:t>, la cual tendrá los fundamentos y argumentos en que se basa dicha propuesta…”</w:t>
      </w:r>
    </w:p>
    <w:p w14:paraId="1CAE8CF0"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6F6184A3"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0B2A5CED"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733B9F60"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Para lo cual, a su vez en el caso de información de carácter confidencial, se debe atender a lo que señala el artículo 149 de la Ley de Transparencia Local vigente, que se lee como sigue:</w:t>
      </w:r>
    </w:p>
    <w:p w14:paraId="515E1751"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i/>
        </w:rPr>
      </w:pPr>
    </w:p>
    <w:p w14:paraId="21B15891"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r w:rsidRPr="00686FB4">
        <w:rPr>
          <w:rFonts w:ascii="Palatino Linotype" w:eastAsia="Palatino Linotype" w:hAnsi="Palatino Linotype" w:cs="Palatino Linotype"/>
          <w:b/>
          <w:i/>
        </w:rPr>
        <w:t>Artículo 149.</w:t>
      </w:r>
      <w:r w:rsidRPr="00686FB4">
        <w:rPr>
          <w:rFonts w:ascii="Palatino Linotype" w:eastAsia="Palatino Linotype" w:hAnsi="Palatino Linotype" w:cs="Palatino Linotype"/>
          <w:i/>
        </w:rPr>
        <w:t xml:space="preserve"> El </w:t>
      </w:r>
      <w:r w:rsidRPr="00686FB4">
        <w:rPr>
          <w:rFonts w:ascii="Palatino Linotype" w:eastAsia="Palatino Linotype" w:hAnsi="Palatino Linotype" w:cs="Palatino Linotype"/>
          <w:b/>
          <w:i/>
        </w:rPr>
        <w:t>acuerdo que clasifique la información como confidencial</w:t>
      </w:r>
      <w:r w:rsidRPr="00686FB4">
        <w:rPr>
          <w:rFonts w:ascii="Palatino Linotype" w:eastAsia="Palatino Linotype" w:hAnsi="Palatino Linotype" w:cs="Palatino Linotype"/>
          <w:i/>
        </w:rPr>
        <w:t xml:space="preserve"> deberá contener un razonamiento lógico en el que demuestre que la información se encuentra en alguna o algunas de las hipótesis previstas en la presente Ley.” </w:t>
      </w:r>
    </w:p>
    <w:p w14:paraId="2B9F79DC"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2012B5D4"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Es decir, 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14:paraId="08D655BE"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21A417B1"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Atento a lo anterior, cabe señalar que el Comité de Transparencia del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deberá emitir el acuerdo de clasificación de información debidamente fundado y motivado, en términos de los Lineamientos Segundo, fracción XVIII, y del Cuarto al Décimo Primero de los “Lineamientos Generales en materia de Clasificación y Desclasificación de la Información, así como para la elaboración de Versiones Públicas”, que literalmente expresan:</w:t>
      </w:r>
    </w:p>
    <w:p w14:paraId="2F2DA796"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i/>
        </w:rPr>
      </w:pPr>
    </w:p>
    <w:p w14:paraId="0582E782"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r w:rsidRPr="00686FB4">
        <w:rPr>
          <w:rFonts w:ascii="Palatino Linotype" w:eastAsia="Palatino Linotype" w:hAnsi="Palatino Linotype" w:cs="Palatino Linotype"/>
          <w:b/>
          <w:i/>
        </w:rPr>
        <w:t>Segundo.-</w:t>
      </w:r>
      <w:r w:rsidRPr="00686FB4">
        <w:rPr>
          <w:rFonts w:ascii="Palatino Linotype" w:eastAsia="Palatino Linotype" w:hAnsi="Palatino Linotype" w:cs="Palatino Linotype"/>
          <w:i/>
        </w:rPr>
        <w:t xml:space="preserve"> Para efectos de los presentes Lineamientos Generales, se entenderá por:</w:t>
      </w:r>
    </w:p>
    <w:p w14:paraId="09F81AAE"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XVIII.</w:t>
      </w:r>
      <w:r w:rsidRPr="00686FB4">
        <w:rPr>
          <w:rFonts w:ascii="Palatino Linotype" w:eastAsia="Palatino Linotype" w:hAnsi="Palatino Linotype" w:cs="Palatino Linotype"/>
          <w:i/>
        </w:rPr>
        <w:t xml:space="preserve"> </w:t>
      </w:r>
      <w:r w:rsidRPr="00686FB4">
        <w:rPr>
          <w:rFonts w:ascii="Palatino Linotype" w:eastAsia="Palatino Linotype" w:hAnsi="Palatino Linotype" w:cs="Palatino Linotype"/>
          <w:b/>
          <w:i/>
        </w:rPr>
        <w:t>Versión pública:</w:t>
      </w:r>
      <w:r w:rsidRPr="00686FB4">
        <w:rPr>
          <w:rFonts w:ascii="Palatino Linotype" w:eastAsia="Palatino Linotype" w:hAnsi="Palatino Linotype" w:cs="Palatino Linotype"/>
          <w:i/>
        </w:rPr>
        <w:t xml:space="preserve"> El documento a partir del que se otorga acceso a la información, en el que se testan partes o secciones clasificadas, indicando el contenido de éstas de manera genérica, </w:t>
      </w:r>
      <w:r w:rsidRPr="00686FB4">
        <w:rPr>
          <w:rFonts w:ascii="Palatino Linotype" w:eastAsia="Palatino Linotype" w:hAnsi="Palatino Linotype" w:cs="Palatino Linotype"/>
          <w:b/>
          <w:i/>
        </w:rPr>
        <w:t>fundando y motivando la</w:t>
      </w:r>
      <w:r w:rsidRPr="00686FB4">
        <w:rPr>
          <w:rFonts w:ascii="Palatino Linotype" w:eastAsia="Palatino Linotype" w:hAnsi="Palatino Linotype" w:cs="Palatino Linotype"/>
          <w:i/>
        </w:rPr>
        <w:t xml:space="preserve"> </w:t>
      </w:r>
      <w:r w:rsidRPr="00686FB4">
        <w:rPr>
          <w:rFonts w:ascii="Palatino Linotype" w:eastAsia="Palatino Linotype" w:hAnsi="Palatino Linotype" w:cs="Palatino Linotype"/>
          <w:b/>
          <w:i/>
        </w:rPr>
        <w:t>reserva o confidencialidad</w:t>
      </w:r>
      <w:r w:rsidRPr="00686FB4">
        <w:rPr>
          <w:rFonts w:ascii="Palatino Linotype" w:eastAsia="Palatino Linotype" w:hAnsi="Palatino Linotype" w:cs="Palatino Linotype"/>
          <w:i/>
        </w:rPr>
        <w:t>, a través de la resolución que para tal efecto emita el Comité de Transparencia.</w:t>
      </w:r>
    </w:p>
    <w:p w14:paraId="0E243E62"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b/>
          <w:i/>
        </w:rPr>
      </w:pPr>
      <w:r w:rsidRPr="00686FB4">
        <w:rPr>
          <w:rFonts w:ascii="Palatino Linotype" w:eastAsia="Palatino Linotype" w:hAnsi="Palatino Linotype" w:cs="Palatino Linotype"/>
          <w:b/>
          <w:i/>
        </w:rPr>
        <w:t>...</w:t>
      </w:r>
    </w:p>
    <w:p w14:paraId="1F79FFC8"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Cuarto.</w:t>
      </w:r>
      <w:r w:rsidRPr="00686FB4">
        <w:rPr>
          <w:rFonts w:ascii="Palatino Linotype" w:eastAsia="Palatino Linotype" w:hAnsi="Palatino Linotype" w:cs="Palatino Linotype"/>
          <w:i/>
        </w:rPr>
        <w:t xml:space="preserve"> </w:t>
      </w:r>
      <w:r w:rsidRPr="00686FB4">
        <w:rPr>
          <w:rFonts w:ascii="Palatino Linotype" w:eastAsia="Palatino Linotype" w:hAnsi="Palatino Linotype" w:cs="Palatino Linotype"/>
          <w:b/>
          <w:i/>
        </w:rPr>
        <w:t>Para clasificar la información como</w:t>
      </w:r>
      <w:r w:rsidRPr="00686FB4">
        <w:rPr>
          <w:rFonts w:ascii="Palatino Linotype" w:eastAsia="Palatino Linotype" w:hAnsi="Palatino Linotype" w:cs="Palatino Linotype"/>
          <w:i/>
        </w:rPr>
        <w:t xml:space="preserve"> </w:t>
      </w:r>
      <w:r w:rsidRPr="00686FB4">
        <w:rPr>
          <w:rFonts w:ascii="Palatino Linotype" w:eastAsia="Palatino Linotype" w:hAnsi="Palatino Linotype" w:cs="Palatino Linotype"/>
          <w:b/>
          <w:i/>
        </w:rPr>
        <w:t>reservada o</w:t>
      </w:r>
      <w:r w:rsidRPr="00686FB4">
        <w:rPr>
          <w:rFonts w:ascii="Palatino Linotype" w:eastAsia="Palatino Linotype" w:hAnsi="Palatino Linotype" w:cs="Palatino Linotype"/>
          <w:i/>
        </w:rPr>
        <w:t xml:space="preserve"> </w:t>
      </w:r>
      <w:r w:rsidRPr="00686FB4">
        <w:rPr>
          <w:rFonts w:ascii="Palatino Linotype" w:eastAsia="Palatino Linotype" w:hAnsi="Palatino Linotype" w:cs="Palatino Linotype"/>
          <w:b/>
          <w:i/>
        </w:rPr>
        <w:t>confidencial, de manera total o parcial, el titular del área del sujeto obligado deberá atender lo dispuesto por el Título Sexto de la Ley General</w:t>
      </w:r>
      <w:r w:rsidRPr="00686FB4">
        <w:rPr>
          <w:rFonts w:ascii="Palatino Linotype" w:eastAsia="Palatino Linotype" w:hAnsi="Palatino Linotype" w:cs="Palatino Linotype"/>
          <w:i/>
        </w:rPr>
        <w:t>, en relación con las disposiciones contenidas en los presentes lineamientos, así como en aquellas disposiciones legales aplicables a la materia en el ámbito de sus respectivas competencias, en tanto estas últimas no contravengan lo dispuesto en la Ley General.</w:t>
      </w:r>
    </w:p>
    <w:p w14:paraId="26566EC1"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Los sujetos obligados deberán aplicar, de manera estricta, las excepciones al derecho de acceso a la información y sólo podrán invocarlas cuando acrediten su procedencia.</w:t>
      </w:r>
    </w:p>
    <w:p w14:paraId="5CE3A672"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Quinto.</w:t>
      </w:r>
      <w:r w:rsidRPr="00686FB4">
        <w:rPr>
          <w:rFonts w:ascii="Palatino Linotype" w:eastAsia="Palatino Linotype" w:hAnsi="Palatino Linotype" w:cs="Palatino Linotype"/>
          <w:i/>
        </w:rPr>
        <w:t xml:space="preserve"> La carga de la prueba para justificar toda negativa de acceso a la información, por actualizarse cualquiera de los supuestos de clasificación previstos en la Ley General, la Ley Federal y leyes estatales, corresponderá a los sujetos obligados, por lo que deberán fundar y motivar debidamente la clasificación de la información ante una solicitud de acceso o al momento en que generen versiones públicas para dar cumplimiento a las obligaciones de transparencia, observando lo dispuesto en la Ley General y las demás disposiciones aplicables en la materia.</w:t>
      </w:r>
    </w:p>
    <w:p w14:paraId="2475566E"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Sexto.</w:t>
      </w:r>
      <w:r w:rsidRPr="00686FB4">
        <w:rPr>
          <w:rFonts w:ascii="Palatino Linotype" w:eastAsia="Palatino Linotype" w:hAnsi="Palatino Linotype" w:cs="Palatino Linotype"/>
          <w:i/>
        </w:rPr>
        <w:t xml:space="preserve"> Se deroga.</w:t>
      </w:r>
    </w:p>
    <w:p w14:paraId="44818CD5"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Séptimo.</w:t>
      </w:r>
      <w:r w:rsidRPr="00686FB4">
        <w:rPr>
          <w:rFonts w:ascii="Palatino Linotype" w:eastAsia="Palatino Linotype" w:hAnsi="Palatino Linotype" w:cs="Palatino Linotype"/>
          <w:i/>
        </w:rPr>
        <w:t xml:space="preserve"> La clasificación de la información se llevará a cabo en el momento en que:</w:t>
      </w:r>
    </w:p>
    <w:p w14:paraId="39049D2C"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w:t>
      </w:r>
      <w:r w:rsidRPr="00686FB4">
        <w:rPr>
          <w:rFonts w:ascii="Palatino Linotype" w:eastAsia="Palatino Linotype" w:hAnsi="Palatino Linotype" w:cs="Palatino Linotype"/>
          <w:i/>
        </w:rPr>
        <w:t xml:space="preserve"> Se reciba una solicitud de acceso a la información;</w:t>
      </w:r>
    </w:p>
    <w:p w14:paraId="010E7A01"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w:t>
      </w:r>
      <w:r w:rsidRPr="00686FB4">
        <w:rPr>
          <w:rFonts w:ascii="Palatino Linotype" w:eastAsia="Palatino Linotype" w:hAnsi="Palatino Linotype" w:cs="Palatino Linotype"/>
          <w:i/>
        </w:rPr>
        <w:t xml:space="preserve"> Se determine mediante resolución del Comité de Transparencia, el órgano garante competente, o en cumplimiento a una sentencia del Poder Judicial; o</w:t>
      </w:r>
    </w:p>
    <w:p w14:paraId="236B23C0"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III.</w:t>
      </w:r>
      <w:r w:rsidRPr="00686FB4">
        <w:rPr>
          <w:rFonts w:ascii="Palatino Linotype" w:eastAsia="Palatino Linotype" w:hAnsi="Palatino Linotype" w:cs="Palatino Linotype"/>
          <w:i/>
        </w:rPr>
        <w:t xml:space="preserve"> Se generen versiones públicas para dar cumplimiento a las obligaciones de transparencia previstas en la Ley General, la Ley Federal y las correspondientes de las entidades federativas.</w:t>
      </w:r>
    </w:p>
    <w:p w14:paraId="604736BE"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Los titulares de las áreas deberán revisar la clasificación al momento de la recepción de una solicitud de acceso, para verificar</w:t>
      </w:r>
      <w:r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i/>
        </w:rPr>
        <w:t>conforme a su naturaleza, si encuadra en una causal de reserva o de confidencialidad.</w:t>
      </w:r>
    </w:p>
    <w:p w14:paraId="270C12FF"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Octavo.</w:t>
      </w:r>
      <w:r w:rsidRPr="00686FB4">
        <w:rPr>
          <w:rFonts w:ascii="Palatino Linotype" w:eastAsia="Palatino Linotype" w:hAnsi="Palatino Linotype" w:cs="Palatino Linotype"/>
          <w:i/>
        </w:rPr>
        <w:t xml:space="preserve"> Para fundar la clasificación de la información se debe señalar el artículo, fracción, inciso, párrafo o numeral de la ley o tratado internacional suscrito por el Estado mexicano que expresamente le otorga el carácter de reservada o confidencial.</w:t>
      </w:r>
    </w:p>
    <w:p w14:paraId="15417517"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Para motivar la clasificación se deberán señalar las razones o circunstancias especiales que lo llevaron a concluir que el caso particular se ajusta al supuesto previsto por la norma legal invocada como fundamento.</w:t>
      </w:r>
    </w:p>
    <w:p w14:paraId="0B35AC88"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En caso de referirse a información reservada, la motivación de la clasificación deberá comprender el análisis de la prueba de daño a que hace referencia el artículo 104 de la Ley General, en relación con el artículo trigésimo tercero de los presentes lineamientos, así como las circunstancias que justifican el establecimiento de determinado plazo de reserva.</w:t>
      </w:r>
    </w:p>
    <w:p w14:paraId="25288139"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Noveno.</w:t>
      </w:r>
      <w:r w:rsidRPr="00686FB4">
        <w:rPr>
          <w:rFonts w:ascii="Palatino Linotype" w:eastAsia="Palatino Linotype" w:hAnsi="Palatino Linotype" w:cs="Palatino Linotype"/>
          <w:i/>
        </w:rPr>
        <w:t xml:space="preserve"> En los casos en que se solicite un documento o expediente que contenga partes o secciones clasificadas, los titulares de las áreas deberán elaborar una versión pública fundando y motivando la clasificación de las partes o secciones que se testen, siguiendo los procedimientos establecidos en el Capítulo IX de los presentes lineamientos.</w:t>
      </w:r>
    </w:p>
    <w:p w14:paraId="1DF23ACE"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Décimo.</w:t>
      </w:r>
      <w:r w:rsidRPr="00686FB4">
        <w:rPr>
          <w:rFonts w:ascii="Palatino Linotype" w:eastAsia="Palatino Linotype" w:hAnsi="Palatino Linotype" w:cs="Palatino Linotype"/>
          <w:i/>
        </w:rPr>
        <w:t xml:space="preserve"> Los titulares de las áreas, deberán tener conocimiento y llevar un registro del personal que, por la naturaleza de sus atribuciones, tenga acceso a los documentos clasificados. Asimismo, deberán asegurarse de que dicho personal cuente con los conocimientos técnicos y legales que le permitan manejar adecuadamente la información clasificada, en los términos de la Ley General de Archivos, Lineamientos para la Organización y Conservación de Archivos y demás normatividad aplicable.</w:t>
      </w:r>
    </w:p>
    <w:p w14:paraId="70C6B52B"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En ausencia de los titulares de las áreas, la información será clasificada o desclasificada por la persona que lo supla, en términos de la normativa que rija la actuación del sujeto obligado.</w:t>
      </w:r>
    </w:p>
    <w:p w14:paraId="122125A4"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Décimo primero.</w:t>
      </w:r>
      <w:r w:rsidRPr="00686FB4">
        <w:rPr>
          <w:rFonts w:ascii="Palatino Linotype" w:eastAsia="Palatino Linotype" w:hAnsi="Palatino Linotype" w:cs="Palatino Linotype"/>
          <w:i/>
        </w:rPr>
        <w:t xml:space="preserve"> En el intercambio de información entre sujetos obligados para el ejercicio de sus atribuciones, los documentos que se encuentren clasificados deberán llevar la leyenda correspondiente de conformidad con lo dispuesto en el Capítulo VIII de los presentes lineamientos.” </w:t>
      </w:r>
    </w:p>
    <w:p w14:paraId="1CADB12A"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4E724EA8"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Asimismo, respecto a las formalidades que deberá llevar el acuerdo de clasificación que deberá emitir el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a través de su Comité de Transparencia, los Lineamientos Quincuagésimo y Quincuagésimo primero de los Lineamientos Generales en Materia de Clasificación y Desclasificación de la Información, así como para la Elaboración de Versiones Públicas, señalan lo siguiente:</w:t>
      </w:r>
    </w:p>
    <w:p w14:paraId="124057EE"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b/>
          <w:i/>
        </w:rPr>
      </w:pPr>
    </w:p>
    <w:p w14:paraId="4979F138"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 xml:space="preserve">“Quincuagésimo. </w:t>
      </w:r>
      <w:r w:rsidRPr="00686FB4">
        <w:rPr>
          <w:rFonts w:ascii="Palatino Linotype" w:eastAsia="Palatino Linotype" w:hAnsi="Palatino Linotype" w:cs="Palatino Linotype"/>
          <w:i/>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6627CE2E"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 xml:space="preserve">Quincuagésimo primero. </w:t>
      </w:r>
      <w:r w:rsidRPr="00686FB4">
        <w:rPr>
          <w:rFonts w:ascii="Palatino Linotype" w:eastAsia="Palatino Linotype" w:hAnsi="Palatino Linotype" w:cs="Palatino Linotype"/>
          <w:i/>
        </w:rPr>
        <w:t xml:space="preserve">Toda acta del Comité de Transparencia deberá contener: </w:t>
      </w:r>
    </w:p>
    <w:p w14:paraId="201D9693"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w:t>
      </w:r>
      <w:r w:rsidRPr="00686FB4">
        <w:rPr>
          <w:rFonts w:ascii="Palatino Linotype" w:eastAsia="Palatino Linotype" w:hAnsi="Palatino Linotype" w:cs="Palatino Linotype"/>
          <w:i/>
        </w:rPr>
        <w:t xml:space="preserve"> El número de sesión y fecha; </w:t>
      </w:r>
    </w:p>
    <w:p w14:paraId="2A265368"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w:t>
      </w:r>
      <w:r w:rsidRPr="00686FB4">
        <w:rPr>
          <w:rFonts w:ascii="Palatino Linotype" w:eastAsia="Palatino Linotype" w:hAnsi="Palatino Linotype" w:cs="Palatino Linotype"/>
          <w:i/>
        </w:rPr>
        <w:t xml:space="preserve">. El nombre del área que solicitó la clasificación de información; </w:t>
      </w:r>
    </w:p>
    <w:p w14:paraId="1B5A73A2"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III</w:t>
      </w:r>
      <w:r w:rsidRPr="00686FB4">
        <w:rPr>
          <w:rFonts w:ascii="Palatino Linotype" w:eastAsia="Palatino Linotype" w:hAnsi="Palatino Linotype" w:cs="Palatino Linotype"/>
          <w:i/>
        </w:rPr>
        <w:t xml:space="preserve">. La fundamentación legal y motivación correspondiente; </w:t>
      </w:r>
    </w:p>
    <w:p w14:paraId="7812BFD3"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IV</w:t>
      </w:r>
      <w:r w:rsidRPr="00686FB4">
        <w:rPr>
          <w:rFonts w:ascii="Palatino Linotype" w:eastAsia="Palatino Linotype" w:hAnsi="Palatino Linotype" w:cs="Palatino Linotype"/>
          <w:i/>
        </w:rPr>
        <w:t xml:space="preserve">. La resolución o resoluciones aprobadas; y </w:t>
      </w:r>
    </w:p>
    <w:p w14:paraId="025607C7"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V</w:t>
      </w:r>
      <w:r w:rsidRPr="00686FB4">
        <w:rPr>
          <w:rFonts w:ascii="Palatino Linotype" w:eastAsia="Palatino Linotype" w:hAnsi="Palatino Linotype" w:cs="Palatino Linotype"/>
          <w:i/>
        </w:rPr>
        <w:t xml:space="preserve">. La rúbrica o firma digital de cada integrante del Comité de Transparencia. </w:t>
      </w:r>
    </w:p>
    <w:p w14:paraId="3975162A"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 xml:space="preserve">Las resoluciones del Comité en las que se haya determinado confirmar o modificar la clasificación de información pública como reservada, deberán incluir, cuando menos: </w:t>
      </w:r>
    </w:p>
    <w:p w14:paraId="5BE01DEE"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w:t>
      </w:r>
      <w:r w:rsidRPr="00686FB4">
        <w:rPr>
          <w:rFonts w:ascii="Palatino Linotype" w:eastAsia="Palatino Linotype" w:hAnsi="Palatino Linotype" w:cs="Palatino Linotype"/>
          <w:i/>
        </w:rPr>
        <w:t xml:space="preserve"> Los motivos y razonamientos que sustenten la confirmación o modificación de la prueba de daño;</w:t>
      </w:r>
    </w:p>
    <w:p w14:paraId="3FE907AE"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b/>
          <w:i/>
        </w:rPr>
      </w:pPr>
      <w:r w:rsidRPr="00686FB4">
        <w:rPr>
          <w:rFonts w:ascii="Palatino Linotype" w:eastAsia="Palatino Linotype" w:hAnsi="Palatino Linotype" w:cs="Palatino Linotype"/>
          <w:b/>
          <w:i/>
        </w:rPr>
        <w:t>II</w:t>
      </w:r>
      <w:r w:rsidRPr="00686FB4">
        <w:rPr>
          <w:rFonts w:ascii="Palatino Linotype" w:eastAsia="Palatino Linotype" w:hAnsi="Palatino Linotype" w:cs="Palatino Linotype"/>
          <w:i/>
        </w:rPr>
        <w:t>. Descripción de las partes o secciones reservadas, en caso de clasificación parcial</w:t>
      </w:r>
      <w:r w:rsidRPr="00686FB4">
        <w:rPr>
          <w:rFonts w:ascii="Palatino Linotype" w:eastAsia="Palatino Linotype" w:hAnsi="Palatino Linotype" w:cs="Palatino Linotype"/>
          <w:b/>
          <w:i/>
        </w:rPr>
        <w:t xml:space="preserve">; </w:t>
      </w:r>
    </w:p>
    <w:p w14:paraId="69D87E57"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III.</w:t>
      </w:r>
      <w:r w:rsidRPr="00686FB4">
        <w:rPr>
          <w:rFonts w:ascii="Palatino Linotype" w:eastAsia="Palatino Linotype" w:hAnsi="Palatino Linotype" w:cs="Palatino Linotype"/>
          <w:i/>
        </w:rPr>
        <w:t xml:space="preserve"> El periodo por el que mantendrá su clasificación y fecha de expiración; y </w:t>
      </w:r>
    </w:p>
    <w:p w14:paraId="3173D188"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IV.</w:t>
      </w:r>
      <w:r w:rsidRPr="00686FB4">
        <w:rPr>
          <w:rFonts w:ascii="Palatino Linotype" w:eastAsia="Palatino Linotype" w:hAnsi="Palatino Linotype" w:cs="Palatino Linotype"/>
          <w:i/>
        </w:rPr>
        <w:t xml:space="preserve"> El nombre del titular y área encargada de realizar la versión pública del documento, en su caso. </w:t>
      </w:r>
    </w:p>
    <w:p w14:paraId="433A26E6"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 xml:space="preserve">En los casos en que se clasifique la información como reservada siempre se entregará o anexará la prueba de daño con la respuesta al solicitante. </w:t>
      </w:r>
    </w:p>
    <w:p w14:paraId="28F30CE3"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En los casos de resoluciones del Comité de Transparencia en las que se confirme la clasificación de información confidencial solo se deberán de identificar los tipos de datos protegidos, de conformidad con el lineamiento trigésimo octavo.</w:t>
      </w:r>
    </w:p>
    <w:p w14:paraId="0F42374F"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7A50992D"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14:paraId="01115E7E"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i/>
        </w:rPr>
      </w:pPr>
    </w:p>
    <w:p w14:paraId="1262C717"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r w:rsidRPr="00686FB4">
        <w:rPr>
          <w:rFonts w:ascii="Palatino Linotype" w:eastAsia="Palatino Linotype" w:hAnsi="Palatino Linotype" w:cs="Palatino Linotype"/>
          <w:b/>
          <w:i/>
        </w:rPr>
        <w:t>Quincuagésimo segundo</w:t>
      </w:r>
      <w:r w:rsidRPr="00686FB4">
        <w:rPr>
          <w:rFonts w:ascii="Palatino Linotype" w:eastAsia="Palatino Linotype" w:hAnsi="Palatino Linotype" w:cs="Palatino Linotype"/>
          <w:i/>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727C837D"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 xml:space="preserve">En el caso específico de la clasificación y elaboración de versiones públicas de documentos que contengan información confidencial, las áreas de los sujetos obligados deberán: </w:t>
      </w:r>
    </w:p>
    <w:p w14:paraId="2DCD385A"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w:t>
      </w:r>
      <w:r w:rsidRPr="00686FB4">
        <w:rPr>
          <w:rFonts w:ascii="Palatino Linotype" w:eastAsia="Palatino Linotype" w:hAnsi="Palatino Linotype" w:cs="Palatino Linotype"/>
          <w:i/>
        </w:rPr>
        <w:t xml:space="preserve"> Fijar la fecha en que se elaboró la versión pública y la fecha en la cual el Comité de Transparencia confirmó dicha versión;</w:t>
      </w:r>
    </w:p>
    <w:p w14:paraId="34F7A026"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w:t>
      </w:r>
      <w:r w:rsidRPr="00686FB4">
        <w:rPr>
          <w:rFonts w:ascii="Palatino Linotype" w:eastAsia="Palatino Linotype" w:hAnsi="Palatino Linotype" w:cs="Palatino Linotype"/>
          <w:i/>
        </w:rPr>
        <w:t xml:space="preserve"> Señalar dentro del documento el tipo de información confidencial que fue testada en cada caso específico, de conformidad con el lineamiento trigésimo octavo; y</w:t>
      </w:r>
    </w:p>
    <w:p w14:paraId="1AC7A846"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III.</w:t>
      </w:r>
      <w:r w:rsidRPr="00686FB4">
        <w:rPr>
          <w:rFonts w:ascii="Palatino Linotype" w:eastAsia="Palatino Linotype" w:hAnsi="Palatino Linotype" w:cs="Palatino Linotype"/>
          <w:i/>
        </w:rPr>
        <w:t xml:space="preserve"> Señalar las personas o instancias autorizadas a acceder a la información clasificada.</w:t>
      </w:r>
    </w:p>
    <w:p w14:paraId="788F506E"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En los documentos de difusión electrónica, señalar en la primera hoja y en el nombre del archivo, que la versión pública corresponde a un documento que contiene información confidencial.”</w:t>
      </w:r>
    </w:p>
    <w:p w14:paraId="2D0D8559"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w:t>
      </w:r>
    </w:p>
    <w:p w14:paraId="7AC164B2"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b/>
          <w:i/>
        </w:rPr>
      </w:pPr>
      <w:r w:rsidRPr="00686FB4">
        <w:rPr>
          <w:rFonts w:ascii="Palatino Linotype" w:eastAsia="Palatino Linotype" w:hAnsi="Palatino Linotype" w:cs="Palatino Linotype"/>
          <w:b/>
          <w:i/>
        </w:rPr>
        <w:t xml:space="preserve">Quincuagésimo cuarto. </w:t>
      </w:r>
      <w:r w:rsidRPr="00686FB4">
        <w:rPr>
          <w:rFonts w:ascii="Palatino Linotype" w:eastAsia="Palatino Linotype" w:hAnsi="Palatino Linotype" w:cs="Palatino Linotype"/>
          <w:i/>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686FB4">
        <w:rPr>
          <w:rFonts w:ascii="Palatino Linotype" w:eastAsia="Palatino Linotype" w:hAnsi="Palatino Linotype" w:cs="Palatino Linotype"/>
          <w:b/>
          <w:i/>
        </w:rPr>
        <w:t xml:space="preserve"> </w:t>
      </w:r>
    </w:p>
    <w:p w14:paraId="6840F7CC"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 xml:space="preserve">Quincuagésimo quinto. </w:t>
      </w:r>
      <w:r w:rsidRPr="00686FB4">
        <w:rPr>
          <w:rFonts w:ascii="Palatino Linotype" w:eastAsia="Palatino Linotype" w:hAnsi="Palatino Linotype" w:cs="Palatino Linotype"/>
          <w:i/>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1F6F461F"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b/>
          <w:i/>
        </w:rPr>
      </w:pPr>
      <w:r w:rsidRPr="00686FB4">
        <w:rPr>
          <w:rFonts w:ascii="Palatino Linotype" w:eastAsia="Palatino Linotype" w:hAnsi="Palatino Linotype" w:cs="Palatino Linotype"/>
          <w:b/>
          <w:i/>
        </w:rPr>
        <w:t>...</w:t>
      </w:r>
    </w:p>
    <w:p w14:paraId="0AE1D427"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Quincuagésimo séptimo</w:t>
      </w:r>
      <w:r w:rsidRPr="00686FB4">
        <w:rPr>
          <w:rFonts w:ascii="Palatino Linotype" w:eastAsia="Palatino Linotype" w:hAnsi="Palatino Linotype" w:cs="Palatino Linotype"/>
          <w:i/>
        </w:rPr>
        <w:t xml:space="preserve">. Se considera, en principio, como información pública y no podrá omitirse de las versiones públicas la siguiente: </w:t>
      </w:r>
    </w:p>
    <w:p w14:paraId="14949B30"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w:t>
      </w:r>
      <w:r w:rsidRPr="00686FB4">
        <w:rPr>
          <w:rFonts w:ascii="Palatino Linotype" w:eastAsia="Palatino Linotype" w:hAnsi="Palatino Linotype" w:cs="Palatino Linotype"/>
          <w:i/>
        </w:rPr>
        <w:t xml:space="preserve">. La relativa a las Obligaciones de Transparencia que contempla el Título V de la Ley General y las demás disposiciones legales aplicables; </w:t>
      </w:r>
    </w:p>
    <w:p w14:paraId="24122AB3"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w:t>
      </w:r>
      <w:r w:rsidRPr="00686FB4">
        <w:rPr>
          <w:rFonts w:ascii="Palatino Linotype" w:eastAsia="Palatino Linotype" w:hAnsi="Palatino Linotype" w:cs="Palatino Linotype"/>
          <w:i/>
        </w:rPr>
        <w:t xml:space="preserve"> El nombre de los integrantes de los sujetos obligados en los documentos, y sus firmas autógrafas o digitales, cuando sean utilizados en el ejercicio de las facultades conferidas para el desempeño del servicio público, y</w:t>
      </w:r>
    </w:p>
    <w:p w14:paraId="67FCD996"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III</w:t>
      </w:r>
      <w:r w:rsidRPr="00686FB4">
        <w:rPr>
          <w:rFonts w:ascii="Palatino Linotype" w:eastAsia="Palatino Linotype" w:hAnsi="Palatino Linotype" w:cs="Palatino Linotype"/>
          <w:i/>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6A34310C"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i/>
        </w:rPr>
        <w:t xml:space="preserve">Lo anterior, siempre y cuando no se acredite alguna causal de clasificación, prevista en las leyes o en los tratados internacionales suscritas por el Estado mexicano.  </w:t>
      </w:r>
    </w:p>
    <w:p w14:paraId="6F4A863A" w14:textId="77777777" w:rsidR="007022DA" w:rsidRPr="00686FB4" w:rsidRDefault="007022DA" w:rsidP="00FF51E8">
      <w:pPr>
        <w:pBdr>
          <w:top w:val="nil"/>
          <w:left w:val="nil"/>
          <w:bottom w:val="nil"/>
          <w:right w:val="nil"/>
          <w:between w:val="nil"/>
        </w:pBdr>
        <w:spacing w:after="0"/>
        <w:ind w:left="851" w:right="709"/>
        <w:jc w:val="both"/>
        <w:rPr>
          <w:rFonts w:ascii="Palatino Linotype" w:eastAsia="Palatino Linotype" w:hAnsi="Palatino Linotype" w:cs="Palatino Linotype"/>
          <w:i/>
        </w:rPr>
      </w:pPr>
      <w:r w:rsidRPr="00686FB4">
        <w:rPr>
          <w:rFonts w:ascii="Palatino Linotype" w:eastAsia="Palatino Linotype" w:hAnsi="Palatino Linotype" w:cs="Palatino Linotype"/>
          <w:b/>
          <w:i/>
        </w:rPr>
        <w:t>Quincuagésimo octavo</w:t>
      </w:r>
      <w:r w:rsidRPr="00686FB4">
        <w:rPr>
          <w:rFonts w:ascii="Palatino Linotype" w:eastAsia="Palatino Linotype" w:hAnsi="Palatino Linotype" w:cs="Palatino Linotype"/>
          <w:i/>
        </w:rPr>
        <w:t>. Los sujetos obligados garantizarán que los sistemas o medios empleados para eliminar la información en las versiones públicas sean irreversibles, de tal forma que no permitan su recuperación o la visualización de la misma.”</w:t>
      </w:r>
    </w:p>
    <w:p w14:paraId="404199FB" w14:textId="77777777" w:rsidR="007022DA" w:rsidRPr="00686FB4" w:rsidRDefault="007022DA"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7F4C268B" w14:textId="77777777" w:rsidR="00CD2894" w:rsidRPr="00686FB4" w:rsidRDefault="00CD2894"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 xml:space="preserve">Por lo tanto, la entrega de documentos en su versión pública debe acompañarse necesariamente del Acuerdo del Comité de Transparencia que la sustente el cual debe estar debidamente fundado y motivado, en el que se expongan los fundamentos y razonamientos que llevaron al </w:t>
      </w:r>
      <w:r w:rsidRPr="00686FB4">
        <w:rPr>
          <w:rFonts w:ascii="Palatino Linotype" w:eastAsia="Palatino Linotype" w:hAnsi="Palatino Linotype" w:cs="Palatino Linotype"/>
          <w:b/>
        </w:rPr>
        <w:t>Sujeto Obligado</w:t>
      </w:r>
      <w:r w:rsidRPr="00686FB4">
        <w:rPr>
          <w:rFonts w:ascii="Palatino Linotype" w:eastAsia="Palatino Linotype" w:hAnsi="Palatino Linotype" w:cs="Palatino Linotype"/>
        </w:rPr>
        <w:t xml:space="preserve"> a testar, suprimir o eliminar datos de dicho soporte documental, ya que no hacerlo, se reitera que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al solicitante en estado de incertidumbre, al no conocer o comprender porque no aparecen en la documentación respectiva.</w:t>
      </w:r>
    </w:p>
    <w:p w14:paraId="276FA21A"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00AA7FD0" w14:textId="77777777" w:rsidR="000A372D" w:rsidRPr="00686FB4" w:rsidRDefault="00DA4FF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rPr>
        <w:t>Así, con fundamento en lo prescrito en los artículos 5, párrafos cuadragésimo cuarto, cuadragésimo quinto y cuadragésimo sexto, fracciones IV y V de la Constitución Política del Estado Libre y Soberano de México; Transitorio Cuarto, párrafo segundo del Decreto número 198 de la “LXII” Legislatura del Estado de México; 2, fracción II, 29, 36, fracciones I y II, 176, 178, 179, 181, 185, fracción I, 186 y 188 de la Ley de Transparencia y Acceso a la Información Pública del Estado de México y Municipios, este Pleno:</w:t>
      </w:r>
    </w:p>
    <w:p w14:paraId="27F6032A" w14:textId="77777777" w:rsidR="000A372D" w:rsidRPr="00686FB4" w:rsidRDefault="000A372D" w:rsidP="00FF51E8">
      <w:pPr>
        <w:spacing w:after="0" w:line="360" w:lineRule="auto"/>
        <w:jc w:val="both"/>
        <w:rPr>
          <w:rFonts w:ascii="Palatino Linotype" w:eastAsia="Palatino Linotype" w:hAnsi="Palatino Linotype" w:cs="Palatino Linotype"/>
        </w:rPr>
      </w:pPr>
    </w:p>
    <w:p w14:paraId="23E4295E" w14:textId="77777777" w:rsidR="000A372D" w:rsidRPr="00686FB4" w:rsidRDefault="00DA4FFE" w:rsidP="00FF51E8">
      <w:pPr>
        <w:numPr>
          <w:ilvl w:val="0"/>
          <w:numId w:val="2"/>
        </w:numPr>
        <w:spacing w:after="0" w:line="360" w:lineRule="auto"/>
        <w:jc w:val="center"/>
        <w:rPr>
          <w:rFonts w:ascii="Palatino Linotype" w:eastAsia="Palatino Linotype" w:hAnsi="Palatino Linotype" w:cs="Palatino Linotype"/>
          <w:b/>
          <w:bCs/>
        </w:rPr>
      </w:pPr>
      <w:r w:rsidRPr="00686FB4">
        <w:rPr>
          <w:rFonts w:ascii="Palatino Linotype" w:eastAsia="Palatino Linotype" w:hAnsi="Palatino Linotype" w:cs="Palatino Linotype"/>
          <w:b/>
          <w:bCs/>
        </w:rPr>
        <w:t>R E S U E L V E:</w:t>
      </w:r>
    </w:p>
    <w:p w14:paraId="0313C897" w14:textId="77777777" w:rsidR="000A372D" w:rsidRPr="00686FB4" w:rsidRDefault="000A372D" w:rsidP="00FF51E8">
      <w:pPr>
        <w:spacing w:after="0" w:line="360" w:lineRule="auto"/>
        <w:ind w:right="49"/>
        <w:jc w:val="both"/>
        <w:rPr>
          <w:rFonts w:ascii="Palatino Linotype" w:eastAsia="Palatino Linotype" w:hAnsi="Palatino Linotype" w:cs="Palatino Linotype"/>
          <w:b/>
          <w:bCs/>
        </w:rPr>
      </w:pPr>
    </w:p>
    <w:p w14:paraId="290304FD" w14:textId="667FBE50"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bCs/>
        </w:rPr>
        <w:t xml:space="preserve">Primero. </w:t>
      </w:r>
      <w:r w:rsidRPr="00686FB4">
        <w:rPr>
          <w:rFonts w:ascii="Palatino Linotype" w:eastAsia="Palatino Linotype" w:hAnsi="Palatino Linotype" w:cs="Palatino Linotype"/>
        </w:rPr>
        <w:t xml:space="preserve">Resultan fundados los motivos de inconformidad de la parte </w:t>
      </w:r>
      <w:r w:rsidRPr="00686FB4">
        <w:rPr>
          <w:rFonts w:ascii="Palatino Linotype" w:eastAsia="Palatino Linotype" w:hAnsi="Palatino Linotype" w:cs="Palatino Linotype"/>
          <w:b/>
          <w:bCs/>
        </w:rPr>
        <w:t>Recurrente</w:t>
      </w:r>
      <w:r w:rsidRPr="00686FB4">
        <w:rPr>
          <w:rFonts w:ascii="Palatino Linotype" w:eastAsia="Palatino Linotype" w:hAnsi="Palatino Linotype" w:cs="Palatino Linotype"/>
        </w:rPr>
        <w:t xml:space="preserve">, hechos valer en el Recurso de Revisión </w:t>
      </w:r>
      <w:r w:rsidR="00CD2894" w:rsidRPr="00686FB4">
        <w:rPr>
          <w:rFonts w:ascii="Palatino Linotype" w:eastAsia="Palatino Linotype" w:hAnsi="Palatino Linotype" w:cs="Palatino Linotype"/>
          <w:b/>
          <w:bCs/>
        </w:rPr>
        <w:t>0</w:t>
      </w:r>
      <w:r w:rsidR="00AD0DD5" w:rsidRPr="00686FB4">
        <w:rPr>
          <w:rFonts w:ascii="Palatino Linotype" w:eastAsia="Palatino Linotype" w:hAnsi="Palatino Linotype" w:cs="Palatino Linotype"/>
          <w:b/>
          <w:bCs/>
        </w:rPr>
        <w:t>6067</w:t>
      </w:r>
      <w:r w:rsidRPr="00686FB4">
        <w:rPr>
          <w:rFonts w:ascii="Palatino Linotype" w:eastAsia="Palatino Linotype" w:hAnsi="Palatino Linotype" w:cs="Palatino Linotype"/>
          <w:b/>
          <w:bCs/>
        </w:rPr>
        <w:t>/INFOEM/IP/RR/2026</w:t>
      </w:r>
      <w:r w:rsidRPr="00686FB4">
        <w:rPr>
          <w:rFonts w:ascii="Palatino Linotype" w:eastAsia="Palatino Linotype" w:hAnsi="Palatino Linotype" w:cs="Palatino Linotype"/>
        </w:rPr>
        <w:t>, en términos del</w:t>
      </w:r>
      <w:r w:rsidRPr="00686FB4">
        <w:rPr>
          <w:rFonts w:ascii="Palatino Linotype" w:eastAsia="Palatino Linotype" w:hAnsi="Palatino Linotype" w:cs="Palatino Linotype"/>
          <w:b/>
          <w:bCs/>
        </w:rPr>
        <w:t xml:space="preserve"> Considerando</w:t>
      </w:r>
      <w:r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b/>
          <w:bCs/>
        </w:rPr>
        <w:t>Cuarto</w:t>
      </w:r>
      <w:r w:rsidRPr="00686FB4">
        <w:rPr>
          <w:rFonts w:ascii="Palatino Linotype" w:eastAsia="Palatino Linotype" w:hAnsi="Palatino Linotype" w:cs="Palatino Linotype"/>
        </w:rPr>
        <w:t xml:space="preserve"> de la presente resolución, se </w:t>
      </w:r>
      <w:r w:rsidRPr="00686FB4">
        <w:rPr>
          <w:rFonts w:ascii="Palatino Linotype" w:eastAsia="Palatino Linotype" w:hAnsi="Palatino Linotype" w:cs="Palatino Linotype"/>
          <w:b/>
          <w:bCs/>
        </w:rPr>
        <w:t xml:space="preserve">Revoca </w:t>
      </w:r>
      <w:r w:rsidRPr="00686FB4">
        <w:rPr>
          <w:rFonts w:ascii="Palatino Linotype" w:eastAsia="Palatino Linotype" w:hAnsi="Palatino Linotype" w:cs="Palatino Linotype"/>
        </w:rPr>
        <w:t xml:space="preserve">la respuesta emitida por el </w:t>
      </w:r>
      <w:r w:rsidRPr="00686FB4">
        <w:rPr>
          <w:rFonts w:ascii="Palatino Linotype" w:eastAsia="Palatino Linotype" w:hAnsi="Palatino Linotype" w:cs="Palatino Linotype"/>
          <w:b/>
          <w:bCs/>
        </w:rPr>
        <w:t>Sujeto Obligado</w:t>
      </w:r>
      <w:r w:rsidRPr="00686FB4">
        <w:rPr>
          <w:rFonts w:ascii="Palatino Linotype" w:eastAsia="Palatino Linotype" w:hAnsi="Palatino Linotype" w:cs="Palatino Linotype"/>
        </w:rPr>
        <w:t>.</w:t>
      </w:r>
    </w:p>
    <w:p w14:paraId="73E31B9D"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6AA749FC" w14:textId="7D488B4D" w:rsidR="000A372D" w:rsidRPr="00686FB4" w:rsidRDefault="00DA4FFE"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b/>
          <w:bCs/>
        </w:rPr>
        <w:t xml:space="preserve">Segundo. </w:t>
      </w:r>
      <w:r w:rsidRPr="00686FB4">
        <w:rPr>
          <w:rFonts w:ascii="Palatino Linotype" w:eastAsia="Palatino Linotype" w:hAnsi="Palatino Linotype" w:cs="Palatino Linotype"/>
        </w:rPr>
        <w:t>Se</w:t>
      </w:r>
      <w:r w:rsidRPr="00686FB4">
        <w:rPr>
          <w:rFonts w:ascii="Palatino Linotype" w:eastAsia="Palatino Linotype" w:hAnsi="Palatino Linotype" w:cs="Palatino Linotype"/>
          <w:b/>
          <w:bCs/>
        </w:rPr>
        <w:t xml:space="preserve"> ordena </w:t>
      </w:r>
      <w:r w:rsidRPr="00686FB4">
        <w:rPr>
          <w:rFonts w:ascii="Palatino Linotype" w:eastAsia="Palatino Linotype" w:hAnsi="Palatino Linotype" w:cs="Palatino Linotype"/>
        </w:rPr>
        <w:t xml:space="preserve">al </w:t>
      </w:r>
      <w:r w:rsidRPr="00686FB4">
        <w:rPr>
          <w:rFonts w:ascii="Palatino Linotype" w:eastAsia="Palatino Linotype" w:hAnsi="Palatino Linotype" w:cs="Palatino Linotype"/>
          <w:b/>
          <w:bCs/>
        </w:rPr>
        <w:t>Sujeto Obligado</w:t>
      </w:r>
      <w:r w:rsidRPr="00686FB4">
        <w:rPr>
          <w:rFonts w:ascii="Palatino Linotype" w:eastAsia="Palatino Linotype" w:hAnsi="Palatino Linotype" w:cs="Palatino Linotype"/>
        </w:rPr>
        <w:t xml:space="preserve"> a que,</w:t>
      </w:r>
      <w:r w:rsidRPr="00686FB4">
        <w:rPr>
          <w:rFonts w:ascii="Palatino Linotype" w:eastAsia="Palatino Linotype" w:hAnsi="Palatino Linotype" w:cs="Palatino Linotype"/>
          <w:b/>
          <w:bCs/>
        </w:rPr>
        <w:t xml:space="preserve"> </w:t>
      </w:r>
      <w:r w:rsidRPr="00686FB4">
        <w:rPr>
          <w:rFonts w:ascii="Palatino Linotype" w:eastAsia="Palatino Linotype" w:hAnsi="Palatino Linotype" w:cs="Palatino Linotype"/>
        </w:rPr>
        <w:t>en términos de</w:t>
      </w:r>
      <w:r w:rsidR="00C30B1B"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rPr>
        <w:t>l</w:t>
      </w:r>
      <w:r w:rsidR="00C30B1B" w:rsidRPr="00686FB4">
        <w:rPr>
          <w:rFonts w:ascii="Palatino Linotype" w:eastAsia="Palatino Linotype" w:hAnsi="Palatino Linotype" w:cs="Palatino Linotype"/>
        </w:rPr>
        <w:t>os</w:t>
      </w:r>
      <w:r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b/>
        </w:rPr>
        <w:t>Considerando</w:t>
      </w:r>
      <w:r w:rsidR="00C30B1B" w:rsidRPr="00686FB4">
        <w:rPr>
          <w:rFonts w:ascii="Palatino Linotype" w:eastAsia="Palatino Linotype" w:hAnsi="Palatino Linotype" w:cs="Palatino Linotype"/>
          <w:b/>
        </w:rPr>
        <w:t>s</w:t>
      </w:r>
      <w:r w:rsidRPr="00686FB4">
        <w:rPr>
          <w:rFonts w:ascii="Palatino Linotype" w:eastAsia="Palatino Linotype" w:hAnsi="Palatino Linotype" w:cs="Palatino Linotype"/>
          <w:b/>
        </w:rPr>
        <w:t xml:space="preserve"> Cuarto</w:t>
      </w:r>
      <w:r w:rsidR="00C30B1B" w:rsidRPr="00686FB4">
        <w:rPr>
          <w:rFonts w:ascii="Palatino Linotype" w:eastAsia="Palatino Linotype" w:hAnsi="Palatino Linotype" w:cs="Palatino Linotype"/>
          <w:b/>
        </w:rPr>
        <w:t xml:space="preserve"> y Quinto</w:t>
      </w:r>
      <w:r w:rsidRPr="00686FB4">
        <w:rPr>
          <w:rFonts w:ascii="Palatino Linotype" w:eastAsia="Palatino Linotype" w:hAnsi="Palatino Linotype" w:cs="Palatino Linotype"/>
          <w:b/>
        </w:rPr>
        <w:t xml:space="preserve"> </w:t>
      </w:r>
      <w:r w:rsidRPr="00686FB4">
        <w:rPr>
          <w:rFonts w:ascii="Palatino Linotype" w:eastAsia="Palatino Linotype" w:hAnsi="Palatino Linotype" w:cs="Palatino Linotype"/>
        </w:rPr>
        <w:t>haga entrega</w:t>
      </w:r>
      <w:r w:rsidR="00CB4180" w:rsidRPr="00686FB4">
        <w:rPr>
          <w:rFonts w:ascii="Palatino Linotype" w:eastAsia="Palatino Linotype" w:hAnsi="Palatino Linotype" w:cs="Palatino Linotype"/>
        </w:rPr>
        <w:t xml:space="preserve">, </w:t>
      </w:r>
      <w:r w:rsidRPr="00686FB4">
        <w:rPr>
          <w:rFonts w:ascii="Palatino Linotype" w:eastAsia="Palatino Linotype" w:hAnsi="Palatino Linotype" w:cs="Palatino Linotype"/>
        </w:rPr>
        <w:t>vía Sistema de Acceso a la Información Mexiquense (</w:t>
      </w:r>
      <w:r w:rsidRPr="00686FB4">
        <w:rPr>
          <w:rFonts w:ascii="Palatino Linotype" w:eastAsia="Palatino Linotype" w:hAnsi="Palatino Linotype" w:cs="Palatino Linotype"/>
          <w:b/>
        </w:rPr>
        <w:t>SAIMEX</w:t>
      </w:r>
      <w:r w:rsidRPr="00686FB4">
        <w:rPr>
          <w:rFonts w:ascii="Palatino Linotype" w:eastAsia="Palatino Linotype" w:hAnsi="Palatino Linotype" w:cs="Palatino Linotype"/>
        </w:rPr>
        <w:t>)</w:t>
      </w:r>
      <w:r w:rsidR="00470C01" w:rsidRPr="00686FB4">
        <w:rPr>
          <w:rFonts w:ascii="Palatino Linotype" w:eastAsia="Palatino Linotype" w:hAnsi="Palatino Linotype" w:cs="Palatino Linotype"/>
        </w:rPr>
        <w:t xml:space="preserve">, </w:t>
      </w:r>
      <w:r w:rsidR="00C30B1B" w:rsidRPr="00686FB4">
        <w:rPr>
          <w:rFonts w:ascii="Palatino Linotype" w:eastAsia="Palatino Linotype" w:hAnsi="Palatino Linotype" w:cs="Palatino Linotype"/>
        </w:rPr>
        <w:t>de ser procedente en versión pública</w:t>
      </w:r>
      <w:r w:rsidR="00AD0DD5" w:rsidRPr="00686FB4">
        <w:rPr>
          <w:rFonts w:ascii="Palatino Linotype" w:eastAsia="Palatino Linotype" w:hAnsi="Palatino Linotype" w:cs="Palatino Linotype"/>
        </w:rPr>
        <w:t>, de lo siguiente:</w:t>
      </w:r>
      <w:r w:rsidR="00AD0DD5" w:rsidRPr="00686FB4">
        <w:rPr>
          <w:rFonts w:ascii="Palatino Linotype" w:eastAsia="Palatino Linotype" w:hAnsi="Palatino Linotype" w:cs="Palatino Linotype"/>
          <w:b/>
          <w:bCs/>
        </w:rPr>
        <w:t xml:space="preserve"> </w:t>
      </w:r>
    </w:p>
    <w:p w14:paraId="2ECE3904" w14:textId="77777777" w:rsidR="000A372D" w:rsidRPr="00686FB4" w:rsidRDefault="000A372D" w:rsidP="00FF51E8">
      <w:pPr>
        <w:spacing w:after="0" w:line="360" w:lineRule="auto"/>
        <w:ind w:right="49"/>
        <w:jc w:val="both"/>
        <w:rPr>
          <w:rFonts w:ascii="Palatino Linotype" w:eastAsia="Palatino Linotype" w:hAnsi="Palatino Linotype" w:cs="Palatino Linotype"/>
        </w:rPr>
      </w:pPr>
    </w:p>
    <w:p w14:paraId="120225D3" w14:textId="1ED4A0C5" w:rsidR="00AD0DD5" w:rsidRPr="00686FB4" w:rsidRDefault="0009544F" w:rsidP="00FF51E8">
      <w:pPr>
        <w:numPr>
          <w:ilvl w:val="0"/>
          <w:numId w:val="7"/>
        </w:numPr>
        <w:pBdr>
          <w:top w:val="nil"/>
          <w:left w:val="nil"/>
          <w:bottom w:val="nil"/>
          <w:right w:val="nil"/>
          <w:between w:val="nil"/>
        </w:pBdr>
        <w:spacing w:after="0" w:line="360" w:lineRule="auto"/>
        <w:ind w:left="851" w:right="709" w:firstLine="0"/>
        <w:jc w:val="both"/>
        <w:rPr>
          <w:rFonts w:ascii="Palatino Linotype" w:eastAsia="Palatino Linotype" w:hAnsi="Palatino Linotype" w:cs="Palatino Linotype"/>
          <w:b/>
          <w:bCs/>
        </w:rPr>
      </w:pPr>
      <w:r w:rsidRPr="00686FB4">
        <w:rPr>
          <w:rFonts w:ascii="Palatino Linotype" w:eastAsia="Palatino Linotype" w:hAnsi="Palatino Linotype" w:cs="Palatino Linotype"/>
          <w:b/>
          <w:bCs/>
        </w:rPr>
        <w:t>Currículum vitae de los servidores públicos adscritos a la Coordinación de Catastro, en funciones al trece de mayo de dos mil veintiséis.</w:t>
      </w:r>
      <w:r w:rsidR="00AD0DD5" w:rsidRPr="00686FB4">
        <w:rPr>
          <w:rFonts w:ascii="Palatino Linotype" w:eastAsia="Palatino Linotype" w:hAnsi="Palatino Linotype" w:cs="Palatino Linotype"/>
          <w:b/>
          <w:bCs/>
        </w:rPr>
        <w:t xml:space="preserve"> </w:t>
      </w:r>
    </w:p>
    <w:p w14:paraId="386E1A95" w14:textId="60A9B919" w:rsidR="000A372D" w:rsidRPr="00686FB4" w:rsidRDefault="00AD0DD5" w:rsidP="00FF51E8">
      <w:pPr>
        <w:numPr>
          <w:ilvl w:val="0"/>
          <w:numId w:val="7"/>
        </w:numPr>
        <w:pBdr>
          <w:top w:val="nil"/>
          <w:left w:val="nil"/>
          <w:bottom w:val="nil"/>
          <w:right w:val="nil"/>
          <w:between w:val="nil"/>
        </w:pBdr>
        <w:spacing w:after="0" w:line="360" w:lineRule="auto"/>
        <w:ind w:left="851" w:right="709" w:firstLine="0"/>
        <w:jc w:val="both"/>
        <w:rPr>
          <w:rFonts w:ascii="Palatino Linotype" w:eastAsia="Palatino Linotype" w:hAnsi="Palatino Linotype" w:cs="Palatino Linotype"/>
          <w:b/>
          <w:bCs/>
        </w:rPr>
      </w:pPr>
      <w:r w:rsidRPr="00686FB4">
        <w:rPr>
          <w:rFonts w:ascii="Palatino Linotype" w:eastAsia="Palatino Linotype" w:hAnsi="Palatino Linotype" w:cs="Palatino Linotype"/>
          <w:b/>
          <w:bCs/>
        </w:rPr>
        <w:t>La nómina completa de todos los servidores públicos adscritos a la Coordinación de Catastro, de la primera y segunda quincena de abril de dos mil veintiséis</w:t>
      </w:r>
      <w:r w:rsidR="00DA4FFE" w:rsidRPr="00686FB4">
        <w:rPr>
          <w:rFonts w:ascii="Palatino Linotype" w:eastAsia="Palatino Linotype" w:hAnsi="Palatino Linotype" w:cs="Palatino Linotype"/>
          <w:b/>
          <w:bCs/>
        </w:rPr>
        <w:t xml:space="preserve">. </w:t>
      </w:r>
    </w:p>
    <w:p w14:paraId="72FE8E95" w14:textId="77777777" w:rsidR="00CD2894" w:rsidRPr="00686FB4" w:rsidRDefault="00CD2894" w:rsidP="00FF51E8">
      <w:pPr>
        <w:pBdr>
          <w:top w:val="nil"/>
          <w:left w:val="nil"/>
          <w:bottom w:val="nil"/>
          <w:right w:val="nil"/>
          <w:between w:val="nil"/>
        </w:pBdr>
        <w:spacing w:after="0"/>
        <w:ind w:left="851" w:right="709"/>
        <w:jc w:val="both"/>
        <w:rPr>
          <w:rFonts w:ascii="Palatino Linotype" w:eastAsia="Palatino Linotype" w:hAnsi="Palatino Linotype" w:cs="Palatino Linotype"/>
          <w:bCs/>
          <w:i/>
        </w:rPr>
      </w:pPr>
      <w:r w:rsidRPr="00686FB4">
        <w:rPr>
          <w:rFonts w:ascii="Palatino Linotype" w:eastAsia="Palatino Linotype" w:hAnsi="Palatino Linotype" w:cs="Palatino Linotype"/>
          <w:bCs/>
          <w:i/>
        </w:rPr>
        <w:t xml:space="preserve">Para la entrega en versión pública, deberá emitir el Acuerdo del Comité de Transparencia en términos de la Ley de Transparencia y Acceso a la Información Pública del Estado de México y Municipios, en el que funde y motive las razones sobre los datos que se supriman o eliminen, y se ponga a disposición de la parte </w:t>
      </w:r>
      <w:r w:rsidRPr="00686FB4">
        <w:rPr>
          <w:rFonts w:ascii="Palatino Linotype" w:eastAsia="Palatino Linotype" w:hAnsi="Palatino Linotype" w:cs="Palatino Linotype"/>
          <w:b/>
          <w:i/>
        </w:rPr>
        <w:t>Recurrente</w:t>
      </w:r>
      <w:r w:rsidRPr="00686FB4">
        <w:rPr>
          <w:rFonts w:ascii="Palatino Linotype" w:eastAsia="Palatino Linotype" w:hAnsi="Palatino Linotype" w:cs="Palatino Linotype"/>
          <w:bCs/>
          <w:i/>
        </w:rPr>
        <w:t>.</w:t>
      </w:r>
    </w:p>
    <w:p w14:paraId="2AB0DCC5" w14:textId="77777777" w:rsidR="000A372D" w:rsidRPr="00686FB4" w:rsidRDefault="000A372D" w:rsidP="00FF51E8">
      <w:pPr>
        <w:spacing w:after="0" w:line="360" w:lineRule="auto"/>
        <w:jc w:val="both"/>
        <w:rPr>
          <w:rFonts w:ascii="Palatino Linotype" w:eastAsia="Palatino Linotype" w:hAnsi="Palatino Linotype" w:cs="Palatino Linotype"/>
          <w:b/>
          <w:bCs/>
        </w:rPr>
      </w:pPr>
    </w:p>
    <w:p w14:paraId="5E12481B" w14:textId="77777777" w:rsidR="000A372D" w:rsidRPr="00686FB4" w:rsidRDefault="00DA4FFE" w:rsidP="00FF51E8">
      <w:pP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b/>
          <w:bCs/>
        </w:rPr>
        <w:t xml:space="preserve">Tercero. Notifíquese </w:t>
      </w:r>
      <w:r w:rsidRPr="00686FB4">
        <w:rPr>
          <w:rFonts w:ascii="Palatino Linotype" w:eastAsia="Palatino Linotype" w:hAnsi="Palatino Linotype" w:cs="Palatino Linotype"/>
        </w:rPr>
        <w:t xml:space="preserve">vía </w:t>
      </w:r>
      <w:r w:rsidRPr="00686FB4">
        <w:rPr>
          <w:rFonts w:ascii="Palatino Linotype" w:eastAsia="Palatino Linotype" w:hAnsi="Palatino Linotype" w:cs="Palatino Linotype"/>
          <w:b/>
          <w:bCs/>
        </w:rPr>
        <w:t>SAIMEX</w:t>
      </w:r>
      <w:r w:rsidRPr="00686FB4">
        <w:rPr>
          <w:rFonts w:ascii="Palatino Linotype" w:eastAsia="Palatino Linotype" w:hAnsi="Palatino Linotype" w:cs="Palatino Linotype"/>
        </w:rPr>
        <w:t xml:space="preserve"> la presente resolución al Titular de la Unidad de Transparencia del </w:t>
      </w:r>
      <w:r w:rsidRPr="00686FB4">
        <w:rPr>
          <w:rFonts w:ascii="Palatino Linotype" w:eastAsia="Palatino Linotype" w:hAnsi="Palatino Linotype" w:cs="Palatino Linotype"/>
          <w:b/>
          <w:bCs/>
        </w:rPr>
        <w:t>Sujeto Obligado</w:t>
      </w:r>
      <w:r w:rsidRPr="00686FB4">
        <w:rPr>
          <w:rFonts w:ascii="Palatino Linotype" w:eastAsia="Palatino Linotype" w:hAnsi="Palatino Linotype" w:cs="Palatino Linotype"/>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7E652C24" w14:textId="77777777" w:rsidR="000A372D" w:rsidRPr="00686FB4" w:rsidRDefault="000A372D" w:rsidP="00FF51E8">
      <w:pPr>
        <w:spacing w:after="0" w:line="360" w:lineRule="auto"/>
        <w:jc w:val="both"/>
        <w:rPr>
          <w:rFonts w:ascii="Palatino Linotype" w:eastAsia="Palatino Linotype" w:hAnsi="Palatino Linotype" w:cs="Palatino Linotype"/>
        </w:rPr>
      </w:pPr>
    </w:p>
    <w:p w14:paraId="0A5B5658" w14:textId="77777777" w:rsidR="000A372D" w:rsidRPr="00686FB4" w:rsidRDefault="00DA4FFE"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r w:rsidRPr="00686FB4">
        <w:rPr>
          <w:rFonts w:ascii="Palatino Linotype" w:eastAsia="Palatino Linotype" w:hAnsi="Palatino Linotype" w:cs="Palatino Linotype"/>
          <w:b/>
          <w:bCs/>
        </w:rPr>
        <w:t xml:space="preserve">Cuarto. Notifíquese </w:t>
      </w:r>
      <w:r w:rsidRPr="00686FB4">
        <w:rPr>
          <w:rFonts w:ascii="Palatino Linotype" w:eastAsia="Palatino Linotype" w:hAnsi="Palatino Linotype" w:cs="Palatino Linotype"/>
        </w:rPr>
        <w:t xml:space="preserve">vía </w:t>
      </w:r>
      <w:r w:rsidRPr="00686FB4">
        <w:rPr>
          <w:rFonts w:ascii="Palatino Linotype" w:eastAsia="Palatino Linotype" w:hAnsi="Palatino Linotype" w:cs="Palatino Linotype"/>
          <w:b/>
          <w:bCs/>
        </w:rPr>
        <w:t xml:space="preserve">SAIMEX </w:t>
      </w:r>
      <w:r w:rsidRPr="00686FB4">
        <w:rPr>
          <w:rFonts w:ascii="Palatino Linotype" w:eastAsia="Palatino Linotype" w:hAnsi="Palatino Linotype" w:cs="Palatino Linotype"/>
        </w:rPr>
        <w:t>a la parte</w:t>
      </w:r>
      <w:r w:rsidRPr="00686FB4">
        <w:rPr>
          <w:rFonts w:ascii="Palatino Linotype" w:eastAsia="Palatino Linotype" w:hAnsi="Palatino Linotype" w:cs="Palatino Linotype"/>
          <w:b/>
          <w:bCs/>
        </w:rPr>
        <w:t xml:space="preserve"> Recurrente, </w:t>
      </w:r>
      <w:r w:rsidRPr="00686FB4">
        <w:rPr>
          <w:rFonts w:ascii="Palatino Linotype" w:eastAsia="Palatino Linotype" w:hAnsi="Palatino Linotype" w:cs="Palatino Linotype"/>
        </w:rPr>
        <w:t>la presente resolución, así como,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6D0C2BC8" w14:textId="77777777" w:rsidR="000A372D" w:rsidRPr="00686FB4"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06F8923E" w14:textId="77777777" w:rsidR="000A372D" w:rsidRPr="00686FB4" w:rsidRDefault="00DA4FFE" w:rsidP="00FF51E8">
      <w:pPr>
        <w:spacing w:after="0" w:line="360" w:lineRule="auto"/>
        <w:ind w:right="49"/>
        <w:jc w:val="both"/>
        <w:rPr>
          <w:rFonts w:ascii="Palatino Linotype" w:eastAsia="Palatino Linotype" w:hAnsi="Palatino Linotype" w:cs="Palatino Linotype"/>
        </w:rPr>
      </w:pPr>
      <w:r w:rsidRPr="00686FB4">
        <w:rPr>
          <w:rFonts w:ascii="Palatino Linotype" w:eastAsia="Palatino Linotype" w:hAnsi="Palatino Linotype" w:cs="Palatino Linotype"/>
          <w:b/>
          <w:bCs/>
        </w:rPr>
        <w:t xml:space="preserve">Quinto. Notifíquese </w:t>
      </w:r>
      <w:r w:rsidRPr="00686FB4">
        <w:rPr>
          <w:rFonts w:ascii="Palatino Linotype" w:eastAsia="Palatino Linotype" w:hAnsi="Palatino Linotype" w:cs="Palatino Linotype"/>
        </w:rPr>
        <w:t xml:space="preserve">vía </w:t>
      </w:r>
      <w:r w:rsidRPr="00686FB4">
        <w:rPr>
          <w:rFonts w:ascii="Palatino Linotype" w:eastAsia="Palatino Linotype" w:hAnsi="Palatino Linotype" w:cs="Palatino Linotype"/>
          <w:b/>
          <w:bCs/>
        </w:rPr>
        <w:t xml:space="preserve">SAIMEX </w:t>
      </w:r>
      <w:r w:rsidRPr="00686FB4">
        <w:rPr>
          <w:rFonts w:ascii="Palatino Linotype" w:eastAsia="Palatino Linotype" w:hAnsi="Palatino Linotype" w:cs="Palatino Linotype"/>
        </w:rPr>
        <w:t>a la parte</w:t>
      </w:r>
      <w:r w:rsidRPr="00686FB4">
        <w:rPr>
          <w:rFonts w:ascii="Palatino Linotype" w:eastAsia="Palatino Linotype" w:hAnsi="Palatino Linotype" w:cs="Palatino Linotype"/>
          <w:b/>
          <w:bCs/>
        </w:rPr>
        <w:t xml:space="preserve"> Recurrente </w:t>
      </w:r>
      <w:r w:rsidRPr="00686FB4">
        <w:rPr>
          <w:rFonts w:ascii="Palatino Linotype" w:eastAsia="Palatino Linotype" w:hAnsi="Palatino Linotype" w:cs="Palatino Linotype"/>
        </w:rPr>
        <w:t xml:space="preserve">que la respuesta que dé el </w:t>
      </w:r>
      <w:r w:rsidRPr="00686FB4">
        <w:rPr>
          <w:rFonts w:ascii="Palatino Linotype" w:eastAsia="Palatino Linotype" w:hAnsi="Palatino Linotype" w:cs="Palatino Linotype"/>
          <w:b/>
          <w:bCs/>
        </w:rPr>
        <w:t>Sujeto Obligado</w:t>
      </w:r>
      <w:r w:rsidRPr="00686FB4">
        <w:rPr>
          <w:rFonts w:ascii="Palatino Linotype" w:eastAsia="Palatino Linotype" w:hAnsi="Palatino Linotype" w:cs="Palatino Linotype"/>
        </w:rPr>
        <w:t xml:space="preserve"> derivada de la presente resolución es susceptible de ser impugnada nuevamente, mediante recurso de revisión, ante el Instituto, en términos del artículo 179, último párrafo de la Ley de Transparencia y Acceso a la Información Pública del Estado de México y Municipios.</w:t>
      </w:r>
    </w:p>
    <w:p w14:paraId="090F0E4C" w14:textId="77777777" w:rsidR="000A372D" w:rsidRPr="00686FB4" w:rsidRDefault="000A372D" w:rsidP="00FF51E8">
      <w:pPr>
        <w:spacing w:after="0" w:line="360" w:lineRule="auto"/>
        <w:jc w:val="both"/>
        <w:rPr>
          <w:rFonts w:ascii="Palatino Linotype" w:eastAsia="Palatino Linotype" w:hAnsi="Palatino Linotype" w:cs="Palatino Linotype"/>
        </w:rPr>
      </w:pPr>
    </w:p>
    <w:p w14:paraId="21A42ED0" w14:textId="66B1E271" w:rsidR="000A372D" w:rsidRPr="000A7117" w:rsidRDefault="00DA4FFE" w:rsidP="00FF51E8">
      <w:pPr>
        <w:spacing w:after="0" w:line="360" w:lineRule="auto"/>
        <w:ind w:right="49"/>
        <w:jc w:val="both"/>
        <w:rPr>
          <w:rFonts w:ascii="Palatino Linotype" w:eastAsia="Palatino Linotype" w:hAnsi="Palatino Linotype" w:cs="Palatino Linotype"/>
        </w:rPr>
      </w:pPr>
      <w:bookmarkStart w:id="8" w:name="_heading=h.g6xijewjiub" w:colFirst="0" w:colLast="0"/>
      <w:bookmarkEnd w:id="8"/>
      <w:r w:rsidRPr="00686FB4">
        <w:rPr>
          <w:rFonts w:ascii="Palatino Linotype" w:eastAsia="Palatino Linotype" w:hAnsi="Palatino Linotype" w:cs="Palatino Linotype"/>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w:t>
      </w:r>
      <w:r w:rsidR="00AD0DD5" w:rsidRPr="00686FB4">
        <w:rPr>
          <w:rFonts w:ascii="Palatino Linotype" w:eastAsia="Palatino Linotype" w:hAnsi="Palatino Linotype" w:cs="Palatino Linotype"/>
        </w:rPr>
        <w:t xml:space="preserve">TRIGÉSIMA CUARTA </w:t>
      </w:r>
      <w:r w:rsidRPr="00686FB4">
        <w:rPr>
          <w:rFonts w:ascii="Palatino Linotype" w:eastAsia="Palatino Linotype" w:hAnsi="Palatino Linotype" w:cs="Palatino Linotype"/>
        </w:rPr>
        <w:t xml:space="preserve">SESIÓN ORDINARIA CELEBRADA EL </w:t>
      </w:r>
      <w:r w:rsidR="00AD0DD5" w:rsidRPr="00686FB4">
        <w:rPr>
          <w:rFonts w:ascii="Palatino Linotype" w:eastAsia="Palatino Linotype" w:hAnsi="Palatino Linotype" w:cs="Palatino Linotype"/>
        </w:rPr>
        <w:t>VEINTI</w:t>
      </w:r>
      <w:r w:rsidR="000A7117" w:rsidRPr="00686FB4">
        <w:rPr>
          <w:rFonts w:ascii="Palatino Linotype" w:eastAsia="Palatino Linotype" w:hAnsi="Palatino Linotype" w:cs="Palatino Linotype"/>
        </w:rPr>
        <w:t>CUATRO</w:t>
      </w:r>
      <w:r w:rsidR="00AD0DD5" w:rsidRPr="00686FB4">
        <w:rPr>
          <w:rFonts w:ascii="Palatino Linotype" w:eastAsia="Palatino Linotype" w:hAnsi="Palatino Linotype" w:cs="Palatino Linotype"/>
        </w:rPr>
        <w:t xml:space="preserve"> DE SEPTIEMBRE </w:t>
      </w:r>
      <w:r w:rsidRPr="00686FB4">
        <w:rPr>
          <w:rFonts w:ascii="Palatino Linotype" w:eastAsia="Palatino Linotype" w:hAnsi="Palatino Linotype" w:cs="Palatino Linotype"/>
        </w:rPr>
        <w:t>DE DOS MIL VEINTISÉIS, ANTE EL SECRETARIO TÉCNICO DEL PLENO ALEXIS TAPIA RAMÍREZ</w:t>
      </w:r>
    </w:p>
    <w:p w14:paraId="32A493B1"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6EC2B4A1"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3E9881B2"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7BB45138"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4F9CBD17"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4B0EFCFD"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90C4364"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0681FFC4"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443DAAAA"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26C0D4A9" w14:textId="77777777" w:rsidR="003338E6" w:rsidRPr="000A7117" w:rsidRDefault="003338E6"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74AAAF5" w14:textId="77777777" w:rsidR="003338E6" w:rsidRPr="000A7117" w:rsidRDefault="003338E6"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10CFB11" w14:textId="77777777" w:rsidR="003338E6" w:rsidRPr="000A7117" w:rsidRDefault="003338E6"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700B5407" w14:textId="77777777" w:rsidR="003338E6" w:rsidRPr="000A7117" w:rsidRDefault="003338E6"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05511405" w14:textId="77777777" w:rsidR="003338E6" w:rsidRPr="000A7117" w:rsidRDefault="003338E6"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0CC918E6"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9CCDA91"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62E9AA31"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3932F883"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737483D7"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57F2CF88"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p w14:paraId="19107B23" w14:textId="77777777" w:rsidR="000A372D" w:rsidRPr="000A7117" w:rsidRDefault="000A372D" w:rsidP="00FF51E8">
      <w:pPr>
        <w:pBdr>
          <w:top w:val="nil"/>
          <w:left w:val="nil"/>
          <w:bottom w:val="nil"/>
          <w:right w:val="nil"/>
          <w:between w:val="nil"/>
        </w:pBdr>
        <w:spacing w:after="0" w:line="360" w:lineRule="auto"/>
        <w:jc w:val="both"/>
        <w:rPr>
          <w:rFonts w:ascii="Palatino Linotype" w:eastAsia="Palatino Linotype" w:hAnsi="Palatino Linotype" w:cs="Palatino Linotype"/>
        </w:rPr>
      </w:pPr>
    </w:p>
    <w:sectPr w:rsidR="000A372D" w:rsidRPr="000A7117">
      <w:headerReference w:type="default" r:id="rId14"/>
      <w:footerReference w:type="default" r:id="rId15"/>
      <w:headerReference w:type="first" r:id="rId16"/>
      <w:footerReference w:type="first" r:id="rId17"/>
      <w:pgSz w:w="12240" w:h="15840"/>
      <w:pgMar w:top="2041" w:right="1608"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93076" w14:textId="77777777" w:rsidR="00DF581F" w:rsidRDefault="00DF581F">
      <w:pPr>
        <w:spacing w:after="0" w:line="240" w:lineRule="auto"/>
      </w:pPr>
      <w:r>
        <w:separator/>
      </w:r>
    </w:p>
  </w:endnote>
  <w:endnote w:type="continuationSeparator" w:id="0">
    <w:p w14:paraId="4D30CC37" w14:textId="77777777" w:rsidR="00DF581F" w:rsidRDefault="00DF5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D48C9A8-5F94-4395-B7CE-85823D7C13E6}"/>
    <w:embedBold r:id="rId2" w:fontKey="{79EC2347-6622-448A-8FE5-DEE0AE4DD17A}"/>
  </w:font>
  <w:font w:name="Georgia">
    <w:panose1 w:val="02040502050405020303"/>
    <w:charset w:val="00"/>
    <w:family w:val="roman"/>
    <w:pitch w:val="variable"/>
    <w:sig w:usb0="00000287" w:usb1="00000000" w:usb2="00000000" w:usb3="00000000" w:csb0="0000009F" w:csb1="00000000"/>
    <w:embedItalic r:id="rId3" w:fontKey="{91459AEF-3D1C-4642-A227-04E23D8D3B06}"/>
  </w:font>
  <w:font w:name="Palatino Linotype">
    <w:panose1 w:val="02040502050505030304"/>
    <w:charset w:val="00"/>
    <w:family w:val="roman"/>
    <w:pitch w:val="variable"/>
    <w:sig w:usb0="E0000287" w:usb1="40000013" w:usb2="00000000" w:usb3="00000000" w:csb0="0000019F" w:csb1="00000000"/>
    <w:embedRegular r:id="rId4" w:fontKey="{8A24A388-0889-4029-AC64-C455E8FA6A76}"/>
    <w:embedBold r:id="rId5" w:fontKey="{EB84988E-C1AB-4A27-A1D9-0175953010DB}"/>
    <w:embedItalic r:id="rId6" w:fontKey="{054EE85E-BCAF-4C2F-97AA-331079A1C367}"/>
    <w:embedBoldItalic r:id="rId7" w:fontKey="{362850B5-4B13-4507-83EE-ED7EA0967B2D}"/>
  </w:font>
  <w:font w:name="Calibri Light">
    <w:panose1 w:val="020F0302020204030204"/>
    <w:charset w:val="00"/>
    <w:family w:val="swiss"/>
    <w:pitch w:val="variable"/>
    <w:sig w:usb0="E4002EFF" w:usb1="C200247B" w:usb2="00000009" w:usb3="00000000" w:csb0="000001FF" w:csb1="00000000"/>
    <w:embedRegular r:id="rId8" w:fontKey="{76E66367-A6FF-4A98-BD0C-AB1E47C2A4D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FEECC" w14:textId="44A23488" w:rsidR="00530E22" w:rsidRDefault="00530E22">
    <w:pPr>
      <w:pBdr>
        <w:top w:val="nil"/>
        <w:left w:val="nil"/>
        <w:bottom w:val="nil"/>
        <w:right w:val="nil"/>
        <w:between w:val="nil"/>
      </w:pBdr>
      <w:tabs>
        <w:tab w:val="center" w:pos="4419"/>
        <w:tab w:val="right" w:pos="8838"/>
      </w:tabs>
      <w:spacing w:after="0" w:line="240" w:lineRule="auto"/>
      <w:jc w:val="right"/>
      <w:rPr>
        <w:color w:val="000000"/>
      </w:rPr>
    </w:pPr>
    <w:r>
      <w:rPr>
        <w:color w:val="000000"/>
      </w:rPr>
      <w:t xml:space="preserve">Página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B61D2C">
      <w:rPr>
        <w:b/>
        <w:bCs/>
        <w:noProof/>
        <w:color w:val="000000"/>
        <w:sz w:val="24"/>
        <w:szCs w:val="24"/>
      </w:rPr>
      <w:t>2</w:t>
    </w:r>
    <w:r>
      <w:rPr>
        <w:b/>
        <w:bCs/>
        <w:color w:val="000000"/>
        <w:sz w:val="24"/>
        <w:szCs w:val="24"/>
      </w:rPr>
      <w:fldChar w:fldCharType="end"/>
    </w:r>
    <w:r>
      <w:rPr>
        <w:color w:val="000000"/>
      </w:rPr>
      <w:t xml:space="preserve"> de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B61D2C">
      <w:rPr>
        <w:b/>
        <w:bCs/>
        <w:noProof/>
        <w:color w:val="000000"/>
        <w:sz w:val="24"/>
        <w:szCs w:val="24"/>
      </w:rPr>
      <w:t>62</w:t>
    </w:r>
    <w:r>
      <w:rPr>
        <w:b/>
        <w:bCs/>
        <w:color w:val="000000"/>
        <w:sz w:val="24"/>
        <w:szCs w:val="24"/>
      </w:rPr>
      <w:fldChar w:fldCharType="end"/>
    </w:r>
  </w:p>
  <w:p w14:paraId="2218E5EC" w14:textId="77777777" w:rsidR="00530E22" w:rsidRDefault="00530E22">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8E88E" w14:textId="72152274" w:rsidR="00530E22" w:rsidRDefault="00530E22">
    <w:pPr>
      <w:pBdr>
        <w:top w:val="nil"/>
        <w:left w:val="nil"/>
        <w:bottom w:val="nil"/>
        <w:right w:val="nil"/>
        <w:between w:val="nil"/>
      </w:pBdr>
      <w:tabs>
        <w:tab w:val="center" w:pos="4419"/>
        <w:tab w:val="right" w:pos="8838"/>
      </w:tabs>
      <w:spacing w:after="0" w:line="240" w:lineRule="auto"/>
      <w:jc w:val="right"/>
      <w:rPr>
        <w:color w:val="000000"/>
      </w:rPr>
    </w:pPr>
    <w:r>
      <w:rPr>
        <w:color w:val="000000"/>
      </w:rPr>
      <w:t xml:space="preserve">Página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B61D2C">
      <w:rPr>
        <w:b/>
        <w:bCs/>
        <w:noProof/>
        <w:color w:val="000000"/>
        <w:sz w:val="24"/>
        <w:szCs w:val="24"/>
      </w:rPr>
      <w:t>1</w:t>
    </w:r>
    <w:r>
      <w:rPr>
        <w:b/>
        <w:bCs/>
        <w:color w:val="000000"/>
        <w:sz w:val="24"/>
        <w:szCs w:val="24"/>
      </w:rPr>
      <w:fldChar w:fldCharType="end"/>
    </w:r>
    <w:r>
      <w:rPr>
        <w:color w:val="000000"/>
      </w:rPr>
      <w:t xml:space="preserve"> de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B61D2C">
      <w:rPr>
        <w:b/>
        <w:bCs/>
        <w:noProof/>
        <w:color w:val="000000"/>
        <w:sz w:val="24"/>
        <w:szCs w:val="24"/>
      </w:rPr>
      <w:t>62</w:t>
    </w:r>
    <w:r>
      <w:rPr>
        <w:b/>
        <w:bCs/>
        <w:color w:val="000000"/>
        <w:sz w:val="24"/>
        <w:szCs w:val="24"/>
      </w:rPr>
      <w:fldChar w:fldCharType="end"/>
    </w:r>
  </w:p>
  <w:p w14:paraId="0C9E6D06" w14:textId="77777777" w:rsidR="00530E22" w:rsidRDefault="00530E22">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62B4C" w14:textId="77777777" w:rsidR="00DF581F" w:rsidRDefault="00DF581F">
      <w:pPr>
        <w:spacing w:after="0" w:line="240" w:lineRule="auto"/>
      </w:pPr>
      <w:r>
        <w:separator/>
      </w:r>
    </w:p>
  </w:footnote>
  <w:footnote w:type="continuationSeparator" w:id="0">
    <w:p w14:paraId="7762B960" w14:textId="77777777" w:rsidR="00DF581F" w:rsidRDefault="00DF581F">
      <w:pPr>
        <w:spacing w:after="0" w:line="240" w:lineRule="auto"/>
      </w:pPr>
      <w:r>
        <w:continuationSeparator/>
      </w:r>
    </w:p>
  </w:footnote>
  <w:footnote w:id="1">
    <w:p w14:paraId="722E4C8B" w14:textId="77777777" w:rsidR="00530E22" w:rsidRDefault="00530E22" w:rsidP="00543346">
      <w:pPr>
        <w:pBdr>
          <w:top w:val="nil"/>
          <w:left w:val="nil"/>
          <w:bottom w:val="nil"/>
          <w:right w:val="nil"/>
          <w:between w:val="nil"/>
        </w:pBdr>
        <w:ind w:left="720" w:hanging="720"/>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w:t>
      </w:r>
      <w:r>
        <w:rPr>
          <w:rFonts w:ascii="Palatino Linotype" w:eastAsia="Palatino Linotype" w:hAnsi="Palatino Linotype" w:cs="Palatino Linotype"/>
          <w:b/>
          <w:color w:val="000000"/>
          <w:sz w:val="16"/>
          <w:szCs w:val="16"/>
        </w:rPr>
        <w:t>Artículo 185.</w:t>
      </w:r>
      <w:r>
        <w:rPr>
          <w:rFonts w:ascii="Palatino Linotype" w:eastAsia="Palatino Linotype" w:hAnsi="Palatino Linotype" w:cs="Palatino Linotype"/>
          <w:color w:val="000000"/>
          <w:sz w:val="16"/>
          <w:szCs w:val="16"/>
        </w:rPr>
        <w:t xml:space="preserve"> El Instituto resolverá el recurso de revisión conforme a lo siguiente: (…)</w:t>
      </w:r>
    </w:p>
    <w:p w14:paraId="753B7078" w14:textId="77777777" w:rsidR="00530E22" w:rsidRDefault="00530E22" w:rsidP="00543346">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Admitido el recurso de revisión, la o el Comisionado ponente deberá integrar un expediente y ponerlo a disposición de las partes, para que, en un plazo máximo de siete días hábiles, manifiesten lo que a su derecho convenga;”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CB680" w14:textId="77777777" w:rsidR="00530E22" w:rsidRDefault="00530E22">
    <w:pPr>
      <w:widowControl w:val="0"/>
      <w:pBdr>
        <w:top w:val="nil"/>
        <w:left w:val="nil"/>
        <w:bottom w:val="nil"/>
        <w:right w:val="nil"/>
        <w:between w:val="nil"/>
      </w:pBdr>
      <w:spacing w:after="0"/>
      <w:rPr>
        <w:color w:val="000000"/>
      </w:rPr>
    </w:pPr>
    <w:r>
      <w:rPr>
        <w:noProof/>
      </w:rPr>
      <w:drawing>
        <wp:anchor distT="0" distB="0" distL="0" distR="0" simplePos="0" relativeHeight="251658240" behindDoc="1" locked="0" layoutInCell="1" hidden="0" allowOverlap="1" wp14:anchorId="76C87C75" wp14:editId="045B9D67">
          <wp:simplePos x="0" y="0"/>
          <wp:positionH relativeFrom="column">
            <wp:posOffset>-744852</wp:posOffset>
          </wp:positionH>
          <wp:positionV relativeFrom="paragraph">
            <wp:posOffset>-315592</wp:posOffset>
          </wp:positionV>
          <wp:extent cx="7809876" cy="10165823"/>
          <wp:effectExtent l="0" t="0" r="0" b="0"/>
          <wp:wrapNone/>
          <wp:docPr id="15765621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76" cy="10165823"/>
                  </a:xfrm>
                  <a:prstGeom prst="rect">
                    <a:avLst/>
                  </a:prstGeom>
                  <a:ln/>
                </pic:spPr>
              </pic:pic>
            </a:graphicData>
          </a:graphic>
        </wp:anchor>
      </w:drawing>
    </w:r>
  </w:p>
  <w:tbl>
    <w:tblPr>
      <w:tblStyle w:val="a6"/>
      <w:tblW w:w="5603" w:type="dxa"/>
      <w:tblInd w:w="3611" w:type="dxa"/>
      <w:tblLayout w:type="fixed"/>
      <w:tblLook w:val="0400" w:firstRow="0" w:lastRow="0" w:firstColumn="0" w:lastColumn="0" w:noHBand="0" w:noVBand="1"/>
    </w:tblPr>
    <w:tblGrid>
      <w:gridCol w:w="2551"/>
      <w:gridCol w:w="3052"/>
    </w:tblGrid>
    <w:tr w:rsidR="00530E22" w14:paraId="20CD0AE4" w14:textId="77777777">
      <w:tc>
        <w:tcPr>
          <w:tcW w:w="2551" w:type="dxa"/>
          <w:vAlign w:val="center"/>
        </w:tcPr>
        <w:p w14:paraId="22322CB6" w14:textId="77777777" w:rsidR="00530E22" w:rsidRDefault="00530E2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Recurso de Revisión:</w:t>
          </w:r>
        </w:p>
      </w:tc>
      <w:tc>
        <w:tcPr>
          <w:tcW w:w="3052" w:type="dxa"/>
          <w:vAlign w:val="center"/>
        </w:tcPr>
        <w:p w14:paraId="79E9FE48" w14:textId="39ECC7BB" w:rsidR="00530E22" w:rsidRDefault="00530E22" w:rsidP="006A2C5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06067/INFOEM/IP/RR/2026</w:t>
          </w:r>
        </w:p>
      </w:tc>
    </w:tr>
    <w:tr w:rsidR="00530E22" w14:paraId="66946286" w14:textId="77777777">
      <w:trPr>
        <w:trHeight w:val="217"/>
      </w:trPr>
      <w:tc>
        <w:tcPr>
          <w:tcW w:w="2551" w:type="dxa"/>
          <w:vAlign w:val="center"/>
        </w:tcPr>
        <w:p w14:paraId="752794AE" w14:textId="77777777" w:rsidR="00530E22" w:rsidRDefault="00530E2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Sujeto Obligado:</w:t>
          </w:r>
        </w:p>
      </w:tc>
      <w:tc>
        <w:tcPr>
          <w:tcW w:w="3052" w:type="dxa"/>
          <w:vAlign w:val="center"/>
        </w:tcPr>
        <w:p w14:paraId="0A7FDED6" w14:textId="11AA3E36" w:rsidR="00530E22" w:rsidRDefault="00530E22">
          <w:pPr>
            <w:pBdr>
              <w:top w:val="nil"/>
              <w:left w:val="nil"/>
              <w:bottom w:val="nil"/>
              <w:right w:val="nil"/>
              <w:between w:val="nil"/>
            </w:pBdr>
            <w:tabs>
              <w:tab w:val="center" w:pos="4419"/>
              <w:tab w:val="right" w:pos="8838"/>
            </w:tabs>
            <w:spacing w:after="0" w:line="240" w:lineRule="auto"/>
            <w:ind w:right="174"/>
            <w:jc w:val="both"/>
            <w:rPr>
              <w:rFonts w:ascii="Palatino Linotype" w:eastAsia="Palatino Linotype" w:hAnsi="Palatino Linotype" w:cs="Palatino Linotype"/>
              <w:b/>
              <w:bCs/>
              <w:color w:val="000000"/>
            </w:rPr>
          </w:pPr>
          <w:r w:rsidRPr="007A4D7A">
            <w:rPr>
              <w:rFonts w:ascii="Palatino Linotype" w:eastAsia="Palatino Linotype" w:hAnsi="Palatino Linotype" w:cs="Palatino Linotype"/>
              <w:b/>
              <w:bCs/>
              <w:color w:val="000000"/>
            </w:rPr>
            <w:t>Ayuntamiento de Almoloya de Juárez</w:t>
          </w:r>
        </w:p>
      </w:tc>
    </w:tr>
    <w:tr w:rsidR="00530E22" w14:paraId="4B6ABC2C" w14:textId="77777777">
      <w:tc>
        <w:tcPr>
          <w:tcW w:w="2551" w:type="dxa"/>
          <w:vAlign w:val="center"/>
        </w:tcPr>
        <w:p w14:paraId="6594A404" w14:textId="77777777" w:rsidR="00530E22" w:rsidRDefault="00530E2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Comisionada Ponente:</w:t>
          </w:r>
        </w:p>
      </w:tc>
      <w:tc>
        <w:tcPr>
          <w:tcW w:w="3052" w:type="dxa"/>
          <w:vAlign w:val="center"/>
        </w:tcPr>
        <w:p w14:paraId="12651887" w14:textId="77777777" w:rsidR="00530E22" w:rsidRDefault="00530E2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Guadalupe Ramírez Peña</w:t>
          </w:r>
        </w:p>
      </w:tc>
    </w:tr>
  </w:tbl>
  <w:p w14:paraId="58C1C89D" w14:textId="77777777" w:rsidR="00530E22" w:rsidRDefault="00530E22">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F47E0" w14:textId="77777777" w:rsidR="00530E22" w:rsidRDefault="00530E22">
    <w:pPr>
      <w:widowControl w:val="0"/>
      <w:pBdr>
        <w:top w:val="nil"/>
        <w:left w:val="nil"/>
        <w:bottom w:val="nil"/>
        <w:right w:val="nil"/>
        <w:between w:val="nil"/>
      </w:pBdr>
      <w:spacing w:after="0"/>
      <w:rPr>
        <w:rFonts w:ascii="Palatino Linotype" w:eastAsia="Palatino Linotype" w:hAnsi="Palatino Linotype" w:cs="Palatino Linotype"/>
        <w:sz w:val="24"/>
        <w:szCs w:val="24"/>
      </w:rPr>
    </w:pPr>
    <w:r>
      <w:rPr>
        <w:noProof/>
      </w:rPr>
      <w:drawing>
        <wp:anchor distT="0" distB="0" distL="0" distR="0" simplePos="0" relativeHeight="251659264" behindDoc="1" locked="0" layoutInCell="1" hidden="0" allowOverlap="1" wp14:anchorId="49B22680" wp14:editId="527BCB2D">
          <wp:simplePos x="0" y="0"/>
          <wp:positionH relativeFrom="column">
            <wp:posOffset>-712464</wp:posOffset>
          </wp:positionH>
          <wp:positionV relativeFrom="paragraph">
            <wp:posOffset>-117471</wp:posOffset>
          </wp:positionV>
          <wp:extent cx="7809865" cy="10165715"/>
          <wp:effectExtent l="0" t="0" r="0" b="0"/>
          <wp:wrapNone/>
          <wp:docPr id="15765621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7"/>
      <w:tblW w:w="5595" w:type="dxa"/>
      <w:tblInd w:w="3611" w:type="dxa"/>
      <w:tblLayout w:type="fixed"/>
      <w:tblLook w:val="0400" w:firstRow="0" w:lastRow="0" w:firstColumn="0" w:lastColumn="0" w:noHBand="0" w:noVBand="1"/>
    </w:tblPr>
    <w:tblGrid>
      <w:gridCol w:w="2565"/>
      <w:gridCol w:w="3030"/>
    </w:tblGrid>
    <w:tr w:rsidR="00530E22" w14:paraId="77A97102" w14:textId="77777777">
      <w:tc>
        <w:tcPr>
          <w:tcW w:w="2565" w:type="dxa"/>
          <w:vAlign w:val="center"/>
        </w:tcPr>
        <w:p w14:paraId="3F451818" w14:textId="77777777" w:rsidR="00530E22" w:rsidRDefault="00530E2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Recurso de Revisión:</w:t>
          </w:r>
        </w:p>
      </w:tc>
      <w:tc>
        <w:tcPr>
          <w:tcW w:w="3030" w:type="dxa"/>
          <w:vAlign w:val="center"/>
        </w:tcPr>
        <w:p w14:paraId="58BA21A4" w14:textId="7E9B60AC" w:rsidR="00530E22" w:rsidRDefault="00530E22" w:rsidP="006A2C5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06067/INFOEM/IP/RR/2026</w:t>
          </w:r>
        </w:p>
      </w:tc>
    </w:tr>
    <w:tr w:rsidR="00530E22" w14:paraId="64123946" w14:textId="77777777">
      <w:tc>
        <w:tcPr>
          <w:tcW w:w="2565" w:type="dxa"/>
          <w:vAlign w:val="center"/>
        </w:tcPr>
        <w:p w14:paraId="3A61512A" w14:textId="77777777" w:rsidR="00530E22" w:rsidRDefault="00530E2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rPr>
          </w:pPr>
          <w:r>
            <w:rPr>
              <w:rFonts w:ascii="Palatino Linotype" w:eastAsia="Palatino Linotype" w:hAnsi="Palatino Linotype" w:cs="Palatino Linotype"/>
              <w:b/>
              <w:bCs/>
            </w:rPr>
            <w:t>Recurrente:</w:t>
          </w:r>
        </w:p>
      </w:tc>
      <w:tc>
        <w:tcPr>
          <w:tcW w:w="3030" w:type="dxa"/>
          <w:vAlign w:val="center"/>
        </w:tcPr>
        <w:p w14:paraId="4273806A" w14:textId="0BB30702" w:rsidR="00530E22" w:rsidRDefault="00B61D2C">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 xml:space="preserve">XXXXXX XXXX XXXXXX </w:t>
          </w:r>
        </w:p>
      </w:tc>
    </w:tr>
    <w:tr w:rsidR="00530E22" w14:paraId="295CE44E" w14:textId="77777777">
      <w:trPr>
        <w:trHeight w:val="152"/>
      </w:trPr>
      <w:tc>
        <w:tcPr>
          <w:tcW w:w="2565" w:type="dxa"/>
          <w:vAlign w:val="center"/>
        </w:tcPr>
        <w:p w14:paraId="78D3AE3B" w14:textId="307B6EC7" w:rsidR="00530E22" w:rsidRDefault="00530E22" w:rsidP="007A4D7A">
          <w:pP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Sujeto obligado:</w:t>
          </w:r>
        </w:p>
      </w:tc>
      <w:tc>
        <w:tcPr>
          <w:tcW w:w="3030" w:type="dxa"/>
          <w:vAlign w:val="center"/>
        </w:tcPr>
        <w:p w14:paraId="6BD01906" w14:textId="6315384C" w:rsidR="00530E22" w:rsidRDefault="00530E22" w:rsidP="006A2C52">
          <w:pPr>
            <w:pBdr>
              <w:top w:val="nil"/>
              <w:left w:val="nil"/>
              <w:bottom w:val="nil"/>
              <w:right w:val="nil"/>
              <w:between w:val="nil"/>
            </w:pBdr>
            <w:tabs>
              <w:tab w:val="center" w:pos="4419"/>
              <w:tab w:val="right" w:pos="8838"/>
            </w:tabs>
            <w:spacing w:after="0" w:line="240" w:lineRule="auto"/>
            <w:ind w:right="174"/>
            <w:jc w:val="both"/>
            <w:rPr>
              <w:rFonts w:ascii="Palatino Linotype" w:eastAsia="Palatino Linotype" w:hAnsi="Palatino Linotype" w:cs="Palatino Linotype"/>
              <w:b/>
              <w:bCs/>
              <w:color w:val="000000"/>
            </w:rPr>
          </w:pPr>
          <w:r w:rsidRPr="006A2C52">
            <w:rPr>
              <w:rFonts w:ascii="Palatino Linotype" w:eastAsia="Palatino Linotype" w:hAnsi="Palatino Linotype" w:cs="Palatino Linotype"/>
              <w:b/>
              <w:bCs/>
              <w:color w:val="000000"/>
            </w:rPr>
            <w:t>Ayuntamiento de Almoloya de Juárez</w:t>
          </w:r>
        </w:p>
      </w:tc>
    </w:tr>
    <w:tr w:rsidR="00530E22" w14:paraId="099EA01B" w14:textId="77777777">
      <w:tc>
        <w:tcPr>
          <w:tcW w:w="2565" w:type="dxa"/>
          <w:vAlign w:val="center"/>
        </w:tcPr>
        <w:p w14:paraId="6BAF582E" w14:textId="77777777" w:rsidR="00530E22" w:rsidRDefault="00530E2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Comisionada ponente:</w:t>
          </w:r>
        </w:p>
      </w:tc>
      <w:tc>
        <w:tcPr>
          <w:tcW w:w="3030" w:type="dxa"/>
          <w:vAlign w:val="center"/>
        </w:tcPr>
        <w:p w14:paraId="40D6C05E" w14:textId="77777777" w:rsidR="00530E22" w:rsidRDefault="00530E22">
          <w:pPr>
            <w:pBdr>
              <w:top w:val="nil"/>
              <w:left w:val="nil"/>
              <w:bottom w:val="nil"/>
              <w:right w:val="nil"/>
              <w:between w:val="nil"/>
            </w:pBdr>
            <w:tabs>
              <w:tab w:val="center" w:pos="4419"/>
              <w:tab w:val="right" w:pos="8838"/>
            </w:tabs>
            <w:spacing w:after="0" w:line="240" w:lineRule="auto"/>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Guadalupe Ramírez Peña</w:t>
          </w:r>
        </w:p>
      </w:tc>
    </w:tr>
  </w:tbl>
  <w:p w14:paraId="2570EA00" w14:textId="77777777" w:rsidR="00530E22" w:rsidRDefault="00530E22">
    <w:pPr>
      <w:pBdr>
        <w:top w:val="nil"/>
        <w:left w:val="nil"/>
        <w:bottom w:val="nil"/>
        <w:right w:val="nil"/>
        <w:between w:val="nil"/>
      </w:pBdr>
      <w:tabs>
        <w:tab w:val="center" w:pos="4419"/>
        <w:tab w:val="right" w:pos="8838"/>
        <w:tab w:val="left" w:pos="3466"/>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85F18"/>
    <w:multiLevelType w:val="multilevel"/>
    <w:tmpl w:val="E89439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5E4EB8"/>
    <w:multiLevelType w:val="multilevel"/>
    <w:tmpl w:val="6B0ADB64"/>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10A30324"/>
    <w:multiLevelType w:val="multilevel"/>
    <w:tmpl w:val="43EE65A4"/>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3" w15:restartNumberingAfterBreak="0">
    <w:nsid w:val="153B1EE0"/>
    <w:multiLevelType w:val="multilevel"/>
    <w:tmpl w:val="6FF0ED52"/>
    <w:lvl w:ilvl="0">
      <w:start w:val="3"/>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F930351"/>
    <w:multiLevelType w:val="hybridMultilevel"/>
    <w:tmpl w:val="F378C6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384426C"/>
    <w:multiLevelType w:val="multilevel"/>
    <w:tmpl w:val="FB4AE80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762218D"/>
    <w:multiLevelType w:val="multilevel"/>
    <w:tmpl w:val="9BFEF10E"/>
    <w:lvl w:ilvl="0">
      <w:start w:val="3"/>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7B6C5A"/>
    <w:multiLevelType w:val="multilevel"/>
    <w:tmpl w:val="2E04B6E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F877783"/>
    <w:multiLevelType w:val="hybridMultilevel"/>
    <w:tmpl w:val="3A54F9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A272795"/>
    <w:multiLevelType w:val="hybridMultilevel"/>
    <w:tmpl w:val="2F845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8C3C77"/>
    <w:multiLevelType w:val="hybridMultilevel"/>
    <w:tmpl w:val="3D88D7C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15:restartNumberingAfterBreak="0">
    <w:nsid w:val="46001FD1"/>
    <w:multiLevelType w:val="hybridMultilevel"/>
    <w:tmpl w:val="9E8C1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EC93B8D"/>
    <w:multiLevelType w:val="multilevel"/>
    <w:tmpl w:val="9C28532C"/>
    <w:lvl w:ilvl="0">
      <w:start w:val="1"/>
      <w:numFmt w:val="decimal"/>
      <w:lvlText w:val="%1."/>
      <w:lvlJc w:val="left"/>
      <w:pPr>
        <w:ind w:left="720" w:hanging="360"/>
      </w:pPr>
      <w:rPr>
        <w:b/>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CD1F63"/>
    <w:multiLevelType w:val="multilevel"/>
    <w:tmpl w:val="C0A2776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69454038"/>
    <w:multiLevelType w:val="multilevel"/>
    <w:tmpl w:val="BB24D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ED40827"/>
    <w:multiLevelType w:val="multilevel"/>
    <w:tmpl w:val="EE0840E2"/>
    <w:lvl w:ilvl="0">
      <w:start w:val="1"/>
      <w:numFmt w:val="decimal"/>
      <w:lvlText w:val="%1."/>
      <w:lvlJc w:val="left"/>
      <w:pPr>
        <w:ind w:left="2062"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F345B31"/>
    <w:multiLevelType w:val="multilevel"/>
    <w:tmpl w:val="6B2C040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3"/>
  </w:num>
  <w:num w:numId="3">
    <w:abstractNumId w:val="0"/>
  </w:num>
  <w:num w:numId="4">
    <w:abstractNumId w:val="13"/>
  </w:num>
  <w:num w:numId="5">
    <w:abstractNumId w:val="7"/>
  </w:num>
  <w:num w:numId="6">
    <w:abstractNumId w:val="14"/>
  </w:num>
  <w:num w:numId="7">
    <w:abstractNumId w:val="2"/>
  </w:num>
  <w:num w:numId="8">
    <w:abstractNumId w:val="15"/>
  </w:num>
  <w:num w:numId="9">
    <w:abstractNumId w:val="12"/>
  </w:num>
  <w:num w:numId="10">
    <w:abstractNumId w:val="1"/>
  </w:num>
  <w:num w:numId="11">
    <w:abstractNumId w:val="8"/>
  </w:num>
  <w:num w:numId="12">
    <w:abstractNumId w:val="9"/>
  </w:num>
  <w:num w:numId="13">
    <w:abstractNumId w:val="11"/>
  </w:num>
  <w:num w:numId="14">
    <w:abstractNumId w:val="4"/>
  </w:num>
  <w:num w:numId="15">
    <w:abstractNumId w:val="5"/>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72D"/>
    <w:rsid w:val="00002539"/>
    <w:rsid w:val="00005712"/>
    <w:rsid w:val="00006614"/>
    <w:rsid w:val="0002714C"/>
    <w:rsid w:val="00031CCE"/>
    <w:rsid w:val="000616D8"/>
    <w:rsid w:val="00067F91"/>
    <w:rsid w:val="00074146"/>
    <w:rsid w:val="00086324"/>
    <w:rsid w:val="0009544F"/>
    <w:rsid w:val="000A372D"/>
    <w:rsid w:val="000A7117"/>
    <w:rsid w:val="00103C0B"/>
    <w:rsid w:val="001112ED"/>
    <w:rsid w:val="00123D1E"/>
    <w:rsid w:val="00155EF6"/>
    <w:rsid w:val="00162022"/>
    <w:rsid w:val="0016547E"/>
    <w:rsid w:val="00165D47"/>
    <w:rsid w:val="00192E56"/>
    <w:rsid w:val="001B790D"/>
    <w:rsid w:val="001C0285"/>
    <w:rsid w:val="001C1E59"/>
    <w:rsid w:val="001D24D3"/>
    <w:rsid w:val="001E54D8"/>
    <w:rsid w:val="001E7922"/>
    <w:rsid w:val="00207B5A"/>
    <w:rsid w:val="00232ED8"/>
    <w:rsid w:val="002343F3"/>
    <w:rsid w:val="00235F16"/>
    <w:rsid w:val="00246792"/>
    <w:rsid w:val="002661BA"/>
    <w:rsid w:val="00284C4F"/>
    <w:rsid w:val="002A4BBE"/>
    <w:rsid w:val="002B4EDE"/>
    <w:rsid w:val="002C11C2"/>
    <w:rsid w:val="0030123D"/>
    <w:rsid w:val="003024DE"/>
    <w:rsid w:val="00323EE9"/>
    <w:rsid w:val="003338E6"/>
    <w:rsid w:val="00342FB3"/>
    <w:rsid w:val="00354FAB"/>
    <w:rsid w:val="0036789E"/>
    <w:rsid w:val="003779E4"/>
    <w:rsid w:val="0038691D"/>
    <w:rsid w:val="003C3CFF"/>
    <w:rsid w:val="003C7124"/>
    <w:rsid w:val="003D0A75"/>
    <w:rsid w:val="003E11BC"/>
    <w:rsid w:val="0040550B"/>
    <w:rsid w:val="0043362A"/>
    <w:rsid w:val="004439E7"/>
    <w:rsid w:val="00470C01"/>
    <w:rsid w:val="004873EF"/>
    <w:rsid w:val="00497FD6"/>
    <w:rsid w:val="004A1A24"/>
    <w:rsid w:val="004B1B47"/>
    <w:rsid w:val="004C0556"/>
    <w:rsid w:val="004D3F07"/>
    <w:rsid w:val="004E402F"/>
    <w:rsid w:val="00504FF8"/>
    <w:rsid w:val="00506E7C"/>
    <w:rsid w:val="005128BA"/>
    <w:rsid w:val="00530E22"/>
    <w:rsid w:val="00530FE9"/>
    <w:rsid w:val="0053449F"/>
    <w:rsid w:val="00543346"/>
    <w:rsid w:val="005659E8"/>
    <w:rsid w:val="005751FD"/>
    <w:rsid w:val="00580156"/>
    <w:rsid w:val="00586DAB"/>
    <w:rsid w:val="005A7E58"/>
    <w:rsid w:val="005B430E"/>
    <w:rsid w:val="005D1972"/>
    <w:rsid w:val="005E0BD2"/>
    <w:rsid w:val="005E138B"/>
    <w:rsid w:val="005E74DD"/>
    <w:rsid w:val="005F4A4F"/>
    <w:rsid w:val="006219FC"/>
    <w:rsid w:val="00622F41"/>
    <w:rsid w:val="0063475B"/>
    <w:rsid w:val="00684BB9"/>
    <w:rsid w:val="00684F19"/>
    <w:rsid w:val="00686FB4"/>
    <w:rsid w:val="00691403"/>
    <w:rsid w:val="006A2C52"/>
    <w:rsid w:val="006B2C4B"/>
    <w:rsid w:val="006B49A3"/>
    <w:rsid w:val="006E4EEE"/>
    <w:rsid w:val="006E66BF"/>
    <w:rsid w:val="006F37EE"/>
    <w:rsid w:val="007022DA"/>
    <w:rsid w:val="00710170"/>
    <w:rsid w:val="00712AE3"/>
    <w:rsid w:val="007412C0"/>
    <w:rsid w:val="00747E0E"/>
    <w:rsid w:val="00756CCD"/>
    <w:rsid w:val="0076599E"/>
    <w:rsid w:val="007A4D7A"/>
    <w:rsid w:val="007C7384"/>
    <w:rsid w:val="007D6ACE"/>
    <w:rsid w:val="00801A0D"/>
    <w:rsid w:val="00810484"/>
    <w:rsid w:val="00811C74"/>
    <w:rsid w:val="0081727F"/>
    <w:rsid w:val="00830175"/>
    <w:rsid w:val="00834106"/>
    <w:rsid w:val="008356A8"/>
    <w:rsid w:val="00840590"/>
    <w:rsid w:val="00881274"/>
    <w:rsid w:val="008A5189"/>
    <w:rsid w:val="008A7C08"/>
    <w:rsid w:val="008B6799"/>
    <w:rsid w:val="008F2A83"/>
    <w:rsid w:val="00900894"/>
    <w:rsid w:val="009124FD"/>
    <w:rsid w:val="009235EF"/>
    <w:rsid w:val="00932043"/>
    <w:rsid w:val="009339FC"/>
    <w:rsid w:val="00936DF6"/>
    <w:rsid w:val="00960BDA"/>
    <w:rsid w:val="00962E9F"/>
    <w:rsid w:val="00965008"/>
    <w:rsid w:val="00967461"/>
    <w:rsid w:val="009B7EA6"/>
    <w:rsid w:val="009C04C7"/>
    <w:rsid w:val="009C41F9"/>
    <w:rsid w:val="009E6588"/>
    <w:rsid w:val="00A1594D"/>
    <w:rsid w:val="00A8472C"/>
    <w:rsid w:val="00A95CF6"/>
    <w:rsid w:val="00AC5589"/>
    <w:rsid w:val="00AD0DD5"/>
    <w:rsid w:val="00B00B17"/>
    <w:rsid w:val="00B520A5"/>
    <w:rsid w:val="00B538A5"/>
    <w:rsid w:val="00B540B1"/>
    <w:rsid w:val="00B61D2C"/>
    <w:rsid w:val="00B7549D"/>
    <w:rsid w:val="00B95004"/>
    <w:rsid w:val="00BA39EC"/>
    <w:rsid w:val="00BC02EE"/>
    <w:rsid w:val="00BC40AE"/>
    <w:rsid w:val="00BE50E2"/>
    <w:rsid w:val="00C00C9F"/>
    <w:rsid w:val="00C058E1"/>
    <w:rsid w:val="00C1090F"/>
    <w:rsid w:val="00C14FF4"/>
    <w:rsid w:val="00C30B1B"/>
    <w:rsid w:val="00C35CE7"/>
    <w:rsid w:val="00C53AEB"/>
    <w:rsid w:val="00C6459C"/>
    <w:rsid w:val="00C81764"/>
    <w:rsid w:val="00C9097F"/>
    <w:rsid w:val="00CA0F8D"/>
    <w:rsid w:val="00CA4402"/>
    <w:rsid w:val="00CB00C7"/>
    <w:rsid w:val="00CB4180"/>
    <w:rsid w:val="00CD2894"/>
    <w:rsid w:val="00CE0BC8"/>
    <w:rsid w:val="00D21B26"/>
    <w:rsid w:val="00D3014F"/>
    <w:rsid w:val="00D33059"/>
    <w:rsid w:val="00D503CC"/>
    <w:rsid w:val="00D53CCB"/>
    <w:rsid w:val="00D57D30"/>
    <w:rsid w:val="00D617E9"/>
    <w:rsid w:val="00D65FD3"/>
    <w:rsid w:val="00D87366"/>
    <w:rsid w:val="00D877AF"/>
    <w:rsid w:val="00D97316"/>
    <w:rsid w:val="00DA4FFE"/>
    <w:rsid w:val="00DB6DD6"/>
    <w:rsid w:val="00DB7D03"/>
    <w:rsid w:val="00DC39CD"/>
    <w:rsid w:val="00DD09D0"/>
    <w:rsid w:val="00DD427B"/>
    <w:rsid w:val="00DF581F"/>
    <w:rsid w:val="00E12D17"/>
    <w:rsid w:val="00E14FE5"/>
    <w:rsid w:val="00E35623"/>
    <w:rsid w:val="00E379D2"/>
    <w:rsid w:val="00E46338"/>
    <w:rsid w:val="00E503A7"/>
    <w:rsid w:val="00E51840"/>
    <w:rsid w:val="00E650E1"/>
    <w:rsid w:val="00E840E6"/>
    <w:rsid w:val="00E84249"/>
    <w:rsid w:val="00E94323"/>
    <w:rsid w:val="00EA1260"/>
    <w:rsid w:val="00EB0293"/>
    <w:rsid w:val="00EB41FD"/>
    <w:rsid w:val="00EE29B9"/>
    <w:rsid w:val="00EE3F64"/>
    <w:rsid w:val="00EE5F75"/>
    <w:rsid w:val="00EE72BC"/>
    <w:rsid w:val="00F00312"/>
    <w:rsid w:val="00F07198"/>
    <w:rsid w:val="00F22901"/>
    <w:rsid w:val="00F46E83"/>
    <w:rsid w:val="00F51EF9"/>
    <w:rsid w:val="00F82A58"/>
    <w:rsid w:val="00FC5976"/>
    <w:rsid w:val="00FD0EF5"/>
    <w:rsid w:val="00FF51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BCBBC2"/>
  <w15:docId w15:val="{3ABAB665-4146-43AF-8336-9DC180BD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9377D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377DA"/>
    <w:rPr>
      <w:rFonts w:ascii="Calibri" w:eastAsia="Times New Roman" w:hAnsi="Calibri" w:cs="Times New Roman"/>
    </w:rPr>
  </w:style>
  <w:style w:type="paragraph" w:styleId="Piedepgina">
    <w:name w:val="footer"/>
    <w:basedOn w:val="Normal"/>
    <w:link w:val="PiedepginaCar"/>
    <w:uiPriority w:val="99"/>
    <w:unhideWhenUsed/>
    <w:rsid w:val="009377D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377DA"/>
    <w:rPr>
      <w:rFonts w:ascii="Calibri" w:eastAsia="Times New Roman" w:hAnsi="Calibri"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1"/>
    <w:qFormat/>
    <w:rsid w:val="00A24721"/>
    <w:pPr>
      <w:spacing w:after="160" w:line="259" w:lineRule="auto"/>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A24721"/>
    <w:rPr>
      <w:rFonts w:ascii="Calibri" w:eastAsia="Calibri" w:hAnsi="Calibri" w:cs="Calibri"/>
      <w:lang w:eastAsia="es-MX"/>
    </w:rPr>
  </w:style>
  <w:style w:type="character" w:styleId="Hipervnculo">
    <w:name w:val="Hyperlink"/>
    <w:basedOn w:val="Fuentedeprrafopredeter"/>
    <w:uiPriority w:val="99"/>
    <w:unhideWhenUsed/>
    <w:rsid w:val="003E21AB"/>
    <w:rPr>
      <w:color w:val="0563C1" w:themeColor="hyperlink"/>
      <w:u w:val="single"/>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B20C1F"/>
    <w:pPr>
      <w:spacing w:after="0" w:line="240" w:lineRule="auto"/>
    </w:pPr>
    <w:rPr>
      <w:rFonts w:ascii="Times New Roman" w:eastAsia="Times New Roman" w:hAnsi="Times New Roman" w:cs="Times New Roman"/>
      <w:sz w:val="24"/>
      <w:szCs w:val="24"/>
      <w:lang w:val="es-ES" w:eastAsia="es-ES"/>
    </w:rPr>
  </w:style>
  <w:style w:type="character" w:customStyle="1" w:styleId="SinespaciadoCar">
    <w:name w:val="Sin espaciado Car"/>
    <w:aliases w:val="Francesa Car,INAI Car"/>
    <w:link w:val="Sinespaciado"/>
    <w:uiPriority w:val="1"/>
    <w:locked/>
    <w:rsid w:val="00B20C1F"/>
    <w:rPr>
      <w:rFonts w:ascii="Times New Roman" w:eastAsia="Times New Roman" w:hAnsi="Times New Roman" w:cs="Times New Roman"/>
      <w:sz w:val="24"/>
      <w:szCs w:val="24"/>
      <w:lang w:val="es-ES" w:eastAsia="es-ES"/>
    </w:r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NormalWeb">
    <w:name w:val="Normal (Web)"/>
    <w:basedOn w:val="Normal"/>
    <w:uiPriority w:val="99"/>
    <w:unhideWhenUsed/>
    <w:rsid w:val="00EA0A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uentedeprrafopredeter"/>
    <w:rsid w:val="00B21136"/>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C53AEB"/>
    <w:pPr>
      <w:spacing w:after="0" w:line="240" w:lineRule="auto"/>
    </w:pPr>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C53AEB"/>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iPriority w:val="99"/>
    <w:unhideWhenUsed/>
    <w:qFormat/>
    <w:rsid w:val="00C53AEB"/>
    <w:rPr>
      <w:vertAlign w:val="superscript"/>
    </w:rPr>
  </w:style>
  <w:style w:type="table" w:styleId="Tablaconcuadrcula">
    <w:name w:val="Table Grid"/>
    <w:basedOn w:val="Tablanormal"/>
    <w:uiPriority w:val="39"/>
    <w:rsid w:val="00830175"/>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iPriority w:val="99"/>
    <w:semiHidden/>
    <w:unhideWhenUsed/>
    <w:rsid w:val="00F229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873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f.gob.mx/nota_detalle.php?codigo=5492254&amp;fecha=28/07/2017"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onografias.com/trabajos14/verific-servicios/verific-servicios.shtml"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MX8nxyqpMB8xuRgN1U9S/WGdxA==">CgMxLjAyCWguMzBqMHpsbDIJaC4zem55c2g3Mg1oLmc2eGlqZXdqaXViOAByITF4SUxuWFFLOGlfbnQxelBaXy1fU3FLLXFCYnJvc0MyRg==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16879</Words>
  <Characters>92840</Characters>
  <Application>Microsoft Office Word</Application>
  <DocSecurity>0</DocSecurity>
  <Lines>773</Lines>
  <Paragraphs>218</Paragraphs>
  <ScaleCrop>false</ScaleCrop>
  <HeadingPairs>
    <vt:vector size="2" baseType="variant">
      <vt:variant>
        <vt:lpstr>Título</vt:lpstr>
      </vt:variant>
      <vt:variant>
        <vt:i4>1</vt:i4>
      </vt:variant>
    </vt:vector>
  </HeadingPairs>
  <TitlesOfParts>
    <vt:vector size="1" baseType="lpstr">
      <vt:lpstr/>
    </vt:vector>
  </TitlesOfParts>
  <Company>BC</Company>
  <LinksUpToDate>false</LinksUpToDate>
  <CharactersWithSpaces>109501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Maricela Villagómez Martínez</cp:lastModifiedBy>
  <cp:revision>2</cp:revision>
  <cp:lastPrinted>2026-09-25T17:59:00Z</cp:lastPrinted>
  <dcterms:created xsi:type="dcterms:W3CDTF">2026-09-28T16:02:00Z</dcterms:created>
  <dcterms:modified xsi:type="dcterms:W3CDTF">2026-09-28T16:02:00Z</dcterms:modified>
</cp:coreProperties>
</file>