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1E640" w14:textId="487AD504"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Resolución del Pleno del Instituto de Transparencia, Acceso a la Información Pública y Protección de Datos Personales del Estado de México y Municipios, con domicilio en Metepec, Estado de México, a</w:t>
      </w:r>
      <w:r w:rsidRPr="001E6C71">
        <w:rPr>
          <w:rFonts w:ascii="Palatino Linotype" w:eastAsia="Times New Roman" w:hAnsi="Palatino Linotype" w:cs="Palatino Linotype"/>
          <w:b/>
          <w:color w:val="000000"/>
          <w:sz w:val="24"/>
          <w:szCs w:val="24"/>
          <w:lang w:val="es-ES_tradnl" w:eastAsia="es-MX"/>
        </w:rPr>
        <w:t xml:space="preserve"> </w:t>
      </w:r>
      <w:r w:rsidR="0062305B" w:rsidRPr="001E6C71">
        <w:rPr>
          <w:rFonts w:ascii="Palatino Linotype" w:eastAsia="Times New Roman" w:hAnsi="Palatino Linotype" w:cs="Palatino Linotype"/>
          <w:b/>
          <w:color w:val="000000"/>
          <w:sz w:val="24"/>
          <w:szCs w:val="24"/>
          <w:lang w:val="es-ES_tradnl" w:eastAsia="es-MX"/>
        </w:rPr>
        <w:t>veinte de mayo</w:t>
      </w:r>
      <w:r w:rsidRPr="001E6C71">
        <w:rPr>
          <w:rFonts w:ascii="Palatino Linotype" w:eastAsia="Times New Roman" w:hAnsi="Palatino Linotype" w:cs="Palatino Linotype"/>
          <w:b/>
          <w:color w:val="000000"/>
          <w:sz w:val="24"/>
          <w:szCs w:val="24"/>
          <w:lang w:val="es-ES_tradnl" w:eastAsia="es-MX"/>
        </w:rPr>
        <w:t xml:space="preserve"> de dos mil veintiséis</w:t>
      </w:r>
      <w:r w:rsidRPr="001E6C71">
        <w:rPr>
          <w:rFonts w:ascii="Palatino Linotype" w:eastAsia="Times New Roman" w:hAnsi="Palatino Linotype" w:cs="Palatino Linotype"/>
          <w:color w:val="000000"/>
          <w:sz w:val="24"/>
          <w:szCs w:val="24"/>
          <w:lang w:val="es-ES_tradnl" w:eastAsia="es-MX"/>
        </w:rPr>
        <w:t>.</w:t>
      </w:r>
    </w:p>
    <w:p w14:paraId="4EBB0A41"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88533C1" w14:textId="1C00B681"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b/>
          <w:color w:val="000000"/>
          <w:sz w:val="24"/>
          <w:szCs w:val="24"/>
          <w:lang w:val="es-ES_tradnl" w:eastAsia="es-MX"/>
        </w:rPr>
        <w:t>VISTO</w:t>
      </w:r>
      <w:r w:rsidRPr="001E6C71">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E6C71">
        <w:rPr>
          <w:rFonts w:ascii="Palatino Linotype" w:eastAsia="Times New Roman" w:hAnsi="Palatino Linotype" w:cs="Palatino Linotype"/>
          <w:b/>
          <w:color w:val="000000"/>
          <w:sz w:val="24"/>
          <w:szCs w:val="24"/>
          <w:lang w:val="es-ES_tradnl" w:eastAsia="es-MX"/>
        </w:rPr>
        <w:t>03005/INFOEM/IP/RR/2026</w:t>
      </w:r>
      <w:bookmarkEnd w:id="0"/>
      <w:r w:rsidRPr="001E6C71">
        <w:rPr>
          <w:rFonts w:ascii="Palatino Linotype" w:eastAsia="Times New Roman" w:hAnsi="Palatino Linotype" w:cs="Palatino Linotype"/>
          <w:color w:val="000000"/>
          <w:sz w:val="24"/>
          <w:szCs w:val="24"/>
          <w:lang w:val="es-ES_tradnl" w:eastAsia="es-MX"/>
        </w:rPr>
        <w:t>, interpuesto por</w:t>
      </w:r>
      <w:r w:rsidRPr="001E6C71">
        <w:rPr>
          <w:rFonts w:ascii="Palatino Linotype" w:eastAsia="Times New Roman" w:hAnsi="Palatino Linotype" w:cs="Palatino Linotype"/>
          <w:b/>
          <w:color w:val="000000"/>
          <w:sz w:val="24"/>
          <w:szCs w:val="24"/>
          <w:lang w:val="es-ES_tradnl" w:eastAsia="es-MX"/>
        </w:rPr>
        <w:t xml:space="preserve"> </w:t>
      </w:r>
      <w:r w:rsidR="001D6331">
        <w:rPr>
          <w:rFonts w:ascii="Palatino Linotype" w:eastAsia="Times New Roman" w:hAnsi="Palatino Linotype" w:cs="Palatino Linotype"/>
          <w:b/>
          <w:color w:val="000000"/>
          <w:sz w:val="24"/>
          <w:szCs w:val="24"/>
          <w:lang w:val="es-ES_tradnl" w:eastAsia="es-MX"/>
        </w:rPr>
        <w:t>xxxxxx</w:t>
      </w:r>
      <w:r w:rsidRPr="001E6C71">
        <w:rPr>
          <w:rFonts w:ascii="Palatino Linotype" w:eastAsia="Times New Roman" w:hAnsi="Palatino Linotype" w:cs="Arial"/>
          <w:sz w:val="24"/>
          <w:szCs w:val="24"/>
          <w:lang w:val="es-ES_tradnl" w:eastAsia="es-MX"/>
        </w:rPr>
        <w:t xml:space="preserve">, </w:t>
      </w:r>
      <w:r w:rsidRPr="001E6C71">
        <w:rPr>
          <w:rFonts w:ascii="Palatino Linotype" w:eastAsia="Times New Roman" w:hAnsi="Palatino Linotype" w:cs="Palatino Linotype"/>
          <w:color w:val="000000"/>
          <w:sz w:val="24"/>
          <w:szCs w:val="24"/>
          <w:lang w:val="es-ES_tradnl" w:eastAsia="es-MX"/>
        </w:rPr>
        <w:t xml:space="preserve">en lo sucesivo el </w:t>
      </w:r>
      <w:r w:rsidRPr="001E6C71">
        <w:rPr>
          <w:rFonts w:ascii="Palatino Linotype" w:eastAsia="Times New Roman" w:hAnsi="Palatino Linotype" w:cs="Palatino Linotype"/>
          <w:b/>
          <w:color w:val="000000"/>
          <w:sz w:val="24"/>
          <w:szCs w:val="24"/>
          <w:lang w:val="es-ES_tradnl" w:eastAsia="es-MX"/>
        </w:rPr>
        <w:t>Recurrente</w:t>
      </w:r>
      <w:r w:rsidRPr="001E6C71">
        <w:rPr>
          <w:rFonts w:ascii="Palatino Linotype" w:eastAsia="Times New Roman" w:hAnsi="Palatino Linotype" w:cs="Palatino Linotype"/>
          <w:color w:val="000000"/>
          <w:sz w:val="24"/>
          <w:szCs w:val="24"/>
          <w:lang w:val="es-ES_tradnl" w:eastAsia="es-MX"/>
        </w:rPr>
        <w:t xml:space="preserve">, en contra de la respuesta del </w:t>
      </w:r>
      <w:r w:rsidRPr="001E6C71">
        <w:rPr>
          <w:rFonts w:ascii="Palatino Linotype" w:eastAsia="Times New Roman" w:hAnsi="Palatino Linotype" w:cs="Palatino Linotype"/>
          <w:b/>
          <w:color w:val="000000"/>
          <w:sz w:val="24"/>
          <w:szCs w:val="24"/>
          <w:lang w:val="es-ES_tradnl" w:eastAsia="es-MX"/>
        </w:rPr>
        <w:t>Ayuntamiento de Jilotepec</w:t>
      </w:r>
      <w:r w:rsidRPr="001E6C71">
        <w:rPr>
          <w:rFonts w:ascii="Palatino Linotype" w:eastAsia="Times New Roman" w:hAnsi="Palatino Linotype" w:cs="Palatino Linotype"/>
          <w:color w:val="000000"/>
          <w:sz w:val="24"/>
          <w:szCs w:val="24"/>
          <w:lang w:val="es-ES_tradnl" w:eastAsia="es-MX"/>
        </w:rPr>
        <w:t>, en lo subsecuente</w:t>
      </w:r>
      <w:r w:rsidRPr="001E6C71">
        <w:rPr>
          <w:rFonts w:ascii="Palatino Linotype" w:eastAsia="Times New Roman" w:hAnsi="Palatino Linotype" w:cs="Palatino Linotype"/>
          <w:b/>
          <w:color w:val="000000"/>
          <w:sz w:val="24"/>
          <w:szCs w:val="24"/>
          <w:lang w:val="es-ES_tradnl" w:eastAsia="es-MX"/>
        </w:rPr>
        <w:t xml:space="preserve"> </w:t>
      </w:r>
      <w:r w:rsidRPr="001E6C71">
        <w:rPr>
          <w:rFonts w:ascii="Palatino Linotype" w:eastAsia="Times New Roman" w:hAnsi="Palatino Linotype" w:cs="Palatino Linotype"/>
          <w:color w:val="000000"/>
          <w:sz w:val="24"/>
          <w:szCs w:val="24"/>
          <w:lang w:val="es-ES_tradnl" w:eastAsia="es-MX"/>
        </w:rPr>
        <w:t>el</w:t>
      </w:r>
      <w:r w:rsidRPr="001E6C71">
        <w:rPr>
          <w:rFonts w:ascii="Palatino Linotype" w:eastAsia="Times New Roman" w:hAnsi="Palatino Linotype" w:cs="Palatino Linotype"/>
          <w:b/>
          <w:color w:val="000000"/>
          <w:sz w:val="24"/>
          <w:szCs w:val="24"/>
          <w:lang w:val="es-ES_tradnl" w:eastAsia="es-MX"/>
        </w:rPr>
        <w:t xml:space="preserve"> Sujeto Obligado, </w:t>
      </w:r>
      <w:r w:rsidRPr="001E6C71">
        <w:rPr>
          <w:rFonts w:ascii="Palatino Linotype" w:eastAsia="Times New Roman" w:hAnsi="Palatino Linotype" w:cs="Palatino Linotype"/>
          <w:color w:val="000000"/>
          <w:sz w:val="24"/>
          <w:szCs w:val="24"/>
          <w:lang w:val="es-ES_tradnl" w:eastAsia="es-MX"/>
        </w:rPr>
        <w:t xml:space="preserve">se procede a dictar la presente resolución. </w:t>
      </w:r>
    </w:p>
    <w:p w14:paraId="291F72A5"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67DDD6A"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5A3EB33" w14:textId="77777777" w:rsidR="003C3EAA" w:rsidRPr="001E6C71"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E6C71">
        <w:rPr>
          <w:rFonts w:ascii="Palatino Linotype" w:eastAsia="Times New Roman" w:hAnsi="Palatino Linotype" w:cs="Times New Roman"/>
          <w:b/>
          <w:color w:val="000000" w:themeColor="text1"/>
          <w:sz w:val="28"/>
          <w:szCs w:val="32"/>
          <w:lang w:val="es-ES_tradnl" w:eastAsia="es-ES"/>
        </w:rPr>
        <w:t>A N T E C E D E N T E S</w:t>
      </w:r>
    </w:p>
    <w:p w14:paraId="4C82C623" w14:textId="77777777" w:rsidR="003C3EAA" w:rsidRPr="001E6C71"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4FF818E9"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E08792"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PRIMERO. De la Solicitud de Información.</w:t>
      </w:r>
    </w:p>
    <w:p w14:paraId="6FBDDF93"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 xml:space="preserve">Con fecha veintiséis de febrero de dos mil veintiséis, el Recurrente presentó mediante el Sistema de Acceso a la Información Mexiquense (SAIMEX), solicitud de información registrada con el número de </w:t>
      </w:r>
      <w:r w:rsidRPr="001E6C71">
        <w:rPr>
          <w:rFonts w:ascii="Palatino Linotype" w:eastAsia="Times New Roman" w:hAnsi="Palatino Linotype" w:cs="Palatino Linotype"/>
          <w:sz w:val="24"/>
          <w:szCs w:val="24"/>
          <w:lang w:val="es-ES_tradnl" w:eastAsia="es-MX"/>
        </w:rPr>
        <w:t>expediente</w:t>
      </w:r>
      <w:r w:rsidRPr="001E6C71">
        <w:rPr>
          <w:rFonts w:ascii="Verdana" w:hAnsi="Verdana"/>
          <w:b/>
          <w:bCs/>
          <w:color w:val="FF0000"/>
          <w:sz w:val="20"/>
          <w:szCs w:val="20"/>
        </w:rPr>
        <w:t> </w:t>
      </w:r>
      <w:r w:rsidRPr="001E6C71">
        <w:rPr>
          <w:rFonts w:ascii="Palatino Linotype" w:hAnsi="Palatino Linotype"/>
          <w:b/>
          <w:bCs/>
          <w:sz w:val="24"/>
          <w:szCs w:val="24"/>
        </w:rPr>
        <w:t>00016/JILOTEPE/IP/2026</w:t>
      </w:r>
      <w:r w:rsidRPr="001E6C71">
        <w:rPr>
          <w:rFonts w:ascii="Palatino Linotype" w:eastAsia="Times New Roman" w:hAnsi="Palatino Linotype" w:cs="Palatino Linotype"/>
          <w:sz w:val="24"/>
          <w:szCs w:val="24"/>
          <w:lang w:val="es-ES_tradnl" w:eastAsia="es-MX"/>
        </w:rPr>
        <w:t>,</w:t>
      </w:r>
      <w:r w:rsidRPr="001E6C71">
        <w:rPr>
          <w:rFonts w:ascii="Palatino Linotype" w:eastAsia="Times New Roman" w:hAnsi="Palatino Linotype" w:cs="Palatino Linotype"/>
          <w:b/>
          <w:sz w:val="24"/>
          <w:szCs w:val="24"/>
          <w:lang w:val="es-ES_tradnl" w:eastAsia="es-MX"/>
        </w:rPr>
        <w:t xml:space="preserve"> </w:t>
      </w:r>
      <w:r w:rsidRPr="001E6C71">
        <w:rPr>
          <w:rFonts w:ascii="Palatino Linotype" w:eastAsia="Times New Roman" w:hAnsi="Palatino Linotype" w:cs="Palatino Linotype"/>
          <w:color w:val="000000"/>
          <w:sz w:val="24"/>
          <w:szCs w:val="24"/>
          <w:lang w:val="es-ES_tradnl" w:eastAsia="es-MX"/>
        </w:rPr>
        <w:t>mediante la cual solicitó información en el tenor siguiente:</w:t>
      </w:r>
    </w:p>
    <w:p w14:paraId="62370E33" w14:textId="77777777" w:rsidR="003C3EAA" w:rsidRPr="001E6C71" w:rsidRDefault="003C3EAA" w:rsidP="003C3EAA">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1E6C71">
        <w:rPr>
          <w:rFonts w:ascii="Palatino Linotype" w:eastAsia="Times New Roman" w:hAnsi="Palatino Linotype" w:cs="Palatino Linotype"/>
          <w:i/>
          <w:iCs/>
          <w:color w:val="000000"/>
          <w:sz w:val="24"/>
          <w:szCs w:val="24"/>
          <w:lang w:val="es-ES_tradnl" w:eastAsia="es-MX"/>
        </w:rPr>
        <w:t>“</w:t>
      </w:r>
      <w:r w:rsidRPr="001E6C71">
        <w:rPr>
          <w:rFonts w:ascii="Palatino Linotype" w:hAnsi="Palatino Linotype"/>
          <w:i/>
          <w:color w:val="000000"/>
          <w:sz w:val="24"/>
          <w:szCs w:val="24"/>
        </w:rPr>
        <w:t xml:space="preserve">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w:t>
      </w:r>
      <w:r w:rsidRPr="001E6C71">
        <w:rPr>
          <w:rFonts w:ascii="Palatino Linotype" w:hAnsi="Palatino Linotype"/>
          <w:i/>
          <w:color w:val="000000"/>
          <w:sz w:val="24"/>
          <w:szCs w:val="24"/>
        </w:rPr>
        <w:lastRenderedPageBreak/>
        <w:t xml:space="preserve">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se proporcione la información correspondiente al periodo del 30/9/25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w:t>
      </w:r>
      <w:r w:rsidRPr="001E6C71">
        <w:rPr>
          <w:rFonts w:ascii="Palatino Linotype" w:hAnsi="Palatino Linotype"/>
          <w:i/>
          <w:color w:val="000000"/>
          <w:sz w:val="24"/>
          <w:szCs w:val="24"/>
        </w:rPr>
        <w:lastRenderedPageBreak/>
        <w:t>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Previamente ealicé una Solicitud de Acceso a la Información similar a este Sujeto Obligado donde me entregó la información solicitada. Por lo anterior, únicamente estoy solicitando una actualización a la información previamente compartida. Los datos de la solicitud previa son los siguientes: Sujeto Obligado: Jilotepec No de folio PNT: 00112/JILOTEPE/IP/2025 Fecha de Solicitud: 8/10/25</w:t>
      </w:r>
      <w:r w:rsidRPr="001E6C71">
        <w:rPr>
          <w:rFonts w:ascii="Palatino Linotype" w:hAnsi="Palatino Linotype"/>
          <w:i/>
          <w:iCs/>
          <w:color w:val="000000"/>
          <w:sz w:val="24"/>
          <w:szCs w:val="24"/>
        </w:rPr>
        <w:t>.”</w:t>
      </w:r>
      <w:r w:rsidRPr="001E6C71">
        <w:rPr>
          <w:rFonts w:ascii="Verdana" w:hAnsi="Verdana"/>
          <w:color w:val="000000"/>
          <w:sz w:val="14"/>
          <w:szCs w:val="14"/>
        </w:rPr>
        <w:t xml:space="preserve"> </w:t>
      </w:r>
      <w:r w:rsidRPr="001E6C71">
        <w:rPr>
          <w:rFonts w:ascii="Palatino Linotype" w:eastAsia="Times New Roman" w:hAnsi="Palatino Linotype" w:cs="Palatino Linotype"/>
          <w:i/>
          <w:color w:val="000000"/>
          <w:szCs w:val="24"/>
          <w:lang w:val="es-ES_tradnl" w:eastAsia="es-MX"/>
        </w:rPr>
        <w:t xml:space="preserve"> (Sic)</w:t>
      </w:r>
    </w:p>
    <w:p w14:paraId="7528A7D8"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3BC0A32" w14:textId="77777777" w:rsidR="003C3EAA" w:rsidRPr="001E6C71" w:rsidRDefault="003C3EAA" w:rsidP="003C3EAA">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lastRenderedPageBreak/>
        <w:t xml:space="preserve">Modalidad de entrega: </w:t>
      </w:r>
      <w:r w:rsidRPr="001E6C71">
        <w:rPr>
          <w:rFonts w:ascii="Palatino Linotype" w:eastAsia="Times New Roman" w:hAnsi="Palatino Linotype" w:cs="Palatino Linotype"/>
          <w:b/>
          <w:color w:val="000000"/>
          <w:sz w:val="24"/>
          <w:szCs w:val="24"/>
          <w:lang w:val="es-ES_tradnl" w:eastAsia="es-MX"/>
        </w:rPr>
        <w:t>A través del SAIMEX</w:t>
      </w:r>
      <w:r w:rsidRPr="001E6C71">
        <w:rPr>
          <w:rFonts w:ascii="Palatino Linotype" w:eastAsia="Times New Roman" w:hAnsi="Palatino Linotype" w:cs="Palatino Linotype"/>
          <w:color w:val="000000"/>
          <w:sz w:val="24"/>
          <w:szCs w:val="24"/>
          <w:lang w:val="es-ES_tradnl" w:eastAsia="es-MX"/>
        </w:rPr>
        <w:t>.</w:t>
      </w:r>
    </w:p>
    <w:p w14:paraId="4FDFFC66"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EE2C5E5"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SEGUNDO. De la respuesta del Sujeto Obligado.</w:t>
      </w:r>
    </w:p>
    <w:p w14:paraId="3CCED129"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De las constancias que obran en el expediente electrónico, se observa que el cinco de marzo de dos mil veintiséis, el Sujeto Obligado dio respuesta a la solicitud de información manifestando lo siguiente:</w:t>
      </w:r>
    </w:p>
    <w:tbl>
      <w:tblPr>
        <w:tblW w:w="8256" w:type="dxa"/>
        <w:jc w:val="center"/>
        <w:tblCellSpacing w:w="0" w:type="dxa"/>
        <w:tblCellMar>
          <w:left w:w="0" w:type="dxa"/>
          <w:right w:w="0" w:type="dxa"/>
        </w:tblCellMar>
        <w:tblLook w:val="04A0" w:firstRow="1" w:lastRow="0" w:firstColumn="1" w:lastColumn="0" w:noHBand="0" w:noVBand="1"/>
      </w:tblPr>
      <w:tblGrid>
        <w:gridCol w:w="8256"/>
      </w:tblGrid>
      <w:tr w:rsidR="003C3EAA" w:rsidRPr="001E6C71" w14:paraId="2080BC53" w14:textId="77777777" w:rsidTr="003C3EAA">
        <w:trPr>
          <w:trHeight w:val="252"/>
          <w:tblCellSpacing w:w="0" w:type="dxa"/>
          <w:jc w:val="center"/>
        </w:trPr>
        <w:tc>
          <w:tcPr>
            <w:tcW w:w="0" w:type="auto"/>
            <w:vAlign w:val="center"/>
            <w:hideMark/>
          </w:tcPr>
          <w:p w14:paraId="653AEC1B" w14:textId="77777777" w:rsidR="003C3EAA" w:rsidRPr="001E6C71" w:rsidRDefault="003C3EAA" w:rsidP="003C3EAA">
            <w:pPr>
              <w:spacing w:after="0" w:line="240" w:lineRule="auto"/>
              <w:jc w:val="right"/>
              <w:rPr>
                <w:rFonts w:ascii="Palatino Linotype" w:eastAsia="Times New Roman" w:hAnsi="Palatino Linotype" w:cs="Times New Roman"/>
                <w:i/>
                <w:lang w:eastAsia="es-MX"/>
              </w:rPr>
            </w:pPr>
            <w:r w:rsidRPr="001E6C71">
              <w:rPr>
                <w:rFonts w:ascii="Palatino Linotype" w:eastAsia="Times New Roman" w:hAnsi="Palatino Linotype" w:cs="Times New Roman"/>
                <w:i/>
                <w:lang w:eastAsia="es-MX"/>
              </w:rPr>
              <w:t>Jilotepec, México a 05 de Marzo de 2026</w:t>
            </w:r>
          </w:p>
        </w:tc>
      </w:tr>
      <w:tr w:rsidR="003C3EAA" w:rsidRPr="001E6C71" w14:paraId="04F0474A" w14:textId="77777777" w:rsidTr="003C3EAA">
        <w:trPr>
          <w:trHeight w:val="252"/>
          <w:tblCellSpacing w:w="0" w:type="dxa"/>
          <w:jc w:val="center"/>
        </w:trPr>
        <w:tc>
          <w:tcPr>
            <w:tcW w:w="0" w:type="auto"/>
            <w:vAlign w:val="center"/>
            <w:hideMark/>
          </w:tcPr>
          <w:p w14:paraId="05C580F1" w14:textId="77777777" w:rsidR="003C3EAA" w:rsidRPr="001E6C71" w:rsidRDefault="003C3EAA" w:rsidP="003C3EAA">
            <w:pPr>
              <w:spacing w:after="0" w:line="240" w:lineRule="auto"/>
              <w:jc w:val="right"/>
              <w:rPr>
                <w:rFonts w:ascii="Palatino Linotype" w:eastAsia="Times New Roman" w:hAnsi="Palatino Linotype" w:cs="Times New Roman"/>
                <w:i/>
                <w:lang w:eastAsia="es-MX"/>
              </w:rPr>
            </w:pPr>
            <w:r w:rsidRPr="001E6C71">
              <w:rPr>
                <w:rFonts w:ascii="Palatino Linotype" w:eastAsia="Times New Roman" w:hAnsi="Palatino Linotype" w:cs="Times New Roman"/>
                <w:i/>
                <w:lang w:eastAsia="es-MX"/>
              </w:rPr>
              <w:t>Nombre del solicitante: C. Solicitante</w:t>
            </w:r>
          </w:p>
        </w:tc>
      </w:tr>
      <w:tr w:rsidR="003C3EAA" w:rsidRPr="001E6C71" w14:paraId="39CD9096" w14:textId="77777777" w:rsidTr="003C3EAA">
        <w:trPr>
          <w:trHeight w:val="252"/>
          <w:tblCellSpacing w:w="0" w:type="dxa"/>
          <w:jc w:val="center"/>
        </w:trPr>
        <w:tc>
          <w:tcPr>
            <w:tcW w:w="0" w:type="auto"/>
            <w:vAlign w:val="center"/>
            <w:hideMark/>
          </w:tcPr>
          <w:p w14:paraId="10EB9C08" w14:textId="77777777" w:rsidR="003C3EAA" w:rsidRPr="001E6C71" w:rsidRDefault="003C3EAA" w:rsidP="003C3EAA">
            <w:pPr>
              <w:spacing w:after="0" w:line="240" w:lineRule="auto"/>
              <w:jc w:val="right"/>
              <w:rPr>
                <w:rFonts w:ascii="Palatino Linotype" w:eastAsia="Times New Roman" w:hAnsi="Palatino Linotype" w:cs="Times New Roman"/>
                <w:i/>
                <w:lang w:eastAsia="es-MX"/>
              </w:rPr>
            </w:pPr>
            <w:r w:rsidRPr="001E6C71">
              <w:rPr>
                <w:rFonts w:ascii="Palatino Linotype" w:eastAsia="Times New Roman" w:hAnsi="Palatino Linotype" w:cs="Times New Roman"/>
                <w:i/>
                <w:lang w:eastAsia="es-MX"/>
              </w:rPr>
              <w:t>Folio de la solicitud: 00016/JILOTEPE/IP/2026</w:t>
            </w:r>
          </w:p>
        </w:tc>
      </w:tr>
      <w:tr w:rsidR="003C3EAA" w:rsidRPr="001E6C71" w14:paraId="47D2E871" w14:textId="77777777" w:rsidTr="003C3EAA">
        <w:trPr>
          <w:trHeight w:val="379"/>
          <w:tblCellSpacing w:w="0" w:type="dxa"/>
          <w:jc w:val="center"/>
        </w:trPr>
        <w:tc>
          <w:tcPr>
            <w:tcW w:w="0" w:type="auto"/>
            <w:vAlign w:val="center"/>
            <w:hideMark/>
          </w:tcPr>
          <w:p w14:paraId="1E308E61" w14:textId="77777777" w:rsidR="003C3EAA" w:rsidRPr="001E6C71" w:rsidRDefault="003C3EAA" w:rsidP="003C3EAA">
            <w:pPr>
              <w:spacing w:after="0" w:line="240" w:lineRule="auto"/>
              <w:jc w:val="right"/>
              <w:rPr>
                <w:rFonts w:ascii="Palatino Linotype" w:eastAsia="Times New Roman" w:hAnsi="Palatino Linotype" w:cs="Times New Roman"/>
                <w:i/>
                <w:lang w:eastAsia="es-MX"/>
              </w:rPr>
            </w:pPr>
          </w:p>
        </w:tc>
      </w:tr>
      <w:tr w:rsidR="003C3EAA" w:rsidRPr="001E6C71" w14:paraId="153A0DDA" w14:textId="77777777" w:rsidTr="003C3EAA">
        <w:trPr>
          <w:trHeight w:val="126"/>
          <w:tblCellSpacing w:w="0" w:type="dxa"/>
          <w:jc w:val="center"/>
        </w:trPr>
        <w:tc>
          <w:tcPr>
            <w:tcW w:w="0" w:type="auto"/>
            <w:vAlign w:val="center"/>
            <w:hideMark/>
          </w:tcPr>
          <w:p w14:paraId="012C22A7" w14:textId="77777777" w:rsidR="003C3EAA" w:rsidRPr="001E6C71" w:rsidRDefault="003C3EAA" w:rsidP="003C3EAA">
            <w:pPr>
              <w:spacing w:after="0" w:line="240" w:lineRule="auto"/>
              <w:jc w:val="center"/>
              <w:rPr>
                <w:rFonts w:ascii="Palatino Linotype" w:eastAsia="Times New Roman" w:hAnsi="Palatino Linotype" w:cs="Times New Roman"/>
                <w:i/>
                <w:lang w:eastAsia="es-MX"/>
              </w:rPr>
            </w:pPr>
          </w:p>
        </w:tc>
      </w:tr>
      <w:tr w:rsidR="003C3EAA" w:rsidRPr="001E6C71" w14:paraId="72CDFB9C" w14:textId="77777777" w:rsidTr="003C3EAA">
        <w:trPr>
          <w:trHeight w:val="316"/>
          <w:tblCellSpacing w:w="0" w:type="dxa"/>
          <w:jc w:val="center"/>
        </w:trPr>
        <w:tc>
          <w:tcPr>
            <w:tcW w:w="0" w:type="auto"/>
            <w:vAlign w:val="center"/>
            <w:hideMark/>
          </w:tcPr>
          <w:p w14:paraId="6F322BFA" w14:textId="77777777" w:rsidR="003C3EAA" w:rsidRPr="001E6C71" w:rsidRDefault="003C3EAA" w:rsidP="003C3EAA">
            <w:pPr>
              <w:spacing w:after="0" w:line="240" w:lineRule="auto"/>
              <w:rPr>
                <w:rFonts w:ascii="Palatino Linotype" w:eastAsia="Times New Roman" w:hAnsi="Palatino Linotype" w:cs="Times New Roman"/>
                <w:i/>
                <w:lang w:eastAsia="es-MX"/>
              </w:rPr>
            </w:pPr>
          </w:p>
        </w:tc>
      </w:tr>
      <w:tr w:rsidR="003C3EAA" w:rsidRPr="001E6C71" w14:paraId="546FC702" w14:textId="77777777" w:rsidTr="003C3EAA">
        <w:trPr>
          <w:trHeight w:val="126"/>
          <w:tblCellSpacing w:w="0" w:type="dxa"/>
          <w:jc w:val="center"/>
        </w:trPr>
        <w:tc>
          <w:tcPr>
            <w:tcW w:w="0" w:type="auto"/>
            <w:vAlign w:val="center"/>
            <w:hideMark/>
          </w:tcPr>
          <w:p w14:paraId="633A738D" w14:textId="77777777" w:rsidR="003C3EAA" w:rsidRPr="001E6C71" w:rsidRDefault="003C3EAA" w:rsidP="003C3EAA">
            <w:pPr>
              <w:spacing w:after="0" w:line="240" w:lineRule="auto"/>
              <w:jc w:val="both"/>
              <w:rPr>
                <w:rFonts w:ascii="Palatino Linotype" w:eastAsia="Times New Roman" w:hAnsi="Palatino Linotype" w:cs="Times New Roman"/>
                <w:i/>
                <w:lang w:eastAsia="es-MX"/>
              </w:rPr>
            </w:pPr>
            <w:r w:rsidRPr="001E6C71">
              <w:rPr>
                <w:rFonts w:ascii="Palatino Linotype" w:eastAsia="Times New Roman" w:hAnsi="Palatino Linotype" w:cs="Times New Roman"/>
                <w:i/>
                <w:lang w:eastAsia="es-MX"/>
              </w:rPr>
              <w:t>En atencion a su solicitud de información con numero economico : 0016/JILOTEPE/IP/2026, se remite la respuesta mediante archivo en formato PDF denominado:"RESPUESTA 016-26_0001".y formato excel denominado "ipomex 2026 coordenadas 30 de sep 2025"</w:t>
            </w:r>
          </w:p>
        </w:tc>
      </w:tr>
    </w:tbl>
    <w:p w14:paraId="5F3268F2" w14:textId="77777777" w:rsidR="003C3EAA" w:rsidRPr="001E6C71" w:rsidRDefault="003C3EAA" w:rsidP="003C3EAA">
      <w:pPr>
        <w:spacing w:after="0" w:line="360" w:lineRule="auto"/>
        <w:contextualSpacing/>
        <w:jc w:val="both"/>
        <w:rPr>
          <w:rFonts w:ascii="Palatino Linotype" w:eastAsia="Times New Roman" w:hAnsi="Palatino Linotype" w:cs="Palatino Linotype"/>
          <w:i/>
          <w:color w:val="000000"/>
          <w:lang w:val="es-ES_tradnl" w:eastAsia="es-MX"/>
        </w:rPr>
      </w:pPr>
    </w:p>
    <w:p w14:paraId="2BF10839" w14:textId="77777777" w:rsidR="003C3EAA" w:rsidRPr="001E6C71" w:rsidRDefault="003C3EAA" w:rsidP="003C3EAA">
      <w:pPr>
        <w:spacing w:after="0" w:line="360" w:lineRule="auto"/>
        <w:contextualSpacing/>
        <w:jc w:val="both"/>
        <w:rPr>
          <w:rFonts w:ascii="Palatino Linotype" w:eastAsia="Times New Roman" w:hAnsi="Palatino Linotype" w:cs="Palatino Linotype"/>
          <w:i/>
          <w:color w:val="000000"/>
          <w:lang w:val="es-ES_tradnl" w:eastAsia="es-MX"/>
        </w:rPr>
      </w:pPr>
    </w:p>
    <w:p w14:paraId="58D5334B" w14:textId="77777777" w:rsidR="003C3EAA" w:rsidRPr="001E6C71" w:rsidRDefault="003C3EAA" w:rsidP="003C3EAA">
      <w:pPr>
        <w:spacing w:after="0" w:line="360" w:lineRule="auto"/>
        <w:contextualSpacing/>
        <w:jc w:val="both"/>
        <w:rPr>
          <w:rFonts w:ascii="Palatino Linotype" w:hAnsi="Palatino Linotype" w:cs="Arial"/>
          <w:b/>
          <w:bCs/>
          <w:i/>
          <w:sz w:val="24"/>
          <w:szCs w:val="24"/>
        </w:rPr>
      </w:pPr>
      <w:r w:rsidRPr="001E6C71">
        <w:rPr>
          <w:rFonts w:ascii="Palatino Linotype" w:eastAsia="Times New Roman" w:hAnsi="Palatino Linotype" w:cs="Palatino Linotype"/>
          <w:color w:val="000000"/>
          <w:sz w:val="24"/>
          <w:szCs w:val="24"/>
          <w:lang w:val="es-ES_tradnl" w:eastAsia="es-MX"/>
        </w:rPr>
        <w:t>El Sujeto Obligado adjuntó a su respuesta los documentos denominados</w:t>
      </w:r>
      <w:r w:rsidRPr="001E6C71">
        <w:rPr>
          <w:rFonts w:ascii="Palatino Linotype" w:eastAsia="Times New Roman" w:hAnsi="Palatino Linotype" w:cs="Palatino Linotype"/>
          <w:i/>
          <w:color w:val="000000"/>
          <w:sz w:val="24"/>
          <w:szCs w:val="24"/>
          <w:lang w:val="es-ES_tradnl" w:eastAsia="es-MX"/>
        </w:rPr>
        <w:t xml:space="preserve"> </w:t>
      </w:r>
      <w:r w:rsidRPr="001E6C71">
        <w:rPr>
          <w:rFonts w:ascii="Palatino Linotype" w:eastAsia="Times New Roman" w:hAnsi="Palatino Linotype" w:cs="Palatino Linotype"/>
          <w:i/>
          <w:sz w:val="24"/>
          <w:szCs w:val="24"/>
          <w:lang w:val="es-ES_tradnl" w:eastAsia="es-MX"/>
        </w:rPr>
        <w:t>“</w:t>
      </w:r>
      <w:r w:rsidRPr="001E6C71">
        <w:rPr>
          <w:rFonts w:ascii="Palatino Linotype" w:hAnsi="Palatino Linotype" w:cs="Arial"/>
          <w:b/>
          <w:bCs/>
          <w:i/>
          <w:sz w:val="24"/>
          <w:szCs w:val="24"/>
        </w:rPr>
        <w:t>RESPUESTA 016-26_0001.pdf”, “ipomex 2026 coordenadas 30 de sep 2025.xlsx”</w:t>
      </w:r>
      <w:r w:rsidRPr="001E6C71">
        <w:rPr>
          <w:rFonts w:ascii="Palatino Linotype" w:hAnsi="Palatino Linotype" w:cs="Arial"/>
          <w:b/>
          <w:bCs/>
          <w:sz w:val="24"/>
          <w:szCs w:val="24"/>
        </w:rPr>
        <w:t xml:space="preserve">, </w:t>
      </w:r>
      <w:r w:rsidRPr="001E6C71">
        <w:rPr>
          <w:rFonts w:ascii="Palatino Linotype" w:hAnsi="Palatino Linotype" w:cs="Arial"/>
          <w:bCs/>
          <w:sz w:val="24"/>
          <w:szCs w:val="24"/>
        </w:rPr>
        <w:t xml:space="preserve">los cuales </w:t>
      </w:r>
      <w:r w:rsidRPr="001E6C71">
        <w:rPr>
          <w:rFonts w:ascii="Palatino Linotype" w:eastAsia="Times New Roman" w:hAnsi="Palatino Linotype" w:cs="Palatino Linotype"/>
          <w:color w:val="000000"/>
          <w:sz w:val="24"/>
          <w:szCs w:val="24"/>
          <w:lang w:val="es-ES_tradnl" w:eastAsia="es-MX"/>
        </w:rPr>
        <w:t>no se reproducen por ser del conocimiento de las partes; no obstante, su contenido será motivo de análisis en el estudio correspondiente.</w:t>
      </w:r>
    </w:p>
    <w:p w14:paraId="061DB41E" w14:textId="77777777" w:rsidR="003C3EAA" w:rsidRPr="001E6C71" w:rsidRDefault="003C3EAA" w:rsidP="003C3EAA">
      <w:pPr>
        <w:spacing w:after="0" w:line="360" w:lineRule="auto"/>
        <w:contextualSpacing/>
        <w:jc w:val="both"/>
        <w:rPr>
          <w:rFonts w:ascii="Palatino Linotype" w:hAnsi="Palatino Linotype"/>
          <w:sz w:val="24"/>
          <w:szCs w:val="24"/>
        </w:rPr>
      </w:pPr>
    </w:p>
    <w:p w14:paraId="3C939DA5"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TERCERO. Del recurso de revisión.</w:t>
      </w:r>
    </w:p>
    <w:p w14:paraId="06138602"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1E6C71">
        <w:rPr>
          <w:rFonts w:ascii="Palatino Linotype" w:eastAsia="Times New Roman" w:hAnsi="Palatino Linotype" w:cs="Palatino Linotype"/>
          <w:b/>
          <w:color w:val="000000"/>
          <w:sz w:val="24"/>
          <w:szCs w:val="24"/>
          <w:lang w:val="es-ES_tradnl" w:eastAsia="es-MX"/>
        </w:rPr>
        <w:t>seis de abril de dos mil veintiséis</w:t>
      </w:r>
      <w:r w:rsidRPr="001E6C71">
        <w:rPr>
          <w:rFonts w:ascii="Palatino Linotype" w:eastAsia="Times New Roman" w:hAnsi="Palatino Linotype" w:cs="Palatino Linotype"/>
          <w:color w:val="000000"/>
          <w:sz w:val="24"/>
          <w:szCs w:val="24"/>
          <w:lang w:val="es-ES_tradnl" w:eastAsia="es-MX"/>
        </w:rPr>
        <w:t xml:space="preserve">, el cual se registró con el expediente número </w:t>
      </w:r>
      <w:r w:rsidRPr="001E6C71">
        <w:rPr>
          <w:rFonts w:ascii="Palatino Linotype" w:eastAsia="Times New Roman" w:hAnsi="Palatino Linotype" w:cs="Palatino Linotype"/>
          <w:b/>
          <w:color w:val="000000"/>
          <w:sz w:val="24"/>
          <w:szCs w:val="24"/>
          <w:lang w:val="es-ES_tradnl" w:eastAsia="es-MX"/>
        </w:rPr>
        <w:t>03005/INFOEM/IP/RR/2026</w:t>
      </w:r>
      <w:r w:rsidRPr="001E6C71">
        <w:rPr>
          <w:rFonts w:ascii="Palatino Linotype" w:eastAsia="Times New Roman" w:hAnsi="Palatino Linotype" w:cs="Palatino Linotype"/>
          <w:color w:val="000000"/>
          <w:sz w:val="24"/>
          <w:szCs w:val="24"/>
          <w:lang w:val="es-ES_tradnl" w:eastAsia="es-MX"/>
        </w:rPr>
        <w:t>, manifestando lo siguiente:</w:t>
      </w:r>
    </w:p>
    <w:p w14:paraId="36089DA5"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3948F26" w14:textId="77777777" w:rsidR="003C3EAA" w:rsidRPr="001E6C71" w:rsidRDefault="003C3EAA" w:rsidP="003C3EAA">
      <w:pPr>
        <w:pStyle w:val="Prrafodelista"/>
        <w:numPr>
          <w:ilvl w:val="0"/>
          <w:numId w:val="1"/>
        </w:numPr>
        <w:spacing w:after="0" w:line="360" w:lineRule="auto"/>
        <w:ind w:right="567"/>
        <w:jc w:val="both"/>
        <w:rPr>
          <w:rFonts w:ascii="Palatino Linotype" w:hAnsi="Palatino Linotype"/>
          <w:i/>
          <w:color w:val="000000"/>
        </w:rPr>
      </w:pPr>
      <w:r w:rsidRPr="001E6C71">
        <w:rPr>
          <w:rFonts w:ascii="Palatino Linotype" w:hAnsi="Palatino Linotype" w:cs="Palatino Linotype"/>
          <w:b/>
          <w:lang w:val="es-ES_tradnl" w:eastAsia="es-MX"/>
        </w:rPr>
        <w:t>Acto Impugnado “</w:t>
      </w:r>
      <w:r w:rsidRPr="001E6C71">
        <w:rPr>
          <w:rFonts w:ascii="Palatino Linotype" w:hAnsi="Palatino Linotype"/>
          <w:i/>
          <w:color w:val="000000"/>
          <w:sz w:val="24"/>
          <w:szCs w:val="24"/>
        </w:rPr>
        <w:t>Información incompleta” (Sic)</w:t>
      </w:r>
    </w:p>
    <w:p w14:paraId="75444DDD" w14:textId="77777777" w:rsidR="003C3EAA" w:rsidRPr="001E6C71" w:rsidRDefault="003C3EAA" w:rsidP="003C3EAA">
      <w:pPr>
        <w:pStyle w:val="Prrafodelista"/>
        <w:spacing w:after="0" w:line="360" w:lineRule="auto"/>
        <w:ind w:left="785" w:right="567"/>
        <w:jc w:val="both"/>
        <w:rPr>
          <w:rFonts w:ascii="Palatino Linotype" w:hAnsi="Palatino Linotype"/>
          <w:i/>
          <w:color w:val="000000"/>
        </w:rPr>
      </w:pPr>
    </w:p>
    <w:p w14:paraId="586C05CE" w14:textId="77777777" w:rsidR="003C3EAA" w:rsidRPr="001E6C71" w:rsidRDefault="003C3EAA" w:rsidP="003C3EAA">
      <w:pPr>
        <w:pStyle w:val="Prrafodelista"/>
        <w:numPr>
          <w:ilvl w:val="0"/>
          <w:numId w:val="1"/>
        </w:numPr>
        <w:spacing w:after="0" w:line="360" w:lineRule="auto"/>
        <w:ind w:right="567"/>
        <w:jc w:val="both"/>
        <w:rPr>
          <w:rFonts w:ascii="Palatino Linotype" w:hAnsi="Palatino Linotype"/>
          <w:i/>
          <w:color w:val="000000"/>
        </w:rPr>
      </w:pPr>
      <w:r w:rsidRPr="001E6C71">
        <w:rPr>
          <w:rFonts w:ascii="Palatino Linotype" w:eastAsia="Times New Roman" w:hAnsi="Palatino Linotype" w:cs="Palatino Linotype"/>
          <w:b/>
          <w:sz w:val="24"/>
          <w:lang w:val="es-ES_tradnl" w:eastAsia="es-MX"/>
        </w:rPr>
        <w:t xml:space="preserve"> Motivos de Inconformidad </w:t>
      </w:r>
      <w:r w:rsidRPr="001E6C71">
        <w:rPr>
          <w:rFonts w:ascii="Palatino Linotype" w:hAnsi="Palatino Linotype"/>
          <w:i/>
          <w:color w:val="000000"/>
          <w:sz w:val="24"/>
          <w:szCs w:val="24"/>
        </w:rPr>
        <w:t>”La información solicitada, como se mencionó en la solicitud de información debe de considerarse DESDE el 30 de septiembre a la fecha de ingreso de la solicitud, es decir, hasta el 26 de febrero del presente año.” (Sic)</w:t>
      </w:r>
    </w:p>
    <w:p w14:paraId="432786AE" w14:textId="77777777" w:rsidR="003C3EAA" w:rsidRPr="001E6C71" w:rsidRDefault="003C3EAA" w:rsidP="003C3EAA">
      <w:pPr>
        <w:spacing w:after="0" w:line="360" w:lineRule="auto"/>
        <w:ind w:right="567"/>
        <w:contextualSpacing/>
        <w:jc w:val="both"/>
        <w:rPr>
          <w:rFonts w:ascii="Palatino Linotype" w:eastAsia="Times New Roman" w:hAnsi="Palatino Linotype" w:cs="Palatino Linotype"/>
          <w:b/>
          <w:i/>
          <w:color w:val="000000"/>
          <w:lang w:val="es-ES_tradnl" w:eastAsia="es-MX"/>
        </w:rPr>
      </w:pPr>
    </w:p>
    <w:p w14:paraId="5E6688B1" w14:textId="77777777" w:rsidR="003C3EAA" w:rsidRPr="001E6C71" w:rsidRDefault="003C3EAA" w:rsidP="003C3EAA">
      <w:pPr>
        <w:spacing w:after="0" w:line="360" w:lineRule="auto"/>
        <w:ind w:left="567" w:right="567"/>
        <w:contextualSpacing/>
        <w:jc w:val="both"/>
        <w:rPr>
          <w:rFonts w:ascii="Palatino Linotype" w:eastAsia="Times New Roman" w:hAnsi="Palatino Linotype" w:cs="Palatino Linotype"/>
          <w:b/>
          <w:i/>
          <w:color w:val="000000"/>
          <w:lang w:val="es-ES_tradnl" w:eastAsia="es-MX"/>
        </w:rPr>
      </w:pPr>
    </w:p>
    <w:p w14:paraId="1E96D315"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1B2C8BDF"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 xml:space="preserve">Medio de impugnación que le fue turnado al </w:t>
      </w:r>
      <w:r w:rsidRPr="001E6C71">
        <w:rPr>
          <w:rFonts w:ascii="Palatino Linotype" w:eastAsia="Times New Roman" w:hAnsi="Palatino Linotype" w:cs="Palatino Linotype"/>
          <w:b/>
          <w:color w:val="000000"/>
          <w:sz w:val="24"/>
          <w:szCs w:val="24"/>
          <w:lang w:val="es-ES_tradnl" w:eastAsia="es-MX"/>
        </w:rPr>
        <w:t>Comisionado Presidente José Martínez Vilchis</w:t>
      </w:r>
      <w:r w:rsidRPr="001E6C71">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E6C71">
        <w:rPr>
          <w:rFonts w:ascii="Palatino Linotype" w:eastAsia="Times New Roman" w:hAnsi="Palatino Linotype" w:cs="Palatino Linotype"/>
          <w:b/>
          <w:color w:val="000000"/>
          <w:sz w:val="24"/>
          <w:szCs w:val="24"/>
          <w:lang w:val="es-ES_tradnl" w:eastAsia="es-MX"/>
        </w:rPr>
        <w:t xml:space="preserve"> once de marzo de dos mil veintiséis</w:t>
      </w:r>
      <w:r w:rsidRPr="001E6C71">
        <w:rPr>
          <w:rFonts w:ascii="Palatino Linotype" w:eastAsia="Times New Roman" w:hAnsi="Palatino Linotype" w:cs="Palatino Linotype"/>
          <w:color w:val="000000"/>
          <w:sz w:val="24"/>
          <w:szCs w:val="24"/>
          <w:lang w:val="es-ES_tradnl" w:eastAsia="es-MX"/>
        </w:rPr>
        <w:t xml:space="preserve">, </w:t>
      </w:r>
      <w:r w:rsidRPr="001E6C71">
        <w:rPr>
          <w:rFonts w:ascii="Palatino Linotype" w:eastAsia="Times New Roman" w:hAnsi="Palatino Linotype" w:cs="Palatino Linotype"/>
          <w:sz w:val="24"/>
          <w:szCs w:val="24"/>
          <w:lang w:val="es-ES_tradnl" w:eastAsia="es-MX"/>
        </w:rPr>
        <w:t>otorgándose</w:t>
      </w:r>
      <w:r w:rsidRPr="001E6C71">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16FEA92E"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2AD01E8"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22F03F7"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QUINTO. De la etapa de instrucción.</w:t>
      </w:r>
    </w:p>
    <w:p w14:paraId="60B7D6AC"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 xml:space="preserve">Una vez abierta la etapa de instrucción, el Sujeto Obligado fue omiso para rendir su Informe Justificado. Por su parte, el Recurrente no realizó manifestaciones, vertió alegatos ni presentó pruebas que a su derecho convinieran. </w:t>
      </w:r>
    </w:p>
    <w:p w14:paraId="07B36A51"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9026A24"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SEXTO. Del cierre de instrucción.</w:t>
      </w:r>
    </w:p>
    <w:p w14:paraId="3CAE89D8" w14:textId="5BCD4C0C"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E6C71">
        <w:rPr>
          <w:rFonts w:ascii="Palatino Linotype" w:eastAsia="Times New Roman" w:hAnsi="Palatino Linotype" w:cs="Palatino Linotype"/>
          <w:b/>
          <w:color w:val="000000"/>
          <w:sz w:val="24"/>
          <w:szCs w:val="24"/>
          <w:lang w:val="es-ES_tradnl" w:eastAsia="es-MX"/>
        </w:rPr>
        <w:t xml:space="preserve"> </w:t>
      </w:r>
      <w:r w:rsidR="008A43B0" w:rsidRPr="001E6C71">
        <w:rPr>
          <w:rFonts w:ascii="Palatino Linotype" w:eastAsia="Times New Roman" w:hAnsi="Palatino Linotype" w:cs="Palatino Linotype"/>
          <w:b/>
          <w:color w:val="000000"/>
          <w:sz w:val="24"/>
          <w:szCs w:val="24"/>
          <w:lang w:val="es-ES_tradnl" w:eastAsia="es-MX"/>
        </w:rPr>
        <w:t>diecinueve de mayo</w:t>
      </w:r>
      <w:r w:rsidRPr="001E6C71">
        <w:rPr>
          <w:rFonts w:ascii="Palatino Linotype" w:eastAsia="Times New Roman" w:hAnsi="Palatino Linotype" w:cs="Palatino Linotype"/>
          <w:b/>
          <w:color w:val="000000"/>
          <w:sz w:val="24"/>
          <w:szCs w:val="24"/>
          <w:lang w:val="es-ES_tradnl" w:eastAsia="es-MX"/>
        </w:rPr>
        <w:t xml:space="preserve"> de dos mil veintiséis</w:t>
      </w:r>
      <w:r w:rsidRPr="001E6C71">
        <w:rPr>
          <w:rFonts w:ascii="Palatino Linotype" w:eastAsia="Times New Roman" w:hAnsi="Palatino Linotype" w:cs="Palatino Linotype"/>
          <w:color w:val="000000"/>
          <w:sz w:val="24"/>
          <w:szCs w:val="24"/>
          <w:lang w:val="es-ES_tradnl" w:eastAsia="es-MX"/>
        </w:rPr>
        <w:t xml:space="preserve">, en términos del artículo 185 fracción VI de la </w:t>
      </w:r>
      <w:r w:rsidRPr="001E6C71">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iniciando el término legal para dictar resolución definitiva del asunto.</w:t>
      </w:r>
    </w:p>
    <w:p w14:paraId="0EEB081A"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210FD3B" w14:textId="77777777" w:rsidR="00E11037" w:rsidRPr="001E6C71" w:rsidRDefault="00E11037" w:rsidP="00E11037">
      <w:pPr>
        <w:keepNext/>
        <w:keepLines/>
        <w:spacing w:line="360" w:lineRule="auto"/>
        <w:jc w:val="both"/>
        <w:outlineLvl w:val="1"/>
        <w:rPr>
          <w:rFonts w:ascii="Palatino Linotype" w:hAnsi="Palatino Linotype" w:cs="Palatino Linotype"/>
          <w:color w:val="000000"/>
          <w:lang w:val="es-ES_tradnl"/>
        </w:rPr>
      </w:pPr>
      <w:r w:rsidRPr="001E6C71">
        <w:rPr>
          <w:rFonts w:ascii="Palatino Linotype" w:hAnsi="Palatino Linotype"/>
          <w:b/>
          <w:color w:val="000000" w:themeColor="text1"/>
          <w:sz w:val="28"/>
          <w:szCs w:val="28"/>
          <w:lang w:val="es-ES_tradnl"/>
        </w:rPr>
        <w:t xml:space="preserve">SÉPTIMO. </w:t>
      </w:r>
      <w:r w:rsidRPr="001E6C71">
        <w:rPr>
          <w:rFonts w:ascii="Palatino Linotype" w:eastAsia="Calibri" w:hAnsi="Palatino Linotype" w:cs="Arial"/>
          <w:b/>
          <w:sz w:val="28"/>
          <w:lang w:val="es-ES_tradnl"/>
        </w:rPr>
        <w:t>De la ampliación del término para resolver.</w:t>
      </w:r>
    </w:p>
    <w:p w14:paraId="70CFAD01" w14:textId="77777777" w:rsidR="00E11037" w:rsidRPr="001E6C71" w:rsidRDefault="00E11037" w:rsidP="00E11037">
      <w:pPr>
        <w:spacing w:line="360" w:lineRule="auto"/>
        <w:contextualSpacing/>
        <w:jc w:val="both"/>
        <w:rPr>
          <w:rFonts w:ascii="Palatino Linotype" w:hAnsi="Palatino Linotype"/>
        </w:rPr>
      </w:pPr>
      <w:r w:rsidRPr="001E6C71">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1E6C71">
        <w:rPr>
          <w:rFonts w:ascii="Palatino Linotype" w:hAnsi="Palatino Linotype"/>
          <w:b/>
        </w:rPr>
        <w:t xml:space="preserve"> </w:t>
      </w:r>
      <w:r w:rsidRPr="001E6C71">
        <w:rPr>
          <w:rFonts w:ascii="Palatino Linotype" w:hAnsi="Palatino Linotype" w:cs="Arial"/>
          <w:b/>
        </w:rPr>
        <w:t>diecinueve de mayo de dos mil veintiséis</w:t>
      </w:r>
      <w:r w:rsidRPr="001E6C71">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9A27EBF"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26A1A56" w14:textId="77777777" w:rsidR="00E11037" w:rsidRPr="001E6C71" w:rsidRDefault="00E11037"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9E55329" w14:textId="77777777" w:rsidR="003C3EAA" w:rsidRPr="001E6C71" w:rsidRDefault="003C3EAA" w:rsidP="003C3EAA">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E6C71">
        <w:rPr>
          <w:rFonts w:ascii="Palatino Linotype" w:eastAsia="Times New Roman" w:hAnsi="Palatino Linotype" w:cs="Times New Roman"/>
          <w:b/>
          <w:color w:val="000000" w:themeColor="text1"/>
          <w:sz w:val="28"/>
          <w:szCs w:val="32"/>
          <w:lang w:val="es-ES_tradnl" w:eastAsia="es-ES"/>
        </w:rPr>
        <w:t>C O N S I D E R A N D O</w:t>
      </w:r>
    </w:p>
    <w:p w14:paraId="0DB40358"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DF10A54"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PRIMERO. De la competencia.</w:t>
      </w:r>
    </w:p>
    <w:p w14:paraId="33261DAC" w14:textId="77777777" w:rsidR="00D22DD0" w:rsidRPr="001E6C71" w:rsidRDefault="00D22DD0" w:rsidP="00D22DD0">
      <w:pPr>
        <w:spacing w:line="360" w:lineRule="auto"/>
        <w:jc w:val="both"/>
        <w:rPr>
          <w:rFonts w:ascii="Palatino Linotype" w:hAnsi="Palatino Linotype"/>
          <w:sz w:val="24"/>
          <w:szCs w:val="24"/>
        </w:rPr>
      </w:pPr>
      <w:r w:rsidRPr="001E6C71">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84D0B33"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B39AD1"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6B46FDFE" w14:textId="77777777" w:rsidR="003C3EAA" w:rsidRPr="001E6C71" w:rsidRDefault="003C3EAA" w:rsidP="003C3EAA">
      <w:pPr>
        <w:spacing w:after="0" w:line="360" w:lineRule="auto"/>
        <w:jc w:val="both"/>
        <w:rPr>
          <w:rFonts w:ascii="Palatino Linotype" w:eastAsia="Times New Roman" w:hAnsi="Palatino Linotype" w:cs="Calibri"/>
          <w:sz w:val="24"/>
          <w:lang w:val="es-ES_tradnl" w:eastAsia="es-MX"/>
        </w:rPr>
      </w:pPr>
      <w:r w:rsidRPr="001E6C71">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D8AF0B6" w14:textId="77777777" w:rsidR="003C3EAA" w:rsidRPr="001E6C71" w:rsidRDefault="003C3EAA" w:rsidP="003C3EAA">
      <w:pPr>
        <w:spacing w:after="0" w:line="360" w:lineRule="auto"/>
        <w:jc w:val="both"/>
        <w:rPr>
          <w:rFonts w:ascii="Palatino Linotype" w:eastAsia="Times New Roman" w:hAnsi="Palatino Linotype" w:cs="Calibri"/>
          <w:sz w:val="24"/>
          <w:lang w:val="es-ES_tradnl" w:eastAsia="es-MX"/>
        </w:rPr>
      </w:pPr>
    </w:p>
    <w:p w14:paraId="76413E45" w14:textId="77777777" w:rsidR="003C3EAA" w:rsidRPr="001E6C71" w:rsidRDefault="003C3EAA" w:rsidP="003C3EAA">
      <w:pPr>
        <w:autoSpaceDE w:val="0"/>
        <w:autoSpaceDN w:val="0"/>
        <w:adjustRightInd w:val="0"/>
        <w:spacing w:before="240" w:line="360" w:lineRule="auto"/>
        <w:rPr>
          <w:rFonts w:ascii="Palatino Linotype" w:hAnsi="Palatino Linotype"/>
          <w:b/>
          <w:color w:val="000000" w:themeColor="text1"/>
          <w:sz w:val="26"/>
          <w:szCs w:val="26"/>
          <w:lang w:val="es-ES_tradnl"/>
        </w:rPr>
      </w:pPr>
      <w:r w:rsidRPr="001E6C71">
        <w:rPr>
          <w:rFonts w:ascii="Palatino Linotype" w:hAnsi="Palatino Linotype"/>
          <w:b/>
          <w:color w:val="000000" w:themeColor="text1"/>
          <w:sz w:val="26"/>
          <w:szCs w:val="26"/>
          <w:lang w:val="es-ES_tradnl"/>
        </w:rPr>
        <w:t xml:space="preserve">TERCERO. De las causas de improcedencia. </w:t>
      </w:r>
    </w:p>
    <w:p w14:paraId="3FFEDA32"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r w:rsidRPr="001E6C71">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F059731"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p>
    <w:p w14:paraId="04860347"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r w:rsidRPr="001E6C71">
        <w:rPr>
          <w:rFonts w:ascii="Palatino Linotype" w:hAnsi="Palatino Linotype" w:cs="Palatino Linotype"/>
          <w:color w:val="000000"/>
          <w:sz w:val="24"/>
          <w:szCs w:val="24"/>
          <w:lang w:val="es-ES_tradnl"/>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1E6C71">
        <w:rPr>
          <w:rFonts w:ascii="Palatino Linotype" w:hAnsi="Palatino Linotype" w:cs="Palatino Linotype"/>
          <w:color w:val="000000"/>
          <w:sz w:val="24"/>
          <w:szCs w:val="24"/>
          <w:lang w:val="es-ES_tradnl"/>
        </w:rPr>
        <w:lastRenderedPageBreak/>
        <w:t>una figura procesal adoptada en la ley de la materia</w:t>
      </w:r>
      <w:r w:rsidRPr="001E6C71">
        <w:rPr>
          <w:rFonts w:ascii="Palatino Linotype" w:hAnsi="Palatino Linotype" w:cs="Palatino Linotype"/>
          <w:color w:val="000000"/>
          <w:sz w:val="24"/>
          <w:szCs w:val="24"/>
          <w:vertAlign w:val="superscript"/>
          <w:lang w:val="es-ES_tradnl"/>
        </w:rPr>
        <w:footnoteReference w:id="1"/>
      </w:r>
      <w:r w:rsidRPr="001E6C71">
        <w:rPr>
          <w:rFonts w:ascii="Palatino Linotype" w:hAnsi="Palatino Linotype" w:cs="Palatino Linotype"/>
          <w:color w:val="000000"/>
          <w:sz w:val="24"/>
          <w:szCs w:val="24"/>
          <w:lang w:val="es-ES_tradnl"/>
        </w:rPr>
        <w:t>, la cual permite dilucidar alguna causal que impida el estudio y resolución, cuando una vez admitido el recurso de revisión se advierta una causa de improcedencia que permita sobreseerlo, sin estudiar el fondo del asunto.</w:t>
      </w:r>
    </w:p>
    <w:p w14:paraId="2438716B"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p>
    <w:p w14:paraId="2463D94F"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r w:rsidRPr="001E6C71">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5947176"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p>
    <w:p w14:paraId="4AD17377" w14:textId="77777777" w:rsidR="003C3EAA" w:rsidRPr="001E6C71" w:rsidRDefault="003C3EAA" w:rsidP="003C3EAA">
      <w:pPr>
        <w:spacing w:line="360" w:lineRule="auto"/>
        <w:contextualSpacing/>
        <w:jc w:val="both"/>
        <w:rPr>
          <w:rFonts w:ascii="Palatino Linotype" w:hAnsi="Palatino Linotype" w:cs="Palatino Linotype"/>
          <w:color w:val="000000"/>
          <w:sz w:val="24"/>
          <w:szCs w:val="24"/>
          <w:lang w:val="es-ES_tradnl"/>
        </w:rPr>
      </w:pPr>
    </w:p>
    <w:p w14:paraId="60476D87" w14:textId="77777777" w:rsidR="003C3EAA" w:rsidRPr="001E6C71" w:rsidRDefault="003C3EAA" w:rsidP="003C3EAA">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E6C71">
        <w:rPr>
          <w:rFonts w:ascii="Palatino Linotype" w:eastAsia="Times New Roman" w:hAnsi="Palatino Linotype" w:cs="Times New Roman"/>
          <w:b/>
          <w:color w:val="000000" w:themeColor="text1"/>
          <w:sz w:val="26"/>
          <w:szCs w:val="26"/>
          <w:lang w:val="es-ES_tradnl" w:eastAsia="es-MX"/>
        </w:rPr>
        <w:t xml:space="preserve">CUARTO. </w:t>
      </w:r>
      <w:r w:rsidRPr="001E6C71">
        <w:rPr>
          <w:rFonts w:ascii="Palatino Linotype" w:eastAsia="Times New Roman" w:hAnsi="Palatino Linotype" w:cs="Times New Roman"/>
          <w:b/>
          <w:color w:val="000000" w:themeColor="text1"/>
          <w:sz w:val="28"/>
          <w:szCs w:val="28"/>
          <w:lang w:val="es-ES_tradnl" w:eastAsia="es-MX"/>
        </w:rPr>
        <w:t>Estudio y resolución del asunto</w:t>
      </w:r>
      <w:r w:rsidRPr="001E6C71">
        <w:rPr>
          <w:rFonts w:ascii="Palatino Linotype" w:eastAsia="Times New Roman" w:hAnsi="Palatino Linotype" w:cs="Times New Roman"/>
          <w:b/>
          <w:color w:val="000000" w:themeColor="text1"/>
          <w:sz w:val="26"/>
          <w:szCs w:val="26"/>
          <w:lang w:val="es-ES_tradnl" w:eastAsia="es-MX"/>
        </w:rPr>
        <w:t>.</w:t>
      </w:r>
    </w:p>
    <w:p w14:paraId="2F41B0F5"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62E637A"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CAAE2D6" w14:textId="77777777" w:rsidR="003C3EAA"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02CD0955" w14:textId="77777777" w:rsidR="003C3EAA" w:rsidRPr="001E6C71" w:rsidRDefault="003C3EAA" w:rsidP="003C3EAA">
      <w:pPr>
        <w:pStyle w:val="Prrafodelista"/>
        <w:spacing w:after="0" w:line="360" w:lineRule="auto"/>
        <w:jc w:val="both"/>
        <w:rPr>
          <w:rFonts w:ascii="Palatino Linotype" w:eastAsia="Times New Roman" w:hAnsi="Palatino Linotype" w:cs="Palatino Linotype"/>
          <w:color w:val="000000"/>
          <w:sz w:val="24"/>
          <w:szCs w:val="24"/>
          <w:lang w:val="es-ES_tradnl" w:eastAsia="es-MX"/>
        </w:rPr>
      </w:pPr>
    </w:p>
    <w:p w14:paraId="0EEBB056" w14:textId="77777777" w:rsidR="003C3EAA" w:rsidRPr="001E6C71" w:rsidRDefault="003C3EAA" w:rsidP="003C3EAA">
      <w:pPr>
        <w:pStyle w:val="Prrafodelista"/>
        <w:numPr>
          <w:ilvl w:val="0"/>
          <w:numId w:val="4"/>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 xml:space="preserve">Base de datos (en formato abierto como xls o cvs.) de incidencia delictiva o reporte de incidentes, eventos o cualquier registro o documento del </w:t>
      </w:r>
      <w:r w:rsidR="00D22DD0" w:rsidRPr="001E6C71">
        <w:rPr>
          <w:rFonts w:ascii="Palatino Linotype" w:hAnsi="Palatino Linotype"/>
          <w:color w:val="222222"/>
          <w:sz w:val="24"/>
          <w:szCs w:val="24"/>
        </w:rPr>
        <w:t xml:space="preserve">treinta de septiembre de dos mil veinticinco </w:t>
      </w:r>
      <w:r w:rsidRPr="001E6C71">
        <w:rPr>
          <w:rFonts w:ascii="Palatino Linotype" w:hAnsi="Palatino Linotype"/>
          <w:color w:val="222222"/>
          <w:sz w:val="24"/>
          <w:szCs w:val="24"/>
        </w:rPr>
        <w:t xml:space="preserve">en el que contenga la siguiente información; </w:t>
      </w:r>
    </w:p>
    <w:p w14:paraId="02D89E67" w14:textId="77777777" w:rsidR="003C3EAA" w:rsidRPr="001E6C71" w:rsidRDefault="003C3EAA" w:rsidP="003C3EAA">
      <w:pPr>
        <w:pStyle w:val="Prrafodelista"/>
        <w:spacing w:line="360" w:lineRule="auto"/>
        <w:jc w:val="both"/>
        <w:rPr>
          <w:rFonts w:ascii="Palatino Linotype" w:hAnsi="Palatino Linotype"/>
          <w:color w:val="222222"/>
          <w:sz w:val="24"/>
          <w:szCs w:val="24"/>
        </w:rPr>
      </w:pPr>
    </w:p>
    <w:p w14:paraId="4B4180A7"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 xml:space="preserve"> Tipo de incidente o evento (hechos presuntamente constitutivos de delito y/o falta administrativa, o situación reportada, cualquiera que esta sea, especificando si el hecho fue con o sin violencia)</w:t>
      </w:r>
      <w:r w:rsidR="00D22DD0" w:rsidRPr="001E6C71">
        <w:rPr>
          <w:rFonts w:ascii="Palatino Linotype" w:hAnsi="Palatino Linotype"/>
          <w:color w:val="222222"/>
          <w:sz w:val="24"/>
          <w:szCs w:val="24"/>
        </w:rPr>
        <w:t>.</w:t>
      </w:r>
    </w:p>
    <w:p w14:paraId="2AF15918"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Hora del incidente o evento</w:t>
      </w:r>
      <w:r w:rsidR="00D22DD0" w:rsidRPr="001E6C71">
        <w:rPr>
          <w:rFonts w:ascii="Palatino Linotype" w:hAnsi="Palatino Linotype"/>
          <w:color w:val="222222"/>
          <w:sz w:val="24"/>
          <w:szCs w:val="24"/>
        </w:rPr>
        <w:t>.</w:t>
      </w:r>
    </w:p>
    <w:p w14:paraId="07F3B0B5"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 xml:space="preserve"> Fecha del incidente o evento (dd/mm/aaaa)</w:t>
      </w:r>
      <w:r w:rsidR="00D22DD0" w:rsidRPr="001E6C71">
        <w:rPr>
          <w:rFonts w:ascii="Palatino Linotype" w:hAnsi="Palatino Linotype"/>
          <w:color w:val="222222"/>
          <w:sz w:val="24"/>
          <w:szCs w:val="24"/>
        </w:rPr>
        <w:t>.</w:t>
      </w:r>
      <w:r w:rsidRPr="001E6C71">
        <w:rPr>
          <w:rFonts w:ascii="Palatino Linotype" w:hAnsi="Palatino Linotype"/>
          <w:color w:val="222222"/>
          <w:sz w:val="24"/>
          <w:szCs w:val="24"/>
        </w:rPr>
        <w:t xml:space="preserve"> </w:t>
      </w:r>
    </w:p>
    <w:p w14:paraId="2ACED211"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Lugar del incidente o evento</w:t>
      </w:r>
      <w:r w:rsidR="00D22DD0" w:rsidRPr="001E6C71">
        <w:rPr>
          <w:rFonts w:ascii="Palatino Linotype" w:hAnsi="Palatino Linotype"/>
          <w:color w:val="222222"/>
          <w:sz w:val="24"/>
          <w:szCs w:val="24"/>
        </w:rPr>
        <w:t>.</w:t>
      </w:r>
    </w:p>
    <w:p w14:paraId="5B5DA67F"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lastRenderedPageBreak/>
        <w:t>Ubicación del incidente o evento</w:t>
      </w:r>
      <w:r w:rsidR="00D22DD0" w:rsidRPr="001E6C71">
        <w:rPr>
          <w:rFonts w:ascii="Palatino Linotype" w:hAnsi="Palatino Linotype"/>
          <w:color w:val="222222"/>
          <w:sz w:val="24"/>
          <w:szCs w:val="24"/>
        </w:rPr>
        <w:t>.</w:t>
      </w:r>
    </w:p>
    <w:p w14:paraId="32C94B8D" w14:textId="77777777" w:rsidR="003C3EAA" w:rsidRPr="001E6C71" w:rsidRDefault="003C3EAA" w:rsidP="003C3EAA">
      <w:pPr>
        <w:pStyle w:val="Prrafodelista"/>
        <w:numPr>
          <w:ilvl w:val="0"/>
          <w:numId w:val="5"/>
        </w:numPr>
        <w:spacing w:line="360" w:lineRule="auto"/>
        <w:jc w:val="both"/>
        <w:rPr>
          <w:rFonts w:ascii="Palatino Linotype" w:hAnsi="Palatino Linotype"/>
          <w:color w:val="222222"/>
          <w:sz w:val="24"/>
          <w:szCs w:val="24"/>
        </w:rPr>
      </w:pPr>
      <w:r w:rsidRPr="001E6C71">
        <w:rPr>
          <w:rFonts w:ascii="Palatino Linotype" w:hAnsi="Palatino Linotype"/>
          <w:color w:val="222222"/>
          <w:sz w:val="24"/>
          <w:szCs w:val="24"/>
        </w:rPr>
        <w:t>Coordenadas geo</w:t>
      </w:r>
      <w:r w:rsidR="00D22DD0" w:rsidRPr="001E6C71">
        <w:rPr>
          <w:rFonts w:ascii="Palatino Linotype" w:hAnsi="Palatino Linotype"/>
          <w:color w:val="222222"/>
          <w:sz w:val="24"/>
          <w:szCs w:val="24"/>
        </w:rPr>
        <w:t>gráficas del incidente o evento</w:t>
      </w:r>
      <w:r w:rsidRPr="001E6C71">
        <w:rPr>
          <w:rFonts w:ascii="Palatino Linotype" w:hAnsi="Palatino Linotype"/>
          <w:color w:val="222222"/>
          <w:sz w:val="24"/>
          <w:szCs w:val="24"/>
        </w:rPr>
        <w:t xml:space="preserve"> establecidas en la sección “lugar de la intervención” del informe policial homologado </w:t>
      </w:r>
      <w:r w:rsidR="00D22DD0" w:rsidRPr="001E6C71">
        <w:rPr>
          <w:rFonts w:ascii="Palatino Linotype" w:hAnsi="Palatino Linotype"/>
          <w:color w:val="222222"/>
          <w:sz w:val="24"/>
          <w:szCs w:val="24"/>
        </w:rPr>
        <w:t xml:space="preserve">o para la justicia cívica cuando aplique. </w:t>
      </w:r>
    </w:p>
    <w:p w14:paraId="6F642BE6" w14:textId="77777777" w:rsidR="003C3EAA" w:rsidRPr="001E6C71" w:rsidRDefault="003C3EAA" w:rsidP="003C3EAA">
      <w:pPr>
        <w:spacing w:after="0" w:line="360" w:lineRule="auto"/>
        <w:jc w:val="both"/>
        <w:rPr>
          <w:rFonts w:ascii="Palatino Linotype" w:eastAsia="Times New Roman" w:hAnsi="Palatino Linotype" w:cs="Palatino Linotype"/>
          <w:color w:val="000000"/>
          <w:sz w:val="24"/>
          <w:szCs w:val="24"/>
          <w:lang w:val="es-ES_tradnl" w:eastAsia="es-MX"/>
        </w:rPr>
      </w:pPr>
    </w:p>
    <w:p w14:paraId="70F501ED" w14:textId="77777777" w:rsidR="00D22DD0" w:rsidRPr="001E6C71" w:rsidRDefault="003C3EAA" w:rsidP="003C3EAA">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E6C71">
        <w:rPr>
          <w:rFonts w:ascii="Palatino Linotype" w:eastAsia="Times New Roman" w:hAnsi="Palatino Linotype" w:cs="Palatino Linotype"/>
          <w:color w:val="000000"/>
          <w:sz w:val="24"/>
          <w:szCs w:val="24"/>
          <w:lang w:val="es-ES_tradnl" w:eastAsia="es-MX"/>
        </w:rPr>
        <w:t>Por lo que atento a la solicitud de información el Sujeto Obligado hizo entrega de los siguientes archivos electrónicos:</w:t>
      </w:r>
    </w:p>
    <w:p w14:paraId="0257C62E" w14:textId="77777777" w:rsidR="00D22DD0" w:rsidRPr="001E6C71" w:rsidRDefault="00D22DD0" w:rsidP="003C3EAA">
      <w:pPr>
        <w:pStyle w:val="Prrafodelista"/>
        <w:numPr>
          <w:ilvl w:val="0"/>
          <w:numId w:val="5"/>
        </w:numPr>
        <w:spacing w:after="0" w:line="360" w:lineRule="auto"/>
        <w:jc w:val="both"/>
        <w:rPr>
          <w:rFonts w:ascii="Palatino Linotype" w:hAnsi="Palatino Linotype"/>
          <w:sz w:val="24"/>
          <w:szCs w:val="24"/>
        </w:rPr>
      </w:pPr>
      <w:r w:rsidRPr="001E6C71">
        <w:rPr>
          <w:rFonts w:ascii="Palatino Linotype" w:hAnsi="Palatino Linotype" w:cs="Arial"/>
          <w:b/>
          <w:bCs/>
          <w:sz w:val="24"/>
          <w:szCs w:val="24"/>
        </w:rPr>
        <w:t>RESPUESTA 016-26_0001.pdf:</w:t>
      </w:r>
      <w:r w:rsidRPr="001E6C71">
        <w:rPr>
          <w:rFonts w:ascii="Palatino Linotype" w:hAnsi="Palatino Linotype" w:cs="Arial"/>
          <w:bCs/>
          <w:sz w:val="24"/>
          <w:szCs w:val="24"/>
        </w:rPr>
        <w:t xml:space="preserve"> Soporte documental que consta de una foja en formato PDF de fecha tres de marzo de dos mil veintiséis por medio del cual el Director de Seguridad Ciudadana y Protección Civil manifiesta que hace entrega de la información en formato EXCEL de fecha 30 de septiembre de dos mil veinticinco. </w:t>
      </w:r>
    </w:p>
    <w:p w14:paraId="7C5A8788" w14:textId="77777777" w:rsidR="00D22DD0" w:rsidRPr="001E6C71" w:rsidRDefault="00D22DD0" w:rsidP="00D22DD0">
      <w:pPr>
        <w:pStyle w:val="Prrafodelista"/>
        <w:spacing w:after="0" w:line="360" w:lineRule="auto"/>
        <w:jc w:val="both"/>
        <w:rPr>
          <w:rFonts w:ascii="Palatino Linotype" w:hAnsi="Palatino Linotype"/>
          <w:sz w:val="24"/>
          <w:szCs w:val="24"/>
        </w:rPr>
      </w:pPr>
    </w:p>
    <w:p w14:paraId="380E6EC9" w14:textId="77777777" w:rsidR="003C3EAA" w:rsidRPr="001E6C71" w:rsidRDefault="00D22DD0" w:rsidP="003C3EAA">
      <w:pPr>
        <w:pStyle w:val="Prrafodelista"/>
        <w:numPr>
          <w:ilvl w:val="0"/>
          <w:numId w:val="5"/>
        </w:numPr>
        <w:spacing w:after="0" w:line="360" w:lineRule="auto"/>
        <w:jc w:val="both"/>
        <w:rPr>
          <w:rFonts w:ascii="Palatino Linotype" w:hAnsi="Palatino Linotype"/>
          <w:sz w:val="24"/>
          <w:szCs w:val="24"/>
        </w:rPr>
      </w:pPr>
      <w:r w:rsidRPr="001E6C71">
        <w:rPr>
          <w:rFonts w:ascii="Palatino Linotype" w:hAnsi="Palatino Linotype" w:cs="Arial"/>
          <w:b/>
          <w:bCs/>
          <w:sz w:val="24"/>
          <w:szCs w:val="24"/>
        </w:rPr>
        <w:t xml:space="preserve">ipomex 2026 coordenadas 30 de sep 2025.xlsx: </w:t>
      </w:r>
      <w:r w:rsidRPr="001E6C71">
        <w:rPr>
          <w:rFonts w:ascii="Palatino Linotype" w:hAnsi="Palatino Linotype" w:cs="Arial"/>
          <w:bCs/>
          <w:sz w:val="24"/>
          <w:szCs w:val="24"/>
        </w:rPr>
        <w:t xml:space="preserve"> Soporte documental en formato EXCEL en el que se advierte una tabla con los siguientes rubros, No., juez cívico, ministerio público común, ministerio público federal, fecha, 13:50, comunidad, coordenadas, falta administrativa, delitos. </w:t>
      </w:r>
    </w:p>
    <w:p w14:paraId="1CBCE1AC" w14:textId="77777777" w:rsidR="00D22DD0" w:rsidRPr="001E6C71" w:rsidRDefault="00D22DD0" w:rsidP="003C3EAA">
      <w:pPr>
        <w:spacing w:after="0" w:line="360" w:lineRule="auto"/>
        <w:jc w:val="both"/>
        <w:rPr>
          <w:rFonts w:ascii="Palatino Linotype" w:eastAsia="Times New Roman" w:hAnsi="Palatino Linotype" w:cs="Palatino Linotype"/>
          <w:color w:val="000000"/>
          <w:sz w:val="24"/>
          <w:szCs w:val="24"/>
          <w:lang w:val="es-ES_tradnl" w:eastAsia="es-MX"/>
        </w:rPr>
      </w:pPr>
    </w:p>
    <w:p w14:paraId="152A565C" w14:textId="77777777" w:rsidR="003C3EAA" w:rsidRPr="001E6C71" w:rsidRDefault="003C3EAA" w:rsidP="003C3EAA">
      <w:pPr>
        <w:spacing w:line="360" w:lineRule="auto"/>
        <w:jc w:val="both"/>
        <w:rPr>
          <w:rFonts w:ascii="Palatino Linotype" w:eastAsia="Times New Roman" w:hAnsi="Palatino Linotype" w:cs="Palatino Linotype"/>
          <w:color w:val="000000"/>
          <w:sz w:val="24"/>
          <w:lang w:val="es-ES_tradnl" w:eastAsia="es-MX"/>
        </w:rPr>
      </w:pPr>
      <w:r w:rsidRPr="001E6C71">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1E6C71">
        <w:rPr>
          <w:rFonts w:ascii="Palatino Linotype" w:eastAsia="Times New Roman" w:hAnsi="Palatino Linotype" w:cs="Palatino Linotype"/>
          <w:i/>
          <w:color w:val="000000"/>
          <w:sz w:val="24"/>
          <w:szCs w:val="24"/>
          <w:lang w:val="es-ES_tradnl" w:eastAsia="es-MX"/>
        </w:rPr>
        <w:t>“</w:t>
      </w:r>
      <w:r w:rsidR="00D22DD0" w:rsidRPr="001E6C71">
        <w:rPr>
          <w:rFonts w:ascii="Palatino Linotype" w:hAnsi="Palatino Linotype"/>
          <w:i/>
          <w:color w:val="000000"/>
          <w:sz w:val="24"/>
          <w:szCs w:val="24"/>
        </w:rPr>
        <w:t>información incompleta</w:t>
      </w:r>
      <w:r w:rsidRPr="001E6C71">
        <w:rPr>
          <w:rFonts w:ascii="Palatino Linotype" w:hAnsi="Palatino Linotype"/>
          <w:i/>
          <w:color w:val="000000"/>
          <w:sz w:val="24"/>
          <w:szCs w:val="24"/>
        </w:rPr>
        <w:t xml:space="preserve">” </w:t>
      </w:r>
      <w:r w:rsidRPr="001E6C71">
        <w:rPr>
          <w:rFonts w:ascii="Palatino Linotype" w:hAnsi="Palatino Linotype"/>
          <w:color w:val="000000"/>
          <w:sz w:val="24"/>
          <w:szCs w:val="24"/>
        </w:rPr>
        <w:t>y como Razones o motivos de la Inconformidad “</w:t>
      </w:r>
      <w:r w:rsidR="00D22DD0" w:rsidRPr="001E6C71">
        <w:rPr>
          <w:rFonts w:ascii="Palatino Linotype" w:hAnsi="Palatino Linotype"/>
          <w:i/>
          <w:color w:val="000000"/>
          <w:sz w:val="24"/>
          <w:szCs w:val="24"/>
        </w:rPr>
        <w:t xml:space="preserve">La información solicitada, como se mencionó en la solicitud de información debe de considerarse </w:t>
      </w:r>
      <w:r w:rsidR="00D22DD0" w:rsidRPr="001E6C71">
        <w:rPr>
          <w:rFonts w:ascii="Palatino Linotype" w:hAnsi="Palatino Linotype"/>
          <w:b/>
          <w:i/>
          <w:color w:val="000000"/>
          <w:sz w:val="24"/>
          <w:szCs w:val="24"/>
          <w:u w:val="single"/>
        </w:rPr>
        <w:t>DESDE el 30</w:t>
      </w:r>
      <w:r w:rsidR="00D22DD0" w:rsidRPr="001E6C71">
        <w:rPr>
          <w:rFonts w:ascii="Palatino Linotype" w:hAnsi="Palatino Linotype"/>
          <w:i/>
          <w:color w:val="000000"/>
          <w:sz w:val="24"/>
          <w:szCs w:val="24"/>
          <w:u w:val="single"/>
        </w:rPr>
        <w:t xml:space="preserve"> de septiembre a la fecha de ingreso de la solicitud, es decir, </w:t>
      </w:r>
      <w:r w:rsidR="00D22DD0" w:rsidRPr="001E6C71">
        <w:rPr>
          <w:rFonts w:ascii="Palatino Linotype" w:hAnsi="Palatino Linotype"/>
          <w:b/>
          <w:i/>
          <w:color w:val="000000"/>
          <w:sz w:val="24"/>
          <w:szCs w:val="24"/>
          <w:u w:val="single"/>
        </w:rPr>
        <w:t>hasta el 26 de febrero del presente año</w:t>
      </w:r>
      <w:r w:rsidR="00D22DD0" w:rsidRPr="001E6C71">
        <w:rPr>
          <w:rFonts w:ascii="Palatino Linotype" w:hAnsi="Palatino Linotype"/>
          <w:color w:val="000000"/>
          <w:sz w:val="24"/>
          <w:szCs w:val="24"/>
        </w:rPr>
        <w:t>.</w:t>
      </w:r>
      <w:r w:rsidRPr="001E6C71">
        <w:rPr>
          <w:rFonts w:ascii="Palatino Linotype" w:hAnsi="Palatino Linotype"/>
          <w:i/>
          <w:color w:val="000000"/>
        </w:rPr>
        <w:t>”</w:t>
      </w:r>
      <w:r w:rsidRPr="001E6C71">
        <w:rPr>
          <w:rFonts w:ascii="Palatino Linotype" w:eastAsia="Times New Roman" w:hAnsi="Palatino Linotype" w:cs="Palatino Linotype"/>
          <w:i/>
          <w:color w:val="000000"/>
          <w:sz w:val="24"/>
          <w:lang w:val="es-ES_tradnl" w:eastAsia="es-MX"/>
        </w:rPr>
        <w:t>,</w:t>
      </w:r>
      <w:r w:rsidRPr="001E6C71">
        <w:rPr>
          <w:rFonts w:ascii="Palatino Linotype" w:eastAsia="Times New Roman" w:hAnsi="Palatino Linotype" w:cs="Palatino Linotype"/>
          <w:i/>
          <w:color w:val="000000"/>
          <w:lang w:val="es-ES_tradnl" w:eastAsia="es-MX"/>
        </w:rPr>
        <w:t xml:space="preserve"> </w:t>
      </w:r>
      <w:r w:rsidRPr="001E6C71">
        <w:rPr>
          <w:rFonts w:ascii="Palatino Linotype" w:eastAsia="Times New Roman" w:hAnsi="Palatino Linotype" w:cs="Palatino Linotype"/>
          <w:color w:val="000000"/>
          <w:sz w:val="24"/>
          <w:lang w:val="es-ES_tradnl" w:eastAsia="es-MX"/>
        </w:rPr>
        <w:t xml:space="preserve">en este sentido el </w:t>
      </w:r>
      <w:r w:rsidRPr="001E6C71">
        <w:rPr>
          <w:rFonts w:ascii="Palatino Linotype" w:eastAsia="Times New Roman" w:hAnsi="Palatino Linotype" w:cs="Palatino Linotype"/>
          <w:color w:val="000000"/>
          <w:sz w:val="24"/>
          <w:lang w:val="es-ES_tradnl" w:eastAsia="es-MX"/>
        </w:rPr>
        <w:lastRenderedPageBreak/>
        <w:t xml:space="preserve">Recurrente considero que </w:t>
      </w:r>
      <w:r w:rsidR="00DC3A33" w:rsidRPr="001E6C71">
        <w:rPr>
          <w:rFonts w:ascii="Palatino Linotype" w:eastAsia="Times New Roman" w:hAnsi="Palatino Linotype" w:cs="Palatino Linotype"/>
          <w:color w:val="000000"/>
          <w:sz w:val="24"/>
          <w:lang w:val="es-ES_tradnl" w:eastAsia="es-MX"/>
        </w:rPr>
        <w:t>Sujeto Obligado</w:t>
      </w:r>
      <w:r w:rsidRPr="001E6C71">
        <w:rPr>
          <w:rFonts w:ascii="Palatino Linotype" w:eastAsia="Times New Roman" w:hAnsi="Palatino Linotype" w:cs="Palatino Linotype"/>
          <w:color w:val="000000"/>
          <w:sz w:val="24"/>
          <w:lang w:val="es-ES_tradnl" w:eastAsia="es-MX"/>
        </w:rPr>
        <w:t xml:space="preserve"> no le dio cuenta de la b</w:t>
      </w:r>
      <w:r w:rsidRPr="001E6C71">
        <w:rPr>
          <w:rFonts w:ascii="Palatino Linotype" w:hAnsi="Palatino Linotype"/>
          <w:color w:val="222222"/>
          <w:sz w:val="24"/>
          <w:szCs w:val="24"/>
        </w:rPr>
        <w:t xml:space="preserve">ase de datos  de incidencia delictiva o reporte de incidentes, del </w:t>
      </w:r>
      <w:r w:rsidR="00DC3A33" w:rsidRPr="001E6C71">
        <w:rPr>
          <w:rFonts w:ascii="Palatino Linotype" w:hAnsi="Palatino Linotype"/>
          <w:color w:val="222222"/>
          <w:sz w:val="24"/>
          <w:szCs w:val="24"/>
        </w:rPr>
        <w:t>treinta de septiembre de dos mil veinticinco al veintiséis de febrero de dos mil veintiséis</w:t>
      </w:r>
      <w:r w:rsidRPr="001E6C71">
        <w:rPr>
          <w:rFonts w:ascii="Palatino Linotype" w:hAnsi="Palatino Linotype"/>
          <w:color w:val="222222"/>
          <w:sz w:val="24"/>
          <w:szCs w:val="24"/>
        </w:rPr>
        <w:t xml:space="preserve"> en el que contenga la información correspondiente al tipo de incidente o evento (hechos presuntamente constitutivos de delito y/o falta administrativa, o situación reportada, cualquiera que esta sea, especificando si el hecho fue con o sin violencia)</w:t>
      </w:r>
      <w:r w:rsidRPr="001E6C71">
        <w:rPr>
          <w:rFonts w:ascii="Palatino Linotype" w:eastAsia="Times New Roman" w:hAnsi="Palatino Linotype" w:cs="Palatino Linotype"/>
          <w:color w:val="000000"/>
          <w:sz w:val="24"/>
          <w:lang w:val="es-ES_tradnl" w:eastAsia="es-MX"/>
        </w:rPr>
        <w:t xml:space="preserve">, la </w:t>
      </w:r>
      <w:r w:rsidRPr="001E6C71">
        <w:rPr>
          <w:rFonts w:ascii="Palatino Linotype" w:hAnsi="Palatino Linotype"/>
          <w:color w:val="222222"/>
          <w:sz w:val="24"/>
          <w:szCs w:val="24"/>
        </w:rPr>
        <w:t>hora del incidente o evento</w:t>
      </w:r>
      <w:r w:rsidRPr="001E6C71">
        <w:rPr>
          <w:rFonts w:ascii="Palatino Linotype" w:eastAsia="Times New Roman" w:hAnsi="Palatino Linotype" w:cs="Palatino Linotype"/>
          <w:color w:val="000000"/>
          <w:sz w:val="24"/>
          <w:lang w:val="es-ES_tradnl" w:eastAsia="es-MX"/>
        </w:rPr>
        <w:t>, la f</w:t>
      </w:r>
      <w:r w:rsidRPr="001E6C71">
        <w:rPr>
          <w:rFonts w:ascii="Palatino Linotype" w:hAnsi="Palatino Linotype"/>
          <w:color w:val="222222"/>
          <w:sz w:val="24"/>
          <w:szCs w:val="24"/>
        </w:rPr>
        <w:t>echa del incidente o evento (dd/mm/aaaa), el lugar del incidente o evento</w:t>
      </w:r>
      <w:r w:rsidRPr="001E6C71">
        <w:rPr>
          <w:rFonts w:ascii="Palatino Linotype" w:eastAsia="Times New Roman" w:hAnsi="Palatino Linotype" w:cs="Palatino Linotype"/>
          <w:color w:val="000000"/>
          <w:sz w:val="24"/>
          <w:lang w:val="es-ES_tradnl" w:eastAsia="es-MX"/>
        </w:rPr>
        <w:t>, la ubicación</w:t>
      </w:r>
      <w:r w:rsidRPr="001E6C71">
        <w:rPr>
          <w:rFonts w:ascii="Palatino Linotype" w:hAnsi="Palatino Linotype"/>
          <w:color w:val="222222"/>
          <w:sz w:val="24"/>
          <w:szCs w:val="24"/>
        </w:rPr>
        <w:t xml:space="preserve"> del incidente o evento</w:t>
      </w:r>
      <w:r w:rsidRPr="001E6C71">
        <w:rPr>
          <w:rFonts w:ascii="Palatino Linotype" w:eastAsia="Times New Roman" w:hAnsi="Palatino Linotype" w:cs="Palatino Linotype"/>
          <w:color w:val="000000"/>
          <w:sz w:val="24"/>
          <w:lang w:val="es-ES_tradnl" w:eastAsia="es-MX"/>
        </w:rPr>
        <w:t xml:space="preserve"> y las </w:t>
      </w:r>
      <w:r w:rsidRPr="001E6C71">
        <w:rPr>
          <w:rFonts w:ascii="Palatino Linotype" w:hAnsi="Palatino Linotype"/>
          <w:color w:val="222222"/>
          <w:sz w:val="24"/>
          <w:szCs w:val="24"/>
        </w:rPr>
        <w:t>coordenadas geográficas del incidente o evento.</w:t>
      </w:r>
    </w:p>
    <w:p w14:paraId="143FB6DB" w14:textId="77777777" w:rsidR="003C3EAA" w:rsidRPr="001E6C71" w:rsidRDefault="003C3EAA" w:rsidP="003C3EAA">
      <w:pPr>
        <w:tabs>
          <w:tab w:val="left" w:pos="709"/>
        </w:tabs>
        <w:spacing w:after="0" w:line="360" w:lineRule="auto"/>
        <w:contextualSpacing/>
        <w:jc w:val="both"/>
        <w:rPr>
          <w:rFonts w:ascii="Palatino Linotype" w:hAnsi="Palatino Linotype" w:cs="Times New Roman"/>
          <w:b/>
          <w:i/>
          <w:sz w:val="24"/>
          <w:szCs w:val="24"/>
        </w:rPr>
      </w:pPr>
    </w:p>
    <w:p w14:paraId="6B56A235" w14:textId="77777777" w:rsidR="003C3EAA" w:rsidRPr="001E6C71"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E6C71">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7599C35C"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i/>
          <w:lang w:val="es-ES_tradnl" w:eastAsia="es-MX"/>
        </w:rPr>
        <w:t>“</w:t>
      </w:r>
      <w:r w:rsidRPr="001E6C71">
        <w:rPr>
          <w:rFonts w:ascii="Palatino Linotype" w:eastAsia="Times New Roman" w:hAnsi="Palatino Linotype" w:cs="Arial"/>
          <w:b/>
          <w:i/>
          <w:lang w:val="es-ES_tradnl" w:eastAsia="es-MX"/>
        </w:rPr>
        <w:t xml:space="preserve">Artículo 4. </w:t>
      </w:r>
      <w:r w:rsidRPr="001E6C71">
        <w:rPr>
          <w:rFonts w:ascii="Palatino Linotype" w:eastAsia="Times New Roman" w:hAnsi="Palatino Linotype" w:cs="Arial"/>
          <w:i/>
          <w:lang w:val="es-ES_tradnl" w:eastAsia="es-MX"/>
        </w:rPr>
        <w:t xml:space="preserve">… </w:t>
      </w:r>
    </w:p>
    <w:p w14:paraId="26E8A738"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663E07E"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p>
    <w:p w14:paraId="00A810C1" w14:textId="77777777" w:rsidR="003C3EAA" w:rsidRPr="001E6C71"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E6C71">
        <w:rPr>
          <w:rFonts w:ascii="Palatino Linotype" w:eastAsia="Times New Roman" w:hAnsi="Palatino Linotype" w:cs="Arial"/>
          <w:sz w:val="24"/>
          <w:lang w:val="es-ES_tradnl" w:eastAsia="es-MX"/>
        </w:rPr>
        <w:t xml:space="preserve">Del precepto legal invocado, se desprende, que la información generada, obtenida, adquirida, transmitida, administrada o en posesión de los Sujetos Obligados, será </w:t>
      </w:r>
      <w:r w:rsidRPr="001E6C71">
        <w:rPr>
          <w:rFonts w:ascii="Palatino Linotype" w:eastAsia="Times New Roman" w:hAnsi="Palatino Linotype" w:cs="Arial"/>
          <w:sz w:val="24"/>
          <w:lang w:val="es-ES_tradnl" w:eastAsia="es-MX"/>
        </w:rPr>
        <w:lastRenderedPageBreak/>
        <w:t>accesible de manera permanente a cualquier persona, privilegiando el principio de máxima publicidad de la información.</w:t>
      </w:r>
    </w:p>
    <w:p w14:paraId="4A975A75" w14:textId="77777777" w:rsidR="003C3EAA" w:rsidRPr="001E6C71"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B762A00" w14:textId="77777777" w:rsidR="003C3EAA" w:rsidRPr="001E6C71" w:rsidRDefault="003C3EAA" w:rsidP="003C3EAA">
      <w:pPr>
        <w:tabs>
          <w:tab w:val="left" w:pos="709"/>
        </w:tabs>
        <w:spacing w:after="0" w:line="360" w:lineRule="auto"/>
        <w:contextualSpacing/>
        <w:jc w:val="both"/>
        <w:rPr>
          <w:rFonts w:ascii="Palatino Linotype" w:eastAsia="Times New Roman" w:hAnsi="Palatino Linotype" w:cs="Arial"/>
          <w:sz w:val="24"/>
          <w:lang w:val="es-ES_tradnl" w:eastAsia="es-MX"/>
        </w:rPr>
      </w:pPr>
      <w:r w:rsidRPr="001E6C71">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1E6C71">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E6C71">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6F360BBA"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i/>
          <w:lang w:val="es-ES_tradnl" w:eastAsia="es-MX"/>
        </w:rPr>
        <w:t>“</w:t>
      </w:r>
      <w:r w:rsidRPr="001E6C71">
        <w:rPr>
          <w:rFonts w:ascii="Palatino Linotype" w:eastAsia="Times New Roman" w:hAnsi="Palatino Linotype" w:cs="Arial"/>
          <w:b/>
          <w:i/>
          <w:lang w:val="es-ES_tradnl" w:eastAsia="es-MX"/>
        </w:rPr>
        <w:t xml:space="preserve">Artículo 3. </w:t>
      </w:r>
      <w:r w:rsidRPr="001E6C71">
        <w:rPr>
          <w:rFonts w:ascii="Palatino Linotype" w:eastAsia="Times New Roman" w:hAnsi="Palatino Linotype" w:cs="Arial"/>
          <w:i/>
          <w:lang w:val="es-ES_tradnl" w:eastAsia="es-MX"/>
        </w:rPr>
        <w:t>Para los efectos de la presente Ley se entenderá por:</w:t>
      </w:r>
    </w:p>
    <w:p w14:paraId="076CD496"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i/>
          <w:lang w:val="es-ES_tradnl" w:eastAsia="es-MX"/>
        </w:rPr>
        <w:t>(…)</w:t>
      </w:r>
    </w:p>
    <w:p w14:paraId="75243543"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b/>
          <w:i/>
          <w:lang w:val="es-ES_tradnl" w:eastAsia="es-MX"/>
        </w:rPr>
        <w:t>XI. Documento:</w:t>
      </w:r>
      <w:r w:rsidRPr="001E6C71">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1E6C71">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1E6C71">
        <w:rPr>
          <w:rFonts w:ascii="Palatino Linotype" w:eastAsia="Times New Roman" w:hAnsi="Palatino Linotype" w:cs="Arial"/>
          <w:i/>
          <w:u w:val="single"/>
          <w:lang w:val="es-ES_tradnl" w:eastAsia="es-MX"/>
        </w:rPr>
        <w:t>,</w:t>
      </w:r>
      <w:r w:rsidRPr="001E6C71">
        <w:rPr>
          <w:rFonts w:ascii="Palatino Linotype" w:eastAsia="Times New Roman" w:hAnsi="Palatino Linotype" w:cs="Arial"/>
          <w:i/>
          <w:lang w:val="es-ES_tradnl" w:eastAsia="es-MX"/>
        </w:rPr>
        <w:t xml:space="preserve"> sus servidores públicos e integrantes, </w:t>
      </w:r>
      <w:r w:rsidRPr="001E6C71">
        <w:rPr>
          <w:rFonts w:ascii="Palatino Linotype" w:eastAsia="Times New Roman" w:hAnsi="Palatino Linotype" w:cs="Arial"/>
          <w:b/>
          <w:i/>
          <w:u w:val="single"/>
          <w:lang w:val="es-ES_tradnl" w:eastAsia="es-MX"/>
        </w:rPr>
        <w:t>sin importar su fuente o fecha de elaboración.</w:t>
      </w:r>
      <w:r w:rsidRPr="001E6C71">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091C4314" w14:textId="77777777" w:rsidR="003C3EAA" w:rsidRPr="001E6C71" w:rsidRDefault="003C3EAA" w:rsidP="003C3EAA">
      <w:pPr>
        <w:spacing w:after="0" w:line="360" w:lineRule="auto"/>
        <w:ind w:left="567" w:right="616"/>
        <w:jc w:val="both"/>
        <w:rPr>
          <w:rFonts w:ascii="Palatino Linotype" w:eastAsia="Times New Roman" w:hAnsi="Palatino Linotype" w:cs="Arial"/>
          <w:i/>
          <w:lang w:val="es-ES_tradnl" w:eastAsia="es-MX"/>
        </w:rPr>
      </w:pPr>
      <w:r w:rsidRPr="001E6C71">
        <w:rPr>
          <w:rFonts w:ascii="Palatino Linotype" w:eastAsia="Times New Roman" w:hAnsi="Palatino Linotype" w:cs="Arial"/>
          <w:i/>
          <w:lang w:val="es-ES_tradnl" w:eastAsia="es-MX"/>
        </w:rPr>
        <w:t>(…)”</w:t>
      </w:r>
    </w:p>
    <w:p w14:paraId="1C4613EF" w14:textId="77777777" w:rsidR="003C3EAA" w:rsidRPr="001E6C71" w:rsidRDefault="003C3EAA" w:rsidP="003C3EAA">
      <w:pPr>
        <w:spacing w:before="240" w:after="240" w:line="360" w:lineRule="auto"/>
        <w:ind w:right="49"/>
        <w:contextualSpacing/>
        <w:jc w:val="both"/>
        <w:rPr>
          <w:rFonts w:ascii="Palatino Linotype" w:eastAsia="Times New Roman" w:hAnsi="Palatino Linotype" w:cs="Arial"/>
          <w:sz w:val="24"/>
          <w:lang w:val="es-ES_tradnl" w:eastAsia="es-MX"/>
        </w:rPr>
      </w:pPr>
    </w:p>
    <w:p w14:paraId="47777E1B" w14:textId="77777777" w:rsidR="003C3EAA" w:rsidRPr="001E6C71" w:rsidRDefault="003C3EAA" w:rsidP="003C3EAA">
      <w:pPr>
        <w:spacing w:before="240" w:after="240" w:line="360" w:lineRule="auto"/>
        <w:ind w:right="49"/>
        <w:contextualSpacing/>
        <w:jc w:val="both"/>
        <w:rPr>
          <w:rFonts w:ascii="Palatino Linotype" w:eastAsia="MS Mincho" w:hAnsi="Palatino Linotype" w:cs="Calibri"/>
          <w:sz w:val="24"/>
          <w:lang w:val="es-ES_tradnl" w:eastAsia="es-MX"/>
        </w:rPr>
      </w:pPr>
      <w:r w:rsidRPr="001E6C71">
        <w:rPr>
          <w:rFonts w:ascii="Palatino Linotype" w:eastAsia="Times New Roman" w:hAnsi="Palatino Linotype" w:cs="Arial"/>
          <w:sz w:val="24"/>
          <w:lang w:val="es-ES_tradnl" w:eastAsia="es-MX"/>
        </w:rPr>
        <w:t xml:space="preserve">Además, </w:t>
      </w:r>
      <w:r w:rsidRPr="001E6C71">
        <w:rPr>
          <w:rFonts w:ascii="Palatino Linotype" w:eastAsia="MS Mincho" w:hAnsi="Palatino Linotype" w:cs="Calibri"/>
          <w:sz w:val="24"/>
          <w:lang w:val="es-ES_tradnl" w:eastAsia="es-MX"/>
        </w:rPr>
        <w:t xml:space="preserve">es importante señalar que el artículo 18, de la Ley en la materia, los Sujetos Obligados cuenta con la obligación de documentar todos los actos que derive de sus </w:t>
      </w:r>
      <w:r w:rsidRPr="001E6C71">
        <w:rPr>
          <w:rFonts w:ascii="Palatino Linotype" w:eastAsia="MS Mincho" w:hAnsi="Palatino Linotype" w:cs="Calibri"/>
          <w:sz w:val="24"/>
          <w:lang w:val="es-ES_tradnl" w:eastAsia="es-MX"/>
        </w:rPr>
        <w:lastRenderedPageBreak/>
        <w:t>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4E2DBA2F" w14:textId="77777777" w:rsidR="003C3EAA" w:rsidRPr="001E6C71" w:rsidRDefault="003C3EAA" w:rsidP="003C3EAA">
      <w:pPr>
        <w:spacing w:after="0" w:line="360" w:lineRule="auto"/>
        <w:jc w:val="both"/>
        <w:rPr>
          <w:rFonts w:ascii="Palatino Linotype" w:eastAsia="Times New Roman" w:hAnsi="Palatino Linotype" w:cs="Arial"/>
          <w:sz w:val="24"/>
        </w:rPr>
      </w:pPr>
    </w:p>
    <w:p w14:paraId="4B4C77E3" w14:textId="77777777" w:rsidR="003C3EAA" w:rsidRPr="001E6C71" w:rsidRDefault="003C3EAA" w:rsidP="003C3EAA">
      <w:pPr>
        <w:spacing w:after="0" w:line="360" w:lineRule="auto"/>
        <w:jc w:val="both"/>
        <w:rPr>
          <w:rFonts w:ascii="Palatino Linotype" w:eastAsia="Times New Roman" w:hAnsi="Palatino Linotype" w:cs="Arial"/>
          <w:sz w:val="24"/>
        </w:rPr>
      </w:pPr>
      <w:r w:rsidRPr="001E6C71">
        <w:rPr>
          <w:rFonts w:ascii="Palatino Linotype" w:eastAsia="Times New Roman" w:hAnsi="Palatino Linotype" w:cs="Arial"/>
          <w:sz w:val="24"/>
        </w:rPr>
        <w:t xml:space="preserve">Expuesto lo anterior, se procede al análisis de la totalidad de las constancias que integran el expediente electrónico del </w:t>
      </w:r>
      <w:r w:rsidRPr="001E6C71">
        <w:rPr>
          <w:rFonts w:ascii="Palatino Linotype" w:eastAsia="Times New Roman" w:hAnsi="Palatino Linotype" w:cs="Arial"/>
          <w:b/>
          <w:sz w:val="24"/>
        </w:rPr>
        <w:t>SAIMEX</w:t>
      </w:r>
      <w:r w:rsidRPr="001E6C71">
        <w:rPr>
          <w:rFonts w:ascii="Palatino Linotype" w:eastAsia="Times New Roman" w:hAnsi="Palatino Linotype" w:cs="Arial"/>
          <w:sz w:val="24"/>
        </w:rPr>
        <w:t xml:space="preserve">, a efecto de determinar si con la información remitida por </w:t>
      </w:r>
      <w:r w:rsidRPr="001E6C71">
        <w:rPr>
          <w:rFonts w:ascii="Palatino Linotype" w:eastAsia="Times New Roman" w:hAnsi="Palatino Linotype" w:cs="Arial"/>
          <w:b/>
          <w:sz w:val="24"/>
        </w:rPr>
        <w:t>El Sujeto Obligado</w:t>
      </w:r>
      <w:r w:rsidRPr="001E6C71">
        <w:rPr>
          <w:rFonts w:ascii="Palatino Linotype" w:eastAsia="Times New Roman" w:hAnsi="Palatino Linotype" w:cs="Arial"/>
          <w:sz w:val="24"/>
        </w:rPr>
        <w:t xml:space="preserve"> a través de su respuesta se colma lo requerido en dicha solicitud.</w:t>
      </w:r>
    </w:p>
    <w:p w14:paraId="4FA01EFF" w14:textId="77777777" w:rsidR="003C3EAA" w:rsidRPr="001E6C71" w:rsidRDefault="003C3EAA" w:rsidP="003C3EAA">
      <w:pPr>
        <w:spacing w:line="360" w:lineRule="auto"/>
        <w:jc w:val="both"/>
        <w:rPr>
          <w:rFonts w:ascii="Palatino Linotype" w:hAnsi="Palatino Linotype"/>
          <w:sz w:val="24"/>
          <w:szCs w:val="24"/>
        </w:rPr>
      </w:pPr>
    </w:p>
    <w:p w14:paraId="4CD20D2E"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Por lo que resulta imprescindible traer a colación los artículos 5, fracción II, XVII, 7, fracción IX, 19, fracción I, 39, inciso b), fracción VI y XI, 118 de la Ley General del Sistema Nacional de Seguridad Pública; así como, el artículo 125, fracción VIII y 142 de la Ley Orgánica Municipal del Estado de México:</w:t>
      </w:r>
    </w:p>
    <w:p w14:paraId="315070CF" w14:textId="77777777" w:rsidR="003C3EAA" w:rsidRPr="001E6C71" w:rsidRDefault="003C3EAA" w:rsidP="003C3EAA">
      <w:pPr>
        <w:spacing w:line="360" w:lineRule="auto"/>
        <w:ind w:firstLine="708"/>
        <w:jc w:val="both"/>
        <w:rPr>
          <w:rFonts w:ascii="Palatino Linotype" w:hAnsi="Palatino Linotype"/>
          <w:b/>
          <w:i/>
        </w:rPr>
      </w:pPr>
      <w:r w:rsidRPr="001E6C71">
        <w:rPr>
          <w:rFonts w:ascii="Palatino Linotype" w:hAnsi="Palatino Linotype"/>
          <w:b/>
          <w:i/>
        </w:rPr>
        <w:t>Artículo 5.- Para los efectos de esta Ley, se entenderá por:</w:t>
      </w:r>
    </w:p>
    <w:p w14:paraId="76047988"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II. Bases de Datos</w:t>
      </w:r>
      <w:r w:rsidRPr="001E6C71">
        <w:rPr>
          <w:rFonts w:ascii="Palatino Linotype" w:hAnsi="Palatino Linotype"/>
          <w:i/>
        </w:rPr>
        <w:t xml:space="preserve">: Las bases de datos que constituyen subconjuntos sistematizados de la información contenida en Registros Nacionales en materias relativas a detenciones, armamento, equipo y personal de seguridad pública, medidas cautelares, soluciones alternas y formas de </w:t>
      </w:r>
      <w:r w:rsidRPr="001E6C71">
        <w:rPr>
          <w:rFonts w:ascii="Palatino Linotype" w:hAnsi="Palatino Linotype"/>
          <w:i/>
        </w:rPr>
        <w:lastRenderedPageBreak/>
        <w:t>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14:paraId="24B7496C"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2688872F"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VII.</w:t>
      </w:r>
      <w:r w:rsidRPr="001E6C71">
        <w:rPr>
          <w:rFonts w:ascii="Palatino Linotype" w:hAnsi="Palatino Linotype"/>
          <w:i/>
        </w:rPr>
        <w:t xml:space="preserve"> Consejo Nacional: al Consejo Nacional de Seguridad Pública;</w:t>
      </w:r>
    </w:p>
    <w:p w14:paraId="5EB6CC78" w14:textId="77777777" w:rsidR="003C3EAA" w:rsidRPr="001E6C71" w:rsidRDefault="003C3EAA" w:rsidP="00E24A1B">
      <w:pPr>
        <w:spacing w:line="360" w:lineRule="auto"/>
        <w:ind w:left="708"/>
        <w:jc w:val="both"/>
        <w:rPr>
          <w:rFonts w:ascii="Palatino Linotype" w:hAnsi="Palatino Linotype"/>
          <w:i/>
          <w:sz w:val="24"/>
          <w:szCs w:val="24"/>
        </w:rPr>
      </w:pPr>
      <w:r w:rsidRPr="001E6C71">
        <w:rPr>
          <w:rFonts w:ascii="Palatino Linotype" w:hAnsi="Palatino Linotype"/>
          <w:i/>
        </w:rPr>
        <w:t>(…)</w:t>
      </w:r>
    </w:p>
    <w:p w14:paraId="25CF12DA"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7</w:t>
      </w:r>
      <w:r w:rsidRPr="001E6C71">
        <w:rPr>
          <w:rFonts w:ascii="Palatino Linotype" w:hAnsi="Palatino Linotype"/>
          <w:i/>
        </w:rPr>
        <w:t>.-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14:paraId="14130752"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 xml:space="preserve">(…) </w:t>
      </w:r>
    </w:p>
    <w:p w14:paraId="390C8B43" w14:textId="77777777" w:rsidR="003C3EAA" w:rsidRPr="001E6C71" w:rsidRDefault="003C3EAA" w:rsidP="003C3EAA">
      <w:pPr>
        <w:spacing w:line="360" w:lineRule="auto"/>
        <w:ind w:left="708"/>
        <w:jc w:val="both"/>
        <w:rPr>
          <w:rFonts w:ascii="Palatino Linotype" w:hAnsi="Palatino Linotype"/>
          <w:i/>
          <w:sz w:val="24"/>
          <w:szCs w:val="24"/>
        </w:rPr>
      </w:pPr>
      <w:r w:rsidRPr="001E6C71">
        <w:rPr>
          <w:rFonts w:ascii="Palatino Linotype" w:hAnsi="Palatino Linotype"/>
          <w:b/>
          <w:i/>
        </w:rPr>
        <w:t>IX</w:t>
      </w:r>
      <w:r w:rsidRPr="001E6C71">
        <w:rPr>
          <w:rFonts w:ascii="Palatino Linotype" w:hAnsi="Palatino Linotype"/>
          <w:i/>
        </w:rPr>
        <w:t>. Generar, compartir, intercambiar, ingresar, almacenar y proveer información, archivos y contenidos a las Bases de Datos que integran el Sistema Nacional de Información, de conformidad con lo dispuesto en la legislación en la materia. Tratándose de manejo de datos que provengan del Registro Nacional de Detenciones se atendrá a lo dispuesto en la Ley Nacional del Registro de Detenciones;</w:t>
      </w:r>
    </w:p>
    <w:p w14:paraId="31476534"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19</w:t>
      </w:r>
      <w:r w:rsidRPr="001E6C71">
        <w:rPr>
          <w:rFonts w:ascii="Palatino Linotype" w:hAnsi="Palatino Linotype"/>
          <w:i/>
        </w:rPr>
        <w:t>.- El Centro Nacional de Información será el responsable de regular el Sistema Nacional de Información y tendrá, entre otras, las siguientes atribuciones:</w:t>
      </w:r>
    </w:p>
    <w:p w14:paraId="1B0249E5" w14:textId="77777777" w:rsidR="003C3EAA" w:rsidRPr="001E6C71" w:rsidRDefault="003C3EAA" w:rsidP="003C3EAA">
      <w:pPr>
        <w:pStyle w:val="Prrafodelista"/>
        <w:numPr>
          <w:ilvl w:val="0"/>
          <w:numId w:val="6"/>
        </w:numPr>
        <w:spacing w:line="360" w:lineRule="auto"/>
        <w:jc w:val="both"/>
        <w:rPr>
          <w:rFonts w:ascii="Palatino Linotype" w:hAnsi="Palatino Linotype"/>
          <w:i/>
        </w:rPr>
      </w:pPr>
      <w:r w:rsidRPr="001E6C71">
        <w:rPr>
          <w:rFonts w:ascii="Palatino Linotype" w:hAnsi="Palatino Linotype"/>
          <w:i/>
        </w:rPr>
        <w:t>Determinar los criterios técnicos y de homologación de las Bases de Datos que conforman el Sistema Nacional de Información;</w:t>
      </w:r>
    </w:p>
    <w:p w14:paraId="41D98D0A"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lastRenderedPageBreak/>
        <w:t>(…)</w:t>
      </w:r>
    </w:p>
    <w:p w14:paraId="520490F9" w14:textId="77777777" w:rsidR="003C3EAA" w:rsidRPr="001E6C71" w:rsidRDefault="003C3EAA" w:rsidP="003C3EAA">
      <w:pPr>
        <w:spacing w:line="360" w:lineRule="auto"/>
        <w:ind w:left="708"/>
        <w:jc w:val="center"/>
        <w:rPr>
          <w:rFonts w:ascii="Palatino Linotype" w:hAnsi="Palatino Linotype"/>
          <w:b/>
          <w:i/>
        </w:rPr>
      </w:pPr>
      <w:r w:rsidRPr="001E6C71">
        <w:rPr>
          <w:rFonts w:ascii="Palatino Linotype" w:hAnsi="Palatino Linotype"/>
          <w:b/>
          <w:i/>
        </w:rPr>
        <w:t>De la distribución de competencias</w:t>
      </w:r>
    </w:p>
    <w:p w14:paraId="143A8038"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39</w:t>
      </w:r>
      <w:r w:rsidRPr="001E6C71">
        <w:rPr>
          <w:rFonts w:ascii="Palatino Linotype" w:hAnsi="Palatino Linotype"/>
          <w:i/>
        </w:rPr>
        <w:t>.- La concurrencia de facultades entre la Federación, las entidades federativas y los Municipios, quedará distribuida conforme a lo siguiente:</w:t>
      </w:r>
    </w:p>
    <w:p w14:paraId="23559D11"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26775BE9"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u w:val="single"/>
        </w:rPr>
        <w:t xml:space="preserve">B. </w:t>
      </w:r>
      <w:r w:rsidRPr="001E6C71">
        <w:rPr>
          <w:rFonts w:ascii="Palatino Linotype" w:hAnsi="Palatino Linotype"/>
          <w:i/>
        </w:rPr>
        <w:t>Corresponde a la Federación, a las entidades federativas y a los Municipios, en el ámbito de sus respectivas competencias:</w:t>
      </w:r>
    </w:p>
    <w:p w14:paraId="4C0DBF1A"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466930E5"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VI. Designar a un responsable del control, suministro y adecuado manejo de la información a que se refiere esta Ley;</w:t>
      </w:r>
    </w:p>
    <w:p w14:paraId="4C85A2F9"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3DCA05DF"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IX. Coadyuvar a la integración y funcionamiento del Desarrollo Policial, Ministerial y Pericial;</w:t>
      </w:r>
    </w:p>
    <w:p w14:paraId="0A500692" w14:textId="77777777" w:rsidR="003C3EAA" w:rsidRPr="001E6C71" w:rsidRDefault="003C3EAA" w:rsidP="003C3EAA">
      <w:pPr>
        <w:spacing w:line="360" w:lineRule="auto"/>
        <w:ind w:left="708"/>
        <w:jc w:val="both"/>
        <w:rPr>
          <w:rFonts w:ascii="Palatino Linotype" w:hAnsi="Palatino Linotype"/>
          <w:i/>
        </w:rPr>
      </w:pPr>
    </w:p>
    <w:p w14:paraId="3B18B840" w14:textId="77777777" w:rsidR="003C3EAA" w:rsidRPr="001E6C71" w:rsidRDefault="003C3EAA" w:rsidP="003C3EAA">
      <w:pPr>
        <w:spacing w:line="360" w:lineRule="auto"/>
        <w:ind w:left="708"/>
        <w:jc w:val="both"/>
        <w:rPr>
          <w:rFonts w:ascii="Palatino Linotype" w:hAnsi="Palatino Linotype"/>
          <w:b/>
          <w:i/>
        </w:rPr>
      </w:pPr>
      <w:r w:rsidRPr="001E6C71">
        <w:rPr>
          <w:rFonts w:ascii="Palatino Linotype" w:hAnsi="Palatino Linotype"/>
          <w:b/>
          <w:i/>
        </w:rPr>
        <w:t>Artículo 118.- Las Bases de Datos que integran el Sistema Nacional de Información se actualizarán permanentemente y serán de consulta obligatoria para garantizar la efectividad en las actividades de Seguridad Pública.</w:t>
      </w:r>
    </w:p>
    <w:p w14:paraId="3E614558"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 xml:space="preserve"> 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14:paraId="34AE0F7F"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El Registro Nacional de Detenciones se vinculará con las Bases de Datos a que se refiere el presente artículo, mediante el número de identificación al que hace referencia la ley de la materia</w:t>
      </w:r>
    </w:p>
    <w:p w14:paraId="14953C67" w14:textId="77777777" w:rsidR="003C3EAA" w:rsidRPr="001E6C71" w:rsidRDefault="003C3EAA" w:rsidP="003C3EAA">
      <w:pPr>
        <w:spacing w:line="360" w:lineRule="auto"/>
        <w:ind w:left="708"/>
        <w:jc w:val="center"/>
        <w:rPr>
          <w:rFonts w:ascii="Palatino Linotype" w:hAnsi="Palatino Linotype"/>
          <w:b/>
          <w:i/>
        </w:rPr>
      </w:pPr>
    </w:p>
    <w:p w14:paraId="3C3AF6E9" w14:textId="77777777" w:rsidR="003C3EAA" w:rsidRPr="001E6C71" w:rsidRDefault="003C3EAA" w:rsidP="003C3EAA">
      <w:pPr>
        <w:spacing w:line="360" w:lineRule="auto"/>
        <w:ind w:left="708"/>
        <w:jc w:val="center"/>
        <w:rPr>
          <w:rFonts w:ascii="Palatino Linotype" w:hAnsi="Palatino Linotype"/>
          <w:b/>
          <w:i/>
        </w:rPr>
      </w:pPr>
      <w:r w:rsidRPr="001E6C71">
        <w:rPr>
          <w:rFonts w:ascii="Palatino Linotype" w:hAnsi="Palatino Linotype"/>
          <w:b/>
          <w:i/>
        </w:rPr>
        <w:t>CAPITULO SEPTIMO De los Servicios Públicos</w:t>
      </w:r>
    </w:p>
    <w:p w14:paraId="3D1F2B07"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 xml:space="preserve"> </w:t>
      </w:r>
      <w:r w:rsidRPr="001E6C71">
        <w:rPr>
          <w:rFonts w:ascii="Palatino Linotype" w:hAnsi="Palatino Linotype"/>
          <w:b/>
          <w:i/>
        </w:rPr>
        <w:t>Artículo 125.- Los municipios tendrán a su cargo</w:t>
      </w:r>
      <w:r w:rsidRPr="001E6C71">
        <w:rPr>
          <w:rFonts w:ascii="Palatino Linotype" w:hAnsi="Palatino Linotype"/>
          <w:i/>
        </w:rPr>
        <w:t xml:space="preserve"> la prestación, explotación, administración y conservación de los servicios públicos municipales, considerándose enunciativa y no limitativamente, los siguientes:</w:t>
      </w:r>
    </w:p>
    <w:p w14:paraId="6FC271F9"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119B53C6" w14:textId="77777777" w:rsidR="003C3EAA" w:rsidRPr="001E6C71" w:rsidRDefault="003C3EAA" w:rsidP="003C3EAA">
      <w:pPr>
        <w:spacing w:line="360" w:lineRule="auto"/>
        <w:ind w:left="708"/>
        <w:jc w:val="both"/>
        <w:rPr>
          <w:rFonts w:ascii="Palatino Linotype" w:hAnsi="Palatino Linotype"/>
          <w:i/>
          <w:sz w:val="24"/>
          <w:szCs w:val="24"/>
        </w:rPr>
      </w:pPr>
      <w:r w:rsidRPr="001E6C71">
        <w:rPr>
          <w:rFonts w:ascii="Palatino Linotype" w:hAnsi="Palatino Linotype"/>
          <w:b/>
          <w:i/>
        </w:rPr>
        <w:t>VIII. Seguridad pública</w:t>
      </w:r>
      <w:r w:rsidRPr="001E6C71">
        <w:rPr>
          <w:rFonts w:ascii="Palatino Linotype" w:hAnsi="Palatino Linotype"/>
          <w:i/>
        </w:rPr>
        <w:t xml:space="preserve"> y tránsito;</w:t>
      </w:r>
    </w:p>
    <w:p w14:paraId="0EE97F37" w14:textId="77777777" w:rsidR="003C3EAA" w:rsidRPr="001E6C71" w:rsidRDefault="003C3EAA" w:rsidP="003C3EAA">
      <w:pPr>
        <w:spacing w:line="360" w:lineRule="auto"/>
        <w:jc w:val="both"/>
      </w:pPr>
    </w:p>
    <w:p w14:paraId="2EC221DF" w14:textId="77777777" w:rsidR="003C3EAA" w:rsidRPr="001E6C71" w:rsidRDefault="003C3EAA" w:rsidP="003C3EAA">
      <w:pPr>
        <w:spacing w:line="360" w:lineRule="auto"/>
        <w:ind w:firstLine="708"/>
        <w:jc w:val="center"/>
        <w:rPr>
          <w:rFonts w:ascii="Palatino Linotype" w:hAnsi="Palatino Linotype"/>
          <w:b/>
          <w:i/>
        </w:rPr>
      </w:pPr>
      <w:r w:rsidRPr="001E6C71">
        <w:rPr>
          <w:rFonts w:ascii="Palatino Linotype" w:hAnsi="Palatino Linotype"/>
          <w:b/>
          <w:i/>
        </w:rPr>
        <w:t>CAPITULO OCTAVO De los Cuerpos de Seguridad Pública y Tránsito</w:t>
      </w:r>
    </w:p>
    <w:p w14:paraId="689A2706"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142. Las funciones de seguridad pública del municipio</w:t>
      </w:r>
      <w:r w:rsidRPr="001E6C71">
        <w:rPr>
          <w:rFonts w:ascii="Palatino Linotype" w:hAnsi="Palatino Linotype"/>
          <w:i/>
        </w:rPr>
        <w:t xml:space="preserve"> en su respectivo ámbito de competencia, estarán a cargo de un Director de Seguridad Pública Municipal o su equivalente, el cual deberá ser nombrado en los términos y requisitos establecidos en la Ley de Seguridad del Estado de México.</w:t>
      </w:r>
    </w:p>
    <w:p w14:paraId="7CD8082A" w14:textId="77777777" w:rsidR="003C3EAA" w:rsidRPr="001E6C71" w:rsidRDefault="003C3EAA" w:rsidP="003C3EAA">
      <w:pPr>
        <w:spacing w:line="360" w:lineRule="auto"/>
        <w:ind w:left="708"/>
        <w:jc w:val="both"/>
        <w:rPr>
          <w:rFonts w:ascii="Palatino Linotype" w:hAnsi="Palatino Linotype"/>
          <w:i/>
          <w:sz w:val="24"/>
          <w:szCs w:val="24"/>
        </w:rPr>
      </w:pPr>
      <w:r w:rsidRPr="001E6C71">
        <w:rPr>
          <w:rFonts w:ascii="Palatino Linotype" w:hAnsi="Palatino Linotype"/>
          <w:i/>
        </w:rPr>
        <w:t xml:space="preserve"> En cada municipio se deberán integrar cuerpos de seguridad pública, de búsqueda de personas, de bomberos y, en su caso, de tránsito, estos servidores públicos preferentemente serán vecinos del municipio, de los cuales el presidente municipal será el jefe inmediato.</w:t>
      </w:r>
    </w:p>
    <w:p w14:paraId="06BE1E2F" w14:textId="77777777" w:rsidR="003C3EAA" w:rsidRPr="001E6C71" w:rsidRDefault="003C3EAA" w:rsidP="003C3EAA">
      <w:pPr>
        <w:spacing w:line="360" w:lineRule="auto"/>
        <w:jc w:val="both"/>
        <w:rPr>
          <w:rFonts w:ascii="Palatino Linotype" w:hAnsi="Palatino Linotype"/>
          <w:sz w:val="24"/>
          <w:szCs w:val="24"/>
        </w:rPr>
      </w:pPr>
    </w:p>
    <w:p w14:paraId="4698AC58"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 xml:space="preserve">Al respecto la Ley General del Sistema Nacional de Seguridad Pública prevé un esquema de distribución de competencias entre la Federación, los Estados y los Municipios. Destacando con relación a estos últimos la integración y actualización de diversas Bases de Datos entonces, la información requerida estriba dentro del interés general y el alcance público, robustece lo anterior los artículos 24, fracción XII y 92, fracción XXXIV de la Ley </w:t>
      </w:r>
      <w:r w:rsidRPr="001E6C71">
        <w:rPr>
          <w:rFonts w:ascii="Palatino Linotype" w:hAnsi="Palatino Linotype"/>
          <w:sz w:val="24"/>
          <w:szCs w:val="24"/>
        </w:rPr>
        <w:lastRenderedPageBreak/>
        <w:t>de Transparencia y Acceso a la Información Pública del Estado de México y Municipios, normatividad invocada cuyo contenido literal es el siguiente:</w:t>
      </w:r>
    </w:p>
    <w:p w14:paraId="6A187971"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24.</w:t>
      </w:r>
      <w:r w:rsidRPr="001E6C71">
        <w:rPr>
          <w:rFonts w:ascii="Palatino Linotype" w:hAnsi="Palatino Linotype"/>
          <w:i/>
        </w:rPr>
        <w:t xml:space="preserve"> Para el cumplimiento de los objetivos de esta Ley, los sujetos obligados deberán cumplir con las siguientes obligaciones, según corresponda, de acuerdo a su naturaleza:</w:t>
      </w:r>
    </w:p>
    <w:p w14:paraId="47F7DD36"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w:t>
      </w:r>
    </w:p>
    <w:p w14:paraId="0AEE2F72" w14:textId="77777777" w:rsidR="003C3EAA" w:rsidRPr="001E6C71" w:rsidRDefault="003C3EAA" w:rsidP="00E24A1B">
      <w:pPr>
        <w:spacing w:line="360" w:lineRule="auto"/>
        <w:ind w:left="708"/>
        <w:jc w:val="both"/>
        <w:rPr>
          <w:rFonts w:ascii="Palatino Linotype" w:hAnsi="Palatino Linotype"/>
          <w:i/>
        </w:rPr>
      </w:pPr>
      <w:r w:rsidRPr="001E6C71">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6E9EDF2F" w14:textId="77777777" w:rsidR="003C3EAA" w:rsidRPr="001E6C71" w:rsidRDefault="003C3EAA" w:rsidP="003C3EAA">
      <w:pPr>
        <w:spacing w:line="360" w:lineRule="auto"/>
        <w:ind w:firstLine="708"/>
        <w:jc w:val="center"/>
        <w:rPr>
          <w:rFonts w:ascii="Palatino Linotype" w:hAnsi="Palatino Linotype"/>
          <w:b/>
          <w:i/>
          <w:color w:val="000000"/>
          <w:sz w:val="24"/>
          <w:szCs w:val="24"/>
        </w:rPr>
      </w:pPr>
      <w:r w:rsidRPr="001E6C71">
        <w:rPr>
          <w:rFonts w:ascii="Palatino Linotype" w:hAnsi="Palatino Linotype"/>
          <w:b/>
          <w:i/>
        </w:rPr>
        <w:t>Capítulo II De las Obligaciones de Transparencia Comunes</w:t>
      </w:r>
    </w:p>
    <w:p w14:paraId="5FE505CF"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Artículo 92.</w:t>
      </w:r>
      <w:r w:rsidRPr="001E6C71">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01CBA3A" w14:textId="77777777" w:rsidR="003C3EAA" w:rsidRPr="001E6C71" w:rsidRDefault="003C3EAA" w:rsidP="003C3EAA">
      <w:pPr>
        <w:spacing w:line="360" w:lineRule="auto"/>
        <w:ind w:left="708"/>
        <w:jc w:val="both"/>
        <w:rPr>
          <w:rFonts w:ascii="Palatino Linotype" w:hAnsi="Palatino Linotype"/>
          <w:b/>
          <w:i/>
        </w:rPr>
      </w:pPr>
      <w:r w:rsidRPr="001E6C71">
        <w:rPr>
          <w:rFonts w:ascii="Palatino Linotype" w:hAnsi="Palatino Linotype"/>
          <w:i/>
        </w:rPr>
        <w:t>(…)</w:t>
      </w:r>
    </w:p>
    <w:p w14:paraId="19212FB8"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b/>
          <w:i/>
        </w:rPr>
        <w:t>XXXIV. Las estadísticas que generen en cumplimiento de sus facultades, competencias o funciones con la mayor desagregación posible</w:t>
      </w:r>
      <w:r w:rsidRPr="001E6C71">
        <w:rPr>
          <w:rFonts w:ascii="Palatino Linotype" w:hAnsi="Palatino Linotype"/>
          <w:i/>
        </w:rPr>
        <w:t>;</w:t>
      </w:r>
    </w:p>
    <w:p w14:paraId="29306802" w14:textId="77777777" w:rsidR="009C03B9" w:rsidRPr="001E6C71" w:rsidRDefault="009C03B9" w:rsidP="003C3EAA">
      <w:pPr>
        <w:spacing w:line="360" w:lineRule="auto"/>
        <w:jc w:val="both"/>
        <w:rPr>
          <w:rFonts w:ascii="Palatino Linotype" w:hAnsi="Palatino Linotype"/>
          <w:color w:val="000000"/>
          <w:sz w:val="24"/>
          <w:szCs w:val="24"/>
        </w:rPr>
      </w:pPr>
    </w:p>
    <w:p w14:paraId="4112D71D" w14:textId="77777777" w:rsidR="003C3EAA" w:rsidRPr="001E6C71" w:rsidRDefault="003C3EAA" w:rsidP="003C3EAA">
      <w:pPr>
        <w:spacing w:line="360" w:lineRule="auto"/>
        <w:jc w:val="both"/>
        <w:rPr>
          <w:rFonts w:ascii="Palatino Linotype" w:hAnsi="Palatino Linotype"/>
          <w:color w:val="000000"/>
          <w:sz w:val="24"/>
          <w:szCs w:val="24"/>
        </w:rPr>
      </w:pPr>
      <w:r w:rsidRPr="001E6C71">
        <w:rPr>
          <w:rFonts w:ascii="Palatino Linotype" w:hAnsi="Palatino Linotype"/>
          <w:color w:val="000000"/>
          <w:sz w:val="24"/>
          <w:szCs w:val="24"/>
        </w:rPr>
        <w:t xml:space="preserve">Por lo que resulta imprescindible traer a colación el Criterio 008/2023 emitido por el Máximo Órgano Garante, el cual establece que la información estadística </w:t>
      </w:r>
      <w:r w:rsidRPr="001E6C71">
        <w:rPr>
          <w:rFonts w:ascii="Palatino Linotype" w:eastAsia="Arial" w:hAnsi="Palatino Linotype" w:cs="Arial"/>
          <w:color w:val="000000" w:themeColor="text1"/>
          <w:sz w:val="24"/>
          <w:szCs w:val="24"/>
        </w:rPr>
        <w:t xml:space="preserve">es de naturaleza pública, siempre y cuando los datos estadísticos no se encuentren individualizados o personalizados a casos o situaciones específicas por lo que la información que corresponde del conjunto de resultados cuantitativos obtenidos de un proceso </w:t>
      </w:r>
      <w:r w:rsidRPr="001E6C71">
        <w:rPr>
          <w:rFonts w:ascii="Palatino Linotype" w:eastAsia="Arial" w:hAnsi="Palatino Linotype" w:cs="Arial"/>
          <w:color w:val="000000" w:themeColor="text1"/>
          <w:sz w:val="24"/>
          <w:szCs w:val="24"/>
        </w:rPr>
        <w:lastRenderedPageBreak/>
        <w:t xml:space="preserve">sistemático de captación de datos obtenidos en documentos que los sujetos obligados poseen, derivado del ejercicio de sus atribuciones son de naturaleza pública conforme lo siguiente; </w:t>
      </w:r>
    </w:p>
    <w:p w14:paraId="0AD34AD5" w14:textId="77777777" w:rsidR="003C3EAA" w:rsidRPr="001E6C71" w:rsidRDefault="003C3EAA" w:rsidP="003C3EAA">
      <w:pPr>
        <w:spacing w:before="240" w:line="360" w:lineRule="auto"/>
        <w:ind w:left="708" w:right="97"/>
        <w:jc w:val="both"/>
        <w:rPr>
          <w:rFonts w:ascii="Palatino Linotype" w:eastAsia="Arial" w:hAnsi="Palatino Linotype" w:cs="Arial"/>
          <w:i/>
          <w:color w:val="000000" w:themeColor="text1"/>
        </w:rPr>
      </w:pPr>
      <w:r w:rsidRPr="001E6C71">
        <w:rPr>
          <w:rFonts w:ascii="Palatino Linotype" w:eastAsia="Arial" w:hAnsi="Palatino Linotype" w:cs="Arial"/>
          <w:b/>
          <w:bCs/>
          <w:i/>
          <w:color w:val="000000" w:themeColor="text1"/>
        </w:rPr>
        <w:t xml:space="preserve">“Ejercicio del derecho de Acceso a la Información Pública. La información estadística es de naturaleza pública, independientemente de la materia con la que se encuentre vinculada. </w:t>
      </w:r>
      <w:r w:rsidRPr="001E6C71">
        <w:rPr>
          <w:rFonts w:ascii="Palatino Linotype" w:eastAsia="Arial" w:hAnsi="Palatino Linotype" w:cs="Arial"/>
          <w:i/>
          <w:color w:val="000000" w:themeColor="text1"/>
        </w:rPr>
        <w:t>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p>
    <w:p w14:paraId="66EA71F1" w14:textId="77777777" w:rsidR="003C3EAA" w:rsidRPr="001E6C71" w:rsidRDefault="003C3EAA" w:rsidP="003C3EAA">
      <w:pPr>
        <w:spacing w:before="240" w:line="276" w:lineRule="auto"/>
        <w:ind w:left="708" w:right="97" w:firstLine="708"/>
        <w:jc w:val="both"/>
        <w:rPr>
          <w:rFonts w:ascii="Palatino Linotype" w:eastAsia="Arial" w:hAnsi="Palatino Linotype" w:cs="Arial"/>
          <w:b/>
          <w:bCs/>
          <w:i/>
          <w:color w:val="000000" w:themeColor="text1"/>
          <w:sz w:val="16"/>
          <w:szCs w:val="16"/>
        </w:rPr>
      </w:pPr>
      <w:r w:rsidRPr="001E6C71">
        <w:rPr>
          <w:rFonts w:ascii="Palatino Linotype" w:eastAsia="Arial" w:hAnsi="Palatino Linotype" w:cs="Arial"/>
          <w:b/>
          <w:bCs/>
          <w:i/>
          <w:color w:val="000000" w:themeColor="text1"/>
          <w:sz w:val="16"/>
          <w:szCs w:val="16"/>
        </w:rPr>
        <w:t xml:space="preserve">Precedentes originales: </w:t>
      </w:r>
    </w:p>
    <w:p w14:paraId="4B221CF7" w14:textId="77777777" w:rsidR="003C3EAA" w:rsidRPr="001E6C71" w:rsidRDefault="003C3EAA" w:rsidP="003C3EAA">
      <w:pPr>
        <w:pStyle w:val="Prrafodelista"/>
        <w:numPr>
          <w:ilvl w:val="0"/>
          <w:numId w:val="7"/>
        </w:numPr>
        <w:spacing w:before="240" w:line="276" w:lineRule="auto"/>
        <w:jc w:val="both"/>
        <w:rPr>
          <w:rFonts w:ascii="Palatino Linotype" w:hAnsi="Palatino Linotype" w:cs="Arial"/>
          <w:i/>
          <w:sz w:val="16"/>
          <w:szCs w:val="16"/>
        </w:rPr>
      </w:pPr>
      <w:r w:rsidRPr="001E6C71">
        <w:rPr>
          <w:rFonts w:ascii="Palatino Linotype" w:hAnsi="Palatino Linotype" w:cs="Arial"/>
          <w:bCs/>
          <w:i/>
          <w:sz w:val="16"/>
          <w:szCs w:val="16"/>
        </w:rPr>
        <w:t>Acceso a la información pública. 2593/07.</w:t>
      </w:r>
      <w:r w:rsidRPr="001E6C71">
        <w:rPr>
          <w:rFonts w:ascii="Palatino Linotype" w:hAnsi="Palatino Linotype" w:cs="Arial"/>
          <w:i/>
          <w:sz w:val="16"/>
          <w:szCs w:val="16"/>
        </w:rPr>
        <w:t xml:space="preserve"> Sesión del 17 de octubre de 2007. Votación por unanimidad. Sin votos disidentes o particulares. Procuraduría General de la República. Comisionado Ponente Alonso Gómez-Robledo V.</w:t>
      </w:r>
    </w:p>
    <w:p w14:paraId="76BE1794" w14:textId="77777777" w:rsidR="003C3EAA" w:rsidRPr="001E6C71" w:rsidRDefault="003C3EAA" w:rsidP="003C3EAA">
      <w:pPr>
        <w:pStyle w:val="Prrafodelista"/>
        <w:numPr>
          <w:ilvl w:val="0"/>
          <w:numId w:val="7"/>
        </w:numPr>
        <w:spacing w:before="240" w:line="276" w:lineRule="auto"/>
        <w:jc w:val="both"/>
        <w:rPr>
          <w:rFonts w:ascii="Palatino Linotype" w:hAnsi="Palatino Linotype" w:cs="Arial"/>
          <w:i/>
          <w:sz w:val="16"/>
          <w:szCs w:val="16"/>
        </w:rPr>
      </w:pPr>
      <w:r w:rsidRPr="001E6C71">
        <w:rPr>
          <w:rFonts w:ascii="Palatino Linotype" w:hAnsi="Palatino Linotype" w:cs="Arial"/>
          <w:bCs/>
          <w:i/>
          <w:sz w:val="16"/>
          <w:szCs w:val="16"/>
        </w:rPr>
        <w:t>Acceso a la información pública. 2280/08</w:t>
      </w:r>
      <w:r w:rsidRPr="001E6C71">
        <w:rPr>
          <w:rFonts w:ascii="Palatino Linotype" w:hAnsi="Palatino Linotype" w:cs="Arial"/>
          <w:i/>
          <w:sz w:val="16"/>
          <w:szCs w:val="16"/>
        </w:rPr>
        <w:t>. Sesión del 03 de septiembre de 2008. Votación por unanimidad. Sin votos disidentes o particulares. Policía Federal. Comisionada Ponente Jacqueline Peschard Mariscal.</w:t>
      </w:r>
    </w:p>
    <w:p w14:paraId="759B7F86" w14:textId="77777777" w:rsidR="003C3EAA" w:rsidRPr="001E6C71" w:rsidRDefault="003C3EAA" w:rsidP="003C3EAA">
      <w:pPr>
        <w:pStyle w:val="Prrafodelista"/>
        <w:numPr>
          <w:ilvl w:val="0"/>
          <w:numId w:val="7"/>
        </w:numPr>
        <w:spacing w:before="240" w:line="276" w:lineRule="auto"/>
        <w:jc w:val="both"/>
        <w:rPr>
          <w:rFonts w:ascii="Palatino Linotype" w:hAnsi="Palatino Linotype" w:cs="Arial"/>
          <w:i/>
          <w:sz w:val="16"/>
          <w:szCs w:val="16"/>
        </w:rPr>
      </w:pPr>
      <w:r w:rsidRPr="001E6C71">
        <w:rPr>
          <w:rFonts w:ascii="Palatino Linotype" w:hAnsi="Palatino Linotype" w:cs="Arial"/>
          <w:bCs/>
          <w:i/>
          <w:sz w:val="16"/>
          <w:szCs w:val="16"/>
        </w:rPr>
        <w:t>Acceso a la información pública. 4333/08</w:t>
      </w:r>
      <w:r w:rsidRPr="001E6C71">
        <w:rPr>
          <w:rFonts w:ascii="Palatino Linotype" w:hAnsi="Palatino Linotype" w:cs="Arial"/>
          <w:i/>
          <w:sz w:val="16"/>
          <w:szCs w:val="16"/>
        </w:rPr>
        <w:t>. Sesión del 26 de noviembre de 2008. Votación por unanimidad. Sin votos disidentes o particulares. Procuraduría General de la República. Comisionado Ponente Alonso Lujambio Irazábal.”</w:t>
      </w:r>
    </w:p>
    <w:p w14:paraId="69783422" w14:textId="77777777" w:rsidR="003C3EAA" w:rsidRPr="001E6C71" w:rsidRDefault="003C3EAA" w:rsidP="003C3EAA">
      <w:pPr>
        <w:spacing w:line="360" w:lineRule="auto"/>
        <w:jc w:val="both"/>
        <w:rPr>
          <w:rFonts w:ascii="Palatino Linotype" w:hAnsi="Palatino Linotype"/>
          <w:color w:val="000000"/>
          <w:sz w:val="24"/>
          <w:szCs w:val="24"/>
        </w:rPr>
      </w:pPr>
    </w:p>
    <w:p w14:paraId="4374F151"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 xml:space="preserve">Ahora bien, se advierte que no existe fuente obligacional expresa que establezca que el </w:t>
      </w:r>
      <w:r w:rsidRPr="001E6C71">
        <w:rPr>
          <w:rFonts w:ascii="Palatino Linotype" w:hAnsi="Palatino Linotype"/>
          <w:b/>
          <w:sz w:val="24"/>
          <w:szCs w:val="24"/>
        </w:rPr>
        <w:t>SUJETO OBLIGADO</w:t>
      </w:r>
      <w:r w:rsidRPr="001E6C71">
        <w:rPr>
          <w:rFonts w:ascii="Palatino Linotype" w:hAnsi="Palatino Linotype"/>
          <w:sz w:val="24"/>
          <w:szCs w:val="24"/>
        </w:rPr>
        <w:t xml:space="preserve"> debe generar, poseer o administrar dicha información en los términos específicamente requeridos por el Recurrente resultando procedente traer a </w:t>
      </w:r>
      <w:r w:rsidRPr="001E6C71">
        <w:rPr>
          <w:rFonts w:ascii="Palatino Linotype" w:hAnsi="Palatino Linotype"/>
          <w:sz w:val="24"/>
          <w:szCs w:val="24"/>
        </w:rPr>
        <w:lastRenderedPageBreak/>
        <w:t>colación el Criterio 03/17 sustentado por el Órgano Garante Nacional Transparencia, establece lo siguiente:</w:t>
      </w:r>
    </w:p>
    <w:p w14:paraId="785A78A7" w14:textId="77777777" w:rsidR="003C3EAA" w:rsidRPr="001E6C71" w:rsidRDefault="003C3EAA" w:rsidP="003C3EAA">
      <w:pPr>
        <w:spacing w:after="0" w:line="360" w:lineRule="auto"/>
        <w:ind w:left="708"/>
        <w:jc w:val="both"/>
        <w:rPr>
          <w:rFonts w:ascii="Palatino Linotype" w:eastAsia="Arial" w:hAnsi="Palatino Linotype" w:cs="Arial"/>
          <w:i/>
        </w:rPr>
      </w:pPr>
      <w:r w:rsidRPr="001E6C71">
        <w:rPr>
          <w:rFonts w:ascii="Palatino Linotype" w:eastAsia="Arial" w:hAnsi="Palatino Linotype" w:cs="Arial"/>
          <w:b/>
          <w:i/>
        </w:rPr>
        <w:t xml:space="preserve">No existe obligación de elaborar </w:t>
      </w:r>
      <w:r w:rsidRPr="001E6C71">
        <w:rPr>
          <w:rFonts w:ascii="Palatino Linotype" w:eastAsia="Arial" w:hAnsi="Palatino Linotype" w:cs="Arial"/>
          <w:b/>
          <w:i/>
          <w:spacing w:val="-3"/>
        </w:rPr>
        <w:t>d</w:t>
      </w:r>
      <w:r w:rsidRPr="001E6C71">
        <w:rPr>
          <w:rFonts w:ascii="Palatino Linotype" w:eastAsia="Arial" w:hAnsi="Palatino Linotype" w:cs="Arial"/>
          <w:b/>
          <w:i/>
        </w:rPr>
        <w:t>ocum</w:t>
      </w:r>
      <w:r w:rsidRPr="001E6C71">
        <w:rPr>
          <w:rFonts w:ascii="Palatino Linotype" w:eastAsia="Arial" w:hAnsi="Palatino Linotype" w:cs="Arial"/>
          <w:b/>
          <w:i/>
          <w:spacing w:val="1"/>
        </w:rPr>
        <w:t>e</w:t>
      </w:r>
      <w:r w:rsidRPr="001E6C71">
        <w:rPr>
          <w:rFonts w:ascii="Palatino Linotype" w:eastAsia="Arial" w:hAnsi="Palatino Linotype" w:cs="Arial"/>
          <w:b/>
          <w:i/>
        </w:rPr>
        <w:t>n</w:t>
      </w:r>
      <w:r w:rsidRPr="001E6C71">
        <w:rPr>
          <w:rFonts w:ascii="Palatino Linotype" w:eastAsia="Arial" w:hAnsi="Palatino Linotype" w:cs="Arial"/>
          <w:b/>
          <w:i/>
          <w:spacing w:val="-1"/>
        </w:rPr>
        <w:t>t</w:t>
      </w:r>
      <w:r w:rsidRPr="001E6C71">
        <w:rPr>
          <w:rFonts w:ascii="Palatino Linotype" w:eastAsia="Arial" w:hAnsi="Palatino Linotype" w:cs="Arial"/>
          <w:b/>
          <w:i/>
        </w:rPr>
        <w:t>os</w:t>
      </w:r>
      <w:r w:rsidRPr="001E6C71">
        <w:rPr>
          <w:rFonts w:ascii="Palatino Linotype" w:eastAsia="Arial" w:hAnsi="Palatino Linotype" w:cs="Arial"/>
          <w:b/>
          <w:i/>
          <w:spacing w:val="14"/>
        </w:rPr>
        <w:t xml:space="preserve"> </w:t>
      </w:r>
      <w:r w:rsidRPr="001E6C71">
        <w:rPr>
          <w:rFonts w:ascii="Palatino Linotype" w:eastAsia="Arial" w:hAnsi="Palatino Linotype" w:cs="Arial"/>
          <w:b/>
          <w:i/>
          <w:spacing w:val="-1"/>
        </w:rPr>
        <w:t xml:space="preserve">ad </w:t>
      </w:r>
      <w:r w:rsidRPr="001E6C71">
        <w:rPr>
          <w:rFonts w:ascii="Palatino Linotype" w:eastAsia="Arial" w:hAnsi="Palatino Linotype" w:cs="Arial"/>
          <w:b/>
          <w:i/>
        </w:rPr>
        <w:t>hoc</w:t>
      </w:r>
      <w:r w:rsidRPr="001E6C71">
        <w:rPr>
          <w:rFonts w:ascii="Palatino Linotype" w:eastAsia="Arial" w:hAnsi="Palatino Linotype" w:cs="Arial"/>
          <w:b/>
          <w:i/>
          <w:spacing w:val="11"/>
        </w:rPr>
        <w:t xml:space="preserve"> </w:t>
      </w:r>
      <w:r w:rsidRPr="001E6C71">
        <w:rPr>
          <w:rFonts w:ascii="Palatino Linotype" w:eastAsia="Arial" w:hAnsi="Palatino Linotype" w:cs="Arial"/>
          <w:b/>
          <w:i/>
        </w:rPr>
        <w:t>para</w:t>
      </w:r>
      <w:r w:rsidRPr="001E6C71">
        <w:rPr>
          <w:rFonts w:ascii="Palatino Linotype" w:eastAsia="Arial" w:hAnsi="Palatino Linotype" w:cs="Arial"/>
          <w:b/>
          <w:i/>
          <w:spacing w:val="10"/>
        </w:rPr>
        <w:t xml:space="preserve"> </w:t>
      </w:r>
      <w:r w:rsidRPr="001E6C71">
        <w:rPr>
          <w:rFonts w:ascii="Palatino Linotype" w:eastAsia="Arial" w:hAnsi="Palatino Linotype" w:cs="Arial"/>
          <w:b/>
          <w:i/>
        </w:rPr>
        <w:t>atender las sol</w:t>
      </w:r>
      <w:r w:rsidRPr="001E6C71">
        <w:rPr>
          <w:rFonts w:ascii="Palatino Linotype" w:eastAsia="Arial" w:hAnsi="Palatino Linotype" w:cs="Arial"/>
          <w:b/>
          <w:i/>
          <w:spacing w:val="-2"/>
        </w:rPr>
        <w:t>i</w:t>
      </w:r>
      <w:r w:rsidRPr="001E6C71">
        <w:rPr>
          <w:rFonts w:ascii="Palatino Linotype" w:eastAsia="Arial" w:hAnsi="Palatino Linotype" w:cs="Arial"/>
          <w:b/>
          <w:i/>
          <w:spacing w:val="1"/>
        </w:rPr>
        <w:t>c</w:t>
      </w:r>
      <w:r w:rsidRPr="001E6C71">
        <w:rPr>
          <w:rFonts w:ascii="Palatino Linotype" w:eastAsia="Arial" w:hAnsi="Palatino Linotype" w:cs="Arial"/>
          <w:b/>
          <w:i/>
        </w:rPr>
        <w:t>itudes</w:t>
      </w:r>
      <w:r w:rsidRPr="001E6C71">
        <w:rPr>
          <w:rFonts w:ascii="Palatino Linotype" w:eastAsia="Arial" w:hAnsi="Palatino Linotype" w:cs="Arial"/>
          <w:b/>
          <w:i/>
          <w:spacing w:val="10"/>
        </w:rPr>
        <w:t xml:space="preserve"> </w:t>
      </w:r>
      <w:r w:rsidRPr="001E6C71">
        <w:rPr>
          <w:rFonts w:ascii="Palatino Linotype" w:eastAsia="Arial" w:hAnsi="Palatino Linotype" w:cs="Arial"/>
          <w:b/>
          <w:i/>
        </w:rPr>
        <w:t>de</w:t>
      </w:r>
      <w:r w:rsidRPr="001E6C71">
        <w:rPr>
          <w:rFonts w:ascii="Palatino Linotype" w:eastAsia="Arial" w:hAnsi="Palatino Linotype" w:cs="Arial"/>
          <w:b/>
          <w:i/>
          <w:spacing w:val="9"/>
        </w:rPr>
        <w:t xml:space="preserve"> </w:t>
      </w:r>
      <w:r w:rsidRPr="001E6C71">
        <w:rPr>
          <w:rFonts w:ascii="Palatino Linotype" w:eastAsia="Arial" w:hAnsi="Palatino Linotype" w:cs="Arial"/>
          <w:b/>
          <w:i/>
          <w:spacing w:val="1"/>
        </w:rPr>
        <w:t>ac</w:t>
      </w:r>
      <w:r w:rsidRPr="001E6C71">
        <w:rPr>
          <w:rFonts w:ascii="Palatino Linotype" w:eastAsia="Arial" w:hAnsi="Palatino Linotype" w:cs="Arial"/>
          <w:b/>
          <w:i/>
          <w:spacing w:val="-1"/>
        </w:rPr>
        <w:t>c</w:t>
      </w:r>
      <w:r w:rsidRPr="001E6C71">
        <w:rPr>
          <w:rFonts w:ascii="Palatino Linotype" w:eastAsia="Arial" w:hAnsi="Palatino Linotype" w:cs="Arial"/>
          <w:b/>
          <w:i/>
          <w:spacing w:val="1"/>
        </w:rPr>
        <w:t>es</w:t>
      </w:r>
      <w:r w:rsidRPr="001E6C71">
        <w:rPr>
          <w:rFonts w:ascii="Palatino Linotype" w:eastAsia="Arial" w:hAnsi="Palatino Linotype" w:cs="Arial"/>
          <w:b/>
          <w:i/>
        </w:rPr>
        <w:t>o</w:t>
      </w:r>
      <w:r w:rsidRPr="001E6C71">
        <w:rPr>
          <w:rFonts w:ascii="Palatino Linotype" w:eastAsia="Arial" w:hAnsi="Palatino Linotype" w:cs="Arial"/>
          <w:b/>
          <w:i/>
          <w:spacing w:val="11"/>
        </w:rPr>
        <w:t xml:space="preserve"> </w:t>
      </w:r>
      <w:r w:rsidRPr="001E6C71">
        <w:rPr>
          <w:rFonts w:ascii="Palatino Linotype" w:eastAsia="Arial" w:hAnsi="Palatino Linotype" w:cs="Arial"/>
          <w:b/>
          <w:i/>
        </w:rPr>
        <w:t>a</w:t>
      </w:r>
      <w:r w:rsidRPr="001E6C71">
        <w:rPr>
          <w:rFonts w:ascii="Palatino Linotype" w:eastAsia="Arial" w:hAnsi="Palatino Linotype" w:cs="Arial"/>
          <w:b/>
          <w:i/>
          <w:spacing w:val="9"/>
        </w:rPr>
        <w:t xml:space="preserve"> </w:t>
      </w:r>
      <w:r w:rsidRPr="001E6C71">
        <w:rPr>
          <w:rFonts w:ascii="Palatino Linotype" w:eastAsia="Arial" w:hAnsi="Palatino Linotype" w:cs="Arial"/>
          <w:b/>
          <w:i/>
        </w:rPr>
        <w:t>la</w:t>
      </w:r>
      <w:r w:rsidRPr="001E6C71">
        <w:rPr>
          <w:rFonts w:ascii="Palatino Linotype" w:eastAsia="Arial" w:hAnsi="Palatino Linotype" w:cs="Arial"/>
          <w:b/>
          <w:i/>
          <w:spacing w:val="10"/>
        </w:rPr>
        <w:t xml:space="preserve"> </w:t>
      </w:r>
      <w:r w:rsidRPr="001E6C71">
        <w:rPr>
          <w:rFonts w:ascii="Palatino Linotype" w:eastAsia="Arial" w:hAnsi="Palatino Linotype" w:cs="Arial"/>
          <w:b/>
          <w:i/>
        </w:rPr>
        <w:t>informa</w:t>
      </w:r>
      <w:r w:rsidRPr="001E6C71">
        <w:rPr>
          <w:rFonts w:ascii="Palatino Linotype" w:eastAsia="Arial" w:hAnsi="Palatino Linotype" w:cs="Arial"/>
          <w:b/>
          <w:i/>
          <w:spacing w:val="1"/>
        </w:rPr>
        <w:t>c</w:t>
      </w:r>
      <w:r w:rsidRPr="001E6C71">
        <w:rPr>
          <w:rFonts w:ascii="Palatino Linotype" w:eastAsia="Arial" w:hAnsi="Palatino Linotype" w:cs="Arial"/>
          <w:b/>
          <w:i/>
        </w:rPr>
        <w:t>ió</w:t>
      </w:r>
      <w:r w:rsidRPr="001E6C71">
        <w:rPr>
          <w:rFonts w:ascii="Palatino Linotype" w:eastAsia="Arial" w:hAnsi="Palatino Linotype" w:cs="Arial"/>
          <w:b/>
          <w:i/>
          <w:spacing w:val="-2"/>
        </w:rPr>
        <w:t>n</w:t>
      </w:r>
      <w:r w:rsidRPr="001E6C71">
        <w:rPr>
          <w:rFonts w:ascii="Palatino Linotype" w:eastAsia="Arial" w:hAnsi="Palatino Linotype" w:cs="Arial"/>
          <w:b/>
          <w:i/>
        </w:rPr>
        <w:t>.</w:t>
      </w:r>
      <w:r w:rsidRPr="001E6C71">
        <w:rPr>
          <w:rFonts w:ascii="Palatino Linotype" w:eastAsia="Arial" w:hAnsi="Palatino Linotype" w:cs="Arial"/>
          <w:b/>
          <w:i/>
          <w:spacing w:val="18"/>
        </w:rPr>
        <w:t xml:space="preserve"> </w:t>
      </w:r>
      <w:r w:rsidRPr="001E6C71">
        <w:rPr>
          <w:rFonts w:ascii="Palatino Linotype" w:eastAsia="Arial" w:hAnsi="Palatino Linotype" w:cs="Arial"/>
          <w:i/>
          <w:spacing w:val="18"/>
        </w:rPr>
        <w:t>L</w:t>
      </w:r>
      <w:r w:rsidRPr="001E6C71">
        <w:rPr>
          <w:rFonts w:ascii="Palatino Linotype" w:eastAsia="Arial" w:hAnsi="Palatino Linotype" w:cs="Arial"/>
          <w:i/>
          <w:spacing w:val="-1"/>
        </w:rPr>
        <w:t xml:space="preserve">os </w:t>
      </w:r>
      <w:r w:rsidRPr="001E6C71">
        <w:rPr>
          <w:rFonts w:ascii="Palatino Linotype" w:eastAsia="Arial" w:hAnsi="Palatino Linotype" w:cs="Arial"/>
          <w:i/>
          <w:spacing w:val="1"/>
        </w:rPr>
        <w:t>a</w:t>
      </w:r>
      <w:r w:rsidRPr="001E6C71">
        <w:rPr>
          <w:rFonts w:ascii="Palatino Linotype" w:eastAsia="Arial" w:hAnsi="Palatino Linotype" w:cs="Arial"/>
          <w:i/>
        </w:rPr>
        <w:t>rt</w:t>
      </w:r>
      <w:r w:rsidRPr="001E6C71">
        <w:rPr>
          <w:rFonts w:ascii="Palatino Linotype" w:eastAsia="Arial" w:hAnsi="Palatino Linotype" w:cs="Arial"/>
          <w:i/>
          <w:spacing w:val="-2"/>
        </w:rPr>
        <w:t>í</w:t>
      </w:r>
      <w:r w:rsidRPr="001E6C71">
        <w:rPr>
          <w:rFonts w:ascii="Palatino Linotype" w:eastAsia="Arial" w:hAnsi="Palatino Linotype" w:cs="Arial"/>
          <w:i/>
        </w:rPr>
        <w:t>c</w:t>
      </w:r>
      <w:r w:rsidRPr="001E6C71">
        <w:rPr>
          <w:rFonts w:ascii="Palatino Linotype" w:eastAsia="Arial" w:hAnsi="Palatino Linotype" w:cs="Arial"/>
          <w:i/>
          <w:spacing w:val="1"/>
        </w:rPr>
        <w:t>u</w:t>
      </w:r>
      <w:r w:rsidRPr="001E6C71">
        <w:rPr>
          <w:rFonts w:ascii="Palatino Linotype" w:eastAsia="Arial" w:hAnsi="Palatino Linotype" w:cs="Arial"/>
          <w:i/>
        </w:rPr>
        <w:t>los</w:t>
      </w:r>
      <w:r w:rsidRPr="001E6C71">
        <w:rPr>
          <w:rFonts w:ascii="Palatino Linotype" w:eastAsia="Arial" w:hAnsi="Palatino Linotype" w:cs="Arial"/>
          <w:i/>
          <w:spacing w:val="8"/>
        </w:rPr>
        <w:t xml:space="preserve"> 129 </w:t>
      </w:r>
      <w:r w:rsidRPr="001E6C71">
        <w:rPr>
          <w:rFonts w:ascii="Palatino Linotype" w:eastAsia="Arial" w:hAnsi="Palatino Linotype" w:cs="Arial"/>
          <w:i/>
          <w:spacing w:val="1"/>
        </w:rPr>
        <w:t>d</w:t>
      </w:r>
      <w:r w:rsidRPr="001E6C71">
        <w:rPr>
          <w:rFonts w:ascii="Palatino Linotype" w:eastAsia="Arial" w:hAnsi="Palatino Linotype" w:cs="Arial"/>
          <w:i/>
        </w:rPr>
        <w:t>e</w:t>
      </w:r>
      <w:r w:rsidRPr="001E6C71">
        <w:rPr>
          <w:rFonts w:ascii="Palatino Linotype" w:eastAsia="Arial" w:hAnsi="Palatino Linotype" w:cs="Arial"/>
          <w:i/>
          <w:spacing w:val="9"/>
        </w:rPr>
        <w:t xml:space="preserve"> </w:t>
      </w:r>
      <w:r w:rsidRPr="001E6C71">
        <w:rPr>
          <w:rFonts w:ascii="Palatino Linotype" w:eastAsia="Arial" w:hAnsi="Palatino Linotype" w:cs="Arial"/>
          <w:i/>
        </w:rPr>
        <w:t>la</w:t>
      </w:r>
      <w:r w:rsidRPr="001E6C71">
        <w:rPr>
          <w:rFonts w:ascii="Palatino Linotype" w:eastAsia="Arial" w:hAnsi="Palatino Linotype" w:cs="Arial"/>
          <w:i/>
          <w:spacing w:val="10"/>
        </w:rPr>
        <w:t xml:space="preserve"> </w:t>
      </w:r>
      <w:r w:rsidRPr="001E6C71">
        <w:rPr>
          <w:rFonts w:ascii="Palatino Linotype" w:eastAsia="Arial" w:hAnsi="Palatino Linotype" w:cs="Arial"/>
          <w:i/>
          <w:spacing w:val="-1"/>
        </w:rPr>
        <w:t>L</w:t>
      </w:r>
      <w:r w:rsidRPr="001E6C71">
        <w:rPr>
          <w:rFonts w:ascii="Palatino Linotype" w:eastAsia="Arial" w:hAnsi="Palatino Linotype" w:cs="Arial"/>
          <w:i/>
          <w:spacing w:val="1"/>
        </w:rPr>
        <w:t>e</w:t>
      </w:r>
      <w:r w:rsidRPr="001E6C71">
        <w:rPr>
          <w:rFonts w:ascii="Palatino Linotype" w:eastAsia="Arial" w:hAnsi="Palatino Linotype" w:cs="Arial"/>
          <w:i/>
        </w:rPr>
        <w:t>y</w:t>
      </w:r>
      <w:r w:rsidRPr="001E6C71">
        <w:rPr>
          <w:rFonts w:ascii="Palatino Linotype" w:eastAsia="Arial" w:hAnsi="Palatino Linotype" w:cs="Arial"/>
          <w:i/>
          <w:spacing w:val="8"/>
        </w:rPr>
        <w:t xml:space="preserve"> </w:t>
      </w:r>
      <w:r w:rsidRPr="001E6C71">
        <w:rPr>
          <w:rFonts w:ascii="Palatino Linotype" w:eastAsia="Arial" w:hAnsi="Palatino Linotype" w:cs="Arial"/>
          <w:i/>
        </w:rPr>
        <w:t>General</w:t>
      </w:r>
      <w:r w:rsidRPr="001E6C71">
        <w:rPr>
          <w:rFonts w:ascii="Palatino Linotype" w:eastAsia="Arial" w:hAnsi="Palatino Linotype" w:cs="Arial"/>
          <w:i/>
          <w:spacing w:val="10"/>
        </w:rPr>
        <w:t xml:space="preserve"> </w:t>
      </w:r>
      <w:r w:rsidRPr="001E6C71">
        <w:rPr>
          <w:rFonts w:ascii="Palatino Linotype" w:eastAsia="Arial" w:hAnsi="Palatino Linotype" w:cs="Arial"/>
          <w:i/>
          <w:spacing w:val="-1"/>
        </w:rPr>
        <w:t>d</w:t>
      </w:r>
      <w:r w:rsidRPr="001E6C71">
        <w:rPr>
          <w:rFonts w:ascii="Palatino Linotype" w:eastAsia="Arial" w:hAnsi="Palatino Linotype" w:cs="Arial"/>
          <w:i/>
        </w:rPr>
        <w:t>e</w:t>
      </w:r>
      <w:r w:rsidRPr="001E6C71">
        <w:rPr>
          <w:rFonts w:ascii="Palatino Linotype" w:eastAsia="Arial" w:hAnsi="Palatino Linotype" w:cs="Arial"/>
          <w:i/>
          <w:spacing w:val="9"/>
        </w:rPr>
        <w:t xml:space="preserve"> </w:t>
      </w:r>
      <w:r w:rsidRPr="001E6C71">
        <w:rPr>
          <w:rFonts w:ascii="Palatino Linotype" w:eastAsia="Arial" w:hAnsi="Palatino Linotype" w:cs="Arial"/>
          <w:i/>
          <w:spacing w:val="2"/>
        </w:rPr>
        <w:t>T</w:t>
      </w:r>
      <w:r w:rsidRPr="001E6C71">
        <w:rPr>
          <w:rFonts w:ascii="Palatino Linotype" w:eastAsia="Arial" w:hAnsi="Palatino Linotype" w:cs="Arial"/>
          <w:i/>
        </w:rPr>
        <w:t>r</w:t>
      </w:r>
      <w:r w:rsidRPr="001E6C71">
        <w:rPr>
          <w:rFonts w:ascii="Palatino Linotype" w:eastAsia="Arial" w:hAnsi="Palatino Linotype" w:cs="Arial"/>
          <w:i/>
          <w:spacing w:val="-2"/>
        </w:rPr>
        <w:t>a</w:t>
      </w:r>
      <w:r w:rsidRPr="001E6C71">
        <w:rPr>
          <w:rFonts w:ascii="Palatino Linotype" w:eastAsia="Arial" w:hAnsi="Palatino Linotype" w:cs="Arial"/>
          <w:i/>
          <w:spacing w:val="1"/>
        </w:rPr>
        <w:t>n</w:t>
      </w:r>
      <w:r w:rsidRPr="001E6C71">
        <w:rPr>
          <w:rFonts w:ascii="Palatino Linotype" w:eastAsia="Arial" w:hAnsi="Palatino Linotype" w:cs="Arial"/>
          <w:i/>
        </w:rPr>
        <w:t>s</w:t>
      </w:r>
      <w:r w:rsidRPr="001E6C71">
        <w:rPr>
          <w:rFonts w:ascii="Palatino Linotype" w:eastAsia="Arial" w:hAnsi="Palatino Linotype" w:cs="Arial"/>
          <w:i/>
          <w:spacing w:val="1"/>
        </w:rPr>
        <w:t>pa</w:t>
      </w:r>
      <w:r w:rsidRPr="001E6C71">
        <w:rPr>
          <w:rFonts w:ascii="Palatino Linotype" w:eastAsia="Arial" w:hAnsi="Palatino Linotype" w:cs="Arial"/>
          <w:i/>
        </w:rPr>
        <w:t>r</w:t>
      </w:r>
      <w:r w:rsidRPr="001E6C71">
        <w:rPr>
          <w:rFonts w:ascii="Palatino Linotype" w:eastAsia="Arial" w:hAnsi="Palatino Linotype" w:cs="Arial"/>
          <w:i/>
          <w:spacing w:val="-2"/>
        </w:rPr>
        <w:t>e</w:t>
      </w:r>
      <w:r w:rsidRPr="001E6C71">
        <w:rPr>
          <w:rFonts w:ascii="Palatino Linotype" w:eastAsia="Arial" w:hAnsi="Palatino Linotype" w:cs="Arial"/>
          <w:i/>
          <w:spacing w:val="1"/>
        </w:rPr>
        <w:t>n</w:t>
      </w:r>
      <w:r w:rsidRPr="001E6C71">
        <w:rPr>
          <w:rFonts w:ascii="Palatino Linotype" w:eastAsia="Arial" w:hAnsi="Palatino Linotype" w:cs="Arial"/>
          <w:i/>
        </w:rPr>
        <w:t>cia y Acc</w:t>
      </w:r>
      <w:r w:rsidRPr="001E6C71">
        <w:rPr>
          <w:rFonts w:ascii="Palatino Linotype" w:eastAsia="Arial" w:hAnsi="Palatino Linotype" w:cs="Arial"/>
          <w:i/>
          <w:spacing w:val="1"/>
        </w:rPr>
        <w:t>e</w:t>
      </w:r>
      <w:r w:rsidRPr="001E6C71">
        <w:rPr>
          <w:rFonts w:ascii="Palatino Linotype" w:eastAsia="Arial" w:hAnsi="Palatino Linotype" w:cs="Arial"/>
          <w:i/>
        </w:rPr>
        <w:t>so</w:t>
      </w:r>
      <w:r w:rsidRPr="001E6C71">
        <w:rPr>
          <w:rFonts w:ascii="Palatino Linotype" w:eastAsia="Arial" w:hAnsi="Palatino Linotype" w:cs="Arial"/>
          <w:i/>
          <w:spacing w:val="3"/>
        </w:rPr>
        <w:t xml:space="preserve"> </w:t>
      </w:r>
      <w:r w:rsidRPr="001E6C71">
        <w:rPr>
          <w:rFonts w:ascii="Palatino Linotype" w:eastAsia="Arial" w:hAnsi="Palatino Linotype" w:cs="Arial"/>
          <w:i/>
        </w:rPr>
        <w:t>a</w:t>
      </w:r>
      <w:r w:rsidRPr="001E6C71">
        <w:rPr>
          <w:rFonts w:ascii="Palatino Linotype" w:eastAsia="Arial" w:hAnsi="Palatino Linotype" w:cs="Arial"/>
          <w:i/>
          <w:spacing w:val="1"/>
        </w:rPr>
        <w:t xml:space="preserve"> </w:t>
      </w:r>
      <w:r w:rsidRPr="001E6C71">
        <w:rPr>
          <w:rFonts w:ascii="Palatino Linotype" w:eastAsia="Arial" w:hAnsi="Palatino Linotype" w:cs="Arial"/>
          <w:i/>
        </w:rPr>
        <w:t>la I</w:t>
      </w:r>
      <w:r w:rsidRPr="001E6C71">
        <w:rPr>
          <w:rFonts w:ascii="Palatino Linotype" w:eastAsia="Arial" w:hAnsi="Palatino Linotype" w:cs="Arial"/>
          <w:i/>
          <w:spacing w:val="-1"/>
        </w:rPr>
        <w:t>n</w:t>
      </w:r>
      <w:r w:rsidRPr="001E6C71">
        <w:rPr>
          <w:rFonts w:ascii="Palatino Linotype" w:eastAsia="Arial" w:hAnsi="Palatino Linotype" w:cs="Arial"/>
          <w:i/>
        </w:rPr>
        <w:t>f</w:t>
      </w:r>
      <w:r w:rsidRPr="001E6C71">
        <w:rPr>
          <w:rFonts w:ascii="Palatino Linotype" w:eastAsia="Arial" w:hAnsi="Palatino Linotype" w:cs="Arial"/>
          <w:i/>
          <w:spacing w:val="1"/>
        </w:rPr>
        <w:t>o</w:t>
      </w:r>
      <w:r w:rsidRPr="001E6C71">
        <w:rPr>
          <w:rFonts w:ascii="Palatino Linotype" w:eastAsia="Arial" w:hAnsi="Palatino Linotype" w:cs="Arial"/>
          <w:i/>
          <w:spacing w:val="-3"/>
        </w:rPr>
        <w:t>r</w:t>
      </w:r>
      <w:r w:rsidRPr="001E6C71">
        <w:rPr>
          <w:rFonts w:ascii="Palatino Linotype" w:eastAsia="Arial" w:hAnsi="Palatino Linotype" w:cs="Arial"/>
          <w:i/>
          <w:spacing w:val="1"/>
        </w:rPr>
        <w:t>ma</w:t>
      </w:r>
      <w:r w:rsidRPr="001E6C71">
        <w:rPr>
          <w:rFonts w:ascii="Palatino Linotype" w:eastAsia="Arial" w:hAnsi="Palatino Linotype" w:cs="Arial"/>
          <w:i/>
        </w:rPr>
        <w:t>ci</w:t>
      </w:r>
      <w:r w:rsidRPr="001E6C71">
        <w:rPr>
          <w:rFonts w:ascii="Palatino Linotype" w:eastAsia="Arial" w:hAnsi="Palatino Linotype" w:cs="Arial"/>
          <w:i/>
          <w:spacing w:val="-2"/>
        </w:rPr>
        <w:t>ó</w:t>
      </w:r>
      <w:r w:rsidRPr="001E6C71">
        <w:rPr>
          <w:rFonts w:ascii="Palatino Linotype" w:eastAsia="Arial" w:hAnsi="Palatino Linotype" w:cs="Arial"/>
          <w:i/>
        </w:rPr>
        <w:t>n</w:t>
      </w:r>
      <w:r w:rsidRPr="001E6C71">
        <w:rPr>
          <w:rFonts w:ascii="Palatino Linotype" w:eastAsia="Arial" w:hAnsi="Palatino Linotype" w:cs="Arial"/>
          <w:i/>
          <w:spacing w:val="6"/>
        </w:rPr>
        <w:t xml:space="preserve"> </w:t>
      </w:r>
      <w:r w:rsidRPr="001E6C71">
        <w:rPr>
          <w:rFonts w:ascii="Palatino Linotype" w:eastAsia="Arial" w:hAnsi="Palatino Linotype" w:cs="Arial"/>
          <w:i/>
          <w:spacing w:val="-2"/>
        </w:rPr>
        <w:t>P</w:t>
      </w:r>
      <w:r w:rsidRPr="001E6C71">
        <w:rPr>
          <w:rFonts w:ascii="Palatino Linotype" w:eastAsia="Arial" w:hAnsi="Palatino Linotype" w:cs="Arial"/>
          <w:i/>
          <w:spacing w:val="1"/>
        </w:rPr>
        <w:t>úb</w:t>
      </w:r>
      <w:r w:rsidRPr="001E6C71">
        <w:rPr>
          <w:rFonts w:ascii="Palatino Linotype" w:eastAsia="Arial" w:hAnsi="Palatino Linotype" w:cs="Arial"/>
          <w:i/>
        </w:rPr>
        <w:t>l</w:t>
      </w:r>
      <w:r w:rsidRPr="001E6C71">
        <w:rPr>
          <w:rFonts w:ascii="Palatino Linotype" w:eastAsia="Arial" w:hAnsi="Palatino Linotype" w:cs="Arial"/>
          <w:i/>
          <w:spacing w:val="-1"/>
        </w:rPr>
        <w:t>i</w:t>
      </w:r>
      <w:r w:rsidRPr="001E6C71">
        <w:rPr>
          <w:rFonts w:ascii="Palatino Linotype" w:eastAsia="Arial" w:hAnsi="Palatino Linotype" w:cs="Arial"/>
          <w:i/>
        </w:rPr>
        <w:t xml:space="preserve">ca y </w:t>
      </w:r>
      <w:r w:rsidRPr="001E6C71">
        <w:rPr>
          <w:rFonts w:ascii="Palatino Linotype" w:eastAsia="Arial" w:hAnsi="Palatino Linotype" w:cs="Arial"/>
          <w:i/>
          <w:spacing w:val="8"/>
        </w:rPr>
        <w:t xml:space="preserve">130, párrafo cuarto, </w:t>
      </w:r>
      <w:r w:rsidRPr="001E6C71">
        <w:rPr>
          <w:rFonts w:ascii="Palatino Linotype" w:eastAsia="Arial" w:hAnsi="Palatino Linotype" w:cs="Arial"/>
          <w:i/>
          <w:spacing w:val="1"/>
        </w:rPr>
        <w:t>d</w:t>
      </w:r>
      <w:r w:rsidRPr="001E6C71">
        <w:rPr>
          <w:rFonts w:ascii="Palatino Linotype" w:eastAsia="Arial" w:hAnsi="Palatino Linotype" w:cs="Arial"/>
          <w:i/>
        </w:rPr>
        <w:t>e</w:t>
      </w:r>
      <w:r w:rsidRPr="001E6C71">
        <w:rPr>
          <w:rFonts w:ascii="Palatino Linotype" w:eastAsia="Arial" w:hAnsi="Palatino Linotype" w:cs="Arial"/>
          <w:i/>
          <w:spacing w:val="9"/>
        </w:rPr>
        <w:t xml:space="preserve"> </w:t>
      </w:r>
      <w:r w:rsidRPr="001E6C71">
        <w:rPr>
          <w:rFonts w:ascii="Palatino Linotype" w:eastAsia="Arial" w:hAnsi="Palatino Linotype" w:cs="Arial"/>
          <w:i/>
        </w:rPr>
        <w:t>la</w:t>
      </w:r>
      <w:r w:rsidRPr="001E6C71">
        <w:rPr>
          <w:rFonts w:ascii="Palatino Linotype" w:eastAsia="Arial" w:hAnsi="Palatino Linotype" w:cs="Arial"/>
          <w:i/>
          <w:spacing w:val="10"/>
        </w:rPr>
        <w:t xml:space="preserve"> </w:t>
      </w:r>
      <w:r w:rsidRPr="001E6C71">
        <w:rPr>
          <w:rFonts w:ascii="Palatino Linotype" w:eastAsia="Arial" w:hAnsi="Palatino Linotype" w:cs="Arial"/>
          <w:i/>
          <w:spacing w:val="-1"/>
        </w:rPr>
        <w:t>L</w:t>
      </w:r>
      <w:r w:rsidRPr="001E6C71">
        <w:rPr>
          <w:rFonts w:ascii="Palatino Linotype" w:eastAsia="Arial" w:hAnsi="Palatino Linotype" w:cs="Arial"/>
          <w:i/>
          <w:spacing w:val="1"/>
        </w:rPr>
        <w:t>e</w:t>
      </w:r>
      <w:r w:rsidRPr="001E6C71">
        <w:rPr>
          <w:rFonts w:ascii="Palatino Linotype" w:eastAsia="Arial" w:hAnsi="Palatino Linotype" w:cs="Arial"/>
          <w:i/>
        </w:rPr>
        <w:t>y</w:t>
      </w:r>
      <w:r w:rsidRPr="001E6C71">
        <w:rPr>
          <w:rFonts w:ascii="Palatino Linotype" w:eastAsia="Arial" w:hAnsi="Palatino Linotype" w:cs="Arial"/>
          <w:i/>
          <w:spacing w:val="8"/>
        </w:rPr>
        <w:t xml:space="preserve"> </w:t>
      </w:r>
      <w:r w:rsidRPr="001E6C71">
        <w:rPr>
          <w:rFonts w:ascii="Palatino Linotype" w:eastAsia="Arial" w:hAnsi="Palatino Linotype" w:cs="Arial"/>
          <w:i/>
        </w:rPr>
        <w:t>Fe</w:t>
      </w:r>
      <w:r w:rsidRPr="001E6C71">
        <w:rPr>
          <w:rFonts w:ascii="Palatino Linotype" w:eastAsia="Arial" w:hAnsi="Palatino Linotype" w:cs="Arial"/>
          <w:i/>
          <w:spacing w:val="1"/>
        </w:rPr>
        <w:t>de</w:t>
      </w:r>
      <w:r w:rsidRPr="001E6C71">
        <w:rPr>
          <w:rFonts w:ascii="Palatino Linotype" w:eastAsia="Arial" w:hAnsi="Palatino Linotype" w:cs="Arial"/>
          <w:i/>
        </w:rPr>
        <w:t>ral</w:t>
      </w:r>
      <w:r w:rsidRPr="001E6C71">
        <w:rPr>
          <w:rFonts w:ascii="Palatino Linotype" w:eastAsia="Arial" w:hAnsi="Palatino Linotype" w:cs="Arial"/>
          <w:i/>
          <w:spacing w:val="10"/>
        </w:rPr>
        <w:t xml:space="preserve"> </w:t>
      </w:r>
      <w:r w:rsidRPr="001E6C71">
        <w:rPr>
          <w:rFonts w:ascii="Palatino Linotype" w:eastAsia="Arial" w:hAnsi="Palatino Linotype" w:cs="Arial"/>
          <w:i/>
          <w:spacing w:val="-1"/>
        </w:rPr>
        <w:t>d</w:t>
      </w:r>
      <w:r w:rsidRPr="001E6C71">
        <w:rPr>
          <w:rFonts w:ascii="Palatino Linotype" w:eastAsia="Arial" w:hAnsi="Palatino Linotype" w:cs="Arial"/>
          <w:i/>
        </w:rPr>
        <w:t>e</w:t>
      </w:r>
      <w:r w:rsidRPr="001E6C71">
        <w:rPr>
          <w:rFonts w:ascii="Palatino Linotype" w:eastAsia="Arial" w:hAnsi="Palatino Linotype" w:cs="Arial"/>
          <w:i/>
          <w:spacing w:val="9"/>
        </w:rPr>
        <w:t xml:space="preserve"> </w:t>
      </w:r>
      <w:r w:rsidRPr="001E6C71">
        <w:rPr>
          <w:rFonts w:ascii="Palatino Linotype" w:eastAsia="Arial" w:hAnsi="Palatino Linotype" w:cs="Arial"/>
          <w:i/>
          <w:spacing w:val="2"/>
        </w:rPr>
        <w:t>T</w:t>
      </w:r>
      <w:r w:rsidRPr="001E6C71">
        <w:rPr>
          <w:rFonts w:ascii="Palatino Linotype" w:eastAsia="Arial" w:hAnsi="Palatino Linotype" w:cs="Arial"/>
          <w:i/>
        </w:rPr>
        <w:t>r</w:t>
      </w:r>
      <w:r w:rsidRPr="001E6C71">
        <w:rPr>
          <w:rFonts w:ascii="Palatino Linotype" w:eastAsia="Arial" w:hAnsi="Palatino Linotype" w:cs="Arial"/>
          <w:i/>
          <w:spacing w:val="-2"/>
        </w:rPr>
        <w:t>a</w:t>
      </w:r>
      <w:r w:rsidRPr="001E6C71">
        <w:rPr>
          <w:rFonts w:ascii="Palatino Linotype" w:eastAsia="Arial" w:hAnsi="Palatino Linotype" w:cs="Arial"/>
          <w:i/>
          <w:spacing w:val="1"/>
        </w:rPr>
        <w:t>n</w:t>
      </w:r>
      <w:r w:rsidRPr="001E6C71">
        <w:rPr>
          <w:rFonts w:ascii="Palatino Linotype" w:eastAsia="Arial" w:hAnsi="Palatino Linotype" w:cs="Arial"/>
          <w:i/>
        </w:rPr>
        <w:t>s</w:t>
      </w:r>
      <w:r w:rsidRPr="001E6C71">
        <w:rPr>
          <w:rFonts w:ascii="Palatino Linotype" w:eastAsia="Arial" w:hAnsi="Palatino Linotype" w:cs="Arial"/>
          <w:i/>
          <w:spacing w:val="1"/>
        </w:rPr>
        <w:t>pa</w:t>
      </w:r>
      <w:r w:rsidRPr="001E6C71">
        <w:rPr>
          <w:rFonts w:ascii="Palatino Linotype" w:eastAsia="Arial" w:hAnsi="Palatino Linotype" w:cs="Arial"/>
          <w:i/>
        </w:rPr>
        <w:t>r</w:t>
      </w:r>
      <w:r w:rsidRPr="001E6C71">
        <w:rPr>
          <w:rFonts w:ascii="Palatino Linotype" w:eastAsia="Arial" w:hAnsi="Palatino Linotype" w:cs="Arial"/>
          <w:i/>
          <w:spacing w:val="-2"/>
        </w:rPr>
        <w:t>e</w:t>
      </w:r>
      <w:r w:rsidRPr="001E6C71">
        <w:rPr>
          <w:rFonts w:ascii="Palatino Linotype" w:eastAsia="Arial" w:hAnsi="Palatino Linotype" w:cs="Arial"/>
          <w:i/>
          <w:spacing w:val="1"/>
        </w:rPr>
        <w:t>n</w:t>
      </w:r>
      <w:r w:rsidRPr="001E6C71">
        <w:rPr>
          <w:rFonts w:ascii="Palatino Linotype" w:eastAsia="Arial" w:hAnsi="Palatino Linotype" w:cs="Arial"/>
          <w:i/>
        </w:rPr>
        <w:t>cia y Acc</w:t>
      </w:r>
      <w:r w:rsidRPr="001E6C71">
        <w:rPr>
          <w:rFonts w:ascii="Palatino Linotype" w:eastAsia="Arial" w:hAnsi="Palatino Linotype" w:cs="Arial"/>
          <w:i/>
          <w:spacing w:val="1"/>
        </w:rPr>
        <w:t>e</w:t>
      </w:r>
      <w:r w:rsidRPr="001E6C71">
        <w:rPr>
          <w:rFonts w:ascii="Palatino Linotype" w:eastAsia="Arial" w:hAnsi="Palatino Linotype" w:cs="Arial"/>
          <w:i/>
        </w:rPr>
        <w:t>so</w:t>
      </w:r>
      <w:r w:rsidRPr="001E6C71">
        <w:rPr>
          <w:rFonts w:ascii="Palatino Linotype" w:eastAsia="Arial" w:hAnsi="Palatino Linotype" w:cs="Arial"/>
          <w:i/>
          <w:spacing w:val="3"/>
        </w:rPr>
        <w:t xml:space="preserve"> </w:t>
      </w:r>
      <w:r w:rsidRPr="001E6C71">
        <w:rPr>
          <w:rFonts w:ascii="Palatino Linotype" w:eastAsia="Arial" w:hAnsi="Palatino Linotype" w:cs="Arial"/>
          <w:i/>
        </w:rPr>
        <w:t>a</w:t>
      </w:r>
      <w:r w:rsidRPr="001E6C71">
        <w:rPr>
          <w:rFonts w:ascii="Palatino Linotype" w:eastAsia="Arial" w:hAnsi="Palatino Linotype" w:cs="Arial"/>
          <w:i/>
          <w:spacing w:val="1"/>
        </w:rPr>
        <w:t xml:space="preserve"> </w:t>
      </w:r>
      <w:r w:rsidRPr="001E6C71">
        <w:rPr>
          <w:rFonts w:ascii="Palatino Linotype" w:eastAsia="Arial" w:hAnsi="Palatino Linotype" w:cs="Arial"/>
          <w:i/>
        </w:rPr>
        <w:t>la I</w:t>
      </w:r>
      <w:r w:rsidRPr="001E6C71">
        <w:rPr>
          <w:rFonts w:ascii="Palatino Linotype" w:eastAsia="Arial" w:hAnsi="Palatino Linotype" w:cs="Arial"/>
          <w:i/>
          <w:spacing w:val="-1"/>
        </w:rPr>
        <w:t>n</w:t>
      </w:r>
      <w:r w:rsidRPr="001E6C71">
        <w:rPr>
          <w:rFonts w:ascii="Palatino Linotype" w:eastAsia="Arial" w:hAnsi="Palatino Linotype" w:cs="Arial"/>
          <w:i/>
        </w:rPr>
        <w:t>f</w:t>
      </w:r>
      <w:r w:rsidRPr="001E6C71">
        <w:rPr>
          <w:rFonts w:ascii="Palatino Linotype" w:eastAsia="Arial" w:hAnsi="Palatino Linotype" w:cs="Arial"/>
          <w:i/>
          <w:spacing w:val="1"/>
        </w:rPr>
        <w:t>o</w:t>
      </w:r>
      <w:r w:rsidRPr="001E6C71">
        <w:rPr>
          <w:rFonts w:ascii="Palatino Linotype" w:eastAsia="Arial" w:hAnsi="Palatino Linotype" w:cs="Arial"/>
          <w:i/>
          <w:spacing w:val="-3"/>
        </w:rPr>
        <w:t>r</w:t>
      </w:r>
      <w:r w:rsidRPr="001E6C71">
        <w:rPr>
          <w:rFonts w:ascii="Palatino Linotype" w:eastAsia="Arial" w:hAnsi="Palatino Linotype" w:cs="Arial"/>
          <w:i/>
          <w:spacing w:val="1"/>
        </w:rPr>
        <w:t>ma</w:t>
      </w:r>
      <w:r w:rsidRPr="001E6C71">
        <w:rPr>
          <w:rFonts w:ascii="Palatino Linotype" w:eastAsia="Arial" w:hAnsi="Palatino Linotype" w:cs="Arial"/>
          <w:i/>
        </w:rPr>
        <w:t>ci</w:t>
      </w:r>
      <w:r w:rsidRPr="001E6C71">
        <w:rPr>
          <w:rFonts w:ascii="Palatino Linotype" w:eastAsia="Arial" w:hAnsi="Palatino Linotype" w:cs="Arial"/>
          <w:i/>
          <w:spacing w:val="-2"/>
        </w:rPr>
        <w:t>ó</w:t>
      </w:r>
      <w:r w:rsidRPr="001E6C71">
        <w:rPr>
          <w:rFonts w:ascii="Palatino Linotype" w:eastAsia="Arial" w:hAnsi="Palatino Linotype" w:cs="Arial"/>
          <w:i/>
        </w:rPr>
        <w:t>n</w:t>
      </w:r>
      <w:r w:rsidRPr="001E6C71">
        <w:rPr>
          <w:rFonts w:ascii="Palatino Linotype" w:eastAsia="Arial" w:hAnsi="Palatino Linotype" w:cs="Arial"/>
          <w:i/>
          <w:spacing w:val="6"/>
        </w:rPr>
        <w:t xml:space="preserve"> </w:t>
      </w:r>
      <w:r w:rsidRPr="001E6C71">
        <w:rPr>
          <w:rFonts w:ascii="Palatino Linotype" w:eastAsia="Arial" w:hAnsi="Palatino Linotype" w:cs="Arial"/>
          <w:i/>
          <w:spacing w:val="-2"/>
        </w:rPr>
        <w:t>P</w:t>
      </w:r>
      <w:r w:rsidRPr="001E6C71">
        <w:rPr>
          <w:rFonts w:ascii="Palatino Linotype" w:eastAsia="Arial" w:hAnsi="Palatino Linotype" w:cs="Arial"/>
          <w:i/>
          <w:spacing w:val="1"/>
        </w:rPr>
        <w:t>úb</w:t>
      </w:r>
      <w:r w:rsidRPr="001E6C71">
        <w:rPr>
          <w:rFonts w:ascii="Palatino Linotype" w:eastAsia="Arial" w:hAnsi="Palatino Linotype" w:cs="Arial"/>
          <w:i/>
        </w:rPr>
        <w:t>l</w:t>
      </w:r>
      <w:r w:rsidRPr="001E6C71">
        <w:rPr>
          <w:rFonts w:ascii="Palatino Linotype" w:eastAsia="Arial" w:hAnsi="Palatino Linotype" w:cs="Arial"/>
          <w:i/>
          <w:spacing w:val="-1"/>
        </w:rPr>
        <w:t>i</w:t>
      </w:r>
      <w:r w:rsidRPr="001E6C71">
        <w:rPr>
          <w:rFonts w:ascii="Palatino Linotype" w:eastAsia="Arial" w:hAnsi="Palatino Linotype" w:cs="Arial"/>
          <w:i/>
        </w:rPr>
        <w:t xml:space="preserve">ca, </w:t>
      </w:r>
      <w:r w:rsidRPr="001E6C71">
        <w:rPr>
          <w:rFonts w:ascii="Palatino Linotype" w:eastAsia="Arial" w:hAnsi="Palatino Linotype" w:cs="Arial"/>
          <w:i/>
          <w:spacing w:val="-1"/>
        </w:rPr>
        <w:t>señalan</w:t>
      </w:r>
      <w:r w:rsidRPr="001E6C71">
        <w:rPr>
          <w:rFonts w:ascii="Palatino Linotype" w:eastAsia="Arial" w:hAnsi="Palatino Linotype" w:cs="Arial"/>
          <w:i/>
          <w:spacing w:val="1"/>
        </w:rPr>
        <w:t xml:space="preserve"> </w:t>
      </w:r>
      <w:r w:rsidRPr="001E6C71">
        <w:rPr>
          <w:rFonts w:ascii="Palatino Linotype" w:eastAsia="Arial" w:hAnsi="Palatino Linotype" w:cs="Arial"/>
          <w:i/>
          <w:spacing w:val="-1"/>
        </w:rPr>
        <w:t>q</w:t>
      </w:r>
      <w:r w:rsidRPr="001E6C71">
        <w:rPr>
          <w:rFonts w:ascii="Palatino Linotype" w:eastAsia="Arial" w:hAnsi="Palatino Linotype" w:cs="Arial"/>
          <w:i/>
          <w:spacing w:val="1"/>
        </w:rPr>
        <w:t>u</w:t>
      </w:r>
      <w:r w:rsidRPr="001E6C71">
        <w:rPr>
          <w:rFonts w:ascii="Palatino Linotype" w:eastAsia="Arial" w:hAnsi="Palatino Linotype" w:cs="Arial"/>
          <w:i/>
        </w:rPr>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1E6C71">
        <w:rPr>
          <w:rFonts w:ascii="Palatino Linotype" w:eastAsia="Arial" w:hAnsi="Palatino Linotype" w:cs="Arial"/>
          <w:i/>
          <w:spacing w:val="-1"/>
        </w:rPr>
        <w:t xml:space="preserve"> sin necesidad de</w:t>
      </w:r>
      <w:r w:rsidRPr="001E6C71">
        <w:rPr>
          <w:rFonts w:ascii="Palatino Linotype" w:eastAsia="Arial" w:hAnsi="Palatino Linotype" w:cs="Arial"/>
          <w:i/>
          <w:spacing w:val="1"/>
        </w:rPr>
        <w:t xml:space="preserve"> e</w:t>
      </w:r>
      <w:r w:rsidRPr="001E6C71">
        <w:rPr>
          <w:rFonts w:ascii="Palatino Linotype" w:eastAsia="Arial" w:hAnsi="Palatino Linotype" w:cs="Arial"/>
          <w:i/>
        </w:rPr>
        <w:t>la</w:t>
      </w:r>
      <w:r w:rsidRPr="001E6C71">
        <w:rPr>
          <w:rFonts w:ascii="Palatino Linotype" w:eastAsia="Arial" w:hAnsi="Palatino Linotype" w:cs="Arial"/>
          <w:i/>
          <w:spacing w:val="1"/>
        </w:rPr>
        <w:t>bo</w:t>
      </w:r>
      <w:r w:rsidRPr="001E6C71">
        <w:rPr>
          <w:rFonts w:ascii="Palatino Linotype" w:eastAsia="Arial" w:hAnsi="Palatino Linotype" w:cs="Arial"/>
          <w:i/>
        </w:rPr>
        <w:t xml:space="preserve">rar </w:t>
      </w:r>
      <w:r w:rsidRPr="001E6C71">
        <w:rPr>
          <w:rFonts w:ascii="Palatino Linotype" w:eastAsia="Arial" w:hAnsi="Palatino Linotype" w:cs="Arial"/>
          <w:i/>
          <w:spacing w:val="1"/>
        </w:rPr>
        <w:t>do</w:t>
      </w:r>
      <w:r w:rsidRPr="001E6C71">
        <w:rPr>
          <w:rFonts w:ascii="Palatino Linotype" w:eastAsia="Arial" w:hAnsi="Palatino Linotype" w:cs="Arial"/>
          <w:i/>
          <w:spacing w:val="-2"/>
        </w:rPr>
        <w:t>c</w:t>
      </w:r>
      <w:r w:rsidRPr="001E6C71">
        <w:rPr>
          <w:rFonts w:ascii="Palatino Linotype" w:eastAsia="Arial" w:hAnsi="Palatino Linotype" w:cs="Arial"/>
          <w:i/>
          <w:spacing w:val="1"/>
        </w:rPr>
        <w:t>u</w:t>
      </w:r>
      <w:r w:rsidRPr="001E6C71">
        <w:rPr>
          <w:rFonts w:ascii="Palatino Linotype" w:eastAsia="Arial" w:hAnsi="Palatino Linotype" w:cs="Arial"/>
          <w:i/>
          <w:spacing w:val="-1"/>
        </w:rPr>
        <w:t>m</w:t>
      </w:r>
      <w:r w:rsidRPr="001E6C71">
        <w:rPr>
          <w:rFonts w:ascii="Palatino Linotype" w:eastAsia="Arial" w:hAnsi="Palatino Linotype" w:cs="Arial"/>
          <w:i/>
          <w:spacing w:val="1"/>
        </w:rPr>
        <w:t>en</w:t>
      </w:r>
      <w:r w:rsidRPr="001E6C71">
        <w:rPr>
          <w:rFonts w:ascii="Palatino Linotype" w:eastAsia="Arial" w:hAnsi="Palatino Linotype" w:cs="Arial"/>
          <w:i/>
          <w:spacing w:val="-2"/>
        </w:rPr>
        <w:t>t</w:t>
      </w:r>
      <w:r w:rsidRPr="001E6C71">
        <w:rPr>
          <w:rFonts w:ascii="Palatino Linotype" w:eastAsia="Arial" w:hAnsi="Palatino Linotype" w:cs="Arial"/>
          <w:i/>
          <w:spacing w:val="1"/>
        </w:rPr>
        <w:t>o</w:t>
      </w:r>
      <w:r w:rsidRPr="001E6C71">
        <w:rPr>
          <w:rFonts w:ascii="Palatino Linotype" w:eastAsia="Arial" w:hAnsi="Palatino Linotype" w:cs="Arial"/>
          <w:i/>
        </w:rPr>
        <w:t>s</w:t>
      </w:r>
      <w:r w:rsidRPr="001E6C71">
        <w:rPr>
          <w:rFonts w:ascii="Palatino Linotype" w:eastAsia="Arial" w:hAnsi="Palatino Linotype" w:cs="Arial"/>
          <w:i/>
          <w:spacing w:val="3"/>
        </w:rPr>
        <w:t xml:space="preserve"> </w:t>
      </w:r>
      <w:r w:rsidRPr="001E6C71">
        <w:rPr>
          <w:rFonts w:ascii="Palatino Linotype" w:eastAsia="Arial" w:hAnsi="Palatino Linotype" w:cs="Arial"/>
          <w:i/>
          <w:spacing w:val="1"/>
        </w:rPr>
        <w:t>a</w:t>
      </w:r>
      <w:r w:rsidRPr="001E6C71">
        <w:rPr>
          <w:rFonts w:ascii="Palatino Linotype" w:eastAsia="Arial" w:hAnsi="Palatino Linotype" w:cs="Arial"/>
          <w:i/>
        </w:rPr>
        <w:t>d</w:t>
      </w:r>
      <w:r w:rsidRPr="001E6C71">
        <w:rPr>
          <w:rFonts w:ascii="Palatino Linotype" w:eastAsia="Arial" w:hAnsi="Palatino Linotype" w:cs="Arial"/>
          <w:i/>
          <w:spacing w:val="1"/>
        </w:rPr>
        <w:t xml:space="preserve"> ho</w:t>
      </w:r>
      <w:r w:rsidRPr="001E6C71">
        <w:rPr>
          <w:rFonts w:ascii="Palatino Linotype" w:eastAsia="Arial" w:hAnsi="Palatino Linotype" w:cs="Arial"/>
          <w:i/>
        </w:rPr>
        <w:t>c</w:t>
      </w:r>
      <w:r w:rsidRPr="001E6C71">
        <w:rPr>
          <w:rFonts w:ascii="Palatino Linotype" w:eastAsia="Arial" w:hAnsi="Palatino Linotype" w:cs="Arial"/>
          <w:i/>
          <w:spacing w:val="2"/>
        </w:rPr>
        <w:t xml:space="preserve"> </w:t>
      </w:r>
      <w:r w:rsidRPr="001E6C71">
        <w:rPr>
          <w:rFonts w:ascii="Palatino Linotype" w:eastAsia="Arial" w:hAnsi="Palatino Linotype" w:cs="Arial"/>
          <w:i/>
          <w:spacing w:val="1"/>
        </w:rPr>
        <w:t>pa</w:t>
      </w:r>
      <w:r w:rsidRPr="001E6C71">
        <w:rPr>
          <w:rFonts w:ascii="Palatino Linotype" w:eastAsia="Arial" w:hAnsi="Palatino Linotype" w:cs="Arial"/>
          <w:i/>
        </w:rPr>
        <w:t xml:space="preserve">ra </w:t>
      </w:r>
      <w:r w:rsidRPr="001E6C71">
        <w:rPr>
          <w:rFonts w:ascii="Palatino Linotype" w:eastAsia="Arial" w:hAnsi="Palatino Linotype" w:cs="Arial"/>
          <w:i/>
          <w:spacing w:val="1"/>
        </w:rPr>
        <w:t>a</w:t>
      </w:r>
      <w:r w:rsidRPr="001E6C71">
        <w:rPr>
          <w:rFonts w:ascii="Palatino Linotype" w:eastAsia="Arial" w:hAnsi="Palatino Linotype" w:cs="Arial"/>
          <w:i/>
        </w:rPr>
        <w:t>t</w:t>
      </w:r>
      <w:r w:rsidRPr="001E6C71">
        <w:rPr>
          <w:rFonts w:ascii="Palatino Linotype" w:eastAsia="Arial" w:hAnsi="Palatino Linotype" w:cs="Arial"/>
          <w:i/>
          <w:spacing w:val="-1"/>
        </w:rPr>
        <w:t>e</w:t>
      </w:r>
      <w:r w:rsidRPr="001E6C71">
        <w:rPr>
          <w:rFonts w:ascii="Palatino Linotype" w:eastAsia="Arial" w:hAnsi="Palatino Linotype" w:cs="Arial"/>
          <w:i/>
          <w:spacing w:val="1"/>
        </w:rPr>
        <w:t>n</w:t>
      </w:r>
      <w:r w:rsidRPr="001E6C71">
        <w:rPr>
          <w:rFonts w:ascii="Palatino Linotype" w:eastAsia="Arial" w:hAnsi="Palatino Linotype" w:cs="Arial"/>
          <w:i/>
          <w:spacing w:val="-1"/>
        </w:rPr>
        <w:t>d</w:t>
      </w:r>
      <w:r w:rsidRPr="001E6C71">
        <w:rPr>
          <w:rFonts w:ascii="Palatino Linotype" w:eastAsia="Arial" w:hAnsi="Palatino Linotype" w:cs="Arial"/>
          <w:i/>
          <w:spacing w:val="1"/>
        </w:rPr>
        <w:t>e</w:t>
      </w:r>
      <w:r w:rsidRPr="001E6C71">
        <w:rPr>
          <w:rFonts w:ascii="Palatino Linotype" w:eastAsia="Arial" w:hAnsi="Palatino Linotype" w:cs="Arial"/>
          <w:i/>
        </w:rPr>
        <w:t>r</w:t>
      </w:r>
      <w:r w:rsidRPr="001E6C71">
        <w:rPr>
          <w:rFonts w:ascii="Palatino Linotype" w:eastAsia="Arial" w:hAnsi="Palatino Linotype" w:cs="Arial"/>
          <w:i/>
          <w:spacing w:val="2"/>
        </w:rPr>
        <w:t xml:space="preserve"> </w:t>
      </w:r>
      <w:r w:rsidRPr="001E6C71">
        <w:rPr>
          <w:rFonts w:ascii="Palatino Linotype" w:eastAsia="Arial" w:hAnsi="Palatino Linotype" w:cs="Arial"/>
          <w:i/>
        </w:rPr>
        <w:t>l</w:t>
      </w:r>
      <w:r w:rsidRPr="001E6C71">
        <w:rPr>
          <w:rFonts w:ascii="Palatino Linotype" w:eastAsia="Arial" w:hAnsi="Palatino Linotype" w:cs="Arial"/>
          <w:i/>
          <w:spacing w:val="-2"/>
        </w:rPr>
        <w:t>a</w:t>
      </w:r>
      <w:r w:rsidRPr="001E6C71">
        <w:rPr>
          <w:rFonts w:ascii="Palatino Linotype" w:eastAsia="Arial" w:hAnsi="Palatino Linotype" w:cs="Arial"/>
          <w:i/>
        </w:rPr>
        <w:t>s</w:t>
      </w:r>
      <w:r w:rsidRPr="001E6C71">
        <w:rPr>
          <w:rFonts w:ascii="Palatino Linotype" w:eastAsia="Arial" w:hAnsi="Palatino Linotype" w:cs="Arial"/>
          <w:i/>
          <w:spacing w:val="2"/>
        </w:rPr>
        <w:t xml:space="preserve"> </w:t>
      </w:r>
      <w:r w:rsidRPr="001E6C71">
        <w:rPr>
          <w:rFonts w:ascii="Palatino Linotype" w:eastAsia="Arial" w:hAnsi="Palatino Linotype" w:cs="Arial"/>
          <w:i/>
        </w:rPr>
        <w:t>s</w:t>
      </w:r>
      <w:r w:rsidRPr="001E6C71">
        <w:rPr>
          <w:rFonts w:ascii="Palatino Linotype" w:eastAsia="Arial" w:hAnsi="Palatino Linotype" w:cs="Arial"/>
          <w:i/>
          <w:spacing w:val="1"/>
        </w:rPr>
        <w:t>o</w:t>
      </w:r>
      <w:r w:rsidRPr="001E6C71">
        <w:rPr>
          <w:rFonts w:ascii="Palatino Linotype" w:eastAsia="Arial" w:hAnsi="Palatino Linotype" w:cs="Arial"/>
          <w:i/>
        </w:rPr>
        <w:t>l</w:t>
      </w:r>
      <w:r w:rsidRPr="001E6C71">
        <w:rPr>
          <w:rFonts w:ascii="Palatino Linotype" w:eastAsia="Arial" w:hAnsi="Palatino Linotype" w:cs="Arial"/>
          <w:i/>
          <w:spacing w:val="-1"/>
        </w:rPr>
        <w:t>i</w:t>
      </w:r>
      <w:r w:rsidRPr="001E6C71">
        <w:rPr>
          <w:rFonts w:ascii="Palatino Linotype" w:eastAsia="Arial" w:hAnsi="Palatino Linotype" w:cs="Arial"/>
          <w:i/>
        </w:rPr>
        <w:t>cit</w:t>
      </w:r>
      <w:r w:rsidRPr="001E6C71">
        <w:rPr>
          <w:rFonts w:ascii="Palatino Linotype" w:eastAsia="Arial" w:hAnsi="Palatino Linotype" w:cs="Arial"/>
          <w:i/>
          <w:spacing w:val="1"/>
        </w:rPr>
        <w:t>ude</w:t>
      </w:r>
      <w:r w:rsidRPr="001E6C71">
        <w:rPr>
          <w:rFonts w:ascii="Palatino Linotype" w:eastAsia="Arial" w:hAnsi="Palatino Linotype" w:cs="Arial"/>
          <w:i/>
        </w:rPr>
        <w:t>s</w:t>
      </w:r>
      <w:r w:rsidRPr="001E6C71">
        <w:rPr>
          <w:rFonts w:ascii="Palatino Linotype" w:eastAsia="Arial" w:hAnsi="Palatino Linotype" w:cs="Arial"/>
          <w:i/>
          <w:spacing w:val="4"/>
        </w:rPr>
        <w:t xml:space="preserve"> </w:t>
      </w:r>
      <w:r w:rsidRPr="001E6C71">
        <w:rPr>
          <w:rFonts w:ascii="Palatino Linotype" w:eastAsia="Arial" w:hAnsi="Palatino Linotype" w:cs="Arial"/>
          <w:i/>
          <w:spacing w:val="-1"/>
        </w:rPr>
        <w:t>d</w:t>
      </w:r>
      <w:r w:rsidRPr="001E6C71">
        <w:rPr>
          <w:rFonts w:ascii="Palatino Linotype" w:eastAsia="Arial" w:hAnsi="Palatino Linotype" w:cs="Arial"/>
          <w:i/>
        </w:rPr>
        <w:t>e</w:t>
      </w:r>
      <w:r w:rsidRPr="001E6C71">
        <w:rPr>
          <w:rFonts w:ascii="Palatino Linotype" w:eastAsia="Arial" w:hAnsi="Palatino Linotype" w:cs="Arial"/>
          <w:i/>
          <w:spacing w:val="3"/>
        </w:rPr>
        <w:t xml:space="preserve"> </w:t>
      </w:r>
      <w:r w:rsidRPr="001E6C71">
        <w:rPr>
          <w:rFonts w:ascii="Palatino Linotype" w:eastAsia="Arial" w:hAnsi="Palatino Linotype" w:cs="Arial"/>
          <w:i/>
        </w:rPr>
        <w:t>i</w:t>
      </w:r>
      <w:r w:rsidRPr="001E6C71">
        <w:rPr>
          <w:rFonts w:ascii="Palatino Linotype" w:eastAsia="Arial" w:hAnsi="Palatino Linotype" w:cs="Arial"/>
          <w:i/>
          <w:spacing w:val="-2"/>
        </w:rPr>
        <w:t>n</w:t>
      </w:r>
      <w:r w:rsidRPr="001E6C71">
        <w:rPr>
          <w:rFonts w:ascii="Palatino Linotype" w:eastAsia="Arial" w:hAnsi="Palatino Linotype" w:cs="Arial"/>
          <w:i/>
        </w:rPr>
        <w:t>f</w:t>
      </w:r>
      <w:r w:rsidRPr="001E6C71">
        <w:rPr>
          <w:rFonts w:ascii="Palatino Linotype" w:eastAsia="Arial" w:hAnsi="Palatino Linotype" w:cs="Arial"/>
          <w:i/>
          <w:spacing w:val="1"/>
        </w:rPr>
        <w:t>o</w:t>
      </w:r>
      <w:r w:rsidRPr="001E6C71">
        <w:rPr>
          <w:rFonts w:ascii="Palatino Linotype" w:eastAsia="Arial" w:hAnsi="Palatino Linotype" w:cs="Arial"/>
          <w:i/>
        </w:rPr>
        <w:t>r</w:t>
      </w:r>
      <w:r w:rsidRPr="001E6C71">
        <w:rPr>
          <w:rFonts w:ascii="Palatino Linotype" w:eastAsia="Arial" w:hAnsi="Palatino Linotype" w:cs="Arial"/>
          <w:i/>
          <w:spacing w:val="-1"/>
        </w:rPr>
        <w:t>m</w:t>
      </w:r>
      <w:r w:rsidRPr="001E6C71">
        <w:rPr>
          <w:rFonts w:ascii="Palatino Linotype" w:eastAsia="Arial" w:hAnsi="Palatino Linotype" w:cs="Arial"/>
          <w:i/>
          <w:spacing w:val="1"/>
        </w:rPr>
        <w:t>a</w:t>
      </w:r>
      <w:r w:rsidRPr="001E6C71">
        <w:rPr>
          <w:rFonts w:ascii="Palatino Linotype" w:eastAsia="Arial" w:hAnsi="Palatino Linotype" w:cs="Arial"/>
          <w:i/>
        </w:rPr>
        <w:t>ció</w:t>
      </w:r>
      <w:r w:rsidRPr="001E6C71">
        <w:rPr>
          <w:rFonts w:ascii="Palatino Linotype" w:eastAsia="Arial" w:hAnsi="Palatino Linotype" w:cs="Arial"/>
          <w:i/>
          <w:spacing w:val="1"/>
        </w:rPr>
        <w:t>n</w:t>
      </w:r>
      <w:r w:rsidRPr="001E6C71">
        <w:rPr>
          <w:rFonts w:ascii="Palatino Linotype" w:eastAsia="Arial" w:hAnsi="Palatino Linotype" w:cs="Arial"/>
          <w:i/>
        </w:rPr>
        <w:t>.</w:t>
      </w:r>
    </w:p>
    <w:p w14:paraId="41D3A2C4" w14:textId="77777777" w:rsidR="003C3EAA" w:rsidRPr="001E6C71" w:rsidRDefault="003C3EAA" w:rsidP="003C3EAA">
      <w:pPr>
        <w:spacing w:after="0" w:line="360" w:lineRule="auto"/>
        <w:jc w:val="both"/>
        <w:rPr>
          <w:rFonts w:ascii="Palatino Linotype" w:hAnsi="Palatino Linotype" w:cs="Arial"/>
          <w:i/>
          <w:color w:val="000000"/>
          <w:sz w:val="16"/>
          <w:szCs w:val="16"/>
        </w:rPr>
      </w:pPr>
    </w:p>
    <w:p w14:paraId="6F181C08" w14:textId="77777777" w:rsidR="003C3EAA" w:rsidRPr="001E6C71" w:rsidRDefault="003C3EAA" w:rsidP="003C3EAA">
      <w:pPr>
        <w:spacing w:after="0" w:line="360" w:lineRule="auto"/>
        <w:ind w:left="6" w:firstLine="708"/>
        <w:jc w:val="both"/>
        <w:rPr>
          <w:rFonts w:ascii="Palatino Linotype" w:hAnsi="Palatino Linotype" w:cs="Arial"/>
          <w:b/>
          <w:i/>
          <w:sz w:val="16"/>
          <w:szCs w:val="16"/>
        </w:rPr>
      </w:pPr>
      <w:r w:rsidRPr="001E6C71">
        <w:rPr>
          <w:rFonts w:ascii="Palatino Linotype" w:hAnsi="Palatino Linotype" w:cs="Arial"/>
          <w:b/>
          <w:i/>
          <w:sz w:val="16"/>
          <w:szCs w:val="16"/>
        </w:rPr>
        <w:t>Precedentes:</w:t>
      </w:r>
    </w:p>
    <w:p w14:paraId="0AF84F27" w14:textId="77777777" w:rsidR="003C3EAA" w:rsidRPr="001E6C71" w:rsidRDefault="003C3EAA" w:rsidP="003C3EAA">
      <w:pPr>
        <w:pStyle w:val="Prrafodelista"/>
        <w:numPr>
          <w:ilvl w:val="0"/>
          <w:numId w:val="2"/>
        </w:numPr>
        <w:spacing w:after="0" w:line="360" w:lineRule="auto"/>
        <w:ind w:left="714" w:hanging="357"/>
        <w:jc w:val="both"/>
        <w:rPr>
          <w:rFonts w:ascii="Palatino Linotype" w:hAnsi="Palatino Linotype" w:cs="Arial"/>
          <w:b/>
          <w:bCs/>
          <w:i/>
          <w:sz w:val="16"/>
          <w:szCs w:val="16"/>
        </w:rPr>
      </w:pPr>
      <w:r w:rsidRPr="001E6C71">
        <w:rPr>
          <w:rFonts w:ascii="Palatino Linotype" w:hAnsi="Palatino Linotype" w:cs="Arial"/>
          <w:i/>
          <w:sz w:val="16"/>
          <w:szCs w:val="16"/>
        </w:rPr>
        <w:t>Acceso a la información pública. RRA 0050/16. Sesión del 13 julio de 2016. Votación por unanimidad. Sin votos disidentes o particulares. Instituto Nacional para la Evaluación de la Educación. Comisionado Ponente Francisco Javier Acuña Llamas.</w:t>
      </w:r>
    </w:p>
    <w:p w14:paraId="7301428A" w14:textId="77777777" w:rsidR="003C3EAA" w:rsidRPr="001E6C71" w:rsidRDefault="003C3EAA" w:rsidP="003C3EAA">
      <w:pPr>
        <w:pStyle w:val="Prrafodelista"/>
        <w:numPr>
          <w:ilvl w:val="0"/>
          <w:numId w:val="2"/>
        </w:numPr>
        <w:spacing w:after="0" w:line="360" w:lineRule="auto"/>
        <w:ind w:left="720"/>
        <w:jc w:val="both"/>
        <w:rPr>
          <w:rFonts w:ascii="Palatino Linotype" w:hAnsi="Palatino Linotype" w:cs="Arial"/>
          <w:i/>
          <w:sz w:val="16"/>
          <w:szCs w:val="16"/>
        </w:rPr>
      </w:pPr>
      <w:r w:rsidRPr="001E6C71">
        <w:rPr>
          <w:rFonts w:ascii="Palatino Linotype" w:hAnsi="Palatino Linotype" w:cs="Arial"/>
          <w:i/>
          <w:sz w:val="16"/>
          <w:szCs w:val="16"/>
        </w:rPr>
        <w:t>Acceso a la información pública. RRA 0310/16.</w:t>
      </w:r>
      <w:r w:rsidRPr="001E6C71">
        <w:rPr>
          <w:rFonts w:ascii="Palatino Linotype" w:hAnsi="Palatino Linotype" w:cs="Arial"/>
          <w:b/>
          <w:bCs/>
          <w:i/>
          <w:sz w:val="16"/>
          <w:szCs w:val="16"/>
        </w:rPr>
        <w:t xml:space="preserve"> </w:t>
      </w:r>
      <w:r w:rsidRPr="001E6C71">
        <w:rPr>
          <w:rFonts w:ascii="Palatino Linotype" w:hAnsi="Palatino Linotype" w:cs="Arial"/>
          <w:i/>
          <w:sz w:val="16"/>
          <w:szCs w:val="16"/>
        </w:rPr>
        <w:t>Sesión del 10 de agosto de 2016. Votación por unanimidad. Sin votos disidentes o particulares. Instituto Nacional de Transparencia, Acceso a la Información y Protección de Datos Personales. Comisionada Ponente Areli Cano Guadiana.</w:t>
      </w:r>
    </w:p>
    <w:p w14:paraId="12628AE4" w14:textId="77777777" w:rsidR="003C3EAA" w:rsidRPr="001E6C71" w:rsidRDefault="003C3EAA" w:rsidP="003C3EAA">
      <w:pPr>
        <w:spacing w:line="360" w:lineRule="auto"/>
        <w:ind w:left="708"/>
        <w:jc w:val="both"/>
        <w:rPr>
          <w:rFonts w:ascii="Palatino Linotype" w:hAnsi="Palatino Linotype"/>
          <w:i/>
          <w:sz w:val="16"/>
          <w:szCs w:val="16"/>
        </w:rPr>
      </w:pPr>
      <w:r w:rsidRPr="001E6C71">
        <w:rPr>
          <w:rFonts w:ascii="Palatino Linotype" w:hAnsi="Palatino Linotype" w:cs="Arial"/>
          <w:i/>
          <w:sz w:val="16"/>
          <w:szCs w:val="16"/>
        </w:rPr>
        <w:t>Acceso a la información pública. RRA 1889/16. Sesión del 05 de octubre de 2016. Votación por unanimidad. Sin votos disidentes o particulares. Secretaría de Hacienda y Crédito Público. Comisionada Ponente Ximena Puente de la Mora</w:t>
      </w:r>
    </w:p>
    <w:p w14:paraId="69770FE3" w14:textId="77777777" w:rsidR="003C3EAA" w:rsidRPr="001E6C71" w:rsidRDefault="003C3EAA" w:rsidP="003C3EAA">
      <w:pPr>
        <w:spacing w:line="360" w:lineRule="auto"/>
        <w:jc w:val="both"/>
        <w:rPr>
          <w:rFonts w:ascii="Palatino Linotype" w:hAnsi="Palatino Linotype"/>
          <w:sz w:val="24"/>
          <w:szCs w:val="24"/>
        </w:rPr>
      </w:pPr>
    </w:p>
    <w:p w14:paraId="17A9671C" w14:textId="77777777" w:rsidR="003C3EAA" w:rsidRPr="001E6C71" w:rsidRDefault="003C3EAA" w:rsidP="008D236E">
      <w:pPr>
        <w:spacing w:line="360" w:lineRule="auto"/>
        <w:jc w:val="both"/>
        <w:rPr>
          <w:rFonts w:ascii="Palatino Linotype" w:hAnsi="Palatino Linotype"/>
          <w:sz w:val="24"/>
          <w:szCs w:val="24"/>
        </w:rPr>
      </w:pPr>
      <w:r w:rsidRPr="001E6C71">
        <w:rPr>
          <w:rFonts w:ascii="Palatino Linotype" w:hAnsi="Palatino Linotype"/>
          <w:sz w:val="24"/>
          <w:szCs w:val="24"/>
        </w:rPr>
        <w:t xml:space="preserve">Sin embargo, el </w:t>
      </w:r>
      <w:r w:rsidRPr="001E6C71">
        <w:rPr>
          <w:rFonts w:ascii="Palatino Linotype" w:hAnsi="Palatino Linotype"/>
          <w:b/>
          <w:sz w:val="24"/>
          <w:szCs w:val="24"/>
        </w:rPr>
        <w:t xml:space="preserve">Sujeto Obligado  </w:t>
      </w:r>
      <w:r w:rsidRPr="001E6C71">
        <w:rPr>
          <w:rFonts w:ascii="Palatino Linotype" w:hAnsi="Palatino Linotype"/>
          <w:sz w:val="24"/>
          <w:szCs w:val="24"/>
        </w:rPr>
        <w:t xml:space="preserve">a fin de garantizar el derecho al acceso a la información proporcionó un documento en formato EXCEL con las características descritas por el Recurrente, se </w:t>
      </w:r>
      <w:r w:rsidR="008D236E" w:rsidRPr="001E6C71">
        <w:rPr>
          <w:rFonts w:ascii="Palatino Linotype" w:hAnsi="Palatino Linotype"/>
          <w:sz w:val="24"/>
          <w:szCs w:val="24"/>
        </w:rPr>
        <w:t>insertan imágenes ilustrativas;</w:t>
      </w:r>
    </w:p>
    <w:p w14:paraId="58E5695F" w14:textId="77777777" w:rsidR="003C3EAA" w:rsidRPr="001E6C71" w:rsidRDefault="008D236E" w:rsidP="008D236E">
      <w:pPr>
        <w:spacing w:line="360" w:lineRule="auto"/>
        <w:rPr>
          <w:rFonts w:ascii="Palatino Linotype" w:hAnsi="Palatino Linotype"/>
          <w:sz w:val="24"/>
          <w:szCs w:val="24"/>
        </w:rPr>
      </w:pPr>
      <w:r w:rsidRPr="001E6C71">
        <w:rPr>
          <w:rFonts w:ascii="Palatino Linotype" w:hAnsi="Palatino Linotype"/>
          <w:noProof/>
          <w:sz w:val="24"/>
          <w:szCs w:val="24"/>
          <w:lang w:eastAsia="es-MX"/>
        </w:rPr>
        <w:lastRenderedPageBreak/>
        <w:drawing>
          <wp:inline distT="0" distB="0" distL="0" distR="0" wp14:anchorId="67A85913" wp14:editId="7935A62E">
            <wp:extent cx="5939790" cy="51567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31948" cy="523676"/>
                    </a:xfrm>
                    <a:prstGeom prst="rect">
                      <a:avLst/>
                    </a:prstGeom>
                  </pic:spPr>
                </pic:pic>
              </a:graphicData>
            </a:graphic>
          </wp:inline>
        </w:drawing>
      </w:r>
    </w:p>
    <w:p w14:paraId="7408574C" w14:textId="77777777" w:rsidR="003C3EAA" w:rsidRPr="001E6C71" w:rsidRDefault="003C3EAA" w:rsidP="003C3EAA">
      <w:pPr>
        <w:spacing w:line="360" w:lineRule="auto"/>
        <w:jc w:val="both"/>
        <w:rPr>
          <w:rFonts w:ascii="Palatino Linotype" w:hAnsi="Palatino Linotype"/>
          <w:sz w:val="24"/>
          <w:szCs w:val="24"/>
        </w:rPr>
      </w:pPr>
    </w:p>
    <w:p w14:paraId="7F09ED20"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Al respecto, resulta necesario para este Órgano Garante, que particularmente, respecto del requerimiento de las “</w:t>
      </w:r>
      <w:r w:rsidRPr="001E6C71">
        <w:rPr>
          <w:rFonts w:ascii="Palatino Linotype" w:hAnsi="Palatino Linotype"/>
          <w:b/>
          <w:sz w:val="24"/>
          <w:szCs w:val="24"/>
        </w:rPr>
        <w:t>coordenadas geográficas</w:t>
      </w:r>
      <w:r w:rsidRPr="001E6C71">
        <w:rPr>
          <w:rFonts w:ascii="Palatino Linotype" w:hAnsi="Palatino Linotype"/>
          <w:sz w:val="24"/>
          <w:szCs w:val="24"/>
        </w:rPr>
        <w:t xml:space="preserve">”, es un método para descripción de la posición de una ubicación geográfica en la superficie de la tierra utilizando dos parámetros de referencia: </w:t>
      </w:r>
    </w:p>
    <w:p w14:paraId="3ADAE1D5"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rPr>
        <w:sym w:font="Symbol" w:char="F0B7"/>
      </w:r>
      <w:r w:rsidRPr="001E6C71">
        <w:rPr>
          <w:rFonts w:ascii="Palatino Linotype" w:hAnsi="Palatino Linotype"/>
        </w:rPr>
        <w:t xml:space="preserve"> </w:t>
      </w:r>
      <w:r w:rsidRPr="001E6C71">
        <w:rPr>
          <w:rFonts w:ascii="Palatino Linotype" w:hAnsi="Palatino Linotype"/>
          <w:b/>
          <w:i/>
        </w:rPr>
        <w:t>Latitud:</w:t>
      </w:r>
      <w:r w:rsidRPr="001E6C71">
        <w:rPr>
          <w:rFonts w:ascii="Palatino Linotype" w:hAnsi="Palatino Linotype"/>
          <w:i/>
        </w:rPr>
        <w:t xml:space="preserve"> Distancia desde un punto de la superficie terrestre al ecuador, contada en grados de meridiano.</w:t>
      </w:r>
    </w:p>
    <w:p w14:paraId="7A166FEF" w14:textId="77777777" w:rsidR="003C3EAA" w:rsidRPr="001E6C71" w:rsidRDefault="003C3EAA" w:rsidP="003C3EAA">
      <w:pPr>
        <w:spacing w:line="360" w:lineRule="auto"/>
        <w:ind w:left="708"/>
        <w:jc w:val="both"/>
        <w:rPr>
          <w:rFonts w:ascii="Palatino Linotype" w:hAnsi="Palatino Linotype"/>
          <w:i/>
        </w:rPr>
      </w:pPr>
      <w:r w:rsidRPr="001E6C71">
        <w:rPr>
          <w:rFonts w:ascii="Palatino Linotype" w:hAnsi="Palatino Linotype"/>
          <w:i/>
        </w:rPr>
        <w:t xml:space="preserve"> </w:t>
      </w:r>
      <w:r w:rsidRPr="001E6C71">
        <w:rPr>
          <w:rFonts w:ascii="Palatino Linotype" w:hAnsi="Palatino Linotype"/>
          <w:i/>
        </w:rPr>
        <w:sym w:font="Symbol" w:char="F0B7"/>
      </w:r>
      <w:r w:rsidRPr="001E6C71">
        <w:rPr>
          <w:rFonts w:ascii="Palatino Linotype" w:hAnsi="Palatino Linotype"/>
          <w:i/>
        </w:rPr>
        <w:t xml:space="preserve"> </w:t>
      </w:r>
      <w:r w:rsidRPr="001E6C71">
        <w:rPr>
          <w:rFonts w:ascii="Palatino Linotype" w:hAnsi="Palatino Linotype"/>
          <w:b/>
          <w:i/>
        </w:rPr>
        <w:t>Longitud:</w:t>
      </w:r>
      <w:r w:rsidRPr="001E6C71">
        <w:rPr>
          <w:rFonts w:ascii="Palatino Linotype" w:hAnsi="Palatino Linotype"/>
          <w:i/>
        </w:rPr>
        <w:t xml:space="preserve"> Distancia angular medida en grados sobre el ecuador entre el meridiano de un punto y otro de referencia, actualmente el que pasa por Greenwich.</w:t>
      </w:r>
    </w:p>
    <w:p w14:paraId="49D10F92" w14:textId="77777777" w:rsidR="003C3EAA" w:rsidRPr="001E6C71" w:rsidRDefault="003C3EAA" w:rsidP="003C3EAA">
      <w:pPr>
        <w:spacing w:line="360" w:lineRule="auto"/>
        <w:jc w:val="both"/>
        <w:rPr>
          <w:rFonts w:ascii="Palatino Linotype" w:hAnsi="Palatino Linotype"/>
          <w:sz w:val="24"/>
          <w:szCs w:val="24"/>
        </w:rPr>
      </w:pPr>
    </w:p>
    <w:p w14:paraId="744F35AB"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Entonces, las coordenadas se tratan de mediciones de ángulos, es decir, un dato meramente numérico. Sin embargo, el contexto general de la solicitud de información deriva de incidencia delictiva y/o de faltas administrativas.</w:t>
      </w:r>
    </w:p>
    <w:p w14:paraId="1DCAD4F6" w14:textId="77777777" w:rsidR="003C3EAA" w:rsidRPr="001E6C71" w:rsidRDefault="003C3EAA" w:rsidP="003C3EAA">
      <w:pPr>
        <w:spacing w:line="360" w:lineRule="auto"/>
        <w:jc w:val="both"/>
        <w:rPr>
          <w:rFonts w:ascii="Palatino Linotype" w:hAnsi="Palatino Linotype"/>
          <w:i/>
          <w:sz w:val="24"/>
          <w:szCs w:val="24"/>
        </w:rPr>
      </w:pPr>
    </w:p>
    <w:p w14:paraId="0958B451" w14:textId="77777777" w:rsidR="003C3EAA" w:rsidRPr="001E6C71" w:rsidRDefault="003C3EAA" w:rsidP="003C3EAA">
      <w:pPr>
        <w:spacing w:line="360" w:lineRule="auto"/>
        <w:jc w:val="both"/>
        <w:rPr>
          <w:rFonts w:ascii="Palatino Linotype" w:hAnsi="Palatino Linotype"/>
          <w:sz w:val="24"/>
          <w:szCs w:val="24"/>
        </w:rPr>
      </w:pPr>
      <w:r w:rsidRPr="001E6C71">
        <w:rPr>
          <w:rFonts w:ascii="Palatino Linotype" w:hAnsi="Palatino Linotype"/>
          <w:sz w:val="24"/>
          <w:szCs w:val="24"/>
        </w:rPr>
        <w:t>Así, resulta conveniente referir lo establecido en el artículo 43 de la Ley General del Sistema Nacional de Seguridad Pública, normatividad que dispone lo siguiente:</w:t>
      </w:r>
    </w:p>
    <w:p w14:paraId="2B0A3DD3" w14:textId="77777777" w:rsidR="003C3EAA" w:rsidRPr="001E6C71" w:rsidRDefault="003C3EAA" w:rsidP="003C3EAA">
      <w:pPr>
        <w:spacing w:line="360" w:lineRule="auto"/>
        <w:ind w:left="708"/>
        <w:jc w:val="both"/>
        <w:rPr>
          <w:rFonts w:ascii="Palatino Linotype" w:hAnsi="Palatino Linotype"/>
          <w:i/>
          <w:sz w:val="24"/>
          <w:szCs w:val="24"/>
        </w:rPr>
      </w:pPr>
      <w:r w:rsidRPr="001E6C71">
        <w:rPr>
          <w:rFonts w:ascii="Palatino Linotype" w:hAnsi="Palatino Linotype"/>
          <w:b/>
          <w:i/>
        </w:rPr>
        <w:t>Artículo 43</w:t>
      </w:r>
      <w:r w:rsidRPr="001E6C71">
        <w:rPr>
          <w:rFonts w:ascii="Palatino Linotype" w:hAnsi="Palatino Linotype"/>
          <w:i/>
        </w:rPr>
        <w:t>.- La Federación y las entidades federativas establecerán en las disposiciones legales correspondientes que los integrantes de las Instituciones Policiales deberán llenar un Informe Policial Homologado que contendrá, cuando menos, los siguientes datos:</w:t>
      </w:r>
    </w:p>
    <w:p w14:paraId="42F29C8C"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lastRenderedPageBreak/>
        <w:t>El área que lo emite;</w:t>
      </w:r>
    </w:p>
    <w:p w14:paraId="706C78FA"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 xml:space="preserve"> El usuario capturista; </w:t>
      </w:r>
    </w:p>
    <w:p w14:paraId="0C6A1206"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 xml:space="preserve">Los Datos Generales de registro;  </w:t>
      </w:r>
    </w:p>
    <w:p w14:paraId="5C4225C1"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Motivo, que se clasifica en;</w:t>
      </w:r>
    </w:p>
    <w:p w14:paraId="70AF3214"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 a) Tipo de evento, y </w:t>
      </w:r>
    </w:p>
    <w:p w14:paraId="0C2128B9"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b) Subtipo de evento.</w:t>
      </w:r>
    </w:p>
    <w:p w14:paraId="6F23F3A2" w14:textId="77777777" w:rsidR="003C3EAA" w:rsidRPr="001E6C71" w:rsidRDefault="003C3EAA" w:rsidP="003C3EAA">
      <w:pPr>
        <w:pStyle w:val="Prrafodelista"/>
        <w:numPr>
          <w:ilvl w:val="0"/>
          <w:numId w:val="8"/>
        </w:numPr>
        <w:spacing w:line="360" w:lineRule="auto"/>
        <w:jc w:val="both"/>
        <w:rPr>
          <w:rFonts w:ascii="Palatino Linotype" w:hAnsi="Palatino Linotype"/>
          <w:b/>
          <w:i/>
          <w:u w:val="single"/>
        </w:rPr>
      </w:pPr>
      <w:r w:rsidRPr="001E6C71">
        <w:rPr>
          <w:rFonts w:ascii="Palatino Linotype" w:hAnsi="Palatino Linotype"/>
          <w:b/>
          <w:i/>
          <w:u w:val="single"/>
        </w:rPr>
        <w:t xml:space="preserve">La ubicación del evento y en su caso, los caminos;  </w:t>
      </w:r>
    </w:p>
    <w:p w14:paraId="5146710E"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La descripción de hechos, que deberá detallar modo, tiempo y lugar, entre otros datos.</w:t>
      </w:r>
    </w:p>
    <w:p w14:paraId="166C12CF"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 xml:space="preserve"> Entrevistas realizadas, y  </w:t>
      </w:r>
    </w:p>
    <w:p w14:paraId="4B1A582E" w14:textId="77777777" w:rsidR="003C3EAA" w:rsidRPr="001E6C71" w:rsidRDefault="003C3EAA" w:rsidP="003C3EAA">
      <w:pPr>
        <w:pStyle w:val="Prrafodelista"/>
        <w:numPr>
          <w:ilvl w:val="0"/>
          <w:numId w:val="8"/>
        </w:numPr>
        <w:spacing w:line="360" w:lineRule="auto"/>
        <w:jc w:val="both"/>
        <w:rPr>
          <w:rFonts w:ascii="Palatino Linotype" w:hAnsi="Palatino Linotype"/>
          <w:i/>
        </w:rPr>
      </w:pPr>
      <w:r w:rsidRPr="001E6C71">
        <w:rPr>
          <w:rFonts w:ascii="Palatino Linotype" w:hAnsi="Palatino Linotype"/>
          <w:i/>
        </w:rPr>
        <w:t xml:space="preserve">En caso de detenciones: </w:t>
      </w:r>
    </w:p>
    <w:p w14:paraId="4CB5B367"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a) Señalar los motivos de la detención;</w:t>
      </w:r>
    </w:p>
    <w:p w14:paraId="71B05653"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 b) Descripción de la persona; </w:t>
      </w:r>
    </w:p>
    <w:p w14:paraId="14EC9B2D"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c) El nombre del detenido y apodo, en su caso; </w:t>
      </w:r>
    </w:p>
    <w:p w14:paraId="5409CBE9"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d) Descripción de estado físico aparente; </w:t>
      </w:r>
    </w:p>
    <w:p w14:paraId="16E09D30"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e) Objetos que le fueron encontrados; </w:t>
      </w:r>
    </w:p>
    <w:p w14:paraId="41FAF15C"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 xml:space="preserve">f) Autoridad a la que fue puesto a disposición, y </w:t>
      </w:r>
    </w:p>
    <w:p w14:paraId="530A35BB" w14:textId="77777777" w:rsidR="003C3EAA" w:rsidRPr="001E6C71" w:rsidRDefault="003C3EAA" w:rsidP="003C3EAA">
      <w:pPr>
        <w:pStyle w:val="Prrafodelista"/>
        <w:spacing w:line="360" w:lineRule="auto"/>
        <w:ind w:left="1428"/>
        <w:jc w:val="both"/>
        <w:rPr>
          <w:rFonts w:ascii="Palatino Linotype" w:hAnsi="Palatino Linotype"/>
          <w:i/>
        </w:rPr>
      </w:pPr>
      <w:r w:rsidRPr="001E6C71">
        <w:rPr>
          <w:rFonts w:ascii="Palatino Linotype" w:hAnsi="Palatino Linotype"/>
          <w:i/>
        </w:rPr>
        <w:t>g) Lugar en el que fue puesto a disposición.</w:t>
      </w:r>
    </w:p>
    <w:p w14:paraId="49BC2292" w14:textId="77777777" w:rsidR="003C3EAA" w:rsidRPr="001E6C71" w:rsidRDefault="003C3EAA" w:rsidP="003C3EAA">
      <w:pPr>
        <w:tabs>
          <w:tab w:val="left" w:pos="709"/>
        </w:tabs>
        <w:spacing w:before="240" w:line="360" w:lineRule="auto"/>
        <w:ind w:right="51"/>
        <w:jc w:val="both"/>
        <w:rPr>
          <w:rFonts w:ascii="Palatino Linotype" w:hAnsi="Palatino Linotype"/>
          <w:sz w:val="24"/>
          <w:szCs w:val="24"/>
        </w:rPr>
      </w:pPr>
      <w:r w:rsidRPr="001E6C71">
        <w:rPr>
          <w:rFonts w:ascii="Palatino Linotype" w:hAnsi="Palatino Linotype"/>
          <w:sz w:val="24"/>
          <w:szCs w:val="24"/>
        </w:rPr>
        <w:t xml:space="preserve">En este sentido, sobre el tema de las coordenadas, debemos señalar que </w:t>
      </w:r>
      <w:r w:rsidRPr="001E6C71">
        <w:rPr>
          <w:rFonts w:ascii="Palatino Linotype" w:hAnsi="Palatino Linotype"/>
          <w:sz w:val="24"/>
          <w:szCs w:val="24"/>
          <w:u w:val="single"/>
        </w:rPr>
        <w:t>dar a conocerlas permitiría identificar el lugar específico de la posible comisión de un delito</w:t>
      </w:r>
      <w:r w:rsidRPr="001E6C71">
        <w:rPr>
          <w:rFonts w:ascii="Palatino Linotype" w:hAnsi="Palatino Linotype"/>
          <w:sz w:val="24"/>
          <w:szCs w:val="24"/>
        </w:rPr>
        <w:t xml:space="preserve"> y en el caso de que dicho sitio sea un domicilio particular, la información actualiza la causal de confidencialidad, por tratarse de datos personales ya que se hace identificable la vivienda de una o varias personas. De manera complementaria, no debe de resultar desapercibido que </w:t>
      </w:r>
      <w:r w:rsidRPr="001E6C71">
        <w:rPr>
          <w:rFonts w:ascii="Palatino Linotype" w:hAnsi="Palatino Linotype"/>
          <w:sz w:val="24"/>
          <w:szCs w:val="24"/>
          <w:u w:val="single"/>
        </w:rPr>
        <w:t>las coordenadas requeridas se encuentran vinculadas con</w:t>
      </w:r>
      <w:r w:rsidR="008D236E" w:rsidRPr="001E6C71">
        <w:rPr>
          <w:rFonts w:ascii="Palatino Linotype" w:hAnsi="Palatino Linotype"/>
          <w:sz w:val="24"/>
          <w:szCs w:val="24"/>
          <w:u w:val="single"/>
        </w:rPr>
        <w:t xml:space="preserve"> hechos constitutivos de delito</w:t>
      </w:r>
      <w:r w:rsidRPr="001E6C71">
        <w:rPr>
          <w:rFonts w:ascii="Palatino Linotype" w:hAnsi="Palatino Linotype"/>
          <w:sz w:val="24"/>
          <w:szCs w:val="24"/>
          <w:u w:val="single"/>
        </w:rPr>
        <w:t xml:space="preserve">, </w:t>
      </w:r>
      <w:r w:rsidR="008D236E" w:rsidRPr="001E6C71">
        <w:rPr>
          <w:rFonts w:ascii="Palatino Linotype" w:hAnsi="Palatino Linotype"/>
          <w:sz w:val="24"/>
          <w:szCs w:val="24"/>
          <w:u w:val="single"/>
        </w:rPr>
        <w:t>como lo es el delito contra la salud los cuales se encuentran regulados por el código penal Federal en su Título Séptimo</w:t>
      </w:r>
      <w:r w:rsidRPr="001E6C71">
        <w:rPr>
          <w:rFonts w:ascii="Palatino Linotype" w:hAnsi="Palatino Linotype"/>
          <w:sz w:val="24"/>
          <w:szCs w:val="24"/>
        </w:rPr>
        <w:t xml:space="preserve">, por ello, </w:t>
      </w:r>
      <w:r w:rsidRPr="001E6C71">
        <w:rPr>
          <w:rFonts w:ascii="Palatino Linotype" w:hAnsi="Palatino Linotype"/>
          <w:b/>
          <w:sz w:val="24"/>
          <w:szCs w:val="24"/>
        </w:rPr>
        <w:t xml:space="preserve">la difusión de dicha </w:t>
      </w:r>
      <w:r w:rsidRPr="001E6C71">
        <w:rPr>
          <w:rFonts w:ascii="Palatino Linotype" w:hAnsi="Palatino Linotype"/>
          <w:b/>
          <w:sz w:val="24"/>
          <w:szCs w:val="24"/>
        </w:rPr>
        <w:lastRenderedPageBreak/>
        <w:t>información invariablemente conduce a re victimización</w:t>
      </w:r>
      <w:r w:rsidRPr="001E6C71">
        <w:rPr>
          <w:rFonts w:ascii="Palatino Linotype" w:hAnsi="Palatino Linotype"/>
          <w:sz w:val="24"/>
          <w:szCs w:val="24"/>
        </w:rPr>
        <w:t xml:space="preserve"> y </w:t>
      </w:r>
      <w:r w:rsidRPr="001E6C71">
        <w:rPr>
          <w:rFonts w:ascii="Palatino Linotype" w:hAnsi="Palatino Linotype"/>
          <w:b/>
          <w:sz w:val="24"/>
          <w:szCs w:val="24"/>
        </w:rPr>
        <w:t>discriminación de particulares</w:t>
      </w:r>
      <w:r w:rsidRPr="001E6C71">
        <w:rPr>
          <w:rFonts w:ascii="Palatino Linotype" w:hAnsi="Palatino Linotype"/>
          <w:sz w:val="24"/>
          <w:szCs w:val="24"/>
        </w:rPr>
        <w:t>, resultando conducente la salvaguarda de la información, en estricta observancia a la restricción prevista en el numeral 143 de la Ley de Transparencia local -información confidencial- y demás normatividad aplicable.</w:t>
      </w:r>
    </w:p>
    <w:p w14:paraId="51871A7F" w14:textId="77777777" w:rsidR="00E24A1B" w:rsidRPr="001E6C71" w:rsidRDefault="00E24A1B" w:rsidP="003C3EAA">
      <w:pPr>
        <w:tabs>
          <w:tab w:val="left" w:pos="709"/>
        </w:tabs>
        <w:spacing w:before="240" w:line="360" w:lineRule="auto"/>
        <w:ind w:right="51"/>
        <w:jc w:val="both"/>
        <w:rPr>
          <w:rFonts w:ascii="Palatino Linotype" w:hAnsi="Palatino Linotype"/>
          <w:sz w:val="24"/>
          <w:szCs w:val="24"/>
        </w:rPr>
      </w:pPr>
    </w:p>
    <w:p w14:paraId="471063B6" w14:textId="77777777" w:rsidR="003C3EAA" w:rsidRPr="001E6C71" w:rsidRDefault="003C3EAA" w:rsidP="003C3EAA">
      <w:pPr>
        <w:tabs>
          <w:tab w:val="left" w:pos="709"/>
        </w:tabs>
        <w:spacing w:before="240" w:line="360" w:lineRule="auto"/>
        <w:ind w:right="51"/>
        <w:jc w:val="both"/>
        <w:rPr>
          <w:rFonts w:ascii="Palatino Linotype" w:hAnsi="Palatino Linotype"/>
          <w:color w:val="222222"/>
          <w:sz w:val="24"/>
          <w:szCs w:val="24"/>
        </w:rPr>
      </w:pPr>
      <w:r w:rsidRPr="001E6C71">
        <w:rPr>
          <w:rFonts w:ascii="Palatino Linotype" w:hAnsi="Palatino Linotype"/>
          <w:color w:val="222222"/>
          <w:sz w:val="24"/>
          <w:szCs w:val="24"/>
        </w:rPr>
        <w:t xml:space="preserve">Por lo que, en vista que el </w:t>
      </w:r>
      <w:r w:rsidRPr="001E6C71">
        <w:rPr>
          <w:rFonts w:ascii="Palatino Linotype" w:hAnsi="Palatino Linotype"/>
          <w:b/>
          <w:color w:val="222222"/>
          <w:sz w:val="24"/>
          <w:szCs w:val="24"/>
        </w:rPr>
        <w:t xml:space="preserve">Sujeto Obligado </w:t>
      </w:r>
      <w:r w:rsidRPr="001E6C71">
        <w:rPr>
          <w:rFonts w:ascii="Palatino Linotype" w:hAnsi="Palatino Linotype"/>
          <w:color w:val="222222"/>
          <w:sz w:val="24"/>
          <w:szCs w:val="24"/>
        </w:rPr>
        <w:t xml:space="preserve">brindó las coordenadas  de delitos </w:t>
      </w:r>
      <w:r w:rsidR="008D236E" w:rsidRPr="001E6C71">
        <w:rPr>
          <w:rFonts w:ascii="Palatino Linotype" w:hAnsi="Palatino Linotype"/>
          <w:color w:val="222222"/>
          <w:sz w:val="24"/>
          <w:szCs w:val="24"/>
        </w:rPr>
        <w:t>contra la salud</w:t>
      </w:r>
      <w:r w:rsidRPr="001E6C71">
        <w:rPr>
          <w:rFonts w:ascii="Palatino Linotype" w:hAnsi="Palatino Linotype"/>
          <w:color w:val="222222"/>
          <w:sz w:val="24"/>
          <w:szCs w:val="24"/>
        </w:rPr>
        <w:t xml:space="preserve"> este Instituto ordena que se gire </w:t>
      </w:r>
      <w:r w:rsidRPr="001E6C71">
        <w:rPr>
          <w:rFonts w:ascii="Palatino Linotype" w:hAnsi="Palatino Linotype"/>
          <w:sz w:val="24"/>
          <w:szCs w:val="24"/>
          <w:lang w:eastAsia="es-ES_tradnl"/>
        </w:rPr>
        <w:t>oficio al Titular de la Dirección General de Protección de Datos Personales, en atención al artículo 82, fracción XXVII de la Ley de Protección de Datos Personales del Estado de México y Municipios</w:t>
      </w:r>
      <w:r w:rsidRPr="001E6C71">
        <w:rPr>
          <w:rFonts w:ascii="Palatino Linotype" w:hAnsi="Palatino Linotype"/>
          <w:b/>
          <w:sz w:val="24"/>
          <w:szCs w:val="24"/>
        </w:rPr>
        <w:t>.</w:t>
      </w:r>
    </w:p>
    <w:p w14:paraId="5ACE1455" w14:textId="77777777" w:rsidR="00E24A1B" w:rsidRPr="001E6C71" w:rsidRDefault="00E24A1B" w:rsidP="003C3EAA">
      <w:pPr>
        <w:spacing w:after="0" w:line="360" w:lineRule="auto"/>
        <w:jc w:val="both"/>
        <w:rPr>
          <w:rFonts w:ascii="Palatino Linotype" w:eastAsia="Palatino Linotype" w:hAnsi="Palatino Linotype" w:cs="Palatino Linotype"/>
          <w:sz w:val="24"/>
          <w:szCs w:val="24"/>
          <w:lang w:val="es-ES"/>
        </w:rPr>
      </w:pPr>
    </w:p>
    <w:p w14:paraId="2EEEEB34" w14:textId="77777777" w:rsidR="00E24A1B" w:rsidRPr="001E6C71" w:rsidRDefault="00E24A1B" w:rsidP="00E24A1B">
      <w:pPr>
        <w:tabs>
          <w:tab w:val="left" w:pos="7088"/>
        </w:tabs>
        <w:autoSpaceDE w:val="0"/>
        <w:autoSpaceDN w:val="0"/>
        <w:adjustRightInd w:val="0"/>
        <w:spacing w:line="360" w:lineRule="auto"/>
        <w:jc w:val="both"/>
        <w:rPr>
          <w:rFonts w:ascii="Palatino Linotype" w:hAnsi="Palatino Linotype"/>
          <w:b/>
          <w:i/>
          <w:color w:val="000000"/>
          <w:sz w:val="24"/>
          <w:szCs w:val="24"/>
        </w:rPr>
      </w:pPr>
      <w:r w:rsidRPr="001E6C71">
        <w:rPr>
          <w:rFonts w:ascii="Palatino Linotype" w:hAnsi="Palatino Linotype" w:cs="Arial"/>
          <w:sz w:val="24"/>
          <w:szCs w:val="24"/>
        </w:rPr>
        <w:t>Por lo descrito con anterioridad respecto las manifestaciones realizadas mediante la impugnación de la respuesta del Sujeto Obligado correspondiente a “</w:t>
      </w:r>
      <w:r w:rsidRPr="001E6C71">
        <w:rPr>
          <w:rFonts w:ascii="Palatino Linotype" w:hAnsi="Palatino Linotype"/>
          <w:i/>
          <w:color w:val="000000"/>
          <w:sz w:val="24"/>
          <w:szCs w:val="24"/>
          <w:u w:val="single"/>
        </w:rPr>
        <w:t>…</w:t>
      </w:r>
      <w:r w:rsidRPr="001E6C71">
        <w:rPr>
          <w:rFonts w:ascii="Palatino Linotype" w:hAnsi="Palatino Linotype"/>
          <w:b/>
          <w:i/>
          <w:color w:val="000000"/>
          <w:sz w:val="24"/>
          <w:szCs w:val="24"/>
          <w:u w:val="single"/>
        </w:rPr>
        <w:t>hasta el 26 de febrero del presente año</w:t>
      </w:r>
      <w:r w:rsidRPr="001E6C71">
        <w:rPr>
          <w:rFonts w:ascii="Palatino Linotype" w:hAnsi="Palatino Linotype"/>
          <w:i/>
          <w:color w:val="000000"/>
          <w:sz w:val="24"/>
          <w:szCs w:val="24"/>
          <w:u w:val="single"/>
        </w:rPr>
        <w:t>…</w:t>
      </w:r>
      <w:r w:rsidRPr="001E6C71">
        <w:rPr>
          <w:rFonts w:ascii="Palatino Linotype" w:hAnsi="Palatino Linotype"/>
          <w:i/>
          <w:color w:val="000000"/>
          <w:sz w:val="24"/>
          <w:szCs w:val="24"/>
        </w:rPr>
        <w:t xml:space="preserve">” </w:t>
      </w:r>
      <w:r w:rsidRPr="001E6C71">
        <w:rPr>
          <w:rFonts w:ascii="Palatino Linotype" w:hAnsi="Palatino Linotype"/>
          <w:color w:val="000000"/>
          <w:sz w:val="24"/>
          <w:szCs w:val="24"/>
        </w:rPr>
        <w:t>el Recurrente establece nuevos puntos a su solicitud de información</w:t>
      </w:r>
      <w:r w:rsidRPr="001E6C71">
        <w:rPr>
          <w:rFonts w:ascii="Palatino Linotype" w:hAnsi="Palatino Linotype" w:cs="Arial"/>
          <w:i/>
          <w:sz w:val="24"/>
          <w:szCs w:val="24"/>
        </w:rPr>
        <w:t xml:space="preserve"> </w:t>
      </w:r>
      <w:r w:rsidRPr="001E6C71">
        <w:rPr>
          <w:rFonts w:ascii="Palatino Linotype" w:hAnsi="Palatino Linotype" w:cs="Arial"/>
          <w:sz w:val="24"/>
          <w:szCs w:val="24"/>
        </w:rPr>
        <w:t xml:space="preserve"> los cuales son considerados “</w:t>
      </w:r>
      <w:r w:rsidRPr="001E6C71">
        <w:rPr>
          <w:rFonts w:ascii="Palatino Linotype" w:hAnsi="Palatino Linotype" w:cs="Arial"/>
          <w:b/>
          <w:i/>
          <w:sz w:val="24"/>
          <w:szCs w:val="24"/>
        </w:rPr>
        <w:t>plus petitio”</w:t>
      </w:r>
      <w:r w:rsidRPr="001E6C71">
        <w:rPr>
          <w:rFonts w:ascii="Palatino Linotype" w:hAnsi="Palatino Linotype" w:cs="Arial"/>
          <w:i/>
          <w:sz w:val="24"/>
          <w:szCs w:val="24"/>
        </w:rPr>
        <w:t xml:space="preserve"> </w:t>
      </w:r>
      <w:r w:rsidRPr="001E6C71">
        <w:rPr>
          <w:rFonts w:ascii="Palatino Linotype" w:hAnsi="Palatino Linotype" w:cs="Arial"/>
          <w:sz w:val="24"/>
          <w:szCs w:val="24"/>
        </w:rPr>
        <w:t>y no son susceptibles de ser valorados.</w:t>
      </w:r>
    </w:p>
    <w:p w14:paraId="1EC1FA11" w14:textId="77777777" w:rsidR="00E24A1B" w:rsidRPr="001E6C71" w:rsidRDefault="00E24A1B" w:rsidP="00E24A1B">
      <w:pPr>
        <w:tabs>
          <w:tab w:val="left" w:pos="7088"/>
        </w:tabs>
        <w:autoSpaceDE w:val="0"/>
        <w:autoSpaceDN w:val="0"/>
        <w:adjustRightInd w:val="0"/>
        <w:spacing w:line="360" w:lineRule="auto"/>
        <w:jc w:val="both"/>
        <w:rPr>
          <w:rFonts w:ascii="Palatino Linotype" w:hAnsi="Palatino Linotype"/>
          <w:b/>
          <w:i/>
          <w:color w:val="000000"/>
          <w:sz w:val="24"/>
          <w:szCs w:val="24"/>
        </w:rPr>
      </w:pPr>
    </w:p>
    <w:p w14:paraId="12A31F4B" w14:textId="77777777" w:rsidR="00E24A1B" w:rsidRPr="001E6C71" w:rsidRDefault="00E24A1B" w:rsidP="00E24A1B">
      <w:pPr>
        <w:tabs>
          <w:tab w:val="left" w:pos="7088"/>
        </w:tabs>
        <w:autoSpaceDE w:val="0"/>
        <w:autoSpaceDN w:val="0"/>
        <w:adjustRightInd w:val="0"/>
        <w:spacing w:line="360" w:lineRule="auto"/>
        <w:jc w:val="both"/>
        <w:rPr>
          <w:rFonts w:ascii="Palatino Linotype" w:hAnsi="Palatino Linotype" w:cs="Arial"/>
          <w:sz w:val="24"/>
          <w:szCs w:val="24"/>
        </w:rPr>
      </w:pPr>
      <w:r w:rsidRPr="001E6C71">
        <w:rPr>
          <w:rFonts w:ascii="Palatino Linotype" w:hAnsi="Palatino Linotype" w:cs="Arial"/>
          <w:sz w:val="24"/>
          <w:szCs w:val="24"/>
        </w:rPr>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16F42DCE" w14:textId="77777777" w:rsidR="00E24A1B" w:rsidRPr="001E6C71" w:rsidRDefault="00E24A1B" w:rsidP="00E24A1B">
      <w:pPr>
        <w:tabs>
          <w:tab w:val="left" w:pos="7088"/>
        </w:tabs>
        <w:autoSpaceDE w:val="0"/>
        <w:autoSpaceDN w:val="0"/>
        <w:adjustRightInd w:val="0"/>
        <w:spacing w:line="360" w:lineRule="auto"/>
        <w:jc w:val="both"/>
        <w:rPr>
          <w:rFonts w:ascii="Palatino Linotype" w:hAnsi="Palatino Linotype" w:cs="Arial"/>
          <w:sz w:val="24"/>
          <w:szCs w:val="24"/>
        </w:rPr>
      </w:pPr>
    </w:p>
    <w:p w14:paraId="308DFC19" w14:textId="77777777" w:rsidR="00E24A1B" w:rsidRPr="001E6C71" w:rsidRDefault="00E24A1B" w:rsidP="00E24A1B">
      <w:pPr>
        <w:tabs>
          <w:tab w:val="left" w:pos="7088"/>
        </w:tabs>
        <w:spacing w:line="360" w:lineRule="auto"/>
        <w:jc w:val="both"/>
        <w:rPr>
          <w:rFonts w:ascii="Palatino Linotype" w:hAnsi="Palatino Linotype" w:cs="Arial"/>
          <w:bCs/>
          <w:sz w:val="24"/>
          <w:szCs w:val="24"/>
        </w:rPr>
      </w:pPr>
      <w:r w:rsidRPr="001E6C71">
        <w:rPr>
          <w:rFonts w:ascii="Palatino Linotype" w:hAnsi="Palatino Linotype" w:cs="Arial"/>
          <w:bCs/>
          <w:sz w:val="24"/>
          <w:szCs w:val="24"/>
        </w:rPr>
        <w:t>Sirve de apoyo a lo anterior por analogía, la Jurisprudencia No. 29 visible a foja 19 del Apéndice al Semanario Judicial de la Federación 1917-1995, Tomo IV, Materia Común, Primera Parte, Tesis de la Suprema Corte de Justicia, que señala:</w:t>
      </w:r>
    </w:p>
    <w:p w14:paraId="520D10C4" w14:textId="77777777" w:rsidR="00E24A1B" w:rsidRPr="001E6C71" w:rsidRDefault="00E24A1B" w:rsidP="00E24A1B">
      <w:pPr>
        <w:spacing w:line="360" w:lineRule="auto"/>
        <w:ind w:left="567" w:right="616"/>
        <w:jc w:val="both"/>
        <w:rPr>
          <w:rFonts w:ascii="Palatino Linotype" w:hAnsi="Palatino Linotype" w:cs="Arial"/>
          <w:b/>
          <w:bCs/>
          <w:i/>
        </w:rPr>
      </w:pPr>
      <w:r w:rsidRPr="001E6C71">
        <w:rPr>
          <w:rFonts w:ascii="Palatino Linotype" w:hAnsi="Palatino Linotype" w:cs="Arial"/>
          <w:b/>
          <w:bCs/>
          <w:i/>
        </w:rPr>
        <w:t>“AGRAVIOS EN LA REVISIÓN. DEBEN ESTAR EN RELACIÓN DIRECTA CON LOS FUNDAMENTOS Y CONSIDERACIONES DE LA SENTENCIA</w:t>
      </w:r>
    </w:p>
    <w:p w14:paraId="5A490632" w14:textId="77777777" w:rsidR="00E24A1B" w:rsidRPr="001E6C71" w:rsidRDefault="00E24A1B" w:rsidP="00E24A1B">
      <w:pPr>
        <w:tabs>
          <w:tab w:val="left" w:pos="7797"/>
        </w:tabs>
        <w:spacing w:line="360" w:lineRule="auto"/>
        <w:ind w:left="567" w:right="616"/>
        <w:jc w:val="both"/>
        <w:rPr>
          <w:rFonts w:ascii="Palatino Linotype" w:hAnsi="Palatino Linotype" w:cs="Arial"/>
          <w:bCs/>
          <w:i/>
        </w:rPr>
      </w:pPr>
      <w:r w:rsidRPr="001E6C71">
        <w:rPr>
          <w:rFonts w:ascii="Palatino Linotype" w:hAnsi="Palatino Linotype" w:cs="Arial"/>
          <w:b/>
          <w:bCs/>
          <w:i/>
          <w:u w:val="single"/>
        </w:rPr>
        <w:t>Los agravios deben estar en relación directa e inmediata con los fundamentos contenidos en la sentencia que se recurre</w:t>
      </w:r>
      <w:r w:rsidRPr="001E6C71">
        <w:rPr>
          <w:rFonts w:ascii="Palatino Linotype" w:hAnsi="Palatino Linotype" w:cs="Arial"/>
          <w:bCs/>
          <w:i/>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1E6C71">
        <w:rPr>
          <w:rFonts w:ascii="Palatino Linotype" w:hAnsi="Palatino Linotype"/>
          <w:b/>
          <w:i/>
        </w:rPr>
        <w:t>[Sic]</w:t>
      </w:r>
    </w:p>
    <w:p w14:paraId="3E7F8195" w14:textId="77777777" w:rsidR="00E24A1B" w:rsidRPr="001E6C71" w:rsidRDefault="00E24A1B" w:rsidP="00E24A1B">
      <w:pPr>
        <w:tabs>
          <w:tab w:val="left" w:pos="7088"/>
          <w:tab w:val="left" w:pos="7230"/>
        </w:tabs>
        <w:spacing w:line="360" w:lineRule="auto"/>
        <w:jc w:val="both"/>
        <w:rPr>
          <w:rFonts w:ascii="Palatino Linotype" w:hAnsi="Palatino Linotype" w:cs="Arial"/>
          <w:bCs/>
          <w:sz w:val="24"/>
          <w:szCs w:val="24"/>
        </w:rPr>
      </w:pPr>
    </w:p>
    <w:p w14:paraId="3C9B0DAA" w14:textId="77777777" w:rsidR="00E24A1B" w:rsidRPr="001E6C71" w:rsidRDefault="00E24A1B" w:rsidP="00E24A1B">
      <w:pPr>
        <w:tabs>
          <w:tab w:val="left" w:pos="7088"/>
          <w:tab w:val="left" w:pos="7230"/>
        </w:tabs>
        <w:spacing w:line="360" w:lineRule="auto"/>
        <w:jc w:val="both"/>
        <w:rPr>
          <w:rFonts w:ascii="Palatino Linotype" w:hAnsi="Palatino Linotype" w:cs="Arial"/>
          <w:bCs/>
          <w:sz w:val="24"/>
          <w:szCs w:val="24"/>
        </w:rPr>
      </w:pPr>
      <w:r w:rsidRPr="001E6C71">
        <w:rPr>
          <w:rFonts w:ascii="Palatino Linotype" w:hAnsi="Palatino Linotype" w:cs="Arial"/>
          <w:bCs/>
          <w:sz w:val="24"/>
          <w:szCs w:val="24"/>
        </w:rPr>
        <w:t>Por lo anterior, se establece que dentro del recurso de revisión presentado por el</w:t>
      </w:r>
      <w:r w:rsidRPr="001E6C71">
        <w:rPr>
          <w:rFonts w:ascii="Palatino Linotype" w:hAnsi="Palatino Linotype" w:cs="Arial"/>
          <w:b/>
          <w:bCs/>
          <w:sz w:val="24"/>
          <w:szCs w:val="24"/>
        </w:rPr>
        <w:t xml:space="preserve"> Recurrente </w:t>
      </w:r>
      <w:r w:rsidRPr="001E6C71">
        <w:rPr>
          <w:rFonts w:ascii="Palatino Linotype" w:hAnsi="Palatino Linotype" w:cs="Arial"/>
          <w:bCs/>
          <w:sz w:val="24"/>
          <w:szCs w:val="24"/>
        </w:rPr>
        <w:t xml:space="preserve">no debe variar el fondo de </w:t>
      </w:r>
      <w:r w:rsidRPr="001E6C71">
        <w:rPr>
          <w:rFonts w:ascii="Palatino Linotype" w:hAnsi="Palatino Linotype" w:cs="Arial"/>
          <w:bCs/>
          <w:i/>
          <w:sz w:val="24"/>
          <w:szCs w:val="24"/>
        </w:rPr>
        <w:t>la litis,</w:t>
      </w:r>
      <w:r w:rsidRPr="001E6C71">
        <w:rPr>
          <w:rFonts w:ascii="Palatino Linotype" w:hAnsi="Palatino Linotype" w:cs="Arial"/>
          <w:bCs/>
          <w:sz w:val="24"/>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2368191D" w14:textId="77777777" w:rsidR="00E24A1B" w:rsidRPr="001E6C71" w:rsidRDefault="00E24A1B" w:rsidP="00E24A1B">
      <w:pPr>
        <w:tabs>
          <w:tab w:val="left" w:pos="7088"/>
          <w:tab w:val="left" w:pos="7230"/>
        </w:tabs>
        <w:spacing w:line="360" w:lineRule="auto"/>
        <w:jc w:val="both"/>
        <w:rPr>
          <w:rFonts w:ascii="Palatino Linotype" w:hAnsi="Palatino Linotype" w:cs="Arial"/>
          <w:bCs/>
          <w:sz w:val="24"/>
          <w:szCs w:val="24"/>
        </w:rPr>
      </w:pPr>
    </w:p>
    <w:p w14:paraId="6B9825A7" w14:textId="77777777" w:rsidR="00E24A1B" w:rsidRPr="001E6C71" w:rsidRDefault="00E24A1B" w:rsidP="00E24A1B">
      <w:pPr>
        <w:tabs>
          <w:tab w:val="left" w:pos="7088"/>
          <w:tab w:val="left" w:pos="7230"/>
        </w:tabs>
        <w:spacing w:line="360" w:lineRule="auto"/>
        <w:jc w:val="both"/>
        <w:rPr>
          <w:rFonts w:ascii="Palatino Linotype" w:hAnsi="Palatino Linotype" w:cs="Arial"/>
          <w:bCs/>
          <w:sz w:val="24"/>
          <w:szCs w:val="24"/>
        </w:rPr>
      </w:pPr>
      <w:r w:rsidRPr="001E6C71">
        <w:rPr>
          <w:rFonts w:ascii="Palatino Linotype" w:hAnsi="Palatino Linotype" w:cs="Arial"/>
          <w:bCs/>
          <w:sz w:val="24"/>
          <w:szCs w:val="24"/>
        </w:rPr>
        <w:t xml:space="preserve">De igual manera, tiene aplicación al respecto por analogía, la tesis aislada número I.8o.A.136 A, de la Novena Época, publicada en el Seminario Oficial de la Federación y </w:t>
      </w:r>
      <w:r w:rsidRPr="001E6C71">
        <w:rPr>
          <w:rFonts w:ascii="Palatino Linotype" w:hAnsi="Palatino Linotype" w:cs="Arial"/>
          <w:bCs/>
          <w:sz w:val="24"/>
          <w:szCs w:val="24"/>
        </w:rPr>
        <w:lastRenderedPageBreak/>
        <w:t>su Gaceta Tomo XXIX, Marzo de 2009, página 2887, con número de registro 167607, que lleva por rubro y texto los siguientes:</w:t>
      </w:r>
    </w:p>
    <w:p w14:paraId="46E979BE" w14:textId="77777777" w:rsidR="00E24A1B" w:rsidRPr="001E6C71" w:rsidRDefault="00E24A1B" w:rsidP="00E24A1B">
      <w:pPr>
        <w:tabs>
          <w:tab w:val="left" w:pos="6237"/>
        </w:tabs>
        <w:spacing w:line="360" w:lineRule="auto"/>
        <w:ind w:left="567" w:right="616"/>
        <w:jc w:val="both"/>
        <w:rPr>
          <w:rFonts w:ascii="Palatino Linotype" w:hAnsi="Palatino Linotype" w:cs="Arial"/>
          <w:b/>
          <w:bCs/>
          <w:i/>
          <w:sz w:val="24"/>
          <w:szCs w:val="24"/>
          <w:u w:val="single"/>
        </w:rPr>
      </w:pPr>
      <w:r w:rsidRPr="001E6C71">
        <w:rPr>
          <w:rFonts w:ascii="Palatino Linotype" w:hAnsi="Palatino Linotype" w:cs="Arial"/>
          <w:b/>
          <w:bCs/>
          <w:i/>
          <w:sz w:val="24"/>
          <w:szCs w:val="24"/>
        </w:rPr>
        <w:t>“</w:t>
      </w:r>
      <w:r w:rsidRPr="001E6C71">
        <w:rPr>
          <w:rFonts w:ascii="Palatino Linotype" w:hAnsi="Palatino Linotype" w:cs="Arial"/>
          <w:b/>
          <w:bCs/>
          <w:i/>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1E6C71">
        <w:rPr>
          <w:rFonts w:ascii="Palatino Linotype" w:hAnsi="Palatino Linotype" w:cs="Arial"/>
          <w:b/>
          <w:bCs/>
          <w:i/>
          <w:u w:val="single"/>
        </w:rPr>
        <w:t xml:space="preserve">O SEAN DISTINTOS A LOS DE SU PETICIÓN INICIAL. </w:t>
      </w:r>
      <w:r w:rsidRPr="001E6C71">
        <w:rPr>
          <w:rFonts w:ascii="Palatino Linotype" w:hAnsi="Palatino Linotype" w:cs="Arial"/>
          <w:bCs/>
          <w:i/>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1E6C71">
        <w:rPr>
          <w:rFonts w:ascii="Palatino Linotype" w:hAnsi="Palatino Linotype" w:cs="Arial"/>
          <w:b/>
          <w:bCs/>
          <w:i/>
          <w:u w:val="single"/>
        </w:rPr>
        <w:t>el precepto 6 de la propia legislación prevé el principio de máxima publicidad y disponibilidad de la información en posesión de los sujetos obligados;</w:t>
      </w:r>
      <w:r w:rsidRPr="001E6C71">
        <w:rPr>
          <w:rFonts w:ascii="Palatino Linotype" w:hAnsi="Palatino Linotype" w:cs="Arial"/>
          <w:bCs/>
          <w:i/>
        </w:rPr>
        <w:t xml:space="preserve"> también lo es que ello no implica que tales numerales deban interpretarse en el sentido de permitir al gobernado que a su arbitrio solicite copia de documentos que no obren en los expedientes de los sujetos obligados</w:t>
      </w:r>
      <w:r w:rsidRPr="001E6C71">
        <w:rPr>
          <w:rFonts w:ascii="Palatino Linotype" w:hAnsi="Palatino Linotype" w:cs="Arial"/>
          <w:b/>
          <w:bCs/>
          <w:i/>
        </w:rPr>
        <w:t xml:space="preserve">, </w:t>
      </w:r>
      <w:r w:rsidRPr="001E6C71">
        <w:rPr>
          <w:rFonts w:ascii="Palatino Linotype" w:hAnsi="Palatino Linotype" w:cs="Arial"/>
          <w:b/>
          <w:bCs/>
          <w:i/>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05F05474" w14:textId="77777777" w:rsidR="00E24A1B" w:rsidRPr="001E6C71" w:rsidRDefault="00E24A1B" w:rsidP="00E24A1B">
      <w:pPr>
        <w:tabs>
          <w:tab w:val="left" w:pos="6237"/>
        </w:tabs>
        <w:spacing w:line="360" w:lineRule="auto"/>
        <w:ind w:left="567" w:right="616"/>
        <w:jc w:val="both"/>
        <w:rPr>
          <w:rFonts w:ascii="Palatino Linotype" w:hAnsi="Palatino Linotype" w:cs="Arial"/>
          <w:bCs/>
          <w:i/>
          <w:sz w:val="24"/>
          <w:szCs w:val="24"/>
        </w:rPr>
      </w:pPr>
      <w:r w:rsidRPr="001E6C71">
        <w:rPr>
          <w:rFonts w:ascii="Palatino Linotype" w:hAnsi="Palatino Linotype" w:cs="Arial"/>
          <w:bCs/>
          <w:i/>
          <w:sz w:val="16"/>
          <w:szCs w:val="16"/>
        </w:rPr>
        <w:t>OCTAVO TRIBUNAL COLEGIADO EN MATERIA ADMINISTRATIVA DEL PRIMER CIRCUITO</w:t>
      </w:r>
      <w:r w:rsidRPr="001E6C71">
        <w:rPr>
          <w:rFonts w:ascii="Palatino Linotype" w:hAnsi="Palatino Linotype" w:cs="Arial"/>
          <w:bCs/>
          <w:i/>
          <w:sz w:val="24"/>
          <w:szCs w:val="24"/>
        </w:rPr>
        <w:t xml:space="preserve">.” </w:t>
      </w:r>
      <w:r w:rsidRPr="001E6C71">
        <w:rPr>
          <w:rFonts w:ascii="Palatino Linotype" w:hAnsi="Palatino Linotype"/>
          <w:b/>
          <w:i/>
          <w:sz w:val="24"/>
          <w:szCs w:val="24"/>
        </w:rPr>
        <w:t>[Sic]</w:t>
      </w:r>
    </w:p>
    <w:p w14:paraId="6FE4A53A" w14:textId="77777777" w:rsidR="00E24A1B" w:rsidRPr="001E6C71" w:rsidRDefault="00E24A1B" w:rsidP="00E24A1B">
      <w:pPr>
        <w:spacing w:before="240" w:line="360" w:lineRule="auto"/>
        <w:jc w:val="both"/>
        <w:rPr>
          <w:rFonts w:ascii="Palatino Linotype" w:hAnsi="Palatino Linotype" w:cs="Arial"/>
          <w:bCs/>
          <w:i/>
          <w:sz w:val="24"/>
          <w:szCs w:val="24"/>
        </w:rPr>
      </w:pPr>
    </w:p>
    <w:p w14:paraId="31A3A007" w14:textId="77777777" w:rsidR="00E24A1B" w:rsidRPr="001E6C71" w:rsidRDefault="00E24A1B" w:rsidP="00E24A1B">
      <w:pPr>
        <w:spacing w:before="240" w:line="360" w:lineRule="auto"/>
        <w:jc w:val="both"/>
        <w:rPr>
          <w:rFonts w:ascii="Palatino Linotype" w:hAnsi="Palatino Linotype" w:cs="Arial"/>
          <w:bCs/>
          <w:sz w:val="24"/>
          <w:szCs w:val="24"/>
        </w:rPr>
      </w:pPr>
      <w:r w:rsidRPr="001E6C71">
        <w:rPr>
          <w:rFonts w:ascii="Palatino Linotype" w:hAnsi="Palatino Linotype" w:cs="Arial"/>
          <w:bCs/>
          <w:sz w:val="24"/>
          <w:szCs w:val="24"/>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6D3EED0E" w14:textId="77777777" w:rsidR="00E24A1B" w:rsidRPr="001E6C71" w:rsidRDefault="00E24A1B" w:rsidP="00E24A1B">
      <w:pPr>
        <w:tabs>
          <w:tab w:val="left" w:pos="7513"/>
        </w:tabs>
        <w:spacing w:line="360" w:lineRule="auto"/>
        <w:ind w:left="567" w:right="616"/>
        <w:jc w:val="both"/>
        <w:rPr>
          <w:rFonts w:ascii="Palatino Linotype" w:hAnsi="Palatino Linotype" w:cs="Arial"/>
          <w:b/>
          <w:bCs/>
          <w:i/>
          <w:sz w:val="24"/>
          <w:szCs w:val="24"/>
        </w:rPr>
      </w:pPr>
      <w:r w:rsidRPr="001E6C71">
        <w:rPr>
          <w:rFonts w:ascii="Palatino Linotype" w:hAnsi="Palatino Linotype" w:cs="Arial"/>
          <w:b/>
          <w:bCs/>
          <w:i/>
        </w:rPr>
        <w:t xml:space="preserve">“ES IMPROCEDENTE AMPLIAR LAS SOLICITUDES DE ACCESO A INFORMACIÓN PÚBLICA O DATOS PERSONALES, A TRAVÉS DE LA INTERPOSICIÓN DEL RECURSO DE REVISIÓN </w:t>
      </w:r>
      <w:r w:rsidRPr="001E6C71">
        <w:rPr>
          <w:rFonts w:ascii="Palatino Linotype" w:hAnsi="Palatino Linotype" w:cs="Arial"/>
          <w:b/>
          <w:bCs/>
          <w:i/>
          <w:u w:val="single"/>
        </w:rPr>
        <w:t>En aquellos casos en los que los recurrentes amplíen los alcances de la solicitud de información o acceso a datos personales a través de un recurso de revisión, esta</w:t>
      </w:r>
      <w:r w:rsidRPr="001E6C71">
        <w:rPr>
          <w:rFonts w:ascii="Palatino Linotype" w:hAnsi="Palatino Linotype" w:cs="Arial"/>
          <w:bCs/>
          <w:i/>
          <w:u w:val="single"/>
        </w:rPr>
        <w:t xml:space="preserve"> </w:t>
      </w:r>
      <w:r w:rsidRPr="001E6C71">
        <w:rPr>
          <w:rFonts w:ascii="Palatino Linotype" w:hAnsi="Palatino Linotype" w:cs="Arial"/>
          <w:b/>
          <w:bCs/>
          <w:i/>
          <w:u w:val="single"/>
        </w:rPr>
        <w:t>ampliación no podrá constituir materia del procedimiento a sustanciarse</w:t>
      </w:r>
      <w:r w:rsidRPr="001E6C71">
        <w:rPr>
          <w:rFonts w:ascii="Palatino Linotype" w:hAnsi="Palatino Linotype" w:cs="Arial"/>
          <w:bCs/>
          <w:i/>
        </w:rPr>
        <w:t xml:space="preserve"> por el Instituto Federal de Acceso a la Información y Protección de Datos. Lo anterior, sin perjuicio de que los recurrentes puedan ejercer su derecho a realizar una nueva solicitud en términos de la Ley de la materia</w:t>
      </w:r>
      <w:r w:rsidRPr="001E6C71">
        <w:rPr>
          <w:rFonts w:ascii="Palatino Linotype" w:hAnsi="Palatino Linotype" w:cs="Arial"/>
          <w:bCs/>
          <w:i/>
          <w:sz w:val="24"/>
          <w:szCs w:val="24"/>
        </w:rPr>
        <w:t xml:space="preserve">. </w:t>
      </w:r>
    </w:p>
    <w:p w14:paraId="22191AFD" w14:textId="77777777" w:rsidR="00E24A1B" w:rsidRPr="001E6C71" w:rsidRDefault="00E24A1B" w:rsidP="00E24A1B">
      <w:pPr>
        <w:tabs>
          <w:tab w:val="left" w:pos="7513"/>
        </w:tabs>
        <w:spacing w:line="360" w:lineRule="auto"/>
        <w:ind w:left="567" w:right="616"/>
        <w:jc w:val="both"/>
        <w:rPr>
          <w:rFonts w:ascii="Palatino Linotype" w:hAnsi="Palatino Linotype"/>
          <w:b/>
          <w:i/>
          <w:sz w:val="24"/>
          <w:szCs w:val="24"/>
        </w:rPr>
      </w:pPr>
      <w:r w:rsidRPr="001E6C71">
        <w:rPr>
          <w:rFonts w:ascii="Palatino Linotype" w:hAnsi="Palatino Linotype" w:cs="Arial"/>
          <w:bCs/>
          <w:i/>
          <w:sz w:val="24"/>
          <w:szCs w:val="24"/>
        </w:rPr>
        <w:t xml:space="preserve"> </w:t>
      </w:r>
      <w:r w:rsidRPr="001E6C71">
        <w:rPr>
          <w:rFonts w:ascii="Palatino Linotype" w:hAnsi="Palatino Linotype"/>
          <w:b/>
          <w:i/>
          <w:sz w:val="24"/>
          <w:szCs w:val="24"/>
        </w:rPr>
        <w:t>[Sic]</w:t>
      </w:r>
    </w:p>
    <w:p w14:paraId="382D1AC7" w14:textId="77777777" w:rsidR="00E24A1B" w:rsidRPr="001E6C71" w:rsidRDefault="00E24A1B" w:rsidP="00E24A1B">
      <w:pPr>
        <w:tabs>
          <w:tab w:val="left" w:pos="7513"/>
        </w:tabs>
        <w:spacing w:line="360" w:lineRule="auto"/>
        <w:ind w:left="567" w:right="616"/>
        <w:jc w:val="both"/>
        <w:rPr>
          <w:rFonts w:ascii="Palatino Linotype" w:hAnsi="Palatino Linotype" w:cs="Arial"/>
          <w:bCs/>
          <w:i/>
          <w:sz w:val="24"/>
          <w:szCs w:val="24"/>
        </w:rPr>
      </w:pPr>
      <w:r w:rsidRPr="001E6C71">
        <w:rPr>
          <w:rFonts w:ascii="Palatino Linotype" w:hAnsi="Palatino Linotype"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p>
    <w:p w14:paraId="356906FB" w14:textId="77777777" w:rsidR="00E24A1B" w:rsidRPr="001E6C71" w:rsidRDefault="00E24A1B" w:rsidP="003C3EAA">
      <w:pPr>
        <w:spacing w:after="0" w:line="360" w:lineRule="auto"/>
        <w:jc w:val="both"/>
        <w:rPr>
          <w:rFonts w:ascii="Palatino Linotype" w:eastAsia="Palatino Linotype" w:hAnsi="Palatino Linotype" w:cs="Palatino Linotype"/>
          <w:sz w:val="24"/>
          <w:szCs w:val="24"/>
          <w:lang w:val="es-ES"/>
        </w:rPr>
      </w:pPr>
    </w:p>
    <w:p w14:paraId="193D97FD" w14:textId="77777777" w:rsidR="00E24A1B" w:rsidRPr="001E6C71" w:rsidRDefault="00E24A1B" w:rsidP="00E24A1B">
      <w:pPr>
        <w:spacing w:line="360" w:lineRule="auto"/>
        <w:jc w:val="both"/>
        <w:rPr>
          <w:rFonts w:ascii="Palatino Linotype" w:hAnsi="Palatino Linotype" w:cs="Arial"/>
          <w:noProof/>
          <w:color w:val="000000"/>
        </w:rPr>
      </w:pPr>
      <w:r w:rsidRPr="001E6C71">
        <w:rPr>
          <w:rFonts w:ascii="Palatino Linotype" w:eastAsia="Arial" w:hAnsi="Palatino Linotype" w:cs="Arial"/>
        </w:rPr>
        <w:t>L</w:t>
      </w:r>
      <w:r w:rsidRPr="001E6C71">
        <w:rPr>
          <w:rFonts w:ascii="Palatino Linotype" w:hAnsi="Palatino Linotype" w:cs="Arial"/>
          <w:bCs/>
        </w:rPr>
        <w:t xml:space="preserve">o que lleva a concluir a este Instituto que </w:t>
      </w:r>
      <w:r w:rsidRPr="001E6C71">
        <w:rPr>
          <w:rFonts w:ascii="Palatino Linotype" w:hAnsi="Palatino Linotype" w:cs="Arial"/>
          <w:noProof/>
          <w:color w:val="000000"/>
        </w:rPr>
        <w:t xml:space="preserve">en términos de lo establecido por la fracción I del artículo 186  en relación con la causal V prevista en el artículo 192 de la Ley de Transaprencia </w:t>
      </w:r>
      <w:r w:rsidRPr="001E6C71">
        <w:rPr>
          <w:rFonts w:ascii="Palatino Linotype" w:hAnsi="Palatino Linotype" w:cs="Arial"/>
          <w:noProof/>
          <w:color w:val="000000"/>
        </w:rPr>
        <w:lastRenderedPageBreak/>
        <w:t>Local resulta aplicable para el presente caso sobreseer el presente recurso de revisión por haberse quedado sin materia</w:t>
      </w:r>
    </w:p>
    <w:p w14:paraId="6AFC7F5A" w14:textId="77777777" w:rsidR="00E24A1B" w:rsidRPr="001E6C71" w:rsidRDefault="00E24A1B" w:rsidP="00E24A1B">
      <w:pPr>
        <w:spacing w:line="360" w:lineRule="auto"/>
        <w:ind w:left="708"/>
        <w:jc w:val="both"/>
        <w:rPr>
          <w:rFonts w:ascii="Palatino Linotype" w:hAnsi="Palatino Linotype"/>
          <w:i/>
        </w:rPr>
      </w:pPr>
      <w:r w:rsidRPr="001E6C71">
        <w:rPr>
          <w:rFonts w:ascii="Palatino Linotype" w:hAnsi="Palatino Linotype"/>
          <w:b/>
          <w:i/>
        </w:rPr>
        <w:t>Artículo 192.</w:t>
      </w:r>
      <w:r w:rsidRPr="001E6C71">
        <w:rPr>
          <w:rFonts w:ascii="Palatino Linotype" w:hAnsi="Palatino Linotype"/>
          <w:i/>
        </w:rPr>
        <w:t xml:space="preserve"> El recurso será sobreseído, en todo o en parte, cuando una vez admitido, se actualicen alguno de los siguientes supuestos: </w:t>
      </w:r>
    </w:p>
    <w:p w14:paraId="73AE939B" w14:textId="77777777" w:rsidR="00E24A1B" w:rsidRPr="001E6C71" w:rsidRDefault="00E24A1B" w:rsidP="00E24A1B">
      <w:pPr>
        <w:pStyle w:val="Prrafodelista"/>
        <w:numPr>
          <w:ilvl w:val="0"/>
          <w:numId w:val="11"/>
        </w:numPr>
        <w:spacing w:after="0" w:line="360" w:lineRule="auto"/>
        <w:contextualSpacing w:val="0"/>
        <w:jc w:val="both"/>
        <w:rPr>
          <w:rFonts w:ascii="Palatino Linotype" w:hAnsi="Palatino Linotype"/>
          <w:i/>
        </w:rPr>
      </w:pPr>
      <w:r w:rsidRPr="001E6C71">
        <w:rPr>
          <w:rFonts w:ascii="Palatino Linotype" w:hAnsi="Palatino Linotype"/>
          <w:i/>
        </w:rPr>
        <w:t xml:space="preserve">El recurrente se desista expresamente del recurso; </w:t>
      </w:r>
    </w:p>
    <w:p w14:paraId="0B61A184" w14:textId="77777777" w:rsidR="00E24A1B" w:rsidRPr="001E6C71" w:rsidRDefault="00E24A1B" w:rsidP="00E24A1B">
      <w:pPr>
        <w:pStyle w:val="Prrafodelista"/>
        <w:numPr>
          <w:ilvl w:val="0"/>
          <w:numId w:val="11"/>
        </w:numPr>
        <w:spacing w:after="0" w:line="360" w:lineRule="auto"/>
        <w:contextualSpacing w:val="0"/>
        <w:jc w:val="both"/>
        <w:rPr>
          <w:rFonts w:ascii="Palatino Linotype" w:hAnsi="Palatino Linotype"/>
          <w:i/>
        </w:rPr>
      </w:pPr>
      <w:r w:rsidRPr="001E6C71">
        <w:rPr>
          <w:rFonts w:ascii="Palatino Linotype" w:hAnsi="Palatino Linotype"/>
          <w:i/>
        </w:rPr>
        <w:t xml:space="preserve">El recurrente fallezca o, tratándose de personas jurídicas colectivas, se disuelva; </w:t>
      </w:r>
    </w:p>
    <w:p w14:paraId="3B7DF056" w14:textId="77777777" w:rsidR="00E24A1B" w:rsidRPr="001E6C71" w:rsidRDefault="00E24A1B" w:rsidP="00E24A1B">
      <w:pPr>
        <w:pStyle w:val="Prrafodelista"/>
        <w:numPr>
          <w:ilvl w:val="0"/>
          <w:numId w:val="11"/>
        </w:numPr>
        <w:spacing w:after="0" w:line="360" w:lineRule="auto"/>
        <w:contextualSpacing w:val="0"/>
        <w:jc w:val="both"/>
        <w:rPr>
          <w:rFonts w:ascii="Palatino Linotype" w:hAnsi="Palatino Linotype"/>
          <w:i/>
        </w:rPr>
      </w:pPr>
      <w:r w:rsidRPr="001E6C71">
        <w:rPr>
          <w:rFonts w:ascii="Palatino Linotype" w:hAnsi="Palatino Linotype"/>
          <w:i/>
        </w:rPr>
        <w:t>El sujeto obligado responsable del acto lo modifique o revoque de tal manera que el recurso de revisión quede sin materia;</w:t>
      </w:r>
    </w:p>
    <w:p w14:paraId="6979F399" w14:textId="77777777" w:rsidR="00E24A1B" w:rsidRPr="001E6C71" w:rsidRDefault="00E24A1B" w:rsidP="00E24A1B">
      <w:pPr>
        <w:pStyle w:val="Prrafodelista"/>
        <w:numPr>
          <w:ilvl w:val="0"/>
          <w:numId w:val="11"/>
        </w:numPr>
        <w:spacing w:after="0" w:line="360" w:lineRule="auto"/>
        <w:contextualSpacing w:val="0"/>
        <w:jc w:val="both"/>
        <w:rPr>
          <w:rFonts w:ascii="Palatino Linotype" w:hAnsi="Palatino Linotype"/>
          <w:i/>
        </w:rPr>
      </w:pPr>
      <w:r w:rsidRPr="001E6C71">
        <w:rPr>
          <w:rFonts w:ascii="Palatino Linotype" w:hAnsi="Palatino Linotype"/>
          <w:i/>
        </w:rPr>
        <w:t xml:space="preserve">. Admitido el recurso de revisión, aparezca alguna causal de improcedencia en los términos de la presente Ley; y </w:t>
      </w:r>
    </w:p>
    <w:p w14:paraId="0683250E" w14:textId="77777777" w:rsidR="00E24A1B" w:rsidRPr="001E6C71" w:rsidRDefault="00E24A1B" w:rsidP="00E24A1B">
      <w:pPr>
        <w:pStyle w:val="Prrafodelista"/>
        <w:numPr>
          <w:ilvl w:val="0"/>
          <w:numId w:val="11"/>
        </w:numPr>
        <w:spacing w:after="0" w:line="360" w:lineRule="auto"/>
        <w:contextualSpacing w:val="0"/>
        <w:jc w:val="both"/>
        <w:rPr>
          <w:rFonts w:ascii="Palatino Linotype" w:hAnsi="Palatino Linotype"/>
          <w:i/>
        </w:rPr>
      </w:pPr>
      <w:r w:rsidRPr="001E6C71">
        <w:rPr>
          <w:rFonts w:ascii="Palatino Linotype" w:hAnsi="Palatino Linotype"/>
          <w:i/>
          <w:u w:val="single"/>
        </w:rPr>
        <w:t>Cuando por cualquier motivo quede sin materia el recurso</w:t>
      </w:r>
      <w:r w:rsidRPr="001E6C71">
        <w:rPr>
          <w:rFonts w:ascii="Palatino Linotype" w:hAnsi="Palatino Linotype"/>
          <w:i/>
        </w:rPr>
        <w:t>.</w:t>
      </w:r>
    </w:p>
    <w:p w14:paraId="70312FD9" w14:textId="77777777" w:rsidR="00E24A1B" w:rsidRPr="001E6C71" w:rsidRDefault="00E24A1B" w:rsidP="00E24A1B">
      <w:pPr>
        <w:spacing w:line="360" w:lineRule="auto"/>
        <w:ind w:left="708"/>
        <w:jc w:val="both"/>
        <w:rPr>
          <w:rFonts w:ascii="Palatino Linotype" w:hAnsi="Palatino Linotype" w:cs="Arial"/>
          <w:noProof/>
          <w:color w:val="000000"/>
        </w:rPr>
      </w:pPr>
    </w:p>
    <w:p w14:paraId="2A0586A7" w14:textId="77777777" w:rsidR="00E24A1B" w:rsidRPr="001E6C71" w:rsidRDefault="00E24A1B" w:rsidP="00E24A1B">
      <w:pPr>
        <w:spacing w:line="360" w:lineRule="auto"/>
        <w:jc w:val="both"/>
        <w:rPr>
          <w:rFonts w:ascii="Palatino Linotype" w:hAnsi="Palatino Linotype"/>
          <w:b/>
          <w:bCs/>
        </w:rPr>
      </w:pPr>
      <w:r w:rsidRPr="001E6C71">
        <w:rPr>
          <w:rFonts w:ascii="Palatino Linotype" w:hAnsi="Palatino Linotype" w:cs="Arial"/>
        </w:rPr>
        <w:t xml:space="preserve">En consecuencia, al actualizarse lo estipulado en la fracción V, del artículo 192, de la Ley de Transparencia, Acceso a la Información Pública y Protección de Datos Personales del Estado de México y Municipios; lo procedente será </w:t>
      </w:r>
      <w:r w:rsidRPr="001E6C71">
        <w:rPr>
          <w:rFonts w:ascii="Palatino Linotype" w:hAnsi="Palatino Linotype" w:cs="Arial"/>
          <w:b/>
        </w:rPr>
        <w:t xml:space="preserve">SOBRESEER </w:t>
      </w:r>
      <w:r w:rsidRPr="001E6C71">
        <w:rPr>
          <w:rFonts w:ascii="Palatino Linotype" w:hAnsi="Palatino Linotype" w:cs="Arial"/>
        </w:rPr>
        <w:t xml:space="preserve">el Recurso de revisión </w:t>
      </w:r>
      <w:r w:rsidRPr="001E6C71">
        <w:rPr>
          <w:rFonts w:ascii="Palatino Linotype" w:hAnsi="Palatino Linotype"/>
          <w:b/>
          <w:bCs/>
        </w:rPr>
        <w:t>03005/INFOEM/IP/RR/2026.</w:t>
      </w:r>
    </w:p>
    <w:p w14:paraId="310B8105" w14:textId="77777777" w:rsidR="00E24A1B" w:rsidRPr="001E6C71" w:rsidRDefault="00E24A1B" w:rsidP="00E24A1B">
      <w:pPr>
        <w:autoSpaceDE w:val="0"/>
        <w:autoSpaceDN w:val="0"/>
        <w:adjustRightInd w:val="0"/>
        <w:spacing w:line="360" w:lineRule="auto"/>
        <w:jc w:val="both"/>
        <w:rPr>
          <w:rFonts w:ascii="Palatino Linotype" w:hAnsi="Palatino Linotype"/>
        </w:rPr>
      </w:pPr>
      <w:r w:rsidRPr="001E6C71">
        <w:rPr>
          <w:rFonts w:ascii="Palatino Linotype" w:hAnsi="Palatino Linotype"/>
        </w:rPr>
        <w:t>Por lo antes expuesto y fundado es de resolverse y</w:t>
      </w:r>
    </w:p>
    <w:p w14:paraId="21617A2E" w14:textId="77777777" w:rsidR="00E24A1B" w:rsidRPr="001E6C71" w:rsidRDefault="00E24A1B" w:rsidP="00E24A1B">
      <w:pPr>
        <w:autoSpaceDE w:val="0"/>
        <w:autoSpaceDN w:val="0"/>
        <w:adjustRightInd w:val="0"/>
        <w:spacing w:line="360" w:lineRule="auto"/>
        <w:rPr>
          <w:rFonts w:ascii="Palatino Linotype" w:eastAsia="Palatino Linotype" w:hAnsi="Palatino Linotype" w:cs="Palatino Linotype"/>
        </w:rPr>
      </w:pPr>
    </w:p>
    <w:p w14:paraId="3398F6A0" w14:textId="77777777" w:rsidR="00E24A1B" w:rsidRPr="001E6C71" w:rsidRDefault="00E24A1B" w:rsidP="00E24A1B">
      <w:pPr>
        <w:autoSpaceDE w:val="0"/>
        <w:autoSpaceDN w:val="0"/>
        <w:adjustRightInd w:val="0"/>
        <w:spacing w:line="360" w:lineRule="auto"/>
        <w:jc w:val="center"/>
        <w:rPr>
          <w:rFonts w:ascii="Palatino Linotype" w:hAnsi="Palatino Linotype"/>
          <w:b/>
          <w:sz w:val="28"/>
          <w:szCs w:val="28"/>
        </w:rPr>
      </w:pPr>
      <w:r w:rsidRPr="001E6C71">
        <w:rPr>
          <w:rFonts w:ascii="Palatino Linotype" w:hAnsi="Palatino Linotype"/>
          <w:b/>
          <w:sz w:val="28"/>
          <w:szCs w:val="28"/>
        </w:rPr>
        <w:t>S E    R E S U E L V E</w:t>
      </w:r>
    </w:p>
    <w:p w14:paraId="0E3A2FA5" w14:textId="77777777" w:rsidR="00E24A1B" w:rsidRPr="001E6C71" w:rsidRDefault="00E24A1B" w:rsidP="00E24A1B">
      <w:pPr>
        <w:autoSpaceDE w:val="0"/>
        <w:autoSpaceDN w:val="0"/>
        <w:adjustRightInd w:val="0"/>
        <w:spacing w:line="360" w:lineRule="auto"/>
        <w:rPr>
          <w:rFonts w:ascii="Palatino Linotype" w:hAnsi="Palatino Linotype"/>
          <w:b/>
          <w:sz w:val="28"/>
          <w:szCs w:val="28"/>
        </w:rPr>
      </w:pPr>
    </w:p>
    <w:p w14:paraId="69428669" w14:textId="77777777" w:rsidR="00E24A1B" w:rsidRPr="001E6C71" w:rsidRDefault="00E24A1B" w:rsidP="00E24A1B">
      <w:pPr>
        <w:autoSpaceDE w:val="0"/>
        <w:autoSpaceDN w:val="0"/>
        <w:adjustRightInd w:val="0"/>
        <w:spacing w:line="360" w:lineRule="auto"/>
        <w:jc w:val="both"/>
        <w:rPr>
          <w:rFonts w:ascii="Palatino Linotype" w:eastAsia="Palatino Linotype" w:hAnsi="Palatino Linotype" w:cs="Palatino Linotype"/>
        </w:rPr>
      </w:pPr>
      <w:r w:rsidRPr="001E6C71">
        <w:rPr>
          <w:rFonts w:ascii="Palatino Linotype" w:hAnsi="Palatino Linotype"/>
          <w:b/>
        </w:rPr>
        <w:t>PRIMERO</w:t>
      </w:r>
      <w:r w:rsidRPr="001E6C71">
        <w:rPr>
          <w:rFonts w:ascii="Palatino Linotype" w:hAnsi="Palatino Linotype"/>
        </w:rPr>
        <w:t xml:space="preserve">. </w:t>
      </w:r>
      <w:r w:rsidRPr="001E6C71">
        <w:rPr>
          <w:rFonts w:ascii="Palatino Linotype" w:hAnsi="Palatino Linotype" w:cs="Arial"/>
        </w:rPr>
        <w:t xml:space="preserve">Se </w:t>
      </w:r>
      <w:r w:rsidRPr="001E6C71">
        <w:rPr>
          <w:rFonts w:ascii="Palatino Linotype" w:hAnsi="Palatino Linotype" w:cs="Arial"/>
          <w:b/>
        </w:rPr>
        <w:t>SOBRESEE</w:t>
      </w:r>
      <w:r w:rsidRPr="001E6C71">
        <w:rPr>
          <w:rFonts w:ascii="Palatino Linotype" w:hAnsi="Palatino Linotype" w:cs="Arial"/>
        </w:rPr>
        <w:t xml:space="preserve"> el recurso de revisión número </w:t>
      </w:r>
      <w:r w:rsidRPr="001E6C71">
        <w:rPr>
          <w:rFonts w:ascii="Palatino Linotype" w:hAnsi="Palatino Linotype" w:cs="Arial"/>
          <w:b/>
        </w:rPr>
        <w:t>03005/INFOEM/IP/RR/2026</w:t>
      </w:r>
      <w:r w:rsidRPr="001E6C71">
        <w:rPr>
          <w:rFonts w:ascii="Palatino Linotype" w:hAnsi="Palatino Linotype" w:cs="Arial"/>
        </w:rPr>
        <w:t xml:space="preserve">, por haberse quedado sin materia, en términos del </w:t>
      </w:r>
      <w:r w:rsidRPr="001E6C71">
        <w:rPr>
          <w:rFonts w:ascii="Palatino Linotype" w:hAnsi="Palatino Linotype" w:cs="Arial"/>
          <w:b/>
          <w:bCs/>
        </w:rPr>
        <w:t>Considerando CUARTO</w:t>
      </w:r>
      <w:r w:rsidRPr="001E6C71">
        <w:rPr>
          <w:rFonts w:ascii="Palatino Linotype" w:hAnsi="Palatino Linotype" w:cs="Arial"/>
        </w:rPr>
        <w:t xml:space="preserve"> de la presente resolución, </w:t>
      </w:r>
      <w:r w:rsidRPr="001E6C71">
        <w:rPr>
          <w:rFonts w:ascii="Palatino Linotype" w:hAnsi="Palatino Linotype" w:cs="Arial"/>
        </w:rPr>
        <w:lastRenderedPageBreak/>
        <w:t>por actualizarse la hipótesis contenida en la fracción V, del artículo 192, de la Ley de Transparencia y Acceso a la Información Pública del Estado de México y Municipios.</w:t>
      </w:r>
    </w:p>
    <w:p w14:paraId="382B5033" w14:textId="77777777" w:rsidR="00E24A1B" w:rsidRPr="001E6C71" w:rsidRDefault="00E24A1B" w:rsidP="00E24A1B">
      <w:pPr>
        <w:autoSpaceDE w:val="0"/>
        <w:autoSpaceDN w:val="0"/>
        <w:adjustRightInd w:val="0"/>
        <w:spacing w:line="360" w:lineRule="auto"/>
        <w:jc w:val="both"/>
        <w:rPr>
          <w:rFonts w:ascii="Palatino Linotype" w:eastAsia="Palatino Linotype" w:hAnsi="Palatino Linotype" w:cs="Palatino Linotype"/>
        </w:rPr>
      </w:pPr>
    </w:p>
    <w:p w14:paraId="70B07723" w14:textId="77777777" w:rsidR="00E24A1B" w:rsidRPr="001E6C71" w:rsidRDefault="00E24A1B" w:rsidP="00E24A1B">
      <w:pPr>
        <w:autoSpaceDE w:val="0"/>
        <w:autoSpaceDN w:val="0"/>
        <w:adjustRightInd w:val="0"/>
        <w:spacing w:line="360" w:lineRule="auto"/>
        <w:jc w:val="both"/>
        <w:rPr>
          <w:rFonts w:ascii="Palatino Linotype" w:hAnsi="Palatino Linotype"/>
        </w:rPr>
      </w:pPr>
      <w:r w:rsidRPr="001E6C71">
        <w:rPr>
          <w:rFonts w:ascii="Palatino Linotype" w:hAnsi="Palatino Linotype"/>
          <w:b/>
        </w:rPr>
        <w:t>SEGUNDO</w:t>
      </w:r>
      <w:r w:rsidRPr="001E6C71">
        <w:rPr>
          <w:rFonts w:ascii="Palatino Linotype" w:hAnsi="Palatino Linotype"/>
        </w:rPr>
        <w:t>. Notifíquese la presente resolución al Titular de la Unidad de Transparencia del Sujeto Obligado mediante el Sistema de Acceso a la Información Mexiquense (</w:t>
      </w:r>
      <w:r w:rsidRPr="001E6C71">
        <w:rPr>
          <w:rFonts w:ascii="Palatino Linotype" w:hAnsi="Palatino Linotype"/>
          <w:b/>
        </w:rPr>
        <w:t>SAIMEX</w:t>
      </w:r>
      <w:r w:rsidRPr="001E6C71">
        <w:rPr>
          <w:rFonts w:ascii="Palatino Linotype" w:hAnsi="Palatino Linotype"/>
        </w:rPr>
        <w:t xml:space="preserve">). </w:t>
      </w:r>
    </w:p>
    <w:p w14:paraId="3CD765E9" w14:textId="77777777" w:rsidR="00E24A1B" w:rsidRPr="001E6C71" w:rsidRDefault="00E24A1B" w:rsidP="00E24A1B">
      <w:pPr>
        <w:autoSpaceDE w:val="0"/>
        <w:autoSpaceDN w:val="0"/>
        <w:adjustRightInd w:val="0"/>
        <w:spacing w:line="360" w:lineRule="auto"/>
        <w:jc w:val="both"/>
        <w:rPr>
          <w:rFonts w:ascii="Palatino Linotype" w:hAnsi="Palatino Linotype"/>
        </w:rPr>
      </w:pPr>
    </w:p>
    <w:p w14:paraId="2E6D8093" w14:textId="77777777" w:rsidR="00E24A1B" w:rsidRPr="001E6C71" w:rsidRDefault="00E24A1B" w:rsidP="00E24A1B">
      <w:pPr>
        <w:autoSpaceDE w:val="0"/>
        <w:autoSpaceDN w:val="0"/>
        <w:adjustRightInd w:val="0"/>
        <w:spacing w:line="360" w:lineRule="auto"/>
        <w:jc w:val="both"/>
        <w:rPr>
          <w:rFonts w:ascii="Palatino Linotype" w:hAnsi="Palatino Linotype"/>
        </w:rPr>
      </w:pPr>
      <w:r w:rsidRPr="001E6C71">
        <w:rPr>
          <w:rFonts w:ascii="Palatino Linotype" w:hAnsi="Palatino Linotype"/>
          <w:b/>
        </w:rPr>
        <w:t>TERCERO</w:t>
      </w:r>
      <w:r w:rsidRPr="001E6C71">
        <w:rPr>
          <w:rFonts w:ascii="Palatino Linotype" w:hAnsi="Palatino Linotype"/>
        </w:rPr>
        <w:t>. Notifíquese la presente resolución a la parte Recurrente a través del Sistema de Acceso a la Información Mexiquense (</w:t>
      </w:r>
      <w:r w:rsidRPr="001E6C71">
        <w:rPr>
          <w:rFonts w:ascii="Palatino Linotype" w:hAnsi="Palatino Linotype"/>
          <w:b/>
        </w:rPr>
        <w:t>SAIMEX</w:t>
      </w:r>
      <w:r w:rsidRPr="001E6C71">
        <w:rPr>
          <w:rFonts w:ascii="Palatino Linotype" w:hAnsi="Palatino Linotype"/>
        </w:rPr>
        <w:t>),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14:paraId="39EA5494" w14:textId="77777777" w:rsidR="001A2CEB" w:rsidRPr="001E6C71" w:rsidRDefault="001A2CEB" w:rsidP="001A2CEB">
      <w:pPr>
        <w:pBdr>
          <w:top w:val="nil"/>
          <w:left w:val="nil"/>
          <w:bottom w:val="nil"/>
          <w:right w:val="nil"/>
          <w:between w:val="nil"/>
        </w:pBdr>
        <w:spacing w:line="360" w:lineRule="auto"/>
        <w:jc w:val="both"/>
        <w:rPr>
          <w:rFonts w:ascii="Palatino Linotype" w:eastAsia="Palatino Linotype" w:hAnsi="Palatino Linotype" w:cs="Palatino Linotype"/>
        </w:rPr>
      </w:pPr>
    </w:p>
    <w:p w14:paraId="6DBB8F0D" w14:textId="77777777" w:rsidR="003C3EAA" w:rsidRPr="001E6C71" w:rsidRDefault="00E24A1B" w:rsidP="00E24A1B">
      <w:pPr>
        <w:spacing w:after="0" w:line="360" w:lineRule="auto"/>
        <w:jc w:val="both"/>
        <w:rPr>
          <w:rFonts w:ascii="Palatino Linotype" w:hAnsi="Palatino Linotype" w:cs="Arial"/>
          <w:sz w:val="24"/>
          <w:szCs w:val="24"/>
        </w:rPr>
      </w:pPr>
      <w:r w:rsidRPr="001E6C71">
        <w:rPr>
          <w:rFonts w:ascii="Palatino Linotype" w:eastAsia="Palatino Linotype" w:hAnsi="Palatino Linotype" w:cs="Palatino Linotype"/>
          <w:b/>
          <w:sz w:val="24"/>
          <w:szCs w:val="24"/>
          <w:lang w:val="es-ES"/>
        </w:rPr>
        <w:t>CUARTO</w:t>
      </w:r>
      <w:r w:rsidR="003C3EAA" w:rsidRPr="001E6C71">
        <w:rPr>
          <w:rFonts w:ascii="Palatino Linotype" w:hAnsi="Palatino Linotype"/>
          <w:b/>
          <w:sz w:val="24"/>
          <w:szCs w:val="24"/>
          <w:lang w:eastAsia="es-ES_tradnl"/>
        </w:rPr>
        <w:t>. Gírese</w:t>
      </w:r>
      <w:r w:rsidR="003C3EAA" w:rsidRPr="001E6C71">
        <w:rPr>
          <w:rFonts w:ascii="Palatino Linotype" w:hAnsi="Palatino Linotype"/>
          <w:sz w:val="24"/>
          <w:szCs w:val="24"/>
          <w:lang w:eastAsia="es-ES_tradnl"/>
        </w:rPr>
        <w:t xml:space="preserve"> oficio al Titular de la Dirección General de Protección de Datos Personales, en atención al artículo 82, fracción XXVII de la Ley de Protección de Datos Personales del Estado de México y Municipios en términos de lo señalado en el Considerando </w:t>
      </w:r>
      <w:r w:rsidR="003C3EAA" w:rsidRPr="001E6C71">
        <w:rPr>
          <w:rFonts w:ascii="Palatino Linotype" w:hAnsi="Palatino Linotype"/>
          <w:b/>
          <w:sz w:val="24"/>
          <w:szCs w:val="24"/>
          <w:lang w:eastAsia="es-ES_tradnl"/>
        </w:rPr>
        <w:t>CUARTO</w:t>
      </w:r>
      <w:r w:rsidR="003C3EAA" w:rsidRPr="001E6C71">
        <w:rPr>
          <w:rFonts w:ascii="Palatino Linotype" w:hAnsi="Palatino Linotype"/>
          <w:sz w:val="24"/>
          <w:szCs w:val="24"/>
          <w:lang w:eastAsia="es-ES_tradnl"/>
        </w:rPr>
        <w:t xml:space="preserve"> de la presente resolución.</w:t>
      </w:r>
    </w:p>
    <w:p w14:paraId="4F6BC508" w14:textId="77777777" w:rsidR="003C3EAA" w:rsidRPr="001E6C71" w:rsidRDefault="003C3EAA" w:rsidP="003C3EAA">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74729F8A" w14:textId="1F2CFB38" w:rsidR="003C3EAA" w:rsidRPr="001E6C71" w:rsidRDefault="003C3EAA" w:rsidP="003C3EAA">
      <w:pPr>
        <w:spacing w:after="0" w:line="360" w:lineRule="auto"/>
        <w:jc w:val="both"/>
        <w:rPr>
          <w:rFonts w:ascii="Palatino Linotype" w:eastAsia="Times New Roman" w:hAnsi="Palatino Linotype" w:cs="Arial"/>
          <w:sz w:val="24"/>
          <w:szCs w:val="24"/>
          <w:lang w:eastAsia="es-MX"/>
        </w:rPr>
      </w:pPr>
      <w:r w:rsidRPr="001E6C71">
        <w:rPr>
          <w:rFonts w:ascii="Palatino Linotype" w:eastAsia="Times New Roman" w:hAnsi="Palatino Linotype" w:cs="Arial"/>
          <w:sz w:val="24"/>
          <w:szCs w:val="24"/>
          <w:lang w:val="es-ES_tradnl" w:eastAsia="es-MX"/>
        </w:rPr>
        <w:t xml:space="preserve">ASÍ LO RESUELVE, </w:t>
      </w:r>
      <w:r w:rsidRPr="001E6C71">
        <w:rPr>
          <w:rFonts w:ascii="Palatino Linotype" w:eastAsia="Times New Roman" w:hAnsi="Palatino Linotype" w:cs="Arial"/>
          <w:b/>
          <w:bCs/>
          <w:sz w:val="24"/>
          <w:szCs w:val="24"/>
          <w:lang w:val="es-ES_tradnl" w:eastAsia="es-MX"/>
        </w:rPr>
        <w:t>POR UNANIMIDAD DE VOTOS</w:t>
      </w:r>
      <w:r w:rsidRPr="001E6C71">
        <w:rPr>
          <w:rFonts w:ascii="Palatino Linotype" w:eastAsia="Times New Roman" w:hAnsi="Palatino Linotype" w:cs="Arial"/>
          <w:sz w:val="24"/>
          <w:szCs w:val="24"/>
          <w:lang w:val="es-ES_tradnl" w:eastAsia="es-MX"/>
        </w:rPr>
        <w:t xml:space="preserve"> EL PLENO DEL</w:t>
      </w:r>
      <w:r w:rsidRPr="001E6C71">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E6C71">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 EN LA</w:t>
      </w:r>
      <w:r w:rsidRPr="001E6C71">
        <w:rPr>
          <w:rFonts w:ascii="Palatino Linotype" w:eastAsia="Times New Roman" w:hAnsi="Palatino Linotype" w:cs="Arial"/>
          <w:sz w:val="24"/>
          <w:szCs w:val="24"/>
          <w:lang w:val="es-419" w:eastAsia="es-MX"/>
        </w:rPr>
        <w:t xml:space="preserve"> </w:t>
      </w:r>
      <w:r w:rsidRPr="001E6C71">
        <w:rPr>
          <w:rFonts w:ascii="Palatino Linotype" w:eastAsia="Times New Roman" w:hAnsi="Palatino Linotype" w:cs="Arial"/>
          <w:b/>
          <w:bCs/>
          <w:sz w:val="24"/>
          <w:szCs w:val="24"/>
          <w:lang w:val="es-419" w:eastAsia="es-MX"/>
        </w:rPr>
        <w:t xml:space="preserve">DECIMA </w:t>
      </w:r>
      <w:r w:rsidR="006B447F" w:rsidRPr="001E6C71">
        <w:rPr>
          <w:rFonts w:ascii="Palatino Linotype" w:eastAsia="Times New Roman" w:hAnsi="Palatino Linotype" w:cs="Arial"/>
          <w:b/>
          <w:bCs/>
          <w:sz w:val="24"/>
          <w:szCs w:val="24"/>
          <w:lang w:val="es-419" w:eastAsia="es-MX"/>
        </w:rPr>
        <w:t>OCTAVA</w:t>
      </w:r>
      <w:r w:rsidRPr="001E6C71">
        <w:rPr>
          <w:rFonts w:ascii="Palatino Linotype" w:eastAsia="Times New Roman" w:hAnsi="Palatino Linotype" w:cs="Arial"/>
          <w:b/>
          <w:bCs/>
          <w:sz w:val="24"/>
          <w:szCs w:val="24"/>
          <w:lang w:val="es-419" w:eastAsia="es-MX"/>
        </w:rPr>
        <w:t xml:space="preserve"> SESIÓN </w:t>
      </w:r>
      <w:r w:rsidRPr="001E6C71">
        <w:rPr>
          <w:rFonts w:ascii="Palatino Linotype" w:eastAsia="Times New Roman" w:hAnsi="Palatino Linotype" w:cs="Arial"/>
          <w:b/>
          <w:bCs/>
          <w:sz w:val="24"/>
          <w:szCs w:val="24"/>
          <w:lang w:val="es-419" w:eastAsia="es-MX"/>
        </w:rPr>
        <w:lastRenderedPageBreak/>
        <w:t xml:space="preserve">ORDINARIA CELEBRADA EL </w:t>
      </w:r>
      <w:r w:rsidR="006B447F" w:rsidRPr="001E6C71">
        <w:rPr>
          <w:rFonts w:ascii="Palatino Linotype" w:eastAsia="Times New Roman" w:hAnsi="Palatino Linotype" w:cs="Arial"/>
          <w:b/>
          <w:bCs/>
          <w:sz w:val="24"/>
          <w:szCs w:val="24"/>
          <w:lang w:val="es-419" w:eastAsia="es-MX"/>
        </w:rPr>
        <w:t>VEINTE DE MAYO DE DOS MIL VEINTISÉIS</w:t>
      </w:r>
      <w:r w:rsidRPr="001E6C71">
        <w:rPr>
          <w:rFonts w:ascii="Palatino Linotype" w:eastAsia="Times New Roman" w:hAnsi="Palatino Linotype" w:cs="Arial"/>
          <w:b/>
          <w:bCs/>
          <w:sz w:val="24"/>
          <w:szCs w:val="24"/>
          <w:lang w:val="es-ES_tradnl" w:eastAsia="es-MX"/>
        </w:rPr>
        <w:t>,</w:t>
      </w:r>
      <w:r w:rsidRPr="001E6C71">
        <w:rPr>
          <w:rFonts w:ascii="Palatino Linotype" w:eastAsia="Times New Roman" w:hAnsi="Palatino Linotype" w:cs="Arial"/>
          <w:sz w:val="24"/>
          <w:szCs w:val="24"/>
          <w:lang w:val="es-ES_tradnl" w:eastAsia="es-MX"/>
        </w:rPr>
        <w:t xml:space="preserve"> ANTE  EL SECRETARIO TÉCNICO DEL PLENO, ALEXIS TAPIA RAMÍREZ. </w:t>
      </w:r>
    </w:p>
    <w:p w14:paraId="6C5F76F4" w14:textId="7C11C069" w:rsidR="003C3EAA" w:rsidRPr="001E6C71" w:rsidRDefault="003C3EAA" w:rsidP="003C3EAA">
      <w:pPr>
        <w:spacing w:after="0" w:line="360" w:lineRule="auto"/>
        <w:jc w:val="both"/>
        <w:rPr>
          <w:rFonts w:ascii="Palatino Linotype" w:eastAsia="Times New Roman" w:hAnsi="Palatino Linotype" w:cs="Arial"/>
          <w:sz w:val="24"/>
          <w:szCs w:val="24"/>
          <w:lang w:val="es-ES_tradnl" w:eastAsia="es-MX"/>
        </w:rPr>
      </w:pPr>
      <w:r w:rsidRPr="001E6C71">
        <w:rPr>
          <w:rFonts w:ascii="Palatino Linotype" w:eastAsia="Times New Roman" w:hAnsi="Palatino Linotype" w:cs="Arial"/>
          <w:sz w:val="24"/>
          <w:szCs w:val="24"/>
          <w:lang w:val="es-ES_tradnl" w:eastAsia="es-MX"/>
        </w:rPr>
        <w:t>--------------------------------------------------------------------------------------------------------------------------------------------------------------------------------------------------------------------------------------</w:t>
      </w:r>
      <w:r w:rsidR="00A5417B" w:rsidRPr="001E6C71">
        <w:rPr>
          <w:rFonts w:ascii="Palatino Linotype" w:eastAsia="Times New Roman" w:hAnsi="Palatino Linotype" w:cs="Arial"/>
          <w:sz w:val="24"/>
          <w:szCs w:val="24"/>
          <w:lang w:val="es-ES_tradnl" w:eastAsia="es-MX"/>
        </w:rPr>
        <w:t>----</w:t>
      </w:r>
    </w:p>
    <w:p w14:paraId="2563585E" w14:textId="77777777" w:rsidR="003C3EAA" w:rsidRPr="001E6C71" w:rsidRDefault="003C3EAA" w:rsidP="003C3EAA">
      <w:pPr>
        <w:spacing w:after="0" w:line="360" w:lineRule="auto"/>
        <w:jc w:val="both"/>
        <w:rPr>
          <w:rFonts w:ascii="Palatino Linotype" w:eastAsia="Times New Roman" w:hAnsi="Palatino Linotype" w:cs="Arial"/>
          <w:sz w:val="24"/>
          <w:szCs w:val="24"/>
          <w:lang w:val="es-ES_tradnl" w:eastAsia="es-MX"/>
        </w:rPr>
      </w:pPr>
      <w:r w:rsidRPr="001E6C71">
        <w:rPr>
          <w:rFonts w:ascii="Palatino Linotype" w:eastAsia="Times New Roman" w:hAnsi="Palatino Linotype" w:cs="Arial"/>
          <w:sz w:val="24"/>
          <w:szCs w:val="24"/>
          <w:lang w:val="es-ES_tradnl" w:eastAsia="es-MX"/>
        </w:rPr>
        <w:t>---------------------------------------------------------------------------------------------------------------------</w:t>
      </w:r>
    </w:p>
    <w:p w14:paraId="6F41CD03" w14:textId="693C067B" w:rsidR="003C3EAA" w:rsidRPr="001E6C71" w:rsidRDefault="003C3EAA" w:rsidP="003C3EAA">
      <w:pPr>
        <w:spacing w:after="0" w:line="360" w:lineRule="auto"/>
        <w:jc w:val="both"/>
        <w:rPr>
          <w:rFonts w:ascii="Palatino Linotype" w:eastAsia="Times New Roman" w:hAnsi="Palatino Linotype" w:cs="Arial"/>
          <w:sz w:val="20"/>
          <w:lang w:val="es-ES_tradnl" w:eastAsia="es-MX"/>
        </w:rPr>
      </w:pPr>
      <w:r w:rsidRPr="001E6C71">
        <w:rPr>
          <w:rFonts w:ascii="Palatino Linotype" w:eastAsia="Times New Roman" w:hAnsi="Palatino Linotype" w:cs="Arial"/>
          <w:sz w:val="24"/>
          <w:szCs w:val="24"/>
          <w:lang w:val="es-ES_tradnl" w:eastAsia="es-MX"/>
        </w:rPr>
        <w:t>-------------------------------------------------------------------------------------------------------------------</w:t>
      </w:r>
      <w:r w:rsidR="00A5417B" w:rsidRPr="001E6C71">
        <w:rPr>
          <w:rFonts w:ascii="Palatino Linotype" w:eastAsia="Times New Roman" w:hAnsi="Palatino Linotype" w:cs="Arial"/>
          <w:sz w:val="24"/>
          <w:szCs w:val="24"/>
          <w:lang w:val="es-ES_tradnl" w:eastAsia="es-MX"/>
        </w:rPr>
        <w:t>--</w:t>
      </w:r>
    </w:p>
    <w:p w14:paraId="4A62D524" w14:textId="77777777"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r w:rsidRPr="001E6C71">
        <w:rPr>
          <w:rFonts w:ascii="Palatino Linotype" w:eastAsia="Times New Roman" w:hAnsi="Palatino Linotype" w:cs="Arial"/>
          <w:sz w:val="20"/>
          <w:lang w:val="es-ES_tradnl" w:eastAsia="es-MX"/>
        </w:rPr>
        <w:t>JMV/CCR/NJMB</w:t>
      </w:r>
    </w:p>
    <w:p w14:paraId="4C979307" w14:textId="77777777"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p>
    <w:p w14:paraId="6DF06249" w14:textId="77777777" w:rsidR="003C3EAA" w:rsidRPr="00F444C4" w:rsidRDefault="003C3EAA" w:rsidP="003C3EAA">
      <w:pPr>
        <w:spacing w:after="0" w:line="360" w:lineRule="auto"/>
        <w:jc w:val="both"/>
        <w:rPr>
          <w:rFonts w:ascii="Palatino Linotype" w:eastAsia="Times New Roman" w:hAnsi="Palatino Linotype" w:cs="Arial"/>
          <w:sz w:val="20"/>
          <w:lang w:val="es-ES_tradnl" w:eastAsia="es-MX"/>
        </w:rPr>
      </w:pPr>
    </w:p>
    <w:p w14:paraId="39F77631"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7E1063"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04796F5"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5770B8C"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302CBD6"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527948"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0037CE7"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0DB67D0"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2A4B64" w14:textId="77777777" w:rsidR="003C3EAA" w:rsidRPr="00F444C4" w:rsidRDefault="003C3EAA" w:rsidP="003C3EAA">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D9AFECE"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5E2DDAE5"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20337246"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70B3B8F3" w14:textId="77777777" w:rsidR="003C3EAA" w:rsidRPr="00F444C4" w:rsidRDefault="003C3EAA" w:rsidP="003C3EAA">
      <w:pPr>
        <w:spacing w:after="0" w:line="360" w:lineRule="auto"/>
        <w:jc w:val="both"/>
        <w:rPr>
          <w:rFonts w:ascii="Palatino Linotype" w:eastAsia="Times New Roman" w:hAnsi="Palatino Linotype" w:cs="Calibri"/>
          <w:sz w:val="24"/>
          <w:lang w:val="es-ES_tradnl" w:eastAsia="es-MX"/>
        </w:rPr>
      </w:pPr>
    </w:p>
    <w:p w14:paraId="39CB3418" w14:textId="77777777" w:rsidR="003C3EAA" w:rsidRDefault="003C3EAA" w:rsidP="003C3EAA">
      <w:pPr>
        <w:spacing w:line="360" w:lineRule="auto"/>
      </w:pPr>
    </w:p>
    <w:p w14:paraId="439A5343" w14:textId="77777777" w:rsidR="003C3EAA" w:rsidRDefault="003C3EAA" w:rsidP="003C3EAA">
      <w:pPr>
        <w:spacing w:line="360" w:lineRule="auto"/>
      </w:pPr>
    </w:p>
    <w:p w14:paraId="12790351" w14:textId="77777777" w:rsidR="003C3EAA" w:rsidRDefault="003C3EAA" w:rsidP="003C3EAA">
      <w:pPr>
        <w:spacing w:line="360" w:lineRule="auto"/>
      </w:pPr>
    </w:p>
    <w:p w14:paraId="4780E2F6" w14:textId="77777777" w:rsidR="003C3EAA" w:rsidRDefault="003C3EAA" w:rsidP="003C3EAA">
      <w:pPr>
        <w:spacing w:line="360" w:lineRule="auto"/>
      </w:pPr>
    </w:p>
    <w:p w14:paraId="368FDB79" w14:textId="77777777" w:rsidR="003C3EAA" w:rsidRDefault="003C3EAA" w:rsidP="003C3EAA">
      <w:pPr>
        <w:spacing w:line="360" w:lineRule="auto"/>
      </w:pPr>
    </w:p>
    <w:p w14:paraId="47E37E35" w14:textId="77777777" w:rsidR="003C3EAA" w:rsidRDefault="003C3EAA" w:rsidP="003C3EAA"/>
    <w:p w14:paraId="7D6D9B81" w14:textId="77777777" w:rsidR="007E4892" w:rsidRDefault="007E4892"/>
    <w:sectPr w:rsidR="007E4892" w:rsidSect="00D22DD0">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99384" w14:textId="77777777" w:rsidR="00500EC6" w:rsidRDefault="00500EC6" w:rsidP="003C3EAA">
      <w:pPr>
        <w:spacing w:after="0" w:line="240" w:lineRule="auto"/>
      </w:pPr>
      <w:r>
        <w:separator/>
      </w:r>
    </w:p>
  </w:endnote>
  <w:endnote w:type="continuationSeparator" w:id="0">
    <w:p w14:paraId="700967CD" w14:textId="77777777" w:rsidR="00500EC6" w:rsidRDefault="00500EC6" w:rsidP="003C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71E3B" w14:textId="77777777" w:rsidR="00D22DD0" w:rsidRPr="00871A91" w:rsidRDefault="00D22DD0" w:rsidP="00D22D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D6331">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D6331">
      <w:rPr>
        <w:rFonts w:ascii="Palatino Linotype" w:hAnsi="Palatino Linotype"/>
        <w:b/>
        <w:bCs/>
        <w:noProof/>
        <w:sz w:val="20"/>
      </w:rPr>
      <w:t>29</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A56B1" w14:textId="77777777" w:rsidR="00D22DD0" w:rsidRPr="00871A91" w:rsidRDefault="00D22DD0" w:rsidP="00D22DD0">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1D6331">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1D6331">
      <w:rPr>
        <w:rFonts w:ascii="Palatino Linotype" w:hAnsi="Palatino Linotype"/>
        <w:b/>
        <w:bCs/>
        <w:noProof/>
        <w:sz w:val="20"/>
      </w:rPr>
      <w:t>29</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30AB8" w14:textId="77777777" w:rsidR="00500EC6" w:rsidRDefault="00500EC6" w:rsidP="003C3EAA">
      <w:pPr>
        <w:spacing w:after="0" w:line="240" w:lineRule="auto"/>
      </w:pPr>
      <w:r>
        <w:separator/>
      </w:r>
    </w:p>
  </w:footnote>
  <w:footnote w:type="continuationSeparator" w:id="0">
    <w:p w14:paraId="34AB84DF" w14:textId="77777777" w:rsidR="00500EC6" w:rsidRDefault="00500EC6" w:rsidP="003C3EAA">
      <w:pPr>
        <w:spacing w:after="0" w:line="240" w:lineRule="auto"/>
      </w:pPr>
      <w:r>
        <w:continuationSeparator/>
      </w:r>
    </w:p>
  </w:footnote>
  <w:footnote w:id="1">
    <w:p w14:paraId="5F61D785" w14:textId="77777777" w:rsidR="00D22DD0" w:rsidRPr="0031280C" w:rsidRDefault="00D22DD0" w:rsidP="003C3EAA">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795EBEC" w14:textId="77777777" w:rsidR="00D22DD0" w:rsidRPr="0031280C" w:rsidRDefault="00D22DD0" w:rsidP="003C3EAA">
      <w:pPr>
        <w:rPr>
          <w:rFonts w:cs="Palatino Linotype"/>
          <w:color w:val="000000"/>
          <w:sz w:val="20"/>
          <w:szCs w:val="20"/>
        </w:rPr>
      </w:pPr>
    </w:p>
    <w:p w14:paraId="5D889812" w14:textId="77777777" w:rsidR="00D22DD0" w:rsidRPr="0031280C" w:rsidRDefault="00D22DD0" w:rsidP="003C3EAA">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C3ED47C" w14:textId="77777777" w:rsidR="00D22DD0" w:rsidRPr="00783A97" w:rsidRDefault="00D22DD0" w:rsidP="003C3EAA">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B7C41" w14:textId="77777777" w:rsidR="00D22DD0" w:rsidRDefault="00500EC6">
    <w:pPr>
      <w:pStyle w:val="Encabezado"/>
    </w:pPr>
    <w:r>
      <w:rPr>
        <w:noProof/>
        <w:lang w:val="es-MX" w:eastAsia="es-MX"/>
      </w:rPr>
      <w:pict w14:anchorId="0620B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22DD0" w:rsidRPr="00B17577" w14:paraId="1061C73B" w14:textId="77777777" w:rsidTr="00D22DD0">
      <w:trPr>
        <w:trHeight w:val="227"/>
      </w:trPr>
      <w:tc>
        <w:tcPr>
          <w:tcW w:w="5103" w:type="dxa"/>
          <w:hideMark/>
        </w:tcPr>
        <w:p w14:paraId="5A131A00" w14:textId="77777777" w:rsidR="00D22DD0" w:rsidRPr="00F70BDE" w:rsidRDefault="00D22DD0" w:rsidP="00D22D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29D94CBD" w14:textId="77777777" w:rsidR="00D22DD0" w:rsidRPr="00F70BDE" w:rsidRDefault="00D22DD0" w:rsidP="00D22DD0">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3005/INFOEM/IP/RR/2026</w:t>
          </w:r>
        </w:p>
      </w:tc>
    </w:tr>
    <w:tr w:rsidR="00D22DD0" w14:paraId="1628D2A8" w14:textId="77777777" w:rsidTr="00D22DD0">
      <w:trPr>
        <w:trHeight w:val="242"/>
      </w:trPr>
      <w:tc>
        <w:tcPr>
          <w:tcW w:w="5103" w:type="dxa"/>
          <w:hideMark/>
        </w:tcPr>
        <w:p w14:paraId="1224CA60" w14:textId="77777777" w:rsidR="00D22DD0" w:rsidRPr="00F70BDE" w:rsidRDefault="00D22DD0" w:rsidP="00D22DD0">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2874713C" w14:textId="77777777" w:rsidR="00D22DD0" w:rsidRPr="00873E32" w:rsidRDefault="00D22DD0" w:rsidP="00D22DD0">
          <w:pPr>
            <w:spacing w:after="120" w:line="240" w:lineRule="auto"/>
            <w:ind w:left="-81" w:right="71"/>
            <w:jc w:val="right"/>
            <w:rPr>
              <w:rFonts w:ascii="Palatino Linotype" w:hAnsi="Palatino Linotype" w:cs="Arial"/>
              <w:b/>
              <w:sz w:val="24"/>
              <w:szCs w:val="24"/>
            </w:rPr>
          </w:pPr>
          <w:r>
            <w:rPr>
              <w:rFonts w:ascii="Palatino Linotype" w:hAnsi="Palatino Linotype"/>
              <w:b/>
              <w:color w:val="000000"/>
              <w:sz w:val="24"/>
              <w:szCs w:val="24"/>
            </w:rPr>
            <w:t>Ayuntamiento de Jilotepec</w:t>
          </w:r>
        </w:p>
      </w:tc>
    </w:tr>
    <w:tr w:rsidR="00D22DD0" w:rsidRPr="00F63239" w14:paraId="22CAA437" w14:textId="77777777" w:rsidTr="00D22DD0">
      <w:trPr>
        <w:trHeight w:val="342"/>
      </w:trPr>
      <w:tc>
        <w:tcPr>
          <w:tcW w:w="5103" w:type="dxa"/>
          <w:hideMark/>
        </w:tcPr>
        <w:p w14:paraId="372631ED" w14:textId="77777777" w:rsidR="00D22DD0" w:rsidRPr="00F70BDE" w:rsidRDefault="00D22DD0" w:rsidP="00D22DD0">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F562218" w14:textId="77777777" w:rsidR="00D22DD0" w:rsidRPr="00F70BDE" w:rsidRDefault="00D22DD0" w:rsidP="00D22DD0">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3666DA1F" w14:textId="77777777" w:rsidR="00D22DD0" w:rsidRPr="00F70BDE" w:rsidRDefault="00D22DD0" w:rsidP="00D22DD0">
          <w:pPr>
            <w:spacing w:after="120" w:line="240" w:lineRule="auto"/>
            <w:ind w:left="-486" w:right="71" w:firstLine="567"/>
            <w:jc w:val="right"/>
            <w:rPr>
              <w:rFonts w:ascii="Palatino Linotype" w:hAnsi="Palatino Linotype" w:cs="Arial"/>
              <w:sz w:val="24"/>
              <w:szCs w:val="24"/>
            </w:rPr>
          </w:pPr>
        </w:p>
      </w:tc>
    </w:tr>
  </w:tbl>
  <w:p w14:paraId="530A9A5C" w14:textId="77777777" w:rsidR="00D22DD0" w:rsidRPr="00871A91" w:rsidRDefault="00500EC6">
    <w:pPr>
      <w:pStyle w:val="Encabezado"/>
      <w:rPr>
        <w:sz w:val="2"/>
      </w:rPr>
    </w:pPr>
    <w:r>
      <w:rPr>
        <w:noProof/>
        <w:lang w:val="es-MX" w:eastAsia="es-MX"/>
      </w:rPr>
      <w:pict w14:anchorId="2F4AB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1.55pt;margin-top:-142.95pt;width:609.4pt;height:793.75pt;z-index:-251655168;mso-wrap-edited:f;mso-width-percent:0;mso-height-percent:0;mso-position-horizontal-relative:margin;mso-position-vertical-relative:margin;mso-width-percent:0;mso-height-percent:0" o:allowincell="f">
          <v:imagedata r:id="rId1" o:title=""/>
          <w10:wrap anchorx="margin" anchory="margin"/>
        </v:shape>
      </w:pict>
    </w:r>
    <w:r w:rsidR="00D22DD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22DD0" w:rsidRPr="00F70BDE" w14:paraId="09AF8BC5" w14:textId="77777777" w:rsidTr="00D22DD0">
      <w:trPr>
        <w:trHeight w:val="227"/>
      </w:trPr>
      <w:tc>
        <w:tcPr>
          <w:tcW w:w="5103" w:type="dxa"/>
          <w:hideMark/>
        </w:tcPr>
        <w:p w14:paraId="42080E2B"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A145938" w14:textId="77777777" w:rsidR="00D22DD0" w:rsidRPr="00F70BDE" w:rsidRDefault="00D22DD0" w:rsidP="00D22DD0">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03005/INFOEM/IP/RR/2026</w:t>
          </w:r>
        </w:p>
      </w:tc>
    </w:tr>
    <w:tr w:rsidR="00D22DD0" w:rsidRPr="00F70BDE" w14:paraId="6ED1CF71" w14:textId="77777777" w:rsidTr="00D22DD0">
      <w:trPr>
        <w:trHeight w:val="227"/>
      </w:trPr>
      <w:tc>
        <w:tcPr>
          <w:tcW w:w="5103" w:type="dxa"/>
        </w:tcPr>
        <w:p w14:paraId="2E91B08D"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62EDC9A" w14:textId="4C8126BE" w:rsidR="00D22DD0" w:rsidRPr="00F70BDE" w:rsidRDefault="001D6331" w:rsidP="003C3EAA">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xxxxx</w:t>
          </w:r>
          <w:r w:rsidR="00D22DD0">
            <w:rPr>
              <w:rFonts w:ascii="Palatino Linotype" w:hAnsi="Palatino Linotype" w:cs="Arial"/>
              <w:b/>
              <w:bCs/>
              <w:sz w:val="24"/>
              <w:szCs w:val="24"/>
            </w:rPr>
            <w:t xml:space="preserve"> </w:t>
          </w:r>
        </w:p>
      </w:tc>
    </w:tr>
    <w:tr w:rsidR="00D22DD0" w:rsidRPr="00F70BDE" w14:paraId="17F3488D" w14:textId="77777777" w:rsidTr="00D22DD0">
      <w:trPr>
        <w:trHeight w:val="242"/>
      </w:trPr>
      <w:tc>
        <w:tcPr>
          <w:tcW w:w="5103" w:type="dxa"/>
          <w:hideMark/>
        </w:tcPr>
        <w:p w14:paraId="0210178B" w14:textId="77777777" w:rsidR="00D22DD0" w:rsidRPr="00F70BDE" w:rsidRDefault="00D22DD0" w:rsidP="00D22DD0">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E63DBC7" w14:textId="77777777" w:rsidR="00D22DD0" w:rsidRPr="00056169" w:rsidRDefault="00D22DD0" w:rsidP="00D22DD0">
          <w:pPr>
            <w:spacing w:after="120" w:line="240" w:lineRule="auto"/>
            <w:ind w:left="-70" w:right="68"/>
            <w:jc w:val="right"/>
            <w:rPr>
              <w:rFonts w:ascii="Palatino Linotype" w:hAnsi="Palatino Linotype" w:cs="Arial"/>
              <w:sz w:val="24"/>
              <w:szCs w:val="24"/>
            </w:rPr>
          </w:pPr>
          <w:r>
            <w:rPr>
              <w:rFonts w:ascii="Palatino Linotype" w:hAnsi="Palatino Linotype"/>
              <w:color w:val="000000"/>
              <w:sz w:val="24"/>
              <w:szCs w:val="24"/>
            </w:rPr>
            <w:t>Ayuntamiento de Jilotepec</w:t>
          </w:r>
        </w:p>
      </w:tc>
    </w:tr>
    <w:tr w:rsidR="00D22DD0" w:rsidRPr="00F70BDE" w14:paraId="35F30412" w14:textId="77777777" w:rsidTr="00D22DD0">
      <w:trPr>
        <w:trHeight w:val="342"/>
      </w:trPr>
      <w:tc>
        <w:tcPr>
          <w:tcW w:w="5103" w:type="dxa"/>
          <w:hideMark/>
        </w:tcPr>
        <w:p w14:paraId="6B32F8E0" w14:textId="77777777" w:rsidR="00D22DD0" w:rsidRPr="00F70BDE" w:rsidRDefault="00D22DD0" w:rsidP="00D22DD0">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1D82974C" w14:textId="77777777" w:rsidR="00D22DD0" w:rsidRPr="00F70BDE" w:rsidRDefault="00D22DD0" w:rsidP="00D22DD0">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46EFE8A0" w14:textId="77777777" w:rsidR="00D22DD0" w:rsidRPr="00871A91" w:rsidRDefault="00D22DD0">
    <w:pPr>
      <w:pStyle w:val="Encabezado"/>
      <w:rPr>
        <w:sz w:val="2"/>
      </w:rPr>
    </w:pPr>
    <w:r>
      <w:rPr>
        <w:noProof/>
        <w:lang w:val="es-MX" w:eastAsia="es-MX"/>
      </w:rPr>
      <w:drawing>
        <wp:anchor distT="0" distB="0" distL="114300" distR="114300" simplePos="0" relativeHeight="251659264" behindDoc="1" locked="0" layoutInCell="0" allowOverlap="1" wp14:anchorId="15571944" wp14:editId="4970FA3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 w15:restartNumberingAfterBreak="0">
    <w:nsid w:val="1E38033B"/>
    <w:multiLevelType w:val="hybridMultilevel"/>
    <w:tmpl w:val="F95CCBA8"/>
    <w:lvl w:ilvl="0" w:tplc="CF6CF830">
      <w:numFmt w:val="bullet"/>
      <w:lvlText w:val="-"/>
      <w:lvlJc w:val="left"/>
      <w:pPr>
        <w:ind w:left="720" w:hanging="360"/>
      </w:pPr>
      <w:rPr>
        <w:rFonts w:ascii="Palatino Linotype" w:eastAsiaTheme="minorHAnsi"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 w15:restartNumberingAfterBreak="0">
    <w:nsid w:val="2B2D0F3B"/>
    <w:multiLevelType w:val="hybridMultilevel"/>
    <w:tmpl w:val="19646982"/>
    <w:lvl w:ilvl="0" w:tplc="60727618">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A14CDC"/>
    <w:multiLevelType w:val="hybridMultilevel"/>
    <w:tmpl w:val="04E2C2E4"/>
    <w:lvl w:ilvl="0" w:tplc="D1A43F1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3DAA6FB4"/>
    <w:multiLevelType w:val="hybridMultilevel"/>
    <w:tmpl w:val="AF40D390"/>
    <w:lvl w:ilvl="0" w:tplc="37426352">
      <w:start w:val="1"/>
      <w:numFmt w:val="decimal"/>
      <w:lvlText w:val="%1."/>
      <w:lvlJc w:val="left"/>
      <w:pPr>
        <w:ind w:left="720" w:hanging="360"/>
      </w:pPr>
      <w:rPr>
        <w:rFonts w:eastAsiaTheme="minorHAnsi" w:cstheme="minorBidi" w:hint="default"/>
        <w:color w:val="2222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7401F2"/>
    <w:multiLevelType w:val="hybridMultilevel"/>
    <w:tmpl w:val="F68A9D60"/>
    <w:lvl w:ilvl="0" w:tplc="98FEBB5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47F53489"/>
    <w:multiLevelType w:val="hybridMultilevel"/>
    <w:tmpl w:val="35A2178C"/>
    <w:lvl w:ilvl="0" w:tplc="5E92968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5DCC364D"/>
    <w:multiLevelType w:val="hybridMultilevel"/>
    <w:tmpl w:val="BEECE5C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693B50EC"/>
    <w:multiLevelType w:val="hybridMultilevel"/>
    <w:tmpl w:val="346A1BB4"/>
    <w:lvl w:ilvl="0" w:tplc="EE4EBE12">
      <w:start w:val="1"/>
      <w:numFmt w:val="decimal"/>
      <w:lvlText w:val="%1."/>
      <w:lvlJc w:val="left"/>
      <w:pPr>
        <w:ind w:left="720" w:hanging="360"/>
      </w:pPr>
      <w:rPr>
        <w:rFonts w:cs="Tahoma"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85640E1"/>
    <w:multiLevelType w:val="hybridMultilevel"/>
    <w:tmpl w:val="B43631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3"/>
  </w:num>
  <w:num w:numId="6">
    <w:abstractNumId w:val="6"/>
  </w:num>
  <w:num w:numId="7">
    <w:abstractNumId w:val="8"/>
  </w:num>
  <w:num w:numId="8">
    <w:abstractNumId w:val="7"/>
  </w:num>
  <w:num w:numId="9">
    <w:abstractNumId w:val="9"/>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EAA"/>
    <w:rsid w:val="001A2CEB"/>
    <w:rsid w:val="001D6331"/>
    <w:rsid w:val="001E6C71"/>
    <w:rsid w:val="001F1EB9"/>
    <w:rsid w:val="00310BBC"/>
    <w:rsid w:val="003C3EAA"/>
    <w:rsid w:val="0041756B"/>
    <w:rsid w:val="00500EC6"/>
    <w:rsid w:val="0062305B"/>
    <w:rsid w:val="006B447F"/>
    <w:rsid w:val="00713FCC"/>
    <w:rsid w:val="007E4892"/>
    <w:rsid w:val="008A43B0"/>
    <w:rsid w:val="008D236E"/>
    <w:rsid w:val="009C03B9"/>
    <w:rsid w:val="00A5417B"/>
    <w:rsid w:val="00AD1DDA"/>
    <w:rsid w:val="00B0354D"/>
    <w:rsid w:val="00B330BD"/>
    <w:rsid w:val="00B72EF0"/>
    <w:rsid w:val="00CE05F2"/>
    <w:rsid w:val="00D12DC8"/>
    <w:rsid w:val="00D22DD0"/>
    <w:rsid w:val="00D34E63"/>
    <w:rsid w:val="00DC3A33"/>
    <w:rsid w:val="00E11037"/>
    <w:rsid w:val="00E24A1B"/>
    <w:rsid w:val="00E70412"/>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DD3517"/>
  <w15:chartTrackingRefBased/>
  <w15:docId w15:val="{9E90AC3F-300E-483D-9043-E5872EAC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EAA"/>
  </w:style>
  <w:style w:type="paragraph" w:styleId="Ttulo1">
    <w:name w:val="heading 1"/>
    <w:aliases w:val="Título Res"/>
    <w:basedOn w:val="Normal"/>
    <w:next w:val="Normal"/>
    <w:link w:val="Ttulo1Car"/>
    <w:uiPriority w:val="9"/>
    <w:qFormat/>
    <w:rsid w:val="001A2CEB"/>
    <w:pPr>
      <w:keepNext/>
      <w:keepLines/>
      <w:spacing w:before="360" w:after="80" w:line="240" w:lineRule="auto"/>
      <w:outlineLvl w:val="0"/>
    </w:pPr>
    <w:rPr>
      <w:rFonts w:asciiTheme="majorHAnsi" w:eastAsiaTheme="majorEastAsia" w:hAnsiTheme="majorHAnsi" w:cstheme="majorBidi"/>
      <w:color w:val="2E74B5" w:themeColor="accent1" w:themeShade="BF"/>
      <w:sz w:val="40"/>
      <w:szCs w:val="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C3EAA"/>
    <w:pPr>
      <w:ind w:left="720"/>
      <w:contextualSpacing/>
    </w:pPr>
  </w:style>
  <w:style w:type="paragraph" w:styleId="Encabezado">
    <w:name w:val="header"/>
    <w:basedOn w:val="Normal"/>
    <w:link w:val="EncabezadoCar"/>
    <w:uiPriority w:val="99"/>
    <w:unhideWhenUsed/>
    <w:rsid w:val="003C3EA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3C3EA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C3EAA"/>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3C3EAA"/>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C3EAA"/>
  </w:style>
  <w:style w:type="character" w:styleId="Hipervnculo">
    <w:name w:val="Hyperlink"/>
    <w:aliases w:val="Hipervínculo1,Hipervínculo11,Hipervínculo12,Hipervínculo13,Hipervínculo14,Hipervínculo15"/>
    <w:basedOn w:val="Fuentedeprrafopredeter"/>
    <w:uiPriority w:val="99"/>
    <w:unhideWhenUsed/>
    <w:rsid w:val="003C3EAA"/>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C3EAA"/>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C3EAA"/>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C3EAA"/>
    <w:rPr>
      <w:rFonts w:ascii="Times New Roman" w:eastAsia="Times New Roman" w:hAnsi="Times New Roman" w:cs="Times New Roman"/>
      <w:sz w:val="20"/>
      <w:szCs w:val="20"/>
      <w:lang w:val="es-ES" w:eastAsia="es-ES"/>
    </w:rPr>
  </w:style>
  <w:style w:type="character" w:customStyle="1" w:styleId="Ttulo1Car">
    <w:name w:val="Título 1 Car"/>
    <w:aliases w:val="Título Res Car"/>
    <w:basedOn w:val="Fuentedeprrafopredeter"/>
    <w:link w:val="Ttulo1"/>
    <w:uiPriority w:val="9"/>
    <w:rsid w:val="001A2CEB"/>
    <w:rPr>
      <w:rFonts w:asciiTheme="majorHAnsi" w:eastAsiaTheme="majorEastAsia" w:hAnsiTheme="majorHAnsi" w:cstheme="majorBidi"/>
      <w:color w:val="2E74B5" w:themeColor="accent1" w:themeShade="BF"/>
      <w:sz w:val="40"/>
      <w:szCs w:val="4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6403</Words>
  <Characters>35221</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9</cp:revision>
  <cp:lastPrinted>2026-05-22T16:17:00Z</cp:lastPrinted>
  <dcterms:created xsi:type="dcterms:W3CDTF">2026-05-20T23:54:00Z</dcterms:created>
  <dcterms:modified xsi:type="dcterms:W3CDTF">2026-05-27T20:38:00Z</dcterms:modified>
</cp:coreProperties>
</file>