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597C68" w14:textId="071598B0" w:rsidR="00530E7A" w:rsidRPr="00514593" w:rsidRDefault="00530E7A" w:rsidP="00530E7A">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514593">
        <w:rPr>
          <w:rFonts w:ascii="Palatino Linotype" w:eastAsia="Times New Roman" w:hAnsi="Palatino Linotype" w:cs="Palatino Linotype"/>
          <w:color w:val="000000"/>
          <w:sz w:val="24"/>
          <w:szCs w:val="24"/>
          <w:lang w:val="es-ES_tradnl" w:eastAsia="es-MX"/>
        </w:rPr>
        <w:t xml:space="preserve">Resolución del Pleno del Instituto de Transparencia, Acceso a la Información Pública y Protección de Datos Personales del Estado de México y Municipios, con domicilio en Metepec, Estado de México, a </w:t>
      </w:r>
      <w:r w:rsidR="0074542D" w:rsidRPr="00514593">
        <w:rPr>
          <w:rFonts w:ascii="Palatino Linotype" w:eastAsia="Times New Roman" w:hAnsi="Palatino Linotype" w:cs="Palatino Linotype"/>
          <w:b/>
          <w:color w:val="000000"/>
          <w:sz w:val="24"/>
          <w:szCs w:val="24"/>
          <w:lang w:val="es-ES_tradnl" w:eastAsia="es-MX"/>
        </w:rPr>
        <w:t>veinte de mayo</w:t>
      </w:r>
      <w:r w:rsidRPr="00514593">
        <w:rPr>
          <w:rFonts w:ascii="Palatino Linotype" w:eastAsia="Times New Roman" w:hAnsi="Palatino Linotype" w:cs="Palatino Linotype"/>
          <w:b/>
          <w:color w:val="000000"/>
          <w:sz w:val="24"/>
          <w:szCs w:val="24"/>
          <w:lang w:val="es-ES_tradnl" w:eastAsia="es-MX"/>
        </w:rPr>
        <w:t xml:space="preserve"> de dos mil veintiséis</w:t>
      </w:r>
      <w:r w:rsidRPr="00514593">
        <w:rPr>
          <w:rFonts w:ascii="Palatino Linotype" w:eastAsia="Times New Roman" w:hAnsi="Palatino Linotype" w:cs="Palatino Linotype"/>
          <w:color w:val="000000"/>
          <w:sz w:val="24"/>
          <w:szCs w:val="24"/>
          <w:lang w:val="es-ES_tradnl" w:eastAsia="es-MX"/>
        </w:rPr>
        <w:t>.</w:t>
      </w:r>
    </w:p>
    <w:p w14:paraId="320649A5" w14:textId="77777777" w:rsidR="00530E7A" w:rsidRPr="00514593" w:rsidRDefault="00530E7A" w:rsidP="00530E7A">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36440AB2" w14:textId="306D9F10" w:rsidR="00530E7A" w:rsidRPr="00514593" w:rsidRDefault="00530E7A" w:rsidP="00530E7A">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514593">
        <w:rPr>
          <w:rFonts w:ascii="Palatino Linotype" w:eastAsia="Times New Roman" w:hAnsi="Palatino Linotype" w:cs="Palatino Linotype"/>
          <w:b/>
          <w:color w:val="000000"/>
          <w:sz w:val="24"/>
          <w:szCs w:val="24"/>
          <w:lang w:val="es-ES_tradnl" w:eastAsia="es-MX"/>
        </w:rPr>
        <w:t>VISTO</w:t>
      </w:r>
      <w:r w:rsidRPr="00514593">
        <w:rPr>
          <w:rFonts w:ascii="Palatino Linotype" w:eastAsia="Times New Roman" w:hAnsi="Palatino Linotype" w:cs="Palatino Linotype"/>
          <w:color w:val="000000"/>
          <w:sz w:val="24"/>
          <w:szCs w:val="24"/>
          <w:lang w:val="es-ES_tradnl" w:eastAsia="es-MX"/>
        </w:rPr>
        <w:t xml:space="preserve"> el expediente electrónico formado con motivo de</w:t>
      </w:r>
      <w:r w:rsidR="0092714F" w:rsidRPr="00514593">
        <w:rPr>
          <w:rFonts w:ascii="Palatino Linotype" w:eastAsia="Times New Roman" w:hAnsi="Palatino Linotype" w:cs="Palatino Linotype"/>
          <w:color w:val="000000"/>
          <w:sz w:val="24"/>
          <w:szCs w:val="24"/>
          <w:lang w:val="es-ES_tradnl" w:eastAsia="es-MX"/>
        </w:rPr>
        <w:t xml:space="preserve"> </w:t>
      </w:r>
      <w:r w:rsidRPr="00514593">
        <w:rPr>
          <w:rFonts w:ascii="Palatino Linotype" w:eastAsia="Times New Roman" w:hAnsi="Palatino Linotype" w:cs="Palatino Linotype"/>
          <w:color w:val="000000"/>
          <w:sz w:val="24"/>
          <w:szCs w:val="24"/>
          <w:lang w:val="es-ES_tradnl" w:eastAsia="es-MX"/>
        </w:rPr>
        <w:t>l</w:t>
      </w:r>
      <w:r w:rsidR="0092714F" w:rsidRPr="00514593">
        <w:rPr>
          <w:rFonts w:ascii="Palatino Linotype" w:eastAsia="Times New Roman" w:hAnsi="Palatino Linotype" w:cs="Palatino Linotype"/>
          <w:color w:val="000000"/>
          <w:sz w:val="24"/>
          <w:szCs w:val="24"/>
          <w:lang w:val="es-ES_tradnl" w:eastAsia="es-MX"/>
        </w:rPr>
        <w:t>os</w:t>
      </w:r>
      <w:r w:rsidRPr="00514593">
        <w:rPr>
          <w:rFonts w:ascii="Palatino Linotype" w:eastAsia="Times New Roman" w:hAnsi="Palatino Linotype" w:cs="Palatino Linotype"/>
          <w:color w:val="000000"/>
          <w:sz w:val="24"/>
          <w:szCs w:val="24"/>
          <w:lang w:val="es-ES_tradnl" w:eastAsia="es-MX"/>
        </w:rPr>
        <w:t xml:space="preserve"> recurso</w:t>
      </w:r>
      <w:r w:rsidR="0092714F" w:rsidRPr="00514593">
        <w:rPr>
          <w:rFonts w:ascii="Palatino Linotype" w:eastAsia="Times New Roman" w:hAnsi="Palatino Linotype" w:cs="Palatino Linotype"/>
          <w:color w:val="000000"/>
          <w:sz w:val="24"/>
          <w:szCs w:val="24"/>
          <w:lang w:val="es-ES_tradnl" w:eastAsia="es-MX"/>
        </w:rPr>
        <w:t>s</w:t>
      </w:r>
      <w:r w:rsidRPr="00514593">
        <w:rPr>
          <w:rFonts w:ascii="Palatino Linotype" w:eastAsia="Times New Roman" w:hAnsi="Palatino Linotype" w:cs="Palatino Linotype"/>
          <w:color w:val="000000"/>
          <w:sz w:val="24"/>
          <w:szCs w:val="24"/>
          <w:lang w:val="es-ES_tradnl" w:eastAsia="es-MX"/>
        </w:rPr>
        <w:t xml:space="preserve"> de revisión número </w:t>
      </w:r>
      <w:bookmarkStart w:id="0" w:name="_GoBack"/>
      <w:r w:rsidR="00965024" w:rsidRPr="00514593">
        <w:rPr>
          <w:rFonts w:ascii="Palatino Linotype" w:eastAsia="Times New Roman" w:hAnsi="Palatino Linotype" w:cs="Palatino Linotype"/>
          <w:b/>
          <w:bCs/>
          <w:color w:val="000000"/>
          <w:sz w:val="24"/>
          <w:szCs w:val="24"/>
          <w:lang w:val="es-ES_tradnl" w:eastAsia="es-MX"/>
        </w:rPr>
        <w:t>10585</w:t>
      </w:r>
      <w:r w:rsidR="00965024" w:rsidRPr="00514593">
        <w:rPr>
          <w:rFonts w:ascii="Palatino Linotype" w:eastAsia="Times New Roman" w:hAnsi="Palatino Linotype" w:cs="Palatino Linotype"/>
          <w:b/>
          <w:color w:val="000000"/>
          <w:sz w:val="24"/>
          <w:szCs w:val="24"/>
          <w:lang w:val="es-ES_tradnl" w:eastAsia="es-MX"/>
        </w:rPr>
        <w:t xml:space="preserve">/INFOEM/IP/RR/2025 </w:t>
      </w:r>
      <w:bookmarkEnd w:id="0"/>
      <w:r w:rsidR="00965024" w:rsidRPr="00514593">
        <w:rPr>
          <w:rFonts w:ascii="Palatino Linotype" w:eastAsia="Times New Roman" w:hAnsi="Palatino Linotype" w:cs="Palatino Linotype"/>
          <w:b/>
          <w:color w:val="000000"/>
          <w:sz w:val="24"/>
          <w:szCs w:val="24"/>
          <w:lang w:val="es-ES_tradnl" w:eastAsia="es-MX"/>
        </w:rPr>
        <w:t xml:space="preserve">y </w:t>
      </w:r>
      <w:r w:rsidR="00965024" w:rsidRPr="00514593">
        <w:rPr>
          <w:rFonts w:ascii="Palatino Linotype" w:eastAsia="Times New Roman" w:hAnsi="Palatino Linotype" w:cs="Palatino Linotype"/>
          <w:b/>
          <w:bCs/>
          <w:color w:val="000000"/>
          <w:sz w:val="24"/>
          <w:szCs w:val="24"/>
          <w:lang w:val="es-ES_tradnl" w:eastAsia="es-MX"/>
        </w:rPr>
        <w:t>10662</w:t>
      </w:r>
      <w:r w:rsidR="00965024" w:rsidRPr="00514593">
        <w:rPr>
          <w:rFonts w:ascii="Palatino Linotype" w:eastAsia="Times New Roman" w:hAnsi="Palatino Linotype" w:cs="Palatino Linotype"/>
          <w:b/>
          <w:color w:val="000000"/>
          <w:sz w:val="24"/>
          <w:szCs w:val="24"/>
          <w:lang w:val="es-ES_tradnl" w:eastAsia="es-MX"/>
        </w:rPr>
        <w:t xml:space="preserve">/INFOEM/IP/RR/2025 </w:t>
      </w:r>
      <w:r w:rsidRPr="00514593">
        <w:rPr>
          <w:rFonts w:ascii="Palatino Linotype" w:eastAsia="Times New Roman" w:hAnsi="Palatino Linotype" w:cs="Palatino Linotype"/>
          <w:color w:val="000000"/>
          <w:sz w:val="24"/>
          <w:szCs w:val="24"/>
          <w:lang w:val="es-ES_tradnl" w:eastAsia="es-MX"/>
        </w:rPr>
        <w:t xml:space="preserve"> interpuesto por </w:t>
      </w:r>
      <w:r w:rsidR="00C12108">
        <w:rPr>
          <w:rFonts w:ascii="Palatino Linotype" w:hAnsi="Palatino Linotype"/>
          <w:b/>
          <w:sz w:val="24"/>
          <w:szCs w:val="24"/>
        </w:rPr>
        <w:t>XXXXXXX</w:t>
      </w:r>
      <w:r w:rsidR="00965024" w:rsidRPr="00514593">
        <w:rPr>
          <w:rFonts w:ascii="Palatino Linotype" w:hAnsi="Palatino Linotype"/>
          <w:b/>
          <w:sz w:val="24"/>
          <w:szCs w:val="24"/>
        </w:rPr>
        <w:t xml:space="preserve"> </w:t>
      </w:r>
      <w:r w:rsidR="00C12108">
        <w:rPr>
          <w:rFonts w:ascii="Palatino Linotype" w:hAnsi="Palatino Linotype"/>
          <w:b/>
          <w:sz w:val="24"/>
          <w:szCs w:val="24"/>
        </w:rPr>
        <w:t>XXXXXXXXXXXXXX</w:t>
      </w:r>
      <w:r w:rsidRPr="00514593">
        <w:rPr>
          <w:rFonts w:ascii="Palatino Linotype" w:eastAsia="Times New Roman" w:hAnsi="Palatino Linotype" w:cs="Palatino Linotype"/>
          <w:color w:val="000000"/>
          <w:sz w:val="24"/>
          <w:szCs w:val="24"/>
          <w:lang w:val="es-ES_tradnl" w:eastAsia="es-MX"/>
        </w:rPr>
        <w:t xml:space="preserve">, en lo sucesivo el </w:t>
      </w:r>
      <w:r w:rsidRPr="00514593">
        <w:rPr>
          <w:rFonts w:ascii="Palatino Linotype" w:eastAsia="Times New Roman" w:hAnsi="Palatino Linotype" w:cs="Palatino Linotype"/>
          <w:b/>
          <w:color w:val="000000"/>
          <w:sz w:val="24"/>
          <w:szCs w:val="24"/>
          <w:lang w:val="es-ES_tradnl" w:eastAsia="es-MX"/>
        </w:rPr>
        <w:t>Recurrente</w:t>
      </w:r>
      <w:r w:rsidRPr="00514593">
        <w:rPr>
          <w:rFonts w:ascii="Palatino Linotype" w:eastAsia="Times New Roman" w:hAnsi="Palatino Linotype" w:cs="Palatino Linotype"/>
          <w:color w:val="000000"/>
          <w:sz w:val="24"/>
          <w:szCs w:val="24"/>
          <w:lang w:val="es-ES_tradnl" w:eastAsia="es-MX"/>
        </w:rPr>
        <w:t>, en contra de la</w:t>
      </w:r>
      <w:r w:rsidR="00965024" w:rsidRPr="00514593">
        <w:rPr>
          <w:rFonts w:ascii="Palatino Linotype" w:eastAsia="Times New Roman" w:hAnsi="Palatino Linotype" w:cs="Palatino Linotype"/>
          <w:color w:val="000000"/>
          <w:sz w:val="24"/>
          <w:szCs w:val="24"/>
          <w:lang w:val="es-ES_tradnl" w:eastAsia="es-MX"/>
        </w:rPr>
        <w:t>s</w:t>
      </w:r>
      <w:r w:rsidRPr="00514593">
        <w:rPr>
          <w:rFonts w:ascii="Palatino Linotype" w:eastAsia="Times New Roman" w:hAnsi="Palatino Linotype" w:cs="Palatino Linotype"/>
          <w:color w:val="000000"/>
          <w:sz w:val="24"/>
          <w:szCs w:val="24"/>
          <w:lang w:val="es-ES_tradnl" w:eastAsia="es-MX"/>
        </w:rPr>
        <w:t xml:space="preserve"> respuesta</w:t>
      </w:r>
      <w:r w:rsidR="00965024" w:rsidRPr="00514593">
        <w:rPr>
          <w:rFonts w:ascii="Palatino Linotype" w:eastAsia="Times New Roman" w:hAnsi="Palatino Linotype" w:cs="Palatino Linotype"/>
          <w:color w:val="000000"/>
          <w:sz w:val="24"/>
          <w:szCs w:val="24"/>
          <w:lang w:val="es-ES_tradnl" w:eastAsia="es-MX"/>
        </w:rPr>
        <w:t>s</w:t>
      </w:r>
      <w:r w:rsidRPr="00514593">
        <w:rPr>
          <w:rFonts w:ascii="Palatino Linotype" w:eastAsia="Times New Roman" w:hAnsi="Palatino Linotype" w:cs="Palatino Linotype"/>
          <w:color w:val="000000"/>
          <w:sz w:val="24"/>
          <w:szCs w:val="24"/>
          <w:lang w:val="es-ES_tradnl" w:eastAsia="es-MX"/>
        </w:rPr>
        <w:t xml:space="preserve"> del </w:t>
      </w:r>
      <w:r w:rsidR="00965024" w:rsidRPr="00514593">
        <w:rPr>
          <w:rFonts w:ascii="Palatino Linotype" w:hAnsi="Palatino Linotype"/>
          <w:b/>
          <w:bCs/>
          <w:color w:val="000000"/>
          <w:sz w:val="24"/>
          <w:szCs w:val="24"/>
        </w:rPr>
        <w:t>Instituto de Salud del Estado de México</w:t>
      </w:r>
      <w:r w:rsidRPr="00514593">
        <w:rPr>
          <w:rFonts w:ascii="Palatino Linotype" w:eastAsia="Times New Roman" w:hAnsi="Palatino Linotype" w:cs="Palatino Linotype"/>
          <w:color w:val="000000"/>
          <w:sz w:val="24"/>
          <w:szCs w:val="24"/>
          <w:lang w:val="es-ES_tradnl" w:eastAsia="es-MX"/>
        </w:rPr>
        <w:t>, en lo subsecuente</w:t>
      </w:r>
      <w:r w:rsidRPr="00514593">
        <w:rPr>
          <w:rFonts w:ascii="Palatino Linotype" w:eastAsia="Times New Roman" w:hAnsi="Palatino Linotype" w:cs="Palatino Linotype"/>
          <w:b/>
          <w:color w:val="000000"/>
          <w:sz w:val="24"/>
          <w:szCs w:val="24"/>
          <w:lang w:val="es-ES_tradnl" w:eastAsia="es-MX"/>
        </w:rPr>
        <w:t xml:space="preserve"> </w:t>
      </w:r>
      <w:r w:rsidRPr="00514593">
        <w:rPr>
          <w:rFonts w:ascii="Palatino Linotype" w:eastAsia="Times New Roman" w:hAnsi="Palatino Linotype" w:cs="Palatino Linotype"/>
          <w:color w:val="000000"/>
          <w:sz w:val="24"/>
          <w:szCs w:val="24"/>
          <w:lang w:val="es-ES_tradnl" w:eastAsia="es-MX"/>
        </w:rPr>
        <w:t>el</w:t>
      </w:r>
      <w:r w:rsidRPr="00514593">
        <w:rPr>
          <w:rFonts w:ascii="Palatino Linotype" w:eastAsia="Times New Roman" w:hAnsi="Palatino Linotype" w:cs="Palatino Linotype"/>
          <w:b/>
          <w:color w:val="000000"/>
          <w:sz w:val="24"/>
          <w:szCs w:val="24"/>
          <w:lang w:val="es-ES_tradnl" w:eastAsia="es-MX"/>
        </w:rPr>
        <w:t xml:space="preserve"> Sujeto Obligado, </w:t>
      </w:r>
      <w:r w:rsidRPr="00514593">
        <w:rPr>
          <w:rFonts w:ascii="Palatino Linotype" w:eastAsia="Times New Roman" w:hAnsi="Palatino Linotype" w:cs="Palatino Linotype"/>
          <w:color w:val="000000"/>
          <w:sz w:val="24"/>
          <w:szCs w:val="24"/>
          <w:lang w:val="es-ES_tradnl" w:eastAsia="es-MX"/>
        </w:rPr>
        <w:t>se procede a dictar la presente resolución.</w:t>
      </w:r>
    </w:p>
    <w:p w14:paraId="6B5B1AA4" w14:textId="77777777" w:rsidR="00965024" w:rsidRPr="00514593" w:rsidRDefault="00965024" w:rsidP="00530E7A">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2119E676" w14:textId="77777777" w:rsidR="00530E7A" w:rsidRPr="00514593" w:rsidRDefault="00530E7A" w:rsidP="00530E7A">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79AB1175" w14:textId="77777777" w:rsidR="00530E7A" w:rsidRPr="00514593" w:rsidRDefault="00530E7A" w:rsidP="00530E7A">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r w:rsidRPr="00514593">
        <w:rPr>
          <w:rFonts w:ascii="Palatino Linotype" w:eastAsia="Times New Roman" w:hAnsi="Palatino Linotype" w:cs="Times New Roman"/>
          <w:b/>
          <w:color w:val="000000" w:themeColor="text1"/>
          <w:sz w:val="28"/>
          <w:szCs w:val="32"/>
          <w:lang w:val="es-ES_tradnl" w:eastAsia="es-ES"/>
        </w:rPr>
        <w:t>A N T E C E D E N T E S</w:t>
      </w:r>
    </w:p>
    <w:p w14:paraId="32C9B87B" w14:textId="77777777" w:rsidR="00530E7A" w:rsidRPr="00514593" w:rsidRDefault="00530E7A" w:rsidP="00530E7A">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p>
    <w:p w14:paraId="7FB70DA3" w14:textId="77777777" w:rsidR="00530E7A" w:rsidRPr="00514593" w:rsidRDefault="00530E7A" w:rsidP="00530E7A">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2C9326F1" w14:textId="77777777" w:rsidR="00530E7A" w:rsidRPr="00514593" w:rsidRDefault="00530E7A" w:rsidP="00530E7A">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514593">
        <w:rPr>
          <w:rFonts w:ascii="Palatino Linotype" w:eastAsia="Times New Roman" w:hAnsi="Palatino Linotype" w:cs="Times New Roman"/>
          <w:b/>
          <w:color w:val="000000" w:themeColor="text1"/>
          <w:sz w:val="26"/>
          <w:szCs w:val="26"/>
          <w:lang w:val="es-ES_tradnl" w:eastAsia="es-MX"/>
        </w:rPr>
        <w:t>PRIMERO. De la Solicitud de Información.</w:t>
      </w:r>
    </w:p>
    <w:p w14:paraId="2449C7CA" w14:textId="77777777" w:rsidR="00530E7A" w:rsidRPr="00514593" w:rsidRDefault="00530E7A" w:rsidP="00530E7A">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514593">
        <w:rPr>
          <w:rFonts w:ascii="Palatino Linotype" w:eastAsia="Times New Roman" w:hAnsi="Palatino Linotype" w:cs="Palatino Linotype"/>
          <w:color w:val="000000"/>
          <w:sz w:val="24"/>
          <w:szCs w:val="24"/>
          <w:lang w:val="es-ES_tradnl" w:eastAsia="es-MX"/>
        </w:rPr>
        <w:t xml:space="preserve">Con fecha </w:t>
      </w:r>
      <w:r w:rsidR="00965024" w:rsidRPr="00514593">
        <w:rPr>
          <w:rFonts w:ascii="Palatino Linotype" w:eastAsia="Times New Roman" w:hAnsi="Palatino Linotype" w:cs="Palatino Linotype"/>
          <w:color w:val="000000"/>
          <w:sz w:val="24"/>
          <w:szCs w:val="24"/>
          <w:lang w:val="es-ES_tradnl" w:eastAsia="es-MX"/>
        </w:rPr>
        <w:t>cuatro de agosto</w:t>
      </w:r>
      <w:r w:rsidRPr="00514593">
        <w:rPr>
          <w:rFonts w:ascii="Palatino Linotype" w:eastAsia="Times New Roman" w:hAnsi="Palatino Linotype" w:cs="Palatino Linotype"/>
          <w:color w:val="000000"/>
          <w:sz w:val="24"/>
          <w:szCs w:val="24"/>
          <w:lang w:val="es-ES_tradnl" w:eastAsia="es-MX"/>
        </w:rPr>
        <w:t xml:space="preserve"> de dos mil veinticinco, el Recurrente presentó mediante el Sistema de Acceso a la Información Mexiquense (SAIMEX), solicitud de información registrada con el número de </w:t>
      </w:r>
      <w:r w:rsidRPr="00514593">
        <w:rPr>
          <w:rFonts w:ascii="Palatino Linotype" w:eastAsia="Times New Roman" w:hAnsi="Palatino Linotype" w:cs="Palatino Linotype"/>
          <w:sz w:val="24"/>
          <w:szCs w:val="24"/>
          <w:lang w:val="es-ES_tradnl" w:eastAsia="es-MX"/>
        </w:rPr>
        <w:t>expediente</w:t>
      </w:r>
      <w:r w:rsidRPr="00514593">
        <w:rPr>
          <w:rFonts w:ascii="Verdana" w:hAnsi="Verdana"/>
          <w:b/>
          <w:bCs/>
          <w:color w:val="FF0000"/>
        </w:rPr>
        <w:t xml:space="preserve">  </w:t>
      </w:r>
      <w:r w:rsidR="00965024" w:rsidRPr="00514593">
        <w:rPr>
          <w:rFonts w:ascii="Palatino Linotype" w:hAnsi="Palatino Linotype"/>
          <w:b/>
          <w:bCs/>
          <w:sz w:val="24"/>
          <w:szCs w:val="24"/>
        </w:rPr>
        <w:t>00416/ISEM/IP/2025</w:t>
      </w:r>
      <w:r w:rsidR="00965024" w:rsidRPr="00514593">
        <w:rPr>
          <w:rFonts w:ascii="Palatino Linotype" w:eastAsia="Times New Roman" w:hAnsi="Palatino Linotype" w:cs="Palatino Linotype"/>
          <w:sz w:val="24"/>
          <w:szCs w:val="24"/>
          <w:lang w:val="es-ES_tradnl" w:eastAsia="es-MX"/>
        </w:rPr>
        <w:t xml:space="preserve"> y </w:t>
      </w:r>
      <w:r w:rsidR="00AF16D8" w:rsidRPr="00514593">
        <w:rPr>
          <w:rFonts w:ascii="Palatino Linotype" w:hAnsi="Palatino Linotype"/>
          <w:b/>
          <w:bCs/>
          <w:sz w:val="24"/>
          <w:szCs w:val="24"/>
        </w:rPr>
        <w:t>00417/ISEM/IP/2025</w:t>
      </w:r>
      <w:r w:rsidRPr="00514593">
        <w:rPr>
          <w:rFonts w:ascii="Palatino Linotype" w:eastAsia="Times New Roman" w:hAnsi="Palatino Linotype" w:cs="Palatino Linotype"/>
          <w:sz w:val="24"/>
          <w:szCs w:val="24"/>
          <w:lang w:val="es-ES_tradnl" w:eastAsia="es-MX"/>
        </w:rPr>
        <w:t>,</w:t>
      </w:r>
      <w:r w:rsidRPr="00514593">
        <w:rPr>
          <w:rFonts w:ascii="Palatino Linotype" w:eastAsia="Times New Roman" w:hAnsi="Palatino Linotype" w:cs="Palatino Linotype"/>
          <w:b/>
          <w:sz w:val="24"/>
          <w:szCs w:val="24"/>
          <w:lang w:val="es-ES_tradnl" w:eastAsia="es-MX"/>
        </w:rPr>
        <w:t xml:space="preserve"> </w:t>
      </w:r>
      <w:r w:rsidRPr="00514593">
        <w:rPr>
          <w:rFonts w:ascii="Palatino Linotype" w:eastAsia="Times New Roman" w:hAnsi="Palatino Linotype" w:cs="Palatino Linotype"/>
          <w:color w:val="000000"/>
          <w:sz w:val="24"/>
          <w:szCs w:val="24"/>
          <w:lang w:val="es-ES_tradnl" w:eastAsia="es-MX"/>
        </w:rPr>
        <w:t>mediante la cual solicitó información en el tenor siguiente:</w:t>
      </w:r>
    </w:p>
    <w:p w14:paraId="3D825ADD" w14:textId="77777777" w:rsidR="00965024" w:rsidRPr="00514593" w:rsidRDefault="00965024" w:rsidP="00965024">
      <w:pPr>
        <w:spacing w:after="0" w:line="360" w:lineRule="auto"/>
        <w:ind w:left="567" w:right="567"/>
        <w:contextualSpacing/>
        <w:jc w:val="both"/>
        <w:rPr>
          <w:rFonts w:ascii="Palatino Linotype" w:hAnsi="Palatino Linotype"/>
          <w:b/>
          <w:bCs/>
          <w:sz w:val="24"/>
          <w:szCs w:val="24"/>
        </w:rPr>
      </w:pPr>
    </w:p>
    <w:p w14:paraId="4CE498E4" w14:textId="77777777" w:rsidR="00965024" w:rsidRPr="00514593" w:rsidRDefault="00965024" w:rsidP="00965024">
      <w:pPr>
        <w:spacing w:after="0" w:line="360" w:lineRule="auto"/>
        <w:ind w:left="567" w:right="567"/>
        <w:contextualSpacing/>
        <w:jc w:val="both"/>
        <w:rPr>
          <w:rFonts w:ascii="Palatino Linotype" w:hAnsi="Palatino Linotype"/>
          <w:i/>
          <w:color w:val="000000"/>
          <w:sz w:val="24"/>
          <w:szCs w:val="24"/>
        </w:rPr>
      </w:pPr>
      <w:r w:rsidRPr="00514593">
        <w:rPr>
          <w:rFonts w:ascii="Palatino Linotype" w:hAnsi="Palatino Linotype"/>
          <w:b/>
          <w:bCs/>
          <w:sz w:val="24"/>
          <w:szCs w:val="24"/>
        </w:rPr>
        <w:t>Para la solicitud 00416/ISEM/IP/2025</w:t>
      </w:r>
    </w:p>
    <w:p w14:paraId="78CA3D0A" w14:textId="77777777" w:rsidR="00530E7A" w:rsidRPr="00514593" w:rsidRDefault="00530E7A" w:rsidP="00965024">
      <w:pPr>
        <w:spacing w:after="0" w:line="360" w:lineRule="auto"/>
        <w:ind w:left="567" w:right="567"/>
        <w:contextualSpacing/>
        <w:jc w:val="both"/>
        <w:rPr>
          <w:rFonts w:ascii="Palatino Linotype" w:hAnsi="Palatino Linotype"/>
          <w:i/>
          <w:color w:val="000000"/>
          <w:sz w:val="24"/>
          <w:szCs w:val="24"/>
        </w:rPr>
      </w:pPr>
      <w:r w:rsidRPr="00514593">
        <w:rPr>
          <w:rFonts w:ascii="Palatino Linotype" w:hAnsi="Palatino Linotype"/>
          <w:i/>
          <w:color w:val="000000"/>
          <w:sz w:val="24"/>
          <w:szCs w:val="24"/>
        </w:rPr>
        <w:t xml:space="preserve"> “</w:t>
      </w:r>
      <w:r w:rsidR="00965024" w:rsidRPr="00514593">
        <w:rPr>
          <w:rFonts w:ascii="Palatino Linotype" w:hAnsi="Palatino Linotype"/>
          <w:i/>
          <w:color w:val="000000"/>
        </w:rPr>
        <w:t xml:space="preserve">Solicito de manera respetuosa se me proporcione la siguiente información pública en versión digital y en versión pública: Informe si la ciudadana Honoria Arellano Ocampo cuenta </w:t>
      </w:r>
      <w:r w:rsidR="00965024" w:rsidRPr="00514593">
        <w:rPr>
          <w:rFonts w:ascii="Palatino Linotype" w:hAnsi="Palatino Linotype"/>
          <w:i/>
          <w:color w:val="000000"/>
        </w:rPr>
        <w:lastRenderedPageBreak/>
        <w:t>actualmente con una plaza vigente registrada en el Instituto de Salud del Estado de México (ISEM). (Favor de indicar clave de plaza, adscripción, tipo de contratación, nivel, nombramiento y vigencia actual). Copia en versión pública del documento que acredite la existencia de dicha plaza vigente, en caso afirmativo. (Por ejemplo: nombramiento, contrato individual de trabajo, base sindical, recibo de nómina activo, alta en el sistema RH o similar). En caso de que la ciudadana Honoria Arellano Ocampo no cuente con plaza vigente actualmente, solicito copia en versión pública de los documentos que acrediten las contrataciones que haya tenido en el ISEM desde el año 2012 hasta la fecha de esta solicitud. (Incluyendo fechas de alta y baja, tipo de contratación, clave de plaza, área de adscripción, funciones, tipo de jornada; todas las licencias, comisiones y permisos que haya tenido durante su servicio en esa Institución). Informe si en los registros del Instituto de Salud del Estado de México consta la TOMA DE NOTA expedida por la autoridad laboral correspondiente, en la que se designe a Honoria Arellano Ocampo como representante sindical del SNTSA o de cualquier otra organización gremial. (Indicar fecha de emisión, autoridad que la expide, tipo de representación y vigencia). Informe si el Instituto de Salud del Estado de México ha reconocido formalmente a Honoria Arellano Ocampo como representante sindical de trabajadores. (Favor de indicar si existe acta, oficio o resolución interna mediante la cual se le otorgue trato como representante gremial en el marco de una relación institucional con el ISEM). Agradezco de antemano la información para fines informativos de los y las mexiquenses.</w:t>
      </w:r>
      <w:r w:rsidRPr="00514593">
        <w:rPr>
          <w:rFonts w:ascii="Palatino Linotype" w:hAnsi="Palatino Linotype"/>
          <w:i/>
          <w:color w:val="000000"/>
          <w:sz w:val="24"/>
          <w:szCs w:val="24"/>
          <w:lang w:val="es-ES_tradnl"/>
        </w:rPr>
        <w:t xml:space="preserve"> “</w:t>
      </w:r>
      <w:r w:rsidRPr="00514593">
        <w:rPr>
          <w:rFonts w:ascii="Palatino Linotype" w:eastAsia="Times New Roman" w:hAnsi="Palatino Linotype" w:cs="Palatino Linotype"/>
          <w:i/>
          <w:color w:val="000000"/>
          <w:szCs w:val="24"/>
          <w:lang w:val="es-ES_tradnl" w:eastAsia="es-MX"/>
        </w:rPr>
        <w:t>(Sic)</w:t>
      </w:r>
    </w:p>
    <w:p w14:paraId="01949D27" w14:textId="77777777" w:rsidR="00530E7A" w:rsidRPr="00514593" w:rsidRDefault="00530E7A" w:rsidP="00530E7A">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3D5D7FAA" w14:textId="77777777" w:rsidR="00AF16D8" w:rsidRPr="00514593" w:rsidRDefault="00AF16D8" w:rsidP="00AF16D8">
      <w:pPr>
        <w:spacing w:after="0" w:line="360" w:lineRule="auto"/>
        <w:ind w:left="567" w:right="567"/>
        <w:contextualSpacing/>
        <w:jc w:val="both"/>
        <w:rPr>
          <w:rFonts w:ascii="Palatino Linotype" w:hAnsi="Palatino Linotype"/>
          <w:i/>
          <w:color w:val="000000"/>
          <w:sz w:val="24"/>
          <w:szCs w:val="24"/>
        </w:rPr>
      </w:pPr>
      <w:r w:rsidRPr="00514593">
        <w:rPr>
          <w:rFonts w:ascii="Palatino Linotype" w:hAnsi="Palatino Linotype"/>
          <w:b/>
          <w:bCs/>
          <w:sz w:val="24"/>
          <w:szCs w:val="24"/>
        </w:rPr>
        <w:t>Para la solicitud 00417/ISEM/IP/2025</w:t>
      </w:r>
    </w:p>
    <w:p w14:paraId="46F773D3" w14:textId="77777777" w:rsidR="00965024" w:rsidRPr="00514593" w:rsidRDefault="00AF16D8" w:rsidP="00AF16D8">
      <w:pPr>
        <w:spacing w:after="0" w:line="360" w:lineRule="auto"/>
        <w:ind w:left="567"/>
        <w:contextualSpacing/>
        <w:jc w:val="both"/>
        <w:rPr>
          <w:rFonts w:ascii="Palatino Linotype" w:eastAsia="Times New Roman" w:hAnsi="Palatino Linotype" w:cs="Palatino Linotype"/>
          <w:i/>
          <w:color w:val="000000"/>
          <w:sz w:val="24"/>
          <w:szCs w:val="24"/>
          <w:lang w:val="es-ES_tradnl" w:eastAsia="es-MX"/>
        </w:rPr>
      </w:pPr>
      <w:r w:rsidRPr="00514593">
        <w:rPr>
          <w:rFonts w:ascii="Palatino Linotype" w:hAnsi="Palatino Linotype"/>
          <w:i/>
          <w:color w:val="000000"/>
          <w:sz w:val="24"/>
          <w:szCs w:val="24"/>
        </w:rPr>
        <w:t xml:space="preserve">“Por medio del presente, en ejercicio del derecho de acceso a la información pública y conforme al principio de máxima publicidad, solicito atentamente la siguiente información, que será utilizada con fines de investigación periodística y de interés público: Se proporcione </w:t>
      </w:r>
      <w:r w:rsidRPr="00514593">
        <w:rPr>
          <w:rFonts w:ascii="Palatino Linotype" w:hAnsi="Palatino Linotype"/>
          <w:i/>
          <w:color w:val="000000"/>
          <w:sz w:val="24"/>
          <w:szCs w:val="24"/>
        </w:rPr>
        <w:lastRenderedPageBreak/>
        <w:t>copia simple de los documentos oficiales que obren en los archivos del Instituto de Salud del Estado de México, y que den respuesta y acrediten fehacientemente lo siguiente: Copia de todos los documentos mediante los cuales la C. Honoria Arellano Ocampo se haya presentado formalmente ante autoridades del Instituto de Salud del Estado de México y/o en la Secretaria de Salud del Estado de México, en representación de trabajadores, durante los ejercicios fiscales 2024 y 2025. Indique de manera detallada los días, horas y lugares en los que la C. Honoria Arellano Ocampo ha sostenido reuniones de trabajo con personal del Instituto de Salud del Estado de México y/o la Secretaría de Salud del Estado de México, durante los ejercicios 2024 y 2025. Copia de todas las minutas, actas o documentos similares que acrediten la participación de la C. Honoria Arellano Ocampo en reuniones oficiales de trabajo con personal del Instituto de Salud del Estado de México y/o en la Secretaría de Salud del Estado de México, en los ejercicios señalados. Copia íntegra del expediente laboral completo de la C. Honoria Arellano Ocampo, incluyendo nombramientos, contratos, adscripción, licencias, permisos, cambios de unidad, evaluaciones, y demás documentos relacionados. Informe si la C. Honoria Arellano Ocampo cuenta con algún registro de notas desfavorables, actas administrativas, actas de hechos, reportes de incidencias, denuncias, demandas o procedimientos administrativos, penales, civiles o laborales iniciados en su contra dentro del Instituto de Salud y/o Secretaría de Salud del Estado de México En caso afirmativo, proporcione copia de los expedientes y documentos respectivos. Agradezco de antemano su atención y colaboración. Reitero que esta solicitud se realiza en el marco del ejercicio del derecho de acceso a la información pública y con fines de interés periodístico. Quedo atento a la entrega de la información en los plazos y términos que establece la legislación aplicable.</w:t>
      </w:r>
      <w:r w:rsidRPr="00514593">
        <w:rPr>
          <w:rFonts w:ascii="Palatino Linotype" w:hAnsi="Palatino Linotype"/>
          <w:i/>
          <w:color w:val="000000"/>
          <w:sz w:val="24"/>
          <w:szCs w:val="24"/>
          <w:lang w:val="es-ES_tradnl"/>
        </w:rPr>
        <w:t>“</w:t>
      </w:r>
      <w:r w:rsidRPr="00514593">
        <w:rPr>
          <w:rFonts w:ascii="Palatino Linotype" w:eastAsia="Times New Roman" w:hAnsi="Palatino Linotype" w:cs="Palatino Linotype"/>
          <w:i/>
          <w:color w:val="000000"/>
          <w:szCs w:val="24"/>
          <w:lang w:val="es-ES_tradnl" w:eastAsia="es-MX"/>
        </w:rPr>
        <w:t>(Sic)</w:t>
      </w:r>
    </w:p>
    <w:p w14:paraId="1E234D81" w14:textId="77777777" w:rsidR="00AF16D8" w:rsidRPr="00514593" w:rsidRDefault="00AF16D8" w:rsidP="00530E7A">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4B611E43" w14:textId="77777777" w:rsidR="00530E7A" w:rsidRPr="00514593" w:rsidRDefault="00530E7A" w:rsidP="00530E7A">
      <w:pPr>
        <w:spacing w:after="0" w:line="360" w:lineRule="auto"/>
        <w:contextualSpacing/>
        <w:jc w:val="both"/>
        <w:rPr>
          <w:rFonts w:ascii="Palatino Linotype" w:eastAsia="Times New Roman" w:hAnsi="Palatino Linotype" w:cs="Palatino Linotype"/>
          <w:b/>
          <w:color w:val="000000"/>
          <w:sz w:val="24"/>
          <w:szCs w:val="24"/>
          <w:lang w:val="es-ES_tradnl" w:eastAsia="es-MX"/>
        </w:rPr>
      </w:pPr>
      <w:r w:rsidRPr="00514593">
        <w:rPr>
          <w:rFonts w:ascii="Palatino Linotype" w:eastAsia="Times New Roman" w:hAnsi="Palatino Linotype" w:cs="Palatino Linotype"/>
          <w:color w:val="000000"/>
          <w:sz w:val="24"/>
          <w:szCs w:val="24"/>
          <w:lang w:val="es-ES_tradnl" w:eastAsia="es-MX"/>
        </w:rPr>
        <w:t xml:space="preserve">Modalidad de entrega: </w:t>
      </w:r>
      <w:r w:rsidRPr="00514593">
        <w:rPr>
          <w:rFonts w:ascii="Palatino Linotype" w:eastAsia="Times New Roman" w:hAnsi="Palatino Linotype" w:cs="Palatino Linotype"/>
          <w:b/>
          <w:color w:val="000000"/>
          <w:sz w:val="24"/>
          <w:szCs w:val="24"/>
          <w:lang w:val="es-ES_tradnl" w:eastAsia="es-MX"/>
        </w:rPr>
        <w:t>A través del SAIMEX</w:t>
      </w:r>
      <w:r w:rsidRPr="00514593">
        <w:rPr>
          <w:rFonts w:ascii="Palatino Linotype" w:eastAsia="Times New Roman" w:hAnsi="Palatino Linotype" w:cs="Palatino Linotype"/>
          <w:color w:val="000000"/>
          <w:sz w:val="24"/>
          <w:szCs w:val="24"/>
          <w:lang w:val="es-ES_tradnl" w:eastAsia="es-MX"/>
        </w:rPr>
        <w:t>.</w:t>
      </w:r>
    </w:p>
    <w:p w14:paraId="67D2C65B" w14:textId="77777777" w:rsidR="00530E7A" w:rsidRPr="00514593" w:rsidRDefault="00530E7A" w:rsidP="00530E7A">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1C107EFB" w14:textId="77777777" w:rsidR="00530E7A" w:rsidRPr="00514593" w:rsidRDefault="00530E7A" w:rsidP="00530E7A">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514593">
        <w:rPr>
          <w:rFonts w:ascii="Palatino Linotype" w:eastAsia="Times New Roman" w:hAnsi="Palatino Linotype" w:cs="Times New Roman"/>
          <w:b/>
          <w:color w:val="000000" w:themeColor="text1"/>
          <w:sz w:val="26"/>
          <w:szCs w:val="26"/>
          <w:lang w:val="es-ES_tradnl" w:eastAsia="es-MX"/>
        </w:rPr>
        <w:t>SEGUNDO. De la</w:t>
      </w:r>
      <w:r w:rsidR="00965024" w:rsidRPr="00514593">
        <w:rPr>
          <w:rFonts w:ascii="Palatino Linotype" w:eastAsia="Times New Roman" w:hAnsi="Palatino Linotype" w:cs="Times New Roman"/>
          <w:b/>
          <w:color w:val="000000" w:themeColor="text1"/>
          <w:sz w:val="26"/>
          <w:szCs w:val="26"/>
          <w:lang w:val="es-ES_tradnl" w:eastAsia="es-MX"/>
        </w:rPr>
        <w:t>s</w:t>
      </w:r>
      <w:r w:rsidRPr="00514593">
        <w:rPr>
          <w:rFonts w:ascii="Palatino Linotype" w:eastAsia="Times New Roman" w:hAnsi="Palatino Linotype" w:cs="Times New Roman"/>
          <w:b/>
          <w:color w:val="000000" w:themeColor="text1"/>
          <w:sz w:val="26"/>
          <w:szCs w:val="26"/>
          <w:lang w:val="es-ES_tradnl" w:eastAsia="es-MX"/>
        </w:rPr>
        <w:t xml:space="preserve"> respuesta</w:t>
      </w:r>
      <w:r w:rsidR="00965024" w:rsidRPr="00514593">
        <w:rPr>
          <w:rFonts w:ascii="Palatino Linotype" w:eastAsia="Times New Roman" w:hAnsi="Palatino Linotype" w:cs="Times New Roman"/>
          <w:b/>
          <w:color w:val="000000" w:themeColor="text1"/>
          <w:sz w:val="26"/>
          <w:szCs w:val="26"/>
          <w:lang w:val="es-ES_tradnl" w:eastAsia="es-MX"/>
        </w:rPr>
        <w:t>s</w:t>
      </w:r>
      <w:r w:rsidRPr="00514593">
        <w:rPr>
          <w:rFonts w:ascii="Palatino Linotype" w:eastAsia="Times New Roman" w:hAnsi="Palatino Linotype" w:cs="Times New Roman"/>
          <w:b/>
          <w:color w:val="000000" w:themeColor="text1"/>
          <w:sz w:val="26"/>
          <w:szCs w:val="26"/>
          <w:lang w:val="es-ES_tradnl" w:eastAsia="es-MX"/>
        </w:rPr>
        <w:t xml:space="preserve"> del Sujeto Obligado.</w:t>
      </w:r>
    </w:p>
    <w:p w14:paraId="3FE42891" w14:textId="77777777" w:rsidR="00530E7A" w:rsidRPr="00514593" w:rsidRDefault="00530E7A" w:rsidP="00530E7A">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514593">
        <w:rPr>
          <w:rFonts w:ascii="Palatino Linotype" w:eastAsia="Times New Roman" w:hAnsi="Palatino Linotype" w:cs="Palatino Linotype"/>
          <w:color w:val="000000"/>
          <w:sz w:val="24"/>
          <w:szCs w:val="24"/>
          <w:lang w:val="es-ES_tradnl" w:eastAsia="es-MX"/>
        </w:rPr>
        <w:t>De las constancias que obran en el expediente electrónico, se observa que el tres de marzo de dos mil veintiséis, el Sujeto Obligado dio respuesta a la solicitud de información manifestando lo siguiente:</w:t>
      </w:r>
    </w:p>
    <w:tbl>
      <w:tblPr>
        <w:tblStyle w:val="Tablaconcuadrcula"/>
        <w:tblW w:w="0" w:type="auto"/>
        <w:jc w:val="center"/>
        <w:tblLook w:val="04A0" w:firstRow="1" w:lastRow="0" w:firstColumn="1" w:lastColumn="0" w:noHBand="0" w:noVBand="1"/>
      </w:tblPr>
      <w:tblGrid>
        <w:gridCol w:w="2413"/>
        <w:gridCol w:w="3333"/>
      </w:tblGrid>
      <w:tr w:rsidR="00965024" w:rsidRPr="00514593" w14:paraId="74DF955C" w14:textId="77777777" w:rsidTr="00AF16D8">
        <w:trPr>
          <w:trHeight w:val="285"/>
          <w:jc w:val="center"/>
        </w:trPr>
        <w:tc>
          <w:tcPr>
            <w:tcW w:w="2413" w:type="dxa"/>
          </w:tcPr>
          <w:p w14:paraId="2EF52429" w14:textId="77777777" w:rsidR="00965024" w:rsidRPr="00514593" w:rsidRDefault="00965024" w:rsidP="00530E7A">
            <w:pPr>
              <w:spacing w:line="360" w:lineRule="auto"/>
              <w:contextualSpacing/>
              <w:jc w:val="both"/>
              <w:rPr>
                <w:rFonts w:ascii="Palatino Linotype" w:eastAsia="Times New Roman" w:hAnsi="Palatino Linotype" w:cs="Palatino Linotype"/>
                <w:i/>
                <w:color w:val="000000"/>
                <w:lang w:val="es-ES_tradnl" w:eastAsia="es-MX"/>
              </w:rPr>
            </w:pPr>
            <w:r w:rsidRPr="00514593">
              <w:rPr>
                <w:rFonts w:ascii="Palatino Linotype" w:eastAsia="Times New Roman" w:hAnsi="Palatino Linotype" w:cs="Palatino Linotype"/>
                <w:i/>
                <w:color w:val="000000"/>
                <w:lang w:val="es-ES_tradnl" w:eastAsia="es-MX"/>
              </w:rPr>
              <w:t xml:space="preserve">Solicitud </w:t>
            </w:r>
          </w:p>
        </w:tc>
        <w:tc>
          <w:tcPr>
            <w:tcW w:w="3333" w:type="dxa"/>
          </w:tcPr>
          <w:p w14:paraId="0D78F870" w14:textId="77777777" w:rsidR="00965024" w:rsidRPr="00514593" w:rsidRDefault="00965024" w:rsidP="00530E7A">
            <w:pPr>
              <w:spacing w:line="360" w:lineRule="auto"/>
              <w:contextualSpacing/>
              <w:jc w:val="both"/>
              <w:rPr>
                <w:rFonts w:ascii="Palatino Linotype" w:eastAsia="Times New Roman" w:hAnsi="Palatino Linotype" w:cs="Palatino Linotype"/>
                <w:i/>
                <w:color w:val="000000"/>
                <w:lang w:val="es-ES_tradnl" w:eastAsia="es-MX"/>
              </w:rPr>
            </w:pPr>
            <w:r w:rsidRPr="00514593">
              <w:rPr>
                <w:rFonts w:ascii="Palatino Linotype" w:eastAsia="Times New Roman" w:hAnsi="Palatino Linotype" w:cs="Palatino Linotype"/>
                <w:i/>
                <w:color w:val="000000"/>
                <w:lang w:val="es-ES_tradnl" w:eastAsia="es-MX"/>
              </w:rPr>
              <w:t xml:space="preserve">Respuesta del Sujeto Obligado </w:t>
            </w:r>
          </w:p>
        </w:tc>
      </w:tr>
      <w:tr w:rsidR="00965024" w:rsidRPr="00514593" w14:paraId="505374D2" w14:textId="77777777" w:rsidTr="00AF16D8">
        <w:trPr>
          <w:trHeight w:val="535"/>
          <w:jc w:val="center"/>
        </w:trPr>
        <w:tc>
          <w:tcPr>
            <w:tcW w:w="2413" w:type="dxa"/>
          </w:tcPr>
          <w:p w14:paraId="4071DEDC" w14:textId="77777777" w:rsidR="00965024" w:rsidRPr="00514593" w:rsidRDefault="00965024" w:rsidP="00530E7A">
            <w:pPr>
              <w:spacing w:line="360" w:lineRule="auto"/>
              <w:contextualSpacing/>
              <w:jc w:val="both"/>
              <w:rPr>
                <w:rFonts w:ascii="Palatino Linotype" w:eastAsia="Times New Roman" w:hAnsi="Palatino Linotype" w:cs="Palatino Linotype"/>
                <w:i/>
                <w:color w:val="000000"/>
                <w:lang w:val="es-ES_tradnl" w:eastAsia="es-MX"/>
              </w:rPr>
            </w:pPr>
            <w:r w:rsidRPr="00514593">
              <w:rPr>
                <w:rFonts w:ascii="Palatino Linotype" w:hAnsi="Palatino Linotype"/>
                <w:b/>
                <w:bCs/>
              </w:rPr>
              <w:t>00416/ISEM/IP/2025</w:t>
            </w:r>
          </w:p>
        </w:tc>
        <w:tc>
          <w:tcPr>
            <w:tcW w:w="3333" w:type="dxa"/>
          </w:tcPr>
          <w:p w14:paraId="6B7F8240" w14:textId="77777777" w:rsidR="00AF16D8" w:rsidRPr="00514593" w:rsidRDefault="00965024" w:rsidP="00530E7A">
            <w:pPr>
              <w:pStyle w:val="Prrafodelista"/>
              <w:numPr>
                <w:ilvl w:val="0"/>
                <w:numId w:val="38"/>
              </w:numPr>
              <w:contextualSpacing/>
            </w:pPr>
            <w:r w:rsidRPr="00514593">
              <w:rPr>
                <w:rFonts w:cs="Arial"/>
                <w:b/>
                <w:bCs/>
              </w:rPr>
              <w:t>SAIMEX 00416.pdf</w:t>
            </w:r>
          </w:p>
          <w:p w14:paraId="15B4B369" w14:textId="77777777" w:rsidR="00965024" w:rsidRPr="00514593" w:rsidRDefault="00965024" w:rsidP="00530E7A">
            <w:pPr>
              <w:pStyle w:val="Prrafodelista"/>
              <w:numPr>
                <w:ilvl w:val="0"/>
                <w:numId w:val="38"/>
              </w:numPr>
              <w:contextualSpacing/>
            </w:pPr>
            <w:r w:rsidRPr="00514593">
              <w:rPr>
                <w:rFonts w:cs="Arial"/>
                <w:b/>
                <w:bCs/>
                <w:sz w:val="22"/>
                <w:szCs w:val="22"/>
              </w:rPr>
              <w:t>sol 00416 2025.pdf</w:t>
            </w:r>
          </w:p>
        </w:tc>
      </w:tr>
      <w:tr w:rsidR="00965024" w:rsidRPr="00514593" w14:paraId="357DEEA7" w14:textId="77777777" w:rsidTr="00AF16D8">
        <w:trPr>
          <w:trHeight w:val="874"/>
          <w:jc w:val="center"/>
        </w:trPr>
        <w:tc>
          <w:tcPr>
            <w:tcW w:w="2413" w:type="dxa"/>
          </w:tcPr>
          <w:p w14:paraId="2CB5868A" w14:textId="77777777" w:rsidR="00965024" w:rsidRPr="00514593" w:rsidRDefault="00AF16D8" w:rsidP="00530E7A">
            <w:pPr>
              <w:spacing w:line="360" w:lineRule="auto"/>
              <w:contextualSpacing/>
              <w:jc w:val="both"/>
              <w:rPr>
                <w:rFonts w:ascii="Palatino Linotype" w:eastAsia="Times New Roman" w:hAnsi="Palatino Linotype" w:cs="Palatino Linotype"/>
                <w:i/>
                <w:color w:val="000000"/>
                <w:lang w:val="es-ES_tradnl" w:eastAsia="es-MX"/>
              </w:rPr>
            </w:pPr>
            <w:r w:rsidRPr="00514593">
              <w:rPr>
                <w:rFonts w:ascii="Palatino Linotype" w:hAnsi="Palatino Linotype"/>
                <w:b/>
                <w:bCs/>
              </w:rPr>
              <w:t>00417/ISEM/IP/2025</w:t>
            </w:r>
          </w:p>
        </w:tc>
        <w:tc>
          <w:tcPr>
            <w:tcW w:w="3333" w:type="dxa"/>
          </w:tcPr>
          <w:p w14:paraId="4AF72556" w14:textId="77777777" w:rsidR="00AF16D8" w:rsidRPr="00514593" w:rsidRDefault="00AF16D8" w:rsidP="00AF16D8">
            <w:pPr>
              <w:pStyle w:val="Prrafodelista"/>
              <w:numPr>
                <w:ilvl w:val="0"/>
                <w:numId w:val="37"/>
              </w:numPr>
              <w:contextualSpacing/>
              <w:rPr>
                <w:i/>
                <w:sz w:val="22"/>
                <w:szCs w:val="22"/>
              </w:rPr>
            </w:pPr>
            <w:r w:rsidRPr="00514593">
              <w:rPr>
                <w:rFonts w:eastAsiaTheme="majorEastAsia" w:cs="Arial"/>
                <w:b/>
                <w:bCs/>
                <w:i/>
                <w:sz w:val="22"/>
                <w:szCs w:val="22"/>
              </w:rPr>
              <w:t>SAIMEX 00417.pdf</w:t>
            </w:r>
          </w:p>
          <w:p w14:paraId="06603FD8" w14:textId="77777777" w:rsidR="00965024" w:rsidRPr="00514593" w:rsidRDefault="00AF16D8" w:rsidP="00530E7A">
            <w:pPr>
              <w:pStyle w:val="Prrafodelista"/>
              <w:numPr>
                <w:ilvl w:val="0"/>
                <w:numId w:val="37"/>
              </w:numPr>
              <w:contextualSpacing/>
              <w:rPr>
                <w:i/>
                <w:sz w:val="22"/>
                <w:szCs w:val="22"/>
              </w:rPr>
            </w:pPr>
            <w:r w:rsidRPr="00514593">
              <w:rPr>
                <w:rFonts w:eastAsiaTheme="majorEastAsia" w:cs="Arial"/>
                <w:b/>
                <w:bCs/>
                <w:i/>
                <w:sz w:val="22"/>
                <w:szCs w:val="22"/>
              </w:rPr>
              <w:t>sol 00417 2025.pdf</w:t>
            </w:r>
          </w:p>
        </w:tc>
      </w:tr>
    </w:tbl>
    <w:p w14:paraId="3B394473" w14:textId="77777777" w:rsidR="00530E7A" w:rsidRPr="00514593" w:rsidRDefault="00530E7A" w:rsidP="00530E7A">
      <w:pPr>
        <w:spacing w:after="0" w:line="360" w:lineRule="auto"/>
        <w:contextualSpacing/>
        <w:jc w:val="both"/>
        <w:rPr>
          <w:rFonts w:ascii="Palatino Linotype" w:eastAsia="Times New Roman" w:hAnsi="Palatino Linotype" w:cs="Palatino Linotype"/>
          <w:i/>
          <w:color w:val="000000"/>
          <w:lang w:val="es-ES_tradnl" w:eastAsia="es-MX"/>
        </w:rPr>
      </w:pPr>
    </w:p>
    <w:p w14:paraId="1F03CA11" w14:textId="77777777" w:rsidR="00530E7A" w:rsidRPr="00514593" w:rsidRDefault="00530E7A" w:rsidP="00530E7A">
      <w:pPr>
        <w:spacing w:after="0" w:line="360" w:lineRule="auto"/>
        <w:contextualSpacing/>
        <w:jc w:val="both"/>
        <w:rPr>
          <w:rFonts w:ascii="Palatino Linotype" w:eastAsia="Times New Roman" w:hAnsi="Palatino Linotype" w:cs="Palatino Linotype"/>
          <w:i/>
          <w:color w:val="000000"/>
          <w:lang w:val="es-ES_tradnl" w:eastAsia="es-MX"/>
        </w:rPr>
      </w:pPr>
    </w:p>
    <w:p w14:paraId="6F6BC34B" w14:textId="77777777" w:rsidR="00530E7A" w:rsidRPr="00514593" w:rsidRDefault="00B83592" w:rsidP="00530E7A">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514593">
        <w:rPr>
          <w:rFonts w:ascii="Palatino Linotype" w:eastAsia="Times New Roman" w:hAnsi="Palatino Linotype" w:cs="Palatino Linotype"/>
          <w:color w:val="000000"/>
          <w:sz w:val="24"/>
          <w:szCs w:val="24"/>
          <w:lang w:val="es-ES_tradnl" w:eastAsia="es-MX"/>
        </w:rPr>
        <w:t>L</w:t>
      </w:r>
      <w:r w:rsidR="00530E7A" w:rsidRPr="00514593">
        <w:rPr>
          <w:rFonts w:ascii="Palatino Linotype" w:eastAsia="Times New Roman" w:hAnsi="Palatino Linotype" w:cs="Palatino Linotype"/>
          <w:color w:val="000000"/>
          <w:sz w:val="24"/>
          <w:szCs w:val="24"/>
          <w:lang w:val="es-ES_tradnl" w:eastAsia="es-MX"/>
        </w:rPr>
        <w:t>os cuales no se reproducen por ser del conocimiento de las partes; no obstante, su contenido será motivo de análisis en el estudio correspondiente.</w:t>
      </w:r>
    </w:p>
    <w:p w14:paraId="142FFB47" w14:textId="77777777" w:rsidR="00AF16D8" w:rsidRPr="00514593" w:rsidRDefault="00AF16D8" w:rsidP="00530E7A">
      <w:pPr>
        <w:spacing w:after="0" w:line="360" w:lineRule="auto"/>
        <w:contextualSpacing/>
        <w:jc w:val="both"/>
        <w:rPr>
          <w:rFonts w:ascii="Palatino Linotype" w:hAnsi="Palatino Linotype" w:cs="Arial"/>
          <w:b/>
          <w:bCs/>
          <w:i/>
          <w:sz w:val="24"/>
          <w:szCs w:val="24"/>
        </w:rPr>
      </w:pPr>
    </w:p>
    <w:p w14:paraId="0FC77CFB" w14:textId="77777777" w:rsidR="00530E7A" w:rsidRPr="00514593" w:rsidRDefault="00530E7A" w:rsidP="00530E7A">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514593">
        <w:rPr>
          <w:rFonts w:ascii="Palatino Linotype" w:eastAsia="Times New Roman" w:hAnsi="Palatino Linotype" w:cs="Times New Roman"/>
          <w:b/>
          <w:color w:val="000000" w:themeColor="text1"/>
          <w:sz w:val="26"/>
          <w:szCs w:val="26"/>
          <w:lang w:val="es-ES_tradnl" w:eastAsia="es-MX"/>
        </w:rPr>
        <w:t>TERCERO. Del recurso de revisión.</w:t>
      </w:r>
    </w:p>
    <w:p w14:paraId="731266C6" w14:textId="77777777" w:rsidR="00530E7A" w:rsidRPr="00514593" w:rsidRDefault="00530E7A" w:rsidP="00530E7A">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514593">
        <w:rPr>
          <w:rFonts w:ascii="Palatino Linotype" w:eastAsia="Times New Roman" w:hAnsi="Palatino Linotype" w:cs="Palatino Linotype"/>
          <w:color w:val="000000"/>
          <w:sz w:val="24"/>
          <w:szCs w:val="24"/>
          <w:lang w:val="es-ES_tradnl" w:eastAsia="es-MX"/>
        </w:rPr>
        <w:t xml:space="preserve">Inconforme con la respuesta emitida por el Sujeto Obligado, el Recurrente interpuso el presente recurso de revisión el día </w:t>
      </w:r>
      <w:r w:rsidR="00B83592" w:rsidRPr="00514593">
        <w:rPr>
          <w:rFonts w:ascii="Palatino Linotype" w:eastAsia="Times New Roman" w:hAnsi="Palatino Linotype" w:cs="Palatino Linotype"/>
          <w:color w:val="000000"/>
          <w:sz w:val="24"/>
          <w:szCs w:val="24"/>
          <w:lang w:val="es-ES_tradnl" w:eastAsia="es-MX"/>
        </w:rPr>
        <w:t>ocho</w:t>
      </w:r>
      <w:r w:rsidR="00190794" w:rsidRPr="00514593">
        <w:rPr>
          <w:rFonts w:ascii="Palatino Linotype" w:eastAsia="Times New Roman" w:hAnsi="Palatino Linotype" w:cs="Palatino Linotype"/>
          <w:color w:val="000000"/>
          <w:sz w:val="24"/>
          <w:szCs w:val="24"/>
          <w:lang w:val="es-ES_tradnl" w:eastAsia="es-MX"/>
        </w:rPr>
        <w:t xml:space="preserve"> y nueve</w:t>
      </w:r>
      <w:r w:rsidR="00B83592" w:rsidRPr="00514593">
        <w:rPr>
          <w:rFonts w:ascii="Palatino Linotype" w:eastAsia="Times New Roman" w:hAnsi="Palatino Linotype" w:cs="Palatino Linotype"/>
          <w:color w:val="000000"/>
          <w:sz w:val="24"/>
          <w:szCs w:val="24"/>
          <w:lang w:val="es-ES_tradnl" w:eastAsia="es-MX"/>
        </w:rPr>
        <w:t xml:space="preserve"> de septiembre de dos mil veinticinco</w:t>
      </w:r>
      <w:r w:rsidRPr="00514593">
        <w:rPr>
          <w:rFonts w:ascii="Palatino Linotype" w:eastAsia="Times New Roman" w:hAnsi="Palatino Linotype" w:cs="Palatino Linotype"/>
          <w:color w:val="000000"/>
          <w:sz w:val="24"/>
          <w:szCs w:val="24"/>
          <w:lang w:val="es-ES_tradnl" w:eastAsia="es-MX"/>
        </w:rPr>
        <w:t xml:space="preserve">, el cual se registró con el expediente número </w:t>
      </w:r>
      <w:r w:rsidR="00B83592" w:rsidRPr="00514593">
        <w:rPr>
          <w:rFonts w:ascii="Palatino Linotype" w:eastAsia="Times New Roman" w:hAnsi="Palatino Linotype" w:cs="Palatino Linotype"/>
          <w:b/>
          <w:color w:val="000000"/>
          <w:sz w:val="24"/>
          <w:szCs w:val="24"/>
          <w:lang w:val="es-ES_tradnl" w:eastAsia="es-MX"/>
        </w:rPr>
        <w:t>10585</w:t>
      </w:r>
      <w:r w:rsidRPr="00514593">
        <w:rPr>
          <w:rFonts w:ascii="Palatino Linotype" w:eastAsia="Times New Roman" w:hAnsi="Palatino Linotype" w:cs="Palatino Linotype"/>
          <w:b/>
          <w:color w:val="000000"/>
          <w:sz w:val="24"/>
          <w:szCs w:val="24"/>
          <w:lang w:val="es-ES_tradnl" w:eastAsia="es-MX"/>
        </w:rPr>
        <w:t>/INFOEM/IP/RR/2025</w:t>
      </w:r>
      <w:r w:rsidR="00190794" w:rsidRPr="00514593">
        <w:rPr>
          <w:rFonts w:ascii="Palatino Linotype" w:eastAsia="Times New Roman" w:hAnsi="Palatino Linotype" w:cs="Palatino Linotype"/>
          <w:b/>
          <w:color w:val="000000"/>
          <w:sz w:val="24"/>
          <w:szCs w:val="24"/>
          <w:lang w:val="es-ES_tradnl" w:eastAsia="es-MX"/>
        </w:rPr>
        <w:t xml:space="preserve"> y 10662/INFOEM/IP/RR/2025</w:t>
      </w:r>
      <w:r w:rsidRPr="00514593">
        <w:rPr>
          <w:rFonts w:ascii="Palatino Linotype" w:eastAsia="Times New Roman" w:hAnsi="Palatino Linotype" w:cs="Palatino Linotype"/>
          <w:color w:val="000000"/>
          <w:sz w:val="24"/>
          <w:szCs w:val="24"/>
          <w:lang w:val="es-ES_tradnl" w:eastAsia="es-MX"/>
        </w:rPr>
        <w:t>, manifestando lo siguiente:</w:t>
      </w:r>
    </w:p>
    <w:p w14:paraId="23FD9F9C" w14:textId="77777777" w:rsidR="00B83592" w:rsidRPr="00514593" w:rsidRDefault="00B83592" w:rsidP="00B83592">
      <w:pPr>
        <w:pStyle w:val="Prrafodelista"/>
        <w:numPr>
          <w:ilvl w:val="0"/>
          <w:numId w:val="36"/>
        </w:numPr>
        <w:contextualSpacing/>
        <w:rPr>
          <w:rFonts w:cs="Palatino Linotype"/>
          <w:i/>
          <w:color w:val="000000"/>
          <w:sz w:val="22"/>
          <w:szCs w:val="22"/>
          <w:lang w:val="es-ES_tradnl" w:eastAsia="es-MX"/>
        </w:rPr>
      </w:pPr>
      <w:r w:rsidRPr="00514593">
        <w:rPr>
          <w:rFonts w:cs="Palatino Linotype"/>
          <w:b/>
          <w:i/>
          <w:color w:val="000000"/>
          <w:sz w:val="22"/>
          <w:szCs w:val="22"/>
          <w:lang w:val="es-ES_tradnl" w:eastAsia="es-MX"/>
        </w:rPr>
        <w:t>10585/INFOEM/IP/RR/2025</w:t>
      </w:r>
    </w:p>
    <w:p w14:paraId="53E0E9E1" w14:textId="77777777" w:rsidR="00530E7A" w:rsidRPr="00514593" w:rsidRDefault="00530E7A" w:rsidP="00530E7A">
      <w:pPr>
        <w:spacing w:after="0" w:line="240" w:lineRule="auto"/>
        <w:ind w:left="567" w:right="567"/>
        <w:contextualSpacing/>
        <w:jc w:val="both"/>
        <w:rPr>
          <w:rFonts w:ascii="Palatino Linotype" w:eastAsia="Times New Roman" w:hAnsi="Palatino Linotype" w:cs="Palatino Linotype"/>
          <w:b/>
          <w:i/>
          <w:lang w:val="es-ES_tradnl" w:eastAsia="es-MX"/>
        </w:rPr>
      </w:pPr>
      <w:r w:rsidRPr="00514593">
        <w:rPr>
          <w:rFonts w:ascii="Palatino Linotype" w:eastAsia="Times New Roman" w:hAnsi="Palatino Linotype" w:cs="Palatino Linotype"/>
          <w:b/>
          <w:i/>
          <w:lang w:val="es-ES_tradnl" w:eastAsia="es-MX"/>
        </w:rPr>
        <w:t xml:space="preserve">Acto Impugnado </w:t>
      </w:r>
    </w:p>
    <w:p w14:paraId="76793E24" w14:textId="77777777" w:rsidR="00530E7A" w:rsidRPr="00514593" w:rsidRDefault="00B83592" w:rsidP="00530E7A">
      <w:pPr>
        <w:ind w:left="567"/>
        <w:jc w:val="both"/>
        <w:rPr>
          <w:rFonts w:ascii="Palatino Linotype" w:eastAsia="Times New Roman" w:hAnsi="Palatino Linotype" w:cs="Times New Roman"/>
          <w:i/>
          <w:lang w:eastAsia="es-MX"/>
        </w:rPr>
      </w:pPr>
      <w:r w:rsidRPr="00514593">
        <w:rPr>
          <w:rFonts w:ascii="Palatino Linotype" w:hAnsi="Palatino Linotype"/>
          <w:i/>
          <w:color w:val="000000"/>
        </w:rPr>
        <w:lastRenderedPageBreak/>
        <w:t>“La resolución emitida en el Sistema de Acceso a la Información Mexiquense (SAIMEX), emitida a través de los oficios Respuesta SAIMEX-999/2025, de 25 de agosto, firmado por la Lic. Melody Denisse Maciel González, Jefa de la Unidad de Información, Planeación, Programación y Evaluación en el ISEM y Titular de la Unidad de Transparencia y el oficio 208C0101320100L/10503/2025, de fecha 20 de agosto de 2025, signado por la L.D. Elizabeth Cárcamo Sabino, Subdirectora de Recursos Humanos, validado por la Lic. Talía Ofelia Martínez Roque, Jefa de Departamento de Relaciones Laborales y Desarrollo de Personal, así como que lo revisó la Lic. Maritza Planas Arce, Responsable del Área de Conflictos Laborales y Normatividad Laboral.</w:t>
      </w:r>
      <w:r w:rsidR="00530E7A" w:rsidRPr="00514593">
        <w:rPr>
          <w:rFonts w:ascii="Palatino Linotype" w:hAnsi="Palatino Linotype"/>
          <w:i/>
          <w:color w:val="000000"/>
        </w:rPr>
        <w:t xml:space="preserve">.” </w:t>
      </w:r>
      <w:r w:rsidR="00530E7A" w:rsidRPr="00514593">
        <w:rPr>
          <w:rFonts w:ascii="Palatino Linotype" w:eastAsia="Times New Roman" w:hAnsi="Palatino Linotype" w:cs="Palatino Linotype"/>
          <w:i/>
          <w:color w:val="000000"/>
          <w:lang w:val="es-ES_tradnl" w:eastAsia="es-MX"/>
        </w:rPr>
        <w:t>(Sic)</w:t>
      </w:r>
    </w:p>
    <w:p w14:paraId="2451F061" w14:textId="77777777" w:rsidR="00530E7A" w:rsidRPr="00514593" w:rsidRDefault="00530E7A" w:rsidP="00530E7A">
      <w:pPr>
        <w:spacing w:after="0" w:line="240" w:lineRule="auto"/>
        <w:ind w:right="567"/>
        <w:contextualSpacing/>
        <w:jc w:val="both"/>
        <w:rPr>
          <w:rFonts w:ascii="Palatino Linotype" w:eastAsia="Times New Roman" w:hAnsi="Palatino Linotype" w:cs="Palatino Linotype"/>
          <w:b/>
          <w:i/>
          <w:lang w:val="es-ES_tradnl" w:eastAsia="es-MX"/>
        </w:rPr>
      </w:pPr>
    </w:p>
    <w:p w14:paraId="767F721B" w14:textId="77777777" w:rsidR="00530E7A" w:rsidRPr="00514593" w:rsidRDefault="00530E7A" w:rsidP="00530E7A">
      <w:pPr>
        <w:spacing w:after="0" w:line="240" w:lineRule="auto"/>
        <w:ind w:left="567" w:right="567"/>
        <w:contextualSpacing/>
        <w:jc w:val="both"/>
        <w:rPr>
          <w:rFonts w:ascii="Palatino Linotype" w:eastAsia="Times New Roman" w:hAnsi="Palatino Linotype" w:cs="Palatino Linotype"/>
          <w:b/>
          <w:i/>
          <w:lang w:val="es-ES_tradnl" w:eastAsia="es-MX"/>
        </w:rPr>
      </w:pPr>
      <w:r w:rsidRPr="00514593">
        <w:rPr>
          <w:rFonts w:ascii="Palatino Linotype" w:eastAsia="Times New Roman" w:hAnsi="Palatino Linotype" w:cs="Palatino Linotype"/>
          <w:b/>
          <w:i/>
          <w:lang w:val="es-ES_tradnl" w:eastAsia="es-MX"/>
        </w:rPr>
        <w:t>Razones o Motivos de Inconformidad</w:t>
      </w:r>
    </w:p>
    <w:p w14:paraId="124970D8" w14:textId="77777777" w:rsidR="00530E7A" w:rsidRPr="00514593" w:rsidRDefault="00530E7A" w:rsidP="00530E7A">
      <w:pPr>
        <w:spacing w:after="0" w:line="240" w:lineRule="auto"/>
        <w:ind w:left="567" w:right="567"/>
        <w:contextualSpacing/>
        <w:jc w:val="both"/>
        <w:rPr>
          <w:rFonts w:ascii="Palatino Linotype" w:eastAsia="Times New Roman" w:hAnsi="Palatino Linotype" w:cs="Palatino Linotype"/>
          <w:b/>
          <w:i/>
          <w:lang w:val="es-ES_tradnl" w:eastAsia="es-MX"/>
        </w:rPr>
      </w:pPr>
    </w:p>
    <w:p w14:paraId="267ACBD6" w14:textId="77777777" w:rsidR="00530E7A" w:rsidRPr="00514593" w:rsidRDefault="00530E7A" w:rsidP="00530E7A">
      <w:pPr>
        <w:spacing w:after="0" w:line="240" w:lineRule="auto"/>
        <w:ind w:left="567" w:right="567"/>
        <w:contextualSpacing/>
        <w:jc w:val="both"/>
        <w:rPr>
          <w:rFonts w:ascii="Palatino Linotype" w:eastAsia="Times New Roman" w:hAnsi="Palatino Linotype" w:cs="Palatino Linotype"/>
          <w:b/>
          <w:sz w:val="24"/>
          <w:szCs w:val="24"/>
          <w:lang w:val="es-ES_tradnl" w:eastAsia="es-MX"/>
        </w:rPr>
      </w:pPr>
      <w:r w:rsidRPr="00514593">
        <w:rPr>
          <w:rFonts w:ascii="Palatino Linotype" w:eastAsia="Times New Roman" w:hAnsi="Palatino Linotype" w:cs="Palatino Linotype"/>
          <w:i/>
          <w:color w:val="000000"/>
          <w:lang w:val="es-ES_tradnl" w:eastAsia="es-MX"/>
        </w:rPr>
        <w:t>“</w:t>
      </w:r>
      <w:r w:rsidR="00B83592" w:rsidRPr="00514593">
        <w:rPr>
          <w:rFonts w:ascii="Palatino Linotype" w:hAnsi="Palatino Linotype"/>
          <w:i/>
          <w:color w:val="000000"/>
        </w:rPr>
        <w:t xml:space="preserve">Toluca de Lerdo, a 5 de septiembre de 2025 ASUNTO: SE INTERPONE RECURSO DE REVISIÓN FOLIO DE SOLICITUD 00416/ISEM/IP/2025 Código para el solicitante: 004162025026151849003 LIC. MELODY DENISSE MACIEL GONZÁLEZ TITULAR DE LA UNIDAD DE TRANSPARENCIA EN EL INSTITUTO DE SALUD DEL ESTADO DE MÉXICO (ISEM) ATENCIÓN: COMITÉ DE TRANSPARENCIA DEL ISEM Con la personalidad con la que me ostento, señalando como correo electrónico para recibir toda clase de documentos e información el: latinusmexico27@gmail.com, con fundamento en los artículos 142, 143 y 144 de la Ley General de Transparencia y Acceso a la Información pública, así como 176, 177, 178, 179, fracciones I, III, IV y XIII de la Ley de Transparencia y Acceso a la Información Pública del Estado de México y Municipios, comparezco en tiempo y forma y de manera respetuosa a presentar el RECURSO DE REVISIÓN en contra de la resolución emitida en el Sistema de Acceso a la Información Mexiquense (SAIMEX), emitida a través de los oficios Respuesta SAIMEX-999/2025, de 25 de agosto, firmado por la Lic. Melody Denisse Maciel González, Jefa de la Unidad de Información, Planeación, Programación y Evaluación en el ISEM y Titular de la Unidad de Transparencia y el oficio 208C0101320100L/10503/2025, de fecha 20 de agosto de 2025, signado por la L.D. Elizabeth Cárcamo Sabino, Subdirectora de Recursos Humanos, validado por la Lic. Talía Ofelia Martínez Roque, Jefa de Departamento de Relaciones Laborales y Desarrollo de Personal, así como que lo revisó la Lic. Maritza Planas Arce, Responsable del Área de Conflictos Laborales y Normatividad Laboral. Lo anterior, toda vez que de los escritos de referencia se advierte que las áreas responsables de la Unidad de Transparencia, así como del manejo y conservación de la información y que cuentan con las atribuciones para su resguardo manifiestan en síntesis los siguientes puntos de agravio que violentan los principios constitucionales de congruencia, fundamentación, motivación, debido proceso, el derecho humano a la verdad, así como diversos dispositivos que trasgreden el sistema nacional y estatal anticorrupción, al determinar falsamente que “No es posible atender favorablemente la petición” Por tema de orden, se </w:t>
      </w:r>
      <w:r w:rsidR="00B83592" w:rsidRPr="00514593">
        <w:rPr>
          <w:rFonts w:ascii="Palatino Linotype" w:hAnsi="Palatino Linotype"/>
          <w:i/>
          <w:color w:val="000000"/>
        </w:rPr>
        <w:lastRenderedPageBreak/>
        <w:t xml:space="preserve">exponen en dos agravios genéricos de cada uno de los oficios señalados en párrafos previos, dentro de cada uno de ellos se desarrollan pormenorizadamente cada una de las inconsistencias de las respuestas proporcionadas por las autoridades responsables, destacando que los puntos no controvertidos, son porque no deparan agravio a esta recurrente. Es importante destacar, que los oficios reclamados deparan </w:t>
      </w:r>
      <w:r w:rsidR="00B83592" w:rsidRPr="00514593">
        <w:rPr>
          <w:rFonts w:ascii="Palatino Linotype" w:hAnsi="Palatino Linotype"/>
          <w:b/>
          <w:i/>
          <w:color w:val="000000"/>
        </w:rPr>
        <w:t>AGRAVIO a esta recurrente por: INEXACTA APLICACIÓN:</w:t>
      </w:r>
      <w:r w:rsidR="00B83592" w:rsidRPr="00514593">
        <w:rPr>
          <w:rFonts w:ascii="Palatino Linotype" w:hAnsi="Palatino Linotype"/>
          <w:i/>
          <w:color w:val="000000"/>
        </w:rPr>
        <w:t xml:space="preserve"> De los artículos 12 párrafo segundo, 24 último párrafo y 59 fracciones ll y Ill de la Ley de Transparencia y Acceso a la Información Pública del Estado de México y Municipios; del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publicado en el Diario Oficial de la Federación, el 13 de Noviembre de 2023, este Instituto de Salud del Estado de México se encuentra en el proceso de transición enunciado en dicho Convenio, a 01 de julio del 2024; así como los artículos 804 de la Ley Federal del Trabajo y 220 K de la Ley del Trabajo de los Servidores Públicos del Estado y Municipios. POR INAPLICACIÓN: De los artículos 2I7B32100 SUBDIRECCIÓN DE RECURSOS HUMANOS y 217632102 DEPARTAMENTO DE RELACIONES LABORALES Y DESARROLLO DE PERSONAL, del Manual de Organización General del Instituto de Salud del Estado de México; en relación con los numerales 18, 19, 20, 51 y 53, fracciones IV, XIII y XIV; 222, fracciones XII, XIII, y XIV de la Ley de Transparencia y Acceso a la Información del Estado de México, en relación con el artículo 27 de los “LINEAMIENTOS PARA LA VALORACIÓN, SELECCIÓN Y BAJA DE LOS DOCUMENTOS, EXPEDIENTES Y SERIES DE TRÁMITE CONCLUIDO EN LOS ARCHIVOS DEL ESTADO DE MÉXICO”, publicados en el 29 de mayo de 2015, en la Gaceta del Estado de México; el artículo vigésimo cuarto de los Criterios Técnicos para la Transferencia Primaria de Expedientes Físicos de Asuntos Concluidos a los Archivos de Concentración de las Dependencias y Organismos Auxiliares de la Administración Pública del Estado de México, publicados el 14 de noviembre de 2024 en la Gaceta Oficial del Estado de México; el artículo 3, 4, fracción XIII, 5,6,7 y 32 de la Ley de Archivos y Administración del Estado de México y Municipios; 335 del Código Penal del Estado; 7 y 50, fracción IX de la Ley de Responsabilidades Administrativas del Estado de México y Municipios y se VIOLARON MIS DERECHOS HUMANOS, mi derecho a la verdad, mi derecho a la información, el debido proceso y el principio de legalidad y certeza jurídica que consagran los artículos 1º, 4º, 6º, 14 y 16 de la Constitución Política de los Estados Unidos Mexicanos. Ley de Transparencia y Acceso a la Información Pública del Estado de México y Municipios “Artículo 24. (…) Los sujetos obligados solo proporcionarán la información pública que generen, administren o posean en el ejercicio de sus atribuciones.” “Artículo 59. Los servidores públicos habilitados tendrán las </w:t>
      </w:r>
      <w:r w:rsidR="00B83592" w:rsidRPr="00514593">
        <w:rPr>
          <w:rFonts w:ascii="Palatino Linotype" w:hAnsi="Palatino Linotype"/>
          <w:i/>
          <w:color w:val="000000"/>
        </w:rPr>
        <w:lastRenderedPageBreak/>
        <w:t xml:space="preserve">funciones siguientes: I. Localizar la información que le solicite la Unidad de Transparencia; (ESTE NO LO APLICARON) II. Proporcionar la información que obre en los archivos y que le sea solicitada por la Unidad de Transparencia; III. Apoyar a la Unidad de Transparencia en lo que esta le solicite para el cumplimiento de sus funciones; IV. Proporcionar a la Unidad de Transparencia, las modificaciones a la información pública de oficio que obre en su poder; (…)” PRIMER AGRAVIO En la respuesta contenida en el oficio 208C0101320100L/10510/2025, de fecha 20 de agosto de 2025, signado por la L.D. Elizabeth Cárcamo Sabino, Subdirectora de Recursos Humanos, validado por la Lic. Talía Ofelia Martínez Roque, Jefa de Departamento de Relaciones Laborales y Desarrollo de Personal, así como que lo revisó la Lic. Maritza Planas Arce, Responsable del Área de Conflictos Laborales y Normatividad Laboral, señala literalmente lo siguiente: “(…) De conformidad con los artículos 12 párrafo segundo, 24 último párrafo y 59 fracciones ll y Ill de la Ley de Transparencia y Acceso a la Información Pública del Estado de México y Municipios, comunico que una vez llevada a cabo una búsqueda exhaustiva y razonable en los archivos que obran en esta Subdirección, con respecto de “… Informe si la ciudadana Honoria Arellano Ocampo cuenta actualmente cn una plaza vigente registrada en el Instituto de Salud del Estado de México…”, “… Copia en versión pública del documento, conrato individual de trabajo, …”, y “… En caso de que la ciudadana Honoria Arellano Ocampo no cuente con plaza vigente actualmente…”, después del análisis del requerimiento y derivado de una búsqueda exhaustiva y razonable en los archivos que obran en esta Subdirección, comunico a usted que no se encontró registro de la C. Honoria Arellano Ocampo, como personal activo en este Instituto de Salud, toda vez que derivado del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publicado en el Diario Oficial de la Federación, el 13 de Noviembre de 2023, este Instituto de Salud del Estado de México se encuentra en el proceso de transición enunciado en dicho Convenio, a 01 de julio del 2024, el cual puede ser consultado en la página de internet también con fundamento a lo establecido en el artículo 804 de la Ley Federal del Trabajo y artículo 220 K de la Ley del Trabajo de los Servidores Públicos del Estado y Municipios, mismas que pueden ser consultadas en las páginas de internet http://legislacion.edomex.gob.mx/sites/legislacion.edomex.gob.mx/files/files/pdf/ley/vig/leyvig083.pdf/ por lo que no es posible atender favorablemente la petición.” “Cabe mencionar que cada Unidad Aplicativa, es la encargada de la selección, reclutamiento, promoción, designación, administración, coordinación, control de asistencia, incidencias y supervisión del personal que se encuentra a su cargo, contando estas mismas con un Jefe o Encargado de Recursos Humanos, responsable de aplicar la normatividad vigente. Por lo anterior, esta unidad administrativa sólo está obligada a proporcionar la información pública que se le </w:t>
      </w:r>
      <w:r w:rsidR="00B83592" w:rsidRPr="00514593">
        <w:rPr>
          <w:rFonts w:ascii="Palatino Linotype" w:hAnsi="Palatino Linotype"/>
          <w:i/>
          <w:color w:val="000000"/>
        </w:rPr>
        <w:lastRenderedPageBreak/>
        <w:t xml:space="preserve">requiera y que obre en sus archivos y en el estado en que ésta se encuentre. La obligación de proporcionar información no comprende el procesamiento de la misma, ni presentarla conforme al interés del solicitante, no estará obligada a generarla, resumirla, efectuar cálculos o practicar investigaciones, por lo que se sugiere sea solicitado al sujeto obligado correspondiente. Por lo que se refiere a “… Informe si en los registros del Instituto de Salud del Estado de México consta la TOMA DE NOTA expedida por la autoridad laboral correspondiente..” y “… Informe si el Instituto de Salud del Estado de México ha reconocido formalmente a Honoria Arellano Ocampo como representante sindical…” le comunico que no es posible dar atención a lo solicitado, toda vez que el Sindicato Nacional de Trabajadores de la Secretaría de Salud (SNTSA), es un organismo independiente del ISEM, por lo tanto queda fuera de la competencia de este Instituto de Salud otorgar información relacionada con dicho organismo, por lo cual esta unidad administrativa sólo está obligada a proporcionar la información pública que se le requiera y que obre en sus archivos y en le estado en que esta se encuentre. La obligación de proporcionar información no comprende el procesamiento de la misma, ni presentarla conforme al interés del solicitante; no estará obligada a generarla, resumirla, efectuar cálculos o practicar investigaciones.” En ese sentido, depara agravio oficio 208C0101320100L/10510/2025, de fecha 20 de agosto de 2025, signado por la L.D. Elizabeth Cárcamo Sabino, Subdirectora de Recursos Humanos, validado por la Lic. Talía Ofelia Martínez Roque, Jefa de Departamento de Relaciones Laborales y Desarrollo de Personal, así como que lo revisó la Lic. Maritza Planas Arce, Responsable del Área de Conflictos Laborales y Normatividad Laboral, por aducir las siguientes razones sustanciales de su infundado y equívoco pronunciamiento, que se irán respondiendo en apartados específicos de la siguiente manera: 1. Causa agravio a esta recurrente la respuesta de “no es posible atender favorablemente su petición” que hacen las autoridades responsables al generalizar y descontextualizar las preguntas, porque su respuesta aduce no contar con información de Honoria Arellano Ocampo al no tener esta una plaza vigente, siendo que </w:t>
      </w:r>
      <w:r w:rsidR="00B83592" w:rsidRPr="00514593">
        <w:rPr>
          <w:rFonts w:ascii="Palatino Linotype" w:hAnsi="Palatino Linotype"/>
          <w:b/>
          <w:i/>
          <w:color w:val="000000"/>
        </w:rPr>
        <w:t>las preguntas NO se acotaron a esa circunstancia de “plaza vigente”</w:t>
      </w:r>
      <w:r w:rsidR="00B83592" w:rsidRPr="00514593">
        <w:rPr>
          <w:rFonts w:ascii="Palatino Linotype" w:hAnsi="Palatino Linotype"/>
          <w:i/>
          <w:color w:val="000000"/>
        </w:rPr>
        <w:t xml:space="preserve">, esto es violentan en artículo 179, fracciones I, III y VII de la Ley de Transparencia y Acceso a la Información del Estado de México y Municipios, porque no responden lo que se les preguntó individualizadamente, sino que engloban las preguntas que tienen elementos diferenciados, con lo que omiten dar respuesta a lo que se les solicitó. También depara agravio que las autoridades manifiestan que no se encuentran obligadas a contar con información que no obre en sus archivos, pero </w:t>
      </w:r>
      <w:r w:rsidR="00B83592" w:rsidRPr="00514593">
        <w:rPr>
          <w:rFonts w:ascii="Palatino Linotype" w:hAnsi="Palatino Linotype"/>
          <w:b/>
          <w:i/>
          <w:color w:val="000000"/>
        </w:rPr>
        <w:t>omiten justificar porqué no cuentan con información</w:t>
      </w:r>
      <w:r w:rsidR="00B83592" w:rsidRPr="00514593">
        <w:rPr>
          <w:rFonts w:ascii="Palatino Linotype" w:hAnsi="Palatino Linotype"/>
          <w:i/>
          <w:color w:val="000000"/>
        </w:rPr>
        <w:t xml:space="preserve"> a la que se encuentran obligadas conforme sus facultades y la ley, violando los artículos 18, 19, 20, 179, fracciones I, IV y XIII la Ley de Transparencia y Acceso a la Información del Estado de México y Municipios, asociados a los 1, 6, 14 y 16 de la Constitución Política de los Estados Unidos Mexicanos. Es de precisar, que dichas responsables aducen que no tienen obligación de procesar o realizar investigaciones acorde a la petición de transparencia, lo que NO SE SOLICITÓ, NI ES NECESARIO, dado </w:t>
      </w:r>
      <w:r w:rsidR="00B83592" w:rsidRPr="00514593">
        <w:rPr>
          <w:rFonts w:ascii="Palatino Linotype" w:hAnsi="Palatino Linotype"/>
          <w:i/>
          <w:color w:val="000000"/>
        </w:rPr>
        <w:lastRenderedPageBreak/>
        <w:t xml:space="preserve">que la información simplemente debería estar en sus archivos, por lo que negarla bajo la argucia de no contar con la obligación, pero no tener la información, ni justificación que acredite porqué no se tiene, es contrario a mis garantías a la información, a la verdad, al debido proceso y la función pública porque comenten el delito de ejercicio abusivo de funciones al negar que están obligadas a contar con la información en términos de los artículos “2I7B32100 SUBDIRECCIÓN DE RECURSOS HUMANOS y 217632102 DEPARTAMENTO DE RELACIONES LABORALES Y DESARROLLO DE PERSONAL, en relación con los numerales 222, fracciones XII, XIII, y XIV de la Ley de Transparencia y Acceso a Información Pública del Estado de México y Municipios; 335 del Código Penal del Estado, al haber declarado la inexistencia de información cuando el sujeto obligado deba generarla, derivado del ejercicio de sus facultades, competencias o funciones; así como no documentar, el ejercicio de sus facultades, competencias, funciones o actos de autoridad, de conformidad con las disposiciones jurídicas aplicables; lo que además también se fundamenta en el artículo 7 y 50 de la Ley de Responsabilidades Administrativas del Estado de México y Municipios. Lo anterior se demuestra, porque las responsables adujeron lo siguiente: “De conformidad con los artículos 12 párrafo segundo, 24 último párrafo y 59 fracciones ll y Ill de la Ley de Transparencia y Acceso a la Información Pública del Estado de México y Municipios, comunico que una vez llevada a cabo una búsqueda exhaustiva y razonable en los archivos que obran en esta Subdirección, con respecto de “… Informe si la ciudadana Honoria Arellano Ocampo cuenta actualmente con una plaza vigente registrada en el Instituto de Salud del Estado de México…”, “… Copia en versión pública del documento, contrato individual de trabajo, …”, y “… En caso de que la ciudadana Honoria Arellano Ocampo no cuente con plaza vigente actualmente…”, después del análisis del requerimiento y derivado de una búsqueda exhaustiva y razonable en los archivos que obran en esta Subdirección, comunico a usted que no se encontró registro de la C. Honoria Arellano Ocampo, como personal activo en este Instituto de Salud. En este punto, es importante destacar que la razón sustancial de las autoridades emisoras se basa en que “no se encontró información en los archivos de esa Subdirección de la C. Honoria Arellano Ocampo como personal activo de ese Instituto de Salud”. Lo que es un verdadero desacierto, porque si bien es cierto, tres preguntas de las solicitadas vía transparencia fueron atinentes a información de una trabajadora ACTIVA, las restantes dos preguntas NO LO FUERON, lo solicitado no fue únicamente lo acotado a una trabajadora ACTIVA O VIGENTE, como se demuestra con las siguientes preguntas solicitadas, siendo omisas respecto a dar respuesta fundada y motivada de todo lo que les fue solicitado: Solicitud de transparencia Respuesta de autoridad responsable Incongruencia En caso de que la ciudadana Honoria Arellano Ocampo NO cuente con una plaza vigente actualmente, solicito copia de versión pública de los documentos que acrediten las contrataciones que haya tenido en el ISEM desde el año 2012 hasta la fecha de esta solicitud (incluyendo fechas de alta y baja, tipo de contratación, clave de plaza, área de adscripción, </w:t>
      </w:r>
      <w:r w:rsidR="00B83592" w:rsidRPr="00514593">
        <w:rPr>
          <w:rFonts w:ascii="Palatino Linotype" w:hAnsi="Palatino Linotype"/>
          <w:i/>
          <w:color w:val="000000"/>
        </w:rPr>
        <w:lastRenderedPageBreak/>
        <w:t xml:space="preserve">funciones, tipo de jornada; todas las licencias, comisiones y permisos que haya tenido durante su servicio en esta Institución. “no se encontró información en los archivos de esa Subdirección de la C. Honoria Arellano Ocampo como personal activo de ese Instituto de Salud”. Se responde que no se cuenta con la información como personal activo, sin embargo, LO QUE NO FUE PARTE DE LA PREGUNTA, resultando que acorde con sus facultades y competencias, no se acredita la razón por la cual no tiene la información, si acorde a su competencia deberían contar con ella. - Tampoco se justifica fundada y motivadamente porqué no se cuenta con la información que deberían de tener, mucho menos se acredita con documentos que así lo demuestren, máxime si el otorgamiento de comisiones o licencias sindicales es necesario para el ejercicio de funciones de esa naturaleza. Pues del otorgamiento de dicha licencia se desprende la posibilidad jurídica de una representación sindical, que si bien se otorga por parte de un gremio sindical a través de los procedimientos de elección de los sindicatos, de esa legitimación se generan consecuencias jurídicas con el Instituto de Salud del Estado de México, al firmar acuerdos con esa representación sindical, con efectos que trascienden en las finanzas del Instituto por implicar negociaciones de plazas de estructura. En ese tenor NO EXISTE JUSTIFICACIÓN PARA NO CONTAR CON DOCUMENTOS QUE ACREDITAN EL INICIO DE UN PROCESO DE LEGITIMACIÓN QUE IMPACTAN FINANCIERAMENTE AL TRATARSE DE RECURSOS PÚBLICOS. Al respecto, la incongruencia en la respuesta respecto de lo solicitado que fue: “En caso de que la ciudadana Honoria Arellano Ocampo NO cuente con una plaza vigente actualmente, solicito copia de versión pública de los documentos que acrediten las contrataciones que haya tenido en el ISEM desde el año 2012 hasta la fecha de esta solicitud (incluyendo fechas de alta y baja, tipo de contratación, clave de plaza, área de adscripción, funciones, tipo de jornada; todas las licencias, comisiones y permisos que haya tenido durante su servicio en esta Institución.” Información con la que el Instituto debería contar, dado que se tiene la obligación de conservar la información por el periodo total de 12 años acorde con el marco normativo vigente aplicable; sin embargo, la Subdirección de Recursos Humanos, respondió que “no se encontró registro de la C. Honoria Arellano Ocampo, como personal activo en este instituto de Salud”, lo que NO FUE MATERIA DE LA SOLICITUD DE TRANSPARENCIA, toda vez que las preguntas no se acotaron a una trabajadora únicamente vigente, siendo obligación de esa autoridad conservar la información y en caso de transferencia, igualmente debe de contar con los registros documentales que acrediten por qué no cuenta con información a la que se encuentra obligada acorde con sus facultades y competencias. Dicha obligación se desprende del contenido de los artículos 18,19 y 20 de la Ley de Transparencia y Acceso a la Información Pública del Estado de México y Municipios que señala: “Artículo 18. Los sujetos obligados deberán documentar todo acto que derive del ejercicio de sus facultades, competencias o funciones, considerando desde su origen la eventual publicidad y reutilización de la información que generen. Artículo 19. Se presume que la información debe existir si se refiere </w:t>
      </w:r>
      <w:r w:rsidR="00B83592" w:rsidRPr="00514593">
        <w:rPr>
          <w:rFonts w:ascii="Palatino Linotype" w:hAnsi="Palatino Linotype"/>
          <w:i/>
          <w:color w:val="000000"/>
        </w:rPr>
        <w:lastRenderedPageBreak/>
        <w:t xml:space="preserve">a las facultades, competencias y funciones que los ordenamientos jurídicos aplicables otorgan a los sujetos obligados. En los casos en que ciertas facultades, competencias o funciones no se hayan ejercido, se debe motivar la respuesta en función de las causas que motiven tal circunstancia. Si el sujeto obligado, en el ejercicio de sus atribuciones, debía generar, poseer o administrar la información, pero esta no se encuentra, </w:t>
      </w:r>
      <w:r w:rsidR="00B83592" w:rsidRPr="00514593">
        <w:rPr>
          <w:rFonts w:ascii="Palatino Linotype" w:hAnsi="Palatino Linotype"/>
          <w:b/>
          <w:i/>
          <w:color w:val="000000"/>
        </w:rPr>
        <w:t>el Comité de transparencia deberá emitir un acuerdo de inexistencia, debidamente fundado y motivado, en el que detalle las razones del porqué no obra en sus archivos</w:t>
      </w:r>
      <w:r w:rsidR="00B83592" w:rsidRPr="00514593">
        <w:rPr>
          <w:rFonts w:ascii="Palatino Linotype" w:hAnsi="Palatino Linotype"/>
          <w:i/>
          <w:color w:val="000000"/>
        </w:rPr>
        <w:t xml:space="preserve">. Artículo 20. Ante la negativa del acceso a la información o su inexistencia, el sujeto obligado deberá demostrar que la información solicitada está prevista en alguna de las excepciones contenidas en esta Ley o, en su caso, demostrar que la información no se refiere a alguna de sus facultades, competencias o funciones.” Al respecto la Ley de Archivos y Administración del Estado y Municipios, establece en su artículo 3º que se privilegiará el respeto irrestricto a los derechos humanos y favoreciendo en todo momento LA PROTECCIÓN MÁS AMPLIA A LAS PERSONAS Y AL INTERÉS PÚBLICO, artículo que fue ignorado por la responsable al no proporcionar la información bajo el argumento de no contar con ella, cuando si tiene la obligación de conocer el paradero de un expediente que debería tener en su poder, violando también el artículo 7 de la Ley que dice: “Artículo 7. Los Sujetos Obligados deberán producir, registrar, organizar y conservar los Documentos de Archivo sobre todo acto que derive del ejercicio de sus facultades, competencias o funciones de acuerdo con lo establecido en las disposiciones jurídicas aplicables.” Lo anterior, se adminicula directamente con la violación al artículo 4 que señala: “Artículo 4. Además de las definiciones previstas en la Ley General, para los efectos de esta Ley se entenderá por: XIII. Baja Documental: A la eliminación de aquella documentación que haya prescrito su vigencia, valores documentales y, en su caso, plazos de conservación; y que no posea valores históricos, de acuerdo con la Ley y las disposiciones jurídicas aplicables; Se dice que se viola este artículo porque la conservación de la documentación pública es obligatoria para el Instituto de Salud del Estado de México como sujeto obligado y cuando no se cuenta con un expediente que debiera tenerse por el ejercicio de sus funciones se debe tener documentada la baja documental y en su caso, la transferencia al archivo de concentración y/o bien a cualquier otra entidad, siempre y cuando se resguarde la información que conforme a la norma debe conservar. Asimismo, en cualquier otra hipótesis que justificara la transferencia de la información o documentación, se deberá FUNDAR Y MOTIVAR, las razones para no contar con información que es parte del acervo de bienes que tiene el Instituto, con independencia del proceso de transferencia a que aluden al hacer una referencia aislada y sin una oración, frase o enunciado congruente que permita comprender qué es lo que quien suscribe quiso decir al aludir a un Convenio de Colaboración interinstitucional con IMSS-Bienestar, sin que de dicho convenio o vínculo electrónico se advierta que el expediente de la C. Honoria Arellano fue transferido a otra Institución, así como que, tampoco se proporcionó el fundamento legal que permita al Instituto de Salud del Estado de México, violar el marco </w:t>
      </w:r>
      <w:r w:rsidR="00B83592" w:rsidRPr="00514593">
        <w:rPr>
          <w:rFonts w:ascii="Palatino Linotype" w:hAnsi="Palatino Linotype"/>
          <w:i/>
          <w:color w:val="000000"/>
        </w:rPr>
        <w:lastRenderedPageBreak/>
        <w:t xml:space="preserve">normativo Institucional y presuntamente ocultar información pública, perderla o transferir un expediente sin conservar el respaldo o bien, el documento que garantice y acredite por qué no se cuenta con la información solicitada, pues ello es contrario al contenido de los artículos 18, 19 y 20 de la Ley de Transparencia y Acceso a la Información Pública del Estado de México y Municipios. Se estima que la Subdirección de Recursos Humanos a través de las personas que firmaron el oficio que nos ocupa, violentan también el artículo 6 de la Ley de Archivos y Administración del Estado de México, al NEGAR EL DERECHO A LA VERDAD, porque dicho sujeto obligado debería garantizar la organización, conservación y preservación de los Archivos con el objeto de respetar el derecho a la verdad y el acceso a la información contenida en los Archivos, así como fomentar el conocimiento del Patrimonio Documental del Estado de México y Municipios “Artículo 6. Toda la información contenida en los Documentos de Archivo producidos, obtenidos, adquiridos, transformados o en posesión de los Sujetos Obligados, será pública y accesible a cualquier persona en los términos y condiciones que establece la legislación en materia de transparencia y acceso a la información pública y de protección de datos personales. Los Sujetos Obligados deberán garantizar la organización, conservación y preservación de los Archivos con el objeto de respetar el derecho a la verdad y el acceso a la información contenida en los Archivos, así como fomentar el conocimiento del Patrimonio Documental del Estado de México y Municipios.” El Instituto de Salud del Estado de México, debe conservar el acervo histórico que documenta el ejercicio de sus funciones PREVIO a la realización de la supuesta transferencia o bien, de ser el caso, la realización de la baja documental de los expedientes, porque con la respuesta dada por la Subdirección de Recursos Humanos, se acredita la violación a todos los principios que consagra tanto la Ley de Archivos y Administración del Estado de México y Municipios, como la Ley General de Archivos y la Constitución Política del Estado Libre y Soberano de México, conforme lo establece el artículo 3º y 5º que señalan: Ley de Archivos y Administración del Estado de México y Municipios Artículo 3. La aplicación e interpretación de esta Ley se hará acorde a la Ley General de Archivos y a la Constitución Política del Estado Libre y Soberano de México, privilegiando el respeto irrestricto a los derechos humanos y favoreciendo en todo tiempo la protección más amplia a las personas y al interés público. A falta de disposición expresa en la presente Ley, se aplicarán de manera supletoria la Ley de Responsabilidades Administrativas del Estado de México, el Código de Procedimientos Administrativos del Estado de México y el Código de Procedimientos Civiles del Estado de México. La interpretación de esta Ley corresponde al Consejo Estatal de Archivos y Administración de Documentos. Artículo 5. Los Sujetos Obligados que refiere esta Ley se regirán por los siguientes principios: I. Conservación: Adoptar las medidas de índole técnica, administrativa, ambiental y tecnológica, para la adecuada preservación de los Documentos de Archivo; II. Procedencia: Conservar el origen de cada Fondo Documental producido por los Sujetos Obligados, para distinguirlo de otros fondos semejantes y respetar el orden interno de las Series documentales en el desarrollo de su </w:t>
      </w:r>
      <w:r w:rsidR="00B83592" w:rsidRPr="00514593">
        <w:rPr>
          <w:rFonts w:ascii="Palatino Linotype" w:hAnsi="Palatino Linotype"/>
          <w:i/>
          <w:color w:val="000000"/>
        </w:rPr>
        <w:lastRenderedPageBreak/>
        <w:t xml:space="preserve">actividad institucional; III. Integridad: Garantizar que los Documentos de Archivo sean completos y veraces para reflejar con exactitud la información contenida; IV. Disponibilidad: Adoptar medidas pertinentes para la localización expedita de los Documentos de Archivo, y V. Accesibilidad: Garantizar el acceso a la consulta de los Archivos de acuerdo con esta Ley y las disposiciones jurídicas aplicables. Ahora bien, el artículo 7º de la Ley en comento, señala la obligación de conservar y respetar el principio de accesibilidad para garantizar la consulta de los documentos de archivo sobre TODO ACTO QUE DERIVE DEL EJERCICIO DE SUS FACULTADES, mismas que establecen lo siguiente: “2I7B32100 SUBDIRECCIÓN DE RECURSOS HUMANOS OBJETIVO: Ejecutar, coordinar y controlar el plan estratégico institucional en materia de recursos humanos, los planes operativos que de él se deriven, el sistema de administración y desarrollo de personal, la normatividad laboral y las relaciones de trabajo, que garanticen los derechos de los trabajadores y propicien el ejercicio honesto y eficiente de sus funciones, para contribuir a la consecución de los objetivos del Instituto. FUNCIONES: - Elaborar y expedir los nombramientos del personal de mandos medios y superiores, autorizados por el Director General. - Coordinar y controlar los movimientos e incidencias de personal, así como las constancias de nombramiento y demás documentos que acrediten la situación laboral de los trabajadores. - Establecer, difundir y aplicar las normas, criterios y procedimientos en materia de reclutamiento, selección e inducción de personal, así como definir los lineamientos de la estructura ocupacional de las unidades administrativas del Instituto y vigilar su cumplimiento. - Planear, programar y coordinar la administración y desarrollo de personal del Instituto, así como establecer los sistemas para su evaluación, en coordinación con las unidades aplicativas que conforman el Instituto. - Participar en la elaboración del programa presupuesto anual del Instituto, en lo referente a servicios personales. - Operar el sistema de remuneraciones y de política salarial para el personal del Instituto, así como difundir y supervisar la aplicación de las normas y lineamientos que, en la materia, emitan las dependencias competentes. - Vigilar la aplicación del catálogo sectorial de puestos de la Secretaría de Salud autorizado y proponer modificaciones para mantenerlo actualizado. - Administrar, promover y coordinar los sistemas de premios, estímulos y recompensas; así como proporcionar a los trabajadores los beneficios y prestaciones económicas y sociales que establezcan las disposiciones aplicables. - Elaborar y revisar, en coordinación con la Unidad de Asuntos Jurídicos y en el marco del Acuerdo para la Descentralización Integral de los Servicios de Salud en el Estado de México, las Condiciones Generales de Trabajo y demás normas laborales internas del Instituto, así como difundirlas entre el personal y vigilar su observancia, en coordinación con las unidades médicas y administrativas que conforman el organismo. - Participar en los comités y comisiones que se creen en materia laboral y de capacitación; así como coordinar y operar el programa de capacitación administrativo. Cuantificar, costear y validar, en su caso, los programas de reclasificación y requerimientos de recursos humanos que demanden las unidades que conforman el Instituto, en coordinación con </w:t>
      </w:r>
      <w:r w:rsidR="00B83592" w:rsidRPr="00514593">
        <w:rPr>
          <w:rFonts w:ascii="Palatino Linotype" w:hAnsi="Palatino Linotype"/>
          <w:i/>
          <w:color w:val="000000"/>
        </w:rPr>
        <w:lastRenderedPageBreak/>
        <w:t xml:space="preserve">las demás instancias competentes. - Colaborar en el establecimiento y operación del Sistema Institucional de Capacitación y Desarrollo del personal del Instituto, haciéndose responsable de la dirección y manejo de su componente técnico administrativo, con base en las necesidades de las diferentes unidades que conforman el organismo. - Operar y vigilar la correcta aplicación del sistema escalafonario del Instituto, utilizándolo como base para la determinación de ascensos de los trabajadores. - Proporcionar a la representación sindical formalmente reconocida, la información necesaria para el desempeño de sus funciones y gestionar los recursos que requieran para tal fin. - Integrar y difundir el programa anual de vacaciones para el personal del Instituto, de conformidad con las Condiciones Generales de Trabajo y de la normatividad aplicable. - Proporcionar la información necesaria que le requiera la Unidad de Modernización Administrativa, con el propósito de instrumentar los proyectos de modernización administrativa en el Instituto. - Coadyuvar en la elaboración, así como difundir y vigilar la aplicación de los manuales administrativos de su área de responsabilidad. - Vigilar el cumplimiento y observancia de las disposiciones legales en materia laboral y atender las peticiones, sugerencias y quejas que formulen los trabajadores y sus representantes sindicales, así como mediar administrativamente los conflictos internos que se susciten por violación a las Condiciones Generales de Trabajo y demás disposiciones jurídicas y administrativas que rigen a los servidores públicos e imponer, en su caso, las medidas disciplinarias que correspondan. - Desarrollar las demás funciones inherentes al área de su competencia.” “217632102 DEPARTAMENTO DE RELACIONES LABORALES Y DESARROLLO DE PERSONAL. OBJETIVO: Integrar, ejecutar, coordinar, controlar y evaluar las acciones inherentes a las relaciones laborales entre los trabajadores del Instituto y el Sindicato, relativas al otorgamiento de los derechos, servicios y prestaciones establecidos en el cumplimiento de la legislación laboral y el desempeño y desarrollo del personal adscrito al organismo. FUNCIONES: - Asesorar y difundir la normatividad referente al reclutamiento, selección, inducción y capacitación del personal, entre las unidades que conforman el Instituto. - Gestionar las transferencias de plazas, dentro y fuera de la entidad, de conformidad con la planeación del personal. - Difundir y coordinar los programas de premios, estímulos y recompensas y el programa nacional de antigüedad en el servicio, conjuntamente con la Secretaría de Salud Federal y de conformidad con la normatividad aplicable. - Coordinar la contratación de candidatos al ingresar al Instituto en la bolsa de trabajo. - Evaluar y seleccionar a los aspirantes que reúnan los requisitos estipulados, de acuerdo a los lineamientos, procedimientos y controles para la selección de personal en el Instituto. - Gestionar y coordinar la expedición de constancias de no inhabilitación, ante la Secretaría de la Contraloría para el personal de nuevo ingreso. Verificar las compatibilidades de empleo para su autorización y/o certificación. - Verificar las compatibilidades de empleo para su autorización y/o certificación. - Instrumentar y coordinar las acciones de inducción institucional e introducción al puesto, para el personal de nuevo ingreso, de conformidad a lo </w:t>
      </w:r>
      <w:r w:rsidR="00B83592" w:rsidRPr="00514593">
        <w:rPr>
          <w:rFonts w:ascii="Palatino Linotype" w:hAnsi="Palatino Linotype"/>
          <w:i/>
          <w:color w:val="000000"/>
        </w:rPr>
        <w:lastRenderedPageBreak/>
        <w:t xml:space="preserve">normado - Instrumentar y coordinar las actividades de capacitación para el desempeño y desarrollo de los recursos humanos del área administrativa, con una visión de largo plazo y atendiendo a la normatividad vigente. - Apoyar, instrumentar y coordinar la capacitación basada en competencias y la certificación de habilidades, en apoyo a los programas institucionales de calidad, de conformidad a lo normado. - Instrumentar y coordinar las actividades de capacitación para el desempeño y desarrollo de los recursos humanos del área administrativa, atendiendo a la normatividad vigente. - Participar y apoyar las reuniones ordinarias y extraordinarias de la Comisión Mixta de Capacitación, según lo establecido por el Comité Interno de Capacitación y la normatividad vigente. - Coordinar y supervisar el otorgamiento de licencias y comisiones sin sueldo por ocupar puesto de confianza. - Coordinar y controlar el otorgamiento de licencias con y sin goce de sueldo para disfrutar de una beca o cursar una residencia médica, comisiones sindicales, comisiones oficiales, comisiones externas y comisiones por disminución de facultades. - Coordinar y supervisar el otorgamiento de licencias para atender asuntos particulares con y sin goce de sueldo. - Coordinar y supervisar el otorgamiento de cambios de adscripción, permutas, transferencias, reubicaciones y jornadas especiales que soliciten los trabajadores de las unidades administrativas y las oficinas centrales. - Coordinar y supervisar las promociones, disminuciones y ascensos de que sean objeto los trabajadores, para que se cumplan las normas, políticas y procedimientos vigentes. - Analizar e interpretar, para su aplicación, la normatividad y acciones que de ella se deriven, en materia de relaciones laborales. - Asesorar y apoyar la aplicación de las Condiciones Generales de Trabajo de la Secretaría de Salud Federal. - Difundir el programa anual de vacaciones escalonadas conforme a la normatividad aplicable. - Coordinar y apoyar las reuniones ordinarias y extraordinarias de las comisiones mixtas de escalafón y seguridad e higiene en el trabajo. - Participar en las acciones encaminadas a mantener relaciones con las instancias necesarias, tanto al interior como al exterior del Instituto, para concertar y realizar convenios que favorezcan la armonía en las relaciones de trabajo y la productividad. - Coadyuvar en la elaboración y el levantamiento de actas administrativas en materia laboral, de la aplicación de sanciones y de las solicitudes de reconsideración para apoyar su trámite en el ámbito de las atribuciones del departamento. - Coadyuvar en la reinstalación de los trabajadores en plazas respectivas y en su lugar de adscripción, en cumplimiento a los laudos ejecutoriados condenatorios en contra del Instituto, así como tramitar el pago de indemnizaciones y salarios caídos que de ellos se deriven. - Participar en el análisis y atención de los diversos pliegos petitorios que presenten las Secciones Sindicales del SNTSA ante el Instituto. - Analizar, determinar e interpretar la normatividad que resulte aplicable para resolver controversias en materia laboral entre el Instituto, los trabajadores y su representación sindical. - Verificar las marchas y manifestaciones de los trabajadores encabezados por sus líderes sindicales. - Coordinar el análisis, implementación, operación y control de proyectos y programas especiales que se asignen al Departamento de Relaciones Laborales y Desarrollo de Personal, de </w:t>
      </w:r>
      <w:r w:rsidR="00B83592" w:rsidRPr="00514593">
        <w:rPr>
          <w:rFonts w:ascii="Palatino Linotype" w:hAnsi="Palatino Linotype"/>
          <w:i/>
          <w:color w:val="000000"/>
        </w:rPr>
        <w:lastRenderedPageBreak/>
        <w:t xml:space="preserve">conformidad con la normatividad y lineamientos aplicables. - Coordinar la elaboración y gestión de hojas de servicio y constancias de reconocimiento de antigüedad. - Coordinar, cuando así se requiera y a petición de parte, la elaboración de evoluciones salariales para los trabajadores pensionados del Instituto. - Apoyar y orientar al personal del Instituto, en los trámites de jubilación y pensión, cuando así lo soliciten. - Coordinar la tramitación y gestión del seguro institucional, potencialización del seguro institucional y seguro de retiro, para los trabajadores del instituto. - Coordinar la tramitación y gestión del seguro de gastos médicos mayores, seguro de separación individualizado y potencialización del seguro institucional para el personal de mandos medios y superiores del Instituto. - Tramitar y gestionar el seguro de responsabilidad profesional, para los trabajadores del Instituto que tengan derecho a este beneficio, de conformidad con la normatividad aplicable. - Coadyuvar en la coordinación y vigilancia de la operación de los seguros opcionales que contraten los trabajadores del Instituto. - Coordinar y apoyar la tramitación y gestión ante el ISSSTE de préstamos a corto y mediano plazo, complementarios, hipotecarios y los demás que otorgue esta institución para los trabajadores del Instituto. - Elaborar las credenciales de identificación oficial de los trabajadores del Instituto, incluyendo mandos medios y superiores. - Coordinar la elaboración y trámite de filiaciones ante el ISSSTE para el personal de nuevo ingreso de las áreas del Instituto. - Coordinar los trámites para el pago de marcha a favor de los beneficiarios de los trabajadores del Instituto. - Coordinar la integración, actualización, archivo y resguardo de los expedientes personales de los trabajadores del Instituto. - Coordinar la operación de los programas especiales de reconocimiento de antigüedad (subsidio) y retiro voluntario, conforme a la normatividad que n su oportunidad establezca la Secretaría de Salud Federal y la Secretaría de Hacienda y Crédito Público. - Gestionar ante el ISSSTE el reconocimiento de antigüedad de los trabajadores estatales, incorporados al régimen voluntario. - Recopilar y coordinar el censo anual sobre el uso de guarderías por las madres trabajadoras que laboran en el Instituto. - Supervisar y vigilar el cumplimiento de la normatividad en materia de escalafón y seguridad e higiene en el trabajo y coordinarse para tal efecto con la comisión mixta respectiva. - Supervisar la aplicación de normas y procedimientos para dictaminar la situación laboral en caso de conflictos individuales o locales, que tengan los trabajadores del Instituto. - Supervisar y vigilar el cumplimiento de los programas de apoyo por día de reyes, día de las madres, convivencia infantil, día del trabajador y demás festividades. - Desarrollar las demás funciones inherentes al área de su competencia. De las anteriores funciones, se acredita fehacientemente la correlación que existe en la Ley General de Archivos y la Ley de Archivos y Administración del Estado de México con la obligación de la Subdirección de Recursos Humanos y el Departamento de Relaciones Laborales de Integrar, ejecutar, coordinar, controlar y evaluar las acciones inherentes a las relaciones laborales entre los trabajadores del Instituto y el Sindicato, relativas al otorgamiento de los derechos, servicios y prestaciones establecidos en el cumplimiento de la legislación laboral y el desempeño y desarrollo del </w:t>
      </w:r>
      <w:r w:rsidR="00B83592" w:rsidRPr="00514593">
        <w:rPr>
          <w:rFonts w:ascii="Palatino Linotype" w:hAnsi="Palatino Linotype"/>
          <w:i/>
          <w:color w:val="000000"/>
        </w:rPr>
        <w:lastRenderedPageBreak/>
        <w:t xml:space="preserve">personal adscrito al organismo, entre las que se encuentra la de resguardar, conservar y transferir los archivos generados y asociados con el cumplimiento de sus funciones, por lo que, SI TIENEN LA OBLIGACION DE CONTAR CON TODA LA INFORMACIÓN Y DOCUMENTACIÓN SOLICITADA, porque el propio manual señala que es obligación del Departamento de Relaciones Laborales “Coordinar la integración, actualización, archivo y resguardo de los expedientes personales de los trabajadores del Instituto.” Y también en los términos del marco normativo institucional en materia ARCHIVÍSTICA, y NO con fundamento en la Ley Federal del Trabajo y la Ley del Trabajo de los Servidores Públicos del Estado y Municipios, esto es porque las solicitudes de transparencia NO se tratan del ofrecimiento probatorio dentro de un procedimiento laboral, como equívocamente fundan, lo que se tratará más adelante. En ese sentido, se insiste en que también deparan agravio las manifestaciones de las autoridades responsables al señalar: “Cabe mencionar que cada Unidad Aplicativa, es la encargada de la selección, reclutamiento, promoción, designación, administración, coordinación, control de asistencia, incidencias y supervisión del personal que se encuentra a su cargo, contando estas mismas con un Jefe o Encargado de Recursos Humanos, responsable de aplicar la normatividad vigente. Por lo anterior, esta unidad administrativa sólo está obligada a proporcionar la información pública que se le requiera y que obre en sus archivos y en el estado en que ésta se encuentre. La obligación de proporcionar información no comprende el procesamiento de la misma, ni presentarla conforme al interés del solicitante, no estará obligada a generarla, resumirla, efectuar cálculos o practicar investigaciones, por lo que se sugiere sea solicitado al sujeto obligado correspondiente.” Contrario a las manifestaciones vertidas por la Unidad Aplicativa, suponemos se refiere a la Subdirección de Recursos Humanos que cuentan con sus Departamentos, tienen la obligación de proporcionar la información que obre en sus archivos, en caso de que debiera contar con dicha información acorde con sus facultades y NO SE TENGA, tendrá que fundar y motivar, esto es justificar, demostrar con documentos y soporte en la ley o normatividad que le aplique a ese Instituto las razones de excepción por las cuales no se tenga, para lo que, el Comité de Transparencia deberá emitir un acuerdo que así lo pretendiera justificar, lo que atendiendo a la naturaleza de la información que se solicitó resultaría IMPROCEDENTE, porque son documentos que debieran obrar en los archivos de esa Unidad Aplicativa, pero como se mencionó la Subdirección de Recursos Humanos y su Departamento de Relaciones Laborales si tienen las funciones de contar con los expedientes del personal, conservarlos por la temporalidad que establece el marco normativo en materia archivística, NO LABORAL (tema en el que se ahonda más adelante), así como cumplir con las obligaciones de transparencia, rendición de cuentas y del servicio público, que al parecer, las autoridades responsables desconocen que deben cumplirlas también. 2. Se depara agravio la afirmación de las responsables en el sentido de: “… toda vez que derivado del "Convenio de Coordinación que establece la forma de colaboración en materia de personal, infraestructura, equipamiento, </w:t>
      </w:r>
      <w:r w:rsidR="00B83592" w:rsidRPr="00514593">
        <w:rPr>
          <w:rFonts w:ascii="Palatino Linotype" w:hAnsi="Palatino Linotype"/>
          <w:i/>
          <w:color w:val="000000"/>
        </w:rPr>
        <w:lastRenderedPageBreak/>
        <w:t xml:space="preserve">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publicado en el Diario Oficial de la Federación, el 13 de Noviembre de 2023, este Instituto de Salud del Estado de México se encuentra en el proceso de transición enunciado en dicho Convenio, a 01 de julio del 2024, el cual puede ser consultado en la página de internet…” Incongruentemente, sin ninguna explicación que funde y motive la idea que se pretendió exponer por parte de las autoridades responsables que firman el oficio, al invocar un instrumento jurídico sin aparente vínculo con la información que se solicitó, dado que ni siquiera se comprende, ni tiene sentido, ni es comprensible a cualquier persona, al señalar lo transcrito en el párrafo anterior, porque no tiene congruencia con nada de lo que se menciona en el documento. Asimismo, en cualquier otra hipótesis que justificara la transferencia de la información o documentación, se deberá FUNDAR Y MOTIVAR, las razones para no contar con información que es parte del acervo de bienes que tiene el Instituto, con independencia del proceso de transferencia a que aluden al hacer una referencia aislada y sin una oración, frase o enunciado congruente que permita comprender qué es lo que quien suscribe quiso decir al aludir a un Convenio de Colaboración interinstitucional con IMSS-Bienestar, sin que de dicho convenio o vínculo electrónico se advierta que el expediente de la C. Honoria Arellano fue transferido a otra Institución, así como que, tampoco se proporcionó el fundamento legal que permita al Instituto de Salud del Estado de México, violar el marco normativo Institucional y presuntamente perder o transferir un expediente sin conservar el respaldo o bien, el documento que garantice y acredite por qué no se cuenta con la información solicitada. La temporalidad para la conservación de la documentación e información que debe atenderse se encuentra contemplada en el artículo vigésimo cuarto de los Criterios Técnicos para la Transferencia Primaria de Expedientes Físicos de Asuntos Concluidos a los Archivos de Concentración de las Dependencias y Organismos Auxiliares de la Administración Pública del Estado de México, publicados el 14 de noviembre de 2024 en la Gaceta Oficial del Estado de México, que señala: “Vigésimo cuarto. Las personas responsables de los Archivos de Trámite de las Dependencias y Organismos conservarán los Inventarios en su acervo documental por un periodo mínimo de doce años contado a partir de la fecha de la transferencia primaria. Las personas responsables de los Archivos de Concentración conservarán los Inventarios en su acervo documental hasta que se realice la transferencia de los expedientes al Archivo Histórico o se proceda a su baja, conforme a lo señalado en el Catálogo y la normatividad en la materia.” Asimismo, existen los “LINEAMIENTOS PARA LA VALORACIÓN, SELECCIÓN Y BAJA DE LOS DOCUMENTOS, EXPEDIENTES Y SERIES DE TRÁMITE CONCLUIDO EN LOS ARCHIVOS DEL ESTADO DE MÉXICO”, publicados en el 29 de mayo de 2015, en la Gaceta del Estado de México, que en su artículo 27 establece lo siguiente: “Artículo 27.- Las Unidades Administrativas al realizar la transferencia de los expedientes de </w:t>
      </w:r>
      <w:r w:rsidR="00B83592" w:rsidRPr="00514593">
        <w:rPr>
          <w:rFonts w:ascii="Palatino Linotype" w:hAnsi="Palatino Linotype"/>
          <w:i/>
          <w:color w:val="000000"/>
        </w:rPr>
        <w:lastRenderedPageBreak/>
        <w:t xml:space="preserve">trámite concluido, señalarán en el Inventario correspondiente los plazos de conservación precaucional de estos en el Archivo de Concentración. Para determinar el plazo de conservación precaucional deberán considerar el marco legal o administrativo bajo el cual se produjeron o recibieron los documentos y los siguientes períodos: I. 6 años para expedientes con información administrativa; II. 6 años como mínimo para expedientes con información fiscal y presupuestal contable; III. 12 años como mínimo para expedientes con información jurídico-legal, obra pública y activo fijo; y IV. Cuando en la legislación se establezcan períodos de conservación mayores a los señalados en las fracciones I, II y III, se considerarán los estipulados en dicha legislación para efectos de realización del proceso de selección final. V. Cuando las Unidades Administrativas no indiquen el plazo de conservación precaucional de sus expedientes en el Inventario correspondiente, los Archivos de Concentración podrán rechazar la transferencia de los expedientes. De los anteriores artículos, se establecen los periodos de conservación de la información a que están obligadas las unidades administrativas, sin que exista otro ordenamiento legal que disponga que los archivos de la Subdirección de Recursos Humanos se pueden destruir, transferir o conservar en términos distintos. Asimismo, es de señalar que el Cuadro General de Clasificación Archivística del Instituto de Salud del Estado de México (ISEM) publicado la normateca del Instituto en agosto de 2023, NO incluye dentro de sus preceptos la vigencia para la conservación de los expedientes que derogue o modifique a los “LINEAMIENTOS PARA LA VALORACIÓN, SELECCIÓN Y BAJA DE LOS DOCUMENTOS, EXPEDIENTES Y SERIES DE TRÁMITE CONCLUIDO EN LOS ARCHIVOS DEL ESTADO DE MÉXICO” así como tampoco afecta la vigencia y aplicabilidad del artículo vigésimo cuarto de los Criterios Técnicos para la Transferencia Primaria de Expedientes Físicos de Asuntos Concluidos a los Archivos de Concentración de las Dependencias y Organismos Auxiliares de la Administración Pública del Estado de México, publicados el 14 de noviembre de 2024 en la Gaceta Oficial del Estado de México; de lo que podemos afirmar que el periodo de conservación de la información solicitada al Instituto debió ser por lo menos de 12 AÑOS. En esta línea de pensamiento, al parecer, la autoridad responsable que emite la respuesta de transparencia ignora que todo lo que afirma debe de probarlo, sin que de sus afirmaciones se desprenda elemento probatorio alguno que acredite la veracidad de lo que afirman, máxime que negaron atribuciones que, si tienen, lo que me permite tener la presunción de NEGLIGENCIA, CORRUPCIÓN Y ABUSO DE ATRIBUCIONES. De lo anteriormente expuesto, no tiene sustento legal la Subdirección de Recursos Humanos para afirmar que no cuenta con obligación de conservar la información solicitada, ya que tanto por ejercicio de sus atribuciones, como por la temporalidad que se señala, SI TIENE LA OBLIGACIÓN DE PROPORCIONAR LO QUE SE LE SOLICITÓ y negar la existencia de sus atribuciones, así como negar la información viola la Constitución Federal, la del Estado de México, el DERECHO A LA VERDAD, comete infracciones administrativas y el delito de ABUSO DE FUNCIONES. En ese sentido, se </w:t>
      </w:r>
      <w:r w:rsidR="00B83592" w:rsidRPr="00514593">
        <w:rPr>
          <w:rFonts w:ascii="Palatino Linotype" w:hAnsi="Palatino Linotype"/>
          <w:i/>
          <w:color w:val="000000"/>
        </w:rPr>
        <w:lastRenderedPageBreak/>
        <w:t xml:space="preserve">solicita a ese H. Comité de Transparencia, REVOCAR EN TODAS SUS PARTES el oficio de NO INFORMACIÓN, y ordenar a las autoridades responsables entregar la información solicitada y se turne el expediente al Órgano Interno de Control para que se inicien las averiguaciones correspondientes al negar la existencia de atribuciones que sí tienen. 3. Las autoridades que firman el oficio 208C0101320100L/10503/2025, de fecha 20 de agosto de 2025, lo fundan en los artículos 804 de la Ley Federal del Trabajo y 220 K de la Ley del Trabajo de los Servidores Públicos del Estado y Municipios al referir literalmente: “…también con fundamento a lo establecido en el artículo 804 de la Ley Federal del Trabajo y artículo 220 K de la Ley del Trabajo de los Servidores Públicos del Estado y Municipios, mismas que pueden ser consultadas en las páginas de internet http://legislacion.edomex.gob.mx/sites/legislacion.edomex.gob.mx/files/files/pdf/ley/vig/leyvig083.pdf/ por lo que no es posible atender favorablemente la petición.” Los artículos que invoca la autoridad responsable para pretender fundar su negativa de información, SON INEXACTAMENTE APLICADOS Y POR LO TANTO EQUÍVOCOS, toda vez que ellos se refieren al PROCESO LABORAL a que hace referencia el artículo 191 de la propia Ley del Trabajo de los Servidores Públicos del Estado de México y Municipios, así como al ofrecimiento de pruebas dentro del procedimiento laboral, como se advierte de su transcripción: Ley Federal del Trabajo “Artículo 804.- El patrón tiene obligación de conservar y exhibir en juicio los documentos que a continuación se precisan: I. Contratos individuales de trabajo que se celebren, cuando no exista contrato colectivo o contrato Ley aplicable; II. Listas de raya o nómina de personal, cuando se lleven en el centro de trabajo; o recibos de pagos de salarios; III. Controles de asistencia, cuando se lleven en el centro de trabajo; IV. Comprobantes de pago de participación de utilidades, de vacaciones y de aguinaldos, así como las primas a que se refiere esta Ley, y pagos, aportaciones y cuotas de seguridad social; y V. Los demás que señalen las leyes. Los documentos señalados en la fracción I deberán conservarse mientras dure la relación laboral y hasta un año después; los señalados en las fracciones II, III y IV, durante el último año y un año después de que se extinga la relación laboral; y los mencionados en la fracción V, conforme lo señalen las Leyes que los rijan.” Ley del Trabajo de los Servidores Públicos del Estado de México y Municipios ARTÍCULO 191.- El proceso será público, gratuito, inmediato, predominantemente oral y se iniciará a instancia de parte. El Tribunal y las Salas tendrán la obligación de tomar las medidas necesarias para lograr la mayor economía, concentración y sencillez del proceso. CAPITULO IX De las Pruebas ARTÍCULO 219. Son admisibles en el proceso todos los medios de prueba que no sean contrarios a la moral, al derecho o a las buenas costumbres, y en especial los siguientes: ARTÍCULO 220 K.- La institución o dependencia pública tiene la obligación de conservar y exhibir en el proceso los documentos que a continuación se precisan: I. Contratos, Nombramientos o Formato Único de Movimientos de Personal, cuando no exista Convenio de condiciones generales de trabajo aplicable; II. Recibos de pagos de salarios o las constancias documentales del pago de salario </w:t>
      </w:r>
      <w:r w:rsidR="00B83592" w:rsidRPr="00514593">
        <w:rPr>
          <w:rFonts w:ascii="Palatino Linotype" w:hAnsi="Palatino Linotype"/>
          <w:i/>
          <w:color w:val="000000"/>
        </w:rPr>
        <w:lastRenderedPageBreak/>
        <w:t xml:space="preserve">cuando sea por depósito o mediante información electrónica; III. Controles de asistencia o la información magnética o electrónica de asistencia de los servidores públicos; IV. Recibos o las constancias de deposito o del medio de información magnética o electrónica que sean utilizadas para el pago de salarios, prima vacacional, aguinaldo y demás prestaciones establecidas en la presente ley; y V. Los demás que señalen las leyes. Los documentos señalados en la fracción I de este artículo, deberán conservarse mientras dure la relación laboral y hasta un año después; los señalados por las fracciones II, III, IV durante el último año y un año después de que se extinga la relación laboral, y los mencionados en la fracción V, conforme lo señalen las leyes que los rijan. Los documentos y constancias aquí señalados, la institución o dependencia podrá conservarlos por medio de los sistemas de digitalización o de información magnética o electrónica o cualquier medio descubierto por la ciencia y las constancias expedidas por el encargado del área de personal de estas, harán prueba plena.” De la anterior transcripción se advierte, que los documentos para efectos probatorios en un procedimiento laboral deberán conservarse en los términos que señalan los artículos 804 de la Ley Federal del Trabajo y artículo 220 K de la Ley del Trabajo de los Servidores Públicos del Estado y Municipios; lo que implica la obligatoriedad para las autoridades conservar los documentos PARA EFECTOS DEL PROCESO LABORAL. Sin embargo, las solicitudes de transparencia NO SE TRATAN DE UN PROCEDIMIENTO LABORAL, por lo que, señalarse una temporalidad diversa en esos ordenamientos NO ABROGA, DEROGA, ANULA O ELIMINA todo el demás marco normativo al que los sujetos obligados se encuentran constreñidos, como lo son todos los artículos constitucionales y legales invocados en el presente escrito, debieron ser CONOCIDOS Y APLICADOS por la autoridad responsable que emitió la INFUNDADA y EQUÍVOCA respuesta de transparencia, por lo tanto se solicita se declare fundado el presente recurso de revisión y se REVOQUEN los oficios que se combaten con el fin de que se proporcione la información que se solicitó. Asimismo, se solicita que, dadas las diversas violaciones y desconocimiento de las autoridades responsables que emiten los oficios del marco normativo que les aplica, así como el doloso proceder al ocultar información que deberían tener en el ejercicio de sus funciones, se le dé vista al Órgano Interno de Control y a la Fiscalía General de Justicia por la probable comisión del delito de abuso de funciones que prevé el artículo 355 del Código Penal del Estado de México. 4. Causa agravio a esta recurrente las manifestaciones de las autoridades responsables al señalar: “… Informe si en los registros del Instituto de Salud del Estado de México consta la TOMA DE NOTA expedida por la autoridad laboral correspondiente..” y “… Informe si el Instituto de Salud del Estado de México ha reconocido formalmente a Honoria Arellano Ocampo como representante sindical…” le comunico que no es posible dar atención a lo solicitado, toda vez que el Sindicato Nacional de Trabajadores de la Secretaría de Salud (SNTSA), es un organismo independiente del ISEM, por lo tanto queda fuera de la competencia de este Instituto de Salud otorgar información relacionada con dicho organismo, por lo cual esta unidad administrativa sólo está </w:t>
      </w:r>
      <w:r w:rsidR="00B83592" w:rsidRPr="00514593">
        <w:rPr>
          <w:rFonts w:ascii="Palatino Linotype" w:hAnsi="Palatino Linotype"/>
          <w:i/>
          <w:color w:val="000000"/>
        </w:rPr>
        <w:lastRenderedPageBreak/>
        <w:t xml:space="preserve">obligada a proporcionar la información pública que se le requiera y que obre en sus archivos y en le estado en que esta se encuentre. La obligación de proporcionar información no comprende el procesamiento de la misma, ni presentarla conforme al interés del solicitante; no estará obligada a generarla, resumirla, efectuar cálculos o practicar investigaciones.” A continuación, se diagrama lo solicitado contra lo contestado por la Subdirección de Recursos Humanos y por la Unidad de Transparencia (que replicó la respuesta de aquella), así como un resumen de las inconsistencias para mejor entendimiento: Solicitud de transparencia Respuesta de autoridad responsable Incongruencia Informe si en los registros del Instituto de Salud del Estado de México consta la TOMA DE NOTA expedida por la autoridad laboral correspondiente, en la que se designe a Honoria Arellano Ocampo como representante sindical del SNTSA o de cualquier otra organización gremial (indicar fecha de emisión, autoridad que la expide, tipo de representación y vigencia). Informe si el Instituto de Salud del Estado de México ha reconocido formalmente a Honoria Arellano Ocampo como representante sindical de trabajadores. (favor de indicar si existe, acta, oficio, resolución interna mediante la cual se le otorgue trato como representante gremial en el marco de una relación institucional con el ISEM) “… le comunico que no es posible dar atención a lo solicitado, toda vez que el Sindicato Nacional de Trabajadores de la Secretaría de Salud (SNTSA), es un organismo independiente del ISEM, por lo tanto queda fuera de la competencia de este Instituto de Salud otorgar información relacionada con dicho organismo, por lo cual esta unidad administrativa sólo está obligada a proporcionar la información pública que se le requiera y que obre en sus archivos y en le estado en que esta se encuentre. La obligación de proporcionar información no comprende el procesamiento de la misma, ni presentarla conforme al interés del solicitante; no estará obligada a generarla, resumirla, efectuar cálculos o practicar investigaciones”. Se responde que no es posible dar atención porque el SNTSA es independiente, quedando fuera de la competencia del ISEM y que sólo está obligada a contar con información que obre en sus archivos. Lo que es INFUNDADO, ya que normalmente las peticiones de las autoridades sindicales dirigidas a las autoridades, incluyen los datos de sus acreditaciones vigentes, en caso de no hacerlo, lo procedente es prevenirlos para que acrediten la personalidad con la que se ostenten en caso de no tenerlo documentado; por lo que dicha omisión acredita una violación al principio de legalidad, debido proceso y seguridad jurídica en que dicha Subdirección de Recursos Humanos actúa; ello es así, en el sentido de que para celebrar actos con representaciones en atención al principio de SEGURIDAD JURÍDICA, deben validar que la representación con que cualquier persona se ostente sea VÁLIDA. Aquí no se solicitó en ningún momento que validaran la legalidad de su nombramiento, sino que proporcionaran los documentos en los que se han llevado acuerdos mediante los cuales se ha otorgado trato como representante sindical a Honoria Arellano Ocampo, lo que debe obrar en los papeles de trabajo de las Comisiones Mixtas de trabajo, de escalafón e incluso en peticiones provenientes de Honoria Arellano, entre otras. Información que TIENE QUE OBRAR EN SUS ARCHIVOS, </w:t>
      </w:r>
      <w:r w:rsidR="00B83592" w:rsidRPr="00514593">
        <w:rPr>
          <w:rFonts w:ascii="Palatino Linotype" w:hAnsi="Palatino Linotype"/>
          <w:i/>
          <w:color w:val="000000"/>
        </w:rPr>
        <w:lastRenderedPageBreak/>
        <w:t xml:space="preserve">si bien no están obligadas a procesarlas, SI A TENERLAS Y ENTREGARLAS; también es obligación tener la información organizada de manera que sea ACCESIBLE a los ciudadanos, si bien puede que para ellos frente al desorden de archivos que al parecer existe, ELLO NO ES UNA INVESTIGACIÓN, SINO UNA BÚSQUEDA RAZONABLE DE LO QUE DEBERIAN TENER ACCESIBLE, por lo que igualmente se violenta este principio de la Ley de Transparencia y Acceso a la Información Pública del Estado de México y Municipios. SE DIO RESPUESTA A LO SOLICITADO y SE NEGÓ TENER FACULTADES QUE SÍ TIENEN, lo que es una falta administrativa GRAVE conforme al artículo 222, fracciones XII, XIII, y XIV de la Ley de Transparencia y Acceso a Información Pública del Estado de México y Municipios; 335 del Código Penal del Estado, al haber declarado la inexistencia de información cuando el sujeto obligado deba generarla, derivado del ejercicio de sus facultades, competencias o funciones; así como no documentar, el ejercicio de sus facultades, competencias, funciones o actos de autoridad, de conformidad con las disposiciones jurídicas aplicables; lo que además también se fundamenta en el artículo 7 y 50 de la Ley de Responsabilidades Administrativas del Estado de México y Municipios. Por lo que podemos afirmar y queda claro esa Subdirección y la Jefatura de Relaciones Laborales SI TIENEN LA OBLIGACIÓN de validar que las personas con quienes se llevan a cabo las negociaciones con el sindicato cuenten con la legitimación para llevarlas a cabo, conforme el Manual de Organización General y de conservar la documentación por el tiempo que señala Ley General de Archivos, la Ley de Archivos del Estado de México y Municipios, el Manual de Políticas de Recursos Humanos y los Criterios Técnicos para la Transferencia Primaria de Expedientes Físicos de Asuntos Concluidos a los Archivos de Concentración de las Dependencias y Organismos Auxiliares de la Administración Pública del Estado de México que establece la temporalidad de 6 y 12 años; sin que resulten aplicables disposiciones posteriores, al no encontrarse actualizado el catálogo de disposición documental del ISEM en tema de conservación temporal de la información acorde a su clasificación archivística. De las funciones que constriñen a la Subdirección de Recursos Humanos y al Departamento de Relaciones Laborales se desprende que: “2I7B32100 SUBDIRECCIÓN DE RECURSOS HUMANOS OBJETIVO: Ejecutar, coordinar y controlar el plan estratégico institucional en materia de recursos humanos, los planes operativos que de él se deriven, el sistema de administración y desarrollo de personal, la normatividad laboral y las relaciones de trabajo, que garanticen los derechos de los trabajadores y propicien el ejercicio honesto y eficiente de sus funciones, para contribuir a la consecución de los objetivos del Instituto. FUNCIONES: - (…) - Coordinar y controlar los movimientos e incidencias de personal, así como las constancias de nombramiento y demás documentos que acrediten la situación laboral de los trabajadores. - (…) - Operar y vigilar la correcta aplicación del sistema escalafonario del Instituto, utilizándolo como base para la determinación de ascensos de los trabajadores. - Proporcionar a la representación sindical formalmente reconocida, la información necesaria para el desempeño de sus funciones y gestionar los </w:t>
      </w:r>
      <w:r w:rsidR="00B83592" w:rsidRPr="00514593">
        <w:rPr>
          <w:rFonts w:ascii="Palatino Linotype" w:hAnsi="Palatino Linotype"/>
          <w:i/>
          <w:color w:val="000000"/>
        </w:rPr>
        <w:lastRenderedPageBreak/>
        <w:t>recursos que requieran para tal fin. - (…) - Vigilar el cumplimiento y observancia de las disposiciones legales en materia laboral y atender las peticiones, sugerencias y quejas que formulen los trabajadores y sus representantes sindicales, así co</w:t>
      </w:r>
      <w:r w:rsidRPr="00514593">
        <w:rPr>
          <w:rFonts w:ascii="Palatino Linotype" w:hAnsi="Palatino Linotype"/>
          <w:i/>
          <w:color w:val="000000"/>
          <w:sz w:val="24"/>
          <w:szCs w:val="24"/>
        </w:rPr>
        <w:t xml:space="preserve">.” </w:t>
      </w:r>
      <w:r w:rsidRPr="00514593">
        <w:rPr>
          <w:rFonts w:ascii="Palatino Linotype" w:eastAsia="Times New Roman" w:hAnsi="Palatino Linotype" w:cs="Palatino Linotype"/>
          <w:i/>
          <w:color w:val="000000"/>
          <w:sz w:val="24"/>
          <w:szCs w:val="24"/>
          <w:lang w:val="es-ES_tradnl" w:eastAsia="es-MX"/>
        </w:rPr>
        <w:t>(Sic)</w:t>
      </w:r>
    </w:p>
    <w:p w14:paraId="4FEAA184" w14:textId="77777777" w:rsidR="00530E7A" w:rsidRPr="00514593" w:rsidRDefault="00530E7A" w:rsidP="00530E7A">
      <w:pPr>
        <w:spacing w:after="0" w:line="240" w:lineRule="auto"/>
        <w:ind w:left="567" w:right="567"/>
        <w:contextualSpacing/>
        <w:jc w:val="both"/>
        <w:rPr>
          <w:rFonts w:ascii="Palatino Linotype" w:eastAsia="Times New Roman" w:hAnsi="Palatino Linotype" w:cs="Palatino Linotype"/>
          <w:b/>
          <w:i/>
          <w:color w:val="000000"/>
          <w:lang w:val="es-ES_tradnl" w:eastAsia="es-MX"/>
        </w:rPr>
      </w:pPr>
    </w:p>
    <w:p w14:paraId="77431772" w14:textId="77777777" w:rsidR="00530E7A" w:rsidRPr="00514593" w:rsidRDefault="00530E7A" w:rsidP="00530E7A">
      <w:pPr>
        <w:spacing w:after="0" w:line="240" w:lineRule="auto"/>
        <w:ind w:left="567" w:right="567"/>
        <w:contextualSpacing/>
        <w:jc w:val="both"/>
        <w:rPr>
          <w:rFonts w:ascii="Palatino Linotype" w:eastAsia="Times New Roman" w:hAnsi="Palatino Linotype" w:cs="Palatino Linotype"/>
          <w:b/>
          <w:i/>
          <w:color w:val="000000"/>
          <w:lang w:val="es-ES_tradnl" w:eastAsia="es-MX"/>
        </w:rPr>
      </w:pPr>
    </w:p>
    <w:p w14:paraId="63E77017" w14:textId="77777777" w:rsidR="005E6EBD" w:rsidRPr="00514593" w:rsidRDefault="005E6EBD" w:rsidP="005E6EBD">
      <w:pPr>
        <w:pStyle w:val="Prrafodelista"/>
        <w:numPr>
          <w:ilvl w:val="0"/>
          <w:numId w:val="36"/>
        </w:numPr>
        <w:spacing w:line="240" w:lineRule="auto"/>
        <w:ind w:right="567"/>
        <w:contextualSpacing/>
        <w:rPr>
          <w:rFonts w:cs="Palatino Linotype"/>
          <w:b/>
          <w:i/>
          <w:color w:val="000000"/>
          <w:lang w:val="es-ES_tradnl" w:eastAsia="es-MX"/>
        </w:rPr>
      </w:pPr>
      <w:r w:rsidRPr="00514593">
        <w:rPr>
          <w:rFonts w:cs="Palatino Linotype"/>
          <w:color w:val="000000"/>
          <w:lang w:val="es-ES_tradnl" w:eastAsia="es-MX"/>
        </w:rPr>
        <w:t xml:space="preserve">Para el recurso de revisión </w:t>
      </w:r>
      <w:r w:rsidRPr="00514593">
        <w:rPr>
          <w:rFonts w:cs="Palatino Linotype"/>
          <w:b/>
          <w:color w:val="000000"/>
          <w:lang w:val="es-ES_tradnl" w:eastAsia="es-MX"/>
        </w:rPr>
        <w:t>10662/INFOEM/IP/RR/2025</w:t>
      </w:r>
    </w:p>
    <w:p w14:paraId="40C40FFA" w14:textId="77777777" w:rsidR="005E6EBD" w:rsidRPr="00514593" w:rsidRDefault="005E6EBD" w:rsidP="005E6EBD">
      <w:pPr>
        <w:pStyle w:val="Prrafodelista"/>
        <w:spacing w:line="240" w:lineRule="auto"/>
        <w:ind w:left="720" w:right="567"/>
        <w:contextualSpacing/>
        <w:rPr>
          <w:rFonts w:cs="Palatino Linotype"/>
          <w:b/>
          <w:color w:val="000000"/>
          <w:lang w:val="es-ES_tradnl" w:eastAsia="es-MX"/>
        </w:rPr>
      </w:pPr>
    </w:p>
    <w:p w14:paraId="3CA5B9B2" w14:textId="77777777" w:rsidR="005E6EBD" w:rsidRPr="00514593" w:rsidRDefault="005E6EBD" w:rsidP="005E6EBD">
      <w:pPr>
        <w:pStyle w:val="Prrafodelista"/>
        <w:spacing w:line="240" w:lineRule="auto"/>
        <w:ind w:left="720" w:right="567"/>
        <w:contextualSpacing/>
        <w:rPr>
          <w:rFonts w:cs="Palatino Linotype"/>
          <w:b/>
          <w:color w:val="000000"/>
          <w:lang w:val="es-ES_tradnl" w:eastAsia="es-MX"/>
        </w:rPr>
      </w:pPr>
      <w:r w:rsidRPr="00514593">
        <w:rPr>
          <w:rFonts w:cs="Palatino Linotype"/>
          <w:b/>
          <w:color w:val="000000"/>
          <w:lang w:val="es-ES_tradnl" w:eastAsia="es-MX"/>
        </w:rPr>
        <w:t xml:space="preserve">Acto impugnado </w:t>
      </w:r>
    </w:p>
    <w:p w14:paraId="3CD1AD44" w14:textId="77777777" w:rsidR="005E6EBD" w:rsidRPr="00514593" w:rsidRDefault="005E6EBD" w:rsidP="005E6EBD">
      <w:pPr>
        <w:pStyle w:val="Prrafodelista"/>
        <w:spacing w:line="240" w:lineRule="auto"/>
        <w:ind w:left="720" w:right="567"/>
        <w:contextualSpacing/>
        <w:rPr>
          <w:rFonts w:cs="Palatino Linotype"/>
          <w:b/>
          <w:i/>
          <w:color w:val="000000"/>
          <w:sz w:val="22"/>
          <w:szCs w:val="22"/>
          <w:lang w:val="es-ES_tradnl" w:eastAsia="es-MX"/>
        </w:rPr>
      </w:pPr>
      <w:r w:rsidRPr="00514593">
        <w:rPr>
          <w:i/>
          <w:color w:val="000000"/>
          <w:sz w:val="22"/>
          <w:szCs w:val="22"/>
        </w:rPr>
        <w:t>La resolución emitida en el Sistema de Acceso a la Información Mexiquense (SAIMEX), emitida a través de los oficios Respuesta SAIMEX-1000/2025, de 25 de agosto, firmado por la Lic. Melody Denisse Maciel González, Jefa de la Unidad de Información, Planeación, Programación y Evaluación en el ISEM y Titular de la Unidad de Transparencia y el oficio 208C0101320100L/10580/2025, de fecha 21 de agosto de 2025, signado por la L.D. Elizabeth Cárcamo Sabino, Subdirectora de Recursos Humanos, validado por la Lic. Talía Ofelia Martínez Roque, Jefa de Departamento de Relaciones Laborales y Desarrollo de Personal, así como que lo revisó la Lic. Maritza Planas Arce, Responsable del Área de Conflictos Laborales y Normatividad Laboral.</w:t>
      </w:r>
    </w:p>
    <w:p w14:paraId="52F0EE1B" w14:textId="77777777" w:rsidR="005E6EBD" w:rsidRPr="00514593" w:rsidRDefault="005E6EBD" w:rsidP="00530E7A">
      <w:pPr>
        <w:spacing w:line="360" w:lineRule="auto"/>
        <w:jc w:val="both"/>
        <w:rPr>
          <w:rFonts w:ascii="Palatino Linotype" w:hAnsi="Palatino Linotype" w:cs="Arial"/>
          <w:b/>
          <w:i/>
        </w:rPr>
      </w:pPr>
    </w:p>
    <w:p w14:paraId="7FEB6AEE" w14:textId="77777777" w:rsidR="005E6EBD" w:rsidRPr="00514593" w:rsidRDefault="005E6EBD" w:rsidP="005E6EBD">
      <w:pPr>
        <w:spacing w:line="360" w:lineRule="auto"/>
        <w:ind w:firstLine="708"/>
        <w:jc w:val="both"/>
        <w:rPr>
          <w:rFonts w:ascii="Palatino Linotype" w:hAnsi="Palatino Linotype" w:cs="Arial"/>
          <w:b/>
          <w:sz w:val="28"/>
        </w:rPr>
      </w:pPr>
      <w:r w:rsidRPr="00514593">
        <w:rPr>
          <w:rFonts w:ascii="Palatino Linotype" w:hAnsi="Palatino Linotype" w:cs="Arial"/>
          <w:b/>
          <w:sz w:val="28"/>
        </w:rPr>
        <w:t>Razones o motivos de inconformidad</w:t>
      </w:r>
    </w:p>
    <w:p w14:paraId="05722699" w14:textId="77777777" w:rsidR="005E6EBD" w:rsidRPr="00514593" w:rsidRDefault="005E6EBD" w:rsidP="005E6EBD">
      <w:pPr>
        <w:spacing w:line="360" w:lineRule="auto"/>
        <w:ind w:left="708"/>
        <w:jc w:val="both"/>
        <w:rPr>
          <w:rFonts w:ascii="Palatino Linotype" w:hAnsi="Palatino Linotype" w:cs="Arial"/>
          <w:b/>
          <w:i/>
        </w:rPr>
      </w:pPr>
      <w:r w:rsidRPr="00514593">
        <w:rPr>
          <w:rFonts w:ascii="Palatino Linotype" w:hAnsi="Palatino Linotype"/>
          <w:i/>
          <w:color w:val="000000"/>
        </w:rPr>
        <w:t xml:space="preserve">Toluca de Lerdo, a 6 de septiembre de 2025 ASUNTO: SE INTERPONE RECURSO DE REVISIÓN FOLIO DE SOLICITUD 00417/ISEM/IP/2025 Código para el solicitante: 004172025026154229004 LIC. MELODY DENISSE MACIEL GONZÁLEZ TITULAR DE LA UNIDAD DE TRANSPARENCIA EN EL INSTITUTO DE SALUD DEL ESTADO DE MÉXICO (ISEM) ATENCIÓN: COMITÉ DE TRANSPARENCIA DEL ISEM Con la personalidad con la que me ostento, señalando como correo electrónico para recibir toda clase de documentos e información el: latinusmexico27@gmail.com, con fundamento en los artículos 142, 143 y 144 de la Ley General de Transparencia y Acceso a la Información pública, así como 176, 177, 178, 179, fracciones I, III, IV y XIII de la Ley de Transparencia y Acceso a la Información Pública del Estado de México y Municipios, comparezco en tiempo y forma y de manera respetuosa a presentar el RECURSO DE REVISIÓN en contra de la resolución emitida en el Sistema de </w:t>
      </w:r>
      <w:r w:rsidRPr="00514593">
        <w:rPr>
          <w:rFonts w:ascii="Palatino Linotype" w:hAnsi="Palatino Linotype"/>
          <w:i/>
          <w:color w:val="000000"/>
        </w:rPr>
        <w:lastRenderedPageBreak/>
        <w:t xml:space="preserve">Acceso a la Información Mexiquense (SAIMEX), emitida a través de los oficios Respuesta SAIMEX-1000/2025, de 25 de agosto, firmado por la Lic. Melody Denisse Maciel González, Jefa de la Unidad de Información, Planeación, Programación y Evaluación en el ISEM y Titular de la Unidad de Transparencia y el oficio 208C0101320100L/10580/2025, de fecha 21 de agosto de 2025, signado por la L.D. Elizabeth Cárcamo Sabino, Subdirectora de Recursos Humanos, validado por la Lic. Talía Ofelia Martínez Roque, Jefa de Departamento de Relaciones Laborales y Desarrollo de Personal, así como que lo revisó la Lic. Maritza Planas Arce, Responsable del Área de Conflictos Laborales y Normatividad Laboral. Lo anterior, toda vez que de los escritos de referencia se advierte que las áreas responsables de la Unidad de Transparencia, así como del manejo y conservación de la información y que cuentan con las atribuciones para su resguardo manifiestan en síntesis los siguientes puntos de agravio que violentan los principios constitucionales de congruencia, fundamentación, motivación, debido proceso, el derecho humano a la verdad, así como diversos dispositivos que trasgreden el sistema nacional y estatal anticorrupción, al determinar falsamente que “No es posible atender favorablemente la petición” Por tema de orden, se exponen en dos agravios genéricos de cada uno de los oficios señalados en párrafos previos, dentro de cada uno de ellos se desarrollan pormenorizadamente cada una de las inconsistencias de las respuestas proporcionadas por las autoridades responsables, destacando que los puntos no controvertidos, son porque no deparan agravio a esta recurrente. Es importante destacar, que los oficios reclamados deparan AGRAVIO a esta recurrente por: INEXACTA APLICACIÓN: De los artículos 12 párrafo segundo, 24 último párrafo y 59 fracciones ll y Ill de la Ley de Transparencia y Acceso a la Información Pública del Estado de México y Municipios; del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publicado en el Diario Oficial de la Federación, el 13 de Noviembre de 2023, este Instituto de Salud </w:t>
      </w:r>
      <w:r w:rsidRPr="00514593">
        <w:rPr>
          <w:rFonts w:ascii="Palatino Linotype" w:hAnsi="Palatino Linotype"/>
          <w:i/>
          <w:color w:val="000000"/>
        </w:rPr>
        <w:lastRenderedPageBreak/>
        <w:t xml:space="preserve">del Estado de México se encuentra en el proceso de transición enunciado en dicho Convenio, a 01 de julio del 2024; así como los artículos 804 de la Ley Federal del Trabajo y 220 K de la Ley del Trabajo de los Servidores Públicos del Estado y Municipios. POR INAPLICACIÓN: De los artículos 2I7B32100 SUBDIRECCIÓN DE RECURSOS HUMANOS y 217632102 DEPARTAMENTO DE RELACIONES LABORALES Y DESARROLLO DE PERSONAL, del Manual de Organización General del Instituto de Salud del Estado de México; en relación con los numerales 18, 19, 20, 51 y 53, fracciones IV, XIII y XIV; 222, fracciones XII, XIII, y XIV de la Ley de Transparencia y Acceso a la Información del Estado de México, en relación con el artículo 27 de los “LINEAMIENTOS PARA LA VALORACIÓN, SELECCIÓN Y BAJA DE LOS DOCUMENTOS, EXPEDIENTES Y SERIES DE TRÁMITE CONCLUIDO EN LOS ARCHIVOS DEL ESTADO DE MÉXICO”, publicados en el 29 de mayo de 2015, en la Gaceta del Estado de México; el artículo vigésimo cuarto de los Criterios Técnicos para la Transferencia Primaria de Expedientes Físicos de Asuntos Concluidos a los Archivos de Concentración de las Dependencias y Organismos Auxiliares de la Administración Pública del Estado de México, publicados el 14 de noviembre de 2024 en la Gaceta Oficial del Estado de México; el artículo 3, 4, fracción XIII, 5,6,7 y 32 de la Ley de Archivos y Administración del Estado de México y Municipios; 335 del Código Penal del Estado; 7 y 50, fracción IX de la Ley de Responsabilidades Administrativas del Estado de México y Municipios y se VIOLARON MIS DERECHOS HUMANOS, mi derecho a la verdad, mi derecho a la información, el debido proceso y el principio de legalidad y certeza jurídica que consagran los artículos 1º, 4º, 6º, 14 y 16 de la Constitución Política de los Estados Unidos Mexicanos. PRIMER AGRAVIO En la respuesta contenida en el oficio 208C0101320100L/10580/2025, de fecha 21 de agosto de 2025, signado por la L.D. Elizabeth Cárcamo Sabino, Subdirectora de Recursos Humanos, validado por la Lic. Talía Ofelia Martínez Roque, Jefa de Departamento de Relaciones Laborales y Desarrollo de Personal, así como que lo revisó la Lic. Maritza Planas Arce, Responsable del Área de Conflictos Laborales y Normatividad Laboral, señala literalmente lo siguiente: “(…) de conformidad con los artículos 12 párrafo segundo, </w:t>
      </w:r>
      <w:r w:rsidRPr="00514593">
        <w:rPr>
          <w:rFonts w:ascii="Palatino Linotype" w:hAnsi="Palatino Linotype"/>
          <w:i/>
          <w:color w:val="000000"/>
        </w:rPr>
        <w:lastRenderedPageBreak/>
        <w:t xml:space="preserve">24 último párrafo y 59 fracciones ll y Ill de la Ley de Transparencia y Acceso a la Información Pública del Estado de México y Municipios, comunico que una vez llevada a cabo una búsqueda exhaustiva y razonable en los archivos que obran en esta Subdirección, comunico a usted que no se encontró registro de la C. Honoria Arellano Ocampo, como personal activo en este Instituto de Salud, toda vez que derivado del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publicado en el Diario Oficial de la Federación, el 13 de Noviembre de 2023, este Instituto de Salud del Estado de México se encuentra en el proceso de transición enunciado en dicho Convenio, a partir del 01 de julio del 2024, el cual puede ser consultado en la página de internet: https://www.dof.gob.mx/nota_detalle.php?codigo=5708384&amp;fecha=13/11/2023#gsc.tab=0, así como también con fundamento a lo establecido en el artículo 804 de la Ley Federal del Trabajo y artículo 220 K de la Ley del Trabajo de los Servidores Públicos del Estado y Municipios, mismas que pueden ser consultadas en las páginas siguientes: http://legislacion.edomex.gob.mx/sites/legislacion.edomex.gob.mx/files/files/pdf/ley/vig/leyvig083.pdf/ por lo que no es posible atender favorablemente la petición.” “Cabe mencionar que cada Unidad Aplicativa, es la encargada de la selección, reclutamiento, promoción, designación, administración, coordinación, control de asistencia, incidencias y supervisión del personal que se encuentra a su cargo, contando estas mismas con un Jefe o Encargado de Recursos Humanos, responsable de aplicar la normatividad vigente. Por lo anterior, esta unidad administrativa sólo está obligada a proporcionar la información pública que se le requiera y que obre en sus archivos y en el estado en que ésta se encuentre. La obligación de proporcionar información no comprende el procesamiento de la misma, ni presentarla conforme al interés del solicitante, no estará obligada a generarla, resumirla, efectuar cálculos o practicar investigaciones, por lo que se sugiere sea solicitado al sujeto </w:t>
      </w:r>
      <w:r w:rsidRPr="00514593">
        <w:rPr>
          <w:rFonts w:ascii="Palatino Linotype" w:hAnsi="Palatino Linotype"/>
          <w:i/>
          <w:color w:val="000000"/>
        </w:rPr>
        <w:lastRenderedPageBreak/>
        <w:t xml:space="preserve">obligado correspondiente.” En ese sentido, depara agravio oficio 208C0101320100L/10580/2025, de fecha 21 de agosto de 2025, signado por la L.D. Elizabeth Cárcamo Sabino, Subdirectora de Recursos Humanos, validado por la Lic. Talía Ofelia Martínez Roque, Jefa de Departamento de Relaciones Laborales y Desarrollo de Personal, así como que lo revisó la Lic. Maritza Planas Arce, Responsable del Área de Conflictos Laborales y Normatividad Laboral, por aducir las siguientes razones sustanciales de su infundado y equívoco pronunciamiento, que se irán respondiendo en apartados específicos de la siguiente manera: 1. Causa agravio a esta recurrente la respuesta de “no es posible atender favorablemente su petición” que hacen las autoridades responsables al generalizar y descontextualizar las preguntas, porque su respuesta aduce no contar con información de Honoria Arellano Ocampo al como personal activo del Instituto de Salud, siendo que las preguntas NO se acotaron a esa circunstancia de “personal activo”, esto es violentan en artículo 179, fracciones I, III y VII de la Ley de Transparencia y Acceso a la Información del Estado de México y Municipios, porque no responden lo que se les preguntó individualizadamente, sino que engloban las preguntas que tienen elementos diferenciados, con lo que omiten dar respuesta a lo que se les solicitó. También depara agravio que las autoridades manifiestan que no se encuentran obligadas a contar con información que no obre en sus archivos, pero omiten justificar porqué no cuentan con información a la que se encuentran obligadas conforme sus facultades y la ley, violando los artículos 18, 19, 20, 179, fracciones I, IV y XIII la Ley de Transparencia y Acceso a la Información del Estado de México y Municipios, asociados a los 1, 6, 14 y 16 de la Constitución Política de los Estados Unidos Mexicanos. Es de precisar, que dichas responsables aducen que no tienen obligación de procesar o realizar investigaciones acorde a la petición de transparencia, lo que NO SE SOLICITÓ, NI ES NECESARIO, dado que la información simplemente debería estar en sus archivos, por lo que negarla bajo la argucia de no contar con la obligación, ni tener la información, ni fundar, motivar porqué no se tiene, es contrario a mis garantías a la información, a la verdad, al debido proceso y la función pública porque comenten el delito de ejercicio abusivo de funciones al negar que están obligadas a contar con la información en términos de los artículos “2I7B32100 SUBDIRECCIÓN </w:t>
      </w:r>
      <w:r w:rsidRPr="00514593">
        <w:rPr>
          <w:rFonts w:ascii="Palatino Linotype" w:hAnsi="Palatino Linotype"/>
          <w:i/>
          <w:color w:val="000000"/>
        </w:rPr>
        <w:lastRenderedPageBreak/>
        <w:t xml:space="preserve">DE RECURSOS HUMANOS y 217632102 DEPARTAMENTO DE RELACIONES LABORALES Y DESARROLLO DE PERSONAL, en relación con los numerales 222, fracciones XII, XIII, y XIV de la Ley de Transparencia y Acceso a Información Pública del Estado de México y Municipios; 335 del Código Penal del Estado, al haber declarado la inexistencia de información cuando el sujeto obligado deba generarla, derivado del ejercicio de sus facultades, competencias o funciones; así como no documentar, el ejercicio de sus facultades, competencias, funciones o actos de autoridad, de conformidad con las disposiciones jurídicas aplicables; lo que además también se fundamenta en el artículo 7 y 50 de la Ley de Responsabilidades Administrativas del Estado de México y Municipios. Lo anterior se demuestra, porque las responsables adujeron lo siguiente: ““(…) de conformidad con los artículos 12 párrafo segundo, 24 último párrafo y 59 fracciones ll y Ill de la Ley de Transparencia y Acceso a la Información Pública del Estado de México y Municipios, comunico que una vez llevada a cabo una búsqueda exhaustiva y razonable en los archivos que obran en esta Subdirección, comunico a usted que no se encontró registro de la C. Honoria Arellano Ocampo, como personal activo en este Instituto de Salud. (…) Por lo anterior, esta unidad administrativa sólo está obligada a proporcionar la información pública que se le requiera y que obre en sus archivos y en el estado en que ésta se encuentre. La obligación de proporcionar información no comprende el procesamiento de la misma, ni presentarla conforme al interés del solicitante, no estará obligada a generarla, resumirla, efectuar cálculos o practicar investigaciones, por lo que se sugiere sea solicitado al sujeto obligado correspondiente.” En este punto, es importante destacar que la razón sustancial de las autoridades emisoras se basa en que “no se encontró información en los archivos de esa Subdirección de la C. Honoria Arellano Ocampo como personal activo de ese Instituto de Salud”. Lo que es un verdadero error, porque las preguntas no fueron acotadas a esa circunstancia, pues de su respuesta se desprende: 1) la OMISIÓN EN LA RESPUESTA INDIVIDUALIZADA A TODAS LAS SOLICITUDES; 2) LA TERGIVERSACIÓN DE LAS PREGUNTAS AL RESPONDER QUE SIMPLEMENTE “NO SE ENCONTRÓ REGISTRO”, 3) QUE NO TIENEN LA OBLIGACIÓN DE CONTAR CON </w:t>
      </w:r>
      <w:r w:rsidRPr="00514593">
        <w:rPr>
          <w:rFonts w:ascii="Palatino Linotype" w:hAnsi="Palatino Linotype"/>
          <w:i/>
          <w:color w:val="000000"/>
        </w:rPr>
        <w:lastRenderedPageBreak/>
        <w:t xml:space="preserve">LA INFORMACIÓN, MINTIENDO RESPECTO DE LAS ATRIBUCIONES QUE TIENEN En ese sentido, es oportuno señalar en el siguiente cuadro lo solicitado, contra lo respondido: Solicitud de transparencia Respuesta de autoridad responsable Incongruencia Copia de todos los documentos mediante los cuales Honoria Arellano Ocampo se haya presentado formalmente ante autoridades del ISEM, en representación de los trabajadores durante los ejercicios fiscales 2024 y 2025 “no se encontró registro de la C. Honoria Arellano Ocampo, como personal activo de ese Instituto de Salud”. 1. No se entrega la información; 2. La pregunta NO se acotó a una trabajadora VIGENTE; 3. Se ignora que la pregunta se refiere a la intervención de la C. Honoria EN REPRESENTACIÓN DE LOS TRABAJADORES, DURANTE DOS EJERCICIOS FISCALES QUE INICIAN DEL 1º DE ENERO AL 31 DE DICIEMBRE DE LOS AÑOS 2024 Y 2025. Información que debe constar en los acuerdos institucionales con el sindicato SNTSA y los papeles de trabajo de las Comisiones Mixtas de Escalafón y todas aquéllas en las que interviene la representación sindical, por lo que independientemente de la transición a la que aluden que señalan sucedió a partir del 1º de julio de 2024, esos archivos son parte del acervo archivístico del ISEM y deben existir SIN NECESIDAD DE HACER UNA INVESTIGACIÓN; así como que, tampoco son susceptibles de transferirse y del convenio que invocan NO SE ACREDITA que esos documentos fueran entregados a otra Institución, ni tampoco hayan causado baja documental conforme el marco normativo que les aplica y que pasaron por alto. “…esta unidad administrativa sólo está obligada a proporcionar la información pública que se le requiera y que obre en sus archivos y en el estado en que ésta se encuentre” Información que debe constar en los acuerdos institucionales con el sindicato SNTSA y los papeles de trabajo de las Comisiones Mixtas de Escalafón y todas aquéllas en las que interviene la representación sindical, por lo que independientemente de la transición a la que aluden que señalan sucedió a partir del 1º de julio de 2024, esos archivos son parte del acervo archivístico del ISEM y deben existir SIN NECESIDAD DE HACER UNA INVESTIGACIÓN; así como que, tampoco son susceptibles de transferirse y del convenio que invocan NO SE ACREDITA que esos documentos fueran entregados a otra Institución, ni tampoco </w:t>
      </w:r>
      <w:r w:rsidRPr="00514593">
        <w:rPr>
          <w:rFonts w:ascii="Palatino Linotype" w:hAnsi="Palatino Linotype"/>
          <w:i/>
          <w:color w:val="000000"/>
        </w:rPr>
        <w:lastRenderedPageBreak/>
        <w:t xml:space="preserve">hayan causado baja documental conforme el marco normativo que les aplica y que pasaron por alto. Inaplicaron la normatividad en materia de conservación de archivos y aplicaron equivocadamente legislación laboral relativa a procedimientos contenciosos en esa materia que NO tienen relación con lo solicitado. “La obligación de proporcionar información no comprende el procesamiento de la misma, ni presentarla conforme al interés del solicitante, no estará obligada a generarla, resumirla, efectuar cálculos o practicar investigaciones, por lo que se sugiere sea solicitado al sujeto obligado correspondiente” Para proporcionar la información solicitada y que integra el presente cuadro NO ES NECESARIO PROCESAR, NI REALIZAR NINGUNA INVESTIGACIÓN, sino que, al tratarse de información que tienen la obligación de tener al DOCUMENTAR EL EJERCICIO DE SUS FUNCIONES, independientemente si se trata de un trabajador transferido o no, pues se relaciona con actividades INSTITUCIONALES DE LA SUBDIRECCIÓN DE RECURSOS HUMANOS y no única y particularmente con el expediente laboral de una persona. Además, se “SUGIERE QUE SE SOLICITE AL SUJETO OBLIGADO CORRESPONDIENTE”, de lo que se advierte que podrían referirse al propio sindicato, sin embargo, LAS FACULTADES Y OBLIGACIONES DE ACTUAR BAJO EL MARCO DE SEGURIDAD JURÍDICA QUE IMPLICA LA FUNCIÓN PÚBLICA SON DEL INSTITUTO DE SALUD DEL ESTADO DE MÉXICO, por lo que pretender revertir sus responsabilidades administrativas como servidoras públicas a diverso sujeto obligado no sólo es irresponsable, sino ILEGAL Y VIOLATORIO a todo el marco normativo que en el presente escrito se puntualiza y que documenta las GRAVES OMISIONES cometidas por quienes signaron los oficios base de mi acción. Copia de todas las minutas, actas o documentos similares que acrediten la participación de la C. Honoria Arellano Ocampo en reuniones oficiales de trabajo con personal del ISEM (…) en los ejercicios señalados (2024 y 2025). IDEM IDEM Copia íntegra del expediente de Honoria Arellano Ocampo y se informe si esta persona cuenta con algún registro de notas desfavorables, actas administrativas, de hechos, reportes de incidencias, denuncias, demandas o procedimientos administrativos, penales, civiles o laborales iniciados en su contra dentro del ISEM. “no se encontró registro de la C. Honoria </w:t>
      </w:r>
      <w:r w:rsidRPr="00514593">
        <w:rPr>
          <w:rFonts w:ascii="Palatino Linotype" w:hAnsi="Palatino Linotype"/>
          <w:i/>
          <w:color w:val="000000"/>
        </w:rPr>
        <w:lastRenderedPageBreak/>
        <w:t xml:space="preserve">Arellano Ocampo, como personal activo de ese Instituto de Salud”. La pregunta NO FUE SI ESTABA VIGENTE DICHA TRABAJADORA, sino se requirió su expediente laboral, por lo que negarlo sin justificación que lo funde y motive es violatorio a mi garantías constitucionales y la las leyes en materia de archivos, transparencia y función pública. Se aduce que existió una transferencia institucional desde el 1º de julio de 2024, sin embargo, del convenio de transferencia a que aluden, NO SE DESPRENDE que dicha persona fuera transferida en esa fecha o en ese año a IMSS BIENESTAR, por lo que es INFUNDADO lo que manifiestan. “…esta unidad administrativa sólo está obligada a proporcionar la información pública que se le requiera y que obre en sus archivos y en el estado en que ésta se encuentre” Información que debe constar en los acuerdos institucionales con el sindicato SNTSA y los papeles de trabajo de las Comisiones Mixtas de Escalafón y todas aquéllas en las que interviene la representación sindical, por lo que independientemente de la transición a la que aluden que señalan sucedió a partir del 1º de julio de 2024, esos archivos son parte del acervo archivístico del ISEM y deben existir SIN NECESIDAD DE HACER UNA INVESTIGACIÓN; así como que, tampoco son susceptibles de transferirse y del convenio que invocan NO SE ACREDITA que esos documentos fueran entregados a otra Institución, ni tampoco hayan causado baja documental conforme el marco normativo que les aplica y que pasaron por alto. Inaplicaron la normatividad en materia de conservación de archivos y aplicaron equivocadamente legislación laboral relativa a procedimientos contenciosos en esa materia que NO tienen relación con lo solicitado. Al respecto, la incongruencia en las respuestas respecto de lo solicitado que fue: copia simple de los documentos oficiales que acrediten la participación de la C. Honoria Arellano Ocampo en representación de los trabajadores con el ISEM durante 2024 y 2025, así como su expediente laboral. Información con la que el Instituto debería contar, dado que se tiene la obligación de conservar la información por el periodo total de 12 años acorde con el marco normativo vigente aplicable; sin embargo, la Subdirección de Recursos Humanos, respondió que “no se encontró registro de la C. Honoria Arellano Ocampo, como personal activo en este instituto de Salud”, lo que NO FUE MATERIA DE LA SOLICITUD DE TRANSPARENCIA, toda vez </w:t>
      </w:r>
      <w:r w:rsidRPr="00514593">
        <w:rPr>
          <w:rFonts w:ascii="Palatino Linotype" w:hAnsi="Palatino Linotype"/>
          <w:i/>
          <w:color w:val="000000"/>
        </w:rPr>
        <w:lastRenderedPageBreak/>
        <w:t xml:space="preserve">que las preguntas no se acotaron a una trabajadora únicamente vigente, siendo obligación de esa autoridad conservar la información y en caso de transferencia, igualmente debe de contar con los registros documentales que acrediten por qué no cuenta con información a la que se encuentra obligada acorde con sus facultades y competencias. Dicha obligación se desprende del contenido de los artículos 18,19 y 20 de la Ley de Transparencia y Acceso a la Información Pública del Estado de México y Municipios que señala: “Artículo 18. Los sujetos obligados deberán documentar todo acto que derive del ejercicio de sus facultades, competencias o funciones, considerando desde su origen la eventual publicidad y reutilización de la información que generen. Artículo 19. Se presume que la información debe existir si se refiere a las facultades, competencias y funciones que los ordenamientos jurídicos aplicables otorgan a los sujetos obligados. En los casos en que ciertas facultades, competencias o funciones no se hayan ejercido, se debe motivar la respuesta en función de las causas que motiven tal circunstancia. Si el sujeto obligado, en el ejercicio de sus atribuciones, debía generar, poseer o administrar la información, pero esta no se encuentra, el Comité de transparencia deberá emitir un acuerdo de inexistencia, debidamente fundado y motivado, en el que detalle las razones del porqué no obra en sus archivos. Artículo 20. Ante la negativa del acceso a la información o su inexistencia, el sujeto obligado deberá demostrar que la información solicitada está prevista en alguna de las excepciones contenidas en esta Ley o, en su caso, demostrar que la información no se refiere a alguna de sus facultades, competencias o funciones.” Al respecto la Ley de Archivos y Administración del Estado y Municipios, establece en su artículo 3º que se privilegiará el respeto irrestricto a los derechos humanos y favoreciendo en todo momento LA PROTECCIÓN MÁS AMPLIA A LAS PERSONAS Y AL INTERÉS PÚBLICO, artículo que fue ignorado por la responsable al no proporcionar la información bajo el argumento de no contar con ella, cuando si tiene la obligación de conocer el paradero de un expediente que debería tener en su poder, violando también el artículo 7 de la Ley que dice: “Artículo 7. Los Sujetos Obligados deberán producir, registrar, organizar y conservar los Documentos de Archivo sobre todo acto que derive del ejercicio de sus facultades, competencias o funciones de acuerdo con lo establecido en las </w:t>
      </w:r>
      <w:r w:rsidRPr="00514593">
        <w:rPr>
          <w:rFonts w:ascii="Palatino Linotype" w:hAnsi="Palatino Linotype"/>
          <w:i/>
          <w:color w:val="000000"/>
        </w:rPr>
        <w:lastRenderedPageBreak/>
        <w:t xml:space="preserve">disposiciones jurídicas aplicables.” Lo anterior, se adminicula directamente con la violación al artículo 4 que señala: “Artículo 4. Además de las definiciones previstas en la Ley General, para los efectos de esta Ley se entenderá por: XIII. Baja Documental: A la eliminación de aquella documentación que haya prescrito su vigencia, valores documentales y, en su caso, plazos de conservación; y que no posea valores históricos, de acuerdo con la Ley y las disposiciones jurídicas aplicables; Se dice que se viola este artículo porque la conservación de la documentación pública es obligatoria para el Instituto de Salud del Estado de México como sujeto obligado y cuando no se cuenta con información que debiera tenerse por el ejercicio de sus funciones se debe tener documentada la baja documental y en su caso, la transferencia al archivo de concentración y/o bien a cualquier otra entidad, siempre y cuando se resguarde la información que conforme a la norma debe conservar. Asimismo, en cualquier otra hipótesis que justificara la transferencia de la información o documentación, se deberá FUNDAR Y MOTIVAR, las razones para no contar con información que es parte del acervo de bienes que tiene el Instituto, con independencia del proceso de transferencia a que aluden al hacer una referencia aislada y sin una oración, frase o enunciado congruente que permita comprender qué es lo que quien suscribe quiso decir al aludir a un Convenio de Colaboración interinstitucional con IMSS-Bienestar, sin que de dicho convenio o vínculo electrónico se advierta que el expediente de la C. Honoria Arellano fue transferido a otra Institución, así como que, se solicitó información que debe constar en los acuerdos institucionales con el sindicato SNTSA y los papeles de trabajo de las Comisiones Mixtas de Escalafón y todas aquéllas en las que interviene la representación sindical, por lo que independientemente de la transición a la que aluden que señalan sucedió a partir del 1º de julio de 2024, esos archivos son parte del acervo archivístico del ISEM y deben existir SIN NECESIDAD DE HACER UNA INVESTIGACIÓN; así como que, tampoco son susceptibles de transferirse y del convenio que invocan NO SE ACREDITA que esos documentos fueran entregados a otra Institución, ni tampoco hayan causado baja documental conforme el marco normativo que les aplica y que pasaron por alto, por lo que deparan agravio a esta recurrente porque inaplicaron la normatividad en materia de conservación </w:t>
      </w:r>
      <w:r w:rsidRPr="00514593">
        <w:rPr>
          <w:rFonts w:ascii="Palatino Linotype" w:hAnsi="Palatino Linotype"/>
          <w:i/>
          <w:color w:val="000000"/>
        </w:rPr>
        <w:lastRenderedPageBreak/>
        <w:t xml:space="preserve">de archivos y aplicaron equivocadamente legislación laboral relativa a procedimientos contenciosos en esa materia que NO tienen relación con lo solicitado y tampoco se proporcionó el fundamento legal que permita al Instituto de Salud del Estado de México, violar el marco normativo Institucional y presuntamente ocultar información pública, perderla o transferir un expediente sin conservar el respaldo o bien, el documento que garantice y acredite por qué no se cuenta con la información solicitada, pues ello es contrario al contenido de los artículos 18, 19 y 20 de la Ley de Transparencia y Acceso a la Información Pública del Estado de México y Municipios. Se estima que la Subdirección de Recursos Humanos a través de las personas que firmaron el oficio que nos ocupa, violentan también el artículo 6 de la Ley de Archivos y Administración del Estado de México, al NEGAR EL DERECHO A LA VERDAD, porque dicho sujeto obligado debería garantizar la organización, conservación y preservación de los Archivos con el objeto de respetar el derecho a la verdad y el acceso a la información contenida en los Archivos, así como fomentar el conocimiento del Patrimonio Documental del Estado de México y Municipios “Artículo 6. Toda la información contenida en los Documentos de Archivo producidos, obtenidos, adquiridos, transformados o en posesión de los Sujetos Obligados, será pública y accesible a cualquier persona en los términos y condiciones que establece la legislación en materia de transparencia y acceso a la información pública y de protección de datos personales. Los Sujetos Obligados deberán garantizar la organización, conservación y preservación de los Archivos con el objeto de respetar el derecho a la verdad y el acceso a la información contenida en los Archivos, así como fomentar el conocimiento del Patrimonio Documental del Estado de México y Municipios.” El Instituto de Salud del Estado de México, debe conservar el acervo histórico que documenta el ejercicio de sus funciones PREVIO a la realización de la supuesta transferencia o bien, de ser el caso, la realización de la baja documental de los expedientes, porque con la respuesta dada por la Subdirección de Recursos Humanos, se acredita la violación a todos los principios que consagra tanto la Ley de Archivos y Administración del Estado de México y Municipios, como la Ley General de Archivos y la Constitución Política del Estado Libre y Soberano de México, conforme lo establece el artículo 3º y </w:t>
      </w:r>
      <w:r w:rsidRPr="00514593">
        <w:rPr>
          <w:rFonts w:ascii="Palatino Linotype" w:hAnsi="Palatino Linotype"/>
          <w:i/>
          <w:color w:val="000000"/>
        </w:rPr>
        <w:lastRenderedPageBreak/>
        <w:t xml:space="preserve">5º que señalan: Ley de Archivos y Administración del Estado de México y Municipios Artículo 3. La aplicación e interpretación de esta Ley se hará acorde a la Ley General de Archivos y a la Constitución Política del Estado Libre y Soberano de México, privilegiando el respeto irrestricto a los derechos humanos y favoreciendo en todo tiempo la protección más amplia a las personas y al interés público. A falta de disposición expresa en la presente Ley, se aplicarán de manera supletoria la Ley de Responsabilidades Administrativas del Estado de México, el Código de Procedimientos Administrativos del Estado de México y el Código de Procedimientos Civiles del Estado de México. La interpretación de esta Ley corresponde al Consejo Estatal de Archivos y Administración de Documentos. Artículo 5. Los Sujetos Obligados que refiere esta Ley se regirán por los siguientes principios: I. Conservación: Adoptar las medidas de índole técnica, administrativa, ambiental y tecnológica, para la adecuada preservación de los Documentos de Archivo; II. Procedencia: Conservar el origen de cada Fondo Documental producido por los Sujetos Obligados, para distinguirlo de otros fondos semejantes y respetar el orden interno de las Series documentales en el desarrollo de su actividad institucional; III. Integridad: Garantizar que los Documentos de Archivo sean completos y veraces para reflejar con exactitud la información contenida; IV. Disponibilidad: Adoptar medidas pertinentes para la localización expedita de los Documentos de Archivo, y V. Accesibilidad: Garantizar el acceso a la consulta de los Archivos de acuerdo con esta Ley y las disposiciones jurídicas aplicables. Ahora bien, el artículo 7º de la Ley en comento, señala la obligación de conservar y respetar el principio de accesibilidad para garantizar la consulta de los documentos de archivo sobre TODO ACTO QUE DERIVE DEL EJERCICIO DE SUS FACULTADES, mismas que establecen lo siguiente: “2I7B32100 SUBDIRECCIÓN DE RECURSOS HUMANOS OBJETIVO: Ejecutar, coordinar y controlar el plan estratégico institucional en materia de recursos humanos, los planes operativos que de él se deriven, el sistema de administración y desarrollo de personal, la normatividad laboral y las relaciones de trabajo, que garanticen los derechos de los trabajadores y propicien el ejercicio honesto y eficiente de sus funciones, para contribuir a la consecución de los objetivos del Instituto. FUNCIONES: - Elaborar </w:t>
      </w:r>
      <w:r w:rsidRPr="00514593">
        <w:rPr>
          <w:rFonts w:ascii="Palatino Linotype" w:hAnsi="Palatino Linotype"/>
          <w:i/>
          <w:color w:val="000000"/>
        </w:rPr>
        <w:lastRenderedPageBreak/>
        <w:t xml:space="preserve">y expedir los nombramientos del personal de mandos medios y superiores, autorizados por el Director General. - Coordinar y controlar los movimientos e incidencias de personal, así como las constancias de nombramiento y demás documentos que acrediten la situación laboral de los trabajadores. - Establecer, difundir y aplicar las normas, criterios y procedimientos en materia de reclutamiento, selección e inducción de personal, así como definir los lineamientos de la estructura ocupacional de las unidades administrativas del Instituto y vigilar su cumplimiento. - Planear, programar y coordinar la administración y desarrollo de personal del Instituto, así como establecer los sistemas para su evaluación, en coordinación con las unidades aplicativas que conforman el Instituto. - Participar en la elaboración del programa presupuesto anual del Instituto, en lo referente a servicios personales. - Operar el sistema de remuneraciones y de política salarial para el personal del Instituto, así como difundir y supervisar la aplicación de las normas y lineamientos que, en la materia, emitan las dependencias competentes. - Vigilar la aplicación del catálogo sectorial de puestos de la Secretaría de Salud autorizado y proponer modificaciones para mantenerlo actualizado. - Administrar, promover y coordinar los sistemas de premios, estímulos y recompensas; así como proporcionar a los trabajadores los beneficios y prestaciones económicas y sociales que establezcan las disposiciones aplicables. - Elaborar y revisar, en coordinación con la Unidad de Asuntos Jurídicos y en el marco del Acuerdo para la Descentralización Integral de los Servicios de Salud en el Estado de México, las Condiciones Generales de Trabajo y demás normas laborales internas del Instituto, así como difundirlas entre el personal y vigilar su observancia, en coordinación con las unidades médicas y administrativas que conforman el organismo. - Participar en los comités y comisiones que se creen en materia laboral y de capacitación; así como coordinar y operar el programa de capacitación administrativo. Cuantificar, costear y validar, en su caso, los programas de reclasificación y requerimientos de recursos humanos que demanden las unidades que conforman el Instituto, en coordinación con las demás instancias competentes. - Colaborar en el establecimiento y operación del Sistema Institucional de Capacitación y Desarrollo del personal del Instituto, haciéndose responsable de la dirección y manejo de su componente técnico </w:t>
      </w:r>
      <w:r w:rsidRPr="00514593">
        <w:rPr>
          <w:rFonts w:ascii="Palatino Linotype" w:hAnsi="Palatino Linotype"/>
          <w:i/>
          <w:color w:val="000000"/>
        </w:rPr>
        <w:lastRenderedPageBreak/>
        <w:t xml:space="preserve">administrativo, con base en las necesidades de las diferentes unidades que conforman el organismo. - Operar y vigilar la correcta aplicación del sistema escalafonario del Instituto, utilizándolo como base para la determinación de ascensos de los trabajadores. - Proporcionar a la representación sindical formalmente reconocida, la información necesaria para el desempeño de sus funciones y gestionar los recursos que requieran para tal fin. - Integrar y difundir el programa anual de vacaciones para el personal del Instituto, de conformidad con las Condiciones Generales de Trabajo y de la normatividad aplicable. - Proporcionar la información necesaria que le requiera la Unidad de Modernización Administrativa, con el propósito de instrumentar los proyectos de modernización administrativa en el Instituto. - Coadyuvar en la elaboración, así como difundir y vigilar la aplicación de los manuales administrativos de su área de responsabilidad. - Vigilar el cumplimiento y observancia de las disposiciones legales en materia laboral y atender las peticiones, sugerencias y quejas que formulen los trabajadores y sus representantes sindicales, así como mediar administrativamente los conflictos internos que se susciten por violación a las Condiciones Generales de Trabajo y demás disposiciones jurídicas y administrativas que rigen a los servidores públicos e imponer, en su caso, las medidas disciplinarias que correspondan. - Desarrollar las demás funciones inherentes al área de su competencia.” “217632102 DEPARTAMENTO DE RELACIONES LABORALES Y DESARROLLO DE PERSONAL. OBJETIVO: Integrar, ejecutar, coordinar, controlar y evaluar las acciones inherentes a las relaciones laborales entre los trabajadores del Instituto y el Sindicato, relativas al otorgamiento de los derechos, servicios y prestaciones establecidos en el cumplimiento de la legislación laboral y el desempeño y desarrollo del personal adscrito al organismo. FUNCIONES: - Asesorar y difundir la normatividad referente al reclutamiento, selección, inducción y capacitación del personal, entre las unidades que conforman el Instituto. - Gestionar las transferencias de plazas, dentro y fuera de la entidad, de conformidad con la planeación del personal. - Difundir y coordinar los programas de premios, estímulos y recompensas y el programa nacional de antigüedad en el servicio, conjuntamente con la Secretaría de Salud Federal y de conformidad con la normatividad aplicable. - Coordinar la contratación de </w:t>
      </w:r>
      <w:r w:rsidRPr="00514593">
        <w:rPr>
          <w:rFonts w:ascii="Palatino Linotype" w:hAnsi="Palatino Linotype"/>
          <w:i/>
          <w:color w:val="000000"/>
        </w:rPr>
        <w:lastRenderedPageBreak/>
        <w:t xml:space="preserve">candidatos al ingresar al Instituto en la bolsa de trabajo. - Evaluar y seleccionar a los aspirantes que reúnan los requisitos estipulados, de acuerdo a los lineamientos, procedimientos y controles para la selección de personal en el Instituto. - Gestionar y coordinar la expedición de constancias de no inhabilitación, ante la Secretaría de la Contraloría para el personal de nuevo ingreso. Verificar las compatibilidades de empleo para su autorización y/o certificación. - Verificar las compatibilidades de empleo para su autorización y/o certificación. - Instrumentar y coordinar las acciones de inducción institucional e introducción al puesto, para el personal de nuevo ingreso, de conformidad a lo normado - Instrumentar y coordinar las actividades de capacitación para el desempeño y desarrollo de los recursos humanos del área administrativa, con una visión de largo plazo y atendiendo a la normatividad vigente. - Apoyar, instrumentar y coordinar la capacitación basada en competencias y la certificación de habilidades, en apoyo a los programas institucionales de calidad, de conformidad a lo normado. - Instrumentar y coordinar las actividades de capacitación para el desempeño y desarrollo de los recursos humanos del área administrativa, atendiendo a la normatividad vigente. - Participar y apoyar las reuniones ordinarias y extraordinarias de la Comisión Mixta de Capacitación, según lo establecido por el Comité Interno de Capacitación y la normatividad vigente. - Coordinar y supervisar el otorgamiento de licencias y comisiones sin sueldo por ocupar puesto de confianza. - Coordinar y controlar el otorgamiento de licencias con y sin goce de sueldo para disfrutar de una beca o cursar una residencia médica, comisiones sindicales, comisiones oficiales, comisiones externas y comisiones por disminución de facultades. - Coordinar y supervisar el otorgamiento de licencias para atender asuntos particulares con y sin goce de sueldo. - Coordinar y supervisar el otorgamiento de cambios de adscripción, permutas, transferencias, reubicaciones y jornadas especiales que soliciten los trabajadores de las unidades administrativas y las oficinas centrales. - Coordinar y supervisar las promociones, disminuciones y ascensos de que sean objeto los trabajadores, para que se cumplan las normas, políticas y procedimientos vigentes. - Analizar e interpretar, para su aplicación, la normatividad y acciones que de ella se deriven, en materia de relaciones laborales. - Asesorar y apoyar la aplicación de las Condiciones Generales de </w:t>
      </w:r>
      <w:r w:rsidRPr="00514593">
        <w:rPr>
          <w:rFonts w:ascii="Palatino Linotype" w:hAnsi="Palatino Linotype"/>
          <w:i/>
          <w:color w:val="000000"/>
        </w:rPr>
        <w:lastRenderedPageBreak/>
        <w:t xml:space="preserve">Trabajo de la Secretaría de Salud Federal. - Difundir el programa anual de vacaciones escalonadas conforme a la normatividad aplicable. - Coordinar y apoyar las reuniones ordinarias y extraordinarias de las comisiones mixtas de escalafón y seguridad e higiene en el trabajo. - Participar en las acciones encaminadas a mantener relaciones con las instancias necesarias, tanto al interior como al exterior del Instituto, para concertar y realizar convenios que favorezcan la armonía en las relaciones de trabajo y la productividad. - Coadyuvar en la elaboración y el levantamiento de actas administrativas en materia laboral, de la aplicación de sanciones y de las solicitudes de reconsideración para apoyar su trámite en el ámbito de las atribuciones del departamento. - Coadyuvar en la reinstalación de los trabajadores en plazas respectivas y en su lugar de adscripción, en cumplimiento a los laudos ejecutoriados condenatorios en contra del Instituto, así como tramitar el pago de indemnizaciones y salarios caídos que de ellos se deriven. - Participar en el análisis y atención de los diversos pliegos petitorios que presenten las Secciones Sindicales del SNTSA ante el Instituto. - Analizar, determinar e interpretar la normatividad que resulte aplicable para resolver controversias en materia laboral entre el Instituto, los trabajadores y su representación sindical. - Verificar las marchas y manifestaciones de los trabajadores encabezados por sus líderes sindicales. - Coordinar el análisis, implementación, operación y control de proyectos y programas especiales que se asignen al Departamento de Relaciones Laborales y Desarrollo de Personal, de conformidad con la normatividad y lineamientos aplicables. - Coordinar la elaboración y gestión de hojas de servicio y constancias de reconocimiento de antigüedad. - Coordinar, cuando así se requiera y a petición de parte, la elaboración de evoluciones salariales para los trabajadores pensionados del Instituto. - Apoyar y orientar al personal del Instituto, en los trámites de jubilación y pensión, cuando así lo soliciten. - Coordinar la tramitación y gestión del seguro institucional, potencialización del seguro institucional y seguro de retiro, para los trabajadores del lnstituto. - Coordinar la tramitación y gestión del seguro de gastos médicos mayores, seguro de separación individualizado y potencialización del seguro institucional para el personal de mandos medios y superiores del Instituto. - Tramitar y gestionar el seguro de </w:t>
      </w:r>
      <w:r w:rsidRPr="00514593">
        <w:rPr>
          <w:rFonts w:ascii="Palatino Linotype" w:hAnsi="Palatino Linotype"/>
          <w:i/>
          <w:color w:val="000000"/>
        </w:rPr>
        <w:lastRenderedPageBreak/>
        <w:t xml:space="preserve">responsabilidad profesional, para los trabajadores del Instituto que tengan derecho a este beneficio, de conformidad con la normatividad aplicable. - Coadyuvar en la coordinación y vigilancia de la operación de los seguros opcionales que contraten los trabajadores del Instituto. - Coordinar y apoyar la tramitación y gestión ante el ISSSTE de préstamos a corto y mediano plazo, complementarios, hipotecarios y los demás que otorgue esta institución para los trabajadores del Instituto. - Elaborar las credenciales de identificación oficial de los trabajadores del Instituto, incluyendo mandos medios y superiores. - Coordinar la elaboración y trámite de filiaciones ante el ISSSTE para el personal de nuevo ingreso de las áreas del Instituto. - Coordinar los trámites para el pago de marcha a favor de los beneficiarios de los trabajadores del Instituto. - Coordinar la integración, actualización, archivo y resguardo de los expedientes personales de los trabajadores del Instituto. - Coordinar la operación de los programas especiales de reconocimiento de antigüedad (subsidio) y retiro voluntario, conforme a la normatividad que n su oportunidad establezca la Secretaría de Salud Federal y la Secretaría de Hacienda y Crédito Público. - Gestionar ante el ISSSTE el reconocimiento de antigüedad de los trabajadores estatales, incorporados al régimen voluntario. - Recopilar y coordinar el censo anual sobre el uso de guarderías por las madres trabajadoras que laboran en el Instituto. - Supervisar y vigilar el cumplimiento de la normatividad en materia de escalafón y seguridad e higiene en el trabajo y coordinarse para tal efecto con la comisión mixta respectiva. - Supervisar la aplicación de normas y procedimientos para dictaminar la situación laboral en caso de conflictos individuales o locales, que tengan los trabajadores del Instituto. - Supervisar y vigilar el cumplimiento de los programas de apoyo por día de reyes, día de las madres, convivencia infantil, día del trabajador y demás festividades. - Desarrollar las demás funciones inherentes al área de su competencia. De las anteriores funciones, se acredita fehacientemente la correlación que existe en la Ley General de Archivos y la Ley de Archivos y Administración del Estado de México con la obligación de la Subdirección de Recursos Humanos y el Departamento de Relaciones Laborales de Integrar, ejecutar, coordinar, controlar y evaluar las acciones inherentes a las relaciones laborales entre los trabajadores del Instituto y el Sindicato, </w:t>
      </w:r>
      <w:r w:rsidRPr="00514593">
        <w:rPr>
          <w:rFonts w:ascii="Palatino Linotype" w:hAnsi="Palatino Linotype"/>
          <w:i/>
          <w:color w:val="000000"/>
        </w:rPr>
        <w:lastRenderedPageBreak/>
        <w:t xml:space="preserve">relativas al otorgamiento de los derechos, servicios y prestaciones establecidos en el cumplimiento de la legislación laboral y el desempeño y desarrollo del personal adscrito al organismo, entre las que se encuentra la de resguardar, conservar y transferir los archivos generados y asociados con el cumplimiento de sus funciones, por lo que, SI TIENEN LA OBLIGACION DE CONTAR CON TODA LA INFORMACIÓN Y DOCUMENTACIÓN SOLICITADA, porque el propio manual señala que es obligación del Departamento de Relaciones Laborales “Coordinar y apoyar las reuniones ordinarias y extraordinarias de las comisiones mixtas de escalafón y seguridad e higiene en el trabajo; participar en las acciones encaminadas a mantener relaciones con las instancias necesarias, tanto al interior como al exterior del Instituto, para concertar y realizar convenios que favorezcan la armonía en las relaciones de trabajo y la productividad; participar en el análisis y atención de los diversos pliegos petitorios que presenten las Secciones Sindicales del SNTSA ante el Instituto; analizar, determinar e interpretar la normatividad que resulte aplicable para resolver controversias en materia laboral entre el Instituto, los trabajadores y su representación sindical; verificar las marchas y manifestaciones de los trabajadores encabezados por sus líderes sindicales; supervisar y vigilar el cumplimiento de la normatividad en materia de escalafón y seguridad e higiene en el trabajo y coordinarse para tal efecto con la comisión mixta respectiva; supervisar la aplicación de normas y procedimientos para dictaminar la situación laboral en caso de conflictos individuales o locales, que tengan los trabajadores del Instituto y coordinar la integración, actualización, archivo y resguardo de los expedientes personales de los trabajadores del Instituto.” De las anteriores funciones sí se desprende la obligación del Instituto de tener documentadas las actividades de interacción relacionadas con el Sindicato Nacional de Trabajadores de la Secretaría de Salud, entre las que se encuentra la celebración, coordinación, vigilancia, seguimiento de las labores desarrolladas para la celebración de las diversas Comisiones de Escalafón que se celebren y que tienen que ver con la asignación de espacios laborales y ascensos de trabajadores, por lo tanto NO ES UNA FUNCIÓN QUE PUEDAN REVERTIRLE ACREDITAR A UN SINDICATO, SINO QUE, COMO SERVIDORAS PÚBLICAS DEBEN DOCUMENTAR TODO LO </w:t>
      </w:r>
      <w:r w:rsidRPr="00514593">
        <w:rPr>
          <w:rFonts w:ascii="Palatino Linotype" w:hAnsi="Palatino Linotype"/>
          <w:i/>
          <w:color w:val="000000"/>
        </w:rPr>
        <w:lastRenderedPageBreak/>
        <w:t xml:space="preserve">REALIZADO EN EJERCICIO DE SUS FUNCIONES, asimismo, tienen la obligación de tener la información ÍNTEGRA, DISPONIBLE, ACCESIBLE Y DE GARANTIZAR SU CONSERVACIÓN, en términos del artículo 5 de la Ley de Archivos y Administración del Estado de México y Municipios y 18, 19 y 20 de la Ley de Transparencia y Acceso a la Información Pública del Estado de México y Municipios. Y también en los términos del marco normativo institucional en materia ARCHIVÍSTICA, y NO con fundamento en la Ley Federal del Trabajo y la Ley del Trabajo de los Servidores Públicos del Estado y Municipios, esto es porque las solicitudes de transparencia NO se tratan del ofrecimiento probatorio dentro de un procedimiento laboral, como equívocamente fundan, lo que se tratará más adelante. En ese sentido, se insiste en que también deparan agravio las manifestaciones de las autoridades responsables al señalar: “Cabe mencionar que cada Unidad Aplicativa, es la encargada de la selección, reclutamiento, promoción, designación, administración, coordinación, control de asistencia, incidencias y supervisión del personal que se encuentra a su cargo, contando estas mismas con un Jefe o Encargado de Recursos Humanos, responsable de aplicar la normatividad vigente. Por lo anterior, esta unidad administrativa sólo está obligada a proporcionar la información pública que se le requiera y que obre en sus archivos y en el estado en que ésta se encuentre. La obligación de proporcionar información no comprende el procesamiento de la misma, ni presentarla conforme al interés del solicitante, no estará obligada a generarla, resumirla, efectuar cálculos o practicar investigaciones, por lo que se sugiere sea solicitado al sujeto obligado correspondiente.” Contrario a las manifestaciones vertidas por la Unidad Aplicativa, suponemos se refiere a la Subdirección de Recursos Humanos que cuentan con sus Departamentos, tienen la obligación de proporcionar la información que obre en sus archivos, en caso de que debiera contar con dicha información acorde con sus facultades y NO SE TENGA, tendrá que fundar y motivar, esto es justificar, demostrar con documentos y soporte en la ley o normatividad que le aplique a ese Instituto las razones de excepción por las cuales no se tenga, para lo que, el Comité de Transparencia deberá emitir un acuerdo que así lo pretendiera justificar, lo que atendiendo a la naturaleza de la información que se solicitó resultaría IMPROCEDENTE, porque </w:t>
      </w:r>
      <w:r w:rsidRPr="00514593">
        <w:rPr>
          <w:rFonts w:ascii="Palatino Linotype" w:hAnsi="Palatino Linotype"/>
          <w:i/>
          <w:color w:val="000000"/>
        </w:rPr>
        <w:lastRenderedPageBreak/>
        <w:t xml:space="preserve">son documentos que debieran obrar en los archivos de esa Unidad Aplicativa, pero como se mencionó la Subdirección de Recursos Humanos y su Departamento de Relaciones Laborales sí tienen las funciones de contar con los expedientes del personal, conservarlos por la temporalidad que establece el marco normativo en materia archivística, NO LABORAL (tema en el que se ahonda más adelante), así como cumplir con las obligaciones de transparencia, rendición de cuentas y del servicio público, que al parecer, las autoridades responsables desconocen que deben cumplirlas también. 2. Se depara agravio la firmación de las responsables en el sentido de: “… toda vez que derivado del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publicado en el Diario Oficial de la Federación, el 13 de Noviembre de 2023, este Instituto de Salud del Estado de México se encuentra en el proceso de transición enunciado en dicho Convenio, a 01 de julio del 2024, el cual puede ser consultado en la página de internet…” Incongruentemente, sin ninguna explicación que funde y motive la idea que se pretendió exponer por parte de las autoridades responsables que firman el oficio, al invocar un instrumento jurídico sin aparente vínculo con la información que se solicitó, dado que ni siquiera se comprende, ni tiene sentido, ni es comprensible a cualquier persona, al señalar lo transcrito en el párrafo anterior, porque no tiene congruencia con nada de lo que se menciona en el documento. Asimismo, en cualquier otra hipótesis que justificara la transferencia de la información o documentación, se deberá FUNDAR Y MOTIVAR, las razones para no contar con información que es parte del acervo de bienes que tiene el Instituto, con independencia del proceso de transferencia a que aluden al hacer una referencia aislada y sin una oración, frase o enunciado congruente que permita comprender qué es lo que quien suscribe quiso decir al aludir a un Convenio de Colaboración interinstitucional con IMSS-Bienestar, sin que de dicho convenio o vínculo electrónico se advierta que el expediente y la información de las minutas, papeles de trabajo y </w:t>
      </w:r>
      <w:r w:rsidRPr="00514593">
        <w:rPr>
          <w:rFonts w:ascii="Palatino Linotype" w:hAnsi="Palatino Linotype"/>
          <w:i/>
          <w:color w:val="000000"/>
        </w:rPr>
        <w:lastRenderedPageBreak/>
        <w:t xml:space="preserve">convenios institucionales entre el Instituto y la representación sindical ejercida por la C. Honoria Arellano fueran transferidos a otra Institución, lo que, aún habiéndolo hecho NO TENDRÍA SUSTENTO JURÍDICO, porque las actividades que documentan dichas actividades SI TIENEN IMPACTO EN EL EJERCICIO DEL PRESUPUESTO EJERCIDO EN LOS EJERCICIOS 2024 Y 2025 por parte del ISEM, por lo que no pueden excusarse de la obligación de contar con la información solicitada bajo las falacias manifestadas por las funcionarias que signan los oficios que se impugnan por esta vía y que lo único que documentan es el DOLO QUE EXISTE AL NEGAR DELIBERADAMENTE INFORMACIÓN PÚBLICA CUYA PROPIEDAD NO ES DE LAS PERSONAS QUE EJERCEN LOS CARGOS, SINO DEL INSTITUTO Y DEL PUBLO DE MÉXICO; así como que, tampoco se proporcionó el fundamento legal que permita al Instituto de Salud del Estado de México, violar el marco normativo Institucional y presuntamente perder o transferir información sin contar o conservar el respaldo o bien, el documento que garantice y acredite por qué no se cuenta con la información solicitada. La temporalidad para la conservación de la documentación e información que debe atenderse se encuentra contemplada en el artículo vigésimo cuarto de los Criterios Técnicos para la Transferencia Primaria de Expedientes Físicos de Asuntos Concluidos a los Archivos de Concentración de las Dependencias y Organismos Auxiliares de la Administración Pública del Estado de México, publicados el 14 de noviembre de 2024 en la Gaceta Oficial del Estado de México, que señala: “Vigésimo cuarto. Las personas responsables de los Archivos de Trámite de las Dependencias y Organismos conservarán los Inventarios en su acervo documental por un periodo mínimo de doce años contado a partir de la fecha de la transferencia primaria. Las personas responsables de los Archivos de Concentración conservarán los Inventarios en su acervo documental hasta que se realice la transferencia de los expedientes al Archivo Histórico o se proceda a su baja, conforme a lo señalado en el Catálogo y la normatividad en la materia.” Asimismo, existen los “LINEAMIENTOS PARA LA VALORACIÓN, SELECCIÓN Y BAJA DE LOS DOCUMENTOS, EXPEDIENTES Y SERIES DE TRÁMITE CONCLUIDO EN LOS ARCHIVOS DEL ESTADO DE MÉXICO”, publicados </w:t>
      </w:r>
      <w:r w:rsidRPr="00514593">
        <w:rPr>
          <w:rFonts w:ascii="Palatino Linotype" w:hAnsi="Palatino Linotype"/>
          <w:i/>
          <w:color w:val="000000"/>
        </w:rPr>
        <w:lastRenderedPageBreak/>
        <w:t xml:space="preserve">en el 29 de mayo de 2015, en la Gaceta del Estado de México, que en su artículo 27 establece lo siguiente: “Artículo 27.- Las Unidades Administrativas al realizar la transferencia de los expedientes de trámite concluido, señalarán en el Inventario correspondiente los plazos de conservación precaucional de estos en el Archivo de Concentración. Para determinar el plazo de conservación precaucional deberán considerar el marco legal o administrativo bajo el cual se produjeron o recibieron los documentos y los siguientes períodos: I. 6 años para expedientes con información administrativa; II. 6 años como mínimo para expedientes con información fiscal y presupuestal contable; III. 12 años como mínimo para expedientes con información jurídico-legal, obra pública y activo fijo; y IV. Cuando en la legislación se establezcan períodos de conservación mayores a los señalados en las fracciones I, II y III, se considerarán los estipulados en dicha legislación para efectos de realización del proceso de selección final. V. Cuando las Unidades Administrativas no indiquen el plazo de conservación precaucional de sus expedientes en el Inventario correspondiente, los Archivos de Concentración podrán rechazar la transferencia de los expedientes. De los anteriores artículos, se establecen los periodos de conservación de la información a que están obligadas las unidades administrativas, sin que exista otro ordenamiento legal que disponga que los archivos de la Subdirección de Recursos Humanos se pueden destruir, transferir o conservar en términos distintos. Asimismo, es de señalar que el Cuadro General de Clasificación Archivística del Instituto de Salud del Estado de México (ISEM) publicado la normateca del Instituto en agosto de 2023, NO incluye dentro de sus preceptos la vigencia para la conservación de los expedientes que derogue o modifique a los “LINEAMIENTOS PARA LA VALORACIÓN, SELECCIÓN Y BAJA DE LOS DOCUMENTOS, EXPEDIENTES Y SERIES DE TRÁMITE CONCLUIDO EN LOS ARCHIVOS DEL ESTADO DE MÉXICO” así como tampoco afecta la vigencia y aplicabilidad del artículo vigésimo cuarto de los Criterios Técnicos para la Transferencia Primaria de Expedientes Físicos de Asuntos Concluidos a los Archivos de Concentración de las Dependencias y Organismos Auxiliares de la Administración Pública del Estado de México, publicados el 14 de noviembre de 2024 en la Gaceta Oficial del Estado de México; de lo que podemos </w:t>
      </w:r>
      <w:r w:rsidRPr="00514593">
        <w:rPr>
          <w:rFonts w:ascii="Palatino Linotype" w:hAnsi="Palatino Linotype"/>
          <w:i/>
          <w:color w:val="000000"/>
        </w:rPr>
        <w:lastRenderedPageBreak/>
        <w:t xml:space="preserve">afirmar que el periodo de conservación de la información solicitada al Instituto debió ser por lo menos de 12 AÑOS. En esta línea de pensamiento, al parecer, la autoridad responsable que emite la respuesta de transparencia ignora que todo lo que afirma debe de probarlo, sin que de sus afirmaciones se desprenda elemento probatorio alguno que acredite la veracidad de lo que afirman, máxime que negaron atribuciones que, si tienen, lo que me permite tener la presunción de NEGLIGENCIA, CORRUPCIÓN Y ABUSO DE ATRIBUCIONES. De lo anteriormente expuesto, no tiene sustento legal la Subdirección de Recursos Humanos para afirmar que no cuenta con obligación de conservar la información solicitada, ya que tanto por ejercicio de sus atribuciones, como por la temporalidad que se señala, SI TIENE LA OBLIGACIÓN DE PROPORCIONAR LO QUE SE LE SOLICITÓ y negar la existencia de sus atribuciones, así como negar la información viola la Constitución Federal, la del Estado de México, el DERECHO A LA VERDAD, comete infracciones administrativas y el delito de ABUSO DE FUNCIONES. En ese sentido, se solicita a ese H. Comité de Transparencia, REVOCAR EN TODAS SUS PARTES el oficio de NO INFORMACIÓN, y ordenar a las autoridades responsables entregar la información solicitada y se turne el expediente al Órgano Interno de Control para que se inicien las averiguaciones correspondientes al negar la existencia de atribuciones que sí tienen. 3. Las autoridades que firman el oficio 208C0101320100L/10580/2025, de fecha 21 de agosto de 2025, lo fundan en los artículos 804 de la Ley Federal del Trabajo y 220 K de la Ley del Trabajo de los Servidores Públicos del Estado y Municipios al referir literalmente: “…con fundamento a lo establecido en el artículo 804 de la Ley Federal del Trabajo y artículo 220 K de la Ley del Trabajo de los Servidores Públicos del Estado y Municipios, mismas que pueden ser consultadas en las páginas siguientes: http://legislacion.edomex.gob.mx/sites/legislacion.edomex.gob.mx/files/files/pdf/ley/vig/leyvig083.pdf/ por lo que no es posible atender favorablemente la petición.” Los artículos que invoca la autoridad responsable para pretender fundar su negativa de información, SON INEXACTAMENTE APLICADOS Y POR LO TANTO EQUÍVOCOS, toda vez que ellos se refieren al PROCESO LABORAL a que hace referencia el artículo 191 de la propia Ley del Trabajo </w:t>
      </w:r>
      <w:r w:rsidRPr="00514593">
        <w:rPr>
          <w:rFonts w:ascii="Palatino Linotype" w:hAnsi="Palatino Linotype"/>
          <w:i/>
          <w:color w:val="000000"/>
        </w:rPr>
        <w:lastRenderedPageBreak/>
        <w:t xml:space="preserve">de los Servidores Públicos del Estado de México y Municipios, así como al ofrecimiento de pruebas dentro del procedimiento laboral, como se advierte de su transcripción: Ley Federal del Trabajo “Artículo 804.- El patrón tiene obligación de conservar y exhibir en juicio los documentos que a continuación se precisan: I. Contratos individuales de trabajo que se celebren, cuando no exista contrato colectivo o contrato Ley aplicable; II. Listas de raya o nómina de personal, cuando se lleven en el centro de trabajo; o recibos de pagos de salarios; III. Controles de asistencia, cuando se lleven en el centro de trabajo; IV. Comprobantes de pago de participación de utilidades, de vacaciones y de aguinaldos, así como las primas a que se refiere esta Ley, y pagos, aportaciones y cuotas de seguridad social; y V. Los demás que señalen las leyes. Los documentos señalados en la fracción I deberán conservarse mientras dure la relación laboral y hasta un año después; los señalados en las fracciones II, III y IV, durante el último año y un año después de que se extinga la relación laboral; y los mencionados en la fracción V, conforme lo señalen las Leyes que los rijan.” Ley del Trabajo de los Servidores Públicos del Estado de México y Municipios ARTÍCULO 191.- El proceso será público, gratuito, inmediato, predominantemente oral y se iniciará a instancia de parte. El Tribunal y las Salas tendrán la obligación de tomar las medidas necesarias para lograr la mayor economía, concentración y sencillez del proceso. CAPITULO IX De las Pruebas ARTÍCULO 219. Son admisibles en el proceso todos los medios de prueba que no sean contrarios a la moral, al derecho o a las buenas costumbres, y en especial los siguientes: ARTÍCULO 220 K.- La institución o dependencia pública tiene la obligación de conservar y exhibir en el proceso los documentos que a continuación se precisan: I. Contratos, Nombramientos o Formato Único de Movimientos de Personal, cuando no exista Convenio de condiciones generales de trabajo aplicable; II. Recibos de pagos de salarios o las constancias documentales del pago de salario cuando sea por depósito o mediante información electrónica; III. Controles de asistencia o la información magnética o electrónica de asistencia de los servidores públicos; IV. Recibos o las constancias de deposito o del medio de información magnética o electrónica que sean utilizadas para el pago de salarios, prima vacacional, aguinaldo y demás prestaciones establecidas en la presente ley; y V. Los demás que </w:t>
      </w:r>
      <w:r w:rsidRPr="00514593">
        <w:rPr>
          <w:rFonts w:ascii="Palatino Linotype" w:hAnsi="Palatino Linotype"/>
          <w:i/>
          <w:color w:val="000000"/>
        </w:rPr>
        <w:lastRenderedPageBreak/>
        <w:t xml:space="preserve">señalen las leyes. Los documentos señalados en la fracción I de este artículo, deberán conservarse mientras dure la relación laboral y hasta un año después; los señalados por las fracciones II, III, IV durante el último año y un año después de que se extinga la relación laboral, y los mencionados en la fracción V, conforme lo señalen las leyes que los rijan. Los documentos y constancias aquí señalados, la institución o dependencia podrá conservarlos por medio de los sistemas de digitalización o de información magnética o electrónica o cualquier medio descubierto por la ciencia y las constancias expedidas por el encargado del área de personal de estas, harán prueba plena.” De la anterior transcripción se advierte, que los documentos para efectos probatorios en un procedimiento laboral deberán conservarse en los términos que señalan los artículos 804 de la Ley Federal del Trabajo y artículo 220 K de la Ley del Trabajo de los Servidores Públicos del Estado y Municipios; lo que implica la obligatoriedad para las autoridades conservar los documentos PARA EFECTOS DEL PROCESO LABORAL. Sin embargo, las solicitudes de transparencia NO SE TRATAN DE UN PROCEDIMIENTO LABORAL, por lo que, señalarse una temporalidad diversa en esos ordenamientos NO ABROGA, DEROGA, ANULA O ELIMINA todo el demás marco normativo al que los sujetos obligados se encuentran constreñidos, como lo son todos los artículos constitucionales y legales invocados en el presente escrito, debieron ser CONOCIDOS Y APLICADOS por la autoridad responsable que emitió la INFUNDADA y EQUÍVOCA respuesta de transparencia, por lo tanto se solicita se declare fundado el presente recurso de revisión y se REVOQUEN los oficios que se combaten con el fin de que se proporcione la información que se solicitó. Asimismo, se solicita que, dadas las diversas violaciones y desconocimiento de las autoridades responsables que emiten los oficios del marco normativo que les aplica, así como el doloso proceder al ocultar información que deberían tener en el ejercicio de sus funciones, se le dé vista al Órgano Interno de Control y a la Fiscalía General de Justicia por la probable comisión del delito de abuso de funciones que prevé el artículo 355 del Código Penal del Estado de México. 4. Causa agravio a esta recurrente las manifestaciones de las autoridades responsables al señalar: “Cabe mencionar que cada Unidad Aplicativa, es la encargada de la selección, reclutamiento, </w:t>
      </w:r>
      <w:r w:rsidRPr="00514593">
        <w:rPr>
          <w:rFonts w:ascii="Palatino Linotype" w:hAnsi="Palatino Linotype"/>
          <w:i/>
          <w:color w:val="000000"/>
        </w:rPr>
        <w:lastRenderedPageBreak/>
        <w:t>promoción, designación, administración, coordinación, control de asistencia, incidencias y supervisión del personal que se encuentra a su cargo, contando estas mismas con un Jefe o Encargado de Recursos Humanos, responsable de aplicar la normatividad vigente. Por lo anterior, esta unidad administrativa sólo está obligada a proporcionar la información pública que se le requiera y que obre en sus archivos y en el estado en que ésta se encuentre. La obligación de proporcionar información no comprende el procesamiento de la misma, ni presentarla conforme al interés del solicitante, no estará obligada a generarla, resumirla, efectuar cálculos o practicar investigaciones, por lo que se sugiere sea solicitado al sujeto obligado correspondiente.” Se responde que no solamente se tiene la obligación de proporcionar la información con que se cuente y que no se tiene la obligación de procesar información o realizar investigaciones y se sugiere se solicite la información al sujeto obligado correspondiente, presuponemos que se refiere al Sindicato, pues tampoco indica cuál sería el sujeto obligado que según su INFUNDADO Y EQUIVOCO pronunciamiento el Instituto no tiene esas facultades. Las manifestaciones de la Subdirección de Recursos Humanos, el Departamento de Relaciones Laborales, Conflictos Laborales, Normatividad Laboral y la Unidad de Transparencia del ISEM a través de sus titulares, son INFUNDADAS, ya que como se ha demostrado en el cuerpo del presente escrito, la Subdirección de Recursos Humanos y Departamento de Relaciones Laborales TIENEN LA OBLIGACIÓN DE DOCUMENTAR SUS ACTIVIDADES Y ESTÁN OBLIGADAS A LLEVAR A CABO DIVERSAS INTERACCIONES OFICIALES CON LOS REPRESENTANTES SINDICALES, por lo tanto, no contar con la información solicitada acredita una violación al principio de legalidad, debido proceso y seguridad jurídica en que dicha Subdirección de Recursos</w:t>
      </w:r>
    </w:p>
    <w:p w14:paraId="073F720F" w14:textId="77777777" w:rsidR="005E6EBD" w:rsidRPr="00514593" w:rsidRDefault="005E6EBD" w:rsidP="00530E7A">
      <w:pPr>
        <w:spacing w:line="360" w:lineRule="auto"/>
        <w:jc w:val="both"/>
        <w:rPr>
          <w:rFonts w:ascii="Palatino Linotype" w:hAnsi="Palatino Linotype" w:cs="Arial"/>
          <w:sz w:val="28"/>
        </w:rPr>
      </w:pPr>
    </w:p>
    <w:p w14:paraId="28075EF3" w14:textId="77777777" w:rsidR="00530E7A" w:rsidRPr="00514593" w:rsidRDefault="00530E7A" w:rsidP="00530E7A">
      <w:pPr>
        <w:spacing w:line="360" w:lineRule="auto"/>
        <w:jc w:val="both"/>
        <w:rPr>
          <w:rFonts w:ascii="Palatino Linotype" w:hAnsi="Palatino Linotype" w:cs="Arial"/>
          <w:b/>
          <w:sz w:val="28"/>
        </w:rPr>
      </w:pPr>
      <w:r w:rsidRPr="00514593">
        <w:rPr>
          <w:rFonts w:ascii="Palatino Linotype" w:hAnsi="Palatino Linotype" w:cs="Arial"/>
          <w:b/>
          <w:sz w:val="28"/>
        </w:rPr>
        <w:t>CUARTO. Del turno del recurso de revisión.</w:t>
      </w:r>
    </w:p>
    <w:p w14:paraId="3DD25E47" w14:textId="77777777" w:rsidR="00530E7A" w:rsidRPr="00514593" w:rsidRDefault="00530E7A" w:rsidP="00530E7A">
      <w:pPr>
        <w:spacing w:line="360" w:lineRule="auto"/>
        <w:jc w:val="both"/>
        <w:rPr>
          <w:rFonts w:ascii="Palatino Linotype" w:hAnsi="Palatino Linotype" w:cs="Arial"/>
          <w:b/>
        </w:rPr>
      </w:pPr>
      <w:r w:rsidRPr="00514593">
        <w:rPr>
          <w:rFonts w:ascii="Palatino Linotype" w:hAnsi="Palatino Linotype" w:cs="Arial"/>
        </w:rPr>
        <w:lastRenderedPageBreak/>
        <w:t xml:space="preserve">Medio de impugnación que le fue turnado al Comisionado Presidente </w:t>
      </w:r>
      <w:r w:rsidRPr="00514593">
        <w:rPr>
          <w:rFonts w:ascii="Palatino Linotype" w:hAnsi="Palatino Linotype" w:cs="Arial"/>
          <w:b/>
        </w:rPr>
        <w:t>José Martínez Vilchis</w:t>
      </w:r>
      <w:r w:rsidRPr="00514593">
        <w:rPr>
          <w:rFonts w:ascii="Palatino Linotype" w:hAnsi="Palatino Linotype" w:cs="Arial"/>
        </w:rPr>
        <w:t xml:space="preserve">, </w:t>
      </w:r>
      <w:r w:rsidRPr="00514593">
        <w:rPr>
          <w:rFonts w:ascii="Palatino Linotype" w:hAnsi="Palatino Linotype" w:cs="Arial"/>
          <w:b/>
        </w:rPr>
        <w:t>Luis Gustavo Parra Noriega, María del Rosario Mejía Ayala y Guadalupe Ramírez Peña</w:t>
      </w:r>
      <w:r w:rsidRPr="00514593">
        <w:rPr>
          <w:rFonts w:ascii="Palatino Linotype" w:hAnsi="Palatino Linotype" w:cs="Arial"/>
        </w:rPr>
        <w:t xml:space="preserve"> de lo anterior y con fundamento en el artículo 185, fracción I, de la Ley de Transparencia y Acceso a la información Pública del Estado de México y Municipios, del cual recayó acuerdo de admisión en fechas </w:t>
      </w:r>
      <w:r w:rsidRPr="00514593">
        <w:rPr>
          <w:rFonts w:ascii="Palatino Linotype" w:hAnsi="Palatino Linotype" w:cs="Arial"/>
          <w:b/>
        </w:rPr>
        <w:t xml:space="preserve">once y veinticinco de agosto </w:t>
      </w:r>
      <w:r w:rsidRPr="00514593">
        <w:rPr>
          <w:rFonts w:ascii="Palatino Linotype" w:hAnsi="Palatino Linotype" w:cs="Arial"/>
        </w:rPr>
        <w:t xml:space="preserve">así como en fecha </w:t>
      </w:r>
      <w:r w:rsidR="005E6EBD" w:rsidRPr="00514593">
        <w:rPr>
          <w:rFonts w:ascii="Palatino Linotype" w:hAnsi="Palatino Linotype" w:cs="Arial"/>
          <w:b/>
        </w:rPr>
        <w:t>doce de septiembre</w:t>
      </w:r>
      <w:r w:rsidRPr="00514593">
        <w:rPr>
          <w:rFonts w:ascii="Palatino Linotype" w:hAnsi="Palatino Linotype" w:cs="Arial"/>
          <w:b/>
        </w:rPr>
        <w:t xml:space="preserve"> de dos mil veinticinco</w:t>
      </w:r>
      <w:r w:rsidRPr="00514593">
        <w:rPr>
          <w:rFonts w:ascii="Palatino Linotype" w:hAnsi="Palatino Linotype" w:cs="Arial"/>
        </w:rPr>
        <w:t>, determinándose en él, un plazo de siete días para que las partes manifestaran lo que a su derecho corresponda en términos del numeral ya citado.</w:t>
      </w:r>
    </w:p>
    <w:p w14:paraId="4A77A701" w14:textId="77777777" w:rsidR="00530E7A" w:rsidRPr="00514593" w:rsidRDefault="00530E7A" w:rsidP="00530E7A">
      <w:pPr>
        <w:spacing w:line="360" w:lineRule="auto"/>
        <w:jc w:val="both"/>
        <w:rPr>
          <w:rFonts w:ascii="Palatino Linotype" w:hAnsi="Palatino Linotype" w:cs="Arial"/>
        </w:rPr>
      </w:pPr>
    </w:p>
    <w:p w14:paraId="6B4EA9B4" w14:textId="77777777" w:rsidR="00530E7A" w:rsidRPr="00514593" w:rsidRDefault="00530E7A" w:rsidP="00530E7A">
      <w:pPr>
        <w:spacing w:line="360" w:lineRule="auto"/>
        <w:jc w:val="both"/>
        <w:rPr>
          <w:rFonts w:ascii="Palatino Linotype" w:hAnsi="Palatino Linotype" w:cs="Arial"/>
          <w:b/>
          <w:sz w:val="28"/>
          <w:szCs w:val="28"/>
        </w:rPr>
      </w:pPr>
      <w:r w:rsidRPr="00514593">
        <w:rPr>
          <w:rFonts w:ascii="Palatino Linotype" w:hAnsi="Palatino Linotype" w:cs="Arial"/>
          <w:b/>
          <w:sz w:val="28"/>
          <w:szCs w:val="28"/>
        </w:rPr>
        <w:t xml:space="preserve">QUINTO. De la Acumulación </w:t>
      </w:r>
    </w:p>
    <w:p w14:paraId="43D13E26" w14:textId="77777777" w:rsidR="00530E7A" w:rsidRPr="00514593" w:rsidRDefault="00530E7A" w:rsidP="00530E7A">
      <w:pPr>
        <w:spacing w:line="360" w:lineRule="auto"/>
        <w:contextualSpacing/>
        <w:jc w:val="both"/>
        <w:rPr>
          <w:rFonts w:ascii="Palatino Linotype" w:hAnsi="Palatino Linotype"/>
        </w:rPr>
      </w:pPr>
      <w:r w:rsidRPr="00514593">
        <w:rPr>
          <w:rFonts w:ascii="Palatino Linotype" w:hAnsi="Palatino Linotype" w:cs="Arial"/>
        </w:rPr>
        <w:t xml:space="preserve">Posteriormente por Acuerdo de Pleno en fecha </w:t>
      </w:r>
      <w:r w:rsidR="0075564D" w:rsidRPr="00514593">
        <w:rPr>
          <w:rFonts w:ascii="Palatino Linotype" w:hAnsi="Palatino Linotype"/>
          <w:b/>
        </w:rPr>
        <w:t>diecinueve de septiembre</w:t>
      </w:r>
      <w:r w:rsidRPr="00514593">
        <w:rPr>
          <w:rFonts w:ascii="Palatino Linotype" w:hAnsi="Palatino Linotype"/>
          <w:b/>
        </w:rPr>
        <w:t xml:space="preserve"> de dos mil veinticinco</w:t>
      </w:r>
      <w:r w:rsidRPr="00514593">
        <w:rPr>
          <w:rFonts w:ascii="Palatino Linotype" w:hAnsi="Palatino Linotype"/>
          <w:b/>
          <w:bCs/>
        </w:rPr>
        <w:t xml:space="preserve"> </w:t>
      </w:r>
      <w:r w:rsidRPr="00514593">
        <w:rPr>
          <w:rFonts w:ascii="Palatino Linotype" w:hAnsi="Palatino Linotype"/>
        </w:rPr>
        <w:t xml:space="preserve">se aprobó la acumulación del recurso de revisión  </w:t>
      </w:r>
      <w:r w:rsidR="0075564D" w:rsidRPr="00514593">
        <w:rPr>
          <w:rFonts w:ascii="Palatino Linotype" w:hAnsi="Palatino Linotype"/>
          <w:b/>
        </w:rPr>
        <w:t>10662</w:t>
      </w:r>
      <w:r w:rsidRPr="00514593">
        <w:rPr>
          <w:rFonts w:ascii="Palatino Linotype" w:hAnsi="Palatino Linotype"/>
          <w:b/>
        </w:rPr>
        <w:t xml:space="preserve">/INFOEM/IP/RR/2025, </w:t>
      </w:r>
      <w:r w:rsidRPr="00514593">
        <w:rPr>
          <w:rFonts w:ascii="Palatino Linotype" w:hAnsi="Palatino Linotype" w:cs="Arial"/>
        </w:rPr>
        <w:t xml:space="preserve">ya que existe identidad del solicitante, del </w:t>
      </w:r>
      <w:r w:rsidRPr="00514593">
        <w:rPr>
          <w:rFonts w:ascii="Palatino Linotype" w:hAnsi="Palatino Linotype" w:cs="Arial"/>
          <w:b/>
        </w:rPr>
        <w:t>Sujeto Obligado</w:t>
      </w:r>
      <w:r w:rsidRPr="00514593">
        <w:rPr>
          <w:rFonts w:ascii="Palatino Linotype" w:hAnsi="Palatino Linotype" w:cs="Arial"/>
        </w:rPr>
        <w:t xml:space="preserve"> y similitud de causas y objeto de solicitud</w:t>
      </w:r>
      <w:r w:rsidRPr="00514593">
        <w:rPr>
          <w:rFonts w:cs="Arial"/>
        </w:rPr>
        <w:t>.</w:t>
      </w:r>
      <w:r w:rsidRPr="00514593">
        <w:rPr>
          <w:rFonts w:ascii="Palatino Linotype" w:hAnsi="Palatino Linotype" w:cs="Palatino Linotype"/>
          <w:color w:val="000000"/>
          <w:lang w:eastAsia="es-MX"/>
        </w:rPr>
        <w:t xml:space="preserve"> </w:t>
      </w:r>
      <w:r w:rsidRPr="00514593">
        <w:rPr>
          <w:rFonts w:ascii="Palatino Linotype" w:hAnsi="Palatino Linotype"/>
        </w:rPr>
        <w:t>Lo anterior de conformidad con lo dispuesto en el artículo 195, de la Ley de Transparencia y Acceso a la información Pública del Estado de México y Municipios, y con el artículo 18 del Código de Procedimientos Administrativos del Estado de México, los cuales establecen respectivamente:</w:t>
      </w:r>
    </w:p>
    <w:p w14:paraId="4D4A170A" w14:textId="77777777" w:rsidR="00530E7A" w:rsidRPr="00514593" w:rsidRDefault="00530E7A" w:rsidP="00530E7A">
      <w:pPr>
        <w:spacing w:line="360" w:lineRule="auto"/>
        <w:ind w:left="851" w:right="851"/>
        <w:jc w:val="both"/>
        <w:rPr>
          <w:rFonts w:ascii="Palatino Linotype" w:hAnsi="Palatino Linotype"/>
          <w:i/>
        </w:rPr>
      </w:pPr>
      <w:r w:rsidRPr="00514593">
        <w:rPr>
          <w:rFonts w:ascii="Palatino Linotype" w:hAnsi="Palatino Linotype"/>
          <w:i/>
        </w:rPr>
        <w:t>“</w:t>
      </w:r>
      <w:r w:rsidRPr="00514593">
        <w:rPr>
          <w:rFonts w:ascii="Palatino Linotype" w:hAnsi="Palatino Linotype"/>
          <w:b/>
          <w:i/>
        </w:rPr>
        <w:t>Artículo 195.</w:t>
      </w:r>
      <w:r w:rsidRPr="00514593">
        <w:rPr>
          <w:rFonts w:ascii="Palatino Linotype" w:hAnsi="Palatino Linotype"/>
          <w:i/>
        </w:rPr>
        <w:t xml:space="preserve"> En la tramitación del recurso de revisión se aplicarán supletoriamente las disposiciones contenidas en el </w:t>
      </w:r>
      <w:r w:rsidRPr="00514593">
        <w:rPr>
          <w:rFonts w:ascii="Palatino Linotype" w:hAnsi="Palatino Linotype"/>
          <w:b/>
          <w:i/>
          <w:u w:val="single"/>
        </w:rPr>
        <w:t>Código de Procedimientos Administrativos del Estado de México</w:t>
      </w:r>
      <w:r w:rsidRPr="00514593">
        <w:rPr>
          <w:rFonts w:ascii="Palatino Linotype" w:hAnsi="Palatino Linotype"/>
          <w:i/>
        </w:rPr>
        <w:t>.”</w:t>
      </w:r>
    </w:p>
    <w:p w14:paraId="2E62AF4E" w14:textId="77777777" w:rsidR="0075564D" w:rsidRPr="00514593" w:rsidRDefault="0075564D" w:rsidP="00530E7A">
      <w:pPr>
        <w:spacing w:line="360" w:lineRule="auto"/>
        <w:ind w:left="851" w:right="851"/>
        <w:jc w:val="both"/>
        <w:rPr>
          <w:rFonts w:ascii="Palatino Linotype" w:hAnsi="Palatino Linotype"/>
          <w:i/>
        </w:rPr>
      </w:pPr>
    </w:p>
    <w:p w14:paraId="1AEC008E" w14:textId="77777777" w:rsidR="00530E7A" w:rsidRPr="00514593" w:rsidRDefault="00530E7A" w:rsidP="00530E7A">
      <w:pPr>
        <w:spacing w:line="360" w:lineRule="auto"/>
        <w:ind w:left="851" w:right="851"/>
        <w:jc w:val="both"/>
        <w:rPr>
          <w:rFonts w:ascii="Palatino Linotype" w:hAnsi="Palatino Linotype"/>
          <w:i/>
        </w:rPr>
      </w:pPr>
      <w:r w:rsidRPr="00514593">
        <w:rPr>
          <w:rFonts w:ascii="Palatino Linotype" w:hAnsi="Palatino Linotype"/>
          <w:i/>
        </w:rPr>
        <w:t>“</w:t>
      </w:r>
      <w:r w:rsidRPr="00514593">
        <w:rPr>
          <w:rFonts w:ascii="Palatino Linotype" w:hAnsi="Palatino Linotype"/>
          <w:b/>
          <w:i/>
        </w:rPr>
        <w:t>Artículo 18.</w:t>
      </w:r>
      <w:r w:rsidRPr="00514593">
        <w:rPr>
          <w:rFonts w:ascii="Palatino Linotype" w:hAnsi="Palatino Linotype"/>
          <w:i/>
        </w:rPr>
        <w:t xml:space="preserve"> </w:t>
      </w:r>
      <w:r w:rsidRPr="00514593">
        <w:rPr>
          <w:rFonts w:ascii="Palatino Linotype" w:hAnsi="Palatino Linotype"/>
          <w:b/>
          <w:i/>
          <w:u w:val="single"/>
        </w:rPr>
        <w:t>La autoridad administrativa</w:t>
      </w:r>
      <w:r w:rsidRPr="00514593">
        <w:rPr>
          <w:rFonts w:ascii="Palatino Linotype" w:hAnsi="Palatino Linotype"/>
          <w:i/>
        </w:rPr>
        <w:t xml:space="preserve"> o el Tribunal </w:t>
      </w:r>
      <w:r w:rsidRPr="00514593">
        <w:rPr>
          <w:rFonts w:ascii="Palatino Linotype" w:hAnsi="Palatino Linotype"/>
          <w:b/>
          <w:i/>
          <w:u w:val="single"/>
        </w:rPr>
        <w:t>acordarán la acumulación</w:t>
      </w:r>
      <w:r w:rsidRPr="00514593">
        <w:rPr>
          <w:rFonts w:ascii="Palatino Linotype" w:hAnsi="Palatino Linotype"/>
          <w:i/>
        </w:rPr>
        <w:t xml:space="preserve"> de los expedientes del procedimiento y proceso administrativo que ante ellos se sigan</w:t>
      </w:r>
      <w:r w:rsidRPr="00514593">
        <w:rPr>
          <w:rFonts w:ascii="Palatino Linotype" w:hAnsi="Palatino Linotype"/>
          <w:b/>
          <w:i/>
          <w:u w:val="single"/>
        </w:rPr>
        <w:t>, de oficio</w:t>
      </w:r>
      <w:r w:rsidRPr="00514593">
        <w:rPr>
          <w:rFonts w:ascii="Palatino Linotype" w:hAnsi="Palatino Linotype"/>
          <w:i/>
        </w:rPr>
        <w:t xml:space="preserve"> o a petición de parte, </w:t>
      </w:r>
      <w:r w:rsidRPr="00514593">
        <w:rPr>
          <w:rFonts w:ascii="Palatino Linotype" w:hAnsi="Palatino Linotype"/>
          <w:b/>
          <w:i/>
          <w:u w:val="single"/>
        </w:rPr>
        <w:t>cuando las partes o los actos administrativos sean iguales, se trate de actos conexos o resulte conveniente el trámite unificado de los asuntos</w:t>
      </w:r>
      <w:r w:rsidRPr="00514593">
        <w:rPr>
          <w:rFonts w:ascii="Palatino Linotype" w:hAnsi="Palatino Linotype"/>
          <w:i/>
        </w:rPr>
        <w:t xml:space="preserve">, para evitar la emisión de resoluciones </w:t>
      </w:r>
      <w:r w:rsidRPr="00514593">
        <w:rPr>
          <w:rFonts w:ascii="Palatino Linotype" w:hAnsi="Palatino Linotype"/>
          <w:i/>
        </w:rPr>
        <w:lastRenderedPageBreak/>
        <w:t>contradictorias. La misma regla se aplicará, en lo conducente, para la separación de los expedientes.”</w:t>
      </w:r>
    </w:p>
    <w:p w14:paraId="6ADE0A6B" w14:textId="77777777" w:rsidR="00530E7A" w:rsidRPr="00514593" w:rsidRDefault="00530E7A" w:rsidP="00530E7A">
      <w:pPr>
        <w:spacing w:line="360" w:lineRule="auto"/>
        <w:jc w:val="both"/>
        <w:rPr>
          <w:rFonts w:ascii="Palatino Linotype" w:hAnsi="Palatino Linotype" w:cs="Arial"/>
        </w:rPr>
      </w:pPr>
    </w:p>
    <w:p w14:paraId="6342ABF9" w14:textId="77777777" w:rsidR="00530E7A" w:rsidRPr="00514593" w:rsidRDefault="00530E7A" w:rsidP="00530E7A">
      <w:pPr>
        <w:spacing w:line="360" w:lineRule="auto"/>
        <w:jc w:val="both"/>
        <w:rPr>
          <w:rFonts w:ascii="Palatino Linotype" w:hAnsi="Palatino Linotype" w:cs="Arial"/>
          <w:b/>
          <w:sz w:val="28"/>
        </w:rPr>
      </w:pPr>
      <w:r w:rsidRPr="00514593">
        <w:rPr>
          <w:rFonts w:ascii="Palatino Linotype" w:hAnsi="Palatino Linotype" w:cs="Arial"/>
          <w:b/>
          <w:sz w:val="28"/>
        </w:rPr>
        <w:t>SEXTO. De la etapa de manifestaciones y/o alegatos.</w:t>
      </w:r>
    </w:p>
    <w:p w14:paraId="0FCC481A" w14:textId="77777777" w:rsidR="0075564D" w:rsidRPr="00514593" w:rsidRDefault="00530E7A" w:rsidP="00530E7A">
      <w:pPr>
        <w:spacing w:line="360" w:lineRule="auto"/>
        <w:jc w:val="both"/>
        <w:rPr>
          <w:rFonts w:ascii="Palatino Linotype" w:hAnsi="Palatino Linotype"/>
        </w:rPr>
      </w:pPr>
      <w:r w:rsidRPr="00514593">
        <w:rPr>
          <w:rFonts w:ascii="Palatino Linotype" w:eastAsia="Calibri" w:hAnsi="Palatino Linotype" w:cs="Arial"/>
        </w:rPr>
        <w:t xml:space="preserve">Una vez transcurrido el término legal referido se destaca que </w:t>
      </w:r>
      <w:r w:rsidRPr="00514593">
        <w:rPr>
          <w:rFonts w:ascii="Palatino Linotype" w:eastAsia="Calibri" w:hAnsi="Palatino Linotype" w:cs="Arial"/>
          <w:b/>
        </w:rPr>
        <w:t xml:space="preserve">El Sujeto Obligado </w:t>
      </w:r>
      <w:r w:rsidR="001927CB" w:rsidRPr="00514593">
        <w:rPr>
          <w:rFonts w:ascii="Palatino Linotype" w:eastAsia="Calibri" w:hAnsi="Palatino Linotype" w:cs="Arial"/>
          <w:b/>
        </w:rPr>
        <w:t>fue omiso para presentar su informe justificado e</w:t>
      </w:r>
      <w:r w:rsidRPr="00514593">
        <w:rPr>
          <w:rFonts w:ascii="Palatino Linotype" w:eastAsia="Calibri" w:hAnsi="Palatino Linotype" w:cs="Arial"/>
        </w:rPr>
        <w:t xml:space="preserve">n todos los recursos de revisión; asimismo, se aprecia que la parte </w:t>
      </w:r>
      <w:r w:rsidRPr="00514593">
        <w:rPr>
          <w:rFonts w:ascii="Palatino Linotype" w:eastAsia="Calibri" w:hAnsi="Palatino Linotype" w:cs="Arial"/>
          <w:b/>
        </w:rPr>
        <w:t>Recurrente</w:t>
      </w:r>
      <w:r w:rsidRPr="00514593">
        <w:rPr>
          <w:rFonts w:ascii="Palatino Linotype" w:eastAsia="Calibri" w:hAnsi="Palatino Linotype" w:cs="Arial"/>
        </w:rPr>
        <w:t xml:space="preserve"> </w:t>
      </w:r>
      <w:r w:rsidR="0075564D" w:rsidRPr="00514593">
        <w:rPr>
          <w:rFonts w:ascii="Palatino Linotype" w:eastAsia="Calibri" w:hAnsi="Palatino Linotype" w:cs="Arial"/>
        </w:rPr>
        <w:t xml:space="preserve">realizó alegatos </w:t>
      </w:r>
      <w:r w:rsidR="0075564D" w:rsidRPr="00514593">
        <w:rPr>
          <w:rFonts w:ascii="Palatino Linotype" w:hAnsi="Palatino Linotype"/>
        </w:rPr>
        <w:t>en el que se advierten los siguientes documentos</w:t>
      </w:r>
      <w:r w:rsidR="001927CB" w:rsidRPr="00514593">
        <w:rPr>
          <w:rFonts w:ascii="Palatino Linotype" w:hAnsi="Palatino Linotype"/>
        </w:rPr>
        <w:t>:</w:t>
      </w:r>
    </w:p>
    <w:p w14:paraId="2AF6BC5A" w14:textId="77777777" w:rsidR="0075564D" w:rsidRPr="00514593" w:rsidRDefault="0075564D" w:rsidP="00530E7A">
      <w:pPr>
        <w:pStyle w:val="Prrafodelista"/>
        <w:numPr>
          <w:ilvl w:val="0"/>
          <w:numId w:val="36"/>
        </w:numPr>
        <w:rPr>
          <w:rFonts w:cs="Arial"/>
          <w:bCs/>
        </w:rPr>
      </w:pPr>
      <w:r w:rsidRPr="00514593">
        <w:rPr>
          <w:rFonts w:eastAsiaTheme="majorEastAsia" w:cs="Arial"/>
          <w:b/>
          <w:bCs/>
        </w:rPr>
        <w:t>HG Cuautitlan Subseccion Trece Sntsa _ Facebook (1).pdf</w:t>
      </w:r>
      <w:r w:rsidRPr="00514593">
        <w:rPr>
          <w:rFonts w:cs="Arial"/>
          <w:b/>
          <w:bCs/>
        </w:rPr>
        <w:t xml:space="preserve">: </w:t>
      </w:r>
      <w:r w:rsidRPr="00514593">
        <w:rPr>
          <w:rFonts w:cs="Arial"/>
          <w:bCs/>
        </w:rPr>
        <w:t xml:space="preserve"> soporte documental que consta de diez fojas en formato PDF en el que se advierte capturas de pantalla del sitio electrónico denominado HG Cuautitlan Subdirección Trece Snta.</w:t>
      </w:r>
    </w:p>
    <w:p w14:paraId="56A4974B" w14:textId="77777777" w:rsidR="0075564D" w:rsidRPr="00514593" w:rsidRDefault="0075564D" w:rsidP="0075564D">
      <w:pPr>
        <w:pStyle w:val="Prrafodelista"/>
        <w:ind w:left="720"/>
        <w:rPr>
          <w:rFonts w:cs="Arial"/>
          <w:bCs/>
        </w:rPr>
      </w:pPr>
    </w:p>
    <w:p w14:paraId="034D06D8" w14:textId="77777777" w:rsidR="0075564D" w:rsidRPr="00514593" w:rsidRDefault="0075564D" w:rsidP="00530E7A">
      <w:pPr>
        <w:pStyle w:val="Prrafodelista"/>
        <w:numPr>
          <w:ilvl w:val="0"/>
          <w:numId w:val="36"/>
        </w:numPr>
        <w:rPr>
          <w:rFonts w:cs="Arial"/>
          <w:bCs/>
        </w:rPr>
      </w:pPr>
      <w:r w:rsidRPr="00514593">
        <w:rPr>
          <w:rFonts w:eastAsiaTheme="majorEastAsia" w:cs="Arial"/>
          <w:b/>
          <w:bCs/>
        </w:rPr>
        <w:t>Reunión de trabajo de Uniformes... - Domingo Ortuño Maldonado _ Facebook 8092025 (1).pdf:</w:t>
      </w:r>
      <w:r w:rsidRPr="00514593">
        <w:rPr>
          <w:rFonts w:cs="Arial"/>
          <w:bCs/>
        </w:rPr>
        <w:t xml:space="preserve"> soporte documental que consta de dos fojas en formato PDF en el que se advierten capturas de pantalla del sitio electrónico denominado Ortuño Maldonado</w:t>
      </w:r>
    </w:p>
    <w:p w14:paraId="3D0C43D7" w14:textId="77777777" w:rsidR="0075564D" w:rsidRPr="00514593" w:rsidRDefault="0075564D" w:rsidP="0075564D">
      <w:pPr>
        <w:pStyle w:val="Prrafodelista"/>
        <w:ind w:left="720"/>
        <w:rPr>
          <w:rFonts w:cs="Arial"/>
          <w:bCs/>
        </w:rPr>
      </w:pPr>
    </w:p>
    <w:p w14:paraId="1A9371DE" w14:textId="77777777" w:rsidR="0075564D" w:rsidRPr="00514593" w:rsidRDefault="0075564D" w:rsidP="00530E7A">
      <w:pPr>
        <w:pStyle w:val="Prrafodelista"/>
        <w:numPr>
          <w:ilvl w:val="0"/>
          <w:numId w:val="36"/>
        </w:numPr>
        <w:rPr>
          <w:rFonts w:cs="Arial"/>
          <w:bCs/>
        </w:rPr>
      </w:pPr>
      <w:r w:rsidRPr="00514593">
        <w:rPr>
          <w:rFonts w:eastAsiaTheme="majorEastAsia" w:cs="Arial"/>
          <w:b/>
          <w:bCs/>
        </w:rPr>
        <w:t>Comparto con todos ustedes que... - Honoria Arellano Ocampo _ Facebook.pdf:</w:t>
      </w:r>
      <w:r w:rsidRPr="00514593">
        <w:rPr>
          <w:rFonts w:cs="Arial"/>
          <w:bCs/>
        </w:rPr>
        <w:t xml:space="preserve"> Soporte documental que consta de dos fojas en formato PDF en el que se advierten capturas de pantalla del sitio electrónico denominado Honoria Arellano Ocampo.</w:t>
      </w:r>
    </w:p>
    <w:p w14:paraId="25840533" w14:textId="77777777" w:rsidR="0075564D" w:rsidRPr="00514593" w:rsidRDefault="0075564D" w:rsidP="0075564D">
      <w:pPr>
        <w:pStyle w:val="Prrafodelista"/>
        <w:rPr>
          <w:rFonts w:cs="Arial"/>
          <w:bCs/>
        </w:rPr>
      </w:pPr>
    </w:p>
    <w:p w14:paraId="54C84E2B" w14:textId="77777777" w:rsidR="0075564D" w:rsidRPr="00514593" w:rsidRDefault="0075564D" w:rsidP="00530E7A">
      <w:pPr>
        <w:pStyle w:val="Prrafodelista"/>
        <w:numPr>
          <w:ilvl w:val="0"/>
          <w:numId w:val="36"/>
        </w:numPr>
        <w:rPr>
          <w:rFonts w:cs="Arial"/>
          <w:bCs/>
        </w:rPr>
      </w:pPr>
      <w:r w:rsidRPr="00514593">
        <w:rPr>
          <w:rFonts w:eastAsiaTheme="majorEastAsia" w:cs="Arial"/>
          <w:b/>
          <w:bCs/>
        </w:rPr>
        <w:t xml:space="preserve">Comparto con todos ustedes que... - Honoria Arellano Ocampo _ Facebook (1).pdf: </w:t>
      </w:r>
      <w:r w:rsidRPr="00514593">
        <w:rPr>
          <w:rFonts w:cs="Arial"/>
          <w:bCs/>
        </w:rPr>
        <w:t xml:space="preserve">Soporte documental que consta de dos fojas en formato PDF en el que se </w:t>
      </w:r>
      <w:r w:rsidRPr="00514593">
        <w:rPr>
          <w:rFonts w:cs="Arial"/>
          <w:bCs/>
        </w:rPr>
        <w:lastRenderedPageBreak/>
        <w:t>advierten capturas de pantalla del sitio electrónico denominado Honoria Arellano Ocampo.</w:t>
      </w:r>
    </w:p>
    <w:p w14:paraId="236B9CE4" w14:textId="77777777" w:rsidR="0075564D" w:rsidRPr="00514593" w:rsidRDefault="0075564D" w:rsidP="0075564D">
      <w:pPr>
        <w:pStyle w:val="Prrafodelista"/>
        <w:rPr>
          <w:rFonts w:eastAsiaTheme="majorEastAsia" w:cs="Arial"/>
          <w:b/>
          <w:bCs/>
        </w:rPr>
      </w:pPr>
    </w:p>
    <w:p w14:paraId="726EA56D" w14:textId="77777777" w:rsidR="0075564D" w:rsidRPr="00514593" w:rsidRDefault="0075564D" w:rsidP="00530E7A">
      <w:pPr>
        <w:pStyle w:val="Prrafodelista"/>
        <w:numPr>
          <w:ilvl w:val="0"/>
          <w:numId w:val="36"/>
        </w:numPr>
        <w:rPr>
          <w:rFonts w:cs="Arial"/>
          <w:bCs/>
        </w:rPr>
      </w:pPr>
      <w:r w:rsidRPr="00514593">
        <w:rPr>
          <w:rFonts w:eastAsiaTheme="majorEastAsia" w:cs="Arial"/>
          <w:b/>
          <w:bCs/>
        </w:rPr>
        <w:t xml:space="preserve">Con enorme entusiasmo comparto... - Honoria Arellano Ocampo _ Facebook.pdf: </w:t>
      </w:r>
      <w:r w:rsidRPr="00514593">
        <w:rPr>
          <w:rFonts w:cs="Arial"/>
          <w:bCs/>
        </w:rPr>
        <w:t>Soporte documental que consta de dos fojas en formato PDF en el que se advierten capturas de pantalla del sitio electrónico denominado Honoria Arellano Ocampo.</w:t>
      </w:r>
    </w:p>
    <w:p w14:paraId="19CD3532" w14:textId="77777777" w:rsidR="0075564D" w:rsidRPr="00514593" w:rsidRDefault="0075564D" w:rsidP="0075564D">
      <w:pPr>
        <w:pStyle w:val="Prrafodelista"/>
        <w:rPr>
          <w:rFonts w:eastAsiaTheme="majorEastAsia" w:cs="Arial"/>
          <w:b/>
          <w:bCs/>
        </w:rPr>
      </w:pPr>
    </w:p>
    <w:p w14:paraId="707E7689" w14:textId="77777777" w:rsidR="001927CB" w:rsidRPr="00514593" w:rsidRDefault="0075564D" w:rsidP="00530E7A">
      <w:pPr>
        <w:pStyle w:val="Prrafodelista"/>
        <w:numPr>
          <w:ilvl w:val="0"/>
          <w:numId w:val="36"/>
        </w:numPr>
        <w:rPr>
          <w:rFonts w:cs="Arial"/>
          <w:bCs/>
        </w:rPr>
      </w:pPr>
      <w:r w:rsidRPr="00514593">
        <w:rPr>
          <w:rFonts w:eastAsiaTheme="majorEastAsia" w:cs="Arial"/>
          <w:b/>
          <w:bCs/>
        </w:rPr>
        <w:t xml:space="preserve">Seguimos trabajando, el día de... - Domingo Ortuño Maldonado _ Facebook 09092025 (1).pdf: </w:t>
      </w:r>
      <w:r w:rsidRPr="00514593">
        <w:rPr>
          <w:rFonts w:cs="Arial"/>
          <w:bCs/>
        </w:rPr>
        <w:t>Soporte documental que consta de dos fojas en formato PDF en el que se advierten capturas de pantalla del sitio electrónico denominado Honoria Arellano Ocampo.</w:t>
      </w:r>
    </w:p>
    <w:p w14:paraId="3E964887" w14:textId="77777777" w:rsidR="001927CB" w:rsidRPr="00514593" w:rsidRDefault="001927CB" w:rsidP="001927CB">
      <w:pPr>
        <w:pStyle w:val="Prrafodelista"/>
        <w:rPr>
          <w:rFonts w:cs="Arial"/>
          <w:b/>
          <w:bCs/>
        </w:rPr>
      </w:pPr>
    </w:p>
    <w:p w14:paraId="2669261B" w14:textId="77777777" w:rsidR="0075564D" w:rsidRPr="00514593" w:rsidRDefault="0075564D" w:rsidP="00530E7A">
      <w:pPr>
        <w:pStyle w:val="Prrafodelista"/>
        <w:numPr>
          <w:ilvl w:val="0"/>
          <w:numId w:val="36"/>
        </w:numPr>
        <w:rPr>
          <w:rFonts w:cs="Arial"/>
          <w:bCs/>
        </w:rPr>
      </w:pPr>
      <w:r w:rsidRPr="00514593">
        <w:rPr>
          <w:rFonts w:cs="Arial"/>
          <w:b/>
          <w:bCs/>
        </w:rPr>
        <w:t>46IU7C5F_ARELLANO_OCAMPO_HONORIA_CAP (1).pdf</w:t>
      </w:r>
      <w:r w:rsidR="001927CB" w:rsidRPr="00514593">
        <w:rPr>
          <w:rFonts w:cs="Arial"/>
          <w:b/>
          <w:bCs/>
        </w:rPr>
        <w:t>:</w:t>
      </w:r>
      <w:r w:rsidR="001927CB" w:rsidRPr="00514593">
        <w:rPr>
          <w:rFonts w:cs="Arial"/>
          <w:bCs/>
        </w:rPr>
        <w:t xml:space="preserve"> Soporte documental que consta que consta de la ficha curricular a favor de Honoria Arellano Ocampo </w:t>
      </w:r>
    </w:p>
    <w:p w14:paraId="2AE7A317" w14:textId="77777777" w:rsidR="00530E7A" w:rsidRPr="00514593" w:rsidRDefault="00530E7A" w:rsidP="00530E7A">
      <w:pPr>
        <w:spacing w:after="0" w:line="360" w:lineRule="auto"/>
        <w:jc w:val="both"/>
        <w:rPr>
          <w:rFonts w:ascii="Palatino Linotype" w:eastAsia="Times New Roman" w:hAnsi="Palatino Linotype" w:cs="Calibri"/>
          <w:sz w:val="24"/>
          <w:lang w:val="es-ES"/>
        </w:rPr>
      </w:pPr>
    </w:p>
    <w:p w14:paraId="13687590" w14:textId="77777777" w:rsidR="00530E7A" w:rsidRPr="00514593" w:rsidRDefault="00530E7A" w:rsidP="00530E7A">
      <w:pPr>
        <w:tabs>
          <w:tab w:val="left" w:pos="3206"/>
        </w:tabs>
        <w:spacing w:line="360" w:lineRule="auto"/>
        <w:jc w:val="both"/>
        <w:rPr>
          <w:rFonts w:ascii="Palatino Linotype" w:hAnsi="Palatino Linotype" w:cs="Arial"/>
          <w:b/>
          <w:sz w:val="28"/>
        </w:rPr>
      </w:pPr>
      <w:r w:rsidRPr="00514593">
        <w:rPr>
          <w:rFonts w:ascii="Palatino Linotype" w:hAnsi="Palatino Linotype" w:cs="Arial"/>
          <w:b/>
          <w:sz w:val="28"/>
        </w:rPr>
        <w:t>SÉPTIMO. Del cierre de instrucción.</w:t>
      </w:r>
      <w:r w:rsidRPr="00514593">
        <w:rPr>
          <w:rFonts w:ascii="Palatino Linotype" w:hAnsi="Palatino Linotype" w:cs="Arial"/>
          <w:b/>
          <w:sz w:val="28"/>
        </w:rPr>
        <w:tab/>
      </w:r>
    </w:p>
    <w:p w14:paraId="2972BE60" w14:textId="4858EF6E" w:rsidR="00530E7A" w:rsidRPr="00514593" w:rsidRDefault="00530E7A" w:rsidP="00530E7A">
      <w:pPr>
        <w:spacing w:line="360" w:lineRule="auto"/>
        <w:jc w:val="both"/>
        <w:rPr>
          <w:rFonts w:ascii="Palatino Linotype" w:hAnsi="Palatino Linotype" w:cs="Arial"/>
        </w:rPr>
      </w:pPr>
      <w:r w:rsidRPr="00514593">
        <w:rPr>
          <w:rFonts w:ascii="Palatino Linotype" w:hAnsi="Palatino Linotype" w:cs="Arial"/>
        </w:rPr>
        <w:t xml:space="preserve">Así, una vez transcurrido el término legal, procedió a decretarse el cierre de instrucción en fecha </w:t>
      </w:r>
      <w:r w:rsidR="0074542D" w:rsidRPr="00514593">
        <w:rPr>
          <w:rFonts w:ascii="Palatino Linotype" w:hAnsi="Palatino Linotype" w:cs="Arial"/>
          <w:b/>
        </w:rPr>
        <w:t>doce de mayo</w:t>
      </w:r>
      <w:r w:rsidRPr="00514593">
        <w:rPr>
          <w:rFonts w:ascii="Palatino Linotype" w:hAnsi="Palatino Linotype" w:cs="Arial"/>
          <w:b/>
        </w:rPr>
        <w:t xml:space="preserve"> de dos mil veintiséis</w:t>
      </w:r>
      <w:r w:rsidRPr="00514593">
        <w:rPr>
          <w:rFonts w:ascii="Palatino Linotype" w:hAnsi="Palatino Linotype" w:cs="Arial"/>
        </w:rPr>
        <w:t>, en términos del artículo 185, Fracción VI, de la Ley de Transparencia y Acceso a la Información Pública del Estado de México y Municipios, iniciando el término legal para dictar resolución definitiva del asunto.</w:t>
      </w:r>
    </w:p>
    <w:p w14:paraId="31FE3108" w14:textId="77777777" w:rsidR="00530E7A" w:rsidRPr="00514593" w:rsidRDefault="00530E7A" w:rsidP="00530E7A">
      <w:pPr>
        <w:spacing w:line="360" w:lineRule="auto"/>
        <w:jc w:val="both"/>
        <w:rPr>
          <w:rFonts w:ascii="Palatino Linotype" w:hAnsi="Palatino Linotype" w:cs="Arial"/>
        </w:rPr>
      </w:pPr>
    </w:p>
    <w:p w14:paraId="7FABD6AB" w14:textId="77777777" w:rsidR="00530E7A" w:rsidRPr="00514593" w:rsidRDefault="00530E7A" w:rsidP="00530E7A">
      <w:pPr>
        <w:keepNext/>
        <w:keepLines/>
        <w:spacing w:line="360" w:lineRule="auto"/>
        <w:jc w:val="both"/>
        <w:outlineLvl w:val="1"/>
        <w:rPr>
          <w:rFonts w:ascii="Palatino Linotype" w:hAnsi="Palatino Linotype" w:cs="Palatino Linotype"/>
          <w:color w:val="000000"/>
          <w:lang w:val="es-ES_tradnl" w:eastAsia="es-MX"/>
        </w:rPr>
      </w:pPr>
      <w:r w:rsidRPr="00514593">
        <w:rPr>
          <w:rFonts w:ascii="Palatino Linotype" w:hAnsi="Palatino Linotype"/>
          <w:b/>
          <w:color w:val="000000" w:themeColor="text1"/>
          <w:sz w:val="28"/>
          <w:szCs w:val="28"/>
          <w:lang w:val="es-ES_tradnl" w:eastAsia="es-MX"/>
        </w:rPr>
        <w:lastRenderedPageBreak/>
        <w:t xml:space="preserve">OCTAVO. </w:t>
      </w:r>
      <w:r w:rsidRPr="00514593">
        <w:rPr>
          <w:rFonts w:ascii="Palatino Linotype" w:eastAsia="Calibri" w:hAnsi="Palatino Linotype" w:cs="Arial"/>
          <w:b/>
          <w:sz w:val="28"/>
          <w:lang w:val="es-ES_tradnl"/>
        </w:rPr>
        <w:t>De la ampliación del término para resolver.</w:t>
      </w:r>
    </w:p>
    <w:p w14:paraId="7E576B5C" w14:textId="76EA82A8" w:rsidR="00530E7A" w:rsidRPr="00514593" w:rsidRDefault="00530E7A" w:rsidP="00530E7A">
      <w:pPr>
        <w:spacing w:line="360" w:lineRule="auto"/>
        <w:contextualSpacing/>
        <w:jc w:val="both"/>
        <w:rPr>
          <w:rFonts w:ascii="Palatino Linotype" w:hAnsi="Palatino Linotype"/>
        </w:rPr>
      </w:pPr>
      <w:r w:rsidRPr="00514593">
        <w:rPr>
          <w:rFonts w:ascii="Palatino Linotype" w:hAnsi="Palatino Linotype"/>
        </w:rPr>
        <w:t>De las constancias que integran el expediente electrónico, se advierte que han transcurrido los términos de Ley, para la emisión de la resolución en el presente recurso de revisión, por lo que en fecha</w:t>
      </w:r>
      <w:r w:rsidRPr="00514593">
        <w:rPr>
          <w:rFonts w:ascii="Palatino Linotype" w:hAnsi="Palatino Linotype"/>
          <w:b/>
        </w:rPr>
        <w:t xml:space="preserve"> </w:t>
      </w:r>
      <w:r w:rsidR="0074542D" w:rsidRPr="00514593">
        <w:rPr>
          <w:rFonts w:ascii="Palatino Linotype" w:hAnsi="Palatino Linotype" w:cs="Arial"/>
          <w:b/>
        </w:rPr>
        <w:t>doce de mayo</w:t>
      </w:r>
      <w:r w:rsidRPr="00514593">
        <w:rPr>
          <w:rFonts w:ascii="Palatino Linotype" w:hAnsi="Palatino Linotype" w:cs="Arial"/>
          <w:b/>
        </w:rPr>
        <w:t xml:space="preserve"> de dos mil veintiséis</w:t>
      </w:r>
      <w:r w:rsidRPr="00514593">
        <w:rPr>
          <w:rFonts w:ascii="Palatino Linotype" w:hAnsi="Palatino Linotype"/>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7ABE9165" w14:textId="77777777" w:rsidR="00530E7A" w:rsidRPr="00514593" w:rsidRDefault="00530E7A" w:rsidP="00530E7A">
      <w:pPr>
        <w:spacing w:line="360" w:lineRule="auto"/>
        <w:contextualSpacing/>
        <w:jc w:val="both"/>
        <w:rPr>
          <w:rFonts w:ascii="Palatino Linotype" w:hAnsi="Palatino Linotype"/>
        </w:rPr>
      </w:pPr>
    </w:p>
    <w:p w14:paraId="7BDCBBF6" w14:textId="77777777" w:rsidR="00530E7A" w:rsidRPr="00514593" w:rsidRDefault="00530E7A" w:rsidP="00530E7A">
      <w:pPr>
        <w:spacing w:line="360" w:lineRule="auto"/>
        <w:contextualSpacing/>
        <w:jc w:val="both"/>
        <w:rPr>
          <w:rFonts w:ascii="Palatino Linotype" w:hAnsi="Palatino Linotype"/>
        </w:rPr>
      </w:pPr>
      <w:r w:rsidRPr="00514593">
        <w:rPr>
          <w:rFonts w:ascii="Palatino Linotype" w:hAnsi="Palatino Linotype"/>
        </w:rPr>
        <w:t xml:space="preserve">Este organismo garante no pasa por alto justificar, que el plazo para emitir resolución en el presente asunto encuentra justificación en el alto número de recursos de revisión recibidos, circunstancia atípica que ha rebasado las capacidades técnicas y humanas del personal encargado de la proyección de las resoluciones a dichos medios de impugnación. </w:t>
      </w:r>
    </w:p>
    <w:p w14:paraId="5E23B856" w14:textId="77777777" w:rsidR="00530E7A" w:rsidRPr="00514593" w:rsidRDefault="00530E7A" w:rsidP="00530E7A">
      <w:pPr>
        <w:spacing w:line="360" w:lineRule="auto"/>
        <w:contextualSpacing/>
        <w:jc w:val="both"/>
        <w:rPr>
          <w:rFonts w:ascii="Palatino Linotype" w:hAnsi="Palatino Linotype"/>
        </w:rPr>
      </w:pPr>
    </w:p>
    <w:p w14:paraId="1B63B1B5" w14:textId="77777777" w:rsidR="00530E7A" w:rsidRPr="00514593" w:rsidRDefault="00530E7A" w:rsidP="00530E7A">
      <w:pPr>
        <w:spacing w:line="360" w:lineRule="auto"/>
        <w:contextualSpacing/>
        <w:jc w:val="both"/>
        <w:rPr>
          <w:rFonts w:ascii="Palatino Linotype" w:hAnsi="Palatino Linotype"/>
        </w:rPr>
      </w:pPr>
      <w:r w:rsidRPr="00514593">
        <w:rPr>
          <w:rFonts w:ascii="Palatino Linotype" w:hAnsi="Palatino Linotype"/>
        </w:rPr>
        <w:t>Por ello, es menester precisar que si bien se ha excedido el plazo para resolver el presente medio de impugnación, de conformidad con la ley de la materia, el plazo para emitir resolución se encuentra justificado en los elementos para medir su razonabilidad de asuntos conforme a los parámetros establecidos por diversos órganos jurisdiccionales federales, aplicables también en procedimientos análogos, como el que nos ocupa.</w:t>
      </w:r>
    </w:p>
    <w:p w14:paraId="5AA526E6" w14:textId="77777777" w:rsidR="00530E7A" w:rsidRPr="00514593" w:rsidRDefault="00530E7A" w:rsidP="00530E7A">
      <w:pPr>
        <w:spacing w:line="360" w:lineRule="auto"/>
        <w:contextualSpacing/>
        <w:jc w:val="both"/>
        <w:rPr>
          <w:rFonts w:ascii="Palatino Linotype" w:hAnsi="Palatino Linotype"/>
        </w:rPr>
      </w:pPr>
      <w:r w:rsidRPr="00514593">
        <w:rPr>
          <w:rFonts w:ascii="Palatino Linotype" w:hAnsi="Palatino Linotype"/>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 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w:t>
      </w:r>
    </w:p>
    <w:p w14:paraId="0CD21D99" w14:textId="77777777" w:rsidR="00530E7A" w:rsidRPr="00514593" w:rsidRDefault="00530E7A" w:rsidP="00530E7A">
      <w:pPr>
        <w:spacing w:line="360" w:lineRule="auto"/>
        <w:contextualSpacing/>
        <w:jc w:val="both"/>
        <w:rPr>
          <w:rFonts w:ascii="Palatino Linotype" w:hAnsi="Palatino Linotype" w:cs="Palatino Linotype"/>
          <w:color w:val="000000"/>
          <w:lang w:val="es-ES_tradnl" w:eastAsia="es-MX"/>
        </w:rPr>
      </w:pPr>
    </w:p>
    <w:p w14:paraId="73C63A77" w14:textId="77777777" w:rsidR="00530E7A" w:rsidRPr="00514593" w:rsidRDefault="00530E7A" w:rsidP="00530E7A">
      <w:pPr>
        <w:spacing w:line="360" w:lineRule="auto"/>
        <w:contextualSpacing/>
        <w:jc w:val="both"/>
        <w:rPr>
          <w:rFonts w:ascii="Palatino Linotype" w:hAnsi="Palatino Linotype"/>
        </w:rPr>
      </w:pPr>
      <w:r w:rsidRPr="00514593">
        <w:rPr>
          <w:rFonts w:ascii="Palatino Linotype" w:hAnsi="Palatino Linotype"/>
        </w:rPr>
        <w:t xml:space="preserve">Por ello, excepcionalmente, si un asunto es resuelto con posterioridad a los plazos señalados por la norma debe analizarse la razonabilidad del tiempo necesario para su resolución, atentos a los siguientes criterios: </w:t>
      </w:r>
    </w:p>
    <w:p w14:paraId="16BDD6CD" w14:textId="77777777" w:rsidR="00530E7A" w:rsidRPr="00514593" w:rsidRDefault="00530E7A" w:rsidP="00530E7A">
      <w:pPr>
        <w:pStyle w:val="Prrafodelista"/>
        <w:numPr>
          <w:ilvl w:val="0"/>
          <w:numId w:val="34"/>
        </w:numPr>
        <w:contextualSpacing/>
        <w:rPr>
          <w:sz w:val="22"/>
          <w:szCs w:val="22"/>
        </w:rPr>
      </w:pPr>
      <w:r w:rsidRPr="00514593">
        <w:rPr>
          <w:b/>
          <w:sz w:val="22"/>
          <w:szCs w:val="22"/>
        </w:rPr>
        <w:t>Complejidad del asunto</w:t>
      </w:r>
      <w:r w:rsidRPr="00514593">
        <w:rPr>
          <w:sz w:val="22"/>
          <w:szCs w:val="22"/>
        </w:rPr>
        <w:t>: La complejidad de la prueba, la pluralidad de sujetos procesales, el tiempo transcurrido, las características y contexto del recurso.</w:t>
      </w:r>
    </w:p>
    <w:p w14:paraId="0BE63BC9" w14:textId="77777777" w:rsidR="00530E7A" w:rsidRPr="00514593" w:rsidRDefault="00530E7A" w:rsidP="00530E7A">
      <w:pPr>
        <w:pStyle w:val="Prrafodelista"/>
        <w:ind w:left="1065"/>
        <w:rPr>
          <w:sz w:val="22"/>
          <w:szCs w:val="22"/>
        </w:rPr>
      </w:pPr>
    </w:p>
    <w:p w14:paraId="1A90422C" w14:textId="77777777" w:rsidR="00530E7A" w:rsidRPr="00514593" w:rsidRDefault="00530E7A" w:rsidP="00530E7A">
      <w:pPr>
        <w:pStyle w:val="Prrafodelista"/>
        <w:numPr>
          <w:ilvl w:val="0"/>
          <w:numId w:val="34"/>
        </w:numPr>
        <w:contextualSpacing/>
        <w:rPr>
          <w:sz w:val="22"/>
          <w:szCs w:val="22"/>
        </w:rPr>
      </w:pPr>
      <w:r w:rsidRPr="00514593">
        <w:rPr>
          <w:b/>
          <w:sz w:val="22"/>
          <w:szCs w:val="22"/>
        </w:rPr>
        <w:t>Actividad Procesal del interesado:</w:t>
      </w:r>
      <w:r w:rsidRPr="00514593">
        <w:rPr>
          <w:sz w:val="22"/>
          <w:szCs w:val="22"/>
        </w:rPr>
        <w:t xml:space="preserve"> Acciones u omisiones del interesado. </w:t>
      </w:r>
    </w:p>
    <w:p w14:paraId="2B4755A5" w14:textId="77777777" w:rsidR="00530E7A" w:rsidRPr="00514593" w:rsidRDefault="00530E7A" w:rsidP="00530E7A">
      <w:pPr>
        <w:spacing w:line="360" w:lineRule="auto"/>
        <w:jc w:val="both"/>
        <w:rPr>
          <w:rFonts w:ascii="Palatino Linotype" w:hAnsi="Palatino Linotype"/>
        </w:rPr>
      </w:pPr>
    </w:p>
    <w:p w14:paraId="6AAD759A" w14:textId="77777777" w:rsidR="00530E7A" w:rsidRPr="00514593" w:rsidRDefault="00530E7A" w:rsidP="00530E7A">
      <w:pPr>
        <w:pStyle w:val="Prrafodelista"/>
        <w:numPr>
          <w:ilvl w:val="0"/>
          <w:numId w:val="34"/>
        </w:numPr>
        <w:contextualSpacing/>
        <w:rPr>
          <w:sz w:val="22"/>
          <w:szCs w:val="22"/>
        </w:rPr>
      </w:pPr>
      <w:r w:rsidRPr="00514593">
        <w:rPr>
          <w:b/>
          <w:sz w:val="22"/>
          <w:szCs w:val="22"/>
        </w:rPr>
        <w:t>Conducta de la Autoridad</w:t>
      </w:r>
      <w:r w:rsidRPr="00514593">
        <w:rPr>
          <w:sz w:val="22"/>
          <w:szCs w:val="22"/>
        </w:rPr>
        <w:t>: Las Acciones u omisiones realizadas en el procedimiento. Así como si la autoridad actuó con la debida diligencia.</w:t>
      </w:r>
    </w:p>
    <w:p w14:paraId="1B858CE8" w14:textId="77777777" w:rsidR="00530E7A" w:rsidRPr="00514593" w:rsidRDefault="00530E7A" w:rsidP="00530E7A">
      <w:pPr>
        <w:pStyle w:val="Prrafodelista"/>
        <w:ind w:left="1065"/>
        <w:rPr>
          <w:sz w:val="22"/>
          <w:szCs w:val="22"/>
        </w:rPr>
      </w:pPr>
    </w:p>
    <w:p w14:paraId="6D7B72B3" w14:textId="77777777" w:rsidR="00530E7A" w:rsidRPr="00514593" w:rsidRDefault="00530E7A" w:rsidP="00530E7A">
      <w:pPr>
        <w:spacing w:line="360" w:lineRule="auto"/>
        <w:ind w:left="705" w:firstLine="60"/>
        <w:contextualSpacing/>
        <w:jc w:val="both"/>
        <w:rPr>
          <w:rFonts w:ascii="Palatino Linotype" w:hAnsi="Palatino Linotype"/>
        </w:rPr>
      </w:pPr>
      <w:r w:rsidRPr="00514593">
        <w:rPr>
          <w:rFonts w:ascii="Palatino Linotype" w:hAnsi="Palatino Linotype"/>
        </w:rPr>
        <w:t xml:space="preserve">d) </w:t>
      </w:r>
      <w:r w:rsidRPr="00514593">
        <w:rPr>
          <w:rFonts w:ascii="Palatino Linotype" w:hAnsi="Palatino Linotype"/>
          <w:b/>
        </w:rPr>
        <w:t>La afectación generada en la situación jurídica de la persona involucrada en el proceso</w:t>
      </w:r>
      <w:r w:rsidRPr="00514593">
        <w:rPr>
          <w:rFonts w:ascii="Palatino Linotype" w:hAnsi="Palatino Linotype"/>
        </w:rPr>
        <w:t>: Violación a sus derechos humanos.</w:t>
      </w:r>
    </w:p>
    <w:p w14:paraId="33EC35BD" w14:textId="77777777" w:rsidR="00530E7A" w:rsidRPr="00514593" w:rsidRDefault="00530E7A" w:rsidP="00530E7A">
      <w:pPr>
        <w:spacing w:line="360" w:lineRule="auto"/>
        <w:contextualSpacing/>
        <w:jc w:val="both"/>
        <w:rPr>
          <w:rFonts w:ascii="Palatino Linotype" w:hAnsi="Palatino Linotype"/>
        </w:rPr>
      </w:pPr>
    </w:p>
    <w:p w14:paraId="07D65F1E" w14:textId="77777777" w:rsidR="00530E7A" w:rsidRPr="00514593" w:rsidRDefault="00530E7A" w:rsidP="00530E7A">
      <w:pPr>
        <w:spacing w:line="360" w:lineRule="auto"/>
        <w:contextualSpacing/>
        <w:jc w:val="both"/>
        <w:rPr>
          <w:rFonts w:ascii="Palatino Linotype" w:hAnsi="Palatino Linotype"/>
        </w:rPr>
      </w:pPr>
      <w:r w:rsidRPr="00514593">
        <w:rPr>
          <w:rFonts w:ascii="Palatino Linotype" w:hAnsi="Palatino Linotype"/>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 Argumento que encuentra sustento en la jurisprudencia P./J. 32/92 emitida por el Pleno de la Suprema Corte de Justicia de la Nación de rubro “</w:t>
      </w:r>
      <w:r w:rsidRPr="00514593">
        <w:rPr>
          <w:rFonts w:ascii="Palatino Linotype" w:hAnsi="Palatino Linotype"/>
          <w:i/>
        </w:rPr>
        <w:t>TÉRMINOS PROCESALES. PARA DETERMINAR SI UN FUNCIONARIO JUDICIAL ACTUÓ INDEBIDAMENTE POR NO RESPETARLOS SE DEBE ATENDER AL PRESUPUESTO QUE CONSIDERÓ EL LEGISLADOR AL FIJARLOS Y LAS CARACTERÍSTICAS DEL CASO</w:t>
      </w:r>
      <w:r w:rsidRPr="00514593">
        <w:rPr>
          <w:rFonts w:ascii="Palatino Linotype" w:hAnsi="Palatino Linotype"/>
        </w:rPr>
        <w:t xml:space="preserve">.”, visible en la Gaceta del Seminario Judicial de la Federación con el registro digital 205635. </w:t>
      </w:r>
    </w:p>
    <w:p w14:paraId="460BB201" w14:textId="77777777" w:rsidR="00530E7A" w:rsidRPr="00514593" w:rsidRDefault="00530E7A" w:rsidP="00530E7A">
      <w:pPr>
        <w:spacing w:line="360" w:lineRule="auto"/>
        <w:contextualSpacing/>
        <w:jc w:val="both"/>
        <w:rPr>
          <w:rFonts w:ascii="Palatino Linotype" w:hAnsi="Palatino Linotype"/>
        </w:rPr>
      </w:pPr>
    </w:p>
    <w:p w14:paraId="49B89B5E" w14:textId="77777777" w:rsidR="00530E7A" w:rsidRPr="00514593" w:rsidRDefault="00530E7A" w:rsidP="00530E7A">
      <w:pPr>
        <w:spacing w:line="360" w:lineRule="auto"/>
        <w:contextualSpacing/>
        <w:jc w:val="both"/>
        <w:rPr>
          <w:rFonts w:ascii="Palatino Linotype" w:hAnsi="Palatino Linotype"/>
        </w:rPr>
      </w:pPr>
      <w:r w:rsidRPr="00514593">
        <w:rPr>
          <w:rFonts w:ascii="Palatino Linotype" w:hAnsi="Palatino Linotype"/>
        </w:rPr>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4A2D382B" w14:textId="77777777" w:rsidR="00530E7A" w:rsidRPr="00514593" w:rsidRDefault="00530E7A" w:rsidP="00530E7A">
      <w:pPr>
        <w:spacing w:line="360" w:lineRule="auto"/>
        <w:contextualSpacing/>
        <w:jc w:val="both"/>
        <w:rPr>
          <w:rFonts w:ascii="Palatino Linotype" w:hAnsi="Palatino Linotype"/>
        </w:rPr>
      </w:pPr>
    </w:p>
    <w:p w14:paraId="43D0AD5A" w14:textId="77777777" w:rsidR="00530E7A" w:rsidRPr="00514593" w:rsidRDefault="00530E7A" w:rsidP="00530E7A">
      <w:pPr>
        <w:spacing w:line="360" w:lineRule="auto"/>
        <w:contextualSpacing/>
        <w:jc w:val="both"/>
        <w:rPr>
          <w:rFonts w:ascii="Palatino Linotype" w:hAnsi="Palatino Linotype"/>
        </w:rPr>
      </w:pPr>
      <w:r w:rsidRPr="00514593">
        <w:rPr>
          <w:rFonts w:ascii="Palatino Linotype" w:hAnsi="Palatino Linotype"/>
        </w:rPr>
        <w:t xml:space="preserve">Al respecto, también son de considerar los criterios sostenidos por el Cuarto Tribunal Colegiado en Materia Administrativa del Primer Circuito, cuyos rubros y datos de identificación son los siguientes: </w:t>
      </w:r>
    </w:p>
    <w:p w14:paraId="37972678" w14:textId="77777777" w:rsidR="00530E7A" w:rsidRPr="00514593" w:rsidRDefault="00530E7A" w:rsidP="00530E7A">
      <w:pPr>
        <w:spacing w:line="360" w:lineRule="auto"/>
        <w:ind w:left="708"/>
        <w:contextualSpacing/>
        <w:jc w:val="both"/>
        <w:rPr>
          <w:rFonts w:ascii="Palatino Linotype" w:hAnsi="Palatino Linotype"/>
          <w:i/>
        </w:rPr>
      </w:pPr>
      <w:r w:rsidRPr="00514593">
        <w:rPr>
          <w:rFonts w:ascii="Palatino Linotype" w:hAnsi="Palatino Linotype"/>
          <w:i/>
        </w:rPr>
        <w:t>“</w:t>
      </w:r>
      <w:r w:rsidRPr="00514593">
        <w:rPr>
          <w:rFonts w:ascii="Palatino Linotype" w:hAnsi="Palatino Linotype"/>
          <w:b/>
          <w:i/>
        </w:rPr>
        <w:t>PLAZO RAZONABLE PARA RESOLVER. DIMENSIÓN Y EFECTOS DE ESTE CONCEPTO CUANDO SE ADUCE EXCESIVA CARGA DE TRABAJO.”</w:t>
      </w:r>
      <w:r w:rsidRPr="00514593">
        <w:rPr>
          <w:rFonts w:ascii="Palatino Linotype" w:hAnsi="Palatino Linotype"/>
          <w:i/>
        </w:rPr>
        <w:t xml:space="preserve"> consultable en el Seminario Judicial de la Federación y su gaceta, con el registro digital 2002351. </w:t>
      </w:r>
    </w:p>
    <w:p w14:paraId="3CAB9C17" w14:textId="77777777" w:rsidR="00530E7A" w:rsidRPr="00514593" w:rsidRDefault="00530E7A" w:rsidP="00530E7A">
      <w:pPr>
        <w:spacing w:line="360" w:lineRule="auto"/>
        <w:ind w:left="708"/>
        <w:contextualSpacing/>
        <w:jc w:val="both"/>
        <w:rPr>
          <w:rFonts w:ascii="Palatino Linotype" w:hAnsi="Palatino Linotype"/>
          <w:i/>
        </w:rPr>
      </w:pPr>
    </w:p>
    <w:p w14:paraId="1E8FF7AC" w14:textId="77777777" w:rsidR="00530E7A" w:rsidRPr="00514593" w:rsidRDefault="00530E7A" w:rsidP="00530E7A">
      <w:pPr>
        <w:spacing w:line="360" w:lineRule="auto"/>
        <w:ind w:left="708"/>
        <w:contextualSpacing/>
        <w:jc w:val="both"/>
        <w:rPr>
          <w:rFonts w:ascii="Palatino Linotype" w:hAnsi="Palatino Linotype"/>
          <w:i/>
        </w:rPr>
      </w:pPr>
      <w:r w:rsidRPr="00514593">
        <w:rPr>
          <w:rFonts w:ascii="Palatino Linotype" w:hAnsi="Palatino Linotype"/>
          <w:i/>
        </w:rPr>
        <w:t>“</w:t>
      </w:r>
      <w:r w:rsidRPr="00514593">
        <w:rPr>
          <w:rFonts w:ascii="Palatino Linotype" w:hAnsi="Palatino Linotype"/>
          <w:b/>
          <w:i/>
        </w:rPr>
        <w:t>PLAZO RAZONABLE PARA RESOLVER. CONCEPTO Y ELEMENTOS QUE LO INTEGRAN A LA LUZ DEL DERECHO INTERNACIONAL DE LOS DERECHOS HUMANOS</w:t>
      </w:r>
      <w:r w:rsidRPr="00514593">
        <w:rPr>
          <w:rFonts w:ascii="Palatino Linotype" w:hAnsi="Palatino Linotype"/>
          <w:i/>
        </w:rPr>
        <w:t xml:space="preserve">.”, visible en el Seminario Judicial de la Federación y su gaceta, con el registro digital 2002350. </w:t>
      </w:r>
    </w:p>
    <w:p w14:paraId="141D48BF" w14:textId="77777777" w:rsidR="00530E7A" w:rsidRPr="00514593" w:rsidRDefault="00530E7A" w:rsidP="00530E7A">
      <w:pPr>
        <w:spacing w:line="360" w:lineRule="auto"/>
        <w:contextualSpacing/>
        <w:jc w:val="both"/>
        <w:rPr>
          <w:rFonts w:ascii="Palatino Linotype" w:hAnsi="Palatino Linotype"/>
        </w:rPr>
      </w:pPr>
    </w:p>
    <w:p w14:paraId="427C70E6" w14:textId="77777777" w:rsidR="00530E7A" w:rsidRPr="00514593" w:rsidRDefault="00530E7A" w:rsidP="00530E7A">
      <w:pPr>
        <w:spacing w:line="360" w:lineRule="auto"/>
        <w:contextualSpacing/>
        <w:jc w:val="both"/>
        <w:rPr>
          <w:rFonts w:ascii="Palatino Linotype" w:hAnsi="Palatino Linotype"/>
        </w:rPr>
      </w:pPr>
      <w:r w:rsidRPr="00514593">
        <w:rPr>
          <w:rFonts w:ascii="Palatino Linotype" w:hAnsi="Palatino Linotype"/>
        </w:rPr>
        <w:t>Por ello, este organismo garante comprometido con la tutela de los derechos humanos confiados, señala que este exceso del plazo legal para resolver el presente asunto, resulta de carácter excepcional</w:t>
      </w:r>
      <w:r w:rsidRPr="00514593">
        <w:t>.</w:t>
      </w:r>
    </w:p>
    <w:p w14:paraId="3B03F328" w14:textId="77777777" w:rsidR="00530E7A" w:rsidRPr="00514593" w:rsidRDefault="00530E7A" w:rsidP="00530E7A">
      <w:pPr>
        <w:spacing w:after="0" w:line="360" w:lineRule="auto"/>
        <w:jc w:val="both"/>
        <w:rPr>
          <w:rFonts w:ascii="Palatino Linotype" w:eastAsia="Times New Roman" w:hAnsi="Palatino Linotype" w:cs="Calibri"/>
          <w:sz w:val="24"/>
          <w:lang w:val="es-ES"/>
        </w:rPr>
      </w:pPr>
    </w:p>
    <w:p w14:paraId="219429F0" w14:textId="77777777" w:rsidR="00530E7A" w:rsidRPr="00514593" w:rsidRDefault="00530E7A" w:rsidP="00530E7A">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r w:rsidRPr="00514593">
        <w:rPr>
          <w:rFonts w:ascii="Palatino Linotype" w:eastAsia="Times New Roman" w:hAnsi="Palatino Linotype" w:cs="Times New Roman"/>
          <w:b/>
          <w:color w:val="000000" w:themeColor="text1"/>
          <w:sz w:val="28"/>
          <w:szCs w:val="32"/>
          <w:lang w:val="es-ES_tradnl" w:eastAsia="es-ES"/>
        </w:rPr>
        <w:lastRenderedPageBreak/>
        <w:t>C O N S I D E R A N D O</w:t>
      </w:r>
    </w:p>
    <w:p w14:paraId="4C199EF3" w14:textId="77777777" w:rsidR="00530E7A" w:rsidRPr="00514593" w:rsidRDefault="00530E7A" w:rsidP="00530E7A">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0DF3A40D" w14:textId="77777777" w:rsidR="00530E7A" w:rsidRPr="00514593" w:rsidRDefault="00530E7A" w:rsidP="00530E7A">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514593">
        <w:rPr>
          <w:rFonts w:ascii="Palatino Linotype" w:eastAsia="Times New Roman" w:hAnsi="Palatino Linotype" w:cs="Times New Roman"/>
          <w:b/>
          <w:color w:val="000000" w:themeColor="text1"/>
          <w:sz w:val="26"/>
          <w:szCs w:val="26"/>
          <w:lang w:val="es-ES_tradnl" w:eastAsia="es-MX"/>
        </w:rPr>
        <w:t>PRIMERO. De la competencia.</w:t>
      </w:r>
    </w:p>
    <w:p w14:paraId="56E93D0B" w14:textId="77777777" w:rsidR="00530E7A" w:rsidRPr="00514593" w:rsidRDefault="00530E7A" w:rsidP="00530E7A">
      <w:pPr>
        <w:spacing w:line="360" w:lineRule="auto"/>
        <w:jc w:val="both"/>
        <w:rPr>
          <w:rFonts w:ascii="Palatino Linotype" w:hAnsi="Palatino Linotype"/>
          <w:sz w:val="24"/>
          <w:szCs w:val="24"/>
        </w:rPr>
      </w:pPr>
      <w:r w:rsidRPr="00514593">
        <w:rPr>
          <w:rFonts w:ascii="Palatino Linotype" w:hAnsi="Palatino Linotype"/>
          <w:sz w:val="24"/>
          <w:szCs w:val="24"/>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4CD7C349" w14:textId="77777777" w:rsidR="00530E7A" w:rsidRPr="00514593" w:rsidRDefault="00530E7A" w:rsidP="00530E7A">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0C6B9DC4" w14:textId="77777777" w:rsidR="00530E7A" w:rsidRPr="00514593" w:rsidRDefault="00530E7A" w:rsidP="00530E7A">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514593">
        <w:rPr>
          <w:rFonts w:ascii="Palatino Linotype" w:eastAsia="Times New Roman" w:hAnsi="Palatino Linotype" w:cs="Times New Roman"/>
          <w:b/>
          <w:color w:val="000000" w:themeColor="text1"/>
          <w:sz w:val="26"/>
          <w:szCs w:val="26"/>
          <w:lang w:val="es-ES_tradnl" w:eastAsia="es-MX"/>
        </w:rPr>
        <w:t xml:space="preserve">SEGUNDO. Sobre los alcances del recurso de revisión. </w:t>
      </w:r>
    </w:p>
    <w:p w14:paraId="17901E4E" w14:textId="77777777" w:rsidR="00530E7A" w:rsidRPr="00514593" w:rsidRDefault="00530E7A" w:rsidP="00530E7A">
      <w:pPr>
        <w:spacing w:after="0" w:line="360" w:lineRule="auto"/>
        <w:jc w:val="both"/>
        <w:rPr>
          <w:rFonts w:ascii="Palatino Linotype" w:eastAsia="Times New Roman" w:hAnsi="Palatino Linotype" w:cs="Calibri"/>
          <w:sz w:val="24"/>
          <w:lang w:val="es-ES_tradnl" w:eastAsia="es-MX"/>
        </w:rPr>
      </w:pPr>
      <w:r w:rsidRPr="00514593">
        <w:rPr>
          <w:rFonts w:ascii="Palatino Linotype" w:eastAsia="Times New Roman" w:hAnsi="Palatino Linotype" w:cs="Calibri"/>
          <w:sz w:val="24"/>
          <w:lang w:val="es-ES_tradnl" w:eastAsia="es-MX"/>
        </w:rPr>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0EE74F5C" w14:textId="77777777" w:rsidR="00530E7A" w:rsidRPr="00514593" w:rsidRDefault="00530E7A" w:rsidP="00530E7A">
      <w:pPr>
        <w:spacing w:after="0" w:line="360" w:lineRule="auto"/>
        <w:jc w:val="both"/>
        <w:rPr>
          <w:rFonts w:ascii="Palatino Linotype" w:eastAsia="Times New Roman" w:hAnsi="Palatino Linotype" w:cs="Calibri"/>
          <w:sz w:val="24"/>
          <w:lang w:val="es-ES_tradnl" w:eastAsia="es-MX"/>
        </w:rPr>
      </w:pPr>
    </w:p>
    <w:p w14:paraId="5ADC38AA" w14:textId="77777777" w:rsidR="00530E7A" w:rsidRPr="00514593" w:rsidRDefault="00530E7A" w:rsidP="00530E7A">
      <w:pPr>
        <w:autoSpaceDE w:val="0"/>
        <w:autoSpaceDN w:val="0"/>
        <w:adjustRightInd w:val="0"/>
        <w:spacing w:before="240"/>
        <w:rPr>
          <w:rFonts w:ascii="Palatino Linotype" w:hAnsi="Palatino Linotype" w:cs="Arial"/>
          <w:b/>
        </w:rPr>
      </w:pPr>
      <w:r w:rsidRPr="00514593">
        <w:rPr>
          <w:rFonts w:ascii="Palatino Linotype" w:hAnsi="Palatino Linotype" w:cs="Arial"/>
          <w:b/>
          <w:sz w:val="28"/>
          <w:szCs w:val="28"/>
        </w:rPr>
        <w:lastRenderedPageBreak/>
        <w:t>TERCERO. Cuestiones de previo y especial pronunciamiento</w:t>
      </w:r>
    </w:p>
    <w:p w14:paraId="4D76AD18" w14:textId="77777777" w:rsidR="00530E7A" w:rsidRPr="00514593" w:rsidRDefault="00530E7A" w:rsidP="00530E7A">
      <w:pPr>
        <w:autoSpaceDE w:val="0"/>
        <w:autoSpaceDN w:val="0"/>
        <w:adjustRightInd w:val="0"/>
        <w:spacing w:before="240" w:line="360" w:lineRule="auto"/>
        <w:jc w:val="both"/>
        <w:rPr>
          <w:rFonts w:ascii="Palatino Linotype" w:hAnsi="Palatino Linotype"/>
        </w:rPr>
      </w:pPr>
      <w:r w:rsidRPr="00514593">
        <w:rPr>
          <w:rFonts w:ascii="Palatino Linotype" w:hAnsi="Palatino Linotype"/>
        </w:rPr>
        <w:t>El Recurso de Revisión en estudio contiene los elementos normativos de validez exigidos en la Ley de Transparencia y Acceso a la Información Pública del Estado de México y Municipios, establecidos en el artículo 180 que enuncia:</w:t>
      </w:r>
    </w:p>
    <w:p w14:paraId="5CDB5BAA" w14:textId="77777777" w:rsidR="00530E7A" w:rsidRPr="00514593" w:rsidRDefault="00530E7A" w:rsidP="00530E7A">
      <w:pPr>
        <w:autoSpaceDE w:val="0"/>
        <w:autoSpaceDN w:val="0"/>
        <w:adjustRightInd w:val="0"/>
        <w:spacing w:before="240" w:line="360" w:lineRule="auto"/>
        <w:ind w:left="360" w:firstLine="348"/>
        <w:jc w:val="both"/>
        <w:rPr>
          <w:rFonts w:ascii="Palatino Linotype" w:hAnsi="Palatino Linotype"/>
          <w:i/>
        </w:rPr>
      </w:pPr>
      <w:r w:rsidRPr="00514593">
        <w:rPr>
          <w:rFonts w:ascii="Palatino Linotype" w:hAnsi="Palatino Linotype"/>
          <w:i/>
        </w:rPr>
        <w:t>“Artículo 180. El recurso de revisión contendrá:</w:t>
      </w:r>
    </w:p>
    <w:p w14:paraId="665882D0" w14:textId="77777777" w:rsidR="00530E7A" w:rsidRPr="00514593" w:rsidRDefault="00530E7A" w:rsidP="00530E7A">
      <w:pPr>
        <w:numPr>
          <w:ilvl w:val="0"/>
          <w:numId w:val="21"/>
        </w:numPr>
        <w:autoSpaceDE w:val="0"/>
        <w:autoSpaceDN w:val="0"/>
        <w:adjustRightInd w:val="0"/>
        <w:spacing w:before="240" w:after="0" w:line="360" w:lineRule="auto"/>
        <w:jc w:val="both"/>
        <w:rPr>
          <w:rFonts w:ascii="Palatino Linotype" w:hAnsi="Palatino Linotype"/>
          <w:i/>
        </w:rPr>
      </w:pPr>
      <w:r w:rsidRPr="00514593">
        <w:rPr>
          <w:rFonts w:ascii="Palatino Linotype" w:hAnsi="Palatino Linotype"/>
          <w:i/>
        </w:rPr>
        <w:t>EL sujeto obligado ante la cual se presentó la solicitud;</w:t>
      </w:r>
    </w:p>
    <w:p w14:paraId="6C9F61A4" w14:textId="77777777" w:rsidR="00530E7A" w:rsidRPr="00514593" w:rsidRDefault="00530E7A" w:rsidP="00530E7A">
      <w:pPr>
        <w:numPr>
          <w:ilvl w:val="0"/>
          <w:numId w:val="21"/>
        </w:numPr>
        <w:autoSpaceDE w:val="0"/>
        <w:autoSpaceDN w:val="0"/>
        <w:adjustRightInd w:val="0"/>
        <w:spacing w:before="240" w:after="0" w:line="360" w:lineRule="auto"/>
        <w:jc w:val="both"/>
        <w:rPr>
          <w:rFonts w:ascii="Palatino Linotype" w:hAnsi="Palatino Linotype"/>
          <w:i/>
        </w:rPr>
      </w:pPr>
      <w:r w:rsidRPr="00514593">
        <w:rPr>
          <w:rFonts w:ascii="Palatino Linotype" w:hAnsi="Palatino Linotype"/>
          <w:i/>
        </w:rPr>
        <w:t>El nombre del solicitante que recurre o de su representante y, en su caso, del tercero interesado, así como la dirección o medio que señale para recibir notificaciones;</w:t>
      </w:r>
    </w:p>
    <w:p w14:paraId="3971C8FD" w14:textId="77777777" w:rsidR="00530E7A" w:rsidRPr="00514593" w:rsidRDefault="00530E7A" w:rsidP="00530E7A">
      <w:pPr>
        <w:numPr>
          <w:ilvl w:val="0"/>
          <w:numId w:val="21"/>
        </w:numPr>
        <w:autoSpaceDE w:val="0"/>
        <w:autoSpaceDN w:val="0"/>
        <w:adjustRightInd w:val="0"/>
        <w:spacing w:before="240" w:after="0" w:line="360" w:lineRule="auto"/>
        <w:jc w:val="both"/>
        <w:rPr>
          <w:rFonts w:ascii="Palatino Linotype" w:hAnsi="Palatino Linotype"/>
          <w:i/>
        </w:rPr>
      </w:pPr>
      <w:r w:rsidRPr="00514593">
        <w:rPr>
          <w:rFonts w:ascii="Palatino Linotype" w:hAnsi="Palatino Linotype"/>
          <w:i/>
        </w:rPr>
        <w:t>El número de folio de respuesta de la solicitud de acceso;</w:t>
      </w:r>
    </w:p>
    <w:p w14:paraId="5D3867DA" w14:textId="77777777" w:rsidR="00530E7A" w:rsidRPr="00514593" w:rsidRDefault="00530E7A" w:rsidP="00530E7A">
      <w:pPr>
        <w:autoSpaceDE w:val="0"/>
        <w:autoSpaceDN w:val="0"/>
        <w:adjustRightInd w:val="0"/>
        <w:spacing w:before="240" w:line="360" w:lineRule="auto"/>
        <w:ind w:left="1080"/>
        <w:jc w:val="both"/>
        <w:rPr>
          <w:rFonts w:ascii="Palatino Linotype" w:hAnsi="Palatino Linotype"/>
          <w:i/>
        </w:rPr>
      </w:pPr>
      <w:r w:rsidRPr="00514593">
        <w:rPr>
          <w:rFonts w:ascii="Palatino Linotype" w:hAnsi="Palatino Linotype"/>
          <w:i/>
        </w:rPr>
        <w:t>IV. La fecha en que fue notificada la respuesta al solicitante o tuvo conocimiento del acto reclamado, o de presentación de la solicitud, en caso de falta de respuesta;</w:t>
      </w:r>
    </w:p>
    <w:p w14:paraId="57F4FD25" w14:textId="77777777" w:rsidR="00530E7A" w:rsidRPr="00514593" w:rsidRDefault="00530E7A" w:rsidP="00530E7A">
      <w:pPr>
        <w:autoSpaceDE w:val="0"/>
        <w:autoSpaceDN w:val="0"/>
        <w:adjustRightInd w:val="0"/>
        <w:spacing w:before="240" w:line="360" w:lineRule="auto"/>
        <w:ind w:left="732" w:firstLine="348"/>
        <w:jc w:val="both"/>
        <w:rPr>
          <w:rFonts w:ascii="Palatino Linotype" w:hAnsi="Palatino Linotype"/>
          <w:i/>
        </w:rPr>
      </w:pPr>
      <w:r w:rsidRPr="00514593">
        <w:rPr>
          <w:rFonts w:ascii="Palatino Linotype" w:hAnsi="Palatino Linotype"/>
          <w:i/>
        </w:rPr>
        <w:t>V. El acto que se recurre;</w:t>
      </w:r>
    </w:p>
    <w:p w14:paraId="6CA0644F" w14:textId="77777777" w:rsidR="00530E7A" w:rsidRPr="00514593" w:rsidRDefault="00530E7A" w:rsidP="00530E7A">
      <w:pPr>
        <w:autoSpaceDE w:val="0"/>
        <w:autoSpaceDN w:val="0"/>
        <w:adjustRightInd w:val="0"/>
        <w:spacing w:before="240" w:line="360" w:lineRule="auto"/>
        <w:ind w:left="732" w:firstLine="348"/>
        <w:jc w:val="both"/>
        <w:rPr>
          <w:rFonts w:ascii="Palatino Linotype" w:hAnsi="Palatino Linotype"/>
          <w:i/>
        </w:rPr>
      </w:pPr>
      <w:r w:rsidRPr="00514593">
        <w:rPr>
          <w:rFonts w:ascii="Palatino Linotype" w:hAnsi="Palatino Linotype"/>
          <w:i/>
        </w:rPr>
        <w:t>VI. Las razones o motivos de inconformidad;</w:t>
      </w:r>
    </w:p>
    <w:p w14:paraId="60350BCE" w14:textId="77777777" w:rsidR="00530E7A" w:rsidRPr="00514593" w:rsidRDefault="00530E7A" w:rsidP="00530E7A">
      <w:pPr>
        <w:autoSpaceDE w:val="0"/>
        <w:autoSpaceDN w:val="0"/>
        <w:adjustRightInd w:val="0"/>
        <w:spacing w:before="240" w:line="360" w:lineRule="auto"/>
        <w:ind w:left="1080"/>
        <w:jc w:val="both"/>
        <w:rPr>
          <w:rFonts w:ascii="Palatino Linotype" w:hAnsi="Palatino Linotype"/>
          <w:i/>
        </w:rPr>
      </w:pPr>
      <w:r w:rsidRPr="00514593">
        <w:rPr>
          <w:rFonts w:ascii="Palatino Linotype" w:hAnsi="Palatino Linotype"/>
          <w:i/>
        </w:rPr>
        <w:t>VII. La copia de la respuesta que se impugna y, en su caso, de la notificación correspondiente, en el caso de respuesta de la solicitud; y</w:t>
      </w:r>
    </w:p>
    <w:p w14:paraId="6E12C742" w14:textId="77777777" w:rsidR="00530E7A" w:rsidRPr="00514593" w:rsidRDefault="00530E7A" w:rsidP="00530E7A">
      <w:pPr>
        <w:autoSpaceDE w:val="0"/>
        <w:autoSpaceDN w:val="0"/>
        <w:adjustRightInd w:val="0"/>
        <w:spacing w:before="240" w:line="360" w:lineRule="auto"/>
        <w:ind w:left="732" w:firstLine="348"/>
        <w:jc w:val="both"/>
        <w:rPr>
          <w:rFonts w:ascii="Palatino Linotype" w:hAnsi="Palatino Linotype"/>
          <w:i/>
        </w:rPr>
      </w:pPr>
      <w:r w:rsidRPr="00514593">
        <w:rPr>
          <w:rFonts w:ascii="Palatino Linotype" w:hAnsi="Palatino Linotype"/>
          <w:i/>
        </w:rPr>
        <w:t>VIII. Firma del recurrente, en su caso, cuando se presente por escrito, requisito sin el cual se dará trámite al recurso.</w:t>
      </w:r>
    </w:p>
    <w:p w14:paraId="61731E9E" w14:textId="77777777" w:rsidR="00530E7A" w:rsidRPr="00514593" w:rsidRDefault="00530E7A" w:rsidP="00530E7A">
      <w:pPr>
        <w:autoSpaceDE w:val="0"/>
        <w:autoSpaceDN w:val="0"/>
        <w:adjustRightInd w:val="0"/>
        <w:spacing w:before="240" w:line="360" w:lineRule="auto"/>
        <w:ind w:left="1080"/>
        <w:jc w:val="both"/>
        <w:rPr>
          <w:rFonts w:ascii="Palatino Linotype" w:hAnsi="Palatino Linotype"/>
          <w:i/>
        </w:rPr>
      </w:pPr>
      <w:r w:rsidRPr="00514593">
        <w:rPr>
          <w:rFonts w:ascii="Palatino Linotype" w:hAnsi="Palatino Linotype"/>
          <w:i/>
        </w:rPr>
        <w:t>Adicionalmente, se podrán anexar las pruebas y demás elementos que considere procedentes someter a juicio del Instituto.</w:t>
      </w:r>
    </w:p>
    <w:p w14:paraId="186A861E" w14:textId="77777777" w:rsidR="00530E7A" w:rsidRPr="00514593" w:rsidRDefault="00530E7A" w:rsidP="00530E7A">
      <w:pPr>
        <w:autoSpaceDE w:val="0"/>
        <w:autoSpaceDN w:val="0"/>
        <w:adjustRightInd w:val="0"/>
        <w:spacing w:before="240" w:line="360" w:lineRule="auto"/>
        <w:ind w:left="732" w:firstLine="348"/>
        <w:jc w:val="both"/>
        <w:rPr>
          <w:rFonts w:ascii="Palatino Linotype" w:hAnsi="Palatino Linotype"/>
          <w:i/>
        </w:rPr>
      </w:pPr>
      <w:r w:rsidRPr="00514593">
        <w:rPr>
          <w:rFonts w:ascii="Palatino Linotype" w:hAnsi="Palatino Linotype"/>
          <w:i/>
        </w:rPr>
        <w:lastRenderedPageBreak/>
        <w:t>En ningún caso será necesario que el particular ratifique el recurso de revisión interpuesto.</w:t>
      </w:r>
    </w:p>
    <w:p w14:paraId="49A7E3E5" w14:textId="77777777" w:rsidR="00530E7A" w:rsidRPr="00514593" w:rsidRDefault="00530E7A" w:rsidP="00530E7A">
      <w:pPr>
        <w:autoSpaceDE w:val="0"/>
        <w:autoSpaceDN w:val="0"/>
        <w:adjustRightInd w:val="0"/>
        <w:spacing w:before="240" w:line="360" w:lineRule="auto"/>
        <w:ind w:left="1080"/>
        <w:jc w:val="both"/>
        <w:rPr>
          <w:rFonts w:ascii="Palatino Linotype" w:hAnsi="Palatino Linotype"/>
          <w:b/>
          <w:i/>
          <w:u w:val="single"/>
        </w:rPr>
      </w:pPr>
      <w:r w:rsidRPr="00514593">
        <w:rPr>
          <w:rFonts w:ascii="Palatino Linotype" w:hAnsi="Palatino Linotype"/>
          <w:b/>
          <w:i/>
          <w:u w:val="single"/>
        </w:rPr>
        <w:t>En caso de que el recurso se interponga de manera electrónica no será indispensable que contengan los requisitos establecidos en las fracciones II, IV, VII y VIII.” [Sic]</w:t>
      </w:r>
    </w:p>
    <w:p w14:paraId="48DEAE78" w14:textId="77777777" w:rsidR="00530E7A" w:rsidRPr="00514593" w:rsidRDefault="00530E7A" w:rsidP="00530E7A">
      <w:pPr>
        <w:autoSpaceDE w:val="0"/>
        <w:autoSpaceDN w:val="0"/>
        <w:adjustRightInd w:val="0"/>
        <w:spacing w:before="240" w:line="360" w:lineRule="auto"/>
        <w:ind w:left="1080"/>
        <w:jc w:val="both"/>
        <w:rPr>
          <w:rFonts w:ascii="Palatino Linotype" w:hAnsi="Palatino Linotype"/>
          <w:b/>
          <w:i/>
          <w:u w:val="single"/>
        </w:rPr>
      </w:pPr>
    </w:p>
    <w:p w14:paraId="21D8091D" w14:textId="77777777" w:rsidR="00530E7A" w:rsidRPr="00514593" w:rsidRDefault="00530E7A" w:rsidP="00530E7A">
      <w:pPr>
        <w:spacing w:line="360" w:lineRule="auto"/>
        <w:jc w:val="both"/>
        <w:rPr>
          <w:rFonts w:ascii="Palatino Linotype" w:hAnsi="Palatino Linotype" w:cs="Arial"/>
        </w:rPr>
      </w:pPr>
      <w:r w:rsidRPr="00514593">
        <w:rPr>
          <w:rFonts w:ascii="Palatino Linotype" w:hAnsi="Palatino Linotype" w:cs="Segoe UI"/>
        </w:rPr>
        <w:t xml:space="preserve">Cabe señalar que </w:t>
      </w:r>
      <w:r w:rsidRPr="00514593">
        <w:rPr>
          <w:rFonts w:ascii="Palatino Linotype" w:hAnsi="Palatino Linotype" w:cs="Segoe UI"/>
          <w:b/>
        </w:rPr>
        <w:t>El Recurrente</w:t>
      </w:r>
      <w:r w:rsidRPr="00514593">
        <w:rPr>
          <w:rFonts w:ascii="Palatino Linotype" w:hAnsi="Palatino Linotype" w:cs="Segoe UI"/>
        </w:rPr>
        <w:t xml:space="preserve"> </w:t>
      </w:r>
      <w:r w:rsidRPr="00514593">
        <w:rPr>
          <w:rFonts w:ascii="Palatino Linotype" w:hAnsi="Palatino Linotype" w:cs="Segoe UI"/>
          <w:u w:val="single"/>
        </w:rPr>
        <w:t>ejerció su derecho de manera anónima</w:t>
      </w:r>
      <w:r w:rsidRPr="00514593">
        <w:rPr>
          <w:rFonts w:ascii="Palatino Linotype" w:hAnsi="Palatino Linotype"/>
        </w:rPr>
        <w:t xml:space="preserve">, no sería motivo para desechar las </w:t>
      </w:r>
      <w:r w:rsidRPr="00514593">
        <w:rPr>
          <w:rFonts w:ascii="Palatino Linotype" w:hAnsi="Palatino Linotype" w:cs="Arial"/>
        </w:rPr>
        <w:t>solicitudes de acceso a la información pública conforme a lo previsto en el artículo 155, penúltimo párrafo de la Ley de Transparencia y Acceso a la Información Pública del Estado de México y Municipios que señala lo siguiente:</w:t>
      </w:r>
    </w:p>
    <w:p w14:paraId="77E25701" w14:textId="77777777" w:rsidR="00530E7A" w:rsidRPr="00514593" w:rsidRDefault="00530E7A" w:rsidP="00530E7A">
      <w:pPr>
        <w:spacing w:before="240" w:line="360" w:lineRule="auto"/>
        <w:ind w:left="851" w:right="851"/>
        <w:jc w:val="both"/>
        <w:rPr>
          <w:rFonts w:ascii="Palatino Linotype" w:hAnsi="Palatino Linotype" w:cs="Arial"/>
          <w:b/>
          <w:i/>
        </w:rPr>
      </w:pPr>
      <w:r w:rsidRPr="00514593">
        <w:rPr>
          <w:rFonts w:ascii="Palatino Linotype" w:hAnsi="Palatino Linotype" w:cs="Arial"/>
          <w:i/>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r w:rsidRPr="00514593">
        <w:rPr>
          <w:rFonts w:ascii="Palatino Linotype" w:hAnsi="Palatino Linotype" w:cs="Arial"/>
          <w:b/>
          <w:i/>
        </w:rPr>
        <w:t>[Sic]</w:t>
      </w:r>
    </w:p>
    <w:p w14:paraId="4130A76A" w14:textId="77777777" w:rsidR="00530E7A" w:rsidRPr="00514593" w:rsidRDefault="00530E7A" w:rsidP="00530E7A">
      <w:pPr>
        <w:spacing w:before="240" w:line="360" w:lineRule="auto"/>
        <w:ind w:left="851" w:right="851"/>
        <w:jc w:val="both"/>
        <w:rPr>
          <w:rFonts w:ascii="Palatino Linotype" w:hAnsi="Palatino Linotype" w:cs="Arial"/>
          <w:b/>
          <w:i/>
        </w:rPr>
      </w:pPr>
    </w:p>
    <w:p w14:paraId="029376A3" w14:textId="77777777" w:rsidR="00530E7A" w:rsidRPr="00514593" w:rsidRDefault="00530E7A" w:rsidP="00530E7A">
      <w:pPr>
        <w:spacing w:line="360" w:lineRule="auto"/>
        <w:jc w:val="both"/>
        <w:rPr>
          <w:rFonts w:ascii="Palatino Linotype" w:hAnsi="Palatino Linotype"/>
        </w:rPr>
      </w:pPr>
      <w:r w:rsidRPr="00514593">
        <w:rPr>
          <w:rFonts w:ascii="Palatino Linotype" w:hAnsi="Palatino Linotype"/>
        </w:rPr>
        <w:t xml:space="preserve">Robustece lo anterior se encuentra lo dispuesto en los artículos 6, Apartado A, fracciones III y IV de la Constitución Política de los Estados Unidos Mexicanos y 5 párrafos </w:t>
      </w:r>
      <w:r w:rsidRPr="00514593">
        <w:rPr>
          <w:rFonts w:ascii="Palatino Linotype" w:hAnsi="Palatino Linotype" w:cs="Arial"/>
        </w:rPr>
        <w:t>vigésimo, vigésimo primero y vigésimo segundo</w:t>
      </w:r>
      <w:r w:rsidRPr="00514593">
        <w:rPr>
          <w:rFonts w:ascii="Palatino Linotype" w:hAnsi="Palatino Linotype"/>
        </w:rPr>
        <w:t>, de la Constitución Política del Estado Libre y Soberano de México, se establece lo siguiente:</w:t>
      </w:r>
    </w:p>
    <w:p w14:paraId="6E3AF89E" w14:textId="77777777" w:rsidR="00530E7A" w:rsidRPr="00514593" w:rsidRDefault="00530E7A" w:rsidP="00530E7A">
      <w:pPr>
        <w:spacing w:before="240" w:line="360" w:lineRule="auto"/>
        <w:ind w:left="851" w:right="851"/>
        <w:jc w:val="both"/>
        <w:rPr>
          <w:rFonts w:ascii="Palatino Linotype" w:hAnsi="Palatino Linotype"/>
          <w:b/>
          <w:i/>
          <w:u w:val="single"/>
        </w:rPr>
      </w:pPr>
      <w:r w:rsidRPr="00514593">
        <w:rPr>
          <w:rFonts w:ascii="Palatino Linotype" w:hAnsi="Palatino Linotype"/>
          <w:b/>
          <w:i/>
          <w:u w:val="single"/>
        </w:rPr>
        <w:t>Constitución Política de los Estados Unidos Mexicanos</w:t>
      </w:r>
    </w:p>
    <w:p w14:paraId="6760C873" w14:textId="77777777" w:rsidR="00530E7A" w:rsidRPr="00514593" w:rsidRDefault="00530E7A" w:rsidP="00530E7A">
      <w:pPr>
        <w:spacing w:before="240" w:line="360" w:lineRule="auto"/>
        <w:ind w:left="851" w:right="851"/>
        <w:jc w:val="both"/>
        <w:rPr>
          <w:rFonts w:ascii="Palatino Linotype" w:hAnsi="Palatino Linotype"/>
          <w:i/>
        </w:rPr>
      </w:pPr>
      <w:r w:rsidRPr="00514593">
        <w:rPr>
          <w:rFonts w:ascii="Palatino Linotype" w:hAnsi="Palatino Linotype"/>
          <w:b/>
          <w:i/>
        </w:rPr>
        <w:t>“Artículo 6</w:t>
      </w:r>
      <w:r w:rsidRPr="00514593">
        <w:rPr>
          <w:rFonts w:ascii="Palatino Linotype" w:hAnsi="Palatino Linotype"/>
          <w:i/>
        </w:rPr>
        <w:t>°.-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14:paraId="06F6C8B6" w14:textId="77777777" w:rsidR="00530E7A" w:rsidRPr="00514593" w:rsidRDefault="00530E7A" w:rsidP="00530E7A">
      <w:pPr>
        <w:spacing w:before="240" w:line="360" w:lineRule="auto"/>
        <w:ind w:left="851" w:right="851"/>
        <w:jc w:val="both"/>
        <w:rPr>
          <w:rFonts w:ascii="Palatino Linotype" w:hAnsi="Palatino Linotype"/>
          <w:i/>
        </w:rPr>
      </w:pPr>
      <w:r w:rsidRPr="00514593">
        <w:rPr>
          <w:rFonts w:ascii="Palatino Linotype" w:hAnsi="Palatino Linotype"/>
          <w:i/>
        </w:rPr>
        <w:lastRenderedPageBreak/>
        <w:t>(…)</w:t>
      </w:r>
    </w:p>
    <w:p w14:paraId="447E94EE" w14:textId="77777777" w:rsidR="00530E7A" w:rsidRPr="00514593" w:rsidRDefault="00530E7A" w:rsidP="00530E7A">
      <w:pPr>
        <w:spacing w:before="240" w:line="360" w:lineRule="auto"/>
        <w:ind w:left="851" w:right="851"/>
        <w:jc w:val="both"/>
        <w:rPr>
          <w:rFonts w:ascii="Palatino Linotype" w:hAnsi="Palatino Linotype"/>
          <w:i/>
        </w:rPr>
      </w:pPr>
      <w:r w:rsidRPr="00514593">
        <w:rPr>
          <w:rFonts w:ascii="Palatino Linotype" w:hAnsi="Palatino Linotype"/>
          <w:i/>
        </w:rPr>
        <w:t xml:space="preserve">Para efectos de lo dispuesto en el presente artículo se observará lo siguiente: </w:t>
      </w:r>
    </w:p>
    <w:p w14:paraId="47244BBF" w14:textId="77777777" w:rsidR="00530E7A" w:rsidRPr="00514593" w:rsidRDefault="00530E7A" w:rsidP="00530E7A">
      <w:pPr>
        <w:spacing w:before="240" w:line="360" w:lineRule="auto"/>
        <w:ind w:left="851" w:right="851"/>
        <w:jc w:val="both"/>
        <w:rPr>
          <w:rFonts w:ascii="Palatino Linotype" w:hAnsi="Palatino Linotype"/>
          <w:i/>
        </w:rPr>
      </w:pPr>
      <w:r w:rsidRPr="00514593">
        <w:rPr>
          <w:rFonts w:ascii="Palatino Linotype" w:hAnsi="Palatino Linotype"/>
          <w:i/>
        </w:rPr>
        <w:t>A. Para el ejercicio del derecho de acceso a la información, la Federación, los Estados y el Distrito Federal, en el ámbito de sus respectivas competencias, se regirán por los siguientes principios y bases:</w:t>
      </w:r>
    </w:p>
    <w:p w14:paraId="567ABDB2" w14:textId="77777777" w:rsidR="00530E7A" w:rsidRPr="00514593" w:rsidRDefault="00530E7A" w:rsidP="00530E7A">
      <w:pPr>
        <w:spacing w:before="240" w:line="360" w:lineRule="auto"/>
        <w:ind w:left="851" w:right="851"/>
        <w:jc w:val="both"/>
        <w:rPr>
          <w:rFonts w:ascii="Palatino Linotype" w:hAnsi="Palatino Linotype"/>
          <w:i/>
        </w:rPr>
      </w:pPr>
      <w:r w:rsidRPr="00514593">
        <w:rPr>
          <w:rFonts w:ascii="Palatino Linotype" w:hAnsi="Palatino Linotype"/>
          <w:i/>
        </w:rPr>
        <w:t>(…)</w:t>
      </w:r>
    </w:p>
    <w:p w14:paraId="3DCC314D" w14:textId="77777777" w:rsidR="00530E7A" w:rsidRPr="00514593" w:rsidRDefault="00530E7A" w:rsidP="00530E7A">
      <w:pPr>
        <w:spacing w:before="240" w:line="360" w:lineRule="auto"/>
        <w:ind w:left="851" w:right="851"/>
        <w:jc w:val="both"/>
        <w:rPr>
          <w:rFonts w:ascii="Palatino Linotype" w:hAnsi="Palatino Linotype"/>
          <w:i/>
        </w:rPr>
      </w:pPr>
      <w:r w:rsidRPr="00514593">
        <w:rPr>
          <w:rFonts w:ascii="Palatino Linotype" w:hAnsi="Palatino Linotype"/>
          <w:i/>
        </w:rPr>
        <w:t xml:space="preserve">III. Toda persona, sin necesidad de acreditar interés alguno o justificar su utilización, tendrá acceso gratuito a la información pública, a sus datos personales o a la rectificación de éstos. </w:t>
      </w:r>
    </w:p>
    <w:p w14:paraId="5D8C366E" w14:textId="77777777" w:rsidR="00530E7A" w:rsidRPr="00514593" w:rsidRDefault="00530E7A" w:rsidP="00530E7A">
      <w:pPr>
        <w:spacing w:before="240" w:line="360" w:lineRule="auto"/>
        <w:ind w:left="851" w:right="851"/>
        <w:jc w:val="both"/>
        <w:rPr>
          <w:rFonts w:ascii="Palatino Linotype" w:hAnsi="Palatino Linotype"/>
          <w:b/>
          <w:i/>
        </w:rPr>
      </w:pPr>
      <w:r w:rsidRPr="00514593">
        <w:rPr>
          <w:rFonts w:ascii="Palatino Linotype" w:hAnsi="Palatino Linotype"/>
          <w:i/>
        </w:rPr>
        <w:t xml:space="preserve">IV. Se establecerán mecanismos de acceso a la información y procedimientos de revisión expeditos que se sustanciarán ante los organismos autónomos especializados e imparciales que establece esta Constitución.” </w:t>
      </w:r>
      <w:r w:rsidRPr="00514593">
        <w:rPr>
          <w:rFonts w:ascii="Palatino Linotype" w:hAnsi="Palatino Linotype"/>
          <w:b/>
          <w:i/>
        </w:rPr>
        <w:t>[Sic]</w:t>
      </w:r>
    </w:p>
    <w:p w14:paraId="67110388" w14:textId="77777777" w:rsidR="00530E7A" w:rsidRPr="00514593" w:rsidRDefault="00530E7A" w:rsidP="00530E7A">
      <w:pPr>
        <w:spacing w:before="240" w:line="360" w:lineRule="auto"/>
        <w:ind w:left="851" w:right="851"/>
        <w:jc w:val="both"/>
        <w:rPr>
          <w:rFonts w:ascii="Palatino Linotype" w:hAnsi="Palatino Linotype"/>
          <w:b/>
          <w:i/>
          <w:u w:val="single"/>
        </w:rPr>
      </w:pPr>
      <w:r w:rsidRPr="00514593">
        <w:rPr>
          <w:rFonts w:ascii="Palatino Linotype" w:hAnsi="Palatino Linotype"/>
          <w:b/>
          <w:i/>
          <w:u w:val="single"/>
        </w:rPr>
        <w:t>Constitución Política del Estado Libre y Soberano de México</w:t>
      </w:r>
    </w:p>
    <w:p w14:paraId="12C175FD" w14:textId="77777777" w:rsidR="00530E7A" w:rsidRPr="00514593" w:rsidRDefault="00530E7A" w:rsidP="00530E7A">
      <w:pPr>
        <w:spacing w:before="240" w:line="360" w:lineRule="auto"/>
        <w:ind w:left="851" w:right="851"/>
        <w:jc w:val="both"/>
        <w:rPr>
          <w:rFonts w:ascii="Palatino Linotype" w:hAnsi="Palatino Linotype"/>
          <w:i/>
        </w:rPr>
      </w:pPr>
      <w:r w:rsidRPr="00514593">
        <w:rPr>
          <w:rFonts w:ascii="Palatino Linotype" w:hAnsi="Palatino Linotype"/>
          <w:i/>
        </w:rPr>
        <w:t>“</w:t>
      </w:r>
      <w:r w:rsidRPr="00514593">
        <w:rPr>
          <w:rFonts w:ascii="Palatino Linotype" w:hAnsi="Palatino Linotype"/>
          <w:b/>
          <w:i/>
        </w:rPr>
        <w:t>Artículo 5</w:t>
      </w:r>
      <w:r w:rsidRPr="00514593">
        <w:rPr>
          <w:rFonts w:ascii="Palatino Linotype" w:hAnsi="Palatino Linotype"/>
          <w:i/>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22D82EDF" w14:textId="77777777" w:rsidR="00530E7A" w:rsidRPr="00514593" w:rsidRDefault="00530E7A" w:rsidP="00530E7A">
      <w:pPr>
        <w:spacing w:before="240" w:line="360" w:lineRule="auto"/>
        <w:ind w:left="851" w:right="851"/>
        <w:jc w:val="both"/>
        <w:rPr>
          <w:rFonts w:ascii="Palatino Linotype" w:hAnsi="Palatino Linotype"/>
          <w:i/>
        </w:rPr>
      </w:pPr>
      <w:r w:rsidRPr="00514593">
        <w:rPr>
          <w:rFonts w:ascii="Palatino Linotype" w:hAnsi="Palatino Linotype"/>
          <w:i/>
        </w:rPr>
        <w:t>(…)</w:t>
      </w:r>
    </w:p>
    <w:p w14:paraId="5A8AF12F" w14:textId="77777777" w:rsidR="00530E7A" w:rsidRPr="00514593" w:rsidRDefault="00530E7A" w:rsidP="00530E7A">
      <w:pPr>
        <w:spacing w:before="240" w:line="360" w:lineRule="auto"/>
        <w:ind w:left="851" w:right="851"/>
        <w:jc w:val="both"/>
        <w:rPr>
          <w:rFonts w:ascii="Palatino Linotype" w:hAnsi="Palatino Linotype"/>
          <w:b/>
          <w:i/>
        </w:rPr>
      </w:pPr>
      <w:r w:rsidRPr="00514593">
        <w:rPr>
          <w:rFonts w:ascii="Palatino Linotype" w:hAnsi="Palatino Linotype"/>
          <w:i/>
        </w:rPr>
        <w:lastRenderedPageBreak/>
        <w:t xml:space="preserve">transparencia, acceso a la información pública y a la protección de datos personales en posesión de los sujetos obligados en los términos que establezca la ley. (…)” </w:t>
      </w:r>
      <w:r w:rsidRPr="00514593">
        <w:rPr>
          <w:rFonts w:ascii="Palatino Linotype" w:hAnsi="Palatino Linotype"/>
          <w:b/>
          <w:i/>
        </w:rPr>
        <w:t>[Sic]</w:t>
      </w:r>
    </w:p>
    <w:p w14:paraId="1F537F8D" w14:textId="77777777" w:rsidR="00530E7A" w:rsidRPr="00514593" w:rsidRDefault="00530E7A" w:rsidP="00530E7A">
      <w:pPr>
        <w:autoSpaceDE w:val="0"/>
        <w:autoSpaceDN w:val="0"/>
        <w:adjustRightInd w:val="0"/>
        <w:spacing w:before="240" w:line="360" w:lineRule="auto"/>
        <w:jc w:val="both"/>
        <w:rPr>
          <w:rFonts w:ascii="Palatino Linotype" w:hAnsi="Palatino Linotype" w:cs="Arial"/>
        </w:rPr>
      </w:pPr>
      <w:r w:rsidRPr="00514593">
        <w:rPr>
          <w:rFonts w:ascii="Palatino Linotype" w:hAnsi="Palatino Linotype"/>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514593">
        <w:rPr>
          <w:rFonts w:ascii="Palatino Linotype" w:hAnsi="Palatino Linotype"/>
          <w:b/>
          <w:u w:val="single"/>
        </w:rPr>
        <w:t>incluso, la solicitud de acceso a la información pueda ser anónima</w:t>
      </w:r>
      <w:r w:rsidRPr="00514593">
        <w:rPr>
          <w:rFonts w:ascii="Palatino Linotype" w:hAnsi="Palatino Linotype"/>
        </w:rPr>
        <w:t xml:space="preserve"> o no contener un nombre que identifique al solicitante o que permita tener certeza sobre su identidad. </w:t>
      </w:r>
      <w:r w:rsidRPr="00514593">
        <w:rPr>
          <w:rFonts w:ascii="Palatino Linotype" w:hAnsi="Palatino Linotype" w:cs="Arial"/>
        </w:rPr>
        <w:t>En conclusión, se cubrieron los requisitos de procedencia y procedibilidad y conforme a las constancias que obran en el expediente.</w:t>
      </w:r>
    </w:p>
    <w:p w14:paraId="61511824" w14:textId="77777777" w:rsidR="00530E7A" w:rsidRPr="00514593" w:rsidRDefault="00530E7A" w:rsidP="00530E7A">
      <w:pPr>
        <w:autoSpaceDE w:val="0"/>
        <w:autoSpaceDN w:val="0"/>
        <w:adjustRightInd w:val="0"/>
        <w:spacing w:before="240" w:line="360" w:lineRule="auto"/>
        <w:jc w:val="both"/>
        <w:rPr>
          <w:rFonts w:cs="Arial"/>
          <w:b/>
        </w:rPr>
      </w:pPr>
    </w:p>
    <w:p w14:paraId="7F1807B3" w14:textId="77777777" w:rsidR="00530E7A" w:rsidRPr="00514593" w:rsidRDefault="00530E7A" w:rsidP="00530E7A">
      <w:pPr>
        <w:keepNext/>
        <w:keepLines/>
        <w:spacing w:line="360" w:lineRule="auto"/>
        <w:jc w:val="both"/>
        <w:outlineLvl w:val="1"/>
        <w:rPr>
          <w:rFonts w:ascii="Palatino Linotype" w:hAnsi="Palatino Linotype"/>
          <w:b/>
          <w:color w:val="000000" w:themeColor="text1"/>
          <w:sz w:val="26"/>
          <w:szCs w:val="26"/>
          <w:lang w:val="es-ES_tradnl"/>
        </w:rPr>
      </w:pPr>
      <w:r w:rsidRPr="00514593">
        <w:rPr>
          <w:rFonts w:ascii="Palatino Linotype" w:hAnsi="Palatino Linotype"/>
          <w:b/>
          <w:color w:val="000000" w:themeColor="text1"/>
          <w:sz w:val="26"/>
          <w:szCs w:val="26"/>
          <w:lang w:val="es-ES_tradnl"/>
        </w:rPr>
        <w:t>CUARTO. De las causas de improcedencia.</w:t>
      </w:r>
    </w:p>
    <w:p w14:paraId="57EC4A13" w14:textId="77777777" w:rsidR="00530E7A" w:rsidRPr="00514593" w:rsidRDefault="00530E7A" w:rsidP="00530E7A">
      <w:pPr>
        <w:spacing w:line="360" w:lineRule="auto"/>
        <w:contextualSpacing/>
        <w:jc w:val="both"/>
        <w:rPr>
          <w:rFonts w:ascii="Palatino Linotype" w:hAnsi="Palatino Linotype" w:cs="Palatino Linotype"/>
          <w:color w:val="000000"/>
          <w:lang w:val="es-ES_tradnl"/>
        </w:rPr>
      </w:pPr>
      <w:r w:rsidRPr="00514593">
        <w:rPr>
          <w:rFonts w:ascii="Palatino Linotype" w:hAnsi="Palatino Linotype" w:cs="Palatino Linotype"/>
          <w:color w:val="000000"/>
          <w:lang w:val="es-ES_tradnl"/>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1EE2920C" w14:textId="77777777" w:rsidR="00530E7A" w:rsidRPr="00514593" w:rsidRDefault="00530E7A" w:rsidP="00530E7A">
      <w:pPr>
        <w:spacing w:line="360" w:lineRule="auto"/>
        <w:contextualSpacing/>
        <w:jc w:val="both"/>
        <w:rPr>
          <w:rFonts w:ascii="Palatino Linotype" w:hAnsi="Palatino Linotype" w:cs="Palatino Linotype"/>
          <w:color w:val="000000"/>
          <w:lang w:val="es-ES_tradnl"/>
        </w:rPr>
      </w:pPr>
    </w:p>
    <w:p w14:paraId="75099359" w14:textId="77777777" w:rsidR="00530E7A" w:rsidRPr="00514593" w:rsidRDefault="00530E7A" w:rsidP="00530E7A">
      <w:pPr>
        <w:spacing w:line="360" w:lineRule="auto"/>
        <w:contextualSpacing/>
        <w:jc w:val="both"/>
        <w:rPr>
          <w:rFonts w:ascii="Palatino Linotype" w:hAnsi="Palatino Linotype" w:cs="Palatino Linotype"/>
          <w:color w:val="000000"/>
          <w:lang w:val="es-ES_tradnl"/>
        </w:rPr>
      </w:pPr>
      <w:r w:rsidRPr="00514593">
        <w:rPr>
          <w:rFonts w:ascii="Palatino Linotype" w:hAnsi="Palatino Linotype" w:cs="Palatino Linotype"/>
          <w:color w:val="000000"/>
          <w:lang w:val="es-ES_tradnl"/>
        </w:rPr>
        <w:t xml:space="preserve">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una figura procesal adoptada en la </w:t>
      </w:r>
      <w:r w:rsidRPr="00514593">
        <w:rPr>
          <w:rFonts w:ascii="Palatino Linotype" w:hAnsi="Palatino Linotype" w:cs="Palatino Linotype"/>
          <w:color w:val="000000"/>
          <w:lang w:val="es-ES_tradnl"/>
        </w:rPr>
        <w:lastRenderedPageBreak/>
        <w:t>ley de la materia</w:t>
      </w:r>
      <w:r w:rsidRPr="00514593">
        <w:rPr>
          <w:rFonts w:ascii="Palatino Linotype" w:hAnsi="Palatino Linotype" w:cs="Palatino Linotype"/>
          <w:color w:val="000000"/>
          <w:vertAlign w:val="superscript"/>
          <w:lang w:val="es-ES_tradnl"/>
        </w:rPr>
        <w:footnoteReference w:id="1"/>
      </w:r>
      <w:r w:rsidRPr="00514593">
        <w:rPr>
          <w:rFonts w:ascii="Palatino Linotype" w:hAnsi="Palatino Linotype" w:cs="Palatino Linotype"/>
          <w:color w:val="000000"/>
          <w:lang w:val="es-ES_tradnl"/>
        </w:rPr>
        <w:t>, la cual permite dilucidar alguna causal que impida el estudio y resolución, cuando una vez admitido el recurso de revisión se advierta una causa de improcedencia que permita sobreseerlo, sin estudiar el fondo del asunto.</w:t>
      </w:r>
    </w:p>
    <w:p w14:paraId="0B66B7FE" w14:textId="77777777" w:rsidR="00530E7A" w:rsidRPr="00514593" w:rsidRDefault="00530E7A" w:rsidP="00530E7A">
      <w:pPr>
        <w:spacing w:line="360" w:lineRule="auto"/>
        <w:contextualSpacing/>
        <w:jc w:val="both"/>
        <w:rPr>
          <w:rFonts w:ascii="Palatino Linotype" w:hAnsi="Palatino Linotype" w:cs="Palatino Linotype"/>
          <w:color w:val="000000"/>
          <w:lang w:val="es-ES_tradnl"/>
        </w:rPr>
      </w:pPr>
    </w:p>
    <w:p w14:paraId="7EAD4C15" w14:textId="77777777" w:rsidR="005B2D14" w:rsidRPr="00514593" w:rsidRDefault="00530E7A" w:rsidP="00530E7A">
      <w:pPr>
        <w:spacing w:line="360" w:lineRule="auto"/>
        <w:contextualSpacing/>
        <w:jc w:val="both"/>
        <w:rPr>
          <w:rFonts w:ascii="Palatino Linotype" w:hAnsi="Palatino Linotype" w:cs="Palatino Linotype"/>
          <w:color w:val="000000"/>
          <w:lang w:val="es-ES_tradnl"/>
        </w:rPr>
      </w:pPr>
      <w:r w:rsidRPr="00514593">
        <w:rPr>
          <w:rFonts w:ascii="Palatino Linotype" w:hAnsi="Palatino Linotype" w:cs="Palatino Linotype"/>
          <w:color w:val="000000"/>
          <w:lang w:val="es-ES_tradnl"/>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594CC667" w14:textId="77777777" w:rsidR="00530E7A" w:rsidRPr="00514593" w:rsidRDefault="00530E7A" w:rsidP="00530E7A">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514593">
        <w:rPr>
          <w:rFonts w:ascii="Palatino Linotype" w:eastAsia="Times New Roman" w:hAnsi="Palatino Linotype" w:cs="Times New Roman"/>
          <w:b/>
          <w:color w:val="000000" w:themeColor="text1"/>
          <w:sz w:val="26"/>
          <w:szCs w:val="26"/>
          <w:lang w:val="es-ES_tradnl" w:eastAsia="es-MX"/>
        </w:rPr>
        <w:lastRenderedPageBreak/>
        <w:t>QUINTO. Estudio y resolución del asunto.</w:t>
      </w:r>
    </w:p>
    <w:p w14:paraId="71643229" w14:textId="77777777" w:rsidR="00530E7A" w:rsidRPr="00514593" w:rsidRDefault="00530E7A" w:rsidP="00530E7A">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514593">
        <w:rPr>
          <w:rFonts w:ascii="Palatino Linotype" w:eastAsia="Times New Roman" w:hAnsi="Palatino Linotype" w:cs="Palatino Linotype"/>
          <w:color w:val="000000"/>
          <w:sz w:val="24"/>
          <w:szCs w:val="24"/>
          <w:lang w:val="es-ES_tradnl" w:eastAsia="es-MX"/>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2BE53972" w14:textId="77777777" w:rsidR="00530E7A" w:rsidRPr="00514593" w:rsidRDefault="00530E7A" w:rsidP="00530E7A">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13D98948" w14:textId="77777777" w:rsidR="00530E7A" w:rsidRPr="00514593" w:rsidRDefault="00530E7A" w:rsidP="00530E7A">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514593">
        <w:rPr>
          <w:rFonts w:ascii="Palatino Linotype" w:eastAsia="Times New Roman" w:hAnsi="Palatino Linotype" w:cs="Palatino Linotype"/>
          <w:color w:val="000000"/>
          <w:sz w:val="24"/>
          <w:szCs w:val="24"/>
          <w:lang w:val="es-ES_tradnl" w:eastAsia="es-MX"/>
        </w:rPr>
        <w:t>Por tanto, es conveniente recordar que el hoy Recurrente requirió del Sujeto Obligado, de la actual administración, lo siguiente:</w:t>
      </w:r>
    </w:p>
    <w:p w14:paraId="1B7451D8" w14:textId="77777777" w:rsidR="00530E7A" w:rsidRPr="00514593" w:rsidRDefault="00530E7A" w:rsidP="00530E7A">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58749845" w14:textId="77777777" w:rsidR="005B2D14" w:rsidRPr="00514593" w:rsidRDefault="005B2D14" w:rsidP="005B2D14">
      <w:pPr>
        <w:pStyle w:val="Prrafodelista"/>
        <w:numPr>
          <w:ilvl w:val="0"/>
          <w:numId w:val="39"/>
        </w:numPr>
        <w:contextualSpacing/>
        <w:rPr>
          <w:rFonts w:cs="Palatino Linotype"/>
          <w:color w:val="000000"/>
          <w:lang w:val="es-ES_tradnl" w:eastAsia="es-MX"/>
        </w:rPr>
      </w:pPr>
      <w:r w:rsidRPr="00514593">
        <w:rPr>
          <w:rFonts w:cs="Palatino Linotype"/>
          <w:color w:val="000000"/>
          <w:lang w:val="es-ES_tradnl" w:eastAsia="es-MX"/>
        </w:rPr>
        <w:t xml:space="preserve">De </w:t>
      </w:r>
      <w:r w:rsidR="00053B55" w:rsidRPr="00514593">
        <w:rPr>
          <w:rFonts w:cs="Palatino Linotype"/>
          <w:color w:val="000000"/>
          <w:lang w:val="es-ES_tradnl" w:eastAsia="es-MX"/>
        </w:rPr>
        <w:t>la servidora pública referida en solicitud</w:t>
      </w:r>
      <w:r w:rsidRPr="00514593">
        <w:rPr>
          <w:rFonts w:cs="Palatino Linotype"/>
          <w:color w:val="000000"/>
          <w:lang w:val="es-ES_tradnl" w:eastAsia="es-MX"/>
        </w:rPr>
        <w:t>;</w:t>
      </w:r>
    </w:p>
    <w:p w14:paraId="0C026FE1" w14:textId="77777777" w:rsidR="00DE0A90" w:rsidRPr="00514593" w:rsidRDefault="003E0774" w:rsidP="002D3DAE">
      <w:pPr>
        <w:pStyle w:val="Prrafodelista"/>
        <w:numPr>
          <w:ilvl w:val="0"/>
          <w:numId w:val="40"/>
        </w:numPr>
        <w:contextualSpacing/>
        <w:rPr>
          <w:color w:val="000000"/>
        </w:rPr>
      </w:pPr>
      <w:r w:rsidRPr="00514593">
        <w:rPr>
          <w:color w:val="000000"/>
        </w:rPr>
        <w:t>D</w:t>
      </w:r>
      <w:r w:rsidR="005B2D14" w:rsidRPr="00514593">
        <w:rPr>
          <w:color w:val="000000"/>
        </w:rPr>
        <w:t xml:space="preserve">ocumentos mediante los cuales se haya presentado formalmente ante autoridades del Instituto de Salud del Estado de México y/o en la Secretaria de Salud del Estado de México, en </w:t>
      </w:r>
      <w:r w:rsidR="00DE0A90" w:rsidRPr="00514593">
        <w:rPr>
          <w:color w:val="000000"/>
        </w:rPr>
        <w:t>representación de trabajadores.</w:t>
      </w:r>
    </w:p>
    <w:p w14:paraId="548AB1ED" w14:textId="77777777" w:rsidR="00DE0A90" w:rsidRPr="00514593" w:rsidRDefault="00DE0A90" w:rsidP="00DE0A90">
      <w:pPr>
        <w:pStyle w:val="Prrafodelista"/>
        <w:ind w:left="720"/>
        <w:contextualSpacing/>
        <w:rPr>
          <w:color w:val="000000"/>
        </w:rPr>
      </w:pPr>
    </w:p>
    <w:p w14:paraId="67D8AADC" w14:textId="77777777" w:rsidR="003E0774" w:rsidRPr="00514593" w:rsidRDefault="003E0774" w:rsidP="002D3DAE">
      <w:pPr>
        <w:pStyle w:val="Prrafodelista"/>
        <w:numPr>
          <w:ilvl w:val="0"/>
          <w:numId w:val="40"/>
        </w:numPr>
        <w:contextualSpacing/>
        <w:rPr>
          <w:color w:val="000000"/>
        </w:rPr>
      </w:pPr>
      <w:r w:rsidRPr="00514593">
        <w:rPr>
          <w:color w:val="000000"/>
        </w:rPr>
        <w:t xml:space="preserve">Documento que dé cuenta de los </w:t>
      </w:r>
      <w:r w:rsidR="005B2D14" w:rsidRPr="00514593">
        <w:rPr>
          <w:color w:val="000000"/>
        </w:rPr>
        <w:t xml:space="preserve">días, horas y lugares en los que ha sostenido reuniones de trabajo con personal del Instituto de Salud del Estado de México y/o la Secretaría de Salud del Estado de México, durante los ejercicios. </w:t>
      </w:r>
    </w:p>
    <w:p w14:paraId="7E1FAAFC" w14:textId="77777777" w:rsidR="00DE0A90" w:rsidRPr="00514593" w:rsidRDefault="00DE0A90" w:rsidP="00DE0A90">
      <w:pPr>
        <w:contextualSpacing/>
        <w:rPr>
          <w:color w:val="000000"/>
        </w:rPr>
      </w:pPr>
    </w:p>
    <w:p w14:paraId="1FEF896C" w14:textId="77777777" w:rsidR="003E0774" w:rsidRPr="00514593" w:rsidRDefault="005B2D14" w:rsidP="003E0774">
      <w:pPr>
        <w:pStyle w:val="Prrafodelista"/>
        <w:numPr>
          <w:ilvl w:val="0"/>
          <w:numId w:val="40"/>
        </w:numPr>
        <w:contextualSpacing/>
        <w:rPr>
          <w:color w:val="000000"/>
        </w:rPr>
      </w:pPr>
      <w:r w:rsidRPr="00514593">
        <w:rPr>
          <w:color w:val="000000"/>
        </w:rPr>
        <w:lastRenderedPageBreak/>
        <w:t xml:space="preserve">Copia de todas las minutas, actas o documentos similares que acrediten la participación en reuniones oficiales de trabajo con personal del Instituto de Salud del Estado de México y/o en la Secretaría de Salud del Estado de México, en los ejercicios señalados. </w:t>
      </w:r>
    </w:p>
    <w:p w14:paraId="4377C216" w14:textId="77777777" w:rsidR="00DE0A90" w:rsidRPr="00514593" w:rsidRDefault="00DE0A90" w:rsidP="00DE0A90">
      <w:pPr>
        <w:pStyle w:val="Prrafodelista"/>
        <w:ind w:left="720"/>
        <w:contextualSpacing/>
        <w:rPr>
          <w:color w:val="000000"/>
        </w:rPr>
      </w:pPr>
    </w:p>
    <w:p w14:paraId="645D9544" w14:textId="77777777" w:rsidR="003E0774" w:rsidRPr="00514593" w:rsidRDefault="005B2D14" w:rsidP="003E0774">
      <w:pPr>
        <w:pStyle w:val="Prrafodelista"/>
        <w:numPr>
          <w:ilvl w:val="0"/>
          <w:numId w:val="40"/>
        </w:numPr>
        <w:contextualSpacing/>
        <w:rPr>
          <w:color w:val="000000"/>
        </w:rPr>
      </w:pPr>
      <w:r w:rsidRPr="00514593">
        <w:rPr>
          <w:color w:val="000000"/>
        </w:rPr>
        <w:t xml:space="preserve">Copia íntegra del expediente laboral completo, incluyendo nombramientos, contratos, adscripción, licencias, permisos, cambios de unidad, evaluaciones, y demás documentos relacionados. </w:t>
      </w:r>
    </w:p>
    <w:p w14:paraId="75343248" w14:textId="77777777" w:rsidR="00DE0A90" w:rsidRPr="00514593" w:rsidRDefault="00DE0A90" w:rsidP="00053B55">
      <w:pPr>
        <w:contextualSpacing/>
        <w:rPr>
          <w:color w:val="000000"/>
        </w:rPr>
      </w:pPr>
    </w:p>
    <w:p w14:paraId="6E79F987" w14:textId="77777777" w:rsidR="003E0774" w:rsidRPr="00514593" w:rsidRDefault="005B2D14" w:rsidP="00530E7A">
      <w:pPr>
        <w:pStyle w:val="Prrafodelista"/>
        <w:numPr>
          <w:ilvl w:val="0"/>
          <w:numId w:val="40"/>
        </w:numPr>
        <w:contextualSpacing/>
        <w:rPr>
          <w:color w:val="000000"/>
        </w:rPr>
      </w:pPr>
      <w:r w:rsidRPr="00514593">
        <w:rPr>
          <w:color w:val="000000"/>
        </w:rPr>
        <w:t>Informe</w:t>
      </w:r>
      <w:r w:rsidR="00DE0A90" w:rsidRPr="00514593">
        <w:rPr>
          <w:color w:val="000000"/>
        </w:rPr>
        <w:t xml:space="preserve"> si</w:t>
      </w:r>
      <w:r w:rsidRPr="00514593">
        <w:rPr>
          <w:color w:val="000000"/>
        </w:rPr>
        <w:t xml:space="preserve"> cuenta con algún registro de notas desfavorables, actas administrativas, actas de hechos, reportes de incidencias, denuncias, demandas o procedimientos administrativos, penales, civiles o laborales iniciados en su contra dentro del Instituto de Salud y/o Secretarí</w:t>
      </w:r>
      <w:r w:rsidR="002D3DAE" w:rsidRPr="00514593">
        <w:rPr>
          <w:color w:val="000000"/>
        </w:rPr>
        <w:t>a de Salud del Estado de México.</w:t>
      </w:r>
    </w:p>
    <w:p w14:paraId="5866962B" w14:textId="77777777" w:rsidR="00DE0A90" w:rsidRPr="00514593" w:rsidRDefault="00DE0A90" w:rsidP="00DE0A90">
      <w:pPr>
        <w:pStyle w:val="Prrafodelista"/>
        <w:ind w:left="720"/>
        <w:contextualSpacing/>
        <w:rPr>
          <w:color w:val="000000"/>
        </w:rPr>
      </w:pPr>
    </w:p>
    <w:p w14:paraId="729BDFA3" w14:textId="77777777" w:rsidR="00A5228B" w:rsidRPr="00514593" w:rsidRDefault="005B2D14" w:rsidP="00530E7A">
      <w:pPr>
        <w:pStyle w:val="Prrafodelista"/>
        <w:numPr>
          <w:ilvl w:val="0"/>
          <w:numId w:val="40"/>
        </w:numPr>
        <w:contextualSpacing/>
        <w:rPr>
          <w:color w:val="000000"/>
        </w:rPr>
      </w:pPr>
      <w:r w:rsidRPr="00514593">
        <w:rPr>
          <w:color w:val="000000"/>
        </w:rPr>
        <w:t xml:space="preserve">Informe cuenta actualmente con una plaza vigente registrada en el Instituto de Salud del Estado de México (ISEM). </w:t>
      </w:r>
    </w:p>
    <w:p w14:paraId="60DF5F42" w14:textId="77777777" w:rsidR="00DE0A90" w:rsidRPr="00514593" w:rsidRDefault="00DE0A90" w:rsidP="00DE0A90">
      <w:pPr>
        <w:contextualSpacing/>
        <w:rPr>
          <w:color w:val="000000"/>
        </w:rPr>
      </w:pPr>
    </w:p>
    <w:p w14:paraId="7456484E" w14:textId="77777777" w:rsidR="00A5228B" w:rsidRPr="00514593" w:rsidRDefault="005B2D14" w:rsidP="00530E7A">
      <w:pPr>
        <w:pStyle w:val="Prrafodelista"/>
        <w:numPr>
          <w:ilvl w:val="0"/>
          <w:numId w:val="40"/>
        </w:numPr>
        <w:contextualSpacing/>
        <w:rPr>
          <w:color w:val="000000"/>
        </w:rPr>
      </w:pPr>
      <w:r w:rsidRPr="00514593">
        <w:rPr>
          <w:color w:val="000000"/>
        </w:rPr>
        <w:t>Copia en versión pública del documento que acredite la existencia de dicha plaz</w:t>
      </w:r>
      <w:r w:rsidR="00DE0A90" w:rsidRPr="00514593">
        <w:rPr>
          <w:color w:val="000000"/>
        </w:rPr>
        <w:t>a vigente, en caso afirmativo.</w:t>
      </w:r>
    </w:p>
    <w:p w14:paraId="2D20D6AB" w14:textId="77777777" w:rsidR="00DE0A90" w:rsidRPr="00514593" w:rsidRDefault="00DE0A90" w:rsidP="00DE0A90">
      <w:pPr>
        <w:contextualSpacing/>
        <w:rPr>
          <w:color w:val="000000"/>
        </w:rPr>
      </w:pPr>
    </w:p>
    <w:p w14:paraId="5FD81B30" w14:textId="77777777" w:rsidR="00DE0A90" w:rsidRPr="00514593" w:rsidRDefault="00A5228B" w:rsidP="00530E7A">
      <w:pPr>
        <w:pStyle w:val="Prrafodelista"/>
        <w:numPr>
          <w:ilvl w:val="0"/>
          <w:numId w:val="40"/>
        </w:numPr>
        <w:contextualSpacing/>
        <w:rPr>
          <w:color w:val="000000"/>
        </w:rPr>
      </w:pPr>
      <w:r w:rsidRPr="00514593">
        <w:rPr>
          <w:color w:val="000000"/>
        </w:rPr>
        <w:t xml:space="preserve">En caso de que </w:t>
      </w:r>
      <w:r w:rsidR="005B2D14" w:rsidRPr="00514593">
        <w:rPr>
          <w:color w:val="000000"/>
        </w:rPr>
        <w:t xml:space="preserve"> no cuente con plaza vigente actualmente, solicito copia en versión pública de los documentos que acrediten las contrataciones que haya tenido en el ISEM desde el año 2012 hasta la fecha de esta solicitud.</w:t>
      </w:r>
    </w:p>
    <w:p w14:paraId="0097DBB4" w14:textId="77777777" w:rsidR="00DE0A90" w:rsidRPr="00514593" w:rsidRDefault="00DE0A90" w:rsidP="00DE0A90">
      <w:pPr>
        <w:contextualSpacing/>
        <w:rPr>
          <w:color w:val="000000"/>
        </w:rPr>
      </w:pPr>
    </w:p>
    <w:p w14:paraId="5CD44502" w14:textId="77777777" w:rsidR="00DE0A90" w:rsidRPr="00514593" w:rsidRDefault="005B2D14" w:rsidP="00530E7A">
      <w:pPr>
        <w:pStyle w:val="Prrafodelista"/>
        <w:numPr>
          <w:ilvl w:val="0"/>
          <w:numId w:val="40"/>
        </w:numPr>
        <w:contextualSpacing/>
        <w:rPr>
          <w:color w:val="000000"/>
        </w:rPr>
      </w:pPr>
      <w:r w:rsidRPr="00514593">
        <w:rPr>
          <w:color w:val="000000"/>
        </w:rPr>
        <w:lastRenderedPageBreak/>
        <w:t xml:space="preserve">Informe si en los registros del Instituto de Salud del Estado de México consta la </w:t>
      </w:r>
      <w:r w:rsidR="00B43179" w:rsidRPr="00514593">
        <w:rPr>
          <w:color w:val="000000"/>
        </w:rPr>
        <w:t xml:space="preserve">toma de nota </w:t>
      </w:r>
      <w:r w:rsidRPr="00514593">
        <w:rPr>
          <w:color w:val="000000"/>
        </w:rPr>
        <w:t xml:space="preserve">expedida por la autoridad laboral correspondiente, en la que se designe como representante sindical del SNTSA o de cualquier otra organización gremial. </w:t>
      </w:r>
    </w:p>
    <w:p w14:paraId="5668358B" w14:textId="77777777" w:rsidR="00DE0A90" w:rsidRPr="00514593" w:rsidRDefault="00DE0A90" w:rsidP="00DE0A90">
      <w:pPr>
        <w:contextualSpacing/>
        <w:rPr>
          <w:color w:val="000000"/>
        </w:rPr>
      </w:pPr>
    </w:p>
    <w:p w14:paraId="76DAF64D" w14:textId="77777777" w:rsidR="00DE0A90" w:rsidRPr="00514593" w:rsidRDefault="005B2D14" w:rsidP="002D3DAE">
      <w:pPr>
        <w:pStyle w:val="Prrafodelista"/>
        <w:numPr>
          <w:ilvl w:val="0"/>
          <w:numId w:val="40"/>
        </w:numPr>
        <w:contextualSpacing/>
        <w:rPr>
          <w:rFonts w:cs="Palatino Linotype"/>
          <w:color w:val="000000"/>
          <w:lang w:val="es-ES_tradnl" w:eastAsia="es-MX"/>
        </w:rPr>
      </w:pPr>
      <w:r w:rsidRPr="00514593">
        <w:rPr>
          <w:b/>
          <w:color w:val="000000"/>
        </w:rPr>
        <w:t>Informe si el Instituto de Salud del Estado de México ha reconocido formalmente a como representante sindical de trabajadores</w:t>
      </w:r>
      <w:r w:rsidR="00DE0A90" w:rsidRPr="00514593">
        <w:rPr>
          <w:color w:val="000000"/>
        </w:rPr>
        <w:t>.</w:t>
      </w:r>
    </w:p>
    <w:p w14:paraId="4927DBE3" w14:textId="77777777" w:rsidR="00DE0A90" w:rsidRPr="00514593" w:rsidRDefault="00DE0A90" w:rsidP="00DE0A90">
      <w:pPr>
        <w:pStyle w:val="Prrafodelista"/>
        <w:ind w:left="720"/>
        <w:contextualSpacing/>
        <w:rPr>
          <w:rFonts w:cs="Palatino Linotype"/>
          <w:color w:val="000000"/>
          <w:lang w:val="es-ES_tradnl" w:eastAsia="es-MX"/>
        </w:rPr>
      </w:pPr>
    </w:p>
    <w:p w14:paraId="192B6D4E" w14:textId="77777777" w:rsidR="00530E7A" w:rsidRPr="00514593" w:rsidRDefault="00530E7A" w:rsidP="00530E7A">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514593">
        <w:rPr>
          <w:rFonts w:ascii="Palatino Linotype" w:eastAsia="Times New Roman" w:hAnsi="Palatino Linotype" w:cs="Palatino Linotype"/>
          <w:color w:val="000000"/>
          <w:sz w:val="24"/>
          <w:szCs w:val="24"/>
          <w:lang w:val="es-ES_tradnl" w:eastAsia="es-MX"/>
        </w:rPr>
        <w:t>Por lo que atento a la solicitud de información el Sujeto Obligado hizo entrega del siguiente archivo electrónico:</w:t>
      </w:r>
    </w:p>
    <w:p w14:paraId="320D1B02" w14:textId="77777777" w:rsidR="00965024" w:rsidRPr="00514593" w:rsidRDefault="00965024" w:rsidP="00965024">
      <w:pPr>
        <w:pStyle w:val="Prrafodelista"/>
        <w:ind w:left="1080"/>
        <w:contextualSpacing/>
      </w:pPr>
      <w:r w:rsidRPr="00514593">
        <w:t xml:space="preserve">Para la solicitud de Información </w:t>
      </w:r>
      <w:r w:rsidRPr="00514593">
        <w:rPr>
          <w:b/>
          <w:color w:val="000000"/>
        </w:rPr>
        <w:t>00416/ISEM/IP/2025</w:t>
      </w:r>
    </w:p>
    <w:p w14:paraId="3BD1F51E" w14:textId="77777777" w:rsidR="00965024" w:rsidRPr="00514593" w:rsidRDefault="00965024" w:rsidP="00965024">
      <w:pPr>
        <w:pStyle w:val="Prrafodelista"/>
        <w:numPr>
          <w:ilvl w:val="0"/>
          <w:numId w:val="35"/>
        </w:numPr>
        <w:contextualSpacing/>
        <w:rPr>
          <w:b/>
        </w:rPr>
      </w:pPr>
      <w:r w:rsidRPr="00514593">
        <w:rPr>
          <w:rFonts w:eastAsiaTheme="majorEastAsia" w:cs="Arial"/>
          <w:b/>
          <w:bCs/>
        </w:rPr>
        <w:t xml:space="preserve">SAIMEX 00416.pdf: </w:t>
      </w:r>
      <w:r w:rsidRPr="00514593">
        <w:rPr>
          <w:rFonts w:eastAsiaTheme="majorEastAsia" w:cs="Arial"/>
          <w:bCs/>
        </w:rPr>
        <w:t>Soporte documental que consta de dos fojas en formato PDF de fecha veinte de agosto de dos mi</w:t>
      </w:r>
      <w:r w:rsidR="00B83592" w:rsidRPr="00514593">
        <w:rPr>
          <w:rFonts w:eastAsiaTheme="majorEastAsia" w:cs="Arial"/>
          <w:bCs/>
        </w:rPr>
        <w:t>l veinticinco por medio del cual la Subdirectora de Recursos Humanos</w:t>
      </w:r>
      <w:r w:rsidRPr="00514593">
        <w:rPr>
          <w:rFonts w:eastAsiaTheme="majorEastAsia" w:cs="Arial"/>
          <w:bCs/>
        </w:rPr>
        <w:t xml:space="preserve"> manifiesta que </w:t>
      </w:r>
      <w:r w:rsidR="00D80D3E" w:rsidRPr="00514593">
        <w:t xml:space="preserve">después </w:t>
      </w:r>
      <w:r w:rsidRPr="00514593">
        <w:t xml:space="preserve">del análisis del requerimiento y derivado de una búsqueda exhaustiva y razonable en los archivos que obran en esta Subdirección, </w:t>
      </w:r>
      <w:r w:rsidRPr="00514593">
        <w:rPr>
          <w:b/>
        </w:rPr>
        <w:t>no se encontró registro de la C. Honoria Arellano Ocampo, como personal ac</w:t>
      </w:r>
      <w:r w:rsidR="00D80D3E" w:rsidRPr="00514593">
        <w:rPr>
          <w:b/>
        </w:rPr>
        <w:t>tivo en este Instituto de Salud.</w:t>
      </w:r>
    </w:p>
    <w:p w14:paraId="00B54E21" w14:textId="77777777" w:rsidR="00903317" w:rsidRPr="00514593" w:rsidRDefault="00903317" w:rsidP="00A21046">
      <w:pPr>
        <w:contextualSpacing/>
        <w:rPr>
          <w:rFonts w:eastAsiaTheme="majorEastAsia" w:cs="Arial"/>
          <w:b/>
          <w:bCs/>
        </w:rPr>
      </w:pPr>
    </w:p>
    <w:p w14:paraId="4682ED61" w14:textId="77777777" w:rsidR="00B83592" w:rsidRPr="00514593" w:rsidRDefault="00B83592" w:rsidP="00B83592">
      <w:pPr>
        <w:pStyle w:val="Prrafodelista"/>
        <w:ind w:left="720"/>
        <w:contextualSpacing/>
        <w:rPr>
          <w:rFonts w:eastAsiaTheme="majorEastAsia" w:cs="Arial"/>
          <w:bCs/>
        </w:rPr>
      </w:pPr>
      <w:r w:rsidRPr="00514593">
        <w:rPr>
          <w:rFonts w:eastAsiaTheme="majorEastAsia" w:cs="Arial"/>
          <w:bCs/>
        </w:rPr>
        <w:t>Así mismo manifiesta que  t</w:t>
      </w:r>
      <w:r w:rsidRPr="00514593">
        <w:t>oda vez que derivado del "</w:t>
      </w:r>
      <w:r w:rsidRPr="00514593">
        <w:rPr>
          <w:i/>
        </w:rPr>
        <w:t>Convenio de Coordinación que establece la forma de colaboración en materia de personal, infraestructura, equipamiento, medicamentos y demás insumos asociados para la prestación gratuita de servicios de salud, para la personas sin seguridad social, que celebran la Secretaría de Salud, Servicios de Salud del Instituto Mexicano del Seguro Social para el Bienestar (IMSS-BIENESTAR) y el Estado de México</w:t>
      </w:r>
      <w:r w:rsidRPr="00514593">
        <w:t xml:space="preserve">", publicado en el Diario Oficial de la Federación, el 13 de </w:t>
      </w:r>
      <w:r w:rsidRPr="00514593">
        <w:lastRenderedPageBreak/>
        <w:t>Noviembre de 2023, este Instituto de Salud del Estado de México se encuentra en el proceso de transición.</w:t>
      </w:r>
    </w:p>
    <w:p w14:paraId="27D96E38" w14:textId="77777777" w:rsidR="00903317" w:rsidRPr="00514593" w:rsidRDefault="00903317" w:rsidP="00D80D3E">
      <w:pPr>
        <w:pStyle w:val="Prrafodelista"/>
        <w:ind w:left="720"/>
        <w:contextualSpacing/>
        <w:rPr>
          <w:rFonts w:eastAsiaTheme="majorEastAsia" w:cs="Arial"/>
          <w:b/>
          <w:bCs/>
        </w:rPr>
      </w:pPr>
    </w:p>
    <w:p w14:paraId="5B662053" w14:textId="77777777" w:rsidR="00D80D3E" w:rsidRPr="00514593" w:rsidRDefault="00D80D3E" w:rsidP="00D80D3E">
      <w:pPr>
        <w:pStyle w:val="Prrafodelista"/>
        <w:ind w:left="720"/>
        <w:contextualSpacing/>
      </w:pPr>
      <w:r w:rsidRPr="00514593">
        <w:t xml:space="preserve">Por lo que se refiere a </w:t>
      </w:r>
      <w:r w:rsidRPr="00514593">
        <w:rPr>
          <w:i/>
        </w:rPr>
        <w:t>"...Informe si en los registros del Institito de Salud del Estado de México consta la TOMA DE NOTA expedida por la autoridad laboral correspondiente..." y "...Informe si el Instituto de Salud del Estado de México ha reconocido formalmente a Honoria Arellano Ocampo como representante sindical...</w:t>
      </w:r>
      <w:r w:rsidRPr="00514593">
        <w:t xml:space="preserve">" </w:t>
      </w:r>
      <w:r w:rsidR="00903317" w:rsidRPr="00514593">
        <w:t>manifiesta</w:t>
      </w:r>
      <w:r w:rsidRPr="00514593">
        <w:t xml:space="preserve"> que no es posible dar atención a lo solicitado, toda vez que el Sindicato Nacional de Trabajadores de la Secretaría de Salud (SNTSA), es un organismo independiente del ISEM, por lo tanto queda fuera de la competencia de este Instituto de Salud otorgar información relacionada con dicho organismo, por lo cual esta unidad administrativa sólo está obligada a proporcionar la información pública que se le requiera y que obre en sus archivos y en el estado en que ésta se encuentre. La obligación de proporcionar información no comprende el procesamiento de la misma, ni presentarla conforme al interés del solicitante; no estará obligada a generarla, resumirla, efectuar cálculos o practicar investigaciones.</w:t>
      </w:r>
    </w:p>
    <w:p w14:paraId="77F30304" w14:textId="77777777" w:rsidR="00D80D3E" w:rsidRPr="00514593" w:rsidRDefault="00D80D3E" w:rsidP="00D80D3E">
      <w:pPr>
        <w:pStyle w:val="Prrafodelista"/>
        <w:ind w:left="720"/>
        <w:contextualSpacing/>
        <w:rPr>
          <w:b/>
        </w:rPr>
      </w:pPr>
    </w:p>
    <w:p w14:paraId="40C79BC0" w14:textId="77777777" w:rsidR="00530E7A" w:rsidRPr="00514593" w:rsidRDefault="00965024" w:rsidP="00B83592">
      <w:pPr>
        <w:pStyle w:val="Prrafodelista"/>
        <w:numPr>
          <w:ilvl w:val="0"/>
          <w:numId w:val="35"/>
        </w:numPr>
        <w:contextualSpacing/>
      </w:pPr>
      <w:r w:rsidRPr="00514593">
        <w:rPr>
          <w:rFonts w:eastAsiaTheme="majorEastAsia" w:cs="Arial"/>
          <w:b/>
          <w:bCs/>
        </w:rPr>
        <w:t>sol 00416 2025.pdf</w:t>
      </w:r>
      <w:r w:rsidR="00B83592" w:rsidRPr="00514593">
        <w:rPr>
          <w:rFonts w:eastAsiaTheme="majorEastAsia" w:cs="Arial"/>
          <w:b/>
          <w:bCs/>
        </w:rPr>
        <w:t xml:space="preserve">: </w:t>
      </w:r>
      <w:r w:rsidR="00B83592" w:rsidRPr="00514593">
        <w:rPr>
          <w:rFonts w:eastAsiaTheme="majorEastAsia" w:cs="Arial"/>
          <w:bCs/>
        </w:rPr>
        <w:t xml:space="preserve">Soporte documental que consta de tres fojas en formato PDF de fecha veinticinco de agosto de dos mil veinticinco por medio del cual el Titular de la Unidad de Transparencia manifiesta que se dio contestación a la solicitud de información. </w:t>
      </w:r>
    </w:p>
    <w:p w14:paraId="44AEF2C9" w14:textId="77777777" w:rsidR="00AF16D8" w:rsidRPr="00514593" w:rsidRDefault="00AF16D8" w:rsidP="00530E7A">
      <w:pPr>
        <w:spacing w:after="0" w:line="360" w:lineRule="auto"/>
        <w:contextualSpacing/>
        <w:jc w:val="both"/>
        <w:rPr>
          <w:rFonts w:ascii="Palatino Linotype" w:eastAsia="Times New Roman" w:hAnsi="Palatino Linotype" w:cs="Palatino Linotype"/>
          <w:color w:val="000000"/>
          <w:sz w:val="24"/>
          <w:lang w:val="es-ES_tradnl" w:eastAsia="es-MX"/>
        </w:rPr>
      </w:pPr>
    </w:p>
    <w:p w14:paraId="06A4E14A" w14:textId="77777777" w:rsidR="00AF16D8" w:rsidRPr="00514593" w:rsidRDefault="00AF16D8" w:rsidP="00AF16D8">
      <w:pPr>
        <w:pStyle w:val="Prrafodelista"/>
        <w:numPr>
          <w:ilvl w:val="0"/>
          <w:numId w:val="35"/>
        </w:numPr>
        <w:contextualSpacing/>
        <w:rPr>
          <w:b/>
          <w:bCs/>
        </w:rPr>
      </w:pPr>
      <w:r w:rsidRPr="00514593">
        <w:rPr>
          <w:bCs/>
        </w:rPr>
        <w:t xml:space="preserve">Para solicitud de información </w:t>
      </w:r>
      <w:r w:rsidRPr="00514593">
        <w:rPr>
          <w:b/>
          <w:bCs/>
        </w:rPr>
        <w:t>00417/ISEM/IP/2025</w:t>
      </w:r>
    </w:p>
    <w:p w14:paraId="7E63864E" w14:textId="77777777" w:rsidR="00190794" w:rsidRPr="00514593" w:rsidRDefault="00AF16D8" w:rsidP="00190794">
      <w:pPr>
        <w:pStyle w:val="Prrafodelista"/>
        <w:ind w:left="720"/>
        <w:contextualSpacing/>
      </w:pPr>
      <w:r w:rsidRPr="00514593">
        <w:rPr>
          <w:rFonts w:eastAsiaTheme="majorEastAsia" w:cs="Arial"/>
          <w:b/>
          <w:bCs/>
          <w:i/>
        </w:rPr>
        <w:lastRenderedPageBreak/>
        <w:t>SAIMEX 00417.pdf</w:t>
      </w:r>
      <w:r w:rsidR="00A21046" w:rsidRPr="00514593">
        <w:rPr>
          <w:rFonts w:eastAsiaTheme="majorEastAsia" w:cs="Arial"/>
          <w:b/>
          <w:bCs/>
          <w:i/>
        </w:rPr>
        <w:t xml:space="preserve">: </w:t>
      </w:r>
      <w:r w:rsidR="00A21046" w:rsidRPr="00514593">
        <w:rPr>
          <w:rFonts w:eastAsiaTheme="majorEastAsia" w:cs="Arial"/>
          <w:bCs/>
        </w:rPr>
        <w:t>Soporte documental que consta de dos fojas en formato PDF de fecha veintiuno de agosto de dos mil veinticinco por medio del cual la Subdirectora de Recursos de Humanos</w:t>
      </w:r>
      <w:r w:rsidR="00190794" w:rsidRPr="00514593">
        <w:rPr>
          <w:rFonts w:eastAsiaTheme="majorEastAsia" w:cs="Arial"/>
          <w:bCs/>
        </w:rPr>
        <w:t xml:space="preserve"> manifiesta que </w:t>
      </w:r>
      <w:r w:rsidR="00190794" w:rsidRPr="00514593">
        <w:t xml:space="preserve">después del análisis del requerimiento y derivado de una búsqueda exhaustiva y razonable en los archivos que obran en esta Subdirección, </w:t>
      </w:r>
      <w:r w:rsidR="00190794" w:rsidRPr="00514593">
        <w:rPr>
          <w:b/>
        </w:rPr>
        <w:t>no se encontró registro de la C. Honoria Arellano Ocampo, como personal activo en este Instituto de Salud.</w:t>
      </w:r>
    </w:p>
    <w:p w14:paraId="4B2467E7" w14:textId="77777777" w:rsidR="00190794" w:rsidRPr="00514593" w:rsidRDefault="00190794" w:rsidP="00190794">
      <w:pPr>
        <w:contextualSpacing/>
        <w:rPr>
          <w:rFonts w:eastAsiaTheme="majorEastAsia" w:cs="Arial"/>
          <w:b/>
          <w:bCs/>
        </w:rPr>
      </w:pPr>
    </w:p>
    <w:p w14:paraId="4EB2F5A3" w14:textId="77777777" w:rsidR="00190794" w:rsidRPr="00514593" w:rsidRDefault="00190794" w:rsidP="00190794">
      <w:pPr>
        <w:pStyle w:val="Prrafodelista"/>
        <w:ind w:left="720"/>
        <w:contextualSpacing/>
        <w:rPr>
          <w:rFonts w:eastAsiaTheme="majorEastAsia" w:cs="Arial"/>
          <w:bCs/>
          <w:u w:val="single"/>
        </w:rPr>
      </w:pPr>
      <w:r w:rsidRPr="00514593">
        <w:rPr>
          <w:rFonts w:eastAsiaTheme="majorEastAsia" w:cs="Arial"/>
          <w:bCs/>
        </w:rPr>
        <w:t>Así mismo manifiesta que  t</w:t>
      </w:r>
      <w:r w:rsidRPr="00514593">
        <w:t>oda vez que derivado del "</w:t>
      </w:r>
      <w:r w:rsidRPr="00514593">
        <w:rPr>
          <w:i/>
        </w:rPr>
        <w:t>Convenio de Coordinación que establece la forma de colaboración en materia de personal, infraestructura, equipamiento, medicamentos y demás insumos asociados para la prestación gratuita de servicios de salud, para la personas sin seguridad social, que celebran la Secretaría de Salud, Servicios de Salud del Instituto Mexicano del Seguro Social para el Bienestar (IMSS-BIENESTAR) y el Estado de México</w:t>
      </w:r>
      <w:r w:rsidRPr="00514593">
        <w:t xml:space="preserve">", publicado en el Diario Oficial de la Federación, el 13 de Noviembre de 2023, este Instituto de Salud del Estado de México </w:t>
      </w:r>
      <w:r w:rsidRPr="00514593">
        <w:rPr>
          <w:u w:val="single"/>
        </w:rPr>
        <w:t>se encuentra en el proceso de transición.</w:t>
      </w:r>
    </w:p>
    <w:p w14:paraId="42865D8F" w14:textId="77777777" w:rsidR="00190794" w:rsidRPr="00514593" w:rsidRDefault="00190794" w:rsidP="00190794">
      <w:pPr>
        <w:contextualSpacing/>
        <w:rPr>
          <w:b/>
        </w:rPr>
      </w:pPr>
    </w:p>
    <w:p w14:paraId="37C00DA4" w14:textId="77777777" w:rsidR="00AF16D8" w:rsidRPr="00514593" w:rsidRDefault="00AF16D8" w:rsidP="00530E7A">
      <w:pPr>
        <w:pStyle w:val="Prrafodelista"/>
        <w:numPr>
          <w:ilvl w:val="0"/>
          <w:numId w:val="35"/>
        </w:numPr>
        <w:contextualSpacing/>
        <w:rPr>
          <w:b/>
          <w:bCs/>
          <w:i/>
        </w:rPr>
      </w:pPr>
      <w:r w:rsidRPr="00514593">
        <w:rPr>
          <w:rFonts w:eastAsiaTheme="majorEastAsia" w:cs="Arial"/>
          <w:b/>
          <w:bCs/>
          <w:i/>
        </w:rPr>
        <w:t>sol 00417 2025.pdf</w:t>
      </w:r>
      <w:r w:rsidR="00190794" w:rsidRPr="00514593">
        <w:rPr>
          <w:rFonts w:eastAsiaTheme="majorEastAsia" w:cs="Arial"/>
          <w:b/>
          <w:bCs/>
          <w:i/>
        </w:rPr>
        <w:t xml:space="preserve">: </w:t>
      </w:r>
      <w:r w:rsidR="00190794" w:rsidRPr="00514593">
        <w:rPr>
          <w:rFonts w:eastAsiaTheme="majorEastAsia" w:cs="Arial"/>
          <w:bCs/>
        </w:rPr>
        <w:t xml:space="preserve">Soporte documental que consta de tres fojas en formato PDF de fecha veinticinco de agosto de dos mil veinticinco por medio del cual la Jefa de la unidad de información, planeación, programación y evaluación y titular de la unidad de transparencia manifiesta que </w:t>
      </w:r>
      <w:r w:rsidR="00190794" w:rsidRPr="00514593">
        <w:rPr>
          <w:i/>
        </w:rPr>
        <w:t xml:space="preserve">“…después de una búsqueda exhaustiva y razonable en los archivos que obran en esta Subdirección, no se encontró registro de la C. Honoria Arellano Ocampo, como personal activo de este Instituto de Salud toda vez que derivado del Convenio de Coordinación que establece la forma de Colaboración en materia de personal, infraestructura, equipamiento, medicamentos y demás insumos asociados para </w:t>
      </w:r>
      <w:r w:rsidR="00190794" w:rsidRPr="00514593">
        <w:rPr>
          <w:i/>
        </w:rPr>
        <w:lastRenderedPageBreak/>
        <w:t>la prestación gratuita de servicios de salud para las personas sin seguridad social, que celebran la Secretaria de Salud, Servicios de Salud del Instituto Mexicano de Seguro Social para el Bienestar (IMSS BIENESTAR) y el Estado de México… este Instituto de Salud del Estado de México se encuentra en el proceso de transición enunciado en dicho Convenio...</w:t>
      </w:r>
      <w:r w:rsidR="00190794" w:rsidRPr="00514593">
        <w:t>”</w:t>
      </w:r>
    </w:p>
    <w:p w14:paraId="5DD82C7C" w14:textId="77777777" w:rsidR="00E211C0" w:rsidRPr="00514593" w:rsidRDefault="00E211C0" w:rsidP="00530E7A">
      <w:pPr>
        <w:spacing w:after="0" w:line="360" w:lineRule="auto"/>
        <w:contextualSpacing/>
        <w:jc w:val="both"/>
        <w:rPr>
          <w:rFonts w:ascii="Palatino Linotype" w:eastAsia="Times New Roman" w:hAnsi="Palatino Linotype" w:cs="Palatino Linotype"/>
          <w:color w:val="000000"/>
          <w:sz w:val="24"/>
          <w:lang w:val="es-ES_tradnl" w:eastAsia="es-MX"/>
        </w:rPr>
      </w:pPr>
    </w:p>
    <w:p w14:paraId="492F7E11" w14:textId="77777777" w:rsidR="00530E7A" w:rsidRPr="00514593" w:rsidRDefault="00530E7A" w:rsidP="00530E7A">
      <w:pPr>
        <w:spacing w:after="0" w:line="360" w:lineRule="auto"/>
        <w:contextualSpacing/>
        <w:jc w:val="both"/>
        <w:rPr>
          <w:rFonts w:ascii="Palatino Linotype" w:eastAsia="Times New Roman" w:hAnsi="Palatino Linotype" w:cs="Palatino Linotype"/>
          <w:color w:val="000000"/>
          <w:sz w:val="24"/>
          <w:lang w:val="es-ES_tradnl" w:eastAsia="es-MX"/>
        </w:rPr>
      </w:pPr>
      <w:r w:rsidRPr="00514593">
        <w:rPr>
          <w:rFonts w:ascii="Palatino Linotype" w:eastAsia="Times New Roman" w:hAnsi="Palatino Linotype" w:cs="Palatino Linotype"/>
          <w:color w:val="000000"/>
          <w:sz w:val="24"/>
          <w:lang w:val="es-ES_tradnl" w:eastAsia="es-MX"/>
        </w:rPr>
        <w:t>Ante la respuesta emitida por el Sujeto Obligado, el Recurrente consideró que su derecho a la información pública había sido conculcado, por lo que interpuso el recur</w:t>
      </w:r>
      <w:r w:rsidR="00E211C0" w:rsidRPr="00514593">
        <w:rPr>
          <w:rFonts w:ascii="Palatino Linotype" w:eastAsia="Times New Roman" w:hAnsi="Palatino Linotype" w:cs="Palatino Linotype"/>
          <w:color w:val="000000"/>
          <w:sz w:val="24"/>
          <w:lang w:val="es-ES_tradnl" w:eastAsia="es-MX"/>
        </w:rPr>
        <w:t xml:space="preserve">so de revisión al rubro citado al considerar </w:t>
      </w:r>
      <w:r w:rsidRPr="00514593">
        <w:rPr>
          <w:rFonts w:ascii="Palatino Linotype" w:eastAsia="Times New Roman" w:hAnsi="Palatino Linotype" w:cs="Palatino Linotype"/>
          <w:color w:val="000000"/>
          <w:sz w:val="24"/>
          <w:lang w:val="es-ES_tradnl" w:eastAsia="es-MX"/>
        </w:rPr>
        <w:t>el Sujeto Obligado no le dio cuenta la información requerida.</w:t>
      </w:r>
    </w:p>
    <w:p w14:paraId="3E043708" w14:textId="77777777" w:rsidR="00CA24B2" w:rsidRPr="00514593" w:rsidRDefault="00CA24B2" w:rsidP="00530E7A">
      <w:pPr>
        <w:spacing w:after="0" w:line="360" w:lineRule="auto"/>
        <w:contextualSpacing/>
        <w:jc w:val="both"/>
        <w:rPr>
          <w:rFonts w:ascii="Palatino Linotype" w:eastAsia="Times New Roman" w:hAnsi="Palatino Linotype" w:cs="Palatino Linotype"/>
          <w:i/>
          <w:color w:val="000000"/>
          <w:sz w:val="24"/>
          <w:lang w:val="es-ES_tradnl" w:eastAsia="es-MX"/>
        </w:rPr>
      </w:pPr>
    </w:p>
    <w:p w14:paraId="42BFF41D" w14:textId="77777777" w:rsidR="00530E7A" w:rsidRPr="00514593" w:rsidRDefault="00530E7A" w:rsidP="00530E7A">
      <w:pPr>
        <w:tabs>
          <w:tab w:val="left" w:pos="709"/>
        </w:tabs>
        <w:spacing w:after="0" w:line="360" w:lineRule="auto"/>
        <w:contextualSpacing/>
        <w:jc w:val="both"/>
        <w:rPr>
          <w:rFonts w:ascii="Palatino Linotype" w:eastAsia="Times New Roman" w:hAnsi="Palatino Linotype" w:cs="Arial"/>
          <w:sz w:val="24"/>
          <w:lang w:val="es-ES_tradnl" w:eastAsia="es-MX"/>
        </w:rPr>
      </w:pPr>
      <w:r w:rsidRPr="00514593">
        <w:rPr>
          <w:rFonts w:ascii="Palatino Linotype" w:eastAsia="Times New Roman" w:hAnsi="Palatino Linotype" w:cs="Arial"/>
          <w:sz w:val="24"/>
          <w:lang w:val="es-ES_tradnl" w:eastAsia="es-MX"/>
        </w:rPr>
        <w:t>De lo anterior se debe señalar que el artículo 4, párrafo segundo de la Ley de Transparencia y Acceso a la Información Pública del Estado de México y Municipios, dispone:</w:t>
      </w:r>
    </w:p>
    <w:p w14:paraId="5904DDF1" w14:textId="77777777" w:rsidR="00530E7A" w:rsidRPr="00514593" w:rsidRDefault="00530E7A" w:rsidP="00530E7A">
      <w:pPr>
        <w:spacing w:after="0" w:line="360" w:lineRule="auto"/>
        <w:ind w:left="567" w:right="616"/>
        <w:jc w:val="both"/>
        <w:rPr>
          <w:rFonts w:ascii="Palatino Linotype" w:eastAsia="Times New Roman" w:hAnsi="Palatino Linotype" w:cs="Arial"/>
          <w:i/>
          <w:lang w:val="es-ES_tradnl" w:eastAsia="es-MX"/>
        </w:rPr>
      </w:pPr>
      <w:r w:rsidRPr="00514593">
        <w:rPr>
          <w:rFonts w:ascii="Palatino Linotype" w:eastAsia="Times New Roman" w:hAnsi="Palatino Linotype" w:cs="Arial"/>
          <w:i/>
          <w:lang w:val="es-ES_tradnl" w:eastAsia="es-MX"/>
        </w:rPr>
        <w:t>“</w:t>
      </w:r>
      <w:r w:rsidRPr="00514593">
        <w:rPr>
          <w:rFonts w:ascii="Palatino Linotype" w:eastAsia="Times New Roman" w:hAnsi="Palatino Linotype" w:cs="Arial"/>
          <w:b/>
          <w:i/>
          <w:lang w:val="es-ES_tradnl" w:eastAsia="es-MX"/>
        </w:rPr>
        <w:t xml:space="preserve">Artículo 4. </w:t>
      </w:r>
      <w:r w:rsidRPr="00514593">
        <w:rPr>
          <w:rFonts w:ascii="Palatino Linotype" w:eastAsia="Times New Roman" w:hAnsi="Palatino Linotype" w:cs="Arial"/>
          <w:i/>
          <w:lang w:val="es-ES_tradnl" w:eastAsia="es-MX"/>
        </w:rPr>
        <w:t xml:space="preserve">… </w:t>
      </w:r>
    </w:p>
    <w:p w14:paraId="2AC3457D" w14:textId="77777777" w:rsidR="00530E7A" w:rsidRPr="00514593" w:rsidRDefault="00530E7A" w:rsidP="00530E7A">
      <w:pPr>
        <w:spacing w:after="0" w:line="360" w:lineRule="auto"/>
        <w:ind w:left="567" w:right="616"/>
        <w:jc w:val="both"/>
        <w:rPr>
          <w:rFonts w:ascii="Palatino Linotype" w:eastAsia="Times New Roman" w:hAnsi="Palatino Linotype" w:cs="Arial"/>
          <w:i/>
          <w:lang w:val="es-ES_tradnl" w:eastAsia="es-MX"/>
        </w:rPr>
      </w:pPr>
      <w:r w:rsidRPr="00514593">
        <w:rPr>
          <w:rFonts w:ascii="Palatino Linotype" w:eastAsia="Times New Roman" w:hAnsi="Palatino Linotype" w:cs="Arial"/>
          <w:i/>
          <w:lang w:val="es-ES_tradnl" w:eastAsia="es-MX"/>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204D8535" w14:textId="77777777" w:rsidR="00530E7A" w:rsidRPr="00514593" w:rsidRDefault="00530E7A" w:rsidP="00530E7A">
      <w:pPr>
        <w:tabs>
          <w:tab w:val="left" w:pos="709"/>
        </w:tabs>
        <w:spacing w:after="0" w:line="360" w:lineRule="auto"/>
        <w:contextualSpacing/>
        <w:jc w:val="both"/>
        <w:rPr>
          <w:rFonts w:ascii="Palatino Linotype" w:eastAsia="Times New Roman" w:hAnsi="Palatino Linotype" w:cs="Arial"/>
          <w:sz w:val="24"/>
          <w:lang w:val="es-ES_tradnl" w:eastAsia="es-MX"/>
        </w:rPr>
      </w:pPr>
    </w:p>
    <w:p w14:paraId="58FC0FF4" w14:textId="77777777" w:rsidR="00530E7A" w:rsidRPr="00514593" w:rsidRDefault="00530E7A" w:rsidP="00530E7A">
      <w:pPr>
        <w:tabs>
          <w:tab w:val="left" w:pos="709"/>
        </w:tabs>
        <w:spacing w:after="0" w:line="360" w:lineRule="auto"/>
        <w:contextualSpacing/>
        <w:jc w:val="both"/>
        <w:rPr>
          <w:rFonts w:ascii="Palatino Linotype" w:eastAsia="Times New Roman" w:hAnsi="Palatino Linotype" w:cs="Arial"/>
          <w:sz w:val="24"/>
          <w:lang w:val="es-ES_tradnl" w:eastAsia="es-MX"/>
        </w:rPr>
      </w:pPr>
      <w:r w:rsidRPr="00514593">
        <w:rPr>
          <w:rFonts w:ascii="Palatino Linotype" w:eastAsia="Times New Roman" w:hAnsi="Palatino Linotype" w:cs="Arial"/>
          <w:sz w:val="24"/>
          <w:lang w:val="es-ES_tradnl" w:eastAsia="es-MX"/>
        </w:rPr>
        <w:t xml:space="preserve">Del precepto legal invocado, se desprende, que la información generada, obtenida, adquirida, transmitida, administrada o en posesión de los Sujetos Obligados, será </w:t>
      </w:r>
      <w:r w:rsidRPr="00514593">
        <w:rPr>
          <w:rFonts w:ascii="Palatino Linotype" w:eastAsia="Times New Roman" w:hAnsi="Palatino Linotype" w:cs="Arial"/>
          <w:sz w:val="24"/>
          <w:lang w:val="es-ES_tradnl" w:eastAsia="es-MX"/>
        </w:rPr>
        <w:lastRenderedPageBreak/>
        <w:t>accesible de manera permanente a cualquier persona, privilegiando el principio de máxima publicidad de la información.</w:t>
      </w:r>
    </w:p>
    <w:p w14:paraId="58FCEB57" w14:textId="77777777" w:rsidR="00530E7A" w:rsidRPr="00514593" w:rsidRDefault="00530E7A" w:rsidP="00530E7A">
      <w:pPr>
        <w:tabs>
          <w:tab w:val="left" w:pos="709"/>
        </w:tabs>
        <w:spacing w:after="0" w:line="360" w:lineRule="auto"/>
        <w:contextualSpacing/>
        <w:jc w:val="both"/>
        <w:rPr>
          <w:rFonts w:ascii="Palatino Linotype" w:eastAsia="Times New Roman" w:hAnsi="Palatino Linotype" w:cs="Arial"/>
          <w:sz w:val="24"/>
          <w:lang w:val="es-ES_tradnl" w:eastAsia="es-MX"/>
        </w:rPr>
      </w:pPr>
    </w:p>
    <w:p w14:paraId="79DD516D" w14:textId="77777777" w:rsidR="00530E7A" w:rsidRPr="00514593" w:rsidRDefault="00530E7A" w:rsidP="00530E7A">
      <w:pPr>
        <w:tabs>
          <w:tab w:val="left" w:pos="709"/>
        </w:tabs>
        <w:spacing w:after="0" w:line="360" w:lineRule="auto"/>
        <w:contextualSpacing/>
        <w:jc w:val="both"/>
        <w:rPr>
          <w:rFonts w:ascii="Palatino Linotype" w:eastAsia="Times New Roman" w:hAnsi="Palatino Linotype" w:cs="Arial"/>
          <w:sz w:val="24"/>
          <w:lang w:val="es-ES_tradnl" w:eastAsia="es-MX"/>
        </w:rPr>
      </w:pPr>
      <w:r w:rsidRPr="00514593">
        <w:rPr>
          <w:rFonts w:ascii="Palatino Linotype" w:eastAsia="Times New Roman" w:hAnsi="Palatino Linotype" w:cs="Arial"/>
          <w:sz w:val="24"/>
          <w:lang w:val="es-ES_tradnl" w:eastAsia="es-MX"/>
        </w:rPr>
        <w:t xml:space="preserve">En esta misma tesitura, el derecho de acceso a la información pública, consiste en que la información solicitada conste en un soporte documental en cualquiera de sus formas, a saber: </w:t>
      </w:r>
      <w:r w:rsidRPr="00514593">
        <w:rPr>
          <w:rFonts w:ascii="Palatino Linotype" w:eastAsia="Times New Roman" w:hAnsi="Palatino Linotype" w:cs="Arial"/>
          <w:b/>
          <w:sz w:val="24"/>
          <w:u w:val="single"/>
          <w:lang w:val="es-ES_tradnl" w:eastAsia="es-MX"/>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w:t>
      </w:r>
      <w:r w:rsidRPr="00514593">
        <w:rPr>
          <w:rFonts w:ascii="Palatino Linotype" w:eastAsia="Times New Roman" w:hAnsi="Palatino Linotype" w:cs="Arial"/>
          <w:sz w:val="24"/>
          <w:lang w:val="es-ES_tradnl" w:eastAsia="es-MX"/>
        </w:rPr>
        <w:t xml:space="preserve"> de los Sujetos Obligados; los que, podrán estar en cualquier medio, sea escrito, impreso, sonoro, visual, electrónico, informático u holográfico, de conformidad con el artículo 3, fracción XI, de la Ley de la materia, el cual dispone lo siguiente: </w:t>
      </w:r>
    </w:p>
    <w:p w14:paraId="3A89C739" w14:textId="77777777" w:rsidR="00530E7A" w:rsidRPr="00514593" w:rsidRDefault="00530E7A" w:rsidP="00530E7A">
      <w:pPr>
        <w:spacing w:after="0" w:line="240" w:lineRule="auto"/>
        <w:rPr>
          <w:rFonts w:ascii="Times New Roman" w:eastAsia="Times New Roman" w:hAnsi="Times New Roman" w:cs="Times New Roman"/>
          <w:sz w:val="24"/>
          <w:szCs w:val="24"/>
          <w:lang w:eastAsia="es-ES"/>
        </w:rPr>
      </w:pPr>
    </w:p>
    <w:p w14:paraId="52AC9CAA" w14:textId="77777777" w:rsidR="00530E7A" w:rsidRPr="00514593" w:rsidRDefault="00530E7A" w:rsidP="00530E7A">
      <w:pPr>
        <w:spacing w:after="0" w:line="360" w:lineRule="auto"/>
        <w:ind w:left="567" w:right="616"/>
        <w:jc w:val="both"/>
        <w:rPr>
          <w:rFonts w:ascii="Palatino Linotype" w:eastAsia="Times New Roman" w:hAnsi="Palatino Linotype" w:cs="Arial"/>
          <w:i/>
          <w:lang w:val="es-ES_tradnl" w:eastAsia="es-MX"/>
        </w:rPr>
      </w:pPr>
      <w:r w:rsidRPr="00514593">
        <w:rPr>
          <w:rFonts w:ascii="Palatino Linotype" w:eastAsia="Times New Roman" w:hAnsi="Palatino Linotype" w:cs="Arial"/>
          <w:i/>
          <w:lang w:val="es-ES_tradnl" w:eastAsia="es-MX"/>
        </w:rPr>
        <w:t>“</w:t>
      </w:r>
      <w:r w:rsidRPr="00514593">
        <w:rPr>
          <w:rFonts w:ascii="Palatino Linotype" w:eastAsia="Times New Roman" w:hAnsi="Palatino Linotype" w:cs="Arial"/>
          <w:b/>
          <w:i/>
          <w:lang w:val="es-ES_tradnl" w:eastAsia="es-MX"/>
        </w:rPr>
        <w:t xml:space="preserve">Artículo 3. </w:t>
      </w:r>
      <w:r w:rsidRPr="00514593">
        <w:rPr>
          <w:rFonts w:ascii="Palatino Linotype" w:eastAsia="Times New Roman" w:hAnsi="Palatino Linotype" w:cs="Arial"/>
          <w:i/>
          <w:lang w:val="es-ES_tradnl" w:eastAsia="es-MX"/>
        </w:rPr>
        <w:t>Para los efectos de la presente Ley se entenderá por:</w:t>
      </w:r>
    </w:p>
    <w:p w14:paraId="4303001F" w14:textId="77777777" w:rsidR="00530E7A" w:rsidRPr="00514593" w:rsidRDefault="00530E7A" w:rsidP="00530E7A">
      <w:pPr>
        <w:spacing w:after="0" w:line="360" w:lineRule="auto"/>
        <w:ind w:left="567" w:right="616"/>
        <w:jc w:val="both"/>
        <w:rPr>
          <w:rFonts w:ascii="Palatino Linotype" w:eastAsia="Times New Roman" w:hAnsi="Palatino Linotype" w:cs="Arial"/>
          <w:i/>
          <w:lang w:val="es-ES_tradnl" w:eastAsia="es-MX"/>
        </w:rPr>
      </w:pPr>
      <w:r w:rsidRPr="00514593">
        <w:rPr>
          <w:rFonts w:ascii="Palatino Linotype" w:eastAsia="Times New Roman" w:hAnsi="Palatino Linotype" w:cs="Arial"/>
          <w:i/>
          <w:lang w:val="es-ES_tradnl" w:eastAsia="es-MX"/>
        </w:rPr>
        <w:t>(…)</w:t>
      </w:r>
    </w:p>
    <w:p w14:paraId="65288159" w14:textId="77777777" w:rsidR="00530E7A" w:rsidRPr="00514593" w:rsidRDefault="00530E7A" w:rsidP="00530E7A">
      <w:pPr>
        <w:spacing w:after="0" w:line="360" w:lineRule="auto"/>
        <w:ind w:left="567" w:right="616"/>
        <w:jc w:val="both"/>
        <w:rPr>
          <w:rFonts w:ascii="Palatino Linotype" w:eastAsia="Times New Roman" w:hAnsi="Palatino Linotype" w:cs="Arial"/>
          <w:i/>
          <w:lang w:val="es-ES_tradnl" w:eastAsia="es-MX"/>
        </w:rPr>
      </w:pPr>
      <w:r w:rsidRPr="00514593">
        <w:rPr>
          <w:rFonts w:ascii="Palatino Linotype" w:eastAsia="Times New Roman" w:hAnsi="Palatino Linotype" w:cs="Arial"/>
          <w:b/>
          <w:i/>
          <w:lang w:val="es-ES_tradnl" w:eastAsia="es-MX"/>
        </w:rPr>
        <w:t>XI. Documento:</w:t>
      </w:r>
      <w:r w:rsidRPr="00514593">
        <w:rPr>
          <w:rFonts w:ascii="Palatino Linotype" w:eastAsia="Times New Roman" w:hAnsi="Palatino Linotype" w:cs="Arial"/>
          <w:i/>
          <w:lang w:val="es-ES_tradnl" w:eastAsia="es-MX"/>
        </w:rPr>
        <w:t xml:space="preserve"> Los expedientes, reportes, estudios, actas, resoluciones, oficios, correspondencia, acuerdos, directivas, directrices, circulares, contratos, convenios, instructivos, notas, memorandos, estadísticas o bien, cualquier otro </w:t>
      </w:r>
      <w:r w:rsidRPr="00514593">
        <w:rPr>
          <w:rFonts w:ascii="Palatino Linotype" w:eastAsia="Times New Roman" w:hAnsi="Palatino Linotype" w:cs="Arial"/>
          <w:b/>
          <w:i/>
          <w:u w:val="single"/>
          <w:lang w:val="es-ES_tradnl" w:eastAsia="es-MX"/>
        </w:rPr>
        <w:t>registro que documente el ejercicio de las facultades, funciones y competencias de los sujetos obligados</w:t>
      </w:r>
      <w:r w:rsidRPr="00514593">
        <w:rPr>
          <w:rFonts w:ascii="Palatino Linotype" w:eastAsia="Times New Roman" w:hAnsi="Palatino Linotype" w:cs="Arial"/>
          <w:i/>
          <w:u w:val="single"/>
          <w:lang w:val="es-ES_tradnl" w:eastAsia="es-MX"/>
        </w:rPr>
        <w:t>,</w:t>
      </w:r>
      <w:r w:rsidRPr="00514593">
        <w:rPr>
          <w:rFonts w:ascii="Palatino Linotype" w:eastAsia="Times New Roman" w:hAnsi="Palatino Linotype" w:cs="Arial"/>
          <w:i/>
          <w:lang w:val="es-ES_tradnl" w:eastAsia="es-MX"/>
        </w:rPr>
        <w:t xml:space="preserve"> sus servidores públicos e integrantes, </w:t>
      </w:r>
      <w:r w:rsidRPr="00514593">
        <w:rPr>
          <w:rFonts w:ascii="Palatino Linotype" w:eastAsia="Times New Roman" w:hAnsi="Palatino Linotype" w:cs="Arial"/>
          <w:b/>
          <w:i/>
          <w:u w:val="single"/>
          <w:lang w:val="es-ES_tradnl" w:eastAsia="es-MX"/>
        </w:rPr>
        <w:t>sin importar su fuente o fecha de elaboración.</w:t>
      </w:r>
      <w:r w:rsidRPr="00514593">
        <w:rPr>
          <w:rFonts w:ascii="Palatino Linotype" w:eastAsia="Times New Roman" w:hAnsi="Palatino Linotype" w:cs="Arial"/>
          <w:i/>
          <w:lang w:val="es-ES_tradnl" w:eastAsia="es-MX"/>
        </w:rPr>
        <w:t xml:space="preserve"> Los documentos podrán estar en cualquier medio, sea escrito, impreso, sonoro, visual, electrónico, informático u holográfico;</w:t>
      </w:r>
    </w:p>
    <w:p w14:paraId="5DF7163C" w14:textId="77777777" w:rsidR="00530E7A" w:rsidRPr="00514593" w:rsidRDefault="00530E7A" w:rsidP="00530E7A">
      <w:pPr>
        <w:spacing w:after="0" w:line="360" w:lineRule="auto"/>
        <w:ind w:left="567" w:right="616"/>
        <w:jc w:val="both"/>
        <w:rPr>
          <w:rFonts w:ascii="Palatino Linotype" w:eastAsia="Times New Roman" w:hAnsi="Palatino Linotype" w:cs="Arial"/>
          <w:i/>
          <w:lang w:val="es-ES_tradnl" w:eastAsia="es-MX"/>
        </w:rPr>
      </w:pPr>
      <w:r w:rsidRPr="00514593">
        <w:rPr>
          <w:rFonts w:ascii="Palatino Linotype" w:eastAsia="Times New Roman" w:hAnsi="Palatino Linotype" w:cs="Arial"/>
          <w:i/>
          <w:lang w:val="es-ES_tradnl" w:eastAsia="es-MX"/>
        </w:rPr>
        <w:t>(…)”</w:t>
      </w:r>
    </w:p>
    <w:p w14:paraId="6B1CF301" w14:textId="77777777" w:rsidR="00530E7A" w:rsidRPr="00514593" w:rsidRDefault="00530E7A" w:rsidP="00530E7A">
      <w:pPr>
        <w:spacing w:after="0" w:line="360" w:lineRule="auto"/>
        <w:ind w:left="567" w:right="616"/>
        <w:jc w:val="both"/>
        <w:rPr>
          <w:rFonts w:ascii="Palatino Linotype" w:eastAsia="Times New Roman" w:hAnsi="Palatino Linotype" w:cs="Arial"/>
          <w:i/>
          <w:lang w:val="es-ES_tradnl" w:eastAsia="es-MX"/>
        </w:rPr>
      </w:pPr>
    </w:p>
    <w:p w14:paraId="50A36D31" w14:textId="77777777" w:rsidR="00530E7A" w:rsidRPr="00514593" w:rsidRDefault="00530E7A" w:rsidP="00C678FB">
      <w:pPr>
        <w:spacing w:before="240" w:after="240" w:line="360" w:lineRule="auto"/>
        <w:ind w:right="49"/>
        <w:contextualSpacing/>
        <w:jc w:val="both"/>
        <w:rPr>
          <w:rFonts w:ascii="Palatino Linotype" w:eastAsia="MS Mincho" w:hAnsi="Palatino Linotype" w:cs="Calibri"/>
          <w:sz w:val="24"/>
          <w:lang w:val="es-ES_tradnl" w:eastAsia="es-MX"/>
        </w:rPr>
      </w:pPr>
      <w:r w:rsidRPr="00514593">
        <w:rPr>
          <w:rFonts w:ascii="Palatino Linotype" w:eastAsia="Times New Roman" w:hAnsi="Palatino Linotype" w:cs="Arial"/>
          <w:sz w:val="24"/>
          <w:lang w:val="es-ES_tradnl" w:eastAsia="es-MX"/>
        </w:rPr>
        <w:lastRenderedPageBreak/>
        <w:t xml:space="preserve">Además, </w:t>
      </w:r>
      <w:r w:rsidRPr="00514593">
        <w:rPr>
          <w:rFonts w:ascii="Palatino Linotype" w:eastAsia="MS Mincho" w:hAnsi="Palatino Linotype" w:cs="Calibri"/>
          <w:sz w:val="24"/>
          <w:lang w:val="es-ES_tradnl" w:eastAsia="es-MX"/>
        </w:rPr>
        <w:t>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y 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modificaciones o procesamiento, no presentarla conforme a los interés de los particulares, como de igual forma los Sujeto Obligados no deberán de generar, resumir o efectuar cálculos o practicar investigaciones.</w:t>
      </w:r>
    </w:p>
    <w:p w14:paraId="28A0C625" w14:textId="77777777" w:rsidR="00053B55" w:rsidRPr="00514593" w:rsidRDefault="00053B55" w:rsidP="00C678FB">
      <w:pPr>
        <w:spacing w:before="240" w:after="240" w:line="360" w:lineRule="auto"/>
        <w:ind w:right="49"/>
        <w:contextualSpacing/>
        <w:jc w:val="both"/>
        <w:rPr>
          <w:rFonts w:ascii="Palatino Linotype" w:eastAsia="MS Mincho" w:hAnsi="Palatino Linotype" w:cs="Calibri"/>
          <w:sz w:val="24"/>
          <w:lang w:val="es-ES_tradnl" w:eastAsia="es-MX"/>
        </w:rPr>
      </w:pPr>
    </w:p>
    <w:p w14:paraId="3ADE4F03" w14:textId="77777777" w:rsidR="00530E7A" w:rsidRPr="00514593" w:rsidRDefault="00530E7A" w:rsidP="00530E7A">
      <w:pPr>
        <w:spacing w:after="0" w:line="360" w:lineRule="auto"/>
        <w:contextualSpacing/>
        <w:jc w:val="both"/>
        <w:rPr>
          <w:rFonts w:ascii="Palatino Linotype" w:eastAsia="Times New Roman" w:hAnsi="Palatino Linotype" w:cs="Arial"/>
          <w:sz w:val="24"/>
          <w:lang w:val="es-ES_tradnl" w:eastAsia="es-MX"/>
        </w:rPr>
      </w:pPr>
      <w:r w:rsidRPr="00514593">
        <w:rPr>
          <w:rFonts w:ascii="Palatino Linotype" w:eastAsia="Times New Roman" w:hAnsi="Palatino Linotype" w:cs="Arial"/>
          <w:bCs/>
          <w:sz w:val="24"/>
          <w:lang w:val="es-ES_tradnl" w:eastAsia="es-MX"/>
        </w:rPr>
        <w:t xml:space="preserve">Además, </w:t>
      </w:r>
      <w:r w:rsidRPr="00514593">
        <w:rPr>
          <w:rFonts w:ascii="Palatino Linotype" w:eastAsia="Times New Roman" w:hAnsi="Palatino Linotype" w:cs="Arial"/>
          <w:sz w:val="24"/>
          <w:lang w:val="es-ES_tradnl" w:eastAsia="es-MX"/>
        </w:rPr>
        <w:t>a Ley de Transparencia y Acceso a la Información Pública del Estado de México y Municipios, prevé en su artículo 23, fracción IV, que son Sujetos Obligados a Transparentar y permitir el acceso a su información y proteger los datos que obren en su poder:</w:t>
      </w:r>
    </w:p>
    <w:p w14:paraId="7D89EA32" w14:textId="77777777" w:rsidR="00530E7A" w:rsidRPr="00514593" w:rsidRDefault="00530E7A" w:rsidP="00530E7A">
      <w:pPr>
        <w:spacing w:after="0" w:line="360" w:lineRule="auto"/>
        <w:ind w:left="567" w:right="616"/>
        <w:contextualSpacing/>
        <w:jc w:val="both"/>
        <w:rPr>
          <w:rFonts w:ascii="Palatino Linotype" w:eastAsia="Times New Roman" w:hAnsi="Palatino Linotype" w:cs="Arial"/>
          <w:i/>
          <w:lang w:val="es-ES_tradnl" w:eastAsia="es-MX"/>
        </w:rPr>
      </w:pPr>
      <w:r w:rsidRPr="00514593">
        <w:rPr>
          <w:rFonts w:ascii="Palatino Linotype" w:eastAsia="Times New Roman" w:hAnsi="Palatino Linotype" w:cs="Arial"/>
          <w:b/>
          <w:i/>
          <w:lang w:val="es-ES_tradnl" w:eastAsia="es-MX"/>
        </w:rPr>
        <w:t>Artículo 23.</w:t>
      </w:r>
      <w:r w:rsidRPr="00514593">
        <w:rPr>
          <w:rFonts w:ascii="Palatino Linotype" w:eastAsia="Times New Roman" w:hAnsi="Palatino Linotype" w:cs="Arial"/>
          <w:i/>
          <w:lang w:val="es-ES_tradnl" w:eastAsia="es-MX"/>
        </w:rPr>
        <w:t xml:space="preserve"> Son sujetos obligados a transparentar y permitir el acceso a su información y proteger los datos personales que obren en su poder:</w:t>
      </w:r>
    </w:p>
    <w:p w14:paraId="2EEA84A3" w14:textId="77777777" w:rsidR="00530E7A" w:rsidRPr="00514593" w:rsidRDefault="00530E7A" w:rsidP="00530E7A">
      <w:pPr>
        <w:spacing w:after="0" w:line="360" w:lineRule="auto"/>
        <w:ind w:left="567" w:right="616"/>
        <w:contextualSpacing/>
        <w:jc w:val="both"/>
        <w:rPr>
          <w:rFonts w:ascii="Palatino Linotype" w:eastAsia="Times New Roman" w:hAnsi="Palatino Linotype" w:cs="Arial"/>
          <w:b/>
          <w:i/>
          <w:lang w:val="es-ES_tradnl" w:eastAsia="es-MX"/>
        </w:rPr>
      </w:pPr>
    </w:p>
    <w:p w14:paraId="75EF4072" w14:textId="77777777" w:rsidR="00530E7A" w:rsidRPr="00514593" w:rsidRDefault="00530E7A" w:rsidP="00530E7A">
      <w:pPr>
        <w:spacing w:after="0" w:line="360" w:lineRule="auto"/>
        <w:ind w:left="567" w:right="616"/>
        <w:contextualSpacing/>
        <w:jc w:val="both"/>
        <w:rPr>
          <w:rFonts w:ascii="Palatino Linotype" w:eastAsia="Times New Roman" w:hAnsi="Palatino Linotype" w:cs="Arial"/>
          <w:bCs/>
          <w:i/>
          <w:lang w:val="es-ES_tradnl" w:eastAsia="es-MX"/>
        </w:rPr>
      </w:pPr>
      <w:r w:rsidRPr="00514593">
        <w:rPr>
          <w:rFonts w:ascii="Palatino Linotype" w:eastAsia="Times New Roman" w:hAnsi="Palatino Linotype" w:cs="Arial"/>
          <w:b/>
          <w:i/>
          <w:lang w:val="es-ES_tradnl" w:eastAsia="es-MX"/>
        </w:rPr>
        <w:t xml:space="preserve">IV. </w:t>
      </w:r>
      <w:r w:rsidRPr="00514593">
        <w:rPr>
          <w:rFonts w:ascii="Palatino Linotype" w:eastAsia="Times New Roman" w:hAnsi="Palatino Linotype" w:cs="Arial"/>
          <w:bCs/>
          <w:i/>
          <w:lang w:val="es-ES_tradnl" w:eastAsia="es-MX"/>
        </w:rPr>
        <w:t>Los ayuntamientos y las dependencias, organismos, órganos y entidades de la administración municipal;</w:t>
      </w:r>
    </w:p>
    <w:p w14:paraId="76885071" w14:textId="77777777" w:rsidR="00530E7A" w:rsidRPr="00514593" w:rsidRDefault="00530E7A" w:rsidP="00530E7A">
      <w:pPr>
        <w:spacing w:line="360" w:lineRule="auto"/>
        <w:jc w:val="both"/>
        <w:rPr>
          <w:rFonts w:ascii="Palatino Linotype" w:hAnsi="Palatino Linotype"/>
          <w:sz w:val="24"/>
          <w:szCs w:val="24"/>
        </w:rPr>
      </w:pPr>
    </w:p>
    <w:p w14:paraId="66830924" w14:textId="77777777" w:rsidR="00530E7A" w:rsidRPr="00514593" w:rsidRDefault="00530E7A" w:rsidP="00C678FB">
      <w:pPr>
        <w:spacing w:line="360" w:lineRule="auto"/>
        <w:jc w:val="both"/>
        <w:rPr>
          <w:rFonts w:ascii="Palatino Linotype" w:hAnsi="Palatino Linotype"/>
          <w:sz w:val="24"/>
          <w:szCs w:val="24"/>
        </w:rPr>
      </w:pPr>
      <w:r w:rsidRPr="00514593">
        <w:rPr>
          <w:rFonts w:ascii="Palatino Linotype" w:hAnsi="Palatino Linotype"/>
          <w:sz w:val="24"/>
          <w:szCs w:val="24"/>
        </w:rPr>
        <w:t xml:space="preserve">Establecido </w:t>
      </w:r>
      <w:r w:rsidR="00C678FB" w:rsidRPr="00514593">
        <w:rPr>
          <w:rFonts w:ascii="Palatino Linotype" w:hAnsi="Palatino Linotype"/>
          <w:sz w:val="24"/>
          <w:szCs w:val="24"/>
        </w:rPr>
        <w:t xml:space="preserve">lo anterior, respecto la servidora pública de la que se solicita información mediante la presente garantía secundaria pertenece al Poder Legislativo como </w:t>
      </w:r>
      <w:r w:rsidR="00B43179" w:rsidRPr="00514593">
        <w:rPr>
          <w:rFonts w:ascii="Palatino Linotype" w:hAnsi="Palatino Linotype"/>
          <w:sz w:val="24"/>
          <w:szCs w:val="24"/>
        </w:rPr>
        <w:t>D</w:t>
      </w:r>
      <w:r w:rsidR="00C678FB" w:rsidRPr="00514593">
        <w:rPr>
          <w:rFonts w:ascii="Palatino Linotype" w:hAnsi="Palatino Linotype"/>
          <w:sz w:val="24"/>
          <w:szCs w:val="24"/>
        </w:rPr>
        <w:t xml:space="preserve">iputada </w:t>
      </w:r>
      <w:r w:rsidR="00B43179" w:rsidRPr="00514593">
        <w:rPr>
          <w:rFonts w:ascii="Palatino Linotype" w:hAnsi="Palatino Linotype"/>
          <w:sz w:val="24"/>
          <w:szCs w:val="24"/>
        </w:rPr>
        <w:lastRenderedPageBreak/>
        <w:t>P</w:t>
      </w:r>
      <w:r w:rsidR="00C678FB" w:rsidRPr="00514593">
        <w:rPr>
          <w:rFonts w:ascii="Palatino Linotype" w:hAnsi="Palatino Linotype"/>
          <w:sz w:val="24"/>
          <w:szCs w:val="24"/>
        </w:rPr>
        <w:t>lurinominal del Partido Verde Ecologista de México la cual conforme la información del Sistema de Información Pública de Oficio Mexiquense (</w:t>
      </w:r>
      <w:r w:rsidR="00C678FB" w:rsidRPr="00514593">
        <w:rPr>
          <w:rFonts w:ascii="Palatino Linotype" w:hAnsi="Palatino Linotype"/>
          <w:b/>
          <w:sz w:val="24"/>
          <w:szCs w:val="24"/>
        </w:rPr>
        <w:t>IPOMEX</w:t>
      </w:r>
      <w:r w:rsidR="00C678FB" w:rsidRPr="00514593">
        <w:rPr>
          <w:rFonts w:ascii="Palatino Linotype" w:hAnsi="Palatino Linotype"/>
          <w:sz w:val="24"/>
          <w:szCs w:val="24"/>
        </w:rPr>
        <w:t>) trabajo desde el año 1981 hasta el mes de junio de 2024 en el Instituto de Salud del Estado de México</w:t>
      </w:r>
      <w:r w:rsidR="00C678FB" w:rsidRPr="00514593">
        <w:rPr>
          <w:rStyle w:val="Refdenotaalpie"/>
          <w:rFonts w:ascii="Palatino Linotype" w:hAnsi="Palatino Linotype"/>
          <w:sz w:val="24"/>
          <w:szCs w:val="24"/>
        </w:rPr>
        <w:footnoteReference w:id="2"/>
      </w:r>
      <w:r w:rsidR="00C678FB" w:rsidRPr="00514593">
        <w:rPr>
          <w:rFonts w:ascii="Palatino Linotype" w:hAnsi="Palatino Linotype"/>
          <w:sz w:val="24"/>
          <w:szCs w:val="24"/>
        </w:rPr>
        <w:t xml:space="preserve"> sirva de referencia la ficha curricular tomada de IPOMEX; </w:t>
      </w:r>
    </w:p>
    <w:p w14:paraId="4C02A14A" w14:textId="77777777" w:rsidR="00530E7A" w:rsidRPr="00514593" w:rsidRDefault="00C678FB" w:rsidP="00B43179">
      <w:pPr>
        <w:spacing w:line="360" w:lineRule="auto"/>
        <w:jc w:val="center"/>
        <w:rPr>
          <w:rFonts w:ascii="Palatino Linotype" w:hAnsi="Palatino Linotype"/>
          <w:sz w:val="24"/>
          <w:szCs w:val="24"/>
        </w:rPr>
      </w:pPr>
      <w:r w:rsidRPr="00514593">
        <w:rPr>
          <w:rFonts w:ascii="Palatino Linotype" w:hAnsi="Palatino Linotype"/>
          <w:noProof/>
          <w:sz w:val="24"/>
          <w:szCs w:val="24"/>
          <w:lang w:eastAsia="es-MX"/>
        </w:rPr>
        <w:drawing>
          <wp:inline distT="0" distB="0" distL="0" distR="0" wp14:anchorId="3DDF969C" wp14:editId="37709F3F">
            <wp:extent cx="3730752" cy="3759835"/>
            <wp:effectExtent l="0" t="0" r="317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753632" cy="3782893"/>
                    </a:xfrm>
                    <a:prstGeom prst="rect">
                      <a:avLst/>
                    </a:prstGeom>
                  </pic:spPr>
                </pic:pic>
              </a:graphicData>
            </a:graphic>
          </wp:inline>
        </w:drawing>
      </w:r>
    </w:p>
    <w:p w14:paraId="1BF26D5A" w14:textId="77777777" w:rsidR="00E07680" w:rsidRPr="00514593" w:rsidRDefault="00E07680" w:rsidP="00530E7A">
      <w:pPr>
        <w:spacing w:line="360" w:lineRule="auto"/>
        <w:ind w:right="49"/>
        <w:jc w:val="both"/>
        <w:rPr>
          <w:rFonts w:ascii="Palatino Linotype" w:hAnsi="Palatino Linotype"/>
          <w:sz w:val="24"/>
          <w:szCs w:val="24"/>
        </w:rPr>
      </w:pPr>
    </w:p>
    <w:p w14:paraId="3E59C487" w14:textId="77777777" w:rsidR="00E07680" w:rsidRPr="00514593" w:rsidRDefault="002D2376" w:rsidP="002D2376">
      <w:pPr>
        <w:spacing w:line="360" w:lineRule="auto"/>
        <w:ind w:right="49"/>
        <w:jc w:val="both"/>
        <w:rPr>
          <w:rFonts w:ascii="Palatino Linotype" w:hAnsi="Palatino Linotype"/>
          <w:sz w:val="24"/>
          <w:szCs w:val="24"/>
        </w:rPr>
      </w:pPr>
      <w:r w:rsidRPr="00514593">
        <w:rPr>
          <w:rFonts w:ascii="Palatino Linotype" w:eastAsia="Palatino Linotype" w:hAnsi="Palatino Linotype" w:cs="Palatino Linotype"/>
          <w:color w:val="0C0C0C"/>
          <w:sz w:val="24"/>
          <w:szCs w:val="24"/>
        </w:rPr>
        <w:t xml:space="preserve">No pasa por desapercibido por este Instituto que respecto el  requerimiento </w:t>
      </w:r>
      <w:r w:rsidRPr="00514593">
        <w:rPr>
          <w:rFonts w:ascii="Palatino Linotype" w:eastAsia="Palatino Linotype" w:hAnsi="Palatino Linotype" w:cs="Palatino Linotype"/>
          <w:i/>
          <w:color w:val="0C0C0C"/>
        </w:rPr>
        <w:t>“</w:t>
      </w:r>
      <w:r w:rsidRPr="00514593">
        <w:rPr>
          <w:rFonts w:ascii="Palatino Linotype" w:hAnsi="Palatino Linotype"/>
          <w:b/>
          <w:i/>
          <w:color w:val="000000"/>
        </w:rPr>
        <w:t>Informe si el Instituto de Salud del Estado de México ha reconocido formalmente a como representante sindical de trabajadores</w:t>
      </w:r>
      <w:r w:rsidRPr="00514593">
        <w:rPr>
          <w:rFonts w:ascii="Palatino Linotype" w:eastAsia="Palatino Linotype" w:hAnsi="Palatino Linotype" w:cs="Palatino Linotype"/>
          <w:color w:val="0C0C0C"/>
          <w:sz w:val="24"/>
          <w:szCs w:val="24"/>
        </w:rPr>
        <w:t xml:space="preserve">” no </w:t>
      </w:r>
      <w:r w:rsidR="00E07680" w:rsidRPr="00514593">
        <w:rPr>
          <w:rFonts w:ascii="Palatino Linotype" w:eastAsia="Palatino Linotype" w:hAnsi="Palatino Linotype" w:cs="Palatino Linotype"/>
          <w:color w:val="0C0C0C"/>
          <w:sz w:val="24"/>
          <w:szCs w:val="24"/>
        </w:rPr>
        <w:t xml:space="preserve">se advierte </w:t>
      </w:r>
      <w:r w:rsidRPr="00514593">
        <w:rPr>
          <w:rFonts w:ascii="Palatino Linotype" w:eastAsia="Palatino Linotype" w:hAnsi="Palatino Linotype" w:cs="Palatino Linotype"/>
          <w:color w:val="0C0C0C"/>
          <w:sz w:val="24"/>
          <w:szCs w:val="24"/>
        </w:rPr>
        <w:t xml:space="preserve">que dicho requerimiento de información pueda ser colmado con </w:t>
      </w:r>
      <w:r w:rsidR="00E07680" w:rsidRPr="00514593">
        <w:rPr>
          <w:rFonts w:ascii="Palatino Linotype" w:eastAsia="Palatino Linotype" w:hAnsi="Palatino Linotype" w:cs="Palatino Linotype"/>
          <w:color w:val="0C0C0C"/>
          <w:sz w:val="24"/>
          <w:szCs w:val="24"/>
        </w:rPr>
        <w:t>la emisión de documentos</w:t>
      </w:r>
      <w:r w:rsidRPr="00514593">
        <w:rPr>
          <w:rFonts w:ascii="Palatino Linotype" w:eastAsia="Palatino Linotype" w:hAnsi="Palatino Linotype" w:cs="Palatino Linotype"/>
          <w:b/>
          <w:color w:val="0C0C0C"/>
          <w:sz w:val="24"/>
          <w:szCs w:val="24"/>
        </w:rPr>
        <w:t>, pues corresponde</w:t>
      </w:r>
      <w:r w:rsidR="00E07680" w:rsidRPr="00514593">
        <w:rPr>
          <w:rFonts w:ascii="Palatino Linotype" w:eastAsia="Palatino Linotype" w:hAnsi="Palatino Linotype" w:cs="Palatino Linotype"/>
          <w:b/>
          <w:color w:val="0C0C0C"/>
          <w:sz w:val="24"/>
          <w:szCs w:val="24"/>
        </w:rPr>
        <w:t xml:space="preserve"> a un derecho de petición </w:t>
      </w:r>
      <w:r w:rsidR="00E07680" w:rsidRPr="00514593">
        <w:rPr>
          <w:rFonts w:ascii="Palatino Linotype" w:eastAsia="Palatino Linotype" w:hAnsi="Palatino Linotype" w:cs="Palatino Linotype"/>
          <w:color w:val="0C0C0C"/>
          <w:sz w:val="24"/>
          <w:szCs w:val="24"/>
        </w:rPr>
        <w:lastRenderedPageBreak/>
        <w:t xml:space="preserve">y no así una solicitud de acceso a información pública que pueda ser atendida mediante una expresión documental; pues corresponde a varias afirmaciones que implicarían elaborar un documento </w:t>
      </w:r>
      <w:r w:rsidR="00E07680" w:rsidRPr="00514593">
        <w:rPr>
          <w:rFonts w:ascii="Palatino Linotype" w:eastAsia="Palatino Linotype" w:hAnsi="Palatino Linotype" w:cs="Palatino Linotype"/>
          <w:i/>
          <w:color w:val="0C0C0C"/>
          <w:sz w:val="24"/>
          <w:szCs w:val="24"/>
        </w:rPr>
        <w:t>ad hoc</w:t>
      </w:r>
      <w:r w:rsidR="00E07680" w:rsidRPr="00514593">
        <w:rPr>
          <w:rFonts w:ascii="Palatino Linotype" w:eastAsia="Palatino Linotype" w:hAnsi="Palatino Linotype" w:cs="Palatino Linotype"/>
          <w:color w:val="0C0C0C"/>
          <w:sz w:val="24"/>
          <w:szCs w:val="24"/>
        </w:rPr>
        <w:t>, que contuviera una situación contraria a derecho.</w:t>
      </w:r>
    </w:p>
    <w:p w14:paraId="14D536AD" w14:textId="77777777" w:rsidR="00E07680" w:rsidRPr="00514593" w:rsidRDefault="00E07680" w:rsidP="00E07680">
      <w:pPr>
        <w:spacing w:line="360" w:lineRule="auto"/>
        <w:contextualSpacing/>
        <w:jc w:val="both"/>
        <w:rPr>
          <w:rFonts w:ascii="Palatino Linotype" w:eastAsia="Palatino Linotype" w:hAnsi="Palatino Linotype" w:cs="Palatino Linotype"/>
          <w:i/>
          <w:color w:val="0C0C0C"/>
          <w:sz w:val="24"/>
          <w:szCs w:val="24"/>
        </w:rPr>
      </w:pPr>
      <w:r w:rsidRPr="00514593">
        <w:rPr>
          <w:rFonts w:ascii="Palatino Linotype" w:eastAsia="Palatino Linotype" w:hAnsi="Palatino Linotype" w:cs="Palatino Linotype"/>
          <w:i/>
          <w:color w:val="0C0C0C"/>
        </w:rPr>
        <w:t xml:space="preserve"> </w:t>
      </w:r>
    </w:p>
    <w:p w14:paraId="529F5733" w14:textId="77777777" w:rsidR="00E07680" w:rsidRPr="00514593" w:rsidRDefault="00E07680" w:rsidP="00E07680">
      <w:pPr>
        <w:spacing w:line="360" w:lineRule="auto"/>
        <w:contextualSpacing/>
        <w:jc w:val="both"/>
        <w:rPr>
          <w:rFonts w:ascii="Palatino Linotype" w:eastAsia="Palatino Linotype" w:hAnsi="Palatino Linotype" w:cs="Palatino Linotype"/>
          <w:color w:val="0C0C0C"/>
          <w:sz w:val="24"/>
          <w:szCs w:val="24"/>
        </w:rPr>
      </w:pPr>
      <w:r w:rsidRPr="00514593">
        <w:rPr>
          <w:rFonts w:ascii="Palatino Linotype" w:eastAsia="Palatino Linotype" w:hAnsi="Palatino Linotype" w:cs="Palatino Linotype"/>
          <w:color w:val="0C0C0C"/>
          <w:sz w:val="24"/>
          <w:szCs w:val="24"/>
        </w:rPr>
        <w:t>Lo anterior toma relevancia, pues según Trujillo, Humberto (2019), en el “Diccionario de Transparencia y Acceso a la Información Pública” (p. 122), el derecho de petición, es una prerrogativa constitucional que tienen las personas para solicitar o reclamar a las autoridades públicas; por lo que, las instancias deben recibirlas y realizar una respuesta.  Además, la Jurisprudencia XXI.1o.P.A. J/27, de los Tribunales Colegiados de Circuito, localizada en la página 1406, del Semanario Judicial de la Federación y su Gaceta, Tomo XXXIII, marzo 2011, Novena Época, establece lo siguiente:</w:t>
      </w:r>
    </w:p>
    <w:p w14:paraId="45E11CE3" w14:textId="77777777" w:rsidR="00E07680" w:rsidRPr="00514593" w:rsidRDefault="00E07680" w:rsidP="00E07680">
      <w:pPr>
        <w:spacing w:line="360" w:lineRule="auto"/>
        <w:ind w:left="567" w:right="567"/>
        <w:contextualSpacing/>
        <w:jc w:val="both"/>
        <w:rPr>
          <w:rFonts w:ascii="Palatino Linotype" w:eastAsia="Palatino Linotype" w:hAnsi="Palatino Linotype" w:cs="Palatino Linotype"/>
          <w:i/>
          <w:color w:val="0C0C0C"/>
        </w:rPr>
      </w:pPr>
      <w:r w:rsidRPr="00514593">
        <w:rPr>
          <w:rFonts w:ascii="Palatino Linotype" w:eastAsia="Palatino Linotype" w:hAnsi="Palatino Linotype" w:cs="Palatino Linotype"/>
          <w:b/>
          <w:i/>
          <w:color w:val="0C0C0C"/>
        </w:rPr>
        <w:t xml:space="preserve">“DERECHO DE PETICIÓN. SUS ELEMENTOS. </w:t>
      </w:r>
      <w:r w:rsidRPr="00514593">
        <w:rPr>
          <w:rFonts w:ascii="Palatino Linotype" w:eastAsia="Palatino Linotype" w:hAnsi="Palatino Linotype" w:cs="Palatino Linotype"/>
          <w:i/>
          <w:color w:val="0C0C0C"/>
        </w:rPr>
        <w:t xml:space="preserve">El denominado "derecho de petición", acorde con los criterios de los tribunales del Poder Judicial de la Federación, es la garantía individual consagrada en el artículo 8o. de la Constitución Política de los Estados Unidos Mexicanos, en función de la cual cualquier gobernado que presente una petición ante una autoridad, tiene derecho a recibir una respuesta. Así, su ejercicio por el particular y la correlativa obligación de la autoridad de producir una respuesta, se caracterizan por los elementos siguientes: A. La petición: debe formularse de manera pacífica y respetuosa, dirigirse a una autoridad y recabarse la constancia de que fue entregada; además de que el peticionario ha de proporcionar el domicilio para recibir la respuesta. B. La respuesta: la autoridad debe emitir un acuerdo en breve término, entendiéndose por éste el que racionalmente se requiera para estudiar la petición y acordarla, que tendrá que ser congruente con la petición y la autoridad debe notificar el acuerdo recaído a la petición en forma personal al gobernado en el domicilio que señaló para tales efectos, sin que exista obligación de resolver en determinado </w:t>
      </w:r>
      <w:r w:rsidRPr="00514593">
        <w:rPr>
          <w:rFonts w:ascii="Palatino Linotype" w:eastAsia="Palatino Linotype" w:hAnsi="Palatino Linotype" w:cs="Palatino Linotype"/>
          <w:i/>
          <w:color w:val="0C0C0C"/>
        </w:rPr>
        <w:lastRenderedPageBreak/>
        <w:t>sentido, esto es, el ejercicio del derecho de petición no constriñe a la autoridad ante quien se formuló, a que provea de conformidad lo solicitado por el promovente, sino que está en libertad de resolver de conformidad con los ordenamientos que resulten aplicables al caso, y la respuesta o trámite que se dé a la petición debe ser comunicada precisamente por la autoridad ante quien se ejercitó el derecho, y no por otra diversa.”</w:t>
      </w:r>
    </w:p>
    <w:p w14:paraId="681E16BD" w14:textId="77777777" w:rsidR="00E07680" w:rsidRPr="00514593" w:rsidRDefault="00E07680" w:rsidP="00E07680">
      <w:pPr>
        <w:spacing w:line="360" w:lineRule="auto"/>
        <w:contextualSpacing/>
        <w:jc w:val="both"/>
        <w:rPr>
          <w:rFonts w:ascii="Palatino Linotype" w:eastAsia="Palatino Linotype" w:hAnsi="Palatino Linotype" w:cs="Palatino Linotype"/>
          <w:color w:val="0C0C0C"/>
        </w:rPr>
      </w:pPr>
      <w:r w:rsidRPr="00514593">
        <w:rPr>
          <w:rFonts w:ascii="Palatino Linotype" w:eastAsia="Palatino Linotype" w:hAnsi="Palatino Linotype" w:cs="Palatino Linotype"/>
          <w:color w:val="0C0C0C"/>
        </w:rPr>
        <w:t xml:space="preserve"> </w:t>
      </w:r>
    </w:p>
    <w:p w14:paraId="655B4E8A" w14:textId="77777777" w:rsidR="00E07680" w:rsidRPr="00514593" w:rsidRDefault="00E07680" w:rsidP="00E07680">
      <w:pPr>
        <w:spacing w:line="360" w:lineRule="auto"/>
        <w:contextualSpacing/>
        <w:jc w:val="both"/>
        <w:rPr>
          <w:rFonts w:ascii="Palatino Linotype" w:eastAsia="Palatino Linotype" w:hAnsi="Palatino Linotype" w:cs="Palatino Linotype"/>
          <w:color w:val="0C0C0C"/>
          <w:sz w:val="24"/>
          <w:szCs w:val="24"/>
        </w:rPr>
      </w:pPr>
      <w:r w:rsidRPr="00514593">
        <w:rPr>
          <w:rFonts w:ascii="Palatino Linotype" w:eastAsia="Palatino Linotype" w:hAnsi="Palatino Linotype" w:cs="Palatino Linotype"/>
          <w:color w:val="0C0C0C"/>
          <w:sz w:val="24"/>
          <w:szCs w:val="24"/>
        </w:rPr>
        <w:t>Así, se advierte que el derecho de petición, es una prerrogativa consagrada en el artículo 8° de la Constitución Política de los Estados Unidos Mexicanos, con el fin de que cualquier ciudadano o persona, presente una petición de manera pacífica y respetuosa (pregunta, consulta, duda, entre otros), ante una autoridad, por lo que, tiene derecho de recibir una respuesta.</w:t>
      </w:r>
      <w:r w:rsidR="002D2376" w:rsidRPr="00514593">
        <w:rPr>
          <w:rFonts w:ascii="Palatino Linotype" w:eastAsia="Palatino Linotype" w:hAnsi="Palatino Linotype" w:cs="Palatino Linotype"/>
          <w:color w:val="0C0C0C"/>
          <w:sz w:val="24"/>
          <w:szCs w:val="24"/>
        </w:rPr>
        <w:t xml:space="preserve"> </w:t>
      </w:r>
      <w:r w:rsidRPr="00514593">
        <w:rPr>
          <w:rFonts w:ascii="Palatino Linotype" w:eastAsia="Palatino Linotype" w:hAnsi="Palatino Linotype" w:cs="Palatino Linotype"/>
          <w:sz w:val="24"/>
          <w:szCs w:val="24"/>
        </w:rPr>
        <w:t xml:space="preserve">De tal circunstancia, se puede colegir que el requerimiento de información realizado por el Recurrente, se trata de un derecho de petición que implicaría la generación de un documento </w:t>
      </w:r>
      <w:r w:rsidRPr="00514593">
        <w:rPr>
          <w:rFonts w:ascii="Palatino Linotype" w:eastAsia="Palatino Linotype" w:hAnsi="Palatino Linotype" w:cs="Palatino Linotype"/>
          <w:i/>
          <w:sz w:val="24"/>
          <w:szCs w:val="24"/>
        </w:rPr>
        <w:t>ad hoc</w:t>
      </w:r>
      <w:r w:rsidRPr="00514593">
        <w:rPr>
          <w:rFonts w:ascii="Palatino Linotype" w:eastAsia="Palatino Linotype" w:hAnsi="Palatino Linotype" w:cs="Palatino Linotype"/>
          <w:sz w:val="24"/>
          <w:szCs w:val="24"/>
        </w:rPr>
        <w:t>, que estableciera y acreditara una situación ilegal y contraria a derecho, lo cual no puede ser atendido mediante el derecho de acceso a la información.</w:t>
      </w:r>
    </w:p>
    <w:p w14:paraId="7AE0E3F6" w14:textId="77777777" w:rsidR="00E07680" w:rsidRPr="00514593" w:rsidRDefault="00E07680" w:rsidP="00530E7A">
      <w:pPr>
        <w:spacing w:line="360" w:lineRule="auto"/>
        <w:ind w:right="49"/>
        <w:jc w:val="both"/>
        <w:rPr>
          <w:rFonts w:ascii="Palatino Linotype" w:hAnsi="Palatino Linotype"/>
          <w:sz w:val="24"/>
          <w:szCs w:val="24"/>
        </w:rPr>
      </w:pPr>
    </w:p>
    <w:p w14:paraId="209660C9" w14:textId="77777777" w:rsidR="00530E7A" w:rsidRPr="00514593" w:rsidRDefault="00530E7A" w:rsidP="00530E7A">
      <w:pPr>
        <w:spacing w:line="360" w:lineRule="auto"/>
        <w:ind w:right="49"/>
        <w:jc w:val="both"/>
        <w:rPr>
          <w:rFonts w:ascii="Palatino Linotype" w:hAnsi="Palatino Linotype"/>
          <w:sz w:val="24"/>
          <w:szCs w:val="24"/>
        </w:rPr>
      </w:pPr>
      <w:r w:rsidRPr="00514593">
        <w:rPr>
          <w:rFonts w:ascii="Palatino Linotype" w:hAnsi="Palatino Linotype"/>
          <w:sz w:val="24"/>
          <w:szCs w:val="24"/>
        </w:rPr>
        <w:t>Al respecto, cabe destacar lo establecido en el numeral 47, de la Ley del Trabajo de los Servidores Públicos del Estado de México y Municipios, el cual establece, que para ingresar al servicio público se requiere, entre otros, presentar una solicitud utilizando la forma oficial que se autorice por la dependencia correspondiente tal como se observa a continuación:</w:t>
      </w:r>
    </w:p>
    <w:p w14:paraId="440BC1C8" w14:textId="77777777" w:rsidR="00530E7A" w:rsidRPr="00514593" w:rsidRDefault="00530E7A" w:rsidP="00530E7A">
      <w:pPr>
        <w:spacing w:line="360" w:lineRule="auto"/>
        <w:ind w:left="708" w:right="49"/>
        <w:jc w:val="both"/>
        <w:rPr>
          <w:rFonts w:ascii="Palatino Linotype" w:hAnsi="Palatino Linotype"/>
          <w:i/>
          <w:iCs/>
        </w:rPr>
      </w:pPr>
      <w:r w:rsidRPr="00514593">
        <w:rPr>
          <w:rFonts w:ascii="Palatino Linotype" w:hAnsi="Palatino Linotype"/>
          <w:b/>
          <w:i/>
          <w:iCs/>
        </w:rPr>
        <w:t>ARTÍCULO 47.</w:t>
      </w:r>
      <w:r w:rsidRPr="00514593">
        <w:rPr>
          <w:rFonts w:ascii="Palatino Linotype" w:hAnsi="Palatino Linotype"/>
          <w:i/>
          <w:iCs/>
        </w:rPr>
        <w:t xml:space="preserve"> Para ingresar al servicio público se requiere: </w:t>
      </w:r>
    </w:p>
    <w:p w14:paraId="1215E96E" w14:textId="77777777" w:rsidR="00530E7A" w:rsidRPr="00514593" w:rsidRDefault="00530E7A" w:rsidP="00530E7A">
      <w:pPr>
        <w:pStyle w:val="Prrafodelista"/>
        <w:numPr>
          <w:ilvl w:val="0"/>
          <w:numId w:val="3"/>
        </w:numPr>
        <w:ind w:right="49"/>
        <w:rPr>
          <w:i/>
          <w:iCs/>
          <w:sz w:val="22"/>
          <w:szCs w:val="22"/>
        </w:rPr>
      </w:pPr>
      <w:r w:rsidRPr="00514593">
        <w:rPr>
          <w:i/>
          <w:iCs/>
          <w:sz w:val="22"/>
          <w:szCs w:val="22"/>
        </w:rPr>
        <w:lastRenderedPageBreak/>
        <w:t xml:space="preserve">Presentar una solicitud utilizando la forma oficial que se autorice por la institución pública o dependencia correspondiente, a la cual se le prohíbe incluir la fotografía de quien solicita el empleo; </w:t>
      </w:r>
    </w:p>
    <w:p w14:paraId="6DA8D748" w14:textId="77777777" w:rsidR="00530E7A" w:rsidRPr="00514593" w:rsidRDefault="00530E7A" w:rsidP="00530E7A">
      <w:pPr>
        <w:pStyle w:val="Prrafodelista"/>
        <w:numPr>
          <w:ilvl w:val="0"/>
          <w:numId w:val="3"/>
        </w:numPr>
        <w:ind w:right="49"/>
        <w:rPr>
          <w:i/>
          <w:iCs/>
          <w:sz w:val="22"/>
          <w:szCs w:val="22"/>
        </w:rPr>
      </w:pPr>
      <w:r w:rsidRPr="00514593">
        <w:rPr>
          <w:i/>
          <w:iCs/>
          <w:sz w:val="22"/>
          <w:szCs w:val="22"/>
        </w:rPr>
        <w:t xml:space="preserve"> Ser de nacionalidad mexicana, con la excepción prevista en el artículo 17 de la presente ley;  </w:t>
      </w:r>
    </w:p>
    <w:p w14:paraId="0157D973" w14:textId="77777777" w:rsidR="00530E7A" w:rsidRPr="00514593" w:rsidRDefault="00530E7A" w:rsidP="00530E7A">
      <w:pPr>
        <w:pStyle w:val="Prrafodelista"/>
        <w:numPr>
          <w:ilvl w:val="0"/>
          <w:numId w:val="3"/>
        </w:numPr>
        <w:ind w:right="49"/>
        <w:rPr>
          <w:i/>
          <w:iCs/>
          <w:sz w:val="22"/>
          <w:szCs w:val="22"/>
        </w:rPr>
      </w:pPr>
      <w:r w:rsidRPr="00514593">
        <w:rPr>
          <w:i/>
          <w:iCs/>
          <w:sz w:val="22"/>
          <w:szCs w:val="22"/>
        </w:rPr>
        <w:t xml:space="preserve">Estar en pleno ejercicio de sus derechos civiles y políticos, en su caso; </w:t>
      </w:r>
    </w:p>
    <w:p w14:paraId="223DC0A9" w14:textId="77777777" w:rsidR="00530E7A" w:rsidRPr="00514593" w:rsidRDefault="00530E7A" w:rsidP="00530E7A">
      <w:pPr>
        <w:pStyle w:val="Prrafodelista"/>
        <w:numPr>
          <w:ilvl w:val="0"/>
          <w:numId w:val="3"/>
        </w:numPr>
        <w:ind w:right="49"/>
        <w:rPr>
          <w:i/>
          <w:iCs/>
          <w:sz w:val="22"/>
          <w:szCs w:val="22"/>
        </w:rPr>
      </w:pPr>
      <w:r w:rsidRPr="00514593">
        <w:rPr>
          <w:i/>
          <w:iCs/>
          <w:sz w:val="22"/>
          <w:szCs w:val="22"/>
        </w:rPr>
        <w:t xml:space="preserve">Acreditar, cuando proceda, el cumplimiento de la Ley del Servicio Militar Nacional; </w:t>
      </w:r>
    </w:p>
    <w:p w14:paraId="3614C97F" w14:textId="77777777" w:rsidR="00530E7A" w:rsidRPr="00514593" w:rsidRDefault="00530E7A" w:rsidP="00530E7A">
      <w:pPr>
        <w:pStyle w:val="Prrafodelista"/>
        <w:numPr>
          <w:ilvl w:val="0"/>
          <w:numId w:val="3"/>
        </w:numPr>
        <w:ind w:right="49"/>
        <w:rPr>
          <w:i/>
          <w:iCs/>
          <w:sz w:val="22"/>
          <w:szCs w:val="22"/>
        </w:rPr>
      </w:pPr>
      <w:r w:rsidRPr="00514593">
        <w:rPr>
          <w:i/>
          <w:iCs/>
          <w:sz w:val="22"/>
          <w:szCs w:val="22"/>
        </w:rPr>
        <w:t xml:space="preserve">Derogada. </w:t>
      </w:r>
    </w:p>
    <w:p w14:paraId="5682D1A8" w14:textId="77777777" w:rsidR="00530E7A" w:rsidRPr="00514593" w:rsidRDefault="00530E7A" w:rsidP="00530E7A">
      <w:pPr>
        <w:pStyle w:val="Prrafodelista"/>
        <w:numPr>
          <w:ilvl w:val="0"/>
          <w:numId w:val="3"/>
        </w:numPr>
        <w:ind w:right="49"/>
        <w:rPr>
          <w:i/>
          <w:iCs/>
          <w:sz w:val="22"/>
          <w:szCs w:val="22"/>
        </w:rPr>
      </w:pPr>
      <w:r w:rsidRPr="00514593">
        <w:rPr>
          <w:i/>
          <w:iCs/>
          <w:sz w:val="22"/>
          <w:szCs w:val="22"/>
        </w:rPr>
        <w:t xml:space="preserve"> No haber sido separado anteriormente del servicio por las causas previstas en el artículo 93 de la presente ley; </w:t>
      </w:r>
    </w:p>
    <w:p w14:paraId="73B20B52" w14:textId="77777777" w:rsidR="00530E7A" w:rsidRPr="00514593" w:rsidRDefault="00530E7A" w:rsidP="00530E7A">
      <w:pPr>
        <w:pStyle w:val="Prrafodelista"/>
        <w:numPr>
          <w:ilvl w:val="0"/>
          <w:numId w:val="3"/>
        </w:numPr>
        <w:ind w:right="49"/>
        <w:rPr>
          <w:i/>
          <w:iCs/>
          <w:sz w:val="22"/>
          <w:szCs w:val="22"/>
        </w:rPr>
      </w:pPr>
      <w:r w:rsidRPr="00514593">
        <w:rPr>
          <w:i/>
          <w:iCs/>
          <w:sz w:val="22"/>
          <w:szCs w:val="22"/>
        </w:rPr>
        <w:t xml:space="preserve">Tener buena salud, lo que se comprobará con los certificados médicos correspondientes, en la forma en que se establezca en cada institución pública; </w:t>
      </w:r>
    </w:p>
    <w:p w14:paraId="10693B35" w14:textId="77777777" w:rsidR="00530E7A" w:rsidRPr="00514593" w:rsidRDefault="00530E7A" w:rsidP="00530E7A">
      <w:pPr>
        <w:pStyle w:val="Prrafodelista"/>
        <w:numPr>
          <w:ilvl w:val="0"/>
          <w:numId w:val="3"/>
        </w:numPr>
        <w:ind w:right="49"/>
        <w:rPr>
          <w:i/>
          <w:iCs/>
          <w:sz w:val="22"/>
          <w:szCs w:val="22"/>
        </w:rPr>
      </w:pPr>
      <w:r w:rsidRPr="00514593">
        <w:rPr>
          <w:i/>
          <w:iCs/>
          <w:sz w:val="22"/>
          <w:szCs w:val="22"/>
        </w:rPr>
        <w:t xml:space="preserve"> Cumplir con los requisitos que se establezcan para los diferentes puestos; </w:t>
      </w:r>
    </w:p>
    <w:p w14:paraId="301121D1" w14:textId="77777777" w:rsidR="00530E7A" w:rsidRPr="00514593" w:rsidRDefault="00530E7A" w:rsidP="00530E7A">
      <w:pPr>
        <w:pStyle w:val="Prrafodelista"/>
        <w:numPr>
          <w:ilvl w:val="0"/>
          <w:numId w:val="3"/>
        </w:numPr>
        <w:ind w:right="49"/>
        <w:rPr>
          <w:i/>
          <w:iCs/>
          <w:sz w:val="22"/>
          <w:szCs w:val="22"/>
        </w:rPr>
      </w:pPr>
      <w:r w:rsidRPr="00514593">
        <w:rPr>
          <w:i/>
          <w:iCs/>
          <w:sz w:val="22"/>
          <w:szCs w:val="22"/>
        </w:rPr>
        <w:t xml:space="preserve">Acreditar por medio de los exámenes correspondientes los conocimientos y aptitudes necesarios para el desempeño del puesto; y X. No estar inhabilitado para el ejercicio del servicio público. </w:t>
      </w:r>
    </w:p>
    <w:p w14:paraId="1C4B264B" w14:textId="77777777" w:rsidR="00530E7A" w:rsidRPr="00514593" w:rsidRDefault="00530E7A" w:rsidP="00530E7A">
      <w:pPr>
        <w:pStyle w:val="Prrafodelista"/>
        <w:numPr>
          <w:ilvl w:val="0"/>
          <w:numId w:val="3"/>
        </w:numPr>
        <w:ind w:right="49"/>
        <w:rPr>
          <w:i/>
          <w:iCs/>
          <w:sz w:val="22"/>
          <w:szCs w:val="22"/>
        </w:rPr>
      </w:pPr>
      <w:r w:rsidRPr="00514593">
        <w:rPr>
          <w:i/>
          <w:iCs/>
          <w:sz w:val="22"/>
          <w:szCs w:val="22"/>
        </w:rPr>
        <w:t>Presentar certificado expedido por la Unidad del Registro de Deudores Alimentarios Morosos en el que conste, si se encuentra inscrito o no en el mismo.</w:t>
      </w:r>
    </w:p>
    <w:p w14:paraId="0A08DD25" w14:textId="77777777" w:rsidR="00530E7A" w:rsidRPr="00514593" w:rsidRDefault="00530E7A" w:rsidP="00530E7A">
      <w:pPr>
        <w:spacing w:line="360" w:lineRule="auto"/>
        <w:ind w:left="1416" w:right="49"/>
        <w:rPr>
          <w:rFonts w:ascii="Palatino Linotype" w:hAnsi="Palatino Linotype"/>
          <w:i/>
          <w:iCs/>
        </w:rPr>
      </w:pPr>
    </w:p>
    <w:p w14:paraId="11189C60" w14:textId="77777777" w:rsidR="00530E7A" w:rsidRPr="00514593" w:rsidRDefault="00530E7A" w:rsidP="00530E7A">
      <w:pPr>
        <w:spacing w:line="360" w:lineRule="auto"/>
        <w:ind w:left="1416" w:right="49"/>
        <w:jc w:val="both"/>
        <w:rPr>
          <w:rFonts w:ascii="Palatino Linotype" w:hAnsi="Palatino Linotype"/>
          <w:i/>
          <w:iCs/>
        </w:rPr>
      </w:pPr>
      <w:r w:rsidRPr="00514593">
        <w:rPr>
          <w:rFonts w:ascii="Palatino Linotype" w:hAnsi="Palatino Linotype"/>
          <w:i/>
          <w:iCs/>
        </w:rPr>
        <w:t xml:space="preserve"> La institución o dependencia que reciba un certificado en que conste que la persona que se incorpora al servicio público se encuentra inscrito el Registro de Deudores Alimentarios Morosos deberá dar aviso al juez de conocimiento de dicha circunstancia, para los efectos legales a que haya lugar.</w:t>
      </w:r>
    </w:p>
    <w:p w14:paraId="7833D0BC" w14:textId="77777777" w:rsidR="00530E7A" w:rsidRPr="00514593" w:rsidRDefault="00530E7A" w:rsidP="00530E7A">
      <w:pPr>
        <w:spacing w:line="360" w:lineRule="auto"/>
        <w:ind w:right="49"/>
        <w:jc w:val="both"/>
        <w:rPr>
          <w:rFonts w:ascii="Palatino Linotype" w:hAnsi="Palatino Linotype"/>
          <w:sz w:val="24"/>
          <w:szCs w:val="24"/>
        </w:rPr>
      </w:pPr>
    </w:p>
    <w:p w14:paraId="76DBAF89" w14:textId="77777777" w:rsidR="00530E7A" w:rsidRPr="00514593" w:rsidRDefault="00530E7A" w:rsidP="00530E7A">
      <w:pPr>
        <w:spacing w:line="360" w:lineRule="auto"/>
        <w:ind w:right="49"/>
        <w:jc w:val="both"/>
        <w:rPr>
          <w:rFonts w:ascii="Palatino Linotype" w:hAnsi="Palatino Linotype"/>
          <w:sz w:val="24"/>
          <w:szCs w:val="24"/>
        </w:rPr>
      </w:pPr>
      <w:r w:rsidRPr="00514593">
        <w:rPr>
          <w:rFonts w:ascii="Palatino Linotype" w:hAnsi="Palatino Linotype"/>
          <w:sz w:val="24"/>
          <w:szCs w:val="24"/>
        </w:rPr>
        <w:lastRenderedPageBreak/>
        <w:t>En ese sentido, dentro de los requisitos para ingresar al servicio público se debe presentar la “solicitud de empleo”, documento en el que se ubica información relativa al nombre fecha y lugar de nacimiento, edad, sexo, domicilio, experiencia laboral, así como formación académica.</w:t>
      </w:r>
      <w:r w:rsidR="00053B55" w:rsidRPr="00514593">
        <w:rPr>
          <w:rFonts w:ascii="Palatino Linotype" w:hAnsi="Palatino Linotype"/>
          <w:sz w:val="24"/>
          <w:szCs w:val="24"/>
        </w:rPr>
        <w:t xml:space="preserve"> </w:t>
      </w:r>
      <w:r w:rsidRPr="00514593">
        <w:rPr>
          <w:rFonts w:ascii="Palatino Linotype" w:hAnsi="Palatino Linotype"/>
          <w:sz w:val="24"/>
          <w:szCs w:val="24"/>
        </w:rPr>
        <w:t xml:space="preserve">Por lo anteriormente expuesto es dable señalar lo que establece el artículo 98 fracción XVII, de la Ley anteriormente mencionada que a la letra dice: </w:t>
      </w:r>
    </w:p>
    <w:p w14:paraId="64EA02B1" w14:textId="77777777" w:rsidR="00530E7A" w:rsidRPr="00514593" w:rsidRDefault="00530E7A" w:rsidP="00530E7A">
      <w:pPr>
        <w:spacing w:line="360" w:lineRule="auto"/>
        <w:ind w:left="708" w:right="49"/>
        <w:jc w:val="both"/>
        <w:rPr>
          <w:rFonts w:ascii="Palatino Linotype" w:hAnsi="Palatino Linotype"/>
          <w:i/>
          <w:iCs/>
        </w:rPr>
      </w:pPr>
      <w:r w:rsidRPr="00514593">
        <w:rPr>
          <w:rFonts w:ascii="Palatino Linotype" w:hAnsi="Palatino Linotype"/>
          <w:b/>
          <w:i/>
          <w:iCs/>
        </w:rPr>
        <w:t>ARTÍCULO 98.</w:t>
      </w:r>
      <w:r w:rsidRPr="00514593">
        <w:rPr>
          <w:rFonts w:ascii="Palatino Linotype" w:hAnsi="Palatino Linotype"/>
          <w:i/>
          <w:iCs/>
        </w:rPr>
        <w:t xml:space="preserve"> Son obligaciones de las instituciones públicas: </w:t>
      </w:r>
    </w:p>
    <w:p w14:paraId="00763E1C" w14:textId="77777777" w:rsidR="00530E7A" w:rsidRPr="00514593" w:rsidRDefault="00530E7A" w:rsidP="00530E7A">
      <w:pPr>
        <w:spacing w:line="360" w:lineRule="auto"/>
        <w:ind w:left="708" w:right="49"/>
        <w:jc w:val="both"/>
        <w:rPr>
          <w:rFonts w:ascii="Palatino Linotype" w:hAnsi="Palatino Linotype"/>
          <w:i/>
          <w:iCs/>
        </w:rPr>
      </w:pPr>
      <w:r w:rsidRPr="00514593">
        <w:rPr>
          <w:rFonts w:ascii="Palatino Linotype" w:hAnsi="Palatino Linotype"/>
          <w:b/>
          <w:i/>
          <w:iCs/>
        </w:rPr>
        <w:t>.</w:t>
      </w:r>
      <w:r w:rsidRPr="00514593">
        <w:rPr>
          <w:rFonts w:ascii="Palatino Linotype" w:hAnsi="Palatino Linotype"/>
          <w:i/>
          <w:iCs/>
        </w:rPr>
        <w:t>..</w:t>
      </w:r>
    </w:p>
    <w:p w14:paraId="53396AAC" w14:textId="77777777" w:rsidR="00530E7A" w:rsidRPr="00514593" w:rsidRDefault="00530E7A" w:rsidP="00530E7A">
      <w:pPr>
        <w:spacing w:line="360" w:lineRule="auto"/>
        <w:ind w:left="708" w:right="49"/>
        <w:jc w:val="both"/>
        <w:rPr>
          <w:rFonts w:ascii="Palatino Linotype" w:hAnsi="Palatino Linotype"/>
          <w:i/>
          <w:iCs/>
        </w:rPr>
      </w:pPr>
      <w:r w:rsidRPr="00514593">
        <w:rPr>
          <w:rFonts w:ascii="Palatino Linotype" w:hAnsi="Palatino Linotype"/>
          <w:b/>
          <w:bCs/>
          <w:i/>
          <w:iCs/>
        </w:rPr>
        <w:t xml:space="preserve">XVII. Integrar los expedientes de los servidores públicos </w:t>
      </w:r>
      <w:r w:rsidRPr="00514593">
        <w:rPr>
          <w:rFonts w:ascii="Palatino Linotype" w:hAnsi="Palatino Linotype"/>
          <w:i/>
          <w:iCs/>
        </w:rPr>
        <w:t>y proporcionar las constancias que éstos soliciten para el trámite de los asuntos de su interés en los términos que señalen los ordenamientos respectivos.</w:t>
      </w:r>
    </w:p>
    <w:p w14:paraId="5CBE32A8" w14:textId="77777777" w:rsidR="00530E7A" w:rsidRPr="00514593" w:rsidRDefault="00530E7A" w:rsidP="00530E7A">
      <w:pPr>
        <w:spacing w:line="360" w:lineRule="auto"/>
        <w:ind w:right="49"/>
        <w:jc w:val="both"/>
        <w:rPr>
          <w:rFonts w:ascii="Palatino Linotype" w:hAnsi="Palatino Linotype"/>
          <w:sz w:val="24"/>
          <w:szCs w:val="24"/>
        </w:rPr>
      </w:pPr>
      <w:r w:rsidRPr="00514593">
        <w:rPr>
          <w:rFonts w:ascii="Palatino Linotype" w:hAnsi="Palatino Linotype"/>
          <w:sz w:val="24"/>
          <w:szCs w:val="24"/>
        </w:rPr>
        <w:t>Así las cosas, de la normatividad anteriormente referida, se puede observar que las instituciones públicas tienen la obligación de integrar los expedientes laborales de cada servidor público, dentro de los cuales puede constar la solicitud de empleo, o bien algún otro documento en el cual conste el currículum de los servidores públicos, sin embargo dichos documentos pueden tener en su contenido datos personales que puedan ser afectados al momento de dar a conocer la información, para lo cual el Sujeto Obligado deberá proteger toda aquella información que conlleve a un riesgo grave a los servidores públicos en comento.</w:t>
      </w:r>
    </w:p>
    <w:p w14:paraId="07AA4B19" w14:textId="77777777" w:rsidR="00530E7A" w:rsidRPr="00514593" w:rsidRDefault="00530E7A" w:rsidP="00530E7A">
      <w:pPr>
        <w:spacing w:line="360" w:lineRule="auto"/>
        <w:ind w:right="49"/>
        <w:jc w:val="both"/>
        <w:rPr>
          <w:i/>
        </w:rPr>
      </w:pPr>
    </w:p>
    <w:p w14:paraId="2B0FBF6C" w14:textId="77777777" w:rsidR="00530E7A" w:rsidRPr="00514593" w:rsidRDefault="00530E7A" w:rsidP="00530E7A">
      <w:pPr>
        <w:spacing w:line="360" w:lineRule="auto"/>
        <w:ind w:right="49"/>
        <w:jc w:val="both"/>
        <w:rPr>
          <w:rFonts w:ascii="Palatino Linotype" w:hAnsi="Palatino Linotype"/>
          <w:sz w:val="24"/>
          <w:szCs w:val="24"/>
        </w:rPr>
      </w:pPr>
      <w:r w:rsidRPr="00514593">
        <w:rPr>
          <w:rFonts w:ascii="Palatino Linotype" w:hAnsi="Palatino Linotype"/>
          <w:sz w:val="24"/>
          <w:szCs w:val="24"/>
        </w:rPr>
        <w:t xml:space="preserve">Ahora bien, respecto a los documentos probatorios que comprende el expediente personal, se procede a señalar los requisitos generales contenidos en los articulados 47, 48 y 49, de la Ley del Trabado de los Servidores Públicos del Estado de México y </w:t>
      </w:r>
      <w:r w:rsidRPr="00514593">
        <w:rPr>
          <w:rFonts w:ascii="Palatino Linotype" w:hAnsi="Palatino Linotype"/>
          <w:sz w:val="24"/>
          <w:szCs w:val="24"/>
        </w:rPr>
        <w:lastRenderedPageBreak/>
        <w:t>Municipios, así como el documento idóneo con el que se pudiera acreditar, son los siguientes:</w:t>
      </w:r>
    </w:p>
    <w:tbl>
      <w:tblPr>
        <w:tblStyle w:val="Tablaconcuadrcula"/>
        <w:tblW w:w="9351" w:type="dxa"/>
        <w:tblLook w:val="04A0" w:firstRow="1" w:lastRow="0" w:firstColumn="1" w:lastColumn="0" w:noHBand="0" w:noVBand="1"/>
      </w:tblPr>
      <w:tblGrid>
        <w:gridCol w:w="1129"/>
        <w:gridCol w:w="4111"/>
        <w:gridCol w:w="2268"/>
        <w:gridCol w:w="1843"/>
      </w:tblGrid>
      <w:tr w:rsidR="00530E7A" w:rsidRPr="00514593" w14:paraId="1160B416" w14:textId="77777777" w:rsidTr="00965024">
        <w:tc>
          <w:tcPr>
            <w:tcW w:w="1129" w:type="dxa"/>
            <w:shd w:val="clear" w:color="auto" w:fill="AEAAAA" w:themeFill="background2" w:themeFillShade="BF"/>
          </w:tcPr>
          <w:p w14:paraId="162F54B3" w14:textId="77777777" w:rsidR="00530E7A" w:rsidRPr="00514593" w:rsidRDefault="00530E7A" w:rsidP="00965024">
            <w:pPr>
              <w:spacing w:line="360" w:lineRule="auto"/>
              <w:ind w:right="49"/>
              <w:jc w:val="center"/>
              <w:rPr>
                <w:rFonts w:ascii="Palatino Linotype" w:hAnsi="Palatino Linotype"/>
                <w:i/>
                <w:iCs/>
              </w:rPr>
            </w:pPr>
            <w:r w:rsidRPr="00514593">
              <w:rPr>
                <w:rFonts w:ascii="Palatino Linotype" w:hAnsi="Palatino Linotype"/>
                <w:i/>
                <w:iCs/>
              </w:rPr>
              <w:t>No.</w:t>
            </w:r>
          </w:p>
        </w:tc>
        <w:tc>
          <w:tcPr>
            <w:tcW w:w="4111" w:type="dxa"/>
            <w:shd w:val="clear" w:color="auto" w:fill="AEAAAA" w:themeFill="background2" w:themeFillShade="BF"/>
          </w:tcPr>
          <w:p w14:paraId="30D10EED" w14:textId="77777777" w:rsidR="00530E7A" w:rsidRPr="00514593" w:rsidRDefault="00530E7A" w:rsidP="00965024">
            <w:pPr>
              <w:spacing w:line="360" w:lineRule="auto"/>
              <w:ind w:right="49"/>
              <w:jc w:val="both"/>
              <w:rPr>
                <w:rFonts w:ascii="Palatino Linotype" w:hAnsi="Palatino Linotype"/>
                <w:i/>
                <w:iCs/>
              </w:rPr>
            </w:pPr>
            <w:r w:rsidRPr="00514593">
              <w:rPr>
                <w:rFonts w:ascii="Palatino Linotype" w:hAnsi="Palatino Linotype"/>
                <w:i/>
                <w:iCs/>
              </w:rPr>
              <w:t>Requisito establecido en la Ley del Trabajo de los Servidores Públicos del Estado y Municipios</w:t>
            </w:r>
          </w:p>
        </w:tc>
        <w:tc>
          <w:tcPr>
            <w:tcW w:w="2268" w:type="dxa"/>
            <w:shd w:val="clear" w:color="auto" w:fill="AEAAAA" w:themeFill="background2" w:themeFillShade="BF"/>
          </w:tcPr>
          <w:p w14:paraId="5F3660E7" w14:textId="77777777" w:rsidR="00530E7A" w:rsidRPr="00514593" w:rsidRDefault="00530E7A" w:rsidP="00965024">
            <w:pPr>
              <w:spacing w:line="360" w:lineRule="auto"/>
              <w:ind w:right="49"/>
              <w:jc w:val="center"/>
              <w:rPr>
                <w:rFonts w:ascii="Palatino Linotype" w:hAnsi="Palatino Linotype"/>
                <w:i/>
                <w:iCs/>
              </w:rPr>
            </w:pPr>
            <w:r w:rsidRPr="00514593">
              <w:rPr>
                <w:rFonts w:ascii="Palatino Linotype" w:hAnsi="Palatino Linotype"/>
                <w:i/>
                <w:iCs/>
              </w:rPr>
              <w:t>Documento que lo acredita</w:t>
            </w:r>
          </w:p>
        </w:tc>
        <w:tc>
          <w:tcPr>
            <w:tcW w:w="1843" w:type="dxa"/>
            <w:shd w:val="clear" w:color="auto" w:fill="AEAAAA" w:themeFill="background2" w:themeFillShade="BF"/>
          </w:tcPr>
          <w:p w14:paraId="443070B5" w14:textId="77777777" w:rsidR="00530E7A" w:rsidRPr="00514593" w:rsidRDefault="00530E7A" w:rsidP="00965024">
            <w:pPr>
              <w:spacing w:line="360" w:lineRule="auto"/>
              <w:ind w:right="49"/>
              <w:jc w:val="center"/>
              <w:rPr>
                <w:rFonts w:ascii="Palatino Linotype" w:hAnsi="Palatino Linotype"/>
                <w:i/>
                <w:iCs/>
              </w:rPr>
            </w:pPr>
            <w:r w:rsidRPr="00514593">
              <w:rPr>
                <w:rFonts w:ascii="Palatino Linotype" w:hAnsi="Palatino Linotype"/>
                <w:i/>
                <w:iCs/>
              </w:rPr>
              <w:t>Clasificación de la Información</w:t>
            </w:r>
          </w:p>
        </w:tc>
      </w:tr>
      <w:tr w:rsidR="00530E7A" w:rsidRPr="00514593" w14:paraId="65A12DA0" w14:textId="77777777" w:rsidTr="00965024">
        <w:tc>
          <w:tcPr>
            <w:tcW w:w="1129" w:type="dxa"/>
          </w:tcPr>
          <w:p w14:paraId="45E96BC9" w14:textId="77777777" w:rsidR="00530E7A" w:rsidRPr="00514593" w:rsidRDefault="00530E7A" w:rsidP="00965024">
            <w:pPr>
              <w:spacing w:line="360" w:lineRule="auto"/>
              <w:ind w:right="49"/>
              <w:jc w:val="center"/>
              <w:rPr>
                <w:rFonts w:ascii="Palatino Linotype" w:hAnsi="Palatino Linotype"/>
              </w:rPr>
            </w:pPr>
            <w:r w:rsidRPr="00514593">
              <w:rPr>
                <w:rFonts w:ascii="Palatino Linotype" w:hAnsi="Palatino Linotype"/>
              </w:rPr>
              <w:t>1</w:t>
            </w:r>
          </w:p>
        </w:tc>
        <w:tc>
          <w:tcPr>
            <w:tcW w:w="4111" w:type="dxa"/>
          </w:tcPr>
          <w:p w14:paraId="26D8D5EA" w14:textId="77777777" w:rsidR="00530E7A" w:rsidRPr="00514593" w:rsidRDefault="00530E7A" w:rsidP="00965024">
            <w:pPr>
              <w:tabs>
                <w:tab w:val="left" w:pos="924"/>
              </w:tabs>
              <w:spacing w:line="360" w:lineRule="auto"/>
              <w:ind w:right="49"/>
              <w:jc w:val="both"/>
              <w:rPr>
                <w:rFonts w:ascii="Palatino Linotype" w:hAnsi="Palatino Linotype"/>
              </w:rPr>
            </w:pPr>
            <w:r w:rsidRPr="00514593">
              <w:rPr>
                <w:rFonts w:ascii="Palatino Linotype" w:hAnsi="Palatino Linotype"/>
              </w:rPr>
              <w:t>Presentar una solicitud utilizando la forma oficial que se autorice por la institución pública o dependencia correspondiente.</w:t>
            </w:r>
          </w:p>
        </w:tc>
        <w:tc>
          <w:tcPr>
            <w:tcW w:w="2268" w:type="dxa"/>
          </w:tcPr>
          <w:p w14:paraId="679327F4" w14:textId="77777777" w:rsidR="00530E7A" w:rsidRPr="00514593" w:rsidRDefault="00530E7A" w:rsidP="00965024">
            <w:pPr>
              <w:spacing w:line="360" w:lineRule="auto"/>
              <w:ind w:right="49"/>
              <w:jc w:val="both"/>
              <w:rPr>
                <w:rFonts w:ascii="Palatino Linotype" w:hAnsi="Palatino Linotype"/>
              </w:rPr>
            </w:pPr>
            <w:r w:rsidRPr="00514593">
              <w:rPr>
                <w:rFonts w:ascii="Palatino Linotype" w:hAnsi="Palatino Linotype"/>
              </w:rPr>
              <w:t>Solicitud de empleo, ficha curricular, currículum vitae o documento análogo</w:t>
            </w:r>
          </w:p>
        </w:tc>
        <w:tc>
          <w:tcPr>
            <w:tcW w:w="1843" w:type="dxa"/>
          </w:tcPr>
          <w:p w14:paraId="1370B374" w14:textId="77777777" w:rsidR="00530E7A" w:rsidRPr="00514593" w:rsidRDefault="00530E7A" w:rsidP="00965024">
            <w:pPr>
              <w:spacing w:line="360" w:lineRule="auto"/>
              <w:ind w:right="49"/>
              <w:jc w:val="both"/>
              <w:rPr>
                <w:rFonts w:ascii="Palatino Linotype" w:hAnsi="Palatino Linotype"/>
              </w:rPr>
            </w:pPr>
            <w:r w:rsidRPr="00514593">
              <w:rPr>
                <w:rFonts w:ascii="Palatino Linotype" w:hAnsi="Palatino Linotype"/>
              </w:rPr>
              <w:t>En versión Pública.</w:t>
            </w:r>
          </w:p>
        </w:tc>
      </w:tr>
      <w:tr w:rsidR="00530E7A" w:rsidRPr="00514593" w14:paraId="0898CF0B" w14:textId="77777777" w:rsidTr="00965024">
        <w:tc>
          <w:tcPr>
            <w:tcW w:w="1129" w:type="dxa"/>
          </w:tcPr>
          <w:p w14:paraId="73602DB6" w14:textId="77777777" w:rsidR="00530E7A" w:rsidRPr="00514593" w:rsidRDefault="00530E7A" w:rsidP="00965024">
            <w:pPr>
              <w:spacing w:line="360" w:lineRule="auto"/>
              <w:ind w:right="49"/>
              <w:jc w:val="center"/>
              <w:rPr>
                <w:rFonts w:ascii="Palatino Linotype" w:hAnsi="Palatino Linotype"/>
              </w:rPr>
            </w:pPr>
            <w:r w:rsidRPr="00514593">
              <w:rPr>
                <w:rFonts w:ascii="Palatino Linotype" w:hAnsi="Palatino Linotype"/>
              </w:rPr>
              <w:t>2</w:t>
            </w:r>
          </w:p>
        </w:tc>
        <w:tc>
          <w:tcPr>
            <w:tcW w:w="4111" w:type="dxa"/>
          </w:tcPr>
          <w:p w14:paraId="4BC6901C" w14:textId="77777777" w:rsidR="00530E7A" w:rsidRPr="00514593" w:rsidRDefault="00530E7A" w:rsidP="00965024">
            <w:pPr>
              <w:spacing w:line="360" w:lineRule="auto"/>
              <w:ind w:right="49"/>
              <w:rPr>
                <w:rFonts w:ascii="Palatino Linotype" w:hAnsi="Palatino Linotype"/>
              </w:rPr>
            </w:pPr>
            <w:r w:rsidRPr="00514593">
              <w:rPr>
                <w:rFonts w:ascii="Palatino Linotype" w:hAnsi="Palatino Linotype"/>
              </w:rPr>
              <w:t>Ser de nacionalidad mexicana.</w:t>
            </w:r>
          </w:p>
        </w:tc>
        <w:tc>
          <w:tcPr>
            <w:tcW w:w="2268" w:type="dxa"/>
          </w:tcPr>
          <w:p w14:paraId="1B9358B7" w14:textId="77777777" w:rsidR="00530E7A" w:rsidRPr="00514593" w:rsidRDefault="00530E7A" w:rsidP="00965024">
            <w:pPr>
              <w:spacing w:line="360" w:lineRule="auto"/>
              <w:ind w:right="49"/>
              <w:jc w:val="both"/>
              <w:rPr>
                <w:rFonts w:ascii="Palatino Linotype" w:hAnsi="Palatino Linotype"/>
              </w:rPr>
            </w:pPr>
            <w:r w:rsidRPr="00514593">
              <w:rPr>
                <w:rFonts w:ascii="Palatino Linotype" w:hAnsi="Palatino Linotype"/>
              </w:rPr>
              <w:t>Acta de nacimiento</w:t>
            </w:r>
          </w:p>
        </w:tc>
        <w:tc>
          <w:tcPr>
            <w:tcW w:w="1843" w:type="dxa"/>
          </w:tcPr>
          <w:p w14:paraId="7EBF3673" w14:textId="77777777" w:rsidR="00530E7A" w:rsidRPr="00514593" w:rsidRDefault="00530E7A" w:rsidP="00965024">
            <w:pPr>
              <w:spacing w:line="360" w:lineRule="auto"/>
              <w:ind w:right="49"/>
              <w:jc w:val="both"/>
              <w:rPr>
                <w:rFonts w:ascii="Palatino Linotype" w:hAnsi="Palatino Linotype"/>
              </w:rPr>
            </w:pPr>
            <w:r w:rsidRPr="00514593">
              <w:rPr>
                <w:rFonts w:ascii="Palatino Linotype" w:hAnsi="Palatino Linotype"/>
              </w:rPr>
              <w:t>Confidencial</w:t>
            </w:r>
          </w:p>
        </w:tc>
      </w:tr>
      <w:tr w:rsidR="00530E7A" w:rsidRPr="00514593" w14:paraId="32DAC568" w14:textId="77777777" w:rsidTr="00965024">
        <w:tc>
          <w:tcPr>
            <w:tcW w:w="1129" w:type="dxa"/>
          </w:tcPr>
          <w:p w14:paraId="694B96CF" w14:textId="77777777" w:rsidR="00530E7A" w:rsidRPr="00514593" w:rsidRDefault="00530E7A" w:rsidP="00965024">
            <w:pPr>
              <w:spacing w:line="360" w:lineRule="auto"/>
              <w:ind w:right="49"/>
              <w:jc w:val="center"/>
              <w:rPr>
                <w:rFonts w:ascii="Palatino Linotype" w:hAnsi="Palatino Linotype"/>
              </w:rPr>
            </w:pPr>
            <w:r w:rsidRPr="00514593">
              <w:rPr>
                <w:rFonts w:ascii="Palatino Linotype" w:hAnsi="Palatino Linotype"/>
              </w:rPr>
              <w:t>3</w:t>
            </w:r>
          </w:p>
        </w:tc>
        <w:tc>
          <w:tcPr>
            <w:tcW w:w="4111" w:type="dxa"/>
          </w:tcPr>
          <w:p w14:paraId="13E57DC9" w14:textId="77777777" w:rsidR="00530E7A" w:rsidRPr="00514593" w:rsidRDefault="00530E7A" w:rsidP="00965024">
            <w:pPr>
              <w:spacing w:line="360" w:lineRule="auto"/>
              <w:ind w:right="49"/>
              <w:jc w:val="both"/>
              <w:rPr>
                <w:rFonts w:ascii="Palatino Linotype" w:hAnsi="Palatino Linotype"/>
              </w:rPr>
            </w:pPr>
            <w:r w:rsidRPr="00514593">
              <w:rPr>
                <w:rFonts w:ascii="Palatino Linotype" w:hAnsi="Palatino Linotype"/>
              </w:rPr>
              <w:t>Estar en pleno ejercicio de sus derechos civiles y políticos.</w:t>
            </w:r>
          </w:p>
        </w:tc>
        <w:tc>
          <w:tcPr>
            <w:tcW w:w="2268" w:type="dxa"/>
          </w:tcPr>
          <w:p w14:paraId="661741CA" w14:textId="77777777" w:rsidR="00530E7A" w:rsidRPr="00514593" w:rsidRDefault="00530E7A" w:rsidP="00965024">
            <w:pPr>
              <w:spacing w:line="360" w:lineRule="auto"/>
              <w:ind w:right="49"/>
              <w:jc w:val="both"/>
              <w:rPr>
                <w:rFonts w:ascii="Palatino Linotype" w:hAnsi="Palatino Linotype"/>
              </w:rPr>
            </w:pPr>
            <w:r w:rsidRPr="00514593">
              <w:rPr>
                <w:rFonts w:ascii="Palatino Linotype" w:hAnsi="Palatino Linotype"/>
              </w:rPr>
              <w:t>Derogado</w:t>
            </w:r>
          </w:p>
        </w:tc>
        <w:tc>
          <w:tcPr>
            <w:tcW w:w="1843" w:type="dxa"/>
          </w:tcPr>
          <w:p w14:paraId="2543BDF2" w14:textId="77777777" w:rsidR="00530E7A" w:rsidRPr="00514593" w:rsidRDefault="00530E7A" w:rsidP="00965024">
            <w:pPr>
              <w:spacing w:line="360" w:lineRule="auto"/>
              <w:ind w:right="49"/>
              <w:jc w:val="both"/>
              <w:rPr>
                <w:rFonts w:ascii="Palatino Linotype" w:hAnsi="Palatino Linotype"/>
              </w:rPr>
            </w:pPr>
            <w:r w:rsidRPr="00514593">
              <w:rPr>
                <w:rFonts w:ascii="Palatino Linotype" w:hAnsi="Palatino Linotype"/>
              </w:rPr>
              <w:t>N/A</w:t>
            </w:r>
          </w:p>
        </w:tc>
      </w:tr>
      <w:tr w:rsidR="00530E7A" w:rsidRPr="00514593" w14:paraId="1CD8FD5E" w14:textId="77777777" w:rsidTr="00965024">
        <w:tc>
          <w:tcPr>
            <w:tcW w:w="1129" w:type="dxa"/>
          </w:tcPr>
          <w:p w14:paraId="0DD3EE1E" w14:textId="77777777" w:rsidR="00530E7A" w:rsidRPr="00514593" w:rsidRDefault="00530E7A" w:rsidP="00965024">
            <w:pPr>
              <w:spacing w:line="360" w:lineRule="auto"/>
              <w:ind w:right="49"/>
              <w:jc w:val="center"/>
              <w:rPr>
                <w:rFonts w:ascii="Palatino Linotype" w:hAnsi="Palatino Linotype"/>
              </w:rPr>
            </w:pPr>
            <w:r w:rsidRPr="00514593">
              <w:rPr>
                <w:rFonts w:ascii="Palatino Linotype" w:hAnsi="Palatino Linotype"/>
              </w:rPr>
              <w:t>4</w:t>
            </w:r>
          </w:p>
        </w:tc>
        <w:tc>
          <w:tcPr>
            <w:tcW w:w="4111" w:type="dxa"/>
          </w:tcPr>
          <w:p w14:paraId="1662A561" w14:textId="77777777" w:rsidR="00530E7A" w:rsidRPr="00514593" w:rsidRDefault="00530E7A" w:rsidP="00965024">
            <w:pPr>
              <w:spacing w:line="360" w:lineRule="auto"/>
              <w:ind w:right="49"/>
              <w:rPr>
                <w:rFonts w:ascii="Palatino Linotype" w:hAnsi="Palatino Linotype"/>
              </w:rPr>
            </w:pPr>
            <w:r w:rsidRPr="00514593">
              <w:rPr>
                <w:rFonts w:ascii="Palatino Linotype" w:hAnsi="Palatino Linotype"/>
              </w:rPr>
              <w:t>Acreditar, cuando proceda, el cumplimiento de la Ley del Servicio Militar Nacional.</w:t>
            </w:r>
          </w:p>
        </w:tc>
        <w:tc>
          <w:tcPr>
            <w:tcW w:w="2268" w:type="dxa"/>
          </w:tcPr>
          <w:p w14:paraId="616F41B8" w14:textId="77777777" w:rsidR="00530E7A" w:rsidRPr="00514593" w:rsidRDefault="00530E7A" w:rsidP="00965024">
            <w:pPr>
              <w:spacing w:line="360" w:lineRule="auto"/>
              <w:ind w:right="49"/>
              <w:jc w:val="both"/>
              <w:rPr>
                <w:rFonts w:ascii="Palatino Linotype" w:hAnsi="Palatino Linotype"/>
              </w:rPr>
            </w:pPr>
            <w:r w:rsidRPr="00514593">
              <w:rPr>
                <w:rFonts w:ascii="Palatino Linotype" w:hAnsi="Palatino Linotype"/>
              </w:rPr>
              <w:t>Cartilla de Servicio Militar</w:t>
            </w:r>
          </w:p>
        </w:tc>
        <w:tc>
          <w:tcPr>
            <w:tcW w:w="1843" w:type="dxa"/>
          </w:tcPr>
          <w:p w14:paraId="043914A0" w14:textId="77777777" w:rsidR="00530E7A" w:rsidRPr="00514593" w:rsidRDefault="00530E7A" w:rsidP="00965024">
            <w:pPr>
              <w:spacing w:line="360" w:lineRule="auto"/>
              <w:ind w:right="49"/>
              <w:jc w:val="both"/>
              <w:rPr>
                <w:rFonts w:ascii="Palatino Linotype" w:hAnsi="Palatino Linotype"/>
              </w:rPr>
            </w:pPr>
            <w:r w:rsidRPr="00514593">
              <w:rPr>
                <w:rFonts w:ascii="Palatino Linotype" w:hAnsi="Palatino Linotype"/>
              </w:rPr>
              <w:t>Confidencial</w:t>
            </w:r>
          </w:p>
        </w:tc>
      </w:tr>
      <w:tr w:rsidR="00530E7A" w:rsidRPr="00514593" w14:paraId="1B03C0E4" w14:textId="77777777" w:rsidTr="00965024">
        <w:tc>
          <w:tcPr>
            <w:tcW w:w="1129" w:type="dxa"/>
          </w:tcPr>
          <w:p w14:paraId="4B7CBE50" w14:textId="77777777" w:rsidR="00530E7A" w:rsidRPr="00514593" w:rsidRDefault="00530E7A" w:rsidP="00965024">
            <w:pPr>
              <w:spacing w:line="360" w:lineRule="auto"/>
              <w:ind w:right="49"/>
              <w:jc w:val="center"/>
              <w:rPr>
                <w:rFonts w:ascii="Palatino Linotype" w:hAnsi="Palatino Linotype"/>
              </w:rPr>
            </w:pPr>
            <w:r w:rsidRPr="00514593">
              <w:rPr>
                <w:rFonts w:ascii="Palatino Linotype" w:hAnsi="Palatino Linotype"/>
              </w:rPr>
              <w:t>5</w:t>
            </w:r>
          </w:p>
        </w:tc>
        <w:tc>
          <w:tcPr>
            <w:tcW w:w="4111" w:type="dxa"/>
          </w:tcPr>
          <w:p w14:paraId="0B9DE1A0" w14:textId="77777777" w:rsidR="00530E7A" w:rsidRPr="00514593" w:rsidRDefault="00530E7A" w:rsidP="00965024">
            <w:pPr>
              <w:spacing w:line="360" w:lineRule="auto"/>
              <w:ind w:right="49"/>
              <w:jc w:val="both"/>
              <w:rPr>
                <w:rFonts w:ascii="Palatino Linotype" w:hAnsi="Palatino Linotype"/>
              </w:rPr>
            </w:pPr>
            <w:r w:rsidRPr="00514593">
              <w:rPr>
                <w:rFonts w:ascii="Palatino Linotype" w:hAnsi="Palatino Linotype"/>
              </w:rPr>
              <w:t>No haber sido separado anteriormente del servicio por las causas previstas en el artículo 93 de la presente ley</w:t>
            </w:r>
          </w:p>
        </w:tc>
        <w:tc>
          <w:tcPr>
            <w:tcW w:w="2268" w:type="dxa"/>
          </w:tcPr>
          <w:p w14:paraId="42E57371" w14:textId="77777777" w:rsidR="00530E7A" w:rsidRPr="00514593" w:rsidRDefault="00530E7A" w:rsidP="00965024">
            <w:pPr>
              <w:spacing w:line="360" w:lineRule="auto"/>
              <w:ind w:right="49"/>
              <w:jc w:val="both"/>
              <w:rPr>
                <w:rFonts w:ascii="Palatino Linotype" w:hAnsi="Palatino Linotype"/>
              </w:rPr>
            </w:pPr>
            <w:r w:rsidRPr="00514593">
              <w:rPr>
                <w:rFonts w:ascii="Palatino Linotype" w:hAnsi="Palatino Linotype"/>
              </w:rPr>
              <w:t>Manifestación bajo protesta de decir verdad</w:t>
            </w:r>
          </w:p>
        </w:tc>
        <w:tc>
          <w:tcPr>
            <w:tcW w:w="1843" w:type="dxa"/>
          </w:tcPr>
          <w:p w14:paraId="778A985B" w14:textId="77777777" w:rsidR="00530E7A" w:rsidRPr="00514593" w:rsidRDefault="00530E7A" w:rsidP="00965024">
            <w:pPr>
              <w:spacing w:line="360" w:lineRule="auto"/>
              <w:ind w:right="49"/>
              <w:jc w:val="both"/>
              <w:rPr>
                <w:rFonts w:ascii="Palatino Linotype" w:hAnsi="Palatino Linotype"/>
              </w:rPr>
            </w:pPr>
            <w:r w:rsidRPr="00514593">
              <w:rPr>
                <w:rFonts w:ascii="Palatino Linotype" w:hAnsi="Palatino Linotype"/>
              </w:rPr>
              <w:t>Documento íntegro</w:t>
            </w:r>
          </w:p>
        </w:tc>
      </w:tr>
      <w:tr w:rsidR="00530E7A" w:rsidRPr="00514593" w14:paraId="160ED21E" w14:textId="77777777" w:rsidTr="00965024">
        <w:tc>
          <w:tcPr>
            <w:tcW w:w="1129" w:type="dxa"/>
          </w:tcPr>
          <w:p w14:paraId="7A0B989B" w14:textId="77777777" w:rsidR="00530E7A" w:rsidRPr="00514593" w:rsidRDefault="00530E7A" w:rsidP="00965024">
            <w:pPr>
              <w:spacing w:line="360" w:lineRule="auto"/>
              <w:ind w:right="49"/>
              <w:jc w:val="center"/>
              <w:rPr>
                <w:rFonts w:ascii="Palatino Linotype" w:hAnsi="Palatino Linotype"/>
              </w:rPr>
            </w:pPr>
            <w:r w:rsidRPr="00514593">
              <w:rPr>
                <w:rFonts w:ascii="Palatino Linotype" w:hAnsi="Palatino Linotype"/>
              </w:rPr>
              <w:t>6</w:t>
            </w:r>
          </w:p>
        </w:tc>
        <w:tc>
          <w:tcPr>
            <w:tcW w:w="4111" w:type="dxa"/>
          </w:tcPr>
          <w:p w14:paraId="29EA71D7" w14:textId="77777777" w:rsidR="00530E7A" w:rsidRPr="00514593" w:rsidRDefault="00530E7A" w:rsidP="00965024">
            <w:pPr>
              <w:spacing w:line="360" w:lineRule="auto"/>
              <w:ind w:right="49"/>
              <w:jc w:val="both"/>
              <w:rPr>
                <w:rFonts w:ascii="Palatino Linotype" w:hAnsi="Palatino Linotype"/>
              </w:rPr>
            </w:pPr>
            <w:r w:rsidRPr="00514593">
              <w:rPr>
                <w:rFonts w:ascii="Palatino Linotype" w:hAnsi="Palatino Linotype"/>
              </w:rPr>
              <w:t>Tener buena salud, lo que se comprobará con los certificados médicos</w:t>
            </w:r>
          </w:p>
        </w:tc>
        <w:tc>
          <w:tcPr>
            <w:tcW w:w="2268" w:type="dxa"/>
          </w:tcPr>
          <w:p w14:paraId="221DFE94" w14:textId="77777777" w:rsidR="00530E7A" w:rsidRPr="00514593" w:rsidRDefault="00530E7A" w:rsidP="00965024">
            <w:pPr>
              <w:spacing w:line="360" w:lineRule="auto"/>
              <w:ind w:right="49"/>
              <w:jc w:val="both"/>
              <w:rPr>
                <w:rFonts w:ascii="Palatino Linotype" w:hAnsi="Palatino Linotype"/>
              </w:rPr>
            </w:pPr>
            <w:r w:rsidRPr="00514593">
              <w:rPr>
                <w:rFonts w:ascii="Palatino Linotype" w:hAnsi="Palatino Linotype"/>
              </w:rPr>
              <w:t>Certificado Médico</w:t>
            </w:r>
          </w:p>
        </w:tc>
        <w:tc>
          <w:tcPr>
            <w:tcW w:w="1843" w:type="dxa"/>
          </w:tcPr>
          <w:p w14:paraId="73BC3374" w14:textId="77777777" w:rsidR="00530E7A" w:rsidRPr="00514593" w:rsidRDefault="00530E7A" w:rsidP="00965024">
            <w:pPr>
              <w:spacing w:line="360" w:lineRule="auto"/>
              <w:ind w:right="49"/>
              <w:jc w:val="both"/>
              <w:rPr>
                <w:rFonts w:ascii="Palatino Linotype" w:hAnsi="Palatino Linotype"/>
              </w:rPr>
            </w:pPr>
            <w:r w:rsidRPr="00514593">
              <w:rPr>
                <w:rFonts w:ascii="Palatino Linotype" w:hAnsi="Palatino Linotype"/>
              </w:rPr>
              <w:t>Confidencial</w:t>
            </w:r>
          </w:p>
        </w:tc>
      </w:tr>
      <w:tr w:rsidR="00530E7A" w:rsidRPr="00514593" w14:paraId="09254DB8" w14:textId="77777777" w:rsidTr="00965024">
        <w:tc>
          <w:tcPr>
            <w:tcW w:w="1129" w:type="dxa"/>
          </w:tcPr>
          <w:p w14:paraId="519F8ECE" w14:textId="77777777" w:rsidR="00530E7A" w:rsidRPr="00514593" w:rsidRDefault="00530E7A" w:rsidP="00965024">
            <w:pPr>
              <w:spacing w:line="360" w:lineRule="auto"/>
              <w:ind w:right="49"/>
              <w:jc w:val="center"/>
              <w:rPr>
                <w:rFonts w:ascii="Palatino Linotype" w:hAnsi="Palatino Linotype"/>
              </w:rPr>
            </w:pPr>
            <w:r w:rsidRPr="00514593">
              <w:rPr>
                <w:rFonts w:ascii="Palatino Linotype" w:hAnsi="Palatino Linotype"/>
              </w:rPr>
              <w:t>7</w:t>
            </w:r>
          </w:p>
        </w:tc>
        <w:tc>
          <w:tcPr>
            <w:tcW w:w="4111" w:type="dxa"/>
          </w:tcPr>
          <w:p w14:paraId="713660BB" w14:textId="77777777" w:rsidR="00530E7A" w:rsidRPr="00514593" w:rsidRDefault="00530E7A" w:rsidP="00965024">
            <w:pPr>
              <w:spacing w:line="360" w:lineRule="auto"/>
              <w:ind w:right="49"/>
              <w:jc w:val="both"/>
              <w:rPr>
                <w:rFonts w:ascii="Palatino Linotype" w:hAnsi="Palatino Linotype"/>
              </w:rPr>
            </w:pPr>
            <w:r w:rsidRPr="00514593">
              <w:rPr>
                <w:rFonts w:ascii="Palatino Linotype" w:hAnsi="Palatino Linotype"/>
              </w:rPr>
              <w:t>Cumplir con los requisitos que se establezcan para los diferentes puestos.</w:t>
            </w:r>
          </w:p>
        </w:tc>
        <w:tc>
          <w:tcPr>
            <w:tcW w:w="2268" w:type="dxa"/>
          </w:tcPr>
          <w:p w14:paraId="4E29D55A" w14:textId="77777777" w:rsidR="00530E7A" w:rsidRPr="00514593" w:rsidRDefault="00530E7A" w:rsidP="00965024">
            <w:pPr>
              <w:spacing w:line="360" w:lineRule="auto"/>
              <w:ind w:right="49"/>
              <w:jc w:val="both"/>
              <w:rPr>
                <w:rFonts w:ascii="Palatino Linotype" w:hAnsi="Palatino Linotype"/>
              </w:rPr>
            </w:pPr>
            <w:r w:rsidRPr="00514593">
              <w:rPr>
                <w:rFonts w:ascii="Palatino Linotype" w:hAnsi="Palatino Linotype"/>
              </w:rPr>
              <w:t xml:space="preserve">En este caso, son aplicables los documentos previstos por la Ley </w:t>
            </w:r>
            <w:r w:rsidRPr="00514593">
              <w:rPr>
                <w:rFonts w:ascii="Palatino Linotype" w:hAnsi="Palatino Linotype"/>
              </w:rPr>
              <w:lastRenderedPageBreak/>
              <w:t>Orgánica Municipal del Estado de México y Municipios, en virtud de que se trata de ayuntamientos.</w:t>
            </w:r>
          </w:p>
        </w:tc>
        <w:tc>
          <w:tcPr>
            <w:tcW w:w="1843" w:type="dxa"/>
          </w:tcPr>
          <w:p w14:paraId="35EABB6E" w14:textId="77777777" w:rsidR="00530E7A" w:rsidRPr="00514593" w:rsidRDefault="00530E7A" w:rsidP="00965024">
            <w:pPr>
              <w:spacing w:line="360" w:lineRule="auto"/>
              <w:ind w:right="49"/>
              <w:jc w:val="both"/>
              <w:rPr>
                <w:rFonts w:ascii="Palatino Linotype" w:hAnsi="Palatino Linotype"/>
              </w:rPr>
            </w:pPr>
            <w:r w:rsidRPr="00514593">
              <w:rPr>
                <w:rFonts w:ascii="Palatino Linotype" w:hAnsi="Palatino Linotype"/>
              </w:rPr>
              <w:lastRenderedPageBreak/>
              <w:t>Documento íntegro</w:t>
            </w:r>
          </w:p>
        </w:tc>
      </w:tr>
      <w:tr w:rsidR="00530E7A" w:rsidRPr="00514593" w14:paraId="2B424CCF" w14:textId="77777777" w:rsidTr="00965024">
        <w:tc>
          <w:tcPr>
            <w:tcW w:w="1129" w:type="dxa"/>
          </w:tcPr>
          <w:p w14:paraId="77234EC0" w14:textId="77777777" w:rsidR="00530E7A" w:rsidRPr="00514593" w:rsidRDefault="00530E7A" w:rsidP="00965024">
            <w:pPr>
              <w:spacing w:line="360" w:lineRule="auto"/>
              <w:ind w:right="49"/>
              <w:jc w:val="center"/>
              <w:rPr>
                <w:rFonts w:ascii="Palatino Linotype" w:hAnsi="Palatino Linotype"/>
              </w:rPr>
            </w:pPr>
            <w:r w:rsidRPr="00514593">
              <w:rPr>
                <w:rFonts w:ascii="Palatino Linotype" w:hAnsi="Palatino Linotype"/>
              </w:rPr>
              <w:t>8</w:t>
            </w:r>
          </w:p>
        </w:tc>
        <w:tc>
          <w:tcPr>
            <w:tcW w:w="4111" w:type="dxa"/>
          </w:tcPr>
          <w:p w14:paraId="209123D2" w14:textId="77777777" w:rsidR="00530E7A" w:rsidRPr="00514593" w:rsidRDefault="00530E7A" w:rsidP="00965024">
            <w:pPr>
              <w:spacing w:line="360" w:lineRule="auto"/>
              <w:ind w:right="49"/>
              <w:jc w:val="both"/>
              <w:rPr>
                <w:rFonts w:ascii="Palatino Linotype" w:hAnsi="Palatino Linotype"/>
              </w:rPr>
            </w:pPr>
            <w:r w:rsidRPr="00514593">
              <w:rPr>
                <w:rFonts w:ascii="Palatino Linotype" w:hAnsi="Palatino Linotype"/>
              </w:rPr>
              <w:t>Acreditar por medio de los exámenes correspondientes los conocimientos y aptitudes necesarios para el desempeño del puesto.</w:t>
            </w:r>
          </w:p>
        </w:tc>
        <w:tc>
          <w:tcPr>
            <w:tcW w:w="2268" w:type="dxa"/>
          </w:tcPr>
          <w:p w14:paraId="7B1803BB" w14:textId="77777777" w:rsidR="00530E7A" w:rsidRPr="00514593" w:rsidRDefault="00530E7A" w:rsidP="00965024">
            <w:pPr>
              <w:spacing w:line="360" w:lineRule="auto"/>
              <w:ind w:right="49"/>
              <w:jc w:val="both"/>
              <w:rPr>
                <w:rFonts w:ascii="Palatino Linotype" w:hAnsi="Palatino Linotype"/>
              </w:rPr>
            </w:pPr>
            <w:r w:rsidRPr="00514593">
              <w:rPr>
                <w:rFonts w:ascii="Palatino Linotype" w:hAnsi="Palatino Linotype"/>
              </w:rPr>
              <w:t xml:space="preserve">El documento obtenido por haber acreditado los exámenes de oposición o de conocimientos o aptitudes necesarios para ejercer el cargo, </w:t>
            </w:r>
            <w:r w:rsidRPr="00514593">
              <w:rPr>
                <w:rFonts w:ascii="Palatino Linotype" w:hAnsi="Palatino Linotype"/>
                <w:b/>
                <w:bCs/>
              </w:rPr>
              <w:t>siempre que sea requisito para ocupar el cargo correspondiente</w:t>
            </w:r>
          </w:p>
        </w:tc>
        <w:tc>
          <w:tcPr>
            <w:tcW w:w="1843" w:type="dxa"/>
          </w:tcPr>
          <w:p w14:paraId="635411F8" w14:textId="77777777" w:rsidR="00530E7A" w:rsidRPr="00514593" w:rsidRDefault="00530E7A" w:rsidP="00965024">
            <w:pPr>
              <w:spacing w:line="360" w:lineRule="auto"/>
              <w:ind w:right="49"/>
              <w:jc w:val="both"/>
              <w:rPr>
                <w:rFonts w:ascii="Palatino Linotype" w:hAnsi="Palatino Linotype"/>
              </w:rPr>
            </w:pPr>
            <w:r w:rsidRPr="00514593">
              <w:rPr>
                <w:rFonts w:ascii="Palatino Linotype" w:hAnsi="Palatino Linotype"/>
              </w:rPr>
              <w:t>En versión Pública.</w:t>
            </w:r>
          </w:p>
        </w:tc>
      </w:tr>
      <w:tr w:rsidR="00530E7A" w:rsidRPr="00514593" w14:paraId="2B9DFF77" w14:textId="77777777" w:rsidTr="00965024">
        <w:tc>
          <w:tcPr>
            <w:tcW w:w="1129" w:type="dxa"/>
          </w:tcPr>
          <w:p w14:paraId="29896263" w14:textId="77777777" w:rsidR="00530E7A" w:rsidRPr="00514593" w:rsidRDefault="00530E7A" w:rsidP="00965024">
            <w:pPr>
              <w:spacing w:line="360" w:lineRule="auto"/>
              <w:ind w:right="49"/>
              <w:jc w:val="center"/>
              <w:rPr>
                <w:rFonts w:ascii="Palatino Linotype" w:hAnsi="Palatino Linotype"/>
              </w:rPr>
            </w:pPr>
            <w:r w:rsidRPr="00514593">
              <w:rPr>
                <w:rFonts w:ascii="Palatino Linotype" w:hAnsi="Palatino Linotype"/>
              </w:rPr>
              <w:t>9</w:t>
            </w:r>
          </w:p>
        </w:tc>
        <w:tc>
          <w:tcPr>
            <w:tcW w:w="4111" w:type="dxa"/>
          </w:tcPr>
          <w:p w14:paraId="16904ADB" w14:textId="77777777" w:rsidR="00530E7A" w:rsidRPr="00514593" w:rsidRDefault="00530E7A" w:rsidP="00965024">
            <w:pPr>
              <w:spacing w:line="360" w:lineRule="auto"/>
              <w:ind w:right="49"/>
              <w:jc w:val="both"/>
              <w:rPr>
                <w:rFonts w:ascii="Palatino Linotype" w:hAnsi="Palatino Linotype"/>
              </w:rPr>
            </w:pPr>
            <w:r w:rsidRPr="00514593">
              <w:rPr>
                <w:rFonts w:ascii="Palatino Linotype" w:hAnsi="Palatino Linotype"/>
              </w:rPr>
              <w:t>No estar inhabilitado para el ejercicio del servicio público</w:t>
            </w:r>
          </w:p>
        </w:tc>
        <w:tc>
          <w:tcPr>
            <w:tcW w:w="2268" w:type="dxa"/>
          </w:tcPr>
          <w:p w14:paraId="389473B3" w14:textId="77777777" w:rsidR="00530E7A" w:rsidRPr="00514593" w:rsidRDefault="00530E7A" w:rsidP="00965024">
            <w:pPr>
              <w:spacing w:line="360" w:lineRule="auto"/>
              <w:ind w:right="49"/>
              <w:jc w:val="both"/>
              <w:rPr>
                <w:rFonts w:ascii="Palatino Linotype" w:hAnsi="Palatino Linotype"/>
              </w:rPr>
            </w:pPr>
            <w:r w:rsidRPr="00514593">
              <w:rPr>
                <w:rFonts w:ascii="Palatino Linotype" w:hAnsi="Palatino Linotype"/>
              </w:rPr>
              <w:t>Constancia de no inhabilitación.</w:t>
            </w:r>
          </w:p>
        </w:tc>
        <w:tc>
          <w:tcPr>
            <w:tcW w:w="1843" w:type="dxa"/>
          </w:tcPr>
          <w:p w14:paraId="32276016" w14:textId="77777777" w:rsidR="00530E7A" w:rsidRPr="00514593" w:rsidRDefault="00530E7A" w:rsidP="00965024">
            <w:pPr>
              <w:spacing w:line="360" w:lineRule="auto"/>
              <w:ind w:right="49"/>
              <w:jc w:val="both"/>
              <w:rPr>
                <w:rFonts w:ascii="Palatino Linotype" w:hAnsi="Palatino Linotype"/>
              </w:rPr>
            </w:pPr>
            <w:r w:rsidRPr="00514593">
              <w:rPr>
                <w:rFonts w:ascii="Palatino Linotype" w:hAnsi="Palatino Linotype"/>
              </w:rPr>
              <w:t>Documento íntegro</w:t>
            </w:r>
          </w:p>
        </w:tc>
      </w:tr>
      <w:tr w:rsidR="00530E7A" w:rsidRPr="00514593" w14:paraId="4CC19026" w14:textId="77777777" w:rsidTr="00965024">
        <w:tc>
          <w:tcPr>
            <w:tcW w:w="1129" w:type="dxa"/>
          </w:tcPr>
          <w:p w14:paraId="675E390B" w14:textId="77777777" w:rsidR="00530E7A" w:rsidRPr="00514593" w:rsidRDefault="00530E7A" w:rsidP="00965024">
            <w:pPr>
              <w:spacing w:line="360" w:lineRule="auto"/>
              <w:ind w:right="49"/>
              <w:jc w:val="center"/>
              <w:rPr>
                <w:rFonts w:ascii="Palatino Linotype" w:hAnsi="Palatino Linotype"/>
              </w:rPr>
            </w:pPr>
            <w:r w:rsidRPr="00514593">
              <w:rPr>
                <w:rFonts w:ascii="Palatino Linotype" w:hAnsi="Palatino Linotype"/>
              </w:rPr>
              <w:t>10</w:t>
            </w:r>
          </w:p>
        </w:tc>
        <w:tc>
          <w:tcPr>
            <w:tcW w:w="4111" w:type="dxa"/>
          </w:tcPr>
          <w:p w14:paraId="24BF3968" w14:textId="77777777" w:rsidR="00530E7A" w:rsidRPr="00514593" w:rsidRDefault="00530E7A" w:rsidP="00965024">
            <w:pPr>
              <w:spacing w:line="360" w:lineRule="auto"/>
              <w:ind w:right="49"/>
              <w:jc w:val="both"/>
              <w:rPr>
                <w:rFonts w:ascii="Palatino Linotype" w:hAnsi="Palatino Linotype"/>
              </w:rPr>
            </w:pPr>
            <w:r w:rsidRPr="00514593">
              <w:rPr>
                <w:rFonts w:ascii="Palatino Linotype" w:hAnsi="Palatino Linotype"/>
              </w:rPr>
              <w:t xml:space="preserve">Presentar certificado expedido por la Unidad del Registro de Deudores Alimentarios Morosos en el que conste, </w:t>
            </w:r>
            <w:r w:rsidRPr="00514593">
              <w:rPr>
                <w:rFonts w:ascii="Palatino Linotype" w:hAnsi="Palatino Linotype"/>
              </w:rPr>
              <w:lastRenderedPageBreak/>
              <w:t>si se encuentra inscrito o no en el mismo.</w:t>
            </w:r>
          </w:p>
        </w:tc>
        <w:tc>
          <w:tcPr>
            <w:tcW w:w="2268" w:type="dxa"/>
          </w:tcPr>
          <w:p w14:paraId="570A1F86" w14:textId="77777777" w:rsidR="00530E7A" w:rsidRPr="00514593" w:rsidRDefault="00530E7A" w:rsidP="00965024">
            <w:pPr>
              <w:spacing w:line="360" w:lineRule="auto"/>
              <w:ind w:right="49"/>
              <w:jc w:val="both"/>
              <w:rPr>
                <w:rFonts w:ascii="Palatino Linotype" w:hAnsi="Palatino Linotype"/>
              </w:rPr>
            </w:pPr>
            <w:r w:rsidRPr="00514593">
              <w:rPr>
                <w:rFonts w:ascii="Palatino Linotype" w:hAnsi="Palatino Linotype"/>
              </w:rPr>
              <w:lastRenderedPageBreak/>
              <w:t>Certificado de No Deudor Alimentario Moroso.</w:t>
            </w:r>
          </w:p>
        </w:tc>
        <w:tc>
          <w:tcPr>
            <w:tcW w:w="1843" w:type="dxa"/>
          </w:tcPr>
          <w:p w14:paraId="3A68423A" w14:textId="77777777" w:rsidR="00530E7A" w:rsidRPr="00514593" w:rsidRDefault="00530E7A" w:rsidP="00965024">
            <w:pPr>
              <w:spacing w:line="360" w:lineRule="auto"/>
              <w:ind w:right="49"/>
              <w:jc w:val="both"/>
              <w:rPr>
                <w:rFonts w:ascii="Palatino Linotype" w:hAnsi="Palatino Linotype"/>
              </w:rPr>
            </w:pPr>
            <w:r w:rsidRPr="00514593">
              <w:rPr>
                <w:rFonts w:ascii="Palatino Linotype" w:hAnsi="Palatino Linotype"/>
              </w:rPr>
              <w:t>En versión Pública.</w:t>
            </w:r>
          </w:p>
        </w:tc>
      </w:tr>
      <w:tr w:rsidR="00530E7A" w:rsidRPr="00514593" w14:paraId="756850C0" w14:textId="77777777" w:rsidTr="00965024">
        <w:tc>
          <w:tcPr>
            <w:tcW w:w="1129" w:type="dxa"/>
          </w:tcPr>
          <w:p w14:paraId="38C3DCEB" w14:textId="77777777" w:rsidR="00530E7A" w:rsidRPr="00514593" w:rsidRDefault="00530E7A" w:rsidP="00965024">
            <w:pPr>
              <w:spacing w:line="360" w:lineRule="auto"/>
              <w:ind w:right="49"/>
              <w:jc w:val="center"/>
              <w:rPr>
                <w:rFonts w:ascii="Palatino Linotype" w:hAnsi="Palatino Linotype"/>
              </w:rPr>
            </w:pPr>
            <w:r w:rsidRPr="00514593">
              <w:rPr>
                <w:rFonts w:ascii="Palatino Linotype" w:hAnsi="Palatino Linotype"/>
              </w:rPr>
              <w:t>11</w:t>
            </w:r>
          </w:p>
        </w:tc>
        <w:tc>
          <w:tcPr>
            <w:tcW w:w="4111" w:type="dxa"/>
          </w:tcPr>
          <w:p w14:paraId="4CFEF86A" w14:textId="77777777" w:rsidR="00530E7A" w:rsidRPr="00514593" w:rsidRDefault="00530E7A" w:rsidP="00965024">
            <w:pPr>
              <w:spacing w:line="360" w:lineRule="auto"/>
              <w:ind w:right="49"/>
              <w:jc w:val="both"/>
              <w:rPr>
                <w:rFonts w:ascii="Palatino Linotype" w:hAnsi="Palatino Linotype"/>
              </w:rPr>
            </w:pPr>
            <w:r w:rsidRPr="00514593">
              <w:rPr>
                <w:rFonts w:ascii="Palatino Linotype" w:hAnsi="Palatino Linotype"/>
              </w:rPr>
              <w:t>Para iniciar la prestación de los servicios</w:t>
            </w:r>
          </w:p>
        </w:tc>
        <w:tc>
          <w:tcPr>
            <w:tcW w:w="2268" w:type="dxa"/>
          </w:tcPr>
          <w:p w14:paraId="6C8CDA90" w14:textId="77777777" w:rsidR="00530E7A" w:rsidRPr="00514593" w:rsidRDefault="00530E7A" w:rsidP="00965024">
            <w:pPr>
              <w:spacing w:line="360" w:lineRule="auto"/>
              <w:ind w:right="49"/>
              <w:jc w:val="both"/>
              <w:rPr>
                <w:rFonts w:ascii="Palatino Linotype" w:hAnsi="Palatino Linotype"/>
              </w:rPr>
            </w:pPr>
            <w:r w:rsidRPr="00514593">
              <w:rPr>
                <w:rFonts w:ascii="Palatino Linotype" w:hAnsi="Palatino Linotype"/>
              </w:rPr>
              <w:t>Nombramiento, contrato o formato único de Movimientos de Personal</w:t>
            </w:r>
          </w:p>
        </w:tc>
        <w:tc>
          <w:tcPr>
            <w:tcW w:w="1843" w:type="dxa"/>
          </w:tcPr>
          <w:p w14:paraId="72A9C144" w14:textId="77777777" w:rsidR="00530E7A" w:rsidRPr="00514593" w:rsidRDefault="00530E7A" w:rsidP="00965024">
            <w:pPr>
              <w:spacing w:line="360" w:lineRule="auto"/>
              <w:ind w:right="49"/>
              <w:jc w:val="both"/>
              <w:rPr>
                <w:rFonts w:ascii="Palatino Linotype" w:hAnsi="Palatino Linotype"/>
              </w:rPr>
            </w:pPr>
            <w:r w:rsidRPr="00514593">
              <w:rPr>
                <w:rFonts w:ascii="Palatino Linotype" w:hAnsi="Palatino Linotype"/>
              </w:rPr>
              <w:t>En versión Pública.</w:t>
            </w:r>
          </w:p>
        </w:tc>
      </w:tr>
    </w:tbl>
    <w:p w14:paraId="3DEECA1D" w14:textId="77777777" w:rsidR="00530E7A" w:rsidRPr="00514593" w:rsidRDefault="00530E7A" w:rsidP="00530E7A">
      <w:pPr>
        <w:spacing w:line="360" w:lineRule="auto"/>
        <w:ind w:right="49"/>
        <w:jc w:val="both"/>
        <w:rPr>
          <w:rFonts w:ascii="Palatino Linotype" w:hAnsi="Palatino Linotype"/>
          <w:sz w:val="24"/>
          <w:szCs w:val="24"/>
        </w:rPr>
      </w:pPr>
    </w:p>
    <w:p w14:paraId="0CCC97D3" w14:textId="77777777" w:rsidR="00530E7A" w:rsidRPr="00514593" w:rsidRDefault="00530E7A" w:rsidP="00530E7A">
      <w:pPr>
        <w:spacing w:line="360" w:lineRule="auto"/>
        <w:ind w:right="49"/>
        <w:jc w:val="both"/>
        <w:rPr>
          <w:rFonts w:ascii="Palatino Linotype" w:hAnsi="Palatino Linotype"/>
          <w:sz w:val="24"/>
          <w:szCs w:val="24"/>
        </w:rPr>
      </w:pPr>
      <w:r w:rsidRPr="00514593">
        <w:rPr>
          <w:rFonts w:ascii="Palatino Linotype" w:hAnsi="Palatino Linotype"/>
          <w:sz w:val="24"/>
          <w:szCs w:val="24"/>
        </w:rPr>
        <w:t>De lo antes mencionado se advierte que, para formar parte del servicio público, los interesados deben cumplir con los elementos señalados, así como aquellos requisitos que se establezcan para los diferentes puestos, siendo obligación de las instituciones públicas integrar los expedientes correspondientes, en términos del artículo 98, fracción XVII, de la Ley del Trabajo de los Servidores Públicos del Estado de México.</w:t>
      </w:r>
    </w:p>
    <w:p w14:paraId="1FE9329A" w14:textId="77777777" w:rsidR="00530E7A" w:rsidRPr="00514593" w:rsidRDefault="00530E7A" w:rsidP="00530E7A">
      <w:pPr>
        <w:spacing w:line="360" w:lineRule="auto"/>
        <w:ind w:right="49"/>
        <w:jc w:val="both"/>
        <w:rPr>
          <w:rFonts w:ascii="Palatino Linotype" w:hAnsi="Palatino Linotype"/>
          <w:sz w:val="24"/>
          <w:szCs w:val="24"/>
        </w:rPr>
      </w:pPr>
    </w:p>
    <w:p w14:paraId="5046F338" w14:textId="77777777" w:rsidR="00530E7A" w:rsidRPr="00514593" w:rsidRDefault="00530E7A" w:rsidP="00530E7A">
      <w:pPr>
        <w:spacing w:line="360" w:lineRule="auto"/>
        <w:ind w:right="49"/>
        <w:jc w:val="both"/>
        <w:rPr>
          <w:rFonts w:ascii="Palatino Linotype" w:hAnsi="Palatino Linotype"/>
          <w:sz w:val="24"/>
          <w:szCs w:val="24"/>
        </w:rPr>
      </w:pPr>
      <w:r w:rsidRPr="00514593">
        <w:rPr>
          <w:rFonts w:ascii="Palatino Linotype" w:hAnsi="Palatino Linotype"/>
          <w:sz w:val="24"/>
          <w:szCs w:val="24"/>
        </w:rPr>
        <w:t>En esta virtud, los expedientes laborales constituyen acervos documentales en los cuales convergen tanto de información pública como aquella con el carácter de privada; sin embargo, es de señalar que no existe disposición expresa que concluya al Sujeto Obligado a integrar los expedientes de mérito de manera homogénea; motivo por el cual, a los Sujetos Obligados les compete analizar en cada uno de los expedientes laborales de los servidores públicos cual es la información susceptible de entrega, en su caso, en versión pública, y de cuál no procedería realizar su entrega, en cuyo supuesto deberá elaborar y entregar el acuerdo de clasificación de confidencialidad correspondiente.</w:t>
      </w:r>
    </w:p>
    <w:p w14:paraId="4CED8ACD" w14:textId="77777777" w:rsidR="00530E7A" w:rsidRPr="00514593" w:rsidRDefault="00530E7A" w:rsidP="00530E7A">
      <w:pPr>
        <w:spacing w:line="360" w:lineRule="auto"/>
        <w:ind w:right="49"/>
        <w:jc w:val="both"/>
        <w:rPr>
          <w:rFonts w:ascii="Palatino Linotype" w:hAnsi="Palatino Linotype"/>
          <w:sz w:val="24"/>
          <w:szCs w:val="24"/>
        </w:rPr>
      </w:pPr>
    </w:p>
    <w:p w14:paraId="4FF2C40C" w14:textId="77777777" w:rsidR="00530E7A" w:rsidRPr="00514593" w:rsidRDefault="00530E7A" w:rsidP="00530E7A">
      <w:pPr>
        <w:spacing w:line="360" w:lineRule="auto"/>
        <w:ind w:right="49"/>
        <w:jc w:val="both"/>
        <w:rPr>
          <w:rFonts w:ascii="Palatino Linotype" w:hAnsi="Palatino Linotype"/>
          <w:sz w:val="24"/>
          <w:szCs w:val="24"/>
        </w:rPr>
      </w:pPr>
      <w:r w:rsidRPr="00514593">
        <w:rPr>
          <w:rFonts w:ascii="Palatino Linotype" w:hAnsi="Palatino Linotype"/>
          <w:sz w:val="24"/>
          <w:szCs w:val="24"/>
        </w:rPr>
        <w:lastRenderedPageBreak/>
        <w:t>Para robustecer lo anterior, es de considerar el Criterio 16/2006 emitido por el Comité de Acceso a la Información y Protección de Datos Personales de la suprema Corte de Justicia de la Nación, que dispone lo siguiente:</w:t>
      </w:r>
    </w:p>
    <w:p w14:paraId="2F57D794" w14:textId="77777777" w:rsidR="00530E7A" w:rsidRPr="00514593" w:rsidRDefault="00530E7A" w:rsidP="00530E7A">
      <w:pPr>
        <w:spacing w:line="360" w:lineRule="auto"/>
        <w:ind w:left="708" w:right="49"/>
        <w:jc w:val="both"/>
        <w:rPr>
          <w:rFonts w:ascii="Palatino Linotype" w:hAnsi="Palatino Linotype"/>
          <w:i/>
          <w:iCs/>
        </w:rPr>
      </w:pPr>
      <w:r w:rsidRPr="00514593">
        <w:rPr>
          <w:rFonts w:ascii="Palatino Linotype" w:hAnsi="Palatino Linotype"/>
          <w:sz w:val="24"/>
          <w:szCs w:val="24"/>
        </w:rPr>
        <w:t>“</w:t>
      </w:r>
      <w:r w:rsidRPr="00514593">
        <w:rPr>
          <w:rFonts w:ascii="Palatino Linotype" w:hAnsi="Palatino Linotype"/>
          <w:b/>
          <w:bCs/>
          <w:i/>
          <w:iCs/>
        </w:rPr>
        <w:t>EXPEDIENTES LABORALES ADMINISTRATIVOS DE LOS SERVIDORES PÚBLICOS DE LA SUPREMA CORTE DE JUSTICIA DE LA NACIÓN. ES PÚBLICA LA INFORMACIÓN QUE EN ELLOS SE CONTIENE, SALVO LOS DATOS PERSONALES</w:t>
      </w:r>
      <w:r w:rsidRPr="00514593">
        <w:rPr>
          <w:rFonts w:ascii="Palatino Linotype" w:hAnsi="Palatino Linotype"/>
          <w:i/>
          <w:iCs/>
        </w:rPr>
        <w:t>. La información que se contiene en los expedientes laborales administrativos de los servidores públicos de este Alto Tribunal es pública, específicamente, la inherente a sus percepciones, el ejercicio del cargo, a la identificación de la plaza y sus funciones, los datos relevantes sobre el perfil profesional del servidor público y, en su caso, sobre su desempeño, en tanto establecen el marco de referencia laboral administrativo. A diferencia de lo que sucede con los datos personales que en dichos expedientes se contengan, pues debe tenerse en cuenta que una de las excepciones al principio de publicidad de la información la constituyen los datos de tal naturaleza que requieran del consentimiento de los individuos para su difusión, distribución o comercialización en los términos de los artículos 3°, fracción II, y 18, fracción II, de la Ley Federal de Transparencia y Acceso a la Información Pública Gubernamental. Para ello es necesario considerar que constituyen datos personales toda aquella información concerniente a una persona física identificada o identificable, relacionada con cualquier aspecto que afecte su intimidad, y tendrán el carácter de información confidencial, cuando en términos de lo previsto en la Ley Federal invocada, su difusión, distribución o comercialización requiera el consentimiento de los individuos a los que pertenezcan.”</w:t>
      </w:r>
    </w:p>
    <w:p w14:paraId="57F60CB9" w14:textId="77777777" w:rsidR="00530E7A" w:rsidRPr="00514593" w:rsidRDefault="00530E7A" w:rsidP="00530E7A">
      <w:pPr>
        <w:spacing w:line="360" w:lineRule="auto"/>
        <w:ind w:left="708" w:right="49"/>
        <w:jc w:val="both"/>
        <w:rPr>
          <w:rFonts w:ascii="Palatino Linotype" w:hAnsi="Palatino Linotype"/>
          <w:i/>
          <w:iCs/>
        </w:rPr>
      </w:pPr>
    </w:p>
    <w:p w14:paraId="15530BBF" w14:textId="77777777" w:rsidR="00530E7A" w:rsidRPr="00514593" w:rsidRDefault="00530E7A" w:rsidP="00530E7A">
      <w:pPr>
        <w:spacing w:line="360" w:lineRule="auto"/>
        <w:jc w:val="both"/>
        <w:rPr>
          <w:rFonts w:ascii="Palatino Linotype" w:hAnsi="Palatino Linotype"/>
          <w:sz w:val="24"/>
          <w:szCs w:val="24"/>
        </w:rPr>
      </w:pPr>
      <w:r w:rsidRPr="00514593">
        <w:rPr>
          <w:rFonts w:ascii="Palatino Linotype" w:hAnsi="Palatino Linotype"/>
          <w:sz w:val="24"/>
          <w:szCs w:val="24"/>
        </w:rPr>
        <w:t xml:space="preserve">Por lo que respecta al </w:t>
      </w:r>
      <w:r w:rsidRPr="00514593">
        <w:rPr>
          <w:rFonts w:ascii="Palatino Linotype" w:hAnsi="Palatino Linotype"/>
          <w:b/>
          <w:bCs/>
          <w:sz w:val="24"/>
          <w:szCs w:val="24"/>
        </w:rPr>
        <w:t>título profesional</w:t>
      </w:r>
      <w:r w:rsidRPr="00514593">
        <w:rPr>
          <w:rFonts w:ascii="Palatino Linotype" w:hAnsi="Palatino Linotype"/>
          <w:sz w:val="24"/>
          <w:szCs w:val="24"/>
        </w:rPr>
        <w:t xml:space="preserve"> es el documento expedido por instituciones del Estado o descentralizadas, y por instituciones particulares que tengan reconocimiento de </w:t>
      </w:r>
      <w:r w:rsidRPr="00514593">
        <w:rPr>
          <w:rFonts w:ascii="Palatino Linotype" w:hAnsi="Palatino Linotype"/>
          <w:sz w:val="24"/>
          <w:szCs w:val="24"/>
        </w:rPr>
        <w:lastRenderedPageBreak/>
        <w:t>validez oficial de estudios, a favor de la persona que haya concluido los estudios correspondientes o demostrado tener los conocimientos necesarios de conformidad con la normatividad aplicable.</w:t>
      </w:r>
    </w:p>
    <w:p w14:paraId="2DF65F80" w14:textId="77777777" w:rsidR="00530E7A" w:rsidRPr="00514593" w:rsidRDefault="00530E7A" w:rsidP="00530E7A">
      <w:pPr>
        <w:spacing w:line="360" w:lineRule="auto"/>
        <w:jc w:val="both"/>
        <w:rPr>
          <w:rFonts w:ascii="Palatino Linotype" w:hAnsi="Palatino Linotype"/>
          <w:sz w:val="24"/>
          <w:szCs w:val="24"/>
        </w:rPr>
      </w:pPr>
      <w:r w:rsidRPr="00514593">
        <w:rPr>
          <w:rFonts w:ascii="Palatino Linotype" w:hAnsi="Palatino Linotype"/>
          <w:sz w:val="24"/>
          <w:szCs w:val="24"/>
        </w:rPr>
        <w:t>En contraste, la cédula profesional es un documento que tiene por objeto sustentar que una persona cuenta con la acreditación para ejercer la profesión indicada en la misma; a través del conocimiento de algunos de los datos ahí contenidos se puede corroborar la idoneidad de la persona para ocupar el empleo, cargo o comisión encomendado.</w:t>
      </w:r>
    </w:p>
    <w:p w14:paraId="5FBA856B" w14:textId="77777777" w:rsidR="00530E7A" w:rsidRPr="00514593" w:rsidRDefault="00530E7A" w:rsidP="00530E7A">
      <w:pPr>
        <w:spacing w:line="360" w:lineRule="auto"/>
        <w:jc w:val="both"/>
        <w:rPr>
          <w:rFonts w:ascii="Palatino Linotype" w:hAnsi="Palatino Linotype"/>
          <w:sz w:val="24"/>
          <w:szCs w:val="24"/>
        </w:rPr>
      </w:pPr>
      <w:r w:rsidRPr="00514593">
        <w:rPr>
          <w:rFonts w:ascii="Palatino Linotype" w:hAnsi="Palatino Linotype"/>
          <w:sz w:val="24"/>
          <w:szCs w:val="24"/>
        </w:rPr>
        <w:t>En este sentido, los documentos en cita son susceptibles de reflejar algunos de los siguientes atributos:</w:t>
      </w:r>
    </w:p>
    <w:p w14:paraId="119D447F" w14:textId="77777777" w:rsidR="00530E7A" w:rsidRPr="00514593" w:rsidRDefault="00530E7A" w:rsidP="00530E7A">
      <w:pPr>
        <w:pStyle w:val="Prrafodelista"/>
        <w:numPr>
          <w:ilvl w:val="0"/>
          <w:numId w:val="1"/>
        </w:numPr>
        <w:spacing w:after="160"/>
        <w:contextualSpacing/>
      </w:pPr>
      <w:r w:rsidRPr="00514593">
        <w:rPr>
          <w:b/>
          <w:bCs/>
        </w:rPr>
        <w:t>Número de cédula profesional</w:t>
      </w:r>
      <w:r w:rsidRPr="00514593">
        <w:t>: Susceptible de consulta en el Registro Nacional de Profesiones que se localiza en la página electrónica de la Secretaría de Educación Pública y/o equivalente de las entidades federativas, es decir, es un dato que obra en registros públicos, no susceptible de actualizar causal alguna de clasificación.</w:t>
      </w:r>
    </w:p>
    <w:p w14:paraId="595981D2" w14:textId="77777777" w:rsidR="00530E7A" w:rsidRPr="00514593" w:rsidRDefault="00530E7A" w:rsidP="00530E7A">
      <w:pPr>
        <w:pStyle w:val="Prrafodelista"/>
      </w:pPr>
    </w:p>
    <w:p w14:paraId="59D62C48" w14:textId="77777777" w:rsidR="00530E7A" w:rsidRPr="00514593" w:rsidRDefault="00530E7A" w:rsidP="00530E7A">
      <w:pPr>
        <w:pStyle w:val="Prrafodelista"/>
        <w:numPr>
          <w:ilvl w:val="0"/>
          <w:numId w:val="1"/>
        </w:numPr>
        <w:spacing w:after="160"/>
        <w:contextualSpacing/>
      </w:pPr>
      <w:r w:rsidRPr="00514593">
        <w:rPr>
          <w:b/>
          <w:bCs/>
        </w:rPr>
        <w:t>Fotografía:</w:t>
      </w:r>
      <w:r w:rsidRPr="00514593">
        <w:t xml:space="preserve"> Tratándose de servidores públicos se cuenta con un espectro menor de protección a sus datos personales en comparación con cualquier otra persona física, en razón del interés público que revisten sus funciones, por lo que, aquellos con la calidad de mando medio y/o superior, por mayoría de razón, sus actividades se encuentran sujetas a un escrutinio público mayor, coexistiendo un interés público de conocer su fotografía y así asociarla, en su caso, con su nombre, cargo, y función, lo que genera un beneficio mayor la divulgación de dicho dato personal que su clasificación, ya que sus atribuciones van enfocadas a las </w:t>
      </w:r>
      <w:r w:rsidRPr="00514593">
        <w:lastRenderedPageBreak/>
        <w:t>actividades de dirección en el sector gubernamental, toma de decisiones y emisión de actos que pudieren generar molestia e incluso en algunos casos, al contacto directo con la ciudadanía.</w:t>
      </w:r>
    </w:p>
    <w:p w14:paraId="086D9B94" w14:textId="77777777" w:rsidR="00462C23" w:rsidRPr="00514593" w:rsidRDefault="00462C23" w:rsidP="00462C23">
      <w:pPr>
        <w:contextualSpacing/>
      </w:pPr>
    </w:p>
    <w:p w14:paraId="6FF632F0" w14:textId="77777777" w:rsidR="00530E7A" w:rsidRPr="00514593" w:rsidRDefault="00530E7A" w:rsidP="00530E7A">
      <w:pPr>
        <w:pStyle w:val="Prrafodelista"/>
      </w:pPr>
      <w:r w:rsidRPr="00514593">
        <w:t>En este sentido es preciso señalar que estas dan cuenta de las características físicas de los servidores públicos; por lo que, no debe perderse de vista que la imagen personal es la apariencia física, la cual puede ser captada en dibujo, pintura, escultura, fotografía, y video; la imagen así captada puede ser reproducida, publicada y divulgada por diversos medios, desde volantes impresos de la forma más rudimentaria, hasta filmaciones y fotografías transmitidas por televisión cine, video, correo electrónico o Internet.</w:t>
      </w:r>
    </w:p>
    <w:p w14:paraId="530D078A" w14:textId="77777777" w:rsidR="00530E7A" w:rsidRPr="00514593" w:rsidRDefault="00530E7A" w:rsidP="00530E7A">
      <w:pPr>
        <w:pStyle w:val="Prrafodelista"/>
      </w:pPr>
    </w:p>
    <w:p w14:paraId="35E717C5" w14:textId="77777777" w:rsidR="00530E7A" w:rsidRPr="00514593" w:rsidRDefault="00530E7A" w:rsidP="00530E7A">
      <w:pPr>
        <w:pStyle w:val="Prrafodelista"/>
      </w:pPr>
      <w:r w:rsidRPr="00514593">
        <w:t>Así, dichos datos constituyen la reproducción fiel de las características físicas de una persona en un momento determinado, por lo que representan un instrumento de identificación, proyección exterior y factor imprescindible para su propio reconocimiento como sujeto individual; lo que en el presente caso, acreditaría e identificaría a una persona como servidor público, por lo que es posible advertir que existe cierto interés público, cuando la fotografía obra en documentos de servidores públicos vinculados con el cumplimiento de disposiciones legales.</w:t>
      </w:r>
    </w:p>
    <w:p w14:paraId="7D87A3D9" w14:textId="77777777" w:rsidR="00530E7A" w:rsidRPr="00514593" w:rsidRDefault="00530E7A" w:rsidP="00530E7A">
      <w:pPr>
        <w:pStyle w:val="Prrafodelista"/>
      </w:pPr>
    </w:p>
    <w:p w14:paraId="57A5C061" w14:textId="77777777" w:rsidR="00530E7A" w:rsidRPr="00514593" w:rsidRDefault="00530E7A" w:rsidP="00530E7A">
      <w:pPr>
        <w:pStyle w:val="Prrafodelista"/>
      </w:pPr>
      <w:r w:rsidRPr="00514593">
        <w:t xml:space="preserve">Además, existen documentos que contienen la fotografía con los cuales se permite identificar que una persona que se acredita como trabajador gubernamental, realmente tiene el cargo con el que se ostenta, otros documentos con los cuales se </w:t>
      </w:r>
      <w:r w:rsidRPr="00514593">
        <w:lastRenderedPageBreak/>
        <w:t>rinde cuentas a la ciudadanía, por ejemplo cuando se cubre el perfil de puesto; además cuando se brinda servicios a la ciudadanía, es de relevancia conocer e identificar a todos sus trabajadores, no importa el nivel o rango (con excepción del personal operativo en materia de seguridad, respecto del cual el Pleno de este Instituto ya se ha pronunciado en el sentido de que la información que los haga identificados o identificables debe clasificarse como reservada).</w:t>
      </w:r>
    </w:p>
    <w:p w14:paraId="0CD22F85" w14:textId="77777777" w:rsidR="00530E7A" w:rsidRPr="00514593" w:rsidRDefault="00530E7A" w:rsidP="00530E7A">
      <w:pPr>
        <w:pStyle w:val="Prrafodelista"/>
      </w:pPr>
    </w:p>
    <w:p w14:paraId="7675B277" w14:textId="77777777" w:rsidR="00530E7A" w:rsidRPr="00514593" w:rsidRDefault="00530E7A" w:rsidP="00530E7A">
      <w:pPr>
        <w:pStyle w:val="Prrafodelista"/>
      </w:pPr>
      <w:r w:rsidRPr="00514593">
        <w:t>En este sentido, resultan aplicables por analogía, los Criterios 15/17 y 1/13 del Instituto Nacional de Transparencia y Acceso a la Información Pública y Protección de Datos Personales, en los cuales se esgrimen argumentos, que, si bien no refieren de manera específica a fotografías de servidores públicos, sí establecen un criterio para que este dato personal pueda ser considerado como público, cuando se pretende acreditar que una persona es servidor público.</w:t>
      </w:r>
    </w:p>
    <w:p w14:paraId="1C4C856E" w14:textId="77777777" w:rsidR="00530E7A" w:rsidRPr="00514593" w:rsidRDefault="00530E7A" w:rsidP="00530E7A">
      <w:pPr>
        <w:pStyle w:val="Prrafodelista"/>
      </w:pPr>
    </w:p>
    <w:p w14:paraId="3EA78CBA" w14:textId="77777777" w:rsidR="00530E7A" w:rsidRPr="00514593" w:rsidRDefault="00530E7A" w:rsidP="00530E7A">
      <w:pPr>
        <w:pStyle w:val="Prrafodelista"/>
      </w:pPr>
      <w:r w:rsidRPr="00514593">
        <w:t>Debe tenerse presente que el actuar de los servidores públicos incide de manera específica en los derechos de los particulares, pues el acto de un servidor público en ejercicio de sus funciones, de manera directa genera derechos y obligaciones pues se considera un acto administrativo o acto de autoridad, por lo que es primordial, que estos trabajadores se identifiquen ante la ciudadanía, por lo que otorgar acceso a los documentos que obran en los archivos de los sujetos obligados y que además están directamente relacionados con el cumplimiento de disposiciones normativas o el ejercicio de funciones revisten un interés público.</w:t>
      </w:r>
    </w:p>
    <w:p w14:paraId="3CCE8527" w14:textId="77777777" w:rsidR="00530E7A" w:rsidRPr="00514593" w:rsidRDefault="00530E7A" w:rsidP="00530E7A">
      <w:pPr>
        <w:pStyle w:val="Prrafodelista"/>
      </w:pPr>
    </w:p>
    <w:p w14:paraId="59D6EAE1" w14:textId="77777777" w:rsidR="00530E7A" w:rsidRPr="00514593" w:rsidRDefault="00530E7A" w:rsidP="00530E7A">
      <w:pPr>
        <w:pStyle w:val="Prrafodelista"/>
      </w:pPr>
      <w:r w:rsidRPr="00514593">
        <w:lastRenderedPageBreak/>
        <w:t>Por lo anterior, cuando las fotografías de los servidores públicos obran en documentos que dan cuenta del cumplimiento de funciones, requisitos legales o los acredita como servidores públicos, deben ser consideradas un dato personal, que no puede ser clasificado como confidencial, pues en este caso, es superado por el interés público de conocer si en realidad, la persona que se ostenta en carácter de servidor público, se encuentra en ese encargo, si realiza las funciones o si cumple con los requisitos legales; sin que se considere como factor diferenciador para determinar la publicidad o clasificación el cargo o nivel jerárquico en el que se desempeñe el servidor público.</w:t>
      </w:r>
    </w:p>
    <w:p w14:paraId="24FD9F0B" w14:textId="77777777" w:rsidR="00530E7A" w:rsidRPr="00514593" w:rsidRDefault="00530E7A" w:rsidP="00530E7A">
      <w:pPr>
        <w:pStyle w:val="Prrafodelista"/>
      </w:pPr>
    </w:p>
    <w:p w14:paraId="30CB32A7" w14:textId="77777777" w:rsidR="00530E7A" w:rsidRPr="00514593" w:rsidRDefault="00530E7A" w:rsidP="00530E7A">
      <w:pPr>
        <w:pStyle w:val="Prrafodelista"/>
      </w:pPr>
      <w:r w:rsidRPr="00514593">
        <w:t>Conforme a lo anterior, las fotografías de servidores públicos sin importar el nivel o rango guardan la naturaleza de públicas (con excepción del personal operativo en materia de seguridad) y no procede su clasificación, en términos del artículo 143, fracción I, de la Ley de Transparencia y Acceso a la Información Pública del Estado de México y Municipios, por lo que en las versiones públicas que se ordenen, no podrá clasificarse esa información.</w:t>
      </w:r>
    </w:p>
    <w:p w14:paraId="7E62F958" w14:textId="77777777" w:rsidR="00530E7A" w:rsidRPr="00514593" w:rsidRDefault="00530E7A" w:rsidP="00530E7A">
      <w:pPr>
        <w:pStyle w:val="Prrafodelista"/>
      </w:pPr>
    </w:p>
    <w:p w14:paraId="3604AC84" w14:textId="77777777" w:rsidR="00530E7A" w:rsidRPr="00514593" w:rsidRDefault="00530E7A" w:rsidP="00530E7A">
      <w:pPr>
        <w:pStyle w:val="Prrafodelista"/>
      </w:pPr>
      <w:r w:rsidRPr="00514593">
        <w:t>Cabe hacer la aclaración que aquellos documentos que sean clasificados en su totalidad por no revestir de interés público, como lo es la credencial de elector, la fotografía correrá la misma suerte que el documento en cuestión, únicamente para dicha expresión documental.</w:t>
      </w:r>
    </w:p>
    <w:p w14:paraId="6C5B0E0E" w14:textId="77777777" w:rsidR="00530E7A" w:rsidRPr="00514593" w:rsidRDefault="00530E7A" w:rsidP="00530E7A">
      <w:pPr>
        <w:pStyle w:val="Prrafodelista"/>
      </w:pPr>
    </w:p>
    <w:p w14:paraId="7C372193" w14:textId="77777777" w:rsidR="00530E7A" w:rsidRPr="00514593" w:rsidRDefault="00530E7A" w:rsidP="00530E7A">
      <w:pPr>
        <w:pStyle w:val="Prrafodelista"/>
        <w:numPr>
          <w:ilvl w:val="0"/>
          <w:numId w:val="1"/>
        </w:numPr>
        <w:spacing w:after="160"/>
        <w:contextualSpacing/>
      </w:pPr>
      <w:r w:rsidRPr="00514593">
        <w:rPr>
          <w:b/>
          <w:bCs/>
        </w:rPr>
        <w:lastRenderedPageBreak/>
        <w:t>Nombre del titular:</w:t>
      </w:r>
      <w:r w:rsidRPr="00514593">
        <w:t xml:space="preserve"> Es un atributo de la personalidad, esto es la manifestación del derecho a la identidad y razón que de por sí misma permite identificar a una persona física. Debe evitarse su revelación tratándose de particulares, en sentido contrario, tratándose de servidores públicos, el nombre no goza de protección, al ser un dato público.</w:t>
      </w:r>
    </w:p>
    <w:p w14:paraId="6A0FF338" w14:textId="77777777" w:rsidR="00530E7A" w:rsidRPr="00514593" w:rsidRDefault="00530E7A" w:rsidP="00530E7A">
      <w:pPr>
        <w:pStyle w:val="Prrafodelista"/>
      </w:pPr>
    </w:p>
    <w:p w14:paraId="00F29E10" w14:textId="77777777" w:rsidR="00530E7A" w:rsidRPr="00514593" w:rsidRDefault="00530E7A" w:rsidP="00530E7A">
      <w:pPr>
        <w:pStyle w:val="Prrafodelista"/>
        <w:numPr>
          <w:ilvl w:val="0"/>
          <w:numId w:val="1"/>
        </w:numPr>
        <w:spacing w:after="160"/>
        <w:contextualSpacing/>
      </w:pPr>
      <w:r w:rsidRPr="00514593">
        <w:rPr>
          <w:b/>
          <w:bCs/>
        </w:rPr>
        <w:t>Clave Única de Registro de Población</w:t>
      </w:r>
      <w:r w:rsidRPr="00514593">
        <w:t>: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w:t>
      </w:r>
    </w:p>
    <w:p w14:paraId="76A682CF" w14:textId="77777777" w:rsidR="00530E7A" w:rsidRPr="00514593" w:rsidRDefault="00530E7A" w:rsidP="00530E7A">
      <w:pPr>
        <w:pStyle w:val="Prrafodelista"/>
      </w:pPr>
    </w:p>
    <w:p w14:paraId="6CF5257A" w14:textId="77777777" w:rsidR="00530E7A" w:rsidRPr="00514593" w:rsidRDefault="00530E7A" w:rsidP="00530E7A">
      <w:pPr>
        <w:pStyle w:val="Prrafodelista"/>
        <w:numPr>
          <w:ilvl w:val="0"/>
          <w:numId w:val="1"/>
        </w:numPr>
        <w:spacing w:after="160"/>
        <w:contextualSpacing/>
      </w:pPr>
      <w:r w:rsidRPr="00514593">
        <w:rPr>
          <w:b/>
          <w:bCs/>
        </w:rPr>
        <w:t>Nombre y firma del Director General de Profesiones de la Secretaría de Educación Pública:</w:t>
      </w:r>
      <w:r w:rsidRPr="00514593">
        <w:t xml:space="preserve"> Se estima como un dato de carácter público, al dar fe de que la expedición de la cédula profesional fue en ejercicio de las facultades conferidas.</w:t>
      </w:r>
    </w:p>
    <w:p w14:paraId="13AB9C74" w14:textId="77777777" w:rsidR="00530E7A" w:rsidRPr="00514593" w:rsidRDefault="00530E7A" w:rsidP="00530E7A">
      <w:pPr>
        <w:pStyle w:val="Prrafodelista"/>
      </w:pPr>
    </w:p>
    <w:p w14:paraId="399DCD9B" w14:textId="77777777" w:rsidR="00530E7A" w:rsidRPr="00514593" w:rsidRDefault="00530E7A" w:rsidP="00530E7A">
      <w:pPr>
        <w:pStyle w:val="Prrafodelista"/>
        <w:numPr>
          <w:ilvl w:val="0"/>
          <w:numId w:val="1"/>
        </w:numPr>
        <w:spacing w:after="160"/>
        <w:contextualSpacing/>
      </w:pPr>
      <w:r w:rsidRPr="00514593">
        <w:rPr>
          <w:b/>
          <w:bCs/>
        </w:rPr>
        <w:t>Calificación:</w:t>
      </w:r>
      <w:r w:rsidRPr="00514593">
        <w:t xml:space="preserve"> Grado de una escala establecida, expresado mediante una denominación o una puntuación que se asigna a una persona para valorar el nivel de suficiencia o insuficiencia de los conocimientos o formación mostrados en un examen, un ejercicio o una prueba.</w:t>
      </w:r>
    </w:p>
    <w:p w14:paraId="75E58760" w14:textId="77777777" w:rsidR="00530E7A" w:rsidRPr="00514593" w:rsidRDefault="00530E7A" w:rsidP="00530E7A">
      <w:pPr>
        <w:pStyle w:val="Prrafodelista"/>
      </w:pPr>
    </w:p>
    <w:p w14:paraId="01876670" w14:textId="77777777" w:rsidR="00530E7A" w:rsidRPr="00514593" w:rsidRDefault="00530E7A" w:rsidP="00530E7A">
      <w:pPr>
        <w:pStyle w:val="Prrafodelista"/>
        <w:numPr>
          <w:ilvl w:val="0"/>
          <w:numId w:val="1"/>
        </w:numPr>
        <w:spacing w:after="160"/>
        <w:contextualSpacing/>
      </w:pPr>
      <w:r w:rsidRPr="00514593">
        <w:rPr>
          <w:b/>
          <w:bCs/>
        </w:rPr>
        <w:lastRenderedPageBreak/>
        <w:t>Firma del titular</w:t>
      </w:r>
      <w:r w:rsidRPr="00514593">
        <w:t>: Tratándose de personas físicas en el rol de ciudadanos, es considerada como un atributo de la personalidad, en virtud de que a través de esta se puede identificar a una persona, por lo que se considera un dato personal y, dado que para otorgar su acceso se necesita el consentimiento de su titular, es información clasificada como confidencial.</w:t>
      </w:r>
    </w:p>
    <w:p w14:paraId="42719434" w14:textId="77777777" w:rsidR="00530E7A" w:rsidRPr="00514593" w:rsidRDefault="00530E7A" w:rsidP="00530E7A">
      <w:pPr>
        <w:pStyle w:val="Prrafodelista"/>
      </w:pPr>
    </w:p>
    <w:p w14:paraId="1A4F6D9B" w14:textId="77777777" w:rsidR="00530E7A" w:rsidRPr="00514593" w:rsidRDefault="00530E7A" w:rsidP="00530E7A">
      <w:pPr>
        <w:pStyle w:val="Prrafodelista"/>
      </w:pPr>
      <w:r w:rsidRPr="00514593">
        <w:t>En contraste, tratándose de servidores públicos cuando se emite un acto de autoridad en ejercicio de las atribuciones que tiene conferidas, la firma mediante la cual valida dicho acto jurídico es pública. Lo anterior, en virtud de que la firma se plasmó en cumplimiento de las obligaciones que le corresponden en términos de las disposiciones jurídicas aplicables, estribando entonces en un requisito de validez. Por tanto, la firma de los servidores públicos vinculada al ejercicio de la función pública es información pública, dado que documenta y rinde cuentas sobre el debido ejercicio de sus atribuciones con motivo del empleo, cargo o comisión que le han sido encomendados.</w:t>
      </w:r>
    </w:p>
    <w:p w14:paraId="742C82A9" w14:textId="77777777" w:rsidR="00530E7A" w:rsidRPr="00514593" w:rsidRDefault="00530E7A" w:rsidP="00530E7A">
      <w:pPr>
        <w:pStyle w:val="Prrafodelista"/>
      </w:pPr>
    </w:p>
    <w:p w14:paraId="6A9D85CD" w14:textId="77777777" w:rsidR="00530E7A" w:rsidRPr="00514593" w:rsidRDefault="00530E7A" w:rsidP="00530E7A">
      <w:pPr>
        <w:pStyle w:val="Prrafodelista"/>
        <w:numPr>
          <w:ilvl w:val="0"/>
          <w:numId w:val="1"/>
        </w:numPr>
        <w:spacing w:after="160"/>
        <w:contextualSpacing/>
      </w:pPr>
      <w:r w:rsidRPr="00514593">
        <w:rPr>
          <w:b/>
          <w:bCs/>
        </w:rPr>
        <w:t>Registro federal de contribuyentes:</w:t>
      </w:r>
      <w:r w:rsidRPr="00514593">
        <w:t xml:space="preserve"> Es una clave alfanumérica que se compone de 13 caracteres. Los dos primeros, generalmente corresponden al apellido paterno, el tercero a la inicial del apellido materno y el cuarto al primer nombre; le sigue el año de nacimiento, mes y día; los tres últimos dígitos son la homoclave que es asignada por el Servicio de Administración Tributaria (SAT). Por consiguiente, al ser una clave formada respecto de diversos datos de la persona como son su fecha nacimiento, el nombre, etc.; es que su divulgación causaría un </w:t>
      </w:r>
      <w:r w:rsidRPr="00514593">
        <w:lastRenderedPageBreak/>
        <w:t>daño irreparable al derecho de protección de datos personales, al evidenciar, en un solo momento, diversos datos que permiten hacer identificable a la persona de quien se trata; además de ser un documento puramente personal que nos sirve a los contribuyentes para llevar a cabo una serie de trámites de carácter fiscal y tributario ante los diversos organismos hacendarios, permitiendo identificarnos en nuestro carácter de contribuyentes y en consecuencia, darle titularidad personal a los actos que realizamos, en virtud de lo anterior.</w:t>
      </w:r>
    </w:p>
    <w:p w14:paraId="382305C8" w14:textId="77777777" w:rsidR="00530E7A" w:rsidRPr="00514593" w:rsidRDefault="00530E7A" w:rsidP="00530E7A">
      <w:pPr>
        <w:pStyle w:val="Prrafodelista"/>
      </w:pPr>
    </w:p>
    <w:p w14:paraId="32A18A3F" w14:textId="77777777" w:rsidR="00530E7A" w:rsidRPr="00514593" w:rsidRDefault="00530E7A" w:rsidP="00530E7A">
      <w:pPr>
        <w:pStyle w:val="Prrafodelista"/>
        <w:numPr>
          <w:ilvl w:val="0"/>
          <w:numId w:val="1"/>
        </w:numPr>
        <w:spacing w:after="160"/>
        <w:contextualSpacing/>
      </w:pPr>
      <w:r w:rsidRPr="00514593">
        <w:rPr>
          <w:b/>
          <w:bCs/>
        </w:rPr>
        <w:t>Número de cuenta o matricula</w:t>
      </w:r>
      <w:r w:rsidRPr="00514593">
        <w:t>: Conjunto numérico que permite identificar y organizar la continuidad de los alumnos antiguos y el ingreso de alumnos nuevos en el Sistema de Educación Oficial del País. Esta opción permite el manejo de información de los estudiantes, tal como nombre, edad, calificaciones, etc., lo que lo convierte en un dato personal.</w:t>
      </w:r>
    </w:p>
    <w:p w14:paraId="7A415C63" w14:textId="77777777" w:rsidR="00530E7A" w:rsidRPr="00514593" w:rsidRDefault="00530E7A" w:rsidP="00530E7A">
      <w:pPr>
        <w:pStyle w:val="Prrafodelista"/>
      </w:pPr>
    </w:p>
    <w:p w14:paraId="38824970" w14:textId="77777777" w:rsidR="00530E7A" w:rsidRPr="00514593" w:rsidRDefault="00530E7A" w:rsidP="00530E7A">
      <w:pPr>
        <w:pStyle w:val="Prrafodelista"/>
        <w:numPr>
          <w:ilvl w:val="0"/>
          <w:numId w:val="1"/>
        </w:numPr>
        <w:spacing w:after="160"/>
        <w:contextualSpacing/>
      </w:pPr>
      <w:r w:rsidRPr="00514593">
        <w:rPr>
          <w:b/>
          <w:bCs/>
        </w:rPr>
        <w:t>Código de barras</w:t>
      </w:r>
      <w:r w:rsidRPr="00514593">
        <w:t>: Es un código basado en la representación de un conjunto de líneas paralelas de distinto grosor y espaciado que en su conjunto contienen una determinada información, es decir, las barras y espacios del código representan pequeñas cadenas de caracteres, las cuales emiten datos personales (Dicho código deberá ser escaneado para dar cuenta si conlleva o no a datos personales del titular del documento).</w:t>
      </w:r>
    </w:p>
    <w:p w14:paraId="794810BF" w14:textId="77777777" w:rsidR="00530E7A" w:rsidRPr="00514593" w:rsidRDefault="00530E7A" w:rsidP="00530E7A">
      <w:pPr>
        <w:spacing w:line="360" w:lineRule="auto"/>
        <w:jc w:val="both"/>
        <w:rPr>
          <w:rFonts w:ascii="Palatino Linotype" w:hAnsi="Palatino Linotype"/>
          <w:b/>
          <w:i/>
        </w:rPr>
      </w:pPr>
    </w:p>
    <w:p w14:paraId="5CB75F07" w14:textId="77777777" w:rsidR="00530E7A" w:rsidRPr="00514593" w:rsidRDefault="00530E7A" w:rsidP="00530E7A">
      <w:pPr>
        <w:tabs>
          <w:tab w:val="left" w:pos="426"/>
        </w:tabs>
        <w:spacing w:line="360" w:lineRule="auto"/>
        <w:ind w:right="49"/>
        <w:contextualSpacing/>
        <w:jc w:val="both"/>
        <w:rPr>
          <w:rFonts w:ascii="Palatino Linotype" w:hAnsi="Palatino Linotype"/>
          <w:b/>
          <w:color w:val="000000" w:themeColor="text1"/>
          <w:sz w:val="24"/>
          <w:szCs w:val="24"/>
          <w:lang w:val="es-ES" w:eastAsia="es-ES"/>
        </w:rPr>
      </w:pPr>
      <w:r w:rsidRPr="00514593">
        <w:rPr>
          <w:rFonts w:ascii="Palatino Linotype" w:eastAsia="MS Gothic" w:hAnsi="Palatino Linotype"/>
          <w:sz w:val="24"/>
          <w:szCs w:val="24"/>
          <w:lang w:val="es-ES" w:eastAsia="es-ES"/>
        </w:rPr>
        <w:lastRenderedPageBreak/>
        <w:t>De lo anterior, conviene señalar que la Real Academia</w:t>
      </w:r>
      <w:r w:rsidRPr="00514593">
        <w:rPr>
          <w:rStyle w:val="Refdenotaalpie"/>
          <w:rFonts w:ascii="Palatino Linotype" w:eastAsia="MS Gothic" w:hAnsi="Palatino Linotype"/>
          <w:sz w:val="24"/>
          <w:szCs w:val="24"/>
          <w:lang w:val="es-ES" w:eastAsia="es-ES"/>
        </w:rPr>
        <w:footnoteReference w:id="3"/>
      </w:r>
      <w:r w:rsidRPr="00514593">
        <w:rPr>
          <w:rFonts w:ascii="Palatino Linotype" w:eastAsia="MS Gothic" w:hAnsi="Palatino Linotype"/>
          <w:sz w:val="24"/>
          <w:szCs w:val="24"/>
          <w:lang w:val="es-ES" w:eastAsia="es-ES"/>
        </w:rPr>
        <w:t xml:space="preserve"> de la Lengua Española define el término </w:t>
      </w:r>
      <w:r w:rsidRPr="00514593">
        <w:rPr>
          <w:rFonts w:ascii="Palatino Linotype" w:eastAsia="MS Gothic" w:hAnsi="Palatino Linotype"/>
          <w:b/>
          <w:bCs/>
          <w:sz w:val="24"/>
          <w:szCs w:val="24"/>
          <w:lang w:val="es-ES" w:eastAsia="es-ES"/>
        </w:rPr>
        <w:t>curriculum vitae</w:t>
      </w:r>
      <w:r w:rsidRPr="00514593">
        <w:rPr>
          <w:rFonts w:ascii="Palatino Linotype" w:eastAsia="MS Gothic" w:hAnsi="Palatino Linotype"/>
          <w:sz w:val="24"/>
          <w:szCs w:val="24"/>
          <w:lang w:val="es-ES" w:eastAsia="es-ES"/>
        </w:rPr>
        <w:t xml:space="preserve"> de la siguiente manera:</w:t>
      </w:r>
    </w:p>
    <w:p w14:paraId="01C58243" w14:textId="77777777" w:rsidR="00530E7A" w:rsidRPr="00514593" w:rsidRDefault="00530E7A" w:rsidP="00530E7A">
      <w:pPr>
        <w:tabs>
          <w:tab w:val="left" w:pos="426"/>
        </w:tabs>
        <w:spacing w:line="360" w:lineRule="auto"/>
        <w:ind w:left="567" w:right="567"/>
        <w:jc w:val="both"/>
        <w:rPr>
          <w:rFonts w:ascii="Palatino Linotype" w:hAnsi="Palatino Linotype" w:cs="Arial"/>
          <w:lang w:val="es-ES" w:eastAsia="es-ES"/>
        </w:rPr>
      </w:pPr>
      <w:r w:rsidRPr="00514593">
        <w:rPr>
          <w:rFonts w:ascii="Palatino Linotype" w:hAnsi="Palatino Linotype" w:cs="Arial"/>
          <w:b/>
          <w:bCs/>
          <w:lang w:val="es-ES" w:eastAsia="es-ES"/>
        </w:rPr>
        <w:t>“</w:t>
      </w:r>
      <w:r w:rsidRPr="00514593">
        <w:rPr>
          <w:rFonts w:ascii="Palatino Linotype" w:hAnsi="Palatino Linotype" w:cs="Arial"/>
          <w:b/>
          <w:bCs/>
          <w:i/>
          <w:lang w:val="es-ES" w:eastAsia="es-ES"/>
        </w:rPr>
        <w:t>currículum vítae</w:t>
      </w:r>
      <w:r w:rsidRPr="00514593">
        <w:rPr>
          <w:rFonts w:ascii="Palatino Linotype" w:hAnsi="Palatino Linotype" w:cs="Arial"/>
          <w:i/>
          <w:lang w:val="es-ES" w:eastAsia="es-ES"/>
        </w:rPr>
        <w:t>. </w:t>
      </w:r>
      <w:bookmarkStart w:id="1" w:name="1"/>
      <w:bookmarkEnd w:id="1"/>
      <w:r w:rsidRPr="00514593">
        <w:rPr>
          <w:rFonts w:ascii="Palatino Linotype" w:hAnsi="Palatino Linotype" w:cs="Arial"/>
          <w:b/>
          <w:bCs/>
          <w:i/>
          <w:lang w:val="es-ES" w:eastAsia="es-ES"/>
        </w:rPr>
        <w:t>1.</w:t>
      </w:r>
      <w:r w:rsidRPr="00514593">
        <w:rPr>
          <w:rFonts w:ascii="Palatino Linotype" w:hAnsi="Palatino Linotype" w:cs="Arial"/>
          <w:i/>
          <w:lang w:val="es-ES" w:eastAsia="es-ES"/>
        </w:rPr>
        <w:t> Loc. lat. que significa literalmente ‘carrera de la vida’. Se usa como locución nominal masculina para designar la relación de los datos personales, formación académica, actividad laboral y méritos de una persona.</w:t>
      </w:r>
      <w:r w:rsidRPr="00514593">
        <w:rPr>
          <w:rFonts w:ascii="Palatino Linotype" w:hAnsi="Palatino Linotype" w:cs="Arial"/>
          <w:lang w:val="es-ES" w:eastAsia="es-ES"/>
        </w:rPr>
        <w:t>”</w:t>
      </w:r>
    </w:p>
    <w:p w14:paraId="1122FB57" w14:textId="77777777" w:rsidR="00ED0BBC" w:rsidRPr="00514593" w:rsidRDefault="00ED0BBC" w:rsidP="00530E7A">
      <w:pPr>
        <w:tabs>
          <w:tab w:val="left" w:pos="426"/>
        </w:tabs>
        <w:spacing w:line="360" w:lineRule="auto"/>
        <w:ind w:right="49"/>
        <w:contextualSpacing/>
        <w:jc w:val="both"/>
        <w:rPr>
          <w:rFonts w:ascii="Palatino Linotype" w:eastAsia="MS Gothic" w:hAnsi="Palatino Linotype"/>
          <w:sz w:val="24"/>
          <w:szCs w:val="24"/>
          <w:lang w:val="es-ES" w:eastAsia="es-ES"/>
        </w:rPr>
      </w:pPr>
    </w:p>
    <w:p w14:paraId="0610F887" w14:textId="77777777" w:rsidR="00530E7A" w:rsidRPr="00514593" w:rsidRDefault="00530E7A" w:rsidP="00530E7A">
      <w:pPr>
        <w:tabs>
          <w:tab w:val="left" w:pos="426"/>
        </w:tabs>
        <w:spacing w:line="360" w:lineRule="auto"/>
        <w:ind w:right="49"/>
        <w:contextualSpacing/>
        <w:jc w:val="both"/>
        <w:rPr>
          <w:rFonts w:ascii="Palatino Linotype" w:eastAsia="MS Mincho" w:hAnsi="Palatino Linotype" w:cs="Arial"/>
          <w:sz w:val="24"/>
          <w:szCs w:val="24"/>
          <w:lang w:val="es-ES" w:eastAsia="es-ES"/>
        </w:rPr>
      </w:pPr>
      <w:r w:rsidRPr="00514593">
        <w:rPr>
          <w:rFonts w:ascii="Palatino Linotype" w:eastAsia="MS Gothic" w:hAnsi="Palatino Linotype"/>
          <w:sz w:val="24"/>
          <w:szCs w:val="24"/>
          <w:lang w:val="es-ES" w:eastAsia="es-ES"/>
        </w:rPr>
        <w:t xml:space="preserve">De </w:t>
      </w:r>
      <w:r w:rsidRPr="00514593">
        <w:rPr>
          <w:rFonts w:ascii="Palatino Linotype" w:eastAsia="MS Mincho" w:hAnsi="Palatino Linotype" w:cs="Arial"/>
          <w:sz w:val="24"/>
          <w:szCs w:val="24"/>
          <w:lang w:val="es-ES" w:eastAsia="es-ES"/>
        </w:rPr>
        <w:t xml:space="preserve">la interpretación a esta definición se desprende que el </w:t>
      </w:r>
      <w:r w:rsidRPr="00514593">
        <w:rPr>
          <w:rFonts w:ascii="Palatino Linotype" w:eastAsia="MS Mincho" w:hAnsi="Palatino Linotype" w:cs="Arial"/>
          <w:i/>
          <w:sz w:val="24"/>
          <w:szCs w:val="24"/>
          <w:lang w:val="es-ES" w:eastAsia="es-ES"/>
        </w:rPr>
        <w:t>Currículum Vitae</w:t>
      </w:r>
      <w:r w:rsidRPr="00514593">
        <w:rPr>
          <w:rFonts w:ascii="Palatino Linotype" w:eastAsia="MS Mincho" w:hAnsi="Palatino Linotype" w:cs="Arial"/>
          <w:sz w:val="24"/>
          <w:szCs w:val="24"/>
          <w:lang w:val="es-ES" w:eastAsia="es-ES"/>
        </w:rPr>
        <w:t xml:space="preserve"> está relacionado con la </w:t>
      </w:r>
      <w:r w:rsidRPr="00514593">
        <w:rPr>
          <w:rFonts w:ascii="Palatino Linotype" w:eastAsia="MS Mincho" w:hAnsi="Palatino Linotype" w:cs="Arial"/>
          <w:b/>
          <w:sz w:val="24"/>
          <w:szCs w:val="24"/>
          <w:lang w:val="es-ES" w:eastAsia="es-ES"/>
        </w:rPr>
        <w:t>hoja de vida</w:t>
      </w:r>
      <w:r w:rsidRPr="00514593">
        <w:rPr>
          <w:rFonts w:ascii="Palatino Linotype" w:eastAsia="MS Mincho" w:hAnsi="Palatino Linotype" w:cs="Arial"/>
          <w:sz w:val="24"/>
          <w:szCs w:val="24"/>
          <w:lang w:val="es-ES" w:eastAsia="es-ES"/>
        </w:rPr>
        <w:t xml:space="preserve"> o </w:t>
      </w:r>
      <w:r w:rsidRPr="00514593">
        <w:rPr>
          <w:rFonts w:ascii="Palatino Linotype" w:eastAsia="MS Mincho" w:hAnsi="Palatino Linotype" w:cs="Arial"/>
          <w:b/>
          <w:sz w:val="24"/>
          <w:szCs w:val="24"/>
          <w:lang w:val="es-ES" w:eastAsia="es-ES"/>
        </w:rPr>
        <w:t>carrera de vida</w:t>
      </w:r>
      <w:r w:rsidRPr="00514593">
        <w:rPr>
          <w:rFonts w:ascii="Palatino Linotype" w:eastAsia="MS Mincho" w:hAnsi="Palatino Linotype" w:cs="Arial"/>
          <w:sz w:val="24"/>
          <w:szCs w:val="24"/>
          <w:lang w:val="es-ES" w:eastAsia="es-ES"/>
        </w:rPr>
        <w:t xml:space="preserve"> de una persona, donde se podría apreciar la preparación académica y </w:t>
      </w:r>
      <w:r w:rsidRPr="00514593">
        <w:rPr>
          <w:rFonts w:ascii="Palatino Linotype" w:eastAsia="MS Mincho" w:hAnsi="Palatino Linotype" w:cs="Arial"/>
          <w:b/>
          <w:sz w:val="24"/>
          <w:szCs w:val="24"/>
          <w:lang w:val="es-ES" w:eastAsia="es-ES"/>
        </w:rPr>
        <w:t>laboral</w:t>
      </w:r>
      <w:r w:rsidRPr="00514593">
        <w:rPr>
          <w:rFonts w:ascii="Palatino Linotype" w:eastAsia="MS Mincho" w:hAnsi="Palatino Linotype" w:cs="Arial"/>
          <w:sz w:val="24"/>
          <w:szCs w:val="24"/>
          <w:lang w:val="es-ES" w:eastAsia="es-ES"/>
        </w:rPr>
        <w:t xml:space="preserve"> que tiene, además de los méritos obtenidos tal y como podrían ser cursos, certificaciones o capacitaciones.</w:t>
      </w:r>
    </w:p>
    <w:p w14:paraId="541AF4D6" w14:textId="77777777" w:rsidR="00ED0BBC" w:rsidRPr="00514593" w:rsidRDefault="00ED0BBC" w:rsidP="00530E7A">
      <w:pPr>
        <w:tabs>
          <w:tab w:val="left" w:pos="426"/>
        </w:tabs>
        <w:spacing w:line="360" w:lineRule="auto"/>
        <w:ind w:right="49"/>
        <w:contextualSpacing/>
        <w:jc w:val="both"/>
        <w:rPr>
          <w:rFonts w:ascii="Palatino Linotype" w:hAnsi="Palatino Linotype"/>
          <w:b/>
          <w:color w:val="000000" w:themeColor="text1"/>
          <w:sz w:val="24"/>
          <w:szCs w:val="24"/>
          <w:lang w:val="es-ES" w:eastAsia="es-ES"/>
        </w:rPr>
      </w:pPr>
    </w:p>
    <w:p w14:paraId="292F8C83" w14:textId="77777777" w:rsidR="00530E7A" w:rsidRPr="00514593" w:rsidRDefault="00530E7A" w:rsidP="00530E7A">
      <w:pPr>
        <w:tabs>
          <w:tab w:val="left" w:pos="426"/>
        </w:tabs>
        <w:spacing w:line="360" w:lineRule="auto"/>
        <w:ind w:right="49"/>
        <w:contextualSpacing/>
        <w:jc w:val="both"/>
        <w:rPr>
          <w:rFonts w:ascii="Palatino Linotype" w:hAnsi="Palatino Linotype"/>
          <w:b/>
          <w:color w:val="000000" w:themeColor="text1"/>
          <w:sz w:val="24"/>
          <w:szCs w:val="24"/>
          <w:lang w:val="es-ES" w:eastAsia="es-ES"/>
        </w:rPr>
      </w:pPr>
      <w:r w:rsidRPr="00514593">
        <w:rPr>
          <w:rFonts w:ascii="Palatino Linotype" w:eastAsia="MS Gothic" w:hAnsi="Palatino Linotype"/>
          <w:sz w:val="24"/>
          <w:szCs w:val="24"/>
          <w:lang w:val="es-ES" w:eastAsia="es-ES"/>
        </w:rPr>
        <w:t xml:space="preserve">Sirve </w:t>
      </w:r>
      <w:r w:rsidRPr="00514593">
        <w:rPr>
          <w:rFonts w:ascii="Palatino Linotype" w:hAnsi="Palatino Linotype" w:cs="Arial"/>
          <w:sz w:val="24"/>
          <w:szCs w:val="24"/>
          <w:lang w:val="es-ES"/>
        </w:rPr>
        <w:t xml:space="preserve">agregar que el </w:t>
      </w:r>
      <w:r w:rsidRPr="00514593">
        <w:rPr>
          <w:rFonts w:ascii="Palatino Linotype" w:hAnsi="Palatino Linotype" w:cs="Arial"/>
          <w:i/>
          <w:sz w:val="24"/>
          <w:szCs w:val="24"/>
          <w:lang w:val="es-ES"/>
        </w:rPr>
        <w:t>Currículum Vitae</w:t>
      </w:r>
      <w:r w:rsidRPr="00514593">
        <w:rPr>
          <w:rFonts w:ascii="Palatino Linotype" w:hAnsi="Palatino Linotype" w:cs="Arial"/>
          <w:sz w:val="24"/>
          <w:szCs w:val="24"/>
          <w:lang w:val="es-ES"/>
        </w:rPr>
        <w:t xml:space="preserve"> es un documento actualizable y que se genera precisamente para su entrega en situaciones en que se pretenda obtener un empleo, por lo que su elaboración y contenido dependerá sólo del Titular de la información, tanto para cuestiones como informar el grado académico con el que cuenta hasta los empleos o trabajos anteriores que se han ejercido; documento que persigue como finalidad acreditar la idoneidad para ostentar el cargo para el que se pretende postular una persona.</w:t>
      </w:r>
    </w:p>
    <w:p w14:paraId="202E3E1B" w14:textId="77777777" w:rsidR="00530E7A" w:rsidRPr="00514593" w:rsidRDefault="00530E7A" w:rsidP="00530E7A">
      <w:pPr>
        <w:tabs>
          <w:tab w:val="left" w:pos="426"/>
        </w:tabs>
        <w:spacing w:line="360" w:lineRule="auto"/>
        <w:ind w:right="49"/>
        <w:contextualSpacing/>
        <w:jc w:val="both"/>
        <w:rPr>
          <w:rFonts w:ascii="Palatino Linotype" w:hAnsi="Palatino Linotype"/>
          <w:b/>
          <w:color w:val="000000" w:themeColor="text1"/>
          <w:sz w:val="24"/>
          <w:szCs w:val="24"/>
          <w:lang w:val="es-ES" w:eastAsia="es-ES"/>
        </w:rPr>
      </w:pPr>
    </w:p>
    <w:p w14:paraId="29115459" w14:textId="77777777" w:rsidR="00530E7A" w:rsidRPr="00514593" w:rsidRDefault="00530E7A" w:rsidP="00530E7A">
      <w:pPr>
        <w:tabs>
          <w:tab w:val="left" w:pos="426"/>
        </w:tabs>
        <w:spacing w:line="360" w:lineRule="auto"/>
        <w:ind w:right="49"/>
        <w:contextualSpacing/>
        <w:jc w:val="both"/>
        <w:rPr>
          <w:rFonts w:ascii="Palatino Linotype" w:eastAsia="MS Mincho" w:hAnsi="Palatino Linotype" w:cs="Arial"/>
          <w:sz w:val="24"/>
          <w:szCs w:val="24"/>
          <w:lang w:val="es-ES" w:eastAsia="es-ES"/>
        </w:rPr>
      </w:pPr>
      <w:r w:rsidRPr="00514593">
        <w:rPr>
          <w:rFonts w:ascii="Palatino Linotype" w:eastAsia="MS Gothic" w:hAnsi="Palatino Linotype"/>
          <w:sz w:val="24"/>
          <w:szCs w:val="24"/>
          <w:lang w:val="es-ES" w:eastAsia="es-ES"/>
        </w:rPr>
        <w:t xml:space="preserve">Cabe aclarar que el </w:t>
      </w:r>
      <w:r w:rsidRPr="00514593">
        <w:rPr>
          <w:rFonts w:ascii="Palatino Linotype" w:eastAsia="MS Mincho" w:hAnsi="Palatino Linotype"/>
          <w:i/>
          <w:sz w:val="24"/>
          <w:szCs w:val="24"/>
          <w:lang w:val="es-ES" w:eastAsia="es-ES"/>
        </w:rPr>
        <w:t>Currículum Vitae</w:t>
      </w:r>
      <w:r w:rsidRPr="00514593">
        <w:rPr>
          <w:rFonts w:ascii="Palatino Linotype" w:eastAsia="MS Mincho" w:hAnsi="Palatino Linotype"/>
          <w:sz w:val="24"/>
          <w:szCs w:val="24"/>
          <w:lang w:val="es-ES" w:eastAsia="es-ES"/>
        </w:rPr>
        <w:t xml:space="preserve"> es equiparable con la </w:t>
      </w:r>
      <w:r w:rsidRPr="00514593">
        <w:rPr>
          <w:rFonts w:ascii="Palatino Linotype" w:eastAsia="MS Mincho" w:hAnsi="Palatino Linotype"/>
          <w:b/>
          <w:sz w:val="24"/>
          <w:szCs w:val="24"/>
          <w:lang w:val="es-ES" w:eastAsia="es-ES"/>
        </w:rPr>
        <w:t>Ficha Curricular</w:t>
      </w:r>
      <w:r w:rsidRPr="00514593">
        <w:rPr>
          <w:rFonts w:ascii="Palatino Linotype" w:eastAsia="MS Mincho" w:hAnsi="Palatino Linotype"/>
          <w:sz w:val="24"/>
          <w:szCs w:val="24"/>
          <w:lang w:val="es-ES" w:eastAsia="es-ES"/>
        </w:rPr>
        <w:t xml:space="preserve">, puesto que cumplen con el mismo fin; es decir, plasmar la </w:t>
      </w:r>
      <w:r w:rsidRPr="00514593">
        <w:rPr>
          <w:rFonts w:ascii="Palatino Linotype" w:eastAsia="MS Mincho" w:hAnsi="Palatino Linotype" w:cs="Arial"/>
          <w:sz w:val="24"/>
          <w:szCs w:val="24"/>
          <w:lang w:val="es-ES" w:eastAsia="es-ES"/>
        </w:rPr>
        <w:t xml:space="preserve">carrera de vida de una persona, donde se podría apreciar la preparación académica y laboral. </w:t>
      </w:r>
      <w:r w:rsidR="00ED0BBC" w:rsidRPr="00514593">
        <w:rPr>
          <w:rFonts w:ascii="Palatino Linotype" w:eastAsia="MS Mincho" w:hAnsi="Palatino Linotype" w:cs="Arial"/>
          <w:sz w:val="24"/>
          <w:szCs w:val="24"/>
          <w:lang w:val="es-ES" w:eastAsia="es-ES"/>
        </w:rPr>
        <w:t xml:space="preserve"> </w:t>
      </w:r>
      <w:r w:rsidRPr="00514593">
        <w:rPr>
          <w:rFonts w:ascii="Palatino Linotype" w:eastAsia="MS Mincho" w:hAnsi="Palatino Linotype" w:cs="Arial"/>
          <w:sz w:val="24"/>
          <w:szCs w:val="24"/>
          <w:lang w:val="es-ES" w:eastAsia="es-ES"/>
        </w:rPr>
        <w:t xml:space="preserve">En ese sentido, conviene referir que </w:t>
      </w:r>
      <w:r w:rsidRPr="00514593">
        <w:rPr>
          <w:rFonts w:ascii="Palatino Linotype" w:eastAsia="MS Mincho" w:hAnsi="Palatino Linotype" w:cs="Arial"/>
          <w:sz w:val="24"/>
          <w:szCs w:val="24"/>
          <w:lang w:val="es-ES" w:eastAsia="es-ES"/>
        </w:rPr>
        <w:lastRenderedPageBreak/>
        <w:t xml:space="preserve">la información solicitada es reconocida como una de las </w:t>
      </w:r>
      <w:r w:rsidRPr="00514593">
        <w:rPr>
          <w:rFonts w:ascii="Palatino Linotype" w:eastAsia="MS Mincho" w:hAnsi="Palatino Linotype" w:cs="Arial"/>
          <w:b/>
          <w:sz w:val="24"/>
          <w:szCs w:val="24"/>
          <w:lang w:val="es-ES" w:eastAsia="es-ES"/>
        </w:rPr>
        <w:t>obligaciones de transparencia común</w:t>
      </w:r>
      <w:r w:rsidRPr="00514593">
        <w:rPr>
          <w:rFonts w:ascii="Palatino Linotype" w:eastAsia="MS Mincho" w:hAnsi="Palatino Linotype" w:cs="Arial"/>
          <w:sz w:val="24"/>
          <w:szCs w:val="24"/>
          <w:lang w:val="es-ES" w:eastAsia="es-ES"/>
        </w:rPr>
        <w:t xml:space="preserve"> que los Sujetos Obligados están constreñidos a publicar y difundir de manera permanente a la ciudadanía. Lo anterior de conformidad con lo dispuesto por el artículo 92, fracción XXI, de la Ley de Transparencia y Acceso a la Información Pública del Estado de México y Municipios, el cual dispone lo siguiente:</w:t>
      </w:r>
    </w:p>
    <w:p w14:paraId="18DD9933" w14:textId="77777777" w:rsidR="00530E7A" w:rsidRPr="00514593" w:rsidRDefault="00530E7A" w:rsidP="00530E7A">
      <w:pPr>
        <w:spacing w:line="276" w:lineRule="auto"/>
        <w:ind w:left="567" w:right="567"/>
        <w:jc w:val="both"/>
        <w:rPr>
          <w:rFonts w:ascii="Palatino Linotype" w:hAnsi="Palatino Linotype"/>
          <w:i/>
          <w:lang w:val="es-ES" w:eastAsia="es-ES"/>
        </w:rPr>
      </w:pPr>
      <w:r w:rsidRPr="00514593">
        <w:rPr>
          <w:rFonts w:ascii="Palatino Linotype" w:hAnsi="Palatino Linotype"/>
          <w:i/>
          <w:lang w:val="es-ES" w:eastAsia="es-ES"/>
        </w:rPr>
        <w:t>“</w:t>
      </w:r>
      <w:r w:rsidRPr="00514593">
        <w:rPr>
          <w:rFonts w:ascii="Palatino Linotype" w:hAnsi="Palatino Linotype"/>
          <w:b/>
          <w:i/>
          <w:lang w:val="es-ES" w:eastAsia="es-ES"/>
        </w:rPr>
        <w:t>Artículo 92.</w:t>
      </w:r>
      <w:r w:rsidRPr="00514593">
        <w:rPr>
          <w:rFonts w:ascii="Palatino Linotype" w:hAnsi="Palatino Linotype"/>
          <w:i/>
          <w:lang w:val="es-ES" w:eastAsia="es-ES"/>
        </w:rPr>
        <w:t xml:space="preserve">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084AFC38" w14:textId="77777777" w:rsidR="00530E7A" w:rsidRPr="00514593" w:rsidRDefault="00530E7A" w:rsidP="00530E7A">
      <w:pPr>
        <w:spacing w:line="276" w:lineRule="auto"/>
        <w:ind w:left="567" w:right="567"/>
        <w:jc w:val="both"/>
        <w:rPr>
          <w:rFonts w:ascii="Palatino Linotype" w:hAnsi="Palatino Linotype"/>
          <w:i/>
          <w:lang w:val="es-ES" w:eastAsia="es-ES"/>
        </w:rPr>
      </w:pPr>
      <w:r w:rsidRPr="00514593">
        <w:rPr>
          <w:rFonts w:ascii="Palatino Linotype" w:hAnsi="Palatino Linotype"/>
          <w:i/>
          <w:lang w:val="es-ES" w:eastAsia="es-ES"/>
        </w:rPr>
        <w:t>(…)</w:t>
      </w:r>
    </w:p>
    <w:p w14:paraId="3FBA96C8" w14:textId="77777777" w:rsidR="00530E7A" w:rsidRPr="00514593" w:rsidRDefault="00530E7A" w:rsidP="00530E7A">
      <w:pPr>
        <w:spacing w:line="276" w:lineRule="auto"/>
        <w:ind w:left="567" w:right="567"/>
        <w:jc w:val="both"/>
        <w:rPr>
          <w:rFonts w:ascii="Palatino Linotype" w:hAnsi="Palatino Linotype"/>
          <w:i/>
          <w:lang w:val="es-ES" w:eastAsia="es-ES"/>
        </w:rPr>
      </w:pPr>
      <w:r w:rsidRPr="00514593">
        <w:rPr>
          <w:rFonts w:ascii="Palatino Linotype" w:hAnsi="Palatino Linotype"/>
          <w:b/>
          <w:i/>
          <w:lang w:val="es-ES" w:eastAsia="es-ES"/>
        </w:rPr>
        <w:t>XXI.</w:t>
      </w:r>
      <w:r w:rsidRPr="00514593">
        <w:rPr>
          <w:rFonts w:ascii="Palatino Linotype" w:hAnsi="Palatino Linotype"/>
          <w:i/>
          <w:lang w:val="es-ES" w:eastAsia="es-ES"/>
        </w:rPr>
        <w:t xml:space="preserve"> La </w:t>
      </w:r>
      <w:r w:rsidRPr="00514593">
        <w:rPr>
          <w:rFonts w:ascii="Palatino Linotype" w:hAnsi="Palatino Linotype"/>
          <w:b/>
          <w:i/>
          <w:lang w:val="es-ES" w:eastAsia="es-ES"/>
        </w:rPr>
        <w:t>información curricular</w:t>
      </w:r>
      <w:r w:rsidRPr="00514593">
        <w:rPr>
          <w:rFonts w:ascii="Palatino Linotype" w:hAnsi="Palatino Linotype"/>
          <w:i/>
          <w:lang w:val="es-ES" w:eastAsia="es-ES"/>
        </w:rPr>
        <w:t>, desde el nivel de jefe de departamento o equivalente, hasta el titular del sujeto obligado, así como, en su caso, las sanciones administrativas de que haya sido objeto;</w:t>
      </w:r>
    </w:p>
    <w:p w14:paraId="74375776" w14:textId="77777777" w:rsidR="00530E7A" w:rsidRPr="00514593" w:rsidRDefault="00530E7A" w:rsidP="00530E7A">
      <w:pPr>
        <w:spacing w:line="276" w:lineRule="auto"/>
        <w:ind w:left="567" w:right="567"/>
        <w:jc w:val="both"/>
        <w:rPr>
          <w:rFonts w:ascii="Palatino Linotype" w:hAnsi="Palatino Linotype"/>
          <w:i/>
          <w:lang w:val="es-ES" w:eastAsia="es-ES"/>
        </w:rPr>
      </w:pPr>
      <w:r w:rsidRPr="00514593">
        <w:rPr>
          <w:rFonts w:ascii="Palatino Linotype" w:hAnsi="Palatino Linotype"/>
          <w:i/>
          <w:lang w:val="es-ES" w:eastAsia="es-ES"/>
        </w:rPr>
        <w:t>(…)” (Énfasis añadido)</w:t>
      </w:r>
    </w:p>
    <w:p w14:paraId="0A233DC9" w14:textId="77777777" w:rsidR="00B43179" w:rsidRPr="00514593" w:rsidRDefault="00B43179" w:rsidP="00530E7A">
      <w:pPr>
        <w:tabs>
          <w:tab w:val="left" w:pos="1065"/>
        </w:tabs>
        <w:spacing w:line="360" w:lineRule="auto"/>
        <w:jc w:val="both"/>
        <w:rPr>
          <w:rFonts w:ascii="Palatino Linotype" w:hAnsi="Palatino Linotype"/>
          <w:color w:val="000000"/>
          <w:sz w:val="24"/>
          <w:szCs w:val="24"/>
        </w:rPr>
      </w:pPr>
    </w:p>
    <w:p w14:paraId="0505FB80" w14:textId="77777777" w:rsidR="00530E7A" w:rsidRPr="00514593" w:rsidRDefault="00530E7A" w:rsidP="00530E7A">
      <w:pPr>
        <w:tabs>
          <w:tab w:val="left" w:pos="1065"/>
        </w:tabs>
        <w:spacing w:line="360" w:lineRule="auto"/>
        <w:jc w:val="both"/>
        <w:rPr>
          <w:rFonts w:ascii="Palatino Linotype" w:hAnsi="Palatino Linotype"/>
          <w:sz w:val="24"/>
          <w:szCs w:val="24"/>
        </w:rPr>
      </w:pPr>
      <w:r w:rsidRPr="00514593">
        <w:rPr>
          <w:rFonts w:ascii="Palatino Linotype" w:hAnsi="Palatino Linotype"/>
          <w:bCs/>
          <w:sz w:val="24"/>
          <w:szCs w:val="24"/>
        </w:rPr>
        <w:t>Ahora bien, la Ley del Trabajo de los Servidores Públicos del Estado y Municipios en sus artículos 5, 45, 47, 49 y 50 establece lo siguiente:</w:t>
      </w:r>
    </w:p>
    <w:p w14:paraId="518E08CF" w14:textId="77777777" w:rsidR="00530E7A" w:rsidRPr="00514593" w:rsidRDefault="00530E7A" w:rsidP="00530E7A">
      <w:pPr>
        <w:pStyle w:val="infoemcitas"/>
      </w:pPr>
      <w:r w:rsidRPr="00514593">
        <w:rPr>
          <w:b/>
        </w:rPr>
        <w:t>ARTÍCULO 5.</w:t>
      </w:r>
      <w:r w:rsidRPr="00514593">
        <w:t xml:space="preserve">- </w:t>
      </w:r>
      <w:r w:rsidRPr="00514593">
        <w:rPr>
          <w:b/>
          <w:u w:val="single"/>
        </w:rPr>
        <w:t>La relación de trabajo</w:t>
      </w:r>
      <w:r w:rsidRPr="00514593">
        <w:rPr>
          <w:b/>
        </w:rPr>
        <w:t xml:space="preserve"> entre las instituciones públicas y sus servidores públicos </w:t>
      </w:r>
      <w:r w:rsidRPr="00514593">
        <w:rPr>
          <w:b/>
          <w:u w:val="single"/>
        </w:rPr>
        <w:t>se entiende establecida mediante nombramiento</w:t>
      </w:r>
      <w:r w:rsidRPr="00514593">
        <w:rPr>
          <w:u w:val="single"/>
        </w:rPr>
        <w:t xml:space="preserve">, </w:t>
      </w:r>
      <w:r w:rsidRPr="00514593">
        <w:rPr>
          <w:b/>
          <w:u w:val="single"/>
        </w:rPr>
        <w:t>formato único de movimiento de personal, contrato</w:t>
      </w:r>
      <w:r w:rsidRPr="00514593">
        <w:t xml:space="preserve"> o por cualquier otro acto que tenga como consecuencia la prestación personal subordinada del servicio y la percepción de un sueldo.</w:t>
      </w:r>
    </w:p>
    <w:p w14:paraId="50F4C697" w14:textId="77777777" w:rsidR="00530E7A" w:rsidRPr="00514593" w:rsidRDefault="00530E7A" w:rsidP="00530E7A">
      <w:pPr>
        <w:pStyle w:val="infoemcitas"/>
        <w:rPr>
          <w:u w:val="single"/>
        </w:rPr>
      </w:pPr>
      <w:r w:rsidRPr="00514593">
        <w:rPr>
          <w:b/>
        </w:rPr>
        <w:lastRenderedPageBreak/>
        <w:t>ARTÍCULO 45.-</w:t>
      </w:r>
      <w:r w:rsidRPr="00514593">
        <w:rPr>
          <w:b/>
          <w:u w:val="single"/>
        </w:rPr>
        <w:t>Los servidores públicos prestarán sus servicios mediante nombramiento, contrato o formato único de Movimientos de Personal</w:t>
      </w:r>
      <w:r w:rsidRPr="00514593">
        <w:rPr>
          <w:u w:val="single"/>
        </w:rPr>
        <w:t xml:space="preserve"> expedidos por quien estuviere facultado legalmente para extenderlo.</w:t>
      </w:r>
    </w:p>
    <w:p w14:paraId="59735D14" w14:textId="77777777" w:rsidR="00530E7A" w:rsidRPr="00514593" w:rsidRDefault="00530E7A" w:rsidP="00530E7A">
      <w:pPr>
        <w:pStyle w:val="infoemcitas"/>
      </w:pPr>
      <w:r w:rsidRPr="00514593">
        <w:rPr>
          <w:b/>
        </w:rPr>
        <w:t>ARTÍCULO 47.</w:t>
      </w:r>
      <w:r w:rsidRPr="00514593">
        <w:t xml:space="preserve"> Para ingresar al servicio público se requiere:</w:t>
      </w:r>
    </w:p>
    <w:p w14:paraId="39C6BA62" w14:textId="77777777" w:rsidR="00530E7A" w:rsidRPr="00514593" w:rsidRDefault="00530E7A" w:rsidP="00530E7A">
      <w:pPr>
        <w:pStyle w:val="infoemcitas"/>
        <w:spacing w:after="0" w:line="276" w:lineRule="auto"/>
      </w:pPr>
      <w:r w:rsidRPr="00514593">
        <w:t>I. Presentar una solicitud utilizando la forma oficial que se autorice por la institución pública o dependencia correspondiente;</w:t>
      </w:r>
    </w:p>
    <w:p w14:paraId="17E90D95" w14:textId="77777777" w:rsidR="00530E7A" w:rsidRPr="00514593" w:rsidRDefault="00530E7A" w:rsidP="00530E7A">
      <w:pPr>
        <w:pStyle w:val="infoemcitas"/>
        <w:spacing w:after="0" w:line="276" w:lineRule="auto"/>
      </w:pPr>
      <w:r w:rsidRPr="00514593">
        <w:t>II. Ser de nacionalidad mexicana, con la excepción prevista en el artículo 17 de la presente ley;</w:t>
      </w:r>
    </w:p>
    <w:p w14:paraId="62BAC7A5" w14:textId="77777777" w:rsidR="00530E7A" w:rsidRPr="00514593" w:rsidRDefault="00530E7A" w:rsidP="00530E7A">
      <w:pPr>
        <w:pStyle w:val="infoemcitas"/>
        <w:spacing w:line="276" w:lineRule="auto"/>
      </w:pPr>
      <w:r w:rsidRPr="00514593">
        <w:t>III. Estar en pleno ejercicio de sus derechos civiles y políticos, en su caso;</w:t>
      </w:r>
    </w:p>
    <w:p w14:paraId="3289FFD3" w14:textId="77777777" w:rsidR="00530E7A" w:rsidRPr="00514593" w:rsidRDefault="00530E7A" w:rsidP="00530E7A">
      <w:pPr>
        <w:pStyle w:val="infoemcitas"/>
        <w:spacing w:after="0" w:line="276" w:lineRule="auto"/>
      </w:pPr>
      <w:r w:rsidRPr="00514593">
        <w:t>IV. Acreditar, cuando proceda, el cumplimiento de la Ley del Servicio Militar Nacional;</w:t>
      </w:r>
    </w:p>
    <w:p w14:paraId="7328174B" w14:textId="77777777" w:rsidR="00530E7A" w:rsidRPr="00514593" w:rsidRDefault="00530E7A" w:rsidP="00530E7A">
      <w:pPr>
        <w:pStyle w:val="infoemcitas"/>
        <w:numPr>
          <w:ilvl w:val="0"/>
          <w:numId w:val="13"/>
        </w:numPr>
        <w:spacing w:line="276" w:lineRule="auto"/>
      </w:pPr>
      <w:r w:rsidRPr="00514593">
        <w:t>Derogada.</w:t>
      </w:r>
    </w:p>
    <w:p w14:paraId="641289B0" w14:textId="77777777" w:rsidR="00530E7A" w:rsidRPr="00514593" w:rsidRDefault="00530E7A" w:rsidP="00530E7A">
      <w:pPr>
        <w:pStyle w:val="infoemcitas"/>
        <w:numPr>
          <w:ilvl w:val="0"/>
          <w:numId w:val="13"/>
        </w:numPr>
        <w:spacing w:line="276" w:lineRule="auto"/>
      </w:pPr>
    </w:p>
    <w:p w14:paraId="3638FF14" w14:textId="77777777" w:rsidR="00530E7A" w:rsidRPr="00514593" w:rsidRDefault="00530E7A" w:rsidP="00530E7A">
      <w:pPr>
        <w:pStyle w:val="infoemcitas"/>
        <w:spacing w:after="0" w:line="276" w:lineRule="auto"/>
      </w:pPr>
      <w:r w:rsidRPr="00514593">
        <w:t>VI. No haber sido separado anteriormente del servicio por las causas previstas en el artículo 93 de la presente ley;</w:t>
      </w:r>
    </w:p>
    <w:p w14:paraId="439E6973" w14:textId="77777777" w:rsidR="00530E7A" w:rsidRPr="00514593" w:rsidRDefault="00530E7A" w:rsidP="00530E7A">
      <w:pPr>
        <w:pStyle w:val="infoemcitas"/>
        <w:spacing w:after="0" w:line="276" w:lineRule="auto"/>
      </w:pPr>
      <w:r w:rsidRPr="00514593">
        <w:t>VII. Tener buena salud, lo que se comprobará con los certificados médicos correspondientes, en la forma en que se establezca en cada institución pública;</w:t>
      </w:r>
    </w:p>
    <w:p w14:paraId="2F4029AF" w14:textId="77777777" w:rsidR="00530E7A" w:rsidRPr="00514593" w:rsidRDefault="00530E7A" w:rsidP="00530E7A">
      <w:pPr>
        <w:pStyle w:val="infoemcitas"/>
        <w:spacing w:after="0" w:line="276" w:lineRule="auto"/>
      </w:pPr>
      <w:r w:rsidRPr="00514593">
        <w:t>VIII. Cumplir con los requisitos que se establezcan para los diferentes puestos</w:t>
      </w:r>
    </w:p>
    <w:p w14:paraId="4B8BEE4C" w14:textId="77777777" w:rsidR="00530E7A" w:rsidRPr="00514593" w:rsidRDefault="00530E7A" w:rsidP="00530E7A">
      <w:pPr>
        <w:pStyle w:val="infoemcitas"/>
        <w:spacing w:after="0" w:line="276" w:lineRule="auto"/>
      </w:pPr>
      <w:r w:rsidRPr="00514593">
        <w:t>IX. Acreditar por medio de los exámenes correspondientes los conocimientos y aptitudes necesarios para el d</w:t>
      </w:r>
    </w:p>
    <w:p w14:paraId="5241BDA3" w14:textId="77777777" w:rsidR="00530E7A" w:rsidRPr="00514593" w:rsidRDefault="00530E7A" w:rsidP="00530E7A">
      <w:pPr>
        <w:pStyle w:val="infoemcitas"/>
        <w:spacing w:after="0" w:line="276" w:lineRule="auto"/>
      </w:pPr>
      <w:r w:rsidRPr="00514593">
        <w:t>esempeño del puesto; y</w:t>
      </w:r>
    </w:p>
    <w:p w14:paraId="3F1502DC" w14:textId="77777777" w:rsidR="00530E7A" w:rsidRPr="00514593" w:rsidRDefault="00530E7A" w:rsidP="00530E7A">
      <w:pPr>
        <w:pStyle w:val="infoemcitas"/>
        <w:spacing w:line="276" w:lineRule="auto"/>
      </w:pPr>
      <w:r w:rsidRPr="00514593">
        <w:t>X. No estar inhabilitado para el ejercicio del servicio público.</w:t>
      </w:r>
    </w:p>
    <w:p w14:paraId="241B9A4D" w14:textId="77777777" w:rsidR="00530E7A" w:rsidRPr="00514593" w:rsidRDefault="00530E7A" w:rsidP="00530E7A">
      <w:pPr>
        <w:pStyle w:val="infoemcitas"/>
        <w:spacing w:line="276" w:lineRule="auto"/>
      </w:pPr>
      <w:r w:rsidRPr="00514593">
        <w:lastRenderedPageBreak/>
        <w:t xml:space="preserve">XI. Presentar certificado expedido por la Unidad del Registro de Deudores Alimentarios Morosos en el que conste, si se encuentra inscrito o no en el mismo. </w:t>
      </w:r>
    </w:p>
    <w:p w14:paraId="51FB306C" w14:textId="77777777" w:rsidR="00530E7A" w:rsidRPr="00514593" w:rsidRDefault="00530E7A" w:rsidP="00530E7A">
      <w:pPr>
        <w:pStyle w:val="infoemcitas"/>
        <w:spacing w:line="276" w:lineRule="auto"/>
        <w:rPr>
          <w:b/>
        </w:rPr>
      </w:pPr>
    </w:p>
    <w:p w14:paraId="2C7D7EC5" w14:textId="77777777" w:rsidR="00530E7A" w:rsidRPr="00514593" w:rsidRDefault="00530E7A" w:rsidP="00530E7A">
      <w:pPr>
        <w:pStyle w:val="infoemcitas"/>
        <w:spacing w:line="276" w:lineRule="auto"/>
        <w:rPr>
          <w:b/>
          <w:u w:val="single"/>
        </w:rPr>
      </w:pPr>
      <w:r w:rsidRPr="00514593">
        <w:rPr>
          <w:b/>
        </w:rPr>
        <w:t>ARTÍCULO 49</w:t>
      </w:r>
      <w:r w:rsidRPr="00514593">
        <w:t xml:space="preserve">.- </w:t>
      </w:r>
      <w:r w:rsidRPr="00514593">
        <w:rPr>
          <w:b/>
          <w:u w:val="single"/>
        </w:rPr>
        <w:t>Los nombramientos, contratos o formato único de Movimientos de Personal de los servidores públicos deberán contener:</w:t>
      </w:r>
    </w:p>
    <w:p w14:paraId="657515BE" w14:textId="77777777" w:rsidR="00530E7A" w:rsidRPr="00514593" w:rsidRDefault="00530E7A" w:rsidP="00530E7A">
      <w:pPr>
        <w:pStyle w:val="infoemcitas"/>
        <w:numPr>
          <w:ilvl w:val="0"/>
          <w:numId w:val="25"/>
        </w:numPr>
        <w:spacing w:before="0" w:line="240" w:lineRule="auto"/>
      </w:pPr>
      <w:r w:rsidRPr="00514593">
        <w:t xml:space="preserve">Nombre completo del servidor público; </w:t>
      </w:r>
    </w:p>
    <w:p w14:paraId="57D0137B" w14:textId="77777777" w:rsidR="00530E7A" w:rsidRPr="00514593" w:rsidRDefault="00530E7A" w:rsidP="00530E7A">
      <w:pPr>
        <w:pStyle w:val="infoemcitas"/>
        <w:numPr>
          <w:ilvl w:val="0"/>
          <w:numId w:val="25"/>
        </w:numPr>
        <w:spacing w:before="0" w:line="240" w:lineRule="auto"/>
      </w:pPr>
      <w:r w:rsidRPr="00514593">
        <w:t>Cargo para el que es designado, fecha de inicio de sus servicios y lugar de adscripción;</w:t>
      </w:r>
    </w:p>
    <w:p w14:paraId="64884061" w14:textId="77777777" w:rsidR="00530E7A" w:rsidRPr="00514593" w:rsidRDefault="00530E7A" w:rsidP="00530E7A">
      <w:pPr>
        <w:pStyle w:val="infoemcitas"/>
        <w:numPr>
          <w:ilvl w:val="0"/>
          <w:numId w:val="25"/>
        </w:numPr>
        <w:spacing w:before="0" w:line="240" w:lineRule="auto"/>
      </w:pPr>
      <w:r w:rsidRPr="00514593">
        <w:t>Carácter del nombramiento, ya sea de servidores públicos generales o de confianza, así como la temporalidad del mismo;</w:t>
      </w:r>
    </w:p>
    <w:p w14:paraId="5A1ABC40" w14:textId="77777777" w:rsidR="00530E7A" w:rsidRPr="00514593" w:rsidRDefault="00530E7A" w:rsidP="00530E7A">
      <w:pPr>
        <w:pStyle w:val="infoemcitas"/>
        <w:numPr>
          <w:ilvl w:val="0"/>
          <w:numId w:val="25"/>
        </w:numPr>
        <w:spacing w:before="0" w:line="240" w:lineRule="auto"/>
      </w:pPr>
      <w:r w:rsidRPr="00514593">
        <w:t>Remuneración correspondiente al puesto;</w:t>
      </w:r>
    </w:p>
    <w:p w14:paraId="4EB4DC7C" w14:textId="77777777" w:rsidR="00530E7A" w:rsidRPr="00514593" w:rsidRDefault="00530E7A" w:rsidP="00530E7A">
      <w:pPr>
        <w:pStyle w:val="infoemcitas"/>
        <w:numPr>
          <w:ilvl w:val="0"/>
          <w:numId w:val="25"/>
        </w:numPr>
        <w:spacing w:before="0" w:line="240" w:lineRule="auto"/>
        <w:rPr>
          <w:b/>
        </w:rPr>
      </w:pPr>
      <w:r w:rsidRPr="00514593">
        <w:t xml:space="preserve"> </w:t>
      </w:r>
      <w:r w:rsidRPr="00514593">
        <w:rPr>
          <w:b/>
        </w:rPr>
        <w:t xml:space="preserve">Jornada de trabajo; </w:t>
      </w:r>
    </w:p>
    <w:p w14:paraId="0B7B56D8" w14:textId="77777777" w:rsidR="00530E7A" w:rsidRPr="00514593" w:rsidRDefault="00530E7A" w:rsidP="00530E7A">
      <w:pPr>
        <w:pStyle w:val="infoemcitas"/>
        <w:numPr>
          <w:ilvl w:val="0"/>
          <w:numId w:val="25"/>
        </w:numPr>
        <w:spacing w:before="0" w:line="240" w:lineRule="auto"/>
      </w:pPr>
      <w:r w:rsidRPr="00514593">
        <w:t xml:space="preserve">Derogada; </w:t>
      </w:r>
    </w:p>
    <w:p w14:paraId="15BF4F20" w14:textId="77777777" w:rsidR="00530E7A" w:rsidRPr="00514593" w:rsidRDefault="00530E7A" w:rsidP="00B43179">
      <w:pPr>
        <w:pStyle w:val="infoemcitas"/>
        <w:numPr>
          <w:ilvl w:val="0"/>
          <w:numId w:val="25"/>
        </w:numPr>
        <w:spacing w:before="0" w:line="240" w:lineRule="auto"/>
      </w:pPr>
      <w:r w:rsidRPr="00514593">
        <w:t>Firma del servidor público autorizado para emitir el nombramiento, contrato o formato único de Movimientos de Personal, así como el fundamento legal de esa atribución.</w:t>
      </w:r>
    </w:p>
    <w:p w14:paraId="674B2A02" w14:textId="77777777" w:rsidR="00530E7A" w:rsidRPr="00514593" w:rsidRDefault="00530E7A" w:rsidP="00530E7A">
      <w:pPr>
        <w:pStyle w:val="infoemcitas"/>
        <w:spacing w:line="240" w:lineRule="auto"/>
        <w:rPr>
          <w:b/>
          <w:u w:val="single"/>
        </w:rPr>
      </w:pPr>
      <w:r w:rsidRPr="00514593">
        <w:rPr>
          <w:b/>
          <w:u w:val="single"/>
        </w:rPr>
        <w:t xml:space="preserve">ARTÍCULO 50.- El nombramiento, contrato o formato único de Movimientos de Personal aceptado obliga al servidor público a cumplir con los deberes inherentes al puesto especificado en el mismo y a las consecuencias que sean conforme a la ley, al uso y a la buena fe. </w:t>
      </w:r>
    </w:p>
    <w:p w14:paraId="49976F16" w14:textId="77777777" w:rsidR="00530E7A" w:rsidRPr="00514593" w:rsidRDefault="00530E7A" w:rsidP="00530E7A">
      <w:pPr>
        <w:pStyle w:val="infoemcitas"/>
        <w:spacing w:line="240" w:lineRule="auto"/>
      </w:pPr>
      <w:r w:rsidRPr="00514593">
        <w:t>Iguales consecuencias se generarán para todos los servidores públicos, cuando la relación de trabajo se formalice mediante un contrato o por encontrarse en lista de raya.</w:t>
      </w:r>
    </w:p>
    <w:p w14:paraId="518D6918" w14:textId="77777777" w:rsidR="00530E7A" w:rsidRPr="00514593" w:rsidRDefault="00530E7A" w:rsidP="00530E7A">
      <w:pPr>
        <w:spacing w:line="360" w:lineRule="auto"/>
        <w:jc w:val="both"/>
        <w:rPr>
          <w:rFonts w:ascii="Palatino Linotype" w:hAnsi="Palatino Linotype" w:cs="Arial"/>
        </w:rPr>
      </w:pPr>
    </w:p>
    <w:p w14:paraId="3905B036" w14:textId="77777777" w:rsidR="00530E7A" w:rsidRPr="00514593" w:rsidRDefault="00530E7A" w:rsidP="00530E7A">
      <w:pPr>
        <w:spacing w:line="360" w:lineRule="auto"/>
        <w:jc w:val="both"/>
        <w:rPr>
          <w:rFonts w:ascii="Palatino Linotype" w:eastAsia="Calibri" w:hAnsi="Palatino Linotype" w:cs="Arial"/>
          <w:b/>
          <w:sz w:val="24"/>
          <w:szCs w:val="24"/>
        </w:rPr>
      </w:pPr>
      <w:r w:rsidRPr="00514593">
        <w:rPr>
          <w:rFonts w:ascii="Palatino Linotype" w:hAnsi="Palatino Linotype" w:cs="Arial"/>
          <w:sz w:val="24"/>
          <w:szCs w:val="24"/>
        </w:rPr>
        <w:t xml:space="preserve">Ahora bien, conforme a los artículos antes referidos se desprende que en una relación laboral debe haber un nombramiento, un contrato o bien un formato único de movimiento de personal. </w:t>
      </w:r>
      <w:r w:rsidRPr="00514593">
        <w:rPr>
          <w:rFonts w:ascii="Palatino Linotype" w:eastAsia="Palatino Linotype" w:hAnsi="Palatino Linotype" w:cs="Palatino Linotype"/>
          <w:sz w:val="24"/>
          <w:szCs w:val="24"/>
        </w:rPr>
        <w:t xml:space="preserve">De lo anterior respecto el Formato Único de Movimiento de Personal, es conviene traer a contexto el contenido de los artículos 48, 49, 50 y 51 de la </w:t>
      </w:r>
      <w:r w:rsidRPr="00514593">
        <w:rPr>
          <w:rFonts w:ascii="Palatino Linotype" w:eastAsia="Palatino Linotype" w:hAnsi="Palatino Linotype" w:cs="Palatino Linotype"/>
          <w:sz w:val="24"/>
          <w:szCs w:val="24"/>
        </w:rPr>
        <w:lastRenderedPageBreak/>
        <w:t xml:space="preserve">Ley del Trabajo Para los Servidores Públicos del Estado de México y Municipios, que disponen lo siguiente: </w:t>
      </w:r>
    </w:p>
    <w:p w14:paraId="2A45D013" w14:textId="77777777" w:rsidR="00530E7A" w:rsidRPr="00514593" w:rsidRDefault="00530E7A" w:rsidP="00530E7A">
      <w:pPr>
        <w:tabs>
          <w:tab w:val="left" w:pos="4962"/>
        </w:tabs>
        <w:spacing w:line="360" w:lineRule="auto"/>
        <w:ind w:left="567" w:right="985"/>
        <w:jc w:val="both"/>
        <w:rPr>
          <w:rFonts w:ascii="Palatino Linotype" w:eastAsia="Palatino Linotype" w:hAnsi="Palatino Linotype" w:cs="Palatino Linotype"/>
          <w:i/>
        </w:rPr>
      </w:pPr>
      <w:r w:rsidRPr="00514593">
        <w:rPr>
          <w:rFonts w:ascii="Palatino Linotype" w:eastAsia="Palatino Linotype" w:hAnsi="Palatino Linotype" w:cs="Palatino Linotype"/>
          <w:i/>
        </w:rPr>
        <w:t xml:space="preserve">“ARTÍCULO 48. Para iniciar la prestación de los servicios se requiere: </w:t>
      </w:r>
    </w:p>
    <w:p w14:paraId="534C352E" w14:textId="77777777" w:rsidR="00530E7A" w:rsidRPr="00514593" w:rsidRDefault="00530E7A" w:rsidP="00530E7A">
      <w:pPr>
        <w:tabs>
          <w:tab w:val="left" w:pos="4962"/>
        </w:tabs>
        <w:spacing w:line="360" w:lineRule="auto"/>
        <w:ind w:left="567" w:right="985"/>
        <w:jc w:val="both"/>
        <w:rPr>
          <w:rFonts w:ascii="Palatino Linotype" w:eastAsia="Palatino Linotype" w:hAnsi="Palatino Linotype" w:cs="Palatino Linotype"/>
          <w:b/>
          <w:i/>
        </w:rPr>
      </w:pPr>
      <w:r w:rsidRPr="00514593">
        <w:rPr>
          <w:rFonts w:ascii="Palatino Linotype" w:eastAsia="Palatino Linotype" w:hAnsi="Palatino Linotype" w:cs="Palatino Linotype"/>
          <w:i/>
        </w:rPr>
        <w:t xml:space="preserve">I. Tener conferido el nombramiento, contrato respectivo </w:t>
      </w:r>
      <w:r w:rsidRPr="00514593">
        <w:rPr>
          <w:rFonts w:ascii="Palatino Linotype" w:eastAsia="Palatino Linotype" w:hAnsi="Palatino Linotype" w:cs="Palatino Linotype"/>
          <w:b/>
          <w:i/>
        </w:rPr>
        <w:t xml:space="preserve">o formato único de Movimientos de Personal; </w:t>
      </w:r>
    </w:p>
    <w:p w14:paraId="2DA0FC1B" w14:textId="77777777" w:rsidR="00530E7A" w:rsidRPr="00514593" w:rsidRDefault="00530E7A" w:rsidP="00530E7A">
      <w:pPr>
        <w:tabs>
          <w:tab w:val="left" w:pos="4962"/>
        </w:tabs>
        <w:spacing w:line="360" w:lineRule="auto"/>
        <w:ind w:left="567" w:right="985"/>
        <w:jc w:val="both"/>
        <w:rPr>
          <w:rFonts w:ascii="Palatino Linotype" w:eastAsia="Palatino Linotype" w:hAnsi="Palatino Linotype" w:cs="Palatino Linotype"/>
          <w:i/>
        </w:rPr>
      </w:pPr>
      <w:r w:rsidRPr="00514593">
        <w:rPr>
          <w:rFonts w:ascii="Palatino Linotype" w:eastAsia="Palatino Linotype" w:hAnsi="Palatino Linotype" w:cs="Palatino Linotype"/>
          <w:i/>
        </w:rPr>
        <w:t xml:space="preserve">II. Rendir la protesta de ley en caso de nombramiento; y </w:t>
      </w:r>
    </w:p>
    <w:p w14:paraId="13F45BD9" w14:textId="77777777" w:rsidR="00530E7A" w:rsidRPr="00514593" w:rsidRDefault="00530E7A" w:rsidP="00530E7A">
      <w:pPr>
        <w:tabs>
          <w:tab w:val="left" w:pos="4962"/>
        </w:tabs>
        <w:spacing w:line="360" w:lineRule="auto"/>
        <w:ind w:left="567" w:right="985"/>
        <w:jc w:val="both"/>
        <w:rPr>
          <w:rFonts w:ascii="Palatino Linotype" w:eastAsia="Palatino Linotype" w:hAnsi="Palatino Linotype" w:cs="Palatino Linotype"/>
          <w:i/>
        </w:rPr>
      </w:pPr>
      <w:r w:rsidRPr="00514593">
        <w:rPr>
          <w:rFonts w:ascii="Palatino Linotype" w:eastAsia="Palatino Linotype" w:hAnsi="Palatino Linotype" w:cs="Palatino Linotype"/>
          <w:i/>
        </w:rPr>
        <w:t>III. Tomar posesión del cargo.”</w:t>
      </w:r>
    </w:p>
    <w:p w14:paraId="2074449D" w14:textId="77777777" w:rsidR="00530E7A" w:rsidRPr="00514593" w:rsidRDefault="00530E7A" w:rsidP="00530E7A">
      <w:pPr>
        <w:tabs>
          <w:tab w:val="left" w:pos="4962"/>
        </w:tabs>
        <w:spacing w:line="360" w:lineRule="auto"/>
        <w:ind w:left="567" w:right="985"/>
        <w:jc w:val="both"/>
        <w:rPr>
          <w:rFonts w:ascii="Palatino Linotype" w:eastAsia="Palatino Linotype" w:hAnsi="Palatino Linotype" w:cs="Palatino Linotype"/>
          <w:b/>
          <w:i/>
        </w:rPr>
      </w:pPr>
      <w:r w:rsidRPr="00514593">
        <w:rPr>
          <w:rFonts w:ascii="Palatino Linotype" w:eastAsia="Palatino Linotype" w:hAnsi="Palatino Linotype" w:cs="Palatino Linotype"/>
          <w:i/>
        </w:rPr>
        <w:t xml:space="preserve">“ARTÍCULO 49.- Los nombramientos, contratos o </w:t>
      </w:r>
      <w:r w:rsidRPr="00514593">
        <w:rPr>
          <w:rFonts w:ascii="Palatino Linotype" w:eastAsia="Palatino Linotype" w:hAnsi="Palatino Linotype" w:cs="Palatino Linotype"/>
          <w:b/>
          <w:i/>
        </w:rPr>
        <w:t>formato único de Movimientos de Personal de los servidores públicos deberán contener:</w:t>
      </w:r>
    </w:p>
    <w:p w14:paraId="2778F807" w14:textId="77777777" w:rsidR="00530E7A" w:rsidRPr="00514593" w:rsidRDefault="00530E7A" w:rsidP="00530E7A">
      <w:pPr>
        <w:tabs>
          <w:tab w:val="left" w:pos="4962"/>
        </w:tabs>
        <w:spacing w:line="360" w:lineRule="auto"/>
        <w:ind w:left="567" w:right="985"/>
        <w:jc w:val="both"/>
        <w:rPr>
          <w:rFonts w:ascii="Palatino Linotype" w:eastAsia="Palatino Linotype" w:hAnsi="Palatino Linotype" w:cs="Palatino Linotype"/>
          <w:i/>
        </w:rPr>
      </w:pPr>
      <w:r w:rsidRPr="00514593">
        <w:rPr>
          <w:rFonts w:ascii="Palatino Linotype" w:eastAsia="Palatino Linotype" w:hAnsi="Palatino Linotype" w:cs="Palatino Linotype"/>
          <w:i/>
        </w:rPr>
        <w:t xml:space="preserve">I. Nombre completo del servidor público; </w:t>
      </w:r>
    </w:p>
    <w:p w14:paraId="66CFF8D6" w14:textId="77777777" w:rsidR="00530E7A" w:rsidRPr="00514593" w:rsidRDefault="00530E7A" w:rsidP="00530E7A">
      <w:pPr>
        <w:tabs>
          <w:tab w:val="left" w:pos="4962"/>
        </w:tabs>
        <w:spacing w:line="360" w:lineRule="auto"/>
        <w:ind w:left="567" w:right="985"/>
        <w:jc w:val="both"/>
        <w:rPr>
          <w:rFonts w:ascii="Palatino Linotype" w:eastAsia="Palatino Linotype" w:hAnsi="Palatino Linotype" w:cs="Palatino Linotype"/>
          <w:b/>
          <w:i/>
        </w:rPr>
      </w:pPr>
      <w:r w:rsidRPr="00514593">
        <w:rPr>
          <w:rFonts w:ascii="Palatino Linotype" w:eastAsia="Palatino Linotype" w:hAnsi="Palatino Linotype" w:cs="Palatino Linotype"/>
          <w:b/>
          <w:i/>
        </w:rPr>
        <w:t xml:space="preserve">II. </w:t>
      </w:r>
      <w:r w:rsidRPr="00514593">
        <w:rPr>
          <w:rFonts w:ascii="Palatino Linotype" w:eastAsia="Palatino Linotype" w:hAnsi="Palatino Linotype" w:cs="Palatino Linotype"/>
          <w:i/>
        </w:rPr>
        <w:t>Cargo para el que es designado, fecha de inicio de sus servicios y lugar de adscripción;</w:t>
      </w:r>
      <w:r w:rsidRPr="00514593">
        <w:rPr>
          <w:rFonts w:ascii="Palatino Linotype" w:eastAsia="Palatino Linotype" w:hAnsi="Palatino Linotype" w:cs="Palatino Linotype"/>
          <w:b/>
          <w:i/>
        </w:rPr>
        <w:t xml:space="preserve"> </w:t>
      </w:r>
    </w:p>
    <w:p w14:paraId="538A10D8" w14:textId="77777777" w:rsidR="00530E7A" w:rsidRPr="00514593" w:rsidRDefault="00530E7A" w:rsidP="00530E7A">
      <w:pPr>
        <w:tabs>
          <w:tab w:val="left" w:pos="4962"/>
        </w:tabs>
        <w:spacing w:line="360" w:lineRule="auto"/>
        <w:ind w:left="567" w:right="985"/>
        <w:jc w:val="both"/>
        <w:rPr>
          <w:rFonts w:ascii="Palatino Linotype" w:eastAsia="Palatino Linotype" w:hAnsi="Palatino Linotype" w:cs="Palatino Linotype"/>
          <w:i/>
        </w:rPr>
      </w:pPr>
      <w:r w:rsidRPr="00514593">
        <w:rPr>
          <w:rFonts w:ascii="Palatino Linotype" w:eastAsia="Palatino Linotype" w:hAnsi="Palatino Linotype" w:cs="Palatino Linotype"/>
          <w:i/>
        </w:rPr>
        <w:t xml:space="preserve">III. Carácter del nombramiento, ya sea de servidores públicos generales o de confianza, así como la temporalidad del mismo; </w:t>
      </w:r>
    </w:p>
    <w:p w14:paraId="72B505E8" w14:textId="77777777" w:rsidR="00530E7A" w:rsidRPr="00514593" w:rsidRDefault="00530E7A" w:rsidP="00530E7A">
      <w:pPr>
        <w:tabs>
          <w:tab w:val="left" w:pos="4962"/>
        </w:tabs>
        <w:spacing w:line="360" w:lineRule="auto"/>
        <w:ind w:left="567" w:right="985"/>
        <w:jc w:val="both"/>
        <w:rPr>
          <w:rFonts w:ascii="Palatino Linotype" w:eastAsia="Palatino Linotype" w:hAnsi="Palatino Linotype" w:cs="Palatino Linotype"/>
          <w:i/>
        </w:rPr>
      </w:pPr>
      <w:r w:rsidRPr="00514593">
        <w:rPr>
          <w:rFonts w:ascii="Palatino Linotype" w:eastAsia="Palatino Linotype" w:hAnsi="Palatino Linotype" w:cs="Palatino Linotype"/>
          <w:i/>
        </w:rPr>
        <w:t xml:space="preserve">IV. Remuneración correspondiente al puesto; </w:t>
      </w:r>
    </w:p>
    <w:p w14:paraId="25B09483" w14:textId="77777777" w:rsidR="00530E7A" w:rsidRPr="00514593" w:rsidRDefault="00530E7A" w:rsidP="00530E7A">
      <w:pPr>
        <w:tabs>
          <w:tab w:val="left" w:pos="4962"/>
        </w:tabs>
        <w:spacing w:line="360" w:lineRule="auto"/>
        <w:ind w:left="567" w:right="985"/>
        <w:jc w:val="both"/>
        <w:rPr>
          <w:rFonts w:ascii="Palatino Linotype" w:eastAsia="Palatino Linotype" w:hAnsi="Palatino Linotype" w:cs="Palatino Linotype"/>
          <w:i/>
        </w:rPr>
      </w:pPr>
      <w:r w:rsidRPr="00514593">
        <w:rPr>
          <w:rFonts w:ascii="Palatino Linotype" w:eastAsia="Palatino Linotype" w:hAnsi="Palatino Linotype" w:cs="Palatino Linotype"/>
          <w:i/>
        </w:rPr>
        <w:t xml:space="preserve">V. Jornada de trabajo; </w:t>
      </w:r>
    </w:p>
    <w:p w14:paraId="023E298E" w14:textId="77777777" w:rsidR="00530E7A" w:rsidRPr="00514593" w:rsidRDefault="00530E7A" w:rsidP="00530E7A">
      <w:pPr>
        <w:tabs>
          <w:tab w:val="left" w:pos="4962"/>
        </w:tabs>
        <w:spacing w:line="360" w:lineRule="auto"/>
        <w:ind w:left="567" w:right="985"/>
        <w:jc w:val="both"/>
        <w:rPr>
          <w:rFonts w:ascii="Palatino Linotype" w:eastAsia="Palatino Linotype" w:hAnsi="Palatino Linotype" w:cs="Palatino Linotype"/>
          <w:i/>
        </w:rPr>
      </w:pPr>
      <w:r w:rsidRPr="00514593">
        <w:rPr>
          <w:rFonts w:ascii="Palatino Linotype" w:eastAsia="Palatino Linotype" w:hAnsi="Palatino Linotype" w:cs="Palatino Linotype"/>
          <w:i/>
        </w:rPr>
        <w:t xml:space="preserve">VI. Derogada; </w:t>
      </w:r>
    </w:p>
    <w:p w14:paraId="25CCD666" w14:textId="77777777" w:rsidR="00530E7A" w:rsidRPr="00514593" w:rsidRDefault="00530E7A" w:rsidP="00530E7A">
      <w:pPr>
        <w:tabs>
          <w:tab w:val="left" w:pos="4962"/>
        </w:tabs>
        <w:spacing w:line="360" w:lineRule="auto"/>
        <w:ind w:left="567" w:right="985"/>
        <w:jc w:val="both"/>
        <w:rPr>
          <w:rFonts w:ascii="Palatino Linotype" w:eastAsia="Palatino Linotype" w:hAnsi="Palatino Linotype" w:cs="Palatino Linotype"/>
          <w:i/>
        </w:rPr>
      </w:pPr>
      <w:r w:rsidRPr="00514593">
        <w:rPr>
          <w:rFonts w:ascii="Palatino Linotype" w:eastAsia="Palatino Linotype" w:hAnsi="Palatino Linotype" w:cs="Palatino Linotype"/>
          <w:i/>
        </w:rPr>
        <w:t xml:space="preserve">VII. Firma del servidor público autorizado para emitir el nombramiento, contrato o formato único de Movimientos de Personal, así como el fundamento legal de esa atribución. </w:t>
      </w:r>
    </w:p>
    <w:p w14:paraId="3E49C82C" w14:textId="77777777" w:rsidR="00530E7A" w:rsidRPr="00514593" w:rsidRDefault="00530E7A" w:rsidP="00530E7A">
      <w:pPr>
        <w:tabs>
          <w:tab w:val="left" w:pos="4962"/>
        </w:tabs>
        <w:spacing w:line="360" w:lineRule="auto"/>
        <w:ind w:left="567" w:right="985"/>
        <w:jc w:val="both"/>
        <w:rPr>
          <w:rFonts w:ascii="Palatino Linotype" w:eastAsia="Palatino Linotype" w:hAnsi="Palatino Linotype" w:cs="Palatino Linotype"/>
          <w:b/>
          <w:i/>
        </w:rPr>
      </w:pPr>
      <w:r w:rsidRPr="00514593">
        <w:rPr>
          <w:rFonts w:ascii="Palatino Linotype" w:eastAsia="Palatino Linotype" w:hAnsi="Palatino Linotype" w:cs="Palatino Linotype"/>
          <w:i/>
        </w:rPr>
        <w:t xml:space="preserve">“ARTÍCULO 50.- El nombramiento, contrato o </w:t>
      </w:r>
      <w:r w:rsidRPr="00514593">
        <w:rPr>
          <w:rFonts w:ascii="Palatino Linotype" w:eastAsia="Palatino Linotype" w:hAnsi="Palatino Linotype" w:cs="Palatino Linotype"/>
          <w:b/>
          <w:i/>
        </w:rPr>
        <w:t xml:space="preserve">formato único de Movimientos de Personal aceptado obliga al servidor público a cumplir con los deberes inherentes </w:t>
      </w:r>
      <w:r w:rsidRPr="00514593">
        <w:rPr>
          <w:rFonts w:ascii="Palatino Linotype" w:eastAsia="Palatino Linotype" w:hAnsi="Palatino Linotype" w:cs="Palatino Linotype"/>
          <w:b/>
          <w:i/>
        </w:rPr>
        <w:lastRenderedPageBreak/>
        <w:t xml:space="preserve">al puesto especificado en el mismo y a las consecuencias que sean conforme a la ley, al uso y a la buena fe. </w:t>
      </w:r>
    </w:p>
    <w:p w14:paraId="2F91048C" w14:textId="77777777" w:rsidR="00530E7A" w:rsidRPr="00514593" w:rsidRDefault="00530E7A" w:rsidP="00530E7A">
      <w:pPr>
        <w:tabs>
          <w:tab w:val="left" w:pos="4962"/>
        </w:tabs>
        <w:spacing w:line="360" w:lineRule="auto"/>
        <w:ind w:left="567" w:right="985"/>
        <w:jc w:val="both"/>
        <w:rPr>
          <w:rFonts w:ascii="Palatino Linotype" w:eastAsia="Palatino Linotype" w:hAnsi="Palatino Linotype" w:cs="Palatino Linotype"/>
          <w:i/>
        </w:rPr>
      </w:pPr>
      <w:r w:rsidRPr="00514593">
        <w:rPr>
          <w:rFonts w:ascii="Palatino Linotype" w:eastAsia="Palatino Linotype" w:hAnsi="Palatino Linotype" w:cs="Palatino Linotype"/>
          <w:i/>
        </w:rPr>
        <w:t>Iguales consecuencias se generarán para todos los servidores públicos, cuando la relación de trabajo se formalice mediante un contrato o por encontrarse en lista de raya. “</w:t>
      </w:r>
    </w:p>
    <w:p w14:paraId="69682A0D" w14:textId="77777777" w:rsidR="00530E7A" w:rsidRPr="00514593" w:rsidRDefault="00530E7A" w:rsidP="00530E7A">
      <w:pPr>
        <w:tabs>
          <w:tab w:val="left" w:pos="4962"/>
        </w:tabs>
        <w:spacing w:line="360" w:lineRule="auto"/>
        <w:ind w:left="567" w:right="985"/>
        <w:jc w:val="both"/>
        <w:rPr>
          <w:rFonts w:ascii="Palatino Linotype" w:eastAsia="Palatino Linotype" w:hAnsi="Palatino Linotype" w:cs="Palatino Linotype"/>
          <w:i/>
        </w:rPr>
      </w:pPr>
      <w:r w:rsidRPr="00514593">
        <w:rPr>
          <w:rFonts w:ascii="Palatino Linotype" w:eastAsia="Palatino Linotype" w:hAnsi="Palatino Linotype" w:cs="Palatino Linotype"/>
          <w:i/>
        </w:rPr>
        <w:t xml:space="preserve">“ARTÍCULO 51. </w:t>
      </w:r>
      <w:r w:rsidRPr="00514593">
        <w:rPr>
          <w:rFonts w:ascii="Palatino Linotype" w:eastAsia="Palatino Linotype" w:hAnsi="Palatino Linotype" w:cs="Palatino Linotype"/>
          <w:b/>
          <w:i/>
        </w:rPr>
        <w:t>El cambio de adscripción de los servidores públicos de una dependencia a otra no afectará sus condiciones de trabajo.</w:t>
      </w:r>
      <w:r w:rsidRPr="00514593">
        <w:rPr>
          <w:rFonts w:ascii="Palatino Linotype" w:eastAsia="Palatino Linotype" w:hAnsi="Palatino Linotype" w:cs="Palatino Linotype"/>
          <w:i/>
        </w:rPr>
        <w:t xml:space="preserve"> </w:t>
      </w:r>
    </w:p>
    <w:p w14:paraId="5C222198" w14:textId="77777777" w:rsidR="00530E7A" w:rsidRPr="00514593" w:rsidRDefault="00530E7A" w:rsidP="00530E7A">
      <w:pPr>
        <w:tabs>
          <w:tab w:val="left" w:pos="4962"/>
        </w:tabs>
        <w:spacing w:line="360" w:lineRule="auto"/>
        <w:ind w:left="567" w:right="985"/>
        <w:jc w:val="both"/>
        <w:rPr>
          <w:rFonts w:ascii="Palatino Linotype" w:eastAsia="Palatino Linotype" w:hAnsi="Palatino Linotype" w:cs="Palatino Linotype"/>
          <w:i/>
        </w:rPr>
      </w:pPr>
      <w:r w:rsidRPr="00514593">
        <w:rPr>
          <w:rFonts w:ascii="Palatino Linotype" w:eastAsia="Palatino Linotype" w:hAnsi="Palatino Linotype" w:cs="Palatino Linotype"/>
          <w:i/>
        </w:rPr>
        <w:t>En ningún caso, el cambio de servidores públicos de confianza podrá afectar los derechos de los servidores públicos generales, derivados de esta ley.”</w:t>
      </w:r>
    </w:p>
    <w:p w14:paraId="246F9B23" w14:textId="77777777" w:rsidR="00530E7A" w:rsidRPr="00514593" w:rsidRDefault="00530E7A" w:rsidP="00530E7A">
      <w:pPr>
        <w:pBdr>
          <w:top w:val="nil"/>
          <w:left w:val="nil"/>
          <w:bottom w:val="nil"/>
          <w:right w:val="nil"/>
          <w:between w:val="nil"/>
        </w:pBdr>
        <w:spacing w:line="360" w:lineRule="auto"/>
        <w:contextualSpacing/>
        <w:jc w:val="both"/>
        <w:rPr>
          <w:rFonts w:ascii="Palatino Linotype" w:hAnsi="Palatino Linotype"/>
          <w:b/>
          <w:i/>
          <w:sz w:val="24"/>
          <w:szCs w:val="24"/>
        </w:rPr>
      </w:pPr>
    </w:p>
    <w:p w14:paraId="689F5C2A" w14:textId="77777777" w:rsidR="00530E7A" w:rsidRPr="00514593" w:rsidRDefault="00530E7A" w:rsidP="00530E7A">
      <w:pPr>
        <w:spacing w:line="360" w:lineRule="auto"/>
        <w:jc w:val="both"/>
        <w:rPr>
          <w:rFonts w:ascii="Palatino Linotype" w:eastAsia="Palatino Linotype" w:hAnsi="Palatino Linotype" w:cs="Palatino Linotype"/>
          <w:sz w:val="24"/>
          <w:szCs w:val="24"/>
        </w:rPr>
      </w:pPr>
      <w:r w:rsidRPr="00514593">
        <w:rPr>
          <w:rFonts w:ascii="Palatino Linotype" w:eastAsia="Palatino Linotype" w:hAnsi="Palatino Linotype" w:cs="Palatino Linotype"/>
          <w:sz w:val="24"/>
          <w:szCs w:val="24"/>
        </w:rPr>
        <w:t xml:space="preserve">Respecto la firma plasmada por los servidores públicos en el ámbito de sus competencias se debe de observar lo establecido por el Criterio 02/19 emitido por el entonces Órgano Garante Nacional; </w:t>
      </w:r>
    </w:p>
    <w:p w14:paraId="449F97EA" w14:textId="77777777" w:rsidR="00530E7A" w:rsidRPr="00514593" w:rsidRDefault="00530E7A" w:rsidP="00530E7A">
      <w:pPr>
        <w:pStyle w:val="Ttulo1"/>
        <w:spacing w:line="360" w:lineRule="auto"/>
        <w:ind w:firstLine="708"/>
        <w:jc w:val="both"/>
        <w:rPr>
          <w:rFonts w:ascii="Palatino Linotype" w:hAnsi="Palatino Linotype"/>
          <w:b/>
          <w:i/>
          <w:sz w:val="22"/>
          <w:szCs w:val="22"/>
        </w:rPr>
      </w:pPr>
      <w:bookmarkStart w:id="2" w:name="_Toc103270329"/>
      <w:r w:rsidRPr="00514593">
        <w:rPr>
          <w:rFonts w:ascii="Palatino Linotype" w:hAnsi="Palatino Linotype"/>
          <w:b/>
          <w:bCs/>
          <w:i/>
          <w:color w:val="auto"/>
          <w:sz w:val="22"/>
          <w:szCs w:val="22"/>
        </w:rPr>
        <w:t xml:space="preserve">CRITERIO: 02/19.- </w:t>
      </w:r>
      <w:r w:rsidRPr="00514593">
        <w:rPr>
          <w:rFonts w:ascii="Palatino Linotype" w:hAnsi="Palatino Linotype"/>
          <w:b/>
          <w:i/>
          <w:color w:val="auto"/>
          <w:sz w:val="22"/>
          <w:szCs w:val="22"/>
        </w:rPr>
        <w:t>Firma y rúbrica de servidores públicos</w:t>
      </w:r>
      <w:r w:rsidRPr="00514593">
        <w:rPr>
          <w:rFonts w:ascii="Palatino Linotype" w:hAnsi="Palatino Linotype"/>
          <w:b/>
          <w:i/>
          <w:sz w:val="22"/>
          <w:szCs w:val="22"/>
        </w:rPr>
        <w:t>.</w:t>
      </w:r>
      <w:bookmarkEnd w:id="2"/>
    </w:p>
    <w:p w14:paraId="3993D1FC" w14:textId="77777777" w:rsidR="00530E7A" w:rsidRPr="00514593" w:rsidRDefault="00530E7A" w:rsidP="00B43179">
      <w:pPr>
        <w:spacing w:line="360" w:lineRule="auto"/>
        <w:ind w:left="708"/>
        <w:jc w:val="both"/>
        <w:rPr>
          <w:rFonts w:ascii="Palatino Linotype" w:eastAsia="Palatino Linotype" w:hAnsi="Palatino Linotype" w:cs="Palatino Linotype"/>
          <w:i/>
        </w:rPr>
      </w:pPr>
      <w:r w:rsidRPr="00514593">
        <w:rPr>
          <w:rFonts w:ascii="Palatino Linotype" w:hAnsi="Palatino Linotype" w:cs="Arial"/>
          <w:i/>
        </w:rPr>
        <w:t>Si bien la firma y la rúbrica son datos personales confidenciales, cuando un servidor público emite un acto como autoridad, en ejercicio de las funciones que tiene conferidas, la firma o rúbrica mediante la cual se valida dicho acto es pública.</w:t>
      </w:r>
    </w:p>
    <w:p w14:paraId="76EB928D" w14:textId="77777777" w:rsidR="00B43179" w:rsidRPr="00514593" w:rsidRDefault="00B43179" w:rsidP="00530E7A">
      <w:pPr>
        <w:spacing w:line="360" w:lineRule="auto"/>
        <w:jc w:val="both"/>
        <w:rPr>
          <w:rFonts w:ascii="Palatino Linotype" w:hAnsi="Palatino Linotype"/>
          <w:sz w:val="24"/>
          <w:szCs w:val="24"/>
        </w:rPr>
      </w:pPr>
    </w:p>
    <w:p w14:paraId="46621B8A" w14:textId="77777777" w:rsidR="00C875BD" w:rsidRPr="00514593" w:rsidRDefault="00313E8C" w:rsidP="00D06945">
      <w:pPr>
        <w:spacing w:line="360" w:lineRule="auto"/>
        <w:jc w:val="both"/>
        <w:rPr>
          <w:rFonts w:ascii="Palatino Linotype" w:hAnsi="Palatino Linotype"/>
          <w:sz w:val="24"/>
          <w:szCs w:val="24"/>
        </w:rPr>
      </w:pPr>
      <w:r w:rsidRPr="00514593">
        <w:rPr>
          <w:rFonts w:ascii="Palatino Linotype" w:hAnsi="Palatino Linotype"/>
          <w:sz w:val="24"/>
          <w:szCs w:val="24"/>
        </w:rPr>
        <w:t xml:space="preserve">Bajo ese contexto, se debe traer a colación el artículo 38 del Reglamento Interno del Instituto de Salud del Estado de México a efecto de advertir que le corresponde a esta unidad administrativa la autorización contratos, cambios de adscripción así como comisiones así como levantar actas administrativas a los servidores públicos cuando incumplan las disposiciones laborales, conforme lo siguiente; </w:t>
      </w:r>
    </w:p>
    <w:p w14:paraId="3CC761C3" w14:textId="77777777" w:rsidR="00C875BD" w:rsidRPr="00514593" w:rsidRDefault="000135B1" w:rsidP="00C875BD">
      <w:pPr>
        <w:spacing w:line="360" w:lineRule="auto"/>
        <w:ind w:firstLine="708"/>
        <w:jc w:val="both"/>
        <w:rPr>
          <w:rFonts w:ascii="Palatino Linotype" w:hAnsi="Palatino Linotype"/>
          <w:i/>
        </w:rPr>
      </w:pPr>
      <w:r w:rsidRPr="00514593">
        <w:rPr>
          <w:rFonts w:ascii="Palatino Linotype" w:hAnsi="Palatino Linotype"/>
          <w:b/>
          <w:i/>
        </w:rPr>
        <w:lastRenderedPageBreak/>
        <w:t>Artículo 38</w:t>
      </w:r>
      <w:r w:rsidRPr="00514593">
        <w:rPr>
          <w:rFonts w:ascii="Palatino Linotype" w:hAnsi="Palatino Linotype"/>
          <w:i/>
        </w:rPr>
        <w:t>.- Corresponde a la Subdirección de Recursos Humanos:</w:t>
      </w:r>
    </w:p>
    <w:p w14:paraId="47FE4D81" w14:textId="77777777" w:rsidR="000135B1" w:rsidRPr="00514593" w:rsidRDefault="000135B1" w:rsidP="00D06945">
      <w:pPr>
        <w:spacing w:line="360" w:lineRule="auto"/>
        <w:ind w:left="708" w:firstLine="708"/>
        <w:jc w:val="both"/>
        <w:rPr>
          <w:rFonts w:ascii="Palatino Linotype" w:hAnsi="Palatino Linotype"/>
          <w:i/>
        </w:rPr>
      </w:pPr>
      <w:r w:rsidRPr="00514593">
        <w:rPr>
          <w:rFonts w:ascii="Palatino Linotype" w:hAnsi="Palatino Linotype"/>
          <w:i/>
        </w:rPr>
        <w:t>I. Aplicar las disposiciones jurídicas vigentes en materia de control de persona</w:t>
      </w:r>
      <w:r w:rsidR="00D06945" w:rsidRPr="00514593">
        <w:rPr>
          <w:rFonts w:ascii="Palatino Linotype" w:hAnsi="Palatino Linotype"/>
          <w:i/>
        </w:rPr>
        <w:t>l</w:t>
      </w:r>
    </w:p>
    <w:p w14:paraId="01F03BA3" w14:textId="77777777" w:rsidR="00D06945" w:rsidRPr="00514593" w:rsidRDefault="00D06945" w:rsidP="00D06945">
      <w:pPr>
        <w:spacing w:line="360" w:lineRule="auto"/>
        <w:ind w:left="708" w:firstLine="708"/>
        <w:jc w:val="both"/>
        <w:rPr>
          <w:rFonts w:ascii="Palatino Linotype" w:hAnsi="Palatino Linotype"/>
          <w:i/>
        </w:rPr>
      </w:pPr>
      <w:r w:rsidRPr="00514593">
        <w:rPr>
          <w:rFonts w:ascii="Palatino Linotype" w:hAnsi="Palatino Linotype"/>
          <w:i/>
        </w:rPr>
        <w:t>…</w:t>
      </w:r>
    </w:p>
    <w:p w14:paraId="782C93A9" w14:textId="77777777" w:rsidR="00D06945" w:rsidRPr="00514593" w:rsidRDefault="00D06945" w:rsidP="00D06945">
      <w:pPr>
        <w:spacing w:line="360" w:lineRule="auto"/>
        <w:ind w:left="1416"/>
        <w:jc w:val="both"/>
        <w:rPr>
          <w:rFonts w:ascii="Palatino Linotype" w:hAnsi="Palatino Linotype"/>
          <w:i/>
        </w:rPr>
      </w:pPr>
      <w:r w:rsidRPr="00514593">
        <w:rPr>
          <w:rFonts w:ascii="Palatino Linotype" w:hAnsi="Palatino Linotype"/>
          <w:i/>
        </w:rPr>
        <w:t xml:space="preserve">III Bis. Suscribir contratos individuales de trabajo por obra o tiempo determinado, por honorarios asimilables a salarios y por servicios profesionales, en términos de la legislación aplicable. </w:t>
      </w:r>
    </w:p>
    <w:p w14:paraId="6129A41E" w14:textId="77777777" w:rsidR="000135B1" w:rsidRPr="00514593" w:rsidRDefault="00D06945" w:rsidP="00D06945">
      <w:pPr>
        <w:spacing w:line="360" w:lineRule="auto"/>
        <w:ind w:left="1416"/>
        <w:jc w:val="both"/>
        <w:rPr>
          <w:rFonts w:ascii="Palatino Linotype" w:hAnsi="Palatino Linotype"/>
          <w:i/>
        </w:rPr>
      </w:pPr>
      <w:r w:rsidRPr="00514593">
        <w:rPr>
          <w:rFonts w:ascii="Palatino Linotype" w:hAnsi="Palatino Linotype"/>
          <w:i/>
        </w:rPr>
        <w:t>IV. Aplicar las disposiciones legales en materia de reclutamiento</w:t>
      </w:r>
      <w:r w:rsidRPr="00514593">
        <w:rPr>
          <w:rFonts w:ascii="Palatino Linotype" w:hAnsi="Palatino Linotype"/>
          <w:b/>
          <w:i/>
        </w:rPr>
        <w:t>, selección</w:t>
      </w:r>
      <w:r w:rsidRPr="00514593">
        <w:rPr>
          <w:rFonts w:ascii="Palatino Linotype" w:hAnsi="Palatino Linotype"/>
          <w:i/>
        </w:rPr>
        <w:t>, inducción, capacitación, evaluación del desempeño y promoción escalafonaria de los servidores públicos con funciones operativas.</w:t>
      </w:r>
    </w:p>
    <w:p w14:paraId="158A0F0F" w14:textId="77777777" w:rsidR="00D06945" w:rsidRPr="00514593" w:rsidRDefault="00D06945" w:rsidP="00D06945">
      <w:pPr>
        <w:spacing w:line="360" w:lineRule="auto"/>
        <w:ind w:left="1416"/>
        <w:jc w:val="both"/>
        <w:rPr>
          <w:rFonts w:ascii="Palatino Linotype" w:hAnsi="Palatino Linotype"/>
          <w:i/>
        </w:rPr>
      </w:pPr>
      <w:r w:rsidRPr="00514593">
        <w:rPr>
          <w:rFonts w:ascii="Palatino Linotype" w:hAnsi="Palatino Linotype"/>
          <w:i/>
        </w:rPr>
        <w:t xml:space="preserve">V Bis. </w:t>
      </w:r>
      <w:r w:rsidRPr="00514593">
        <w:rPr>
          <w:rFonts w:ascii="Palatino Linotype" w:hAnsi="Palatino Linotype"/>
          <w:b/>
          <w:i/>
        </w:rPr>
        <w:t>Autorizar la contratación</w:t>
      </w:r>
      <w:r w:rsidRPr="00514593">
        <w:rPr>
          <w:rFonts w:ascii="Palatino Linotype" w:hAnsi="Palatino Linotype"/>
          <w:i/>
        </w:rPr>
        <w:t xml:space="preserve">, </w:t>
      </w:r>
      <w:r w:rsidRPr="00514593">
        <w:rPr>
          <w:rFonts w:ascii="Palatino Linotype" w:hAnsi="Palatino Linotype"/>
          <w:b/>
          <w:i/>
        </w:rPr>
        <w:t>cambio de adscripción</w:t>
      </w:r>
      <w:r w:rsidRPr="00514593">
        <w:rPr>
          <w:rFonts w:ascii="Palatino Linotype" w:hAnsi="Palatino Linotype"/>
          <w:i/>
        </w:rPr>
        <w:t xml:space="preserve">, </w:t>
      </w:r>
      <w:r w:rsidRPr="00514593">
        <w:rPr>
          <w:rFonts w:ascii="Palatino Linotype" w:hAnsi="Palatino Linotype"/>
          <w:b/>
          <w:i/>
        </w:rPr>
        <w:t>comisiones,</w:t>
      </w:r>
      <w:r w:rsidRPr="00514593">
        <w:rPr>
          <w:rFonts w:ascii="Palatino Linotype" w:hAnsi="Palatino Linotype"/>
          <w:i/>
        </w:rPr>
        <w:t xml:space="preserve"> promociones, permutas y bajas de personal, previo acuerdo del titular de la unidad administrativa correspondiente.</w:t>
      </w:r>
    </w:p>
    <w:p w14:paraId="6C706519" w14:textId="77777777" w:rsidR="00D06945" w:rsidRPr="00514593" w:rsidRDefault="00D06945" w:rsidP="00D06945">
      <w:pPr>
        <w:spacing w:line="360" w:lineRule="auto"/>
        <w:ind w:left="1416"/>
        <w:jc w:val="both"/>
        <w:rPr>
          <w:rFonts w:ascii="Palatino Linotype" w:hAnsi="Palatino Linotype"/>
          <w:i/>
        </w:rPr>
      </w:pPr>
      <w:r w:rsidRPr="00514593">
        <w:rPr>
          <w:rFonts w:ascii="Palatino Linotype" w:hAnsi="Palatino Linotype"/>
          <w:i/>
        </w:rPr>
        <w:t>…</w:t>
      </w:r>
    </w:p>
    <w:p w14:paraId="2EE36832" w14:textId="77777777" w:rsidR="00D06945" w:rsidRPr="00514593" w:rsidRDefault="00D06945" w:rsidP="00D06945">
      <w:pPr>
        <w:spacing w:line="360" w:lineRule="auto"/>
        <w:ind w:left="1416"/>
        <w:jc w:val="both"/>
        <w:rPr>
          <w:rFonts w:ascii="Palatino Linotype" w:hAnsi="Palatino Linotype"/>
          <w:i/>
        </w:rPr>
      </w:pPr>
      <w:r w:rsidRPr="00514593">
        <w:rPr>
          <w:rFonts w:ascii="Palatino Linotype" w:hAnsi="Palatino Linotype"/>
          <w:i/>
        </w:rPr>
        <w:t>VIII. Mantener comunicación permanente con las organizaciones sindicales de los servidores públicos del Instituto.</w:t>
      </w:r>
    </w:p>
    <w:p w14:paraId="6521003B" w14:textId="77777777" w:rsidR="00D06945" w:rsidRPr="00514593" w:rsidRDefault="00D06945" w:rsidP="00D06945">
      <w:pPr>
        <w:spacing w:line="360" w:lineRule="auto"/>
        <w:ind w:left="1416"/>
        <w:jc w:val="both"/>
        <w:rPr>
          <w:rFonts w:ascii="Palatino Linotype" w:hAnsi="Palatino Linotype"/>
          <w:i/>
        </w:rPr>
      </w:pPr>
      <w:r w:rsidRPr="00514593">
        <w:rPr>
          <w:rFonts w:ascii="Palatino Linotype" w:hAnsi="Palatino Linotype"/>
          <w:i/>
        </w:rPr>
        <w:t xml:space="preserve">XII. </w:t>
      </w:r>
      <w:r w:rsidRPr="00514593">
        <w:rPr>
          <w:rFonts w:ascii="Palatino Linotype" w:hAnsi="Palatino Linotype"/>
          <w:b/>
          <w:i/>
        </w:rPr>
        <w:t>Levantar actas administrativas</w:t>
      </w:r>
      <w:r w:rsidRPr="00514593">
        <w:rPr>
          <w:rFonts w:ascii="Palatino Linotype" w:hAnsi="Palatino Linotype"/>
          <w:i/>
        </w:rPr>
        <w:t xml:space="preserve"> a los servidores públicos del Instituto cuando incumplan las disposiciones laborales respectivas.</w:t>
      </w:r>
    </w:p>
    <w:p w14:paraId="3E12CEDF" w14:textId="77777777" w:rsidR="00620FFD" w:rsidRPr="00514593" w:rsidRDefault="00971BDF" w:rsidP="00971BDF">
      <w:pPr>
        <w:pStyle w:val="Prrafodelista"/>
        <w:tabs>
          <w:tab w:val="left" w:pos="426"/>
        </w:tabs>
        <w:spacing w:before="240" w:after="240"/>
        <w:ind w:left="0" w:right="51"/>
        <w:rPr>
          <w:rFonts w:cs="Arial"/>
        </w:rPr>
      </w:pPr>
      <w:r w:rsidRPr="00514593">
        <w:rPr>
          <w:rFonts w:cs="Arial"/>
        </w:rPr>
        <w:t>Bajo ese contexto, es de recordarse que, p</w:t>
      </w:r>
      <w:r w:rsidRPr="00514593">
        <w:rPr>
          <w:color w:val="000000" w:themeColor="text1"/>
        </w:rPr>
        <w:t xml:space="preserve">ara atender las solicitudes de información, los Sujetos Obligados contarán con un área denominada </w:t>
      </w:r>
      <w:r w:rsidRPr="00514593">
        <w:rPr>
          <w:b/>
          <w:bCs/>
          <w:color w:val="000000" w:themeColor="text1"/>
        </w:rPr>
        <w:t>Unidad de Transparencia</w:t>
      </w:r>
      <w:r w:rsidRPr="00514593">
        <w:rPr>
          <w:color w:val="000000" w:themeColor="text1"/>
          <w:vertAlign w:val="superscript"/>
        </w:rPr>
        <w:footnoteReference w:id="4"/>
      </w:r>
      <w:r w:rsidRPr="00514593">
        <w:rPr>
          <w:color w:val="000000" w:themeColor="text1"/>
        </w:rPr>
        <w:t xml:space="preserve">, la cual será presidida por un Titular, quien fungirá como enlace entre éstos y los solicitantes. </w:t>
      </w:r>
      <w:r w:rsidRPr="00514593">
        <w:rPr>
          <w:color w:val="000000" w:themeColor="text1"/>
        </w:rPr>
        <w:lastRenderedPageBreak/>
        <w:t xml:space="preserve">Dicha Unidad </w:t>
      </w:r>
      <w:r w:rsidRPr="00514593">
        <w:rPr>
          <w:b/>
          <w:bCs/>
          <w:color w:val="000000" w:themeColor="text1"/>
        </w:rPr>
        <w:t>será la encargada de tramitar internamente la solicitud de información</w:t>
      </w:r>
      <w:r w:rsidRPr="00514593">
        <w:rPr>
          <w:color w:val="000000" w:themeColor="text1"/>
        </w:rPr>
        <w:t xml:space="preserve"> y tendrá la alta responsabilidad de verificar, en cada caso, que la misma no sea confidencial o reservada. Asimismo, contará con las facultades internas necesarias para </w:t>
      </w:r>
      <w:r w:rsidRPr="00514593">
        <w:rPr>
          <w:b/>
          <w:bCs/>
          <w:color w:val="000000" w:themeColor="text1"/>
        </w:rPr>
        <w:t xml:space="preserve">gestionar la atención a las solicitudes de información </w:t>
      </w:r>
      <w:r w:rsidRPr="00514593">
        <w:rPr>
          <w:color w:val="000000" w:themeColor="text1"/>
        </w:rPr>
        <w:t>en los términos de la Ley General y la Ley de Transparencia y Acceso a la Información Pública del Estado de México y Municipios</w:t>
      </w:r>
      <w:r w:rsidRPr="00514593">
        <w:rPr>
          <w:color w:val="000000" w:themeColor="text1"/>
          <w:vertAlign w:val="superscript"/>
        </w:rPr>
        <w:footnoteReference w:id="5"/>
      </w:r>
      <w:r w:rsidRPr="00514593">
        <w:rPr>
          <w:color w:val="000000" w:themeColor="text1"/>
        </w:rPr>
        <w:t>.</w:t>
      </w:r>
    </w:p>
    <w:p w14:paraId="72970904" w14:textId="77777777" w:rsidR="00971BDF" w:rsidRPr="00514593" w:rsidRDefault="00971BDF" w:rsidP="00971BDF">
      <w:pPr>
        <w:pStyle w:val="Prrafodelista"/>
        <w:tabs>
          <w:tab w:val="left" w:pos="426"/>
        </w:tabs>
        <w:spacing w:before="240" w:after="240"/>
        <w:ind w:left="0" w:right="51"/>
        <w:rPr>
          <w:rFonts w:eastAsia="MS Mincho"/>
          <w:color w:val="000000"/>
        </w:rPr>
      </w:pPr>
      <w:r w:rsidRPr="00514593">
        <w:t xml:space="preserve">De </w:t>
      </w:r>
      <w:r w:rsidRPr="00514593">
        <w:rPr>
          <w:rFonts w:eastAsia="MS Mincho"/>
          <w:color w:val="000000"/>
        </w:rPr>
        <w:t>conformidad con lo dispuesto por el artículo 53 de la Ley de Transparencia y Acceso a la Información Pública del Estado de México y Municipios, las Unidades de Transparencia tendrán, entre sus atribuciones, las siguientes:</w:t>
      </w:r>
    </w:p>
    <w:p w14:paraId="2741CDA6" w14:textId="77777777" w:rsidR="00971BDF" w:rsidRPr="00514593" w:rsidRDefault="00971BDF" w:rsidP="00971BDF">
      <w:pPr>
        <w:pStyle w:val="Prrafodelista"/>
        <w:numPr>
          <w:ilvl w:val="1"/>
          <w:numId w:val="41"/>
        </w:numPr>
        <w:tabs>
          <w:tab w:val="left" w:pos="426"/>
        </w:tabs>
        <w:spacing w:before="240" w:after="240"/>
        <w:ind w:left="1134" w:right="51"/>
        <w:contextualSpacing/>
        <w:rPr>
          <w:rFonts w:eastAsia="MS Mincho"/>
          <w:i/>
          <w:iCs/>
          <w:color w:val="000000"/>
          <w:sz w:val="22"/>
          <w:szCs w:val="22"/>
        </w:rPr>
      </w:pPr>
      <w:r w:rsidRPr="00514593">
        <w:rPr>
          <w:rFonts w:eastAsia="MS Mincho"/>
          <w:i/>
          <w:iCs/>
          <w:color w:val="000000"/>
          <w:sz w:val="22"/>
          <w:szCs w:val="22"/>
        </w:rPr>
        <w:t>Recibir, tramitar y dar respuesta a las solicitudes de acceso a la información;</w:t>
      </w:r>
    </w:p>
    <w:p w14:paraId="227B2210" w14:textId="77777777" w:rsidR="00971BDF" w:rsidRPr="00514593" w:rsidRDefault="00971BDF" w:rsidP="00971BDF">
      <w:pPr>
        <w:pStyle w:val="Prrafodelista"/>
        <w:numPr>
          <w:ilvl w:val="1"/>
          <w:numId w:val="41"/>
        </w:numPr>
        <w:tabs>
          <w:tab w:val="left" w:pos="426"/>
        </w:tabs>
        <w:spacing w:before="240" w:after="240"/>
        <w:ind w:left="1134" w:right="51"/>
        <w:contextualSpacing/>
        <w:rPr>
          <w:rFonts w:eastAsia="MS Mincho"/>
          <w:i/>
          <w:iCs/>
          <w:color w:val="000000"/>
          <w:sz w:val="22"/>
          <w:szCs w:val="22"/>
        </w:rPr>
      </w:pPr>
      <w:r w:rsidRPr="00514593">
        <w:rPr>
          <w:rFonts w:eastAsia="MS Mincho"/>
          <w:i/>
          <w:iCs/>
          <w:color w:val="000000"/>
          <w:sz w:val="22"/>
          <w:szCs w:val="22"/>
        </w:rPr>
        <w:t xml:space="preserve">Realizar, con efectividad, los trámites internos necesarios para la atención de las solicitudes de acceso a la información; </w:t>
      </w:r>
    </w:p>
    <w:p w14:paraId="68D68199" w14:textId="77777777" w:rsidR="00971BDF" w:rsidRPr="00514593" w:rsidRDefault="00971BDF" w:rsidP="00971BDF">
      <w:pPr>
        <w:pStyle w:val="Prrafodelista"/>
        <w:numPr>
          <w:ilvl w:val="1"/>
          <w:numId w:val="41"/>
        </w:numPr>
        <w:tabs>
          <w:tab w:val="left" w:pos="426"/>
        </w:tabs>
        <w:spacing w:before="240" w:after="240"/>
        <w:ind w:left="1134" w:right="51"/>
        <w:contextualSpacing/>
        <w:rPr>
          <w:rFonts w:eastAsia="MS Mincho"/>
          <w:i/>
          <w:iCs/>
          <w:color w:val="000000"/>
          <w:sz w:val="22"/>
          <w:szCs w:val="22"/>
        </w:rPr>
      </w:pPr>
      <w:r w:rsidRPr="00514593">
        <w:rPr>
          <w:rFonts w:eastAsia="MS Mincho"/>
          <w:i/>
          <w:iCs/>
          <w:color w:val="000000"/>
          <w:sz w:val="22"/>
          <w:szCs w:val="22"/>
        </w:rPr>
        <w:t xml:space="preserve">Entregar, en su caso, a los particulares la información solicitada; y </w:t>
      </w:r>
    </w:p>
    <w:p w14:paraId="0836B6DB" w14:textId="77777777" w:rsidR="00971BDF" w:rsidRPr="00514593" w:rsidRDefault="00971BDF" w:rsidP="00971BDF">
      <w:pPr>
        <w:pStyle w:val="Prrafodelista"/>
        <w:numPr>
          <w:ilvl w:val="1"/>
          <w:numId w:val="41"/>
        </w:numPr>
        <w:tabs>
          <w:tab w:val="left" w:pos="426"/>
        </w:tabs>
        <w:spacing w:before="240" w:after="240"/>
        <w:ind w:left="1134" w:right="51"/>
        <w:contextualSpacing/>
        <w:rPr>
          <w:i/>
          <w:iCs/>
          <w:color w:val="000000" w:themeColor="text1"/>
          <w:sz w:val="22"/>
          <w:szCs w:val="22"/>
        </w:rPr>
      </w:pPr>
      <w:r w:rsidRPr="00514593">
        <w:rPr>
          <w:rFonts w:eastAsia="MS Mincho"/>
          <w:i/>
          <w:iCs/>
          <w:color w:val="000000"/>
          <w:sz w:val="22"/>
          <w:szCs w:val="22"/>
        </w:rPr>
        <w:t>Efectuar las notificaciones a los solicitantes.</w:t>
      </w:r>
    </w:p>
    <w:p w14:paraId="3611B518" w14:textId="77777777" w:rsidR="00971BDF" w:rsidRPr="00514593" w:rsidRDefault="00971BDF" w:rsidP="00971BDF">
      <w:pPr>
        <w:spacing w:line="360" w:lineRule="auto"/>
        <w:jc w:val="both"/>
        <w:rPr>
          <w:rFonts w:ascii="Palatino Linotype" w:hAnsi="Palatino Linotype"/>
        </w:rPr>
      </w:pPr>
    </w:p>
    <w:p w14:paraId="605D22C6" w14:textId="77777777" w:rsidR="00971BDF" w:rsidRPr="00514593" w:rsidRDefault="00971BDF" w:rsidP="00971BDF">
      <w:pPr>
        <w:spacing w:line="360" w:lineRule="auto"/>
        <w:jc w:val="both"/>
        <w:rPr>
          <w:rFonts w:ascii="Palatino Linotype" w:eastAsia="MS Mincho" w:hAnsi="Palatino Linotype"/>
          <w:color w:val="000000"/>
          <w:sz w:val="24"/>
          <w:szCs w:val="24"/>
        </w:rPr>
      </w:pPr>
      <w:r w:rsidRPr="00514593">
        <w:rPr>
          <w:rFonts w:ascii="Palatino Linotype" w:hAnsi="Palatino Linotype"/>
          <w:sz w:val="24"/>
          <w:szCs w:val="24"/>
        </w:rPr>
        <w:t xml:space="preserve">De tal </w:t>
      </w:r>
      <w:r w:rsidRPr="00514593">
        <w:rPr>
          <w:rFonts w:ascii="Palatino Linotype" w:eastAsia="MS Mincho" w:hAnsi="Palatino Linotype"/>
          <w:color w:val="000000"/>
          <w:sz w:val="24"/>
          <w:szCs w:val="24"/>
        </w:rPr>
        <w:t xml:space="preserve">manera que cada una de las áreas administrativas del </w:t>
      </w:r>
      <w:r w:rsidRPr="00514593">
        <w:rPr>
          <w:rFonts w:ascii="Palatino Linotype" w:eastAsia="MS Mincho" w:hAnsi="Palatino Linotype"/>
          <w:b/>
          <w:bCs/>
          <w:color w:val="000000"/>
          <w:sz w:val="24"/>
          <w:szCs w:val="24"/>
        </w:rPr>
        <w:t>SUJETO OBLIGADO</w:t>
      </w:r>
      <w:r w:rsidRPr="00514593">
        <w:rPr>
          <w:rFonts w:ascii="Palatino Linotype" w:eastAsia="MS Mincho" w:hAnsi="Palatino Linotype"/>
          <w:color w:val="000000"/>
          <w:sz w:val="24"/>
          <w:szCs w:val="24"/>
        </w:rPr>
        <w:t xml:space="preserve"> deberá contar con un servidor público habilitado, quien será, a su vez, el enlace entre la Unidad de Transparencia y el área administrativa, y se encargará de buscar, localizar y proporcionar la información que se requiera a través de las solicitudes de acceso a la información.</w:t>
      </w:r>
    </w:p>
    <w:p w14:paraId="700BE396" w14:textId="77777777" w:rsidR="007F58B9" w:rsidRPr="00514593" w:rsidRDefault="00971BDF" w:rsidP="007F58B9">
      <w:pPr>
        <w:spacing w:line="360" w:lineRule="auto"/>
        <w:jc w:val="both"/>
        <w:rPr>
          <w:rFonts w:ascii="Palatino Linotype" w:eastAsia="Palatino Linotype" w:hAnsi="Palatino Linotype" w:cs="Palatino Linotype"/>
          <w:color w:val="000000"/>
        </w:rPr>
      </w:pPr>
      <w:r w:rsidRPr="00514593">
        <w:rPr>
          <w:rFonts w:ascii="Palatino Linotype" w:eastAsia="MS Mincho" w:hAnsi="Palatino Linotype"/>
          <w:color w:val="000000"/>
          <w:sz w:val="24"/>
          <w:szCs w:val="24"/>
        </w:rPr>
        <w:lastRenderedPageBreak/>
        <w:t xml:space="preserve">Por lo que en uso de sus atribuciones la Titular de la Unidad de Transparencia dirigió la solicitud de información a las unidades administrativas que podían satisfacer las pretensiones del Recurrente </w:t>
      </w:r>
      <w:r w:rsidR="00620FFD" w:rsidRPr="00514593">
        <w:rPr>
          <w:rFonts w:ascii="Palatino Linotype" w:eastAsia="MS Mincho" w:hAnsi="Palatino Linotype"/>
          <w:color w:val="000000"/>
          <w:sz w:val="24"/>
          <w:szCs w:val="24"/>
        </w:rPr>
        <w:t xml:space="preserve">como lo fue </w:t>
      </w:r>
      <w:r w:rsidR="007F58B9" w:rsidRPr="00514593">
        <w:rPr>
          <w:rFonts w:ascii="Palatino Linotype" w:eastAsia="MS Mincho" w:hAnsi="Palatino Linotype"/>
          <w:color w:val="000000"/>
          <w:sz w:val="24"/>
          <w:szCs w:val="24"/>
        </w:rPr>
        <w:t xml:space="preserve">a la Subdirección de Recursos Humanos la cual como se precisó en estudio previo es la unidad administrativa que posee, genera y administra la información en comento manifestó que respecto los requerimientos de información </w:t>
      </w:r>
      <w:r w:rsidR="007F58B9" w:rsidRPr="00514593">
        <w:rPr>
          <w:rFonts w:ascii="Palatino Linotype" w:hAnsi="Palatino Linotype"/>
          <w:i/>
          <w:sz w:val="24"/>
          <w:szCs w:val="24"/>
        </w:rPr>
        <w:t>"...</w:t>
      </w:r>
      <w:r w:rsidR="007F58B9" w:rsidRPr="00514593">
        <w:rPr>
          <w:rFonts w:ascii="Palatino Linotype" w:hAnsi="Palatino Linotype"/>
          <w:i/>
        </w:rPr>
        <w:t>Informe si la ciudadana Honoria Arellano Ocampo cuenta actualmente con una plaza vigente registrada en el Instituto de Salud del Estado de México...", "..Copia en versión pública del documento, contrato individual de trabajo,..."y "...En caso de que la ciudadana Honora Arellano Ocampo no cuente con plaza vigente actualmente...</w:t>
      </w:r>
      <w:r w:rsidR="007F58B9" w:rsidRPr="00514593">
        <w:rPr>
          <w:rFonts w:ascii="Palatino Linotype" w:hAnsi="Palatino Linotype"/>
          <w:i/>
          <w:sz w:val="24"/>
          <w:szCs w:val="24"/>
        </w:rPr>
        <w:t xml:space="preserve"> ", </w:t>
      </w:r>
      <w:r w:rsidR="007F58B9" w:rsidRPr="00514593">
        <w:rPr>
          <w:rFonts w:ascii="Palatino Linotype" w:hAnsi="Palatino Linotype"/>
          <w:sz w:val="24"/>
          <w:szCs w:val="24"/>
        </w:rPr>
        <w:t xml:space="preserve"> se manifestó en sentido negativo pues refirió que </w:t>
      </w:r>
      <w:r w:rsidR="007F58B9" w:rsidRPr="00514593">
        <w:rPr>
          <w:rFonts w:ascii="Palatino Linotype" w:hAnsi="Palatino Linotype"/>
          <w:b/>
          <w:sz w:val="24"/>
          <w:szCs w:val="24"/>
        </w:rPr>
        <w:t>después de una búsqueda exhaustiva y razonable en los archivos que obran en esta Subdirección</w:t>
      </w:r>
      <w:r w:rsidR="007F58B9" w:rsidRPr="00514593">
        <w:rPr>
          <w:rFonts w:ascii="Palatino Linotype" w:hAnsi="Palatino Linotype"/>
          <w:sz w:val="24"/>
          <w:szCs w:val="24"/>
        </w:rPr>
        <w:t xml:space="preserve">, </w:t>
      </w:r>
      <w:r w:rsidR="007F58B9" w:rsidRPr="00514593">
        <w:rPr>
          <w:rFonts w:ascii="Palatino Linotype" w:hAnsi="Palatino Linotype"/>
          <w:b/>
          <w:sz w:val="24"/>
          <w:szCs w:val="24"/>
        </w:rPr>
        <w:t xml:space="preserve">no se encontró registro como personal activo en este Instituto de Salud, </w:t>
      </w:r>
      <w:r w:rsidR="007F58B9" w:rsidRPr="00514593">
        <w:rPr>
          <w:rFonts w:ascii="Palatino Linotype" w:eastAsia="Palatino Linotype" w:hAnsi="Palatino Linotype" w:cs="Palatino Linotype"/>
          <w:sz w:val="24"/>
          <w:szCs w:val="24"/>
        </w:rPr>
        <w:t>resultando aplicable la siguiente tesis:</w:t>
      </w:r>
      <w:r w:rsidR="007F58B9" w:rsidRPr="00514593">
        <w:rPr>
          <w:rFonts w:ascii="Palatino Linotype" w:eastAsia="Palatino Linotype" w:hAnsi="Palatino Linotype" w:cs="Palatino Linotype"/>
        </w:rPr>
        <w:t xml:space="preserve"> </w:t>
      </w:r>
    </w:p>
    <w:p w14:paraId="1326F3A5" w14:textId="77777777" w:rsidR="007F58B9" w:rsidRPr="00514593" w:rsidRDefault="007F58B9" w:rsidP="007F58B9">
      <w:pPr>
        <w:pBdr>
          <w:top w:val="nil"/>
          <w:left w:val="nil"/>
          <w:bottom w:val="nil"/>
          <w:right w:val="nil"/>
          <w:between w:val="nil"/>
        </w:pBdr>
        <w:ind w:left="1134" w:right="900"/>
        <w:jc w:val="both"/>
        <w:rPr>
          <w:rFonts w:ascii="Palatino Linotype" w:eastAsia="Palatino Linotype" w:hAnsi="Palatino Linotype" w:cs="Palatino Linotype"/>
          <w:i/>
          <w:color w:val="000000"/>
        </w:rPr>
      </w:pPr>
      <w:r w:rsidRPr="00514593">
        <w:rPr>
          <w:rFonts w:ascii="Palatino Linotype" w:eastAsia="Palatino Linotype" w:hAnsi="Palatino Linotype" w:cs="Palatino Linotype"/>
          <w:i/>
          <w:color w:val="000000"/>
        </w:rPr>
        <w:t>«</w:t>
      </w:r>
      <w:r w:rsidRPr="00514593">
        <w:rPr>
          <w:rFonts w:ascii="Palatino Linotype" w:eastAsia="Palatino Linotype" w:hAnsi="Palatino Linotype" w:cs="Palatino Linotype"/>
          <w:b/>
          <w:i/>
          <w:color w:val="000000"/>
        </w:rPr>
        <w:t>HECHOS NEGATIVOS, NO SON SUSCEPTIBLES DE DEMOSTRACIÓN.</w:t>
      </w:r>
    </w:p>
    <w:p w14:paraId="585DC80C" w14:textId="77777777" w:rsidR="007F58B9" w:rsidRPr="00514593" w:rsidRDefault="007F58B9" w:rsidP="007F58B9">
      <w:pPr>
        <w:pBdr>
          <w:top w:val="nil"/>
          <w:left w:val="nil"/>
          <w:bottom w:val="nil"/>
          <w:right w:val="nil"/>
          <w:between w:val="nil"/>
        </w:pBdr>
        <w:ind w:left="1134" w:right="900"/>
        <w:jc w:val="both"/>
        <w:rPr>
          <w:rFonts w:ascii="Palatino Linotype" w:eastAsia="Palatino Linotype" w:hAnsi="Palatino Linotype" w:cs="Palatino Linotype"/>
          <w:i/>
          <w:color w:val="000000"/>
        </w:rPr>
      </w:pPr>
      <w:r w:rsidRPr="00514593">
        <w:rPr>
          <w:rFonts w:ascii="Palatino Linotype" w:eastAsia="Palatino Linotype" w:hAnsi="Palatino Linotype" w:cs="Palatino Linotype"/>
          <w:i/>
          <w:color w:val="000000"/>
        </w:rPr>
        <w:t>Tratándose de un hecho negativo, el Juez no tiene por qué invocar prueba alguna de la que se desprenda, ya que es bien sabido que esta clase de hechos no son susceptibles de demostración.</w:t>
      </w:r>
    </w:p>
    <w:p w14:paraId="20D05CA9" w14:textId="77777777" w:rsidR="007F58B9" w:rsidRPr="00514593" w:rsidRDefault="007F58B9" w:rsidP="007F58B9">
      <w:pPr>
        <w:pBdr>
          <w:top w:val="nil"/>
          <w:left w:val="nil"/>
          <w:bottom w:val="nil"/>
          <w:right w:val="nil"/>
          <w:between w:val="nil"/>
        </w:pBdr>
        <w:ind w:left="1134" w:right="900"/>
        <w:jc w:val="both"/>
        <w:rPr>
          <w:rFonts w:ascii="Palatino Linotype" w:eastAsia="Palatino Linotype" w:hAnsi="Palatino Linotype" w:cs="Palatino Linotype"/>
          <w:i/>
          <w:color w:val="000000"/>
        </w:rPr>
      </w:pPr>
      <w:r w:rsidRPr="00514593">
        <w:rPr>
          <w:rFonts w:ascii="Palatino Linotype" w:eastAsia="Palatino Linotype" w:hAnsi="Palatino Linotype" w:cs="Palatino Linotype"/>
          <w:i/>
          <w:color w:val="000000"/>
        </w:rPr>
        <w:t>Amparo en revisión 2022/61. José García Florín (Menor). 9 de octubre de 1961. Cinco votos. Ponente: José Rivera Pérez Campos</w:t>
      </w:r>
    </w:p>
    <w:p w14:paraId="747F933D" w14:textId="77777777" w:rsidR="007F58B9" w:rsidRPr="00514593" w:rsidRDefault="007F58B9" w:rsidP="007F58B9">
      <w:pPr>
        <w:spacing w:line="360" w:lineRule="auto"/>
        <w:jc w:val="both"/>
        <w:rPr>
          <w:rFonts w:ascii="Palatino Linotype" w:eastAsia="Palatino Linotype" w:hAnsi="Palatino Linotype" w:cs="Palatino Linotype"/>
          <w:color w:val="000000"/>
        </w:rPr>
      </w:pPr>
    </w:p>
    <w:p w14:paraId="5D406ED0" w14:textId="77777777" w:rsidR="007F58B9" w:rsidRPr="00514593" w:rsidRDefault="007F58B9" w:rsidP="007F58B9">
      <w:pPr>
        <w:spacing w:line="360" w:lineRule="auto"/>
        <w:jc w:val="both"/>
        <w:rPr>
          <w:rFonts w:ascii="Palatino Linotype" w:hAnsi="Palatino Linotype" w:cs="Tahoma"/>
          <w:bCs/>
          <w:sz w:val="24"/>
          <w:szCs w:val="24"/>
          <w:lang w:eastAsia="es-ES"/>
        </w:rPr>
      </w:pPr>
      <w:r w:rsidRPr="00514593">
        <w:rPr>
          <w:rFonts w:ascii="Palatino Linotype" w:eastAsia="Palatino Linotype" w:hAnsi="Palatino Linotype" w:cs="Palatino Linotype"/>
          <w:sz w:val="24"/>
          <w:szCs w:val="24"/>
        </w:rPr>
        <w:t xml:space="preserve">De lo que se desprende que es materialmente imposible realizar la entrega de alguna documental que no ha generado el </w:t>
      </w:r>
      <w:r w:rsidRPr="00514593">
        <w:rPr>
          <w:rFonts w:ascii="Palatino Linotype" w:eastAsia="Palatino Linotype" w:hAnsi="Palatino Linotype" w:cs="Palatino Linotype"/>
          <w:b/>
          <w:sz w:val="24"/>
          <w:szCs w:val="24"/>
        </w:rPr>
        <w:t>SUJETO OBLIGADO</w:t>
      </w:r>
      <w:r w:rsidRPr="00514593">
        <w:rPr>
          <w:rFonts w:ascii="Palatino Linotype" w:eastAsia="Palatino Linotype" w:hAnsi="Palatino Linotype" w:cs="Palatino Linotype"/>
          <w:sz w:val="24"/>
          <w:szCs w:val="24"/>
        </w:rPr>
        <w:t>.</w:t>
      </w:r>
      <w:r w:rsidRPr="00514593">
        <w:rPr>
          <w:rFonts w:ascii="Palatino Linotype" w:eastAsia="Palatino Linotype" w:hAnsi="Palatino Linotype" w:cs="Palatino Linotype"/>
          <w:color w:val="000000"/>
          <w:sz w:val="24"/>
          <w:szCs w:val="24"/>
        </w:rPr>
        <w:t xml:space="preserve"> En este sentido este Instituto carece de facultades para dudar de la veracidad de la respuesta emitida pues no está facultado para pronunciarse sobre la veracidad de la información que los Sujetos </w:t>
      </w:r>
      <w:r w:rsidRPr="00514593">
        <w:rPr>
          <w:rFonts w:ascii="Palatino Linotype" w:eastAsia="Palatino Linotype" w:hAnsi="Palatino Linotype" w:cs="Palatino Linotype"/>
          <w:color w:val="000000"/>
          <w:sz w:val="24"/>
          <w:szCs w:val="24"/>
        </w:rPr>
        <w:lastRenderedPageBreak/>
        <w:t>Obligados ponen a disposición de los solicitantes; situación que se aleja de las atribuciones de este Instituto.</w:t>
      </w:r>
      <w:r w:rsidRPr="00514593">
        <w:rPr>
          <w:rFonts w:ascii="Palatino Linotype" w:hAnsi="Palatino Linotype" w:cs="Tahoma"/>
          <w:bCs/>
          <w:sz w:val="24"/>
          <w:szCs w:val="24"/>
          <w:lang w:eastAsia="es-ES"/>
        </w:rPr>
        <w:t xml:space="preserve"> </w:t>
      </w:r>
    </w:p>
    <w:p w14:paraId="0BE811E2" w14:textId="77777777" w:rsidR="00620FFD" w:rsidRPr="00514593" w:rsidRDefault="00620FFD" w:rsidP="00971BDF">
      <w:pPr>
        <w:spacing w:line="360" w:lineRule="auto"/>
        <w:jc w:val="both"/>
        <w:rPr>
          <w:rFonts w:ascii="Palatino Linotype" w:eastAsia="MS Mincho" w:hAnsi="Palatino Linotype"/>
          <w:color w:val="000000"/>
          <w:sz w:val="24"/>
          <w:szCs w:val="24"/>
        </w:rPr>
      </w:pPr>
    </w:p>
    <w:p w14:paraId="6102C94A" w14:textId="77777777" w:rsidR="00971BDF" w:rsidRPr="00514593" w:rsidRDefault="007F58B9" w:rsidP="00971BDF">
      <w:pPr>
        <w:spacing w:line="360" w:lineRule="auto"/>
        <w:jc w:val="both"/>
        <w:rPr>
          <w:rFonts w:ascii="Palatino Linotype" w:eastAsia="Palatino Linotype" w:hAnsi="Palatino Linotype" w:cs="Palatino Linotype"/>
          <w:color w:val="000000"/>
          <w:sz w:val="24"/>
          <w:szCs w:val="24"/>
        </w:rPr>
      </w:pPr>
      <w:r w:rsidRPr="00514593">
        <w:rPr>
          <w:rFonts w:ascii="Palatino Linotype" w:eastAsia="MS Mincho" w:hAnsi="Palatino Linotype"/>
          <w:color w:val="000000"/>
          <w:sz w:val="24"/>
          <w:szCs w:val="24"/>
        </w:rPr>
        <w:t>Sin embargo r</w:t>
      </w:r>
      <w:r w:rsidRPr="00514593">
        <w:rPr>
          <w:rFonts w:ascii="Palatino Linotype" w:eastAsia="MS Mincho" w:hAnsi="Palatino Linotype"/>
          <w:color w:val="000000"/>
          <w:sz w:val="24"/>
          <w:szCs w:val="24"/>
          <w:u w:val="single"/>
        </w:rPr>
        <w:t>especto los demás requerimientos de información fue omiso en pronunciarse</w:t>
      </w:r>
      <w:r w:rsidRPr="00514593">
        <w:rPr>
          <w:rFonts w:ascii="Palatino Linotype" w:eastAsia="MS Mincho" w:hAnsi="Palatino Linotype"/>
          <w:color w:val="000000"/>
          <w:sz w:val="24"/>
          <w:szCs w:val="24"/>
        </w:rPr>
        <w:t xml:space="preserve"> por lo que no se puede</w:t>
      </w:r>
      <w:r w:rsidR="00971BDF" w:rsidRPr="00514593">
        <w:rPr>
          <w:rFonts w:ascii="Palatino Linotype" w:eastAsia="MS Mincho" w:hAnsi="Palatino Linotype"/>
          <w:color w:val="000000"/>
          <w:sz w:val="24"/>
          <w:szCs w:val="24"/>
        </w:rPr>
        <w:t xml:space="preserve"> acredita</w:t>
      </w:r>
      <w:r w:rsidRPr="00514593">
        <w:rPr>
          <w:rFonts w:ascii="Palatino Linotype" w:eastAsia="MS Mincho" w:hAnsi="Palatino Linotype"/>
          <w:color w:val="000000"/>
          <w:sz w:val="24"/>
          <w:szCs w:val="24"/>
        </w:rPr>
        <w:t>r</w:t>
      </w:r>
      <w:r w:rsidR="00971BDF" w:rsidRPr="00514593">
        <w:rPr>
          <w:rFonts w:ascii="Palatino Linotype" w:eastAsia="MS Mincho" w:hAnsi="Palatino Linotype"/>
          <w:color w:val="000000"/>
          <w:sz w:val="24"/>
          <w:szCs w:val="24"/>
        </w:rPr>
        <w:t xml:space="preserve"> que</w:t>
      </w:r>
      <w:r w:rsidR="00971BDF" w:rsidRPr="00514593">
        <w:rPr>
          <w:rFonts w:ascii="Palatino Linotype" w:eastAsia="Palatino Linotype" w:hAnsi="Palatino Linotype" w:cs="Palatino Linotype"/>
          <w:color w:val="000000"/>
          <w:sz w:val="24"/>
          <w:szCs w:val="24"/>
        </w:rPr>
        <w:t xml:space="preserve"> se realizó la búsqueda exhaustiva y razonable de la información de información a la unidad administrativa que posee, genera y administra, cuyo alcance se encuentra establecido en el Criterio Reiterado 02/19 emitido por el Pleno de este Organismo Garante, a saber:</w:t>
      </w:r>
    </w:p>
    <w:p w14:paraId="42F112F2" w14:textId="77777777" w:rsidR="00971BDF" w:rsidRPr="00514593" w:rsidRDefault="00971BDF" w:rsidP="00971BDF">
      <w:pPr>
        <w:spacing w:line="360" w:lineRule="auto"/>
        <w:ind w:left="567" w:right="706"/>
        <w:jc w:val="both"/>
        <w:rPr>
          <w:rFonts w:ascii="Palatino Linotype" w:eastAsia="Palatino Linotype" w:hAnsi="Palatino Linotype" w:cs="Palatino Linotype"/>
          <w:i/>
          <w:color w:val="000000"/>
        </w:rPr>
      </w:pPr>
      <w:r w:rsidRPr="00514593">
        <w:rPr>
          <w:rFonts w:ascii="Palatino Linotype" w:eastAsia="Palatino Linotype" w:hAnsi="Palatino Linotype" w:cs="Palatino Linotype"/>
          <w:b/>
          <w:i/>
          <w:color w:val="000000"/>
        </w:rPr>
        <w:t xml:space="preserve">“BÚSQUEDA EXHAUSTIVA. SU EJERCICIO PARA LOCALIZAR LA INFORMACIÓN SOLICITADA, NO CONSTITUYE UNA INVESTIGACIÓN A LA CUAL SE REFIERE EL ARTÍCULO 12 DE LA LEY DE TRANSPARENCIA Y ACCESO A LA INFORMACIÓN PÚBLICA DEL ESTADO DE MÉXICO Y MUNICIPIOS. </w:t>
      </w:r>
      <w:r w:rsidRPr="00514593">
        <w:rPr>
          <w:rFonts w:ascii="Palatino Linotype" w:eastAsia="Palatino Linotype" w:hAnsi="Palatino Linotype" w:cs="Palatino Linotype"/>
          <w:i/>
          <w:color w:val="000000"/>
        </w:rPr>
        <w:t xml:space="preserve">De conformidad con lo establecido en el artículo 162 de la Ley de Transparencia vigente en la entidad, para atender una solicitud de acceso a la información pública, la Unidad de Transparencia del Sujeto Obligado debe turnar el requerimiento a todas las áreas competentes que pudieran haber generado, poseído o administrado la información solicitada de acuerdo a sus facultades, competencias y funciones, con la finalidad de realizar una búsqueda exhaustiva y razonable en sus archivos que lleve a la localización de los documentos donde conste la información solicitada; por tanto, esta búsqueda es una actividad necesaria e indispensable para la correcta atención de las solicitudes de información que permite la localización de aquella documentación requerida por el solicitante, sin que ello deba entenderse como una investigación de la señalada en el artículo 12, segundo párrafo de la Ley de Transparencia Local; lo anterior es así, toda vez que de acuerdo al Diccionario de la Real Academia Española, la palabra investigar hace referencia, entre otras cosas, a la </w:t>
      </w:r>
      <w:r w:rsidRPr="00514593">
        <w:rPr>
          <w:rFonts w:ascii="Palatino Linotype" w:eastAsia="Palatino Linotype" w:hAnsi="Palatino Linotype" w:cs="Palatino Linotype"/>
          <w:i/>
          <w:color w:val="000000"/>
        </w:rPr>
        <w:lastRenderedPageBreak/>
        <w:t>realización de actividades intelectuales y experimentales de modo sistemático cuyo propósito es aumentar los conocimientos sobre una determinada materia, lo que conlleva a concluir que la investigación inmersa en el artículo 12 de la Ley de la materia se refiere a que los sujetos obligados no están constreñidos a realizar un análisis, extracción y generación de nueva información. Bajo ese tenor, la búsqueda y localización de la información que refiere el numeral 162 de la Ley de Transparencia, no implica una investigación de la señalada en el artículo 12 del mismo ordenamiento legal y, por tanto, los sujetos obligados no podrán excusarse de su ejercicio bajo el argumento de que ello conlleva una investigación.”</w:t>
      </w:r>
    </w:p>
    <w:p w14:paraId="35709971" w14:textId="77777777" w:rsidR="00971BDF" w:rsidRPr="00514593" w:rsidRDefault="00971BDF" w:rsidP="00971BDF">
      <w:pPr>
        <w:spacing w:line="360" w:lineRule="auto"/>
        <w:jc w:val="both"/>
        <w:rPr>
          <w:rFonts w:ascii="Palatino Linotype" w:eastAsia="Palatino Linotype" w:hAnsi="Palatino Linotype" w:cs="Palatino Linotype"/>
          <w:color w:val="000000"/>
        </w:rPr>
      </w:pPr>
    </w:p>
    <w:p w14:paraId="3BBB617D" w14:textId="77777777" w:rsidR="00971BDF" w:rsidRPr="00514593" w:rsidRDefault="00971BDF" w:rsidP="00971BDF">
      <w:pPr>
        <w:spacing w:line="360" w:lineRule="auto"/>
        <w:jc w:val="both"/>
        <w:rPr>
          <w:rFonts w:ascii="Palatino Linotype" w:eastAsia="Palatino Linotype" w:hAnsi="Palatino Linotype" w:cs="Palatino Linotype"/>
          <w:color w:val="000000"/>
          <w:sz w:val="24"/>
          <w:szCs w:val="24"/>
        </w:rPr>
      </w:pPr>
      <w:r w:rsidRPr="00514593">
        <w:rPr>
          <w:rFonts w:ascii="Palatino Linotype" w:eastAsia="Palatino Linotype" w:hAnsi="Palatino Linotype" w:cs="Palatino Linotype"/>
          <w:color w:val="000000"/>
          <w:sz w:val="24"/>
          <w:szCs w:val="24"/>
        </w:rPr>
        <w:t>En tal sentido, resulta aplicable el Criterio 02/17 emitido por el Peno del Instituto Nacional de Transparencia y Acceso a la Información y Protección de Datos Personales, de título y texto siguientes:</w:t>
      </w:r>
    </w:p>
    <w:p w14:paraId="1E97BF4B" w14:textId="77777777" w:rsidR="00530E7A" w:rsidRPr="00514593" w:rsidRDefault="00971BDF" w:rsidP="001B22FA">
      <w:pPr>
        <w:spacing w:line="360" w:lineRule="auto"/>
        <w:ind w:left="851" w:right="851"/>
        <w:jc w:val="both"/>
        <w:rPr>
          <w:rFonts w:ascii="Palatino Linotype" w:eastAsia="Palatino Linotype" w:hAnsi="Palatino Linotype" w:cs="Palatino Linotype"/>
          <w:sz w:val="24"/>
          <w:szCs w:val="24"/>
        </w:rPr>
      </w:pPr>
      <w:r w:rsidRPr="00514593">
        <w:rPr>
          <w:rFonts w:ascii="Palatino Linotype" w:eastAsia="Palatino Linotype" w:hAnsi="Palatino Linotype" w:cs="Palatino Linotype"/>
          <w:b/>
          <w:i/>
          <w:color w:val="000000"/>
        </w:rPr>
        <w:t xml:space="preserve">“Congruencia y exhaustividad. Sus alcances para garantizar el derecho de acceso a la información. </w:t>
      </w:r>
      <w:r w:rsidRPr="00514593">
        <w:rPr>
          <w:rFonts w:ascii="Palatino Linotype" w:eastAsia="Palatino Linotype" w:hAnsi="Palatino Linotype" w:cs="Palatino Linotype"/>
          <w:i/>
          <w:color w:val="000000"/>
        </w:rPr>
        <w:t xml:space="preserve">De conformidad con el artículo 3 de la Ley Federal de Procedimiento Administrativo, de aplicación supletoria a la Ley Federal de Transparencia y Acceso a la Información Pública, en términos de su artículo 7; todo acto administrativo debe cumplir con los principios de congruencia y exhaustividad. Para el efectivo ejercicio del derecho de acceso a la información, </w:t>
      </w:r>
      <w:r w:rsidRPr="00514593">
        <w:rPr>
          <w:rFonts w:ascii="Palatino Linotype" w:eastAsia="Palatino Linotype" w:hAnsi="Palatino Linotype" w:cs="Palatino Linotype"/>
          <w:b/>
          <w:i/>
          <w:color w:val="000000"/>
        </w:rPr>
        <w:t>la congruencia implica que exista concordancia entre el requerimiento formulado por el particular y la respuesta proporcionada por el sujeto obligado</w:t>
      </w:r>
      <w:r w:rsidRPr="00514593">
        <w:rPr>
          <w:rFonts w:ascii="Palatino Linotype" w:eastAsia="Palatino Linotype" w:hAnsi="Palatino Linotype" w:cs="Palatino Linotype"/>
          <w:i/>
          <w:color w:val="000000"/>
        </w:rPr>
        <w:t xml:space="preserve">; mientras que </w:t>
      </w:r>
      <w:r w:rsidRPr="00514593">
        <w:rPr>
          <w:rFonts w:ascii="Palatino Linotype" w:eastAsia="Palatino Linotype" w:hAnsi="Palatino Linotype" w:cs="Palatino Linotype"/>
          <w:b/>
          <w:i/>
          <w:color w:val="000000"/>
        </w:rPr>
        <w:t>la exhaustividad significa que dicha respuesta se refiera expresamente a cada uno de los puntos solicitados</w:t>
      </w:r>
      <w:r w:rsidRPr="00514593">
        <w:rPr>
          <w:rFonts w:ascii="Palatino Linotype" w:eastAsia="Palatino Linotype" w:hAnsi="Palatino Linotype" w:cs="Palatino Linotype"/>
          <w:i/>
          <w:color w:val="000000"/>
        </w:rPr>
        <w:t xml:space="preserve">. Por lo anterior, los sujetos obligados cumplirán con los principios de congruencia y exhaustividad, cuando las respuestas que emitan guarden una relación </w:t>
      </w:r>
      <w:r w:rsidRPr="00514593">
        <w:rPr>
          <w:rFonts w:ascii="Palatino Linotype" w:eastAsia="Palatino Linotype" w:hAnsi="Palatino Linotype" w:cs="Palatino Linotype"/>
          <w:i/>
          <w:color w:val="000000"/>
        </w:rPr>
        <w:lastRenderedPageBreak/>
        <w:t>lógica con lo solicitado y atiendan de manera puntual y expresa, cada uno de los contenidos de información.”</w:t>
      </w:r>
    </w:p>
    <w:p w14:paraId="3E9273A4" w14:textId="77777777" w:rsidR="00BC3E77" w:rsidRPr="00514593" w:rsidRDefault="00BC3E77" w:rsidP="00BC3E77">
      <w:pPr>
        <w:tabs>
          <w:tab w:val="left" w:pos="3962"/>
        </w:tabs>
        <w:spacing w:line="360" w:lineRule="auto"/>
        <w:jc w:val="both"/>
        <w:rPr>
          <w:rFonts w:ascii="Palatino Linotype" w:eastAsia="Calibri" w:hAnsi="Palatino Linotype" w:cs="Tahoma"/>
          <w:bCs/>
          <w:sz w:val="24"/>
          <w:szCs w:val="24"/>
        </w:rPr>
      </w:pPr>
    </w:p>
    <w:p w14:paraId="136B3ACA" w14:textId="77777777" w:rsidR="00BC3E77" w:rsidRPr="00514593" w:rsidRDefault="00BC3E77" w:rsidP="00BC3E77">
      <w:pPr>
        <w:tabs>
          <w:tab w:val="left" w:pos="3962"/>
        </w:tabs>
        <w:spacing w:line="360" w:lineRule="auto"/>
        <w:jc w:val="both"/>
        <w:rPr>
          <w:rFonts w:ascii="Palatino Linotype" w:eastAsia="Calibri" w:hAnsi="Palatino Linotype" w:cs="Tahoma"/>
          <w:bCs/>
          <w:sz w:val="24"/>
          <w:szCs w:val="24"/>
        </w:rPr>
      </w:pPr>
      <w:r w:rsidRPr="00514593">
        <w:rPr>
          <w:rFonts w:ascii="Palatino Linotype" w:eastAsia="Calibri" w:hAnsi="Palatino Linotype" w:cs="Tahoma"/>
          <w:bCs/>
          <w:sz w:val="24"/>
          <w:szCs w:val="24"/>
        </w:rPr>
        <w:t>En este sentido, respecto el requerimiento de información “</w:t>
      </w:r>
      <w:r w:rsidRPr="00514593">
        <w:rPr>
          <w:rFonts w:ascii="Palatino Linotype" w:hAnsi="Palatino Linotype"/>
          <w:i/>
          <w:color w:val="000000"/>
        </w:rPr>
        <w:t>si cuenta con algún registro de notas desfavorables, actas administrativas, actas de hechos, reportes de incidencias, denuncias, demandas o procedimientos administrativos, penales, civiles o laborales iniciados en su contra dentro del Instituto de Salud</w:t>
      </w:r>
      <w:r w:rsidR="00462C23" w:rsidRPr="00514593">
        <w:rPr>
          <w:rFonts w:ascii="Palatino Linotype" w:hAnsi="Palatino Linotype"/>
          <w:i/>
          <w:color w:val="000000"/>
        </w:rPr>
        <w:t>…</w:t>
      </w:r>
      <w:r w:rsidRPr="00514593">
        <w:rPr>
          <w:rFonts w:ascii="Palatino Linotype" w:eastAsia="Calibri" w:hAnsi="Palatino Linotype" w:cs="Tahoma"/>
          <w:bCs/>
          <w:sz w:val="24"/>
          <w:szCs w:val="24"/>
        </w:rPr>
        <w:t xml:space="preserve">” debido a que la información versa respecto a una persona determinada identificada, </w:t>
      </w:r>
      <w:r w:rsidRPr="00514593">
        <w:rPr>
          <w:rFonts w:ascii="Palatino Linotype" w:eastAsia="Calibri" w:hAnsi="Palatino Linotype" w:cs="Tahoma"/>
          <w:bCs/>
          <w:sz w:val="24"/>
          <w:szCs w:val="24"/>
          <w:u w:val="single"/>
        </w:rPr>
        <w:t>resulta necesario analizar si de ser el caso procede entregar el pronunciamiento respecto a la existencia o no de un procedimiento de responsabilidad</w:t>
      </w:r>
      <w:r w:rsidRPr="00514593">
        <w:rPr>
          <w:rFonts w:ascii="Palatino Linotype" w:eastAsia="Calibri" w:hAnsi="Palatino Linotype" w:cs="Tahoma"/>
          <w:bCs/>
          <w:sz w:val="24"/>
          <w:szCs w:val="24"/>
        </w:rPr>
        <w:t>, conforme a lo siguiente:</w:t>
      </w:r>
    </w:p>
    <w:p w14:paraId="13BB138E" w14:textId="77777777" w:rsidR="00BC3E77" w:rsidRPr="00514593" w:rsidRDefault="00BC3E77" w:rsidP="00BC3E77">
      <w:pPr>
        <w:tabs>
          <w:tab w:val="left" w:pos="3962"/>
        </w:tabs>
        <w:spacing w:line="360" w:lineRule="auto"/>
        <w:jc w:val="both"/>
        <w:rPr>
          <w:rFonts w:ascii="Palatino Linotype" w:eastAsia="Calibri" w:hAnsi="Palatino Linotype" w:cs="Tahoma"/>
          <w:bCs/>
          <w:sz w:val="24"/>
          <w:szCs w:val="24"/>
        </w:rPr>
      </w:pPr>
    </w:p>
    <w:p w14:paraId="0AE9DC98" w14:textId="77777777" w:rsidR="00BC3E77" w:rsidRPr="00514593" w:rsidRDefault="00BC3E77" w:rsidP="00BC3E77">
      <w:pPr>
        <w:pStyle w:val="Prrafodelista"/>
        <w:numPr>
          <w:ilvl w:val="0"/>
          <w:numId w:val="44"/>
        </w:numPr>
        <w:tabs>
          <w:tab w:val="left" w:pos="3962"/>
        </w:tabs>
        <w:ind w:left="426"/>
        <w:contextualSpacing/>
        <w:rPr>
          <w:rFonts w:cs="Tahoma"/>
          <w:b/>
          <w:bCs/>
        </w:rPr>
      </w:pPr>
      <w:r w:rsidRPr="00514593">
        <w:rPr>
          <w:rFonts w:cs="Tahoma"/>
          <w:b/>
          <w:bCs/>
        </w:rPr>
        <w:t>Procedimiento de responsabilidad en trámite.</w:t>
      </w:r>
    </w:p>
    <w:p w14:paraId="48C07AED" w14:textId="77777777" w:rsidR="00BC3E77" w:rsidRPr="00514593" w:rsidRDefault="00BC3E77" w:rsidP="00BC3E77">
      <w:pPr>
        <w:tabs>
          <w:tab w:val="left" w:pos="3962"/>
        </w:tabs>
        <w:spacing w:line="360" w:lineRule="auto"/>
        <w:jc w:val="both"/>
        <w:rPr>
          <w:rFonts w:ascii="Palatino Linotype" w:eastAsia="Calibri" w:hAnsi="Palatino Linotype" w:cs="Tahoma"/>
          <w:bCs/>
          <w:sz w:val="24"/>
          <w:szCs w:val="24"/>
        </w:rPr>
      </w:pPr>
      <w:r w:rsidRPr="00514593">
        <w:rPr>
          <w:rFonts w:ascii="Palatino Linotype" w:eastAsia="Calibri" w:hAnsi="Palatino Linotype" w:cs="Tahoma"/>
          <w:bCs/>
          <w:sz w:val="24"/>
          <w:szCs w:val="24"/>
        </w:rPr>
        <w:t>Al respecto, es necesario señalar que pronunciarse sobre la existencia de un procedimiento de posibles responsabilidades en trámite, podría afectar al posible responsable identificado, en el presente caso, ya que se daría a conocer la existencia de una investigación en contra, lo cual, generaría una percepción negativa de este, sin que se hubiere probado su responsabilidad o culpabilidad, lo cual dañaría, su honor y su derecho a la presunción inocencia e inclusive su actividad profesional, pues aún no se juntan los elementos necesarios para iniciar la segunda etapa del procedimiento.</w:t>
      </w:r>
    </w:p>
    <w:p w14:paraId="1B38A96C" w14:textId="77777777" w:rsidR="00BC3E77" w:rsidRPr="00514593" w:rsidRDefault="00BC3E77" w:rsidP="00BC3E77">
      <w:pPr>
        <w:tabs>
          <w:tab w:val="left" w:pos="3962"/>
        </w:tabs>
        <w:spacing w:line="360" w:lineRule="auto"/>
        <w:jc w:val="both"/>
        <w:rPr>
          <w:rFonts w:ascii="Palatino Linotype" w:eastAsia="Calibri" w:hAnsi="Palatino Linotype" w:cs="Tahoma"/>
          <w:bCs/>
          <w:sz w:val="24"/>
          <w:szCs w:val="24"/>
        </w:rPr>
      </w:pPr>
    </w:p>
    <w:p w14:paraId="67C8471C" w14:textId="77777777" w:rsidR="00BC3E77" w:rsidRPr="00514593" w:rsidRDefault="00BC3E77" w:rsidP="00BC3E77">
      <w:pPr>
        <w:tabs>
          <w:tab w:val="left" w:pos="3962"/>
        </w:tabs>
        <w:spacing w:line="360" w:lineRule="auto"/>
        <w:jc w:val="both"/>
        <w:rPr>
          <w:rFonts w:ascii="Palatino Linotype" w:eastAsia="Calibri" w:hAnsi="Palatino Linotype" w:cs="Tahoma"/>
          <w:bCs/>
          <w:sz w:val="24"/>
          <w:szCs w:val="24"/>
        </w:rPr>
      </w:pPr>
      <w:r w:rsidRPr="00514593">
        <w:rPr>
          <w:rFonts w:ascii="Palatino Linotype" w:eastAsia="Calibri" w:hAnsi="Palatino Linotype" w:cs="Tahoma"/>
          <w:bCs/>
          <w:sz w:val="24"/>
          <w:szCs w:val="24"/>
        </w:rPr>
        <w:t xml:space="preserve">Al respecto, por lo que hace al derecho al honor, la jurisprudencia número 1a./J. 118/2013 (10a.), emitida por la Primera Sala de la Suprema Corte de Justicia de la Nación, publicada </w:t>
      </w:r>
      <w:r w:rsidRPr="00514593">
        <w:rPr>
          <w:rFonts w:ascii="Palatino Linotype" w:eastAsia="Calibri" w:hAnsi="Palatino Linotype" w:cs="Tahoma"/>
          <w:bCs/>
          <w:sz w:val="24"/>
          <w:szCs w:val="24"/>
        </w:rPr>
        <w:lastRenderedPageBreak/>
        <w:t xml:space="preserve">en la Gaceta del Semanario Judicial de la Federación, Tomo I, Libro 3, de febrero de 2014, página 470, de la Décima Época, materia constitucional, dispone: </w:t>
      </w:r>
    </w:p>
    <w:p w14:paraId="095CE3D4" w14:textId="77777777" w:rsidR="00BC3E77" w:rsidRPr="00514593" w:rsidRDefault="00BC3E77" w:rsidP="00BC3E77">
      <w:pPr>
        <w:ind w:left="567" w:right="567"/>
        <w:contextualSpacing/>
        <w:jc w:val="both"/>
        <w:rPr>
          <w:rFonts w:ascii="Palatino Linotype" w:eastAsia="Calibri" w:hAnsi="Palatino Linotype" w:cs="Tahoma"/>
          <w:bCs/>
          <w:i/>
          <w:iCs/>
        </w:rPr>
      </w:pPr>
      <w:r w:rsidRPr="00514593">
        <w:rPr>
          <w:rFonts w:ascii="Palatino Linotype" w:eastAsia="Calibri" w:hAnsi="Palatino Linotype" w:cs="Tahoma"/>
          <w:b/>
          <w:bCs/>
          <w:i/>
          <w:iCs/>
        </w:rPr>
        <w:t xml:space="preserve">“DERECHO FUNDAMENTAL AL HONOR. SU DIMENSIÓN SUBJETIVA Y OBJETIVA. </w:t>
      </w:r>
      <w:r w:rsidRPr="00514593">
        <w:rPr>
          <w:rFonts w:ascii="Palatino Linotype" w:eastAsia="Calibri" w:hAnsi="Palatino Linotype" w:cs="Tahoma"/>
          <w:bCs/>
          <w:i/>
          <w:iCs/>
        </w:rPr>
        <w:t>A juicio de esta Primera Sala de la Suprema Corte de Justicia de la Nación, es posible definir al honor como el concepto que la persona tiene de sí misma o que los demás se han formado de ella, en virtud de su proceder o de la expresión de su calidad ética y social. Todo individuo, al vivir en sociedad, tiene el derecho de ser respetado y considerado y, correlativamente, tiene la obligación de respetar a aquellos que lo rodean. En el campo jurídico esta necesidad se traduce en un derecho que involucra la facultad que tiene cada individuo de pedir que se le trate en forma decorosa y la obligación de los demás de responder a este tratamiento. Por lo general, existen dos formas de sentir y entender el honor: a) en el aspecto subjetivo o ético, el honor se basa en un sentimiento íntimo que se exterioriza por la afirmación que la persona hace de su propia dignidad; y b) en el aspecto objetivo, externo o social, como la estimación interpersonal que la persona tiene por sus cualidades morales y profesionales dentro de la comunidad. En el aspecto subjetivo, el honor es lesionado por todo aquello que lastima el sentimiento de la propia dignidad. En el aspecto objetivo, el honor es lesionado por todo aquello que afecta a la reputación que la persona merece, es decir, el derecho a que otros no condicionen negativamente la opinión que los demás hayan de formarse de nosotros.”</w:t>
      </w:r>
    </w:p>
    <w:p w14:paraId="4B9CE9A6" w14:textId="77777777" w:rsidR="00BC3E77" w:rsidRPr="00514593" w:rsidRDefault="00BC3E77" w:rsidP="00BC3E77">
      <w:pPr>
        <w:tabs>
          <w:tab w:val="left" w:pos="3962"/>
        </w:tabs>
        <w:spacing w:line="360" w:lineRule="auto"/>
        <w:jc w:val="both"/>
        <w:rPr>
          <w:rFonts w:ascii="Palatino Linotype" w:eastAsia="Calibri" w:hAnsi="Palatino Linotype" w:cs="Tahoma"/>
          <w:bCs/>
          <w:sz w:val="24"/>
          <w:szCs w:val="24"/>
        </w:rPr>
      </w:pPr>
    </w:p>
    <w:p w14:paraId="5DBC5088" w14:textId="77777777" w:rsidR="00BC3E77" w:rsidRPr="00514593" w:rsidRDefault="00BC3E77" w:rsidP="00BC3E77">
      <w:pPr>
        <w:tabs>
          <w:tab w:val="left" w:pos="3962"/>
        </w:tabs>
        <w:spacing w:line="360" w:lineRule="auto"/>
        <w:jc w:val="both"/>
        <w:rPr>
          <w:rFonts w:ascii="Palatino Linotype" w:eastAsia="Calibri" w:hAnsi="Palatino Linotype" w:cs="Tahoma"/>
          <w:bCs/>
          <w:sz w:val="24"/>
          <w:szCs w:val="24"/>
        </w:rPr>
      </w:pPr>
      <w:r w:rsidRPr="00514593">
        <w:rPr>
          <w:rFonts w:ascii="Palatino Linotype" w:eastAsia="Calibri" w:hAnsi="Palatino Linotype" w:cs="Tahoma"/>
          <w:bCs/>
          <w:sz w:val="24"/>
          <w:szCs w:val="24"/>
        </w:rPr>
        <w:t>Por otra parte, debe señalarse que conforme al artículo 20, inciso B, numeral I, de la Constitución Política de los Estados Unidos Mexicanos, un derecho que tiene toda persona imputada, es a que se presuma su inocencia mientras no se declare su responsabilidad mediante una resolución, donde compruebe su culpabilidad. Dicha situación, se encuentra regulada, de la misma manera, en Declaración Universal de los Derechos Humanos, así como, el Pacto Internacional de Derechos Civiles y Políticos y la Convención Americana sobre Derechos Humanos.</w:t>
      </w:r>
    </w:p>
    <w:p w14:paraId="1C6A5956" w14:textId="77777777" w:rsidR="00BC3E77" w:rsidRPr="00514593" w:rsidRDefault="00BC3E77" w:rsidP="00BC3E77">
      <w:pPr>
        <w:tabs>
          <w:tab w:val="left" w:pos="3962"/>
        </w:tabs>
        <w:spacing w:line="360" w:lineRule="auto"/>
        <w:jc w:val="both"/>
        <w:rPr>
          <w:rFonts w:ascii="Palatino Linotype" w:eastAsia="Calibri" w:hAnsi="Palatino Linotype" w:cs="Tahoma"/>
          <w:bCs/>
          <w:sz w:val="24"/>
          <w:szCs w:val="24"/>
        </w:rPr>
      </w:pPr>
    </w:p>
    <w:p w14:paraId="36F1E93F" w14:textId="77777777" w:rsidR="00BC3E77" w:rsidRPr="00514593" w:rsidRDefault="00BC3E77" w:rsidP="00BC3E77">
      <w:pPr>
        <w:tabs>
          <w:tab w:val="left" w:pos="3962"/>
        </w:tabs>
        <w:spacing w:line="360" w:lineRule="auto"/>
        <w:jc w:val="both"/>
        <w:rPr>
          <w:rFonts w:ascii="Palatino Linotype" w:eastAsia="Calibri" w:hAnsi="Palatino Linotype" w:cs="Tahoma"/>
          <w:bCs/>
          <w:sz w:val="24"/>
          <w:szCs w:val="24"/>
        </w:rPr>
      </w:pPr>
      <w:r w:rsidRPr="00514593">
        <w:rPr>
          <w:rFonts w:ascii="Palatino Linotype" w:eastAsia="Calibri" w:hAnsi="Palatino Linotype" w:cs="Tahoma"/>
          <w:bCs/>
          <w:sz w:val="24"/>
          <w:szCs w:val="24"/>
        </w:rPr>
        <w:lastRenderedPageBreak/>
        <w:t>En ese contexto, la tesis aislada número 2a. XXXV/2007, emitida por la Segunda Sala de la Suprema Corte de Justicia de la Nación, publicada en la Gaceta del Semanario Judicial de la Federación, Tomo XXV, de mayo de dos mil siete, página 1186, de la Novena Época, materia constitucional y penal, establece:</w:t>
      </w:r>
    </w:p>
    <w:p w14:paraId="798DE7C8" w14:textId="77777777" w:rsidR="00BC3E77" w:rsidRPr="00514593" w:rsidRDefault="00BC3E77" w:rsidP="00BC3E77">
      <w:pPr>
        <w:ind w:left="567" w:right="567"/>
        <w:contextualSpacing/>
        <w:jc w:val="both"/>
        <w:rPr>
          <w:rFonts w:ascii="Palatino Linotype" w:eastAsia="Calibri" w:hAnsi="Palatino Linotype" w:cs="Tahoma"/>
          <w:bCs/>
          <w:i/>
          <w:iCs/>
        </w:rPr>
      </w:pPr>
      <w:r w:rsidRPr="00514593">
        <w:rPr>
          <w:rFonts w:ascii="Palatino Linotype" w:eastAsia="Calibri" w:hAnsi="Palatino Linotype" w:cs="Tahoma"/>
          <w:b/>
          <w:bCs/>
          <w:i/>
          <w:iCs/>
        </w:rPr>
        <w:t xml:space="preserve">“PRESUNCIÓN DE INOCENCIA. ALCANCES DE ESE PRINCIPIO CONSTITUCIONAL. </w:t>
      </w:r>
      <w:r w:rsidRPr="00514593">
        <w:rPr>
          <w:rFonts w:ascii="Palatino Linotype" w:eastAsia="Calibri" w:hAnsi="Palatino Linotype" w:cs="Tahoma"/>
          <w:bCs/>
          <w:i/>
          <w:iCs/>
        </w:rPr>
        <w:t>El principio de presunción de inocencia que en materia procesal penal impone la obligación de arrojar la carga de la prueba al acusador, es un derecho fundamental que la Constitución Política de los Estados Unidos Mexicanos reconoce y garantiza en general, cuyo alcance trasciende la órbita del debido proceso, pues con su aplicación se garantiza la protección de otros derechos fundamentales como son la dignidad humana, la libertad, la honra y el buen nombre, que podrían resultar vulnerados por actuaciones penales o disciplinarias irregulares. En consecuencia, este principio opera también en las situaciones extraprocesales y constituye el derecho a recibir la consideración y el trato de "no autor o no partícipe" en un hecho de carácter delictivo o en otro tipo de infracciones mientras no se demuestre la culpabilidad; por ende, otorga el derecho a que no se apliquen las consecuencias a los efectos jurídicos privativos vinculados a tales hechos, en cualquier materia.”</w:t>
      </w:r>
    </w:p>
    <w:p w14:paraId="5401D1F3" w14:textId="77777777" w:rsidR="00BC3E77" w:rsidRPr="00514593" w:rsidRDefault="00BC3E77" w:rsidP="00BC3E77">
      <w:pPr>
        <w:tabs>
          <w:tab w:val="left" w:pos="3962"/>
        </w:tabs>
        <w:spacing w:line="360" w:lineRule="auto"/>
        <w:jc w:val="both"/>
        <w:rPr>
          <w:rFonts w:ascii="Palatino Linotype" w:eastAsia="Calibri" w:hAnsi="Palatino Linotype" w:cs="Tahoma"/>
          <w:bCs/>
          <w:sz w:val="24"/>
          <w:szCs w:val="24"/>
        </w:rPr>
      </w:pPr>
    </w:p>
    <w:p w14:paraId="64E03F80" w14:textId="77777777" w:rsidR="00BC3E77" w:rsidRPr="00514593" w:rsidRDefault="00BC3E77" w:rsidP="00BC3E77">
      <w:pPr>
        <w:tabs>
          <w:tab w:val="left" w:pos="3962"/>
        </w:tabs>
        <w:spacing w:line="360" w:lineRule="auto"/>
        <w:jc w:val="both"/>
        <w:rPr>
          <w:rFonts w:ascii="Palatino Linotype" w:eastAsia="Calibri" w:hAnsi="Palatino Linotype" w:cs="Tahoma"/>
          <w:bCs/>
          <w:sz w:val="24"/>
          <w:szCs w:val="24"/>
        </w:rPr>
      </w:pPr>
      <w:r w:rsidRPr="00514593">
        <w:rPr>
          <w:rFonts w:ascii="Palatino Linotype" w:eastAsia="Calibri" w:hAnsi="Palatino Linotype" w:cs="Tahoma"/>
          <w:bCs/>
          <w:sz w:val="24"/>
          <w:szCs w:val="24"/>
        </w:rPr>
        <w:t>Como se observa, el Alto Tribunal sostiene que el principio de presunción de inocencia va más allá del ámbito estrictamente procesal, en aras de proteger la esfera jurídica de las personas que se ve en peligro ante actuaciones arbitrarias por parte del poder público. Así, dicho principio guarda también una faceta “extraprocesal” que se materializa a través de un trato de inocente para el inculpado mientras no se demuestre su culpabilidad.</w:t>
      </w:r>
    </w:p>
    <w:p w14:paraId="09F104BE" w14:textId="77777777" w:rsidR="00BC3E77" w:rsidRPr="00514593" w:rsidRDefault="00BC3E77" w:rsidP="00BC3E77">
      <w:pPr>
        <w:tabs>
          <w:tab w:val="left" w:pos="3962"/>
        </w:tabs>
        <w:spacing w:line="360" w:lineRule="auto"/>
        <w:jc w:val="both"/>
        <w:rPr>
          <w:rFonts w:ascii="Palatino Linotype" w:eastAsia="Calibri" w:hAnsi="Palatino Linotype" w:cs="Tahoma"/>
          <w:bCs/>
          <w:sz w:val="24"/>
          <w:szCs w:val="24"/>
        </w:rPr>
      </w:pPr>
    </w:p>
    <w:p w14:paraId="7E4FAE6F" w14:textId="77777777" w:rsidR="00BC3E77" w:rsidRPr="00514593" w:rsidRDefault="00BC3E77" w:rsidP="00BC3E77">
      <w:pPr>
        <w:tabs>
          <w:tab w:val="left" w:pos="3962"/>
        </w:tabs>
        <w:spacing w:line="360" w:lineRule="auto"/>
        <w:jc w:val="both"/>
        <w:rPr>
          <w:rFonts w:ascii="Palatino Linotype" w:eastAsia="Calibri" w:hAnsi="Palatino Linotype" w:cs="Tahoma"/>
          <w:bCs/>
          <w:sz w:val="24"/>
          <w:szCs w:val="24"/>
        </w:rPr>
      </w:pPr>
      <w:r w:rsidRPr="00514593">
        <w:rPr>
          <w:rFonts w:ascii="Palatino Linotype" w:eastAsia="Calibri" w:hAnsi="Palatino Linotype" w:cs="Tahoma"/>
          <w:bCs/>
          <w:sz w:val="24"/>
          <w:szCs w:val="24"/>
        </w:rPr>
        <w:t xml:space="preserve">Conforme a lo anterior, </w:t>
      </w:r>
      <w:r w:rsidRPr="00514593">
        <w:rPr>
          <w:rFonts w:ascii="Palatino Linotype" w:eastAsia="Calibri" w:hAnsi="Palatino Linotype" w:cs="Tahoma"/>
          <w:bCs/>
          <w:sz w:val="24"/>
          <w:szCs w:val="24"/>
          <w:u w:val="single"/>
        </w:rPr>
        <w:t xml:space="preserve">pronunciarse sobre la existencia de un procedimiento en trámite, daría a conocer la existencia de un procedimiento de probable responsabilidad, y la </w:t>
      </w:r>
      <w:r w:rsidRPr="00514593">
        <w:rPr>
          <w:rFonts w:ascii="Palatino Linotype" w:eastAsia="Calibri" w:hAnsi="Palatino Linotype" w:cs="Tahoma"/>
          <w:bCs/>
          <w:sz w:val="24"/>
          <w:szCs w:val="24"/>
          <w:u w:val="single"/>
        </w:rPr>
        <w:lastRenderedPageBreak/>
        <w:t>ciudadanía podría generar un juicio negativo, en contra del servidor público</w:t>
      </w:r>
      <w:r w:rsidRPr="00514593">
        <w:rPr>
          <w:rFonts w:ascii="Palatino Linotype" w:eastAsia="Calibri" w:hAnsi="Palatino Linotype" w:cs="Tahoma"/>
          <w:bCs/>
          <w:sz w:val="24"/>
          <w:szCs w:val="24"/>
        </w:rPr>
        <w:t xml:space="preserve"> </w:t>
      </w:r>
      <w:r w:rsidRPr="00514593">
        <w:rPr>
          <w:rFonts w:ascii="Palatino Linotype" w:eastAsia="Calibri" w:hAnsi="Palatino Linotype" w:cs="Tahoma"/>
          <w:bCs/>
          <w:sz w:val="24"/>
          <w:szCs w:val="24"/>
          <w:u w:val="single"/>
        </w:rPr>
        <w:t>involucrado,</w:t>
      </w:r>
      <w:r w:rsidRPr="00514593">
        <w:rPr>
          <w:rFonts w:ascii="Palatino Linotype" w:eastAsia="Calibri" w:hAnsi="Palatino Linotype" w:cs="Tahoma"/>
          <w:bCs/>
          <w:sz w:val="24"/>
          <w:szCs w:val="24"/>
        </w:rPr>
        <w:t xml:space="preserve"> sin que se hayan reunido los elementos para establecer que si son probables responsables, con lo cual, se vería afectado de manera directa, su honor y derecho a la presunción de inocencia.</w:t>
      </w:r>
    </w:p>
    <w:p w14:paraId="51E3C81E" w14:textId="77777777" w:rsidR="00BC3E77" w:rsidRPr="00514593" w:rsidRDefault="00BC3E77" w:rsidP="00BC3E77">
      <w:pPr>
        <w:tabs>
          <w:tab w:val="left" w:pos="3962"/>
        </w:tabs>
        <w:spacing w:line="360" w:lineRule="auto"/>
        <w:jc w:val="both"/>
        <w:rPr>
          <w:rFonts w:ascii="Palatino Linotype" w:eastAsia="Calibri" w:hAnsi="Palatino Linotype" w:cs="Tahoma"/>
          <w:bCs/>
          <w:sz w:val="24"/>
          <w:szCs w:val="24"/>
        </w:rPr>
      </w:pPr>
    </w:p>
    <w:p w14:paraId="2A81010A" w14:textId="77777777" w:rsidR="00BC3E77" w:rsidRPr="00514593" w:rsidRDefault="00BC3E77" w:rsidP="00BC3E77">
      <w:pPr>
        <w:tabs>
          <w:tab w:val="left" w:pos="3962"/>
        </w:tabs>
        <w:spacing w:line="360" w:lineRule="auto"/>
        <w:jc w:val="both"/>
        <w:rPr>
          <w:rFonts w:ascii="Palatino Linotype" w:eastAsia="Calibri" w:hAnsi="Palatino Linotype" w:cs="Tahoma"/>
          <w:bCs/>
          <w:sz w:val="24"/>
          <w:szCs w:val="24"/>
        </w:rPr>
      </w:pPr>
      <w:r w:rsidRPr="00514593">
        <w:rPr>
          <w:rFonts w:ascii="Palatino Linotype" w:eastAsia="Calibri" w:hAnsi="Palatino Linotype" w:cs="Tahoma"/>
          <w:bCs/>
          <w:sz w:val="24"/>
          <w:szCs w:val="24"/>
        </w:rPr>
        <w:t>Así, toda vez que realizar el pronunciamiento afectaría el derecho al honor, buena imagen y presunción de inocencia del servidor público, se considera que deberá clasificarlo en términos del artículo 143, fracción I, de la Ley de Transparencia y Acceso a la Información Pública del Estado de México y Municipios.</w:t>
      </w:r>
    </w:p>
    <w:p w14:paraId="3211A3D1" w14:textId="77777777" w:rsidR="00BC3E77" w:rsidRPr="00514593" w:rsidRDefault="00BC3E77" w:rsidP="00BC3E77">
      <w:pPr>
        <w:autoSpaceDE w:val="0"/>
        <w:autoSpaceDN w:val="0"/>
        <w:spacing w:line="360" w:lineRule="auto"/>
        <w:jc w:val="both"/>
        <w:rPr>
          <w:rFonts w:ascii="Palatino Linotype" w:hAnsi="Palatino Linotype" w:cs="Tahoma"/>
          <w:b/>
          <w:sz w:val="24"/>
          <w:szCs w:val="24"/>
          <w:u w:val="single"/>
        </w:rPr>
      </w:pPr>
    </w:p>
    <w:p w14:paraId="69C651D4" w14:textId="77777777" w:rsidR="00BC3E77" w:rsidRPr="00514593" w:rsidRDefault="00BC3E77" w:rsidP="00BC3E77">
      <w:pPr>
        <w:spacing w:line="360" w:lineRule="auto"/>
        <w:jc w:val="both"/>
        <w:rPr>
          <w:rFonts w:ascii="Palatino Linotype" w:hAnsi="Palatino Linotype" w:cs="Tahoma"/>
          <w:sz w:val="24"/>
          <w:szCs w:val="24"/>
        </w:rPr>
      </w:pPr>
      <w:r w:rsidRPr="00514593">
        <w:rPr>
          <w:rFonts w:ascii="Palatino Linotype" w:hAnsi="Palatino Linotype" w:cs="Tahoma"/>
          <w:sz w:val="24"/>
          <w:szCs w:val="24"/>
        </w:rPr>
        <w:t>En ese contexto, resulta necesario, los artículos 3°, fracción XII y 8°, fracción VI, de la Ley General de Transparencia y Acceso a la Información Pública vigente a la fecha de la solicitud, relacionados con los diversos 3°, fracción XXII y 9°, fracción VII, de la Ley de Transparencia y Acceso a la Información Pública del Estado de México, establecen lo siguiente:</w:t>
      </w:r>
    </w:p>
    <w:p w14:paraId="783E2819" w14:textId="77777777" w:rsidR="00BC3E77" w:rsidRPr="00514593" w:rsidRDefault="00BC3E77" w:rsidP="00BC3E77">
      <w:pPr>
        <w:pStyle w:val="Prrafodelista"/>
        <w:numPr>
          <w:ilvl w:val="0"/>
          <w:numId w:val="43"/>
        </w:numPr>
        <w:contextualSpacing/>
        <w:rPr>
          <w:rFonts w:cs="Tahoma"/>
          <w:b/>
        </w:rPr>
      </w:pPr>
      <w:r w:rsidRPr="00514593">
        <w:rPr>
          <w:rFonts w:cs="Tahoma"/>
          <w:b/>
        </w:rPr>
        <w:t xml:space="preserve">Principio de Máxima Publicidad: </w:t>
      </w:r>
      <w:r w:rsidRPr="00514593">
        <w:rPr>
          <w:rFonts w:cs="Tahoma"/>
        </w:rPr>
        <w:t>Precisa que toda la información en posesión de los entes sujetos a las Leyes de Transparencia es pública, completa, oportuna y accesible, sujeta a un claro régimen de excepciones.</w:t>
      </w:r>
    </w:p>
    <w:p w14:paraId="0395517B" w14:textId="77777777" w:rsidR="00BC3E77" w:rsidRPr="00514593" w:rsidRDefault="00BC3E77" w:rsidP="00BC3E77">
      <w:pPr>
        <w:pStyle w:val="Prrafodelista"/>
        <w:rPr>
          <w:rFonts w:cs="Tahoma"/>
          <w:b/>
        </w:rPr>
      </w:pPr>
    </w:p>
    <w:p w14:paraId="12637BAE" w14:textId="77777777" w:rsidR="00BC3E77" w:rsidRPr="00514593" w:rsidRDefault="00BC3E77" w:rsidP="00BC3E77">
      <w:pPr>
        <w:pStyle w:val="Prrafodelista"/>
        <w:numPr>
          <w:ilvl w:val="0"/>
          <w:numId w:val="43"/>
        </w:numPr>
        <w:contextualSpacing/>
        <w:rPr>
          <w:rFonts w:cs="Tahoma"/>
          <w:b/>
        </w:rPr>
      </w:pPr>
      <w:r w:rsidRPr="00514593">
        <w:rPr>
          <w:rFonts w:cs="Tahoma"/>
          <w:b/>
        </w:rPr>
        <w:t xml:space="preserve">Información de Interés Público: </w:t>
      </w:r>
      <w:r w:rsidRPr="00514593">
        <w:rPr>
          <w:rFonts w:cs="Tahoma"/>
        </w:rPr>
        <w:t xml:space="preserve">Es aquella que resulta relevante o beneficiosa para la sociedad y no simplemente de interés individual, cuya divulgación resulta </w:t>
      </w:r>
      <w:r w:rsidRPr="00514593">
        <w:rPr>
          <w:rFonts w:cs="Tahoma"/>
        </w:rPr>
        <w:lastRenderedPageBreak/>
        <w:t>útil para que el público comprenda las actividades que llevan a cabo los sujetos obligados.</w:t>
      </w:r>
    </w:p>
    <w:p w14:paraId="0D8C8B32" w14:textId="77777777" w:rsidR="00BC3E77" w:rsidRPr="00514593" w:rsidRDefault="00BC3E77" w:rsidP="00BC3E77">
      <w:pPr>
        <w:autoSpaceDE w:val="0"/>
        <w:autoSpaceDN w:val="0"/>
        <w:spacing w:line="360" w:lineRule="auto"/>
        <w:jc w:val="both"/>
        <w:rPr>
          <w:rFonts w:ascii="Palatino Linotype" w:hAnsi="Palatino Linotype" w:cs="Tahoma"/>
          <w:bCs/>
          <w:sz w:val="24"/>
          <w:szCs w:val="24"/>
        </w:rPr>
      </w:pPr>
    </w:p>
    <w:p w14:paraId="63C4AD7E" w14:textId="77777777" w:rsidR="00BC3E77" w:rsidRPr="00514593" w:rsidRDefault="00BC3E77" w:rsidP="00BC3E77">
      <w:pPr>
        <w:spacing w:line="360" w:lineRule="auto"/>
        <w:jc w:val="both"/>
        <w:rPr>
          <w:rFonts w:ascii="Palatino Linotype" w:hAnsi="Palatino Linotype" w:cs="Tahoma"/>
          <w:sz w:val="24"/>
          <w:szCs w:val="24"/>
        </w:rPr>
      </w:pPr>
      <w:r w:rsidRPr="00514593">
        <w:rPr>
          <w:rFonts w:ascii="Palatino Linotype" w:hAnsi="Palatino Linotype" w:cs="Tahoma"/>
          <w:sz w:val="24"/>
          <w:szCs w:val="24"/>
        </w:rPr>
        <w:t>Como se logra observar, el interés público está íntimamente relacionado, con el principio de máxima publicidad y las excepciones a la clasificación de la información; lo anterior, pues existe un interés general de la sociedad de conocer sobre los actos de corrupción y las posibles violaciones a derechos humanos, pues no son afectaciones que se dan en lo individual, sino que existe un detrimento en un grupo o en la población en general.</w:t>
      </w:r>
    </w:p>
    <w:p w14:paraId="0B409AAF" w14:textId="77777777" w:rsidR="00BC3E77" w:rsidRPr="00514593" w:rsidRDefault="00BC3E77" w:rsidP="00BC3E77">
      <w:pPr>
        <w:spacing w:line="360" w:lineRule="auto"/>
        <w:jc w:val="both"/>
        <w:rPr>
          <w:rFonts w:ascii="Palatino Linotype" w:hAnsi="Palatino Linotype" w:cs="Tahoma"/>
          <w:sz w:val="24"/>
          <w:szCs w:val="24"/>
        </w:rPr>
      </w:pPr>
    </w:p>
    <w:p w14:paraId="487AF23B" w14:textId="77777777" w:rsidR="00BC3E77" w:rsidRPr="00514593" w:rsidRDefault="00BC3E77" w:rsidP="00BC3E77">
      <w:pPr>
        <w:pStyle w:val="Prrafodelista"/>
        <w:numPr>
          <w:ilvl w:val="0"/>
          <w:numId w:val="45"/>
        </w:numPr>
        <w:tabs>
          <w:tab w:val="left" w:pos="3962"/>
        </w:tabs>
        <w:ind w:left="426"/>
        <w:contextualSpacing/>
        <w:rPr>
          <w:rFonts w:cs="Tahoma"/>
          <w:b/>
          <w:bCs/>
        </w:rPr>
      </w:pPr>
      <w:r w:rsidRPr="00514593">
        <w:rPr>
          <w:rFonts w:cs="Tahoma"/>
          <w:b/>
          <w:bCs/>
        </w:rPr>
        <w:t>Procedimiento concluido por falta administrativa no grave.</w:t>
      </w:r>
    </w:p>
    <w:p w14:paraId="2FABA64A" w14:textId="77777777" w:rsidR="00BC3E77" w:rsidRPr="00514593" w:rsidRDefault="00BC3E77" w:rsidP="00BC3E77">
      <w:pPr>
        <w:spacing w:line="360" w:lineRule="auto"/>
        <w:jc w:val="both"/>
        <w:rPr>
          <w:rFonts w:ascii="Palatino Linotype" w:eastAsia="Calibri" w:hAnsi="Palatino Linotype" w:cs="Tahoma"/>
          <w:b/>
          <w:iCs/>
          <w:sz w:val="24"/>
          <w:szCs w:val="24"/>
          <w:lang w:eastAsia="es-ES_tradnl"/>
        </w:rPr>
      </w:pPr>
      <w:r w:rsidRPr="00514593">
        <w:rPr>
          <w:rFonts w:ascii="Palatino Linotype" w:eastAsia="Calibri" w:hAnsi="Palatino Linotype" w:cs="Tahoma"/>
          <w:iCs/>
          <w:sz w:val="24"/>
          <w:szCs w:val="24"/>
          <w:lang w:eastAsia="es-ES_tradnl"/>
        </w:rPr>
        <w:t>En ese sentido, emitir un pronunciamiento sobre la existencia de un procedimiento de responsabilidad por faltas no graves</w:t>
      </w:r>
      <w:r w:rsidRPr="00514593">
        <w:rPr>
          <w:rFonts w:ascii="Palatino Linotype" w:eastAsia="Calibri" w:hAnsi="Palatino Linotype" w:cs="Tahoma"/>
          <w:b/>
          <w:iCs/>
          <w:sz w:val="24"/>
          <w:szCs w:val="24"/>
          <w:lang w:eastAsia="es-ES_tradnl"/>
        </w:rPr>
        <w:t xml:space="preserve">, </w:t>
      </w:r>
      <w:r w:rsidRPr="00514593">
        <w:rPr>
          <w:rFonts w:ascii="Palatino Linotype" w:eastAsia="Calibri" w:hAnsi="Palatino Linotype" w:cs="Tahoma"/>
          <w:iCs/>
          <w:sz w:val="24"/>
          <w:szCs w:val="24"/>
          <w:lang w:eastAsia="es-ES_tradnl"/>
        </w:rPr>
        <w:t>concluido</w:t>
      </w:r>
      <w:r w:rsidRPr="00514593">
        <w:rPr>
          <w:rFonts w:ascii="Palatino Linotype" w:eastAsia="Calibri" w:hAnsi="Palatino Linotype" w:cs="Tahoma"/>
          <w:b/>
          <w:iCs/>
          <w:sz w:val="24"/>
          <w:szCs w:val="24"/>
          <w:lang w:eastAsia="es-ES_tradnl"/>
        </w:rPr>
        <w:t xml:space="preserve">, </w:t>
      </w:r>
      <w:r w:rsidRPr="00514593">
        <w:rPr>
          <w:rFonts w:ascii="Palatino Linotype" w:eastAsia="Calibri" w:hAnsi="Palatino Linotype" w:cs="Tahoma"/>
          <w:iCs/>
          <w:sz w:val="24"/>
          <w:szCs w:val="24"/>
          <w:lang w:eastAsia="es-ES_tradnl"/>
        </w:rPr>
        <w:t xml:space="preserve">en caso de que existiera, </w:t>
      </w:r>
      <w:r w:rsidRPr="00514593">
        <w:rPr>
          <w:rFonts w:ascii="Palatino Linotype" w:eastAsia="Calibri" w:hAnsi="Palatino Linotype" w:cs="Tahoma"/>
          <w:b/>
          <w:iCs/>
          <w:sz w:val="24"/>
          <w:szCs w:val="24"/>
          <w:lang w:eastAsia="es-ES_tradnl"/>
        </w:rPr>
        <w:t xml:space="preserve">podría afectar su honor, buen nombre y su imagen del servidor público. </w:t>
      </w:r>
      <w:r w:rsidRPr="00514593">
        <w:rPr>
          <w:rFonts w:ascii="Palatino Linotype" w:hAnsi="Palatino Linotype"/>
          <w:sz w:val="24"/>
          <w:szCs w:val="24"/>
        </w:rPr>
        <w:t>Al respecto, la Suprema Corte de Justicia de la Nación ha reconocido como derechos fundamentales de las personas, el derecho a la intimidad y a la propia imagen, en el siguiente criterio:</w:t>
      </w:r>
    </w:p>
    <w:p w14:paraId="67172B17" w14:textId="77777777" w:rsidR="00BC3E77" w:rsidRPr="00514593" w:rsidRDefault="00BC3E77" w:rsidP="00BC3E77">
      <w:pPr>
        <w:ind w:left="567" w:right="567"/>
        <w:jc w:val="both"/>
        <w:rPr>
          <w:rFonts w:ascii="Palatino Linotype" w:hAnsi="Palatino Linotype" w:cs="Arial"/>
          <w:b/>
          <w:i/>
          <w:color w:val="000000"/>
        </w:rPr>
      </w:pPr>
      <w:r w:rsidRPr="00514593">
        <w:rPr>
          <w:rFonts w:ascii="Palatino Linotype" w:hAnsi="Palatino Linotype" w:cs="Arial"/>
          <w:bCs/>
          <w:i/>
          <w:color w:val="000000"/>
        </w:rPr>
        <w:t>“</w:t>
      </w:r>
      <w:r w:rsidRPr="00514593">
        <w:rPr>
          <w:rFonts w:ascii="Palatino Linotype" w:hAnsi="Palatino Linotype" w:cs="Arial"/>
          <w:b/>
          <w:bCs/>
          <w:i/>
          <w:color w:val="000000"/>
        </w:rPr>
        <w:t xml:space="preserve">DERECHOS A LA INTIMIDAD, PROPIA IMAGEN, IDENTIDAD PERSONAL Y SEXUAL. CONSTITUYEN DERECHOS DE DEFENSA Y GARANTÍA ESENCIAL PARA LA CONDICIÓN HUMANA.  </w:t>
      </w:r>
      <w:r w:rsidRPr="00514593">
        <w:rPr>
          <w:rFonts w:ascii="Palatino Linotype" w:hAnsi="Palatino Linotype" w:cs="Arial"/>
          <w:i/>
          <w:color w:val="000000"/>
        </w:rPr>
        <w:t xml:space="preserve">Dentro de los derechos personalísimos se encuentran necesariamente comprendidos el </w:t>
      </w:r>
      <w:r w:rsidRPr="00514593">
        <w:rPr>
          <w:rFonts w:ascii="Palatino Linotype" w:hAnsi="Palatino Linotype" w:cs="Arial"/>
          <w:b/>
          <w:i/>
          <w:color w:val="000000"/>
        </w:rPr>
        <w:t>derecho a la intimidad y a la propia imagen</w:t>
      </w:r>
      <w:r w:rsidRPr="00514593">
        <w:rPr>
          <w:rFonts w:ascii="Palatino Linotype" w:hAnsi="Palatino Linotype" w:cs="Arial"/>
          <w:i/>
          <w:color w:val="000000"/>
        </w:rPr>
        <w:t xml:space="preserve">, así como a la </w:t>
      </w:r>
      <w:r w:rsidRPr="00514593">
        <w:rPr>
          <w:rFonts w:ascii="Palatino Linotype" w:hAnsi="Palatino Linotype" w:cs="Arial"/>
          <w:b/>
          <w:i/>
          <w:color w:val="000000"/>
        </w:rPr>
        <w:t>identidad personal</w:t>
      </w:r>
      <w:r w:rsidRPr="00514593">
        <w:rPr>
          <w:rFonts w:ascii="Palatino Linotype" w:hAnsi="Palatino Linotype" w:cs="Arial"/>
          <w:i/>
          <w:color w:val="000000"/>
        </w:rPr>
        <w:t xml:space="preserve"> y sexual; entendiéndose por el primero, </w:t>
      </w:r>
      <w:r w:rsidRPr="00514593">
        <w:rPr>
          <w:rFonts w:ascii="Palatino Linotype" w:hAnsi="Palatino Linotype" w:cs="Arial"/>
          <w:b/>
          <w:i/>
          <w:color w:val="000000"/>
        </w:rPr>
        <w:t>el derecho del individuo a no ser conocido por otros en ciertos aspectos de su vida</w:t>
      </w:r>
      <w:r w:rsidRPr="00514593">
        <w:rPr>
          <w:rFonts w:ascii="Palatino Linotype" w:hAnsi="Palatino Linotype" w:cs="Arial"/>
          <w:i/>
          <w:color w:val="000000"/>
        </w:rPr>
        <w:t xml:space="preserve"> y, </w:t>
      </w:r>
      <w:r w:rsidRPr="00514593">
        <w:rPr>
          <w:rFonts w:ascii="Palatino Linotype" w:hAnsi="Palatino Linotype" w:cs="Arial"/>
          <w:b/>
          <w:i/>
          <w:color w:val="000000"/>
        </w:rPr>
        <w:t>por ende, el poder de decisión sobre la publicidad o información de datos relativos a su persona</w:t>
      </w:r>
      <w:r w:rsidRPr="00514593">
        <w:rPr>
          <w:rFonts w:ascii="Palatino Linotype" w:hAnsi="Palatino Linotype" w:cs="Arial"/>
          <w:i/>
          <w:color w:val="000000"/>
        </w:rPr>
        <w:t>, familia, pensamientos o sentimientos;</w:t>
      </w:r>
      <w:r w:rsidRPr="00514593">
        <w:rPr>
          <w:rFonts w:ascii="Palatino Linotype" w:hAnsi="Palatino Linotype" w:cs="Arial"/>
          <w:b/>
          <w:i/>
          <w:color w:val="000000"/>
        </w:rPr>
        <w:t xml:space="preserve"> </w:t>
      </w:r>
      <w:r w:rsidRPr="00514593">
        <w:rPr>
          <w:rFonts w:ascii="Palatino Linotype" w:hAnsi="Palatino Linotype" w:cs="Arial"/>
          <w:i/>
          <w:color w:val="000000"/>
        </w:rPr>
        <w:t xml:space="preserve">a la </w:t>
      </w:r>
      <w:r w:rsidRPr="00514593">
        <w:rPr>
          <w:rFonts w:ascii="Palatino Linotype" w:hAnsi="Palatino Linotype" w:cs="Arial"/>
          <w:b/>
          <w:i/>
          <w:color w:val="000000"/>
        </w:rPr>
        <w:t>propia imagen, como aquel derecho de decidir, en forma libre, sobre la manera en que elige mostrarse frente a los demás</w:t>
      </w:r>
      <w:r w:rsidRPr="00514593">
        <w:rPr>
          <w:rFonts w:ascii="Palatino Linotype" w:hAnsi="Palatino Linotype" w:cs="Arial"/>
          <w:i/>
          <w:color w:val="000000"/>
        </w:rPr>
        <w:t xml:space="preserve">; a la identidad personal, entendida como el derecho de todo individuo a ser uno mismo, en la propia conciencia y en la opinión de los demás, es decir, es la forma en que se ve a sí mismo y se proyecta en la </w:t>
      </w:r>
      <w:r w:rsidRPr="00514593">
        <w:rPr>
          <w:rFonts w:ascii="Palatino Linotype" w:hAnsi="Palatino Linotype" w:cs="Arial"/>
          <w:i/>
          <w:color w:val="000000"/>
        </w:rPr>
        <w:lastRenderedPageBreak/>
        <w:t xml:space="preserve">sociedad, de acuerdo con sus caracteres físicos e internos y sus acciones, que lo individualizan ante la sociedad y permiten identificarlo; y que implica, por tanto, la identidad sexual, al ser la manera en que cada individuo se proyecta frente a sí y ante la sociedad desde su perspectiva sexual, no sólo en cuanto a sus preferencias sexuales sino, primordialmente, en cuanto a cómo se percibe él, con base en sus sentimientos y convicciones más profundos de pertenencia o no al sexo que legalmente le fue asignado al nacer y que, de acuerdo a ese ajuste personalísimo en el desarrollo de cada individuo, proyectará su vida en todos los ámbitos, privado y público, por lo que al ser la sexualidad un elemento esencial de la persona y de su psique, la autodeterminación sexual forma parte de ese ámbito propio y reservado de lo íntimo, la parte de la vida que se desea mantener fuera del alcance de terceros o del conocimiento público. Por consiguiente, </w:t>
      </w:r>
      <w:r w:rsidRPr="00514593">
        <w:rPr>
          <w:rFonts w:ascii="Palatino Linotype" w:hAnsi="Palatino Linotype" w:cs="Arial"/>
          <w:b/>
          <w:i/>
          <w:color w:val="000000"/>
        </w:rPr>
        <w:t>al constituir derechos inherentes a la persona, fuera de la injerencia de los demás, se configuran como derechos de defensa y garantía esencial para la condición humana, ya que pueden reclamarse tanto en defensa de la intimidad violada o amenazada, como exigir del Estado que prevenga la existencia de eventuales intromisiones que los lesionen por lo que, si bien no son absolutos, sólo por ley podrá justificarse su intromisión, siempre que medie un interés superior.</w:t>
      </w:r>
      <w:r w:rsidRPr="00514593">
        <w:rPr>
          <w:rFonts w:ascii="Palatino Linotype" w:hAnsi="Palatino Linotype" w:cs="Arial"/>
          <w:i/>
          <w:color w:val="000000"/>
        </w:rPr>
        <w:t>”</w:t>
      </w:r>
    </w:p>
    <w:p w14:paraId="7EDCF2C2" w14:textId="77777777" w:rsidR="00BC3E77" w:rsidRPr="00514593" w:rsidRDefault="00BC3E77" w:rsidP="00BC3E77">
      <w:pPr>
        <w:spacing w:line="360" w:lineRule="auto"/>
        <w:jc w:val="both"/>
        <w:rPr>
          <w:rFonts w:ascii="Palatino Linotype" w:hAnsi="Palatino Linotype"/>
          <w:b/>
          <w:sz w:val="24"/>
          <w:szCs w:val="24"/>
        </w:rPr>
      </w:pPr>
      <w:r w:rsidRPr="00514593">
        <w:rPr>
          <w:rFonts w:ascii="Palatino Linotype" w:hAnsi="Palatino Linotype"/>
          <w:sz w:val="24"/>
          <w:szCs w:val="24"/>
        </w:rPr>
        <w:t xml:space="preserve">En ese sentido, es derecho de todo individuo a no ser conocido por otros en ciertos aspectos de su vida y, por ende, el poder de decisión sobre la publicidad o información de datos relativos a su persona </w:t>
      </w:r>
      <w:r w:rsidRPr="00514593">
        <w:rPr>
          <w:rFonts w:ascii="Palatino Linotype" w:hAnsi="Palatino Linotype"/>
          <w:b/>
          <w:sz w:val="24"/>
          <w:szCs w:val="24"/>
        </w:rPr>
        <w:t>(</w:t>
      </w:r>
      <w:r w:rsidRPr="00514593">
        <w:rPr>
          <w:rFonts w:ascii="Palatino Linotype" w:hAnsi="Palatino Linotype"/>
          <w:sz w:val="24"/>
          <w:szCs w:val="24"/>
        </w:rPr>
        <w:t>derecho a la intimidad).</w:t>
      </w:r>
      <w:r w:rsidRPr="00514593">
        <w:rPr>
          <w:rFonts w:ascii="Palatino Linotype" w:hAnsi="Palatino Linotype"/>
          <w:b/>
          <w:sz w:val="24"/>
          <w:szCs w:val="24"/>
        </w:rPr>
        <w:t xml:space="preserve"> </w:t>
      </w:r>
      <w:r w:rsidRPr="00514593">
        <w:rPr>
          <w:rFonts w:ascii="Palatino Linotype" w:hAnsi="Palatino Linotype"/>
          <w:sz w:val="24"/>
          <w:szCs w:val="24"/>
        </w:rPr>
        <w:t>Asimismo, el derecho a la propia imagen es el derecho de decidir, de forma libre, sobre la manera en que elige mostrarse frente a los demás.</w:t>
      </w:r>
    </w:p>
    <w:p w14:paraId="7D5A01C5" w14:textId="77777777" w:rsidR="00BC3E77" w:rsidRPr="00514593" w:rsidRDefault="00BC3E77" w:rsidP="00BC3E77">
      <w:pPr>
        <w:spacing w:line="360" w:lineRule="auto"/>
        <w:jc w:val="both"/>
        <w:rPr>
          <w:rFonts w:ascii="Palatino Linotype" w:hAnsi="Palatino Linotype" w:cs="Arial"/>
          <w:sz w:val="24"/>
          <w:szCs w:val="24"/>
        </w:rPr>
      </w:pPr>
    </w:p>
    <w:p w14:paraId="0102E82B" w14:textId="77777777" w:rsidR="00BC3E77" w:rsidRPr="00514593" w:rsidRDefault="00BC3E77" w:rsidP="00BC3E77">
      <w:pPr>
        <w:spacing w:line="360" w:lineRule="auto"/>
        <w:ind w:right="-1"/>
        <w:jc w:val="both"/>
        <w:rPr>
          <w:rFonts w:ascii="Palatino Linotype" w:hAnsi="Palatino Linotype"/>
          <w:sz w:val="24"/>
          <w:szCs w:val="24"/>
        </w:rPr>
      </w:pPr>
      <w:r w:rsidRPr="00514593">
        <w:rPr>
          <w:rFonts w:ascii="Palatino Linotype" w:hAnsi="Palatino Linotype" w:cs="Arial"/>
          <w:bCs/>
          <w:iCs/>
          <w:sz w:val="24"/>
          <w:szCs w:val="24"/>
        </w:rPr>
        <w:t xml:space="preserve">Por otro lado, en cuanto al </w:t>
      </w:r>
      <w:r w:rsidRPr="00514593">
        <w:rPr>
          <w:rFonts w:ascii="Palatino Linotype" w:hAnsi="Palatino Linotype" w:cs="Arial"/>
          <w:b/>
          <w:bCs/>
          <w:iCs/>
          <w:sz w:val="24"/>
          <w:szCs w:val="24"/>
        </w:rPr>
        <w:t>derecho al honor</w:t>
      </w:r>
      <w:r w:rsidRPr="00514593">
        <w:rPr>
          <w:rFonts w:ascii="Palatino Linotype" w:hAnsi="Palatino Linotype" w:cs="Arial"/>
          <w:bCs/>
          <w:iCs/>
          <w:sz w:val="24"/>
          <w:szCs w:val="24"/>
        </w:rPr>
        <w:t xml:space="preserve">, </w:t>
      </w:r>
      <w:r w:rsidRPr="00514593">
        <w:rPr>
          <w:rFonts w:ascii="Palatino Linotype" w:hAnsi="Palatino Linotype"/>
          <w:sz w:val="24"/>
          <w:szCs w:val="24"/>
        </w:rPr>
        <w:t xml:space="preserve">la jurisprudencia número 1a./J. 118/2013 (10a.), emitida por la Primera Sala de la Suprema Corte de Justicia de la Nación, publicada en la Gaceta del Semanario Judicial de la Federación, Tomo I, Libro 3, de febrero de 2014, página 470, de la Décima Época, materia constitucional, dispone: </w:t>
      </w:r>
    </w:p>
    <w:p w14:paraId="67916800" w14:textId="77777777" w:rsidR="00BC3E77" w:rsidRPr="00514593" w:rsidRDefault="00BC3E77" w:rsidP="00BC3E77">
      <w:pPr>
        <w:autoSpaceDE w:val="0"/>
        <w:autoSpaceDN w:val="0"/>
        <w:adjustRightInd w:val="0"/>
        <w:ind w:left="567" w:right="567"/>
        <w:jc w:val="both"/>
        <w:rPr>
          <w:rFonts w:ascii="Palatino Linotype" w:eastAsia="Batang" w:hAnsi="Palatino Linotype" w:cs="Arial"/>
          <w:b/>
          <w:i/>
        </w:rPr>
      </w:pPr>
      <w:r w:rsidRPr="00514593">
        <w:rPr>
          <w:rFonts w:ascii="Palatino Linotype" w:eastAsia="Batang" w:hAnsi="Palatino Linotype" w:cs="Arial"/>
          <w:i/>
        </w:rPr>
        <w:t>“</w:t>
      </w:r>
      <w:r w:rsidRPr="00514593">
        <w:rPr>
          <w:rFonts w:ascii="Palatino Linotype" w:eastAsia="Batang" w:hAnsi="Palatino Linotype" w:cs="Arial"/>
          <w:b/>
          <w:i/>
        </w:rPr>
        <w:t xml:space="preserve">DERECHO FUNDAMENTAL AL HONOR. SU DIMENSIÓN SUBJETIVA Y OBJETIVA. </w:t>
      </w:r>
      <w:r w:rsidRPr="00514593">
        <w:rPr>
          <w:rFonts w:ascii="Palatino Linotype" w:eastAsia="Batang" w:hAnsi="Palatino Linotype" w:cs="Arial"/>
          <w:i/>
        </w:rPr>
        <w:t xml:space="preserve">A juicio de esta Primera Sala de la Suprema Corte de Justicia de la Nación, es </w:t>
      </w:r>
      <w:r w:rsidRPr="00514593">
        <w:rPr>
          <w:rFonts w:ascii="Palatino Linotype" w:eastAsia="Batang" w:hAnsi="Palatino Linotype" w:cs="Arial"/>
          <w:i/>
        </w:rPr>
        <w:lastRenderedPageBreak/>
        <w:t xml:space="preserve">posible definir al honor como el </w:t>
      </w:r>
      <w:r w:rsidRPr="00514593">
        <w:rPr>
          <w:rFonts w:ascii="Palatino Linotype" w:eastAsia="Batang" w:hAnsi="Palatino Linotype" w:cs="Arial"/>
          <w:b/>
          <w:i/>
        </w:rPr>
        <w:t>concepto que la persona tiene de sí misma o que los demás se han formado de ella, en virtud de su proceder o de la expresión de su calidad ética y social.</w:t>
      </w:r>
      <w:r w:rsidRPr="00514593">
        <w:rPr>
          <w:rFonts w:ascii="Palatino Linotype" w:eastAsia="Batang" w:hAnsi="Palatino Linotype" w:cs="Arial"/>
          <w:i/>
        </w:rPr>
        <w:t xml:space="preserve"> Todo individuo, al vivir en sociedad, tiene el derecho de ser respetado y considerado y, correlativamente, tiene la obligación de respetar a aquellos que lo rodean. En el campo jurídico esta necesidad se traduce en un derecho que involucra la facultad que tiene cada individuo de pedir que se le trate en forma decorosa y la obligación de los demás de responder a este tratamiento. Por lo general, existen dos formas de sentir y entender el honor: a) en el aspecto subjetivo o ético, el honor se basa en un sentimiento íntimo que se exterioriza por la afirmación que la persona hace de su propia dignidad; y b) en el aspecto objetivo, externo o social, como la estimación interpersonal que la persona tiene por sus cualidades morales y profesionales dentro de la comunidad. En el aspecto subjetivo, el honor es lesionado por todo aquello que lastima el sentimiento de la propia dignidad. En el aspecto objetivo, el honor es lesionado por todo aquello que afecta a la reputación que la persona merece, es decir, el derecho a que otros no condicionen negativamente la opinión que los demás hayan de formarse de nosotros.”</w:t>
      </w:r>
    </w:p>
    <w:p w14:paraId="504FB28C" w14:textId="77777777" w:rsidR="00BC3E77" w:rsidRPr="00514593" w:rsidRDefault="00BC3E77" w:rsidP="00BC3E77">
      <w:pPr>
        <w:autoSpaceDE w:val="0"/>
        <w:autoSpaceDN w:val="0"/>
        <w:adjustRightInd w:val="0"/>
        <w:spacing w:line="360" w:lineRule="auto"/>
        <w:jc w:val="both"/>
        <w:rPr>
          <w:rFonts w:ascii="Palatino Linotype" w:eastAsia="Batang" w:hAnsi="Palatino Linotype" w:cs="Arial"/>
          <w:bCs/>
          <w:iCs/>
        </w:rPr>
      </w:pPr>
    </w:p>
    <w:p w14:paraId="1C819567" w14:textId="77777777" w:rsidR="00BC3E77" w:rsidRPr="00514593" w:rsidRDefault="00BC3E77" w:rsidP="00BC3E77">
      <w:pPr>
        <w:autoSpaceDE w:val="0"/>
        <w:autoSpaceDN w:val="0"/>
        <w:adjustRightInd w:val="0"/>
        <w:spacing w:line="360" w:lineRule="auto"/>
        <w:jc w:val="both"/>
        <w:rPr>
          <w:rFonts w:ascii="Palatino Linotype" w:eastAsia="Batang" w:hAnsi="Palatino Linotype" w:cs="Arial"/>
          <w:sz w:val="24"/>
          <w:szCs w:val="24"/>
        </w:rPr>
      </w:pPr>
      <w:r w:rsidRPr="00514593">
        <w:rPr>
          <w:rFonts w:ascii="Palatino Linotype" w:eastAsia="Batang" w:hAnsi="Palatino Linotype" w:cs="Arial"/>
          <w:bCs/>
          <w:iCs/>
          <w:sz w:val="24"/>
          <w:szCs w:val="24"/>
        </w:rPr>
        <w:t xml:space="preserve">De la tesis transcrita se desprende que </w:t>
      </w:r>
      <w:r w:rsidRPr="00514593">
        <w:rPr>
          <w:rFonts w:ascii="Palatino Linotype" w:eastAsia="Batang" w:hAnsi="Palatino Linotype" w:cs="Arial"/>
          <w:sz w:val="24"/>
          <w:szCs w:val="24"/>
        </w:rPr>
        <w:t xml:space="preserve">el honor es el concepto que la persona tiene de sí misma o que los demás se han formado de ella, en virtud de su proceder o de la expresión de su calidad ética y social. </w:t>
      </w:r>
      <w:r w:rsidRPr="00514593">
        <w:rPr>
          <w:rFonts w:ascii="Palatino Linotype" w:hAnsi="Palatino Linotype"/>
          <w:sz w:val="24"/>
          <w:szCs w:val="24"/>
        </w:rPr>
        <w:t>Adicionalmente, en relación a este derecho [al honor], el máximo tribual también ha señalado que aunque no esté expresamente contenido en la Carta Magna, ésta obliga su tutela en términos de lo previsto en el artículo 1° Constitucional, como se muestra en la tesis aislada número I.5o.C.4 K (10a.), emitida por Tribunales Colegiados de Circuito, publicada en el Semanario Judicial de la Federación y su Gaceta, Tomo 2, Libro XXI, de junio de 2013, página 1258, de la Décima Época, materia constitucional, de rubro y texto siguiente:</w:t>
      </w:r>
    </w:p>
    <w:p w14:paraId="324D6384" w14:textId="77777777" w:rsidR="00BC3E77" w:rsidRPr="00514593" w:rsidRDefault="00BC3E77" w:rsidP="00BC3E77">
      <w:pPr>
        <w:tabs>
          <w:tab w:val="left" w:pos="8363"/>
        </w:tabs>
        <w:ind w:left="567" w:right="616"/>
        <w:jc w:val="both"/>
        <w:rPr>
          <w:rFonts w:ascii="Palatino Linotype" w:hAnsi="Palatino Linotype"/>
          <w:b/>
          <w:i/>
        </w:rPr>
      </w:pPr>
      <w:r w:rsidRPr="00514593">
        <w:rPr>
          <w:rFonts w:ascii="Palatino Linotype" w:hAnsi="Palatino Linotype"/>
          <w:i/>
        </w:rPr>
        <w:t>“</w:t>
      </w:r>
      <w:r w:rsidRPr="00514593">
        <w:rPr>
          <w:rFonts w:ascii="Palatino Linotype" w:hAnsi="Palatino Linotype"/>
          <w:b/>
          <w:i/>
        </w:rPr>
        <w:t xml:space="preserve">DERECHOS AL HONOR, A LA INTIMIDAD Y A LA PROPIA IMAGEN. CONSTITUYEN DERECHOS HUMANOS QUE SE PROTEGEN A TRAVÉS DEL ACTUAL MARCO CONSTITUCIONAL. </w:t>
      </w:r>
      <w:r w:rsidRPr="00514593">
        <w:rPr>
          <w:rFonts w:ascii="Palatino Linotype" w:hAnsi="Palatino Linotype"/>
          <w:i/>
        </w:rPr>
        <w:t xml:space="preserve">Si conforme a las características que conforman a los derechos humanos, éstos no recaen sobre cosas materiales, sino que otorgan acción para </w:t>
      </w:r>
      <w:r w:rsidRPr="00514593">
        <w:rPr>
          <w:rFonts w:ascii="Palatino Linotype" w:hAnsi="Palatino Linotype"/>
          <w:i/>
        </w:rPr>
        <w:lastRenderedPageBreak/>
        <w:t>lograr que el Estado respete los derechos garantizados, y se consideran esenciales e inherentes al ser humano y derivados de su propia naturaleza, resulta lógico que los atributos de la personalidad se enlacen directamente con tales derechos, pues los mencionados atributos tienen una coincidencia con las libertades protegidas por los derechos del hombre como son los concernientes al honor, a la intimidad y a la propia imagen que constituyen derechos subjetivos del ser humano, en tanto que son inseparables de su titular, quien nace con ellos, y el Estado debe reconocerlos. Como no recaen sobre bienes materiales, sino sobre la personalidad de los individuos, son generales porque corresponden a todos los seres humanos, y no pueden considerarse renunciables, transmisibles o prescriptibles, porque son inherentes a la persona misma, es decir, son intrínsecos al sujeto quien no puede vivir sin ellos. Ahora, del contenido expreso del artículo 1o. constitucional se advierte que nuestro país actualmente adopta una protección amplia de los derechos humanos, mediante el reconocimiento claro del principio pro personae, como rector de la interpretación y aplicación de las normas jurídicas, en aquellas que favorezcan y brinden mayor protección a las personas, aunado a que también precisa de manera clara la obligación de observar los tratados internacionales firmados por el Estado Mexicano al momento de aplicar e interpretar las normas jurídicas en las que se vea involucrado este tipo de derechos, como son los señalados atributos de la personalidad conforme a la Convención Americana sobre Derechos Humanos y el Pacto Internacional de Derechos Civiles y Políticos, y en casos en los que se involucra la posible afectación por daño moral de un atributo de la personalidad -en su vertiente del derecho al honor- debe aplicarse la tutela y protección consagrada en los principios reconocidos al efecto en nuestra Carta Magna, con independencia de que no exista una referencia expresa en el texto constitucional hacia la salvaguarda concreta del citado atributo, pues la obligación de protección deriva de disposiciones contenidas en dos tipos de ordenamientos superiores -Constitución y tratados internacionales- con los que cuenta el Estado Mexicano.”</w:t>
      </w:r>
    </w:p>
    <w:p w14:paraId="5DEF8349" w14:textId="77777777" w:rsidR="00BC3E77" w:rsidRPr="00514593" w:rsidRDefault="00BC3E77" w:rsidP="00BC3E77">
      <w:pPr>
        <w:autoSpaceDE w:val="0"/>
        <w:autoSpaceDN w:val="0"/>
        <w:adjustRightInd w:val="0"/>
        <w:spacing w:line="360" w:lineRule="auto"/>
        <w:jc w:val="both"/>
        <w:rPr>
          <w:rFonts w:ascii="Palatino Linotype" w:eastAsia="Batang" w:hAnsi="Palatino Linotype" w:cs="Arial"/>
        </w:rPr>
      </w:pPr>
    </w:p>
    <w:p w14:paraId="488C7A89" w14:textId="77777777" w:rsidR="00BC3E77" w:rsidRPr="00514593" w:rsidRDefault="00BC3E77" w:rsidP="00BC3E77">
      <w:pPr>
        <w:autoSpaceDE w:val="0"/>
        <w:autoSpaceDN w:val="0"/>
        <w:adjustRightInd w:val="0"/>
        <w:spacing w:line="360" w:lineRule="auto"/>
        <w:jc w:val="both"/>
        <w:rPr>
          <w:rFonts w:ascii="Palatino Linotype" w:eastAsia="Batang" w:hAnsi="Palatino Linotype" w:cs="Arial"/>
          <w:sz w:val="24"/>
          <w:szCs w:val="24"/>
        </w:rPr>
      </w:pPr>
      <w:r w:rsidRPr="00514593">
        <w:rPr>
          <w:rFonts w:ascii="Palatino Linotype" w:eastAsia="Batang" w:hAnsi="Palatino Linotype" w:cs="Arial"/>
          <w:sz w:val="24"/>
          <w:szCs w:val="24"/>
        </w:rPr>
        <w:t xml:space="preserve">De igual manera, la Convención Americana sobre los Derechos Humanos, en su artículo 11, establece que toda persona tiene derecho al respeto de su honra y al reconocimiento de su dignidad; que nadie puede ser objeto de injerencias arbitrarias o abusivas en su vida privada, en la de su familia, en su domicilio o en su correspondencia, ni de ataques </w:t>
      </w:r>
      <w:r w:rsidRPr="00514593">
        <w:rPr>
          <w:rFonts w:ascii="Palatino Linotype" w:eastAsia="Batang" w:hAnsi="Palatino Linotype" w:cs="Arial"/>
          <w:sz w:val="24"/>
          <w:szCs w:val="24"/>
        </w:rPr>
        <w:lastRenderedPageBreak/>
        <w:t>ilegales a su honra o reputación; y que toda persona tiene derecho a la protección de la ley contra esas injerencias o esos ataques.</w:t>
      </w:r>
    </w:p>
    <w:p w14:paraId="5045ACA4" w14:textId="77777777" w:rsidR="00BC3E77" w:rsidRPr="00514593" w:rsidRDefault="00BC3E77" w:rsidP="00BC3E77">
      <w:pPr>
        <w:autoSpaceDE w:val="0"/>
        <w:autoSpaceDN w:val="0"/>
        <w:adjustRightInd w:val="0"/>
        <w:spacing w:line="360" w:lineRule="auto"/>
        <w:jc w:val="both"/>
        <w:rPr>
          <w:rFonts w:ascii="Palatino Linotype" w:eastAsia="Batang" w:hAnsi="Palatino Linotype" w:cs="Arial"/>
          <w:sz w:val="24"/>
          <w:szCs w:val="24"/>
        </w:rPr>
      </w:pPr>
    </w:p>
    <w:p w14:paraId="1BFCE560" w14:textId="77777777" w:rsidR="00BC3E77" w:rsidRPr="00514593" w:rsidRDefault="00BC3E77" w:rsidP="00BC3E77">
      <w:pPr>
        <w:autoSpaceDE w:val="0"/>
        <w:autoSpaceDN w:val="0"/>
        <w:adjustRightInd w:val="0"/>
        <w:spacing w:line="360" w:lineRule="auto"/>
        <w:jc w:val="both"/>
        <w:rPr>
          <w:rFonts w:ascii="Palatino Linotype" w:eastAsia="Batang" w:hAnsi="Palatino Linotype" w:cs="Arial"/>
          <w:sz w:val="24"/>
          <w:szCs w:val="24"/>
        </w:rPr>
      </w:pPr>
      <w:r w:rsidRPr="00514593">
        <w:rPr>
          <w:rFonts w:ascii="Palatino Linotype" w:eastAsia="Batang" w:hAnsi="Palatino Linotype" w:cs="Arial"/>
          <w:sz w:val="24"/>
          <w:szCs w:val="24"/>
        </w:rPr>
        <w:t>En ese contexto, conforme al artículo 50 de la Ley de Responsabilidades Administrativas del Estado de México y Municipios, establece que incurrirá en una falta administrativa no grave, aquellos servidores públicos cuyos actos y omisiones incumplan o transgredan el cumplimiento de sus funciones, atribuciones o comisiones, la atención de instrucciones, presentar en tiempo y forma las declaraciones de situación patrimonial y de intereses, el cuidado de documentación, la rendición de cuentas sobre el ejercicio de sus funciones, entre otras.</w:t>
      </w:r>
    </w:p>
    <w:p w14:paraId="4FF84687" w14:textId="77777777" w:rsidR="00BC3E77" w:rsidRPr="00514593" w:rsidRDefault="00BC3E77" w:rsidP="00BC3E77">
      <w:pPr>
        <w:autoSpaceDE w:val="0"/>
        <w:autoSpaceDN w:val="0"/>
        <w:adjustRightInd w:val="0"/>
        <w:spacing w:line="360" w:lineRule="auto"/>
        <w:jc w:val="both"/>
        <w:rPr>
          <w:rFonts w:ascii="Palatino Linotype" w:eastAsia="Batang" w:hAnsi="Palatino Linotype" w:cs="Arial"/>
          <w:sz w:val="24"/>
          <w:szCs w:val="24"/>
        </w:rPr>
      </w:pPr>
    </w:p>
    <w:p w14:paraId="02B67ACB" w14:textId="77777777" w:rsidR="00BC3E77" w:rsidRPr="00514593" w:rsidRDefault="00BC3E77" w:rsidP="00BC3E77">
      <w:pPr>
        <w:autoSpaceDE w:val="0"/>
        <w:autoSpaceDN w:val="0"/>
        <w:adjustRightInd w:val="0"/>
        <w:spacing w:line="360" w:lineRule="auto"/>
        <w:jc w:val="both"/>
        <w:rPr>
          <w:rFonts w:ascii="Palatino Linotype" w:eastAsia="Batang" w:hAnsi="Palatino Linotype" w:cs="Arial"/>
          <w:sz w:val="24"/>
          <w:szCs w:val="24"/>
        </w:rPr>
      </w:pPr>
      <w:r w:rsidRPr="00514593">
        <w:rPr>
          <w:rFonts w:ascii="Palatino Linotype" w:eastAsia="Batang" w:hAnsi="Palatino Linotype" w:cs="Arial"/>
          <w:sz w:val="24"/>
          <w:szCs w:val="24"/>
        </w:rPr>
        <w:t xml:space="preserve">Como se logra observar, </w:t>
      </w:r>
      <w:r w:rsidRPr="00514593">
        <w:rPr>
          <w:rFonts w:ascii="Palatino Linotype" w:eastAsia="Batang" w:hAnsi="Palatino Linotype" w:cs="Arial"/>
          <w:b/>
          <w:sz w:val="24"/>
          <w:szCs w:val="24"/>
        </w:rPr>
        <w:t>las faltas no graves</w:t>
      </w:r>
      <w:r w:rsidRPr="00514593">
        <w:rPr>
          <w:rFonts w:ascii="Palatino Linotype" w:eastAsia="Batang" w:hAnsi="Palatino Linotype" w:cs="Arial"/>
          <w:sz w:val="24"/>
          <w:szCs w:val="24"/>
        </w:rPr>
        <w:t>, son aquellas que cometen los servidores públicos por incumplimiento a sus funciones, o bien, a sus obligaciones y, por lo tanto, las consecuencias recaen directamente en contra, de este, al no haber una afectación a terceros (personas físicas, morales, instituciones públicas u otros trabajadores), ni haber un detrimento en el erario.</w:t>
      </w:r>
    </w:p>
    <w:p w14:paraId="2D9177BE" w14:textId="77777777" w:rsidR="00BC3E77" w:rsidRPr="00514593" w:rsidRDefault="00BC3E77" w:rsidP="00BC3E77">
      <w:pPr>
        <w:autoSpaceDE w:val="0"/>
        <w:autoSpaceDN w:val="0"/>
        <w:adjustRightInd w:val="0"/>
        <w:spacing w:line="360" w:lineRule="auto"/>
        <w:jc w:val="both"/>
        <w:rPr>
          <w:rFonts w:ascii="Palatino Linotype" w:eastAsia="Batang" w:hAnsi="Palatino Linotype" w:cs="Arial"/>
          <w:sz w:val="24"/>
          <w:szCs w:val="24"/>
        </w:rPr>
      </w:pPr>
    </w:p>
    <w:p w14:paraId="40AB7E21" w14:textId="77777777" w:rsidR="00BC3E77" w:rsidRPr="00514593" w:rsidRDefault="00BC3E77" w:rsidP="00BC3E77">
      <w:pPr>
        <w:autoSpaceDE w:val="0"/>
        <w:autoSpaceDN w:val="0"/>
        <w:adjustRightInd w:val="0"/>
        <w:spacing w:line="360" w:lineRule="auto"/>
        <w:jc w:val="both"/>
        <w:rPr>
          <w:rFonts w:ascii="Palatino Linotype" w:eastAsia="Batang" w:hAnsi="Palatino Linotype" w:cs="Arial"/>
          <w:sz w:val="24"/>
          <w:szCs w:val="24"/>
        </w:rPr>
      </w:pPr>
      <w:r w:rsidRPr="00514593">
        <w:rPr>
          <w:rFonts w:ascii="Palatino Linotype" w:eastAsia="Batang" w:hAnsi="Palatino Linotype" w:cs="Arial"/>
          <w:sz w:val="24"/>
          <w:szCs w:val="24"/>
        </w:rPr>
        <w:t>Así, se puede advertir que dichas faltas</w:t>
      </w:r>
      <w:r w:rsidRPr="00514593">
        <w:rPr>
          <w:rFonts w:ascii="Palatino Linotype" w:eastAsia="Batang" w:hAnsi="Palatino Linotype" w:cs="Arial"/>
          <w:b/>
          <w:sz w:val="24"/>
          <w:szCs w:val="24"/>
        </w:rPr>
        <w:t xml:space="preserve">, no tienen una trascendencia social, </w:t>
      </w:r>
      <w:r w:rsidRPr="00514593">
        <w:rPr>
          <w:rFonts w:ascii="Palatino Linotype" w:eastAsia="Batang" w:hAnsi="Palatino Linotype" w:cs="Arial"/>
          <w:sz w:val="24"/>
          <w:szCs w:val="24"/>
        </w:rPr>
        <w:t xml:space="preserve">pues no existe un daño externo, sino que únicamente la atañe al servidor público en cuestión. </w:t>
      </w:r>
      <w:r w:rsidRPr="00514593">
        <w:rPr>
          <w:rFonts w:ascii="Palatino Linotype" w:hAnsi="Palatino Linotype" w:cs="Arial"/>
          <w:sz w:val="24"/>
          <w:szCs w:val="24"/>
          <w:u w:val="single"/>
        </w:rPr>
        <w:t>Por lo expuesto, se desprende que dar a conocer pronunciamiento respecto a la existencia de un procedimiento de responsabilidad administrativa no grave, en su caso que exista, constituye información confidencial que afecta su esfera privada</w:t>
      </w:r>
      <w:r w:rsidRPr="00514593">
        <w:rPr>
          <w:rFonts w:ascii="Palatino Linotype" w:hAnsi="Palatino Linotype" w:cs="Arial"/>
          <w:sz w:val="24"/>
          <w:szCs w:val="24"/>
        </w:rPr>
        <w:t xml:space="preserve">, puesto que podría </w:t>
      </w:r>
      <w:r w:rsidRPr="00514593">
        <w:rPr>
          <w:rFonts w:ascii="Palatino Linotype" w:hAnsi="Palatino Linotype" w:cs="Arial"/>
          <w:sz w:val="24"/>
          <w:szCs w:val="24"/>
        </w:rPr>
        <w:lastRenderedPageBreak/>
        <w:t xml:space="preserve">generar una percepción negativa de éste, ocasionando un perjuicio en su </w:t>
      </w:r>
      <w:r w:rsidRPr="00514593">
        <w:rPr>
          <w:rFonts w:ascii="Palatino Linotype" w:hAnsi="Palatino Linotype" w:cs="Arial"/>
          <w:b/>
          <w:sz w:val="24"/>
          <w:szCs w:val="24"/>
        </w:rPr>
        <w:t>honor, intimidad y buena imagen</w:t>
      </w:r>
      <w:r w:rsidRPr="00514593">
        <w:rPr>
          <w:rFonts w:ascii="Palatino Linotype" w:hAnsi="Palatino Linotype" w:cs="Arial"/>
          <w:sz w:val="24"/>
          <w:szCs w:val="24"/>
        </w:rPr>
        <w:t>, pues como se precisó la afectación es para el propio servidor público, situación que no afecta a terceros.</w:t>
      </w:r>
    </w:p>
    <w:p w14:paraId="0E129B1F" w14:textId="77777777" w:rsidR="00BC3E77" w:rsidRPr="00514593" w:rsidRDefault="00BC3E77" w:rsidP="00BC3E77">
      <w:pPr>
        <w:autoSpaceDE w:val="0"/>
        <w:autoSpaceDN w:val="0"/>
        <w:adjustRightInd w:val="0"/>
        <w:spacing w:line="360" w:lineRule="auto"/>
        <w:jc w:val="both"/>
        <w:rPr>
          <w:rFonts w:ascii="Palatino Linotype" w:hAnsi="Palatino Linotype" w:cs="Arial"/>
          <w:sz w:val="24"/>
          <w:szCs w:val="24"/>
        </w:rPr>
      </w:pPr>
    </w:p>
    <w:p w14:paraId="7AD5B3A6" w14:textId="77777777" w:rsidR="00BC3E77" w:rsidRPr="00514593" w:rsidRDefault="00BC3E77" w:rsidP="00EB5568">
      <w:pPr>
        <w:autoSpaceDE w:val="0"/>
        <w:autoSpaceDN w:val="0"/>
        <w:adjustRightInd w:val="0"/>
        <w:spacing w:line="360" w:lineRule="auto"/>
        <w:jc w:val="both"/>
        <w:rPr>
          <w:rFonts w:ascii="Palatino Linotype" w:hAnsi="Palatino Linotype" w:cs="Arial"/>
          <w:sz w:val="24"/>
          <w:szCs w:val="24"/>
        </w:rPr>
      </w:pPr>
      <w:r w:rsidRPr="00514593">
        <w:rPr>
          <w:rFonts w:ascii="Palatino Linotype" w:hAnsi="Palatino Linotype" w:cs="Arial"/>
          <w:sz w:val="24"/>
          <w:szCs w:val="24"/>
        </w:rPr>
        <w:t xml:space="preserve">Por lo que, proporcionar el pronunciamiento, podría generar un juicio por parte de la sociedad, afectando su prestigio y su buen nombre, pues la sociedad podría calificar a dicho servidor público, con prerrogativas que lo desestimen. </w:t>
      </w:r>
    </w:p>
    <w:p w14:paraId="7359DAC4" w14:textId="77777777" w:rsidR="002A02BF" w:rsidRPr="00514593" w:rsidRDefault="002A02BF" w:rsidP="002A02BF">
      <w:pPr>
        <w:tabs>
          <w:tab w:val="left" w:pos="3962"/>
        </w:tabs>
        <w:spacing w:line="360" w:lineRule="auto"/>
        <w:jc w:val="both"/>
        <w:rPr>
          <w:rFonts w:ascii="Palatino Linotype" w:hAnsi="Palatino Linotype" w:cs="Tahoma"/>
          <w:b/>
          <w:bCs/>
          <w:sz w:val="24"/>
          <w:szCs w:val="24"/>
        </w:rPr>
      </w:pPr>
      <w:r w:rsidRPr="00514593">
        <w:rPr>
          <w:rFonts w:ascii="Palatino Linotype" w:hAnsi="Palatino Linotype" w:cs="Tahoma"/>
          <w:b/>
          <w:bCs/>
          <w:sz w:val="24"/>
          <w:szCs w:val="24"/>
        </w:rPr>
        <w:t>Procedimiento concluido por faltas administrativas graves.</w:t>
      </w:r>
    </w:p>
    <w:p w14:paraId="592A8DF5" w14:textId="77777777" w:rsidR="002A02BF" w:rsidRPr="00514593" w:rsidRDefault="002A02BF" w:rsidP="002A02BF">
      <w:pPr>
        <w:tabs>
          <w:tab w:val="left" w:pos="3962"/>
        </w:tabs>
        <w:spacing w:line="360" w:lineRule="auto"/>
        <w:jc w:val="both"/>
        <w:rPr>
          <w:rFonts w:ascii="Palatino Linotype" w:hAnsi="Palatino Linotype" w:cs="Tahoma"/>
          <w:b/>
          <w:bCs/>
          <w:iCs/>
          <w:sz w:val="24"/>
          <w:szCs w:val="24"/>
        </w:rPr>
      </w:pPr>
      <w:r w:rsidRPr="00514593">
        <w:rPr>
          <w:rFonts w:ascii="Palatino Linotype" w:hAnsi="Palatino Linotype" w:cs="Tahoma"/>
          <w:bCs/>
          <w:iCs/>
          <w:sz w:val="24"/>
          <w:szCs w:val="24"/>
        </w:rPr>
        <w:t xml:space="preserve">Al respecto, cabe señalar que, si bien entregar el pronunciamiento respecto a la existencia de un procedimiento de sanción administrativa, podría generar una percepción negativa de éste, ocasionando un perjuicio en su </w:t>
      </w:r>
      <w:r w:rsidRPr="00514593">
        <w:rPr>
          <w:rFonts w:ascii="Palatino Linotype" w:hAnsi="Palatino Linotype" w:cs="Tahoma"/>
          <w:b/>
          <w:bCs/>
          <w:iCs/>
          <w:sz w:val="24"/>
          <w:szCs w:val="24"/>
        </w:rPr>
        <w:t xml:space="preserve">honor, intimidad, buena imagen y nombre, así como a su vida privada, </w:t>
      </w:r>
      <w:r w:rsidRPr="00514593">
        <w:rPr>
          <w:rFonts w:ascii="Palatino Linotype" w:hAnsi="Palatino Linotype" w:cs="Tahoma"/>
          <w:bCs/>
          <w:iCs/>
          <w:sz w:val="24"/>
          <w:szCs w:val="24"/>
        </w:rPr>
        <w:t xml:space="preserve">también lo es, que en el presente caso se trataría de </w:t>
      </w:r>
      <w:r w:rsidRPr="00514593">
        <w:rPr>
          <w:rFonts w:ascii="Palatino Linotype" w:hAnsi="Palatino Linotype" w:cs="Tahoma"/>
          <w:b/>
          <w:bCs/>
          <w:iCs/>
          <w:sz w:val="24"/>
          <w:szCs w:val="24"/>
        </w:rPr>
        <w:t>faltas graves.</w:t>
      </w:r>
    </w:p>
    <w:p w14:paraId="5094DA7A" w14:textId="77777777" w:rsidR="002A02BF" w:rsidRPr="00514593" w:rsidRDefault="002A02BF" w:rsidP="002A02BF">
      <w:pPr>
        <w:tabs>
          <w:tab w:val="left" w:pos="3962"/>
        </w:tabs>
        <w:spacing w:line="360" w:lineRule="auto"/>
        <w:jc w:val="both"/>
        <w:rPr>
          <w:rFonts w:ascii="Palatino Linotype" w:hAnsi="Palatino Linotype" w:cs="Tahoma"/>
          <w:b/>
          <w:bCs/>
          <w:iCs/>
          <w:sz w:val="24"/>
          <w:szCs w:val="24"/>
        </w:rPr>
      </w:pPr>
    </w:p>
    <w:p w14:paraId="798E586D" w14:textId="77777777" w:rsidR="002A02BF" w:rsidRPr="00514593" w:rsidRDefault="002A02BF" w:rsidP="002A02BF">
      <w:pPr>
        <w:tabs>
          <w:tab w:val="left" w:pos="3962"/>
        </w:tabs>
        <w:spacing w:line="360" w:lineRule="auto"/>
        <w:jc w:val="both"/>
        <w:rPr>
          <w:rFonts w:ascii="Palatino Linotype" w:hAnsi="Palatino Linotype" w:cs="Tahoma"/>
          <w:bCs/>
          <w:iCs/>
          <w:sz w:val="24"/>
          <w:szCs w:val="24"/>
        </w:rPr>
      </w:pPr>
      <w:r w:rsidRPr="00514593">
        <w:rPr>
          <w:rFonts w:ascii="Palatino Linotype" w:hAnsi="Palatino Linotype" w:cs="Tahoma"/>
          <w:bCs/>
          <w:iCs/>
          <w:sz w:val="24"/>
          <w:szCs w:val="24"/>
        </w:rPr>
        <w:t xml:space="preserve">Al respecto, en términos del artículo 52 y 82 de la Ley de Responsabilidades Administrativas del Estado de México y Municipios, establece que son faltas administrativas graves, cuando un servidor público cometa cohecho, peculado, desvío de recursos públicos, abuso de funciones, realizar hostigamiento y acoso sexual, enriquecimiento oculto, </w:t>
      </w:r>
      <w:r w:rsidRPr="00514593">
        <w:rPr>
          <w:rFonts w:ascii="Palatino Linotype" w:hAnsi="Palatino Linotype" w:cs="Tahoma"/>
          <w:b/>
          <w:iCs/>
          <w:sz w:val="24"/>
          <w:szCs w:val="24"/>
        </w:rPr>
        <w:t>tráfico de influencias</w:t>
      </w:r>
      <w:r w:rsidRPr="00514593">
        <w:rPr>
          <w:rFonts w:ascii="Palatino Linotype" w:hAnsi="Palatino Linotype" w:cs="Tahoma"/>
          <w:bCs/>
          <w:iCs/>
          <w:sz w:val="24"/>
          <w:szCs w:val="24"/>
        </w:rPr>
        <w:t>, entre otros, los cuales recaer en diversas sanciones, entre las que se encuentran la destitución o en su caso, la sanción económica.</w:t>
      </w:r>
    </w:p>
    <w:p w14:paraId="64E35331" w14:textId="77777777" w:rsidR="002A02BF" w:rsidRPr="00514593" w:rsidRDefault="002A02BF" w:rsidP="002A02BF">
      <w:pPr>
        <w:tabs>
          <w:tab w:val="left" w:pos="3962"/>
        </w:tabs>
        <w:spacing w:line="360" w:lineRule="auto"/>
        <w:jc w:val="both"/>
        <w:rPr>
          <w:rFonts w:ascii="Palatino Linotype" w:hAnsi="Palatino Linotype" w:cs="Tahoma"/>
          <w:bCs/>
          <w:iCs/>
          <w:sz w:val="24"/>
          <w:szCs w:val="24"/>
        </w:rPr>
      </w:pPr>
    </w:p>
    <w:p w14:paraId="7FFB79E8" w14:textId="77777777" w:rsidR="002A02BF" w:rsidRPr="00514593" w:rsidRDefault="002A02BF" w:rsidP="002A02BF">
      <w:pPr>
        <w:tabs>
          <w:tab w:val="left" w:pos="3962"/>
        </w:tabs>
        <w:spacing w:line="360" w:lineRule="auto"/>
        <w:jc w:val="both"/>
        <w:rPr>
          <w:rFonts w:ascii="Palatino Linotype" w:hAnsi="Palatino Linotype" w:cs="Tahoma"/>
          <w:bCs/>
          <w:iCs/>
          <w:sz w:val="24"/>
          <w:szCs w:val="24"/>
        </w:rPr>
      </w:pPr>
      <w:r w:rsidRPr="00514593">
        <w:rPr>
          <w:rFonts w:ascii="Palatino Linotype" w:hAnsi="Palatino Linotype" w:cs="Tahoma"/>
          <w:bCs/>
          <w:iCs/>
          <w:sz w:val="24"/>
          <w:szCs w:val="24"/>
        </w:rPr>
        <w:lastRenderedPageBreak/>
        <w:t>Además, cabe señalar que la mayoría de dichas conductas, se encuentran reguladas en el Título Sexto Delitos por Hechos de Corrupción, del Código Penal del Estado de México, en donde se prevé como delitos el abuso de autoridad, uso ilícito de atribuciones, ejercicio abusivo de funciones, cohecho, peculado y enriquecimiento ilícito.</w:t>
      </w:r>
    </w:p>
    <w:p w14:paraId="6D80A3D4" w14:textId="77777777" w:rsidR="002A02BF" w:rsidRPr="00514593" w:rsidRDefault="002A02BF" w:rsidP="002A02BF">
      <w:pPr>
        <w:spacing w:line="360" w:lineRule="auto"/>
        <w:jc w:val="both"/>
        <w:rPr>
          <w:rFonts w:ascii="Palatino Linotype" w:hAnsi="Palatino Linotype"/>
          <w:sz w:val="24"/>
          <w:szCs w:val="24"/>
        </w:rPr>
      </w:pPr>
    </w:p>
    <w:p w14:paraId="7B19E13E" w14:textId="77777777" w:rsidR="002A02BF" w:rsidRPr="00514593" w:rsidRDefault="002A02BF" w:rsidP="002A02BF">
      <w:pPr>
        <w:spacing w:line="360" w:lineRule="auto"/>
        <w:jc w:val="both"/>
        <w:rPr>
          <w:rFonts w:ascii="Palatino Linotype" w:hAnsi="Palatino Linotype"/>
          <w:sz w:val="24"/>
          <w:szCs w:val="24"/>
        </w:rPr>
      </w:pPr>
      <w:r w:rsidRPr="00514593">
        <w:rPr>
          <w:rFonts w:ascii="Palatino Linotype" w:hAnsi="Palatino Linotype"/>
          <w:sz w:val="24"/>
          <w:szCs w:val="24"/>
        </w:rPr>
        <w:t>Conforme a lo anterior, se logra vislumbrar que las faltas administrativas graves, causan un perjuicio de manera externa, esto es, a terceras personas o bien, a la hacienda o erario público; por lo que, se podría considerar que existe una trascendencia social, para dar a conocer dicha información, además que se relacionan dichas conductas con actos de corrupción, conforme a la normatividad citada en el párrafo previo.</w:t>
      </w:r>
    </w:p>
    <w:p w14:paraId="2AE2F0A6" w14:textId="77777777" w:rsidR="002A02BF" w:rsidRPr="00514593" w:rsidRDefault="002A02BF" w:rsidP="002A02BF">
      <w:pPr>
        <w:tabs>
          <w:tab w:val="left" w:pos="3962"/>
        </w:tabs>
        <w:spacing w:line="360" w:lineRule="auto"/>
        <w:jc w:val="both"/>
        <w:rPr>
          <w:rFonts w:ascii="Palatino Linotype" w:hAnsi="Palatino Linotype" w:cs="Tahoma"/>
          <w:bCs/>
          <w:iCs/>
          <w:sz w:val="24"/>
          <w:szCs w:val="24"/>
        </w:rPr>
      </w:pPr>
    </w:p>
    <w:p w14:paraId="5F36E426" w14:textId="77777777" w:rsidR="002A02BF" w:rsidRPr="00514593" w:rsidRDefault="002A02BF" w:rsidP="002A02BF">
      <w:pPr>
        <w:tabs>
          <w:tab w:val="left" w:pos="3962"/>
        </w:tabs>
        <w:spacing w:line="360" w:lineRule="auto"/>
        <w:jc w:val="both"/>
        <w:rPr>
          <w:rFonts w:ascii="Palatino Linotype" w:hAnsi="Palatino Linotype" w:cs="Tahoma"/>
          <w:bCs/>
          <w:iCs/>
          <w:sz w:val="24"/>
          <w:szCs w:val="24"/>
        </w:rPr>
      </w:pPr>
      <w:r w:rsidRPr="00514593">
        <w:rPr>
          <w:rFonts w:ascii="Palatino Linotype" w:hAnsi="Palatino Linotype" w:cs="Tahoma"/>
          <w:bCs/>
          <w:iCs/>
          <w:sz w:val="24"/>
          <w:szCs w:val="24"/>
        </w:rPr>
        <w:t xml:space="preserve">En ese orden de ideas, si bien el nombre de los servidores públicos sancionados por un procedimientos de responsabilidades administrativas por faltas graves, en caso de existir, podrían generar una percepción negativa de este, ocasionando un perjuicio en su honor, intimidad y buena imagen de un trabajador gubernamental, también lo es que </w:t>
      </w:r>
      <w:r w:rsidRPr="00514593">
        <w:rPr>
          <w:rFonts w:ascii="Palatino Linotype" w:hAnsi="Palatino Linotype" w:cs="Tahoma"/>
          <w:b/>
          <w:bCs/>
          <w:iCs/>
          <w:sz w:val="24"/>
          <w:szCs w:val="24"/>
        </w:rPr>
        <w:t>existe un interés público en darlas a conoce</w:t>
      </w:r>
      <w:r w:rsidRPr="00514593">
        <w:rPr>
          <w:rFonts w:ascii="Palatino Linotype" w:hAnsi="Palatino Linotype" w:cs="Tahoma"/>
          <w:bCs/>
          <w:iCs/>
          <w:sz w:val="24"/>
          <w:szCs w:val="24"/>
        </w:rPr>
        <w:t>r, pues establecen que el actuar de un servidor público, en ejercicio de sus atribuciones, fue en contra de las disposiciones normativas aplicables y que causaron un perjuicio a otras personas o al erario público.</w:t>
      </w:r>
    </w:p>
    <w:p w14:paraId="57DB6975" w14:textId="77777777" w:rsidR="002A02BF" w:rsidRPr="00514593" w:rsidRDefault="002A02BF" w:rsidP="002A02BF">
      <w:pPr>
        <w:tabs>
          <w:tab w:val="left" w:pos="3962"/>
        </w:tabs>
        <w:spacing w:line="360" w:lineRule="auto"/>
        <w:jc w:val="both"/>
        <w:rPr>
          <w:rFonts w:ascii="Palatino Linotype" w:hAnsi="Palatino Linotype" w:cs="Tahoma"/>
          <w:bCs/>
          <w:iCs/>
          <w:sz w:val="24"/>
          <w:szCs w:val="24"/>
        </w:rPr>
      </w:pPr>
    </w:p>
    <w:p w14:paraId="17699DAD" w14:textId="77777777" w:rsidR="002A02BF" w:rsidRPr="00514593" w:rsidRDefault="002A02BF" w:rsidP="002A02BF">
      <w:pPr>
        <w:tabs>
          <w:tab w:val="left" w:pos="3962"/>
        </w:tabs>
        <w:spacing w:line="360" w:lineRule="auto"/>
        <w:jc w:val="both"/>
        <w:rPr>
          <w:rFonts w:ascii="Palatino Linotype" w:hAnsi="Palatino Linotype" w:cs="Tahoma"/>
          <w:bCs/>
          <w:sz w:val="24"/>
          <w:szCs w:val="24"/>
        </w:rPr>
      </w:pPr>
      <w:r w:rsidRPr="00514593">
        <w:rPr>
          <w:rFonts w:ascii="Palatino Linotype" w:hAnsi="Palatino Linotype" w:cs="Tahoma"/>
          <w:bCs/>
          <w:sz w:val="24"/>
          <w:szCs w:val="24"/>
        </w:rPr>
        <w:t xml:space="preserve">Ante tales circunstancias, se desprende que, en el caso concreto, sobreviene una </w:t>
      </w:r>
      <w:r w:rsidRPr="00514593">
        <w:rPr>
          <w:rFonts w:ascii="Palatino Linotype" w:hAnsi="Palatino Linotype" w:cs="Tahoma"/>
          <w:b/>
          <w:bCs/>
          <w:sz w:val="24"/>
          <w:szCs w:val="24"/>
        </w:rPr>
        <w:t>colisión de derechos fundamentales,</w:t>
      </w:r>
      <w:r w:rsidRPr="00514593">
        <w:rPr>
          <w:rFonts w:ascii="Palatino Linotype" w:hAnsi="Palatino Linotype" w:cs="Tahoma"/>
          <w:bCs/>
          <w:sz w:val="24"/>
          <w:szCs w:val="24"/>
        </w:rPr>
        <w:t xml:space="preserve"> esto es, por una parte, se tiene el derecho de acceso a la información del Particular para conocer la información en análisis, y por la otra, el </w:t>
      </w:r>
      <w:r w:rsidRPr="00514593">
        <w:rPr>
          <w:rFonts w:ascii="Palatino Linotype" w:hAnsi="Palatino Linotype" w:cs="Tahoma"/>
          <w:bCs/>
          <w:sz w:val="24"/>
          <w:szCs w:val="24"/>
        </w:rPr>
        <w:lastRenderedPageBreak/>
        <w:t>derecho a la protección de la vida privada de un servidor público, lo cual implica dar a conocer información confidencial consistente en dar a conocer que estuvo inmerso en un procedimiento de responsabilidad administrativa de falta grave.</w:t>
      </w:r>
    </w:p>
    <w:p w14:paraId="49D2A61A" w14:textId="77777777" w:rsidR="002A02BF" w:rsidRPr="00514593" w:rsidRDefault="002A02BF" w:rsidP="002A02BF">
      <w:pPr>
        <w:tabs>
          <w:tab w:val="left" w:pos="3962"/>
        </w:tabs>
        <w:spacing w:line="360" w:lineRule="auto"/>
        <w:jc w:val="both"/>
        <w:rPr>
          <w:rFonts w:ascii="Palatino Linotype" w:hAnsi="Palatino Linotype" w:cs="Tahoma"/>
          <w:bCs/>
          <w:sz w:val="24"/>
          <w:szCs w:val="24"/>
        </w:rPr>
      </w:pPr>
    </w:p>
    <w:p w14:paraId="313B0C63" w14:textId="77777777" w:rsidR="002A02BF" w:rsidRPr="00514593" w:rsidRDefault="002A02BF" w:rsidP="002A02BF">
      <w:pPr>
        <w:tabs>
          <w:tab w:val="left" w:pos="3962"/>
        </w:tabs>
        <w:spacing w:line="360" w:lineRule="auto"/>
        <w:jc w:val="both"/>
        <w:rPr>
          <w:rFonts w:ascii="Palatino Linotype" w:hAnsi="Palatino Linotype" w:cs="Tahoma"/>
          <w:bCs/>
          <w:sz w:val="24"/>
          <w:szCs w:val="24"/>
        </w:rPr>
      </w:pPr>
      <w:r w:rsidRPr="00514593">
        <w:rPr>
          <w:rFonts w:ascii="Palatino Linotype" w:hAnsi="Palatino Linotype" w:cs="Tahoma"/>
          <w:bCs/>
          <w:sz w:val="24"/>
          <w:szCs w:val="24"/>
        </w:rPr>
        <w:t>Sobre el particular, debe señalarse que, en un sistema jurídico racional, el contenido de ciertos derechos fundamentales no es absoluto y la colisión entre derechos fundamentales debe resolverse mediante una ponderación que determine el derecho que ha de prevalecer en el caso concretó, y no apelando a reglas de prioridad entre normas.</w:t>
      </w:r>
    </w:p>
    <w:p w14:paraId="4156FCBE" w14:textId="77777777" w:rsidR="002A02BF" w:rsidRPr="00514593" w:rsidRDefault="002A02BF" w:rsidP="002A02BF">
      <w:pPr>
        <w:tabs>
          <w:tab w:val="left" w:pos="3962"/>
        </w:tabs>
        <w:spacing w:line="360" w:lineRule="auto"/>
        <w:jc w:val="both"/>
        <w:rPr>
          <w:rFonts w:ascii="Palatino Linotype" w:hAnsi="Palatino Linotype" w:cs="Tahoma"/>
          <w:bCs/>
          <w:sz w:val="24"/>
          <w:szCs w:val="24"/>
        </w:rPr>
      </w:pPr>
    </w:p>
    <w:p w14:paraId="412AE981" w14:textId="77777777" w:rsidR="002A02BF" w:rsidRPr="00514593" w:rsidRDefault="002A02BF" w:rsidP="002A02BF">
      <w:pPr>
        <w:tabs>
          <w:tab w:val="left" w:pos="3962"/>
        </w:tabs>
        <w:spacing w:line="360" w:lineRule="auto"/>
        <w:jc w:val="both"/>
        <w:rPr>
          <w:rFonts w:ascii="Palatino Linotype" w:hAnsi="Palatino Linotype" w:cs="Tahoma"/>
          <w:bCs/>
          <w:sz w:val="24"/>
          <w:szCs w:val="24"/>
        </w:rPr>
      </w:pPr>
      <w:r w:rsidRPr="00514593">
        <w:rPr>
          <w:rFonts w:ascii="Palatino Linotype" w:hAnsi="Palatino Linotype" w:cs="Tahoma"/>
          <w:bCs/>
          <w:sz w:val="24"/>
          <w:szCs w:val="24"/>
        </w:rPr>
        <w:t xml:space="preserve">Por cuanto hace a la colisión entre el derecho a la información y el derecho a la intimidad o a la vida privada, el Poder Judicial de la Federación ha sostenido la </w:t>
      </w:r>
      <w:r w:rsidRPr="00514593">
        <w:rPr>
          <w:rFonts w:ascii="Palatino Linotype" w:hAnsi="Palatino Linotype" w:cs="Tahoma"/>
          <w:b/>
          <w:bCs/>
          <w:sz w:val="24"/>
          <w:szCs w:val="24"/>
        </w:rPr>
        <w:t xml:space="preserve">necesidad de resolver el conflicto apuntado mediante el ejercicio de ponderación; además, que el interés público que tenga cierta información, será concepto legitimador de las intromisiones en la intimidad o la vida privada, en donde este derecho debe ceder a favor del derecho a comunicar y recibir información, atendiendo a las circunstancias de cada caso en concreto, </w:t>
      </w:r>
      <w:r w:rsidRPr="00514593">
        <w:rPr>
          <w:rFonts w:ascii="Palatino Linotype" w:hAnsi="Palatino Linotype" w:cs="Tahoma"/>
          <w:bCs/>
          <w:sz w:val="24"/>
          <w:szCs w:val="24"/>
        </w:rPr>
        <w:t>tal y como se desprende de la tesis 1a. XLIII/2010, emitida por la Primera Sala de la Suprema Corte de Justicia de la Nación, publicada en el Semanario Judicial de la Federación y su Gaceta, Tomo XXXI, página 928, de marzo de 2010, Novena Época, materia constitucional.</w:t>
      </w:r>
    </w:p>
    <w:p w14:paraId="264CC398" w14:textId="77777777" w:rsidR="002A02BF" w:rsidRPr="00514593" w:rsidRDefault="002A02BF" w:rsidP="002A02BF">
      <w:pPr>
        <w:tabs>
          <w:tab w:val="left" w:pos="3962"/>
        </w:tabs>
        <w:spacing w:line="360" w:lineRule="auto"/>
        <w:jc w:val="both"/>
        <w:rPr>
          <w:rFonts w:ascii="Palatino Linotype" w:hAnsi="Palatino Linotype" w:cs="Tahoma"/>
          <w:bCs/>
          <w:iCs/>
          <w:sz w:val="24"/>
          <w:szCs w:val="24"/>
        </w:rPr>
      </w:pPr>
      <w:r w:rsidRPr="00514593">
        <w:rPr>
          <w:rFonts w:ascii="Palatino Linotype" w:hAnsi="Palatino Linotype" w:cs="Tahoma"/>
          <w:bCs/>
          <w:sz w:val="24"/>
          <w:szCs w:val="24"/>
        </w:rPr>
        <w:t>En ese mismo sentido y atendiendo a la naturaleza del derecho a la protección de datos personales, por analogía, este debe ceder cuando exista un interés público mayor de acuerdo a las circunstancias del caso.</w:t>
      </w:r>
      <w:r w:rsidRPr="00514593">
        <w:rPr>
          <w:rFonts w:ascii="Palatino Linotype" w:hAnsi="Palatino Linotype" w:cs="Tahoma"/>
          <w:bCs/>
          <w:iCs/>
          <w:sz w:val="24"/>
          <w:szCs w:val="24"/>
        </w:rPr>
        <w:t xml:space="preserve"> Señalado lo anterior, resulta necesario realizar una </w:t>
      </w:r>
      <w:r w:rsidRPr="00514593">
        <w:rPr>
          <w:rFonts w:ascii="Palatino Linotype" w:hAnsi="Palatino Linotype" w:cs="Tahoma"/>
          <w:bCs/>
          <w:iCs/>
          <w:sz w:val="24"/>
          <w:szCs w:val="24"/>
        </w:rPr>
        <w:lastRenderedPageBreak/>
        <w:t xml:space="preserve">ponderación de los dos intereses jurídicos tutelados que convergen en la controversia que se dirime; para lo cual, el artículo </w:t>
      </w:r>
      <w:r w:rsidRPr="00514593">
        <w:rPr>
          <w:rFonts w:ascii="Palatino Linotype" w:hAnsi="Palatino Linotype" w:cs="Tahoma"/>
          <w:bCs/>
          <w:sz w:val="24"/>
          <w:szCs w:val="24"/>
        </w:rPr>
        <w:t>184 de la Ley de Transparencia y Acceso a la Información Pública del Estado de México y Municipios</w:t>
      </w:r>
      <w:r w:rsidRPr="00514593">
        <w:rPr>
          <w:rFonts w:ascii="Palatino Linotype" w:hAnsi="Palatino Linotype" w:cs="Tahoma"/>
          <w:bCs/>
          <w:iCs/>
          <w:sz w:val="24"/>
          <w:szCs w:val="24"/>
        </w:rPr>
        <w:t xml:space="preserve"> prevé que cuando exista una colisión de derechos, este Instituto, al resolver el recurso de revisión, debe aplicar una prueba de interés público con base en elementos de idoneidad, necesidad y proporcionalidad. Para estos efectos, se entenderá por: </w:t>
      </w:r>
    </w:p>
    <w:p w14:paraId="69F86DDE" w14:textId="77777777" w:rsidR="002A02BF" w:rsidRPr="00514593" w:rsidRDefault="002A02BF" w:rsidP="002A02BF">
      <w:pPr>
        <w:numPr>
          <w:ilvl w:val="0"/>
          <w:numId w:val="46"/>
        </w:numPr>
        <w:tabs>
          <w:tab w:val="left" w:pos="3962"/>
        </w:tabs>
        <w:spacing w:after="0" w:line="360" w:lineRule="auto"/>
        <w:jc w:val="both"/>
        <w:rPr>
          <w:rFonts w:ascii="Palatino Linotype" w:hAnsi="Palatino Linotype" w:cs="Tahoma"/>
          <w:bCs/>
          <w:iCs/>
          <w:sz w:val="24"/>
          <w:szCs w:val="24"/>
        </w:rPr>
      </w:pPr>
      <w:r w:rsidRPr="00514593">
        <w:rPr>
          <w:rFonts w:ascii="Palatino Linotype" w:hAnsi="Palatino Linotype" w:cs="Tahoma"/>
          <w:b/>
          <w:bCs/>
          <w:iCs/>
          <w:sz w:val="24"/>
          <w:szCs w:val="24"/>
        </w:rPr>
        <w:t>Idoneidad:</w:t>
      </w:r>
      <w:r w:rsidRPr="00514593">
        <w:rPr>
          <w:rFonts w:ascii="Palatino Linotype" w:hAnsi="Palatino Linotype" w:cs="Tahoma"/>
          <w:bCs/>
          <w:iCs/>
          <w:sz w:val="24"/>
          <w:szCs w:val="24"/>
        </w:rPr>
        <w:t xml:space="preserve"> La legitimidad del derecho adoptado como preferente, que sea el adecuado para el logro de un fin constitucionalmente válido o apto para conseguir el fin pretendido;</w:t>
      </w:r>
    </w:p>
    <w:p w14:paraId="7A9BBAB5" w14:textId="77777777" w:rsidR="002A02BF" w:rsidRPr="00514593" w:rsidRDefault="002A02BF" w:rsidP="002A02BF">
      <w:pPr>
        <w:tabs>
          <w:tab w:val="left" w:pos="3962"/>
        </w:tabs>
        <w:spacing w:line="360" w:lineRule="auto"/>
        <w:jc w:val="both"/>
        <w:rPr>
          <w:rFonts w:ascii="Palatino Linotype" w:hAnsi="Palatino Linotype" w:cs="Tahoma"/>
          <w:bCs/>
          <w:iCs/>
          <w:sz w:val="24"/>
          <w:szCs w:val="24"/>
        </w:rPr>
      </w:pPr>
    </w:p>
    <w:p w14:paraId="4356A285" w14:textId="77777777" w:rsidR="002A02BF" w:rsidRPr="00514593" w:rsidRDefault="002A02BF" w:rsidP="002A02BF">
      <w:pPr>
        <w:numPr>
          <w:ilvl w:val="0"/>
          <w:numId w:val="46"/>
        </w:numPr>
        <w:tabs>
          <w:tab w:val="left" w:pos="3962"/>
        </w:tabs>
        <w:spacing w:after="0" w:line="360" w:lineRule="auto"/>
        <w:jc w:val="both"/>
        <w:rPr>
          <w:rFonts w:ascii="Palatino Linotype" w:hAnsi="Palatino Linotype" w:cs="Tahoma"/>
          <w:bCs/>
          <w:iCs/>
          <w:sz w:val="24"/>
          <w:szCs w:val="24"/>
        </w:rPr>
      </w:pPr>
      <w:r w:rsidRPr="00514593">
        <w:rPr>
          <w:rFonts w:ascii="Palatino Linotype" w:hAnsi="Palatino Linotype" w:cs="Tahoma"/>
          <w:b/>
          <w:bCs/>
          <w:iCs/>
          <w:sz w:val="24"/>
          <w:szCs w:val="24"/>
        </w:rPr>
        <w:t>Necesidad:</w:t>
      </w:r>
      <w:r w:rsidRPr="00514593">
        <w:rPr>
          <w:rFonts w:ascii="Palatino Linotype" w:hAnsi="Palatino Linotype" w:cs="Tahoma"/>
          <w:bCs/>
          <w:iCs/>
          <w:sz w:val="24"/>
          <w:szCs w:val="24"/>
        </w:rPr>
        <w:t xml:space="preserve"> La falta de un medio alternativo menos lesivo a la apertura de la información, para satisfacer el interés público, y</w:t>
      </w:r>
    </w:p>
    <w:p w14:paraId="6DA5B064" w14:textId="77777777" w:rsidR="002A02BF" w:rsidRPr="00514593" w:rsidRDefault="002A02BF" w:rsidP="002A02BF">
      <w:pPr>
        <w:tabs>
          <w:tab w:val="left" w:pos="3962"/>
        </w:tabs>
        <w:spacing w:line="360" w:lineRule="auto"/>
        <w:jc w:val="both"/>
        <w:rPr>
          <w:rFonts w:ascii="Palatino Linotype" w:hAnsi="Palatino Linotype" w:cs="Tahoma"/>
          <w:bCs/>
          <w:iCs/>
          <w:sz w:val="24"/>
          <w:szCs w:val="24"/>
        </w:rPr>
      </w:pPr>
    </w:p>
    <w:p w14:paraId="086CD1A3" w14:textId="77777777" w:rsidR="002A02BF" w:rsidRPr="00514593" w:rsidRDefault="002A02BF" w:rsidP="002A02BF">
      <w:pPr>
        <w:numPr>
          <w:ilvl w:val="0"/>
          <w:numId w:val="46"/>
        </w:numPr>
        <w:tabs>
          <w:tab w:val="left" w:pos="3962"/>
        </w:tabs>
        <w:spacing w:after="0" w:line="360" w:lineRule="auto"/>
        <w:jc w:val="both"/>
        <w:rPr>
          <w:rFonts w:ascii="Palatino Linotype" w:hAnsi="Palatino Linotype" w:cs="Tahoma"/>
          <w:bCs/>
          <w:iCs/>
          <w:sz w:val="24"/>
          <w:szCs w:val="24"/>
        </w:rPr>
      </w:pPr>
      <w:r w:rsidRPr="00514593">
        <w:rPr>
          <w:rFonts w:ascii="Palatino Linotype" w:hAnsi="Palatino Linotype" w:cs="Tahoma"/>
          <w:b/>
          <w:bCs/>
          <w:iCs/>
          <w:sz w:val="24"/>
          <w:szCs w:val="24"/>
        </w:rPr>
        <w:t>Proporcionalidad:</w:t>
      </w:r>
      <w:r w:rsidRPr="00514593">
        <w:rPr>
          <w:rFonts w:ascii="Palatino Linotype" w:hAnsi="Palatino Linotype" w:cs="Tahoma"/>
          <w:bCs/>
          <w:iCs/>
          <w:sz w:val="24"/>
          <w:szCs w:val="24"/>
        </w:rPr>
        <w:t xml:space="preserve"> El equilibrio entre perjuicio y beneficio a favor del interés público, a fin de que la decisión tomada represente un beneficio mayor al perjuicio que podría causar a la población.</w:t>
      </w:r>
    </w:p>
    <w:p w14:paraId="51B2FD81" w14:textId="77777777" w:rsidR="002A02BF" w:rsidRPr="00514593" w:rsidRDefault="002A02BF" w:rsidP="002A02BF">
      <w:pPr>
        <w:tabs>
          <w:tab w:val="left" w:pos="3962"/>
        </w:tabs>
        <w:spacing w:line="360" w:lineRule="auto"/>
        <w:jc w:val="both"/>
        <w:rPr>
          <w:rFonts w:ascii="Palatino Linotype" w:hAnsi="Palatino Linotype" w:cs="Tahoma"/>
          <w:bCs/>
          <w:sz w:val="24"/>
          <w:szCs w:val="24"/>
        </w:rPr>
      </w:pPr>
    </w:p>
    <w:p w14:paraId="5AB42CE8" w14:textId="77777777" w:rsidR="002A02BF" w:rsidRPr="00514593" w:rsidRDefault="002A02BF" w:rsidP="002A02BF">
      <w:pPr>
        <w:tabs>
          <w:tab w:val="left" w:pos="3962"/>
        </w:tabs>
        <w:spacing w:line="360" w:lineRule="auto"/>
        <w:jc w:val="both"/>
        <w:rPr>
          <w:rFonts w:ascii="Palatino Linotype" w:hAnsi="Palatino Linotype" w:cs="Tahoma"/>
          <w:bCs/>
          <w:sz w:val="24"/>
          <w:szCs w:val="24"/>
        </w:rPr>
      </w:pPr>
      <w:r w:rsidRPr="00514593">
        <w:rPr>
          <w:rFonts w:ascii="Palatino Linotype" w:hAnsi="Palatino Linotype" w:cs="Tahoma"/>
          <w:bCs/>
          <w:sz w:val="24"/>
          <w:szCs w:val="24"/>
        </w:rPr>
        <w:t>En ese orden de ideas, resulta procedente analizar cada uno de los elementos referidos, partiendo de que, en el caso concreto, se estima como preferente el derecho de acceso a la información, bajo las consideraciones que se verterán a continuación.</w:t>
      </w:r>
    </w:p>
    <w:p w14:paraId="4D2BA176" w14:textId="77777777" w:rsidR="002A02BF" w:rsidRPr="00514593" w:rsidRDefault="002A02BF" w:rsidP="002A02BF">
      <w:pPr>
        <w:tabs>
          <w:tab w:val="left" w:pos="3962"/>
        </w:tabs>
        <w:spacing w:line="360" w:lineRule="auto"/>
        <w:jc w:val="both"/>
        <w:rPr>
          <w:rFonts w:ascii="Palatino Linotype" w:hAnsi="Palatino Linotype" w:cs="Tahoma"/>
          <w:bCs/>
          <w:sz w:val="24"/>
          <w:szCs w:val="24"/>
        </w:rPr>
      </w:pPr>
    </w:p>
    <w:p w14:paraId="1DDE1C43" w14:textId="77777777" w:rsidR="002A02BF" w:rsidRPr="00514593" w:rsidRDefault="002A02BF" w:rsidP="002A02BF">
      <w:pPr>
        <w:tabs>
          <w:tab w:val="left" w:pos="3962"/>
        </w:tabs>
        <w:spacing w:line="360" w:lineRule="auto"/>
        <w:jc w:val="both"/>
        <w:rPr>
          <w:rFonts w:ascii="Palatino Linotype" w:hAnsi="Palatino Linotype" w:cs="Tahoma"/>
          <w:b/>
          <w:bCs/>
          <w:iCs/>
          <w:sz w:val="24"/>
          <w:szCs w:val="24"/>
        </w:rPr>
      </w:pPr>
      <w:r w:rsidRPr="00514593">
        <w:rPr>
          <w:rFonts w:ascii="Palatino Linotype" w:hAnsi="Palatino Linotype" w:cs="Tahoma"/>
          <w:b/>
          <w:bCs/>
          <w:iCs/>
          <w:sz w:val="24"/>
          <w:szCs w:val="24"/>
        </w:rPr>
        <w:lastRenderedPageBreak/>
        <w:t>a) Idoneidad</w:t>
      </w:r>
      <w:r w:rsidRPr="00514593">
        <w:rPr>
          <w:rFonts w:ascii="Palatino Linotype" w:hAnsi="Palatino Linotype" w:cs="Tahoma"/>
          <w:bCs/>
          <w:sz w:val="24"/>
          <w:szCs w:val="24"/>
        </w:rPr>
        <w:t>. El presente asunto representa un caso en el que el ejercicio del derecho de acceso a la información se contrapone al derecho a la vida privada; los cuales se encuentran reconocidos en el plano constitucional, en igualdad de características para los gobernados.</w:t>
      </w:r>
    </w:p>
    <w:p w14:paraId="6CEEFB7F" w14:textId="77777777" w:rsidR="002A02BF" w:rsidRPr="00514593" w:rsidRDefault="002A02BF" w:rsidP="002A02BF">
      <w:pPr>
        <w:tabs>
          <w:tab w:val="left" w:pos="3962"/>
        </w:tabs>
        <w:spacing w:line="360" w:lineRule="auto"/>
        <w:jc w:val="both"/>
        <w:rPr>
          <w:rFonts w:ascii="Palatino Linotype" w:hAnsi="Palatino Linotype" w:cs="Tahoma"/>
          <w:b/>
          <w:bCs/>
          <w:iCs/>
          <w:sz w:val="24"/>
          <w:szCs w:val="24"/>
        </w:rPr>
      </w:pPr>
    </w:p>
    <w:p w14:paraId="27332A14" w14:textId="77777777" w:rsidR="002A02BF" w:rsidRPr="00514593" w:rsidRDefault="002A02BF" w:rsidP="002A02BF">
      <w:pPr>
        <w:tabs>
          <w:tab w:val="left" w:pos="3962"/>
        </w:tabs>
        <w:spacing w:line="360" w:lineRule="auto"/>
        <w:jc w:val="both"/>
        <w:rPr>
          <w:rFonts w:ascii="Palatino Linotype" w:hAnsi="Palatino Linotype" w:cs="Tahoma"/>
          <w:bCs/>
          <w:iCs/>
          <w:sz w:val="24"/>
          <w:szCs w:val="24"/>
        </w:rPr>
      </w:pPr>
      <w:r w:rsidRPr="00514593">
        <w:rPr>
          <w:rFonts w:ascii="Palatino Linotype" w:hAnsi="Palatino Linotype" w:cs="Tahoma"/>
          <w:bCs/>
          <w:iCs/>
          <w:sz w:val="24"/>
          <w:szCs w:val="24"/>
        </w:rPr>
        <w:t>Ahora bien, respecto al derecho al honor y a la privacidad, es establecido que cuando se hace referencia a servidores públicos, el umbral de protección del derecho a su honor debe permitir el más amplio control ciudadano sobre el ejercicio de sus funciones, porque el funcionario público se expone voluntariamente al escrutinio de la sociedad al asumir ciertas responsabilidades profesionales -lo que conlleva naturalmente mayores riesgos de sufrir afectaciones en su honor- y porque su condición le permite tener mayor influencia social y acceder con facilidad a los medios de comunicación para dar explicaciones o reaccionar ante hechos que lo involucren.</w:t>
      </w:r>
    </w:p>
    <w:p w14:paraId="70E20D51" w14:textId="77777777" w:rsidR="002A02BF" w:rsidRPr="00514593" w:rsidRDefault="002A02BF" w:rsidP="002A02BF">
      <w:pPr>
        <w:tabs>
          <w:tab w:val="left" w:pos="3962"/>
        </w:tabs>
        <w:spacing w:line="360" w:lineRule="auto"/>
        <w:jc w:val="both"/>
        <w:rPr>
          <w:rFonts w:ascii="Palatino Linotype" w:hAnsi="Palatino Linotype" w:cs="Tahoma"/>
          <w:b/>
          <w:bCs/>
          <w:iCs/>
          <w:sz w:val="24"/>
          <w:szCs w:val="24"/>
        </w:rPr>
      </w:pPr>
    </w:p>
    <w:p w14:paraId="2B25C447" w14:textId="77777777" w:rsidR="002A02BF" w:rsidRPr="00514593" w:rsidRDefault="002A02BF" w:rsidP="002A02BF">
      <w:pPr>
        <w:tabs>
          <w:tab w:val="left" w:pos="3962"/>
        </w:tabs>
        <w:spacing w:line="360" w:lineRule="auto"/>
        <w:jc w:val="both"/>
        <w:rPr>
          <w:rFonts w:ascii="Palatino Linotype" w:hAnsi="Palatino Linotype" w:cs="Tahoma"/>
          <w:bCs/>
          <w:iCs/>
          <w:sz w:val="24"/>
          <w:szCs w:val="24"/>
        </w:rPr>
      </w:pPr>
      <w:r w:rsidRPr="00514593">
        <w:rPr>
          <w:rFonts w:ascii="Palatino Linotype" w:hAnsi="Palatino Linotype" w:cs="Tahoma"/>
          <w:bCs/>
          <w:iCs/>
          <w:sz w:val="24"/>
          <w:szCs w:val="24"/>
        </w:rPr>
        <w:t>Así, se advierte que aquellas personas con responsabilidades públicas mantienen la protección derivada del derecho al honor incluso cuando no estén actuando en carácter de particulares, pero las implicaciones de esta protección deben ser ponderadas con las que derivan del interés en un debate abierto sobre los asuntos públicos.</w:t>
      </w:r>
    </w:p>
    <w:p w14:paraId="62E7A857" w14:textId="77777777" w:rsidR="002A02BF" w:rsidRPr="00514593" w:rsidRDefault="002A02BF" w:rsidP="002A02BF">
      <w:pPr>
        <w:tabs>
          <w:tab w:val="left" w:pos="3962"/>
        </w:tabs>
        <w:spacing w:line="360" w:lineRule="auto"/>
        <w:jc w:val="both"/>
        <w:rPr>
          <w:rFonts w:ascii="Palatino Linotype" w:hAnsi="Palatino Linotype" w:cs="Tahoma"/>
          <w:bCs/>
          <w:iCs/>
          <w:sz w:val="24"/>
          <w:szCs w:val="24"/>
        </w:rPr>
      </w:pPr>
    </w:p>
    <w:p w14:paraId="6C31F58F" w14:textId="77777777" w:rsidR="002A02BF" w:rsidRPr="00514593" w:rsidRDefault="002A02BF" w:rsidP="002A02BF">
      <w:pPr>
        <w:tabs>
          <w:tab w:val="left" w:pos="3962"/>
        </w:tabs>
        <w:spacing w:line="360" w:lineRule="auto"/>
        <w:jc w:val="both"/>
        <w:rPr>
          <w:rFonts w:ascii="Palatino Linotype" w:hAnsi="Palatino Linotype" w:cs="Tahoma"/>
          <w:bCs/>
          <w:iCs/>
          <w:sz w:val="24"/>
          <w:szCs w:val="24"/>
        </w:rPr>
      </w:pPr>
      <w:r w:rsidRPr="00514593">
        <w:rPr>
          <w:rFonts w:ascii="Palatino Linotype" w:hAnsi="Palatino Linotype" w:cs="Tahoma"/>
          <w:bCs/>
          <w:iCs/>
          <w:sz w:val="24"/>
          <w:szCs w:val="24"/>
        </w:rPr>
        <w:t xml:space="preserve">En ese sentido, el hecho de que los servidores públicos concluyan sus funciones, no implica que termine el mayor nivel de tolerancia frente a la crítica de su desempeño, es decir, no significa que una vez que el servidor público termine su encargo, debe estar </w:t>
      </w:r>
      <w:r w:rsidRPr="00514593">
        <w:rPr>
          <w:rFonts w:ascii="Palatino Linotype" w:hAnsi="Palatino Linotype" w:cs="Tahoma"/>
          <w:bCs/>
          <w:iCs/>
          <w:sz w:val="24"/>
          <w:szCs w:val="24"/>
        </w:rPr>
        <w:lastRenderedPageBreak/>
        <w:t xml:space="preserve">vedado publicar información </w:t>
      </w:r>
      <w:r w:rsidRPr="00514593">
        <w:rPr>
          <w:rFonts w:ascii="Palatino Linotype" w:hAnsi="Palatino Linotype" w:cs="Tahoma"/>
          <w:b/>
          <w:bCs/>
          <w:iCs/>
          <w:sz w:val="24"/>
          <w:szCs w:val="24"/>
        </w:rPr>
        <w:t>respecto de su desempeño</w:t>
      </w:r>
      <w:r w:rsidRPr="00514593">
        <w:rPr>
          <w:rFonts w:ascii="Palatino Linotype" w:hAnsi="Palatino Linotype" w:cs="Tahoma"/>
          <w:bCs/>
          <w:iCs/>
          <w:sz w:val="24"/>
          <w:szCs w:val="24"/>
        </w:rPr>
        <w:t xml:space="preserve"> o que se termine el mayor nivel de tolerancia que debe tener frente a la crítica, sino que ese mayor nivel de tolerancia, sólo se tiene frente a la información de interés público.</w:t>
      </w:r>
    </w:p>
    <w:p w14:paraId="53A654A0" w14:textId="77777777" w:rsidR="002A02BF" w:rsidRPr="00514593" w:rsidRDefault="002A02BF" w:rsidP="002A02BF">
      <w:pPr>
        <w:tabs>
          <w:tab w:val="left" w:pos="3962"/>
        </w:tabs>
        <w:spacing w:line="360" w:lineRule="auto"/>
        <w:jc w:val="both"/>
        <w:rPr>
          <w:rFonts w:ascii="Palatino Linotype" w:hAnsi="Palatino Linotype" w:cs="Tahoma"/>
          <w:bCs/>
          <w:iCs/>
          <w:sz w:val="24"/>
          <w:szCs w:val="24"/>
        </w:rPr>
      </w:pPr>
    </w:p>
    <w:p w14:paraId="2F096AB3" w14:textId="77777777" w:rsidR="002A02BF" w:rsidRPr="00514593" w:rsidRDefault="002A02BF" w:rsidP="002A02BF">
      <w:pPr>
        <w:tabs>
          <w:tab w:val="left" w:pos="3962"/>
        </w:tabs>
        <w:spacing w:line="360" w:lineRule="auto"/>
        <w:jc w:val="both"/>
        <w:rPr>
          <w:rFonts w:ascii="Palatino Linotype" w:hAnsi="Palatino Linotype" w:cs="Tahoma"/>
          <w:bCs/>
          <w:iCs/>
          <w:sz w:val="24"/>
          <w:szCs w:val="24"/>
        </w:rPr>
      </w:pPr>
      <w:r w:rsidRPr="00514593">
        <w:rPr>
          <w:rFonts w:ascii="Palatino Linotype" w:hAnsi="Palatino Linotype" w:cs="Tahoma"/>
          <w:bCs/>
          <w:iCs/>
          <w:sz w:val="24"/>
          <w:szCs w:val="24"/>
        </w:rPr>
        <w:t xml:space="preserve">Lo anterior, ya que como se precisó en párrafos anteriores, proporcionar la información de referencia, garantizaría la rendición de cuentas por parte del </w:t>
      </w:r>
      <w:r w:rsidRPr="00514593">
        <w:rPr>
          <w:rFonts w:ascii="Palatino Linotype" w:hAnsi="Palatino Linotype" w:cs="Tahoma"/>
          <w:bCs/>
          <w:iCs/>
          <w:sz w:val="24"/>
          <w:szCs w:val="24"/>
          <w:lang w:val="es-ES_tradnl"/>
        </w:rPr>
        <w:t>Órgano Interno de Control</w:t>
      </w:r>
      <w:r w:rsidRPr="00514593">
        <w:rPr>
          <w:rFonts w:ascii="Palatino Linotype" w:hAnsi="Palatino Linotype" w:cs="Tahoma"/>
          <w:bCs/>
          <w:iCs/>
          <w:sz w:val="24"/>
          <w:szCs w:val="24"/>
        </w:rPr>
        <w:t xml:space="preserve"> y del Tribunal de Justicia Administrativa del Estado de México, relativo a su actuación, teniendo como consecuencia que los ciudadanos tengan confianza en sus autoridades, al poder conocer el nombre de los servidores públicos que fueron sancionados por una falta grave.</w:t>
      </w:r>
    </w:p>
    <w:p w14:paraId="174F1013" w14:textId="77777777" w:rsidR="002A02BF" w:rsidRPr="00514593" w:rsidRDefault="002A02BF" w:rsidP="002A02BF">
      <w:pPr>
        <w:tabs>
          <w:tab w:val="left" w:pos="3962"/>
        </w:tabs>
        <w:spacing w:line="360" w:lineRule="auto"/>
        <w:jc w:val="both"/>
        <w:rPr>
          <w:rFonts w:ascii="Palatino Linotype" w:hAnsi="Palatino Linotype" w:cs="Tahoma"/>
          <w:bCs/>
          <w:iCs/>
          <w:sz w:val="24"/>
          <w:szCs w:val="24"/>
        </w:rPr>
      </w:pPr>
    </w:p>
    <w:p w14:paraId="4F286179" w14:textId="77777777" w:rsidR="002A02BF" w:rsidRPr="00514593" w:rsidRDefault="002A02BF" w:rsidP="002A02BF">
      <w:pPr>
        <w:tabs>
          <w:tab w:val="left" w:pos="3962"/>
        </w:tabs>
        <w:spacing w:line="360" w:lineRule="auto"/>
        <w:jc w:val="both"/>
        <w:rPr>
          <w:rFonts w:ascii="Palatino Linotype" w:hAnsi="Palatino Linotype" w:cs="Tahoma"/>
          <w:bCs/>
          <w:iCs/>
          <w:sz w:val="24"/>
          <w:szCs w:val="24"/>
        </w:rPr>
      </w:pPr>
      <w:r w:rsidRPr="00514593">
        <w:rPr>
          <w:rFonts w:ascii="Palatino Linotype" w:hAnsi="Palatino Linotype" w:cs="Tahoma"/>
          <w:bCs/>
          <w:iCs/>
          <w:sz w:val="24"/>
          <w:szCs w:val="24"/>
        </w:rPr>
        <w:t>Además, que, con dicha información, se estaría revelando que el desempeño de estos, no fue conforme a derecho, asimismo, de dar a conocer que los referidos acreditaron que había cometido faltas graves e inclusive actos de corrupción. Con base en lo anterior, se considera que el principio que se debe adoptar en el presente asunto es el que subyace en el derecho fundamental de acceso a la información, puesto que a través de éste se busca no sólo satisfacer un interés individual, sino la necesidad de la colectividad de estar en posibilidad de evaluar el desempeño de los servidores públicos y autoridades.</w:t>
      </w:r>
    </w:p>
    <w:p w14:paraId="5B303E1D" w14:textId="77777777" w:rsidR="002A02BF" w:rsidRPr="00514593" w:rsidRDefault="002A02BF" w:rsidP="002A02BF">
      <w:pPr>
        <w:tabs>
          <w:tab w:val="left" w:pos="3962"/>
        </w:tabs>
        <w:spacing w:line="360" w:lineRule="auto"/>
        <w:jc w:val="both"/>
        <w:rPr>
          <w:rFonts w:ascii="Palatino Linotype" w:hAnsi="Palatino Linotype" w:cs="Tahoma"/>
          <w:bCs/>
          <w:iCs/>
          <w:sz w:val="24"/>
          <w:szCs w:val="24"/>
        </w:rPr>
      </w:pPr>
    </w:p>
    <w:p w14:paraId="64CBD299" w14:textId="77777777" w:rsidR="002A02BF" w:rsidRPr="00514593" w:rsidRDefault="002A02BF" w:rsidP="002A02BF">
      <w:pPr>
        <w:tabs>
          <w:tab w:val="left" w:pos="3962"/>
        </w:tabs>
        <w:spacing w:line="360" w:lineRule="auto"/>
        <w:jc w:val="both"/>
        <w:rPr>
          <w:rFonts w:ascii="Palatino Linotype" w:hAnsi="Palatino Linotype" w:cs="Tahoma"/>
          <w:bCs/>
          <w:iCs/>
          <w:sz w:val="24"/>
          <w:szCs w:val="24"/>
        </w:rPr>
      </w:pPr>
      <w:r w:rsidRPr="00514593">
        <w:rPr>
          <w:rFonts w:ascii="Palatino Linotype" w:hAnsi="Palatino Linotype" w:cs="Tahoma"/>
          <w:b/>
          <w:bCs/>
          <w:iCs/>
          <w:sz w:val="24"/>
          <w:szCs w:val="24"/>
        </w:rPr>
        <w:t xml:space="preserve">b) Necesidad: </w:t>
      </w:r>
      <w:r w:rsidRPr="00514593">
        <w:rPr>
          <w:rFonts w:ascii="Palatino Linotype" w:hAnsi="Palatino Linotype" w:cs="Tahoma"/>
          <w:bCs/>
          <w:iCs/>
          <w:sz w:val="24"/>
          <w:szCs w:val="24"/>
        </w:rPr>
        <w:t xml:space="preserve">Por otra parte, este Instituto observa que también se actualiza el principio de necesidad, ya que no existe un medio menos oneroso para lograr el fin válido, pues se estima necesaria la difusión, en caso de existir, de la información requerida, es decir, del </w:t>
      </w:r>
      <w:r w:rsidRPr="00514593">
        <w:rPr>
          <w:rFonts w:ascii="Palatino Linotype" w:hAnsi="Palatino Linotype" w:cs="Tahoma"/>
          <w:bCs/>
          <w:iCs/>
          <w:sz w:val="24"/>
          <w:szCs w:val="24"/>
        </w:rPr>
        <w:lastRenderedPageBreak/>
        <w:t>nombre de los servidores públicos sancionados, pues se relacionan con el ejercicio de sus funciones de los cargos ocupados, a fin de que los ciudadanos identifiquen el tipo de desempeño efectuado por el trabajador, en el ejercicio de sus atribuciones, con la finalidad de calificar su actuar, ello con independencia de que el funcionario también revista el carácter de persona física identificada e identificable, pues, tal como se hizo alusión en el análisis que precede, la protección de sus datos personales queda supeditada al interés mayor de conocer los motivos y circunstancias que dieron origen a las posibles responsabilidades administrativas instauradas en su contra, que en su caso obren en los archivos.</w:t>
      </w:r>
    </w:p>
    <w:p w14:paraId="7A5B1F48" w14:textId="77777777" w:rsidR="002A02BF" w:rsidRPr="00514593" w:rsidRDefault="002A02BF" w:rsidP="002A02BF">
      <w:pPr>
        <w:tabs>
          <w:tab w:val="left" w:pos="3962"/>
        </w:tabs>
        <w:spacing w:line="360" w:lineRule="auto"/>
        <w:jc w:val="both"/>
        <w:rPr>
          <w:rFonts w:ascii="Palatino Linotype" w:hAnsi="Palatino Linotype" w:cs="Tahoma"/>
          <w:bCs/>
          <w:iCs/>
          <w:sz w:val="24"/>
          <w:szCs w:val="24"/>
        </w:rPr>
      </w:pPr>
    </w:p>
    <w:p w14:paraId="14CBF5FC" w14:textId="77777777" w:rsidR="002A02BF" w:rsidRPr="00514593" w:rsidRDefault="002A02BF" w:rsidP="002A02BF">
      <w:pPr>
        <w:tabs>
          <w:tab w:val="left" w:pos="3962"/>
        </w:tabs>
        <w:spacing w:line="360" w:lineRule="auto"/>
        <w:jc w:val="both"/>
        <w:rPr>
          <w:rFonts w:ascii="Palatino Linotype" w:hAnsi="Palatino Linotype" w:cs="Tahoma"/>
          <w:bCs/>
          <w:iCs/>
          <w:sz w:val="24"/>
          <w:szCs w:val="24"/>
        </w:rPr>
      </w:pPr>
      <w:r w:rsidRPr="00514593">
        <w:rPr>
          <w:rFonts w:ascii="Palatino Linotype" w:hAnsi="Palatino Linotype" w:cs="Tahoma"/>
          <w:bCs/>
          <w:iCs/>
          <w:sz w:val="24"/>
          <w:szCs w:val="24"/>
        </w:rPr>
        <w:t xml:space="preserve">Además, ello permite evaluar la actuación tanto del Tribunal de Justicia Administrativa del Estado de México, como del </w:t>
      </w:r>
      <w:r w:rsidRPr="00514593">
        <w:rPr>
          <w:rFonts w:ascii="Palatino Linotype" w:hAnsi="Palatino Linotype" w:cs="Tahoma"/>
          <w:bCs/>
          <w:iCs/>
          <w:sz w:val="24"/>
          <w:szCs w:val="24"/>
          <w:lang w:val="es-ES_tradnl"/>
        </w:rPr>
        <w:t>Órgano Interno de Control</w:t>
      </w:r>
      <w:r w:rsidRPr="00514593">
        <w:rPr>
          <w:rFonts w:ascii="Palatino Linotype" w:hAnsi="Palatino Linotype" w:cs="Tahoma"/>
          <w:bCs/>
          <w:iCs/>
          <w:sz w:val="24"/>
          <w:szCs w:val="24"/>
        </w:rPr>
        <w:t>, pues se podrá advertir la forma en la que ejercieron las funciones que legalmente tienen conferidas. Lo anterior, considerando que sólo por esta vía se podría lograr el acceso a la información correspondiente a los documentos del interés del Particular, para garantizar la rendición de cuentas sobre su actuación, así como, la de los servidores públicos sancionados.</w:t>
      </w:r>
    </w:p>
    <w:p w14:paraId="6FA87C84" w14:textId="77777777" w:rsidR="002A02BF" w:rsidRPr="00514593" w:rsidRDefault="002A02BF" w:rsidP="002A02BF">
      <w:pPr>
        <w:tabs>
          <w:tab w:val="left" w:pos="3962"/>
        </w:tabs>
        <w:spacing w:line="360" w:lineRule="auto"/>
        <w:jc w:val="both"/>
        <w:rPr>
          <w:rFonts w:ascii="Palatino Linotype" w:hAnsi="Palatino Linotype" w:cs="Tahoma"/>
          <w:bCs/>
          <w:iCs/>
          <w:sz w:val="24"/>
          <w:szCs w:val="24"/>
        </w:rPr>
      </w:pPr>
    </w:p>
    <w:p w14:paraId="2DBDC818" w14:textId="77777777" w:rsidR="002A02BF" w:rsidRPr="00514593" w:rsidRDefault="002A02BF" w:rsidP="002A02BF">
      <w:pPr>
        <w:tabs>
          <w:tab w:val="left" w:pos="3962"/>
        </w:tabs>
        <w:spacing w:line="360" w:lineRule="auto"/>
        <w:jc w:val="both"/>
        <w:rPr>
          <w:rFonts w:ascii="Palatino Linotype" w:hAnsi="Palatino Linotype" w:cs="Tahoma"/>
          <w:bCs/>
          <w:iCs/>
          <w:sz w:val="24"/>
          <w:szCs w:val="24"/>
        </w:rPr>
      </w:pPr>
      <w:r w:rsidRPr="00514593">
        <w:rPr>
          <w:rFonts w:ascii="Palatino Linotype" w:hAnsi="Palatino Linotype" w:cs="Tahoma"/>
          <w:bCs/>
          <w:iCs/>
          <w:sz w:val="24"/>
          <w:szCs w:val="24"/>
        </w:rPr>
        <w:t xml:space="preserve">Situación que se robustece, con el hecho de que el </w:t>
      </w:r>
      <w:r w:rsidRPr="00514593">
        <w:rPr>
          <w:rFonts w:ascii="Palatino Linotype" w:hAnsi="Palatino Linotype" w:cs="Tahoma"/>
          <w:bCs/>
          <w:iCs/>
          <w:sz w:val="24"/>
          <w:szCs w:val="24"/>
          <w:u w:val="single"/>
        </w:rPr>
        <w:t xml:space="preserve">artículo 27 de la Ley General de Responsabilidades Administrativas, cuarto párrafo, específica que se hará público, las constancias de sanciones o de inhabilitación que se encuentren firmes, en contra de los servidores públicos que hayan sido sancionados por actos vinculados con faltas </w:t>
      </w:r>
      <w:r w:rsidRPr="00514593">
        <w:rPr>
          <w:rFonts w:ascii="Palatino Linotype" w:hAnsi="Palatino Linotype" w:cs="Tahoma"/>
          <w:bCs/>
          <w:iCs/>
          <w:sz w:val="24"/>
          <w:szCs w:val="24"/>
          <w:u w:val="single"/>
        </w:rPr>
        <w:lastRenderedPageBreak/>
        <w:t>administrativas graves; de la misma manera, lo prevé el artículo 28, de la Ley de Responsabilidades Administrativas del Estado de México.</w:t>
      </w:r>
    </w:p>
    <w:p w14:paraId="64B2092C" w14:textId="77777777" w:rsidR="002A02BF" w:rsidRPr="00514593" w:rsidRDefault="002A02BF" w:rsidP="002A02BF">
      <w:pPr>
        <w:tabs>
          <w:tab w:val="left" w:pos="3962"/>
        </w:tabs>
        <w:spacing w:line="360" w:lineRule="auto"/>
        <w:jc w:val="both"/>
        <w:rPr>
          <w:rFonts w:ascii="Palatino Linotype" w:hAnsi="Palatino Linotype" w:cs="Tahoma"/>
          <w:bCs/>
          <w:iCs/>
          <w:sz w:val="24"/>
          <w:szCs w:val="24"/>
        </w:rPr>
      </w:pPr>
    </w:p>
    <w:p w14:paraId="1D16CFA1" w14:textId="77777777" w:rsidR="002A02BF" w:rsidRPr="00514593" w:rsidRDefault="002A02BF" w:rsidP="002A02BF">
      <w:pPr>
        <w:tabs>
          <w:tab w:val="left" w:pos="3962"/>
        </w:tabs>
        <w:spacing w:line="360" w:lineRule="auto"/>
        <w:jc w:val="both"/>
        <w:rPr>
          <w:rFonts w:ascii="Palatino Linotype" w:hAnsi="Palatino Linotype" w:cs="Tahoma"/>
          <w:bCs/>
          <w:iCs/>
          <w:sz w:val="24"/>
          <w:szCs w:val="24"/>
        </w:rPr>
      </w:pPr>
      <w:r w:rsidRPr="00514593">
        <w:rPr>
          <w:rFonts w:ascii="Palatino Linotype" w:hAnsi="Palatino Linotype" w:cs="Tahoma"/>
          <w:bCs/>
          <w:iCs/>
          <w:sz w:val="24"/>
          <w:szCs w:val="24"/>
        </w:rPr>
        <w:t>En tal virtud, por la trascendencia social de la materia del requerimiento, el derecho de acceso a la información deberá prevalecer sobre el derecho a la privacidad; aunado, a que, por disposición legal, la información relacionada con faltas graves de servidores públicos, guardan el carácter de público.</w:t>
      </w:r>
    </w:p>
    <w:p w14:paraId="0F280385" w14:textId="77777777" w:rsidR="002A02BF" w:rsidRPr="00514593" w:rsidRDefault="002A02BF" w:rsidP="002A02BF">
      <w:pPr>
        <w:tabs>
          <w:tab w:val="left" w:pos="3962"/>
        </w:tabs>
        <w:spacing w:line="360" w:lineRule="auto"/>
        <w:jc w:val="both"/>
        <w:rPr>
          <w:rFonts w:ascii="Palatino Linotype" w:hAnsi="Palatino Linotype" w:cs="Tahoma"/>
          <w:b/>
          <w:bCs/>
          <w:iCs/>
          <w:sz w:val="24"/>
          <w:szCs w:val="24"/>
        </w:rPr>
      </w:pPr>
    </w:p>
    <w:p w14:paraId="0D1BC95B" w14:textId="77777777" w:rsidR="002A02BF" w:rsidRPr="00514593" w:rsidRDefault="002A02BF" w:rsidP="002A02BF">
      <w:pPr>
        <w:tabs>
          <w:tab w:val="left" w:pos="3962"/>
        </w:tabs>
        <w:spacing w:line="360" w:lineRule="auto"/>
        <w:jc w:val="both"/>
        <w:rPr>
          <w:rFonts w:ascii="Palatino Linotype" w:hAnsi="Palatino Linotype" w:cs="Tahoma"/>
          <w:bCs/>
          <w:iCs/>
          <w:sz w:val="24"/>
          <w:szCs w:val="24"/>
        </w:rPr>
      </w:pPr>
      <w:r w:rsidRPr="00514593">
        <w:rPr>
          <w:rFonts w:ascii="Palatino Linotype" w:hAnsi="Palatino Linotype" w:cs="Tahoma"/>
          <w:b/>
          <w:bCs/>
          <w:iCs/>
          <w:sz w:val="24"/>
          <w:szCs w:val="24"/>
        </w:rPr>
        <w:t>c) Proporcionalidad en sentido estricto:</w:t>
      </w:r>
      <w:r w:rsidRPr="00514593">
        <w:rPr>
          <w:rFonts w:ascii="Palatino Linotype" w:hAnsi="Palatino Linotype" w:cs="Tahoma"/>
          <w:bCs/>
          <w:iCs/>
          <w:sz w:val="24"/>
          <w:szCs w:val="24"/>
        </w:rPr>
        <w:t xml:space="preserve"> El sacrificio de la protección del nombre de los servidores públicos, en caso de que haya sido sujeto a proceso y cuente con una resolución condenatoria por haber cometido faltas administrativas graves, relacionadas con el desempeño de sus funciones, como medio para lograr el fin válido señalado, se justifica en razón de que se satisface el interés público en conocer el desempeño de sus funciones como trabajador gubernamental, esto es, que no actuó conforme a derecho, así como, la actividad desplegada por las autoridades correspondientes, en el trámite de dichos asuntos. Además, que como se precisó en párrafos previos, dichas faltas recaen en una afectación, para terceras personas, o bien, al erario público.</w:t>
      </w:r>
    </w:p>
    <w:p w14:paraId="7E0858D5" w14:textId="77777777" w:rsidR="002A02BF" w:rsidRPr="00514593" w:rsidRDefault="002A02BF" w:rsidP="002A02BF">
      <w:pPr>
        <w:tabs>
          <w:tab w:val="left" w:pos="3962"/>
        </w:tabs>
        <w:spacing w:line="360" w:lineRule="auto"/>
        <w:jc w:val="both"/>
        <w:rPr>
          <w:rFonts w:ascii="Palatino Linotype" w:hAnsi="Palatino Linotype" w:cs="Tahoma"/>
          <w:bCs/>
          <w:iCs/>
          <w:sz w:val="24"/>
          <w:szCs w:val="24"/>
        </w:rPr>
      </w:pPr>
    </w:p>
    <w:p w14:paraId="2144ED19" w14:textId="77777777" w:rsidR="002A02BF" w:rsidRPr="00514593" w:rsidRDefault="002A02BF" w:rsidP="002A02BF">
      <w:pPr>
        <w:tabs>
          <w:tab w:val="left" w:pos="3962"/>
        </w:tabs>
        <w:spacing w:line="360" w:lineRule="auto"/>
        <w:jc w:val="both"/>
        <w:rPr>
          <w:rFonts w:ascii="Palatino Linotype" w:hAnsi="Palatino Linotype" w:cs="Tahoma"/>
          <w:bCs/>
          <w:iCs/>
          <w:sz w:val="24"/>
          <w:szCs w:val="24"/>
        </w:rPr>
      </w:pPr>
      <w:r w:rsidRPr="00514593">
        <w:rPr>
          <w:rFonts w:ascii="Palatino Linotype" w:hAnsi="Palatino Linotype" w:cs="Tahoma"/>
          <w:bCs/>
          <w:iCs/>
          <w:sz w:val="24"/>
          <w:szCs w:val="24"/>
        </w:rPr>
        <w:t>De esta manera, se logra un mayor beneficio en proporción del otro derecho que se verá restringido, logrando publicitar información que es de interés público, por lo que, se advierte que el daño que se causaría con su difusión es menor a aquél que se causaría con su resguardo.</w:t>
      </w:r>
    </w:p>
    <w:p w14:paraId="6C48AC86" w14:textId="77777777" w:rsidR="002A02BF" w:rsidRPr="00514593" w:rsidRDefault="002A02BF" w:rsidP="002A02BF">
      <w:pPr>
        <w:tabs>
          <w:tab w:val="left" w:pos="3962"/>
        </w:tabs>
        <w:spacing w:line="360" w:lineRule="auto"/>
        <w:jc w:val="both"/>
        <w:rPr>
          <w:rFonts w:ascii="Palatino Linotype" w:hAnsi="Palatino Linotype" w:cs="Tahoma"/>
          <w:bCs/>
          <w:iCs/>
          <w:sz w:val="24"/>
          <w:szCs w:val="24"/>
        </w:rPr>
      </w:pPr>
      <w:r w:rsidRPr="00514593">
        <w:rPr>
          <w:rFonts w:ascii="Palatino Linotype" w:hAnsi="Palatino Linotype" w:cs="Tahoma"/>
          <w:bCs/>
          <w:iCs/>
          <w:sz w:val="24"/>
          <w:szCs w:val="24"/>
        </w:rPr>
        <w:lastRenderedPageBreak/>
        <w:t>En ese orden de ideas, es posible advertir un margen de beneficio mayor al favorecer el derecho de acceso a la información, respecto del derecho a la vida privada; por lo que, la intervención que subsume este ejercicio de ponderación apunta a la obtención de mayores efectos positivos y una afectación menor en la esfera de privacidad de los servidores públicos.</w:t>
      </w:r>
    </w:p>
    <w:p w14:paraId="3B0F85B8" w14:textId="77777777" w:rsidR="002A02BF" w:rsidRPr="00514593" w:rsidRDefault="002A02BF" w:rsidP="002A02BF">
      <w:pPr>
        <w:tabs>
          <w:tab w:val="left" w:pos="3962"/>
        </w:tabs>
        <w:spacing w:line="360" w:lineRule="auto"/>
        <w:jc w:val="both"/>
        <w:rPr>
          <w:rFonts w:ascii="Palatino Linotype" w:hAnsi="Palatino Linotype" w:cs="Tahoma"/>
          <w:bCs/>
          <w:iCs/>
          <w:sz w:val="24"/>
          <w:szCs w:val="24"/>
        </w:rPr>
      </w:pPr>
    </w:p>
    <w:p w14:paraId="5D89B331" w14:textId="77777777" w:rsidR="002A02BF" w:rsidRPr="00514593" w:rsidRDefault="002A02BF" w:rsidP="002A02BF">
      <w:pPr>
        <w:tabs>
          <w:tab w:val="left" w:pos="3962"/>
        </w:tabs>
        <w:spacing w:line="360" w:lineRule="auto"/>
        <w:jc w:val="both"/>
        <w:rPr>
          <w:rFonts w:ascii="Palatino Linotype" w:hAnsi="Palatino Linotype" w:cs="Tahoma"/>
          <w:bCs/>
          <w:iCs/>
          <w:sz w:val="24"/>
          <w:szCs w:val="24"/>
        </w:rPr>
      </w:pPr>
      <w:r w:rsidRPr="00514593">
        <w:rPr>
          <w:rFonts w:ascii="Palatino Linotype" w:hAnsi="Palatino Linotype" w:cs="Tahoma"/>
          <w:bCs/>
          <w:iCs/>
          <w:sz w:val="24"/>
          <w:szCs w:val="24"/>
        </w:rPr>
        <w:t>Asimismo se robustece con el hecho de que la difusión de la información solicitada contribuiría a garantizar el ejercicio de acceso a la información, a favorecer la rendición de cuentas a los ciudadanos, de manera que puedan valorar el desempeño de los sujetos obligados y servidores públicos, además de fortalecer el escrutinio ciudadano sobre las actividades sustantivas de los sujetos obligados, en cumplimiento a los objetivos previstos en el artículo 2 de la Ley Federal de Transparencia y Acceso a la Información Pública.</w:t>
      </w:r>
    </w:p>
    <w:p w14:paraId="06AC465B" w14:textId="77777777" w:rsidR="002A02BF" w:rsidRPr="00514593" w:rsidRDefault="002A02BF" w:rsidP="002A02BF">
      <w:pPr>
        <w:tabs>
          <w:tab w:val="left" w:pos="3962"/>
        </w:tabs>
        <w:spacing w:line="360" w:lineRule="auto"/>
        <w:jc w:val="both"/>
        <w:rPr>
          <w:rFonts w:ascii="Palatino Linotype" w:hAnsi="Palatino Linotype" w:cs="Tahoma"/>
          <w:bCs/>
          <w:iCs/>
          <w:sz w:val="24"/>
          <w:szCs w:val="24"/>
        </w:rPr>
      </w:pPr>
    </w:p>
    <w:p w14:paraId="1A13C596" w14:textId="77777777" w:rsidR="002A02BF" w:rsidRPr="00514593" w:rsidRDefault="002A02BF" w:rsidP="002A02BF">
      <w:pPr>
        <w:tabs>
          <w:tab w:val="left" w:pos="3962"/>
        </w:tabs>
        <w:spacing w:line="360" w:lineRule="auto"/>
        <w:jc w:val="both"/>
        <w:rPr>
          <w:rFonts w:ascii="Palatino Linotype" w:hAnsi="Palatino Linotype" w:cs="Tahoma"/>
          <w:b/>
          <w:bCs/>
          <w:iCs/>
          <w:sz w:val="24"/>
          <w:szCs w:val="24"/>
        </w:rPr>
      </w:pPr>
      <w:r w:rsidRPr="00514593">
        <w:rPr>
          <w:rFonts w:ascii="Palatino Linotype" w:hAnsi="Palatino Linotype" w:cs="Tahoma"/>
          <w:bCs/>
          <w:iCs/>
          <w:sz w:val="24"/>
          <w:szCs w:val="24"/>
        </w:rPr>
        <w:t xml:space="preserve">Por tanto, se concluye que, al tenor de la ponderación realizada, se cumple con los tres elementos para darle preminencia, en el caso concreto, </w:t>
      </w:r>
      <w:r w:rsidRPr="00514593">
        <w:rPr>
          <w:rFonts w:ascii="Palatino Linotype" w:hAnsi="Palatino Linotype" w:cs="Tahoma"/>
          <w:b/>
          <w:bCs/>
          <w:iCs/>
          <w:sz w:val="24"/>
          <w:szCs w:val="24"/>
        </w:rPr>
        <w:t>al derecho de acceso a la información.</w:t>
      </w:r>
    </w:p>
    <w:p w14:paraId="038FCBA3" w14:textId="77777777" w:rsidR="002A02BF" w:rsidRPr="00514593" w:rsidRDefault="002A02BF" w:rsidP="002A02BF">
      <w:pPr>
        <w:tabs>
          <w:tab w:val="left" w:pos="3962"/>
        </w:tabs>
        <w:spacing w:line="360" w:lineRule="auto"/>
        <w:jc w:val="both"/>
        <w:rPr>
          <w:rFonts w:ascii="Palatino Linotype" w:hAnsi="Palatino Linotype" w:cs="Tahoma"/>
          <w:b/>
          <w:bCs/>
          <w:iCs/>
          <w:sz w:val="24"/>
          <w:szCs w:val="24"/>
        </w:rPr>
      </w:pPr>
    </w:p>
    <w:p w14:paraId="3E83CBE9" w14:textId="77777777" w:rsidR="002A02BF" w:rsidRPr="00514593" w:rsidRDefault="002A02BF" w:rsidP="002A02BF">
      <w:pPr>
        <w:tabs>
          <w:tab w:val="left" w:pos="3962"/>
        </w:tabs>
        <w:spacing w:line="360" w:lineRule="auto"/>
        <w:jc w:val="both"/>
        <w:rPr>
          <w:rFonts w:ascii="Palatino Linotype" w:hAnsi="Palatino Linotype" w:cs="Tahoma"/>
          <w:bCs/>
          <w:iCs/>
          <w:sz w:val="24"/>
          <w:szCs w:val="24"/>
          <w:u w:val="single"/>
          <w:lang w:val="es-ES_tradnl"/>
        </w:rPr>
      </w:pPr>
      <w:r w:rsidRPr="00514593">
        <w:rPr>
          <w:rFonts w:ascii="Palatino Linotype" w:hAnsi="Palatino Linotype" w:cs="Tahoma"/>
          <w:bCs/>
          <w:iCs/>
          <w:sz w:val="24"/>
          <w:szCs w:val="24"/>
        </w:rPr>
        <w:t xml:space="preserve">Por lo expuesto, se determina que, </w:t>
      </w:r>
      <w:r w:rsidRPr="00514593">
        <w:rPr>
          <w:rFonts w:ascii="Palatino Linotype" w:hAnsi="Palatino Linotype" w:cs="Tahoma"/>
          <w:bCs/>
          <w:iCs/>
          <w:sz w:val="24"/>
          <w:szCs w:val="24"/>
          <w:u w:val="single"/>
        </w:rPr>
        <w:t xml:space="preserve">en caso de existir procedimientos de responsabilidades administrativas por faltas graves concluidos, si bien </w:t>
      </w:r>
      <w:r w:rsidRPr="00514593">
        <w:rPr>
          <w:rFonts w:ascii="Palatino Linotype" w:hAnsi="Palatino Linotype" w:cs="Tahoma"/>
          <w:bCs/>
          <w:iCs/>
          <w:sz w:val="24"/>
          <w:szCs w:val="24"/>
          <w:u w:val="single"/>
          <w:lang w:val="es-ES_tradnl"/>
        </w:rPr>
        <w:t xml:space="preserve">la difusión de la documentación afectaría los derechos a la confidencialidad, a la privacidad, al honor y a la propia imagen, también lo es que </w:t>
      </w:r>
      <w:r w:rsidRPr="00514593">
        <w:rPr>
          <w:rFonts w:ascii="Palatino Linotype" w:hAnsi="Palatino Linotype" w:cs="Tahoma"/>
          <w:b/>
          <w:bCs/>
          <w:iCs/>
          <w:sz w:val="24"/>
          <w:szCs w:val="24"/>
          <w:u w:val="single"/>
          <w:lang w:val="es-ES_tradnl"/>
        </w:rPr>
        <w:t xml:space="preserve">tratándose de asuntos relacionados con actos de corrupción, al ser </w:t>
      </w:r>
      <w:r w:rsidRPr="00514593">
        <w:rPr>
          <w:rFonts w:ascii="Palatino Linotype" w:hAnsi="Palatino Linotype" w:cs="Tahoma"/>
          <w:b/>
          <w:bCs/>
          <w:iCs/>
          <w:sz w:val="24"/>
          <w:szCs w:val="24"/>
          <w:u w:val="single"/>
          <w:lang w:val="es-ES_tradnl"/>
        </w:rPr>
        <w:lastRenderedPageBreak/>
        <w:t>faltas graves, tales prerrogativas quedan supeditadas al interés mayor de conocer tales eventualidades</w:t>
      </w:r>
      <w:r w:rsidRPr="00514593">
        <w:rPr>
          <w:rFonts w:ascii="Palatino Linotype" w:hAnsi="Palatino Linotype" w:cs="Tahoma"/>
          <w:bCs/>
          <w:iCs/>
          <w:sz w:val="24"/>
          <w:szCs w:val="24"/>
          <w:u w:val="single"/>
          <w:lang w:val="es-ES_tradnl"/>
        </w:rPr>
        <w:t xml:space="preserve"> y por lo tanto no precede su clasificación en términos del artículo 143, fracción I de la Ley de la materia.</w:t>
      </w:r>
    </w:p>
    <w:p w14:paraId="61327D1D" w14:textId="77777777" w:rsidR="002A02BF" w:rsidRPr="00514593" w:rsidRDefault="002A02BF" w:rsidP="002A02BF">
      <w:pPr>
        <w:tabs>
          <w:tab w:val="left" w:pos="3962"/>
        </w:tabs>
        <w:spacing w:line="360" w:lineRule="auto"/>
        <w:jc w:val="both"/>
        <w:rPr>
          <w:rFonts w:ascii="Palatino Linotype" w:hAnsi="Palatino Linotype" w:cs="Tahoma"/>
          <w:bCs/>
          <w:sz w:val="24"/>
          <w:szCs w:val="24"/>
        </w:rPr>
      </w:pPr>
    </w:p>
    <w:p w14:paraId="68F6A8B6" w14:textId="77777777" w:rsidR="002A02BF" w:rsidRPr="00514593" w:rsidRDefault="002A02BF" w:rsidP="002A02BF">
      <w:pPr>
        <w:autoSpaceDE w:val="0"/>
        <w:autoSpaceDN w:val="0"/>
        <w:adjustRightInd w:val="0"/>
        <w:spacing w:line="360" w:lineRule="auto"/>
        <w:jc w:val="both"/>
        <w:rPr>
          <w:rFonts w:ascii="Palatino Linotype" w:hAnsi="Palatino Linotype" w:cs="Arial"/>
          <w:sz w:val="24"/>
          <w:szCs w:val="24"/>
        </w:rPr>
      </w:pPr>
      <w:r w:rsidRPr="00514593">
        <w:rPr>
          <w:rFonts w:ascii="Palatino Linotype" w:hAnsi="Palatino Linotype" w:cs="Tahoma"/>
          <w:bCs/>
          <w:sz w:val="24"/>
          <w:szCs w:val="24"/>
        </w:rPr>
        <w:t>Para el caso, de que con documentación referida, se haya iniciado algún procedimiento de responsabilidad que se encuentre en trámite, o bien, se encuentren concluidos y se haya determinado alguna responsabilidad no grave o la absolución, deberá clasificar el pronunciamiento en sentido afirmativo o negativo, sobre la existencia de alguno de estos, en términos del artículo 143, fracción I, de la Ley de Transparencia y Acceso a la Información Pública del Estado de México y Municipios</w:t>
      </w:r>
      <w:r w:rsidR="00B17A49" w:rsidRPr="00514593">
        <w:rPr>
          <w:rFonts w:ascii="Palatino Linotype" w:hAnsi="Palatino Linotype" w:cs="Tahoma"/>
          <w:bCs/>
          <w:sz w:val="24"/>
          <w:szCs w:val="24"/>
        </w:rPr>
        <w:t>.</w:t>
      </w:r>
    </w:p>
    <w:p w14:paraId="59B32C87" w14:textId="77777777" w:rsidR="00530E7A" w:rsidRPr="00514593" w:rsidRDefault="00530E7A" w:rsidP="00530E7A">
      <w:pPr>
        <w:numPr>
          <w:ilvl w:val="0"/>
          <w:numId w:val="4"/>
        </w:numPr>
        <w:spacing w:after="0" w:line="360" w:lineRule="auto"/>
        <w:jc w:val="both"/>
        <w:rPr>
          <w:rFonts w:ascii="Palatino Linotype" w:eastAsia="Times New Roman" w:hAnsi="Palatino Linotype" w:cs="Arial"/>
          <w:b/>
          <w:sz w:val="28"/>
          <w:szCs w:val="24"/>
          <w:lang w:val="es-ES" w:eastAsia="es-ES"/>
        </w:rPr>
      </w:pPr>
      <w:r w:rsidRPr="00514593">
        <w:rPr>
          <w:rFonts w:ascii="Palatino Linotype" w:eastAsia="Times New Roman" w:hAnsi="Palatino Linotype" w:cs="Arial"/>
          <w:b/>
          <w:sz w:val="28"/>
          <w:szCs w:val="24"/>
          <w:lang w:val="es-ES" w:eastAsia="es-ES"/>
        </w:rPr>
        <w:t>De la Versión Pública.</w:t>
      </w:r>
    </w:p>
    <w:p w14:paraId="49C00BC9" w14:textId="77777777" w:rsidR="00530E7A" w:rsidRPr="00514593" w:rsidRDefault="00530E7A" w:rsidP="00530E7A">
      <w:pPr>
        <w:spacing w:line="360" w:lineRule="auto"/>
        <w:jc w:val="both"/>
        <w:rPr>
          <w:rFonts w:ascii="Palatino Linotype" w:hAnsi="Palatino Linotype"/>
          <w:sz w:val="24"/>
          <w:szCs w:val="24"/>
        </w:rPr>
      </w:pPr>
      <w:r w:rsidRPr="00514593">
        <w:rPr>
          <w:rFonts w:ascii="Palatino Linotype" w:hAnsi="Palatino Linotype"/>
          <w:bCs/>
          <w:sz w:val="24"/>
          <w:szCs w:val="24"/>
        </w:rPr>
        <w:t>A este respecto, los</w:t>
      </w:r>
      <w:r w:rsidRPr="00514593">
        <w:rPr>
          <w:rFonts w:ascii="Palatino Linotype" w:hAnsi="Palatino Linotype"/>
          <w:sz w:val="24"/>
          <w:szCs w:val="24"/>
        </w:rPr>
        <w:t xml:space="preserve"> artículos 3, fracciones IX, XX, XXI y XLV; 51 y 52 de la Ley de Transparencia y Acceso a la Información Pública del Estado de México y Municipios establecen:</w:t>
      </w:r>
    </w:p>
    <w:p w14:paraId="67910891" w14:textId="77777777" w:rsidR="00530E7A" w:rsidRPr="00514593" w:rsidRDefault="00530E7A" w:rsidP="00530E7A">
      <w:pPr>
        <w:ind w:left="567" w:right="567"/>
        <w:jc w:val="both"/>
        <w:rPr>
          <w:rFonts w:ascii="Palatino Linotype" w:hAnsi="Palatino Linotype"/>
          <w:i/>
        </w:rPr>
      </w:pPr>
      <w:r w:rsidRPr="00514593">
        <w:rPr>
          <w:rFonts w:ascii="Palatino Linotype" w:hAnsi="Palatino Linotype" w:cs="Arial"/>
          <w:b/>
          <w:bCs/>
          <w:i/>
          <w:noProof/>
        </w:rPr>
        <w:t>“</w:t>
      </w:r>
      <w:r w:rsidRPr="00514593">
        <w:rPr>
          <w:rFonts w:ascii="Palatino Linotype" w:hAnsi="Palatino Linotype" w:cs="Arial"/>
          <w:b/>
          <w:bCs/>
          <w:i/>
        </w:rPr>
        <w:t xml:space="preserve">Artículo 3. </w:t>
      </w:r>
      <w:r w:rsidRPr="00514593">
        <w:rPr>
          <w:rFonts w:ascii="Palatino Linotype" w:hAnsi="Palatino Linotype"/>
          <w:i/>
        </w:rPr>
        <w:t xml:space="preserve">Para los efectos de la presente Ley se entenderá por: </w:t>
      </w:r>
    </w:p>
    <w:p w14:paraId="420287C1" w14:textId="77777777" w:rsidR="00530E7A" w:rsidRPr="00514593" w:rsidRDefault="00530E7A" w:rsidP="00530E7A">
      <w:pPr>
        <w:ind w:left="567" w:right="567"/>
        <w:jc w:val="both"/>
        <w:rPr>
          <w:rFonts w:ascii="Palatino Linotype" w:hAnsi="Palatino Linotype" w:cs="Arial"/>
          <w:i/>
        </w:rPr>
      </w:pPr>
      <w:r w:rsidRPr="00514593">
        <w:rPr>
          <w:rFonts w:ascii="Palatino Linotype" w:hAnsi="Palatino Linotype" w:cs="Arial"/>
          <w:b/>
          <w:i/>
        </w:rPr>
        <w:t>IX.</w:t>
      </w:r>
      <w:r w:rsidRPr="00514593">
        <w:rPr>
          <w:rFonts w:ascii="Palatino Linotype" w:hAnsi="Palatino Linotype" w:cs="Arial"/>
          <w:i/>
        </w:rPr>
        <w:t xml:space="preserve"> </w:t>
      </w:r>
      <w:r w:rsidRPr="00514593">
        <w:rPr>
          <w:rFonts w:ascii="Palatino Linotype" w:hAnsi="Palatino Linotype" w:cs="Arial"/>
          <w:b/>
          <w:i/>
        </w:rPr>
        <w:t xml:space="preserve">Datos personales: </w:t>
      </w:r>
      <w:r w:rsidRPr="00514593">
        <w:rPr>
          <w:rFonts w:ascii="Palatino Linotype" w:hAnsi="Palatino Linotype" w:cs="Arial"/>
          <w:i/>
        </w:rPr>
        <w:t xml:space="preserve">La información concerniente a una persona, identificada o identificable según lo dispuesto por la Ley de Protección de Datos Personales del Estado de México; </w:t>
      </w:r>
    </w:p>
    <w:p w14:paraId="761ED239" w14:textId="77777777" w:rsidR="00530E7A" w:rsidRPr="00514593" w:rsidRDefault="00530E7A" w:rsidP="00530E7A">
      <w:pPr>
        <w:ind w:left="567" w:right="567"/>
        <w:jc w:val="both"/>
        <w:rPr>
          <w:rFonts w:ascii="Palatino Linotype" w:hAnsi="Palatino Linotype" w:cs="Arial"/>
          <w:i/>
        </w:rPr>
      </w:pPr>
      <w:r w:rsidRPr="00514593">
        <w:rPr>
          <w:rFonts w:ascii="Palatino Linotype" w:hAnsi="Palatino Linotype" w:cs="Arial"/>
          <w:b/>
          <w:i/>
        </w:rPr>
        <w:t>XX.</w:t>
      </w:r>
      <w:r w:rsidRPr="00514593">
        <w:rPr>
          <w:rFonts w:ascii="Palatino Linotype" w:hAnsi="Palatino Linotype" w:cs="Arial"/>
          <w:i/>
        </w:rPr>
        <w:t xml:space="preserve"> </w:t>
      </w:r>
      <w:r w:rsidRPr="00514593">
        <w:rPr>
          <w:rFonts w:ascii="Palatino Linotype" w:hAnsi="Palatino Linotype" w:cs="Arial"/>
          <w:b/>
          <w:i/>
        </w:rPr>
        <w:t>Información clasificada:</w:t>
      </w:r>
      <w:r w:rsidRPr="00514593">
        <w:rPr>
          <w:rFonts w:ascii="Palatino Linotype" w:hAnsi="Palatino Linotype" w:cs="Arial"/>
          <w:i/>
        </w:rPr>
        <w:t xml:space="preserve"> Aquella considerada por la presente Ley como reservada o confidencial; </w:t>
      </w:r>
    </w:p>
    <w:p w14:paraId="1773D01E" w14:textId="77777777" w:rsidR="00530E7A" w:rsidRPr="00514593" w:rsidRDefault="00530E7A" w:rsidP="00530E7A">
      <w:pPr>
        <w:ind w:left="567" w:right="567"/>
        <w:jc w:val="both"/>
        <w:rPr>
          <w:rFonts w:ascii="Palatino Linotype" w:hAnsi="Palatino Linotype" w:cs="Arial"/>
          <w:i/>
        </w:rPr>
      </w:pPr>
      <w:r w:rsidRPr="00514593">
        <w:rPr>
          <w:rFonts w:ascii="Palatino Linotype" w:hAnsi="Palatino Linotype" w:cs="Arial"/>
          <w:b/>
          <w:i/>
        </w:rPr>
        <w:t>XXI.</w:t>
      </w:r>
      <w:r w:rsidRPr="00514593">
        <w:rPr>
          <w:rFonts w:ascii="Palatino Linotype" w:hAnsi="Palatino Linotype" w:cs="Arial"/>
          <w:i/>
        </w:rPr>
        <w:t xml:space="preserve"> </w:t>
      </w:r>
      <w:r w:rsidRPr="00514593">
        <w:rPr>
          <w:rFonts w:ascii="Palatino Linotype" w:hAnsi="Palatino Linotype" w:cs="Arial"/>
          <w:b/>
          <w:i/>
        </w:rPr>
        <w:t>Información confidencial</w:t>
      </w:r>
      <w:r w:rsidRPr="00514593">
        <w:rPr>
          <w:rFonts w:ascii="Palatino Linotype" w:hAnsi="Palatino Linotype" w:cs="Arial"/>
          <w:i/>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5103C8AB" w14:textId="77777777" w:rsidR="00530E7A" w:rsidRPr="00514593" w:rsidRDefault="00530E7A" w:rsidP="00530E7A">
      <w:pPr>
        <w:ind w:left="567" w:right="567"/>
        <w:jc w:val="both"/>
        <w:rPr>
          <w:rFonts w:ascii="Palatino Linotype" w:hAnsi="Palatino Linotype" w:cs="Arial"/>
          <w:i/>
        </w:rPr>
      </w:pPr>
      <w:r w:rsidRPr="00514593">
        <w:rPr>
          <w:rFonts w:ascii="Palatino Linotype" w:hAnsi="Palatino Linotype" w:cs="Arial"/>
          <w:b/>
          <w:i/>
        </w:rPr>
        <w:lastRenderedPageBreak/>
        <w:t>XLV. Versión pública:</w:t>
      </w:r>
      <w:r w:rsidRPr="00514593">
        <w:rPr>
          <w:rFonts w:ascii="Palatino Linotype" w:hAnsi="Palatino Linotype" w:cs="Arial"/>
          <w:i/>
        </w:rPr>
        <w:t xml:space="preserve"> Documento en el que se elimine, suprime o borra la información clasificada como reservada o confidencial para permitir su acceso. </w:t>
      </w:r>
    </w:p>
    <w:p w14:paraId="193623B0" w14:textId="77777777" w:rsidR="00530E7A" w:rsidRPr="00514593" w:rsidRDefault="00530E7A" w:rsidP="00530E7A">
      <w:pPr>
        <w:ind w:left="567" w:right="567"/>
        <w:jc w:val="both"/>
        <w:rPr>
          <w:rFonts w:ascii="Palatino Linotype" w:hAnsi="Palatino Linotype" w:cs="Arial"/>
          <w:i/>
        </w:rPr>
      </w:pPr>
    </w:p>
    <w:p w14:paraId="4D03C910" w14:textId="77777777" w:rsidR="00530E7A" w:rsidRPr="00514593" w:rsidRDefault="00530E7A" w:rsidP="00530E7A">
      <w:pPr>
        <w:ind w:left="567" w:right="567"/>
        <w:jc w:val="both"/>
        <w:rPr>
          <w:rFonts w:ascii="Palatino Linotype" w:hAnsi="Palatino Linotype" w:cs="Arial"/>
          <w:i/>
        </w:rPr>
      </w:pPr>
      <w:r w:rsidRPr="00514593">
        <w:rPr>
          <w:rFonts w:ascii="Palatino Linotype" w:hAnsi="Palatino Linotype" w:cs="Arial"/>
          <w:b/>
          <w:i/>
        </w:rPr>
        <w:t>Artículo 51.</w:t>
      </w:r>
      <w:r w:rsidRPr="00514593">
        <w:rPr>
          <w:rFonts w:ascii="Palatino Linotype" w:hAnsi="Palatino Linotype" w:cs="Arial"/>
          <w:i/>
        </w:rPr>
        <w:t xml:space="preserve"> Los sujetos obligados designaran a un responsable para atender la Unidad de Transparencia, quien fungirá como enlace entre éstos y los solicitantes. Dicha Unidad será la encargada de tramitar internamente la solicitud de información </w:t>
      </w:r>
      <w:r w:rsidRPr="00514593">
        <w:rPr>
          <w:rFonts w:ascii="Palatino Linotype" w:hAnsi="Palatino Linotype" w:cs="Arial"/>
          <w:b/>
          <w:i/>
        </w:rPr>
        <w:t xml:space="preserve">y tendrá la responsabilidad de verificar en cada caso que la misma no sea confidencial o reservada. </w:t>
      </w:r>
      <w:r w:rsidRPr="00514593">
        <w:rPr>
          <w:rFonts w:ascii="Palatino Linotype" w:hAnsi="Palatino Linotype" w:cs="Arial"/>
          <w:i/>
        </w:rPr>
        <w:t xml:space="preserve">Dicha Unidad contará con las facultades internas necesarias para gestionar la atención a las solicitudes de información en los términos de la Ley General y la presente Ley. </w:t>
      </w:r>
    </w:p>
    <w:p w14:paraId="25455882" w14:textId="77777777" w:rsidR="00530E7A" w:rsidRPr="00514593" w:rsidRDefault="00530E7A" w:rsidP="00530E7A">
      <w:pPr>
        <w:ind w:left="567" w:right="567"/>
        <w:jc w:val="both"/>
        <w:rPr>
          <w:rFonts w:ascii="Palatino Linotype" w:hAnsi="Palatino Linotype" w:cs="Arial"/>
          <w:i/>
        </w:rPr>
      </w:pPr>
    </w:p>
    <w:p w14:paraId="70614A11" w14:textId="77777777" w:rsidR="00530E7A" w:rsidRPr="00514593" w:rsidRDefault="00530E7A" w:rsidP="00530E7A">
      <w:pPr>
        <w:ind w:left="567" w:right="567"/>
        <w:jc w:val="both"/>
        <w:rPr>
          <w:rFonts w:ascii="Palatino Linotype" w:hAnsi="Palatino Linotype" w:cs="Arial"/>
          <w:bCs/>
          <w:noProof/>
        </w:rPr>
      </w:pPr>
      <w:r w:rsidRPr="00514593">
        <w:rPr>
          <w:rFonts w:ascii="Palatino Linotype" w:hAnsi="Palatino Linotype" w:cs="Arial"/>
          <w:b/>
          <w:i/>
        </w:rPr>
        <w:t>Artículo 52.</w:t>
      </w:r>
      <w:r w:rsidRPr="00514593">
        <w:rPr>
          <w:rFonts w:ascii="Palatino Linotype" w:hAnsi="Palatino Linotype" w:cs="Arial"/>
          <w:i/>
        </w:rPr>
        <w:t xml:space="preserve"> Las solicitudes de acceso a la información y las respuestas que se les dé, incluyendo, en su caso, la información entregada, así como las resoluciones a los recursos que en su caso se promuevan serán públicas, y de ser el caso que contenga datos personales que deban ser protegidos se podrá dar su acceso en su versión pública, siempre y cuando la resolución de referencia se someta a un proceso de disociación, es decir, no haga identificable al titular de tales datos personales.</w:t>
      </w:r>
      <w:r w:rsidRPr="00514593">
        <w:rPr>
          <w:rFonts w:ascii="Palatino Linotype" w:hAnsi="Palatino Linotype" w:cs="Arial"/>
          <w:bCs/>
          <w:i/>
          <w:noProof/>
        </w:rPr>
        <w:t>”</w:t>
      </w:r>
    </w:p>
    <w:p w14:paraId="5F635C05" w14:textId="77777777" w:rsidR="00530E7A" w:rsidRPr="00514593" w:rsidRDefault="00530E7A" w:rsidP="00530E7A">
      <w:pPr>
        <w:spacing w:line="360" w:lineRule="auto"/>
        <w:jc w:val="both"/>
        <w:rPr>
          <w:rFonts w:ascii="Palatino Linotype" w:hAnsi="Palatino Linotype"/>
          <w:sz w:val="24"/>
          <w:szCs w:val="24"/>
        </w:rPr>
      </w:pPr>
    </w:p>
    <w:p w14:paraId="01CE10C0" w14:textId="77777777" w:rsidR="00530E7A" w:rsidRPr="00514593" w:rsidRDefault="00530E7A" w:rsidP="00530E7A">
      <w:pPr>
        <w:spacing w:line="360" w:lineRule="auto"/>
        <w:jc w:val="both"/>
        <w:rPr>
          <w:rFonts w:ascii="Palatino Linotype" w:hAnsi="Palatino Linotype"/>
          <w:sz w:val="24"/>
          <w:szCs w:val="24"/>
        </w:rPr>
      </w:pPr>
      <w:r w:rsidRPr="00514593">
        <w:rPr>
          <w:rFonts w:ascii="Palatino Linotype" w:hAnsi="Palatino Linotype"/>
          <w:sz w:val="24"/>
          <w:szCs w:val="24"/>
        </w:rPr>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efectúen deberá estar justificado en la Ley. </w:t>
      </w:r>
    </w:p>
    <w:p w14:paraId="59653C90" w14:textId="77777777" w:rsidR="00530E7A" w:rsidRPr="00514593" w:rsidRDefault="00530E7A" w:rsidP="00530E7A">
      <w:pPr>
        <w:spacing w:line="360" w:lineRule="auto"/>
        <w:jc w:val="both"/>
        <w:rPr>
          <w:rFonts w:ascii="Palatino Linotype" w:hAnsi="Palatino Linotype"/>
          <w:sz w:val="24"/>
          <w:szCs w:val="24"/>
        </w:rPr>
      </w:pPr>
    </w:p>
    <w:p w14:paraId="1BD13D9A" w14:textId="77777777" w:rsidR="00530E7A" w:rsidRPr="00514593" w:rsidRDefault="00530E7A" w:rsidP="00530E7A">
      <w:pPr>
        <w:spacing w:line="360" w:lineRule="auto"/>
        <w:jc w:val="both"/>
        <w:rPr>
          <w:rFonts w:ascii="Palatino Linotype" w:hAnsi="Palatino Linotype"/>
          <w:sz w:val="24"/>
          <w:szCs w:val="24"/>
        </w:rPr>
      </w:pPr>
      <w:r w:rsidRPr="00514593">
        <w:rPr>
          <w:rFonts w:ascii="Palatino Linotype" w:hAnsi="Palatino Linotype"/>
          <w:sz w:val="24"/>
          <w:szCs w:val="24"/>
        </w:rPr>
        <w:t xml:space="preserve">De este modo, en armonía entre los principios constitucionales de máxima publicidad y de protección de datos personales, la Ley permite la elaboración de versiones públicas en las que se suprima aquella información relacionada con la vida privada de los </w:t>
      </w:r>
      <w:r w:rsidRPr="00514593">
        <w:rPr>
          <w:rFonts w:ascii="Palatino Linotype" w:hAnsi="Palatino Linotype"/>
          <w:sz w:val="24"/>
          <w:szCs w:val="24"/>
        </w:rPr>
        <w:lastRenderedPageBreak/>
        <w:t>particulares y de los servidores públicos toda vez que ésta tiene por objeto proteger datos personales, entendiéndose por tales, aquéllos que hacen identificable a una persona.</w:t>
      </w:r>
    </w:p>
    <w:p w14:paraId="45350CE5" w14:textId="77777777" w:rsidR="00530E7A" w:rsidRPr="00514593" w:rsidRDefault="00530E7A" w:rsidP="00530E7A">
      <w:pPr>
        <w:spacing w:line="360" w:lineRule="auto"/>
        <w:jc w:val="both"/>
        <w:rPr>
          <w:rFonts w:ascii="Palatino Linotype" w:hAnsi="Palatino Linotype"/>
          <w:sz w:val="24"/>
          <w:szCs w:val="24"/>
        </w:rPr>
      </w:pPr>
    </w:p>
    <w:p w14:paraId="1F3C7FC4" w14:textId="77777777" w:rsidR="00530E7A" w:rsidRPr="00514593" w:rsidRDefault="00530E7A" w:rsidP="00530E7A">
      <w:pPr>
        <w:spacing w:line="360" w:lineRule="auto"/>
        <w:jc w:val="both"/>
        <w:rPr>
          <w:rFonts w:ascii="Palatino Linotype" w:eastAsia="Arial Unicode MS" w:hAnsi="Palatino Linotype"/>
          <w:sz w:val="24"/>
          <w:szCs w:val="24"/>
        </w:rPr>
      </w:pPr>
      <w:r w:rsidRPr="00514593">
        <w:rPr>
          <w:rFonts w:ascii="Palatino Linotype" w:eastAsia="Arial Unicode MS" w:hAnsi="Palatino Linotype"/>
          <w:sz w:val="24"/>
          <w:szCs w:val="24"/>
        </w:rPr>
        <w:t xml:space="preserve">En efecto, toda la información relativa a una persona física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 que debe ser protegida por </w:t>
      </w:r>
      <w:r w:rsidRPr="00514593">
        <w:rPr>
          <w:rFonts w:ascii="Palatino Linotype" w:eastAsia="Arial Unicode MS" w:hAnsi="Palatino Linotype"/>
          <w:color w:val="000000"/>
          <w:sz w:val="24"/>
          <w:szCs w:val="24"/>
        </w:rPr>
        <w:t>el Sujeto Obligado</w:t>
      </w:r>
      <w:r w:rsidRPr="00514593">
        <w:rPr>
          <w:rFonts w:ascii="Palatino Linotype" w:eastAsia="Arial Unicode MS" w:hAnsi="Palatino Linotype"/>
          <w:sz w:val="24"/>
          <w:szCs w:val="24"/>
        </w:rPr>
        <w:t xml:space="preserve">, en ese contexto, todo dato personal susceptible de clasificación debe ser protegido. </w:t>
      </w:r>
    </w:p>
    <w:p w14:paraId="6EFE3C1F" w14:textId="77777777" w:rsidR="00530E7A" w:rsidRPr="00514593" w:rsidRDefault="00530E7A" w:rsidP="00530E7A">
      <w:pPr>
        <w:spacing w:line="360" w:lineRule="auto"/>
        <w:jc w:val="both"/>
        <w:rPr>
          <w:rFonts w:ascii="Palatino Linotype" w:eastAsia="Arial Unicode MS" w:hAnsi="Palatino Linotype"/>
          <w:color w:val="000000"/>
          <w:sz w:val="24"/>
          <w:szCs w:val="24"/>
        </w:rPr>
      </w:pPr>
    </w:p>
    <w:p w14:paraId="2A555AC3" w14:textId="77777777" w:rsidR="00530E7A" w:rsidRPr="00514593" w:rsidRDefault="00530E7A" w:rsidP="00530E7A">
      <w:pPr>
        <w:spacing w:line="360" w:lineRule="auto"/>
        <w:jc w:val="both"/>
        <w:rPr>
          <w:rFonts w:ascii="Palatino Linotype" w:hAnsi="Palatino Linotype" w:cs="Arial"/>
          <w:sz w:val="24"/>
          <w:szCs w:val="24"/>
        </w:rPr>
      </w:pPr>
      <w:r w:rsidRPr="00514593">
        <w:rPr>
          <w:rFonts w:ascii="Palatino Linotype" w:hAnsi="Palatino Linotype" w:cs="Arial"/>
          <w:sz w:val="24"/>
          <w:szCs w:val="24"/>
        </w:rPr>
        <w:t>Robustece lo anterior, el criterio sustentado por la Segunda Sala de la Suprema Corte de Justicia de la Nación, visible en la página 2518 del Tomo XXII, de la Novena Época del Semanario Judicial de la Federación y su Gaceta, Julio de 2008, de rubro y texto siguientes:</w:t>
      </w:r>
    </w:p>
    <w:p w14:paraId="2787BB17" w14:textId="77777777" w:rsidR="00BC3E77" w:rsidRPr="00514593" w:rsidRDefault="00530E7A" w:rsidP="00BC3E77">
      <w:pPr>
        <w:ind w:left="567" w:right="567"/>
        <w:jc w:val="both"/>
        <w:rPr>
          <w:rFonts w:ascii="Palatino Linotype" w:hAnsi="Palatino Linotype" w:cs="Arial"/>
          <w:i/>
        </w:rPr>
      </w:pPr>
      <w:r w:rsidRPr="00514593">
        <w:rPr>
          <w:rFonts w:ascii="Palatino Linotype" w:hAnsi="Palatino Linotype" w:cs="Arial"/>
          <w:i/>
        </w:rPr>
        <w:t>"</w:t>
      </w:r>
      <w:r w:rsidRPr="00514593">
        <w:rPr>
          <w:rFonts w:ascii="Palatino Linotype" w:hAnsi="Palatino Linotype" w:cs="Arial"/>
          <w:b/>
          <w:i/>
        </w:rPr>
        <w:t>TRANSPARENCIA Y ACCESO A LA INFORMACIÓN PÚBLICA GUBERNAMENTAL. LOS ARTÍCULOS 3o., FRACCIÓN II, Y 18, FRACCIÓN II, DE LA LEY FEDERAL RELATIVA, NO VIOLAN LA GARANTÍA DE IGUALDAD, AL TUTELAR EL DERECHO A LA PROTECCIÓN DE DATOS PERSONALES SÓLO DE LAS PERSONAS FÍSICAS.</w:t>
      </w:r>
      <w:r w:rsidRPr="00514593">
        <w:rPr>
          <w:rFonts w:ascii="Palatino Linotype" w:hAnsi="Palatino Linotype" w:cs="Arial"/>
          <w:i/>
        </w:rPr>
        <w:t xml:space="preserve"> Si se toma en cuenta que la garantía constitucional indicada no implica que todos los sujetos de la norma siempre se encuentren en condiciones de absoluta igualdad, sino que gocen de una igualdad jurídica traducida en la seguridad de no tener que soportar un perjuicio (o privarse de un beneficio) desigual e injustificado, se concluye que los artículos 3o., fracción II, y 18, fracción II, de la Ley Federal de Transparencia y Acceso a la Información Pública Gubernamental, al tutelar sólo el derecho a la protección de datos personales de las personas físicas y no de las morales, colectivas o jurídicas privadas, no violan la indicada garantía contenida en el artículo 1o. de la Constitución Política de los Estados Unidos Mexicanos, pues tal distinción se justifica porque el derecho a la protección de los datos </w:t>
      </w:r>
      <w:r w:rsidRPr="00514593">
        <w:rPr>
          <w:rFonts w:ascii="Palatino Linotype" w:hAnsi="Palatino Linotype" w:cs="Arial"/>
          <w:i/>
        </w:rPr>
        <w:lastRenderedPageBreak/>
        <w:t>personales se refiere únicamente a las personas físicas por estar encausado al respeto de un derecho personalísimo, como es el de la intimidad, del cual derivó aquél. Esto es, en el apuntado supuesto no se actualiza una igualdad jurídica entre las personas físicas y las morales porque ambas están en situaciones de derecho dispares, ya que la protección de datos personales, entre ellos el del patrimonio y su confidencialidad, es una derivación del derecho a la intimidad, del cual únicamente goza el individuo, entendido como la persona humana."</w:t>
      </w:r>
    </w:p>
    <w:p w14:paraId="1D212970" w14:textId="77777777" w:rsidR="00EB5568" w:rsidRPr="00514593" w:rsidRDefault="00EB5568" w:rsidP="00530E7A">
      <w:pPr>
        <w:spacing w:line="360" w:lineRule="auto"/>
        <w:jc w:val="both"/>
        <w:rPr>
          <w:rFonts w:ascii="Palatino Linotype" w:hAnsi="Palatino Linotype" w:cs="Arial"/>
          <w:sz w:val="24"/>
          <w:szCs w:val="24"/>
        </w:rPr>
      </w:pPr>
    </w:p>
    <w:p w14:paraId="1C3F7D7D" w14:textId="77777777" w:rsidR="00530E7A" w:rsidRPr="00514593" w:rsidRDefault="00530E7A" w:rsidP="00530E7A">
      <w:pPr>
        <w:spacing w:line="360" w:lineRule="auto"/>
        <w:jc w:val="both"/>
        <w:rPr>
          <w:rFonts w:ascii="Palatino Linotype" w:hAnsi="Palatino Linotype" w:cs="Arial"/>
          <w:sz w:val="24"/>
          <w:szCs w:val="24"/>
        </w:rPr>
      </w:pPr>
      <w:r w:rsidRPr="00514593">
        <w:rPr>
          <w:rFonts w:ascii="Palatino Linotype" w:hAnsi="Palatino Linotype" w:cs="Arial"/>
          <w:sz w:val="24"/>
          <w:szCs w:val="24"/>
        </w:rPr>
        <w:t xml:space="preserve">Por ende, en el presente caso el Sujeto Obligado sólo podrá testar los datos referidos con antelación, clasificación que tiene que efectuar mediante las formalidades que la Ley impone, es decir, resulta necesario que el Comité de Transparencia del Sujeto Obligado emita el Acuerdo de Clasificación correspondiente debidamente fundado y motivado, que sustente la versión pública, el cual deberá cumplir cabalmente con las formalidades previstas en el artículo 137, de la Ley de Transparencia y Acceso a la Información Pública del Estado de México y Municipios, así como con los numerales aplicables de los </w:t>
      </w:r>
      <w:r w:rsidRPr="00514593">
        <w:rPr>
          <w:rFonts w:ascii="Palatino Linotype" w:hAnsi="Palatino Linotype" w:cs="Arial"/>
          <w:b/>
          <w:sz w:val="24"/>
          <w:szCs w:val="24"/>
        </w:rPr>
        <w:t>Lineamientos Generales en Materia de Clasificación y Desclasificación de la Información, así como para la Elaboración de Versiones Públicas</w:t>
      </w:r>
      <w:r w:rsidRPr="00514593">
        <w:rPr>
          <w:rFonts w:ascii="Palatino Linotype" w:hAnsi="Palatino Linotype" w:cs="Arial"/>
          <w:sz w:val="24"/>
          <w:szCs w:val="24"/>
        </w:rPr>
        <w:t>, publicados en el Diario Oficial de la Federación en fecha quince de abril del año dos mil dieciséis, mediante Acuerdo del Consejo Nacional del Sistema Nacional de Transparencia, Acceso a la Información Pública y Protección de Datos Personales.</w:t>
      </w:r>
    </w:p>
    <w:p w14:paraId="4ABDE90B" w14:textId="77777777" w:rsidR="00530E7A" w:rsidRPr="00514593" w:rsidRDefault="00530E7A" w:rsidP="00530E7A">
      <w:pPr>
        <w:spacing w:line="360" w:lineRule="auto"/>
        <w:jc w:val="both"/>
        <w:rPr>
          <w:rFonts w:ascii="Palatino Linotype" w:hAnsi="Palatino Linotype" w:cs="Arial"/>
          <w:sz w:val="24"/>
          <w:szCs w:val="24"/>
        </w:rPr>
      </w:pPr>
    </w:p>
    <w:p w14:paraId="72A23385" w14:textId="77777777" w:rsidR="00530E7A" w:rsidRPr="00514593" w:rsidRDefault="00530E7A" w:rsidP="00530E7A">
      <w:pPr>
        <w:spacing w:line="360" w:lineRule="auto"/>
        <w:jc w:val="both"/>
        <w:rPr>
          <w:rFonts w:ascii="Palatino Linotype" w:hAnsi="Palatino Linotype" w:cs="Arial"/>
          <w:sz w:val="24"/>
          <w:szCs w:val="24"/>
        </w:rPr>
      </w:pPr>
      <w:r w:rsidRPr="00514593">
        <w:rPr>
          <w:rFonts w:ascii="Palatino Linotype" w:hAnsi="Palatino Linotype" w:cs="Arial"/>
          <w:sz w:val="24"/>
          <w:szCs w:val="24"/>
        </w:rPr>
        <w:t xml:space="preserve">Lo anterior es así, puesto que ha de destacarse que el artículo 91, de la Ley de la Materia, dispone que el acceso a la información pública será restringido excepcionalmente, cuando ésta sea clasificada como reservada o confidencial. </w:t>
      </w:r>
    </w:p>
    <w:p w14:paraId="539F5E11" w14:textId="77777777" w:rsidR="00530E7A" w:rsidRPr="00514593" w:rsidRDefault="00530E7A" w:rsidP="00530E7A">
      <w:pPr>
        <w:spacing w:line="360" w:lineRule="auto"/>
        <w:jc w:val="both"/>
        <w:rPr>
          <w:rFonts w:ascii="Palatino Linotype" w:hAnsi="Palatino Linotype" w:cs="Arial"/>
          <w:sz w:val="24"/>
          <w:szCs w:val="24"/>
        </w:rPr>
      </w:pPr>
    </w:p>
    <w:p w14:paraId="23E8899E" w14:textId="77777777" w:rsidR="00530E7A" w:rsidRPr="00514593" w:rsidRDefault="00530E7A" w:rsidP="00530E7A">
      <w:pPr>
        <w:spacing w:line="360" w:lineRule="auto"/>
        <w:jc w:val="both"/>
        <w:rPr>
          <w:rFonts w:ascii="Palatino Linotype" w:hAnsi="Palatino Linotype"/>
          <w:sz w:val="24"/>
          <w:szCs w:val="24"/>
        </w:rPr>
      </w:pPr>
      <w:r w:rsidRPr="00514593">
        <w:rPr>
          <w:rFonts w:ascii="Palatino Linotype" w:hAnsi="Palatino Linotype"/>
          <w:sz w:val="24"/>
          <w:szCs w:val="24"/>
        </w:rPr>
        <w:lastRenderedPageBreak/>
        <w:t xml:space="preserve">En caso específico, de los documentos solicitados pudieran obrar datos que son considerados confidenciales, cuyo acceso debe ser restringido, los cuales deben testarse al momento de la elaboración de versiones públicas, como es el caso del </w:t>
      </w:r>
      <w:r w:rsidRPr="00514593">
        <w:rPr>
          <w:rFonts w:ascii="Palatino Linotype" w:hAnsi="Palatino Linotype"/>
          <w:b/>
          <w:sz w:val="24"/>
          <w:szCs w:val="24"/>
        </w:rPr>
        <w:t>Registro Federal de Contribuyentes</w:t>
      </w:r>
      <w:r w:rsidRPr="00514593">
        <w:rPr>
          <w:rFonts w:ascii="Palatino Linotype" w:hAnsi="Palatino Linotype"/>
          <w:sz w:val="24"/>
          <w:szCs w:val="24"/>
        </w:rPr>
        <w:t xml:space="preserve"> (RFC) y la </w:t>
      </w:r>
      <w:r w:rsidRPr="00514593">
        <w:rPr>
          <w:rFonts w:ascii="Palatino Linotype" w:hAnsi="Palatino Linotype"/>
          <w:b/>
          <w:sz w:val="24"/>
          <w:szCs w:val="24"/>
        </w:rPr>
        <w:t>Clave Única de Registro de Población</w:t>
      </w:r>
      <w:r w:rsidRPr="00514593">
        <w:rPr>
          <w:rFonts w:ascii="Palatino Linotype" w:hAnsi="Palatino Linotype"/>
          <w:sz w:val="24"/>
          <w:szCs w:val="24"/>
        </w:rPr>
        <w:t xml:space="preserve"> (CURP).</w:t>
      </w:r>
    </w:p>
    <w:p w14:paraId="2AF44B44" w14:textId="77777777" w:rsidR="00530E7A" w:rsidRPr="00514593" w:rsidRDefault="00530E7A" w:rsidP="00530E7A">
      <w:pPr>
        <w:spacing w:line="360" w:lineRule="auto"/>
        <w:jc w:val="both"/>
        <w:rPr>
          <w:rFonts w:ascii="Palatino Linotype" w:hAnsi="Palatino Linotype"/>
          <w:sz w:val="24"/>
          <w:szCs w:val="24"/>
        </w:rPr>
      </w:pPr>
    </w:p>
    <w:p w14:paraId="78F83383" w14:textId="77777777" w:rsidR="00530E7A" w:rsidRPr="00514593" w:rsidRDefault="00530E7A" w:rsidP="00530E7A">
      <w:pPr>
        <w:spacing w:line="360" w:lineRule="auto"/>
        <w:jc w:val="both"/>
        <w:rPr>
          <w:rFonts w:ascii="Palatino Linotype" w:hAnsi="Palatino Linotype"/>
          <w:sz w:val="24"/>
          <w:szCs w:val="24"/>
        </w:rPr>
      </w:pPr>
      <w:r w:rsidRPr="00514593">
        <w:rPr>
          <w:rFonts w:ascii="Palatino Linotype" w:hAnsi="Palatino Linotype"/>
          <w:sz w:val="24"/>
          <w:szCs w:val="24"/>
        </w:rPr>
        <w:t xml:space="preserve">Por cuanto hace a la </w:t>
      </w:r>
      <w:r w:rsidRPr="00514593">
        <w:rPr>
          <w:rFonts w:ascii="Palatino Linotype" w:hAnsi="Palatino Linotype"/>
          <w:b/>
          <w:sz w:val="24"/>
          <w:szCs w:val="24"/>
        </w:rPr>
        <w:t xml:space="preserve">Clave Única de Registro de Población, </w:t>
      </w:r>
      <w:r w:rsidRPr="00514593">
        <w:rPr>
          <w:rFonts w:ascii="Palatino Linotype" w:hAnsi="Palatino Linotype"/>
          <w:sz w:val="24"/>
          <w:szCs w:val="24"/>
        </w:rPr>
        <w:t>constituye un dato personal, ya que tiene como finalidad registrar a cada una de las personas que integran la población del país, con los datos que permitan certificar y acreditar fehacientemente su identidad, la cual servirá para identificarla de manera individual. Lo anterior, tiene sustento en los artículos 86 y 91 de la Ley General de Población, la cual señala lo siguiente:</w:t>
      </w:r>
    </w:p>
    <w:p w14:paraId="64DD1130" w14:textId="77777777" w:rsidR="00530E7A" w:rsidRPr="00514593" w:rsidRDefault="00530E7A" w:rsidP="00530E7A">
      <w:pPr>
        <w:ind w:left="567" w:right="567"/>
        <w:jc w:val="both"/>
        <w:rPr>
          <w:rFonts w:ascii="Palatino Linotype" w:hAnsi="Palatino Linotype" w:cs="Arial"/>
          <w:i/>
        </w:rPr>
      </w:pPr>
      <w:r w:rsidRPr="00514593">
        <w:rPr>
          <w:rFonts w:ascii="Palatino Linotype" w:hAnsi="Palatino Linotype" w:cs="Arial,Bold"/>
          <w:b/>
          <w:bCs/>
          <w:i/>
        </w:rPr>
        <w:t xml:space="preserve">“Artículo 86. </w:t>
      </w:r>
      <w:r w:rsidRPr="00514593">
        <w:rPr>
          <w:rFonts w:ascii="Palatino Linotype" w:hAnsi="Palatino Linotype" w:cs="Arial"/>
          <w:i/>
        </w:rPr>
        <w:t>El Registro Nacional de Población tiene como finalidad registrar a cada una de las personas que integran la población del país, con los datos que permitan certificar y acreditar fehacientemente su identidad.</w:t>
      </w:r>
    </w:p>
    <w:p w14:paraId="0FE94E29" w14:textId="77777777" w:rsidR="00530E7A" w:rsidRPr="00514593" w:rsidRDefault="00530E7A" w:rsidP="00530E7A">
      <w:pPr>
        <w:ind w:left="567" w:right="567"/>
        <w:jc w:val="both"/>
        <w:rPr>
          <w:rFonts w:ascii="Palatino Linotype" w:hAnsi="Palatino Linotype" w:cs="Arial"/>
          <w:i/>
        </w:rPr>
      </w:pPr>
    </w:p>
    <w:p w14:paraId="046827B5" w14:textId="77777777" w:rsidR="00530E7A" w:rsidRPr="00514593" w:rsidRDefault="00530E7A" w:rsidP="00530E7A">
      <w:pPr>
        <w:ind w:left="567" w:right="567"/>
        <w:jc w:val="both"/>
        <w:rPr>
          <w:rFonts w:ascii="Palatino Linotype" w:hAnsi="Palatino Linotype" w:cs="Arial"/>
          <w:i/>
        </w:rPr>
      </w:pPr>
      <w:r w:rsidRPr="00514593">
        <w:rPr>
          <w:rFonts w:ascii="Palatino Linotype" w:hAnsi="Palatino Linotype" w:cs="Arial,Bold"/>
          <w:b/>
          <w:bCs/>
          <w:i/>
        </w:rPr>
        <w:t xml:space="preserve">Artículo 91. </w:t>
      </w:r>
      <w:r w:rsidRPr="00514593">
        <w:rPr>
          <w:rFonts w:ascii="Palatino Linotype" w:hAnsi="Palatino Linotype" w:cs="Arial"/>
          <w:i/>
        </w:rPr>
        <w:t>Al incorporar a una persona en el Registro Nacional de Población, se le asignará una clave que se denominará Clave Única de Registro de Población. Esta servirá para registrarla e identificarla en forma individual.”</w:t>
      </w:r>
    </w:p>
    <w:p w14:paraId="2AC7EFB2" w14:textId="77777777" w:rsidR="00530E7A" w:rsidRPr="00514593" w:rsidRDefault="00530E7A" w:rsidP="00530E7A">
      <w:pPr>
        <w:ind w:left="567" w:right="567"/>
        <w:jc w:val="both"/>
        <w:rPr>
          <w:rFonts w:ascii="Palatino Linotype" w:hAnsi="Palatino Linotype" w:cs="Arial"/>
          <w:i/>
        </w:rPr>
      </w:pPr>
    </w:p>
    <w:p w14:paraId="53434832" w14:textId="77777777" w:rsidR="00530E7A" w:rsidRPr="00514593" w:rsidRDefault="00530E7A" w:rsidP="00530E7A">
      <w:pPr>
        <w:spacing w:line="360" w:lineRule="auto"/>
        <w:jc w:val="both"/>
        <w:rPr>
          <w:rFonts w:ascii="Palatino Linotype" w:hAnsi="Palatino Linotype"/>
          <w:sz w:val="24"/>
          <w:szCs w:val="24"/>
        </w:rPr>
      </w:pPr>
      <w:r w:rsidRPr="00514593">
        <w:rPr>
          <w:rFonts w:ascii="Palatino Linotype" w:hAnsi="Palatino Linotype"/>
          <w:sz w:val="24"/>
          <w:szCs w:val="24"/>
        </w:rPr>
        <w:t xml:space="preserve">Ahora bien, la Clave Única de Registro de Población, está integrada de 18 elementos representados por letras y números, que se generan a partir de los datos contenidos en un documento probatorio de identidad (acta de nacimiento, carta de naturalización o documento migratorio), la cual se integra de la primera letra del apellido paterno; seguida de la primera letra vocal del primer apellido; seguida de la primera letra del segundo apellido y por último la primera letra del nombre; fecha de nacimiento </w:t>
      </w:r>
      <w:r w:rsidRPr="00514593">
        <w:rPr>
          <w:rFonts w:ascii="Palatino Linotype" w:hAnsi="Palatino Linotype"/>
          <w:sz w:val="24"/>
          <w:szCs w:val="24"/>
        </w:rPr>
        <w:lastRenderedPageBreak/>
        <w:t xml:space="preserve">año/mes/día; sexo; Entidad Federativa o lugar de nacimiento; finalmente un digito verificador, compuesto de dos elementos, con el que se evitan duplicaciones en la Clave, identifican el cambio de siglo y garantizan la correcta integración. </w:t>
      </w:r>
    </w:p>
    <w:p w14:paraId="57357969" w14:textId="77777777" w:rsidR="00530E7A" w:rsidRPr="00514593" w:rsidRDefault="00530E7A" w:rsidP="00530E7A">
      <w:pPr>
        <w:spacing w:line="360" w:lineRule="auto"/>
        <w:jc w:val="both"/>
        <w:rPr>
          <w:rFonts w:ascii="Palatino Linotype" w:hAnsi="Palatino Linotype"/>
          <w:sz w:val="24"/>
          <w:szCs w:val="24"/>
        </w:rPr>
      </w:pPr>
    </w:p>
    <w:p w14:paraId="397F836B" w14:textId="77777777" w:rsidR="00530E7A" w:rsidRPr="00514593" w:rsidRDefault="00530E7A" w:rsidP="00530E7A">
      <w:pPr>
        <w:spacing w:line="360" w:lineRule="auto"/>
        <w:jc w:val="both"/>
        <w:rPr>
          <w:rFonts w:ascii="Palatino Linotype" w:hAnsi="Palatino Linotype"/>
          <w:sz w:val="24"/>
          <w:szCs w:val="24"/>
        </w:rPr>
      </w:pPr>
      <w:r w:rsidRPr="00514593">
        <w:rPr>
          <w:rFonts w:ascii="Palatino Linotype" w:hAnsi="Palatino Linotype"/>
          <w:sz w:val="24"/>
          <w:szCs w:val="24"/>
        </w:rPr>
        <w:t>Al respecto, el Instituto Nacional de Transparencia, Acceso a la Información y Protección de Datos Personales (INAI) a través del Criterio 18/17, señala literalmente lo siguiente:</w:t>
      </w:r>
    </w:p>
    <w:p w14:paraId="6BE16447" w14:textId="77777777" w:rsidR="00530E7A" w:rsidRPr="00514593" w:rsidRDefault="00530E7A" w:rsidP="009F25FC">
      <w:pPr>
        <w:ind w:left="567" w:right="567"/>
        <w:jc w:val="both"/>
        <w:rPr>
          <w:rFonts w:ascii="Palatino Linotype" w:hAnsi="Palatino Linotype"/>
          <w:i/>
        </w:rPr>
      </w:pPr>
      <w:r w:rsidRPr="00514593">
        <w:rPr>
          <w:rFonts w:ascii="Palatino Linotype" w:hAnsi="Palatino Linotype"/>
          <w:b/>
          <w:i/>
        </w:rPr>
        <w:t>Clave Única de Registro de Población (CURP)</w:t>
      </w:r>
      <w:r w:rsidRPr="00514593">
        <w:rPr>
          <w:rFonts w:ascii="Palatino Linotype" w:hAnsi="Palatino Linotype"/>
          <w:i/>
        </w:rPr>
        <w:t>. 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w:t>
      </w:r>
    </w:p>
    <w:p w14:paraId="40D0F1C7" w14:textId="77777777" w:rsidR="00530E7A" w:rsidRPr="00514593" w:rsidRDefault="00530E7A" w:rsidP="00530E7A">
      <w:pPr>
        <w:spacing w:line="360" w:lineRule="auto"/>
        <w:jc w:val="both"/>
        <w:rPr>
          <w:rFonts w:ascii="Palatino Linotype" w:hAnsi="Palatino Linotype"/>
          <w:sz w:val="24"/>
          <w:szCs w:val="24"/>
        </w:rPr>
      </w:pPr>
      <w:r w:rsidRPr="00514593">
        <w:rPr>
          <w:rFonts w:ascii="Palatino Linotype" w:hAnsi="Palatino Linotype"/>
          <w:sz w:val="24"/>
          <w:szCs w:val="24"/>
        </w:rPr>
        <w:t>De lo anterior, se desprende que la Clave Única de Registro de Población, se encuentra vinculada al nombre de la persona, permitiendo identificar la edad, fecha de nacimiento, sexo, lugar de nacimiento, así como el código identificador; datos que únicamente le atañen a un particular, por lo que ésta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Sujetos Obligados del Estado de México y Municipios.</w:t>
      </w:r>
    </w:p>
    <w:p w14:paraId="2AD82E0B" w14:textId="77777777" w:rsidR="009F25FC" w:rsidRPr="00514593" w:rsidRDefault="009F25FC" w:rsidP="00530E7A">
      <w:pPr>
        <w:spacing w:line="360" w:lineRule="auto"/>
        <w:jc w:val="both"/>
        <w:rPr>
          <w:rFonts w:ascii="Palatino Linotype" w:hAnsi="Palatino Linotype"/>
          <w:sz w:val="24"/>
          <w:szCs w:val="24"/>
        </w:rPr>
      </w:pPr>
    </w:p>
    <w:p w14:paraId="426B322A" w14:textId="77777777" w:rsidR="00530E7A" w:rsidRPr="00514593" w:rsidRDefault="00530E7A" w:rsidP="00530E7A">
      <w:pPr>
        <w:spacing w:line="360" w:lineRule="auto"/>
        <w:jc w:val="both"/>
        <w:rPr>
          <w:rFonts w:ascii="Palatino Linotype" w:hAnsi="Palatino Linotype"/>
          <w:sz w:val="24"/>
          <w:szCs w:val="24"/>
        </w:rPr>
      </w:pPr>
      <w:r w:rsidRPr="00514593">
        <w:rPr>
          <w:rFonts w:ascii="Palatino Linotype" w:hAnsi="Palatino Linotype"/>
          <w:sz w:val="24"/>
          <w:szCs w:val="24"/>
          <w:lang w:val="es-ES_tradnl"/>
        </w:rPr>
        <w:t xml:space="preserve">Por ende, en el presente caso el Sujeto Obligado debe </w:t>
      </w:r>
      <w:r w:rsidRPr="00514593">
        <w:rPr>
          <w:rFonts w:ascii="Palatino Linotype" w:hAnsi="Palatino Linotype"/>
          <w:sz w:val="24"/>
          <w:szCs w:val="24"/>
        </w:rPr>
        <w:t xml:space="preserve">atender las disposiciones en materia de protección de datos, a fin de salvaguardar los datos de particulares testando estos y emitir el debido Acuerdo que sustente la versión pública que se genere, ya que la </w:t>
      </w:r>
      <w:r w:rsidRPr="00514593">
        <w:rPr>
          <w:rFonts w:ascii="Palatino Linotype" w:hAnsi="Palatino Linotype"/>
          <w:sz w:val="24"/>
          <w:szCs w:val="24"/>
        </w:rPr>
        <w:lastRenderedPageBreak/>
        <w:t xml:space="preserve">clasificación de la información no se da por el simple mandato de la Ley, sino que es necesario que </w:t>
      </w:r>
      <w:r w:rsidRPr="00514593">
        <w:rPr>
          <w:rFonts w:ascii="Palatino Linotype" w:hAnsi="Palatino Linotype"/>
          <w:sz w:val="24"/>
          <w:szCs w:val="24"/>
          <w:lang w:val="es-ES_tradnl"/>
        </w:rPr>
        <w:t xml:space="preserve">el Sujeto Obligado </w:t>
      </w:r>
      <w:r w:rsidRPr="00514593">
        <w:rPr>
          <w:rFonts w:ascii="Palatino Linotype" w:hAnsi="Palatino Linotype"/>
          <w:sz w:val="24"/>
          <w:szCs w:val="24"/>
        </w:rPr>
        <w:t>cuando clasifique un documento, ya sea en todo o en parte, debe atender lo dispuesto por la Ley de la materia, siendo que dicha clasificación es un trabajo en conjunto tanto de los Servidores Públicos Habilitados, de las Unidades de Transparencia y del Comité de Transparencia d</w:t>
      </w:r>
      <w:r w:rsidRPr="00514593">
        <w:rPr>
          <w:rFonts w:ascii="Palatino Linotype" w:hAnsi="Palatino Linotype"/>
          <w:sz w:val="24"/>
          <w:szCs w:val="24"/>
          <w:lang w:val="es-ES_tradnl"/>
        </w:rPr>
        <w:t>el Sujeto Obligado</w:t>
      </w:r>
      <w:r w:rsidRPr="00514593">
        <w:rPr>
          <w:rFonts w:ascii="Palatino Linotype" w:hAnsi="Palatino Linotype"/>
          <w:sz w:val="24"/>
          <w:szCs w:val="24"/>
        </w:rPr>
        <w:t>, teniendo el deber los primeros, de presentar ante la Unidad de Transparencia la propuesta de clasificación de la información, para que luego ésta se presente ante el Comité de Transparencia de así resultar procedente el proyecto de clasificación de la información y finalmente sea éste último quien apruebe, modifique o revoque la clasificación de la información solicitada.</w:t>
      </w:r>
    </w:p>
    <w:p w14:paraId="25704AC1" w14:textId="77777777" w:rsidR="00530E7A" w:rsidRPr="00514593" w:rsidRDefault="00530E7A" w:rsidP="00530E7A">
      <w:pPr>
        <w:spacing w:line="360" w:lineRule="auto"/>
        <w:jc w:val="both"/>
        <w:rPr>
          <w:rFonts w:ascii="Palatino Linotype" w:hAnsi="Palatino Linotype"/>
          <w:sz w:val="24"/>
          <w:szCs w:val="24"/>
        </w:rPr>
      </w:pPr>
    </w:p>
    <w:p w14:paraId="5FF08B41" w14:textId="77777777" w:rsidR="00530E7A" w:rsidRPr="00514593" w:rsidRDefault="00530E7A" w:rsidP="00530E7A">
      <w:pPr>
        <w:spacing w:line="360" w:lineRule="auto"/>
        <w:jc w:val="both"/>
        <w:rPr>
          <w:rFonts w:ascii="Palatino Linotype" w:eastAsia="Calibri" w:hAnsi="Palatino Linotype"/>
          <w:sz w:val="24"/>
          <w:szCs w:val="24"/>
        </w:rPr>
      </w:pPr>
      <w:r w:rsidRPr="00514593">
        <w:rPr>
          <w:rFonts w:ascii="Palatino Linotype" w:eastAsia="Calibri" w:hAnsi="Palatino Linotype"/>
          <w:sz w:val="24"/>
          <w:szCs w:val="24"/>
        </w:rPr>
        <w:t xml:space="preserve">Así, es que </w:t>
      </w:r>
      <w:r w:rsidRPr="00514593">
        <w:rPr>
          <w:rFonts w:ascii="Palatino Linotype" w:hAnsi="Palatino Linotype"/>
          <w:sz w:val="24"/>
          <w:szCs w:val="24"/>
          <w:lang w:val="es-ES_tradnl"/>
        </w:rPr>
        <w:t xml:space="preserve">el Sujeto Obligado </w:t>
      </w:r>
      <w:r w:rsidRPr="00514593">
        <w:rPr>
          <w:rFonts w:ascii="Palatino Linotype" w:eastAsia="Calibri" w:hAnsi="Palatino Linotype"/>
          <w:sz w:val="24"/>
          <w:szCs w:val="24"/>
        </w:rPr>
        <w:t>deberá cumplir con todos y cada uno de los requisitos señalados en la Ley de Protección de Datos Personales en Posesión de Sujetos Obligados del Estado de México y Municipios, en la Ley de Transparencia y Acceso a la Información Pública del Estado de México y Municipios, y con los Lineamientos Generales en Materia de Clasificación y Desclasificación de la información, así como para la elaboración de Versiones Públicas; máxime que de conformidad con lo establecido en las Leyes y Lineamientos citados, para fundar la clasificación de la información se debe señalar el artículo, fracción, inciso, párrafo o numeral de la Ley que expresamente le otorga el carácter de confidencial.</w:t>
      </w:r>
    </w:p>
    <w:p w14:paraId="2A1B1ED9" w14:textId="77777777" w:rsidR="00530E7A" w:rsidRPr="00514593" w:rsidRDefault="00530E7A" w:rsidP="00530E7A">
      <w:pPr>
        <w:spacing w:line="360" w:lineRule="auto"/>
        <w:jc w:val="both"/>
        <w:rPr>
          <w:rFonts w:ascii="Palatino Linotype" w:eastAsia="Calibri" w:hAnsi="Palatino Linotype"/>
          <w:sz w:val="24"/>
          <w:szCs w:val="24"/>
        </w:rPr>
      </w:pPr>
    </w:p>
    <w:p w14:paraId="6D7B2353" w14:textId="77777777" w:rsidR="00530E7A" w:rsidRPr="00514593" w:rsidRDefault="00530E7A" w:rsidP="00530E7A">
      <w:pPr>
        <w:spacing w:line="360" w:lineRule="auto"/>
        <w:jc w:val="both"/>
        <w:rPr>
          <w:rFonts w:ascii="Palatino Linotype" w:hAnsi="Palatino Linotype"/>
          <w:sz w:val="24"/>
          <w:szCs w:val="24"/>
        </w:rPr>
      </w:pPr>
      <w:r w:rsidRPr="00514593">
        <w:rPr>
          <w:rFonts w:ascii="Palatino Linotype" w:hAnsi="Palatino Linotype"/>
          <w:sz w:val="24"/>
          <w:szCs w:val="24"/>
        </w:rPr>
        <w:t xml:space="preserve">Ello, sin pasar por alto que la clasificación respectiva tiene que cumplirse mediante las formalidades impuestas por la ley; es decir, mediante Acuerdo debidamente fundado y </w:t>
      </w:r>
      <w:r w:rsidRPr="00514593">
        <w:rPr>
          <w:rFonts w:ascii="Palatino Linotype" w:hAnsi="Palatino Linotype"/>
          <w:sz w:val="24"/>
          <w:szCs w:val="24"/>
        </w:rPr>
        <w:lastRenderedPageBreak/>
        <w:t>motivado, en términos de los numerales 49 fracción VIII y 132 fracciones I, II y III de la Ley de Transparencia y Acceso a la Información Pública del Estado de México y Municipios en vigor, así como los numerales Segundo, fracción XVIII, y del Cuarto al Décimo Primero de los Lineamientos Generales en materia de Clasificación y Desclasificación de la Información, así como para la elaboración de Versiones Públicas, que literalmente expresan:</w:t>
      </w:r>
    </w:p>
    <w:p w14:paraId="280725B5" w14:textId="77777777" w:rsidR="00530E7A" w:rsidRPr="00514593" w:rsidRDefault="00530E7A" w:rsidP="00530E7A">
      <w:pPr>
        <w:ind w:left="567" w:right="567"/>
        <w:jc w:val="both"/>
        <w:rPr>
          <w:rFonts w:ascii="Palatino Linotype" w:hAnsi="Palatino Linotype"/>
          <w:i/>
        </w:rPr>
      </w:pPr>
      <w:r w:rsidRPr="00514593">
        <w:rPr>
          <w:rFonts w:ascii="Palatino Linotype" w:hAnsi="Palatino Linotype"/>
          <w:b/>
          <w:i/>
        </w:rPr>
        <w:t xml:space="preserve">“Artículo 49. </w:t>
      </w:r>
      <w:r w:rsidRPr="00514593">
        <w:rPr>
          <w:rFonts w:ascii="Palatino Linotype" w:hAnsi="Palatino Linotype"/>
          <w:i/>
        </w:rPr>
        <w:t>Los Comités de Transparencia tendrán las siguientes atribuciones:</w:t>
      </w:r>
    </w:p>
    <w:p w14:paraId="353E62A7" w14:textId="77777777" w:rsidR="00530E7A" w:rsidRPr="00514593" w:rsidRDefault="00530E7A" w:rsidP="00530E7A">
      <w:pPr>
        <w:ind w:left="567" w:right="567"/>
        <w:jc w:val="both"/>
        <w:rPr>
          <w:rFonts w:ascii="Palatino Linotype" w:hAnsi="Palatino Linotype"/>
          <w:i/>
        </w:rPr>
      </w:pPr>
      <w:r w:rsidRPr="00514593">
        <w:rPr>
          <w:rFonts w:ascii="Palatino Linotype" w:hAnsi="Palatino Linotype"/>
          <w:b/>
          <w:i/>
        </w:rPr>
        <w:t>VIII.</w:t>
      </w:r>
      <w:r w:rsidRPr="00514593">
        <w:rPr>
          <w:rFonts w:ascii="Palatino Linotype" w:hAnsi="Palatino Linotype"/>
          <w:i/>
        </w:rPr>
        <w:t xml:space="preserve"> Aprobar, modificar o revocar la clasificación de la información;</w:t>
      </w:r>
    </w:p>
    <w:p w14:paraId="355B689A" w14:textId="77777777" w:rsidR="00530E7A" w:rsidRPr="00514593" w:rsidRDefault="00530E7A" w:rsidP="00530E7A">
      <w:pPr>
        <w:ind w:left="567" w:right="567"/>
        <w:jc w:val="both"/>
        <w:rPr>
          <w:rFonts w:ascii="Palatino Linotype" w:hAnsi="Palatino Linotype"/>
          <w:i/>
        </w:rPr>
      </w:pPr>
    </w:p>
    <w:p w14:paraId="0EC89DD0" w14:textId="77777777" w:rsidR="00530E7A" w:rsidRPr="00514593" w:rsidRDefault="00530E7A" w:rsidP="00530E7A">
      <w:pPr>
        <w:ind w:left="567" w:right="567"/>
        <w:jc w:val="both"/>
        <w:rPr>
          <w:rFonts w:ascii="Palatino Linotype" w:hAnsi="Palatino Linotype"/>
          <w:i/>
        </w:rPr>
      </w:pPr>
      <w:r w:rsidRPr="00514593">
        <w:rPr>
          <w:rFonts w:ascii="Palatino Linotype" w:hAnsi="Palatino Linotype"/>
          <w:b/>
          <w:i/>
        </w:rPr>
        <w:t>Artículo 132.</w:t>
      </w:r>
      <w:r w:rsidRPr="00514593">
        <w:rPr>
          <w:rFonts w:ascii="Palatino Linotype" w:hAnsi="Palatino Linotype"/>
          <w:i/>
        </w:rPr>
        <w:t xml:space="preserve"> La clasificación de la información se llevará a cabo en el momento en que:</w:t>
      </w:r>
    </w:p>
    <w:p w14:paraId="415ADB13" w14:textId="77777777" w:rsidR="00530E7A" w:rsidRPr="00514593" w:rsidRDefault="00530E7A" w:rsidP="00530E7A">
      <w:pPr>
        <w:ind w:left="567" w:right="567"/>
        <w:jc w:val="both"/>
        <w:rPr>
          <w:rFonts w:ascii="Palatino Linotype" w:hAnsi="Palatino Linotype"/>
          <w:i/>
        </w:rPr>
      </w:pPr>
      <w:r w:rsidRPr="00514593">
        <w:rPr>
          <w:rFonts w:ascii="Palatino Linotype" w:hAnsi="Palatino Linotype"/>
          <w:b/>
          <w:i/>
        </w:rPr>
        <w:t>I.</w:t>
      </w:r>
      <w:r w:rsidRPr="00514593">
        <w:rPr>
          <w:rFonts w:ascii="Palatino Linotype" w:hAnsi="Palatino Linotype"/>
          <w:i/>
        </w:rPr>
        <w:t xml:space="preserve"> Se reciba una solicitud de acceso a la información;</w:t>
      </w:r>
    </w:p>
    <w:p w14:paraId="55934FAD" w14:textId="77777777" w:rsidR="00530E7A" w:rsidRPr="00514593" w:rsidRDefault="00530E7A" w:rsidP="00530E7A">
      <w:pPr>
        <w:ind w:left="567" w:right="567"/>
        <w:jc w:val="both"/>
        <w:rPr>
          <w:rFonts w:ascii="Palatino Linotype" w:hAnsi="Palatino Linotype"/>
          <w:i/>
        </w:rPr>
      </w:pPr>
      <w:r w:rsidRPr="00514593">
        <w:rPr>
          <w:rFonts w:ascii="Palatino Linotype" w:hAnsi="Palatino Linotype"/>
          <w:b/>
          <w:i/>
        </w:rPr>
        <w:t>II.</w:t>
      </w:r>
      <w:r w:rsidRPr="00514593">
        <w:rPr>
          <w:rFonts w:ascii="Palatino Linotype" w:hAnsi="Palatino Linotype"/>
          <w:i/>
        </w:rPr>
        <w:t xml:space="preserve"> Se determine mediante resolución de autoridad competente; o</w:t>
      </w:r>
    </w:p>
    <w:p w14:paraId="0F648FA5" w14:textId="77777777" w:rsidR="00530E7A" w:rsidRPr="00514593" w:rsidRDefault="00530E7A" w:rsidP="00530E7A">
      <w:pPr>
        <w:ind w:left="567" w:right="567"/>
        <w:jc w:val="both"/>
        <w:rPr>
          <w:rFonts w:ascii="Palatino Linotype" w:hAnsi="Palatino Linotype"/>
          <w:b/>
          <w:i/>
        </w:rPr>
      </w:pPr>
      <w:r w:rsidRPr="00514593">
        <w:rPr>
          <w:rFonts w:ascii="Palatino Linotype" w:hAnsi="Palatino Linotype"/>
          <w:b/>
          <w:i/>
        </w:rPr>
        <w:t>III.</w:t>
      </w:r>
      <w:r w:rsidRPr="00514593">
        <w:rPr>
          <w:rFonts w:ascii="Palatino Linotype" w:hAnsi="Palatino Linotype"/>
          <w:i/>
        </w:rPr>
        <w:t xml:space="preserve"> Se generen versiones públicas para dar cumplimiento a las obligaciones de transparencia previstas en esta Ley.</w:t>
      </w:r>
      <w:r w:rsidRPr="00514593">
        <w:rPr>
          <w:rFonts w:ascii="Palatino Linotype" w:hAnsi="Palatino Linotype"/>
          <w:b/>
          <w:i/>
        </w:rPr>
        <w:t>”</w:t>
      </w:r>
    </w:p>
    <w:p w14:paraId="1FE760B8" w14:textId="77777777" w:rsidR="00530E7A" w:rsidRPr="00514593" w:rsidRDefault="00530E7A" w:rsidP="00530E7A">
      <w:pPr>
        <w:ind w:right="567"/>
        <w:jc w:val="both"/>
        <w:rPr>
          <w:rFonts w:ascii="Palatino Linotype" w:hAnsi="Palatino Linotype"/>
          <w:b/>
          <w:i/>
        </w:rPr>
      </w:pPr>
    </w:p>
    <w:p w14:paraId="0A763A07" w14:textId="77777777" w:rsidR="00530E7A" w:rsidRPr="00514593" w:rsidRDefault="00530E7A" w:rsidP="00530E7A">
      <w:pPr>
        <w:ind w:left="567" w:right="567"/>
        <w:jc w:val="both"/>
        <w:rPr>
          <w:rFonts w:ascii="Palatino Linotype" w:hAnsi="Palatino Linotype"/>
          <w:i/>
        </w:rPr>
      </w:pPr>
      <w:r w:rsidRPr="00514593">
        <w:rPr>
          <w:rFonts w:ascii="Palatino Linotype" w:hAnsi="Palatino Linotype"/>
          <w:b/>
          <w:i/>
        </w:rPr>
        <w:t>“Segundo.-</w:t>
      </w:r>
      <w:r w:rsidRPr="00514593">
        <w:rPr>
          <w:rFonts w:ascii="Palatino Linotype" w:hAnsi="Palatino Linotype"/>
          <w:i/>
        </w:rPr>
        <w:t xml:space="preserve"> Para efectos de los presentes Lineamientos Generales, se entenderá por:</w:t>
      </w:r>
    </w:p>
    <w:p w14:paraId="749CE772" w14:textId="77777777" w:rsidR="00530E7A" w:rsidRPr="00514593" w:rsidRDefault="00530E7A" w:rsidP="00530E7A">
      <w:pPr>
        <w:ind w:left="567" w:right="567"/>
        <w:jc w:val="both"/>
        <w:rPr>
          <w:rFonts w:ascii="Palatino Linotype" w:hAnsi="Palatino Linotype"/>
          <w:i/>
        </w:rPr>
      </w:pPr>
      <w:r w:rsidRPr="00514593">
        <w:rPr>
          <w:rFonts w:ascii="Palatino Linotype" w:hAnsi="Palatino Linotype"/>
          <w:i/>
        </w:rPr>
        <w:t>…</w:t>
      </w:r>
    </w:p>
    <w:p w14:paraId="4267F680" w14:textId="77777777" w:rsidR="00530E7A" w:rsidRPr="00514593" w:rsidRDefault="00530E7A" w:rsidP="00530E7A">
      <w:pPr>
        <w:ind w:left="567" w:right="567"/>
        <w:jc w:val="both"/>
        <w:rPr>
          <w:rFonts w:ascii="Palatino Linotype" w:hAnsi="Palatino Linotype"/>
          <w:i/>
        </w:rPr>
      </w:pPr>
      <w:r w:rsidRPr="00514593">
        <w:rPr>
          <w:rFonts w:ascii="Palatino Linotype" w:hAnsi="Palatino Linotype"/>
          <w:b/>
          <w:i/>
        </w:rPr>
        <w:t>XVIII.</w:t>
      </w:r>
      <w:r w:rsidRPr="00514593">
        <w:rPr>
          <w:rFonts w:ascii="Palatino Linotype" w:hAnsi="Palatino Linotype"/>
          <w:i/>
        </w:rPr>
        <w:t xml:space="preserve"> </w:t>
      </w:r>
      <w:r w:rsidRPr="00514593">
        <w:rPr>
          <w:rFonts w:ascii="Palatino Linotype" w:hAnsi="Palatino Linotype"/>
          <w:b/>
          <w:i/>
        </w:rPr>
        <w:t>Versión pública:</w:t>
      </w:r>
      <w:r w:rsidRPr="00514593">
        <w:rPr>
          <w:rFonts w:ascii="Palatino Linotype" w:hAnsi="Palatino Linotype"/>
          <w:i/>
        </w:rPr>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29687088" w14:textId="77777777" w:rsidR="00530E7A" w:rsidRPr="00514593" w:rsidRDefault="00530E7A" w:rsidP="00530E7A">
      <w:pPr>
        <w:ind w:left="567" w:right="567"/>
        <w:jc w:val="both"/>
        <w:rPr>
          <w:rFonts w:ascii="Palatino Linotype" w:hAnsi="Palatino Linotype"/>
          <w:i/>
        </w:rPr>
      </w:pPr>
      <w:r w:rsidRPr="00514593">
        <w:rPr>
          <w:rFonts w:ascii="Palatino Linotype" w:hAnsi="Palatino Linotype"/>
          <w:b/>
          <w:i/>
        </w:rPr>
        <w:t>Cuarto.</w:t>
      </w:r>
      <w:r w:rsidRPr="00514593">
        <w:rPr>
          <w:rFonts w:ascii="Palatino Linotype" w:hAnsi="Palatino Linotype"/>
          <w:i/>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26B1D7B1" w14:textId="77777777" w:rsidR="00530E7A" w:rsidRPr="00514593" w:rsidRDefault="00530E7A" w:rsidP="00530E7A">
      <w:pPr>
        <w:ind w:left="567" w:right="567"/>
        <w:jc w:val="both"/>
        <w:rPr>
          <w:rFonts w:ascii="Palatino Linotype" w:hAnsi="Palatino Linotype"/>
          <w:i/>
        </w:rPr>
      </w:pPr>
      <w:r w:rsidRPr="00514593">
        <w:rPr>
          <w:rFonts w:ascii="Palatino Linotype" w:hAnsi="Palatino Linotype"/>
          <w:i/>
        </w:rPr>
        <w:lastRenderedPageBreak/>
        <w:t>Los Sujetos Obligados deberán aplicar, de manera estricta, las excepciones al derecho de acceso a la información y sólo podrán invocarlas cuando acrediten su procedencia.</w:t>
      </w:r>
    </w:p>
    <w:p w14:paraId="0FAC6351" w14:textId="77777777" w:rsidR="00530E7A" w:rsidRPr="00514593" w:rsidRDefault="00530E7A" w:rsidP="00530E7A">
      <w:pPr>
        <w:ind w:left="567" w:right="567"/>
        <w:jc w:val="both"/>
        <w:rPr>
          <w:rFonts w:ascii="Palatino Linotype" w:hAnsi="Palatino Linotype"/>
          <w:b/>
          <w:i/>
        </w:rPr>
      </w:pPr>
    </w:p>
    <w:p w14:paraId="636ACEE0" w14:textId="77777777" w:rsidR="00530E7A" w:rsidRPr="00514593" w:rsidRDefault="00530E7A" w:rsidP="00530E7A">
      <w:pPr>
        <w:ind w:left="567" w:right="567"/>
        <w:jc w:val="both"/>
        <w:rPr>
          <w:rFonts w:ascii="Palatino Linotype" w:hAnsi="Palatino Linotype"/>
          <w:i/>
        </w:rPr>
      </w:pPr>
      <w:r w:rsidRPr="00514593">
        <w:rPr>
          <w:rFonts w:ascii="Palatino Linotype" w:hAnsi="Palatino Linotype"/>
          <w:b/>
          <w:i/>
        </w:rPr>
        <w:t>Quinto.</w:t>
      </w:r>
      <w:r w:rsidRPr="00514593">
        <w:rPr>
          <w:rFonts w:ascii="Palatino Linotype" w:hAnsi="Palatino Linotype"/>
          <w:i/>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138F46E9" w14:textId="77777777" w:rsidR="00530E7A" w:rsidRPr="00514593" w:rsidRDefault="00530E7A" w:rsidP="00530E7A">
      <w:pPr>
        <w:ind w:left="567" w:right="567"/>
        <w:jc w:val="both"/>
        <w:rPr>
          <w:rFonts w:ascii="Palatino Linotype" w:hAnsi="Palatino Linotype"/>
          <w:b/>
          <w:i/>
        </w:rPr>
      </w:pPr>
    </w:p>
    <w:p w14:paraId="7AA022D2" w14:textId="77777777" w:rsidR="00530E7A" w:rsidRPr="00514593" w:rsidRDefault="00530E7A" w:rsidP="00530E7A">
      <w:pPr>
        <w:ind w:left="567" w:right="567"/>
        <w:jc w:val="both"/>
        <w:rPr>
          <w:rFonts w:ascii="Palatino Linotype" w:hAnsi="Palatino Linotype"/>
          <w:i/>
        </w:rPr>
      </w:pPr>
      <w:r w:rsidRPr="00514593">
        <w:rPr>
          <w:rFonts w:ascii="Palatino Linotype" w:hAnsi="Palatino Linotype"/>
          <w:b/>
          <w:i/>
        </w:rPr>
        <w:t>Sexto.</w:t>
      </w:r>
      <w:r w:rsidRPr="00514593">
        <w:rPr>
          <w:rFonts w:ascii="Palatino Linotype" w:hAnsi="Palatino Linotype"/>
          <w:i/>
        </w:rPr>
        <w:t xml:space="preserve"> Los Sujetos Obligados no podrán emitir acuerdos de carácter general ni particular que clasifiquen documentos o expedientes como reservados, ni clasificar documentos antes de que se genere la información o cuando éstos no obren en sus archivos.</w:t>
      </w:r>
    </w:p>
    <w:p w14:paraId="6C64CBBF" w14:textId="77777777" w:rsidR="00530E7A" w:rsidRPr="00514593" w:rsidRDefault="00530E7A" w:rsidP="00530E7A">
      <w:pPr>
        <w:ind w:left="567" w:right="567"/>
        <w:jc w:val="both"/>
        <w:rPr>
          <w:rFonts w:ascii="Palatino Linotype" w:hAnsi="Palatino Linotype"/>
          <w:i/>
        </w:rPr>
      </w:pPr>
      <w:r w:rsidRPr="00514593">
        <w:rPr>
          <w:rFonts w:ascii="Palatino Linotype" w:hAnsi="Palatino Linotype"/>
          <w:i/>
        </w:rPr>
        <w:t>La clasificación de información se realizará conforme a un análisis caso por caso, mediante la aplicación de la prueba de daño y de interés público.</w:t>
      </w:r>
    </w:p>
    <w:p w14:paraId="71E94928" w14:textId="77777777" w:rsidR="00530E7A" w:rsidRPr="00514593" w:rsidRDefault="00530E7A" w:rsidP="00530E7A">
      <w:pPr>
        <w:ind w:left="567" w:right="567"/>
        <w:jc w:val="both"/>
        <w:rPr>
          <w:rFonts w:ascii="Palatino Linotype" w:hAnsi="Palatino Linotype"/>
          <w:i/>
        </w:rPr>
      </w:pPr>
      <w:r w:rsidRPr="00514593">
        <w:rPr>
          <w:rFonts w:ascii="Palatino Linotype" w:hAnsi="Palatino Linotype"/>
          <w:b/>
          <w:i/>
        </w:rPr>
        <w:t>Séptimo.</w:t>
      </w:r>
      <w:r w:rsidRPr="00514593">
        <w:rPr>
          <w:rFonts w:ascii="Palatino Linotype" w:hAnsi="Palatino Linotype"/>
          <w:i/>
        </w:rPr>
        <w:t xml:space="preserve"> La clasificación de la información se llevará a cabo en el momento en que:</w:t>
      </w:r>
    </w:p>
    <w:p w14:paraId="1DA87D98" w14:textId="77777777" w:rsidR="00530E7A" w:rsidRPr="00514593" w:rsidRDefault="00530E7A" w:rsidP="00530E7A">
      <w:pPr>
        <w:ind w:left="567" w:right="567"/>
        <w:jc w:val="both"/>
        <w:rPr>
          <w:rFonts w:ascii="Palatino Linotype" w:hAnsi="Palatino Linotype"/>
          <w:i/>
        </w:rPr>
      </w:pPr>
      <w:r w:rsidRPr="00514593">
        <w:rPr>
          <w:rFonts w:ascii="Palatino Linotype" w:hAnsi="Palatino Linotype"/>
          <w:b/>
          <w:i/>
        </w:rPr>
        <w:t>I.</w:t>
      </w:r>
      <w:r w:rsidRPr="00514593">
        <w:rPr>
          <w:rFonts w:ascii="Palatino Linotype" w:hAnsi="Palatino Linotype"/>
          <w:i/>
        </w:rPr>
        <w:t xml:space="preserve"> Se reciba una solicitud de acceso a la información;</w:t>
      </w:r>
    </w:p>
    <w:p w14:paraId="63E6DFA6" w14:textId="77777777" w:rsidR="00530E7A" w:rsidRPr="00514593" w:rsidRDefault="00530E7A" w:rsidP="00530E7A">
      <w:pPr>
        <w:ind w:left="567" w:right="567"/>
        <w:jc w:val="both"/>
        <w:rPr>
          <w:rFonts w:ascii="Palatino Linotype" w:hAnsi="Palatino Linotype"/>
          <w:i/>
        </w:rPr>
      </w:pPr>
      <w:r w:rsidRPr="00514593">
        <w:rPr>
          <w:rFonts w:ascii="Palatino Linotype" w:hAnsi="Palatino Linotype"/>
          <w:b/>
          <w:i/>
        </w:rPr>
        <w:t>II.</w:t>
      </w:r>
      <w:r w:rsidRPr="00514593">
        <w:rPr>
          <w:rFonts w:ascii="Palatino Linotype" w:hAnsi="Palatino Linotype"/>
          <w:i/>
        </w:rPr>
        <w:t xml:space="preserve"> Se determine mediante resolución de autoridad competente, o</w:t>
      </w:r>
    </w:p>
    <w:p w14:paraId="2B1EBC52" w14:textId="77777777" w:rsidR="00530E7A" w:rsidRPr="00514593" w:rsidRDefault="00530E7A" w:rsidP="00530E7A">
      <w:pPr>
        <w:ind w:left="567" w:right="567"/>
        <w:jc w:val="both"/>
        <w:rPr>
          <w:rFonts w:ascii="Palatino Linotype" w:hAnsi="Palatino Linotype"/>
          <w:i/>
        </w:rPr>
      </w:pPr>
      <w:r w:rsidRPr="00514593">
        <w:rPr>
          <w:rFonts w:ascii="Palatino Linotype" w:hAnsi="Palatino Linotype"/>
          <w:b/>
          <w:i/>
        </w:rPr>
        <w:t>III.</w:t>
      </w:r>
      <w:r w:rsidRPr="00514593">
        <w:rPr>
          <w:rFonts w:ascii="Palatino Linotype" w:hAnsi="Palatino Linotype"/>
          <w:i/>
        </w:rPr>
        <w:t xml:space="preserve"> Se generen versiones públicas para dar cumplimiento a las obligaciones de transparencia previstas en la Ley General, la Ley Federal y las correspondientes de las entidades federativas.</w:t>
      </w:r>
    </w:p>
    <w:p w14:paraId="552B6789" w14:textId="77777777" w:rsidR="00530E7A" w:rsidRPr="00514593" w:rsidRDefault="00530E7A" w:rsidP="00530E7A">
      <w:pPr>
        <w:ind w:left="567" w:right="567"/>
        <w:jc w:val="both"/>
        <w:rPr>
          <w:rFonts w:ascii="Palatino Linotype" w:hAnsi="Palatino Linotype"/>
          <w:i/>
        </w:rPr>
      </w:pPr>
      <w:r w:rsidRPr="00514593">
        <w:rPr>
          <w:rFonts w:ascii="Palatino Linotype" w:hAnsi="Palatino Linotype"/>
          <w:i/>
        </w:rPr>
        <w:t>Los titulares de las áreas deberán revisar la clasificación al momento de la recepción de una solicitud de acceso a la información, para verificar si encuadra en una causal de reserva o de confidencialidad.</w:t>
      </w:r>
    </w:p>
    <w:p w14:paraId="7D2FD320" w14:textId="77777777" w:rsidR="00530E7A" w:rsidRPr="00514593" w:rsidRDefault="00530E7A" w:rsidP="00530E7A">
      <w:pPr>
        <w:ind w:left="567" w:right="567"/>
        <w:jc w:val="both"/>
        <w:rPr>
          <w:rFonts w:ascii="Palatino Linotype" w:hAnsi="Palatino Linotype"/>
          <w:b/>
          <w:i/>
        </w:rPr>
      </w:pPr>
    </w:p>
    <w:p w14:paraId="2EC36318" w14:textId="77777777" w:rsidR="00530E7A" w:rsidRPr="00514593" w:rsidRDefault="00530E7A" w:rsidP="00530E7A">
      <w:pPr>
        <w:ind w:left="567" w:right="567"/>
        <w:jc w:val="both"/>
        <w:rPr>
          <w:rFonts w:ascii="Palatino Linotype" w:hAnsi="Palatino Linotype"/>
          <w:i/>
        </w:rPr>
      </w:pPr>
      <w:r w:rsidRPr="00514593">
        <w:rPr>
          <w:rFonts w:ascii="Palatino Linotype" w:hAnsi="Palatino Linotype"/>
          <w:b/>
          <w:i/>
        </w:rPr>
        <w:t>Octavo.</w:t>
      </w:r>
      <w:r w:rsidRPr="00514593">
        <w:rPr>
          <w:rFonts w:ascii="Palatino Linotype" w:hAnsi="Palatino Linotype"/>
          <w:i/>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18BD5BEC" w14:textId="77777777" w:rsidR="00530E7A" w:rsidRPr="00514593" w:rsidRDefault="00530E7A" w:rsidP="00530E7A">
      <w:pPr>
        <w:ind w:left="567" w:right="567"/>
        <w:jc w:val="both"/>
        <w:rPr>
          <w:rFonts w:ascii="Palatino Linotype" w:hAnsi="Palatino Linotype"/>
          <w:i/>
        </w:rPr>
      </w:pPr>
      <w:r w:rsidRPr="00514593">
        <w:rPr>
          <w:rFonts w:ascii="Palatino Linotype" w:hAnsi="Palatino Linotype"/>
          <w:i/>
        </w:rPr>
        <w:lastRenderedPageBreak/>
        <w:t>Para motivar la clasificación se deberán señalar las razones o circunstancias especiales que lo llevaron a concluir que el caso particular se ajusta al supuesto previsto por la norma legal invocada como fundamento.</w:t>
      </w:r>
    </w:p>
    <w:p w14:paraId="337C3C29" w14:textId="77777777" w:rsidR="00530E7A" w:rsidRPr="00514593" w:rsidRDefault="00530E7A" w:rsidP="00530E7A">
      <w:pPr>
        <w:ind w:left="567" w:right="567"/>
        <w:jc w:val="both"/>
        <w:rPr>
          <w:rFonts w:ascii="Palatino Linotype" w:hAnsi="Palatino Linotype"/>
          <w:i/>
        </w:rPr>
      </w:pPr>
      <w:r w:rsidRPr="00514593">
        <w:rPr>
          <w:rFonts w:ascii="Palatino Linotype" w:hAnsi="Palatino Linotype"/>
          <w:i/>
        </w:rPr>
        <w:t>En caso de referirse a información reservada, la motivación de la clasificación también deberá comprender las circunstancias que justifican el establecimiento de determinado plazo de reserva.</w:t>
      </w:r>
    </w:p>
    <w:p w14:paraId="401CB90D" w14:textId="77777777" w:rsidR="00530E7A" w:rsidRPr="00514593" w:rsidRDefault="00530E7A" w:rsidP="00530E7A">
      <w:pPr>
        <w:ind w:left="567" w:right="567"/>
        <w:jc w:val="both"/>
        <w:rPr>
          <w:rFonts w:ascii="Palatino Linotype" w:hAnsi="Palatino Linotype"/>
          <w:i/>
        </w:rPr>
      </w:pPr>
    </w:p>
    <w:p w14:paraId="28F3FE7E" w14:textId="77777777" w:rsidR="00530E7A" w:rsidRPr="00514593" w:rsidRDefault="00530E7A" w:rsidP="00530E7A">
      <w:pPr>
        <w:ind w:left="567" w:right="567"/>
        <w:jc w:val="both"/>
        <w:rPr>
          <w:rFonts w:ascii="Palatino Linotype" w:hAnsi="Palatino Linotype"/>
          <w:i/>
        </w:rPr>
      </w:pPr>
      <w:r w:rsidRPr="00514593">
        <w:rPr>
          <w:rFonts w:ascii="Palatino Linotype" w:hAnsi="Palatino Linotype"/>
          <w:i/>
        </w:rPr>
        <w:t>Tratándose de información clasificada como confidencial respecto de la cual se haya determinado su conservación permanente por tener valor histórico, ésta conservará tal carácter de conformidad con la normativa aplicable en materia de archivos.</w:t>
      </w:r>
    </w:p>
    <w:p w14:paraId="3376E84A" w14:textId="77777777" w:rsidR="00530E7A" w:rsidRPr="00514593" w:rsidRDefault="00530E7A" w:rsidP="00530E7A">
      <w:pPr>
        <w:ind w:left="567" w:right="567"/>
        <w:jc w:val="both"/>
        <w:rPr>
          <w:rFonts w:ascii="Palatino Linotype" w:hAnsi="Palatino Linotype"/>
          <w:i/>
        </w:rPr>
      </w:pPr>
      <w:r w:rsidRPr="00514593">
        <w:rPr>
          <w:rFonts w:ascii="Palatino Linotype" w:hAnsi="Palatino Linotype"/>
          <w:i/>
        </w:rPr>
        <w:t>Los documentos contenidos en los archivos históricos y los identificados como históricos confidenciales no serán susceptibles de clasificación como reservados.</w:t>
      </w:r>
    </w:p>
    <w:p w14:paraId="73BA216B" w14:textId="77777777" w:rsidR="00530E7A" w:rsidRPr="00514593" w:rsidRDefault="00530E7A" w:rsidP="00530E7A">
      <w:pPr>
        <w:ind w:left="567" w:right="567"/>
        <w:jc w:val="both"/>
        <w:rPr>
          <w:rFonts w:ascii="Palatino Linotype" w:hAnsi="Palatino Linotype"/>
          <w:b/>
          <w:i/>
        </w:rPr>
      </w:pPr>
    </w:p>
    <w:p w14:paraId="46A0EB19" w14:textId="77777777" w:rsidR="00530E7A" w:rsidRPr="00514593" w:rsidRDefault="00530E7A" w:rsidP="00530E7A">
      <w:pPr>
        <w:ind w:left="567" w:right="567"/>
        <w:jc w:val="both"/>
        <w:rPr>
          <w:rFonts w:ascii="Palatino Linotype" w:hAnsi="Palatino Linotype"/>
          <w:i/>
        </w:rPr>
      </w:pPr>
      <w:r w:rsidRPr="00514593">
        <w:rPr>
          <w:rFonts w:ascii="Palatino Linotype" w:hAnsi="Palatino Linotype"/>
          <w:b/>
          <w:i/>
        </w:rPr>
        <w:t>Noveno.</w:t>
      </w:r>
      <w:r w:rsidRPr="00514593">
        <w:rPr>
          <w:rFonts w:ascii="Palatino Linotype" w:hAnsi="Palatino Linotype"/>
          <w:i/>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26680735" w14:textId="77777777" w:rsidR="00530E7A" w:rsidRPr="00514593" w:rsidRDefault="00530E7A" w:rsidP="00530E7A">
      <w:pPr>
        <w:ind w:left="567" w:right="567"/>
        <w:jc w:val="both"/>
        <w:rPr>
          <w:rFonts w:ascii="Palatino Linotype" w:hAnsi="Palatino Linotype"/>
          <w:b/>
          <w:i/>
        </w:rPr>
      </w:pPr>
    </w:p>
    <w:p w14:paraId="7FE95005" w14:textId="77777777" w:rsidR="00530E7A" w:rsidRPr="00514593" w:rsidRDefault="00530E7A" w:rsidP="00530E7A">
      <w:pPr>
        <w:ind w:left="567" w:right="567"/>
        <w:jc w:val="both"/>
        <w:rPr>
          <w:rFonts w:ascii="Palatino Linotype" w:hAnsi="Palatino Linotype"/>
          <w:i/>
        </w:rPr>
      </w:pPr>
      <w:r w:rsidRPr="00514593">
        <w:rPr>
          <w:rFonts w:ascii="Palatino Linotype" w:hAnsi="Palatino Linotype"/>
          <w:b/>
          <w:i/>
        </w:rPr>
        <w:t>Décimo.</w:t>
      </w:r>
      <w:r w:rsidRPr="00514593">
        <w:rPr>
          <w:rFonts w:ascii="Palatino Linotype" w:hAnsi="Palatino Linotype"/>
          <w:i/>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los Lineamientos para la Organización y Conservación de Archivos.</w:t>
      </w:r>
    </w:p>
    <w:p w14:paraId="34AFD2DE" w14:textId="77777777" w:rsidR="00530E7A" w:rsidRPr="00514593" w:rsidRDefault="00530E7A" w:rsidP="00530E7A">
      <w:pPr>
        <w:ind w:left="567" w:right="567"/>
        <w:jc w:val="both"/>
        <w:rPr>
          <w:rFonts w:ascii="Palatino Linotype" w:hAnsi="Palatino Linotype"/>
          <w:i/>
        </w:rPr>
      </w:pPr>
    </w:p>
    <w:p w14:paraId="58395CA6" w14:textId="77777777" w:rsidR="00530E7A" w:rsidRPr="00514593" w:rsidRDefault="00530E7A" w:rsidP="00530E7A">
      <w:pPr>
        <w:ind w:left="567" w:right="567"/>
        <w:jc w:val="both"/>
        <w:rPr>
          <w:rFonts w:ascii="Palatino Linotype" w:hAnsi="Palatino Linotype"/>
          <w:i/>
        </w:rPr>
      </w:pPr>
      <w:r w:rsidRPr="00514593">
        <w:rPr>
          <w:rFonts w:ascii="Palatino Linotype" w:hAnsi="Palatino Linotype"/>
          <w:i/>
        </w:rPr>
        <w:t>En ausencia de los titulares de las áreas, la información será clasificada o desclasificada por la persona que lo supla, en términos de la normativa que rija la actuación del sujeto obligado.</w:t>
      </w:r>
    </w:p>
    <w:p w14:paraId="2BA42984" w14:textId="77777777" w:rsidR="00530E7A" w:rsidRPr="00514593" w:rsidRDefault="00530E7A" w:rsidP="00530E7A">
      <w:pPr>
        <w:ind w:left="567" w:right="567"/>
        <w:jc w:val="both"/>
        <w:rPr>
          <w:rFonts w:ascii="Palatino Linotype" w:hAnsi="Palatino Linotype"/>
          <w:b/>
          <w:i/>
        </w:rPr>
      </w:pPr>
    </w:p>
    <w:p w14:paraId="53D9854B" w14:textId="77777777" w:rsidR="00530E7A" w:rsidRPr="00514593" w:rsidRDefault="00530E7A" w:rsidP="00530E7A">
      <w:pPr>
        <w:ind w:left="567" w:right="567"/>
        <w:jc w:val="both"/>
        <w:rPr>
          <w:rFonts w:ascii="Palatino Linotype" w:hAnsi="Palatino Linotype"/>
          <w:b/>
        </w:rPr>
      </w:pPr>
      <w:r w:rsidRPr="00514593">
        <w:rPr>
          <w:rFonts w:ascii="Palatino Linotype" w:hAnsi="Palatino Linotype"/>
          <w:b/>
          <w:i/>
        </w:rPr>
        <w:t>Décimo primero.</w:t>
      </w:r>
      <w:r w:rsidRPr="00514593">
        <w:rPr>
          <w:rFonts w:ascii="Palatino Linotype" w:hAnsi="Palatino Linotype"/>
          <w:i/>
        </w:rPr>
        <w:t xml:space="preserve"> En el intercambio de información entre Sujetos Obligados para el ejercicio de sus atribuciones, los documentos que se encuentren clasificados deberán llevar la leyenda </w:t>
      </w:r>
      <w:r w:rsidRPr="00514593">
        <w:rPr>
          <w:rFonts w:ascii="Palatino Linotype" w:hAnsi="Palatino Linotype"/>
          <w:i/>
        </w:rPr>
        <w:lastRenderedPageBreak/>
        <w:t>correspondiente de conformidad con lo dispuesto en el Capítulo VIII de los presentes lineamientos.</w:t>
      </w:r>
      <w:r w:rsidRPr="00514593">
        <w:rPr>
          <w:rFonts w:ascii="Palatino Linotype" w:hAnsi="Palatino Linotype"/>
          <w:b/>
          <w:i/>
        </w:rPr>
        <w:t>”</w:t>
      </w:r>
    </w:p>
    <w:p w14:paraId="5ADB6E01" w14:textId="77777777" w:rsidR="00530E7A" w:rsidRPr="00514593" w:rsidRDefault="00530E7A" w:rsidP="00530E7A">
      <w:pPr>
        <w:spacing w:line="360" w:lineRule="auto"/>
        <w:jc w:val="both"/>
        <w:rPr>
          <w:rFonts w:ascii="Palatino Linotype" w:hAnsi="Palatino Linotype" w:cs="Arial"/>
          <w:i/>
        </w:rPr>
      </w:pPr>
    </w:p>
    <w:p w14:paraId="2F17FB73" w14:textId="77777777" w:rsidR="00530E7A" w:rsidRPr="00514593" w:rsidRDefault="00530E7A" w:rsidP="00530E7A">
      <w:pPr>
        <w:spacing w:line="360" w:lineRule="auto"/>
        <w:jc w:val="both"/>
        <w:rPr>
          <w:rFonts w:ascii="Palatino Linotype" w:hAnsi="Palatino Linotype"/>
          <w:sz w:val="24"/>
          <w:szCs w:val="24"/>
        </w:rPr>
      </w:pPr>
      <w:r w:rsidRPr="00514593">
        <w:rPr>
          <w:rFonts w:ascii="Palatino Linotype" w:hAnsi="Palatino Linotype"/>
          <w:sz w:val="24"/>
          <w:szCs w:val="24"/>
        </w:rPr>
        <w:t xml:space="preserve">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particulares mediante el debido Acuerdo fundado y motivado en el que </w:t>
      </w:r>
      <w:r w:rsidRPr="00514593">
        <w:rPr>
          <w:rFonts w:ascii="Palatino Linotype" w:hAnsi="Palatino Linotype"/>
          <w:sz w:val="24"/>
          <w:szCs w:val="24"/>
          <w:lang w:val="es-ES_tradnl"/>
        </w:rPr>
        <w:t>el Sujeto Obligado</w:t>
      </w:r>
      <w:r w:rsidRPr="00514593">
        <w:rPr>
          <w:rFonts w:ascii="Palatino Linotype" w:hAnsi="Palatino Linotype"/>
          <w:sz w:val="24"/>
          <w:szCs w:val="24"/>
        </w:rPr>
        <w:t xml:space="preserve"> precise las razones objetivas por las que la apertura de la información generaría una afectación, asimismo, es claro que el mismo debe aplicar de manera restrictiva y limitada las hipótesis de clasificación y no hacerlas valer de manera general. Es importante señalar que, para acreditar dichos supuestos jurídicos se debe fundar y motivar correctamente la categorización de la información.</w:t>
      </w:r>
    </w:p>
    <w:p w14:paraId="46163182" w14:textId="77777777" w:rsidR="00530E7A" w:rsidRPr="00514593" w:rsidRDefault="00530E7A" w:rsidP="00530E7A">
      <w:pPr>
        <w:spacing w:line="360" w:lineRule="auto"/>
        <w:jc w:val="both"/>
        <w:rPr>
          <w:rFonts w:ascii="Palatino Linotype" w:hAnsi="Palatino Linotype"/>
          <w:sz w:val="24"/>
          <w:szCs w:val="24"/>
        </w:rPr>
      </w:pPr>
    </w:p>
    <w:p w14:paraId="5C76340C" w14:textId="77777777" w:rsidR="00530E7A" w:rsidRPr="00514593" w:rsidRDefault="00530E7A" w:rsidP="00530E7A">
      <w:pPr>
        <w:spacing w:line="360" w:lineRule="auto"/>
        <w:jc w:val="both"/>
        <w:rPr>
          <w:rFonts w:ascii="Palatino Linotype" w:hAnsi="Palatino Linotype"/>
          <w:sz w:val="24"/>
          <w:szCs w:val="24"/>
        </w:rPr>
      </w:pPr>
      <w:r w:rsidRPr="00514593">
        <w:rPr>
          <w:rFonts w:ascii="Palatino Linotype" w:hAnsi="Palatino Linotype"/>
          <w:sz w:val="24"/>
          <w:szCs w:val="24"/>
        </w:rPr>
        <w:t>Por tanto, la fundamentación y motivación consiste en la obligación que tiene todo ente público de expresar los preceptos jurídicos aplicables al asunto motivo del acto y las razones o argumentos de su actuar. Al respecto, el máximo tribunal del país ha establecido jurisprudencia respecto a qué debe entenderse por fundamentación y motivación, en los siguientes términos:</w:t>
      </w:r>
    </w:p>
    <w:p w14:paraId="3DB798CF" w14:textId="77777777" w:rsidR="00530E7A" w:rsidRPr="00514593" w:rsidRDefault="00530E7A" w:rsidP="00530E7A">
      <w:pPr>
        <w:ind w:left="567" w:right="567"/>
        <w:jc w:val="both"/>
        <w:rPr>
          <w:rFonts w:ascii="Palatino Linotype" w:hAnsi="Palatino Linotype"/>
          <w:i/>
        </w:rPr>
      </w:pPr>
      <w:r w:rsidRPr="00514593">
        <w:rPr>
          <w:rFonts w:ascii="Palatino Linotype" w:hAnsi="Palatino Linotype"/>
          <w:b/>
          <w:i/>
        </w:rPr>
        <w:t xml:space="preserve">FUNDAMENTACIÓN Y MOTIVACIÓN. </w:t>
      </w:r>
      <w:r w:rsidRPr="00514593">
        <w:rPr>
          <w:rFonts w:ascii="Palatino Linotype" w:hAnsi="Palatino Linotype"/>
          <w:i/>
        </w:rPr>
        <w:t>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p>
    <w:p w14:paraId="476E1EFB" w14:textId="77777777" w:rsidR="001B22FA" w:rsidRPr="00514593" w:rsidRDefault="001B22FA" w:rsidP="00530E7A">
      <w:pPr>
        <w:spacing w:line="360" w:lineRule="auto"/>
        <w:jc w:val="both"/>
        <w:rPr>
          <w:rFonts w:ascii="Palatino Linotype" w:hAnsi="Palatino Linotype"/>
          <w:sz w:val="24"/>
          <w:szCs w:val="24"/>
        </w:rPr>
      </w:pPr>
    </w:p>
    <w:p w14:paraId="66A75E98" w14:textId="77777777" w:rsidR="00530E7A" w:rsidRPr="00514593" w:rsidRDefault="00530E7A" w:rsidP="00530E7A">
      <w:pPr>
        <w:spacing w:line="360" w:lineRule="auto"/>
        <w:jc w:val="both"/>
        <w:rPr>
          <w:rFonts w:ascii="Palatino Linotype" w:hAnsi="Palatino Linotype"/>
          <w:sz w:val="24"/>
          <w:szCs w:val="24"/>
        </w:rPr>
      </w:pPr>
      <w:r w:rsidRPr="00514593">
        <w:rPr>
          <w:rFonts w:ascii="Palatino Linotype" w:hAnsi="Palatino Linotype"/>
          <w:sz w:val="24"/>
          <w:szCs w:val="24"/>
        </w:rPr>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 Más aún, a través de diversa jurisprudencia dictada por el Poder Judicial de la Federación se sostiene que la finalidad de la fundamentación o motivación es la de explicar, justificar, posibilitar la defensa y comunicar la decisión de la autoridad:</w:t>
      </w:r>
    </w:p>
    <w:p w14:paraId="3DE4DE23" w14:textId="77777777" w:rsidR="00530E7A" w:rsidRPr="00514593" w:rsidRDefault="00530E7A" w:rsidP="00530E7A">
      <w:pPr>
        <w:ind w:left="567" w:right="567"/>
        <w:jc w:val="both"/>
        <w:rPr>
          <w:rFonts w:ascii="Palatino Linotype" w:hAnsi="Palatino Linotype"/>
          <w:i/>
        </w:rPr>
      </w:pPr>
      <w:r w:rsidRPr="00514593">
        <w:rPr>
          <w:rFonts w:ascii="Palatino Linotype" w:hAnsi="Palatino Linotype"/>
          <w:b/>
          <w:i/>
        </w:rPr>
        <w:t>FUNDAMENTACIÓN Y MOTIVACIÓN. EL ASPECTO FORMAL DE LA GARANTÍA Y SU FINALIDAD SE TRADUCEN EN EXPLICAR, JUSTIFICAR, POSIBILITAR LA DEFENSA Y COMUNICAR LA DECISIÓN</w:t>
      </w:r>
      <w:r w:rsidRPr="00514593">
        <w:rPr>
          <w:rFonts w:ascii="Palatino Linotype" w:hAnsi="Palatino Linotype"/>
          <w:i/>
        </w:rPr>
        <w:t>. 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14:paraId="102AB44B" w14:textId="77777777" w:rsidR="00530E7A" w:rsidRPr="00514593" w:rsidRDefault="00530E7A" w:rsidP="00530E7A">
      <w:pPr>
        <w:spacing w:line="360" w:lineRule="auto"/>
        <w:jc w:val="both"/>
        <w:rPr>
          <w:rFonts w:ascii="Palatino Linotype" w:hAnsi="Palatino Linotype"/>
          <w:sz w:val="24"/>
          <w:szCs w:val="24"/>
        </w:rPr>
      </w:pPr>
    </w:p>
    <w:p w14:paraId="515350FA" w14:textId="77777777" w:rsidR="00530E7A" w:rsidRPr="00514593" w:rsidRDefault="00530E7A" w:rsidP="00530E7A">
      <w:pPr>
        <w:spacing w:line="360" w:lineRule="auto"/>
        <w:jc w:val="both"/>
        <w:rPr>
          <w:rFonts w:ascii="Palatino Linotype" w:hAnsi="Palatino Linotype"/>
          <w:sz w:val="24"/>
          <w:szCs w:val="24"/>
        </w:rPr>
      </w:pPr>
      <w:r w:rsidRPr="00514593">
        <w:rPr>
          <w:rFonts w:ascii="Palatino Linotype" w:hAnsi="Palatino Linotype"/>
          <w:sz w:val="24"/>
          <w:szCs w:val="24"/>
        </w:rPr>
        <w:lastRenderedPageBreak/>
        <w:t>En consecuencia, la fundamentación y motivación implica que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w:t>
      </w:r>
    </w:p>
    <w:p w14:paraId="04565559" w14:textId="77777777" w:rsidR="00530E7A" w:rsidRPr="00514593" w:rsidRDefault="00530E7A" w:rsidP="00530E7A">
      <w:pPr>
        <w:spacing w:line="360" w:lineRule="auto"/>
        <w:jc w:val="both"/>
        <w:rPr>
          <w:rFonts w:ascii="Palatino Linotype" w:hAnsi="Palatino Linotype"/>
          <w:sz w:val="24"/>
          <w:szCs w:val="24"/>
        </w:rPr>
      </w:pPr>
      <w:r w:rsidRPr="00514593">
        <w:rPr>
          <w:rFonts w:ascii="Palatino Linotype" w:hAnsi="Palatino Linotype"/>
          <w:sz w:val="24"/>
          <w:szCs w:val="24"/>
        </w:rPr>
        <w:t>Por lo tanto, la entrega de documentos en su versión pública debe acompañarse necesariamente del Acuerdo del Comité de Transparencia del Sujeto Obligado</w:t>
      </w:r>
      <w:r w:rsidRPr="00514593">
        <w:rPr>
          <w:rFonts w:ascii="Palatino Linotype" w:hAnsi="Palatino Linotype"/>
          <w:b/>
          <w:sz w:val="24"/>
          <w:szCs w:val="24"/>
        </w:rPr>
        <w:t xml:space="preserve"> </w:t>
      </w:r>
      <w:r w:rsidRPr="00514593">
        <w:rPr>
          <w:rFonts w:ascii="Palatino Linotype" w:hAnsi="Palatino Linotype"/>
          <w:sz w:val="24"/>
          <w:szCs w:val="24"/>
        </w:rPr>
        <w:t>que la 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w:t>
      </w:r>
    </w:p>
    <w:p w14:paraId="7F14F897" w14:textId="77777777" w:rsidR="00530E7A" w:rsidRPr="00514593" w:rsidRDefault="00530E7A" w:rsidP="00530E7A">
      <w:pPr>
        <w:spacing w:line="360" w:lineRule="auto"/>
        <w:jc w:val="both"/>
        <w:rPr>
          <w:rFonts w:ascii="Palatino Linotype" w:hAnsi="Palatino Linotype"/>
          <w:sz w:val="24"/>
          <w:szCs w:val="24"/>
        </w:rPr>
      </w:pPr>
    </w:p>
    <w:p w14:paraId="6291C113" w14:textId="77777777" w:rsidR="00530E7A" w:rsidRPr="00514593" w:rsidRDefault="00530E7A" w:rsidP="00530E7A">
      <w:pPr>
        <w:tabs>
          <w:tab w:val="left" w:pos="709"/>
        </w:tabs>
        <w:spacing w:before="240" w:line="360" w:lineRule="auto"/>
        <w:ind w:right="51"/>
        <w:jc w:val="both"/>
        <w:rPr>
          <w:rFonts w:ascii="Palatino Linotype" w:hAnsi="Palatino Linotype"/>
          <w:sz w:val="24"/>
          <w:szCs w:val="24"/>
        </w:rPr>
      </w:pPr>
      <w:r w:rsidRPr="00514593">
        <w:rPr>
          <w:rFonts w:ascii="Palatino Linotype" w:hAnsi="Palatino Linotype"/>
          <w:iCs/>
          <w:sz w:val="24"/>
          <w:szCs w:val="24"/>
        </w:rPr>
        <w:t xml:space="preserve">En mérito de lo expuesto </w:t>
      </w:r>
      <w:r w:rsidRPr="00514593">
        <w:rPr>
          <w:rFonts w:ascii="Palatino Linotype" w:hAnsi="Palatino Linotype"/>
          <w:sz w:val="24"/>
          <w:szCs w:val="24"/>
        </w:rPr>
        <w:t xml:space="preserve">en líneas anteriores, resultan </w:t>
      </w:r>
      <w:r w:rsidRPr="00514593">
        <w:rPr>
          <w:rFonts w:ascii="Palatino Linotype" w:hAnsi="Palatino Linotype"/>
          <w:i/>
          <w:sz w:val="24"/>
          <w:szCs w:val="24"/>
        </w:rPr>
        <w:t>fundados</w:t>
      </w:r>
      <w:r w:rsidRPr="00514593">
        <w:rPr>
          <w:rFonts w:ascii="Palatino Linotype" w:hAnsi="Palatino Linotype"/>
          <w:sz w:val="24"/>
          <w:szCs w:val="24"/>
        </w:rPr>
        <w:t xml:space="preserve"> los motivos de inconformidad vertidos por </w:t>
      </w:r>
      <w:r w:rsidRPr="00514593">
        <w:rPr>
          <w:rFonts w:ascii="Palatino Linotype" w:hAnsi="Palatino Linotype"/>
          <w:b/>
          <w:sz w:val="24"/>
          <w:szCs w:val="24"/>
        </w:rPr>
        <w:t xml:space="preserve">el Recurrente, </w:t>
      </w:r>
      <w:r w:rsidRPr="00514593">
        <w:rPr>
          <w:rFonts w:ascii="Palatino Linotype" w:hAnsi="Palatino Linotype"/>
          <w:sz w:val="24"/>
          <w:szCs w:val="24"/>
        </w:rPr>
        <w:t xml:space="preserve">por ello con fundamento en la </w:t>
      </w:r>
      <w:r w:rsidRPr="00514593">
        <w:rPr>
          <w:rFonts w:ascii="Palatino Linotype" w:hAnsi="Palatino Linotype"/>
          <w:i/>
          <w:sz w:val="24"/>
          <w:szCs w:val="24"/>
        </w:rPr>
        <w:t>segunda hipótesis</w:t>
      </w:r>
      <w:r w:rsidRPr="00514593">
        <w:rPr>
          <w:rFonts w:ascii="Palatino Linotype" w:hAnsi="Palatino Linotype"/>
          <w:sz w:val="24"/>
          <w:szCs w:val="24"/>
        </w:rPr>
        <w:t xml:space="preserve"> del artículo 186 fracción III de la Ley de Transparencia y Acceso a la Información Pública del Estado de México y Municipios, se </w:t>
      </w:r>
      <w:r w:rsidRPr="00514593">
        <w:rPr>
          <w:rFonts w:ascii="Palatino Linotype" w:hAnsi="Palatino Linotype"/>
          <w:b/>
          <w:sz w:val="24"/>
          <w:szCs w:val="24"/>
        </w:rPr>
        <w:t xml:space="preserve">MODIFICA </w:t>
      </w:r>
      <w:r w:rsidRPr="00514593">
        <w:rPr>
          <w:rFonts w:ascii="Palatino Linotype" w:hAnsi="Palatino Linotype"/>
          <w:sz w:val="24"/>
          <w:szCs w:val="24"/>
        </w:rPr>
        <w:t>l</w:t>
      </w:r>
      <w:r w:rsidRPr="00514593">
        <w:rPr>
          <w:szCs w:val="24"/>
        </w:rPr>
        <w:t>a</w:t>
      </w:r>
      <w:r w:rsidRPr="00514593">
        <w:rPr>
          <w:rFonts w:ascii="Palatino Linotype" w:hAnsi="Palatino Linotype"/>
          <w:sz w:val="24"/>
          <w:szCs w:val="24"/>
        </w:rPr>
        <w:t xml:space="preserve"> respuesta a la solicitud de </w:t>
      </w:r>
      <w:r w:rsidRPr="00514593">
        <w:rPr>
          <w:rFonts w:ascii="Palatino Linotype" w:hAnsi="Palatino Linotype"/>
          <w:sz w:val="24"/>
          <w:szCs w:val="24"/>
        </w:rPr>
        <w:lastRenderedPageBreak/>
        <w:t>información</w:t>
      </w:r>
      <w:r w:rsidRPr="00514593">
        <w:rPr>
          <w:rFonts w:ascii="Verdana" w:hAnsi="Verdana"/>
          <w:b/>
          <w:bCs/>
          <w:color w:val="FF0000"/>
        </w:rPr>
        <w:t xml:space="preserve"> </w:t>
      </w:r>
      <w:r w:rsidR="003B6359" w:rsidRPr="00514593">
        <w:rPr>
          <w:rFonts w:ascii="Palatino Linotype" w:hAnsi="Palatino Linotype"/>
          <w:b/>
          <w:bCs/>
          <w:sz w:val="24"/>
          <w:szCs w:val="24"/>
        </w:rPr>
        <w:t>00416/ISEM/IP/2025</w:t>
      </w:r>
      <w:r w:rsidR="003B6359" w:rsidRPr="00514593">
        <w:rPr>
          <w:rFonts w:ascii="Palatino Linotype" w:eastAsia="Times New Roman" w:hAnsi="Palatino Linotype" w:cs="Palatino Linotype"/>
          <w:sz w:val="24"/>
          <w:szCs w:val="24"/>
          <w:lang w:val="es-ES_tradnl" w:eastAsia="es-MX"/>
        </w:rPr>
        <w:t xml:space="preserve"> y </w:t>
      </w:r>
      <w:r w:rsidR="003B6359" w:rsidRPr="00514593">
        <w:rPr>
          <w:rFonts w:ascii="Palatino Linotype" w:hAnsi="Palatino Linotype"/>
          <w:b/>
          <w:bCs/>
          <w:sz w:val="24"/>
          <w:szCs w:val="24"/>
        </w:rPr>
        <w:t xml:space="preserve">00417/ISEM/IP/2025 </w:t>
      </w:r>
      <w:r w:rsidRPr="00514593">
        <w:rPr>
          <w:rFonts w:ascii="Palatino Linotype" w:hAnsi="Palatino Linotype"/>
          <w:b/>
          <w:bCs/>
        </w:rPr>
        <w:t>que</w:t>
      </w:r>
      <w:r w:rsidRPr="00514593">
        <w:rPr>
          <w:rFonts w:ascii="Verdana" w:hAnsi="Verdana"/>
          <w:b/>
          <w:bCs/>
        </w:rPr>
        <w:t xml:space="preserve"> </w:t>
      </w:r>
      <w:r w:rsidRPr="00514593">
        <w:rPr>
          <w:rFonts w:ascii="Palatino Linotype" w:hAnsi="Palatino Linotype"/>
          <w:sz w:val="24"/>
          <w:szCs w:val="24"/>
        </w:rPr>
        <w:t>ha</w:t>
      </w:r>
      <w:r w:rsidR="003B6359" w:rsidRPr="00514593">
        <w:rPr>
          <w:rFonts w:ascii="Palatino Linotype" w:hAnsi="Palatino Linotype"/>
          <w:sz w:val="24"/>
          <w:szCs w:val="24"/>
        </w:rPr>
        <w:t>n</w:t>
      </w:r>
      <w:r w:rsidRPr="00514593">
        <w:rPr>
          <w:rFonts w:ascii="Palatino Linotype" w:hAnsi="Palatino Linotype"/>
          <w:sz w:val="24"/>
          <w:szCs w:val="24"/>
        </w:rPr>
        <w:t xml:space="preserve"> sido materia del presente fallo. </w:t>
      </w:r>
    </w:p>
    <w:p w14:paraId="0CA8D870" w14:textId="77777777" w:rsidR="00530E7A" w:rsidRPr="00514593" w:rsidRDefault="00530E7A" w:rsidP="00530E7A">
      <w:pPr>
        <w:pStyle w:val="Prrafodelista"/>
        <w:spacing w:before="240" w:after="240"/>
        <w:ind w:left="0"/>
      </w:pPr>
      <w:r w:rsidRPr="00514593">
        <w:t xml:space="preserve">Por lo antes expuesto y fundado es de resolverse y, </w:t>
      </w:r>
    </w:p>
    <w:p w14:paraId="4483EEB2" w14:textId="77777777" w:rsidR="00530E7A" w:rsidRPr="00514593" w:rsidRDefault="00530E7A" w:rsidP="00530E7A">
      <w:pPr>
        <w:spacing w:before="240" w:line="360" w:lineRule="auto"/>
        <w:jc w:val="center"/>
        <w:rPr>
          <w:rFonts w:ascii="Palatino Linotype" w:eastAsia="Times New Roman" w:hAnsi="Palatino Linotype"/>
          <w:b/>
          <w:bCs/>
          <w:spacing w:val="60"/>
          <w:sz w:val="28"/>
          <w:szCs w:val="28"/>
          <w:lang w:val="es-ES_tradnl"/>
        </w:rPr>
      </w:pPr>
      <w:r w:rsidRPr="00514593">
        <w:rPr>
          <w:rFonts w:ascii="Palatino Linotype" w:eastAsia="Times New Roman" w:hAnsi="Palatino Linotype"/>
          <w:b/>
          <w:bCs/>
          <w:spacing w:val="60"/>
          <w:sz w:val="28"/>
          <w:szCs w:val="28"/>
          <w:lang w:val="es-ES_tradnl"/>
        </w:rPr>
        <w:t>SE    RESUELVE</w:t>
      </w:r>
    </w:p>
    <w:p w14:paraId="1468EA60" w14:textId="77777777" w:rsidR="00530E7A" w:rsidRPr="00514593" w:rsidRDefault="00530E7A" w:rsidP="00530E7A">
      <w:pPr>
        <w:spacing w:before="240" w:line="360" w:lineRule="auto"/>
        <w:jc w:val="center"/>
        <w:rPr>
          <w:rFonts w:ascii="Palatino Linotype" w:eastAsia="Times New Roman" w:hAnsi="Palatino Linotype"/>
          <w:b/>
          <w:bCs/>
          <w:spacing w:val="60"/>
          <w:sz w:val="28"/>
          <w:szCs w:val="28"/>
          <w:lang w:val="es-ES_tradnl"/>
        </w:rPr>
      </w:pPr>
    </w:p>
    <w:p w14:paraId="17F411D6" w14:textId="77777777" w:rsidR="00530E7A" w:rsidRPr="00514593" w:rsidRDefault="00530E7A" w:rsidP="00530E7A">
      <w:pPr>
        <w:spacing w:before="240" w:line="360" w:lineRule="auto"/>
        <w:jc w:val="both"/>
        <w:rPr>
          <w:rFonts w:ascii="Palatino Linotype" w:hAnsi="Palatino Linotype" w:cs="Arial"/>
          <w:sz w:val="24"/>
        </w:rPr>
      </w:pPr>
      <w:r w:rsidRPr="00514593">
        <w:rPr>
          <w:rFonts w:ascii="Palatino Linotype" w:hAnsi="Palatino Linotype" w:cs="Arial"/>
          <w:b/>
          <w:sz w:val="24"/>
          <w:szCs w:val="24"/>
          <w:lang w:val="es-ES_tradnl"/>
        </w:rPr>
        <w:t>PRIMERO.</w:t>
      </w:r>
      <w:r w:rsidRPr="00514593">
        <w:rPr>
          <w:rFonts w:ascii="Palatino Linotype" w:hAnsi="Palatino Linotype" w:cs="Arial"/>
          <w:sz w:val="24"/>
          <w:szCs w:val="24"/>
          <w:lang w:val="es-ES_tradnl"/>
        </w:rPr>
        <w:t xml:space="preserve"> </w:t>
      </w:r>
      <w:r w:rsidRPr="00514593">
        <w:rPr>
          <w:rFonts w:ascii="Palatino Linotype" w:hAnsi="Palatino Linotype" w:cs="Arial"/>
          <w:sz w:val="24"/>
          <w:szCs w:val="24"/>
        </w:rPr>
        <w:t xml:space="preserve">Se </w:t>
      </w:r>
      <w:r w:rsidRPr="00514593">
        <w:rPr>
          <w:rFonts w:ascii="Palatino Linotype" w:hAnsi="Palatino Linotype" w:cs="Arial"/>
          <w:b/>
          <w:sz w:val="24"/>
          <w:szCs w:val="24"/>
        </w:rPr>
        <w:t xml:space="preserve">MODIFICA </w:t>
      </w:r>
      <w:r w:rsidRPr="00514593">
        <w:rPr>
          <w:rFonts w:ascii="Palatino Linotype" w:hAnsi="Palatino Linotype" w:cs="Arial"/>
          <w:sz w:val="24"/>
          <w:szCs w:val="24"/>
        </w:rPr>
        <w:t xml:space="preserve">la respuesta entregada por </w:t>
      </w:r>
      <w:r w:rsidRPr="00514593">
        <w:rPr>
          <w:rFonts w:ascii="Palatino Linotype" w:hAnsi="Palatino Linotype" w:cs="Arial"/>
          <w:b/>
          <w:sz w:val="24"/>
          <w:szCs w:val="24"/>
        </w:rPr>
        <w:t xml:space="preserve">EL SUJETO OBLIGADO, </w:t>
      </w:r>
      <w:r w:rsidRPr="00514593">
        <w:rPr>
          <w:rFonts w:ascii="Palatino Linotype" w:hAnsi="Palatino Linotype" w:cs="Arial"/>
          <w:sz w:val="24"/>
          <w:szCs w:val="24"/>
        </w:rPr>
        <w:t>a la solicitud de información</w:t>
      </w:r>
      <w:r w:rsidRPr="00514593">
        <w:rPr>
          <w:rFonts w:cs="Arial"/>
          <w:szCs w:val="24"/>
        </w:rPr>
        <w:t xml:space="preserve"> con</w:t>
      </w:r>
      <w:r w:rsidRPr="00514593">
        <w:rPr>
          <w:rFonts w:ascii="Palatino Linotype" w:hAnsi="Palatino Linotype" w:cs="Arial"/>
          <w:sz w:val="24"/>
          <w:szCs w:val="24"/>
        </w:rPr>
        <w:t xml:space="preserve"> número </w:t>
      </w:r>
      <w:r w:rsidR="003B6359" w:rsidRPr="00514593">
        <w:rPr>
          <w:rFonts w:ascii="Palatino Linotype" w:hAnsi="Palatino Linotype"/>
          <w:b/>
          <w:bCs/>
          <w:sz w:val="24"/>
          <w:szCs w:val="24"/>
        </w:rPr>
        <w:t>00416/ISEM/IP/2025</w:t>
      </w:r>
      <w:r w:rsidR="003B6359" w:rsidRPr="00514593">
        <w:rPr>
          <w:rFonts w:ascii="Palatino Linotype" w:eastAsia="Times New Roman" w:hAnsi="Palatino Linotype" w:cs="Palatino Linotype"/>
          <w:sz w:val="24"/>
          <w:szCs w:val="24"/>
          <w:lang w:val="es-ES_tradnl" w:eastAsia="es-MX"/>
        </w:rPr>
        <w:t xml:space="preserve"> y </w:t>
      </w:r>
      <w:r w:rsidR="003B6359" w:rsidRPr="00514593">
        <w:rPr>
          <w:rFonts w:ascii="Palatino Linotype" w:hAnsi="Palatino Linotype"/>
          <w:b/>
          <w:bCs/>
          <w:sz w:val="24"/>
          <w:szCs w:val="24"/>
        </w:rPr>
        <w:t xml:space="preserve">00417/ISEM/IP/2025 </w:t>
      </w:r>
      <w:r w:rsidRPr="00514593">
        <w:rPr>
          <w:rFonts w:ascii="Palatino Linotype" w:hAnsi="Palatino Linotype" w:cs="Arial"/>
          <w:sz w:val="24"/>
        </w:rPr>
        <w:t xml:space="preserve">por resultar fundados los motivos de inconformidad que arguye </w:t>
      </w:r>
      <w:r w:rsidRPr="00514593">
        <w:rPr>
          <w:rFonts w:ascii="Palatino Linotype" w:hAnsi="Palatino Linotype" w:cs="Arial"/>
          <w:b/>
          <w:sz w:val="24"/>
        </w:rPr>
        <w:t xml:space="preserve">EL RECURRENTE, </w:t>
      </w:r>
      <w:r w:rsidRPr="00514593">
        <w:rPr>
          <w:rFonts w:ascii="Palatino Linotype" w:hAnsi="Palatino Linotype" w:cs="Arial"/>
          <w:sz w:val="24"/>
        </w:rPr>
        <w:t xml:space="preserve">en términos del </w:t>
      </w:r>
      <w:r w:rsidRPr="00514593">
        <w:rPr>
          <w:rFonts w:ascii="Palatino Linotype" w:hAnsi="Palatino Linotype" w:cs="Arial"/>
          <w:b/>
          <w:sz w:val="24"/>
        </w:rPr>
        <w:t xml:space="preserve">Considerando QUINTO </w:t>
      </w:r>
      <w:r w:rsidRPr="00514593">
        <w:rPr>
          <w:rFonts w:ascii="Palatino Linotype" w:hAnsi="Palatino Linotype" w:cs="Arial"/>
          <w:sz w:val="24"/>
        </w:rPr>
        <w:t xml:space="preserve">de la presente resolución. </w:t>
      </w:r>
    </w:p>
    <w:p w14:paraId="095CF19F" w14:textId="77777777" w:rsidR="00530E7A" w:rsidRPr="00514593" w:rsidRDefault="00530E7A" w:rsidP="00530E7A">
      <w:pPr>
        <w:spacing w:before="240" w:line="360" w:lineRule="auto"/>
        <w:jc w:val="both"/>
        <w:rPr>
          <w:rFonts w:ascii="Palatino Linotype" w:hAnsi="Palatino Linotype" w:cs="Arial"/>
          <w:sz w:val="24"/>
        </w:rPr>
      </w:pPr>
    </w:p>
    <w:p w14:paraId="4DAE210D" w14:textId="77777777" w:rsidR="00530E7A" w:rsidRPr="00514593" w:rsidRDefault="00530E7A" w:rsidP="00530E7A">
      <w:pPr>
        <w:spacing w:line="360" w:lineRule="auto"/>
        <w:jc w:val="both"/>
        <w:rPr>
          <w:rFonts w:ascii="Palatino Linotype" w:hAnsi="Palatino Linotype" w:cs="Arial"/>
          <w:sz w:val="24"/>
          <w:szCs w:val="24"/>
        </w:rPr>
      </w:pPr>
      <w:r w:rsidRPr="00514593">
        <w:rPr>
          <w:rFonts w:ascii="Palatino Linotype" w:hAnsi="Palatino Linotype" w:cs="Arial"/>
          <w:b/>
          <w:sz w:val="24"/>
          <w:szCs w:val="24"/>
          <w:lang w:val="es-ES_tradnl"/>
        </w:rPr>
        <w:t>SEGUNDO.</w:t>
      </w:r>
      <w:r w:rsidRPr="00514593">
        <w:rPr>
          <w:rFonts w:ascii="Palatino Linotype" w:hAnsi="Palatino Linotype" w:cs="Arial"/>
          <w:sz w:val="24"/>
          <w:szCs w:val="24"/>
        </w:rPr>
        <w:t xml:space="preserve"> Se </w:t>
      </w:r>
      <w:r w:rsidRPr="00514593">
        <w:rPr>
          <w:rFonts w:ascii="Palatino Linotype" w:hAnsi="Palatino Linotype" w:cs="Arial"/>
          <w:b/>
          <w:sz w:val="24"/>
          <w:szCs w:val="24"/>
        </w:rPr>
        <w:t>ORDENA</w:t>
      </w:r>
      <w:r w:rsidRPr="00514593">
        <w:rPr>
          <w:rFonts w:ascii="Palatino Linotype" w:hAnsi="Palatino Linotype" w:cs="Arial"/>
          <w:sz w:val="24"/>
          <w:szCs w:val="24"/>
        </w:rPr>
        <w:t xml:space="preserve"> al </w:t>
      </w:r>
      <w:r w:rsidRPr="00514593">
        <w:rPr>
          <w:rFonts w:ascii="Palatino Linotype" w:hAnsi="Palatino Linotype" w:cs="Arial"/>
          <w:b/>
          <w:sz w:val="24"/>
          <w:szCs w:val="24"/>
        </w:rPr>
        <w:t>SUJETO OBLIGADO</w:t>
      </w:r>
      <w:r w:rsidRPr="00514593">
        <w:rPr>
          <w:rFonts w:ascii="Palatino Linotype" w:hAnsi="Palatino Linotype" w:cs="Arial"/>
          <w:sz w:val="24"/>
          <w:szCs w:val="24"/>
        </w:rPr>
        <w:t xml:space="preserve"> haga entrega al</w:t>
      </w:r>
      <w:r w:rsidRPr="00514593">
        <w:rPr>
          <w:rFonts w:ascii="Palatino Linotype" w:hAnsi="Palatino Linotype" w:cs="Arial"/>
          <w:b/>
          <w:sz w:val="24"/>
          <w:szCs w:val="24"/>
        </w:rPr>
        <w:t xml:space="preserve"> RECURRENTE </w:t>
      </w:r>
      <w:r w:rsidRPr="00514593">
        <w:rPr>
          <w:rFonts w:ascii="Palatino Linotype" w:hAnsi="Palatino Linotype" w:cs="Arial"/>
          <w:sz w:val="24"/>
          <w:szCs w:val="24"/>
        </w:rPr>
        <w:t xml:space="preserve">en términos del Considerando </w:t>
      </w:r>
      <w:r w:rsidRPr="00514593">
        <w:rPr>
          <w:rFonts w:ascii="Palatino Linotype" w:hAnsi="Palatino Linotype" w:cs="Arial"/>
          <w:b/>
          <w:sz w:val="24"/>
          <w:szCs w:val="24"/>
        </w:rPr>
        <w:t xml:space="preserve">QUINTO </w:t>
      </w:r>
      <w:r w:rsidRPr="00514593">
        <w:rPr>
          <w:rFonts w:ascii="Palatino Linotype" w:hAnsi="Palatino Linotype" w:cs="Arial"/>
          <w:sz w:val="24"/>
          <w:szCs w:val="24"/>
        </w:rPr>
        <w:t>de esta resolución</w:t>
      </w:r>
      <w:r w:rsidRPr="00514593">
        <w:rPr>
          <w:rFonts w:ascii="Palatino Linotype" w:hAnsi="Palatino Linotype" w:cs="Arial"/>
          <w:b/>
          <w:sz w:val="24"/>
          <w:szCs w:val="24"/>
        </w:rPr>
        <w:t xml:space="preserve">, </w:t>
      </w:r>
      <w:r w:rsidRPr="00514593">
        <w:rPr>
          <w:rFonts w:ascii="Palatino Linotype" w:hAnsi="Palatino Linotype" w:cs="Arial"/>
          <w:sz w:val="24"/>
          <w:szCs w:val="24"/>
        </w:rPr>
        <w:t xml:space="preserve">a través del Sistema de Acceso a la Información Mexiquense </w:t>
      </w:r>
      <w:r w:rsidRPr="00514593">
        <w:rPr>
          <w:rFonts w:ascii="Palatino Linotype" w:hAnsi="Palatino Linotype" w:cs="Arial"/>
          <w:b/>
          <w:sz w:val="24"/>
          <w:szCs w:val="24"/>
        </w:rPr>
        <w:t xml:space="preserve">(SAIMEX), </w:t>
      </w:r>
      <w:r w:rsidRPr="00514593">
        <w:rPr>
          <w:rFonts w:ascii="Palatino Linotype" w:hAnsi="Palatino Linotype"/>
          <w:color w:val="000000"/>
          <w:sz w:val="24"/>
          <w:szCs w:val="24"/>
        </w:rPr>
        <w:t xml:space="preserve">de la servidora pública referida en solicitud </w:t>
      </w:r>
      <w:r w:rsidR="00CA24B2" w:rsidRPr="00514593">
        <w:rPr>
          <w:rFonts w:ascii="Palatino Linotype" w:hAnsi="Palatino Linotype"/>
          <w:color w:val="000000"/>
          <w:sz w:val="24"/>
          <w:szCs w:val="24"/>
        </w:rPr>
        <w:t xml:space="preserve">al cuatro de agosto de dos mil veinticinco </w:t>
      </w:r>
      <w:r w:rsidRPr="00514593">
        <w:rPr>
          <w:rFonts w:ascii="Palatino Linotype" w:hAnsi="Palatino Linotype"/>
          <w:color w:val="000000"/>
          <w:sz w:val="24"/>
          <w:szCs w:val="24"/>
        </w:rPr>
        <w:t xml:space="preserve">de ser procedente en versión pública </w:t>
      </w:r>
      <w:r w:rsidRPr="00514593">
        <w:rPr>
          <w:rFonts w:ascii="Palatino Linotype" w:hAnsi="Palatino Linotype" w:cs="Arial"/>
          <w:sz w:val="24"/>
          <w:szCs w:val="24"/>
        </w:rPr>
        <w:t xml:space="preserve">lo siguiente: </w:t>
      </w:r>
    </w:p>
    <w:p w14:paraId="2C36C3B8" w14:textId="77777777" w:rsidR="009C5BF0" w:rsidRPr="00514593" w:rsidRDefault="009C5BF0" w:rsidP="009C5BF0">
      <w:pPr>
        <w:pStyle w:val="Prrafodelista"/>
        <w:numPr>
          <w:ilvl w:val="0"/>
          <w:numId w:val="42"/>
        </w:numPr>
        <w:contextualSpacing/>
        <w:rPr>
          <w:color w:val="000000"/>
        </w:rPr>
      </w:pPr>
      <w:r w:rsidRPr="00514593">
        <w:rPr>
          <w:color w:val="000000"/>
        </w:rPr>
        <w:t>Soporte documental que dé cuenta de la presentación formal</w:t>
      </w:r>
      <w:r w:rsidR="001B22FA" w:rsidRPr="00514593">
        <w:rPr>
          <w:color w:val="000000"/>
        </w:rPr>
        <w:t xml:space="preserve"> ante autoridades del Instituto de Salud del Estado de México y/o en la Secretaria de Salud del Estado de México, en representación de trabajadores.</w:t>
      </w:r>
    </w:p>
    <w:p w14:paraId="4BFF3512" w14:textId="77777777" w:rsidR="009C5BF0" w:rsidRPr="00514593" w:rsidRDefault="009C5BF0" w:rsidP="009C5BF0">
      <w:pPr>
        <w:pStyle w:val="Prrafodelista"/>
        <w:ind w:left="1080"/>
        <w:contextualSpacing/>
        <w:rPr>
          <w:color w:val="000000"/>
        </w:rPr>
      </w:pPr>
    </w:p>
    <w:p w14:paraId="18A3DB78" w14:textId="77777777" w:rsidR="001B22FA" w:rsidRPr="00514593" w:rsidRDefault="009C5BF0" w:rsidP="00462C23">
      <w:pPr>
        <w:pStyle w:val="Prrafodelista"/>
        <w:numPr>
          <w:ilvl w:val="0"/>
          <w:numId w:val="42"/>
        </w:numPr>
        <w:contextualSpacing/>
        <w:rPr>
          <w:color w:val="000000"/>
        </w:rPr>
      </w:pPr>
      <w:r w:rsidRPr="00514593">
        <w:rPr>
          <w:color w:val="000000"/>
        </w:rPr>
        <w:lastRenderedPageBreak/>
        <w:t xml:space="preserve">Soporte documental que dé cuenta de </w:t>
      </w:r>
      <w:r w:rsidR="001B22FA" w:rsidRPr="00514593">
        <w:rPr>
          <w:color w:val="000000"/>
        </w:rPr>
        <w:t>los días, horas y lugares en los que ha sostenido reuniones de trabajo con personal del Instituto de Salud del Estado de México y/o la Secretaría de Salud del Estado d</w:t>
      </w:r>
      <w:r w:rsidRPr="00514593">
        <w:rPr>
          <w:color w:val="000000"/>
        </w:rPr>
        <w:t>e México</w:t>
      </w:r>
    </w:p>
    <w:p w14:paraId="61273B98" w14:textId="77777777" w:rsidR="009C5BF0" w:rsidRPr="00514593" w:rsidRDefault="009C5BF0" w:rsidP="009C5BF0">
      <w:pPr>
        <w:pStyle w:val="Prrafodelista"/>
        <w:rPr>
          <w:color w:val="000000"/>
        </w:rPr>
      </w:pPr>
    </w:p>
    <w:p w14:paraId="39262E7B" w14:textId="77777777" w:rsidR="009C5BF0" w:rsidRPr="00514593" w:rsidRDefault="009C5BF0" w:rsidP="009C5BF0">
      <w:pPr>
        <w:pStyle w:val="Prrafodelista"/>
        <w:numPr>
          <w:ilvl w:val="0"/>
          <w:numId w:val="42"/>
        </w:numPr>
        <w:contextualSpacing/>
        <w:rPr>
          <w:color w:val="000000"/>
        </w:rPr>
      </w:pPr>
      <w:r w:rsidRPr="00514593">
        <w:rPr>
          <w:color w:val="000000"/>
        </w:rPr>
        <w:t xml:space="preserve">Soporte documental que dé cuenta de </w:t>
      </w:r>
      <w:r w:rsidR="001B22FA" w:rsidRPr="00514593">
        <w:rPr>
          <w:color w:val="000000"/>
        </w:rPr>
        <w:t xml:space="preserve">las minutas, actas o documentos similares que acrediten la participación en reuniones oficiales de trabajo con personal del Instituto de Salud del Estado de México y/o en la Secretaría de Salud del Estado </w:t>
      </w:r>
      <w:r w:rsidRPr="00514593">
        <w:rPr>
          <w:color w:val="000000"/>
        </w:rPr>
        <w:t>de México.</w:t>
      </w:r>
    </w:p>
    <w:p w14:paraId="08D1EC9E" w14:textId="77777777" w:rsidR="009C5BF0" w:rsidRPr="00514593" w:rsidRDefault="009C5BF0" w:rsidP="009C5BF0">
      <w:pPr>
        <w:pStyle w:val="Prrafodelista"/>
        <w:rPr>
          <w:color w:val="000000"/>
        </w:rPr>
      </w:pPr>
    </w:p>
    <w:p w14:paraId="786F2B42" w14:textId="77777777" w:rsidR="00BF788D" w:rsidRPr="00514593" w:rsidRDefault="009C5BF0" w:rsidP="00BF788D">
      <w:pPr>
        <w:pStyle w:val="Prrafodelista"/>
        <w:numPr>
          <w:ilvl w:val="0"/>
          <w:numId w:val="42"/>
        </w:numPr>
        <w:contextualSpacing/>
        <w:rPr>
          <w:color w:val="000000"/>
        </w:rPr>
      </w:pPr>
      <w:r w:rsidRPr="00514593">
        <w:rPr>
          <w:color w:val="000000"/>
        </w:rPr>
        <w:t xml:space="preserve">Soporte documental que dé cuenta </w:t>
      </w:r>
      <w:r w:rsidR="001B22FA" w:rsidRPr="00514593">
        <w:rPr>
          <w:color w:val="000000"/>
        </w:rPr>
        <w:t>del expediente laboral</w:t>
      </w:r>
      <w:r w:rsidR="00BF788D" w:rsidRPr="00514593">
        <w:rPr>
          <w:color w:val="000000"/>
        </w:rPr>
        <w:t xml:space="preserve"> en el que se advierta</w:t>
      </w:r>
      <w:r w:rsidR="001B22FA" w:rsidRPr="00514593">
        <w:rPr>
          <w:color w:val="000000"/>
        </w:rPr>
        <w:t xml:space="preserve"> </w:t>
      </w:r>
      <w:r w:rsidR="00BF788D" w:rsidRPr="00514593">
        <w:rPr>
          <w:color w:val="000000"/>
        </w:rPr>
        <w:t>el nombramiento, contrato</w:t>
      </w:r>
      <w:r w:rsidR="001B22FA" w:rsidRPr="00514593">
        <w:rPr>
          <w:color w:val="000000"/>
        </w:rPr>
        <w:t xml:space="preserve">, adscripción, licencias, permisos, </w:t>
      </w:r>
      <w:r w:rsidR="00BF788D" w:rsidRPr="00514593">
        <w:rPr>
          <w:color w:val="000000"/>
        </w:rPr>
        <w:t>cambios de unidad y evaluaciones</w:t>
      </w:r>
      <w:r w:rsidR="001B22FA" w:rsidRPr="00514593">
        <w:rPr>
          <w:color w:val="000000"/>
        </w:rPr>
        <w:t xml:space="preserve">. </w:t>
      </w:r>
    </w:p>
    <w:p w14:paraId="5BDB7637" w14:textId="77777777" w:rsidR="00BF788D" w:rsidRPr="00514593" w:rsidRDefault="00BF788D" w:rsidP="00BF788D">
      <w:pPr>
        <w:pStyle w:val="Prrafodelista"/>
        <w:rPr>
          <w:color w:val="000000"/>
        </w:rPr>
      </w:pPr>
    </w:p>
    <w:p w14:paraId="0D5303E9" w14:textId="77777777" w:rsidR="00BF788D" w:rsidRPr="00514593" w:rsidRDefault="00BC3E77" w:rsidP="00462C23">
      <w:pPr>
        <w:pStyle w:val="Prrafodelista"/>
        <w:numPr>
          <w:ilvl w:val="0"/>
          <w:numId w:val="42"/>
        </w:numPr>
        <w:contextualSpacing/>
        <w:rPr>
          <w:color w:val="000000"/>
        </w:rPr>
      </w:pPr>
      <w:r w:rsidRPr="00514593">
        <w:rPr>
          <w:rFonts w:cs="Arial"/>
        </w:rPr>
        <w:t>A</w:t>
      </w:r>
      <w:r w:rsidRPr="00514593">
        <w:rPr>
          <w:rFonts w:eastAsia="Palatino Linotype" w:cs="Palatino Linotype"/>
        </w:rPr>
        <w:t xml:space="preserve">cuerdo por medio del cual el Comité de Transparencia, </w:t>
      </w:r>
      <w:r w:rsidRPr="00514593">
        <w:rPr>
          <w:rFonts w:eastAsia="Palatino Linotype" w:cs="Palatino Linotype"/>
          <w:u w:val="single"/>
        </w:rPr>
        <w:t>clasifique como confidencial el pronunciamiento en sentido afirmativo o negativo</w:t>
      </w:r>
      <w:r w:rsidRPr="00514593">
        <w:rPr>
          <w:rFonts w:eastAsia="Palatino Linotype" w:cs="Palatino Linotype"/>
        </w:rPr>
        <w:t xml:space="preserve"> en términos de los artículos 49 fracción II, 132 fracción II, 143 fracción I y 149 de la Ley de Transparencia y Acceso a la Información Pública del Estado de México y Municipios; respecto de la existencia o no de procedimientos administrativos en contra de</w:t>
      </w:r>
      <w:r w:rsidR="00462C23" w:rsidRPr="00514593">
        <w:rPr>
          <w:rFonts w:eastAsia="Palatino Linotype" w:cs="Palatino Linotype"/>
        </w:rPr>
        <w:t xml:space="preserve"> </w:t>
      </w:r>
      <w:r w:rsidRPr="00514593">
        <w:rPr>
          <w:rFonts w:eastAsia="Palatino Linotype" w:cs="Palatino Linotype"/>
        </w:rPr>
        <w:t>l</w:t>
      </w:r>
      <w:r w:rsidR="00462C23" w:rsidRPr="00514593">
        <w:rPr>
          <w:rFonts w:eastAsia="Palatino Linotype" w:cs="Palatino Linotype"/>
        </w:rPr>
        <w:t>a</w:t>
      </w:r>
      <w:r w:rsidRPr="00514593">
        <w:rPr>
          <w:rFonts w:eastAsia="Palatino Linotype" w:cs="Palatino Linotype"/>
        </w:rPr>
        <w:t xml:space="preserve"> servidor</w:t>
      </w:r>
      <w:r w:rsidR="00462C23" w:rsidRPr="00514593">
        <w:rPr>
          <w:rFonts w:eastAsia="Palatino Linotype" w:cs="Palatino Linotype"/>
        </w:rPr>
        <w:t>a</w:t>
      </w:r>
      <w:r w:rsidR="00212839" w:rsidRPr="00514593">
        <w:rPr>
          <w:rFonts w:eastAsia="Palatino Linotype" w:cs="Palatino Linotype"/>
        </w:rPr>
        <w:t xml:space="preserve"> pública referida</w:t>
      </w:r>
      <w:r w:rsidRPr="00514593">
        <w:rPr>
          <w:rFonts w:eastAsia="Palatino Linotype" w:cs="Palatino Linotype"/>
        </w:rPr>
        <w:t xml:space="preserve"> en la solicitud de información, que se encuentre en trámite o concluidos en donde se determinó que </w:t>
      </w:r>
      <w:r w:rsidRPr="00514593">
        <w:rPr>
          <w:rFonts w:eastAsia="Palatino Linotype" w:cs="Palatino Linotype"/>
          <w:b/>
        </w:rPr>
        <w:t>no existió</w:t>
      </w:r>
      <w:r w:rsidRPr="00514593">
        <w:rPr>
          <w:rFonts w:eastAsia="Palatino Linotype" w:cs="Palatino Linotype"/>
        </w:rPr>
        <w:t xml:space="preserve"> </w:t>
      </w:r>
      <w:r w:rsidRPr="00514593">
        <w:rPr>
          <w:rFonts w:eastAsia="Palatino Linotype" w:cs="Palatino Linotype"/>
          <w:b/>
        </w:rPr>
        <w:t>responsabilidad administrativa</w:t>
      </w:r>
      <w:r w:rsidRPr="00514593">
        <w:rPr>
          <w:rFonts w:eastAsia="Palatino Linotype" w:cs="Palatino Linotype"/>
        </w:rPr>
        <w:t xml:space="preserve"> y aquellos </w:t>
      </w:r>
      <w:r w:rsidRPr="00514593">
        <w:rPr>
          <w:rFonts w:eastAsia="Palatino Linotype" w:cs="Palatino Linotype"/>
          <w:b/>
        </w:rPr>
        <w:t>concluidos con sanción por falta administrativa no grave</w:t>
      </w:r>
      <w:r w:rsidRPr="00514593">
        <w:rPr>
          <w:rFonts w:eastAsia="Palatino Linotype" w:cs="Palatino Linotype"/>
        </w:rPr>
        <w:t xml:space="preserve"> al </w:t>
      </w:r>
      <w:r w:rsidR="00462C23" w:rsidRPr="00514593">
        <w:rPr>
          <w:rFonts w:eastAsia="Palatino Linotype" w:cs="Palatino Linotype"/>
        </w:rPr>
        <w:t>cuatro de agosto de dos mil veinticinco</w:t>
      </w:r>
      <w:r w:rsidR="00763F28" w:rsidRPr="00514593">
        <w:rPr>
          <w:color w:val="000000"/>
        </w:rPr>
        <w:t>.</w:t>
      </w:r>
    </w:p>
    <w:p w14:paraId="44C9B2A6" w14:textId="77777777" w:rsidR="00763F28" w:rsidRPr="00514593" w:rsidRDefault="00763F28" w:rsidP="00763F28">
      <w:pPr>
        <w:contextualSpacing/>
        <w:rPr>
          <w:color w:val="000000"/>
        </w:rPr>
      </w:pPr>
    </w:p>
    <w:p w14:paraId="08D75C34" w14:textId="77777777" w:rsidR="00530E7A" w:rsidRPr="00514593" w:rsidRDefault="00BF788D" w:rsidP="00BF788D">
      <w:pPr>
        <w:pStyle w:val="Prrafodelista"/>
        <w:numPr>
          <w:ilvl w:val="0"/>
          <w:numId w:val="42"/>
        </w:numPr>
        <w:contextualSpacing/>
        <w:rPr>
          <w:color w:val="000000"/>
        </w:rPr>
      </w:pPr>
      <w:r w:rsidRPr="00514593">
        <w:rPr>
          <w:color w:val="000000"/>
        </w:rPr>
        <w:lastRenderedPageBreak/>
        <w:t>Soporte documental que dé cuenta de la</w:t>
      </w:r>
      <w:r w:rsidR="001B22FA" w:rsidRPr="00514593">
        <w:rPr>
          <w:color w:val="000000"/>
        </w:rPr>
        <w:t xml:space="preserve"> nota expedida por la autoridad laboral correspondiente, en la que se designe como representante sindical del SNTSA o de cualquier otra organización gremial.</w:t>
      </w:r>
    </w:p>
    <w:p w14:paraId="48F8FED2" w14:textId="77777777" w:rsidR="00BF788D" w:rsidRPr="00514593" w:rsidRDefault="00BF788D" w:rsidP="00BF788D">
      <w:pPr>
        <w:pStyle w:val="Prrafodelista"/>
        <w:rPr>
          <w:color w:val="000000"/>
        </w:rPr>
      </w:pPr>
    </w:p>
    <w:p w14:paraId="1354A684" w14:textId="77777777" w:rsidR="00BF788D" w:rsidRPr="00514593" w:rsidRDefault="00BF788D" w:rsidP="00BF788D">
      <w:pPr>
        <w:pStyle w:val="Prrafodelista"/>
        <w:numPr>
          <w:ilvl w:val="0"/>
          <w:numId w:val="42"/>
        </w:numPr>
        <w:contextualSpacing/>
        <w:rPr>
          <w:color w:val="000000"/>
        </w:rPr>
      </w:pPr>
      <w:r w:rsidRPr="00514593">
        <w:rPr>
          <w:color w:val="000000"/>
        </w:rPr>
        <w:t xml:space="preserve">Soporte documental que dé cuenta de las contrataciones que haya tenido en el ISEM desde del primero de enero </w:t>
      </w:r>
      <w:r w:rsidR="00CE675E" w:rsidRPr="00514593">
        <w:rPr>
          <w:color w:val="000000"/>
        </w:rPr>
        <w:t xml:space="preserve">de dos mil doce </w:t>
      </w:r>
      <w:r w:rsidRPr="00514593">
        <w:rPr>
          <w:color w:val="000000"/>
        </w:rPr>
        <w:t>al cuatro de agosto de dos mil veinticinco.</w:t>
      </w:r>
    </w:p>
    <w:p w14:paraId="3184E2D5" w14:textId="77777777" w:rsidR="00530E7A" w:rsidRPr="00514593" w:rsidRDefault="00530E7A" w:rsidP="00530E7A">
      <w:pPr>
        <w:autoSpaceDE w:val="0"/>
        <w:autoSpaceDN w:val="0"/>
        <w:adjustRightInd w:val="0"/>
        <w:rPr>
          <w:i/>
          <w:iCs/>
        </w:rPr>
      </w:pPr>
    </w:p>
    <w:p w14:paraId="51FEC6CA" w14:textId="77777777" w:rsidR="00530E7A" w:rsidRPr="00514593" w:rsidRDefault="00530E7A" w:rsidP="00530E7A">
      <w:pPr>
        <w:autoSpaceDE w:val="0"/>
        <w:autoSpaceDN w:val="0"/>
        <w:adjustRightInd w:val="0"/>
        <w:spacing w:line="360" w:lineRule="auto"/>
        <w:ind w:left="708"/>
        <w:jc w:val="both"/>
        <w:rPr>
          <w:rFonts w:ascii="Palatino Linotype" w:hAnsi="Palatino Linotype"/>
          <w:i/>
        </w:rPr>
      </w:pPr>
      <w:r w:rsidRPr="00514593">
        <w:rPr>
          <w:rFonts w:ascii="Palatino Linotype" w:hAnsi="Palatino Linotype"/>
          <w:i/>
        </w:rPr>
        <w:t xml:space="preserve">Como sustento de la versión pública se deberá entregar el Acuerdo del Comité de Transparencia correspondiente, en términos del artículo 49, fracción VIII y 132 fracción II, de la Ley de Transparencia y Acceso a la Información Pública del Estado de México y Municipios, en el que funde y </w:t>
      </w:r>
      <w:r w:rsidR="0037340B" w:rsidRPr="00514593">
        <w:rPr>
          <w:rFonts w:ascii="Palatino Linotype" w:hAnsi="Palatino Linotype"/>
          <w:i/>
        </w:rPr>
        <w:t>,</w:t>
      </w:r>
      <w:r w:rsidRPr="00514593">
        <w:rPr>
          <w:rFonts w:ascii="Palatino Linotype" w:hAnsi="Palatino Linotype"/>
          <w:i/>
        </w:rPr>
        <w:t>motive las razones sobre los datos que se supriman o eliminen, así como los documentos clasificados en su totalidad, dentro del soporte documental respectivo e se ponga a disposición de la parte Recurrente</w:t>
      </w:r>
    </w:p>
    <w:p w14:paraId="361D232D" w14:textId="77777777" w:rsidR="00530E7A" w:rsidRPr="00514593" w:rsidRDefault="00530E7A" w:rsidP="00530E7A">
      <w:pPr>
        <w:autoSpaceDE w:val="0"/>
        <w:autoSpaceDN w:val="0"/>
        <w:adjustRightInd w:val="0"/>
        <w:spacing w:line="360" w:lineRule="auto"/>
        <w:ind w:left="708"/>
        <w:jc w:val="both"/>
        <w:rPr>
          <w:rFonts w:ascii="Palatino Linotype" w:hAnsi="Palatino Linotype"/>
          <w:i/>
        </w:rPr>
      </w:pPr>
    </w:p>
    <w:p w14:paraId="16DB4F7D" w14:textId="77777777" w:rsidR="00530E7A" w:rsidRPr="00514593" w:rsidRDefault="00530E7A" w:rsidP="000A2F58">
      <w:pPr>
        <w:autoSpaceDE w:val="0"/>
        <w:autoSpaceDN w:val="0"/>
        <w:adjustRightInd w:val="0"/>
        <w:spacing w:line="360" w:lineRule="auto"/>
        <w:ind w:left="708"/>
        <w:jc w:val="both"/>
        <w:rPr>
          <w:rFonts w:ascii="Palatino Linotype" w:hAnsi="Palatino Linotype"/>
          <w:i/>
        </w:rPr>
      </w:pPr>
      <w:r w:rsidRPr="00514593">
        <w:rPr>
          <w:rFonts w:ascii="Palatino Linotype" w:hAnsi="Palatino Linotype"/>
          <w:i/>
        </w:rPr>
        <w:t>Para el caso que una vez realizada la búsqueda exhaustiva y razonable del punto uno no se cuente con e</w:t>
      </w:r>
      <w:r w:rsidRPr="00514593">
        <w:rPr>
          <w:rFonts w:ascii="Palatino Linotype" w:hAnsi="Palatino Linotype"/>
          <w:b/>
          <w:i/>
        </w:rPr>
        <w:t>l documento obtenido po</w:t>
      </w:r>
      <w:r w:rsidR="00355A84" w:rsidRPr="00514593">
        <w:rPr>
          <w:rFonts w:ascii="Palatino Linotype" w:hAnsi="Palatino Linotype"/>
          <w:b/>
          <w:i/>
        </w:rPr>
        <w:t xml:space="preserve">r haber acreditado los exámenes </w:t>
      </w:r>
      <w:r w:rsidRPr="00514593">
        <w:rPr>
          <w:rFonts w:ascii="Palatino Linotype" w:hAnsi="Palatino Linotype"/>
          <w:b/>
          <w:i/>
        </w:rPr>
        <w:t>de conocimientos o aptitudes necesarios para ejercer el cargo por no ser requisito laboral</w:t>
      </w:r>
      <w:r w:rsidRPr="00514593">
        <w:rPr>
          <w:rFonts w:ascii="Palatino Linotype" w:hAnsi="Palatino Linotype"/>
          <w:b/>
          <w:bCs/>
          <w:i/>
        </w:rPr>
        <w:t xml:space="preserve"> </w:t>
      </w:r>
      <w:r w:rsidRPr="00514593">
        <w:rPr>
          <w:rFonts w:ascii="Palatino Linotype" w:hAnsi="Palatino Linotype"/>
          <w:i/>
        </w:rPr>
        <w:t>bastará con que lo haga del conocimiento del Recurrente en los términos del segundo párrafo del artículo 19 de la Ley de Transparencia Local.</w:t>
      </w:r>
    </w:p>
    <w:p w14:paraId="76853597" w14:textId="77777777" w:rsidR="00530E7A" w:rsidRPr="00514593" w:rsidRDefault="00530E7A" w:rsidP="00BF788D">
      <w:pPr>
        <w:autoSpaceDE w:val="0"/>
        <w:autoSpaceDN w:val="0"/>
        <w:adjustRightInd w:val="0"/>
        <w:spacing w:line="360" w:lineRule="auto"/>
        <w:ind w:left="708"/>
        <w:jc w:val="both"/>
        <w:rPr>
          <w:rFonts w:ascii="Palatino Linotype" w:hAnsi="Palatino Linotype"/>
          <w:i/>
        </w:rPr>
      </w:pPr>
      <w:r w:rsidRPr="00514593">
        <w:rPr>
          <w:rFonts w:ascii="Palatino Linotype" w:hAnsi="Palatino Linotype"/>
          <w:i/>
        </w:rPr>
        <w:t xml:space="preserve">De ser el caso que </w:t>
      </w:r>
      <w:r w:rsidR="00BF788D" w:rsidRPr="00514593">
        <w:rPr>
          <w:rFonts w:ascii="Palatino Linotype" w:hAnsi="Palatino Linotype"/>
          <w:i/>
        </w:rPr>
        <w:t>no se cuente con lo q</w:t>
      </w:r>
      <w:r w:rsidR="00BC3E77" w:rsidRPr="00514593">
        <w:rPr>
          <w:rFonts w:ascii="Palatino Linotype" w:hAnsi="Palatino Linotype"/>
          <w:i/>
        </w:rPr>
        <w:t>ue se ordena en el numeral 2 y 6</w:t>
      </w:r>
      <w:r w:rsidR="00BF788D" w:rsidRPr="00514593">
        <w:rPr>
          <w:rFonts w:ascii="Palatino Linotype" w:hAnsi="Palatino Linotype"/>
          <w:i/>
        </w:rPr>
        <w:t xml:space="preserve"> bastara con que así lo manifieste el Sujeto Obligado  en los términos establecidos por el segundo párrafo del artículo 19</w:t>
      </w:r>
      <w:r w:rsidRPr="00514593">
        <w:rPr>
          <w:rFonts w:ascii="Palatino Linotype" w:hAnsi="Palatino Linotype"/>
          <w:i/>
        </w:rPr>
        <w:t xml:space="preserve"> </w:t>
      </w:r>
      <w:r w:rsidR="00BF788D" w:rsidRPr="00514593">
        <w:rPr>
          <w:rFonts w:ascii="Palatino Linotype" w:hAnsi="Palatino Linotype"/>
          <w:i/>
        </w:rPr>
        <w:t>de la Ley de Transparencia Local.</w:t>
      </w:r>
    </w:p>
    <w:p w14:paraId="6F65D11F" w14:textId="77777777" w:rsidR="00462C23" w:rsidRPr="00514593" w:rsidRDefault="00462C23" w:rsidP="00462C23">
      <w:pPr>
        <w:spacing w:after="0" w:line="360" w:lineRule="auto"/>
        <w:ind w:left="426"/>
        <w:jc w:val="both"/>
        <w:rPr>
          <w:rFonts w:ascii="Palatino Linotype" w:hAnsi="Palatino Linotype" w:cs="Tahoma"/>
          <w:i/>
        </w:rPr>
      </w:pPr>
    </w:p>
    <w:p w14:paraId="3014886D" w14:textId="77777777" w:rsidR="001E7B77" w:rsidRPr="00514593" w:rsidRDefault="001E7B77" w:rsidP="001E7B77">
      <w:pPr>
        <w:spacing w:after="0" w:line="360" w:lineRule="auto"/>
        <w:ind w:left="426"/>
        <w:jc w:val="both"/>
        <w:rPr>
          <w:rFonts w:ascii="Palatino Linotype" w:hAnsi="Palatino Linotype" w:cs="Tahoma"/>
          <w:bCs/>
          <w:i/>
        </w:rPr>
      </w:pPr>
      <w:r w:rsidRPr="00514593">
        <w:rPr>
          <w:rFonts w:ascii="Palatino Linotype" w:hAnsi="Palatino Linotype" w:cs="Tahoma"/>
          <w:i/>
        </w:rPr>
        <w:lastRenderedPageBreak/>
        <w:t xml:space="preserve">Para el caso que, </w:t>
      </w:r>
      <w:r w:rsidRPr="00514593">
        <w:rPr>
          <w:rFonts w:ascii="Palatino Linotype" w:hAnsi="Palatino Linotype" w:cs="Tahoma"/>
          <w:b/>
          <w:i/>
        </w:rPr>
        <w:t>existiera algún procedimiento</w:t>
      </w:r>
      <w:r w:rsidRPr="00514593">
        <w:rPr>
          <w:rFonts w:ascii="Palatino Linotype" w:hAnsi="Palatino Linotype" w:cs="Tahoma"/>
          <w:i/>
        </w:rPr>
        <w:t xml:space="preserve"> </w:t>
      </w:r>
      <w:r w:rsidRPr="00514593">
        <w:rPr>
          <w:rFonts w:ascii="Palatino Linotype" w:hAnsi="Palatino Linotype" w:cs="Tahoma"/>
          <w:b/>
          <w:i/>
        </w:rPr>
        <w:t>de responsabilidades administrativas graves</w:t>
      </w:r>
      <w:r w:rsidRPr="00514593">
        <w:rPr>
          <w:rFonts w:ascii="Palatino Linotype" w:hAnsi="Palatino Linotype" w:cs="Tahoma"/>
          <w:i/>
        </w:rPr>
        <w:t xml:space="preserve"> </w:t>
      </w:r>
      <w:r w:rsidR="00F44CB9" w:rsidRPr="00514593">
        <w:rPr>
          <w:rFonts w:ascii="Palatino Linotype" w:hAnsi="Palatino Linotype" w:cs="Tahoma"/>
          <w:b/>
          <w:i/>
        </w:rPr>
        <w:t xml:space="preserve">condenatorios </w:t>
      </w:r>
      <w:r w:rsidRPr="00514593">
        <w:rPr>
          <w:rFonts w:ascii="Palatino Linotype" w:hAnsi="Palatino Linotype" w:cs="Tahoma"/>
          <w:i/>
        </w:rPr>
        <w:t xml:space="preserve">concluido </w:t>
      </w:r>
      <w:r w:rsidRPr="00514593">
        <w:rPr>
          <w:rFonts w:ascii="Palatino Linotype" w:hAnsi="Palatino Linotype" w:cs="Tahoma"/>
          <w:bCs/>
          <w:i/>
        </w:rPr>
        <w:t>deberá entregar los documentos solicitados en versión pública.</w:t>
      </w:r>
    </w:p>
    <w:p w14:paraId="1EC2824F" w14:textId="77777777" w:rsidR="00530E7A" w:rsidRPr="00514593" w:rsidRDefault="00530E7A" w:rsidP="00BF788D">
      <w:pPr>
        <w:autoSpaceDE w:val="0"/>
        <w:autoSpaceDN w:val="0"/>
        <w:adjustRightInd w:val="0"/>
        <w:spacing w:line="360" w:lineRule="auto"/>
        <w:jc w:val="both"/>
        <w:rPr>
          <w:rFonts w:ascii="Palatino Linotype" w:hAnsi="Palatino Linotype"/>
          <w:i/>
          <w:sz w:val="24"/>
          <w:szCs w:val="24"/>
        </w:rPr>
      </w:pPr>
    </w:p>
    <w:p w14:paraId="270DD9D5" w14:textId="77777777" w:rsidR="00530E7A" w:rsidRPr="00514593" w:rsidRDefault="00530E7A" w:rsidP="00530E7A">
      <w:pPr>
        <w:spacing w:after="0" w:line="360" w:lineRule="auto"/>
        <w:jc w:val="both"/>
        <w:rPr>
          <w:rFonts w:ascii="Palatino Linotype" w:hAnsi="Palatino Linotype" w:cstheme="minorHAnsi"/>
          <w:sz w:val="24"/>
          <w:szCs w:val="24"/>
        </w:rPr>
      </w:pPr>
      <w:r w:rsidRPr="00514593">
        <w:rPr>
          <w:rFonts w:ascii="Palatino Linotype" w:eastAsia="Times New Roman" w:hAnsi="Palatino Linotype" w:cs="Arial"/>
          <w:b/>
          <w:sz w:val="28"/>
          <w:szCs w:val="24"/>
          <w:lang w:eastAsia="es-ES"/>
        </w:rPr>
        <w:t>TERCERO</w:t>
      </w:r>
      <w:r w:rsidRPr="00514593">
        <w:rPr>
          <w:rFonts w:ascii="Palatino Linotype" w:eastAsia="Times New Roman" w:hAnsi="Palatino Linotype" w:cs="Arial"/>
          <w:b/>
          <w:sz w:val="24"/>
          <w:szCs w:val="24"/>
          <w:lang w:eastAsia="es-ES"/>
        </w:rPr>
        <w:t>.</w:t>
      </w:r>
      <w:r w:rsidRPr="00514593">
        <w:rPr>
          <w:rFonts w:ascii="Palatino Linotype" w:eastAsia="Times New Roman" w:hAnsi="Palatino Linotype" w:cs="Arial"/>
          <w:sz w:val="24"/>
          <w:szCs w:val="24"/>
          <w:lang w:eastAsia="es-ES"/>
        </w:rPr>
        <w:t xml:space="preserve"> </w:t>
      </w:r>
      <w:r w:rsidRPr="00514593">
        <w:rPr>
          <w:rFonts w:ascii="Palatino Linotype" w:hAnsi="Palatino Linotype" w:cstheme="minorHAnsi"/>
          <w:b/>
          <w:sz w:val="24"/>
          <w:szCs w:val="24"/>
        </w:rPr>
        <w:t>NOTIFÍQUESE</w:t>
      </w:r>
      <w:r w:rsidRPr="00514593">
        <w:rPr>
          <w:rFonts w:ascii="Palatino Linotype" w:hAnsi="Palatino Linotype" w:cstheme="minorHAnsi"/>
          <w:i/>
          <w:sz w:val="24"/>
          <w:szCs w:val="24"/>
        </w:rPr>
        <w:t xml:space="preserve"> </w:t>
      </w:r>
      <w:r w:rsidRPr="00514593">
        <w:rPr>
          <w:rFonts w:ascii="Palatino Linotype" w:hAnsi="Palatino Linotype" w:cstheme="minorHAnsi"/>
          <w:sz w:val="24"/>
          <w:szCs w:val="24"/>
        </w:rPr>
        <w:t xml:space="preserve">la presente resolución al Titular de la Unidad de Transparencia del Sujeto Obligado, vía </w:t>
      </w:r>
      <w:r w:rsidRPr="00514593">
        <w:rPr>
          <w:rFonts w:ascii="Palatino Linotype" w:hAnsi="Palatino Linotype" w:cs="Arial"/>
          <w:sz w:val="24"/>
          <w:szCs w:val="24"/>
        </w:rPr>
        <w:t xml:space="preserve">Sistema de Acceso a la Información Mexiquense </w:t>
      </w:r>
      <w:r w:rsidRPr="00514593">
        <w:rPr>
          <w:rFonts w:ascii="Palatino Linotype" w:hAnsi="Palatino Linotype" w:cs="Arial"/>
          <w:b/>
          <w:sz w:val="24"/>
          <w:szCs w:val="24"/>
        </w:rPr>
        <w:t xml:space="preserve">(SAIMEX) </w:t>
      </w:r>
      <w:r w:rsidRPr="00514593">
        <w:rPr>
          <w:rFonts w:ascii="Palatino Linotype" w:hAnsi="Palatino Linotype" w:cstheme="minorHAnsi"/>
          <w:sz w:val="24"/>
          <w:szCs w:val="24"/>
        </w:rPr>
        <w:t>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596A7EA5" w14:textId="77777777" w:rsidR="00530E7A" w:rsidRPr="00514593" w:rsidRDefault="00530E7A" w:rsidP="00530E7A">
      <w:pPr>
        <w:spacing w:after="0" w:line="360" w:lineRule="auto"/>
        <w:jc w:val="both"/>
        <w:rPr>
          <w:rFonts w:ascii="Palatino Linotype" w:hAnsi="Palatino Linotype" w:cstheme="minorHAnsi"/>
          <w:sz w:val="24"/>
          <w:szCs w:val="24"/>
        </w:rPr>
      </w:pPr>
    </w:p>
    <w:p w14:paraId="6589579B" w14:textId="77777777" w:rsidR="00530E7A" w:rsidRPr="00514593" w:rsidRDefault="00530E7A" w:rsidP="00530E7A">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514593">
        <w:rPr>
          <w:rFonts w:ascii="Palatino Linotype" w:eastAsia="Times New Roman" w:hAnsi="Palatino Linotype" w:cs="Arial"/>
          <w:b/>
          <w:sz w:val="26"/>
          <w:szCs w:val="26"/>
          <w:lang w:eastAsia="es-ES"/>
        </w:rPr>
        <w:t>CUARTO.</w:t>
      </w:r>
      <w:r w:rsidRPr="00514593">
        <w:rPr>
          <w:rFonts w:ascii="Palatino Linotype" w:eastAsia="Times New Roman" w:hAnsi="Palatino Linotype" w:cs="Arial"/>
          <w:b/>
          <w:sz w:val="24"/>
          <w:szCs w:val="24"/>
          <w:lang w:eastAsia="es-ES"/>
        </w:rPr>
        <w:t xml:space="preserve"> </w:t>
      </w:r>
      <w:r w:rsidRPr="00514593">
        <w:rPr>
          <w:rFonts w:ascii="Palatino Linotype" w:eastAsia="Times New Roman" w:hAnsi="Palatino Linotype" w:cs="Arial"/>
          <w:sz w:val="24"/>
          <w:szCs w:val="24"/>
          <w:lang w:val="es-ES" w:eastAsia="es-ES"/>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14:paraId="60F2C314" w14:textId="77777777" w:rsidR="00530E7A" w:rsidRPr="00514593" w:rsidRDefault="00530E7A" w:rsidP="00530E7A">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5C32B413" w14:textId="77777777" w:rsidR="00530E7A" w:rsidRPr="00514593" w:rsidRDefault="00530E7A" w:rsidP="00530E7A">
      <w:pPr>
        <w:autoSpaceDE w:val="0"/>
        <w:autoSpaceDN w:val="0"/>
        <w:adjustRightInd w:val="0"/>
        <w:spacing w:line="360" w:lineRule="auto"/>
        <w:jc w:val="both"/>
      </w:pPr>
      <w:r w:rsidRPr="00514593">
        <w:rPr>
          <w:rFonts w:ascii="Palatino Linotype" w:hAnsi="Palatino Linotype" w:cs="Arial"/>
          <w:b/>
          <w:sz w:val="28"/>
          <w:szCs w:val="28"/>
        </w:rPr>
        <w:t xml:space="preserve">QUINTO. </w:t>
      </w:r>
      <w:r w:rsidRPr="00514593">
        <w:rPr>
          <w:rFonts w:ascii="Palatino Linotype" w:eastAsia="Times New Roman" w:hAnsi="Palatino Linotype" w:cs="Arial"/>
          <w:b/>
          <w:sz w:val="24"/>
          <w:szCs w:val="24"/>
          <w:lang w:eastAsia="es-ES"/>
        </w:rPr>
        <w:t xml:space="preserve">NOTIFÍQUESE </w:t>
      </w:r>
      <w:r w:rsidRPr="00514593">
        <w:rPr>
          <w:rFonts w:ascii="Palatino Linotype" w:eastAsia="Times New Roman" w:hAnsi="Palatino Linotype" w:cs="Arial"/>
          <w:sz w:val="24"/>
          <w:szCs w:val="24"/>
          <w:lang w:eastAsia="es-ES"/>
        </w:rPr>
        <w:t xml:space="preserve">la presente resolución al </w:t>
      </w:r>
      <w:r w:rsidRPr="00514593">
        <w:rPr>
          <w:rFonts w:ascii="Palatino Linotype" w:eastAsia="Times New Roman" w:hAnsi="Palatino Linotype" w:cs="Arial"/>
          <w:b/>
          <w:sz w:val="24"/>
          <w:szCs w:val="24"/>
          <w:lang w:eastAsia="es-ES"/>
        </w:rPr>
        <w:t xml:space="preserve">RECURRENTE vía </w:t>
      </w:r>
      <w:r w:rsidRPr="00514593">
        <w:rPr>
          <w:rFonts w:ascii="Palatino Linotype" w:hAnsi="Palatino Linotype" w:cs="Arial"/>
          <w:sz w:val="24"/>
          <w:szCs w:val="24"/>
        </w:rPr>
        <w:t xml:space="preserve">Sistema de Acceso a la Información Mexiquense </w:t>
      </w:r>
      <w:r w:rsidRPr="00514593">
        <w:rPr>
          <w:rFonts w:ascii="Palatino Linotype" w:hAnsi="Palatino Linotype" w:cs="Arial"/>
          <w:b/>
          <w:sz w:val="24"/>
          <w:szCs w:val="24"/>
        </w:rPr>
        <w:t xml:space="preserve">(SAIMEX) </w:t>
      </w:r>
      <w:r w:rsidRPr="00514593">
        <w:rPr>
          <w:rFonts w:ascii="Palatino Linotype" w:hAnsi="Palatino Linotype" w:cs="Arial"/>
          <w:sz w:val="24"/>
          <w:szCs w:val="24"/>
        </w:rPr>
        <w:t xml:space="preserve">y hágase de su conocimiento que en caso de considerar que la presente resolución le causa algún perjuicio, podrá interponer el juicio de amparo, en los términos de las leyes aplicables de acuerdo con lo estipulado en </w:t>
      </w:r>
      <w:r w:rsidRPr="00514593">
        <w:rPr>
          <w:rFonts w:ascii="Palatino Linotype" w:hAnsi="Palatino Linotype" w:cs="Arial"/>
          <w:sz w:val="24"/>
          <w:szCs w:val="24"/>
        </w:rPr>
        <w:lastRenderedPageBreak/>
        <w:t>el artículo 196 de la Ley de Transparencia y Acceso a la Información Pública del Estado de México y Municipios</w:t>
      </w:r>
      <w:r w:rsidRPr="00514593">
        <w:t>.</w:t>
      </w:r>
    </w:p>
    <w:p w14:paraId="203326A1" w14:textId="77777777" w:rsidR="00530E7A" w:rsidRPr="00514593" w:rsidRDefault="00530E7A" w:rsidP="00530E7A">
      <w:pPr>
        <w:autoSpaceDE w:val="0"/>
        <w:autoSpaceDN w:val="0"/>
        <w:adjustRightInd w:val="0"/>
        <w:spacing w:line="360" w:lineRule="auto"/>
        <w:jc w:val="both"/>
        <w:rPr>
          <w:rFonts w:ascii="Palatino Linotype" w:eastAsia="Times New Roman" w:hAnsi="Palatino Linotype" w:cs="Times New Roman"/>
          <w:b/>
          <w:bCs/>
          <w:color w:val="222222"/>
          <w:sz w:val="24"/>
          <w:szCs w:val="24"/>
          <w:shd w:val="clear" w:color="auto" w:fill="FFFFFF"/>
          <w:lang w:eastAsia="es-ES"/>
        </w:rPr>
      </w:pPr>
    </w:p>
    <w:p w14:paraId="655DAD47" w14:textId="4C7017B2" w:rsidR="00530E7A" w:rsidRPr="00514593" w:rsidRDefault="00530E7A" w:rsidP="00530E7A">
      <w:pPr>
        <w:spacing w:after="0" w:line="360" w:lineRule="auto"/>
        <w:jc w:val="both"/>
        <w:rPr>
          <w:rFonts w:ascii="Palatino Linotype" w:eastAsia="Times New Roman" w:hAnsi="Palatino Linotype" w:cs="Arial"/>
          <w:sz w:val="24"/>
          <w:szCs w:val="24"/>
          <w:lang w:eastAsia="es-MX"/>
        </w:rPr>
      </w:pPr>
      <w:r w:rsidRPr="00514593">
        <w:rPr>
          <w:rFonts w:ascii="Palatino Linotype" w:eastAsia="Times New Roman" w:hAnsi="Palatino Linotype" w:cs="Arial"/>
          <w:sz w:val="24"/>
          <w:szCs w:val="24"/>
          <w:lang w:val="es-ES_tradnl" w:eastAsia="es-MX"/>
        </w:rPr>
        <w:t xml:space="preserve">ASÍ LO RESUELVE, POR </w:t>
      </w:r>
      <w:r w:rsidRPr="00514593">
        <w:rPr>
          <w:rFonts w:ascii="Palatino Linotype" w:eastAsia="Times New Roman" w:hAnsi="Palatino Linotype" w:cs="Arial"/>
          <w:b/>
          <w:bCs/>
          <w:sz w:val="24"/>
          <w:szCs w:val="24"/>
          <w:lang w:val="es-ES_tradnl" w:eastAsia="es-MX"/>
        </w:rPr>
        <w:t>UNANIMIDAD DE VOTOS</w:t>
      </w:r>
      <w:r w:rsidRPr="00514593">
        <w:rPr>
          <w:rFonts w:ascii="Palatino Linotype" w:eastAsia="Times New Roman" w:hAnsi="Palatino Linotype" w:cs="Arial"/>
          <w:sz w:val="24"/>
          <w:szCs w:val="24"/>
          <w:lang w:val="es-ES_tradnl" w:eastAsia="es-MX"/>
        </w:rPr>
        <w:t xml:space="preserve"> EL PLENO DEL</w:t>
      </w:r>
      <w:r w:rsidRPr="00514593">
        <w:rPr>
          <w:rFonts w:ascii="Palatino Linotype" w:eastAsia="Arial Unicode MS" w:hAnsi="Palatino Linotype" w:cs="Arial"/>
          <w:sz w:val="24"/>
          <w:szCs w:val="24"/>
          <w:lang w:val="es-ES_tradnl" w:eastAsia="es-MX"/>
        </w:rPr>
        <w:t xml:space="preserve"> INSTITUTO DE TRANSPARENCIA, ACCESO A LA INFORMACIÓN PÚBLICA Y PROTECCIÓN DE DATOS PERSONALES DEL ESTADO DE MÉXICO Y MUNICIPIOS</w:t>
      </w:r>
      <w:r w:rsidRPr="00514593">
        <w:rPr>
          <w:rFonts w:ascii="Palatino Linotype" w:eastAsia="Times New Roman" w:hAnsi="Palatino Linotype" w:cs="Arial"/>
          <w:sz w:val="24"/>
          <w:szCs w:val="24"/>
          <w:lang w:val="es-ES_tradnl" w:eastAsia="es-MX"/>
        </w:rPr>
        <w:t xml:space="preserve">, CONFORMADO POR LOS COMISIONADOS JOSÉ MARTÍNEZ VILCHIS, MARÍA DEL ROSARIO MEJÍA AYALA </w:t>
      </w:r>
      <w:r w:rsidR="00D915AD" w:rsidRPr="00514593">
        <w:rPr>
          <w:rFonts w:ascii="Palatino Linotype" w:eastAsia="Times New Roman" w:hAnsi="Palatino Linotype" w:cs="Arial"/>
          <w:sz w:val="24"/>
          <w:szCs w:val="24"/>
          <w:u w:val="single"/>
          <w:lang w:val="es-ES_tradnl" w:eastAsia="es-MX"/>
        </w:rPr>
        <w:t>(EMITIENDO VOTO PARTICULAR),</w:t>
      </w:r>
      <w:r w:rsidR="005C51CD" w:rsidRPr="00514593">
        <w:rPr>
          <w:rFonts w:ascii="Palatino Linotype" w:eastAsia="Times New Roman" w:hAnsi="Palatino Linotype" w:cs="Arial"/>
          <w:sz w:val="24"/>
          <w:szCs w:val="24"/>
          <w:u w:val="single"/>
          <w:lang w:val="es-ES_tradnl" w:eastAsia="es-MX"/>
        </w:rPr>
        <w:t xml:space="preserve"> </w:t>
      </w:r>
      <w:r w:rsidRPr="00514593">
        <w:rPr>
          <w:rFonts w:ascii="Palatino Linotype" w:eastAsia="Times New Roman" w:hAnsi="Palatino Linotype" w:cs="Arial"/>
          <w:sz w:val="24"/>
          <w:szCs w:val="24"/>
          <w:lang w:val="es-ES_tradnl" w:eastAsia="es-MX"/>
        </w:rPr>
        <w:t xml:space="preserve">SHARON CRISTINA MORALES MARTÍNEZ, LUIS GUSTAVO PARRA NORIEGA </w:t>
      </w:r>
      <w:r w:rsidR="00D915AD" w:rsidRPr="00514593">
        <w:rPr>
          <w:rFonts w:ascii="Palatino Linotype" w:eastAsia="Times New Roman" w:hAnsi="Palatino Linotype" w:cs="Arial"/>
          <w:sz w:val="24"/>
          <w:szCs w:val="24"/>
          <w:lang w:val="es-ES_tradnl" w:eastAsia="es-MX"/>
        </w:rPr>
        <w:t>(</w:t>
      </w:r>
      <w:r w:rsidR="00D915AD" w:rsidRPr="00514593">
        <w:rPr>
          <w:rFonts w:ascii="Palatino Linotype" w:eastAsia="Times New Roman" w:hAnsi="Palatino Linotype" w:cs="Arial"/>
          <w:sz w:val="24"/>
          <w:szCs w:val="24"/>
          <w:u w:val="single"/>
          <w:lang w:val="es-ES_tradnl" w:eastAsia="es-MX"/>
        </w:rPr>
        <w:t>EMITIENDO VOTO PARTICULAR)</w:t>
      </w:r>
      <w:r w:rsidRPr="00514593">
        <w:rPr>
          <w:rFonts w:ascii="Palatino Linotype" w:eastAsia="Times New Roman" w:hAnsi="Palatino Linotype" w:cs="Arial"/>
          <w:sz w:val="24"/>
          <w:szCs w:val="24"/>
          <w:lang w:val="es-ES_tradnl" w:eastAsia="es-MX"/>
        </w:rPr>
        <w:t xml:space="preserve"> Y GUADALUPE RAMÍREZ PEÑA (</w:t>
      </w:r>
      <w:r w:rsidRPr="00514593">
        <w:rPr>
          <w:rFonts w:ascii="Palatino Linotype" w:eastAsia="Times New Roman" w:hAnsi="Palatino Linotype" w:cs="Arial"/>
          <w:sz w:val="24"/>
          <w:szCs w:val="24"/>
          <w:u w:val="single"/>
          <w:lang w:val="es-ES_tradnl" w:eastAsia="es-MX"/>
        </w:rPr>
        <w:t>EMITIENDO VOTO PARTICULAR</w:t>
      </w:r>
      <w:r w:rsidRPr="00514593">
        <w:rPr>
          <w:rFonts w:ascii="Palatino Linotype" w:eastAsia="Times New Roman" w:hAnsi="Palatino Linotype" w:cs="Arial"/>
          <w:sz w:val="24"/>
          <w:szCs w:val="24"/>
          <w:lang w:val="es-ES_tradnl" w:eastAsia="es-MX"/>
        </w:rPr>
        <w:t>), EN LA</w:t>
      </w:r>
      <w:r w:rsidRPr="00514593">
        <w:rPr>
          <w:rFonts w:ascii="Palatino Linotype" w:eastAsia="Times New Roman" w:hAnsi="Palatino Linotype" w:cs="Arial"/>
          <w:sz w:val="24"/>
          <w:szCs w:val="24"/>
          <w:lang w:val="es-419" w:eastAsia="es-MX"/>
        </w:rPr>
        <w:t xml:space="preserve"> </w:t>
      </w:r>
      <w:r w:rsidR="00D915AD" w:rsidRPr="00514593">
        <w:rPr>
          <w:rFonts w:ascii="Palatino Linotype" w:eastAsia="Times New Roman" w:hAnsi="Palatino Linotype" w:cs="Arial"/>
          <w:b/>
          <w:bCs/>
          <w:sz w:val="24"/>
          <w:szCs w:val="24"/>
          <w:lang w:val="es-419" w:eastAsia="es-MX"/>
        </w:rPr>
        <w:t>DÉCIMA OCTAVA</w:t>
      </w:r>
      <w:r w:rsidRPr="00514593">
        <w:rPr>
          <w:rFonts w:ascii="Palatino Linotype" w:eastAsia="Times New Roman" w:hAnsi="Palatino Linotype" w:cs="Arial"/>
          <w:b/>
          <w:bCs/>
          <w:sz w:val="24"/>
          <w:szCs w:val="24"/>
          <w:lang w:val="es-419" w:eastAsia="es-MX"/>
        </w:rPr>
        <w:t xml:space="preserve"> SESIÓN ORDINARIA CELEBRADA EL </w:t>
      </w:r>
      <w:r w:rsidR="00D915AD" w:rsidRPr="00514593">
        <w:rPr>
          <w:rFonts w:ascii="Palatino Linotype" w:eastAsia="Times New Roman" w:hAnsi="Palatino Linotype" w:cs="Arial"/>
          <w:b/>
          <w:bCs/>
          <w:sz w:val="24"/>
          <w:szCs w:val="24"/>
          <w:lang w:val="es-419" w:eastAsia="es-MX"/>
        </w:rPr>
        <w:t>VEINTE DE MAYO DE DOS MIL VEINTISÉIS</w:t>
      </w:r>
      <w:r w:rsidRPr="00514593">
        <w:rPr>
          <w:rFonts w:ascii="Palatino Linotype" w:eastAsia="Times New Roman" w:hAnsi="Palatino Linotype" w:cs="Arial"/>
          <w:b/>
          <w:bCs/>
          <w:sz w:val="24"/>
          <w:szCs w:val="24"/>
          <w:lang w:val="es-ES_tradnl" w:eastAsia="es-MX"/>
        </w:rPr>
        <w:t xml:space="preserve">, </w:t>
      </w:r>
      <w:r w:rsidRPr="00514593">
        <w:rPr>
          <w:rFonts w:ascii="Palatino Linotype" w:eastAsia="Times New Roman" w:hAnsi="Palatino Linotype" w:cs="Arial"/>
          <w:sz w:val="24"/>
          <w:szCs w:val="24"/>
          <w:lang w:val="es-ES_tradnl" w:eastAsia="es-MX"/>
        </w:rPr>
        <w:t>ANTE EL SECRETARIO TÉCNICO DEL PLENO, ALEXIS TAPIA RAMÍREZ. --------------------------------------------------------------------</w:t>
      </w:r>
      <w:r w:rsidR="005C51CD" w:rsidRPr="00514593">
        <w:rPr>
          <w:rFonts w:ascii="Palatino Linotype" w:eastAsia="Times New Roman" w:hAnsi="Palatino Linotype" w:cs="Arial"/>
          <w:sz w:val="24"/>
          <w:szCs w:val="24"/>
          <w:lang w:val="es-ES_tradnl" w:eastAsia="es-MX"/>
        </w:rPr>
        <w:t>----------------------</w:t>
      </w:r>
    </w:p>
    <w:p w14:paraId="55CD5EE0" w14:textId="77777777" w:rsidR="00530E7A" w:rsidRPr="00F444C4" w:rsidRDefault="00530E7A" w:rsidP="00530E7A">
      <w:pPr>
        <w:spacing w:after="0" w:line="360" w:lineRule="auto"/>
        <w:jc w:val="both"/>
        <w:rPr>
          <w:rFonts w:ascii="Palatino Linotype" w:eastAsia="Times New Roman" w:hAnsi="Palatino Linotype" w:cs="Arial"/>
          <w:sz w:val="20"/>
          <w:lang w:val="es-ES_tradnl" w:eastAsia="es-MX"/>
        </w:rPr>
      </w:pPr>
      <w:r w:rsidRPr="00514593">
        <w:rPr>
          <w:rFonts w:ascii="Palatino Linotype" w:eastAsia="Times New Roman" w:hAnsi="Palatino Linotype" w:cs="Arial"/>
          <w:sz w:val="20"/>
          <w:lang w:val="es-ES_tradnl" w:eastAsia="es-MX"/>
        </w:rPr>
        <w:t>JMV/CCR/NJMB</w:t>
      </w:r>
    </w:p>
    <w:p w14:paraId="42BD884C" w14:textId="77777777" w:rsidR="00530E7A" w:rsidRPr="00F444C4" w:rsidRDefault="00530E7A" w:rsidP="00530E7A">
      <w:pPr>
        <w:spacing w:after="0" w:line="360" w:lineRule="auto"/>
        <w:jc w:val="both"/>
        <w:rPr>
          <w:rFonts w:ascii="Palatino Linotype" w:eastAsia="Times New Roman" w:hAnsi="Palatino Linotype" w:cs="Arial"/>
          <w:sz w:val="20"/>
          <w:lang w:val="es-ES_tradnl" w:eastAsia="es-MX"/>
        </w:rPr>
      </w:pPr>
    </w:p>
    <w:p w14:paraId="7C22AC0A" w14:textId="77777777" w:rsidR="00530E7A" w:rsidRPr="00F444C4" w:rsidRDefault="00530E7A" w:rsidP="00530E7A">
      <w:pPr>
        <w:spacing w:after="0" w:line="360" w:lineRule="auto"/>
        <w:jc w:val="both"/>
        <w:rPr>
          <w:rFonts w:ascii="Palatino Linotype" w:eastAsia="Times New Roman" w:hAnsi="Palatino Linotype" w:cs="Arial"/>
          <w:sz w:val="20"/>
          <w:lang w:val="es-ES_tradnl" w:eastAsia="es-MX"/>
        </w:rPr>
      </w:pPr>
    </w:p>
    <w:p w14:paraId="592EF311" w14:textId="77777777" w:rsidR="00530E7A" w:rsidRPr="00F444C4" w:rsidRDefault="00530E7A" w:rsidP="00530E7A">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792FC1B1" w14:textId="77777777" w:rsidR="00530E7A" w:rsidRPr="00F444C4" w:rsidRDefault="00530E7A" w:rsidP="00530E7A">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3826A06F" w14:textId="77777777" w:rsidR="00530E7A" w:rsidRPr="00F444C4" w:rsidRDefault="00530E7A" w:rsidP="00530E7A">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3CE582FD" w14:textId="77777777" w:rsidR="00530E7A" w:rsidRPr="00F444C4" w:rsidRDefault="00530E7A" w:rsidP="00530E7A">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4BDEF462" w14:textId="77777777" w:rsidR="00530E7A" w:rsidRPr="00F444C4" w:rsidRDefault="00530E7A" w:rsidP="00530E7A">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43523096" w14:textId="77777777" w:rsidR="00530E7A" w:rsidRPr="00F444C4" w:rsidRDefault="00530E7A" w:rsidP="00530E7A">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431ED44B" w14:textId="77777777" w:rsidR="00530E7A" w:rsidRPr="00F444C4" w:rsidRDefault="00530E7A" w:rsidP="00530E7A">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10C30702" w14:textId="77777777" w:rsidR="00530E7A" w:rsidRPr="00F444C4" w:rsidRDefault="00530E7A" w:rsidP="00530E7A">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24F08F53" w14:textId="77777777" w:rsidR="00530E7A" w:rsidRPr="00F444C4" w:rsidRDefault="00530E7A" w:rsidP="00530E7A">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3BB73473" w14:textId="77777777" w:rsidR="00530E7A" w:rsidRPr="00F444C4" w:rsidRDefault="00530E7A" w:rsidP="00530E7A">
      <w:pPr>
        <w:spacing w:after="0" w:line="360" w:lineRule="auto"/>
        <w:jc w:val="both"/>
        <w:rPr>
          <w:rFonts w:ascii="Palatino Linotype" w:eastAsia="Times New Roman" w:hAnsi="Palatino Linotype" w:cs="Calibri"/>
          <w:sz w:val="24"/>
          <w:lang w:val="es-ES_tradnl" w:eastAsia="es-MX"/>
        </w:rPr>
      </w:pPr>
    </w:p>
    <w:p w14:paraId="7E63FCAF" w14:textId="77777777" w:rsidR="00530E7A" w:rsidRPr="00F444C4" w:rsidRDefault="00530E7A" w:rsidP="00530E7A">
      <w:pPr>
        <w:spacing w:after="0" w:line="360" w:lineRule="auto"/>
        <w:jc w:val="both"/>
        <w:rPr>
          <w:rFonts w:ascii="Palatino Linotype" w:eastAsia="Times New Roman" w:hAnsi="Palatino Linotype" w:cs="Calibri"/>
          <w:sz w:val="24"/>
          <w:lang w:val="es-ES_tradnl" w:eastAsia="es-MX"/>
        </w:rPr>
      </w:pPr>
    </w:p>
    <w:p w14:paraId="5CE1CEC4" w14:textId="77777777" w:rsidR="00530E7A" w:rsidRPr="00F444C4" w:rsidRDefault="00530E7A" w:rsidP="00530E7A">
      <w:pPr>
        <w:spacing w:after="0" w:line="360" w:lineRule="auto"/>
        <w:jc w:val="both"/>
        <w:rPr>
          <w:rFonts w:ascii="Palatino Linotype" w:eastAsia="Times New Roman" w:hAnsi="Palatino Linotype" w:cs="Calibri"/>
          <w:sz w:val="24"/>
          <w:lang w:val="es-ES_tradnl" w:eastAsia="es-MX"/>
        </w:rPr>
      </w:pPr>
    </w:p>
    <w:p w14:paraId="5DC62585" w14:textId="77777777" w:rsidR="00530E7A" w:rsidRPr="00F444C4" w:rsidRDefault="00530E7A" w:rsidP="00530E7A">
      <w:pPr>
        <w:spacing w:after="0" w:line="360" w:lineRule="auto"/>
        <w:jc w:val="both"/>
        <w:rPr>
          <w:rFonts w:ascii="Palatino Linotype" w:eastAsia="Times New Roman" w:hAnsi="Palatino Linotype" w:cs="Calibri"/>
          <w:sz w:val="24"/>
          <w:lang w:val="es-ES_tradnl" w:eastAsia="es-MX"/>
        </w:rPr>
      </w:pPr>
    </w:p>
    <w:p w14:paraId="159A43E0" w14:textId="77777777" w:rsidR="00530E7A" w:rsidRDefault="00530E7A" w:rsidP="00530E7A"/>
    <w:p w14:paraId="5A2A92B5" w14:textId="77777777" w:rsidR="00530E7A" w:rsidRDefault="00530E7A" w:rsidP="00530E7A"/>
    <w:p w14:paraId="2E4B1BA5" w14:textId="77777777" w:rsidR="00530E7A" w:rsidRDefault="00530E7A" w:rsidP="00530E7A"/>
    <w:p w14:paraId="12706661" w14:textId="77777777" w:rsidR="00530E7A" w:rsidRDefault="00530E7A" w:rsidP="00530E7A"/>
    <w:p w14:paraId="7D145E1E" w14:textId="77777777" w:rsidR="00530E7A" w:rsidRDefault="00530E7A" w:rsidP="00530E7A"/>
    <w:p w14:paraId="116B9EA9" w14:textId="77777777" w:rsidR="00530E7A" w:rsidRDefault="00530E7A" w:rsidP="00530E7A"/>
    <w:p w14:paraId="68B27350" w14:textId="77777777" w:rsidR="00530E7A" w:rsidRDefault="00530E7A" w:rsidP="00530E7A"/>
    <w:p w14:paraId="20FEAD90" w14:textId="77777777" w:rsidR="00530E7A" w:rsidRDefault="00530E7A" w:rsidP="00530E7A"/>
    <w:p w14:paraId="65553D8F" w14:textId="77777777" w:rsidR="00530E7A" w:rsidRDefault="00530E7A" w:rsidP="00530E7A"/>
    <w:p w14:paraId="12278566" w14:textId="77777777" w:rsidR="00530E7A" w:rsidRDefault="00530E7A" w:rsidP="00530E7A"/>
    <w:p w14:paraId="1135437E" w14:textId="77777777" w:rsidR="00530E7A" w:rsidRDefault="00530E7A" w:rsidP="00530E7A"/>
    <w:p w14:paraId="436AFD68" w14:textId="77777777" w:rsidR="00530E7A" w:rsidRDefault="00530E7A" w:rsidP="00530E7A"/>
    <w:p w14:paraId="7A88674E" w14:textId="77777777" w:rsidR="00530E7A" w:rsidRDefault="00530E7A" w:rsidP="00530E7A"/>
    <w:p w14:paraId="5DF00416" w14:textId="77777777" w:rsidR="00667C3E" w:rsidRDefault="00667C3E"/>
    <w:sectPr w:rsidR="00667C3E" w:rsidSect="00965024">
      <w:headerReference w:type="even" r:id="rId9"/>
      <w:headerReference w:type="default" r:id="rId10"/>
      <w:footerReference w:type="default" r:id="rId11"/>
      <w:headerReference w:type="first" r:id="rId12"/>
      <w:footerReference w:type="first" r:id="rId13"/>
      <w:pgSz w:w="12240" w:h="15840"/>
      <w:pgMar w:top="2977" w:right="1134" w:bottom="1191" w:left="1752" w:header="709" w:footer="709" w:gutter="0"/>
      <w:cols w:space="708"/>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7C1E7F" w14:textId="77777777" w:rsidR="005A5524" w:rsidRDefault="005A5524" w:rsidP="00530E7A">
      <w:pPr>
        <w:spacing w:after="0" w:line="240" w:lineRule="auto"/>
      </w:pPr>
      <w:r>
        <w:separator/>
      </w:r>
    </w:p>
  </w:endnote>
  <w:endnote w:type="continuationSeparator" w:id="0">
    <w:p w14:paraId="41979094" w14:textId="77777777" w:rsidR="005A5524" w:rsidRDefault="005A5524" w:rsidP="00530E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Arial,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41B124" w14:textId="77777777" w:rsidR="00462C23" w:rsidRPr="00871A91" w:rsidRDefault="00462C23" w:rsidP="00965024">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C12108">
      <w:rPr>
        <w:rFonts w:ascii="Palatino Linotype" w:hAnsi="Palatino Linotype"/>
        <w:b/>
        <w:bCs/>
        <w:noProof/>
        <w:sz w:val="20"/>
      </w:rPr>
      <w:t>21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C12108">
      <w:rPr>
        <w:rFonts w:ascii="Palatino Linotype" w:hAnsi="Palatino Linotype"/>
        <w:b/>
        <w:bCs/>
        <w:noProof/>
        <w:sz w:val="20"/>
      </w:rPr>
      <w:t>134</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415A03" w14:textId="77777777" w:rsidR="00462C23" w:rsidRPr="00871A91" w:rsidRDefault="00462C23" w:rsidP="00965024">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C12108">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C12108">
      <w:rPr>
        <w:rFonts w:ascii="Palatino Linotype" w:hAnsi="Palatino Linotype"/>
        <w:b/>
        <w:bCs/>
        <w:noProof/>
        <w:sz w:val="20"/>
      </w:rPr>
      <w:t>134</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A66007" w14:textId="77777777" w:rsidR="005A5524" w:rsidRDefault="005A5524" w:rsidP="00530E7A">
      <w:pPr>
        <w:spacing w:after="0" w:line="240" w:lineRule="auto"/>
      </w:pPr>
      <w:r>
        <w:separator/>
      </w:r>
    </w:p>
  </w:footnote>
  <w:footnote w:type="continuationSeparator" w:id="0">
    <w:p w14:paraId="394F4BFC" w14:textId="77777777" w:rsidR="005A5524" w:rsidRDefault="005A5524" w:rsidP="00530E7A">
      <w:pPr>
        <w:spacing w:after="0" w:line="240" w:lineRule="auto"/>
      </w:pPr>
      <w:r>
        <w:continuationSeparator/>
      </w:r>
    </w:p>
  </w:footnote>
  <w:footnote w:id="1">
    <w:p w14:paraId="49E0C797" w14:textId="77777777" w:rsidR="00462C23" w:rsidRPr="0031280C" w:rsidRDefault="00462C23" w:rsidP="00530E7A">
      <w:pPr>
        <w:rPr>
          <w:rFonts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4F55C099" w14:textId="77777777" w:rsidR="00462C23" w:rsidRPr="0031280C" w:rsidRDefault="00462C23" w:rsidP="00530E7A">
      <w:pPr>
        <w:rPr>
          <w:rFonts w:cs="Palatino Linotype"/>
          <w:color w:val="000000"/>
          <w:sz w:val="20"/>
          <w:szCs w:val="20"/>
        </w:rPr>
      </w:pPr>
    </w:p>
    <w:p w14:paraId="27CA9822" w14:textId="77777777" w:rsidR="00462C23" w:rsidRPr="0031280C" w:rsidRDefault="00462C23" w:rsidP="00530E7A">
      <w:pPr>
        <w:rPr>
          <w:rFonts w:cs="Palatino Linotype"/>
          <w:b/>
          <w:i/>
          <w:sz w:val="20"/>
          <w:szCs w:val="20"/>
        </w:rPr>
      </w:pPr>
      <w:r w:rsidRPr="0031280C">
        <w:rPr>
          <w:rFonts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223B0F12" w14:textId="77777777" w:rsidR="00462C23" w:rsidRPr="00783A97" w:rsidRDefault="00462C23" w:rsidP="00530E7A">
      <w:pPr>
        <w:jc w:val="both"/>
        <w:rPr>
          <w:rFonts w:cs="Palatino Linotype"/>
          <w:i/>
          <w:sz w:val="20"/>
          <w:szCs w:val="20"/>
        </w:rPr>
      </w:pPr>
      <w:r w:rsidRPr="0031280C">
        <w:rPr>
          <w:rFonts w:cs="Palatino Linotype"/>
          <w:i/>
          <w:sz w:val="20"/>
          <w:szCs w:val="20"/>
        </w:rPr>
        <w:t>Del examen de compatibilidad de los artículos</w:t>
      </w:r>
      <w:r>
        <w:rPr>
          <w:rFonts w:cs="Palatino Linotype"/>
          <w:i/>
          <w:sz w:val="20"/>
          <w:szCs w:val="20"/>
        </w:rPr>
        <w:t xml:space="preserve"> </w:t>
      </w:r>
      <w:hyperlink r:id="rId1">
        <w:r w:rsidRPr="0031280C">
          <w:rPr>
            <w:rFonts w:cs="Palatino Linotype"/>
            <w:i/>
            <w:color w:val="000000"/>
            <w:sz w:val="20"/>
            <w:szCs w:val="20"/>
            <w:u w:val="single"/>
          </w:rPr>
          <w:t>73 y 74 de la Ley de Amparo</w:t>
        </w:r>
      </w:hyperlink>
      <w:r>
        <w:rPr>
          <w:rFonts w:cs="Palatino Linotype"/>
          <w:i/>
          <w:sz w:val="20"/>
          <w:szCs w:val="20"/>
        </w:rPr>
        <w:t xml:space="preserve"> </w:t>
      </w:r>
      <w:r w:rsidRPr="0031280C">
        <w:rPr>
          <w:rFonts w:cs="Palatino Linotype"/>
          <w:i/>
          <w:sz w:val="20"/>
          <w:szCs w:val="20"/>
        </w:rPr>
        <w:t>con el artículo</w:t>
      </w:r>
      <w:r>
        <w:rPr>
          <w:rFonts w:cs="Palatino Linotype"/>
          <w:i/>
          <w:sz w:val="20"/>
          <w:szCs w:val="20"/>
        </w:rPr>
        <w:t xml:space="preserve"> </w:t>
      </w:r>
      <w:hyperlink r:id="rId2">
        <w:r w:rsidRPr="0031280C">
          <w:rPr>
            <w:rFonts w:cs="Palatino Linotype"/>
            <w:i/>
            <w:color w:val="000000"/>
            <w:sz w:val="20"/>
            <w:szCs w:val="20"/>
            <w:u w:val="single"/>
          </w:rPr>
          <w:t>25.1 de la Convención Americana sobre Derechos Humanos</w:t>
        </w:r>
      </w:hyperlink>
      <w:r>
        <w:rPr>
          <w:rFonts w:cs="Palatino Linotype"/>
          <w:i/>
          <w:sz w:val="20"/>
          <w:szCs w:val="20"/>
        </w:rPr>
        <w:t xml:space="preserve"> </w:t>
      </w:r>
      <w:r w:rsidRPr="0031280C">
        <w:rPr>
          <w:rFonts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2">
    <w:p w14:paraId="4EBDDA4A" w14:textId="77777777" w:rsidR="00462C23" w:rsidRDefault="00462C23">
      <w:pPr>
        <w:pStyle w:val="Textonotapie"/>
      </w:pPr>
      <w:r>
        <w:rPr>
          <w:rStyle w:val="Refdenotaalpie"/>
        </w:rPr>
        <w:footnoteRef/>
      </w:r>
      <w:r>
        <w:t xml:space="preserve"> </w:t>
      </w:r>
      <w:hyperlink r:id="rId3" w:history="1">
        <w:r w:rsidRPr="00C678FB">
          <w:rPr>
            <w:rStyle w:val="Hipervnculo"/>
            <w:rFonts w:ascii="Palatino Linotype" w:hAnsi="Palatino Linotype" w:cstheme="minorBidi"/>
            <w:i/>
            <w:sz w:val="16"/>
            <w:szCs w:val="16"/>
          </w:rPr>
          <w:t>https://administracionyfinanzasplem.gob.mx/uinfosec/DirRaiz/Public/46IU7C5F_ARELLANO_OCAMPO_HONORIA_CAP.pdf</w:t>
        </w:r>
      </w:hyperlink>
      <w:r w:rsidRPr="00C678FB">
        <w:rPr>
          <w:rFonts w:ascii="Palatino Linotype" w:hAnsi="Palatino Linotype"/>
          <w:i/>
          <w:sz w:val="16"/>
          <w:szCs w:val="16"/>
        </w:rPr>
        <w:t xml:space="preserve"> </w:t>
      </w:r>
    </w:p>
  </w:footnote>
  <w:footnote w:id="3">
    <w:p w14:paraId="646C1DED" w14:textId="77777777" w:rsidR="00462C23" w:rsidRDefault="00462C23" w:rsidP="00530E7A">
      <w:pPr>
        <w:pStyle w:val="Textonotapie"/>
      </w:pPr>
      <w:r>
        <w:rPr>
          <w:rStyle w:val="Refdenotaalpie"/>
          <w:rFonts w:eastAsiaTheme="majorEastAsia"/>
        </w:rPr>
        <w:footnoteRef/>
      </w:r>
      <w:r>
        <w:t xml:space="preserve"> </w:t>
      </w:r>
      <w:hyperlink r:id="rId4" w:history="1">
        <w:r w:rsidRPr="00ED0BBC">
          <w:rPr>
            <w:rStyle w:val="Hipervnculo"/>
            <w:rFonts w:ascii="Palatino Linotype" w:eastAsiaTheme="majorEastAsia" w:hAnsi="Palatino Linotype"/>
            <w:i/>
            <w:sz w:val="16"/>
            <w:szCs w:val="16"/>
          </w:rPr>
          <w:t>https://www.rae.es/dpd/curriculum%20vitae</w:t>
        </w:r>
      </w:hyperlink>
      <w:r>
        <w:t xml:space="preserve"> </w:t>
      </w:r>
    </w:p>
  </w:footnote>
  <w:footnote w:id="4">
    <w:p w14:paraId="22C4ED28" w14:textId="77777777" w:rsidR="00462C23" w:rsidRPr="00FA182C" w:rsidRDefault="00462C23" w:rsidP="00971BDF">
      <w:pPr>
        <w:pStyle w:val="Textonotapie"/>
        <w:rPr>
          <w:rFonts w:ascii="Palatino Linotype" w:hAnsi="Palatino Linotype"/>
          <w:sz w:val="18"/>
          <w:szCs w:val="18"/>
        </w:rPr>
      </w:pPr>
      <w:r>
        <w:rPr>
          <w:rStyle w:val="Refdenotaalpie"/>
        </w:rPr>
        <w:footnoteRef/>
      </w:r>
      <w:r>
        <w:t xml:space="preserve"> </w:t>
      </w:r>
      <w:r w:rsidRPr="00FA182C">
        <w:rPr>
          <w:rFonts w:ascii="Palatino Linotype" w:hAnsi="Palatino Linotype"/>
          <w:sz w:val="18"/>
          <w:szCs w:val="18"/>
        </w:rPr>
        <w:t>Artículo 50, Ley de Transparencia y Acceso a la Información Pública del Estado de México y Municipios.</w:t>
      </w:r>
    </w:p>
  </w:footnote>
  <w:footnote w:id="5">
    <w:p w14:paraId="77CAEC1F" w14:textId="77777777" w:rsidR="00462C23" w:rsidRDefault="00462C23" w:rsidP="00971BDF">
      <w:pPr>
        <w:pStyle w:val="Textonotapie"/>
      </w:pPr>
      <w:r w:rsidRPr="00FA182C">
        <w:rPr>
          <w:rStyle w:val="Refdenotaalpie"/>
          <w:sz w:val="18"/>
          <w:szCs w:val="18"/>
        </w:rPr>
        <w:footnoteRef/>
      </w:r>
      <w:r w:rsidRPr="00FA182C">
        <w:rPr>
          <w:rFonts w:ascii="Palatino Linotype" w:hAnsi="Palatino Linotype"/>
          <w:sz w:val="18"/>
          <w:szCs w:val="18"/>
        </w:rPr>
        <w:t xml:space="preserve"> Artículo 51, Ídem.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0F820A" w14:textId="77777777" w:rsidR="00462C23" w:rsidRDefault="005A5524">
    <w:pPr>
      <w:pStyle w:val="Encabezado"/>
    </w:pPr>
    <w:r>
      <w:rPr>
        <w:noProof/>
        <w:lang w:val="es-MX" w:eastAsia="es-MX"/>
      </w:rPr>
      <w:pict w14:anchorId="215387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49" type="#_x0000_t75" style="position:absolute;left:0;text-align:left;margin-left:0;margin-top:0;width:609.4pt;height:793.75pt;z-index:-251658752;mso-wrap-edited:f;mso-position-horizontal:center;mso-position-horizontal-relative:margin;mso-position-vertical:center;mso-position-vertical-relative:margin" o:allowincell="f">
          <v:imagedata r:id="rId1" o:titl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462C23" w:rsidRPr="00B17577" w14:paraId="1D6F9180" w14:textId="77777777" w:rsidTr="00965024">
      <w:trPr>
        <w:trHeight w:val="227"/>
      </w:trPr>
      <w:tc>
        <w:tcPr>
          <w:tcW w:w="5103" w:type="dxa"/>
          <w:hideMark/>
        </w:tcPr>
        <w:p w14:paraId="4E9E670B" w14:textId="77777777" w:rsidR="00462C23" w:rsidRPr="00F70BDE" w:rsidRDefault="00462C23" w:rsidP="00965024">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395" w:type="dxa"/>
          <w:hideMark/>
        </w:tcPr>
        <w:p w14:paraId="2DE3F660" w14:textId="77777777" w:rsidR="00462C23" w:rsidRPr="00F70BDE" w:rsidRDefault="00462C23" w:rsidP="00965024">
          <w:pPr>
            <w:spacing w:after="120" w:line="240" w:lineRule="auto"/>
            <w:ind w:right="71"/>
            <w:jc w:val="right"/>
            <w:rPr>
              <w:rFonts w:ascii="Palatino Linotype" w:hAnsi="Palatino Linotype" w:cs="Arial"/>
              <w:b/>
              <w:sz w:val="24"/>
              <w:szCs w:val="24"/>
            </w:rPr>
          </w:pPr>
          <w:r>
            <w:rPr>
              <w:rFonts w:ascii="Palatino Linotype" w:hAnsi="Palatino Linotype" w:cs="Arial"/>
              <w:b/>
              <w:bCs/>
              <w:sz w:val="24"/>
              <w:szCs w:val="24"/>
            </w:rPr>
            <w:t>10585/INFOEM/IP/RR/2025 y acumulado</w:t>
          </w:r>
        </w:p>
      </w:tc>
    </w:tr>
    <w:tr w:rsidR="00462C23" w14:paraId="1D64B03D" w14:textId="77777777" w:rsidTr="00965024">
      <w:trPr>
        <w:trHeight w:val="242"/>
      </w:trPr>
      <w:tc>
        <w:tcPr>
          <w:tcW w:w="5103" w:type="dxa"/>
          <w:hideMark/>
        </w:tcPr>
        <w:p w14:paraId="5C2DA00F" w14:textId="77777777" w:rsidR="00462C23" w:rsidRPr="00F70BDE" w:rsidRDefault="00462C23" w:rsidP="00965024">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395" w:type="dxa"/>
          <w:hideMark/>
        </w:tcPr>
        <w:p w14:paraId="5D624101" w14:textId="77777777" w:rsidR="00462C23" w:rsidRPr="00F70BDE" w:rsidRDefault="00462C23" w:rsidP="00965024">
          <w:pPr>
            <w:spacing w:after="120" w:line="240" w:lineRule="auto"/>
            <w:ind w:left="-81" w:right="71"/>
            <w:jc w:val="right"/>
            <w:rPr>
              <w:rFonts w:ascii="Palatino Linotype" w:hAnsi="Palatino Linotype" w:cs="Arial"/>
              <w:sz w:val="24"/>
              <w:szCs w:val="24"/>
            </w:rPr>
          </w:pPr>
          <w:r w:rsidRPr="00965024">
            <w:rPr>
              <w:rFonts w:ascii="Palatino Linotype" w:hAnsi="Palatino Linotype"/>
              <w:b/>
              <w:bCs/>
              <w:color w:val="000000"/>
              <w:sz w:val="24"/>
              <w:szCs w:val="24"/>
            </w:rPr>
            <w:t>Instituto de Salud del Estado de México</w:t>
          </w:r>
        </w:p>
      </w:tc>
    </w:tr>
    <w:tr w:rsidR="00462C23" w:rsidRPr="00F63239" w14:paraId="4ECE41E0" w14:textId="77777777" w:rsidTr="00965024">
      <w:trPr>
        <w:trHeight w:val="342"/>
      </w:trPr>
      <w:tc>
        <w:tcPr>
          <w:tcW w:w="5103" w:type="dxa"/>
          <w:hideMark/>
        </w:tcPr>
        <w:p w14:paraId="3AC9C4B7" w14:textId="77777777" w:rsidR="00462C23" w:rsidRPr="00F70BDE" w:rsidRDefault="00462C23" w:rsidP="00965024">
          <w:pPr>
            <w:tabs>
              <w:tab w:val="left" w:pos="4892"/>
            </w:tabs>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395" w:type="dxa"/>
          <w:hideMark/>
        </w:tcPr>
        <w:p w14:paraId="698C6EEE" w14:textId="77777777" w:rsidR="00462C23" w:rsidRPr="00F70BDE" w:rsidRDefault="00462C23" w:rsidP="00965024">
          <w:pPr>
            <w:spacing w:after="120" w:line="240" w:lineRule="auto"/>
            <w:ind w:left="-486" w:right="71" w:firstLine="567"/>
            <w:jc w:val="right"/>
            <w:rPr>
              <w:rFonts w:ascii="Palatino Linotype" w:hAnsi="Palatino Linotype" w:cs="Arial"/>
              <w:sz w:val="24"/>
              <w:szCs w:val="24"/>
            </w:rPr>
          </w:pPr>
          <w:r w:rsidRPr="00F70BDE">
            <w:rPr>
              <w:rFonts w:ascii="Palatino Linotype" w:hAnsi="Palatino Linotype" w:cs="Arial"/>
              <w:sz w:val="24"/>
              <w:szCs w:val="24"/>
            </w:rPr>
            <w:t>José Martínez Vilchis</w:t>
          </w:r>
        </w:p>
        <w:p w14:paraId="4B88811E" w14:textId="77777777" w:rsidR="00462C23" w:rsidRPr="00F70BDE" w:rsidRDefault="00462C23" w:rsidP="00965024">
          <w:pPr>
            <w:spacing w:after="120" w:line="240" w:lineRule="auto"/>
            <w:ind w:left="-486" w:right="71" w:firstLine="567"/>
            <w:jc w:val="right"/>
            <w:rPr>
              <w:rFonts w:ascii="Palatino Linotype" w:hAnsi="Palatino Linotype" w:cs="Arial"/>
              <w:sz w:val="24"/>
              <w:szCs w:val="24"/>
            </w:rPr>
          </w:pPr>
        </w:p>
      </w:tc>
    </w:tr>
  </w:tbl>
  <w:p w14:paraId="59C21061" w14:textId="77777777" w:rsidR="00462C23" w:rsidRPr="00871A91" w:rsidRDefault="005A5524">
    <w:pPr>
      <w:pStyle w:val="Encabezado"/>
      <w:rPr>
        <w:sz w:val="2"/>
      </w:rPr>
    </w:pPr>
    <w:r>
      <w:rPr>
        <w:noProof/>
        <w:lang w:val="es-MX" w:eastAsia="es-MX"/>
      </w:rPr>
      <w:pict w14:anchorId="1C88DF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8" o:spid="_x0000_s2050" type="#_x0000_t75" style="position:absolute;left:0;text-align:left;margin-left:-81.55pt;margin-top:-142.95pt;width:609.4pt;height:793.75pt;z-index:-251657728;mso-wrap-edited:f;mso-position-horizontal-relative:margin;mso-position-vertical-relative:margin" o:allowincell="f">
          <v:imagedata r:id="rId1" o:title=""/>
          <w10:wrap anchorx="margin" anchory="margin"/>
        </v:shape>
      </w:pict>
    </w:r>
    <w:r w:rsidR="00462C23">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462C23" w:rsidRPr="00F70BDE" w14:paraId="16DB5675" w14:textId="77777777" w:rsidTr="00965024">
      <w:trPr>
        <w:trHeight w:val="227"/>
      </w:trPr>
      <w:tc>
        <w:tcPr>
          <w:tcW w:w="5103" w:type="dxa"/>
          <w:hideMark/>
        </w:tcPr>
        <w:p w14:paraId="15E6D7D3" w14:textId="77777777" w:rsidR="00462C23" w:rsidRPr="00F70BDE" w:rsidRDefault="00462C23" w:rsidP="00965024">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395" w:type="dxa"/>
          <w:hideMark/>
        </w:tcPr>
        <w:p w14:paraId="53F270B9" w14:textId="77777777" w:rsidR="00462C23" w:rsidRPr="00F70BDE" w:rsidRDefault="00462C23" w:rsidP="00965024">
          <w:pPr>
            <w:spacing w:after="120" w:line="240" w:lineRule="auto"/>
            <w:ind w:left="-486" w:right="68" w:firstLine="558"/>
            <w:jc w:val="right"/>
            <w:rPr>
              <w:rFonts w:ascii="Palatino Linotype" w:hAnsi="Palatino Linotype" w:cs="Arial"/>
              <w:b/>
              <w:bCs/>
              <w:sz w:val="24"/>
              <w:szCs w:val="24"/>
            </w:rPr>
          </w:pPr>
          <w:r>
            <w:rPr>
              <w:rFonts w:ascii="Palatino Linotype" w:hAnsi="Palatino Linotype" w:cs="Arial"/>
              <w:b/>
              <w:bCs/>
              <w:sz w:val="24"/>
              <w:szCs w:val="24"/>
            </w:rPr>
            <w:t>10585/INFOEM/IP/RR/2025 y acumulado</w:t>
          </w:r>
        </w:p>
      </w:tc>
    </w:tr>
    <w:tr w:rsidR="00462C23" w:rsidRPr="00F70BDE" w14:paraId="3DF00F5A" w14:textId="77777777" w:rsidTr="00965024">
      <w:trPr>
        <w:trHeight w:val="227"/>
      </w:trPr>
      <w:tc>
        <w:tcPr>
          <w:tcW w:w="5103" w:type="dxa"/>
        </w:tcPr>
        <w:p w14:paraId="77907388" w14:textId="77777777" w:rsidR="00462C23" w:rsidRPr="00F70BDE" w:rsidRDefault="00462C23" w:rsidP="00965024">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 xml:space="preserve">Recurrente:     </w:t>
          </w:r>
        </w:p>
      </w:tc>
      <w:tc>
        <w:tcPr>
          <w:tcW w:w="4395" w:type="dxa"/>
        </w:tcPr>
        <w:p w14:paraId="7BAD2EF9" w14:textId="47E4EC4F" w:rsidR="00462C23" w:rsidRPr="00893BF2" w:rsidRDefault="00C12108" w:rsidP="00965024">
          <w:pPr>
            <w:jc w:val="right"/>
            <w:rPr>
              <w:rFonts w:ascii="Palatino Linotype" w:hAnsi="Palatino Linotype"/>
              <w:sz w:val="24"/>
              <w:szCs w:val="24"/>
            </w:rPr>
          </w:pPr>
          <w:r>
            <w:rPr>
              <w:rFonts w:ascii="Palatino Linotype" w:hAnsi="Palatino Linotype"/>
              <w:sz w:val="24"/>
              <w:szCs w:val="24"/>
            </w:rPr>
            <w:t>XXXXXXXXXXX</w:t>
          </w:r>
          <w:r w:rsidR="00462C23">
            <w:rPr>
              <w:rFonts w:ascii="Palatino Linotype" w:hAnsi="Palatino Linotype"/>
              <w:sz w:val="24"/>
              <w:szCs w:val="24"/>
            </w:rPr>
            <w:t xml:space="preserve"> </w:t>
          </w:r>
        </w:p>
      </w:tc>
    </w:tr>
    <w:tr w:rsidR="00462C23" w:rsidRPr="00F70BDE" w14:paraId="6737264F" w14:textId="77777777" w:rsidTr="00965024">
      <w:trPr>
        <w:trHeight w:val="242"/>
      </w:trPr>
      <w:tc>
        <w:tcPr>
          <w:tcW w:w="5103" w:type="dxa"/>
          <w:hideMark/>
        </w:tcPr>
        <w:p w14:paraId="3D89C424" w14:textId="77777777" w:rsidR="00462C23" w:rsidRPr="00F70BDE" w:rsidRDefault="00462C23" w:rsidP="00965024">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395" w:type="dxa"/>
          <w:hideMark/>
        </w:tcPr>
        <w:p w14:paraId="693667C0" w14:textId="77777777" w:rsidR="00462C23" w:rsidRPr="00965024" w:rsidRDefault="00462C23" w:rsidP="00965024">
          <w:pPr>
            <w:spacing w:after="120" w:line="240" w:lineRule="auto"/>
            <w:ind w:left="-70" w:right="68"/>
            <w:jc w:val="right"/>
            <w:rPr>
              <w:rFonts w:ascii="Palatino Linotype" w:hAnsi="Palatino Linotype" w:cs="Arial"/>
              <w:sz w:val="24"/>
              <w:szCs w:val="24"/>
            </w:rPr>
          </w:pPr>
          <w:r w:rsidRPr="00965024">
            <w:rPr>
              <w:rFonts w:ascii="Palatino Linotype" w:hAnsi="Palatino Linotype"/>
              <w:b/>
              <w:bCs/>
              <w:color w:val="000000"/>
              <w:sz w:val="24"/>
              <w:szCs w:val="24"/>
            </w:rPr>
            <w:t>Instituto de Salud del Estado de México</w:t>
          </w:r>
        </w:p>
      </w:tc>
    </w:tr>
    <w:tr w:rsidR="00462C23" w:rsidRPr="00F70BDE" w14:paraId="6D475392" w14:textId="77777777" w:rsidTr="00965024">
      <w:trPr>
        <w:trHeight w:val="342"/>
      </w:trPr>
      <w:tc>
        <w:tcPr>
          <w:tcW w:w="5103" w:type="dxa"/>
          <w:hideMark/>
        </w:tcPr>
        <w:p w14:paraId="49C5A4AD" w14:textId="77777777" w:rsidR="00462C23" w:rsidRPr="00F70BDE" w:rsidRDefault="00462C23" w:rsidP="00965024">
          <w:pPr>
            <w:tabs>
              <w:tab w:val="left" w:pos="4892"/>
            </w:tabs>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395" w:type="dxa"/>
          <w:hideMark/>
        </w:tcPr>
        <w:p w14:paraId="3E4B63FA" w14:textId="77777777" w:rsidR="00462C23" w:rsidRPr="00F70BDE" w:rsidRDefault="00462C23" w:rsidP="00965024">
          <w:pPr>
            <w:spacing w:after="120" w:line="240" w:lineRule="auto"/>
            <w:ind w:left="-486" w:right="68" w:firstLine="567"/>
            <w:jc w:val="right"/>
            <w:rPr>
              <w:rFonts w:ascii="Palatino Linotype" w:hAnsi="Palatino Linotype" w:cs="Arial"/>
              <w:sz w:val="24"/>
              <w:szCs w:val="24"/>
            </w:rPr>
          </w:pPr>
          <w:r w:rsidRPr="00F70BDE">
            <w:rPr>
              <w:rFonts w:ascii="Palatino Linotype" w:hAnsi="Palatino Linotype" w:cs="Arial"/>
              <w:sz w:val="24"/>
              <w:szCs w:val="24"/>
            </w:rPr>
            <w:t>José Martínez Vilchis</w:t>
          </w:r>
        </w:p>
      </w:tc>
    </w:tr>
  </w:tbl>
  <w:p w14:paraId="645DFB80" w14:textId="77777777" w:rsidR="00462C23" w:rsidRPr="00871A91" w:rsidRDefault="00462C23">
    <w:pPr>
      <w:pStyle w:val="Encabezado"/>
      <w:rPr>
        <w:sz w:val="2"/>
      </w:rPr>
    </w:pPr>
    <w:r>
      <w:rPr>
        <w:noProof/>
        <w:lang w:val="es-MX" w:eastAsia="es-MX"/>
      </w:rPr>
      <w:drawing>
        <wp:anchor distT="0" distB="0" distL="114300" distR="114300" simplePos="0" relativeHeight="251656704" behindDoc="1" locked="0" layoutInCell="0" allowOverlap="1" wp14:anchorId="3933F7F3" wp14:editId="19BBEBDD">
          <wp:simplePos x="0" y="0"/>
          <wp:positionH relativeFrom="margin">
            <wp:posOffset>-1029970</wp:posOffset>
          </wp:positionH>
          <wp:positionV relativeFrom="margin">
            <wp:posOffset>-1807845</wp:posOffset>
          </wp:positionV>
          <wp:extent cx="7739380" cy="10080625"/>
          <wp:effectExtent l="0" t="0" r="0" b="0"/>
          <wp:wrapNone/>
          <wp:docPr id="1" name="Imagen 1" descr="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683A06"/>
    <w:multiLevelType w:val="hybridMultilevel"/>
    <w:tmpl w:val="79FC247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89A1F06"/>
    <w:multiLevelType w:val="multilevel"/>
    <w:tmpl w:val="CAACE13A"/>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9A663AE"/>
    <w:multiLevelType w:val="hybridMultilevel"/>
    <w:tmpl w:val="32C40F4C"/>
    <w:lvl w:ilvl="0" w:tplc="B1A81AB6">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3" w15:restartNumberingAfterBreak="0">
    <w:nsid w:val="0B8A52C9"/>
    <w:multiLevelType w:val="hybridMultilevel"/>
    <w:tmpl w:val="4394003C"/>
    <w:lvl w:ilvl="0" w:tplc="F724D386">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4" w15:restartNumberingAfterBreak="0">
    <w:nsid w:val="0E61607E"/>
    <w:multiLevelType w:val="hybridMultilevel"/>
    <w:tmpl w:val="F92E1E82"/>
    <w:lvl w:ilvl="0" w:tplc="EAD0DEB2">
      <w:start w:val="1"/>
      <w:numFmt w:val="bullet"/>
      <w:lvlText w:val="-"/>
      <w:lvlJc w:val="left"/>
      <w:pPr>
        <w:ind w:left="720" w:hanging="360"/>
      </w:pPr>
      <w:rPr>
        <w:rFonts w:ascii="Palatino Linotype" w:eastAsia="Times New Roman" w:hAnsi="Palatino Linotype"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E906513"/>
    <w:multiLevelType w:val="hybridMultilevel"/>
    <w:tmpl w:val="A94C4882"/>
    <w:lvl w:ilvl="0" w:tplc="080A0001">
      <w:start w:val="1"/>
      <w:numFmt w:val="bullet"/>
      <w:lvlText w:val=""/>
      <w:lvlJc w:val="left"/>
      <w:pPr>
        <w:ind w:left="1065" w:hanging="360"/>
      </w:pPr>
      <w:rPr>
        <w:rFonts w:ascii="Symbol" w:hAnsi="Symbol" w:hint="default"/>
      </w:rPr>
    </w:lvl>
    <w:lvl w:ilvl="1" w:tplc="080A0003">
      <w:start w:val="1"/>
      <w:numFmt w:val="bullet"/>
      <w:lvlText w:val="o"/>
      <w:lvlJc w:val="left"/>
      <w:pPr>
        <w:ind w:left="1785" w:hanging="360"/>
      </w:pPr>
      <w:rPr>
        <w:rFonts w:ascii="Courier New" w:hAnsi="Courier New" w:cs="Courier New" w:hint="default"/>
      </w:rPr>
    </w:lvl>
    <w:lvl w:ilvl="2" w:tplc="080A0005" w:tentative="1">
      <w:start w:val="1"/>
      <w:numFmt w:val="bullet"/>
      <w:lvlText w:val=""/>
      <w:lvlJc w:val="left"/>
      <w:pPr>
        <w:ind w:left="2505" w:hanging="360"/>
      </w:pPr>
      <w:rPr>
        <w:rFonts w:ascii="Wingdings" w:hAnsi="Wingdings" w:hint="default"/>
      </w:rPr>
    </w:lvl>
    <w:lvl w:ilvl="3" w:tplc="080A0001" w:tentative="1">
      <w:start w:val="1"/>
      <w:numFmt w:val="bullet"/>
      <w:lvlText w:val=""/>
      <w:lvlJc w:val="left"/>
      <w:pPr>
        <w:ind w:left="3225" w:hanging="360"/>
      </w:pPr>
      <w:rPr>
        <w:rFonts w:ascii="Symbol" w:hAnsi="Symbol" w:hint="default"/>
      </w:rPr>
    </w:lvl>
    <w:lvl w:ilvl="4" w:tplc="080A0003" w:tentative="1">
      <w:start w:val="1"/>
      <w:numFmt w:val="bullet"/>
      <w:lvlText w:val="o"/>
      <w:lvlJc w:val="left"/>
      <w:pPr>
        <w:ind w:left="3945" w:hanging="360"/>
      </w:pPr>
      <w:rPr>
        <w:rFonts w:ascii="Courier New" w:hAnsi="Courier New" w:cs="Courier New" w:hint="default"/>
      </w:rPr>
    </w:lvl>
    <w:lvl w:ilvl="5" w:tplc="080A0005" w:tentative="1">
      <w:start w:val="1"/>
      <w:numFmt w:val="bullet"/>
      <w:lvlText w:val=""/>
      <w:lvlJc w:val="left"/>
      <w:pPr>
        <w:ind w:left="4665" w:hanging="360"/>
      </w:pPr>
      <w:rPr>
        <w:rFonts w:ascii="Wingdings" w:hAnsi="Wingdings" w:hint="default"/>
      </w:rPr>
    </w:lvl>
    <w:lvl w:ilvl="6" w:tplc="080A0001" w:tentative="1">
      <w:start w:val="1"/>
      <w:numFmt w:val="bullet"/>
      <w:lvlText w:val=""/>
      <w:lvlJc w:val="left"/>
      <w:pPr>
        <w:ind w:left="5385" w:hanging="360"/>
      </w:pPr>
      <w:rPr>
        <w:rFonts w:ascii="Symbol" w:hAnsi="Symbol" w:hint="default"/>
      </w:rPr>
    </w:lvl>
    <w:lvl w:ilvl="7" w:tplc="080A0003" w:tentative="1">
      <w:start w:val="1"/>
      <w:numFmt w:val="bullet"/>
      <w:lvlText w:val="o"/>
      <w:lvlJc w:val="left"/>
      <w:pPr>
        <w:ind w:left="6105" w:hanging="360"/>
      </w:pPr>
      <w:rPr>
        <w:rFonts w:ascii="Courier New" w:hAnsi="Courier New" w:cs="Courier New" w:hint="default"/>
      </w:rPr>
    </w:lvl>
    <w:lvl w:ilvl="8" w:tplc="080A0005" w:tentative="1">
      <w:start w:val="1"/>
      <w:numFmt w:val="bullet"/>
      <w:lvlText w:val=""/>
      <w:lvlJc w:val="left"/>
      <w:pPr>
        <w:ind w:left="6825" w:hanging="360"/>
      </w:pPr>
      <w:rPr>
        <w:rFonts w:ascii="Wingdings" w:hAnsi="Wingdings" w:hint="default"/>
      </w:rPr>
    </w:lvl>
  </w:abstractNum>
  <w:abstractNum w:abstractNumId="6" w15:restartNumberingAfterBreak="0">
    <w:nsid w:val="115E6D91"/>
    <w:multiLevelType w:val="hybridMultilevel"/>
    <w:tmpl w:val="5F26BFF0"/>
    <w:lvl w:ilvl="0" w:tplc="E1364F7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16222C6"/>
    <w:multiLevelType w:val="hybridMultilevel"/>
    <w:tmpl w:val="976CA26A"/>
    <w:lvl w:ilvl="0" w:tplc="080A000F">
      <w:start w:val="1"/>
      <w:numFmt w:val="decimal"/>
      <w:lvlText w:val="%1."/>
      <w:lvlJc w:val="left"/>
      <w:pPr>
        <w:ind w:left="720" w:hanging="360"/>
      </w:pPr>
      <w:rPr>
        <w:rFonts w:hint="default"/>
      </w:rPr>
    </w:lvl>
    <w:lvl w:ilvl="1" w:tplc="A15CC698">
      <w:start w:val="1"/>
      <w:numFmt w:val="bullet"/>
      <w:lvlText w:val="-"/>
      <w:lvlJc w:val="left"/>
      <w:pPr>
        <w:ind w:left="1440" w:hanging="360"/>
      </w:pPr>
      <w:rPr>
        <w:rFonts w:ascii="Palatino Linotype" w:eastAsiaTheme="minorHAnsi" w:hAnsi="Palatino Linotype" w:cs="Arial" w:hint="default"/>
        <w:color w:val="auto"/>
      </w:rPr>
    </w:lvl>
    <w:lvl w:ilvl="2" w:tplc="080A001B">
      <w:start w:val="1"/>
      <w:numFmt w:val="lowerRoman"/>
      <w:lvlText w:val="%3."/>
      <w:lvlJc w:val="right"/>
      <w:pPr>
        <w:ind w:left="2160" w:hanging="180"/>
      </w:pPr>
    </w:lvl>
    <w:lvl w:ilvl="3" w:tplc="4D5AD616">
      <w:start w:val="1"/>
      <w:numFmt w:val="upperRoman"/>
      <w:lvlText w:val="%4."/>
      <w:lvlJc w:val="left"/>
      <w:pPr>
        <w:ind w:left="3240" w:hanging="72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4B34058"/>
    <w:multiLevelType w:val="hybridMultilevel"/>
    <w:tmpl w:val="6730FA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597667A"/>
    <w:multiLevelType w:val="hybridMultilevel"/>
    <w:tmpl w:val="638A1DB4"/>
    <w:lvl w:ilvl="0" w:tplc="331E6878">
      <w:start w:val="1"/>
      <w:numFmt w:val="bullet"/>
      <w:lvlText w:val=""/>
      <w:lvlJc w:val="left"/>
      <w:pPr>
        <w:ind w:left="720" w:hanging="360"/>
      </w:pPr>
      <w:rPr>
        <w:rFonts w:ascii="Symbol" w:eastAsiaTheme="minorHAnsi" w:hAnsi="Symbol" w:cs="Aria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FAA0599"/>
    <w:multiLevelType w:val="hybridMultilevel"/>
    <w:tmpl w:val="D16833AA"/>
    <w:lvl w:ilvl="0" w:tplc="43EADB98">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11" w15:restartNumberingAfterBreak="0">
    <w:nsid w:val="22DC056D"/>
    <w:multiLevelType w:val="hybridMultilevel"/>
    <w:tmpl w:val="09FEA73E"/>
    <w:lvl w:ilvl="0" w:tplc="A120DC04">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12" w15:restartNumberingAfterBreak="0">
    <w:nsid w:val="238733A1"/>
    <w:multiLevelType w:val="hybridMultilevel"/>
    <w:tmpl w:val="C35640EA"/>
    <w:lvl w:ilvl="0" w:tplc="BC3259F0">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13" w15:restartNumberingAfterBreak="0">
    <w:nsid w:val="274F2FB8"/>
    <w:multiLevelType w:val="hybridMultilevel"/>
    <w:tmpl w:val="D9EA8182"/>
    <w:lvl w:ilvl="0" w:tplc="34225414">
      <w:start w:val="1"/>
      <w:numFmt w:val="lowerLetter"/>
      <w:lvlText w:val="%1)"/>
      <w:lvlJc w:val="left"/>
      <w:pPr>
        <w:ind w:left="1836" w:hanging="360"/>
      </w:pPr>
      <w:rPr>
        <w:rFonts w:hint="default"/>
      </w:rPr>
    </w:lvl>
    <w:lvl w:ilvl="1" w:tplc="080A0019" w:tentative="1">
      <w:start w:val="1"/>
      <w:numFmt w:val="lowerLetter"/>
      <w:lvlText w:val="%2."/>
      <w:lvlJc w:val="left"/>
      <w:pPr>
        <w:ind w:left="2556" w:hanging="360"/>
      </w:pPr>
    </w:lvl>
    <w:lvl w:ilvl="2" w:tplc="080A001B" w:tentative="1">
      <w:start w:val="1"/>
      <w:numFmt w:val="lowerRoman"/>
      <w:lvlText w:val="%3."/>
      <w:lvlJc w:val="right"/>
      <w:pPr>
        <w:ind w:left="3276" w:hanging="180"/>
      </w:pPr>
    </w:lvl>
    <w:lvl w:ilvl="3" w:tplc="080A000F" w:tentative="1">
      <w:start w:val="1"/>
      <w:numFmt w:val="decimal"/>
      <w:lvlText w:val="%4."/>
      <w:lvlJc w:val="left"/>
      <w:pPr>
        <w:ind w:left="3996" w:hanging="360"/>
      </w:pPr>
    </w:lvl>
    <w:lvl w:ilvl="4" w:tplc="080A0019" w:tentative="1">
      <w:start w:val="1"/>
      <w:numFmt w:val="lowerLetter"/>
      <w:lvlText w:val="%5."/>
      <w:lvlJc w:val="left"/>
      <w:pPr>
        <w:ind w:left="4716" w:hanging="360"/>
      </w:pPr>
    </w:lvl>
    <w:lvl w:ilvl="5" w:tplc="080A001B" w:tentative="1">
      <w:start w:val="1"/>
      <w:numFmt w:val="lowerRoman"/>
      <w:lvlText w:val="%6."/>
      <w:lvlJc w:val="right"/>
      <w:pPr>
        <w:ind w:left="5436" w:hanging="180"/>
      </w:pPr>
    </w:lvl>
    <w:lvl w:ilvl="6" w:tplc="080A000F" w:tentative="1">
      <w:start w:val="1"/>
      <w:numFmt w:val="decimal"/>
      <w:lvlText w:val="%7."/>
      <w:lvlJc w:val="left"/>
      <w:pPr>
        <w:ind w:left="6156" w:hanging="360"/>
      </w:pPr>
    </w:lvl>
    <w:lvl w:ilvl="7" w:tplc="080A0019" w:tentative="1">
      <w:start w:val="1"/>
      <w:numFmt w:val="lowerLetter"/>
      <w:lvlText w:val="%8."/>
      <w:lvlJc w:val="left"/>
      <w:pPr>
        <w:ind w:left="6876" w:hanging="360"/>
      </w:pPr>
    </w:lvl>
    <w:lvl w:ilvl="8" w:tplc="080A001B" w:tentative="1">
      <w:start w:val="1"/>
      <w:numFmt w:val="lowerRoman"/>
      <w:lvlText w:val="%9."/>
      <w:lvlJc w:val="right"/>
      <w:pPr>
        <w:ind w:left="7596" w:hanging="180"/>
      </w:pPr>
    </w:lvl>
  </w:abstractNum>
  <w:abstractNum w:abstractNumId="14" w15:restartNumberingAfterBreak="0">
    <w:nsid w:val="27C44A25"/>
    <w:multiLevelType w:val="hybridMultilevel"/>
    <w:tmpl w:val="16308B40"/>
    <w:lvl w:ilvl="0" w:tplc="24D209A4">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15" w15:restartNumberingAfterBreak="0">
    <w:nsid w:val="27F351F6"/>
    <w:multiLevelType w:val="hybridMultilevel"/>
    <w:tmpl w:val="BBFAE992"/>
    <w:lvl w:ilvl="0" w:tplc="080A0001">
      <w:start w:val="1"/>
      <w:numFmt w:val="bullet"/>
      <w:lvlText w:val=""/>
      <w:lvlJc w:val="left"/>
      <w:pPr>
        <w:ind w:left="720" w:hanging="360"/>
      </w:pPr>
      <w:rPr>
        <w:rFonts w:ascii="Symbol" w:hAnsi="Symbol" w:hint="default"/>
      </w:rPr>
    </w:lvl>
    <w:lvl w:ilvl="1" w:tplc="080A0001">
      <w:start w:val="1"/>
      <w:numFmt w:val="bullet"/>
      <w:lvlText w:val=""/>
      <w:lvlJc w:val="left"/>
      <w:pPr>
        <w:ind w:left="1353" w:hanging="360"/>
      </w:pPr>
      <w:rPr>
        <w:rFonts w:ascii="Symbol" w:hAnsi="Symbo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2E8D1940"/>
    <w:multiLevelType w:val="hybridMultilevel"/>
    <w:tmpl w:val="5C5218C0"/>
    <w:lvl w:ilvl="0" w:tplc="32BCC3C8">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17" w15:restartNumberingAfterBreak="0">
    <w:nsid w:val="30543778"/>
    <w:multiLevelType w:val="hybridMultilevel"/>
    <w:tmpl w:val="E3E0C432"/>
    <w:lvl w:ilvl="0" w:tplc="FF668BFC">
      <w:start w:val="1"/>
      <w:numFmt w:val="upperRoman"/>
      <w:lvlText w:val="%1."/>
      <w:lvlJc w:val="left"/>
      <w:pPr>
        <w:ind w:left="1800" w:hanging="720"/>
      </w:pPr>
      <w:rPr>
        <w:rFonts w:cs="Times New Roman" w:hint="default"/>
      </w:rPr>
    </w:lvl>
    <w:lvl w:ilvl="1" w:tplc="080A0019" w:tentative="1">
      <w:start w:val="1"/>
      <w:numFmt w:val="lowerLetter"/>
      <w:lvlText w:val="%2."/>
      <w:lvlJc w:val="left"/>
      <w:pPr>
        <w:ind w:left="2160" w:hanging="360"/>
      </w:pPr>
      <w:rPr>
        <w:rFonts w:cs="Times New Roman"/>
      </w:rPr>
    </w:lvl>
    <w:lvl w:ilvl="2" w:tplc="080A001B" w:tentative="1">
      <w:start w:val="1"/>
      <w:numFmt w:val="lowerRoman"/>
      <w:lvlText w:val="%3."/>
      <w:lvlJc w:val="right"/>
      <w:pPr>
        <w:ind w:left="2880" w:hanging="180"/>
      </w:pPr>
      <w:rPr>
        <w:rFonts w:cs="Times New Roman"/>
      </w:rPr>
    </w:lvl>
    <w:lvl w:ilvl="3" w:tplc="080A000F" w:tentative="1">
      <w:start w:val="1"/>
      <w:numFmt w:val="decimal"/>
      <w:lvlText w:val="%4."/>
      <w:lvlJc w:val="left"/>
      <w:pPr>
        <w:ind w:left="3600" w:hanging="360"/>
      </w:pPr>
      <w:rPr>
        <w:rFonts w:cs="Times New Roman"/>
      </w:rPr>
    </w:lvl>
    <w:lvl w:ilvl="4" w:tplc="080A0019" w:tentative="1">
      <w:start w:val="1"/>
      <w:numFmt w:val="lowerLetter"/>
      <w:lvlText w:val="%5."/>
      <w:lvlJc w:val="left"/>
      <w:pPr>
        <w:ind w:left="4320" w:hanging="360"/>
      </w:pPr>
      <w:rPr>
        <w:rFonts w:cs="Times New Roman"/>
      </w:rPr>
    </w:lvl>
    <w:lvl w:ilvl="5" w:tplc="080A001B" w:tentative="1">
      <w:start w:val="1"/>
      <w:numFmt w:val="lowerRoman"/>
      <w:lvlText w:val="%6."/>
      <w:lvlJc w:val="right"/>
      <w:pPr>
        <w:ind w:left="5040" w:hanging="180"/>
      </w:pPr>
      <w:rPr>
        <w:rFonts w:cs="Times New Roman"/>
      </w:rPr>
    </w:lvl>
    <w:lvl w:ilvl="6" w:tplc="080A000F" w:tentative="1">
      <w:start w:val="1"/>
      <w:numFmt w:val="decimal"/>
      <w:lvlText w:val="%7."/>
      <w:lvlJc w:val="left"/>
      <w:pPr>
        <w:ind w:left="5760" w:hanging="360"/>
      </w:pPr>
      <w:rPr>
        <w:rFonts w:cs="Times New Roman"/>
      </w:rPr>
    </w:lvl>
    <w:lvl w:ilvl="7" w:tplc="080A0019" w:tentative="1">
      <w:start w:val="1"/>
      <w:numFmt w:val="lowerLetter"/>
      <w:lvlText w:val="%8."/>
      <w:lvlJc w:val="left"/>
      <w:pPr>
        <w:ind w:left="6480" w:hanging="360"/>
      </w:pPr>
      <w:rPr>
        <w:rFonts w:cs="Times New Roman"/>
      </w:rPr>
    </w:lvl>
    <w:lvl w:ilvl="8" w:tplc="080A001B" w:tentative="1">
      <w:start w:val="1"/>
      <w:numFmt w:val="lowerRoman"/>
      <w:lvlText w:val="%9."/>
      <w:lvlJc w:val="right"/>
      <w:pPr>
        <w:ind w:left="7200" w:hanging="180"/>
      </w:pPr>
      <w:rPr>
        <w:rFonts w:cs="Times New Roman"/>
      </w:rPr>
    </w:lvl>
  </w:abstractNum>
  <w:abstractNum w:abstractNumId="18" w15:restartNumberingAfterBreak="0">
    <w:nsid w:val="30804E49"/>
    <w:multiLevelType w:val="hybridMultilevel"/>
    <w:tmpl w:val="54DABAA6"/>
    <w:lvl w:ilvl="0" w:tplc="F2483AA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2F5139D"/>
    <w:multiLevelType w:val="hybridMultilevel"/>
    <w:tmpl w:val="00E23668"/>
    <w:lvl w:ilvl="0" w:tplc="4A900EF4">
      <w:numFmt w:val="bullet"/>
      <w:lvlText w:val=""/>
      <w:lvlJc w:val="left"/>
      <w:pPr>
        <w:ind w:left="720" w:hanging="360"/>
      </w:pPr>
      <w:rPr>
        <w:rFonts w:ascii="Symbol" w:eastAsiaTheme="minorHAnsi" w:hAnsi="Symbol" w:cs="Aria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3398076E"/>
    <w:multiLevelType w:val="hybridMultilevel"/>
    <w:tmpl w:val="1674AA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34D208CF"/>
    <w:multiLevelType w:val="hybridMultilevel"/>
    <w:tmpl w:val="6466FCC6"/>
    <w:lvl w:ilvl="0" w:tplc="C8169A16">
      <w:start w:val="1"/>
      <w:numFmt w:val="bullet"/>
      <w:lvlText w:val=""/>
      <w:lvlJc w:val="left"/>
      <w:pPr>
        <w:ind w:left="720" w:hanging="360"/>
      </w:pPr>
      <w:rPr>
        <w:rFonts w:ascii="Symbol" w:hAnsi="Symbol" w:hint="default"/>
        <w:b/>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2" w15:restartNumberingAfterBreak="0">
    <w:nsid w:val="36406E75"/>
    <w:multiLevelType w:val="hybridMultilevel"/>
    <w:tmpl w:val="90569F34"/>
    <w:lvl w:ilvl="0" w:tplc="DDA0DFD6">
      <w:start w:val="1"/>
      <w:numFmt w:val="lowerLetter"/>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23" w15:restartNumberingAfterBreak="0">
    <w:nsid w:val="38106A63"/>
    <w:multiLevelType w:val="hybridMultilevel"/>
    <w:tmpl w:val="0EE82BEE"/>
    <w:lvl w:ilvl="0" w:tplc="03704C3C">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4" w15:restartNumberingAfterBreak="0">
    <w:nsid w:val="382A579E"/>
    <w:multiLevelType w:val="hybridMultilevel"/>
    <w:tmpl w:val="FF74CA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395F1E70"/>
    <w:multiLevelType w:val="multilevel"/>
    <w:tmpl w:val="E3C23E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39D31D70"/>
    <w:multiLevelType w:val="hybridMultilevel"/>
    <w:tmpl w:val="7F60EEE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D291187"/>
    <w:multiLevelType w:val="hybridMultilevel"/>
    <w:tmpl w:val="B6EE66F2"/>
    <w:lvl w:ilvl="0" w:tplc="A98E3C54">
      <w:start w:val="1"/>
      <w:numFmt w:val="decimal"/>
      <w:lvlText w:val="%1."/>
      <w:lvlJc w:val="left"/>
      <w:pPr>
        <w:ind w:left="1080" w:hanging="360"/>
      </w:pPr>
      <w:rPr>
        <w:rFonts w:cs="Palatino Linotype"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8" w15:restartNumberingAfterBreak="0">
    <w:nsid w:val="3F154260"/>
    <w:multiLevelType w:val="hybridMultilevel"/>
    <w:tmpl w:val="49A23F4A"/>
    <w:lvl w:ilvl="0" w:tplc="FFFFFFFF">
      <w:start w:val="1"/>
      <w:numFmt w:val="decimal"/>
      <w:lvlText w:val="%1."/>
      <w:lvlJc w:val="left"/>
      <w:pPr>
        <w:ind w:left="0" w:firstLine="0"/>
      </w:pPr>
      <w:rPr>
        <w:rFonts w:ascii="Palatino Linotype" w:hAnsi="Palatino Linotype" w:hint="default"/>
        <w:b/>
        <w:i w:val="0"/>
        <w:sz w:val="24"/>
      </w:rPr>
    </w:lvl>
    <w:lvl w:ilvl="1" w:tplc="70529978">
      <w:start w:val="1"/>
      <w:numFmt w:val="upperRoman"/>
      <w:lvlText w:val="%2."/>
      <w:lvlJc w:val="right"/>
      <w:pPr>
        <w:ind w:left="1440" w:hanging="360"/>
      </w:pPr>
      <w:rPr>
        <w:b/>
        <w:bCs/>
      </w:rPr>
    </w:lvl>
    <w:lvl w:ilvl="2" w:tplc="FFFFFFFF">
      <w:start w:val="1"/>
      <w:numFmt w:val="bullet"/>
      <w:lvlText w:val=""/>
      <w:lvlJc w:val="left"/>
      <w:pPr>
        <w:ind w:left="2340" w:hanging="360"/>
      </w:pPr>
      <w:rPr>
        <w:rFonts w:ascii="Wingdings" w:hAnsi="Wingdings" w:cs="Wingdings" w:hint="default"/>
        <w:strike w:val="0"/>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27964EB"/>
    <w:multiLevelType w:val="hybridMultilevel"/>
    <w:tmpl w:val="1BD28FAC"/>
    <w:lvl w:ilvl="0" w:tplc="1BF00876">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30" w15:restartNumberingAfterBreak="0">
    <w:nsid w:val="43D919C7"/>
    <w:multiLevelType w:val="multilevel"/>
    <w:tmpl w:val="56F673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448A1264"/>
    <w:multiLevelType w:val="hybridMultilevel"/>
    <w:tmpl w:val="16FAC08C"/>
    <w:lvl w:ilvl="0" w:tplc="57FE2B94">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32" w15:restartNumberingAfterBreak="0">
    <w:nsid w:val="4651478E"/>
    <w:multiLevelType w:val="hybridMultilevel"/>
    <w:tmpl w:val="D38AD9D2"/>
    <w:lvl w:ilvl="0" w:tplc="FD44CB5A">
      <w:numFmt w:val="bullet"/>
      <w:lvlText w:val=""/>
      <w:lvlJc w:val="left"/>
      <w:pPr>
        <w:ind w:left="1080" w:hanging="360"/>
      </w:pPr>
      <w:rPr>
        <w:rFonts w:ascii="Symbol" w:eastAsiaTheme="majorEastAsia" w:hAnsi="Symbol" w:cs="Arial" w:hint="default"/>
        <w:b/>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3" w15:restartNumberingAfterBreak="0">
    <w:nsid w:val="48A82B51"/>
    <w:multiLevelType w:val="hybridMultilevel"/>
    <w:tmpl w:val="12AA75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49C25EDD"/>
    <w:multiLevelType w:val="hybridMultilevel"/>
    <w:tmpl w:val="22D8068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0">
    <w:nsid w:val="55FD0235"/>
    <w:multiLevelType w:val="hybridMultilevel"/>
    <w:tmpl w:val="9768F950"/>
    <w:lvl w:ilvl="0" w:tplc="A2C63500">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36" w15:restartNumberingAfterBreak="0">
    <w:nsid w:val="56716C9E"/>
    <w:multiLevelType w:val="hybridMultilevel"/>
    <w:tmpl w:val="FF6447C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575F11EB"/>
    <w:multiLevelType w:val="hybridMultilevel"/>
    <w:tmpl w:val="C75489EE"/>
    <w:lvl w:ilvl="0" w:tplc="807203B0">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38" w15:restartNumberingAfterBreak="0">
    <w:nsid w:val="59E4576E"/>
    <w:multiLevelType w:val="hybridMultilevel"/>
    <w:tmpl w:val="2E7EDCE2"/>
    <w:lvl w:ilvl="0" w:tplc="FDBCE1BA">
      <w:start w:val="1"/>
      <w:numFmt w:val="bullet"/>
      <w:lvlText w:val="-"/>
      <w:lvlJc w:val="left"/>
      <w:pPr>
        <w:ind w:left="1080" w:hanging="360"/>
      </w:pPr>
      <w:rPr>
        <w:rFonts w:ascii="Palatino Linotype" w:eastAsia="Times New Roman" w:hAnsi="Palatino Linotype" w:cs="Times New Roman"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9" w15:restartNumberingAfterBreak="0">
    <w:nsid w:val="623719EA"/>
    <w:multiLevelType w:val="hybridMultilevel"/>
    <w:tmpl w:val="BD46C3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631C077B"/>
    <w:multiLevelType w:val="hybridMultilevel"/>
    <w:tmpl w:val="4C1EAB26"/>
    <w:lvl w:ilvl="0" w:tplc="3ABEF784">
      <w:start w:val="1"/>
      <w:numFmt w:val="bullet"/>
      <w:lvlText w:val=""/>
      <w:lvlJc w:val="left"/>
      <w:pPr>
        <w:ind w:left="720" w:hanging="360"/>
      </w:pPr>
      <w:rPr>
        <w:rFonts w:ascii="Symbol" w:eastAsiaTheme="minorHAnsi" w:hAnsi="Symbol" w:cs="Arial" w:hint="default"/>
        <w:b/>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696D48DA"/>
    <w:multiLevelType w:val="hybridMultilevel"/>
    <w:tmpl w:val="E9420D6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6ADF3DF3"/>
    <w:multiLevelType w:val="hybridMultilevel"/>
    <w:tmpl w:val="1212AE30"/>
    <w:lvl w:ilvl="0" w:tplc="134210DC">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43" w15:restartNumberingAfterBreak="0">
    <w:nsid w:val="6D3138E1"/>
    <w:multiLevelType w:val="hybridMultilevel"/>
    <w:tmpl w:val="61602B34"/>
    <w:lvl w:ilvl="0" w:tplc="7BB66AAA">
      <w:numFmt w:val="bullet"/>
      <w:lvlText w:val=""/>
      <w:lvlJc w:val="left"/>
      <w:pPr>
        <w:ind w:left="720" w:hanging="360"/>
      </w:pPr>
      <w:rPr>
        <w:rFonts w:ascii="Symbol" w:eastAsia="Times New Roman" w:hAnsi="Symbol"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15:restartNumberingAfterBreak="0">
    <w:nsid w:val="76A85DB7"/>
    <w:multiLevelType w:val="hybridMultilevel"/>
    <w:tmpl w:val="C472D0A4"/>
    <w:lvl w:ilvl="0" w:tplc="665444F4">
      <w:numFmt w:val="bullet"/>
      <w:lvlText w:val=""/>
      <w:lvlJc w:val="left"/>
      <w:pPr>
        <w:ind w:left="720" w:hanging="360"/>
      </w:pPr>
      <w:rPr>
        <w:rFonts w:ascii="Symbol" w:eastAsiaTheme="minorHAnsi" w:hAnsi="Symbol" w:cs="Aria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15:restartNumberingAfterBreak="0">
    <w:nsid w:val="79C8437D"/>
    <w:multiLevelType w:val="hybridMultilevel"/>
    <w:tmpl w:val="6382CD62"/>
    <w:lvl w:ilvl="0" w:tplc="DBEEF388">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46" w15:restartNumberingAfterBreak="0">
    <w:nsid w:val="7CB33329"/>
    <w:multiLevelType w:val="hybridMultilevel"/>
    <w:tmpl w:val="E0D4E37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5"/>
  </w:num>
  <w:num w:numId="2">
    <w:abstractNumId w:val="31"/>
  </w:num>
  <w:num w:numId="3">
    <w:abstractNumId w:val="11"/>
  </w:num>
  <w:num w:numId="4">
    <w:abstractNumId w:val="20"/>
  </w:num>
  <w:num w:numId="5">
    <w:abstractNumId w:val="41"/>
  </w:num>
  <w:num w:numId="6">
    <w:abstractNumId w:val="30"/>
  </w:num>
  <w:num w:numId="7">
    <w:abstractNumId w:val="1"/>
  </w:num>
  <w:num w:numId="8">
    <w:abstractNumId w:val="36"/>
  </w:num>
  <w:num w:numId="9">
    <w:abstractNumId w:val="40"/>
  </w:num>
  <w:num w:numId="10">
    <w:abstractNumId w:val="35"/>
  </w:num>
  <w:num w:numId="11">
    <w:abstractNumId w:val="14"/>
  </w:num>
  <w:num w:numId="12">
    <w:abstractNumId w:val="2"/>
  </w:num>
  <w:num w:numId="13">
    <w:abstractNumId w:val="3"/>
  </w:num>
  <w:num w:numId="14">
    <w:abstractNumId w:val="45"/>
  </w:num>
  <w:num w:numId="15">
    <w:abstractNumId w:val="29"/>
  </w:num>
  <w:num w:numId="16">
    <w:abstractNumId w:val="37"/>
  </w:num>
  <w:num w:numId="17">
    <w:abstractNumId w:val="42"/>
  </w:num>
  <w:num w:numId="18">
    <w:abstractNumId w:val="16"/>
  </w:num>
  <w:num w:numId="19">
    <w:abstractNumId w:val="12"/>
  </w:num>
  <w:num w:numId="20">
    <w:abstractNumId w:val="46"/>
  </w:num>
  <w:num w:numId="21">
    <w:abstractNumId w:val="17"/>
  </w:num>
  <w:num w:numId="22">
    <w:abstractNumId w:val="23"/>
  </w:num>
  <w:num w:numId="23">
    <w:abstractNumId w:val="38"/>
  </w:num>
  <w:num w:numId="24">
    <w:abstractNumId w:val="9"/>
  </w:num>
  <w:num w:numId="25">
    <w:abstractNumId w:val="10"/>
  </w:num>
  <w:num w:numId="26">
    <w:abstractNumId w:val="25"/>
  </w:num>
  <w:num w:numId="27">
    <w:abstractNumId w:val="24"/>
  </w:num>
  <w:num w:numId="28">
    <w:abstractNumId w:val="18"/>
  </w:num>
  <w:num w:numId="29">
    <w:abstractNumId w:val="5"/>
  </w:num>
  <w:num w:numId="30">
    <w:abstractNumId w:val="7"/>
  </w:num>
  <w:num w:numId="31">
    <w:abstractNumId w:val="0"/>
  </w:num>
  <w:num w:numId="32">
    <w:abstractNumId w:val="6"/>
  </w:num>
  <w:num w:numId="33">
    <w:abstractNumId w:val="13"/>
  </w:num>
  <w:num w:numId="34">
    <w:abstractNumId w:val="22"/>
  </w:num>
  <w:num w:numId="35">
    <w:abstractNumId w:val="19"/>
  </w:num>
  <w:num w:numId="36">
    <w:abstractNumId w:val="43"/>
  </w:num>
  <w:num w:numId="37">
    <w:abstractNumId w:val="32"/>
  </w:num>
  <w:num w:numId="38">
    <w:abstractNumId w:val="44"/>
  </w:num>
  <w:num w:numId="39">
    <w:abstractNumId w:val="26"/>
  </w:num>
  <w:num w:numId="40">
    <w:abstractNumId w:val="4"/>
  </w:num>
  <w:num w:numId="41">
    <w:abstractNumId w:val="28"/>
  </w:num>
  <w:num w:numId="42">
    <w:abstractNumId w:val="27"/>
  </w:num>
  <w:num w:numId="43">
    <w:abstractNumId w:val="34"/>
  </w:num>
  <w:num w:numId="44">
    <w:abstractNumId w:val="33"/>
  </w:num>
  <w:num w:numId="45">
    <w:abstractNumId w:val="39"/>
  </w:num>
  <w:num w:numId="46">
    <w:abstractNumId w:val="21"/>
  </w:num>
  <w:num w:numId="4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E7A"/>
    <w:rsid w:val="000135B1"/>
    <w:rsid w:val="00050CDA"/>
    <w:rsid w:val="00053B55"/>
    <w:rsid w:val="00082A5E"/>
    <w:rsid w:val="000A2F58"/>
    <w:rsid w:val="00190794"/>
    <w:rsid w:val="001927CB"/>
    <w:rsid w:val="001B22FA"/>
    <w:rsid w:val="001E7B77"/>
    <w:rsid w:val="00212839"/>
    <w:rsid w:val="00274FB2"/>
    <w:rsid w:val="00287095"/>
    <w:rsid w:val="002A02BF"/>
    <w:rsid w:val="002D2376"/>
    <w:rsid w:val="002D3DAE"/>
    <w:rsid w:val="00300697"/>
    <w:rsid w:val="00313E8C"/>
    <w:rsid w:val="00355A84"/>
    <w:rsid w:val="0037340B"/>
    <w:rsid w:val="003B6359"/>
    <w:rsid w:val="003E0774"/>
    <w:rsid w:val="004511CB"/>
    <w:rsid w:val="00462C23"/>
    <w:rsid w:val="004C23D8"/>
    <w:rsid w:val="00514593"/>
    <w:rsid w:val="0051784B"/>
    <w:rsid w:val="00530E7A"/>
    <w:rsid w:val="00560BB0"/>
    <w:rsid w:val="005A5524"/>
    <w:rsid w:val="005B2D14"/>
    <w:rsid w:val="005C51CD"/>
    <w:rsid w:val="005E6EBD"/>
    <w:rsid w:val="00620FFD"/>
    <w:rsid w:val="006307AE"/>
    <w:rsid w:val="006634A3"/>
    <w:rsid w:val="00667C3E"/>
    <w:rsid w:val="00674FF0"/>
    <w:rsid w:val="0074542D"/>
    <w:rsid w:val="007456B7"/>
    <w:rsid w:val="0075564D"/>
    <w:rsid w:val="00763F28"/>
    <w:rsid w:val="007D32E1"/>
    <w:rsid w:val="007F58B9"/>
    <w:rsid w:val="008A0CF8"/>
    <w:rsid w:val="008A17C6"/>
    <w:rsid w:val="00903317"/>
    <w:rsid w:val="0092714F"/>
    <w:rsid w:val="00944C03"/>
    <w:rsid w:val="00965024"/>
    <w:rsid w:val="00971BDF"/>
    <w:rsid w:val="009C5BF0"/>
    <w:rsid w:val="009F1D37"/>
    <w:rsid w:val="009F25FC"/>
    <w:rsid w:val="00A21046"/>
    <w:rsid w:val="00A5228B"/>
    <w:rsid w:val="00A75C46"/>
    <w:rsid w:val="00AB18B9"/>
    <w:rsid w:val="00AE57A2"/>
    <w:rsid w:val="00AF16D8"/>
    <w:rsid w:val="00B17A49"/>
    <w:rsid w:val="00B43179"/>
    <w:rsid w:val="00B83592"/>
    <w:rsid w:val="00BC3E77"/>
    <w:rsid w:val="00BE2297"/>
    <w:rsid w:val="00BF788D"/>
    <w:rsid w:val="00C12108"/>
    <w:rsid w:val="00C31C55"/>
    <w:rsid w:val="00C678FB"/>
    <w:rsid w:val="00C83EE3"/>
    <w:rsid w:val="00C875BD"/>
    <w:rsid w:val="00CA1722"/>
    <w:rsid w:val="00CA24B2"/>
    <w:rsid w:val="00CB405B"/>
    <w:rsid w:val="00CB7175"/>
    <w:rsid w:val="00CE675E"/>
    <w:rsid w:val="00D06945"/>
    <w:rsid w:val="00D25718"/>
    <w:rsid w:val="00D3400E"/>
    <w:rsid w:val="00D80D3E"/>
    <w:rsid w:val="00D915AD"/>
    <w:rsid w:val="00DA6CEA"/>
    <w:rsid w:val="00DE0A90"/>
    <w:rsid w:val="00E07680"/>
    <w:rsid w:val="00E211C0"/>
    <w:rsid w:val="00E750A9"/>
    <w:rsid w:val="00EB5568"/>
    <w:rsid w:val="00ED0BBC"/>
    <w:rsid w:val="00F365E5"/>
    <w:rsid w:val="00F44CB9"/>
    <w:rsid w:val="00F70113"/>
    <w:rsid w:val="00FD0788"/>
    <w:rsid w:val="00FE5B8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38253C43"/>
  <w15:chartTrackingRefBased/>
  <w15:docId w15:val="{60C3B6F6-EFE2-4D2A-BE77-13DB6E400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0E7A"/>
  </w:style>
  <w:style w:type="paragraph" w:styleId="Ttulo1">
    <w:name w:val="heading 1"/>
    <w:basedOn w:val="Normal"/>
    <w:next w:val="Normal"/>
    <w:link w:val="Ttulo1Car"/>
    <w:uiPriority w:val="9"/>
    <w:qFormat/>
    <w:rsid w:val="00530E7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3">
    <w:name w:val="heading 3"/>
    <w:basedOn w:val="Normal"/>
    <w:next w:val="Normal"/>
    <w:link w:val="Ttulo3Car"/>
    <w:uiPriority w:val="9"/>
    <w:unhideWhenUsed/>
    <w:qFormat/>
    <w:rsid w:val="00530E7A"/>
    <w:pPr>
      <w:keepNext/>
      <w:keepLines/>
      <w:spacing w:before="160" w:after="80"/>
      <w:outlineLvl w:val="2"/>
    </w:pPr>
    <w:rPr>
      <w:rFonts w:eastAsiaTheme="majorEastAsia" w:cstheme="majorBidi"/>
      <w:color w:val="2E74B5"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30E7A"/>
    <w:rPr>
      <w:rFonts w:asciiTheme="majorHAnsi" w:eastAsiaTheme="majorEastAsia" w:hAnsiTheme="majorHAnsi" w:cstheme="majorBidi"/>
      <w:color w:val="2E74B5" w:themeColor="accent1" w:themeShade="BF"/>
      <w:sz w:val="32"/>
      <w:szCs w:val="32"/>
    </w:rPr>
  </w:style>
  <w:style w:type="character" w:customStyle="1" w:styleId="Ttulo3Car">
    <w:name w:val="Título 3 Car"/>
    <w:basedOn w:val="Fuentedeprrafopredeter"/>
    <w:link w:val="Ttulo3"/>
    <w:uiPriority w:val="9"/>
    <w:rsid w:val="00530E7A"/>
    <w:rPr>
      <w:rFonts w:eastAsiaTheme="majorEastAsia" w:cstheme="majorBidi"/>
      <w:color w:val="2E74B5" w:themeColor="accent1" w:themeShade="BF"/>
      <w:sz w:val="28"/>
      <w:szCs w:val="28"/>
    </w:rPr>
  </w:style>
  <w:style w:type="paragraph" w:styleId="Encabezado">
    <w:name w:val="header"/>
    <w:basedOn w:val="Normal"/>
    <w:link w:val="EncabezadoCar"/>
    <w:uiPriority w:val="99"/>
    <w:unhideWhenUsed/>
    <w:rsid w:val="00530E7A"/>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uiPriority w:val="99"/>
    <w:rsid w:val="00530E7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530E7A"/>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530E7A"/>
    <w:rPr>
      <w:rFonts w:ascii="Times New Roman" w:eastAsia="Times New Roman"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530E7A"/>
    <w:pPr>
      <w:spacing w:after="0" w:line="360" w:lineRule="auto"/>
      <w:ind w:left="709"/>
      <w:jc w:val="both"/>
    </w:pPr>
    <w:rPr>
      <w:rFonts w:ascii="Palatino Linotype" w:eastAsia="Times New Roman" w:hAnsi="Palatino Linotype"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530E7A"/>
    <w:rPr>
      <w:rFonts w:ascii="Palatino Linotype" w:eastAsia="Times New Roman" w:hAnsi="Palatino Linotype" w:cs="Times New Roman"/>
      <w:sz w:val="24"/>
      <w:szCs w:val="24"/>
      <w:lang w:val="es-ES" w:eastAsia="es-ES"/>
    </w:rPr>
  </w:style>
  <w:style w:type="character" w:styleId="Hipervnculo">
    <w:name w:val="Hyperlink"/>
    <w:aliases w:val="Hipervínculo1,Hipervínculo11,Hipervínculo12,Hipervínculo13,Hipervínculo14,Hipervínculo15"/>
    <w:basedOn w:val="Fuentedeprrafopredeter"/>
    <w:uiPriority w:val="99"/>
    <w:unhideWhenUsed/>
    <w:rsid w:val="00530E7A"/>
    <w:rPr>
      <w:rFonts w:cs="Times New Roman"/>
      <w:color w:val="0563C1" w:themeColor="hyperlink"/>
      <w:u w:val="single"/>
    </w:rPr>
  </w:style>
  <w:style w:type="paragraph" w:customStyle="1" w:styleId="Default">
    <w:name w:val="Default"/>
    <w:rsid w:val="00530E7A"/>
    <w:pPr>
      <w:autoSpaceDE w:val="0"/>
      <w:autoSpaceDN w:val="0"/>
      <w:adjustRightInd w:val="0"/>
      <w:spacing w:after="0" w:line="240" w:lineRule="auto"/>
    </w:pPr>
    <w:rPr>
      <w:rFonts w:ascii="Arial" w:hAnsi="Arial" w:cs="Arial"/>
      <w:color w:val="000000"/>
      <w:sz w:val="24"/>
      <w:szCs w:val="24"/>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530E7A"/>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530E7A"/>
    <w:rPr>
      <w:sz w:val="20"/>
      <w:szCs w:val="20"/>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530E7A"/>
    <w:rPr>
      <w:vertAlign w:val="superscript"/>
    </w:rPr>
  </w:style>
  <w:style w:type="table" w:styleId="Tablaconcuadrcula">
    <w:name w:val="Table Grid"/>
    <w:basedOn w:val="Tablanormal"/>
    <w:uiPriority w:val="39"/>
    <w:rsid w:val="00530E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comentarioCar">
    <w:name w:val="Texto comentario Car"/>
    <w:basedOn w:val="Fuentedeprrafopredeter"/>
    <w:link w:val="Textocomentario"/>
    <w:uiPriority w:val="99"/>
    <w:semiHidden/>
    <w:rsid w:val="00530E7A"/>
    <w:rPr>
      <w:sz w:val="20"/>
      <w:szCs w:val="20"/>
    </w:rPr>
  </w:style>
  <w:style w:type="paragraph" w:styleId="Textocomentario">
    <w:name w:val="annotation text"/>
    <w:basedOn w:val="Normal"/>
    <w:link w:val="TextocomentarioCar"/>
    <w:uiPriority w:val="99"/>
    <w:semiHidden/>
    <w:unhideWhenUsed/>
    <w:rsid w:val="00530E7A"/>
    <w:pPr>
      <w:spacing w:line="240" w:lineRule="auto"/>
    </w:pPr>
    <w:rPr>
      <w:sz w:val="20"/>
      <w:szCs w:val="20"/>
    </w:rPr>
  </w:style>
  <w:style w:type="character" w:customStyle="1" w:styleId="TextocomentarioCar1">
    <w:name w:val="Texto comentario Car1"/>
    <w:basedOn w:val="Fuentedeprrafopredeter"/>
    <w:uiPriority w:val="99"/>
    <w:semiHidden/>
    <w:rsid w:val="00530E7A"/>
    <w:rPr>
      <w:sz w:val="20"/>
      <w:szCs w:val="20"/>
    </w:rPr>
  </w:style>
  <w:style w:type="character" w:customStyle="1" w:styleId="AsuntodelcomentarioCar">
    <w:name w:val="Asunto del comentario Car"/>
    <w:basedOn w:val="TextocomentarioCar"/>
    <w:link w:val="Asuntodelcomentario"/>
    <w:uiPriority w:val="99"/>
    <w:semiHidden/>
    <w:rsid w:val="00530E7A"/>
    <w:rPr>
      <w:b/>
      <w:bCs/>
      <w:sz w:val="20"/>
      <w:szCs w:val="20"/>
    </w:rPr>
  </w:style>
  <w:style w:type="paragraph" w:styleId="Asuntodelcomentario">
    <w:name w:val="annotation subject"/>
    <w:basedOn w:val="Textocomentario"/>
    <w:next w:val="Textocomentario"/>
    <w:link w:val="AsuntodelcomentarioCar"/>
    <w:uiPriority w:val="99"/>
    <w:semiHidden/>
    <w:unhideWhenUsed/>
    <w:rsid w:val="00530E7A"/>
    <w:rPr>
      <w:b/>
      <w:bCs/>
    </w:rPr>
  </w:style>
  <w:style w:type="character" w:customStyle="1" w:styleId="AsuntodelcomentarioCar1">
    <w:name w:val="Asunto del comentario Car1"/>
    <w:basedOn w:val="TextocomentarioCar1"/>
    <w:uiPriority w:val="99"/>
    <w:semiHidden/>
    <w:rsid w:val="00530E7A"/>
    <w:rPr>
      <w:b/>
      <w:bCs/>
      <w:sz w:val="20"/>
      <w:szCs w:val="20"/>
    </w:rPr>
  </w:style>
  <w:style w:type="character" w:customStyle="1" w:styleId="TextodegloboCar">
    <w:name w:val="Texto de globo Car"/>
    <w:basedOn w:val="Fuentedeprrafopredeter"/>
    <w:link w:val="Textodeglobo"/>
    <w:uiPriority w:val="99"/>
    <w:semiHidden/>
    <w:rsid w:val="00530E7A"/>
    <w:rPr>
      <w:rFonts w:ascii="Segoe UI" w:hAnsi="Segoe UI" w:cs="Segoe UI"/>
      <w:sz w:val="18"/>
      <w:szCs w:val="18"/>
    </w:rPr>
  </w:style>
  <w:style w:type="paragraph" w:styleId="Textodeglobo">
    <w:name w:val="Balloon Text"/>
    <w:basedOn w:val="Normal"/>
    <w:link w:val="TextodegloboCar"/>
    <w:uiPriority w:val="99"/>
    <w:semiHidden/>
    <w:unhideWhenUsed/>
    <w:rsid w:val="00530E7A"/>
    <w:pPr>
      <w:spacing w:after="0" w:line="240" w:lineRule="auto"/>
    </w:pPr>
    <w:rPr>
      <w:rFonts w:ascii="Segoe UI" w:hAnsi="Segoe UI" w:cs="Segoe UI"/>
      <w:sz w:val="18"/>
      <w:szCs w:val="18"/>
    </w:rPr>
  </w:style>
  <w:style w:type="character" w:customStyle="1" w:styleId="TextodegloboCar1">
    <w:name w:val="Texto de globo Car1"/>
    <w:basedOn w:val="Fuentedeprrafopredeter"/>
    <w:uiPriority w:val="99"/>
    <w:semiHidden/>
    <w:rsid w:val="00530E7A"/>
    <w:rPr>
      <w:rFonts w:ascii="Segoe UI" w:hAnsi="Segoe UI" w:cs="Segoe UI"/>
      <w:sz w:val="18"/>
      <w:szCs w:val="18"/>
    </w:rPr>
  </w:style>
  <w:style w:type="paragraph" w:customStyle="1" w:styleId="Citas">
    <w:name w:val="Citas"/>
    <w:basedOn w:val="Normal"/>
    <w:qFormat/>
    <w:rsid w:val="00530E7A"/>
    <w:pPr>
      <w:spacing w:before="240" w:line="360" w:lineRule="auto"/>
      <w:ind w:left="851" w:right="851"/>
      <w:jc w:val="both"/>
    </w:pPr>
    <w:rPr>
      <w:rFonts w:ascii="Palatino Linotype" w:hAnsi="Palatino Linotype" w:cs="Arial"/>
      <w:i/>
    </w:rPr>
  </w:style>
  <w:style w:type="character" w:customStyle="1" w:styleId="selectable-text">
    <w:name w:val="selectable-text"/>
    <w:basedOn w:val="Fuentedeprrafopredeter"/>
    <w:rsid w:val="00530E7A"/>
  </w:style>
  <w:style w:type="paragraph" w:styleId="Sinespaciado">
    <w:name w:val="No Spacing"/>
    <w:aliases w:val="Francesa,INAI"/>
    <w:link w:val="SinespaciadoCar"/>
    <w:uiPriority w:val="1"/>
    <w:qFormat/>
    <w:rsid w:val="00530E7A"/>
    <w:pPr>
      <w:spacing w:after="0" w:line="240" w:lineRule="auto"/>
    </w:pPr>
  </w:style>
  <w:style w:type="character" w:customStyle="1" w:styleId="SinespaciadoCar">
    <w:name w:val="Sin espaciado Car"/>
    <w:aliases w:val="Francesa Car,INAI Car"/>
    <w:link w:val="Sinespaciado"/>
    <w:uiPriority w:val="1"/>
    <w:locked/>
    <w:rsid w:val="00530E7A"/>
  </w:style>
  <w:style w:type="paragraph" w:customStyle="1" w:styleId="infoemcitas">
    <w:name w:val="infoem citas"/>
    <w:basedOn w:val="Normal"/>
    <w:qFormat/>
    <w:rsid w:val="00530E7A"/>
    <w:pPr>
      <w:spacing w:before="240" w:line="360" w:lineRule="auto"/>
      <w:ind w:left="851" w:right="851"/>
      <w:jc w:val="both"/>
    </w:pPr>
    <w:rPr>
      <w:rFonts w:ascii="Palatino Linotype" w:hAnsi="Palatino Linotype"/>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502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administracionyfinanzasplem.gob.mx/uinfosec/DirRaiz/Public/46IU7C5F_ARELLANO_OCAMPO_HONORIA_CAP.pdf" TargetMode="External"/><Relationship Id="rId2" Type="http://schemas.openxmlformats.org/officeDocument/2006/relationships/hyperlink" Target="about:blank" TargetMode="External"/><Relationship Id="rId1" Type="http://schemas.openxmlformats.org/officeDocument/2006/relationships/hyperlink" Target="about:blank" TargetMode="External"/><Relationship Id="rId4" Type="http://schemas.openxmlformats.org/officeDocument/2006/relationships/hyperlink" Target="https://www.rae.es/dpd/curriculum%20vita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F72489-649E-4698-AF55-1F72D4F9E8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134</Pages>
  <Words>40677</Words>
  <Characters>223724</Characters>
  <Application>Microsoft Office Word</Application>
  <DocSecurity>0</DocSecurity>
  <Lines>1864</Lines>
  <Paragraphs>527</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263874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Infoem378</dc:creator>
  <cp:keywords/>
  <dc:description/>
  <cp:lastModifiedBy>INFOEM557</cp:lastModifiedBy>
  <cp:revision>8</cp:revision>
  <cp:lastPrinted>2026-05-22T18:13:00Z</cp:lastPrinted>
  <dcterms:created xsi:type="dcterms:W3CDTF">2026-05-20T23:03:00Z</dcterms:created>
  <dcterms:modified xsi:type="dcterms:W3CDTF">2026-06-02T16:19:00Z</dcterms:modified>
</cp:coreProperties>
</file>