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7A70"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Pr="00BD78C2">
        <w:rPr>
          <w:rFonts w:ascii="Palatino Linotype" w:eastAsia="Palatino Linotype" w:hAnsi="Palatino Linotype" w:cs="Palatino Linotype"/>
          <w:b/>
          <w:bCs/>
          <w:sz w:val="22"/>
          <w:szCs w:val="22"/>
        </w:rPr>
        <w:t>cinco de marzo</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de dos mil veinticinco.</w:t>
      </w:r>
    </w:p>
    <w:p w14:paraId="6ABDD308"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0F55CA87" w14:textId="457A57CD"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VISTOS </w:t>
      </w:r>
      <w:r w:rsidRPr="00BD78C2">
        <w:rPr>
          <w:rFonts w:ascii="Palatino Linotype" w:eastAsia="Palatino Linotype" w:hAnsi="Palatino Linotype" w:cs="Palatino Linotype"/>
          <w:sz w:val="22"/>
          <w:szCs w:val="22"/>
        </w:rPr>
        <w:t xml:space="preserve">los expedientes relativos a los recursos de revisión </w:t>
      </w:r>
      <w:r w:rsidRPr="00BD78C2">
        <w:rPr>
          <w:rFonts w:ascii="Palatino Linotype" w:eastAsia="Palatino Linotype" w:hAnsi="Palatino Linotype" w:cs="Palatino Linotype"/>
          <w:b/>
          <w:bCs/>
          <w:sz w:val="22"/>
          <w:szCs w:val="22"/>
        </w:rPr>
        <w:t xml:space="preserve">08669/INFOEM/IP/RR/2025, 08670/INFOEM/IP/RR/2025, 08671/INFOEM/IP/RR/2025, 08672/INFOEM/IP/RR/2025, </w:t>
      </w:r>
      <w:r w:rsidRPr="00BD78C2">
        <w:rPr>
          <w:rFonts w:ascii="Palatino Linotype" w:eastAsia="Palatino Linotype" w:hAnsi="Palatino Linotype" w:cs="Palatino Linotype"/>
          <w:sz w:val="22"/>
          <w:szCs w:val="22"/>
        </w:rPr>
        <w:t xml:space="preserve">interpuestos por </w:t>
      </w:r>
      <w:r w:rsidR="00B13F19">
        <w:rPr>
          <w:rFonts w:ascii="Palatino Linotype" w:eastAsia="Palatino Linotype" w:hAnsi="Palatino Linotype" w:cs="Palatino Linotype"/>
          <w:b/>
          <w:bCs/>
          <w:sz w:val="22"/>
          <w:szCs w:val="22"/>
        </w:rPr>
        <w:t>XXX</w:t>
      </w:r>
      <w:bookmarkStart w:id="0" w:name="_GoBack"/>
      <w:bookmarkEnd w:id="0"/>
      <w:r w:rsidRPr="00BD78C2">
        <w:rPr>
          <w:rFonts w:ascii="Palatino Linotype" w:eastAsia="Palatino Linotype" w:hAnsi="Palatino Linotype" w:cs="Palatino Linotype"/>
          <w:sz w:val="22"/>
          <w:szCs w:val="22"/>
        </w:rPr>
        <w:t xml:space="preserve">, en lo sucesivo la parte </w:t>
      </w:r>
      <w:r w:rsidRPr="00BD78C2">
        <w:rPr>
          <w:rFonts w:ascii="Palatino Linotype" w:eastAsia="Palatino Linotype" w:hAnsi="Palatino Linotype" w:cs="Palatino Linotype"/>
          <w:b/>
          <w:bCs/>
          <w:sz w:val="22"/>
          <w:szCs w:val="22"/>
        </w:rPr>
        <w:t>Recurrente</w:t>
      </w:r>
      <w:r w:rsidRPr="00BD78C2">
        <w:rPr>
          <w:rFonts w:ascii="Palatino Linotype" w:eastAsia="Palatino Linotype" w:hAnsi="Palatino Linotype" w:cs="Palatino Linotype"/>
          <w:sz w:val="22"/>
          <w:szCs w:val="22"/>
        </w:rPr>
        <w:t xml:space="preserve">, en contra de las respuestas a las solicitudes de información por parte de </w:t>
      </w:r>
      <w:r w:rsidRPr="00BD78C2">
        <w:rPr>
          <w:rFonts w:ascii="Palatino Linotype" w:eastAsia="Palatino Linotype" w:hAnsi="Palatino Linotype" w:cs="Palatino Linotype"/>
          <w:b/>
          <w:bCs/>
          <w:sz w:val="22"/>
          <w:szCs w:val="22"/>
        </w:rPr>
        <w:t>Protectora de Bosques del Estado de México</w:t>
      </w:r>
      <w:r w:rsidRPr="00BD78C2">
        <w:rPr>
          <w:rFonts w:ascii="Palatino Linotype" w:eastAsia="Palatino Linotype" w:hAnsi="Palatino Linotype" w:cs="Palatino Linotype"/>
          <w:sz w:val="22"/>
          <w:szCs w:val="22"/>
        </w:rPr>
        <w:t xml:space="preserve">, en lo sucesivo el </w:t>
      </w:r>
      <w:r w:rsidRPr="00BD78C2">
        <w:rPr>
          <w:rFonts w:ascii="Palatino Linotype" w:eastAsia="Palatino Linotype" w:hAnsi="Palatino Linotype" w:cs="Palatino Linotype"/>
          <w:b/>
          <w:bCs/>
          <w:sz w:val="22"/>
          <w:szCs w:val="22"/>
        </w:rPr>
        <w:t xml:space="preserve">Sujeto Obligado; </w:t>
      </w:r>
      <w:r w:rsidRPr="00BD78C2">
        <w:rPr>
          <w:rFonts w:ascii="Palatino Linotype" w:eastAsia="Palatino Linotype" w:hAnsi="Palatino Linotype" w:cs="Palatino Linotype"/>
          <w:sz w:val="22"/>
          <w:szCs w:val="22"/>
        </w:rPr>
        <w:t>se procede a dictar la presente resolución, con base en lo siguiente.</w:t>
      </w:r>
    </w:p>
    <w:p w14:paraId="694750BE" w14:textId="77777777" w:rsidR="008B41AE" w:rsidRPr="00BD78C2" w:rsidRDefault="00900DB0">
      <w:pPr>
        <w:spacing w:line="360" w:lineRule="auto"/>
        <w:ind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I.</w:t>
      </w:r>
      <w:r w:rsidRPr="00BD78C2">
        <w:rPr>
          <w:rFonts w:ascii="Palatino Linotype" w:eastAsia="Palatino Linotype" w:hAnsi="Palatino Linotype" w:cs="Palatino Linotype"/>
          <w:b/>
          <w:bCs/>
          <w:sz w:val="22"/>
          <w:szCs w:val="22"/>
        </w:rPr>
        <w:tab/>
        <w:t>A N T E C E D E N T E S</w:t>
      </w:r>
    </w:p>
    <w:p w14:paraId="6FF16F99"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1C5333F9"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1.</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Solicitud de Acceso a la Información. El cuatro de julio de dos mil veinticinco</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LA PARTE</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RECURRENTE</w:t>
      </w:r>
      <w:r w:rsidRPr="00BD78C2">
        <w:rPr>
          <w:rFonts w:ascii="Palatino Linotype" w:eastAsia="Palatino Linotype" w:hAnsi="Palatino Linotype" w:cs="Palatino Linotype"/>
          <w:sz w:val="22"/>
          <w:szCs w:val="22"/>
        </w:rPr>
        <w:t xml:space="preserve"> formuló solicitudes de acceso a información pública a través del </w:t>
      </w:r>
      <w:r w:rsidRPr="00BD78C2">
        <w:rPr>
          <w:rFonts w:ascii="Palatino Linotype" w:eastAsia="Palatino Linotype" w:hAnsi="Palatino Linotype" w:cs="Palatino Linotype"/>
          <w:b/>
          <w:bCs/>
          <w:sz w:val="22"/>
          <w:szCs w:val="22"/>
        </w:rPr>
        <w:t>SAIMEX</w:t>
      </w:r>
      <w:r w:rsidRPr="00BD78C2">
        <w:rPr>
          <w:rFonts w:ascii="Palatino Linotype" w:eastAsia="Palatino Linotype" w:hAnsi="Palatino Linotype" w:cs="Palatino Linotype"/>
          <w:sz w:val="22"/>
          <w:szCs w:val="22"/>
        </w:rPr>
        <w:t>, en la que requirió lo siguiente:</w:t>
      </w:r>
    </w:p>
    <w:p w14:paraId="3EFDA6CE" w14:textId="77777777" w:rsidR="008B41AE" w:rsidRPr="00BD78C2" w:rsidRDefault="008B41AE">
      <w:pPr>
        <w:spacing w:line="360" w:lineRule="auto"/>
        <w:jc w:val="both"/>
        <w:rPr>
          <w:rFonts w:ascii="Palatino Linotype" w:eastAsia="Palatino Linotype" w:hAnsi="Palatino Linotype" w:cs="Palatino Linotype"/>
          <w:sz w:val="22"/>
          <w:szCs w:val="22"/>
        </w:rPr>
      </w:pPr>
    </w:p>
    <w:tbl>
      <w:tblPr>
        <w:tblStyle w:val="aff7"/>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812"/>
      </w:tblGrid>
      <w:tr w:rsidR="00BD78C2" w:rsidRPr="00BD78C2" w14:paraId="278D35B3" w14:textId="77777777">
        <w:trPr>
          <w:jc w:val="center"/>
        </w:trPr>
        <w:tc>
          <w:tcPr>
            <w:tcW w:w="2830" w:type="dxa"/>
            <w:shd w:val="clear" w:color="auto" w:fill="D0CECE"/>
          </w:tcPr>
          <w:p w14:paraId="23F51464"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Solicitud</w:t>
            </w:r>
          </w:p>
        </w:tc>
        <w:tc>
          <w:tcPr>
            <w:tcW w:w="5812" w:type="dxa"/>
            <w:shd w:val="clear" w:color="auto" w:fill="D0CECE"/>
          </w:tcPr>
          <w:p w14:paraId="0C1BF4DB" w14:textId="77777777" w:rsidR="008B41AE" w:rsidRPr="00BD78C2" w:rsidRDefault="00900DB0">
            <w:pPr>
              <w:spacing w:line="360" w:lineRule="auto"/>
              <w:ind w:right="167"/>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Información requerida.</w:t>
            </w:r>
          </w:p>
        </w:tc>
      </w:tr>
      <w:tr w:rsidR="00BD78C2" w:rsidRPr="00BD78C2" w14:paraId="4FCA0331" w14:textId="77777777">
        <w:trPr>
          <w:jc w:val="center"/>
        </w:trPr>
        <w:tc>
          <w:tcPr>
            <w:tcW w:w="2830" w:type="dxa"/>
          </w:tcPr>
          <w:p w14:paraId="6F51DA15" w14:textId="77777777" w:rsidR="008B41AE" w:rsidRPr="00BD78C2" w:rsidRDefault="00900DB0">
            <w:pPr>
              <w:pBdr>
                <w:top w:val="nil"/>
                <w:left w:val="nil"/>
                <w:bottom w:val="nil"/>
                <w:right w:val="nil"/>
                <w:between w:val="nil"/>
              </w:pBdr>
              <w:spacing w:line="360" w:lineRule="auto"/>
              <w:ind w:left="-255" w:right="-108"/>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00063/PROBOSQUE/IP/2025</w:t>
            </w:r>
          </w:p>
        </w:tc>
        <w:tc>
          <w:tcPr>
            <w:tcW w:w="5812" w:type="dxa"/>
          </w:tcPr>
          <w:p w14:paraId="32285177" w14:textId="77777777" w:rsidR="008B41AE" w:rsidRPr="00BD78C2" w:rsidRDefault="00900DB0">
            <w:pPr>
              <w:spacing w:line="276" w:lineRule="auto"/>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SOY PERIODISTA ESTOY ACIENDO UNA INVESTIGACION. SOLICITO COPIA DE TODOS LOS OFICIOS, EXPEDIENTES DE AUDITORIA, EXPEDIENTES DE INSPECCIONES Y DE TODOS LOS DEMÁS DOCUMENTOS </w:t>
            </w:r>
            <w:r w:rsidRPr="00BD78C2">
              <w:rPr>
                <w:rFonts w:ascii="Palatino Linotype" w:eastAsia="Palatino Linotype" w:hAnsi="Palatino Linotype" w:cs="Palatino Linotype"/>
                <w:i/>
                <w:iCs/>
                <w:sz w:val="22"/>
                <w:szCs w:val="22"/>
                <w:u w:val="single"/>
              </w:rPr>
              <w:t>QUE HA GENERADO EL ÓRGANO INTERNO DE CONTROL</w:t>
            </w:r>
            <w:r w:rsidRPr="00BD78C2">
              <w:rPr>
                <w:rFonts w:ascii="Palatino Linotype" w:eastAsia="Palatino Linotype" w:hAnsi="Palatino Linotype" w:cs="Palatino Linotype"/>
                <w:i/>
                <w:iCs/>
                <w:sz w:val="22"/>
                <w:szCs w:val="22"/>
              </w:rPr>
              <w:t xml:space="preserve"> DE PROBOSQUE DURANTE TODO EL AÑO 2024 Y LO QUE VA DE 2025. ACLARO QUE NO DECEO CONSULTAR EN SITIO LA INFORMACION REQUIERO SE ME PROPORCIONEN LOS DOCUMENTOS PARA ACER MI INVESTIGACION</w:t>
            </w:r>
          </w:p>
        </w:tc>
      </w:tr>
      <w:tr w:rsidR="00BD78C2" w:rsidRPr="00BD78C2" w14:paraId="384928E3" w14:textId="77777777">
        <w:trPr>
          <w:jc w:val="center"/>
        </w:trPr>
        <w:tc>
          <w:tcPr>
            <w:tcW w:w="2830" w:type="dxa"/>
          </w:tcPr>
          <w:p w14:paraId="13E95B26"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lastRenderedPageBreak/>
              <w:t>00064/PROBOSQUE/IP/2025</w:t>
            </w:r>
          </w:p>
          <w:p w14:paraId="7A5A8D4E" w14:textId="77777777" w:rsidR="008B41AE" w:rsidRPr="00BD78C2" w:rsidRDefault="008B41AE">
            <w:pPr>
              <w:spacing w:line="360" w:lineRule="auto"/>
              <w:jc w:val="center"/>
              <w:rPr>
                <w:rFonts w:ascii="Palatino Linotype" w:eastAsia="Palatino Linotype" w:hAnsi="Palatino Linotype" w:cs="Palatino Linotype"/>
                <w:b/>
                <w:bCs/>
                <w:sz w:val="22"/>
                <w:szCs w:val="22"/>
              </w:rPr>
            </w:pPr>
          </w:p>
        </w:tc>
        <w:tc>
          <w:tcPr>
            <w:tcW w:w="5812" w:type="dxa"/>
          </w:tcPr>
          <w:p w14:paraId="7EEBD4A1" w14:textId="77777777" w:rsidR="008B41AE" w:rsidRPr="00BD78C2" w:rsidRDefault="00900DB0">
            <w:pPr>
              <w:spacing w:line="276" w:lineRule="auto"/>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SOY PERIODISTA ESTOY ACIENDO UNA INVESTIGACION. SOLICITO COPIA DE TODOS LOS OFICIOS, EXPEDIENTES DE RESPONSABILIDADES ADMINISTRATIVAS Y DE TODOS LOS DEMÁS DOCUMENTOS QUE HA GENERADO </w:t>
            </w:r>
            <w:r w:rsidRPr="00BD78C2">
              <w:rPr>
                <w:rFonts w:ascii="Palatino Linotype" w:eastAsia="Palatino Linotype" w:hAnsi="Palatino Linotype" w:cs="Palatino Linotype"/>
                <w:b/>
                <w:bCs/>
                <w:i/>
                <w:iCs/>
                <w:sz w:val="22"/>
                <w:szCs w:val="22"/>
                <w:u w:val="single"/>
              </w:rPr>
              <w:t>EL ÁREA DE RESPONSABILIDADES</w:t>
            </w:r>
            <w:r w:rsidRPr="00BD78C2">
              <w:rPr>
                <w:rFonts w:ascii="Palatino Linotype" w:eastAsia="Palatino Linotype" w:hAnsi="Palatino Linotype" w:cs="Palatino Linotype"/>
                <w:i/>
                <w:iCs/>
                <w:sz w:val="22"/>
                <w:szCs w:val="22"/>
              </w:rPr>
              <w:t xml:space="preserve"> DEL ÓRGANO INTERNO DE CONTROL DE PROBOSQUE DURANTE TODO EL AÑO 2024 Y LO QUE VA DE 2025. ACLARO QUE NO DECEO CONSULTAR EN SITIO LA INFORMACION REQUIERO SE ME PROPORCIONEN LOS DOCUMENTOS PARA ACER MI INVESTIGACION</w:t>
            </w:r>
          </w:p>
        </w:tc>
      </w:tr>
      <w:tr w:rsidR="00BD78C2" w:rsidRPr="00BD78C2" w14:paraId="7EE9E724" w14:textId="77777777">
        <w:trPr>
          <w:jc w:val="center"/>
        </w:trPr>
        <w:tc>
          <w:tcPr>
            <w:tcW w:w="2830" w:type="dxa"/>
          </w:tcPr>
          <w:p w14:paraId="69B264CE"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00065/PROBOSQUE/IP/2025</w:t>
            </w:r>
          </w:p>
          <w:p w14:paraId="7BD21297" w14:textId="77777777" w:rsidR="008B41AE" w:rsidRPr="00BD78C2" w:rsidRDefault="008B41AE">
            <w:pPr>
              <w:spacing w:line="360" w:lineRule="auto"/>
              <w:rPr>
                <w:rFonts w:ascii="Palatino Linotype" w:eastAsia="Palatino Linotype" w:hAnsi="Palatino Linotype" w:cs="Palatino Linotype"/>
                <w:b/>
                <w:bCs/>
                <w:sz w:val="22"/>
                <w:szCs w:val="22"/>
              </w:rPr>
            </w:pPr>
          </w:p>
        </w:tc>
        <w:tc>
          <w:tcPr>
            <w:tcW w:w="5812" w:type="dxa"/>
          </w:tcPr>
          <w:p w14:paraId="4520304E" w14:textId="77777777" w:rsidR="008B41AE" w:rsidRPr="00BD78C2" w:rsidRDefault="00900DB0">
            <w:pPr>
              <w:spacing w:line="276" w:lineRule="auto"/>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SOY PERIODISTA ESTOY ACIENDO UNA INVESTIGACION. SOLICITO COPIA DE TODOS LOS OFICIOS, EXPEDIENTES DE INVESTIGACIÓN Y DE TODOS LOS DEMÁS DOCUMENTOS QUE HA GENERADO </w:t>
            </w:r>
            <w:r w:rsidRPr="00BD78C2">
              <w:rPr>
                <w:rFonts w:ascii="Palatino Linotype" w:eastAsia="Palatino Linotype" w:hAnsi="Palatino Linotype" w:cs="Palatino Linotype"/>
                <w:b/>
                <w:bCs/>
                <w:i/>
                <w:iCs/>
                <w:sz w:val="22"/>
                <w:szCs w:val="22"/>
                <w:u w:val="single"/>
              </w:rPr>
              <w:t>EL ÁREA QUE REALIZA LAS INVESTIGACIONES</w:t>
            </w:r>
            <w:r w:rsidRPr="00BD78C2">
              <w:rPr>
                <w:rFonts w:ascii="Palatino Linotype" w:eastAsia="Palatino Linotype" w:hAnsi="Palatino Linotype" w:cs="Palatino Linotype"/>
                <w:i/>
                <w:iCs/>
                <w:sz w:val="22"/>
                <w:szCs w:val="22"/>
              </w:rPr>
              <w:t xml:space="preserve"> DEL ÓRGANO INTERNO DE CONTROL DE PROBOSQUE DURANTE TODO EL AÑO 2024 Y LO QUE VA DE 2025. ACLARO QUE NO DECEO CONSULTAR EN SITIO LA INFORMACION REQUIERO SE ME PROPORCIONEN LOS DOCUMENTOS PARA ACER MI INVESTIGACION</w:t>
            </w:r>
          </w:p>
        </w:tc>
      </w:tr>
      <w:tr w:rsidR="008B41AE" w:rsidRPr="00BD78C2" w14:paraId="2591B30E" w14:textId="77777777">
        <w:trPr>
          <w:jc w:val="center"/>
        </w:trPr>
        <w:tc>
          <w:tcPr>
            <w:tcW w:w="2830" w:type="dxa"/>
          </w:tcPr>
          <w:p w14:paraId="6E5542DE"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00066/PROBOSQUE/IP/2025</w:t>
            </w:r>
          </w:p>
        </w:tc>
        <w:tc>
          <w:tcPr>
            <w:tcW w:w="5812" w:type="dxa"/>
          </w:tcPr>
          <w:p w14:paraId="57F322FA" w14:textId="77777777" w:rsidR="008B41AE" w:rsidRPr="00BD78C2" w:rsidRDefault="00900DB0">
            <w:pPr>
              <w:spacing w:line="276" w:lineRule="auto"/>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SOY PERIODISTA ESTOY ACIENDO UNA INVESTIGACION. SOLICITO COPIA DE TODOS LOS OFICIOS, </w:t>
            </w:r>
            <w:r w:rsidRPr="00BD78C2">
              <w:rPr>
                <w:rFonts w:ascii="Palatino Linotype" w:eastAsia="Palatino Linotype" w:hAnsi="Palatino Linotype" w:cs="Palatino Linotype"/>
                <w:b/>
                <w:bCs/>
                <w:i/>
                <w:iCs/>
                <w:sz w:val="22"/>
                <w:szCs w:val="22"/>
                <w:u w:val="single"/>
              </w:rPr>
              <w:t xml:space="preserve">EXPEDIENTES DE AUDITORIA, EXPEDIENTES DE INSPECCIONES </w:t>
            </w:r>
            <w:r w:rsidRPr="00BD78C2">
              <w:rPr>
                <w:rFonts w:ascii="Palatino Linotype" w:eastAsia="Palatino Linotype" w:hAnsi="Palatino Linotype" w:cs="Palatino Linotype"/>
                <w:i/>
                <w:iCs/>
                <w:sz w:val="22"/>
                <w:szCs w:val="22"/>
              </w:rPr>
              <w:t>Y DE TODOS LOS DEMÁS DOCUMENTOS QUE HA GENERADO EL ÁREA DE AUDITORÍA DEL ÓRGANO INTERNO DE CONTROL DE PROBOSQUE DURANTE TODO EL AÑO 2024 Y LO QUE VA DE 2025. ACLARO QUE NO DECEO CONSULTAR EN SITIO LA INFORMACION REQUIERO SE ME PROPORCIONEN LOS DOCUMENTOS PARA ACER MI INVESTIGACION</w:t>
            </w:r>
          </w:p>
        </w:tc>
      </w:tr>
    </w:tbl>
    <w:p w14:paraId="618ED895"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017A452"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bookmarkStart w:id="1" w:name="_heading=h.3znysh7" w:colFirst="0" w:colLast="0"/>
      <w:bookmarkEnd w:id="1"/>
      <w:r w:rsidRPr="00BD78C2">
        <w:rPr>
          <w:rFonts w:ascii="Palatino Linotype" w:eastAsia="Palatino Linotype" w:hAnsi="Palatino Linotype" w:cs="Palatino Linotype"/>
          <w:b/>
          <w:bCs/>
          <w:sz w:val="22"/>
          <w:szCs w:val="22"/>
        </w:rPr>
        <w:t>Modalidad elegida para la entrega de la información:</w:t>
      </w:r>
      <w:r w:rsidRPr="00BD78C2">
        <w:rPr>
          <w:rFonts w:ascii="Palatino Linotype" w:eastAsia="Palatino Linotype" w:hAnsi="Palatino Linotype" w:cs="Palatino Linotype"/>
          <w:sz w:val="22"/>
          <w:szCs w:val="22"/>
        </w:rPr>
        <w:t xml:space="preserve"> a través del Sistema de Acceso a la Información Mexiquense (SAIMEX).</w:t>
      </w:r>
    </w:p>
    <w:p w14:paraId="6607AF9C" w14:textId="77777777" w:rsidR="008B41AE" w:rsidRPr="00BD78C2" w:rsidRDefault="008B41AE">
      <w:pPr>
        <w:widowControl w:val="0"/>
        <w:spacing w:line="360" w:lineRule="auto"/>
        <w:jc w:val="both"/>
        <w:rPr>
          <w:rFonts w:ascii="Palatino Linotype" w:eastAsia="Palatino Linotype" w:hAnsi="Palatino Linotype" w:cs="Palatino Linotype"/>
          <w:b/>
          <w:bCs/>
          <w:sz w:val="22"/>
          <w:szCs w:val="22"/>
        </w:rPr>
      </w:pPr>
    </w:p>
    <w:p w14:paraId="4FE8DAFF" w14:textId="77777777" w:rsidR="008B41AE" w:rsidRPr="00BD78C2" w:rsidRDefault="00900DB0">
      <w:pPr>
        <w:widowControl w:val="0"/>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2. Respuestas.</w:t>
      </w:r>
      <w:r w:rsidRPr="00BD78C2">
        <w:rPr>
          <w:rFonts w:ascii="Palatino Linotype" w:eastAsia="Palatino Linotype" w:hAnsi="Palatino Linotype" w:cs="Palatino Linotype"/>
          <w:sz w:val="22"/>
          <w:szCs w:val="22"/>
        </w:rPr>
        <w:t xml:space="preserve"> El </w:t>
      </w:r>
      <w:r w:rsidRPr="00BD78C2">
        <w:rPr>
          <w:rFonts w:ascii="Palatino Linotype" w:eastAsia="Palatino Linotype" w:hAnsi="Palatino Linotype" w:cs="Palatino Linotype"/>
          <w:b/>
          <w:bCs/>
          <w:sz w:val="22"/>
          <w:szCs w:val="22"/>
        </w:rPr>
        <w:t>dieciséis de julio de dos mil veinticinco</w:t>
      </w:r>
      <w:r w:rsidRPr="00BD78C2">
        <w:rPr>
          <w:rFonts w:ascii="Palatino Linotype" w:eastAsia="Palatino Linotype" w:hAnsi="Palatino Linotype" w:cs="Palatino Linotype"/>
          <w:sz w:val="22"/>
          <w:szCs w:val="22"/>
        </w:rPr>
        <w:t>, el Sujeto Obligado dio respuestas a las solicitudes a través de diversos documentos en los que medularmente refiere lo siguiente:</w:t>
      </w:r>
    </w:p>
    <w:tbl>
      <w:tblPr>
        <w:tblStyle w:val="aff8"/>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812"/>
      </w:tblGrid>
      <w:tr w:rsidR="00BD78C2" w:rsidRPr="00BD78C2" w14:paraId="1EE8FBA9" w14:textId="77777777">
        <w:trPr>
          <w:jc w:val="center"/>
        </w:trPr>
        <w:tc>
          <w:tcPr>
            <w:tcW w:w="2830" w:type="dxa"/>
          </w:tcPr>
          <w:p w14:paraId="332654FC"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Solicitud</w:t>
            </w:r>
          </w:p>
        </w:tc>
        <w:tc>
          <w:tcPr>
            <w:tcW w:w="5812" w:type="dxa"/>
          </w:tcPr>
          <w:p w14:paraId="6097140C" w14:textId="77777777" w:rsidR="008B41AE" w:rsidRPr="00BD78C2" w:rsidRDefault="00900DB0">
            <w:pPr>
              <w:spacing w:line="360" w:lineRule="auto"/>
              <w:ind w:right="167"/>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Respuesta</w:t>
            </w:r>
          </w:p>
        </w:tc>
      </w:tr>
      <w:tr w:rsidR="008B41AE" w:rsidRPr="00BD78C2" w14:paraId="4BD5DB9F" w14:textId="77777777">
        <w:trPr>
          <w:trHeight w:val="3176"/>
          <w:jc w:val="center"/>
        </w:trPr>
        <w:tc>
          <w:tcPr>
            <w:tcW w:w="2830" w:type="dxa"/>
          </w:tcPr>
          <w:p w14:paraId="6B0B3A10"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00063/PROBOSQUE/IP/2025</w:t>
            </w:r>
          </w:p>
          <w:p w14:paraId="28BF7671"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00064/PROBOSQUE/IP/2025</w:t>
            </w:r>
          </w:p>
          <w:p w14:paraId="542FA5FD"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00065/PROBOSQUE/IP/2025</w:t>
            </w:r>
          </w:p>
          <w:p w14:paraId="42FFCC0D" w14:textId="77777777" w:rsidR="008B41AE" w:rsidRPr="00BD78C2" w:rsidRDefault="00900DB0">
            <w:pPr>
              <w:pBdr>
                <w:top w:val="nil"/>
                <w:left w:val="nil"/>
                <w:bottom w:val="nil"/>
                <w:right w:val="nil"/>
                <w:between w:val="nil"/>
              </w:pBdr>
              <w:spacing w:line="360" w:lineRule="auto"/>
              <w:ind w:left="-113"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00066/PROBOSQUE/IP/2025</w:t>
            </w:r>
          </w:p>
        </w:tc>
        <w:tc>
          <w:tcPr>
            <w:tcW w:w="5812" w:type="dxa"/>
          </w:tcPr>
          <w:p w14:paraId="6A43F333" w14:textId="77777777" w:rsidR="008B41AE" w:rsidRPr="00BD78C2" w:rsidRDefault="00900DB0">
            <w:pPr>
              <w:tabs>
                <w:tab w:val="left" w:pos="567"/>
              </w:tabs>
              <w:spacing w:line="360" w:lineRule="auto"/>
              <w:jc w:val="both"/>
              <w:rPr>
                <w:rFonts w:ascii="Palatino Linotype" w:eastAsia="Palatino Linotype" w:hAnsi="Palatino Linotype" w:cs="Palatino Linotype"/>
                <w:sz w:val="22"/>
                <w:szCs w:val="22"/>
              </w:rPr>
            </w:pPr>
            <w:bookmarkStart w:id="2" w:name="_heading=h.xy2sgusnfnps" w:colFirst="0" w:colLast="0"/>
            <w:bookmarkEnd w:id="2"/>
            <w:r w:rsidRPr="00BD78C2">
              <w:rPr>
                <w:rFonts w:ascii="Palatino Linotype" w:eastAsia="Palatino Linotype" w:hAnsi="Palatino Linotype" w:cs="Palatino Linotype"/>
                <w:sz w:val="22"/>
                <w:szCs w:val="22"/>
              </w:rPr>
              <w:t xml:space="preserve">El Sujeto Obligado, a través del Titular del Órgano Interno de Control, indicó que está imposibilitado a entregar la información por contener datos personales. Además, no se precisa el interés jurídico o legítimo del solicitante. </w:t>
            </w:r>
          </w:p>
        </w:tc>
      </w:tr>
    </w:tbl>
    <w:p w14:paraId="66573269"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3A35C335"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3. Del Recurso de Revisión. </w:t>
      </w:r>
      <w:r w:rsidRPr="00BD78C2">
        <w:rPr>
          <w:rFonts w:ascii="Palatino Linotype" w:eastAsia="Palatino Linotype" w:hAnsi="Palatino Linotype" w:cs="Palatino Linotype"/>
          <w:sz w:val="22"/>
          <w:szCs w:val="22"/>
        </w:rPr>
        <w:t>Inconforme con las respuestas del</w:t>
      </w:r>
      <w:r w:rsidRPr="00BD78C2">
        <w:rPr>
          <w:rFonts w:ascii="Palatino Linotype" w:eastAsia="Palatino Linotype" w:hAnsi="Palatino Linotype" w:cs="Palatino Linotype"/>
          <w:b/>
          <w:bCs/>
          <w:sz w:val="22"/>
          <w:szCs w:val="22"/>
        </w:rPr>
        <w:t xml:space="preserve"> SUJETO OBLIGADO, </w:t>
      </w:r>
      <w:r w:rsidRPr="00BD78C2">
        <w:rPr>
          <w:rFonts w:ascii="Palatino Linotype" w:eastAsia="Palatino Linotype" w:hAnsi="Palatino Linotype" w:cs="Palatino Linotype"/>
          <w:sz w:val="22"/>
          <w:szCs w:val="22"/>
        </w:rPr>
        <w:t xml:space="preserve">el </w:t>
      </w:r>
      <w:r w:rsidRPr="00BD78C2">
        <w:rPr>
          <w:rFonts w:ascii="Palatino Linotype" w:eastAsia="Palatino Linotype" w:hAnsi="Palatino Linotype" w:cs="Palatino Linotype"/>
          <w:b/>
          <w:bCs/>
          <w:sz w:val="22"/>
          <w:szCs w:val="22"/>
        </w:rPr>
        <w:t xml:space="preserve">dieciséis de julio de dos mil veinticinco, LA PARTE RECURRENTE </w:t>
      </w:r>
      <w:r w:rsidRPr="00BD78C2">
        <w:rPr>
          <w:rFonts w:ascii="Palatino Linotype" w:eastAsia="Palatino Linotype" w:hAnsi="Palatino Linotype" w:cs="Palatino Linotype"/>
          <w:sz w:val="22"/>
          <w:szCs w:val="22"/>
        </w:rPr>
        <w:t xml:space="preserve">interpuso los recursos de revisión, mediante los cuales y manifestó lo siguiente: </w:t>
      </w:r>
    </w:p>
    <w:p w14:paraId="3B8E92A9" w14:textId="77777777" w:rsidR="008B41AE" w:rsidRPr="00BD78C2" w:rsidRDefault="008B41AE">
      <w:pPr>
        <w:spacing w:line="360" w:lineRule="auto"/>
        <w:jc w:val="both"/>
        <w:rPr>
          <w:rFonts w:ascii="Palatino Linotype" w:eastAsia="Palatino Linotype" w:hAnsi="Palatino Linotype" w:cs="Palatino Linotype"/>
          <w:sz w:val="22"/>
          <w:szCs w:val="22"/>
        </w:rPr>
      </w:pPr>
    </w:p>
    <w:tbl>
      <w:tblPr>
        <w:tblStyle w:val="aff9"/>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5386"/>
      </w:tblGrid>
      <w:tr w:rsidR="00BD78C2" w:rsidRPr="00BD78C2" w14:paraId="00F89C4E" w14:textId="77777777">
        <w:tc>
          <w:tcPr>
            <w:tcW w:w="3686" w:type="dxa"/>
          </w:tcPr>
          <w:p w14:paraId="679D1F08"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 xml:space="preserve">Recurso de revisión </w:t>
            </w:r>
          </w:p>
        </w:tc>
        <w:tc>
          <w:tcPr>
            <w:tcW w:w="5386" w:type="dxa"/>
          </w:tcPr>
          <w:p w14:paraId="11BC543E"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Agravio</w:t>
            </w:r>
          </w:p>
        </w:tc>
      </w:tr>
      <w:tr w:rsidR="00BD78C2" w:rsidRPr="00BD78C2" w14:paraId="16819627" w14:textId="77777777">
        <w:trPr>
          <w:trHeight w:val="4839"/>
        </w:trPr>
        <w:tc>
          <w:tcPr>
            <w:tcW w:w="3686" w:type="dxa"/>
          </w:tcPr>
          <w:p w14:paraId="5C90FE47" w14:textId="77777777" w:rsidR="008B41AE" w:rsidRPr="00BD78C2" w:rsidRDefault="00900DB0">
            <w:pPr>
              <w:pBdr>
                <w:top w:val="nil"/>
                <w:left w:val="nil"/>
                <w:bottom w:val="nil"/>
                <w:right w:val="nil"/>
                <w:between w:val="nil"/>
              </w:pBdr>
              <w:spacing w:line="360" w:lineRule="auto"/>
              <w:ind w:left="426" w:right="49" w:hanging="392"/>
              <w:jc w:val="center"/>
              <w:rPr>
                <w:rFonts w:ascii="Palatino Linotype" w:eastAsia="Palatino Linotype" w:hAnsi="Palatino Linotype" w:cs="Palatino Linotype"/>
                <w:b/>
                <w:bCs/>
                <w:sz w:val="22"/>
                <w:szCs w:val="22"/>
                <w:lang w:val="en-US"/>
              </w:rPr>
            </w:pPr>
            <w:r w:rsidRPr="00BD78C2">
              <w:rPr>
                <w:rFonts w:ascii="Palatino Linotype" w:eastAsia="Palatino Linotype" w:hAnsi="Palatino Linotype" w:cs="Palatino Linotype"/>
                <w:b/>
                <w:bCs/>
                <w:sz w:val="22"/>
                <w:szCs w:val="22"/>
                <w:lang w:val="en-US"/>
              </w:rPr>
              <w:t>08669/INFOEM/IP/RR/2025</w:t>
            </w:r>
          </w:p>
          <w:p w14:paraId="4177CE7F" w14:textId="77777777" w:rsidR="008B41AE" w:rsidRPr="00BD78C2" w:rsidRDefault="00900DB0">
            <w:pPr>
              <w:spacing w:line="360" w:lineRule="auto"/>
              <w:ind w:left="426" w:hanging="392"/>
              <w:jc w:val="center"/>
              <w:rPr>
                <w:rFonts w:ascii="Palatino Linotype" w:eastAsia="Palatino Linotype" w:hAnsi="Palatino Linotype" w:cs="Palatino Linotype"/>
                <w:b/>
                <w:bCs/>
                <w:sz w:val="22"/>
                <w:szCs w:val="22"/>
                <w:lang w:val="en-US"/>
              </w:rPr>
            </w:pPr>
            <w:r w:rsidRPr="00BD78C2">
              <w:rPr>
                <w:rFonts w:ascii="Palatino Linotype" w:eastAsia="Palatino Linotype" w:hAnsi="Palatino Linotype" w:cs="Palatino Linotype"/>
                <w:b/>
                <w:bCs/>
                <w:sz w:val="22"/>
                <w:szCs w:val="22"/>
                <w:lang w:val="en-US"/>
              </w:rPr>
              <w:t>08670/INFOEM/IP/RR/2025</w:t>
            </w:r>
          </w:p>
          <w:p w14:paraId="2C39C83D" w14:textId="77777777" w:rsidR="008B41AE" w:rsidRPr="00BD78C2" w:rsidRDefault="00900DB0">
            <w:pPr>
              <w:spacing w:line="360" w:lineRule="auto"/>
              <w:ind w:left="426" w:hanging="392"/>
              <w:jc w:val="center"/>
              <w:rPr>
                <w:rFonts w:ascii="Palatino Linotype" w:eastAsia="Palatino Linotype" w:hAnsi="Palatino Linotype" w:cs="Palatino Linotype"/>
                <w:b/>
                <w:bCs/>
                <w:sz w:val="22"/>
                <w:szCs w:val="22"/>
                <w:lang w:val="en-US"/>
              </w:rPr>
            </w:pPr>
            <w:r w:rsidRPr="00BD78C2">
              <w:rPr>
                <w:rFonts w:ascii="Palatino Linotype" w:eastAsia="Palatino Linotype" w:hAnsi="Palatino Linotype" w:cs="Palatino Linotype"/>
                <w:b/>
                <w:bCs/>
                <w:sz w:val="22"/>
                <w:szCs w:val="22"/>
                <w:lang w:val="en-US"/>
              </w:rPr>
              <w:t>08671/INFOEM/IP/RR/2025</w:t>
            </w:r>
          </w:p>
          <w:p w14:paraId="3FC3876E" w14:textId="77777777" w:rsidR="008B41AE" w:rsidRPr="00BD78C2" w:rsidRDefault="00900DB0">
            <w:pPr>
              <w:spacing w:line="360" w:lineRule="auto"/>
              <w:ind w:left="426" w:hanging="392"/>
              <w:jc w:val="center"/>
              <w:rPr>
                <w:rFonts w:ascii="Palatino Linotype" w:eastAsia="Palatino Linotype" w:hAnsi="Palatino Linotype" w:cs="Palatino Linotype"/>
                <w:b/>
                <w:bCs/>
                <w:sz w:val="22"/>
                <w:szCs w:val="22"/>
                <w:lang w:val="en-US"/>
              </w:rPr>
            </w:pPr>
            <w:r w:rsidRPr="00BD78C2">
              <w:rPr>
                <w:rFonts w:ascii="Palatino Linotype" w:eastAsia="Palatino Linotype" w:hAnsi="Palatino Linotype" w:cs="Palatino Linotype"/>
                <w:b/>
                <w:bCs/>
                <w:sz w:val="22"/>
                <w:szCs w:val="22"/>
                <w:lang w:val="en-US"/>
              </w:rPr>
              <w:t>08672/INFOEM/IP/RR/2025</w:t>
            </w:r>
          </w:p>
          <w:p w14:paraId="4B2F5470" w14:textId="77777777" w:rsidR="008B41AE" w:rsidRPr="00BD78C2" w:rsidRDefault="008B41AE">
            <w:pPr>
              <w:spacing w:line="360" w:lineRule="auto"/>
              <w:ind w:left="426" w:hanging="392"/>
              <w:jc w:val="center"/>
              <w:rPr>
                <w:rFonts w:ascii="Palatino Linotype" w:eastAsia="Palatino Linotype" w:hAnsi="Palatino Linotype" w:cs="Palatino Linotype"/>
                <w:b/>
                <w:bCs/>
                <w:sz w:val="22"/>
                <w:szCs w:val="22"/>
                <w:lang w:val="en-US"/>
              </w:rPr>
            </w:pPr>
          </w:p>
        </w:tc>
        <w:tc>
          <w:tcPr>
            <w:tcW w:w="5386" w:type="dxa"/>
          </w:tcPr>
          <w:p w14:paraId="71C71F7B" w14:textId="77777777" w:rsidR="008B41AE" w:rsidRPr="00BD78C2" w:rsidRDefault="00900DB0">
            <w:pPr>
              <w:spacing w:line="276" w:lineRule="auto"/>
              <w:ind w:right="2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Acto Impugnado:</w:t>
            </w:r>
            <w:r w:rsidRPr="00BD78C2">
              <w:rPr>
                <w:rFonts w:ascii="Palatino Linotype" w:eastAsia="Palatino Linotype" w:hAnsi="Palatino Linotype" w:cs="Palatino Linotype"/>
                <w:i/>
                <w:iCs/>
                <w:sz w:val="22"/>
                <w:szCs w:val="22"/>
              </w:rPr>
              <w:t xml:space="preserve"> “la respuesta a la información solicitada en la que niega al acceso a la información con lo que se” (Sic.)</w:t>
            </w:r>
          </w:p>
          <w:p w14:paraId="7F0FA6DE" w14:textId="77777777" w:rsidR="008B41AE" w:rsidRPr="00BD78C2" w:rsidRDefault="00900DB0">
            <w:pPr>
              <w:spacing w:line="276" w:lineRule="auto"/>
              <w:ind w:right="2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Motivo de inconformidad:</w:t>
            </w:r>
            <w:r w:rsidRPr="00BD78C2">
              <w:rPr>
                <w:rFonts w:ascii="Palatino Linotype" w:eastAsia="Palatino Linotype" w:hAnsi="Palatino Linotype" w:cs="Palatino Linotype"/>
                <w:i/>
                <w:iCs/>
                <w:sz w:val="22"/>
                <w:szCs w:val="22"/>
              </w:rPr>
              <w:t xml:space="preserve"> “la respuesta es una burla al derecho de acceso a la información, mas viniendo del titular de un oic quien deberia de poner el ejemplo de transparencia y garantizar el derecho de acceso a la información, al argumentar que los expedientes contienen datos personales, debió proporcionarse una versión publica de los mismos, tachando los datos personales que refiere, en todo caso solito se proporcionen las actas del comité de transparencia donde se acordo no entregar la información por esa razón. además el derecho de acceso a la información no puede condicionase al interés jurídico o interés legitimo que refiere, ya que no estoy solicitando datos personales, estoy solicitando copia de todos los expedientes y si contienen datos personales es su obligación elaborar versiones publicas y proporcionarme la información que solicito en los tiempos que prevee la ley por lo tanto solicito que el infoem garantice mi derecho de acceso a la información y sancione al servidor publico habilitado o sujeto obligado quienes deben proporcionarme la información que estoy solicitando y de vista de la negativa de acceso a la información al oic de la secretaria de contraloría para que revise la respuesta otorgada a mi solicitud y proceda conforme a sus facultades” (Sic.)</w:t>
            </w:r>
          </w:p>
        </w:tc>
      </w:tr>
    </w:tbl>
    <w:p w14:paraId="046A0141" w14:textId="77777777" w:rsidR="008B41AE" w:rsidRPr="00BD78C2" w:rsidRDefault="008B41AE">
      <w:pPr>
        <w:spacing w:line="360" w:lineRule="auto"/>
        <w:ind w:right="560"/>
        <w:jc w:val="both"/>
        <w:rPr>
          <w:rFonts w:ascii="Palatino Linotype" w:eastAsia="Palatino Linotype" w:hAnsi="Palatino Linotype" w:cs="Palatino Linotype"/>
          <w:i/>
          <w:iCs/>
          <w:sz w:val="22"/>
          <w:szCs w:val="22"/>
        </w:rPr>
      </w:pPr>
    </w:p>
    <w:p w14:paraId="71BEDF18"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4. Turno. </w:t>
      </w:r>
      <w:r w:rsidRPr="00BD78C2">
        <w:rPr>
          <w:rFonts w:ascii="Palatino Linotype" w:eastAsia="Palatino Linotype" w:hAnsi="Palatino Linotype" w:cs="Palatino Linotype"/>
          <w:sz w:val="22"/>
          <w:szCs w:val="22"/>
        </w:rPr>
        <w:t>De conformidad con el artículo 185 fracción I de la Ley Transparencia y Acceso a la Información Pública, los recursos de revisión fueron</w:t>
      </w:r>
      <w:r w:rsidRPr="00BD78C2">
        <w:rPr>
          <w:rFonts w:ascii="Palatino Linotype" w:eastAsia="Palatino Linotype" w:hAnsi="Palatino Linotype" w:cs="Palatino Linotype"/>
          <w:b/>
          <w:bCs/>
          <w:sz w:val="22"/>
          <w:szCs w:val="22"/>
        </w:rPr>
        <w:t xml:space="preserve"> </w:t>
      </w:r>
      <w:r w:rsidRPr="00BD78C2">
        <w:rPr>
          <w:rFonts w:ascii="Palatino Linotype" w:eastAsia="Palatino Linotype" w:hAnsi="Palatino Linotype" w:cs="Palatino Linotype"/>
          <w:sz w:val="22"/>
          <w:szCs w:val="22"/>
        </w:rPr>
        <w:t xml:space="preserve">turnados de la siguiente manera a efecto de presentar al Pleno los proyectos de resolución correspondientes: </w:t>
      </w:r>
    </w:p>
    <w:p w14:paraId="42819CAC" w14:textId="77777777" w:rsidR="008B41AE" w:rsidRPr="00BD78C2" w:rsidRDefault="008B41AE">
      <w:pPr>
        <w:spacing w:line="360" w:lineRule="auto"/>
        <w:jc w:val="both"/>
        <w:rPr>
          <w:rFonts w:ascii="Palatino Linotype" w:eastAsia="Palatino Linotype" w:hAnsi="Palatino Linotype" w:cs="Palatino Linotype"/>
          <w:sz w:val="22"/>
          <w:szCs w:val="22"/>
        </w:rPr>
      </w:pPr>
    </w:p>
    <w:tbl>
      <w:tblPr>
        <w:tblStyle w:val="affa"/>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387"/>
      </w:tblGrid>
      <w:tr w:rsidR="00BD78C2" w:rsidRPr="00BD78C2" w14:paraId="074B3322" w14:textId="77777777">
        <w:trPr>
          <w:jc w:val="center"/>
        </w:trPr>
        <w:tc>
          <w:tcPr>
            <w:tcW w:w="3539" w:type="dxa"/>
            <w:shd w:val="clear" w:color="auto" w:fill="DDD9C4"/>
          </w:tcPr>
          <w:p w14:paraId="01643D31"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Recurso de Revisión</w:t>
            </w:r>
          </w:p>
        </w:tc>
        <w:tc>
          <w:tcPr>
            <w:tcW w:w="5387" w:type="dxa"/>
            <w:shd w:val="clear" w:color="auto" w:fill="DDD9C4"/>
          </w:tcPr>
          <w:p w14:paraId="7D8C37F2"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Comisionada</w:t>
            </w:r>
          </w:p>
        </w:tc>
      </w:tr>
      <w:tr w:rsidR="00BD78C2" w:rsidRPr="00BD78C2" w14:paraId="669EE3CB" w14:textId="77777777">
        <w:trPr>
          <w:jc w:val="center"/>
        </w:trPr>
        <w:tc>
          <w:tcPr>
            <w:tcW w:w="3539" w:type="dxa"/>
          </w:tcPr>
          <w:p w14:paraId="6AF553E0"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08669/INFOEM/IP/RR/2025</w:t>
            </w:r>
          </w:p>
        </w:tc>
        <w:tc>
          <w:tcPr>
            <w:tcW w:w="5387" w:type="dxa"/>
          </w:tcPr>
          <w:p w14:paraId="609F9EE0"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Comisionada Guadalupe Ramírez Peña.</w:t>
            </w:r>
          </w:p>
        </w:tc>
      </w:tr>
      <w:tr w:rsidR="00BD78C2" w:rsidRPr="00BD78C2" w14:paraId="20FCFC0A" w14:textId="77777777">
        <w:trPr>
          <w:jc w:val="center"/>
        </w:trPr>
        <w:tc>
          <w:tcPr>
            <w:tcW w:w="3539" w:type="dxa"/>
          </w:tcPr>
          <w:p w14:paraId="7895DC94"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08670/INFOEM/IP/RR/2025</w:t>
            </w:r>
          </w:p>
        </w:tc>
        <w:tc>
          <w:tcPr>
            <w:tcW w:w="5387" w:type="dxa"/>
          </w:tcPr>
          <w:p w14:paraId="283C00F2"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Comisionado José Martínez Vilchis.</w:t>
            </w:r>
          </w:p>
        </w:tc>
      </w:tr>
      <w:tr w:rsidR="00BD78C2" w:rsidRPr="00BD78C2" w14:paraId="004B9D21" w14:textId="77777777">
        <w:trPr>
          <w:jc w:val="center"/>
        </w:trPr>
        <w:tc>
          <w:tcPr>
            <w:tcW w:w="3539" w:type="dxa"/>
          </w:tcPr>
          <w:p w14:paraId="245DC0FC"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08671/INFOEM/IP/RR/2025</w:t>
            </w:r>
          </w:p>
        </w:tc>
        <w:tc>
          <w:tcPr>
            <w:tcW w:w="5387" w:type="dxa"/>
          </w:tcPr>
          <w:p w14:paraId="3BC1439C"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Comisionado Luis Gustavo Parra Noriega.</w:t>
            </w:r>
          </w:p>
        </w:tc>
      </w:tr>
      <w:tr w:rsidR="008B41AE" w:rsidRPr="00BD78C2" w14:paraId="738308F9" w14:textId="77777777">
        <w:trPr>
          <w:jc w:val="center"/>
        </w:trPr>
        <w:tc>
          <w:tcPr>
            <w:tcW w:w="3539" w:type="dxa"/>
          </w:tcPr>
          <w:p w14:paraId="6FD7AC37"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08672/INFOEM/IP/RR/2025</w:t>
            </w:r>
          </w:p>
        </w:tc>
        <w:tc>
          <w:tcPr>
            <w:tcW w:w="5387" w:type="dxa"/>
          </w:tcPr>
          <w:p w14:paraId="3FF6A0C9" w14:textId="77777777" w:rsidR="008B41AE" w:rsidRPr="00BD78C2" w:rsidRDefault="00900DB0">
            <w:pPr>
              <w:spacing w:line="360" w:lineRule="auto"/>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Comisionada Sharon Cristina Morales Martínez.</w:t>
            </w:r>
          </w:p>
        </w:tc>
      </w:tr>
    </w:tbl>
    <w:p w14:paraId="04FC1D04"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56F1CCF0" w14:textId="77777777" w:rsidR="008B41AE" w:rsidRPr="00BD78C2" w:rsidRDefault="00900DB0">
      <w:pP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 xml:space="preserve">5. Admisión. </w:t>
      </w:r>
      <w:r w:rsidRPr="00BD78C2">
        <w:rPr>
          <w:rFonts w:ascii="Palatino Linotype" w:eastAsia="Palatino Linotype" w:hAnsi="Palatino Linotype" w:cs="Palatino Linotype"/>
          <w:sz w:val="22"/>
          <w:szCs w:val="22"/>
        </w:rPr>
        <w:t xml:space="preserve">El </w:t>
      </w:r>
      <w:r w:rsidRPr="00BD78C2">
        <w:rPr>
          <w:rFonts w:ascii="Palatino Linotype" w:eastAsia="Palatino Linotype" w:hAnsi="Palatino Linotype" w:cs="Palatino Linotype"/>
          <w:b/>
          <w:bCs/>
          <w:sz w:val="22"/>
          <w:szCs w:val="22"/>
        </w:rPr>
        <w:t>dieciocho de julio y cuatro y cinco de agosto de dos mil veinticinco</w:t>
      </w:r>
      <w:r w:rsidRPr="00BD78C2">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admitieron a trámite los recursos de revisión</w:t>
      </w:r>
      <w:r w:rsidRPr="00BD78C2">
        <w:rPr>
          <w:rFonts w:ascii="Palatino Linotype" w:eastAsia="Palatino Linotype" w:hAnsi="Palatino Linotype" w:cs="Palatino Linotype"/>
          <w:b/>
          <w:bCs/>
          <w:sz w:val="22"/>
          <w:szCs w:val="22"/>
        </w:rPr>
        <w:t>.</w:t>
      </w:r>
    </w:p>
    <w:p w14:paraId="154FECA8"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363697D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6. Manifestaciones.</w:t>
      </w:r>
      <w:r w:rsidRPr="00BD78C2">
        <w:rPr>
          <w:rFonts w:ascii="Palatino Linotype" w:eastAsia="Palatino Linotype" w:hAnsi="Palatino Linotype" w:cs="Palatino Linotype"/>
          <w:sz w:val="22"/>
          <w:szCs w:val="22"/>
        </w:rPr>
        <w:t xml:space="preserve"> De las constancias que obran en el expediente electrónico del SAIMEX, se advierte que tanto el Sujeto Obligado como el Recurrente fueron omisos en realizar manifestaciones.</w:t>
      </w:r>
    </w:p>
    <w:p w14:paraId="676CC0EA"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5231C3B9" w14:textId="77777777" w:rsidR="008B41AE" w:rsidRPr="00BD78C2" w:rsidRDefault="00900DB0">
      <w:pP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7. Ampliación de plazo. El veinticuatro</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de febrero de dos mil veintiséis</w:t>
      </w:r>
      <w:r w:rsidRPr="00BD78C2">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5A2E6D91"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422E39F4"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2721D29"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ED5675D"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0BEB40D8"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5B2351CB" w14:textId="77777777" w:rsidR="008B41AE" w:rsidRPr="00BD78C2" w:rsidRDefault="00900DB0">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Complejidad del Asunto:</w:t>
      </w:r>
      <w:r w:rsidRPr="00BD78C2">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7505C2D7" w14:textId="77777777" w:rsidR="008B41AE" w:rsidRPr="00BD78C2" w:rsidRDefault="00900DB0">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Actividad Procesal del interesado</w:t>
      </w:r>
      <w:r w:rsidRPr="00BD78C2">
        <w:rPr>
          <w:rFonts w:ascii="Palatino Linotype" w:eastAsia="Palatino Linotype" w:hAnsi="Palatino Linotype" w:cs="Palatino Linotype"/>
          <w:sz w:val="22"/>
          <w:szCs w:val="22"/>
        </w:rPr>
        <w:t>. Acciones u omisiones del interesado.</w:t>
      </w:r>
    </w:p>
    <w:p w14:paraId="7910BA19" w14:textId="77777777" w:rsidR="008B41AE" w:rsidRPr="00BD78C2" w:rsidRDefault="00900DB0">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Conducta de la Autoridad:</w:t>
      </w:r>
      <w:r w:rsidRPr="00BD78C2">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1C04500" w14:textId="77777777" w:rsidR="008B41AE" w:rsidRPr="00BD78C2" w:rsidRDefault="00900DB0">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La afectación generada en la situación jurídica de la persona involucrada en el proceso:</w:t>
      </w:r>
      <w:r w:rsidRPr="00BD78C2">
        <w:rPr>
          <w:rFonts w:ascii="Palatino Linotype" w:eastAsia="Palatino Linotype" w:hAnsi="Palatino Linotype" w:cs="Palatino Linotype"/>
          <w:sz w:val="22"/>
          <w:szCs w:val="22"/>
        </w:rPr>
        <w:t xml:space="preserve"> Violación a sus derechos humanos.</w:t>
      </w:r>
    </w:p>
    <w:p w14:paraId="1823C47A"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F354DFE"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BD78C2">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BD78C2">
        <w:rPr>
          <w:rFonts w:ascii="Palatino Linotype" w:eastAsia="Palatino Linotype" w:hAnsi="Palatino Linotype" w:cs="Palatino Linotype"/>
          <w:sz w:val="22"/>
          <w:szCs w:val="22"/>
        </w:rPr>
        <w:t>, visible en la Gaceta del Seminario Judicial de la Federación con el registro digital 205635.</w:t>
      </w:r>
    </w:p>
    <w:p w14:paraId="2AFDE2AA"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8ED61FB"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75D4CC4C" w14:textId="77777777" w:rsidR="008B41AE" w:rsidRPr="00BD78C2" w:rsidRDefault="00900DB0">
      <w:pPr>
        <w:spacing w:before="240" w:after="240" w:line="360" w:lineRule="auto"/>
        <w:ind w:left="851" w:right="90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i/>
          <w:iCs/>
          <w:sz w:val="22"/>
          <w:szCs w:val="22"/>
        </w:rPr>
        <w:t>“PLAZO RAZONABLE PARA RESOLVER. DIMENSIÓN Y EFECTOS DE ESTE CONCEPTO CUANDO SE ADUCE EXCESIVA CARGA DE TRABAJO</w:t>
      </w: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sz w:val="22"/>
          <w:szCs w:val="22"/>
        </w:rPr>
        <w:t xml:space="preserve"> consultable en el Seminario Judicial de la Federación y su gaceta, con el registro digital 2002351.</w:t>
      </w:r>
    </w:p>
    <w:p w14:paraId="7FAE71F2" w14:textId="77777777" w:rsidR="008B41AE" w:rsidRPr="00BD78C2" w:rsidRDefault="00900DB0">
      <w:pPr>
        <w:spacing w:before="240" w:after="240" w:line="360" w:lineRule="auto"/>
        <w:ind w:left="851" w:right="90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i/>
          <w:iCs/>
          <w:sz w:val="22"/>
          <w:szCs w:val="22"/>
        </w:rPr>
        <w:t>“PLAZO RAZONABLE PARA RESOLVER. CONCEPTO Y ELEMENTOS QUE LO INTEGRAN A LA LUZ DEL DERECHO INTERNACIONAL DE LOS DERECHOS HUMANOS.”</w:t>
      </w:r>
      <w:r w:rsidRPr="00BD78C2">
        <w:rPr>
          <w:rFonts w:ascii="Palatino Linotype" w:eastAsia="Palatino Linotype" w:hAnsi="Palatino Linotype" w:cs="Palatino Linotype"/>
          <w:sz w:val="22"/>
          <w:szCs w:val="22"/>
        </w:rPr>
        <w:t>, visible en el Seminario Judicial de la Federación y su gaceta, con el registro digital 2002350.</w:t>
      </w:r>
    </w:p>
    <w:p w14:paraId="6256584F"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2586B13B" w14:textId="77777777" w:rsidR="008B41AE" w:rsidRPr="00BD78C2" w:rsidRDefault="00900DB0">
      <w:pP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 xml:space="preserve">8. Acumulación. A través del acuerdo de fecha seis de agosto de dos mil veinticinco </w:t>
      </w:r>
      <w:r w:rsidRPr="00BD78C2">
        <w:rPr>
          <w:rFonts w:ascii="Palatino Linotype" w:eastAsia="Palatino Linotype" w:hAnsi="Palatino Linotype" w:cs="Palatino Linotype"/>
          <w:sz w:val="22"/>
          <w:szCs w:val="22"/>
        </w:rPr>
        <w:t xml:space="preserve">al advertir la conexidad de causa y con la finalidad de evitar que se dicten resoluciones contradictorias, de conformidad con el artículo 195 de la Ley de Transparencia y Acceso a la Información Pública del Estado de México y Municipios y artículo 18 del Código de Procedimientos Administrativos del Estado de México, se acordó la acumulación de los recursos antes señalados, turnados a la </w:t>
      </w:r>
      <w:r w:rsidRPr="00BD78C2">
        <w:rPr>
          <w:rFonts w:ascii="Palatino Linotype" w:eastAsia="Palatino Linotype" w:hAnsi="Palatino Linotype" w:cs="Palatino Linotype"/>
          <w:b/>
          <w:bCs/>
          <w:sz w:val="22"/>
          <w:szCs w:val="22"/>
        </w:rPr>
        <w:t>Comisionada Guadalupe Ramírez Peña.</w:t>
      </w:r>
    </w:p>
    <w:p w14:paraId="3B49F8CE"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1FDABE8B" w14:textId="77777777" w:rsidR="008B41AE" w:rsidRPr="00BD78C2" w:rsidRDefault="00900DB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9. Cierre de instrucción</w:t>
      </w:r>
      <w:r w:rsidRPr="00BD78C2">
        <w:rPr>
          <w:rFonts w:ascii="Palatino Linotype" w:eastAsia="Palatino Linotype" w:hAnsi="Palatino Linotype" w:cs="Palatino Linotype"/>
          <w:sz w:val="22"/>
          <w:szCs w:val="22"/>
        </w:rPr>
        <w:t xml:space="preserve">. En fecha </w:t>
      </w:r>
      <w:r w:rsidRPr="00BD78C2">
        <w:rPr>
          <w:rFonts w:ascii="Palatino Linotype" w:eastAsia="Palatino Linotype" w:hAnsi="Palatino Linotype" w:cs="Palatino Linotype"/>
          <w:b/>
          <w:bCs/>
          <w:sz w:val="22"/>
          <w:szCs w:val="22"/>
        </w:rPr>
        <w:t>veinticuatro</w:t>
      </w:r>
      <w:r w:rsidRPr="00BD78C2">
        <w:rPr>
          <w:rFonts w:ascii="Palatino Linotype" w:eastAsia="Palatino Linotype" w:hAnsi="Palatino Linotype" w:cs="Palatino Linotype"/>
          <w:sz w:val="22"/>
          <w:szCs w:val="22"/>
        </w:rPr>
        <w:t xml:space="preserve"> </w:t>
      </w:r>
      <w:r w:rsidRPr="00BD78C2">
        <w:rPr>
          <w:rFonts w:ascii="Palatino Linotype" w:eastAsia="Palatino Linotype" w:hAnsi="Palatino Linotype" w:cs="Palatino Linotype"/>
          <w:b/>
          <w:bCs/>
          <w:sz w:val="22"/>
          <w:szCs w:val="22"/>
        </w:rPr>
        <w:t>de febrero de dos mil veintiséis</w:t>
      </w:r>
      <w:r w:rsidRPr="00BD78C2">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5CCADD1" w14:textId="77777777" w:rsidR="008B41AE" w:rsidRPr="00BD78C2" w:rsidRDefault="008B41A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835042B"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Debido a que fueron debidamente sustanciados los expedientes electrónicos y no existe diligencia pendiente de desahogo, se emite la Resolución que conforme a Derecho proceda, de acuerdo con los siguientes: </w:t>
      </w:r>
    </w:p>
    <w:p w14:paraId="64EDA5E8"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0C02AFA5" w14:textId="77777777" w:rsidR="008B41AE" w:rsidRPr="00BD78C2" w:rsidRDefault="00900DB0">
      <w:pPr>
        <w:spacing w:line="360" w:lineRule="auto"/>
        <w:ind w:right="49"/>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II.</w:t>
      </w:r>
      <w:r w:rsidRPr="00BD78C2">
        <w:rPr>
          <w:rFonts w:ascii="Palatino Linotype" w:eastAsia="Palatino Linotype" w:hAnsi="Palatino Linotype" w:cs="Palatino Linotype"/>
          <w:b/>
          <w:bCs/>
          <w:sz w:val="22"/>
          <w:szCs w:val="22"/>
        </w:rPr>
        <w:tab/>
        <w:t>C O N S I D E R A N D O:</w:t>
      </w:r>
    </w:p>
    <w:p w14:paraId="5E18F1CE"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7E0153C2"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Primero. Competencia.</w:t>
      </w:r>
      <w:r w:rsidRPr="00BD78C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13F73736"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Segundo. Oportunidad y Procedibilidad del Recurso de Revisión. </w:t>
      </w:r>
      <w:r w:rsidRPr="00BD78C2">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0E0DBE4E"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404A65D7" w14:textId="77777777" w:rsidR="008B41AE" w:rsidRPr="00BD78C2" w:rsidRDefault="00900DB0">
      <w:pPr>
        <w:spacing w:line="276" w:lineRule="auto"/>
        <w:ind w:left="851"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“Artículo 178. </w:t>
      </w:r>
      <w:r w:rsidRPr="00BD78C2">
        <w:rPr>
          <w:rFonts w:ascii="Palatino Linotype" w:eastAsia="Palatino Linotype" w:hAnsi="Palatino Linotype" w:cs="Palatino Linotype"/>
          <w:i/>
          <w:iCs/>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131C918" w14:textId="77777777" w:rsidR="008B41AE" w:rsidRPr="00BD78C2" w:rsidRDefault="00900DB0">
      <w:pPr>
        <w:spacing w:before="240" w:after="240"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remitió las respuestas a las solicitudes de información el día </w:t>
      </w:r>
      <w:r w:rsidRPr="00BD78C2">
        <w:rPr>
          <w:rFonts w:ascii="Palatino Linotype" w:eastAsia="Palatino Linotype" w:hAnsi="Palatino Linotype" w:cs="Palatino Linotype"/>
          <w:b/>
          <w:bCs/>
          <w:sz w:val="22"/>
          <w:szCs w:val="22"/>
        </w:rPr>
        <w:t xml:space="preserve">dieciséis de julio de dos mil veinticinco, </w:t>
      </w:r>
      <w:r w:rsidRPr="00BD78C2">
        <w:rPr>
          <w:rFonts w:ascii="Palatino Linotype" w:eastAsia="Palatino Linotype" w:hAnsi="Palatino Linotype" w:cs="Palatino Linotype"/>
          <w:sz w:val="22"/>
          <w:szCs w:val="22"/>
        </w:rPr>
        <w:t xml:space="preserve">mientras que los recursos de revisión interpuestos por la parte </w:t>
      </w:r>
      <w:r w:rsidRPr="00BD78C2">
        <w:rPr>
          <w:rFonts w:ascii="Palatino Linotype" w:eastAsia="Palatino Linotype" w:hAnsi="Palatino Linotype" w:cs="Palatino Linotype"/>
          <w:b/>
          <w:bCs/>
          <w:sz w:val="22"/>
          <w:szCs w:val="22"/>
        </w:rPr>
        <w:t>RECURRENTE</w:t>
      </w:r>
      <w:r w:rsidRPr="00BD78C2">
        <w:rPr>
          <w:rFonts w:ascii="Palatino Linotype" w:eastAsia="Palatino Linotype" w:hAnsi="Palatino Linotype" w:cs="Palatino Linotype"/>
          <w:sz w:val="22"/>
          <w:szCs w:val="22"/>
        </w:rPr>
        <w:t xml:space="preserve">, se tuvieron por presentados el </w:t>
      </w:r>
      <w:r w:rsidRPr="00BD78C2">
        <w:rPr>
          <w:rFonts w:ascii="Palatino Linotype" w:eastAsia="Palatino Linotype" w:hAnsi="Palatino Linotype" w:cs="Palatino Linotype"/>
          <w:b/>
          <w:bCs/>
          <w:sz w:val="22"/>
          <w:szCs w:val="22"/>
        </w:rPr>
        <w:t>dieciséis de julio del año dos mil veinticinco</w:t>
      </w:r>
      <w:r w:rsidRPr="00BD78C2">
        <w:rPr>
          <w:rFonts w:ascii="Palatino Linotype" w:eastAsia="Palatino Linotype" w:hAnsi="Palatino Linotype" w:cs="Palatino Linotype"/>
          <w:sz w:val="22"/>
          <w:szCs w:val="22"/>
        </w:rPr>
        <w:t>; esto es, al mismo día que se tuvo conocimiento de la respuesta respectivamente.</w:t>
      </w:r>
    </w:p>
    <w:p w14:paraId="6DFC44FB" w14:textId="77777777" w:rsidR="008B41AE" w:rsidRPr="00BD78C2" w:rsidRDefault="00900DB0">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01EF31EC" w14:textId="77777777" w:rsidR="008B41AE" w:rsidRPr="00BD78C2" w:rsidRDefault="00900DB0">
      <w:pPr>
        <w:pBdr>
          <w:top w:val="nil"/>
          <w:left w:val="nil"/>
          <w:bottom w:val="nil"/>
          <w:right w:val="nil"/>
          <w:between w:val="nil"/>
        </w:pBdr>
        <w:spacing w:before="120" w:after="120"/>
        <w:ind w:left="860" w:right="90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i/>
          <w:iCs/>
          <w:sz w:val="22"/>
          <w:szCs w:val="22"/>
        </w:rPr>
        <w:t>“RECURSO DE RECLAMACIÓN. SU INTERPOSICIÓN NO ES EXTEMPORÁNEA SI SE REALIZA ANTES DE QUE INICIE EL PLAZO PARA HACERLO</w:t>
      </w:r>
      <w:r w:rsidRPr="00BD78C2">
        <w:rPr>
          <w:rFonts w:ascii="Palatino Linotype" w:eastAsia="Palatino Linotype" w:hAnsi="Palatino Linotype" w:cs="Palatino Linotype"/>
          <w:i/>
          <w:iCs/>
          <w:sz w:val="22"/>
          <w:szCs w:val="22"/>
        </w:rPr>
        <w:t>.</w:t>
      </w:r>
    </w:p>
    <w:p w14:paraId="505AD691" w14:textId="77777777" w:rsidR="008B41AE" w:rsidRPr="00BD78C2" w:rsidRDefault="00900DB0">
      <w:pPr>
        <w:pBdr>
          <w:top w:val="nil"/>
          <w:left w:val="nil"/>
          <w:bottom w:val="nil"/>
          <w:right w:val="nil"/>
          <w:between w:val="nil"/>
        </w:pBdr>
        <w:spacing w:before="120" w:after="120"/>
        <w:ind w:left="860" w:right="90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i/>
          <w:iCs/>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7E65C7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B76C96D" w14:textId="77777777" w:rsidR="008B41AE" w:rsidRPr="00BD78C2" w:rsidRDefault="00900DB0">
      <w:pPr>
        <w:ind w:left="426" w:right="701"/>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br/>
      </w:r>
      <w:r w:rsidRPr="00BD78C2">
        <w:rPr>
          <w:rFonts w:ascii="Palatino Linotype" w:eastAsia="Palatino Linotype" w:hAnsi="Palatino Linotype" w:cs="Palatino Linotype"/>
          <w:b/>
          <w:bCs/>
          <w:i/>
          <w:iCs/>
          <w:sz w:val="22"/>
          <w:szCs w:val="22"/>
        </w:rPr>
        <w:t xml:space="preserve">"Las solicitudes anónimas, </w:t>
      </w:r>
      <w:r w:rsidRPr="00BD78C2">
        <w:rPr>
          <w:rFonts w:ascii="Palatino Linotype" w:eastAsia="Palatino Linotype" w:hAnsi="Palatino Linotype" w:cs="Palatino Linotype"/>
          <w:i/>
          <w:iCs/>
          <w:sz w:val="22"/>
          <w:szCs w:val="22"/>
        </w:rPr>
        <w:t>con nombre incompleto o seudónimo </w:t>
      </w:r>
      <w:r w:rsidRPr="00BD78C2">
        <w:rPr>
          <w:rFonts w:ascii="Palatino Linotype" w:eastAsia="Palatino Linotype" w:hAnsi="Palatino Linotype" w:cs="Palatino Linotype"/>
          <w:b/>
          <w:bCs/>
          <w:i/>
          <w:iCs/>
          <w:sz w:val="22"/>
          <w:szCs w:val="22"/>
        </w:rPr>
        <w:t>serán procedentes para su trámite por parte del sujeto obligado ante quien se presente.</w:t>
      </w:r>
      <w:r w:rsidRPr="00BD78C2">
        <w:rPr>
          <w:rFonts w:ascii="Palatino Linotype" w:eastAsia="Palatino Linotype" w:hAnsi="Palatino Linotype" w:cs="Palatino Linotype"/>
          <w:i/>
          <w:iCs/>
          <w:sz w:val="22"/>
          <w:szCs w:val="22"/>
        </w:rPr>
        <w:t xml:space="preserve"> No podrá requerirse información adicional con motivo del nombre proporcionado por el solicitante."</w:t>
      </w:r>
    </w:p>
    <w:p w14:paraId="471A4645" w14:textId="77777777" w:rsidR="008B41AE" w:rsidRPr="00BD78C2" w:rsidRDefault="00900DB0">
      <w:pPr>
        <w:spacing w:before="240" w:after="240"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56069FA7"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resulta procedente la interposición de los recursos de revisión al rubro anotado, toda vez que se actualiza las hipótesis previstas en el artículo 179, fracción I de la ley de la materia, que a la letra dice:</w:t>
      </w:r>
    </w:p>
    <w:p w14:paraId="5727BAA9" w14:textId="77777777" w:rsidR="008B41AE" w:rsidRPr="00BD78C2" w:rsidRDefault="00900DB0">
      <w:pPr>
        <w:spacing w:line="360" w:lineRule="auto"/>
        <w:ind w:left="851" w:right="104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 xml:space="preserve">Artículo 179. </w:t>
      </w:r>
      <w:r w:rsidRPr="00BD78C2">
        <w:rPr>
          <w:rFonts w:ascii="Palatino Linotype" w:eastAsia="Palatino Linotype" w:hAnsi="Palatino Linotype" w:cs="Palatino Linotype"/>
          <w:i/>
          <w:iCs/>
          <w:sz w:val="22"/>
          <w:szCs w:val="22"/>
        </w:rPr>
        <w:t>El recurso de revisión es un medio de protección que la Ley otorga a los particulares, para hacer valer su derecho de acceso a la información pública, y procederá en contra de las siguientes causas:</w:t>
      </w:r>
    </w:p>
    <w:p w14:paraId="2A30BBF0" w14:textId="77777777" w:rsidR="008B41AE" w:rsidRPr="00BD78C2" w:rsidRDefault="00900DB0">
      <w:pPr>
        <w:spacing w:line="360" w:lineRule="auto"/>
        <w:ind w:left="851" w:right="104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La negativa a la información solicitada</w:t>
      </w:r>
    </w:p>
    <w:p w14:paraId="2AA6B829" w14:textId="77777777" w:rsidR="008B41AE" w:rsidRPr="00BD78C2" w:rsidRDefault="00900DB0">
      <w:pPr>
        <w:spacing w:line="360" w:lineRule="auto"/>
        <w:ind w:left="851" w:right="104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58F3CBCB"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Tercero. Materia de la revisión. </w:t>
      </w:r>
      <w:r w:rsidRPr="00BD78C2">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BD78C2">
        <w:rPr>
          <w:rFonts w:ascii="Palatino Linotype" w:eastAsia="Palatino Linotype" w:hAnsi="Palatino Linotype" w:cs="Palatino Linotype"/>
          <w:b/>
          <w:bCs/>
          <w:sz w:val="22"/>
          <w:szCs w:val="22"/>
        </w:rPr>
        <w:t xml:space="preserve">verificar si las respuestas otorgadas por el Sujeto Obligado son adecuadas y suficientes para satisfacer el derecho de acceso a la información pública </w:t>
      </w:r>
      <w:r w:rsidRPr="00BD78C2">
        <w:rPr>
          <w:rFonts w:ascii="Palatino Linotype" w:eastAsia="Palatino Linotype" w:hAnsi="Palatino Linotype" w:cs="Palatino Linotype"/>
          <w:sz w:val="22"/>
          <w:szCs w:val="22"/>
        </w:rPr>
        <w:t xml:space="preserve">de la parte </w:t>
      </w:r>
      <w:r w:rsidRPr="00BD78C2">
        <w:rPr>
          <w:rFonts w:ascii="Palatino Linotype" w:eastAsia="Palatino Linotype" w:hAnsi="Palatino Linotype" w:cs="Palatino Linotype"/>
          <w:b/>
          <w:bCs/>
          <w:sz w:val="22"/>
          <w:szCs w:val="22"/>
        </w:rPr>
        <w:t>Recurrente</w:t>
      </w:r>
      <w:r w:rsidRPr="00BD78C2">
        <w:rPr>
          <w:rFonts w:ascii="Palatino Linotype" w:eastAsia="Palatino Linotype" w:hAnsi="Palatino Linotype" w:cs="Palatino Linotype"/>
          <w:sz w:val="22"/>
          <w:szCs w:val="22"/>
        </w:rPr>
        <w:t>, o en su defecto, en caso de ser procedente, ordenar la entrega de información.</w:t>
      </w:r>
    </w:p>
    <w:p w14:paraId="1BDE0ED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Cuarto. Estudio del asunto. </w:t>
      </w:r>
      <w:r w:rsidRPr="00BD78C2">
        <w:rPr>
          <w:rFonts w:ascii="Palatino Linotype" w:eastAsia="Palatino Linotype" w:hAnsi="Palatino Linotype" w:cs="Palatino Linotype"/>
          <w:sz w:val="22"/>
          <w:szCs w:val="22"/>
        </w:rPr>
        <w:t xml:space="preserve">En principio, es conveniente analizar si las respuestas del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cumplen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0EC8E73"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E218FAA" w14:textId="77777777" w:rsidR="008B41AE" w:rsidRPr="00BD78C2" w:rsidRDefault="00900DB0">
      <w:pPr>
        <w:spacing w:line="276" w:lineRule="auto"/>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Artículo 4</w:t>
      </w:r>
      <w:r w:rsidRPr="00BD78C2">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68916E4F" w14:textId="77777777" w:rsidR="008B41AE" w:rsidRPr="00BD78C2" w:rsidRDefault="00900DB0">
      <w:pPr>
        <w:spacing w:line="276" w:lineRule="auto"/>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BD78C2">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E41A8CA" w14:textId="77777777" w:rsidR="008B41AE" w:rsidRPr="00BD78C2" w:rsidRDefault="00900DB0">
      <w:pPr>
        <w:spacing w:line="276" w:lineRule="auto"/>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BD78C2">
        <w:rPr>
          <w:rFonts w:ascii="Palatino Linotype" w:eastAsia="Palatino Linotype" w:hAnsi="Palatino Linotype" w:cs="Palatino Linotype"/>
          <w:i/>
          <w:iCs/>
          <w:sz w:val="22"/>
          <w:szCs w:val="22"/>
        </w:rPr>
        <w:t>.”</w:t>
      </w:r>
    </w:p>
    <w:p w14:paraId="27F509ED" w14:textId="77777777" w:rsidR="008B41AE" w:rsidRPr="00BD78C2" w:rsidRDefault="008B41AE">
      <w:pPr>
        <w:spacing w:line="276" w:lineRule="auto"/>
        <w:jc w:val="both"/>
        <w:rPr>
          <w:rFonts w:ascii="Palatino Linotype" w:eastAsia="Palatino Linotype" w:hAnsi="Palatino Linotype" w:cs="Palatino Linotype"/>
          <w:sz w:val="22"/>
          <w:szCs w:val="22"/>
        </w:rPr>
      </w:pPr>
    </w:p>
    <w:p w14:paraId="7E8A99F1"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640B26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1B080896" w14:textId="77777777" w:rsidR="008B41AE" w:rsidRPr="00BD78C2" w:rsidRDefault="00900DB0">
      <w:pPr>
        <w:spacing w:line="276" w:lineRule="auto"/>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“Artículo 12.-</w:t>
      </w:r>
      <w:r w:rsidRPr="00BD78C2">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1E3E11B3" w14:textId="77777777" w:rsidR="008B41AE" w:rsidRPr="00BD78C2" w:rsidRDefault="008B41AE">
      <w:pPr>
        <w:spacing w:line="276" w:lineRule="auto"/>
        <w:ind w:left="567" w:right="616"/>
        <w:jc w:val="both"/>
        <w:rPr>
          <w:rFonts w:ascii="Palatino Linotype" w:eastAsia="Palatino Linotype" w:hAnsi="Palatino Linotype" w:cs="Palatino Linotype"/>
          <w:i/>
          <w:iCs/>
          <w:sz w:val="22"/>
          <w:szCs w:val="22"/>
        </w:rPr>
      </w:pPr>
    </w:p>
    <w:p w14:paraId="4E39C423" w14:textId="77777777" w:rsidR="008B41AE" w:rsidRPr="00BD78C2" w:rsidRDefault="00900DB0">
      <w:pPr>
        <w:spacing w:line="276" w:lineRule="auto"/>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BD78C2">
        <w:rPr>
          <w:rFonts w:ascii="Palatino Linotype" w:eastAsia="Palatino Linotype" w:hAnsi="Palatino Linotype" w:cs="Palatino Linotype"/>
          <w:i/>
          <w:iCs/>
          <w:sz w:val="22"/>
          <w:szCs w:val="22"/>
        </w:rPr>
        <w:t xml:space="preserve">. </w:t>
      </w:r>
      <w:r w:rsidRPr="00BD78C2">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92650D4"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6DF78DE2" w14:textId="77777777" w:rsidR="008B41AE" w:rsidRPr="00BD78C2" w:rsidRDefault="00900DB0">
      <w:pPr>
        <w:spacing w:line="360" w:lineRule="auto"/>
        <w:ind w:right="-93"/>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4D0B1222"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3CC38615" w14:textId="77777777" w:rsidR="008B41AE" w:rsidRPr="00BD78C2" w:rsidRDefault="00900DB0">
      <w:pPr>
        <w:spacing w:line="360" w:lineRule="auto"/>
        <w:ind w:right="-93"/>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BD78C2">
        <w:rPr>
          <w:rFonts w:ascii="Palatino Linotype" w:eastAsia="Palatino Linotype" w:hAnsi="Palatino Linotype" w:cs="Palatino Linotype"/>
          <w:b/>
          <w:bCs/>
          <w:sz w:val="22"/>
          <w:szCs w:val="22"/>
        </w:rPr>
        <w:t xml:space="preserve"> </w:t>
      </w:r>
    </w:p>
    <w:p w14:paraId="33FBA467"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57DED5EA"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BD78C2">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AC14B53"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0473766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C926A0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7FA0D6A"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EE1A646"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41B4B48E"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C7F7F5B" w14:textId="77777777" w:rsidR="008B41AE" w:rsidRPr="00BD78C2" w:rsidRDefault="008B41AE">
      <w:pPr>
        <w:spacing w:line="360" w:lineRule="auto"/>
        <w:ind w:left="567" w:right="616"/>
        <w:jc w:val="both"/>
        <w:rPr>
          <w:rFonts w:ascii="Palatino Linotype" w:eastAsia="Palatino Linotype" w:hAnsi="Palatino Linotype" w:cs="Palatino Linotype"/>
          <w:i/>
          <w:iCs/>
          <w:sz w:val="22"/>
          <w:szCs w:val="22"/>
        </w:rPr>
      </w:pPr>
    </w:p>
    <w:p w14:paraId="5245A2BE"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 xml:space="preserve">Artículo 3. </w:t>
      </w:r>
      <w:r w:rsidRPr="00BD78C2">
        <w:rPr>
          <w:rFonts w:ascii="Palatino Linotype" w:eastAsia="Palatino Linotype" w:hAnsi="Palatino Linotype" w:cs="Palatino Linotype"/>
          <w:i/>
          <w:iCs/>
          <w:sz w:val="22"/>
          <w:szCs w:val="22"/>
        </w:rPr>
        <w:t>Para los efectos de la presente Ley se entenderá por:</w:t>
      </w:r>
    </w:p>
    <w:p w14:paraId="54814750"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7E999E4D"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XI. Documento:</w:t>
      </w:r>
      <w:r w:rsidRPr="00BD78C2">
        <w:rPr>
          <w:rFonts w:ascii="Palatino Linotype" w:eastAsia="Palatino Linotype" w:hAnsi="Palatino Linotype" w:cs="Palatino Linotype"/>
          <w:i/>
          <w:iCs/>
          <w:sz w:val="22"/>
          <w:szCs w:val="22"/>
        </w:rPr>
        <w:t xml:space="preserve"> Los expedientes, reportes, estudios, actas</w:t>
      </w:r>
      <w:r w:rsidRPr="00BD78C2">
        <w:rPr>
          <w:rFonts w:ascii="Palatino Linotype" w:eastAsia="Palatino Linotype" w:hAnsi="Palatino Linotype" w:cs="Palatino Linotype"/>
          <w:b/>
          <w:bCs/>
          <w:i/>
          <w:iCs/>
          <w:sz w:val="22"/>
          <w:szCs w:val="22"/>
        </w:rPr>
        <w:t>,</w:t>
      </w:r>
      <w:r w:rsidRPr="00BD78C2">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665AF2CC" w14:textId="77777777" w:rsidR="008B41AE" w:rsidRPr="00BD78C2" w:rsidRDefault="008B41AE">
      <w:pPr>
        <w:spacing w:line="360" w:lineRule="auto"/>
        <w:ind w:left="851" w:right="899"/>
        <w:jc w:val="both"/>
        <w:rPr>
          <w:rFonts w:ascii="Palatino Linotype" w:eastAsia="Palatino Linotype" w:hAnsi="Palatino Linotype" w:cs="Palatino Linotype"/>
          <w:sz w:val="22"/>
          <w:szCs w:val="22"/>
        </w:rPr>
      </w:pPr>
    </w:p>
    <w:p w14:paraId="4A215BA5"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7CC5931E"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2A9DF5B" w14:textId="77777777" w:rsidR="008B41AE" w:rsidRPr="00BD78C2" w:rsidRDefault="00900DB0">
      <w:pPr>
        <w:ind w:left="567" w:right="616"/>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sz w:val="22"/>
          <w:szCs w:val="22"/>
        </w:rPr>
        <w:t>“</w:t>
      </w:r>
      <w:r w:rsidRPr="00BD78C2">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BD78C2">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9EA90D6"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06C30F01"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042341C1" w14:textId="77777777" w:rsidR="008B41AE" w:rsidRPr="00BD78C2" w:rsidRDefault="00900DB0">
      <w:pPr>
        <w:ind w:left="567" w:right="616"/>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579E38EB" w14:textId="77777777" w:rsidR="008B41AE" w:rsidRPr="00BD78C2" w:rsidRDefault="00900DB0">
      <w:pPr>
        <w:ind w:left="567" w:right="616"/>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6BFA64DD" w14:textId="77777777" w:rsidR="008B41AE" w:rsidRPr="00BD78C2" w:rsidRDefault="008B41AE">
      <w:pPr>
        <w:tabs>
          <w:tab w:val="left" w:pos="8647"/>
        </w:tabs>
        <w:spacing w:line="360" w:lineRule="auto"/>
        <w:jc w:val="both"/>
        <w:rPr>
          <w:rFonts w:ascii="Palatino Linotype" w:eastAsia="Palatino Linotype" w:hAnsi="Palatino Linotype" w:cs="Palatino Linotype"/>
          <w:b/>
          <w:bCs/>
          <w:sz w:val="22"/>
          <w:szCs w:val="22"/>
        </w:rPr>
      </w:pPr>
    </w:p>
    <w:p w14:paraId="7FFC55C9" w14:textId="77777777" w:rsidR="008B41AE" w:rsidRPr="00BD78C2" w:rsidRDefault="00900DB0">
      <w:pPr>
        <w:spacing w:after="24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sz w:val="22"/>
          <w:szCs w:val="22"/>
        </w:rPr>
        <w:t xml:space="preserve">Del análisis de la solicitud de información motivo del recurso de revisión que ahora se resuelve, se advierte que el particular requirió a </w:t>
      </w:r>
      <w:r w:rsidRPr="00BD78C2">
        <w:rPr>
          <w:rFonts w:ascii="Palatino Linotype" w:eastAsia="Palatino Linotype" w:hAnsi="Palatino Linotype" w:cs="Palatino Linotype"/>
          <w:b/>
          <w:bCs/>
          <w:sz w:val="22"/>
          <w:szCs w:val="22"/>
        </w:rPr>
        <w:t xml:space="preserve">Protectora de Bosques del Estado de México, </w:t>
      </w:r>
      <w:r w:rsidRPr="00BD78C2">
        <w:rPr>
          <w:rFonts w:ascii="Palatino Linotype" w:eastAsia="Palatino Linotype" w:hAnsi="Palatino Linotype" w:cs="Palatino Linotype"/>
          <w:sz w:val="22"/>
          <w:szCs w:val="22"/>
        </w:rPr>
        <w:t>lo siguiente:</w:t>
      </w:r>
    </w:p>
    <w:p w14:paraId="0E74089E" w14:textId="77777777" w:rsidR="008B41AE" w:rsidRPr="00BD78C2" w:rsidRDefault="00900DB0">
      <w:pPr>
        <w:numPr>
          <w:ilvl w:val="0"/>
          <w:numId w:val="3"/>
        </w:numPr>
        <w:pBdr>
          <w:top w:val="nil"/>
          <w:left w:val="nil"/>
          <w:bottom w:val="nil"/>
          <w:right w:val="nil"/>
          <w:between w:val="nil"/>
        </w:pBdr>
        <w:spacing w:after="24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Oficios, expedientes de auditoria, expedientes de inspecciones y de todos los demás documentos que ha generado el órgano interno de control de PROBOSQUE, del uno de enero de dos mil veinticuatro al cuatro de julio de dos mil veinticinco.</w:t>
      </w:r>
    </w:p>
    <w:p w14:paraId="147B4DF9" w14:textId="77777777" w:rsidR="008B41AE" w:rsidRPr="00BD78C2" w:rsidRDefault="00900DB0">
      <w:pPr>
        <w:numPr>
          <w:ilvl w:val="0"/>
          <w:numId w:val="3"/>
        </w:numPr>
        <w:pBdr>
          <w:top w:val="nil"/>
          <w:left w:val="nil"/>
          <w:bottom w:val="nil"/>
          <w:right w:val="nil"/>
          <w:between w:val="nil"/>
        </w:pBdr>
        <w:spacing w:after="24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Oficios, expedientes de responsabilidades administrativas y de todos los demás documentos que ha generado el área de responsabilidades del órgano interno de control de PROBOSQUE, del uno de enero de dos mil veinticuatro al cuatro de julio de dos mil veinticinco.</w:t>
      </w:r>
    </w:p>
    <w:p w14:paraId="596B0240" w14:textId="77777777" w:rsidR="008B41AE" w:rsidRPr="00BD78C2" w:rsidRDefault="00900DB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Oficios, expedientes de investigación y de todos los demás documentos que ha generado el área que realiza las investigaciones del órgano interno de control de PROBOSQUE del uno de enero de dos mil veinticuatro al cuatro de julio de dos mil veinticinco</w:t>
      </w:r>
    </w:p>
    <w:p w14:paraId="79424550" w14:textId="77777777" w:rsidR="008B41AE" w:rsidRPr="00BD78C2" w:rsidRDefault="00900DB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Oficios, expedientes de auditoria, expedientes de inspecciones y de todos los demás documentos que ha generado el área de auditoría del órgano interno de control de PROBOSQUE del uno de enero de dos mil veinticuatro al cuatro de julio de dos mil veinticinco.</w:t>
      </w:r>
    </w:p>
    <w:p w14:paraId="7E69F5C3" w14:textId="77777777" w:rsidR="008B41AE" w:rsidRPr="00BD78C2" w:rsidRDefault="008B41AE">
      <w:pPr>
        <w:pBdr>
          <w:top w:val="nil"/>
          <w:left w:val="nil"/>
          <w:bottom w:val="nil"/>
          <w:right w:val="nil"/>
          <w:between w:val="nil"/>
        </w:pBdr>
        <w:ind w:left="720" w:hanging="360"/>
        <w:rPr>
          <w:rFonts w:ascii="Palatino Linotype" w:eastAsia="Palatino Linotype" w:hAnsi="Palatino Linotype" w:cs="Palatino Linotype"/>
          <w:sz w:val="22"/>
          <w:szCs w:val="22"/>
        </w:rPr>
      </w:pPr>
    </w:p>
    <w:p w14:paraId="420622AA" w14:textId="77777777" w:rsidR="008B41AE" w:rsidRPr="00BD78C2" w:rsidRDefault="00900DB0">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El Sujeto Obligado, a través del Titular del Órgano Interno de Control mencionó que se encuentra impedido a proporcionar la información respecto a expedientes por el hecho de contener datos personales susceptibles de clasificarse como confidenciales. Además, mencionó que no se precisa el interés jurídico o legítimo del solicitante. </w:t>
      </w:r>
    </w:p>
    <w:p w14:paraId="006CB219"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p>
    <w:p w14:paraId="64F9107E" w14:textId="77777777" w:rsidR="008B41AE" w:rsidRPr="00BD78C2" w:rsidRDefault="00900DB0">
      <w:pP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sz w:val="22"/>
          <w:szCs w:val="22"/>
        </w:rPr>
        <w:t xml:space="preserve">Conocida la respuesta, el Recurrente se inconformó de manera expresa por lo siguiente </w:t>
      </w:r>
      <w:r w:rsidRPr="00BD78C2">
        <w:rPr>
          <w:rFonts w:ascii="Palatino Linotype" w:eastAsia="Palatino Linotype" w:hAnsi="Palatino Linotype" w:cs="Palatino Linotype"/>
          <w:i/>
          <w:iCs/>
          <w:sz w:val="22"/>
          <w:szCs w:val="22"/>
        </w:rPr>
        <w:t xml:space="preserve">“la respuesta es una burla al derecho de acceso a la información, mas viniendo del titular de un oic quien deberia de poner el ejemplo de transparencia y garantizar el derecho de acceso a la información, </w:t>
      </w:r>
      <w:r w:rsidRPr="00BD78C2">
        <w:rPr>
          <w:rFonts w:ascii="Palatino Linotype" w:eastAsia="Palatino Linotype" w:hAnsi="Palatino Linotype" w:cs="Palatino Linotype"/>
          <w:b/>
          <w:bCs/>
          <w:i/>
          <w:iCs/>
          <w:sz w:val="22"/>
          <w:szCs w:val="22"/>
          <w:u w:val="single"/>
        </w:rPr>
        <w:t>al argumentar que los expedientes contienen datos personales</w:t>
      </w:r>
      <w:r w:rsidRPr="00BD78C2">
        <w:rPr>
          <w:rFonts w:ascii="Palatino Linotype" w:eastAsia="Palatino Linotype" w:hAnsi="Palatino Linotype" w:cs="Palatino Linotype"/>
          <w:b/>
          <w:bCs/>
          <w:i/>
          <w:iCs/>
          <w:sz w:val="22"/>
          <w:szCs w:val="22"/>
        </w:rPr>
        <w:t>, debió proporcionarse una versión publica de los mismos, tachando los datos personales que refiere</w:t>
      </w:r>
      <w:r w:rsidRPr="00BD78C2">
        <w:rPr>
          <w:rFonts w:ascii="Palatino Linotype" w:eastAsia="Palatino Linotype" w:hAnsi="Palatino Linotype" w:cs="Palatino Linotype"/>
          <w:i/>
          <w:iCs/>
          <w:sz w:val="22"/>
          <w:szCs w:val="22"/>
        </w:rPr>
        <w:t xml:space="preserve">, en todo caso solito se proporcionen las actas del comité de transparencia donde se acordo no entregar la información por esa razón. además el derecho de acceso a la información no puede condicionase al interés jurídico o interés legitimo que refiere, ya que no estoy solicitando datos personales, </w:t>
      </w:r>
      <w:r w:rsidRPr="00BD78C2">
        <w:rPr>
          <w:rFonts w:ascii="Palatino Linotype" w:eastAsia="Palatino Linotype" w:hAnsi="Palatino Linotype" w:cs="Palatino Linotype"/>
          <w:b/>
          <w:bCs/>
          <w:i/>
          <w:iCs/>
          <w:sz w:val="22"/>
          <w:szCs w:val="22"/>
          <w:u w:val="single"/>
        </w:rPr>
        <w:t>estoy solicitando copia de todos los expedientes</w:t>
      </w:r>
      <w:r w:rsidRPr="00BD78C2">
        <w:rPr>
          <w:rFonts w:ascii="Palatino Linotype" w:eastAsia="Palatino Linotype" w:hAnsi="Palatino Linotype" w:cs="Palatino Linotype"/>
          <w:i/>
          <w:iCs/>
          <w:sz w:val="22"/>
          <w:szCs w:val="22"/>
        </w:rPr>
        <w:t xml:space="preserve"> y si contienen datos personales es su obligación elaborar versiones publicas y proporcionarme la información que solicito en los tiempos que prevee la ley por lo tanto solicito que el infoem garantice mi derecho de acceso a la información y sancione al servidor publico habilitado o sujeto obligado quienes deben proporcionarme la información que estoy solicitando y de vista de la negativa de acceso a la información al oic de la secretaria de contraloría para que revise la respuesta otorgada a mi solicitud y proceda conforme a sus facultades”</w:t>
      </w:r>
      <w:r w:rsidRPr="00BD78C2">
        <w:rPr>
          <w:rFonts w:ascii="Palatino Linotype" w:eastAsia="Palatino Linotype" w:hAnsi="Palatino Linotype" w:cs="Palatino Linotype"/>
          <w:sz w:val="22"/>
          <w:szCs w:val="22"/>
        </w:rPr>
        <w:t xml:space="preserve"> Se colige que, la parte de la respuesta que no fue impugnada debe declararse consentida, </w:t>
      </w:r>
      <w:r w:rsidRPr="00BD78C2">
        <w:rPr>
          <w:rFonts w:ascii="Palatino Linotype" w:eastAsia="Palatino Linotype" w:hAnsi="Palatino Linotype" w:cs="Palatino Linotype"/>
          <w:b/>
          <w:bCs/>
          <w:sz w:val="22"/>
          <w:szCs w:val="22"/>
        </w:rPr>
        <w:t>como lo son oficios y todos los documentos generados por el área de auditoría, área de responsabilidades, área de investigaciones y la Contraloría Interna.</w:t>
      </w:r>
    </w:p>
    <w:p w14:paraId="41FAA072"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46E9FF38"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Lo anterior es así, debido a que cuando la parte Recurrente impugna la respuesta del Sujeto Obligado, y este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19F0DDF7"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87FFF4F"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“REVISIÓN EN AMPARO. LOS RESOLUTIVOS NO COMBATIDOS DEBEN DECLARARSE FIRMES. </w:t>
      </w:r>
      <w:r w:rsidRPr="00BD78C2">
        <w:rPr>
          <w:rFonts w:ascii="Palatino Linotype" w:eastAsia="Palatino Linotype" w:hAnsi="Palatino Linotype" w:cs="Palatino Linotype"/>
          <w:i/>
          <w:iCs/>
          <w:sz w:val="22"/>
          <w:szCs w:val="22"/>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172447A"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7B9E0C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Consecuentemente, se insiste, ante la falta de impugnación eficaz, la respuesta entregada debe declararse consentida por la persona solicitante.</w:t>
      </w:r>
    </w:p>
    <w:p w14:paraId="40F1E247"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1A82946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Lo anterior se sustenta con lo plasmado en el criterio orientador 01/20 emitido por el entonces Instituto Nacional de Transparencia, Acceso a la Información, y Protección de Datos Personales, INAI, que lleva por rubro y texto los siguientes: </w:t>
      </w:r>
    </w:p>
    <w:p w14:paraId="1E845916"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65A6BC5" w14:textId="77777777" w:rsidR="008B41AE" w:rsidRPr="00BD78C2" w:rsidRDefault="00900DB0">
      <w:pPr>
        <w:pBdr>
          <w:top w:val="nil"/>
          <w:left w:val="nil"/>
          <w:bottom w:val="nil"/>
          <w:right w:val="nil"/>
          <w:between w:val="nil"/>
        </w:pBdr>
        <w:spacing w:line="276" w:lineRule="auto"/>
        <w:ind w:left="567"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 xml:space="preserve">Actos consentidos tácitamente. Improcedencia de su análisis. </w:t>
      </w:r>
      <w:r w:rsidRPr="00BD78C2">
        <w:rPr>
          <w:rFonts w:ascii="Palatino Linotype" w:eastAsia="Palatino Linotype" w:hAnsi="Palatino Linotype" w:cs="Palatino Linotype"/>
          <w:i/>
          <w:iCs/>
          <w:sz w:val="22"/>
          <w:szCs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5E5490B" w14:textId="77777777" w:rsidR="008B41AE" w:rsidRPr="00BD78C2" w:rsidRDefault="008B41AE">
      <w:pPr>
        <w:pBdr>
          <w:top w:val="nil"/>
          <w:left w:val="nil"/>
          <w:bottom w:val="nil"/>
          <w:right w:val="nil"/>
          <w:between w:val="nil"/>
        </w:pBdr>
        <w:spacing w:line="360" w:lineRule="auto"/>
        <w:ind w:left="567" w:right="902"/>
        <w:jc w:val="both"/>
        <w:rPr>
          <w:rFonts w:ascii="Palatino Linotype" w:eastAsia="Palatino Linotype" w:hAnsi="Palatino Linotype" w:cs="Palatino Linotype"/>
          <w:i/>
          <w:iCs/>
          <w:sz w:val="22"/>
          <w:szCs w:val="22"/>
        </w:rPr>
      </w:pPr>
    </w:p>
    <w:p w14:paraId="28301B1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14:paraId="588C1101" w14:textId="77777777" w:rsidR="008B41AE" w:rsidRPr="00BD78C2" w:rsidRDefault="008B41AE">
      <w:pPr>
        <w:spacing w:line="360" w:lineRule="auto"/>
        <w:ind w:left="851" w:right="900"/>
        <w:jc w:val="both"/>
        <w:rPr>
          <w:rFonts w:ascii="Palatino Linotype" w:eastAsia="Palatino Linotype" w:hAnsi="Palatino Linotype" w:cs="Palatino Linotype"/>
          <w:b/>
          <w:bCs/>
          <w:i/>
          <w:iCs/>
          <w:smallCaps/>
          <w:sz w:val="22"/>
          <w:szCs w:val="22"/>
        </w:rPr>
      </w:pPr>
    </w:p>
    <w:p w14:paraId="1075306D" w14:textId="77777777" w:rsidR="008B41AE" w:rsidRPr="00BD78C2" w:rsidRDefault="00900DB0">
      <w:pPr>
        <w:tabs>
          <w:tab w:val="left" w:pos="851"/>
          <w:tab w:val="left" w:pos="1276"/>
        </w:tabs>
        <w:ind w:left="567" w:right="70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i/>
          <w:iCs/>
          <w:smallCaps/>
          <w:sz w:val="22"/>
          <w:szCs w:val="22"/>
        </w:rPr>
        <w:t xml:space="preserve">“ACTOS CONSENTIDOS. SON LOS QUE NO SE IMPUGNAN MEDIANTE EL RECURSO IDÓNEO. </w:t>
      </w:r>
      <w:r w:rsidRPr="00BD78C2">
        <w:rPr>
          <w:rFonts w:ascii="Palatino Linotype" w:eastAsia="Palatino Linotype" w:hAnsi="Palatino Linotype" w:cs="Palatino Linotype"/>
          <w:i/>
          <w:iCs/>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ACF9000"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Por lo anterior, el estudio del presente asunto en particular se analizará en analizar los siguientes puntos: </w:t>
      </w:r>
    </w:p>
    <w:p w14:paraId="07D43801" w14:textId="77777777" w:rsidR="008B41AE" w:rsidRPr="00BD78C2" w:rsidRDefault="00900DB0">
      <w:pPr>
        <w:numPr>
          <w:ilvl w:val="0"/>
          <w:numId w:val="3"/>
        </w:numPr>
        <w:pBdr>
          <w:top w:val="nil"/>
          <w:left w:val="nil"/>
          <w:bottom w:val="nil"/>
          <w:right w:val="nil"/>
          <w:between w:val="nil"/>
        </w:pBdr>
        <w:spacing w:after="24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Expedientes de auditoría, expedientes de inspecciones generados por el órgano interno de control de PROBOSQUE, del uno de enero de dos mil veinticuatro al cuatro de julio de dos mil veinticinco.</w:t>
      </w:r>
    </w:p>
    <w:p w14:paraId="73753655" w14:textId="77777777" w:rsidR="008B41AE" w:rsidRPr="00BD78C2" w:rsidRDefault="00900DB0">
      <w:pPr>
        <w:numPr>
          <w:ilvl w:val="0"/>
          <w:numId w:val="3"/>
        </w:numPr>
        <w:pBdr>
          <w:top w:val="nil"/>
          <w:left w:val="nil"/>
          <w:bottom w:val="nil"/>
          <w:right w:val="nil"/>
          <w:between w:val="nil"/>
        </w:pBdr>
        <w:spacing w:after="24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Expedientes de responsabilidades administrativas generados por el área de responsabilidades del órgano interno de control de PROBOSQUE, del uno de enero de dos mil veinticuatro al cuatro de julio de dos mil veinticinco.</w:t>
      </w:r>
    </w:p>
    <w:p w14:paraId="72B24F04" w14:textId="77777777" w:rsidR="008B41AE" w:rsidRPr="00BD78C2" w:rsidRDefault="00900DB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Expedientes de investigación generados por el área que realiza las investigaciones del órgano interno de control de PROBOSQUE del uno de enero de dos mil veinticuatro al cuatro de julio de dos mil veinticinco</w:t>
      </w:r>
    </w:p>
    <w:p w14:paraId="3D8E3B46" w14:textId="77777777" w:rsidR="008B41AE" w:rsidRPr="00BD78C2" w:rsidRDefault="00900DB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Expedientes de auditoría y expedientes de inspecciones generados el área de auditoría del órgano interno de control de PROBOSQUE del uno de enero de dos mil veinticuatro al cuatro de julio de dos mil veinticinco.</w:t>
      </w:r>
    </w:p>
    <w:p w14:paraId="1484B8C9"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p>
    <w:p w14:paraId="42B1AE04" w14:textId="77777777" w:rsidR="008B41AE" w:rsidRPr="00BD78C2" w:rsidRDefault="00900DB0">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Establecido lo anterior, es necesario puntualizar que el Recurrente solicitó información específicamente del Órgano Interno de Control y sus unidades administrativas, razón por la cual es necesario traer a contexto el Manual de Organización del Sujeto Obligado, el cual establece lo siguiente:</w:t>
      </w:r>
    </w:p>
    <w:p w14:paraId="356DB5BB"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p>
    <w:p w14:paraId="4CE19E73"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225C0201000300S ÓRGANO INTERNO DE CONTROL OBJETIVO:</w:t>
      </w:r>
      <w:r w:rsidRPr="00BD78C2">
        <w:rPr>
          <w:rFonts w:ascii="Palatino Linotype" w:eastAsia="Palatino Linotype" w:hAnsi="Palatino Linotype" w:cs="Palatino Linotype"/>
          <w:i/>
          <w:iCs/>
          <w:sz w:val="22"/>
          <w:szCs w:val="22"/>
        </w:rPr>
        <w:t xml:space="preserve"> Fiscalizar, controlar, evaluar, supervisar y auditar el ejercicio del gasto público y el cumplimiento de objetivos y metas de los programas a cargo de PROBOSQUE, verificando su congruencia con el Plan de Desarrollo del Estado de México, así como tramitar las quejas y denuncias e instrumentar y resolver los procedimientos administrativos de su competencia</w:t>
      </w:r>
    </w:p>
    <w:p w14:paraId="0688819D" w14:textId="77777777" w:rsidR="008B41AE" w:rsidRPr="00BD78C2" w:rsidRDefault="008B41AE">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p>
    <w:p w14:paraId="3DE123BA"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FUNCIONES:</w:t>
      </w:r>
      <w:r w:rsidRPr="00BD78C2">
        <w:rPr>
          <w:rFonts w:ascii="Palatino Linotype" w:eastAsia="Palatino Linotype" w:hAnsi="Palatino Linotype" w:cs="Palatino Linotype"/>
          <w:i/>
          <w:iCs/>
          <w:sz w:val="22"/>
          <w:szCs w:val="22"/>
        </w:rPr>
        <w:t xml:space="preserve"> </w:t>
      </w:r>
    </w:p>
    <w:p w14:paraId="01245930"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 Elaborar el Programa Anual de Control y Evaluación del Órgano Interno de Control, conforme a las políticas, normas, lineamientos, procedimientos y demás disposiciones que al efecto se establezcan y someterlo a consideración de la Dirección General de Control y Evaluación de la Secretaría de la Contraloría; así como dar cumplimiento al mismo. </w:t>
      </w:r>
    </w:p>
    <w:p w14:paraId="6A7E25E8"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2. Iniciar de oficio, por denuncia o derivado de auditorías realizadas por las autoridades competentes, las investigaciones por posibles actos u omisiones que pudieran constituir faltas administrativas por parte de las personas servidoras públicas o de particulares por conductas sancionables, en términos de la Ley de Responsabilidades Administrativas del Estado de México y Municipios. </w:t>
      </w:r>
    </w:p>
    <w:p w14:paraId="04811A3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3. Ordenar la realización de diligencias siempre que resulte pertinente para el conocimiento de los hechos relacionados con la existencia de la falta administrativa y la responsabilidad de quien la hubiera cometido en los términos de la Ley de Responsabilidades Administrativas del Estado de México y Municipios y demás legislación aplicable en la materia. </w:t>
      </w:r>
    </w:p>
    <w:p w14:paraId="67D7624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u w:val="single"/>
        </w:rPr>
      </w:pPr>
      <w:r w:rsidRPr="00BD78C2">
        <w:rPr>
          <w:rFonts w:ascii="Palatino Linotype" w:eastAsia="Palatino Linotype" w:hAnsi="Palatino Linotype" w:cs="Palatino Linotype"/>
          <w:b/>
          <w:bCs/>
          <w:i/>
          <w:iCs/>
          <w:sz w:val="22"/>
          <w:szCs w:val="22"/>
        </w:rPr>
        <w:t>4</w:t>
      </w:r>
      <w:r w:rsidRPr="00BD78C2">
        <w:rPr>
          <w:rFonts w:ascii="Palatino Linotype" w:eastAsia="Palatino Linotype" w:hAnsi="Palatino Linotype" w:cs="Palatino Linotype"/>
          <w:b/>
          <w:bCs/>
          <w:i/>
          <w:iCs/>
          <w:sz w:val="22"/>
          <w:szCs w:val="22"/>
          <w:u w:val="single"/>
        </w:rPr>
        <w:t xml:space="preserve">. Realizar la investigación, substanciación y calificación de las faltas administrativas conforme a lo dispuesto en la Ley de Responsabilidades Administrativas del Estado de México y Municipios. </w:t>
      </w:r>
    </w:p>
    <w:p w14:paraId="4CE1533F"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5. Iniciar, substanciar y resolver los procedimientos administrativos derivados de faltas no graves, en términos de la Ley de Responsabilidades Administrativas del Estado de México y Municipios. </w:t>
      </w:r>
    </w:p>
    <w:p w14:paraId="7B43667C"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u w:val="single"/>
        </w:rPr>
      </w:pPr>
      <w:r w:rsidRPr="00BD78C2">
        <w:rPr>
          <w:rFonts w:ascii="Palatino Linotype" w:eastAsia="Palatino Linotype" w:hAnsi="Palatino Linotype" w:cs="Palatino Linotype"/>
          <w:i/>
          <w:iCs/>
          <w:sz w:val="22"/>
          <w:szCs w:val="22"/>
        </w:rPr>
        <w:t>6</w:t>
      </w:r>
      <w:r w:rsidRPr="00BD78C2">
        <w:rPr>
          <w:rFonts w:ascii="Palatino Linotype" w:eastAsia="Palatino Linotype" w:hAnsi="Palatino Linotype" w:cs="Palatino Linotype"/>
          <w:i/>
          <w:iCs/>
          <w:sz w:val="22"/>
          <w:szCs w:val="22"/>
          <w:u w:val="single"/>
        </w:rPr>
        <w:t xml:space="preserve">. Turnar al Tribunal de Justicia Administrativa del Estado de México, los procedimientos administrativos de los que se adviertan faltas graves o faltas de particulares para la substanciación y resolución de estos. </w:t>
      </w:r>
    </w:p>
    <w:p w14:paraId="63BF91A4"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7. Supervisar que las unidades administrativas de PROBOSQUE, realicen el seguimiento a la solventación y cumplimiento de las observaciones formuladas por auditores externos y, en su caso, por otras instancias de fiscalización. </w:t>
      </w:r>
    </w:p>
    <w:p w14:paraId="47431E50"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8. Verificar, en la esfera de su competencia, el cumplimiento de las obligaciones adquiridas por las personas proveedoras y contratistas con PROBOSQUE, solicitándoles la información relacionada con las operaciones que realicen, así como aplicar las responsabilidades que, en su caso, procedan. </w:t>
      </w:r>
    </w:p>
    <w:p w14:paraId="74EEC5D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9. Supervisar la ejecución de procedimientos de contratación pública para garantizar que se lleve a cabo en los términos de las disposiciones establecidas.  </w:t>
      </w:r>
    </w:p>
    <w:p w14:paraId="0727CC34"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10. Formular en su caso la denuncia ante el Ministerio Publico correspondiente, en los casos en que existan hechos que pudieran ser constitutivos de delitos cometidos por el personal de PROBOSQUE y ser coadyuvante en el procedimiento penal respectivo. </w:t>
      </w:r>
    </w:p>
    <w:p w14:paraId="1CD1A250"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11. Solicitar información o documentación a cualquier persona física o jurídica colectiva con el objeto de esclarecer los hechos relacionados con la comisión de presuntas faltas administrativas. </w:t>
      </w:r>
    </w:p>
    <w:p w14:paraId="314C8C1D"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12. Imponer medidas de apremio para el debido cumplimiento de las determinaciones. </w:t>
      </w:r>
    </w:p>
    <w:p w14:paraId="60A7FF16"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13. Vigilar el cumplimiento de las leyes, normas y criterios que regulan la organización y el funcionamiento del organismo, así como la aplicación de los fondos y valores que se aplican en PROBOSQUE. </w:t>
      </w:r>
    </w:p>
    <w:p w14:paraId="27F1E4EE"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14. Implementar mecanismos internos para prevenir las faltas administrativas a la normatividad aplicable. </w:t>
      </w:r>
    </w:p>
    <w:p w14:paraId="05E8548F"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15. Vigilar el correcto ejercicio del presupuesto autorizado a PROBOSQUE, así como el cumplimiento de los principios de racionalidad, austeridad y disciplina presupuestal, transparencia y rendición de cuentas. </w:t>
      </w:r>
    </w:p>
    <w:p w14:paraId="3D009A1C"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16. Comprobar el cumplimiento de las obligaciones derivadas de las disposiciones en materia de transparencia, planeación, presupuestación, ingresos, financiamientos, inversión, deuda, patrimonio, fondos y valores de la propiedad o al cuidado de PROBOSQUE.</w:t>
      </w:r>
    </w:p>
    <w:p w14:paraId="5B250BCC"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17. Verificar la adecuada aplicación de los recursos federales y estatales autorizados a PROBOSQUE, de conformidad con los convenios y acuerdos establecidos. </w:t>
      </w:r>
    </w:p>
    <w:p w14:paraId="374272F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18. Testificar los procesos de entrega y recepción de las unidades administrativas de PROBOSQUE, a efecto de verificar que se realicen de conformidad con los lineamientos establecidos en la normatividad aplicable. </w:t>
      </w:r>
    </w:p>
    <w:p w14:paraId="0B41501D"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19. Proponer y acordar acciones de mejora para fortalecer el control interno y la gestión de PROBOSQUE y vigilar su implementación. </w:t>
      </w:r>
    </w:p>
    <w:p w14:paraId="63AB2EF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20. Promover y vigilar la presentación de las declaraciones de la situación patrimonial y conflicto de intereses de las personas servidoras públicas adscritas a PROBOSQUE. </w:t>
      </w:r>
    </w:p>
    <w:p w14:paraId="3935B00B"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21. Conocer y resolver los recursos de inconformidad, así como atender los medios de impugnación que se interpongan en contra de las resoluciones que emita el Órgano Interno de Control. </w:t>
      </w:r>
    </w:p>
    <w:p w14:paraId="5BAF689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22. Dar cumplimiento a las obligaciones en materia de transparencia de conformidad con la normatividad aplicable. </w:t>
      </w:r>
    </w:p>
    <w:p w14:paraId="734B62F5"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23. Fomentar una cultura ética en el servicio público, en observancia a los principios de ética, valores y reglas de integridad, en el desempeño de su empleo, cargo o comisión. </w:t>
      </w:r>
    </w:p>
    <w:p w14:paraId="2E203A8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24. Desarrollar las demás funciones inherentes al área de su competencia.</w:t>
      </w:r>
    </w:p>
    <w:p w14:paraId="2571371D"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p>
    <w:p w14:paraId="035C1B9F" w14:textId="77777777" w:rsidR="008B41AE" w:rsidRPr="00BD78C2" w:rsidRDefault="00900DB0">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Tal y como se advierte, el Órgano Interno de Control tiene atribuciones para realizar auditorías internas, así como investigar, substanciar y calificar las faltas administrativas, siendo la  información de interés para el particular; asimismo, cuenta con las siguientes unidades administrativas:</w:t>
      </w:r>
    </w:p>
    <w:p w14:paraId="7F9C4C32"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sz w:val="22"/>
          <w:szCs w:val="22"/>
        </w:rPr>
      </w:pPr>
    </w:p>
    <w:p w14:paraId="2A24052A"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225C0201000301S ÁREA DE AUDITORÍA </w:t>
      </w:r>
    </w:p>
    <w:p w14:paraId="42E6DE6B"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OBJETIVO:</w:t>
      </w:r>
      <w:r w:rsidRPr="00BD78C2">
        <w:rPr>
          <w:rFonts w:ascii="Palatino Linotype" w:eastAsia="Palatino Linotype" w:hAnsi="Palatino Linotype" w:cs="Palatino Linotype"/>
          <w:i/>
          <w:iCs/>
          <w:sz w:val="22"/>
          <w:szCs w:val="22"/>
        </w:rPr>
        <w:t xml:space="preserve"> Verificar la confiabilidad, oportunidad y veracidad de la información generada por las unidades administrativas de la Protectora de Bosques del Estado de México; el logro de los objetivos y metas, y el cumplimiento del marco jurídico-administrativo, mediante la ejecución de auditorías y acciones de control y evaluación, definiendo en su caso, las alternativas de solución, así como las acciones preventivas y correctivas que coadyuven a la mejora continua de la administración pública, identificando mecanismos de control que propicien la transparencia, la rendición de cuentas y comportamientos éticos. </w:t>
      </w:r>
    </w:p>
    <w:p w14:paraId="2DEF979F"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FUNCIONES: </w:t>
      </w:r>
    </w:p>
    <w:p w14:paraId="5B98860D"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 Realizar el Programa Anual de Control y Evaluación, conforme a las políticas, normas, lineamientos, procedimientos y demás disposiciones que al efecto se establezcan y someterlo a consideración de la persona titular del Órgano Interno de Control, así como dar cumplimiento al mismo. </w:t>
      </w:r>
    </w:p>
    <w:p w14:paraId="055B9205"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 Realizar, ordenar y/o supervisar, por sí o en coordinación con las unidades administrativas de la Secretaría de la Contraloría u otras instancias externas de fiscalización, las auditorías y acciones de control y evaluación, e informar a la persona titular del Órgano Interno de Control los resultados, así como suscribir el informe correspondiente y comunicar los resultados a las personas responsables de las unidades administrativas auditadas. </w:t>
      </w:r>
    </w:p>
    <w:p w14:paraId="24FD6F82"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3. Llevar el seguimiento a la solventación y cumplimiento de las observaciones y acciones de mejora, derivadas de las auditorías y acciones de control y evaluación, practicadas en el organismo, así como de los hallazgos, acciones y previsiones, recomendaciones y recomendaciones de desempeño, formulados por las personas auditoras externas o por otras instancias externas de fiscalización y, en su caso, comunicar el resultado a las unidades administrativas auditadas. </w:t>
      </w:r>
    </w:p>
    <w:p w14:paraId="29AB8FB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4. Supervisar la aplicación oportuna de las medidas correctivas y recomendaciones derivadas de las auditorías o acciones de control y evaluación practicadas en el organismo, por sí o por las diferentes instancias externas de fiscalización. </w:t>
      </w:r>
    </w:p>
    <w:p w14:paraId="35B52FE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5. Suscribir los requerimientos de información y documentación, así como su colaboración a las unidades administrativas del organismo para el cumplimiento de sus atribuciones. </w:t>
      </w:r>
    </w:p>
    <w:p w14:paraId="02FAA0C3"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6. Registrar los asuntos de su competencia y expedir copias certificadas de los documentos que se encuentren en sus archivos. </w:t>
      </w:r>
    </w:p>
    <w:p w14:paraId="63F5FA08"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7. Impulsar el fortalecimiento de los mecanismos de control de la gestión de las unidades administrativas del organismo y fomentar el autocontrol y la autoevaluación en el cumplimiento de planes, programas, objetivos y metas, así como la mejora continua de los procesos y servicios públicos. </w:t>
      </w:r>
    </w:p>
    <w:p w14:paraId="6E85F0A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8. Impulsar en el ámbito del organismo, el establecimiento de pronunciamientos de carácter ético, así como de programas orientados a la transparencia y el combate a la corrupción y rendición de cuentas. </w:t>
      </w:r>
    </w:p>
    <w:p w14:paraId="236E2F28"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9. Presenciar cuando lo designe la persona titular del Órgano Interno de Control, en los actos de entrega-recepción de las unidades administrativas del Organismo, de conformidad con las disposiciones jurídicas aplicables. </w:t>
      </w:r>
    </w:p>
    <w:p w14:paraId="5513C80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10. Turnar, en su caso, a la Autoridad Investigadora, el expediente correspondiente de las auditorías y acciones de control y evaluación, realizadas a las unidades administrativas del organismo, en los que se advierta la existencia de presuntas faltas administrativas, en términos de la Ley de Responsabilidades Administrativas del Estado de México y Municipios. </w:t>
      </w:r>
    </w:p>
    <w:p w14:paraId="72ECAA39"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11. Cumplir con las funciones que le confieran otras disposiciones jurídicas, y realizar aquellas que le encomienden las personas titulares de la Secretaría de la Contraloría, la Subsecretaría de Control y Evaluación y del Órgano Interno de Control. </w:t>
      </w:r>
    </w:p>
    <w:p w14:paraId="7C4B411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12. Dar cumplimiento a las obligaciones en materia de transparencia de conformidad con la normatividad aplicable. </w:t>
      </w:r>
    </w:p>
    <w:p w14:paraId="6E0C2CD3"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13. Fomentar una cultura ética en el servicio público, en observancia a los principios de ética, valores y reglas de integridad, en el desempeño de su empleo, cargo o comisión. </w:t>
      </w:r>
    </w:p>
    <w:p w14:paraId="64207A09"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14. Desarrollar las demás funciones inherentes al área de su competencia.</w:t>
      </w:r>
    </w:p>
    <w:p w14:paraId="4CF68DF3" w14:textId="77777777" w:rsidR="008B41AE" w:rsidRPr="00BD78C2" w:rsidRDefault="008B41AE">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p>
    <w:p w14:paraId="29B08596"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225C0201000302S ÁREA DE RESPONSABILIDADES </w:t>
      </w:r>
    </w:p>
    <w:p w14:paraId="74018AF4"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OBJETIVO:</w:t>
      </w:r>
      <w:r w:rsidRPr="00BD78C2">
        <w:rPr>
          <w:rFonts w:ascii="Palatino Linotype" w:eastAsia="Palatino Linotype" w:hAnsi="Palatino Linotype" w:cs="Palatino Linotype"/>
          <w:i/>
          <w:iCs/>
          <w:sz w:val="22"/>
          <w:szCs w:val="22"/>
        </w:rPr>
        <w:t xml:space="preserve"> Vigilar la substanciación de los procedimientos de responsabilidad administrativa y los que se deriven del incumplimiento de las obligaciones del régimen patrimonial en los términos previstos por la Ley de Responsabilidades Administrativas del Estado de México y Municipios, así como sancionar las conductas que constituyan faltas administrativas no graves. </w:t>
      </w:r>
    </w:p>
    <w:p w14:paraId="7A3CAD12"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FUNCIONES: </w:t>
      </w:r>
    </w:p>
    <w:p w14:paraId="04C8844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 Conducir y substanciar los procedimientos de responsabilidades administrativas a partir de la recepción del Informe de Presunta Responsabilidad Administrativa, emitir la resolución que en derecho proceda y, en su caso, imponer las sanciones respectivas, cuando se trate de faltas administrativas no graves, así como ordenar la realización de diligencias en el ámbito de su competencia para mejor proveer. </w:t>
      </w:r>
    </w:p>
    <w:p w14:paraId="1B8656B5"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 Prevenir a la Autoridad Investigadora, cuando se advierta que el Informe de Presunta Responsabilidad Administrativa adolece de alguno o algunos de los requisitos previstos en la Ley de Responsabilidades Administrativas del Estado de México y Municipios, o que la narración de los hechos fuera obscura o imprecisa. </w:t>
      </w:r>
    </w:p>
    <w:p w14:paraId="0BB90DDD"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3. Ordenar el emplazamiento de la presunta persona responsable de una falta administrativa para que comparezca a la celebración de la audiencia inicial, citando a las demás partes, en términos de la Ley de Responsabilidades Administrativas del Estado de México y Municipios. </w:t>
      </w:r>
    </w:p>
    <w:p w14:paraId="55557BED"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4. Imponer y ejecutar en su caso las sanciones administrativas correspondientes de acuerdo con la trascendencia de la falta no grave. </w:t>
      </w:r>
    </w:p>
    <w:p w14:paraId="4B80061E"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5. Dictar los acuerdos correspondientes en los procedimientos de responsabilidad administrativa que hayan substanciado.</w:t>
      </w:r>
    </w:p>
    <w:p w14:paraId="097790A2"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6. Suscribir requerimientos y realizar los actos necesarios para la atención de los asuntos en materia de responsabilidades, así como requerir a las unidades administrativas del organismo, la información y documentación necesaria para el cumplimiento de sus atribuciones. </w:t>
      </w:r>
    </w:p>
    <w:p w14:paraId="4AF44143"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7. Atender y dar seguimiento a las impugnaciones presentadas por el denunciante o la autoridad investigadora, a través del recurso de inconformidad, con motivo de la calificación y/o la abstención para iniciar el procedimiento de responsabilidad administrativa. </w:t>
      </w:r>
    </w:p>
    <w:p w14:paraId="177879D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8. Llevar a cabo los actos y diligencias legales y administrativos necesarios en observancia de las medidas cautelares impuestas a solicitud de la autoridad investigadora, en términos de la Ley de Responsabilidades Administrativas del Estado de México y Municipios. </w:t>
      </w:r>
    </w:p>
    <w:p w14:paraId="03E6E010"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9. Registrar los asuntos de su competencia y expedir copias certificadas de los documentos que se encuentren en sus archivos. </w:t>
      </w:r>
    </w:p>
    <w:p w14:paraId="4B2E66B5"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10. Atender y gestionar los recursos de revocación interpuestos por las personas servidoras públicas, respecto de la imposición de sanciones administrativas, así como realizar la defensa jurídica de sus resoluciones ante las diversas instancias jurisdiccionales. </w:t>
      </w:r>
    </w:p>
    <w:p w14:paraId="4E26FDA0"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11. Solicitar por exhorto, la colaboración de los entes públicos para realizar las notificaciones personales en lugares fuera de su jurisdicción, así como el auxilio de autoridades competentes a través de carta rogatoria respecto de las notificaciones que deban realizarse en el extranjero. </w:t>
      </w:r>
    </w:p>
    <w:p w14:paraId="48DCD51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12. Ejecutar las diligencias en el ámbito de su competencia para el cumplimiento de sus obligaciones, de conformidad con lo dispuesto en la Ley de Responsabilidades Administrativas del Estado de México y Municipios. </w:t>
      </w:r>
    </w:p>
    <w:p w14:paraId="5AE7B7C2"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13. Realizar los informes previos y justificados, así como desahogos de vista y requerimientos que sean ordenados en los juicios de amparo, en que sea parte. </w:t>
      </w:r>
    </w:p>
    <w:p w14:paraId="0681769B"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14. Tramitar los recursos de su competencia, previstos por la Ley de Responsabilidades Administrativas del Estado de México y Municipios y demás disposiciones aplicables en la materia. </w:t>
      </w:r>
    </w:p>
    <w:p w14:paraId="2FAFC5B7"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15. Tramitar y dar seguimiento a los incidentes que no tengan señalada una tramitación especial. </w:t>
      </w:r>
    </w:p>
    <w:p w14:paraId="0540DA2C"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16. Dictar, en el ámbito de su competencia los acuerdos correspondientes, debidamente fundados y motivados. </w:t>
      </w:r>
    </w:p>
    <w:p w14:paraId="23FE718C"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17. Atender y dar seguimiento a los recursos de reclamación interpuestos por las partes en contra de las resoluciones de las autoridades substanciadoras que admitan, desechen o tengan por no presentado el Informe de Presunta Responsabilidad Administrativa, la contestación a dicho informe o las pruebas ofrecidas o las que decreten o nieguen el sobreseimiento del procedimiento de responsabilidad administrativa o las que nieguen la intervención de terceros. </w:t>
      </w:r>
    </w:p>
    <w:p w14:paraId="7356DE19"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18. Dictar acuerdos de abstención de inicio de procedimiento por responsabilidad administrativa, o de imponer sanciones administrativas, en los casos que prevé la Ley de Responsabilidades. </w:t>
      </w:r>
    </w:p>
    <w:p w14:paraId="669367E8"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19. Cumplir con las funciones que le confieran otras disposiciones jurídicas, y realizar aquellas que le encomienden las personas titulares de la Secretaría de la Contraloría, la Subsecretaría de Control y Evaluación y del Órgano Interno de Control. </w:t>
      </w:r>
    </w:p>
    <w:p w14:paraId="40060ED1"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20. Dar cumplimiento a las obligaciones en materia de transparencia de conformidad con la normatividad aplicable. </w:t>
      </w:r>
    </w:p>
    <w:p w14:paraId="4373321B"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21. Fomentar una cultura ética en el servicio público, en observancia a los principios de ética, valores y reglas de integridad, en el desempeño de su empleo, cargo o comisión. </w:t>
      </w:r>
    </w:p>
    <w:p w14:paraId="355608E8" w14:textId="77777777" w:rsidR="008B41AE" w:rsidRPr="00BD78C2" w:rsidRDefault="00900DB0">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22. Desarrollar las demás funciones inherentes al área de su competencia.</w:t>
      </w:r>
    </w:p>
    <w:p w14:paraId="40A0709E" w14:textId="77777777" w:rsidR="008B41AE" w:rsidRPr="00BD78C2" w:rsidRDefault="008B41AE">
      <w:pPr>
        <w:pBdr>
          <w:top w:val="nil"/>
          <w:left w:val="nil"/>
          <w:bottom w:val="nil"/>
          <w:right w:val="nil"/>
          <w:between w:val="nil"/>
        </w:pBdr>
        <w:spacing w:line="360" w:lineRule="auto"/>
        <w:ind w:left="720" w:right="843" w:hanging="360"/>
        <w:jc w:val="both"/>
        <w:rPr>
          <w:rFonts w:ascii="Palatino Linotype" w:eastAsia="Palatino Linotype" w:hAnsi="Palatino Linotype" w:cs="Palatino Linotype"/>
          <w:i/>
          <w:iCs/>
          <w:sz w:val="22"/>
          <w:szCs w:val="22"/>
        </w:rPr>
      </w:pPr>
    </w:p>
    <w:p w14:paraId="660D2A0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Una vez establecido lo anterior, es de señalar que, quien dio respuesta fue el Titular del Órgano Interno de Control, con lo que se tiene que turnó la solicitud a la administrativa competente, por lo que se tiene que siguió el procedimiento para la atención a las solicitudes de acceso a la información, establecido en los artículos 151, 160, 162, 163, 164, 165 y 166, de la Ley de Transparencia y Acceso a la Información Pública del Estado de México y Municipios: </w:t>
      </w:r>
    </w:p>
    <w:p w14:paraId="22130798" w14:textId="77777777" w:rsidR="008B41AE" w:rsidRPr="00BD78C2" w:rsidRDefault="008B41AE">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F172803"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4666D41B"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La respuesta a los requerimientos informativos, deberá notificarse al interesado en el menor tiempo posible, que no podrá exceder de quince días hábiles, contados a partir del día siguiente a la presentación de esta.  </w:t>
      </w:r>
    </w:p>
    <w:p w14:paraId="71E3E18D"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4E50E4F1"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106BE22C"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15D065B0" w14:textId="77777777" w:rsidR="008B41AE" w:rsidRPr="00BD78C2" w:rsidRDefault="00900DB0">
      <w:pPr>
        <w:spacing w:after="240" w:line="360" w:lineRule="auto"/>
        <w:ind w:left="284"/>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76D9D126" w14:textId="77777777" w:rsidR="008B41AE" w:rsidRPr="00BD78C2" w:rsidRDefault="00900DB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este orden de ideas, se reitera que la Unidad de Transparencia turnó la solicitud a la unidad administrativa con atribuciones para generar, administrar y poseer la información requerida por el particular, por lo que, se tiene que se acreditó la correcta búsqueda exhaustiva y razonable de la información.</w:t>
      </w:r>
    </w:p>
    <w:p w14:paraId="1D399232" w14:textId="77777777" w:rsidR="008B41AE" w:rsidRPr="00BD78C2" w:rsidRDefault="008B41AE">
      <w:pPr>
        <w:pBdr>
          <w:top w:val="nil"/>
          <w:left w:val="nil"/>
          <w:bottom w:val="nil"/>
          <w:right w:val="nil"/>
          <w:between w:val="nil"/>
        </w:pBdr>
        <w:spacing w:line="360" w:lineRule="auto"/>
        <w:ind w:left="720" w:right="843" w:hanging="360"/>
        <w:jc w:val="both"/>
        <w:rPr>
          <w:rFonts w:ascii="Palatino Linotype" w:eastAsia="Palatino Linotype" w:hAnsi="Palatino Linotype" w:cs="Palatino Linotype"/>
          <w:i/>
          <w:iCs/>
          <w:sz w:val="22"/>
          <w:szCs w:val="22"/>
        </w:rPr>
      </w:pPr>
    </w:p>
    <w:p w14:paraId="44AA5783" w14:textId="77777777" w:rsidR="008B41AE" w:rsidRPr="00BD78C2" w:rsidRDefault="00900DB0">
      <w:pPr>
        <w:pBdr>
          <w:top w:val="nil"/>
          <w:left w:val="nil"/>
          <w:bottom w:val="nil"/>
          <w:right w:val="nil"/>
          <w:between w:val="nil"/>
        </w:pBdr>
        <w:spacing w:line="360" w:lineRule="auto"/>
        <w:ind w:left="-76" w:right="-7"/>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Ahora bien, el Sujeto Obligado a través de sus respuestas asumió generar, administrar y poseer la información requerida por el particular; sin embargo, manifestó la imposibilidad a proporcionar la misma por contener datos personales, razón por la que es necesario analizar los siguientes elementos:</w:t>
      </w:r>
    </w:p>
    <w:p w14:paraId="55EC2424" w14:textId="77777777" w:rsidR="008B41AE" w:rsidRPr="00BD78C2" w:rsidRDefault="008B41AE">
      <w:pPr>
        <w:pBdr>
          <w:top w:val="nil"/>
          <w:left w:val="nil"/>
          <w:bottom w:val="nil"/>
          <w:right w:val="nil"/>
          <w:between w:val="nil"/>
        </w:pBdr>
        <w:spacing w:line="360" w:lineRule="auto"/>
        <w:ind w:left="567" w:right="843" w:hanging="360"/>
        <w:jc w:val="both"/>
        <w:rPr>
          <w:rFonts w:ascii="Palatino Linotype" w:eastAsia="Palatino Linotype" w:hAnsi="Palatino Linotype" w:cs="Palatino Linotype"/>
          <w:i/>
          <w:iCs/>
          <w:sz w:val="22"/>
          <w:szCs w:val="22"/>
        </w:rPr>
      </w:pPr>
    </w:p>
    <w:p w14:paraId="5F3353F7" w14:textId="77777777" w:rsidR="008B41AE" w:rsidRPr="00BD78C2" w:rsidRDefault="00900DB0">
      <w:pPr>
        <w:pBdr>
          <w:top w:val="nil"/>
          <w:left w:val="nil"/>
          <w:bottom w:val="nil"/>
          <w:right w:val="nil"/>
          <w:between w:val="nil"/>
        </w:pBdr>
        <w:spacing w:line="360" w:lineRule="auto"/>
        <w:ind w:left="720" w:hanging="360"/>
        <w:jc w:val="both"/>
        <w:rPr>
          <w:rFonts w:ascii="Palatino Linotype" w:eastAsia="Palatino Linotype" w:hAnsi="Palatino Linotype" w:cs="Palatino Linotype"/>
          <w:b/>
          <w:bCs/>
          <w:sz w:val="22"/>
          <w:szCs w:val="22"/>
        </w:rPr>
      </w:pPr>
      <w:bookmarkStart w:id="3" w:name="_heading=h.jnprotdqenoo" w:colFirst="0" w:colLast="0"/>
      <w:bookmarkEnd w:id="3"/>
      <w:r w:rsidRPr="00BD78C2">
        <w:rPr>
          <w:rFonts w:ascii="Palatino Linotype" w:eastAsia="Palatino Linotype" w:hAnsi="Palatino Linotype" w:cs="Palatino Linotype"/>
          <w:b/>
          <w:bCs/>
          <w:sz w:val="22"/>
          <w:szCs w:val="22"/>
        </w:rPr>
        <w:t xml:space="preserve">De los procedimientos administrativos </w:t>
      </w:r>
    </w:p>
    <w:p w14:paraId="4F29113B" w14:textId="77777777" w:rsidR="008B41AE" w:rsidRPr="00BD78C2" w:rsidRDefault="00900DB0">
      <w:pPr>
        <w:spacing w:before="240" w:after="24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Derivado de la naturaleza de la información requerida, es necesario traer a contexto el artículo 10, de la Ley de Responsabilidades Administrativas del Estado de México y Municipios, en su parte conducente, confiere a los órganos internos de control la atribución para investigar, sustanciar calificar faltas administrativas en el ámbito de su competencia, así como de  iniciar, substanciar, y resolver los procedimientos de responsabilidad administrativa en los términos previstos en dicha Ley, respecto de aquellos actos u omisiones que hayan sido calificados como faltas no graves.</w:t>
      </w:r>
    </w:p>
    <w:p w14:paraId="7586F0DA" w14:textId="77777777" w:rsidR="008B41AE" w:rsidRPr="00BD78C2" w:rsidRDefault="00900DB0">
      <w:pPr>
        <w:spacing w:before="240" w:after="24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el precepto en cita dispone que en aquellos casos en los cuales las autoridades investigadoras determinen en su calificación la existencia de faltas administrativas, así como la presunta responsabilidad del infractor, deben elaborar el Informe de Presunta Responsabilidad Administrativa y presentarlo a la autoridad sustanciadora para que procese en los términos de la Ley de Responsabilidades de la entidad.</w:t>
      </w:r>
    </w:p>
    <w:p w14:paraId="54D2D507" w14:textId="77777777" w:rsidR="008B41AE" w:rsidRPr="00BD78C2" w:rsidRDefault="00900DB0">
      <w:pPr>
        <w:spacing w:before="240" w:after="24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Al respecto, es importante mencionar que en términos de los artículos 3 fracciones XIII y XVI, 10 y 13 de la Ley de Responsabilidades Ley de Responsabilidades Administrativas del Estado de México y Municipios los órganos internos de control son competentes para investigar, substanciación y calificación de las faltas administrativas, </w:t>
      </w:r>
      <w:r w:rsidRPr="00BD78C2">
        <w:rPr>
          <w:rFonts w:ascii="Palatino Linotype" w:eastAsia="Palatino Linotype" w:hAnsi="Palatino Linotype" w:cs="Palatino Linotype"/>
          <w:sz w:val="22"/>
          <w:szCs w:val="22"/>
          <w:u w:val="single"/>
        </w:rPr>
        <w:t>así como imponer sanciones respecto de las faltas administrativas no graves de los servidores públicos</w:t>
      </w:r>
      <w:r w:rsidRPr="00BD78C2">
        <w:rPr>
          <w:rFonts w:ascii="Palatino Linotype" w:eastAsia="Palatino Linotype" w:hAnsi="Palatino Linotype" w:cs="Palatino Linotype"/>
          <w:sz w:val="22"/>
          <w:szCs w:val="22"/>
        </w:rPr>
        <w:t>; mientras que el Tribunal de Justicia Administrativa del Estado de México es competente para imponer sanciones por faltas graves de servidores públicos, así como por actos u omisiones de personas físicas o jurídicas colectivas que se encuentran vinculadas con las faltas administrativas graves.</w:t>
      </w:r>
    </w:p>
    <w:p w14:paraId="374354DF" w14:textId="77777777" w:rsidR="008B41AE" w:rsidRPr="00BD78C2" w:rsidRDefault="00900DB0">
      <w:pPr>
        <w:spacing w:before="240" w:after="24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Atento a lo anterior, se colige que la Contraloría Interna cuenta con atribuciones para conocer de la información solicitada por la parte Recurrente, al ser el órgano responsable de investigación, substanciación y calificación de las faltas administrativas, así como de imponer sanciones respecto de las faltas administrativas no graves de los servidores públicos, por lo tanto, la Unidad de Transparencia cumplió el procedimiento de búsqueda establecido en los artículos 151, 159, 160, 162, 163, 164, 165 y 166, de la Ley de Transparencia y Acceso a la Información Pública del Estado de México y Municipio, el cual se 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este derecho.</w:t>
      </w:r>
    </w:p>
    <w:p w14:paraId="2D1BB4FF"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Ahora bien, por lo que se refiere a la materia de la solicitud, debe mencionarse que con motivo de la entrada en vigor de la Ley del Sistema Anticorrupción del Estado de México y Municipios publicada en el periódico oficial "Gaceta del Gobierno" el treinta de mayo de 2017, que establece que </w:t>
      </w:r>
      <w:r w:rsidRPr="00BD78C2">
        <w:rPr>
          <w:rFonts w:ascii="Palatino Linotype" w:eastAsia="Palatino Linotype" w:hAnsi="Palatino Linotype" w:cs="Palatino Linotype"/>
          <w:sz w:val="22"/>
          <w:szCs w:val="22"/>
          <w:u w:val="single"/>
        </w:rPr>
        <w:t>las sanciones no graves no serán públicas</w:t>
      </w:r>
      <w:r w:rsidRPr="00BD78C2">
        <w:rPr>
          <w:rFonts w:ascii="Palatino Linotype" w:eastAsia="Palatino Linotype" w:hAnsi="Palatino Linotype" w:cs="Palatino Linotype"/>
          <w:sz w:val="22"/>
          <w:szCs w:val="22"/>
        </w:rPr>
        <w:t>, toda vez que dicha información únicamente es de interés para los Poderes Ejecutivo, Legislativo y Judicial, los Ayuntamiento, Organismos Auxiliares, Fideicomisos Públicos y los Órganos Constitucionalmente Autónomos, en virtud de que exclusivamente se deriva de la relación entre autoridades administrativas y el dueño de los datos personales, para acatar las disposiciones contenidas en el artículo 53 de la citada Ley Anticorrupción y que son de la literalidad siguiente:</w:t>
      </w:r>
    </w:p>
    <w:p w14:paraId="1AFB6724"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“Artículo 53. Las sanciones impuestas por faltas administrativas graves serán del conocimiento público </w:t>
      </w:r>
      <w:r w:rsidRPr="00BD78C2">
        <w:rPr>
          <w:rFonts w:ascii="Palatino Linotype" w:eastAsia="Palatino Linotype" w:hAnsi="Palatino Linotype" w:cs="Palatino Linotype"/>
          <w:i/>
          <w:iCs/>
          <w:sz w:val="22"/>
          <w:szCs w:val="22"/>
          <w:u w:val="single"/>
        </w:rPr>
        <w:t>cuando éstas contengan impedimentos o inhabilitaciones</w:t>
      </w:r>
      <w:r w:rsidRPr="00BD78C2">
        <w:rPr>
          <w:rFonts w:ascii="Palatino Linotype" w:eastAsia="Palatino Linotype" w:hAnsi="Palatino Linotype" w:cs="Palatino Linotype"/>
          <w:i/>
          <w:iCs/>
          <w:sz w:val="22"/>
          <w:szCs w:val="22"/>
        </w:rPr>
        <w:t xml:space="preserve"> para ser contratados como servidores públicos o como prestadores de servicios o contratistas del sector público, en términos de la Ley de Responsabilidades Administrativas del Estado de México y Municipios.</w:t>
      </w:r>
    </w:p>
    <w:p w14:paraId="39B09503"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Los registros de </w:t>
      </w:r>
      <w:r w:rsidRPr="00BD78C2">
        <w:rPr>
          <w:rFonts w:ascii="Palatino Linotype" w:eastAsia="Palatino Linotype" w:hAnsi="Palatino Linotype" w:cs="Palatino Linotype"/>
          <w:i/>
          <w:iCs/>
          <w:sz w:val="22"/>
          <w:szCs w:val="22"/>
          <w:u w:val="single"/>
        </w:rPr>
        <w:t>las sanciones relativas a responsabilidades administrativas no graves, quedarán registradas para efectos de eventual reincidencia, pero no serán públicas.</w:t>
      </w:r>
      <w:r w:rsidRPr="00BD78C2">
        <w:rPr>
          <w:rFonts w:ascii="Palatino Linotype" w:eastAsia="Palatino Linotype" w:hAnsi="Palatino Linotype" w:cs="Palatino Linotype"/>
          <w:i/>
          <w:iCs/>
          <w:sz w:val="22"/>
          <w:szCs w:val="22"/>
        </w:rPr>
        <w:t>”</w:t>
      </w:r>
    </w:p>
    <w:p w14:paraId="46517220" w14:textId="77777777" w:rsidR="008B41AE" w:rsidRPr="00BD78C2" w:rsidRDefault="00900DB0">
      <w:pPr>
        <w:spacing w:before="240" w:after="240" w:line="360" w:lineRule="auto"/>
        <w:ind w:right="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ese sentido es importante, referir que la Ley de Responsabilidades Administrativas del Estado de México y Municipios, vigente, señala como faltas administrativas no graves, lo siguiente:</w:t>
      </w:r>
    </w:p>
    <w:p w14:paraId="3D940DE4"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3. Para los efectos de la presente Ley, se entenderá por:</w:t>
      </w:r>
      <w:r w:rsidRPr="00BD78C2">
        <w:rPr>
          <w:rFonts w:ascii="Palatino Linotype" w:eastAsia="Palatino Linotype" w:hAnsi="Palatino Linotype" w:cs="Palatino Linotype"/>
          <w:i/>
          <w:iCs/>
          <w:sz w:val="22"/>
          <w:szCs w:val="22"/>
        </w:rPr>
        <w:br/>
        <w:t xml:space="preserve"> ...</w:t>
      </w:r>
    </w:p>
    <w:p w14:paraId="73E5BC9E" w14:textId="77777777" w:rsidR="008B41AE" w:rsidRPr="00BD78C2" w:rsidRDefault="00900DB0">
      <w:pPr>
        <w:spacing w:before="120" w:after="120" w:line="360" w:lineRule="auto"/>
        <w:ind w:left="114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XIII. Falta administrativa no grave: A las faltas administrativas de los servidores públicos en los términos de la presente Ley, cuya imposición de la sanción corresponde a la Secretaría de la Contraloría del Estado de México y a los órganos internos de control.</w:t>
      </w:r>
    </w:p>
    <w:p w14:paraId="4F81DC9A" w14:textId="77777777" w:rsidR="008B41AE" w:rsidRPr="00BD78C2" w:rsidRDefault="00900DB0">
      <w:pPr>
        <w:spacing w:before="120" w:after="120" w:line="360" w:lineRule="auto"/>
        <w:ind w:left="114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43F8ECAB" w14:textId="77777777" w:rsidR="008B41AE" w:rsidRPr="00BD78C2" w:rsidRDefault="00900DB0">
      <w:pPr>
        <w:spacing w:before="240" w:after="240" w:line="360" w:lineRule="auto"/>
        <w:ind w:right="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La Ley de Responsabilidades Administrativas vigente, contempla como faltas administrativas no graves, las cometidas por el servidor público que, con sus actos u omisiones, incumpla o transgreda sus obligaciones, entre las que se pueden englobar las establecidas en el artículo 50 de la Ley de responsabilidades en mérito:</w:t>
      </w:r>
    </w:p>
    <w:p w14:paraId="3F9C251A"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“Artículo 50. Incurre en </w:t>
      </w:r>
      <w:r w:rsidRPr="00BD78C2">
        <w:rPr>
          <w:rFonts w:ascii="Palatino Linotype" w:eastAsia="Palatino Linotype" w:hAnsi="Palatino Linotype" w:cs="Palatino Linotype"/>
          <w:i/>
          <w:iCs/>
          <w:sz w:val="22"/>
          <w:szCs w:val="22"/>
          <w:u w:val="single"/>
        </w:rPr>
        <w:t>falta administrativa no grave</w:t>
      </w:r>
      <w:r w:rsidRPr="00BD78C2">
        <w:rPr>
          <w:rFonts w:ascii="Palatino Linotype" w:eastAsia="Palatino Linotype" w:hAnsi="Palatino Linotype" w:cs="Palatino Linotype"/>
          <w:i/>
          <w:iCs/>
          <w:sz w:val="22"/>
          <w:szCs w:val="22"/>
        </w:rPr>
        <w:t>, el servidor público que con sus actos u omisiones, incumpla o transgreda las obligaciones siguientes:</w:t>
      </w:r>
    </w:p>
    <w:p w14:paraId="64482D23"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 Cumplir con las funciones, atribuciones y comisiones encomendadas, observando en su desempeño disciplina y respeto, tanto a los demás servidores públicos, a los particulares con los que llegare a tratar, en los términos que se establezcan en el </w:t>
      </w:r>
      <w:r w:rsidRPr="00BD78C2">
        <w:rPr>
          <w:rFonts w:ascii="Palatino Linotype" w:eastAsia="Palatino Linotype" w:hAnsi="Palatino Linotype" w:cs="Palatino Linotype"/>
          <w:i/>
          <w:iCs/>
          <w:sz w:val="22"/>
          <w:szCs w:val="22"/>
          <w:u w:val="single"/>
        </w:rPr>
        <w:t>código de ética</w:t>
      </w:r>
      <w:r w:rsidRPr="00BD78C2">
        <w:rPr>
          <w:rFonts w:ascii="Palatino Linotype" w:eastAsia="Palatino Linotype" w:hAnsi="Palatino Linotype" w:cs="Palatino Linotype"/>
          <w:i/>
          <w:iCs/>
          <w:sz w:val="22"/>
          <w:szCs w:val="22"/>
        </w:rPr>
        <w:t xml:space="preserve"> a que se refiere esta Ley.</w:t>
      </w:r>
    </w:p>
    <w:p w14:paraId="3FF877A0"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Denunciar los actos u omisiones que en ejercicio de sus funciones llegare a advertir, que puedan constituir faltas administrativas en términos del artículo 95 de la presente Ley.</w:t>
      </w:r>
    </w:p>
    <w:p w14:paraId="3A11FBC8"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Atender las instrucciones de sus superiores, siempre que éstas sean acordes con las disposiciones relacionadas con el servicio público. En caso de recibir instrucción o encomienda contraria a dichas disposiciones, deberá denunciar esta circunstancia en términos del artículo 95 de la presente Ley.</w:t>
      </w:r>
    </w:p>
    <w:p w14:paraId="5EF50C82"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IV. Presentar en tiempo y forma la declaración de situación patrimonial y la de intereses que, en su caso, considere se actualice, en los términos establecidos por esta Ley.</w:t>
      </w:r>
    </w:p>
    <w:p w14:paraId="79EDC3CB"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 Rendir cuentas sobre el ejercicio de las funciones, en términos de las normas aplicables.</w:t>
      </w:r>
    </w:p>
    <w:p w14:paraId="317D4A84"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 Colaborar en los procedimientos judiciales y administrativos en los que sea parte.</w:t>
      </w:r>
    </w:p>
    <w:p w14:paraId="2EA088E3"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VII.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que el contratista sea persona jurídica colectiva, dichas manifestaciones deberán presentarse respecto de los socios o accionistas que ejerzan control sobre la sociedad. Para efectos de la presente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jurídicas colectivas.</w:t>
      </w:r>
    </w:p>
    <w:p w14:paraId="5FB04B9F"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VIII. Actuar y ejecutar legalmente con la máxima diligencia, los planes, programas, presupuestos y demás normas a fin de alcanzar las metas institucionales según sus responsabilidades, conforme a una cultura de servicio orientada al logro de resultados.</w:t>
      </w:r>
    </w:p>
    <w:p w14:paraId="095206D4"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IX. Registrar, integrar, custodiar y cuidar la documentación e información que por razón de su empleo, cargo o comisión, conserve bajo su cuidado y responsabilidad o a la cual tenga acceso, impidiendo o evitando el uso, divulgación, sustracción, destrucción, ocultamiento o inutilización indebidas de aquéllas.</w:t>
      </w:r>
    </w:p>
    <w:p w14:paraId="2ADCB45B"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 Observar buena conducta en su empleo, cargo o comisión tratando con respeto, diligencia, imparcialidad y rectitud a las personas y servidores públicos con los que tenga relación con motivo de éste.</w:t>
      </w:r>
    </w:p>
    <w:p w14:paraId="6FFFC984"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 Observar un trato respetuoso con sus subalternos.</w:t>
      </w:r>
    </w:p>
    <w:p w14:paraId="42E2D194"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XII. Supervisar que los servidores públicos sujetos a su dirección, cumplan con las disposiciones de esta Ley.</w:t>
      </w:r>
    </w:p>
    <w:p w14:paraId="128EE1BA"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XIII. Cumplir con la entrega de índole administrativo del despacho y de toda aquella documentación inherente a su cargo, en los términos que establezcan las disposiciones legales o administrativas que al efecto se señalen.</w:t>
      </w:r>
    </w:p>
    <w:p w14:paraId="0E765093"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XIV. Proporcionar, en su caso, en tiempo y forma ante las dependencias competentes, la documentación comprobatoria de la aplicación de recursos económicos federales, estatales o municipales, asignados a través de los programas respectivos.</w:t>
      </w:r>
    </w:p>
    <w:p w14:paraId="6BFDCD20"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XV. Abstenerse de solicitar requisitos, cargas tributarias o cualquier otro concepto adicional no previsto en la legislación aplicable, que tengan por objeto condicionar la expedición de licencias de funcionamiento para unidades económicas o negocios.</w:t>
      </w:r>
    </w:p>
    <w:p w14:paraId="02B32789"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XVI. Cumplir con las disposiciones en materia de Gobierno Digital que impongan la Ley de la materia, su reglamento y demás disposiciones aplicables.</w:t>
      </w:r>
    </w:p>
    <w:p w14:paraId="2E005D41"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XVII. Utilizar las medidas de seguridad informática y protección de datos e información personal recomendada por las instancias competentes.</w:t>
      </w:r>
    </w:p>
    <w:p w14:paraId="5F066014"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XVIII. Cumplir oportunamente con los laudos que dicte el Tribunal Estatal de Conciliación y Arbitraje o cualquier de las Salas Auxiliares del mismo, así como pagar el monto de las indemnizaciones y demás prestaciones a que tenga derecho el servidor público, y</w:t>
      </w:r>
    </w:p>
    <w:p w14:paraId="12A0CB77" w14:textId="77777777" w:rsidR="008B41AE" w:rsidRPr="00BD78C2" w:rsidRDefault="00900DB0">
      <w:pPr>
        <w:spacing w:before="120" w:after="120" w:line="360" w:lineRule="auto"/>
        <w:ind w:left="1000" w:right="10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XIX. Las demás que le impongan las leyes, reglamentos o disposiciones administrativas aplicables.”</w:t>
      </w:r>
    </w:p>
    <w:p w14:paraId="3DAA52CC" w14:textId="77777777" w:rsidR="008B41AE" w:rsidRPr="00BD78C2" w:rsidRDefault="00900DB0">
      <w:pPr>
        <w:spacing w:before="280" w:after="28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la misma manera, el artículo 51 de la Ley de Responsabilidades Administrativas indica que también serán consideradas faltas administrativas </w:t>
      </w:r>
      <w:r w:rsidRPr="00BD78C2">
        <w:rPr>
          <w:rFonts w:ascii="Palatino Linotype" w:eastAsia="Palatino Linotype" w:hAnsi="Palatino Linotype" w:cs="Palatino Linotype"/>
          <w:sz w:val="22"/>
          <w:szCs w:val="22"/>
          <w:u w:val="single"/>
        </w:rPr>
        <w:t>no graves</w:t>
      </w:r>
      <w:r w:rsidRPr="00BD78C2">
        <w:rPr>
          <w:rFonts w:ascii="Palatino Linotype" w:eastAsia="Palatino Linotype" w:hAnsi="Palatino Linotype" w:cs="Palatino Linotype"/>
          <w:sz w:val="22"/>
          <w:szCs w:val="22"/>
        </w:rPr>
        <w:t xml:space="preserve">, los daños y perjuicios que </w:t>
      </w:r>
      <w:r w:rsidRPr="00BD78C2">
        <w:rPr>
          <w:rFonts w:ascii="Palatino Linotype" w:eastAsia="Palatino Linotype" w:hAnsi="Palatino Linotype" w:cs="Palatino Linotype"/>
          <w:sz w:val="22"/>
          <w:szCs w:val="22"/>
          <w:u w:val="single"/>
        </w:rPr>
        <w:t>de manera culposa o negligente y sin incurrir en alguna de las faltas administrativas graves</w:t>
      </w:r>
      <w:r w:rsidRPr="00BD78C2">
        <w:rPr>
          <w:rFonts w:ascii="Palatino Linotype" w:eastAsia="Palatino Linotype" w:hAnsi="Palatino Linotype" w:cs="Palatino Linotype"/>
          <w:sz w:val="22"/>
          <w:szCs w:val="22"/>
        </w:rPr>
        <w:t>, cause un servidor público a la Hacienda Pública o al patrimonio de un ente público, siendo de suma importancia mencionar que la autoridad resolutora podrá abstenerse de imponer la sanción que corresponda cuando el daño o perjuicio a la Hacienda Pública Estatal o Municipal o al patrimonio de los entes públicos no exceda de dos mil veces el valor diario de la unidad de medida y actualización y el daño haya sido resarcido o recuperado, tal como se lee en seguida:</w:t>
      </w:r>
    </w:p>
    <w:p w14:paraId="4A372949"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51. También se considerará falta administrativa no grave, los daños y perjuicios que, de manera culposa o negligente y sin incurrir en alguna de las faltas administrativas graves señaladas en el Capítulo siguiente, cause un servidor público a la Hacienda Pública o al patrimonio de un ente público.</w:t>
      </w:r>
    </w:p>
    <w:p w14:paraId="4137B2CE"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Los entes públicos o los particulares que, en términos de este artículo, hayan recibido recursos públicos sin tener derecho a los mismos, deberán reintegrar los mismos a la Hacienda Pública Estatal o Municipal o al patrimonio del ente público afectado en un plazo no mayor a 90 días, contados a partir de la notificación correspondiente por parte del Órgano Superior de Fiscalización o de la autoridad resolutora.</w:t>
      </w:r>
    </w:p>
    <w:p w14:paraId="10D36826"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En caso de no realizar el reintegro de los recursos señalados en el párrafo anterior, éstos serán considerados créditos fiscales, por lo que la Secretaría de Finanzas del Gobierno del Estado de México deberá ejecutar el cobro de los mismos en términos de las disposiciones jurídicas aplicables.</w:t>
      </w:r>
    </w:p>
    <w:p w14:paraId="194F2F15" w14:textId="77777777" w:rsidR="008B41AE" w:rsidRPr="00BD78C2" w:rsidRDefault="00900DB0">
      <w:pPr>
        <w:spacing w:before="120" w:after="120" w:line="360" w:lineRule="auto"/>
        <w:ind w:left="860"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 autoridad resolutora podrá abstenerse de imponer la sanción que corresponda conforme al artículo 79 de esta Ley cuando el daño o perjuicio a la Hacienda Pública Estatal o Municipal o al patrimonio de los entes públicos no exceda de dos mil veces el valor diario de la unidad de medida y actualización y el daño haya sido resarcido o recuperado.”</w:t>
      </w:r>
    </w:p>
    <w:p w14:paraId="0DCDF1BA" w14:textId="77777777" w:rsidR="008B41AE" w:rsidRPr="00BD78C2" w:rsidRDefault="00900DB0">
      <w:pPr>
        <w:spacing w:before="240" w:after="240" w:line="360" w:lineRule="auto"/>
        <w:ind w:right="6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otras palabras, los daños y perjuicios que cause un servidor público a la Hacienda Pública o al patrimonio de un ente público, también podrán ser considerados como una falta </w:t>
      </w:r>
      <w:r w:rsidRPr="00BD78C2">
        <w:rPr>
          <w:rFonts w:ascii="Palatino Linotype" w:eastAsia="Palatino Linotype" w:hAnsi="Palatino Linotype" w:cs="Palatino Linotype"/>
          <w:sz w:val="22"/>
          <w:szCs w:val="22"/>
          <w:u w:val="single"/>
        </w:rPr>
        <w:t>no grave</w:t>
      </w:r>
      <w:r w:rsidRPr="00BD78C2">
        <w:rPr>
          <w:rFonts w:ascii="Palatino Linotype" w:eastAsia="Palatino Linotype" w:hAnsi="Palatino Linotype" w:cs="Palatino Linotype"/>
          <w:sz w:val="22"/>
          <w:szCs w:val="22"/>
        </w:rPr>
        <w:t>, para lo cual se deben actualizar los siguientes supuestos:</w:t>
      </w:r>
    </w:p>
    <w:p w14:paraId="30BF2FC8" w14:textId="77777777" w:rsidR="008B41AE" w:rsidRPr="00BD78C2" w:rsidRDefault="00900DB0">
      <w:pPr>
        <w:spacing w:after="240" w:line="360" w:lineRule="auto"/>
        <w:ind w:left="280" w:right="40"/>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1. El daño o perjuicio se hubiera ocasionado de manera culposa o negligente, esto es sin dolo.</w:t>
      </w:r>
    </w:p>
    <w:p w14:paraId="3198E2E0" w14:textId="77777777" w:rsidR="008B41AE" w:rsidRPr="00BD78C2" w:rsidRDefault="00900DB0">
      <w:pPr>
        <w:spacing w:after="240" w:line="360" w:lineRule="auto"/>
        <w:ind w:left="280" w:right="40"/>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2. No debe incurrir en alguna de las faltas administrativas graves.</w:t>
      </w:r>
    </w:p>
    <w:p w14:paraId="51446F56" w14:textId="77777777" w:rsidR="008B41AE" w:rsidRPr="00BD78C2" w:rsidRDefault="00900DB0">
      <w:pPr>
        <w:spacing w:after="240" w:line="360" w:lineRule="auto"/>
        <w:ind w:left="280" w:right="40"/>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3. No exceda de dos mil veces el valor diario de la unidad de medida y actualización.</w:t>
      </w:r>
    </w:p>
    <w:p w14:paraId="4970066A" w14:textId="77777777" w:rsidR="008B41AE" w:rsidRPr="00BD78C2" w:rsidRDefault="00900DB0">
      <w:pPr>
        <w:spacing w:after="240" w:line="360" w:lineRule="auto"/>
        <w:ind w:left="280" w:right="40"/>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4. El daño haya sido resarcido o recuperado.</w:t>
      </w:r>
    </w:p>
    <w:p w14:paraId="69B2F7FB" w14:textId="77777777" w:rsidR="008B41AE" w:rsidRPr="00BD78C2" w:rsidRDefault="00900DB0">
      <w:pPr>
        <w:spacing w:after="240" w:line="360" w:lineRule="auto"/>
        <w:ind w:right="4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caso contrario, los daños o perjuicios se considerarán como faltas graves.</w:t>
      </w:r>
    </w:p>
    <w:p w14:paraId="11E05278"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referencia a lo anterior, y de la naturaleza específica de lo solicitado, que consiste en número de expediente, nombre de servidores públicos involucrados y expediente de los procedimientos que estén concluídos, es oportuno mencionar que es dable señalar que de conformidad con el artículo 92, fracción XXII, de la Ley de Transparencia y Acceso a la Información Pública del Estado de México y Municipios, los sujetos obligados deben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entre ellos, el listado de servidores públicos con sanciones administrativas definitivas, en donde se especifique la causa de sanción y la disposición, como se lee en seguida:</w:t>
      </w:r>
    </w:p>
    <w:p w14:paraId="65C889DA" w14:textId="77777777" w:rsidR="008B41AE" w:rsidRPr="00BD78C2" w:rsidRDefault="00900DB0">
      <w:pPr>
        <w:spacing w:before="120" w:after="120" w:line="360" w:lineRule="auto"/>
        <w:ind w:left="860" w:right="90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95D5C3E" w14:textId="77777777" w:rsidR="008B41AE" w:rsidRPr="00BD78C2" w:rsidRDefault="00900DB0">
      <w:pPr>
        <w:spacing w:before="120" w:after="120" w:line="360" w:lineRule="auto"/>
        <w:ind w:left="860" w:right="90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w:t>
      </w:r>
    </w:p>
    <w:p w14:paraId="6DA88D83" w14:textId="77777777" w:rsidR="008B41AE" w:rsidRPr="00BD78C2" w:rsidRDefault="00900DB0">
      <w:pPr>
        <w:spacing w:before="120" w:after="120" w:line="360" w:lineRule="auto"/>
        <w:ind w:left="860" w:right="90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XXII. El listado de Servidores Públicos con sanciones administrativas definitivas, especificando la causa de sanción y la disposición;"</w:t>
      </w:r>
    </w:p>
    <w:p w14:paraId="7649D65E"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Así, en el entendido de que a través del Órgano Interno de Control está facultado para investigar, sustanciar y calificar las faltas administrativas, imponer sanciones respecto de las faltas administrativas no graves de los servidores públicos, mientras que, el Tribunal de Justicia Administrativa es la autoridad competente para la resolución e imposición de sanciones por faltas administrativas graves.</w:t>
      </w:r>
    </w:p>
    <w:p w14:paraId="09B1D70D" w14:textId="77777777" w:rsidR="008B41AE" w:rsidRPr="00BD78C2" w:rsidRDefault="00900DB0">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De las fases o etapas procesales del procedimiento de responsabilidad administrativa.</w:t>
      </w:r>
    </w:p>
    <w:p w14:paraId="0693CDCA"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Acotado lo anterior, y toda vez que la información peticionada se encuentra relacionada con expedientes aperturados por responsabilidades administrativas, es necesario traer a colación lo señalado por la Ley de Responsabilidades Administrativas del Estado de México y Municipios, que establece lo siguiente:</w:t>
      </w:r>
    </w:p>
    <w:p w14:paraId="6F4A7D78" w14:textId="77777777" w:rsidR="008B41AE" w:rsidRPr="00BD78C2" w:rsidRDefault="00900DB0">
      <w:pPr>
        <w:spacing w:before="240" w:after="240" w:line="360" w:lineRule="auto"/>
        <w:ind w:left="567" w:right="4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sz w:val="22"/>
          <w:szCs w:val="22"/>
        </w:rPr>
        <w:t xml:space="preserve"> </w:t>
      </w:r>
      <w:r w:rsidRPr="00BD78C2">
        <w:rPr>
          <w:rFonts w:ascii="Palatino Linotype" w:eastAsia="Palatino Linotype" w:hAnsi="Palatino Linotype" w:cs="Palatino Linotype"/>
          <w:i/>
          <w:iCs/>
          <w:sz w:val="22"/>
          <w:szCs w:val="22"/>
        </w:rPr>
        <w:t>“Artículo 94. Durante el desarrollo del procedimiento de investigación las autoridades competentes serán responsables de:</w:t>
      </w:r>
    </w:p>
    <w:p w14:paraId="17BC628D"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Observar los principios de legalidad, imparcialidad, objetividad, congruencia, verdad material y respeto a los derechos humanos.</w:t>
      </w:r>
    </w:p>
    <w:p w14:paraId="311D7BBD"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Realizar con oportunidad, exhaustividad y eficiencia la investigación, la integralidad de los datos y documentos, así como el resguardo del expediente en su conjunto.</w:t>
      </w:r>
    </w:p>
    <w:p w14:paraId="5320C43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Incorporar a sus investigaciones, las técnicas, tecnologías y métodos de investigación que observen las mejores prácticas internacionales.</w:t>
      </w:r>
    </w:p>
    <w:p w14:paraId="2B13976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IV. Cooperar con las autoridades nacionales como internacionales a fin de fortalecer los procedimientos de investigación, compartir las mejores prácticas internacionales y combatir de manera efectiva la corrupción.</w:t>
      </w:r>
    </w:p>
    <w:p w14:paraId="29A3C06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0A18160B"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95. La investigación por la presunta responsabilidad de faltas administrativas podrá iniciar:</w:t>
      </w:r>
    </w:p>
    <w:p w14:paraId="59125E7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De oficio.</w:t>
      </w:r>
    </w:p>
    <w:p w14:paraId="30BDE29A"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u w:val="single"/>
        </w:rPr>
      </w:pPr>
      <w:r w:rsidRPr="00BD78C2">
        <w:rPr>
          <w:rFonts w:ascii="Palatino Linotype" w:eastAsia="Palatino Linotype" w:hAnsi="Palatino Linotype" w:cs="Palatino Linotype"/>
          <w:i/>
          <w:iCs/>
          <w:sz w:val="22"/>
          <w:szCs w:val="22"/>
          <w:u w:val="single"/>
        </w:rPr>
        <w:t>II. Por denuncia.</w:t>
      </w:r>
    </w:p>
    <w:p w14:paraId="7FAB07B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Derivado de las auditorías practicadas por parte de las autoridades competentes o en su caso, de auditores externos.</w:t>
      </w:r>
    </w:p>
    <w:p w14:paraId="5F539BD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Las denuncias podrán ser anónimas. En su caso, las autoridades investigadoras deberán garantizar, proteger y mantener el carácter de confidencial la identidad de las personas que denuncien las presuntas infracciones.</w:t>
      </w:r>
    </w:p>
    <w:p w14:paraId="258DA4E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45FAFA3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98. Las autoridades investigadoras llevarán de oficio las auditorías o investigaciones debidamente fundadas y motivadas respecto de las conductas de los servidores públicos y particulares que puedan constituir responsabilidades administrativas en el ámbito de su competencia.</w:t>
      </w:r>
    </w:p>
    <w:p w14:paraId="485D1B5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36EDD36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 anterior sin menoscabo de las investigaciones que se deriven de las denuncias a que se hace referencia en el Capítulo anterior.</w:t>
      </w:r>
    </w:p>
    <w:p w14:paraId="5CD33216"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2D356DE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99. Las autoridades investigadoras deberán tener acceso a toda la información necesaria para el esclarecimiento de los hechos, incluyendo aquélla que las disposiciones legales en la materia consideren con carácter de reservada o confidencial, siempre que esté relacionada con la comisión de infracciones a que se refiere la presente Ley, con la obligación de mantener la misma reserva o secrecía, conforme a lo que determinen las leyes.</w:t>
      </w:r>
    </w:p>
    <w:p w14:paraId="75C51C3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25D75A4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Las autoridades investigadoras, durante el desarrollo de investigaciones por faltas administrativas graves, no les serán oponibles las disposiciones dirigidas a proteger la secrecía de la información en materia fiscal bursátil, fiduciario o la relacionada con operaciones de depósito, administración, ahorro e inversión de recursos monetarios. Esta información conservará su calidad en los expedientes correspondientes, para lo cual se deberán celebrar convenios de colaboración con las autoridades correspondientes.</w:t>
      </w:r>
    </w:p>
    <w:p w14:paraId="51AED438"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3B10494D"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Para efectos de lo previsto en el párrafo anterior, se observará lo dispuesto en el artículo 39 de la presente Ley.</w:t>
      </w:r>
    </w:p>
    <w:p w14:paraId="7AD8EA7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6EA78263"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Las autoridades encargadas de la investigación, por conducto de su titular, podrán ordenar la práctica de visitas de verificación, las cuales se sujetarán a lo previsto en el Código de Procedimientos Administrativos del Estado de México, incluyendo acciones encubiertas y usuario simulado con apego a la legalidad, la presente Ley y demás normatividad que para este fin sea expedida por los titulares de los entes públicos responsables.</w:t>
      </w:r>
    </w:p>
    <w:p w14:paraId="2B4201C8"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1E4B2C33"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104. Las autoridades investigadoras una vez concluidas las diligencias de investigación, procederán al análisis de los hechos, así como de la información recabada, a efecto de determinar la existencia o inexistencia de actos u omisiones que la Ley señale como falta administrativa y en su caso, determinar su calificación como grave o no grave.</w:t>
      </w:r>
    </w:p>
    <w:p w14:paraId="44EB728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17946767"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u w:val="single"/>
        </w:rPr>
      </w:pPr>
      <w:r w:rsidRPr="00BD78C2">
        <w:rPr>
          <w:rFonts w:ascii="Palatino Linotype" w:eastAsia="Palatino Linotype" w:hAnsi="Palatino Linotype" w:cs="Palatino Linotype"/>
          <w:i/>
          <w:iCs/>
          <w:sz w:val="22"/>
          <w:szCs w:val="22"/>
          <w:u w:val="single"/>
        </w:rPr>
        <w:t>Una vez determinada la calificación de la conducta en los términos del párrafo anterior, se incluirá la misma en el Informe de Presunta Responsabilidad Administrativa y éste se presentará ante la autoridad substanciadora a efecto de iniciar el procedimiento de responsabilidad administrativa correspondiente.</w:t>
      </w:r>
    </w:p>
    <w:p w14:paraId="334F9829"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0F8D2A26"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u w:val="single"/>
        </w:rPr>
      </w:pPr>
      <w:r w:rsidRPr="00BD78C2">
        <w:rPr>
          <w:rFonts w:ascii="Palatino Linotype" w:eastAsia="Palatino Linotype" w:hAnsi="Palatino Linotype" w:cs="Palatino Linotype"/>
          <w:i/>
          <w:iCs/>
          <w:sz w:val="22"/>
          <w:szCs w:val="22"/>
          <w:u w:val="single"/>
        </w:rPr>
        <w:t>En el supuesto de no haberse encontrado elementos suficientes para demostrar la existencia de la infracción y acreditar la presunta responsabilidad del infractor, se emitirá un acuerdo de conclusión y archivo del expediente debidamente fundado y motivado.</w:t>
      </w:r>
    </w:p>
    <w:p w14:paraId="3596B1B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712BD4D9"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 anterior sin perjuicio de poder reabrir la investigación en el supuesto de presentarse nuevos indicios o pruebas y no hubiere prescrito la facultad para sancionar. Dicha determinación, en su caso, se notificará a los servidores públicos y particulares sujetos a la investigación, así como a los denunciantes cuando éstos fueren identificables, dentro los diez días hábiles siguientes a su emisión.</w:t>
      </w:r>
    </w:p>
    <w:p w14:paraId="39918B3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1F964C3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105. Las autoridades substanciadoras, o en su caso, las resolutoras podrán abstenerse de iniciar el procedimiento de responsabilidad administrativa previsto en la presente Ley o de imponer sanciones administrativas a un servidor público, según sea el caso, en el supuesto que derivado de las investigaciones practicadas o de la valoración de las pruebas aportadas en el procedimiento referido, se advierta que no existe daño ni perjuicio a la Hacienda Pública Estatal o Municipal, o al patrimonio de los entes públicos y que se actualiza alguna de las siguientes hipótesis:</w:t>
      </w:r>
    </w:p>
    <w:p w14:paraId="63F5C8C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672406A7"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106. La calificación de los hechos como faltas administrativas no graves que realicen las autoridades investigadoras, será notificada al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w:t>
      </w:r>
    </w:p>
    <w:p w14:paraId="6C2033BE"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2A6E02A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 calificación y la abstención de iniciar el procedimiento de responsabilidad administrativa a que se refiere el artículo 105, podrán ser impugnadas, en su caso, por el denunciante, a través del recurso de inconformidad conforme al presente Capítulo. La presentación del recurso de inconformidad tendrá como efecto la suspensión del inicio del procedimiento de responsabilidad administrativa hasta en tanto dicho recurso sea resuelto.</w:t>
      </w:r>
    </w:p>
    <w:p w14:paraId="59677EAD"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7273A8C8"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116. El procedimiento de responsabilidad administrativa dará inicio cuando las autoridades substanciadoras, en el ámbito de su competencia, admitan el informe de presunta responsabilidad administrativa.</w:t>
      </w:r>
    </w:p>
    <w:p w14:paraId="5A1EFD1C"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71E1102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119. La autoridad a quien se encomiende la substanciación y en su caso, la resolución del procedimiento de responsabilidad administrativa, deberá ser distinto de aquél o aquellos encargados de la investigación. Para tal efecto, la Secretaría de la Contraloría, los órganos internos de control, el Órgano Superior de Fiscalización, así como las unidades de responsabilidades de las empresas de participación estatal o municipal, contarán con la estructura orgánica necesaria para realizar las funciones correspondientes a las autoridades investigadoras y substanciadoras y garantizarán la independencia entre ambas en el ejercicio de sus funciones.</w:t>
      </w:r>
    </w:p>
    <w:p w14:paraId="6234D6F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2026DFA7"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129. Para conocer la verdad de los hechos las autoridades resolutoras podrán valerse de cualquier persona o documento, ya sea que pertenezca a las partes o a terceros, sin más limitación que las pruebas hayan sido obtenidas lícitamente y con respeto a los derechos humanos, solo estará excluida la confesional a cargo de las partes por absolución de posiciones.</w:t>
      </w:r>
    </w:p>
    <w:p w14:paraId="0E5EC61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64E116B9"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Las autoridades resolutoras gozarán de la más amplia libertad para hacer el análisis, darle el valor correspondiente a cada una de las pruebas, atendiendo a las reglas de la lógica, la sana crítica y de la experiencia, deberán justificar adecuadamente el valor otorgado a las pruebas y explicarán y justificarán su valoración con base en la apreciación conjunta, integral y armónica de todos los elementos probatorios directos, indirectos e indiciarios que aparezcan en el procedimiento.</w:t>
      </w:r>
    </w:p>
    <w:p w14:paraId="2A3198EA"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4BC41D74"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180. El Informe de Presunta Responsabilidad Administrativa será integrado y emitido por las autoridades investigadoras y deberá contener los siguientes elementos:</w:t>
      </w:r>
    </w:p>
    <w:p w14:paraId="3DAAB9D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El nombre de la autoridad investigadora.</w:t>
      </w:r>
    </w:p>
    <w:p w14:paraId="59A7562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El domicilio de la autoridad investigadora para oír y recibir notificaciones.</w:t>
      </w:r>
    </w:p>
    <w:p w14:paraId="039FE33E"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El nombre o nombres de los servidores públicos que podrán imponerse de los autos que se dicten en el expediente de responsabilidad administrativa por parte de la autoridad investigadora, precisando el alcance de la autorización otorgada.</w:t>
      </w:r>
    </w:p>
    <w:p w14:paraId="27DD7E4B"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IV. El nombre y domicilio del servidor público a quien se señale como presunto responsable, así como el ente público al que se encuentre adscrito y el cargo que desempeñe.</w:t>
      </w:r>
    </w:p>
    <w:p w14:paraId="7742C2A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5731B45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En caso de que los presuntos responsables sean particulares, se deberá señalar su nombre o razón social, así como el domicilio donde podrán ser emplazados.</w:t>
      </w:r>
    </w:p>
    <w:p w14:paraId="28DF5DD2"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 La narración lógica y cronológica de los hechos que dieron lugar a la comisión de la presunta falta administrativa.</w:t>
      </w:r>
    </w:p>
    <w:p w14:paraId="1C1F0554"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 La infracción que se le imputa al señalado como presunto responsable, precisando las razones por las que se considera que ha cometido la falta.</w:t>
      </w:r>
    </w:p>
    <w:p w14:paraId="6D1C184B"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VII. Las pruebas que se ofrecerán en el procedimiento de responsabilidad administrativa para acreditar la comisión de la falta administrativa y la responsabilidad atribuida al presunto responsable, debiéndose exhibir las pruebas documentales que obren en su poder, o bien, aquellas que no estándolo, se acredite con el acuse de recibo correspondiente debidamente sellado por la autoridad competente, que la solicitó con la debida oportunidad.</w:t>
      </w:r>
    </w:p>
    <w:p w14:paraId="69DCD899"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VIII. La solicitud de medidas cautelares, de ser el caso.</w:t>
      </w:r>
    </w:p>
    <w:p w14:paraId="586E6063"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IX. Firma autógrafa de la autoridad investigadora.</w:t>
      </w:r>
    </w:p>
    <w:p w14:paraId="1D74AB0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184. El desarrollo de las audiencias del procedimiento de responsabilidad administrativa, se llevarán a cabo de conformidad con las siguientes reglas:</w:t>
      </w:r>
    </w:p>
    <w:p w14:paraId="1FD11491"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Serán públicas.</w:t>
      </w:r>
    </w:p>
    <w:p w14:paraId="330EB1EE"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No se permitirá la interrupción de la audiencia por parte de persona alguna, ya sea por los que intervienen en ella o por aquellos ajenos a la misma.</w:t>
      </w:r>
    </w:p>
    <w:p w14:paraId="55CCB43A"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p>
    <w:p w14:paraId="292AFAD3"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188. Las resoluciones serán:</w:t>
      </w:r>
    </w:p>
    <w:p w14:paraId="70E53DC0"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Acuerdos, cuando se trate de resoluciones de trámite.</w:t>
      </w:r>
    </w:p>
    <w:p w14:paraId="257EEB6F"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Autos provisionales, los que se refieren a determinaciones que se ejecuten provisionalmente.</w:t>
      </w:r>
    </w:p>
    <w:p w14:paraId="111ABE65"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Autos preparatorios, a las resoluciones por las que se prepara el conocimiento y decisión de un asunto, se ordena la admisión, la preparación y desahogo de pruebas.</w:t>
      </w:r>
    </w:p>
    <w:p w14:paraId="4A06DD97" w14:textId="77777777" w:rsidR="008B41AE" w:rsidRPr="00BD78C2" w:rsidRDefault="00900DB0">
      <w:pPr>
        <w:spacing w:line="276"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IV. Sentencias interlocutorias, aquellas que resuelven sobre un incidente o una cuestión intraprocesal o accesoria al procedimiento.</w:t>
      </w:r>
    </w:p>
    <w:p w14:paraId="046FCCD7" w14:textId="77777777" w:rsidR="008B41AE" w:rsidRPr="00BD78C2" w:rsidRDefault="00900DB0">
      <w:pPr>
        <w:spacing w:line="360" w:lineRule="auto"/>
        <w:ind w:left="560" w:right="54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V. Sentencias definitivas, las que resuelven el fondo del procedimiento de responsabilidad administrativa.</w:t>
      </w:r>
    </w:p>
    <w:p w14:paraId="5012058F"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Conforme a lo anterior, en lo que interesa al presente asuntos, se considera que previo al inicio de un procedimiento de responsabilidad se desarrolla el procedimiento de investigación, el cual consiste en lo siguiente:</w:t>
      </w:r>
    </w:p>
    <w:p w14:paraId="5E6C144A" w14:textId="77777777" w:rsidR="008B41AE" w:rsidRPr="00BD78C2" w:rsidRDefault="00900DB0">
      <w:pPr>
        <w:spacing w:after="160" w:line="360" w:lineRule="auto"/>
        <w:ind w:left="567" w:hanging="360"/>
        <w:jc w:val="both"/>
        <w:rPr>
          <w:rFonts w:ascii="Palatino Linotype" w:eastAsia="Palatino Linotype" w:hAnsi="Palatino Linotype" w:cs="Palatino Linotype"/>
          <w:b/>
          <w:bCs/>
          <w:sz w:val="22"/>
          <w:szCs w:val="22"/>
        </w:rPr>
      </w:pPr>
      <w:r w:rsidRPr="00BD78C2">
        <w:rPr>
          <w:rFonts w:ascii="Noto Sans Symbols" w:eastAsia="Noto Sans Symbols" w:hAnsi="Noto Sans Symbols" w:cs="Noto Sans Symbols"/>
          <w:b/>
          <w:bCs/>
          <w:sz w:val="22"/>
          <w:szCs w:val="22"/>
        </w:rPr>
        <w:t>●</w:t>
      </w:r>
      <w:r w:rsidRPr="00BD78C2">
        <w:rPr>
          <w:b/>
          <w:bCs/>
          <w:sz w:val="14"/>
          <w:szCs w:val="14"/>
        </w:rPr>
        <w:t xml:space="preserve">        </w:t>
      </w:r>
      <w:r w:rsidRPr="00BD78C2">
        <w:rPr>
          <w:rFonts w:ascii="Palatino Linotype" w:eastAsia="Palatino Linotype" w:hAnsi="Palatino Linotype" w:cs="Palatino Linotype"/>
          <w:b/>
          <w:bCs/>
          <w:sz w:val="22"/>
          <w:szCs w:val="22"/>
        </w:rPr>
        <w:t>Inicia:</w:t>
      </w:r>
    </w:p>
    <w:p w14:paraId="735356D0" w14:textId="77777777" w:rsidR="008B41AE" w:rsidRPr="00BD78C2" w:rsidRDefault="00900DB0">
      <w:pPr>
        <w:spacing w:before="240" w:after="240"/>
        <w:ind w:left="108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De oficio</w:t>
      </w:r>
    </w:p>
    <w:p w14:paraId="5F365409" w14:textId="77777777" w:rsidR="008B41AE" w:rsidRPr="00BD78C2" w:rsidRDefault="00900DB0">
      <w:pPr>
        <w:spacing w:before="240" w:after="240"/>
        <w:ind w:left="108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Por denuncia</w:t>
      </w:r>
    </w:p>
    <w:p w14:paraId="4242BB74" w14:textId="77777777" w:rsidR="008B41AE" w:rsidRPr="00BD78C2" w:rsidRDefault="00900DB0">
      <w:pPr>
        <w:spacing w:before="240" w:after="240"/>
        <w:ind w:left="108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Derivado de auditorías</w:t>
      </w:r>
    </w:p>
    <w:p w14:paraId="151E3759" w14:textId="77777777" w:rsidR="008B41AE" w:rsidRPr="00BD78C2" w:rsidRDefault="008B41AE">
      <w:pPr>
        <w:spacing w:before="240" w:after="240"/>
        <w:jc w:val="both"/>
        <w:rPr>
          <w:rFonts w:ascii="Palatino Linotype" w:eastAsia="Palatino Linotype" w:hAnsi="Palatino Linotype" w:cs="Palatino Linotype"/>
          <w:b/>
          <w:bCs/>
          <w:sz w:val="22"/>
          <w:szCs w:val="22"/>
        </w:rPr>
      </w:pPr>
    </w:p>
    <w:p w14:paraId="433DFB84" w14:textId="77777777" w:rsidR="008B41AE" w:rsidRPr="00BD78C2" w:rsidRDefault="00900DB0">
      <w:pPr>
        <w:spacing w:after="160" w:line="360" w:lineRule="auto"/>
        <w:ind w:left="567" w:hanging="360"/>
        <w:jc w:val="both"/>
        <w:rPr>
          <w:rFonts w:ascii="Palatino Linotype" w:eastAsia="Palatino Linotype" w:hAnsi="Palatino Linotype" w:cs="Palatino Linotype"/>
          <w:b/>
          <w:bCs/>
          <w:sz w:val="22"/>
          <w:szCs w:val="22"/>
        </w:rPr>
      </w:pPr>
      <w:r w:rsidRPr="00BD78C2">
        <w:rPr>
          <w:rFonts w:ascii="Noto Sans Symbols" w:eastAsia="Noto Sans Symbols" w:hAnsi="Noto Sans Symbols" w:cs="Noto Sans Symbols"/>
          <w:b/>
          <w:bCs/>
          <w:sz w:val="22"/>
          <w:szCs w:val="22"/>
        </w:rPr>
        <w:t>●</w:t>
      </w:r>
      <w:r w:rsidRPr="00BD78C2">
        <w:rPr>
          <w:b/>
          <w:bCs/>
          <w:sz w:val="14"/>
          <w:szCs w:val="14"/>
        </w:rPr>
        <w:t xml:space="preserve">        </w:t>
      </w:r>
      <w:r w:rsidRPr="00BD78C2">
        <w:rPr>
          <w:rFonts w:ascii="Palatino Linotype" w:eastAsia="Palatino Linotype" w:hAnsi="Palatino Linotype" w:cs="Palatino Linotype"/>
          <w:b/>
          <w:bCs/>
          <w:sz w:val="22"/>
          <w:szCs w:val="22"/>
        </w:rPr>
        <w:t>Las autoridades investigadoras una vez concluidas las diligencias de investigación, pueden proceder de la siguiente manera:</w:t>
      </w:r>
    </w:p>
    <w:p w14:paraId="3BE6DAE8" w14:textId="77777777" w:rsidR="008B41AE" w:rsidRPr="00BD78C2" w:rsidRDefault="00900DB0">
      <w:pPr>
        <w:spacing w:before="240" w:after="240"/>
        <w:ind w:left="108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Una vez determinada la calificación de la conducta, se incluirá la misma en el Informe de Presunta Responsabilidad Administrativa y este se presentará ante la autoridad substanciadora a efecto de iniciar el procedimiento de responsabilidad administrativa correspondiente.</w:t>
      </w:r>
    </w:p>
    <w:p w14:paraId="2268DBF6" w14:textId="77777777" w:rsidR="008B41AE" w:rsidRPr="00BD78C2" w:rsidRDefault="00900DB0">
      <w:pPr>
        <w:spacing w:after="160"/>
        <w:ind w:left="108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En caso de no encontrarse elementos suficientes para demostrar la existencia de la infracción y acreditar la presunta responsabilidad del infractor, se procederá a emitir un acuerdo de conclusión y archivo del expediente debidamente fundado y motivado.</w:t>
      </w:r>
    </w:p>
    <w:p w14:paraId="2BCB3280"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lo anterior se advierte que, si durante el procedimiento de investigación, no se encuentran elementos suficientes para demostrar la existencia de la infracción y acreditar la presunta responsabilidad del infractor, la autoridad investigadora procede a emitir un acuerdo de conclusión y archivo del expediente debidamente fundado y motivado; acuerdo que da por concluida la etapa de investigación y por lo tanto no se da inicio al procedimiento de responsabilidades administrativas.</w:t>
      </w:r>
    </w:p>
    <w:p w14:paraId="2D5D32F1"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O bien, de encontrar elementos suficientes la autoridad investigadora procede a la emisión del Informe de Presunta Responsabilidad Administrativa y este se presentará ante la autoridad substanciadora a efecto de iniciar el procedimiento de responsabilidad administrativa, que inicia y concluye de la siguiente manera:</w:t>
      </w:r>
    </w:p>
    <w:p w14:paraId="6B78043E" w14:textId="77777777" w:rsidR="008B41AE" w:rsidRPr="00BD78C2" w:rsidRDefault="00900DB0">
      <w:pPr>
        <w:numPr>
          <w:ilvl w:val="0"/>
          <w:numId w:val="1"/>
        </w:numPr>
        <w:spacing w:after="400" w:line="360" w:lineRule="auto"/>
        <w:ind w:left="567"/>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Sustanciación: En este periodo se puede realizar lo siguiente:</w:t>
      </w:r>
    </w:p>
    <w:p w14:paraId="76479D4E" w14:textId="77777777" w:rsidR="008B41AE" w:rsidRPr="00BD78C2" w:rsidRDefault="00900DB0">
      <w:pPr>
        <w:spacing w:after="160"/>
        <w:ind w:left="106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Se califican los hechos como faltas administrativas graves o no graves</w:t>
      </w:r>
    </w:p>
    <w:p w14:paraId="346AB0FF" w14:textId="77777777" w:rsidR="008B41AE" w:rsidRPr="00BD78C2" w:rsidRDefault="00900DB0">
      <w:pPr>
        <w:spacing w:after="160"/>
        <w:ind w:left="106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La autoridad substanciadora podrá admitir el informe de presunta responsabilidad administrativa.</w:t>
      </w:r>
    </w:p>
    <w:p w14:paraId="7C15039F" w14:textId="77777777" w:rsidR="008B41AE" w:rsidRPr="00BD78C2" w:rsidRDefault="00900DB0">
      <w:pPr>
        <w:spacing w:after="160"/>
        <w:ind w:left="1060" w:hanging="360"/>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sz w:val="22"/>
          <w:szCs w:val="22"/>
        </w:rPr>
        <w:t>●</w:t>
      </w:r>
      <w:r w:rsidRPr="00BD78C2">
        <w:rPr>
          <w:sz w:val="14"/>
          <w:szCs w:val="14"/>
        </w:rPr>
        <w:t xml:space="preserve">        </w:t>
      </w:r>
      <w:r w:rsidRPr="00BD78C2">
        <w:rPr>
          <w:rFonts w:ascii="Palatino Linotype" w:eastAsia="Palatino Linotype" w:hAnsi="Palatino Linotype" w:cs="Palatino Linotype"/>
          <w:sz w:val="22"/>
          <w:szCs w:val="22"/>
        </w:rPr>
        <w:t>Las partes, pueden presentar las pruebas o alegatos que consideren pertinentes,</w:t>
      </w:r>
    </w:p>
    <w:p w14:paraId="4D38D48F" w14:textId="77777777" w:rsidR="008B41AE" w:rsidRPr="00BD78C2" w:rsidRDefault="008B41AE">
      <w:pPr>
        <w:spacing w:after="160"/>
        <w:jc w:val="both"/>
        <w:rPr>
          <w:rFonts w:ascii="Palatino Linotype" w:eastAsia="Palatino Linotype" w:hAnsi="Palatino Linotype" w:cs="Palatino Linotype"/>
          <w:sz w:val="22"/>
          <w:szCs w:val="22"/>
        </w:rPr>
      </w:pPr>
    </w:p>
    <w:p w14:paraId="183F5E13" w14:textId="77777777" w:rsidR="008B41AE" w:rsidRPr="00BD78C2" w:rsidRDefault="00900DB0">
      <w:pPr>
        <w:numPr>
          <w:ilvl w:val="0"/>
          <w:numId w:val="2"/>
        </w:numPr>
        <w:spacing w:after="400"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Resolución:</w:t>
      </w:r>
    </w:p>
    <w:p w14:paraId="5208B680" w14:textId="77777777" w:rsidR="008B41AE" w:rsidRPr="00BD78C2" w:rsidRDefault="00900DB0">
      <w:pPr>
        <w:spacing w:after="160"/>
        <w:ind w:left="851" w:hanging="283"/>
        <w:jc w:val="both"/>
        <w:rPr>
          <w:rFonts w:ascii="Palatino Linotype" w:eastAsia="Palatino Linotype" w:hAnsi="Palatino Linotype" w:cs="Palatino Linotype"/>
          <w:sz w:val="22"/>
          <w:szCs w:val="22"/>
        </w:rPr>
      </w:pPr>
      <w:r w:rsidRPr="00BD78C2">
        <w:rPr>
          <w:rFonts w:ascii="Noto Sans Symbols" w:eastAsia="Noto Sans Symbols" w:hAnsi="Noto Sans Symbols" w:cs="Noto Sans Symbols"/>
          <w:b/>
          <w:bCs/>
          <w:sz w:val="22"/>
          <w:szCs w:val="22"/>
        </w:rPr>
        <w:t>⮚</w:t>
      </w:r>
      <w:r w:rsidRPr="00BD78C2">
        <w:rPr>
          <w:sz w:val="14"/>
          <w:szCs w:val="14"/>
        </w:rPr>
        <w:t xml:space="preserve">  </w:t>
      </w:r>
      <w:r w:rsidRPr="00BD78C2">
        <w:rPr>
          <w:rFonts w:ascii="Palatino Linotype" w:eastAsia="Palatino Linotype" w:hAnsi="Palatino Linotype" w:cs="Palatino Linotype"/>
          <w:sz w:val="22"/>
          <w:szCs w:val="22"/>
        </w:rPr>
        <w:t>La autoridad resolutora adscrita a la Contraloría Interna (en caso de faltas administrativas no graves), o bien, el Tribunal de Justicia Administrativa del Estado de México (en caso de faltas administrativas graves), proceden a la emisión de la resolución; esta última que es susceptible de impugnación como se abordará más adelante.</w:t>
      </w:r>
    </w:p>
    <w:p w14:paraId="334E1DCC" w14:textId="77777777" w:rsidR="008B41AE" w:rsidRPr="00BD78C2" w:rsidRDefault="00900DB0">
      <w:pPr>
        <w:pBdr>
          <w:top w:val="nil"/>
          <w:left w:val="nil"/>
          <w:bottom w:val="nil"/>
          <w:right w:val="nil"/>
          <w:between w:val="nil"/>
        </w:pBdr>
        <w:spacing w:after="160"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Lo anterior, demuestra el proceso o las etapas procesales que debe seguir cada uno de los procedimientos por faltas administrativas, desde su inicio en la etapa de investigación hasta la emisión de la resolución, ya sea por la Contraloría Interna o el Tribunal de Justicia Administrativa. </w:t>
      </w:r>
    </w:p>
    <w:p w14:paraId="56D9F805" w14:textId="77777777" w:rsidR="008B41AE" w:rsidRPr="00BD78C2" w:rsidRDefault="00900DB0">
      <w:pPr>
        <w:pBdr>
          <w:top w:val="nil"/>
          <w:left w:val="nil"/>
          <w:bottom w:val="nil"/>
          <w:right w:val="nil"/>
          <w:between w:val="nil"/>
        </w:pBdr>
        <w:spacing w:after="160"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Sobre las resoluciones de procedimientos por faltas graves, es necesario traer a contexto el artículo 195 fracción V de la Ley de Responsabilidades Administrativas del Estado de México, el cual dispone lo siguiente:</w:t>
      </w:r>
    </w:p>
    <w:p w14:paraId="030CBAA7" w14:textId="77777777" w:rsidR="008B41AE" w:rsidRPr="00BD78C2" w:rsidRDefault="00900DB0">
      <w:pPr>
        <w:pBdr>
          <w:top w:val="nil"/>
          <w:left w:val="nil"/>
          <w:bottom w:val="nil"/>
          <w:right w:val="nil"/>
          <w:between w:val="nil"/>
        </w:pBdr>
        <w:spacing w:after="160"/>
        <w:ind w:left="567" w:right="843"/>
        <w:jc w:val="center"/>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CAPÍTULO TERCERO</w:t>
      </w:r>
    </w:p>
    <w:p w14:paraId="1A613C30" w14:textId="77777777" w:rsidR="008B41AE" w:rsidRPr="00BD78C2" w:rsidRDefault="00900DB0">
      <w:pPr>
        <w:pBdr>
          <w:top w:val="nil"/>
          <w:left w:val="nil"/>
          <w:bottom w:val="nil"/>
          <w:right w:val="nil"/>
          <w:between w:val="nil"/>
        </w:pBdr>
        <w:spacing w:after="160"/>
        <w:ind w:left="567" w:right="843"/>
        <w:jc w:val="center"/>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DEL PROCEDIMIENTO DE RESPONSABILIDAD ADMINISTRATIVA</w:t>
      </w:r>
    </w:p>
    <w:p w14:paraId="1F4EB4AA" w14:textId="77777777" w:rsidR="008B41AE" w:rsidRPr="00BD78C2" w:rsidRDefault="00900DB0">
      <w:pPr>
        <w:pBdr>
          <w:top w:val="nil"/>
          <w:left w:val="nil"/>
          <w:bottom w:val="nil"/>
          <w:right w:val="nil"/>
          <w:between w:val="nil"/>
        </w:pBdr>
        <w:spacing w:after="160"/>
        <w:ind w:left="567" w:right="843"/>
        <w:jc w:val="center"/>
        <w:rPr>
          <w:rFonts w:ascii="Palatino Linotype" w:eastAsia="Palatino Linotype" w:hAnsi="Palatino Linotype" w:cs="Palatino Linotype"/>
          <w:i/>
          <w:iCs/>
          <w:sz w:val="20"/>
          <w:szCs w:val="20"/>
        </w:rPr>
      </w:pPr>
      <w:r w:rsidRPr="00BD78C2">
        <w:rPr>
          <w:rFonts w:ascii="Palatino Linotype" w:eastAsia="Palatino Linotype" w:hAnsi="Palatino Linotype" w:cs="Palatino Linotype"/>
          <w:i/>
          <w:iCs/>
          <w:sz w:val="22"/>
          <w:szCs w:val="22"/>
        </w:rPr>
        <w:t>ANTE EL TRIBUNAL DE JUSTICIA ADMINISTRATIVA DEL ESTADO DE MÉXICO</w:t>
      </w:r>
    </w:p>
    <w:p w14:paraId="2975A338" w14:textId="77777777" w:rsidR="008B41AE" w:rsidRPr="00BD78C2" w:rsidRDefault="00900DB0">
      <w:pPr>
        <w:pBdr>
          <w:top w:val="nil"/>
          <w:left w:val="nil"/>
          <w:bottom w:val="nil"/>
          <w:right w:val="nil"/>
          <w:between w:val="nil"/>
        </w:pBdr>
        <w:spacing w:after="160"/>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195. El procedimiento administrativo relacionado con faltas administrativas graves o faltas de particulares, se desarrollará de conformidad con lo previsto en el presente artículo.</w:t>
      </w:r>
    </w:p>
    <w:p w14:paraId="21035D6F" w14:textId="77777777" w:rsidR="008B41AE" w:rsidRPr="00BD78C2" w:rsidRDefault="00900DB0">
      <w:pPr>
        <w:pBdr>
          <w:top w:val="nil"/>
          <w:left w:val="nil"/>
          <w:bottom w:val="nil"/>
          <w:right w:val="nil"/>
          <w:between w:val="nil"/>
        </w:pBdr>
        <w:spacing w:after="160"/>
        <w:ind w:left="567" w:right="843"/>
        <w:jc w:val="both"/>
        <w:rPr>
          <w:rFonts w:ascii="Palatino Linotype" w:eastAsia="Palatino Linotype" w:hAnsi="Palatino Linotype" w:cs="Palatino Linotype"/>
          <w:i/>
          <w:iCs/>
          <w:sz w:val="20"/>
          <w:szCs w:val="20"/>
        </w:rPr>
      </w:pPr>
      <w:r w:rsidRPr="00BD78C2">
        <w:rPr>
          <w:rFonts w:ascii="Palatino Linotype" w:eastAsia="Palatino Linotype" w:hAnsi="Palatino Linotype" w:cs="Palatino Linotype"/>
          <w:i/>
          <w:iCs/>
          <w:sz w:val="22"/>
          <w:szCs w:val="22"/>
        </w:rPr>
        <w:t>…</w:t>
      </w:r>
    </w:p>
    <w:p w14:paraId="192426BF" w14:textId="77777777" w:rsidR="008B41AE" w:rsidRPr="00BD78C2" w:rsidRDefault="00900DB0">
      <w:pPr>
        <w:pBdr>
          <w:top w:val="nil"/>
          <w:left w:val="nil"/>
          <w:bottom w:val="nil"/>
          <w:right w:val="nil"/>
          <w:between w:val="nil"/>
        </w:pBdr>
        <w:spacing w:after="160"/>
        <w:ind w:left="567" w:right="843"/>
        <w:jc w:val="both"/>
        <w:rPr>
          <w:rFonts w:ascii="Palatino Linotype" w:eastAsia="Palatino Linotype" w:hAnsi="Palatino Linotype" w:cs="Palatino Linotype"/>
          <w:i/>
          <w:iCs/>
          <w:sz w:val="20"/>
          <w:szCs w:val="20"/>
        </w:rPr>
      </w:pPr>
      <w:r w:rsidRPr="00BD78C2">
        <w:rPr>
          <w:rFonts w:ascii="Palatino Linotype" w:eastAsia="Palatino Linotype" w:hAnsi="Palatino Linotype" w:cs="Palatino Linotype"/>
          <w:i/>
          <w:iCs/>
          <w:sz w:val="22"/>
          <w:szCs w:val="22"/>
        </w:rPr>
        <w:t>V. La resolución, deberá notificarse personalmente al servidor público o particular, según corresponda. En su caso, se notificará a los denunciantes únicamente para su conocimiento y al jefe inmediato o al titular de la dependencia, municipio u organismo auxiliar, para los efectos de su ejecución, en un término que no exceda de diez días hábiles.</w:t>
      </w:r>
    </w:p>
    <w:p w14:paraId="1AEF2270" w14:textId="77777777" w:rsidR="008B41AE" w:rsidRPr="00BD78C2" w:rsidRDefault="00900DB0">
      <w:pPr>
        <w:pBdr>
          <w:top w:val="nil"/>
          <w:left w:val="nil"/>
          <w:bottom w:val="nil"/>
          <w:right w:val="nil"/>
          <w:between w:val="nil"/>
        </w:pBdr>
        <w:spacing w:after="160"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Lo anterior a efecto de establecer que si bien, los Órganos Internos de Control no emiten las resoluciones por procedimientos administrativos de faltas graves, el Sujeto Obligado si posee y administra dicha información, ya que es notificado el jefe inmediato o al titular de la dependencia por el Tribunal de Justicia Administrativa, así como al servidor público sancionado.</w:t>
      </w:r>
    </w:p>
    <w:p w14:paraId="6308ED3D" w14:textId="77777777" w:rsidR="008B41AE" w:rsidRPr="00BD78C2" w:rsidRDefault="00900DB0">
      <w:pPr>
        <w:numPr>
          <w:ilvl w:val="0"/>
          <w:numId w:val="10"/>
        </w:numPr>
        <w:pBdr>
          <w:top w:val="nil"/>
          <w:left w:val="nil"/>
          <w:bottom w:val="nil"/>
          <w:right w:val="nil"/>
          <w:between w:val="nil"/>
        </w:pBdr>
        <w:spacing w:after="160" w:line="360" w:lineRule="auto"/>
        <w:ind w:left="0" w:right="49" w:hanging="142"/>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En caso de que los procedimientos referidos se encuentren en trámite.</w:t>
      </w:r>
    </w:p>
    <w:p w14:paraId="68823318"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Para el caso de que los procedimientos aún se encuentren en trámite, esto es que no hayan causado estado, se estima que se trata de información que debe ser clasificada como reservada, porque de revelarse la información se atenta contra el principio de presunción de inocencia que debe seguirse en la administración de la justicia, conforme a lo que enseguida se razona.</w:t>
      </w:r>
    </w:p>
    <w:p w14:paraId="65EF1C2C"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2118B8E0"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La Suprema Corte de Justicia de la Nación resolvió en la contradicción de tesis 200/2013 que en los procedimientos de responsabilidad administrativa es aplicable el principio de presunción de inocencia con sus respectivos matices. En la resolución son de interés los siguientes argumentos</w:t>
      </w:r>
      <w:r w:rsidRPr="00BD78C2">
        <w:rPr>
          <w:rFonts w:ascii="Palatino Linotype" w:eastAsia="Palatino Linotype" w:hAnsi="Palatino Linotype" w:cs="Palatino Linotype"/>
          <w:sz w:val="22"/>
          <w:szCs w:val="22"/>
          <w:vertAlign w:val="superscript"/>
        </w:rPr>
        <w:footnoteReference w:id="1"/>
      </w:r>
      <w:r w:rsidRPr="00BD78C2">
        <w:rPr>
          <w:rFonts w:ascii="Palatino Linotype" w:eastAsia="Palatino Linotype" w:hAnsi="Palatino Linotype" w:cs="Palatino Linotype"/>
          <w:sz w:val="22"/>
          <w:szCs w:val="22"/>
        </w:rPr>
        <w:t>.</w:t>
      </w:r>
    </w:p>
    <w:p w14:paraId="4C792AA3"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5F659112" w14:textId="77777777" w:rsidR="008B41AE" w:rsidRPr="00BD78C2" w:rsidRDefault="00900DB0">
      <w:pPr>
        <w:ind w:left="851" w:right="85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La Constitución Federal reconoce el estado o condición de inocencia de los gobernados, razón por la cual lo protege a través del derecho de toda persona a que se presuma su inocencia, lo que significa que todo hombre debe ser tratado con tal calidad -inocente- hasta en tanto no se demuestre lo contrario.</w:t>
      </w:r>
    </w:p>
    <w:p w14:paraId="567B41EB" w14:textId="77777777" w:rsidR="008B41AE" w:rsidRPr="00BD78C2" w:rsidRDefault="008B41AE">
      <w:pPr>
        <w:ind w:left="851" w:right="851"/>
        <w:jc w:val="both"/>
        <w:rPr>
          <w:rFonts w:ascii="Palatino Linotype" w:eastAsia="Palatino Linotype" w:hAnsi="Palatino Linotype" w:cs="Palatino Linotype"/>
          <w:i/>
          <w:iCs/>
          <w:sz w:val="22"/>
          <w:szCs w:val="22"/>
        </w:rPr>
      </w:pPr>
    </w:p>
    <w:p w14:paraId="519CC12B" w14:textId="77777777" w:rsidR="008B41AE" w:rsidRPr="00BD78C2" w:rsidRDefault="00900DB0">
      <w:pPr>
        <w:ind w:left="851" w:right="85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La presunción de inocencia se resguarda en el texto constitucional como derecho fundamental a favor de toda persona, con base en el cual se exige que para toda autoridad y ante el procedimiento al que se le sujete, no se estimen verosímiles los cargos atribuidos al gobernado respecto a la comisión de delitos, salvo decisión contraria emitida por un tribunal, dentro de la observancia del debido proceso.</w:t>
      </w:r>
    </w:p>
    <w:p w14:paraId="05AB5E93" w14:textId="77777777" w:rsidR="008B41AE" w:rsidRPr="00BD78C2" w:rsidRDefault="008B41AE">
      <w:pPr>
        <w:ind w:left="851" w:right="851"/>
        <w:jc w:val="both"/>
        <w:rPr>
          <w:rFonts w:ascii="Palatino Linotype" w:eastAsia="Palatino Linotype" w:hAnsi="Palatino Linotype" w:cs="Palatino Linotype"/>
          <w:i/>
          <w:iCs/>
          <w:sz w:val="22"/>
          <w:szCs w:val="22"/>
        </w:rPr>
      </w:pPr>
    </w:p>
    <w:p w14:paraId="1A57D99D" w14:textId="77777777" w:rsidR="008B41AE" w:rsidRPr="00BD78C2" w:rsidRDefault="00900DB0">
      <w:pPr>
        <w:ind w:left="851" w:right="851"/>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Este principio tendrá eficaz aplicación, sólo cuando el gobernado se enfrente a una acusación, cuyo propósito ha de ser el límite a la potestad represiva del Estado en ejercicio de su derecho punitivo, así se concebirá también a nuestro objeto de estudio como una garantía procesal a favor del imputado, dentro de todo enjuiciamiento o procedimiento del orden administrativo.</w:t>
      </w:r>
    </w:p>
    <w:p w14:paraId="374415F5"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4A0B1B24"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Se sigue que, el principio de presunción de inocencia tiene tres significados garantistas que en forma breve pueden enunciarse de la siguiente forma:</w:t>
      </w:r>
    </w:p>
    <w:p w14:paraId="271D045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1F3BD299"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Primero. Como una regla probatoria, que impone la carga de la prueba para quien acusa y, por ende, la absolución en caso de duda.</w:t>
      </w:r>
    </w:p>
    <w:p w14:paraId="550B076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326FF3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Segundo. Como una regla de tratamiento del acusado, que excluye o restringe al máximo la limitación de sus derechos fundamentales, sobre todo los que inciden en su libertad personal, con motivo del proceso que se instaura en su contra.</w:t>
      </w:r>
    </w:p>
    <w:p w14:paraId="2A1A8953"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712F78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Tercero. Como una regla de juicio, que ordena a los jueces la absolución de los inculpados cuando durante el proceso no se aportaron pruebas de cargo suficientes.</w:t>
      </w:r>
    </w:p>
    <w:p w14:paraId="0DAF406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1747608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vista de lo anterior, este Instituto estima que en el derecho disciplinario que se sigue ante el órgano contralor a los servidores públicos en los casos que se presenta una denuncia, es aplicable la regla garantista de presunción de inocencia.</w:t>
      </w:r>
    </w:p>
    <w:p w14:paraId="284EE719"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6046B91"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Así, todo servidor público en su carácter de -presunto infractor- tiene el derecho, como regla de tratamiento en el proceso, a que se le trate en carácter de inocente hasta que no se emita una resolución firme.</w:t>
      </w:r>
    </w:p>
    <w:p w14:paraId="229F9070"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E74EEC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La relación que guarda el principio de presunción de inocencia con el derecho de acceso a la información se da en dos variantes: (i) la conservación de información que no vicie las reglas y principios de administración de justicia y (ii) conservar la reputación de las personas que aún no se les ha comprobado con plenitud haber realizado alguna infracción.</w:t>
      </w:r>
    </w:p>
    <w:p w14:paraId="46F93D2E"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2ACF556"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Con más detenimiento, la primera premisa es que de revelarse la información de las personas a quienes se les ha iniciado un procedimiento administrativo y se encuentra pendiente de resolución rompería la regla de tratamiento y de juicio que debe seguirse en la administración de justicia</w:t>
      </w:r>
      <w:r w:rsidRPr="00BD78C2">
        <w:rPr>
          <w:rFonts w:ascii="Palatino Linotype" w:eastAsia="Palatino Linotype" w:hAnsi="Palatino Linotype" w:cs="Palatino Linotype"/>
          <w:i/>
          <w:iCs/>
          <w:sz w:val="22"/>
          <w:szCs w:val="22"/>
          <w:vertAlign w:val="superscript"/>
        </w:rPr>
        <w:footnoteReference w:id="2"/>
      </w:r>
      <w:r w:rsidRPr="00BD78C2">
        <w:rPr>
          <w:rFonts w:ascii="Palatino Linotype" w:eastAsia="Palatino Linotype" w:hAnsi="Palatino Linotype" w:cs="Palatino Linotype"/>
          <w:sz w:val="22"/>
          <w:szCs w:val="22"/>
        </w:rPr>
        <w:t xml:space="preserve">, es decir, su incidencia tiene implicaciones que pudieran afectar la forma en cómo debe tratarse al servidor público acusado, pues no se ha comprobado en su totalidad que éste incurrió en una infracción, razón por la cual en dichos supuestos se deberá clasificar la información conforme a la causal establecida en el artículo 140, fracción VI de la Ley en la materia, debiendo llevar a cabo el procedimiento establecido en el Considerando siguiente, a fin poner a disposición de la parte recurrente el Acta del Comité de Transparencia que se elabore para tal efecto, debiendo elaborar la prueba de daño correspondiente. </w:t>
      </w:r>
    </w:p>
    <w:p w14:paraId="204CC61A"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C588F77"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Del artículo 140, fracción VI de la Ley en la materia, tenemos que la reserva procede cuando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C848EAA"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461DFB4"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Dichos argumentos, que se formulan por este Organismo Garante se construyen a partir de la correlación que otros derechos tienen con el acceso a la información tratándose de información sobre procesos y procedimientos que siguen en forma de juicio, los cuales de la óptica de interdependencia de los derechos humanos no pueden ser desconocidos, en el ámbito de la competencia de este Instituto.</w:t>
      </w:r>
    </w:p>
    <w:p w14:paraId="69CFF553"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A035195"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Resulta necesario tomar en cuenta el derecho al buen nombre y a la intimidad porque se considera que, hasta en tanto no exista una resolución firme, la publicación de la información solicitada afectaría la reputación de personas.</w:t>
      </w:r>
    </w:p>
    <w:p w14:paraId="1C5DB89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27E5AAE"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el fondo, se considera que se puede atentar contra la honra y el buen nombre de una persona mediante la divulgación de información sobre aquellos servidores públicos a quienes se les ha iniciado un procedimiento administrativo, o bien, se encuentran pendientes de resolución porque podrían orientar el juicio que se tiene de una persona por parte de la sociedad, lo que en efecto constituye una lesión injustificada a la posición del hombre en sociedad.</w:t>
      </w:r>
    </w:p>
    <w:p w14:paraId="5469B467"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63AC289"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Así las cosas, es de importante relevancia hacer del conocimiento del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que la información relativa a los expedientes de servidores públicos que no han causado estado;  es decir, que el principio de definitividad no se haya actualizado, por aún existir instancias para su revisión o impugnación, dicha información reviste el carácter de información reservada y en este caso, </w:t>
      </w:r>
      <w:r w:rsidRPr="00BD78C2">
        <w:rPr>
          <w:rFonts w:ascii="Palatino Linotype" w:eastAsia="Palatino Linotype" w:hAnsi="Palatino Linotype" w:cs="Palatino Linotype"/>
          <w:b/>
          <w:bCs/>
          <w:sz w:val="22"/>
          <w:szCs w:val="22"/>
        </w:rPr>
        <w:t>se deberá emitir un acuerdo que clasifique como reservados los expedientes que se encuentran en trámite.</w:t>
      </w:r>
      <w:r w:rsidRPr="00BD78C2">
        <w:rPr>
          <w:rFonts w:ascii="Palatino Linotype" w:eastAsia="Palatino Linotype" w:hAnsi="Palatino Linotype" w:cs="Palatino Linotype"/>
          <w:sz w:val="22"/>
          <w:szCs w:val="22"/>
        </w:rPr>
        <w:t xml:space="preserve"> </w:t>
      </w:r>
    </w:p>
    <w:p w14:paraId="4745E9EB"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02BC8C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Lo anterior es así, para dar seguridad jurídica al solicitante que por alguna excepción establecida en ley no es posible acceder temporalmente a la información referida anteriormente, para así no dejar en estado de indefensión y exista certeza jurídica de lo expuesto por el Sujeto Obligado. </w:t>
      </w:r>
    </w:p>
    <w:p w14:paraId="0AC2E738"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722D1027"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3. Para los efectos de la presente Ley se entenderá por:</w:t>
      </w:r>
    </w:p>
    <w:p w14:paraId="45D1ACF1"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17E46E4C"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XXIV. Información reservada: </w:t>
      </w:r>
      <w:r w:rsidRPr="00BD78C2">
        <w:rPr>
          <w:rFonts w:ascii="Palatino Linotype" w:eastAsia="Palatino Linotype" w:hAnsi="Palatino Linotype" w:cs="Palatino Linotype"/>
          <w:i/>
          <w:iCs/>
          <w:sz w:val="22"/>
          <w:szCs w:val="22"/>
        </w:rPr>
        <w:t>La clasificada con este carácter de manera temporal por las disposiciones de esta Ley, cuya divulgación puede causar daño en términos de lo establecido por esta Ley;</w:t>
      </w:r>
    </w:p>
    <w:p w14:paraId="31681DCC"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Artículo 122. </w:t>
      </w:r>
      <w:r w:rsidRPr="00BD78C2">
        <w:rPr>
          <w:rFonts w:ascii="Palatino Linotype" w:eastAsia="Palatino Linotype" w:hAnsi="Palatino Linotype" w:cs="Palatino Linotype"/>
          <w:b/>
          <w:bCs/>
          <w:i/>
          <w:iCs/>
          <w:sz w:val="22"/>
          <w:szCs w:val="22"/>
        </w:rPr>
        <w:t>La clasificación es el proceso mediante el cual el Sujeto Obligado determina que la información en su poder actualiza alguno de los supuestos de reserva</w:t>
      </w:r>
      <w:r w:rsidRPr="00BD78C2">
        <w:rPr>
          <w:rFonts w:ascii="Palatino Linotype" w:eastAsia="Palatino Linotype" w:hAnsi="Palatino Linotype" w:cs="Palatino Linotype"/>
          <w:i/>
          <w:iCs/>
          <w:sz w:val="22"/>
          <w:szCs w:val="22"/>
        </w:rPr>
        <w:t xml:space="preserve"> o confidencialidad, de conformidad con lo dispuesto en el presente título.</w:t>
      </w:r>
    </w:p>
    <w:p w14:paraId="024BD9D4"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32F04EC4"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Los supuestos de reserva o confidencialidad previstos en las leyes deberán ser acordes con las bases, principios y disposiciones establecidos en la Ley General y, en ningún caso, podrán contravenirla.</w:t>
      </w:r>
    </w:p>
    <w:p w14:paraId="480A8A40"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576689F2"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Los titulares de las áreas de los sujetos obligados serán los responsables de clasificar la información, de conformidad con lo dispuesto en la presente Ley y demás disposiciones jurídicas aplicables.</w:t>
      </w:r>
    </w:p>
    <w:p w14:paraId="13C6FACF" w14:textId="77777777" w:rsidR="008B41AE" w:rsidRPr="00BD78C2" w:rsidRDefault="008B41AE">
      <w:pPr>
        <w:ind w:left="851" w:right="822"/>
        <w:jc w:val="both"/>
        <w:rPr>
          <w:rFonts w:ascii="Palatino Linotype" w:eastAsia="Palatino Linotype" w:hAnsi="Palatino Linotype" w:cs="Palatino Linotype"/>
          <w:b/>
          <w:bCs/>
          <w:i/>
          <w:iCs/>
          <w:sz w:val="22"/>
          <w:szCs w:val="22"/>
        </w:rPr>
      </w:pPr>
    </w:p>
    <w:p w14:paraId="53908E45"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Artículo 125. La información clasificada como reservada, de acuerdo a lo establecido en esta Ley podrá permanecer con tal carácter hasta por un periodo de cinco años, </w:t>
      </w:r>
      <w:r w:rsidRPr="00BD78C2">
        <w:rPr>
          <w:rFonts w:ascii="Palatino Linotype" w:eastAsia="Palatino Linotype" w:hAnsi="Palatino Linotype" w:cs="Palatino Linotype"/>
          <w:i/>
          <w:iCs/>
          <w:sz w:val="22"/>
          <w:szCs w:val="22"/>
        </w:rPr>
        <w:t>contados a partir de su clasificación, salvo que antes del cumplimiento del periodo de restricción, dejaran de existir los motivos de su reserva.</w:t>
      </w:r>
    </w:p>
    <w:p w14:paraId="6BAEDA4F"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2DFA0276"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w:t>
      </w:r>
    </w:p>
    <w:p w14:paraId="6B3D22C9"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236C6285"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w:t>
      </w:r>
    </w:p>
    <w:p w14:paraId="100C5891"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44AE7AC2"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w:t>
      </w:r>
    </w:p>
    <w:p w14:paraId="74A83446"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w:t>
      </w:r>
    </w:p>
    <w:p w14:paraId="73EA4C6D"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Artículo 128. En los casos en que se niegue el acceso a la información, por actualizarse alguno de los supuestos de clasificación, el Comité de Transparencia deberá confirmar, modificar o revocar la decisión. </w:t>
      </w:r>
    </w:p>
    <w:p w14:paraId="7E82DA1E" w14:textId="77777777" w:rsidR="008B41AE" w:rsidRPr="00BD78C2" w:rsidRDefault="008B41AE">
      <w:pPr>
        <w:ind w:left="851" w:right="822"/>
        <w:jc w:val="both"/>
        <w:rPr>
          <w:rFonts w:ascii="Palatino Linotype" w:eastAsia="Palatino Linotype" w:hAnsi="Palatino Linotype" w:cs="Palatino Linotype"/>
          <w:b/>
          <w:bCs/>
          <w:i/>
          <w:iCs/>
          <w:sz w:val="22"/>
          <w:szCs w:val="22"/>
        </w:rPr>
      </w:pPr>
    </w:p>
    <w:p w14:paraId="7CF6C015"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i/>
          <w:iCs/>
          <w:sz w:val="22"/>
          <w:szCs w:val="22"/>
        </w:rPr>
        <w:t xml:space="preserve">Para motivar la clasificación de la información y la ampliación del plazo de reserva, </w:t>
      </w:r>
      <w:r w:rsidRPr="00BD78C2">
        <w:rPr>
          <w:rFonts w:ascii="Palatino Linotype" w:eastAsia="Palatino Linotype" w:hAnsi="Palatino Linotype" w:cs="Palatino Linotype"/>
          <w:b/>
          <w:bCs/>
          <w:i/>
          <w:iCs/>
          <w:sz w:val="22"/>
          <w:szCs w:val="22"/>
        </w:rPr>
        <w:t>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2133EA54"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Tratándose de aquélla información que actualice los supuestos de clasificación, deberá señalarse el plazo al que estará sujeto la reserva.</w:t>
      </w:r>
    </w:p>
    <w:p w14:paraId="5FB1665D"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33B0F36C"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i/>
          <w:iCs/>
          <w:sz w:val="22"/>
          <w:szCs w:val="22"/>
        </w:rPr>
        <w:t xml:space="preserve">Artículo 129. </w:t>
      </w:r>
      <w:r w:rsidRPr="00BD78C2">
        <w:rPr>
          <w:rFonts w:ascii="Palatino Linotype" w:eastAsia="Palatino Linotype" w:hAnsi="Palatino Linotype" w:cs="Palatino Linotype"/>
          <w:b/>
          <w:bCs/>
          <w:i/>
          <w:iCs/>
          <w:sz w:val="22"/>
          <w:szCs w:val="22"/>
        </w:rPr>
        <w:t>En la aplicación de la prueba de daño, el Sujeto Obligado deberá precisar las razones objetivas por las que la apertura de la información generaría una afectación, justificando que:</w:t>
      </w:r>
    </w:p>
    <w:p w14:paraId="267756D2" w14:textId="77777777" w:rsidR="008B41AE" w:rsidRPr="00BD78C2" w:rsidRDefault="008B41AE">
      <w:pPr>
        <w:ind w:left="851" w:right="822"/>
        <w:jc w:val="both"/>
        <w:rPr>
          <w:rFonts w:ascii="Palatino Linotype" w:eastAsia="Palatino Linotype" w:hAnsi="Palatino Linotype" w:cs="Palatino Linotype"/>
          <w:b/>
          <w:bCs/>
          <w:i/>
          <w:iCs/>
          <w:sz w:val="22"/>
          <w:szCs w:val="22"/>
          <w:u w:val="single"/>
        </w:rPr>
      </w:pPr>
    </w:p>
    <w:p w14:paraId="4B4A6EEF"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 La divulgación de la información representa un riesgo real, demostrable e identificable del perjuicio significativo al interés público o a la seguridad pública;</w:t>
      </w:r>
    </w:p>
    <w:p w14:paraId="018EACF5"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II. El riesgo de perjuicio que supondría la divulgación supera el interés público general de que se difunda; y</w:t>
      </w:r>
    </w:p>
    <w:p w14:paraId="598DD638"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III. La limitación se adecua al principio de proporcionalidad y representa el medio menos restrictivo disponible representa el medio menos restrictivo disponible para evitar el perjuicio.</w:t>
      </w:r>
    </w:p>
    <w:p w14:paraId="31600A6C" w14:textId="77777777" w:rsidR="008B41AE" w:rsidRPr="00BD78C2" w:rsidRDefault="008B41AE">
      <w:pPr>
        <w:ind w:left="851" w:right="822"/>
        <w:jc w:val="both"/>
        <w:rPr>
          <w:rFonts w:ascii="Palatino Linotype" w:eastAsia="Palatino Linotype" w:hAnsi="Palatino Linotype" w:cs="Palatino Linotype"/>
          <w:b/>
          <w:bCs/>
          <w:i/>
          <w:iCs/>
          <w:sz w:val="22"/>
          <w:szCs w:val="22"/>
          <w:u w:val="single"/>
        </w:rPr>
      </w:pPr>
    </w:p>
    <w:p w14:paraId="4C7C9BA3"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u w:val="single"/>
        </w:rPr>
        <w:t>Artículo 130. Los sujetos obligados deberán aplicar, de manera restrictiva y limitada, las excepciones al derecho de acceso a la información y sólo podrán invocarlas cuando acrediten su procedencia</w:t>
      </w:r>
      <w:r w:rsidRPr="00BD78C2">
        <w:rPr>
          <w:rFonts w:ascii="Palatino Linotype" w:eastAsia="Palatino Linotype" w:hAnsi="Palatino Linotype" w:cs="Palatino Linotype"/>
          <w:i/>
          <w:iCs/>
          <w:sz w:val="22"/>
          <w:szCs w:val="22"/>
        </w:rPr>
        <w:t>, sin ampliar las excepciones o supuestos de reserva o confidencialidad previstos en la Ley General y la presente Ley, aduciendo analogía o mayoría de razón.</w:t>
      </w:r>
    </w:p>
    <w:p w14:paraId="636BA437" w14:textId="77777777" w:rsidR="008B41AE" w:rsidRPr="00BD78C2" w:rsidRDefault="008B41AE">
      <w:pPr>
        <w:ind w:left="851" w:right="822"/>
        <w:jc w:val="both"/>
        <w:rPr>
          <w:rFonts w:ascii="Palatino Linotype" w:eastAsia="Palatino Linotype" w:hAnsi="Palatino Linotype" w:cs="Palatino Linotype"/>
          <w:b/>
          <w:bCs/>
          <w:i/>
          <w:iCs/>
          <w:sz w:val="22"/>
          <w:szCs w:val="22"/>
        </w:rPr>
      </w:pPr>
    </w:p>
    <w:p w14:paraId="3387B051"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Artículo 140. El acceso a la información pública será restringido excepcionalmente, cuando por razones de interés público, ésta sea clasificada como reservada, conforme a los criterios siguientes:</w:t>
      </w:r>
    </w:p>
    <w:p w14:paraId="7783E133"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19635033"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VI.</w:t>
      </w:r>
      <w:r w:rsidRPr="00BD78C2">
        <w:rPr>
          <w:rFonts w:ascii="Palatino Linotype" w:eastAsia="Palatino Linotype" w:hAnsi="Palatino Linotype" w:cs="Palatino Linotype"/>
          <w:i/>
          <w:iCs/>
          <w:sz w:val="22"/>
          <w:szCs w:val="22"/>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20872F2" w14:textId="77777777" w:rsidR="008B41AE" w:rsidRPr="00BD78C2" w:rsidRDefault="008B41AE">
      <w:pPr>
        <w:spacing w:line="360" w:lineRule="auto"/>
        <w:ind w:right="49"/>
        <w:jc w:val="both"/>
        <w:rPr>
          <w:rFonts w:ascii="Palatino Linotype" w:eastAsia="Palatino Linotype" w:hAnsi="Palatino Linotype" w:cs="Palatino Linotype"/>
          <w:i/>
          <w:iCs/>
          <w:sz w:val="22"/>
          <w:szCs w:val="22"/>
        </w:rPr>
      </w:pPr>
    </w:p>
    <w:p w14:paraId="692E6D27"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la interpretación sistemática de los artículos citados, se advierte que de actualizarse este supuesto,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deberá realizar la debida reserva de la información por poseer expedientes que a la fecha de la solicitud se encuentren en trámite, siguiendo los requisitos expuestos: </w:t>
      </w:r>
    </w:p>
    <w:p w14:paraId="351E56B2"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67F0C939"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 divulgación de la información representa un riesgo real, demostrable e identificable del perjuicio significativo al interés público o a la seguridad pública;</w:t>
      </w:r>
    </w:p>
    <w:p w14:paraId="1B647264"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El riesgo de perjuicio que supondría la divulgación supera el interés público general de que se difunda; y</w:t>
      </w:r>
    </w:p>
    <w:p w14:paraId="77852245"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 limitación se adecua al principio de proporcionalidad y representa el medio menos restrictivo disponible representa el medio menos restrictivo disponible para evitar el perjuicio.”</w:t>
      </w:r>
    </w:p>
    <w:p w14:paraId="498096E5"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6529A355"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Requisitos que deben estar acompañados de la debida fundamentación y motivación, cobrado aplicación lo que señala la jurisprudencia de la novena época visible en el Semanario Judicial de la Federación y su Gaceta. Instancia: Tribunales Colegiados de Circuito. Tesis I.4o.A.J/43 (9a.) bajo el número de registro 175082 cuyo rubro y texto esgrime;</w:t>
      </w:r>
    </w:p>
    <w:p w14:paraId="096BF369"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0D65BC78" w14:textId="77777777" w:rsidR="008B41AE" w:rsidRPr="00BD78C2" w:rsidRDefault="00900DB0">
      <w:pPr>
        <w:ind w:left="567"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“FUNDAMENTACIÓN Y MOTIVACIÓN. EL ASPECTO FORMAL DE LA GARANTÍA Y SU FINALIDAD SE TRADUCEN EN EXPLICAR, JUSTIFICAR, POSIBILITAR LA DEFENSA Y COMUNICAR LA DECISIÓN.</w:t>
      </w:r>
    </w:p>
    <w:p w14:paraId="12FBF959" w14:textId="77777777" w:rsidR="008B41AE" w:rsidRPr="00BD78C2" w:rsidRDefault="00900DB0">
      <w:pPr>
        <w:ind w:left="567"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El contenido formal de la garantía de legalidad prevista en el artículo </w:t>
      </w:r>
      <w:hyperlink r:id="rId8">
        <w:r w:rsidRPr="00BD78C2">
          <w:rPr>
            <w:rFonts w:ascii="Palatino Linotype" w:eastAsia="Palatino Linotype" w:hAnsi="Palatino Linotype" w:cs="Palatino Linotype"/>
            <w:i/>
            <w:iCs/>
            <w:sz w:val="22"/>
            <w:szCs w:val="22"/>
            <w:u w:val="single"/>
          </w:rPr>
          <w:t>16 constitucional</w:t>
        </w:r>
      </w:hyperlink>
      <w:r w:rsidRPr="00BD78C2">
        <w:rPr>
          <w:rFonts w:ascii="Palatino Linotype" w:eastAsia="Palatino Linotype" w:hAnsi="Palatino Linotype" w:cs="Palatino Linotype"/>
          <w:i/>
          <w:iCs/>
          <w:sz w:val="22"/>
          <w:szCs w:val="22"/>
        </w:rPr>
        <w:t>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799962F" w14:textId="77777777" w:rsidR="008B41AE" w:rsidRPr="00BD78C2" w:rsidRDefault="008B41AE">
      <w:pPr>
        <w:spacing w:line="360" w:lineRule="auto"/>
        <w:ind w:right="49"/>
        <w:jc w:val="both"/>
        <w:rPr>
          <w:rFonts w:ascii="Palatino Linotype" w:eastAsia="Palatino Linotype" w:hAnsi="Palatino Linotype" w:cs="Palatino Linotype"/>
          <w:i/>
          <w:iCs/>
          <w:sz w:val="22"/>
          <w:szCs w:val="22"/>
        </w:rPr>
      </w:pPr>
    </w:p>
    <w:p w14:paraId="0A237486"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Debiendo argumentar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que la liberación de la información pueda amenazar el interés protegido por la ley, es decir esgrimir ideas jurídicas en el cual se evidencie la amenaza del daño o alteración al procedimiento que aduce el Sujeto Obligado, amparado de razones, y circunstancias especiales que lo llevaron a concluir que el caso particular se ajusta al supuesto previsto en la norma legal invocada como fundamento, por la hipótesis análoga siendo aplicables los numerales 140, fracción VI de la Ley de Transparencia y Acceso a la Información Pública del Estado de México y Municipios (homólogo al artículo 113, fracción IX de la Ley General de Transparencia y Acceso a la Información Pública), establece que aquella información que afecte o vulnere la conducción de procedimientos de responsabilidades administrativas, en tanto no hayan quedado firmes.</w:t>
      </w:r>
    </w:p>
    <w:p w14:paraId="0D39FE4B"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04DD2CE9"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lo cual, la causal de reserva prevé que la información podrá clasificarse como reservada en el caso de que obstruya los procedimientos para fincar responsabilidad a los servidores públicos, pretende proteger la información vinculada a dichos procedimientos.</w:t>
      </w:r>
    </w:p>
    <w:p w14:paraId="341099D2"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7BE9E973" w14:textId="77777777" w:rsidR="008B41AE" w:rsidRPr="00BD78C2" w:rsidRDefault="00900DB0">
      <w:pPr>
        <w:spacing w:line="360" w:lineRule="auto"/>
        <w:ind w:right="4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su parte, en los Lineamientos Generales en Materia de Clasificación y Desclasificación de la Información, así como para la elaboración de versiones públicas, se establece lo siguiente:</w:t>
      </w:r>
    </w:p>
    <w:p w14:paraId="57ADCAA6"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41443578"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Vigésimo octavo.</w:t>
      </w:r>
      <w:r w:rsidRPr="00BD78C2">
        <w:rPr>
          <w:rFonts w:ascii="Palatino Linotype" w:eastAsia="Palatino Linotype" w:hAnsi="Palatino Linotype" w:cs="Palatino Linotype"/>
          <w:i/>
          <w:iCs/>
          <w:sz w:val="22"/>
          <w:szCs w:val="22"/>
        </w:rPr>
        <w:t xml:space="preserve"> De conformidad con el artículo 113, fracción IX de la Ley General, podrá considerarse como información reservada, aquella que obstruya los procedimientos para fincar responsabilidad a los servidores públicos, en tanto no se haya dictado la resolución administrativa correspondiente; para lo cual, se deberán acreditar los siguientes supuestos:</w:t>
      </w:r>
    </w:p>
    <w:p w14:paraId="70C41D66" w14:textId="77777777" w:rsidR="008B41AE" w:rsidRPr="00BD78C2" w:rsidRDefault="008B41AE">
      <w:pPr>
        <w:ind w:left="851" w:right="822"/>
        <w:jc w:val="both"/>
        <w:rPr>
          <w:rFonts w:ascii="Palatino Linotype" w:eastAsia="Palatino Linotype" w:hAnsi="Palatino Linotype" w:cs="Palatino Linotype"/>
          <w:i/>
          <w:iCs/>
          <w:sz w:val="22"/>
          <w:szCs w:val="22"/>
        </w:rPr>
      </w:pPr>
    </w:p>
    <w:p w14:paraId="2EA8C5F8"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La existencia de un procedimiento de responsabilidad administrativa en trámite, y</w:t>
      </w:r>
    </w:p>
    <w:p w14:paraId="1BBF94EF"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Que la información se refiera a actuaciones, diligencias y constancias propias del procedimiento de responsabilidad…” (Sic)</w:t>
      </w:r>
    </w:p>
    <w:p w14:paraId="1FC16680" w14:textId="77777777" w:rsidR="008B41AE" w:rsidRPr="00BD78C2" w:rsidRDefault="008B41AE">
      <w:pPr>
        <w:spacing w:line="360" w:lineRule="auto"/>
        <w:ind w:right="49"/>
        <w:jc w:val="both"/>
        <w:rPr>
          <w:rFonts w:ascii="Palatino Linotype" w:eastAsia="Palatino Linotype" w:hAnsi="Palatino Linotype" w:cs="Palatino Linotype"/>
          <w:i/>
          <w:iCs/>
          <w:sz w:val="22"/>
          <w:szCs w:val="22"/>
        </w:rPr>
      </w:pPr>
    </w:p>
    <w:p w14:paraId="5985EF86"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lo anterior, se advierte que para que se actualice la causal de reserva que se analiza se debe acreditar i) la existencia de un procedimiento de responsabilidad administrativa en trámite, y ii) que la información se refiera a actuaciones, diligencias y constancias propias del procedimiento de responsabilidad.</w:t>
      </w:r>
    </w:p>
    <w:p w14:paraId="0242DC46"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A090ED1"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ahí que, resulta procedente la reserva, en términos del artículo 140, fracción VI, de la Ley de Transparencia y Acceso a la Información Pública del Estado de México y Municipios, de los procedimientos por responsabilidades administrativas en trámite por faltas graves y no graves. </w:t>
      </w:r>
    </w:p>
    <w:p w14:paraId="288A5A45"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EB5DA96"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 por lo que deberá determinar el periodo de reserva, de manera fundada y motivada.</w:t>
      </w:r>
    </w:p>
    <w:p w14:paraId="018F9E50"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DB9132A"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otra parte, se considera de suma importancia mencionar que la nueva Ley General de Transparencia publicada el veinte de marzo de dos mil veinticinco, en el artículo 114 establece lo siguiente:</w:t>
      </w:r>
    </w:p>
    <w:p w14:paraId="402123A0"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2608FC2" w14:textId="77777777" w:rsidR="008B41AE" w:rsidRPr="00BD78C2" w:rsidRDefault="00900DB0">
      <w:pPr>
        <w:spacing w:line="360" w:lineRule="auto"/>
        <w:ind w:left="567"/>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114. No podrá invocarse el carácter de reservado cuando:</w:t>
      </w:r>
    </w:p>
    <w:p w14:paraId="5D77EF20" w14:textId="77777777" w:rsidR="008B41AE" w:rsidRPr="00BD78C2" w:rsidRDefault="008B41AE">
      <w:pPr>
        <w:spacing w:line="360" w:lineRule="auto"/>
        <w:ind w:left="567"/>
        <w:jc w:val="both"/>
        <w:rPr>
          <w:rFonts w:ascii="Palatino Linotype" w:eastAsia="Palatino Linotype" w:hAnsi="Palatino Linotype" w:cs="Palatino Linotype"/>
          <w:i/>
          <w:iCs/>
          <w:sz w:val="22"/>
          <w:szCs w:val="22"/>
        </w:rPr>
      </w:pPr>
    </w:p>
    <w:p w14:paraId="5D1D7CCF" w14:textId="77777777" w:rsidR="008B41AE" w:rsidRPr="00BD78C2" w:rsidRDefault="00900DB0">
      <w:pPr>
        <w:numPr>
          <w:ilvl w:val="0"/>
          <w:numId w:val="6"/>
        </w:numPr>
        <w:pBdr>
          <w:top w:val="nil"/>
          <w:left w:val="nil"/>
          <w:bottom w:val="nil"/>
          <w:right w:val="nil"/>
          <w:between w:val="nil"/>
        </w:pBdr>
        <w:spacing w:line="360" w:lineRule="auto"/>
        <w:ind w:left="567" w:firstLine="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Se trate de violaciones graves de derechos humanos o delitos de lesa humanidad, o </w:t>
      </w:r>
    </w:p>
    <w:p w14:paraId="4F49F767" w14:textId="77777777" w:rsidR="008B41AE" w:rsidRPr="00BD78C2" w:rsidRDefault="00900DB0">
      <w:pPr>
        <w:numPr>
          <w:ilvl w:val="0"/>
          <w:numId w:val="6"/>
        </w:numPr>
        <w:pBdr>
          <w:top w:val="nil"/>
          <w:left w:val="nil"/>
          <w:bottom w:val="nil"/>
          <w:right w:val="nil"/>
          <w:between w:val="nil"/>
        </w:pBdr>
        <w:tabs>
          <w:tab w:val="left" w:pos="851"/>
        </w:tabs>
        <w:spacing w:line="360" w:lineRule="auto"/>
        <w:ind w:left="567" w:firstLine="0"/>
        <w:jc w:val="both"/>
        <w:rPr>
          <w:rFonts w:ascii="Palatino Linotype" w:eastAsia="Palatino Linotype" w:hAnsi="Palatino Linotype" w:cs="Palatino Linotype"/>
          <w:i/>
          <w:iCs/>
          <w:sz w:val="20"/>
          <w:szCs w:val="20"/>
        </w:rPr>
      </w:pPr>
      <w:r w:rsidRPr="00BD78C2">
        <w:rPr>
          <w:rFonts w:ascii="Palatino Linotype" w:eastAsia="Palatino Linotype" w:hAnsi="Palatino Linotype" w:cs="Palatino Linotype"/>
          <w:i/>
          <w:iCs/>
          <w:sz w:val="22"/>
          <w:szCs w:val="22"/>
        </w:rPr>
        <w:t xml:space="preserve">Se trate de información relacionada con actos de corrupción </w:t>
      </w:r>
      <w:r w:rsidRPr="00BD78C2">
        <w:rPr>
          <w:rFonts w:ascii="Palatino Linotype" w:eastAsia="Palatino Linotype" w:hAnsi="Palatino Linotype" w:cs="Palatino Linotype"/>
          <w:b/>
          <w:bCs/>
          <w:i/>
          <w:iCs/>
          <w:sz w:val="22"/>
          <w:szCs w:val="22"/>
          <w:u w:val="single"/>
        </w:rPr>
        <w:t>acreditados de acuerdo con las leyes aplicables.</w:t>
      </w:r>
    </w:p>
    <w:p w14:paraId="63A4FAF7" w14:textId="77777777" w:rsidR="008B41AE" w:rsidRPr="00BD78C2" w:rsidRDefault="008B41AE">
      <w:pPr>
        <w:ind w:left="851" w:right="851"/>
        <w:jc w:val="both"/>
        <w:rPr>
          <w:rFonts w:ascii="Palatino Linotype" w:eastAsia="Palatino Linotype" w:hAnsi="Palatino Linotype" w:cs="Palatino Linotype"/>
          <w:i/>
          <w:iCs/>
          <w:sz w:val="22"/>
          <w:szCs w:val="22"/>
        </w:rPr>
      </w:pPr>
    </w:p>
    <w:p w14:paraId="4B3CB9A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su parte, La Ley de Transparencia Local establece que bajo ninguna circunstancia podrá invocarse el carácter de información reservada cuando se trate de información relacionada con actos de corrupción.</w:t>
      </w:r>
    </w:p>
    <w:p w14:paraId="73AC5440"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52907B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lo anterior, si bien nuestra legislación local en materia de transparencia dispone que no se podrá invocar la reserva de información tratándose, entre otros, de actos de corrupción; atendiendo el principio de supremacía constitucional previsto en el artículo 133 de la Constitución Política de los Estados Unidos Mexicanos, es la Ley General de Transparencia, bajo la cual se debe regir este Órgano Garante.</w:t>
      </w:r>
    </w:p>
    <w:p w14:paraId="021B04D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194F5B5"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esta manera, en aplicación de lo establecido en la Ley General de Transparencia, se tiene que no podrá invocarse el carácter de información reservada cuando se trate de información relacionada con actos de corrupción </w:t>
      </w:r>
      <w:r w:rsidRPr="00BD78C2">
        <w:rPr>
          <w:rFonts w:ascii="Palatino Linotype" w:eastAsia="Palatino Linotype" w:hAnsi="Palatino Linotype" w:cs="Palatino Linotype"/>
          <w:b/>
          <w:bCs/>
          <w:sz w:val="22"/>
          <w:szCs w:val="22"/>
          <w:u w:val="single"/>
        </w:rPr>
        <w:t>acreditados,</w:t>
      </w:r>
      <w:r w:rsidRPr="00BD78C2">
        <w:rPr>
          <w:rFonts w:ascii="Palatino Linotype" w:eastAsia="Palatino Linotype" w:hAnsi="Palatino Linotype" w:cs="Palatino Linotype"/>
          <w:sz w:val="22"/>
          <w:szCs w:val="22"/>
          <w:u w:val="single"/>
        </w:rPr>
        <w:t xml:space="preserve"> </w:t>
      </w:r>
      <w:r w:rsidRPr="00BD78C2">
        <w:rPr>
          <w:rFonts w:ascii="Palatino Linotype" w:eastAsia="Palatino Linotype" w:hAnsi="Palatino Linotype" w:cs="Palatino Linotype"/>
          <w:sz w:val="22"/>
          <w:szCs w:val="22"/>
        </w:rPr>
        <w:t>esto es, que las acciones ilícitas cometidas hayan sido demostradas y formalizadas mediante sentencias judiciales firmes, siendo una atribución exclusiva del Tribunal de Justicia Administrativa del Estado de México, de acuerdo a la Ley de Responsabilidades Administrativas del Estado de México y Municipios.</w:t>
      </w:r>
    </w:p>
    <w:p w14:paraId="2AA2FF8B"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A32395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Por lo que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deberá realizar una búsqueda exhaustiva y razonable de la información requerida por la parte recurrente y, de ser el caso de que cuente con procedimientos de responsabilidades en contra de servidores públicos por probables faltas administrativas graves que se encuentren en trámite, esto es no se haya determinado aún la responsabilidad por parte de la autoridad competente,  el </w:t>
      </w:r>
      <w:r w:rsidRPr="00BD78C2">
        <w:rPr>
          <w:rFonts w:ascii="Palatino Linotype" w:eastAsia="Palatino Linotype" w:hAnsi="Palatino Linotype" w:cs="Palatino Linotype"/>
          <w:b/>
          <w:bCs/>
          <w:sz w:val="22"/>
          <w:szCs w:val="22"/>
        </w:rPr>
        <w:t xml:space="preserve">Sujeto Obligado </w:t>
      </w:r>
      <w:r w:rsidRPr="00BD78C2">
        <w:rPr>
          <w:rFonts w:ascii="Palatino Linotype" w:eastAsia="Palatino Linotype" w:hAnsi="Palatino Linotype" w:cs="Palatino Linotype"/>
          <w:sz w:val="22"/>
          <w:szCs w:val="22"/>
        </w:rPr>
        <w:t>deberá fundar y motivar debidamente las razones por las cuales no se le puede entregar la información, esto es emitir el acuerdo de reserva correspondiente.</w:t>
      </w:r>
    </w:p>
    <w:p w14:paraId="03CF4B4D" w14:textId="77777777" w:rsidR="008B41AE" w:rsidRPr="00BD78C2" w:rsidRDefault="008B41A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2888A63" w14:textId="77777777" w:rsidR="008B41AE" w:rsidRPr="00BD78C2" w:rsidRDefault="00900DB0">
      <w:pPr>
        <w:numPr>
          <w:ilvl w:val="0"/>
          <w:numId w:val="5"/>
        </w:numPr>
        <w:pBdr>
          <w:top w:val="nil"/>
          <w:left w:val="nil"/>
          <w:bottom w:val="nil"/>
          <w:right w:val="nil"/>
          <w:between w:val="nil"/>
        </w:pBdr>
        <w:spacing w:line="360" w:lineRule="auto"/>
        <w:ind w:left="284" w:hanging="284"/>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En caso de que los procedimientos referidos estén concluidos.</w:t>
      </w:r>
    </w:p>
    <w:p w14:paraId="0B31C166" w14:textId="77777777" w:rsidR="008B41AE" w:rsidRPr="00BD78C2" w:rsidRDefault="008B41AE">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0ED519D5" w14:textId="77777777" w:rsidR="008B41AE" w:rsidRPr="00BD78C2" w:rsidRDefault="00900DB0">
      <w:pPr>
        <w:numPr>
          <w:ilvl w:val="0"/>
          <w:numId w:val="4"/>
        </w:numPr>
        <w:pBdr>
          <w:top w:val="nil"/>
          <w:left w:val="nil"/>
          <w:bottom w:val="nil"/>
          <w:right w:val="nil"/>
          <w:between w:val="nil"/>
        </w:pBdr>
        <w:spacing w:line="276" w:lineRule="auto"/>
        <w:ind w:left="426" w:right="49" w:hanging="142"/>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 xml:space="preserve">Por faltas administrativas graves con sanción condenatoria. </w:t>
      </w:r>
    </w:p>
    <w:p w14:paraId="204CC790" w14:textId="77777777" w:rsidR="008B41AE" w:rsidRPr="00BD78C2" w:rsidRDefault="008B41AE">
      <w:pPr>
        <w:pBdr>
          <w:top w:val="nil"/>
          <w:left w:val="nil"/>
          <w:bottom w:val="nil"/>
          <w:right w:val="nil"/>
          <w:between w:val="nil"/>
        </w:pBdr>
        <w:spacing w:line="276" w:lineRule="auto"/>
        <w:ind w:right="49"/>
        <w:jc w:val="both"/>
        <w:rPr>
          <w:rFonts w:ascii="Palatino Linotype" w:eastAsia="Palatino Linotype" w:hAnsi="Palatino Linotype" w:cs="Palatino Linotype"/>
          <w:b/>
          <w:bCs/>
          <w:sz w:val="22"/>
          <w:szCs w:val="22"/>
        </w:rPr>
      </w:pPr>
    </w:p>
    <w:p w14:paraId="3C90A838" w14:textId="77777777" w:rsidR="008B41AE" w:rsidRPr="00BD78C2" w:rsidRDefault="008B41AE">
      <w:pPr>
        <w:pBdr>
          <w:top w:val="nil"/>
          <w:left w:val="nil"/>
          <w:bottom w:val="nil"/>
          <w:right w:val="nil"/>
          <w:between w:val="nil"/>
        </w:pBdr>
        <w:spacing w:line="276" w:lineRule="auto"/>
        <w:ind w:right="49"/>
        <w:jc w:val="both"/>
        <w:rPr>
          <w:rFonts w:ascii="Palatino Linotype" w:eastAsia="Palatino Linotype" w:hAnsi="Palatino Linotype" w:cs="Palatino Linotype"/>
          <w:b/>
          <w:bCs/>
          <w:sz w:val="22"/>
          <w:szCs w:val="22"/>
        </w:rPr>
      </w:pPr>
    </w:p>
    <w:p w14:paraId="14923C12" w14:textId="77777777" w:rsidR="008B41AE" w:rsidRPr="00BD78C2" w:rsidRDefault="00900DB0">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u w:val="single"/>
        </w:rPr>
      </w:pPr>
      <w:r w:rsidRPr="00BD78C2">
        <w:rPr>
          <w:rFonts w:ascii="Palatino Linotype" w:eastAsia="Palatino Linotype" w:hAnsi="Palatino Linotype" w:cs="Palatino Linotype"/>
          <w:b/>
          <w:bCs/>
          <w:sz w:val="22"/>
          <w:szCs w:val="22"/>
        </w:rPr>
        <w:t xml:space="preserve">Si bien no son resueltos por el Órgano Interno de Control del Sujeto Obligado, si les es notificada la determinación al Titular del Sujeto Obligado por parte del Tribunal de Justicia Administrativa, por lo que </w:t>
      </w:r>
      <w:r w:rsidRPr="00BD78C2">
        <w:rPr>
          <w:rFonts w:ascii="Palatino Linotype" w:eastAsia="Palatino Linotype" w:hAnsi="Palatino Linotype" w:cs="Palatino Linotype"/>
          <w:sz w:val="22"/>
          <w:szCs w:val="22"/>
        </w:rPr>
        <w:t xml:space="preserve">en cuanto a los procedimientos de responsabilidades administrativas concluidos, es decir, que ya no aceptan recurso o medio de defensa alguno, es procedente su entrega dejando visible el </w:t>
      </w:r>
      <w:r w:rsidRPr="00BD78C2">
        <w:rPr>
          <w:rFonts w:ascii="Palatino Linotype" w:eastAsia="Palatino Linotype" w:hAnsi="Palatino Linotype" w:cs="Palatino Linotype"/>
          <w:b/>
          <w:bCs/>
          <w:sz w:val="22"/>
          <w:szCs w:val="22"/>
          <w:u w:val="single"/>
        </w:rPr>
        <w:t xml:space="preserve"> nombre, cargo y sanción impuesta al Servidor Público condenado por falta grave, sin embargo, deberán clasificarse los datos personales </w:t>
      </w:r>
      <w:r w:rsidRPr="00BD78C2">
        <w:rPr>
          <w:rFonts w:ascii="Palatino Linotype" w:eastAsia="Palatino Linotype" w:hAnsi="Palatino Linotype" w:cs="Palatino Linotype"/>
          <w:sz w:val="22"/>
          <w:szCs w:val="22"/>
        </w:rPr>
        <w:t xml:space="preserve">que en éste se encuentren, para lo cual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deberá realizar y notificar el acuerdo de clasificación de la información relativa a los datos personales a efecto de que pueda emitir la versión pública de lo que se le solicitó, deberá clasificarla por la hipótesis análoga siendo aplicables los numerales de la Ley de la materia, que a la letra esgrimen:</w:t>
      </w:r>
    </w:p>
    <w:p w14:paraId="49173C34" w14:textId="77777777" w:rsidR="008B41AE" w:rsidRPr="00BD78C2" w:rsidRDefault="008B41AE">
      <w:pPr>
        <w:spacing w:line="360" w:lineRule="auto"/>
        <w:ind w:right="49"/>
        <w:jc w:val="both"/>
        <w:rPr>
          <w:rFonts w:ascii="Palatino Linotype" w:eastAsia="Palatino Linotype" w:hAnsi="Palatino Linotype" w:cs="Palatino Linotype"/>
          <w:sz w:val="22"/>
          <w:szCs w:val="22"/>
        </w:rPr>
      </w:pPr>
    </w:p>
    <w:p w14:paraId="1B6D838A"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“Artículo 3. Para los efectos de la presente Ley se entenderá por:</w:t>
      </w:r>
    </w:p>
    <w:p w14:paraId="535C0725"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w:t>
      </w:r>
    </w:p>
    <w:p w14:paraId="0C8AF142"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IX. Datos personales: La información concerniente a una persona, identificada o identificable según lo dispuesto por la Ley de Protección de Datos Personales del Estado de México;</w:t>
      </w:r>
    </w:p>
    <w:p w14:paraId="49562A26"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w:t>
      </w:r>
    </w:p>
    <w:p w14:paraId="099BBDFD"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XLV. Versión pública: Documento en el que se elimine, suprime o borra la información clasificada como reservada o confidencial para permitir su acceso.</w:t>
      </w:r>
    </w:p>
    <w:p w14:paraId="36D43FA5"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122. La clasificación es el proceso mediante el cual el Sujeto Obligado determina que la información en su poder actualiza alguno de los supuestos de reserva o confidencialidad, de conformidad con lo dispuesto en el presente título.</w:t>
      </w:r>
    </w:p>
    <w:p w14:paraId="079A6148"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4892AD72"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132. La clasificación de la información se llevará a cabo en el momento en que:</w:t>
      </w:r>
    </w:p>
    <w:p w14:paraId="3E14C149" w14:textId="77777777" w:rsidR="008B41AE" w:rsidRPr="00BD78C2" w:rsidRDefault="00900DB0">
      <w:pPr>
        <w:ind w:left="851" w:right="82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3D47E350" w14:textId="77777777" w:rsidR="008B41AE" w:rsidRPr="00BD78C2" w:rsidRDefault="00900DB0">
      <w:pPr>
        <w:ind w:left="851" w:right="82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III. Se generen versiones públicas para dar cumplimiento a las obligaciones de transparencia previstas en esta Ley.</w:t>
      </w:r>
    </w:p>
    <w:p w14:paraId="09E84D15" w14:textId="77777777" w:rsidR="008B41AE" w:rsidRPr="00BD78C2" w:rsidRDefault="00900DB0">
      <w:pPr>
        <w:ind w:left="851" w:right="822"/>
        <w:jc w:val="both"/>
        <w:rPr>
          <w:rFonts w:ascii="Palatino Linotype" w:eastAsia="Palatino Linotype" w:hAnsi="Palatino Linotype" w:cs="Palatino Linotype"/>
          <w:b/>
          <w:bCs/>
          <w:i/>
          <w:iCs/>
          <w:sz w:val="22"/>
          <w:szCs w:val="22"/>
          <w:u w:val="single"/>
        </w:rPr>
      </w:pPr>
      <w:r w:rsidRPr="00BD78C2">
        <w:rPr>
          <w:rFonts w:ascii="Palatino Linotype" w:eastAsia="Palatino Linotype" w:hAnsi="Palatino Linotype" w:cs="Palatino Linotype"/>
          <w:b/>
          <w:bCs/>
          <w:i/>
          <w:iCs/>
          <w:sz w:val="22"/>
          <w:szCs w:val="22"/>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BD78C2">
        <w:rPr>
          <w:rFonts w:ascii="Palatino Linotype" w:eastAsia="Palatino Linotype" w:hAnsi="Palatino Linotype" w:cs="Palatino Linotype"/>
          <w:b/>
          <w:bCs/>
          <w:i/>
          <w:iCs/>
          <w:sz w:val="22"/>
          <w:szCs w:val="22"/>
          <w:u w:val="single"/>
        </w:rPr>
        <w:t>de manera genérica y fundando y motivando su clasificación.” (Sic)</w:t>
      </w:r>
    </w:p>
    <w:p w14:paraId="2FE1CA04" w14:textId="77777777" w:rsidR="008B41AE" w:rsidRPr="00BD78C2" w:rsidRDefault="008B41AE">
      <w:pPr>
        <w:spacing w:line="360" w:lineRule="auto"/>
        <w:ind w:right="49"/>
        <w:jc w:val="both"/>
        <w:rPr>
          <w:rFonts w:ascii="Palatino Linotype" w:eastAsia="Palatino Linotype" w:hAnsi="Palatino Linotype" w:cs="Palatino Linotype"/>
          <w:b/>
          <w:bCs/>
          <w:i/>
          <w:iCs/>
          <w:sz w:val="22"/>
          <w:szCs w:val="22"/>
          <w:u w:val="single"/>
        </w:rPr>
      </w:pPr>
    </w:p>
    <w:p w14:paraId="040FB574"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los dispositivos legales citados, se desprende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el artículo 14 con relación con el 58 de la Ley de Protección de Datos Personales del Estado de México. </w:t>
      </w:r>
    </w:p>
    <w:p w14:paraId="69B0C6E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DCA983B"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03ED7E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5ED121B"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Así, los LINEAMIENTOS GENERALES EN MATERIA DE CLASIFICACIÓN Y DESCLASIFICACIÓN DE LA INFORMACIÓN, ASÍ COMO PARA LA ELABORACIÓN DE VERSIONES PÚBLICAS, emitidos por Consejo Nacional del Sistema Nacional de Transparencia, vigentes señalan con claridad cuáles son aquellos datos personales que deben ser clasificados al momento de la elaboración de las versiones públicas. </w:t>
      </w:r>
    </w:p>
    <w:p w14:paraId="12DC6C3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D2FCAE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Efectivamente, cuando se clasifica información como confidencial o reservada </w:t>
      </w:r>
      <w:r w:rsidRPr="00BD78C2">
        <w:rPr>
          <w:rFonts w:ascii="Palatino Linotype" w:eastAsia="Palatino Linotype" w:hAnsi="Palatino Linotype" w:cs="Palatino Linotype"/>
          <w:b/>
          <w:bCs/>
          <w:sz w:val="22"/>
          <w:szCs w:val="22"/>
        </w:rPr>
        <w:t>es deber someterlo al Comité de Transparencia</w:t>
      </w:r>
      <w:r w:rsidRPr="00BD78C2">
        <w:rPr>
          <w:rFonts w:ascii="Palatino Linotype" w:eastAsia="Palatino Linotype" w:hAnsi="Palatino Linotype" w:cs="Palatino Linotype"/>
          <w:sz w:val="22"/>
          <w:szCs w:val="22"/>
        </w:rPr>
        <w:t>, quien debe confirmar, modificar o revocar las determinaciones en materia de clasificación de la información que realicen los titulares de las áreas de los sujetos obligados; por lo tanto, la entrega de documentos en su versión pública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1D88BD3E"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1D0B084" w14:textId="77777777" w:rsidR="008B41AE" w:rsidRPr="00BD78C2" w:rsidRDefault="00900DB0">
      <w:pPr>
        <w:spacing w:line="360" w:lineRule="auto"/>
        <w:jc w:val="both"/>
        <w:rPr>
          <w:rFonts w:ascii="Palatino Linotype" w:eastAsia="Palatino Linotype" w:hAnsi="Palatino Linotype" w:cs="Palatino Linotype"/>
          <w:b/>
          <w:bCs/>
          <w:sz w:val="22"/>
          <w:szCs w:val="22"/>
          <w:u w:val="single"/>
        </w:rPr>
      </w:pPr>
      <w:r w:rsidRPr="00BD78C2">
        <w:rPr>
          <w:rFonts w:ascii="Palatino Linotype" w:eastAsia="Palatino Linotype" w:hAnsi="Palatino Linotype" w:cs="Palatino Linotype"/>
          <w:sz w:val="22"/>
          <w:szCs w:val="22"/>
        </w:rPr>
        <w:t xml:space="preserve">Por otro lado, </w:t>
      </w:r>
      <w:r w:rsidRPr="00BD78C2">
        <w:rPr>
          <w:rFonts w:ascii="Palatino Linotype" w:eastAsia="Palatino Linotype" w:hAnsi="Palatino Linotype" w:cs="Palatino Linotype"/>
          <w:b/>
          <w:bCs/>
          <w:sz w:val="22"/>
          <w:szCs w:val="22"/>
        </w:rPr>
        <w:t>si bien es cierto, que entregar el nombre de los servidores públicos que obtuvieron alguna sanción, podría generar una percepción negativa de estos,</w:t>
      </w:r>
      <w:r w:rsidRPr="00BD78C2">
        <w:rPr>
          <w:rFonts w:ascii="Palatino Linotype" w:eastAsia="Palatino Linotype" w:hAnsi="Palatino Linotype" w:cs="Palatino Linotype"/>
          <w:sz w:val="22"/>
          <w:szCs w:val="22"/>
        </w:rPr>
        <w:t xml:space="preserve"> ocasionando un perjuicio en su honor, intimidad, buena imagen y nombre, así como a su vida privada, </w:t>
      </w:r>
      <w:r w:rsidRPr="00BD78C2">
        <w:rPr>
          <w:rFonts w:ascii="Palatino Linotype" w:eastAsia="Palatino Linotype" w:hAnsi="Palatino Linotype" w:cs="Palatino Linotype"/>
          <w:b/>
          <w:bCs/>
          <w:sz w:val="22"/>
          <w:szCs w:val="22"/>
          <w:u w:val="single"/>
        </w:rPr>
        <w:t>también lo es, que en el presente caso se trata de responsabilidades graves.</w:t>
      </w:r>
    </w:p>
    <w:p w14:paraId="5E108C3F"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BE133F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Al respecto, se puede establecer responsabilidades graves, cuando un servidor público cometa actos de corrupción, desvío de recursos públicos, abuso de funciones, realizar hostigamiento y acoso sexual, enriquecimiento oculto, tráfico de influencias, entre otros, los cuales recaer en diversas sanciones, entre las que se encuentran la recisión, o en su caso, la sanción económica.</w:t>
      </w:r>
    </w:p>
    <w:p w14:paraId="4994485A"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8A87D8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Además, cabe señalar que la mayoría de dichas conductas, se encuentran reguladas en el Título Sexto Delitos por Hechos de Corrupción, del Código Penal del Estado de México, en donde se prevé como delitos el abuso de autoridad, uso ilícito de atribuciones, ejercicio abusivo de funciones y enriquecimiento ilícito.</w:t>
      </w:r>
    </w:p>
    <w:p w14:paraId="52E5C11F"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32EAAD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Conforme a lo anterior, se logra vislumbrar que las responsabilidades graves, causan un perjuicio de manera externa, esto es, a terceras personas o bien, a la hacienda o erario público; por lo que, se podría considerar que existe una trascendencia social, para dar a conocer dicha información, además que se relacionan dichas conductas con actos de corrupción, conforme a la normatividad citada en el párrafo previo.</w:t>
      </w:r>
    </w:p>
    <w:p w14:paraId="405DA9A4"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441CBB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ese orden de ideas, si bien los procedimientos solicitados, podrían generar una percepción negativa de los servidores públicos que les acreditó una responsabilidad grave, ocasiona un perjuicio en su honor, intimidad y buena imagen, también lo es que existe un interés público en darlas a conocer, pues establecen que el actuar de los Servidores Públicos, en ejercicio de sus atribuciones, fueron en contra de las disposiciones normativas aplicables y que causaron un perjuicio a otras personas o al erario público.</w:t>
      </w:r>
    </w:p>
    <w:p w14:paraId="4B32500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435F19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lo anterior y derivado de la importancia de la naturaleza de la información, la Ley de Transparencia contempla el nombre de los servidores públicos con sanciones graves como una obligación de transparencia común, mientras que las no graves, como se ha señalado en líneas anteriores, no son de interés público, por eso su clasificación.</w:t>
      </w:r>
    </w:p>
    <w:p w14:paraId="04830DA6"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2AF4537"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08FF1365" w14:textId="77777777" w:rsidR="008B41AE" w:rsidRPr="00BD78C2" w:rsidRDefault="00900DB0">
      <w:pPr>
        <w:numPr>
          <w:ilvl w:val="0"/>
          <w:numId w:val="4"/>
        </w:numPr>
        <w:pBdr>
          <w:top w:val="nil"/>
          <w:left w:val="nil"/>
          <w:bottom w:val="nil"/>
          <w:right w:val="nil"/>
          <w:between w:val="nil"/>
        </w:pBdr>
        <w:spacing w:after="160" w:line="360" w:lineRule="auto"/>
        <w:ind w:left="0" w:right="49" w:hanging="284"/>
        <w:jc w:val="both"/>
        <w:rPr>
          <w:rFonts w:ascii="Palatino Linotype" w:eastAsia="Palatino Linotype" w:hAnsi="Palatino Linotype" w:cs="Palatino Linotype"/>
          <w:b/>
          <w:bCs/>
          <w:sz w:val="22"/>
          <w:szCs w:val="22"/>
        </w:rPr>
      </w:pPr>
      <w:bookmarkStart w:id="4" w:name="_heading=h.1fob9te" w:colFirst="0" w:colLast="0"/>
      <w:bookmarkEnd w:id="4"/>
      <w:r w:rsidRPr="00BD78C2">
        <w:rPr>
          <w:rFonts w:ascii="Palatino Linotype" w:eastAsia="Palatino Linotype" w:hAnsi="Palatino Linotype" w:cs="Palatino Linotype"/>
          <w:b/>
          <w:bCs/>
          <w:sz w:val="22"/>
          <w:szCs w:val="22"/>
        </w:rPr>
        <w:t>Procedimientos referidos concluidos que se consideren absolutorios por faltas graves, así como procedimientos que se consideren condenatorios y absolutorios por faltas no graves.</w:t>
      </w:r>
    </w:p>
    <w:p w14:paraId="3C97B6F3" w14:textId="77777777" w:rsidR="008B41AE" w:rsidRPr="00BD78C2" w:rsidRDefault="008B41AE">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2352570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Este Organismo Garante ha determinado que para los casos en los que se actualicen estos supuestos, deberá tenerse en  cuenta que en estos procedimientos no procederá la entrega del nombre, ni de algún otro dato que haga identificable al servidor público. </w:t>
      </w:r>
    </w:p>
    <w:p w14:paraId="28E17DB6"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DA0849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Se afirma lo anterior, ya que el simple pronunciamiento del ente público sobre entregar el nombre de un servidor público que fue sujeto a procedimiento de responsabilidad administrativa en el que fue absuelto de responsabilidad y por tanto no se le impuso sanción alguna, vulnera la protección de su privacidad y honor, ya que podría generar un juicio a priori por parte de la sociedad, independientemente que en el caso no se le acreditara responsabilidad alguna.</w:t>
      </w:r>
    </w:p>
    <w:p w14:paraId="420C382D" w14:textId="77777777" w:rsidR="008B41AE" w:rsidRPr="00BD78C2" w:rsidRDefault="008B41AE">
      <w:pPr>
        <w:tabs>
          <w:tab w:val="left" w:pos="1470"/>
        </w:tabs>
        <w:spacing w:line="360" w:lineRule="auto"/>
        <w:ind w:right="-28"/>
        <w:jc w:val="both"/>
        <w:rPr>
          <w:rFonts w:ascii="Palatino Linotype" w:eastAsia="Palatino Linotype" w:hAnsi="Palatino Linotype" w:cs="Palatino Linotype"/>
          <w:sz w:val="22"/>
          <w:szCs w:val="22"/>
        </w:rPr>
      </w:pPr>
    </w:p>
    <w:p w14:paraId="69D3F894" w14:textId="77777777" w:rsidR="008B41AE" w:rsidRPr="00BD78C2" w:rsidRDefault="00900DB0">
      <w:pPr>
        <w:tabs>
          <w:tab w:val="left" w:pos="3962"/>
        </w:tabs>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Respecto del </w:t>
      </w:r>
      <w:r w:rsidRPr="00BD78C2">
        <w:rPr>
          <w:rFonts w:ascii="Palatino Linotype" w:eastAsia="Palatino Linotype" w:hAnsi="Palatino Linotype" w:cs="Palatino Linotype"/>
          <w:b/>
          <w:bCs/>
          <w:sz w:val="22"/>
          <w:szCs w:val="22"/>
        </w:rPr>
        <w:t>derecho a la privacidad</w:t>
      </w:r>
      <w:r w:rsidRPr="00BD78C2">
        <w:rPr>
          <w:rFonts w:ascii="Palatino Linotype" w:eastAsia="Palatino Linotype" w:hAnsi="Palatino Linotype" w:cs="Palatino Linotype"/>
          <w:sz w:val="22"/>
          <w:szCs w:val="22"/>
        </w:rPr>
        <w:t xml:space="preserve">, se trae a colación la tesis aislada número 2a. LXIII/2008, emitida por la Segunda Sala de la Suprema Corte de Justicia de la Nación, publicada en la Gaceta del Semanario Judicial de la Federación, Tomo XXVII, de mayo de 2008, página 229, de la Novena Época, materia constitucional, misma que a la letra señala: </w:t>
      </w:r>
    </w:p>
    <w:p w14:paraId="03F424A1" w14:textId="77777777" w:rsidR="008B41AE" w:rsidRPr="00BD78C2" w:rsidRDefault="008B41AE">
      <w:pPr>
        <w:tabs>
          <w:tab w:val="left" w:pos="3962"/>
        </w:tabs>
        <w:spacing w:line="360" w:lineRule="auto"/>
        <w:jc w:val="both"/>
        <w:rPr>
          <w:rFonts w:ascii="Palatino Linotype" w:eastAsia="Palatino Linotype" w:hAnsi="Palatino Linotype" w:cs="Palatino Linotype"/>
          <w:sz w:val="22"/>
          <w:szCs w:val="22"/>
        </w:rPr>
      </w:pPr>
    </w:p>
    <w:p w14:paraId="482DE651" w14:textId="77777777" w:rsidR="008B41AE" w:rsidRPr="00BD78C2" w:rsidRDefault="00900DB0">
      <w:pPr>
        <w:tabs>
          <w:tab w:val="left" w:pos="3962"/>
        </w:tabs>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DERECHO A LA PRIVACIDAD O INTIMIDAD. ESTÁ PROTEGIDO POR EL ARTÍCULO 16, PRIMER PÁRRAFO, DE LA CONSTITUCIÓN POLÍTICA DE LOS ESTADOS UNIDOS MEXICANOS</w:t>
      </w:r>
      <w:r w:rsidRPr="00BD78C2">
        <w:rPr>
          <w:rFonts w:ascii="Palatino Linotype" w:eastAsia="Palatino Linotype" w:hAnsi="Palatino Linotype" w:cs="Palatino Linotype"/>
          <w:i/>
          <w:iCs/>
          <w:sz w:val="22"/>
          <w:szCs w:val="22"/>
        </w:rPr>
        <w:t>. Dicho numeral establece, en general, la garantía de seguridad jurídica de todo gobernado a no ser molestado en su persona, familia, papeles o posesiones, sino cuando medie mandato de autoridad competente debidamente fundado y motivado, de lo que deriva la inviolabilidad del domicilio, cuya finalidad primordial es el respeto a un ámbito de la vida privada personal y familiar que debe quedar excluido del conocimiento ajeno y de las intromisiones de los demás, con la limitante que la Constitución Política de los Estados Unidos Mexicanos establece para las autoridades. En un sentido amplio, la referida garantía puede extenderse a una protección que va más allá del aseguramiento del domicilio como espacio físico en que se desenvuelve normalmente la privacidad o la intimidad, de lo cual deriva el reconocimiento en el artículo 16, primer párrafo, constitucional, de un derecho a la intimidad o vida privada de los gobernados que abarca las intromisiones o molestias que por cualquier medio puedan realizarse en ese ámbito reservado de la vida.”</w:t>
      </w:r>
    </w:p>
    <w:p w14:paraId="23E98340" w14:textId="77777777" w:rsidR="008B41AE" w:rsidRPr="00BD78C2" w:rsidRDefault="008B41AE">
      <w:pPr>
        <w:tabs>
          <w:tab w:val="left" w:pos="3962"/>
        </w:tabs>
        <w:spacing w:line="276" w:lineRule="auto"/>
        <w:ind w:left="851" w:right="902"/>
        <w:jc w:val="both"/>
        <w:rPr>
          <w:rFonts w:ascii="Palatino Linotype" w:eastAsia="Palatino Linotype" w:hAnsi="Palatino Linotype" w:cs="Palatino Linotype"/>
          <w:i/>
          <w:iCs/>
          <w:sz w:val="22"/>
          <w:szCs w:val="22"/>
        </w:rPr>
      </w:pPr>
    </w:p>
    <w:p w14:paraId="505CEF36" w14:textId="77777777" w:rsidR="008B41AE" w:rsidRPr="00BD78C2" w:rsidRDefault="00900DB0">
      <w:pPr>
        <w:tabs>
          <w:tab w:val="left" w:pos="3962"/>
        </w:tabs>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Como se observa, de la garantía de seguridad jurídica de los individuos a no ser molestados en su persona, familia, papeles o posesiones, salvo cuando medie mandato de autoridad competente debidamente fundado y motivado, de lo que deriva el respeto a un ámbito de la vida privada personal y familiar que debe quedar excluido del conocimiento ajeno y de las intromisiones de los demás, con la limitante prevista en la Constitución Política de los Estados Unidos Mexicanos. </w:t>
      </w:r>
    </w:p>
    <w:p w14:paraId="1851D6F7" w14:textId="77777777" w:rsidR="008B41AE" w:rsidRPr="00BD78C2" w:rsidRDefault="008B41AE">
      <w:pPr>
        <w:tabs>
          <w:tab w:val="left" w:pos="3962"/>
        </w:tabs>
        <w:spacing w:line="360" w:lineRule="auto"/>
        <w:jc w:val="both"/>
        <w:rPr>
          <w:rFonts w:ascii="Palatino Linotype" w:eastAsia="Palatino Linotype" w:hAnsi="Palatino Linotype" w:cs="Palatino Linotype"/>
          <w:sz w:val="22"/>
          <w:szCs w:val="22"/>
        </w:rPr>
      </w:pPr>
    </w:p>
    <w:p w14:paraId="16B08E3C" w14:textId="77777777" w:rsidR="008B41AE" w:rsidRPr="00BD78C2" w:rsidRDefault="00900DB0">
      <w:pPr>
        <w:tabs>
          <w:tab w:val="left" w:pos="3962"/>
        </w:tabs>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 decir, en el artículo 16, primer párrafo constitucional, se da el reconocimiento de un derecho a la privacidad de las personas que implica no ser sujeto de injerencias arbitrarias, intromisiones o molestias en el ámbito reservado de su vida o intimidad, ni de ataques a su honra o a su reputación, por lo que toda persona tiene derecho a la protección de la ley contra tales injerencias o ataques.</w:t>
      </w:r>
    </w:p>
    <w:p w14:paraId="0E4D58BC" w14:textId="77777777" w:rsidR="008B41AE" w:rsidRPr="00BD78C2" w:rsidRDefault="008B41AE">
      <w:pPr>
        <w:tabs>
          <w:tab w:val="left" w:pos="3962"/>
        </w:tabs>
        <w:spacing w:line="360" w:lineRule="auto"/>
        <w:jc w:val="both"/>
        <w:rPr>
          <w:rFonts w:ascii="Palatino Linotype" w:eastAsia="Palatino Linotype" w:hAnsi="Palatino Linotype" w:cs="Palatino Linotype"/>
          <w:sz w:val="22"/>
          <w:szCs w:val="22"/>
        </w:rPr>
      </w:pPr>
    </w:p>
    <w:p w14:paraId="4851DBF8" w14:textId="77777777" w:rsidR="008B41AE" w:rsidRPr="00BD78C2" w:rsidRDefault="00900DB0">
      <w:pPr>
        <w:tabs>
          <w:tab w:val="left" w:pos="3962"/>
        </w:tabs>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Por lo que hace al </w:t>
      </w:r>
      <w:r w:rsidRPr="00BD78C2">
        <w:rPr>
          <w:rFonts w:ascii="Palatino Linotype" w:eastAsia="Palatino Linotype" w:hAnsi="Palatino Linotype" w:cs="Palatino Linotype"/>
          <w:b/>
          <w:bCs/>
          <w:sz w:val="22"/>
          <w:szCs w:val="22"/>
        </w:rPr>
        <w:t>derecho al honor</w:t>
      </w:r>
      <w:r w:rsidRPr="00BD78C2">
        <w:rPr>
          <w:rFonts w:ascii="Palatino Linotype" w:eastAsia="Palatino Linotype" w:hAnsi="Palatino Linotype" w:cs="Palatino Linotype"/>
          <w:sz w:val="22"/>
          <w:szCs w:val="22"/>
        </w:rPr>
        <w:t xml:space="preserve">, la jurisprudencia número 1a./J. 118/2013 (10a.), emitida por la Primera Sala de la Suprema Corte de Justicia de la Nación, publicada en la Gaceta del Semanario Judicial de la Federación, Tomo I, Libro 3, de febrero de 2014, página 470, de la Décima Época, materia constitucional, señala: </w:t>
      </w:r>
    </w:p>
    <w:p w14:paraId="0770915D" w14:textId="77777777" w:rsidR="008B41AE" w:rsidRPr="00BD78C2" w:rsidRDefault="008B41AE">
      <w:pPr>
        <w:tabs>
          <w:tab w:val="left" w:pos="3962"/>
        </w:tabs>
        <w:spacing w:line="360" w:lineRule="auto"/>
        <w:jc w:val="both"/>
        <w:rPr>
          <w:rFonts w:ascii="Palatino Linotype" w:eastAsia="Palatino Linotype" w:hAnsi="Palatino Linotype" w:cs="Palatino Linotype"/>
          <w:sz w:val="22"/>
          <w:szCs w:val="22"/>
        </w:rPr>
      </w:pPr>
    </w:p>
    <w:p w14:paraId="04854F37" w14:textId="77777777" w:rsidR="008B41AE" w:rsidRPr="00BD78C2" w:rsidRDefault="00900DB0">
      <w:pPr>
        <w:spacing w:line="276" w:lineRule="auto"/>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“DERECHO FUNDAMENTAL AL HONOR. SU DIMENSIÓN SUBJETIVA Y OBJETIVA. </w:t>
      </w:r>
      <w:r w:rsidRPr="00BD78C2">
        <w:rPr>
          <w:rFonts w:ascii="Palatino Linotype" w:eastAsia="Palatino Linotype" w:hAnsi="Palatino Linotype" w:cs="Palatino Linotype"/>
          <w:i/>
          <w:iCs/>
          <w:sz w:val="22"/>
          <w:szCs w:val="22"/>
        </w:rPr>
        <w:t xml:space="preserve">A juicio de esta Primera Sala de la Suprema Corte de Justicia de la Nación, es posible definir al honor como el </w:t>
      </w:r>
      <w:r w:rsidRPr="00BD78C2">
        <w:rPr>
          <w:rFonts w:ascii="Palatino Linotype" w:eastAsia="Palatino Linotype" w:hAnsi="Palatino Linotype" w:cs="Palatino Linotype"/>
          <w:b/>
          <w:bCs/>
          <w:i/>
          <w:iCs/>
          <w:sz w:val="22"/>
          <w:szCs w:val="22"/>
        </w:rPr>
        <w:t>concepto que la persona tiene de sí misma o que los demás se han formado de ella, en virtud de su proceder o de la expresión de su calidad ética y social</w:t>
      </w:r>
      <w:r w:rsidRPr="00BD78C2">
        <w:rPr>
          <w:rFonts w:ascii="Palatino Linotype" w:eastAsia="Palatino Linotype" w:hAnsi="Palatino Linotype" w:cs="Palatino Linotype"/>
          <w:i/>
          <w:iCs/>
          <w:sz w:val="22"/>
          <w:szCs w:val="22"/>
        </w:rPr>
        <w:t>.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093CADD3" w14:textId="77777777" w:rsidR="008B41AE" w:rsidRPr="00BD78C2" w:rsidRDefault="008B41AE">
      <w:pPr>
        <w:spacing w:line="276" w:lineRule="auto"/>
        <w:ind w:left="851" w:right="902"/>
        <w:jc w:val="both"/>
        <w:rPr>
          <w:rFonts w:ascii="Palatino Linotype" w:eastAsia="Palatino Linotype" w:hAnsi="Palatino Linotype" w:cs="Palatino Linotype"/>
          <w:sz w:val="22"/>
          <w:szCs w:val="22"/>
        </w:rPr>
      </w:pPr>
    </w:p>
    <w:p w14:paraId="77E53E02"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Como se observa, el honor es el concepto que la persona tiene de sí misma o que los demás se han formado de ella, en virtud de su proceder o de la expresión de su calidad ética y social. </w:t>
      </w:r>
    </w:p>
    <w:p w14:paraId="3088C212"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098A0362" w14:textId="77777777" w:rsidR="008B41AE" w:rsidRPr="00BD78C2" w:rsidRDefault="00900DB0">
      <w:pP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sz w:val="22"/>
          <w:szCs w:val="22"/>
        </w:rPr>
        <w:t xml:space="preserve">En el ámbito de lo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subjetivo, el honor es lesionado por todo aquello que lastima el sentimiento de la propia dignidad. </w:t>
      </w:r>
      <w:r w:rsidRPr="00BD78C2">
        <w:rPr>
          <w:rFonts w:ascii="Palatino Linotype" w:eastAsia="Palatino Linotype" w:hAnsi="Palatino Linotype" w:cs="Palatino Linotype"/>
          <w:b/>
          <w:bCs/>
          <w:sz w:val="22"/>
          <w:szCs w:val="22"/>
        </w:rPr>
        <w:t>En el aspecto objetivo, el honor es lesionado por todo aquello que afecta a la reputación que la persona merece.</w:t>
      </w:r>
    </w:p>
    <w:p w14:paraId="0EB08E16"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647A069"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el artículo 12 de la Declaración Universal de los Derechos Humanos</w:t>
      </w:r>
      <w:r w:rsidRPr="00BD78C2">
        <w:rPr>
          <w:rFonts w:ascii="Palatino Linotype" w:eastAsia="Palatino Linotype" w:hAnsi="Palatino Linotype" w:cs="Palatino Linotype"/>
          <w:i/>
          <w:iCs/>
          <w:sz w:val="22"/>
          <w:szCs w:val="22"/>
        </w:rPr>
        <w:t xml:space="preserve"> </w:t>
      </w:r>
      <w:r w:rsidRPr="00BD78C2">
        <w:rPr>
          <w:rFonts w:ascii="Palatino Linotype" w:eastAsia="Palatino Linotype" w:hAnsi="Palatino Linotype" w:cs="Palatino Linotype"/>
          <w:sz w:val="22"/>
          <w:szCs w:val="22"/>
        </w:rPr>
        <w:t>prevé que nadie será objeto de injerencias arbitrarias en su vida privada, su familia, su domicilio o su correspondencia, ni de ataques a su honra o a su reputación. Toda persona tiene derecho a la protección de la ley contra tales injerencias o ataques.</w:t>
      </w:r>
    </w:p>
    <w:p w14:paraId="24E19B63"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E12E420"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35C6A48C"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0A371B1"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394D5D2E"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67FC8B4B"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Por lo que, tratándose de procedimientos que causaron estado por faltas administrativas graves o no graves absolutorias procede clasificar como información confidencial el nombre del servidor público y cualquier otro dato que lo haga identificable. </w:t>
      </w:r>
    </w:p>
    <w:p w14:paraId="5E78B76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821C21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en el caso de procedimientos que causaron estado por faltas administrativas no graves condenatorias, también procede clasificar como información confidencial el nombre del servidor público y cualquier otro dato que lo haga identificable, ya que conforme lo anteriormente analizado únicamente procede la entrega en el caso de responsabilidades graves.</w:t>
      </w:r>
    </w:p>
    <w:p w14:paraId="2220B37F"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B92C442" w14:textId="77777777" w:rsidR="008B41AE" w:rsidRPr="00BD78C2" w:rsidRDefault="00900DB0">
      <w:pPr>
        <w:widowControl w:val="0"/>
        <w:pBdr>
          <w:top w:val="nil"/>
          <w:left w:val="nil"/>
          <w:bottom w:val="nil"/>
          <w:right w:val="nil"/>
          <w:between w:val="nil"/>
        </w:pBdr>
        <w:tabs>
          <w:tab w:val="left" w:pos="709"/>
        </w:tabs>
        <w:spacing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consecuencia, la información que se ordena entregar respecto a los expedientes de los procedimientos de responsabilidades administrativas, entre los que se contienen las investigaciones de la autoridad correspondiente, atenderá lo planteado en líneas anteriores, a efecto de entregar la información de interés para el particular, salvaguardando la información que sea clasificada ya sea como confidencial o reservada. </w:t>
      </w:r>
    </w:p>
    <w:p w14:paraId="28800FDD" w14:textId="77777777" w:rsidR="008B41AE" w:rsidRPr="00BD78C2" w:rsidRDefault="00900DB0">
      <w:pPr>
        <w:pBdr>
          <w:top w:val="nil"/>
          <w:left w:val="nil"/>
          <w:bottom w:val="nil"/>
          <w:right w:val="nil"/>
          <w:between w:val="nil"/>
        </w:pBdr>
        <w:spacing w:line="360" w:lineRule="auto"/>
        <w:ind w:left="720" w:hanging="360"/>
        <w:jc w:val="both"/>
        <w:rPr>
          <w:rFonts w:ascii="Palatino Linotype" w:eastAsia="Palatino Linotype" w:hAnsi="Palatino Linotype" w:cs="Palatino Linotype"/>
          <w:b/>
          <w:bCs/>
          <w:sz w:val="22"/>
          <w:szCs w:val="22"/>
          <w:u w:val="single"/>
        </w:rPr>
      </w:pPr>
      <w:r w:rsidRPr="00BD78C2">
        <w:rPr>
          <w:rFonts w:ascii="Palatino Linotype" w:eastAsia="Palatino Linotype" w:hAnsi="Palatino Linotype" w:cs="Palatino Linotype"/>
          <w:b/>
          <w:bCs/>
          <w:sz w:val="22"/>
          <w:szCs w:val="22"/>
          <w:u w:val="single"/>
        </w:rPr>
        <w:t xml:space="preserve">Expedientes de Auditoría Concluidos </w:t>
      </w:r>
    </w:p>
    <w:p w14:paraId="53ED5CBD"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b/>
          <w:bCs/>
          <w:sz w:val="22"/>
          <w:szCs w:val="22"/>
        </w:rPr>
      </w:pPr>
    </w:p>
    <w:p w14:paraId="540B9520"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otro lado, debe mencionarse que la información que es materia de estudio se encuentra relacionada con la obligación de transparencia prevista en el artículo 92, fracción XXVIII, de la Ley de Transparencia y Acceso a la Información Pública del Estado de México y Municipios, al tener los Sujetos Obligados el deber de hacer de conocimiento público los informes de resultados de las auditorías y en su caso las aclaraciones que correspondan resultados de las auditorías a saber:</w:t>
      </w:r>
    </w:p>
    <w:p w14:paraId="5B64DDF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7A52C4B" w14:textId="77777777" w:rsidR="008B41AE" w:rsidRPr="00BD78C2" w:rsidRDefault="00900DB0">
      <w:pPr>
        <w:spacing w:line="276" w:lineRule="auto"/>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“Artículo 92</w:t>
      </w:r>
      <w:r w:rsidRPr="00BD78C2">
        <w:rPr>
          <w:rFonts w:ascii="Palatino Linotype" w:eastAsia="Palatino Linotype" w:hAnsi="Palatino Linotype" w:cs="Palatino Linotype"/>
          <w:i/>
          <w:iCs/>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6A11CFA" w14:textId="77777777" w:rsidR="008B41AE" w:rsidRPr="00BD78C2" w:rsidRDefault="00900DB0">
      <w:pPr>
        <w:spacing w:line="276" w:lineRule="auto"/>
        <w:ind w:left="1134"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0DE17399" w14:textId="77777777" w:rsidR="008B41AE" w:rsidRPr="00BD78C2" w:rsidRDefault="00900DB0">
      <w:pPr>
        <w:spacing w:line="276" w:lineRule="auto"/>
        <w:ind w:left="1134" w:right="902"/>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XXVIII.</w:t>
      </w:r>
      <w:r w:rsidRPr="00BD78C2">
        <w:rPr>
          <w:rFonts w:ascii="Palatino Linotype" w:eastAsia="Palatino Linotype" w:hAnsi="Palatino Linotype" w:cs="Palatino Linotype"/>
          <w:i/>
          <w:iCs/>
          <w:sz w:val="22"/>
          <w:szCs w:val="22"/>
        </w:rPr>
        <w:t xml:space="preserve"> Los </w:t>
      </w:r>
      <w:r w:rsidRPr="00BD78C2">
        <w:rPr>
          <w:rFonts w:ascii="Palatino Linotype" w:eastAsia="Palatino Linotype" w:hAnsi="Palatino Linotype" w:cs="Palatino Linotype"/>
          <w:b/>
          <w:bCs/>
          <w:i/>
          <w:iCs/>
          <w:sz w:val="22"/>
          <w:szCs w:val="22"/>
        </w:rPr>
        <w:t>informes de resultados de las auditorías</w:t>
      </w:r>
      <w:r w:rsidRPr="00BD78C2">
        <w:rPr>
          <w:rFonts w:ascii="Palatino Linotype" w:eastAsia="Palatino Linotype" w:hAnsi="Palatino Linotype" w:cs="Palatino Linotype"/>
          <w:i/>
          <w:iCs/>
          <w:sz w:val="22"/>
          <w:szCs w:val="22"/>
        </w:rPr>
        <w:t xml:space="preserve"> al ejercicio presupuestal de cada sujeto obligado que se realicen y, en su caso, </w:t>
      </w:r>
      <w:r w:rsidRPr="00BD78C2">
        <w:rPr>
          <w:rFonts w:ascii="Palatino Linotype" w:eastAsia="Palatino Linotype" w:hAnsi="Palatino Linotype" w:cs="Palatino Linotype"/>
          <w:b/>
          <w:bCs/>
          <w:i/>
          <w:iCs/>
          <w:sz w:val="22"/>
          <w:szCs w:val="22"/>
        </w:rPr>
        <w:t>las aclaraciones que correspondan;</w:t>
      </w:r>
    </w:p>
    <w:p w14:paraId="1D1C60B8" w14:textId="77777777" w:rsidR="008B41AE" w:rsidRPr="00BD78C2" w:rsidRDefault="008B41AE">
      <w:pPr>
        <w:spacing w:line="360" w:lineRule="auto"/>
        <w:ind w:left="1134" w:right="902"/>
        <w:jc w:val="both"/>
        <w:rPr>
          <w:rFonts w:ascii="Palatino Linotype" w:eastAsia="Palatino Linotype" w:hAnsi="Palatino Linotype" w:cs="Palatino Linotype"/>
          <w:b/>
          <w:bCs/>
          <w:i/>
          <w:iCs/>
          <w:sz w:val="22"/>
          <w:szCs w:val="22"/>
        </w:rPr>
      </w:pPr>
    </w:p>
    <w:p w14:paraId="64B725CB" w14:textId="77777777" w:rsidR="008B41AE" w:rsidRPr="00BD78C2" w:rsidRDefault="00900DB0">
      <w:pPr>
        <w:spacing w:line="360" w:lineRule="auto"/>
        <w:ind w:right="51"/>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Ahora bien, para dar cumplimiento a dicha obligación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que los Sujetos Obligados </w:t>
      </w:r>
      <w:r w:rsidRPr="00BD78C2">
        <w:rPr>
          <w:rFonts w:ascii="Palatino Linotype" w:eastAsia="Palatino Linotype" w:hAnsi="Palatino Linotype" w:cs="Palatino Linotype"/>
          <w:b/>
          <w:bCs/>
          <w:sz w:val="22"/>
          <w:szCs w:val="22"/>
        </w:rPr>
        <w:t>deberán publicar la información correspondiente a los resultados de las auditorías internas y externas realizadas a su ejercicio presupuestal,</w:t>
      </w:r>
      <w:r w:rsidRPr="00BD78C2">
        <w:rPr>
          <w:rFonts w:ascii="Palatino Linotype" w:eastAsia="Palatino Linotype" w:hAnsi="Palatino Linotype" w:cs="Palatino Linotype"/>
          <w:sz w:val="22"/>
          <w:szCs w:val="22"/>
        </w:rPr>
        <w:t xml:space="preserve"> así como los hallazgos, observaciones, conclusiones, recomendaciones, dictámenes o documentos correspondientes, entregados por la instancia que las haya realizado y, en su caso, el seguimiento a cada una de ellas.</w:t>
      </w:r>
    </w:p>
    <w:p w14:paraId="6131CA5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E2D4805" w14:textId="77777777" w:rsidR="008B41AE" w:rsidRPr="00BD78C2" w:rsidRDefault="00900DB0">
      <w:pPr>
        <w:spacing w:line="360" w:lineRule="auto"/>
        <w:ind w:right="51"/>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Asimismo, los Lineamientos señalan que las auditorías </w:t>
      </w:r>
      <w:r w:rsidRPr="00BD78C2">
        <w:rPr>
          <w:rFonts w:ascii="Palatino Linotype" w:eastAsia="Palatino Linotype" w:hAnsi="Palatino Linotype" w:cs="Palatino Linotype"/>
          <w:b/>
          <w:bCs/>
          <w:sz w:val="22"/>
          <w:szCs w:val="22"/>
        </w:rPr>
        <w:t>son verificaciones a fin de comprobar el cumplimiento de objetivos fiscales;</w:t>
      </w:r>
      <w:r w:rsidRPr="00BD78C2">
        <w:rPr>
          <w:rFonts w:ascii="Palatino Linotype" w:eastAsia="Palatino Linotype" w:hAnsi="Palatino Linotype" w:cs="Palatino Linotype"/>
          <w:sz w:val="22"/>
          <w:szCs w:val="22"/>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14:paraId="3A30D9C8"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F1FB20E"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lo tanto, es de especificar que las auditorías internas se refieren a las revisiones realizadas por los órganos internos de control, contralorías, comisiones u órganos de vigilancia, según corresponda, de cada Sujeto Obligado, los cuales actúan a lo largo de todo el año o durante la gestión del sujeto.</w:t>
      </w:r>
    </w:p>
    <w:p w14:paraId="7DFED292"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3E12540"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La información deberá publicarse y actualizarse trimestralmente a más tardar 30 días naturales después de concluido el trimestre y se deberá mantener publicada en el sitio de Internet, la información generada en el ejercicio en curso y la correspondiente a los tres ejercicios anteriores.</w:t>
      </w:r>
    </w:p>
    <w:p w14:paraId="5F5EC59D"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1D00F2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Para la publicación de la información se deben observar los Criterios sustantivos de contenido, los Criterios adjetivos de actualización y los Criterios adjetivos de contabilidad, y los Criterios adjetivos de formato que establecen los Lineamientos Técnicos Generales.</w:t>
      </w:r>
    </w:p>
    <w:p w14:paraId="35E2DD7B"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B5790F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Para el tema que nos ocupa es indispensable traer a contexto el formato mediante el cual se debe organizar la información publicada, en el que se incluyen todos los campos especificados en los criterios sustantivos de contenido:</w:t>
      </w:r>
    </w:p>
    <w:p w14:paraId="49627442"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 </w:t>
      </w:r>
    </w:p>
    <w:p w14:paraId="6112D7D9"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XXIV. Los informes de resultados de las auditorías al ejercicio presupuestal de cada sujeto obligado que se realicen, y, en su caso, las aclaraciones que correspondan </w:t>
      </w:r>
    </w:p>
    <w:p w14:paraId="2AEF91CD" w14:textId="77777777" w:rsidR="008B41AE" w:rsidRPr="00BD78C2" w:rsidRDefault="008B41AE">
      <w:pPr>
        <w:spacing w:line="360" w:lineRule="auto"/>
        <w:ind w:left="567" w:right="843"/>
        <w:jc w:val="both"/>
        <w:rPr>
          <w:rFonts w:ascii="Palatino Linotype" w:eastAsia="Palatino Linotype" w:hAnsi="Palatino Linotype" w:cs="Palatino Linotype"/>
          <w:i/>
          <w:iCs/>
          <w:sz w:val="22"/>
          <w:szCs w:val="22"/>
        </w:rPr>
      </w:pPr>
    </w:p>
    <w:p w14:paraId="43B92383"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Los sujetos obligados publicarán la información correspondiente a los resultados de las auditorías internas y externas realizadas a su ejercicio presupuestal, así como los hallazgos, observaciones, conclusiones, recomendaciones, dictámenes o documentos correspondientes, entregados por la instancia que las haya realizado y, en su caso, el seguimiento a cada una de ellas. </w:t>
      </w:r>
    </w:p>
    <w:p w14:paraId="309441B7" w14:textId="77777777" w:rsidR="008B41AE" w:rsidRPr="00BD78C2" w:rsidRDefault="008B41AE">
      <w:pPr>
        <w:spacing w:line="360" w:lineRule="auto"/>
        <w:ind w:left="567" w:right="843"/>
        <w:jc w:val="both"/>
        <w:rPr>
          <w:rFonts w:ascii="Palatino Linotype" w:eastAsia="Palatino Linotype" w:hAnsi="Palatino Linotype" w:cs="Palatino Linotype"/>
          <w:i/>
          <w:iCs/>
          <w:sz w:val="22"/>
          <w:szCs w:val="22"/>
        </w:rPr>
      </w:pPr>
    </w:p>
    <w:p w14:paraId="42A9DD40"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El órgano fiscalizador de la federación y los de las entidades federativas tienen autonomía técnica y de gestión, por lo que desarrollan sus funciones conforme a los principios de legalidad, definitividad, imparcialidad y confiabilidad, además de que los informes de auditoría que realizan son públicos.</w:t>
      </w:r>
    </w:p>
    <w:p w14:paraId="0999BCF1" w14:textId="77777777" w:rsidR="008B41AE" w:rsidRPr="00BD78C2" w:rsidRDefault="008B41AE">
      <w:pPr>
        <w:spacing w:line="360" w:lineRule="auto"/>
        <w:ind w:left="567" w:right="843"/>
        <w:jc w:val="both"/>
        <w:rPr>
          <w:rFonts w:ascii="Palatino Linotype" w:eastAsia="Palatino Linotype" w:hAnsi="Palatino Linotype" w:cs="Palatino Linotype"/>
          <w:i/>
          <w:iCs/>
          <w:sz w:val="22"/>
          <w:szCs w:val="22"/>
        </w:rPr>
      </w:pPr>
    </w:p>
    <w:p w14:paraId="69F2111C"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06875BC8"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Las auditorías son verificaciones a fin de comprobar el cumplimiento de objetivos fiscales; sirven para responsabilizar a los sujetos obligados y/o servidores(as) públicos(as),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 </w:t>
      </w:r>
    </w:p>
    <w:p w14:paraId="11D8BDC2" w14:textId="77777777" w:rsidR="008B41AE" w:rsidRPr="00BD78C2" w:rsidRDefault="008B41AE">
      <w:pPr>
        <w:spacing w:line="360" w:lineRule="auto"/>
        <w:ind w:left="567" w:right="843"/>
        <w:jc w:val="both"/>
        <w:rPr>
          <w:rFonts w:ascii="Palatino Linotype" w:eastAsia="Palatino Linotype" w:hAnsi="Palatino Linotype" w:cs="Palatino Linotype"/>
          <w:i/>
          <w:iCs/>
          <w:sz w:val="22"/>
          <w:szCs w:val="22"/>
        </w:rPr>
      </w:pPr>
    </w:p>
    <w:p w14:paraId="42F4747F"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w:t>
      </w:r>
    </w:p>
    <w:p w14:paraId="37260EBE" w14:textId="77777777" w:rsidR="008B41AE" w:rsidRPr="00BD78C2" w:rsidRDefault="008B41AE">
      <w:pPr>
        <w:spacing w:line="360" w:lineRule="auto"/>
        <w:ind w:left="567" w:right="843"/>
        <w:jc w:val="both"/>
        <w:rPr>
          <w:rFonts w:ascii="Palatino Linotype" w:eastAsia="Palatino Linotype" w:hAnsi="Palatino Linotype" w:cs="Palatino Linotype"/>
          <w:i/>
          <w:iCs/>
          <w:sz w:val="22"/>
          <w:szCs w:val="22"/>
        </w:rPr>
      </w:pPr>
    </w:p>
    <w:p w14:paraId="4A106A5C" w14:textId="77777777" w:rsidR="008B41AE" w:rsidRPr="00BD78C2" w:rsidRDefault="00900DB0">
      <w:pPr>
        <w:spacing w:line="360" w:lineRule="auto"/>
        <w:ind w:left="567" w:right="843"/>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 Auditorías Internas </w:t>
      </w:r>
    </w:p>
    <w:p w14:paraId="72CD355E" w14:textId="77777777" w:rsidR="008B41AE" w:rsidRPr="00BD78C2" w:rsidRDefault="00900DB0">
      <w:pPr>
        <w:spacing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Auditorías Externas</w:t>
      </w:r>
    </w:p>
    <w:p w14:paraId="45855135"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689340C"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Además, los Sujetos Obligados deben publicar la siguiente información al respecto:</w:t>
      </w:r>
    </w:p>
    <w:p w14:paraId="789E895F"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noProof/>
          <w:sz w:val="22"/>
          <w:szCs w:val="22"/>
        </w:rPr>
        <w:drawing>
          <wp:inline distT="0" distB="0" distL="0" distR="0" wp14:anchorId="3F94C1A0" wp14:editId="48D4EE57">
            <wp:extent cx="5756275" cy="1450975"/>
            <wp:effectExtent l="0" t="0" r="0" b="0"/>
            <wp:docPr id="3064786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56275" cy="1450975"/>
                    </a:xfrm>
                    <a:prstGeom prst="rect">
                      <a:avLst/>
                    </a:prstGeom>
                    <a:ln/>
                  </pic:spPr>
                </pic:pic>
              </a:graphicData>
            </a:graphic>
          </wp:inline>
        </w:drawing>
      </w:r>
    </w:p>
    <w:p w14:paraId="7508F99E"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noProof/>
          <w:sz w:val="22"/>
          <w:szCs w:val="22"/>
        </w:rPr>
        <w:drawing>
          <wp:inline distT="0" distB="0" distL="0" distR="0" wp14:anchorId="2BC869EE" wp14:editId="42949FA2">
            <wp:extent cx="5687219" cy="3848637"/>
            <wp:effectExtent l="0" t="0" r="0" b="0"/>
            <wp:docPr id="3064786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87219" cy="3848637"/>
                    </a:xfrm>
                    <a:prstGeom prst="rect">
                      <a:avLst/>
                    </a:prstGeom>
                    <a:ln/>
                  </pic:spPr>
                </pic:pic>
              </a:graphicData>
            </a:graphic>
          </wp:inline>
        </w:drawing>
      </w:r>
    </w:p>
    <w:p w14:paraId="745D293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35023450"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Como puede observarse, la información que debe publicarse en el portal de internet, debe incluir, entre otros datos, el ejercicio; periodo que se informa; ejercicio auditado; rubro: auditoria interna o externa; tipo de auditoría  con base en la clasificación hecha por el órgano fiscalizador correspondiente; número de auditoría o nomenclatura que la identifique; órgano que realizó la revisión o auditoría; objetivo(s) de la realización de la auditoría; rubros sujetos a revisión; número de oficio o documento de notificación de resultados; hipervínculo al oficio o documento de notificación de resultados; por rubro sujeto a revisión, el número total de hallazgos, observaciones, conclusiones, recomendaciones, o lo que derive;  hipervínculo a las recomendaciones, y/u observaciones hechas al Sujeto Obligado, hipervínculo a los informes finales, de revisión y/o dictamen, hipervínculo al informe sobre las aclaraciones realizadas por el sujeto obligado a las acciones promovidas por el órgano fiscalizador, hipervínculo al Programa anual de auditoría que corresponda, etcétera.</w:t>
      </w:r>
    </w:p>
    <w:p w14:paraId="309DB01D" w14:textId="77777777" w:rsidR="008B41AE" w:rsidRPr="00BD78C2" w:rsidRDefault="008B41AE">
      <w:pPr>
        <w:pBdr>
          <w:top w:val="nil"/>
          <w:left w:val="nil"/>
          <w:bottom w:val="nil"/>
          <w:right w:val="nil"/>
          <w:between w:val="nil"/>
        </w:pBdr>
        <w:spacing w:line="360" w:lineRule="auto"/>
        <w:ind w:left="720" w:hanging="360"/>
        <w:jc w:val="both"/>
        <w:rPr>
          <w:rFonts w:ascii="Palatino Linotype" w:eastAsia="Palatino Linotype" w:hAnsi="Palatino Linotype" w:cs="Palatino Linotype"/>
          <w:b/>
          <w:bCs/>
          <w:sz w:val="22"/>
          <w:szCs w:val="22"/>
        </w:rPr>
      </w:pPr>
    </w:p>
    <w:p w14:paraId="2C7A1437" w14:textId="77777777" w:rsidR="008B41AE" w:rsidRPr="00BD78C2" w:rsidRDefault="00900DB0">
      <w:pPr>
        <w:widowControl w:val="0"/>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Lo anterior, demuestra la información que debe publicarse por cada una de las auditorías realizadas, mientras que, las que lleva a cabo la Contraloría Interna y que fueron requeridas por el particular, son las auditorías internas, debiendo integrar el expediente correspondiente.</w:t>
      </w:r>
    </w:p>
    <w:p w14:paraId="626646FD" w14:textId="77777777" w:rsidR="008B41AE" w:rsidRPr="00BD78C2" w:rsidRDefault="008B41AE">
      <w:pPr>
        <w:widowControl w:val="0"/>
        <w:spacing w:line="360" w:lineRule="auto"/>
        <w:jc w:val="both"/>
        <w:rPr>
          <w:rFonts w:ascii="Palatino Linotype" w:eastAsia="Palatino Linotype" w:hAnsi="Palatino Linotype" w:cs="Palatino Linotype"/>
          <w:sz w:val="22"/>
          <w:szCs w:val="22"/>
        </w:rPr>
      </w:pPr>
    </w:p>
    <w:p w14:paraId="08BE3CEB" w14:textId="77777777" w:rsidR="008B41AE" w:rsidRPr="00BD78C2" w:rsidRDefault="00900DB0">
      <w:pPr>
        <w:widowControl w:val="0"/>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consecuencia de lo anterior, se advierte que las auditorías que se encuentren concluidas y cuenten con un informe de resultados son públicas y toda la información al respecto, por lo que se ORDENA entregar los expedientes de las auditorias llevadas a cabo por el Órgano Interno de Control en versión pública. </w:t>
      </w:r>
    </w:p>
    <w:p w14:paraId="0533B128" w14:textId="77777777" w:rsidR="008B41AE" w:rsidRPr="00BD78C2" w:rsidRDefault="008B41AE">
      <w:pPr>
        <w:widowControl w:val="0"/>
        <w:spacing w:line="360" w:lineRule="auto"/>
        <w:jc w:val="both"/>
        <w:rPr>
          <w:rFonts w:ascii="Palatino Linotype" w:eastAsia="Palatino Linotype" w:hAnsi="Palatino Linotype" w:cs="Palatino Linotype"/>
          <w:sz w:val="22"/>
          <w:szCs w:val="22"/>
        </w:rPr>
      </w:pPr>
    </w:p>
    <w:p w14:paraId="2B1FFE56" w14:textId="77777777" w:rsidR="008B41AE" w:rsidRPr="00BD78C2" w:rsidRDefault="00900DB0">
      <w:pPr>
        <w:widowControl w:val="0"/>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 xml:space="preserve">De los expedientes de auditoría en trámite </w:t>
      </w:r>
    </w:p>
    <w:p w14:paraId="056CE291" w14:textId="77777777" w:rsidR="008B41AE" w:rsidRPr="00BD78C2" w:rsidRDefault="008B41AE">
      <w:pPr>
        <w:widowControl w:val="0"/>
        <w:spacing w:line="360" w:lineRule="auto"/>
        <w:jc w:val="both"/>
        <w:rPr>
          <w:rFonts w:ascii="Palatino Linotype" w:eastAsia="Palatino Linotype" w:hAnsi="Palatino Linotype" w:cs="Palatino Linotype"/>
          <w:sz w:val="22"/>
          <w:szCs w:val="22"/>
        </w:rPr>
      </w:pPr>
    </w:p>
    <w:p w14:paraId="3D3C866E" w14:textId="77777777" w:rsidR="008B41AE" w:rsidRPr="00BD78C2" w:rsidRDefault="00900DB0">
      <w:pPr>
        <w:widowControl w:val="0"/>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Ahora bien, debe decirse que por regla general, toda la información que generen, administren y/o posean los Sujetos Obligados, es considerada información pública, pues al ser entes que ejercen recursos públicos tienen la obligación de rendir cuentas y asumir responsabilidades ante los ciudadanos derivado del ejercicio de sus atribuciones, garantizando así el Derecho humano de acceso a la información pública, sin embargo, dicho derecho puede ser restringido de manera excepcional por razones de interés público, en los términos de las causas legítimas y estrictamente necesarias previstas por la Ley, como se desprende del artículo 91 de la Ley de la Materia que es del tenor literal siguiente:</w:t>
      </w:r>
    </w:p>
    <w:p w14:paraId="55FDF4D0" w14:textId="77777777" w:rsidR="008B41AE" w:rsidRPr="00BD78C2" w:rsidRDefault="00900DB0">
      <w:pPr>
        <w:ind w:left="851" w:right="90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 xml:space="preserve">“Artículo 91. </w:t>
      </w:r>
      <w:r w:rsidRPr="00BD78C2">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0AA5BB03"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Es importante mencionar que la restricción al derecho de acceso a la información implica necesariamente una clasificación la cual debe entenderse como el proceso mediante el cual el Sujeto Obligado determina que la información en su poder, actualiza alguno de los supuestos de reserva o confidencialidad, de conformidad con las normas aplicables.</w:t>
      </w:r>
    </w:p>
    <w:p w14:paraId="130427B4"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La Ley de Transparencia y Acceso a la Información Pública del Estado de México y Municipios, define como </w:t>
      </w:r>
      <w:r w:rsidRPr="00BD78C2">
        <w:rPr>
          <w:rFonts w:ascii="Palatino Linotype" w:eastAsia="Palatino Linotype" w:hAnsi="Palatino Linotype" w:cs="Palatino Linotype"/>
          <w:b/>
          <w:bCs/>
          <w:sz w:val="22"/>
          <w:szCs w:val="22"/>
        </w:rPr>
        <w:t xml:space="preserve">información reservada </w:t>
      </w:r>
      <w:r w:rsidRPr="00BD78C2">
        <w:rPr>
          <w:rFonts w:ascii="Palatino Linotype" w:eastAsia="Palatino Linotype" w:hAnsi="Palatino Linotype" w:cs="Palatino Linotype"/>
          <w:sz w:val="22"/>
          <w:szCs w:val="22"/>
        </w:rPr>
        <w:t xml:space="preserve">a la información pública clasificada con este carácter de manera temporal por las disposiciones de la Ley de la Materia, cuya divulgación puede causar daños a las  seguridad pública, y como información confidencial,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privados que refiera a la vida privada y/o los datos personales, que no son de acceso público. </w:t>
      </w:r>
    </w:p>
    <w:p w14:paraId="2173CE0E" w14:textId="77777777" w:rsidR="008B41AE" w:rsidRPr="00BD78C2" w:rsidRDefault="00900DB0">
      <w:pPr>
        <w:spacing w:before="240" w:after="240" w:line="360" w:lineRule="auto"/>
        <w:ind w:right="13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relación con las implicaciones anteriores, cabe considerar que los titulares de las áreas son los responsables de clasificar la información mediante el Comité de Transparencia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72B4A242" w14:textId="77777777" w:rsidR="008B41AE" w:rsidRPr="00BD78C2" w:rsidRDefault="00900DB0">
      <w:pPr>
        <w:spacing w:before="240" w:after="240" w:line="360" w:lineRule="auto"/>
        <w:ind w:right="13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La misma norma referida, considera en su artículo 140, fracción V, que el acceso a la información pública será restringido excepcionalmente bajo los siguientes elementos:</w:t>
      </w:r>
    </w:p>
    <w:p w14:paraId="16C1C081" w14:textId="77777777" w:rsidR="008B41AE" w:rsidRPr="00BD78C2" w:rsidRDefault="00900DB0">
      <w:pPr>
        <w:spacing w:before="240" w:after="240"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Artículo 140. El acceso a la información pública será restringido excepcionalmente, cuando por razones de interés público, ésta sea clasificada como reservada, conforme a los criterios siguientes:</w:t>
      </w:r>
    </w:p>
    <w:p w14:paraId="2202D887" w14:textId="77777777" w:rsidR="008B41AE" w:rsidRPr="00BD78C2" w:rsidRDefault="00900DB0">
      <w:pPr>
        <w:spacing w:before="240" w:after="240"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62396757" w14:textId="77777777" w:rsidR="008B41AE" w:rsidRPr="00BD78C2" w:rsidRDefault="00900DB0">
      <w:pPr>
        <w:spacing w:before="240" w:after="240"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V. Aquella cuya divulgación obstruya o pueda causar un serio perjuicio a: </w:t>
      </w:r>
    </w:p>
    <w:p w14:paraId="4F3E6C91" w14:textId="77777777" w:rsidR="008B41AE" w:rsidRPr="00BD78C2" w:rsidRDefault="00900DB0">
      <w:pPr>
        <w:spacing w:before="240" w:after="240" w:line="360" w:lineRule="auto"/>
        <w:ind w:left="567" w:right="843"/>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1. Las actividades de fiscalización, verificación, inspección, comprobación y auditoría sobre el cumplimiento de las Leyes; o</w:t>
      </w:r>
    </w:p>
    <w:p w14:paraId="28D7C919" w14:textId="77777777" w:rsidR="008B41AE" w:rsidRPr="00BD78C2" w:rsidRDefault="00900DB0">
      <w:pPr>
        <w:spacing w:before="240" w:after="240" w:line="360" w:lineRule="auto"/>
        <w:ind w:right="13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por una sola vez, siempre y cuando justifiquen que subsistente las causas que dieron origen a su clasificación.</w:t>
      </w:r>
    </w:p>
    <w:p w14:paraId="794A966D" w14:textId="77777777" w:rsidR="008B41AE" w:rsidRPr="00BD78C2" w:rsidRDefault="00900DB0">
      <w:pPr>
        <w:spacing w:before="240" w:after="240" w:line="360" w:lineRule="auto"/>
        <w:ind w:right="139"/>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 y hacer mención del plazo al que estará sujeto la reserva.</w:t>
      </w:r>
    </w:p>
    <w:p w14:paraId="3D79C557"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Los Sujetos Obligados no podrán emitir acuerdos de carácter general ni particular que clasifiquen documentos o información como reservada, ya que dicha clasificación, ya sea parcial o total, debe estar acorde con la actualización de los supuestos definidos en la ley de la materia, resaltándose que se debe realizar conforme a un análisis caso por caso, mediante la aplicación de la enunciada prueba de daño.</w:t>
      </w:r>
    </w:p>
    <w:p w14:paraId="03946A42"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En tal contexto, en términos generales, las Leyes de la materia disponen que, para proceder a realizar la reserva de la información, no basta que se refiera a alguno de los supuestos que enmarque la Ley, sino que es necesario que la autoridad demuestre que la divulgación de la información, puede afectar, poner en riesgo o dañar el interés público protegido, mediante elementos objetivos que evalúen si existe un riego actual e inminente los artículos 91, 128, 129, 140 y 141, de la Ley de Transparencia y Acceso a la Información Pública del Estado de México y Municipios, y los Capítulos II y V de los Lineamientos Generales de Clasificación y Desclasificación de la Información, así como para la Elaboración de Versiones Públicas.</w:t>
      </w:r>
    </w:p>
    <w:p w14:paraId="6FBD1CAC"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Corolario a lo anterior, es de precisar que la clasificación de la información no se da por el simple mandato de la Ley, sino que es necesario que los Sujetos Obligados</w:t>
      </w:r>
      <w:r w:rsidRPr="00BD78C2">
        <w:rPr>
          <w:rFonts w:ascii="Palatino Linotype" w:eastAsia="Palatino Linotype" w:hAnsi="Palatino Linotype" w:cs="Palatino Linotype"/>
          <w:b/>
          <w:bCs/>
          <w:sz w:val="22"/>
          <w:szCs w:val="22"/>
        </w:rPr>
        <w:t>,</w:t>
      </w:r>
      <w:r w:rsidRPr="00BD78C2">
        <w:rPr>
          <w:rFonts w:ascii="Palatino Linotype" w:eastAsia="Palatino Linotype" w:hAnsi="Palatino Linotype" w:cs="Palatino Linotype"/>
          <w:sz w:val="22"/>
          <w:szCs w:val="22"/>
        </w:rPr>
        <w:t xml:space="preserve"> cuando clasifiquen algún documento o información, ya sea todo o en parte, atiendan lo dispuesto por la Ley de la materia, siendo que dicha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4501E340"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Además, el  lineamiento Trigésimo Tercero, de los Lineamientos Generales en Materia de Clasificación y Desclasificación de la Información, que dispone lo siguiente:</w:t>
      </w:r>
    </w:p>
    <w:p w14:paraId="7477F653" w14:textId="77777777" w:rsidR="008B41AE" w:rsidRPr="00BD78C2" w:rsidRDefault="00900DB0">
      <w:pPr>
        <w:spacing w:before="120" w:after="120"/>
        <w:ind w:left="851" w:right="758"/>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Trigésimo tercero</w:t>
      </w:r>
      <w:r w:rsidRPr="00BD78C2">
        <w:rPr>
          <w:rFonts w:ascii="Palatino Linotype" w:eastAsia="Palatino Linotype" w:hAnsi="Palatino Linotype" w:cs="Palatino Linotype"/>
          <w:i/>
          <w:iCs/>
          <w:sz w:val="22"/>
          <w:szCs w:val="22"/>
        </w:rPr>
        <w:t>. Para la aplicación de la prueba de daño a la que hace referencia el artículo 104 de la Ley General, los sujetos obligados atenderán lo siguiente:</w:t>
      </w:r>
    </w:p>
    <w:p w14:paraId="3931B375"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 xml:space="preserve">I. </w:t>
      </w:r>
      <w:r w:rsidRPr="00BD78C2">
        <w:rPr>
          <w:rFonts w:ascii="Palatino Linotype" w:eastAsia="Palatino Linotype" w:hAnsi="Palatino Linotype" w:cs="Palatino Linotype"/>
          <w:i/>
          <w:iCs/>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42BE5929"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II</w:t>
      </w:r>
      <w:r w:rsidRPr="00BD78C2">
        <w:rPr>
          <w:rFonts w:ascii="Palatino Linotype" w:eastAsia="Palatino Linotype" w:hAnsi="Palatino Linotype" w:cs="Palatino Linotype"/>
          <w:i/>
          <w:iCs/>
          <w:sz w:val="22"/>
          <w:szCs w:val="22"/>
        </w:rPr>
        <w:t>. Se deberá motivar la clasificación, señalando las circunstancias de modo, tiempo y lugar que acrediten el vínculo entre la difusión de la información y la afectación al interés público o a la seguridad nacional;</w:t>
      </w:r>
    </w:p>
    <w:p w14:paraId="1B6F4294"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III.</w:t>
      </w:r>
      <w:r w:rsidRPr="00BD78C2">
        <w:rPr>
          <w:rFonts w:ascii="Palatino Linotype" w:eastAsia="Palatino Linotype" w:hAnsi="Palatino Linotype" w:cs="Palatino Linotype"/>
          <w:i/>
          <w:iCs/>
          <w:sz w:val="22"/>
          <w:szCs w:val="22"/>
        </w:rPr>
        <w:t xml:space="preserve"> Se deberán precisar las razones objetivas por las que la apertura de la información generaría un riesgo de perjuicio real, demostrable e identificable al interés jurídico tutelado de que se trate;</w:t>
      </w:r>
    </w:p>
    <w:p w14:paraId="1659E296"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IV.</w:t>
      </w:r>
      <w:r w:rsidRPr="00BD78C2">
        <w:rPr>
          <w:rFonts w:ascii="Palatino Linotype" w:eastAsia="Palatino Linotype" w:hAnsi="Palatino Linotype" w:cs="Palatino Linotype"/>
          <w:i/>
          <w:iCs/>
          <w:sz w:val="22"/>
          <w:szCs w:val="22"/>
        </w:rPr>
        <w:t xml:space="preserve">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r w:rsidRPr="00BD78C2">
        <w:rPr>
          <w:rFonts w:ascii="Palatino Linotype" w:eastAsia="Palatino Linotype" w:hAnsi="Palatino Linotype" w:cs="Palatino Linotype"/>
          <w:b/>
          <w:bCs/>
          <w:i/>
          <w:iCs/>
          <w:sz w:val="22"/>
          <w:szCs w:val="22"/>
        </w:rPr>
        <w:t xml:space="preserve"> </w:t>
      </w:r>
    </w:p>
    <w:p w14:paraId="11565E86"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BD78C2">
        <w:rPr>
          <w:rFonts w:ascii="Palatino Linotype" w:eastAsia="Palatino Linotype" w:hAnsi="Palatino Linotype" w:cs="Palatino Linotype"/>
          <w:b/>
          <w:bCs/>
          <w:i/>
          <w:iCs/>
          <w:sz w:val="22"/>
          <w:szCs w:val="22"/>
        </w:rPr>
        <w:t>V</w:t>
      </w:r>
      <w:r w:rsidRPr="00BD78C2">
        <w:rPr>
          <w:rFonts w:ascii="Palatino Linotype" w:eastAsia="Palatino Linotype" w:hAnsi="Palatino Linotype" w:cs="Palatino Linotype"/>
          <w:i/>
          <w:iCs/>
          <w:sz w:val="22"/>
          <w:szCs w:val="22"/>
        </w:rPr>
        <w:t>. Deberán elegir y justificar la opción de excepción al derecho de acceso a la información que menos lo restrinja y que sea adecuada y proporcional para evitar el perjuicio al interés público, evitando siempre que sea posible la reserva absoluta de documentos o expedientes; y</w:t>
      </w:r>
      <w:r w:rsidRPr="00BD78C2">
        <w:rPr>
          <w:rFonts w:ascii="Palatino Linotype" w:eastAsia="Palatino Linotype" w:hAnsi="Palatino Linotype" w:cs="Palatino Linotype"/>
          <w:b/>
          <w:bCs/>
          <w:i/>
          <w:iCs/>
          <w:sz w:val="22"/>
          <w:szCs w:val="22"/>
        </w:rPr>
        <w:t xml:space="preserve"> </w:t>
      </w:r>
    </w:p>
    <w:p w14:paraId="3974FFD7" w14:textId="77777777" w:rsidR="008B41AE" w:rsidRPr="00BD78C2" w:rsidRDefault="00900DB0">
      <w:pPr>
        <w:tabs>
          <w:tab w:val="left" w:pos="1701"/>
        </w:tabs>
        <w:spacing w:before="120" w:after="120"/>
        <w:ind w:left="851" w:right="760"/>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VI</w:t>
      </w:r>
      <w:r w:rsidRPr="00BD78C2">
        <w:rPr>
          <w:rFonts w:ascii="Palatino Linotype" w:eastAsia="Palatino Linotype" w:hAnsi="Palatino Linotype" w:cs="Palatino Linotype"/>
          <w:i/>
          <w:iCs/>
          <w:sz w:val="22"/>
          <w:szCs w:val="22"/>
        </w:rPr>
        <w:t>.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5887A7AE"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No justificó de forma fundada y motivada la restricción al Derecho de acceso a la información, toda vez que se limitó a referir que los oficios que pretendió clasificar son parte de expedientes en etapa de auditoría, investigación, sustanciación y resolución, sin acreditar el cumplimiento de los elementos que prevé el lineamiento Vigésimo cuarto de los Lineamientos Generales en materia de clasificación, a saber:</w:t>
      </w:r>
    </w:p>
    <w:p w14:paraId="6738B079" w14:textId="77777777" w:rsidR="008B41AE" w:rsidRPr="00BD78C2" w:rsidRDefault="00900DB0">
      <w:pPr>
        <w:spacing w:before="120" w:after="120"/>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“Vigésimo cuarto</w:t>
      </w:r>
      <w:r w:rsidRPr="00BD78C2">
        <w:rPr>
          <w:rFonts w:ascii="Palatino Linotype" w:eastAsia="Palatino Linotype" w:hAnsi="Palatino Linotype" w:cs="Palatino Linotype"/>
          <w:i/>
          <w:iCs/>
          <w:sz w:val="22"/>
          <w:szCs w:val="22"/>
        </w:rPr>
        <w:t>. De conformidad con el artículo 113, fracción VI de la Ley General, podrá considerarse como reservada, aquella información que obstruya las actividades de verificación, inspección y auditoría relativas al cumplimiento de las leyes, cuando se actualicen los siguientes elementos:</w:t>
      </w:r>
    </w:p>
    <w:p w14:paraId="04D7123D" w14:textId="77777777" w:rsidR="008B41AE" w:rsidRPr="00BD78C2" w:rsidRDefault="00900DB0">
      <w:pPr>
        <w:spacing w:before="120" w:after="120"/>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w:t>
      </w:r>
      <w:r w:rsidRPr="00BD78C2">
        <w:rPr>
          <w:rFonts w:ascii="Palatino Linotype" w:eastAsia="Palatino Linotype" w:hAnsi="Palatino Linotype" w:cs="Palatino Linotype"/>
          <w:i/>
          <w:iCs/>
          <w:sz w:val="22"/>
          <w:szCs w:val="22"/>
        </w:rPr>
        <w:t xml:space="preserve"> La existencia de un procedimiento de verificación del cumplimiento de las leyes; </w:t>
      </w:r>
    </w:p>
    <w:p w14:paraId="49E36070" w14:textId="77777777" w:rsidR="008B41AE" w:rsidRPr="00BD78C2" w:rsidRDefault="00900DB0">
      <w:pPr>
        <w:spacing w:before="120" w:after="120"/>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II</w:t>
      </w:r>
      <w:r w:rsidRPr="00BD78C2">
        <w:rPr>
          <w:rFonts w:ascii="Palatino Linotype" w:eastAsia="Palatino Linotype" w:hAnsi="Palatino Linotype" w:cs="Palatino Linotype"/>
          <w:i/>
          <w:iCs/>
          <w:sz w:val="22"/>
          <w:szCs w:val="22"/>
        </w:rPr>
        <w:t xml:space="preserve">. Que el procedimiento se encuentre en trámite; </w:t>
      </w:r>
    </w:p>
    <w:p w14:paraId="32F77DF5" w14:textId="77777777" w:rsidR="008B41AE" w:rsidRPr="00BD78C2" w:rsidRDefault="00900DB0">
      <w:pPr>
        <w:spacing w:before="120" w:after="120"/>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III</w:t>
      </w:r>
      <w:r w:rsidRPr="00BD78C2">
        <w:rPr>
          <w:rFonts w:ascii="Palatino Linotype" w:eastAsia="Palatino Linotype" w:hAnsi="Palatino Linotype" w:cs="Palatino Linotype"/>
          <w:i/>
          <w:iCs/>
          <w:sz w:val="22"/>
          <w:szCs w:val="22"/>
        </w:rPr>
        <w:t xml:space="preserve">. La vinculación directa con las actividades que realiza la autoridad en el procedimiento de verificación del cumplimiento de las leyes, y </w:t>
      </w:r>
    </w:p>
    <w:p w14:paraId="5BA7EE9A" w14:textId="77777777" w:rsidR="008B41AE" w:rsidRPr="00BD78C2" w:rsidRDefault="00900DB0">
      <w:pPr>
        <w:spacing w:before="120" w:after="120"/>
        <w:ind w:left="851" w:right="902"/>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IV</w:t>
      </w:r>
      <w:r w:rsidRPr="00BD78C2">
        <w:rPr>
          <w:rFonts w:ascii="Palatino Linotype" w:eastAsia="Palatino Linotype" w:hAnsi="Palatino Linotype" w:cs="Palatino Linotype"/>
          <w:i/>
          <w:iCs/>
          <w:sz w:val="22"/>
          <w:szCs w:val="22"/>
        </w:rPr>
        <w:t>. Que la difusión de la información impida u obstaculice las actividades de inspección, supervisión o vigilancia que realicen las autoridades en el procedimiento de verificación del cumplimiento de las leyes.”</w:t>
      </w:r>
    </w:p>
    <w:p w14:paraId="5479788A"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este tenor, de ser el caso de que las auditorías que lleva a cabo el Órgano Interno de Control se encuentre en trámite, el Sujeto Obligado deberá emitir el acuerdo de clasificación como información reservada. </w:t>
      </w:r>
    </w:p>
    <w:p w14:paraId="531223DE"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Asimismo, de existir observaciones que se encuentren pendientes de solventar a la fecha de la solicitud o bien aquellas de las que derive algún procedimiento administrativo en trámite, el Sujeto Obligado deberá emitir el Acuerdo del Comité de Transparencia, donde clasifique de manera fundada y motivada estos soportes documentales, ello en términos de los artículos 49, fracciones II y VIII, 140 fracción VIII, así como 141 de la Ley de Transparencia y Acceso a la Información Pública del Estado de México y Municipios.</w:t>
      </w:r>
    </w:p>
    <w:p w14:paraId="79F6DE6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Quinto. Versión Pública. </w:t>
      </w:r>
      <w:r w:rsidRPr="00BD78C2">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0EBEFEB2"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503DAE15"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694C370A"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2BE86B8D" w14:textId="77777777" w:rsidR="008B41AE" w:rsidRPr="00BD78C2" w:rsidRDefault="00900DB0">
      <w:pPr>
        <w:spacing w:line="360" w:lineRule="auto"/>
        <w:ind w:right="50"/>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0E72CFCD" w14:textId="77777777" w:rsidR="008B41AE" w:rsidRPr="00BD78C2" w:rsidRDefault="008B41AE">
      <w:pPr>
        <w:spacing w:line="360" w:lineRule="auto"/>
        <w:ind w:right="50"/>
        <w:jc w:val="both"/>
        <w:rPr>
          <w:rFonts w:ascii="Palatino Linotype" w:eastAsia="Palatino Linotype" w:hAnsi="Palatino Linotype" w:cs="Palatino Linotype"/>
          <w:sz w:val="22"/>
          <w:szCs w:val="22"/>
        </w:rPr>
      </w:pPr>
    </w:p>
    <w:p w14:paraId="659A9B3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Artículo 3.</w:t>
      </w:r>
      <w:r w:rsidRPr="00BD78C2">
        <w:rPr>
          <w:rFonts w:ascii="Palatino Linotype" w:eastAsia="Palatino Linotype" w:hAnsi="Palatino Linotype" w:cs="Palatino Linotype"/>
          <w:i/>
          <w:iCs/>
          <w:sz w:val="22"/>
          <w:szCs w:val="22"/>
        </w:rPr>
        <w:t xml:space="preserve"> Para los efectos de la presente Ley se entenderá por:</w:t>
      </w:r>
    </w:p>
    <w:p w14:paraId="7740E86A"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1021122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IX. Datos personales: La información concerniente a una persona, identificada o identificable según lo dispuesto por la Ley de Protección de Datos Personales del Estado de México; </w:t>
      </w:r>
    </w:p>
    <w:p w14:paraId="5FC18448"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XX. Información clasificada: Aquella considerada por la presente Ley como reservada o confidencial;</w:t>
      </w:r>
    </w:p>
    <w:p w14:paraId="1DFCA78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0B2E88B"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XLV. Versión pública: Documento en el que se elimine, suprime o borra la información clasificada como reservada o confidencial para permitir su acceso.</w:t>
      </w:r>
    </w:p>
    <w:p w14:paraId="6A8FC674"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28BD458E"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Artículo 91.</w:t>
      </w:r>
      <w:r w:rsidRPr="00BD78C2">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14:paraId="00222FBB"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Artículo 132.</w:t>
      </w:r>
      <w:r w:rsidRPr="00BD78C2">
        <w:rPr>
          <w:rFonts w:ascii="Palatino Linotype" w:eastAsia="Palatino Linotype" w:hAnsi="Palatino Linotype" w:cs="Palatino Linotype"/>
          <w:i/>
          <w:iCs/>
          <w:sz w:val="22"/>
          <w:szCs w:val="22"/>
        </w:rPr>
        <w:t xml:space="preserve"> La clasificación de la información se llevará a cabo en el momento en que:</w:t>
      </w:r>
    </w:p>
    <w:p w14:paraId="3A8DD5ED" w14:textId="77777777" w:rsidR="008B41AE" w:rsidRPr="00BD78C2" w:rsidRDefault="00900DB0">
      <w:pPr>
        <w:tabs>
          <w:tab w:val="left" w:pos="1134"/>
        </w:tabs>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Se reciba una solicitud de acceso a la información;</w:t>
      </w:r>
    </w:p>
    <w:p w14:paraId="6E54B964" w14:textId="77777777" w:rsidR="008B41AE" w:rsidRPr="00BD78C2" w:rsidRDefault="00900DB0">
      <w:pPr>
        <w:tabs>
          <w:tab w:val="left" w:pos="1134"/>
        </w:tabs>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Se determine mediante resolución de autoridad competente; o</w:t>
      </w:r>
    </w:p>
    <w:p w14:paraId="435926D1" w14:textId="77777777" w:rsidR="008B41AE" w:rsidRPr="00BD78C2" w:rsidRDefault="00900DB0">
      <w:pPr>
        <w:tabs>
          <w:tab w:val="left" w:pos="1134"/>
        </w:tabs>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Se generen versiones públicas para dar cumplimiento a las obligaciones de transparencia previstas en esta Ley.</w:t>
      </w:r>
    </w:p>
    <w:p w14:paraId="4E32F29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1390B24B"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Artículo 143</w:t>
      </w:r>
      <w:r w:rsidRPr="00BD78C2">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14:paraId="3114A64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14:paraId="003B28F8"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789F5049"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La que presenten los particulares a los sujetos obligados, de conformidad con lo dispuesto por las leyes o los tratados internacionales.</w:t>
      </w:r>
    </w:p>
    <w:p w14:paraId="12D8087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04C8ABF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179350A" w14:textId="77777777" w:rsidR="008B41AE" w:rsidRPr="00BD78C2" w:rsidRDefault="008B41AE">
      <w:pPr>
        <w:ind w:left="567" w:right="616"/>
        <w:jc w:val="both"/>
        <w:rPr>
          <w:rFonts w:ascii="Palatino Linotype" w:eastAsia="Palatino Linotype" w:hAnsi="Palatino Linotype" w:cs="Palatino Linotype"/>
          <w:i/>
          <w:iCs/>
          <w:sz w:val="22"/>
          <w:szCs w:val="22"/>
        </w:rPr>
      </w:pPr>
    </w:p>
    <w:p w14:paraId="41F4771B"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A8A22AB"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0060EE7D"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21A9E843"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0E40045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 “</w:t>
      </w:r>
      <w:r w:rsidRPr="00BD78C2">
        <w:rPr>
          <w:rFonts w:ascii="Palatino Linotype" w:eastAsia="Palatino Linotype" w:hAnsi="Palatino Linotype" w:cs="Palatino Linotype"/>
          <w:b/>
          <w:bCs/>
          <w:i/>
          <w:iCs/>
          <w:sz w:val="22"/>
          <w:szCs w:val="22"/>
        </w:rPr>
        <w:t>Quincuagésimo</w:t>
      </w:r>
      <w:r w:rsidRPr="00BD78C2">
        <w:rPr>
          <w:rFonts w:ascii="Palatino Linotype" w:eastAsia="Palatino Linotype" w:hAnsi="Palatino Linotype" w:cs="Palatino Linotype"/>
          <w:i/>
          <w:iCs/>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8F28592"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Quincuagésimo primero.</w:t>
      </w:r>
      <w:r w:rsidRPr="00BD78C2">
        <w:rPr>
          <w:rFonts w:ascii="Palatino Linotype" w:eastAsia="Palatino Linotype" w:hAnsi="Palatino Linotype" w:cs="Palatino Linotype"/>
          <w:i/>
          <w:iCs/>
          <w:sz w:val="22"/>
          <w:szCs w:val="22"/>
        </w:rPr>
        <w:t xml:space="preserve"> Toda acta del Comité de Transparencia deberá contener: </w:t>
      </w:r>
    </w:p>
    <w:p w14:paraId="1AFB0C55"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 El número de sesión y fecha; </w:t>
      </w:r>
    </w:p>
    <w:p w14:paraId="2C14C7A3"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II. El nombre del área que solicitó la clasificación de información; </w:t>
      </w:r>
    </w:p>
    <w:p w14:paraId="343B78E1"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III. La fundamentación legal y motivación correspondiente; </w:t>
      </w:r>
    </w:p>
    <w:p w14:paraId="68992036"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IV. La resolución o resoluciones aprobadas; y </w:t>
      </w:r>
    </w:p>
    <w:p w14:paraId="5575949A"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V. La rúbrica o firma digital de cada integrante del Comité de Transparencia. </w:t>
      </w:r>
    </w:p>
    <w:p w14:paraId="1AD2C1BF"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225F8226"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Los motivos y razonamientos que sustenten la confirmación o modificación de la prueba de daño;</w:t>
      </w:r>
    </w:p>
    <w:p w14:paraId="4510A367"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II. Descripción de las partes o secciones reservadas, en caso de clasificación parcial; </w:t>
      </w:r>
    </w:p>
    <w:p w14:paraId="2A5977B8"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III. El periodo por el que mantendrá su clasificación y fecha de expiración; y </w:t>
      </w:r>
    </w:p>
    <w:p w14:paraId="45528464"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14:paraId="09ADD32A"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6C8A95C5"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1BA0AA85"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Quincuagésimo segundo.</w:t>
      </w:r>
      <w:r w:rsidRPr="00BD78C2">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DBA5ED8"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71D57CF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14:paraId="2627797B"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14:paraId="536C194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III. Señalar las personas o instancias autorizadas a acceder a la información clasificada.</w:t>
      </w:r>
    </w:p>
    <w:p w14:paraId="7511CDF1"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47169601"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48857D27" w14:textId="77777777" w:rsidR="008B41AE" w:rsidRPr="00BD78C2" w:rsidRDefault="00900DB0">
      <w:pPr>
        <w:spacing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441F2460" w14:textId="77777777" w:rsidR="008B41AE" w:rsidRPr="00BD78C2" w:rsidRDefault="008B41AE">
      <w:pPr>
        <w:spacing w:line="360" w:lineRule="auto"/>
        <w:jc w:val="both"/>
        <w:rPr>
          <w:rFonts w:ascii="Palatino Linotype" w:eastAsia="Palatino Linotype" w:hAnsi="Palatino Linotype" w:cs="Palatino Linotype"/>
          <w:sz w:val="22"/>
          <w:szCs w:val="22"/>
        </w:rPr>
      </w:pPr>
    </w:p>
    <w:p w14:paraId="79C33D3B" w14:textId="77777777" w:rsidR="008B41AE" w:rsidRPr="00BD78C2" w:rsidRDefault="00900D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r w:rsidRPr="00BD78C2">
        <w:rPr>
          <w:rFonts w:ascii="Palatino Linotype" w:eastAsia="Palatino Linotype" w:hAnsi="Palatino Linotype" w:cs="Palatino Linotype"/>
          <w:b/>
          <w:bCs/>
          <w:i/>
          <w:iCs/>
          <w:sz w:val="22"/>
          <w:szCs w:val="22"/>
        </w:rPr>
        <w:t>Quincuagésimo cuarto.</w:t>
      </w:r>
      <w:r w:rsidRPr="00BD78C2">
        <w:rPr>
          <w:rFonts w:ascii="Palatino Linotype" w:eastAsia="Palatino Linotype" w:hAnsi="Palatino Linotype" w:cs="Palatino Linotype"/>
          <w:i/>
          <w:iCs/>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5210EFC7"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Quincuagésimo quinto.</w:t>
      </w:r>
      <w:r w:rsidRPr="00BD78C2">
        <w:rPr>
          <w:rFonts w:ascii="Palatino Linotype" w:eastAsia="Palatino Linotype" w:hAnsi="Palatino Linotype" w:cs="Palatino Linotype"/>
          <w:i/>
          <w:iCs/>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6ECB7C2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w:t>
      </w:r>
    </w:p>
    <w:p w14:paraId="0F661233"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b/>
          <w:bCs/>
          <w:i/>
          <w:iCs/>
          <w:sz w:val="22"/>
          <w:szCs w:val="22"/>
        </w:rPr>
        <w:t>Quincuagésimo séptimo.</w:t>
      </w:r>
      <w:r w:rsidRPr="00BD78C2">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59D4ED17"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14:paraId="58987EE5"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II. El nombre de los integrantes de los sujetos obligados en los documentos, y sus firmas autógrafas o digitales, cuando sean utilizados en el ejercicio de las facultades conferidas para el desempeño del servicio público, y</w:t>
      </w:r>
    </w:p>
    <w:p w14:paraId="6D48F47A"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2D7CBA2"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4BABBB20" w14:textId="77777777" w:rsidR="008B41AE" w:rsidRPr="00BD78C2" w:rsidRDefault="00900DB0">
      <w:pPr>
        <w:ind w:left="567" w:right="61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16369A16" w14:textId="77777777" w:rsidR="008B41AE" w:rsidRPr="00BD78C2" w:rsidRDefault="008B41A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7C20134"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78B4FF1B" w14:textId="77777777" w:rsidR="008B41AE" w:rsidRPr="00BD78C2" w:rsidRDefault="00900DB0">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R E S U E L V E:</w:t>
      </w:r>
    </w:p>
    <w:p w14:paraId="52AB9922" w14:textId="77777777" w:rsidR="008B41AE" w:rsidRPr="00BD78C2" w:rsidRDefault="00900DB0">
      <w:pPr>
        <w:spacing w:before="240" w:after="240" w:line="360" w:lineRule="auto"/>
        <w:jc w:val="both"/>
        <w:rPr>
          <w:rFonts w:ascii="Palatino Linotype" w:eastAsia="Palatino Linotype" w:hAnsi="Palatino Linotype" w:cs="Palatino Linotype"/>
          <w:b/>
          <w:bCs/>
          <w:sz w:val="22"/>
          <w:szCs w:val="22"/>
        </w:rPr>
      </w:pPr>
      <w:bookmarkStart w:id="5" w:name="_heading=h.8bg43gohqof1" w:colFirst="0" w:colLast="0"/>
      <w:bookmarkEnd w:id="5"/>
      <w:r w:rsidRPr="00BD78C2">
        <w:rPr>
          <w:rFonts w:ascii="Palatino Linotype" w:eastAsia="Palatino Linotype" w:hAnsi="Palatino Linotype" w:cs="Palatino Linotype"/>
          <w:b/>
          <w:bCs/>
          <w:sz w:val="22"/>
          <w:szCs w:val="22"/>
        </w:rPr>
        <w:t xml:space="preserve">Primero. </w:t>
      </w:r>
      <w:r w:rsidRPr="00BD78C2">
        <w:rPr>
          <w:rFonts w:ascii="Palatino Linotype" w:eastAsia="Palatino Linotype" w:hAnsi="Palatino Linotype" w:cs="Palatino Linotype"/>
          <w:sz w:val="22"/>
          <w:szCs w:val="22"/>
        </w:rPr>
        <w:t>Resultan</w:t>
      </w:r>
      <w:r w:rsidRPr="00BD78C2">
        <w:rPr>
          <w:rFonts w:ascii="Palatino Linotype" w:eastAsia="Palatino Linotype" w:hAnsi="Palatino Linotype" w:cs="Palatino Linotype"/>
          <w:b/>
          <w:bCs/>
          <w:sz w:val="22"/>
          <w:szCs w:val="22"/>
        </w:rPr>
        <w:t xml:space="preserve"> fundados </w:t>
      </w:r>
      <w:r w:rsidRPr="00BD78C2">
        <w:rPr>
          <w:rFonts w:ascii="Palatino Linotype" w:eastAsia="Palatino Linotype" w:hAnsi="Palatino Linotype" w:cs="Palatino Linotype"/>
          <w:sz w:val="22"/>
          <w:szCs w:val="22"/>
        </w:rPr>
        <w:t xml:space="preserve">los motivos de inconformidad hechos valer por </w:t>
      </w:r>
      <w:r w:rsidRPr="00BD78C2">
        <w:rPr>
          <w:rFonts w:ascii="Palatino Linotype" w:eastAsia="Palatino Linotype" w:hAnsi="Palatino Linotype" w:cs="Palatino Linotype"/>
          <w:b/>
          <w:bCs/>
          <w:sz w:val="22"/>
          <w:szCs w:val="22"/>
        </w:rPr>
        <w:t>la parte Recurrente</w:t>
      </w:r>
      <w:r w:rsidRPr="00BD78C2">
        <w:rPr>
          <w:rFonts w:ascii="Palatino Linotype" w:eastAsia="Palatino Linotype" w:hAnsi="Palatino Linotype" w:cs="Palatino Linotype"/>
          <w:sz w:val="22"/>
          <w:szCs w:val="22"/>
        </w:rPr>
        <w:t xml:space="preserve"> en los Recursos de Revisión</w:t>
      </w:r>
      <w:r w:rsidRPr="00BD78C2">
        <w:rPr>
          <w:rFonts w:ascii="Palatino Linotype" w:eastAsia="Palatino Linotype" w:hAnsi="Palatino Linotype" w:cs="Palatino Linotype"/>
          <w:b/>
          <w:bCs/>
          <w:sz w:val="22"/>
          <w:szCs w:val="22"/>
        </w:rPr>
        <w:t xml:space="preserve"> 08669/INFOEM/IP/RR/2025, 08670/INFOEM/IP/RR/2025, 08671/INFOEM/IP/RR/2025 y 08672/INFOEM/IP/RR/2025 </w:t>
      </w:r>
      <w:r w:rsidRPr="00BD78C2">
        <w:rPr>
          <w:rFonts w:ascii="Palatino Linotype" w:eastAsia="Palatino Linotype" w:hAnsi="Palatino Linotype" w:cs="Palatino Linotype"/>
          <w:sz w:val="22"/>
          <w:szCs w:val="22"/>
        </w:rPr>
        <w:t>por lo que</w:t>
      </w:r>
      <w:r w:rsidRPr="00BD78C2">
        <w:rPr>
          <w:rFonts w:ascii="Palatino Linotype" w:eastAsia="Palatino Linotype" w:hAnsi="Palatino Linotype" w:cs="Palatino Linotype"/>
          <w:b/>
          <w:bCs/>
          <w:sz w:val="22"/>
          <w:szCs w:val="22"/>
        </w:rPr>
        <w:t xml:space="preserve">, en términos del Considerando Cuarto </w:t>
      </w:r>
      <w:r w:rsidRPr="00BD78C2">
        <w:rPr>
          <w:rFonts w:ascii="Palatino Linotype" w:eastAsia="Palatino Linotype" w:hAnsi="Palatino Linotype" w:cs="Palatino Linotype"/>
          <w:sz w:val="22"/>
          <w:szCs w:val="22"/>
        </w:rPr>
        <w:t>de la presente resolución</w:t>
      </w:r>
      <w:r w:rsidRPr="00BD78C2">
        <w:rPr>
          <w:rFonts w:ascii="Palatino Linotype" w:eastAsia="Palatino Linotype" w:hAnsi="Palatino Linotype" w:cs="Palatino Linotype"/>
          <w:b/>
          <w:bCs/>
          <w:sz w:val="22"/>
          <w:szCs w:val="22"/>
        </w:rPr>
        <w:t>, se REVOCAN l</w:t>
      </w:r>
      <w:r w:rsidRPr="00BD78C2">
        <w:rPr>
          <w:rFonts w:ascii="Palatino Linotype" w:eastAsia="Palatino Linotype" w:hAnsi="Palatino Linotype" w:cs="Palatino Linotype"/>
          <w:sz w:val="22"/>
          <w:szCs w:val="22"/>
        </w:rPr>
        <w:t>as respuestas del</w:t>
      </w:r>
      <w:r w:rsidRPr="00BD78C2">
        <w:rPr>
          <w:rFonts w:ascii="Palatino Linotype" w:eastAsia="Palatino Linotype" w:hAnsi="Palatino Linotype" w:cs="Palatino Linotype"/>
          <w:b/>
          <w:bCs/>
          <w:sz w:val="22"/>
          <w:szCs w:val="22"/>
        </w:rPr>
        <w:t xml:space="preserve"> Sujeto Obligado.</w:t>
      </w:r>
    </w:p>
    <w:p w14:paraId="1C1E7D9A"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bookmarkStart w:id="6" w:name="_heading=h.j3ppyxwlb1s2" w:colFirst="0" w:colLast="0"/>
      <w:bookmarkEnd w:id="6"/>
      <w:r w:rsidRPr="00BD78C2">
        <w:rPr>
          <w:rFonts w:ascii="Palatino Linotype" w:eastAsia="Palatino Linotype" w:hAnsi="Palatino Linotype" w:cs="Palatino Linotype"/>
          <w:b/>
          <w:bCs/>
          <w:sz w:val="22"/>
          <w:szCs w:val="22"/>
        </w:rPr>
        <w:t xml:space="preserve">Segundo. Se Ordena al Sujeto Obligado </w:t>
      </w:r>
      <w:r w:rsidRPr="00BD78C2">
        <w:rPr>
          <w:rFonts w:ascii="Palatino Linotype" w:eastAsia="Palatino Linotype" w:hAnsi="Palatino Linotype" w:cs="Palatino Linotype"/>
          <w:sz w:val="22"/>
          <w:szCs w:val="22"/>
        </w:rPr>
        <w:t>que en términos de los</w:t>
      </w:r>
      <w:r w:rsidRPr="00BD78C2">
        <w:rPr>
          <w:rFonts w:ascii="Palatino Linotype" w:eastAsia="Palatino Linotype" w:hAnsi="Palatino Linotype" w:cs="Palatino Linotype"/>
          <w:b/>
          <w:bCs/>
          <w:sz w:val="22"/>
          <w:szCs w:val="22"/>
        </w:rPr>
        <w:t xml:space="preserve"> Considerandos Cuarto y Quinta </w:t>
      </w:r>
      <w:r w:rsidRPr="00BD78C2">
        <w:rPr>
          <w:rFonts w:ascii="Palatino Linotype" w:eastAsia="Palatino Linotype" w:hAnsi="Palatino Linotype" w:cs="Palatino Linotype"/>
          <w:sz w:val="22"/>
          <w:szCs w:val="22"/>
        </w:rPr>
        <w:t xml:space="preserve">de esta resolución, haga entrega a </w:t>
      </w:r>
      <w:r w:rsidRPr="00BD78C2">
        <w:rPr>
          <w:rFonts w:ascii="Palatino Linotype" w:eastAsia="Palatino Linotype" w:hAnsi="Palatino Linotype" w:cs="Palatino Linotype"/>
          <w:b/>
          <w:bCs/>
          <w:sz w:val="22"/>
          <w:szCs w:val="22"/>
        </w:rPr>
        <w:t>la parte Recurrente a través del SAIMEX, en versión pública,</w:t>
      </w:r>
      <w:r w:rsidRPr="00BD78C2">
        <w:rPr>
          <w:rFonts w:ascii="Palatino Linotype" w:eastAsia="Palatino Linotype" w:hAnsi="Palatino Linotype" w:cs="Palatino Linotype"/>
          <w:sz w:val="22"/>
          <w:szCs w:val="22"/>
        </w:rPr>
        <w:t xml:space="preserve"> los documentos donde conste la siguiente información: </w:t>
      </w:r>
    </w:p>
    <w:p w14:paraId="58C54506" w14:textId="77777777" w:rsidR="008B41AE" w:rsidRPr="00BD78C2" w:rsidRDefault="00900DB0">
      <w:pPr>
        <w:numPr>
          <w:ilvl w:val="0"/>
          <w:numId w:val="7"/>
        </w:numPr>
        <w:pBdr>
          <w:top w:val="nil"/>
          <w:left w:val="nil"/>
          <w:bottom w:val="nil"/>
          <w:right w:val="nil"/>
          <w:between w:val="nil"/>
        </w:pBdr>
        <w:spacing w:before="240" w:line="360" w:lineRule="auto"/>
        <w:ind w:left="426"/>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Expedientes de auditorías concluidos, llevadas a cabo por el Órgano Interno de Control del uno de enero de dos mil veinticuatro al cuatro de julio de dos mil veinticinco;</w:t>
      </w:r>
    </w:p>
    <w:p w14:paraId="22F5ED58" w14:textId="77777777" w:rsidR="008B41AE" w:rsidRPr="00BD78C2" w:rsidRDefault="00900DB0">
      <w:pPr>
        <w:numPr>
          <w:ilvl w:val="0"/>
          <w:numId w:val="7"/>
        </w:numPr>
        <w:pBdr>
          <w:top w:val="nil"/>
          <w:left w:val="nil"/>
          <w:bottom w:val="nil"/>
          <w:right w:val="nil"/>
          <w:between w:val="nil"/>
        </w:pBdr>
        <w:spacing w:line="360" w:lineRule="auto"/>
        <w:ind w:left="426"/>
        <w:jc w:val="both"/>
        <w:rPr>
          <w:rFonts w:ascii="Palatino Linotype" w:eastAsia="Palatino Linotype" w:hAnsi="Palatino Linotype" w:cs="Palatino Linotype"/>
          <w:b/>
          <w:bCs/>
          <w:sz w:val="22"/>
          <w:szCs w:val="22"/>
        </w:rPr>
      </w:pPr>
      <w:r w:rsidRPr="00BD78C2">
        <w:rPr>
          <w:rFonts w:ascii="Palatino Linotype" w:eastAsia="Palatino Linotype" w:hAnsi="Palatino Linotype" w:cs="Palatino Linotype"/>
          <w:b/>
          <w:bCs/>
          <w:sz w:val="22"/>
          <w:szCs w:val="22"/>
        </w:rPr>
        <w:t>Expedientes de investigación y de procedimientos de responsabilidades administrativas no graves y graves concluidos, del uno de enero de dos mil veinticuatro al cuatro de julio de dos mil veinticinco;</w:t>
      </w:r>
    </w:p>
    <w:p w14:paraId="4F9F0D9A" w14:textId="77777777" w:rsidR="008B41AE" w:rsidRPr="00BD78C2" w:rsidRDefault="008B41AE">
      <w:pPr>
        <w:pBdr>
          <w:top w:val="nil"/>
          <w:left w:val="nil"/>
          <w:bottom w:val="nil"/>
          <w:right w:val="nil"/>
          <w:between w:val="nil"/>
        </w:pBdr>
        <w:spacing w:line="360" w:lineRule="auto"/>
        <w:ind w:left="426"/>
        <w:jc w:val="both"/>
        <w:rPr>
          <w:rFonts w:ascii="Palatino Linotype" w:eastAsia="Palatino Linotype" w:hAnsi="Palatino Linotype" w:cs="Palatino Linotype"/>
          <w:b/>
          <w:bCs/>
          <w:sz w:val="22"/>
          <w:szCs w:val="22"/>
        </w:rPr>
      </w:pPr>
    </w:p>
    <w:p w14:paraId="23D9B579" w14:textId="77777777" w:rsidR="008B41AE" w:rsidRPr="00BD78C2" w:rsidRDefault="00900DB0">
      <w:pPr>
        <w:pBdr>
          <w:top w:val="nil"/>
          <w:left w:val="nil"/>
          <w:bottom w:val="nil"/>
          <w:right w:val="nil"/>
          <w:between w:val="nil"/>
        </w:pBdr>
        <w:spacing w:line="360" w:lineRule="auto"/>
        <w:ind w:left="42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 xml:space="preserve">Deberá emitir el Acuerdo del Comité de Transparencia en términos de la Ley de Transparencia y Acceso a la Información Pública del Estado de México y Municipios, en el que funde y motive las razones sobre los datos que se supriman o eliminen y se ponga a disposición de </w:t>
      </w:r>
      <w:r w:rsidRPr="00BD78C2">
        <w:rPr>
          <w:rFonts w:ascii="Palatino Linotype" w:eastAsia="Palatino Linotype" w:hAnsi="Palatino Linotype" w:cs="Palatino Linotype"/>
          <w:b/>
          <w:bCs/>
          <w:i/>
          <w:iCs/>
          <w:sz w:val="22"/>
          <w:szCs w:val="22"/>
        </w:rPr>
        <w:t>la parte</w:t>
      </w:r>
      <w:r w:rsidRPr="00BD78C2">
        <w:rPr>
          <w:rFonts w:ascii="Palatino Linotype" w:eastAsia="Palatino Linotype" w:hAnsi="Palatino Linotype" w:cs="Palatino Linotype"/>
          <w:i/>
          <w:iCs/>
          <w:sz w:val="22"/>
          <w:szCs w:val="22"/>
        </w:rPr>
        <w:t xml:space="preserve"> </w:t>
      </w:r>
      <w:r w:rsidRPr="00BD78C2">
        <w:rPr>
          <w:rFonts w:ascii="Palatino Linotype" w:eastAsia="Palatino Linotype" w:hAnsi="Palatino Linotype" w:cs="Palatino Linotype"/>
          <w:b/>
          <w:bCs/>
          <w:i/>
          <w:iCs/>
          <w:sz w:val="22"/>
          <w:szCs w:val="22"/>
        </w:rPr>
        <w:t>Recurrente</w:t>
      </w:r>
      <w:r w:rsidRPr="00BD78C2">
        <w:rPr>
          <w:rFonts w:ascii="Palatino Linotype" w:eastAsia="Palatino Linotype" w:hAnsi="Palatino Linotype" w:cs="Palatino Linotype"/>
          <w:i/>
          <w:iCs/>
          <w:sz w:val="22"/>
          <w:szCs w:val="22"/>
        </w:rPr>
        <w:t>.</w:t>
      </w:r>
    </w:p>
    <w:p w14:paraId="7213A557" w14:textId="77777777" w:rsidR="008B41AE" w:rsidRPr="00BD78C2" w:rsidRDefault="008B41AE">
      <w:pPr>
        <w:pBdr>
          <w:top w:val="nil"/>
          <w:left w:val="nil"/>
          <w:bottom w:val="nil"/>
          <w:right w:val="nil"/>
          <w:between w:val="nil"/>
        </w:pBdr>
        <w:spacing w:line="360" w:lineRule="auto"/>
        <w:ind w:left="426"/>
        <w:jc w:val="both"/>
        <w:rPr>
          <w:rFonts w:ascii="Palatino Linotype" w:eastAsia="Palatino Linotype" w:hAnsi="Palatino Linotype" w:cs="Palatino Linotype"/>
          <w:i/>
          <w:iCs/>
          <w:sz w:val="22"/>
          <w:szCs w:val="22"/>
        </w:rPr>
      </w:pPr>
    </w:p>
    <w:p w14:paraId="76BAF842" w14:textId="77777777" w:rsidR="008B41AE" w:rsidRPr="00BD78C2" w:rsidRDefault="00900DB0">
      <w:pPr>
        <w:pBdr>
          <w:top w:val="nil"/>
          <w:left w:val="nil"/>
          <w:bottom w:val="nil"/>
          <w:right w:val="nil"/>
          <w:between w:val="nil"/>
        </w:pBdr>
        <w:spacing w:after="240" w:line="360" w:lineRule="auto"/>
        <w:ind w:left="426"/>
        <w:jc w:val="both"/>
        <w:rPr>
          <w:rFonts w:ascii="Palatino Linotype" w:eastAsia="Palatino Linotype" w:hAnsi="Palatino Linotype" w:cs="Palatino Linotype"/>
          <w:i/>
          <w:iCs/>
          <w:sz w:val="22"/>
          <w:szCs w:val="22"/>
        </w:rPr>
      </w:pPr>
      <w:r w:rsidRPr="00BD78C2">
        <w:rPr>
          <w:rFonts w:ascii="Palatino Linotype" w:eastAsia="Palatino Linotype" w:hAnsi="Palatino Linotype" w:cs="Palatino Linotype"/>
          <w:i/>
          <w:iCs/>
          <w:sz w:val="22"/>
          <w:szCs w:val="22"/>
        </w:rPr>
        <w:t>De ser el caso de que se cuente con expedientes de investigación y de responsabilidades  administrativas en trámite por faltas graves o no graves, así como auditorías en trámite, deberá entregar el acta del Comité de Transparencia en el que se clasifique como información reservada, los expedientes, de conformidad con los artículos 128, 129, 135 y 140, de la Ley de Transparencia y Acceso a la Información Pública del Estado de México y Municipios.</w:t>
      </w:r>
    </w:p>
    <w:p w14:paraId="7DD2ED57"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Tercero.  Notifíquese vía SAIMEX, </w:t>
      </w:r>
      <w:r w:rsidRPr="00BD78C2">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FE81C11" w14:textId="77777777" w:rsidR="008B41AE" w:rsidRPr="00BD78C2" w:rsidRDefault="00900DB0">
      <w:pPr>
        <w:spacing w:before="240" w:after="240" w:line="360" w:lineRule="auto"/>
        <w:jc w:val="both"/>
        <w:rPr>
          <w:rFonts w:ascii="Palatino Linotype" w:eastAsia="Palatino Linotype" w:hAnsi="Palatino Linotype" w:cs="Palatino Linotype"/>
          <w:sz w:val="22"/>
          <w:szCs w:val="22"/>
        </w:rPr>
      </w:pPr>
      <w:r w:rsidRPr="00BD78C2">
        <w:rPr>
          <w:rFonts w:ascii="Palatino Linotype" w:eastAsia="Palatino Linotype" w:hAnsi="Palatino Linotype" w:cs="Palatino Linotype"/>
          <w:b/>
          <w:bCs/>
          <w:sz w:val="22"/>
          <w:szCs w:val="22"/>
        </w:rPr>
        <w:t xml:space="preserve">Cuarto. </w:t>
      </w:r>
      <w:r w:rsidRPr="00BD78C2">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BD78C2">
        <w:rPr>
          <w:rFonts w:ascii="Palatino Linotype" w:eastAsia="Palatino Linotype" w:hAnsi="Palatino Linotype" w:cs="Palatino Linotype"/>
          <w:b/>
          <w:bCs/>
          <w:sz w:val="22"/>
          <w:szCs w:val="22"/>
        </w:rPr>
        <w:t>Sujeto Obligado</w:t>
      </w:r>
      <w:r w:rsidRPr="00BD78C2">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26897C96" w14:textId="77777777" w:rsidR="008B41AE" w:rsidRPr="00BD78C2" w:rsidRDefault="00900DB0">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BD78C2">
        <w:rPr>
          <w:rFonts w:ascii="Palatino Linotype" w:eastAsia="Palatino Linotype" w:hAnsi="Palatino Linotype" w:cs="Palatino Linotype"/>
          <w:b/>
          <w:bCs/>
          <w:sz w:val="22"/>
          <w:szCs w:val="22"/>
        </w:rPr>
        <w:t xml:space="preserve">Quinto. Notifíquese vía SAIMEX, </w:t>
      </w:r>
      <w:r w:rsidRPr="00BD78C2">
        <w:rPr>
          <w:rFonts w:ascii="Palatino Linotype" w:eastAsia="Palatino Linotype" w:hAnsi="Palatino Linotype" w:cs="Palatino Linotype"/>
          <w:sz w:val="22"/>
          <w:szCs w:val="22"/>
        </w:rPr>
        <w:t>a</w:t>
      </w:r>
      <w:r w:rsidRPr="00BD78C2">
        <w:rPr>
          <w:rFonts w:ascii="Palatino Linotype" w:eastAsia="Palatino Linotype" w:hAnsi="Palatino Linotype" w:cs="Palatino Linotype"/>
          <w:b/>
          <w:bCs/>
          <w:sz w:val="22"/>
          <w:szCs w:val="22"/>
        </w:rPr>
        <w:t xml:space="preserve"> la parte Recurrente</w:t>
      </w:r>
      <w:r w:rsidRPr="00BD78C2">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37D5A1E" w14:textId="77777777" w:rsidR="008B41AE" w:rsidRPr="00BD78C2" w:rsidRDefault="008B41AE">
      <w:pPr>
        <w:spacing w:line="360" w:lineRule="auto"/>
        <w:jc w:val="both"/>
        <w:rPr>
          <w:rFonts w:ascii="Palatino Linotype" w:eastAsia="Palatino Linotype" w:hAnsi="Palatino Linotype" w:cs="Palatino Linotype"/>
          <w:b/>
          <w:bCs/>
          <w:sz w:val="22"/>
          <w:szCs w:val="22"/>
        </w:rPr>
      </w:pPr>
    </w:p>
    <w:p w14:paraId="7AF6D948" w14:textId="44107B2D" w:rsidR="008B41AE" w:rsidRPr="00BD78C2" w:rsidRDefault="00900DB0">
      <w:pPr>
        <w:spacing w:line="360" w:lineRule="auto"/>
        <w:ind w:right="-93"/>
        <w:jc w:val="both"/>
        <w:rPr>
          <w:rFonts w:ascii="Palatino Linotype" w:eastAsia="Palatino Linotype" w:hAnsi="Palatino Linotype" w:cs="Palatino Linotype"/>
          <w:sz w:val="22"/>
          <w:szCs w:val="22"/>
        </w:rPr>
      </w:pPr>
      <w:bookmarkStart w:id="8" w:name="_heading=h.jl0dlasot4f" w:colFirst="0" w:colLast="0"/>
      <w:bookmarkEnd w:id="8"/>
      <w:r w:rsidRPr="00BD78C2">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008C0657" w:rsidRPr="00BD78C2">
        <w:rPr>
          <w:rFonts w:ascii="Palatino Linotype" w:eastAsia="Palatino Linotype" w:hAnsi="Palatino Linotype" w:cs="Palatino Linotype"/>
          <w:sz w:val="22"/>
          <w:szCs w:val="22"/>
        </w:rPr>
        <w:t xml:space="preserve">EMITIENDO VOTO PARTICULAR, </w:t>
      </w:r>
      <w:r w:rsidRPr="00BD78C2">
        <w:rPr>
          <w:rFonts w:ascii="Palatino Linotype" w:eastAsia="Palatino Linotype" w:hAnsi="Palatino Linotype" w:cs="Palatino Linotype"/>
          <w:sz w:val="22"/>
          <w:szCs w:val="22"/>
        </w:rPr>
        <w:t>SHARON CRISTINA MORALES MARTÍNEZ, LUIS GUSTAVO PARRA NORIEGA</w:t>
      </w:r>
      <w:r w:rsidR="008C0657" w:rsidRPr="00BD78C2">
        <w:rPr>
          <w:rFonts w:ascii="Palatino Linotype" w:eastAsia="Palatino Linotype" w:hAnsi="Palatino Linotype" w:cs="Palatino Linotype"/>
          <w:sz w:val="22"/>
          <w:szCs w:val="22"/>
        </w:rPr>
        <w:t>, EMITIENDO VOTO PARTICULAR</w:t>
      </w:r>
      <w:r w:rsidRPr="00BD78C2">
        <w:rPr>
          <w:rFonts w:ascii="Palatino Linotype" w:eastAsia="Palatino Linotype" w:hAnsi="Palatino Linotype" w:cs="Palatino Linotype"/>
          <w:sz w:val="22"/>
          <w:szCs w:val="22"/>
        </w:rPr>
        <w:t xml:space="preserve"> Y GUADALUPE RAMÍREZ PEÑA; EN LA OCTAVA SESIÓN ORDINARIA CELEBRADA EL CINCO DE MARZO DE DOS MIL VEINTISÉIS, ANTE EL SECRETARIO TÉCNICO DEL PLENO ALEXIS TAPIA RAMÍREZ.</w:t>
      </w:r>
    </w:p>
    <w:p w14:paraId="6AFA9BAF"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2B338495"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72721347"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1D5A921E"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36A43E2C" w14:textId="77777777" w:rsidR="008B41AE" w:rsidRPr="00BD78C2" w:rsidRDefault="008B41AE">
      <w:pPr>
        <w:spacing w:line="360" w:lineRule="auto"/>
        <w:ind w:right="-93"/>
        <w:jc w:val="both"/>
        <w:rPr>
          <w:rFonts w:ascii="Palatino Linotype" w:eastAsia="Palatino Linotype" w:hAnsi="Palatino Linotype" w:cs="Palatino Linotype"/>
          <w:sz w:val="22"/>
          <w:szCs w:val="22"/>
        </w:rPr>
      </w:pPr>
    </w:p>
    <w:p w14:paraId="55F1FD71" w14:textId="794BBB4F" w:rsidR="008B41AE" w:rsidRPr="00BD78C2" w:rsidRDefault="008B41AE">
      <w:pPr>
        <w:spacing w:line="360" w:lineRule="auto"/>
        <w:ind w:right="49"/>
        <w:jc w:val="both"/>
        <w:rPr>
          <w:rFonts w:ascii="Palatino Linotype" w:eastAsia="Palatino Linotype" w:hAnsi="Palatino Linotype" w:cs="Palatino Linotype"/>
          <w:sz w:val="22"/>
          <w:szCs w:val="22"/>
        </w:rPr>
      </w:pPr>
    </w:p>
    <w:p w14:paraId="695DBD6F" w14:textId="4C392F5A" w:rsidR="008C0657" w:rsidRPr="00BD78C2" w:rsidRDefault="008C0657">
      <w:pPr>
        <w:spacing w:line="360" w:lineRule="auto"/>
        <w:ind w:right="49"/>
        <w:jc w:val="both"/>
        <w:rPr>
          <w:rFonts w:ascii="Palatino Linotype" w:eastAsia="Palatino Linotype" w:hAnsi="Palatino Linotype" w:cs="Palatino Linotype"/>
          <w:sz w:val="22"/>
          <w:szCs w:val="22"/>
        </w:rPr>
      </w:pPr>
    </w:p>
    <w:p w14:paraId="48DA7C57" w14:textId="00E0FDFC" w:rsidR="008C0657" w:rsidRPr="00BD78C2" w:rsidRDefault="008C0657">
      <w:pPr>
        <w:spacing w:line="360" w:lineRule="auto"/>
        <w:ind w:right="49"/>
        <w:jc w:val="both"/>
        <w:rPr>
          <w:rFonts w:ascii="Palatino Linotype" w:eastAsia="Palatino Linotype" w:hAnsi="Palatino Linotype" w:cs="Palatino Linotype"/>
          <w:sz w:val="22"/>
          <w:szCs w:val="22"/>
        </w:rPr>
      </w:pPr>
    </w:p>
    <w:p w14:paraId="527C60FF" w14:textId="08A1F62D" w:rsidR="008C0657" w:rsidRPr="00BD78C2" w:rsidRDefault="008C0657">
      <w:pPr>
        <w:spacing w:line="360" w:lineRule="auto"/>
        <w:ind w:right="49"/>
        <w:jc w:val="both"/>
        <w:rPr>
          <w:rFonts w:ascii="Palatino Linotype" w:eastAsia="Palatino Linotype" w:hAnsi="Palatino Linotype" w:cs="Palatino Linotype"/>
          <w:sz w:val="22"/>
          <w:szCs w:val="22"/>
        </w:rPr>
      </w:pPr>
    </w:p>
    <w:p w14:paraId="486DCBA1" w14:textId="3729AA91" w:rsidR="008C0657" w:rsidRPr="00BD78C2" w:rsidRDefault="008C0657">
      <w:pPr>
        <w:spacing w:line="360" w:lineRule="auto"/>
        <w:ind w:right="49"/>
        <w:jc w:val="both"/>
        <w:rPr>
          <w:rFonts w:ascii="Palatino Linotype" w:eastAsia="Palatino Linotype" w:hAnsi="Palatino Linotype" w:cs="Palatino Linotype"/>
          <w:sz w:val="22"/>
          <w:szCs w:val="22"/>
        </w:rPr>
      </w:pPr>
    </w:p>
    <w:p w14:paraId="548156AA" w14:textId="00E6975F" w:rsidR="008C0657" w:rsidRPr="00BD78C2" w:rsidRDefault="008C0657">
      <w:pPr>
        <w:spacing w:line="360" w:lineRule="auto"/>
        <w:ind w:right="49"/>
        <w:jc w:val="both"/>
        <w:rPr>
          <w:rFonts w:ascii="Palatino Linotype" w:eastAsia="Palatino Linotype" w:hAnsi="Palatino Linotype" w:cs="Palatino Linotype"/>
          <w:sz w:val="22"/>
          <w:szCs w:val="22"/>
        </w:rPr>
      </w:pPr>
    </w:p>
    <w:p w14:paraId="2949C24C" w14:textId="0DAFAC97" w:rsidR="008C0657" w:rsidRPr="00BD78C2" w:rsidRDefault="008C0657">
      <w:pPr>
        <w:spacing w:line="360" w:lineRule="auto"/>
        <w:ind w:right="49"/>
        <w:jc w:val="both"/>
        <w:rPr>
          <w:rFonts w:ascii="Palatino Linotype" w:eastAsia="Palatino Linotype" w:hAnsi="Palatino Linotype" w:cs="Palatino Linotype"/>
          <w:sz w:val="22"/>
          <w:szCs w:val="22"/>
        </w:rPr>
      </w:pPr>
    </w:p>
    <w:p w14:paraId="277CC6B4" w14:textId="78DFBF2A" w:rsidR="008C0657" w:rsidRPr="00BD78C2" w:rsidRDefault="008C0657">
      <w:pPr>
        <w:spacing w:line="360" w:lineRule="auto"/>
        <w:ind w:right="49"/>
        <w:jc w:val="both"/>
        <w:rPr>
          <w:rFonts w:ascii="Palatino Linotype" w:eastAsia="Palatino Linotype" w:hAnsi="Palatino Linotype" w:cs="Palatino Linotype"/>
          <w:sz w:val="22"/>
          <w:szCs w:val="22"/>
        </w:rPr>
      </w:pPr>
    </w:p>
    <w:p w14:paraId="3AB5B9AA" w14:textId="68A07351" w:rsidR="008C0657" w:rsidRPr="00BD78C2" w:rsidRDefault="008C0657">
      <w:pPr>
        <w:spacing w:line="360" w:lineRule="auto"/>
        <w:ind w:right="49"/>
        <w:jc w:val="both"/>
        <w:rPr>
          <w:rFonts w:ascii="Palatino Linotype" w:eastAsia="Palatino Linotype" w:hAnsi="Palatino Linotype" w:cs="Palatino Linotype"/>
          <w:sz w:val="22"/>
          <w:szCs w:val="22"/>
        </w:rPr>
      </w:pPr>
    </w:p>
    <w:p w14:paraId="6E74CBFB" w14:textId="11C2490F" w:rsidR="008C0657" w:rsidRPr="00BD78C2" w:rsidRDefault="008C0657">
      <w:pPr>
        <w:spacing w:line="360" w:lineRule="auto"/>
        <w:ind w:right="49"/>
        <w:jc w:val="both"/>
        <w:rPr>
          <w:rFonts w:ascii="Palatino Linotype" w:eastAsia="Palatino Linotype" w:hAnsi="Palatino Linotype" w:cs="Palatino Linotype"/>
          <w:sz w:val="22"/>
          <w:szCs w:val="22"/>
        </w:rPr>
      </w:pPr>
    </w:p>
    <w:p w14:paraId="65797513" w14:textId="7F8D55AE" w:rsidR="008C0657" w:rsidRPr="00BD78C2" w:rsidRDefault="008C0657">
      <w:pPr>
        <w:spacing w:line="360" w:lineRule="auto"/>
        <w:ind w:right="49"/>
        <w:jc w:val="both"/>
        <w:rPr>
          <w:rFonts w:ascii="Palatino Linotype" w:eastAsia="Palatino Linotype" w:hAnsi="Palatino Linotype" w:cs="Palatino Linotype"/>
          <w:sz w:val="22"/>
          <w:szCs w:val="22"/>
        </w:rPr>
      </w:pPr>
    </w:p>
    <w:p w14:paraId="6C1CF71C" w14:textId="2E40D39A" w:rsidR="008C0657" w:rsidRPr="00BD78C2" w:rsidRDefault="008C0657">
      <w:pPr>
        <w:spacing w:line="360" w:lineRule="auto"/>
        <w:ind w:right="49"/>
        <w:jc w:val="both"/>
        <w:rPr>
          <w:rFonts w:ascii="Palatino Linotype" w:eastAsia="Palatino Linotype" w:hAnsi="Palatino Linotype" w:cs="Palatino Linotype"/>
          <w:sz w:val="22"/>
          <w:szCs w:val="22"/>
        </w:rPr>
      </w:pPr>
    </w:p>
    <w:p w14:paraId="08027A1D" w14:textId="621362BB" w:rsidR="008C0657" w:rsidRPr="00BD78C2" w:rsidRDefault="008C0657">
      <w:pPr>
        <w:spacing w:line="360" w:lineRule="auto"/>
        <w:ind w:right="49"/>
        <w:jc w:val="both"/>
        <w:rPr>
          <w:rFonts w:ascii="Palatino Linotype" w:eastAsia="Palatino Linotype" w:hAnsi="Palatino Linotype" w:cs="Palatino Linotype"/>
          <w:sz w:val="22"/>
          <w:szCs w:val="22"/>
        </w:rPr>
      </w:pPr>
    </w:p>
    <w:p w14:paraId="1CBF829E" w14:textId="7A02A356" w:rsidR="008C0657" w:rsidRPr="00BD78C2" w:rsidRDefault="008C0657">
      <w:pPr>
        <w:spacing w:line="360" w:lineRule="auto"/>
        <w:ind w:right="49"/>
        <w:jc w:val="both"/>
        <w:rPr>
          <w:rFonts w:ascii="Palatino Linotype" w:eastAsia="Palatino Linotype" w:hAnsi="Palatino Linotype" w:cs="Palatino Linotype"/>
          <w:sz w:val="22"/>
          <w:szCs w:val="22"/>
        </w:rPr>
      </w:pPr>
    </w:p>
    <w:p w14:paraId="5241266F" w14:textId="286C4478" w:rsidR="008C0657" w:rsidRPr="00BD78C2" w:rsidRDefault="008C0657">
      <w:pPr>
        <w:spacing w:line="360" w:lineRule="auto"/>
        <w:ind w:right="49"/>
        <w:jc w:val="both"/>
        <w:rPr>
          <w:rFonts w:ascii="Palatino Linotype" w:eastAsia="Palatino Linotype" w:hAnsi="Palatino Linotype" w:cs="Palatino Linotype"/>
          <w:sz w:val="22"/>
          <w:szCs w:val="22"/>
        </w:rPr>
      </w:pPr>
    </w:p>
    <w:p w14:paraId="5C8B88C2" w14:textId="700A5A28" w:rsidR="008C0657" w:rsidRPr="00BD78C2" w:rsidRDefault="008C0657">
      <w:pPr>
        <w:spacing w:line="360" w:lineRule="auto"/>
        <w:ind w:right="49"/>
        <w:jc w:val="both"/>
        <w:rPr>
          <w:rFonts w:ascii="Palatino Linotype" w:eastAsia="Palatino Linotype" w:hAnsi="Palatino Linotype" w:cs="Palatino Linotype"/>
          <w:sz w:val="22"/>
          <w:szCs w:val="22"/>
        </w:rPr>
      </w:pPr>
    </w:p>
    <w:p w14:paraId="5831AF02" w14:textId="0513D0F2" w:rsidR="008C0657" w:rsidRPr="00BD78C2" w:rsidRDefault="008C0657">
      <w:pPr>
        <w:spacing w:line="360" w:lineRule="auto"/>
        <w:ind w:right="49"/>
        <w:jc w:val="both"/>
        <w:rPr>
          <w:rFonts w:ascii="Palatino Linotype" w:eastAsia="Palatino Linotype" w:hAnsi="Palatino Linotype" w:cs="Palatino Linotype"/>
          <w:sz w:val="22"/>
          <w:szCs w:val="22"/>
        </w:rPr>
      </w:pPr>
    </w:p>
    <w:p w14:paraId="644398FF" w14:textId="77777777" w:rsidR="008C0657" w:rsidRPr="00BD78C2" w:rsidRDefault="008C0657">
      <w:pPr>
        <w:spacing w:line="360" w:lineRule="auto"/>
        <w:ind w:right="49"/>
        <w:jc w:val="both"/>
        <w:rPr>
          <w:rFonts w:ascii="Palatino Linotype" w:eastAsia="Palatino Linotype" w:hAnsi="Palatino Linotype" w:cs="Palatino Linotype"/>
          <w:sz w:val="22"/>
          <w:szCs w:val="22"/>
        </w:rPr>
      </w:pPr>
    </w:p>
    <w:sectPr w:rsidR="008C0657" w:rsidRPr="00BD78C2">
      <w:headerReference w:type="default" r:id="rId11"/>
      <w:footerReference w:type="default" r:id="rId12"/>
      <w:headerReference w:type="first" r:id="rId13"/>
      <w:footerReference w:type="first" r:id="rId14"/>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B9078" w14:textId="77777777" w:rsidR="006616D0" w:rsidRDefault="006616D0">
      <w:r>
        <w:separator/>
      </w:r>
    </w:p>
  </w:endnote>
  <w:endnote w:type="continuationSeparator" w:id="0">
    <w:p w14:paraId="709D50C3" w14:textId="77777777" w:rsidR="006616D0" w:rsidRDefault="0066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44951568-FE39-433F-87A5-8636EB7BDB09}"/>
    <w:embedBold r:id="rId2" w:fontKey="{C9D29742-BF71-4DAF-94A2-26C49E199F19}"/>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E4AC1899-46C5-44C1-A1BF-B4D428D5A794}"/>
    <w:embedBold r:id="rId4" w:fontKey="{63AA3CD4-B3BF-459B-8616-8867151E5BCA}"/>
    <w:embedItalic r:id="rId5" w:fontKey="{7E31BFD5-F19A-4344-9997-1269EC95870E}"/>
    <w:embedBoldItalic r:id="rId6" w:fontKey="{172D4040-7194-418F-B0DB-301F3E96D4D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C5644F66-6B33-45AC-ABAE-2799606C5F5B}"/>
    <w:embedBold r:id="rId8" w:fontKey="{17A98047-DE0B-450D-808A-B0BF46387C64}"/>
  </w:font>
  <w:font w:name="Georgia">
    <w:panose1 w:val="02040502050405020303"/>
    <w:charset w:val="00"/>
    <w:family w:val="roman"/>
    <w:pitch w:val="variable"/>
    <w:sig w:usb0="00000287" w:usb1="00000000" w:usb2="00000000" w:usb3="00000000" w:csb0="0000009F" w:csb1="00000000"/>
    <w:embedItalic r:id="rId9" w:fontKey="{1D4BB7FF-913F-4BF6-97F7-4ED66364DE33}"/>
  </w:font>
  <w:font w:name="Calibri Light">
    <w:panose1 w:val="020F0302020204030204"/>
    <w:charset w:val="00"/>
    <w:family w:val="swiss"/>
    <w:pitch w:val="variable"/>
    <w:sig w:usb0="E4002EFF" w:usb1="C200247B" w:usb2="00000009" w:usb3="00000000" w:csb0="000001FF" w:csb1="00000000"/>
    <w:embedRegular r:id="rId10" w:fontKey="{DDB9564E-DEAB-471A-809E-F1B8B740A12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C03CC" w14:textId="0C9DB275" w:rsidR="008B41AE" w:rsidRDefault="00900DB0">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B13F19">
      <w:rPr>
        <w:b/>
        <w:bCs/>
        <w:noProof/>
        <w:color w:val="000000"/>
      </w:rPr>
      <w:t>22</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B13F19">
      <w:rPr>
        <w:b/>
        <w:bCs/>
        <w:noProof/>
        <w:color w:val="000000"/>
      </w:rPr>
      <w:t>84</w:t>
    </w:r>
    <w:r>
      <w:rPr>
        <w:b/>
        <w:bCs/>
        <w:color w:val="000000"/>
      </w:rPr>
      <w:fldChar w:fldCharType="end"/>
    </w:r>
  </w:p>
  <w:p w14:paraId="765A5B02" w14:textId="77777777" w:rsidR="008B41AE" w:rsidRDefault="008B41A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731E5" w14:textId="4655B25B" w:rsidR="008B41AE" w:rsidRDefault="00900DB0">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B13F19">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B13F19">
      <w:rPr>
        <w:b/>
        <w:bCs/>
        <w:noProof/>
        <w:color w:val="000000"/>
      </w:rPr>
      <w:t>84</w:t>
    </w:r>
    <w:r>
      <w:rPr>
        <w:b/>
        <w:bCs/>
        <w:color w:val="000000"/>
      </w:rPr>
      <w:fldChar w:fldCharType="end"/>
    </w:r>
  </w:p>
  <w:p w14:paraId="486209F0" w14:textId="77777777" w:rsidR="008B41AE" w:rsidRDefault="008B41A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1879D" w14:textId="77777777" w:rsidR="006616D0" w:rsidRDefault="006616D0">
      <w:r>
        <w:separator/>
      </w:r>
    </w:p>
  </w:footnote>
  <w:footnote w:type="continuationSeparator" w:id="0">
    <w:p w14:paraId="2EF43067" w14:textId="77777777" w:rsidR="006616D0" w:rsidRDefault="006616D0">
      <w:r>
        <w:continuationSeparator/>
      </w:r>
    </w:p>
  </w:footnote>
  <w:footnote w:id="1">
    <w:p w14:paraId="65266EAF" w14:textId="77777777" w:rsidR="008B41AE" w:rsidRDefault="00900DB0">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Ver páginas 71 y 72 de la contradicción de tesis 200/2013, específicamente los epígrafes 84, 85 y 87. </w:t>
      </w:r>
    </w:p>
  </w:footnote>
  <w:footnote w:id="2">
    <w:p w14:paraId="0E710B37" w14:textId="77777777" w:rsidR="008B41AE" w:rsidRDefault="00900DB0">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Ver supra. Página 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3FE26" w14:textId="77777777" w:rsidR="008B41AE" w:rsidRDefault="00900DB0">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2CB43438" wp14:editId="1844166C">
          <wp:simplePos x="0" y="0"/>
          <wp:positionH relativeFrom="column">
            <wp:posOffset>0</wp:posOffset>
          </wp:positionH>
          <wp:positionV relativeFrom="paragraph">
            <wp:posOffset>-401950</wp:posOffset>
          </wp:positionV>
          <wp:extent cx="7809876" cy="10165823"/>
          <wp:effectExtent l="0" t="0" r="0" b="0"/>
          <wp:wrapNone/>
          <wp:docPr id="3064786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fb"/>
      <w:tblW w:w="5603" w:type="dxa"/>
      <w:tblInd w:w="3611" w:type="dxa"/>
      <w:tblLayout w:type="fixed"/>
      <w:tblLook w:val="0400" w:firstRow="0" w:lastRow="0" w:firstColumn="0" w:lastColumn="0" w:noHBand="0" w:noVBand="1"/>
    </w:tblPr>
    <w:tblGrid>
      <w:gridCol w:w="2551"/>
      <w:gridCol w:w="3052"/>
    </w:tblGrid>
    <w:tr w:rsidR="008B41AE" w14:paraId="5A57575C" w14:textId="77777777">
      <w:tc>
        <w:tcPr>
          <w:tcW w:w="2551" w:type="dxa"/>
          <w:vAlign w:val="center"/>
        </w:tcPr>
        <w:p w14:paraId="1EC9CFFF"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Recurso de Revisión:</w:t>
          </w:r>
        </w:p>
        <w:p w14:paraId="3F3D3B75" w14:textId="77777777" w:rsidR="008B41AE" w:rsidRDefault="008B41AE">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p>
      </w:tc>
      <w:tc>
        <w:tcPr>
          <w:tcW w:w="3052" w:type="dxa"/>
          <w:vAlign w:val="center"/>
        </w:tcPr>
        <w:p w14:paraId="2B1EDED5"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08669/INFOEM/IP/RR/2025</w:t>
          </w:r>
        </w:p>
      </w:tc>
    </w:tr>
    <w:tr w:rsidR="008B41AE" w14:paraId="7ACF0DF5" w14:textId="77777777">
      <w:trPr>
        <w:trHeight w:val="217"/>
      </w:trPr>
      <w:tc>
        <w:tcPr>
          <w:tcW w:w="2551" w:type="dxa"/>
          <w:vAlign w:val="center"/>
        </w:tcPr>
        <w:p w14:paraId="63BF5749"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Sujeto obligado:</w:t>
          </w:r>
        </w:p>
      </w:tc>
      <w:tc>
        <w:tcPr>
          <w:tcW w:w="3052" w:type="dxa"/>
          <w:vAlign w:val="center"/>
        </w:tcPr>
        <w:p w14:paraId="3E8476D1" w14:textId="77777777" w:rsidR="008B41AE" w:rsidRDefault="00900DB0">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sz w:val="22"/>
              <w:szCs w:val="22"/>
            </w:rPr>
            <w:t>Protectora de Bosques del Estado de México</w:t>
          </w:r>
        </w:p>
      </w:tc>
    </w:tr>
    <w:tr w:rsidR="008B41AE" w14:paraId="711CD799" w14:textId="77777777">
      <w:tc>
        <w:tcPr>
          <w:tcW w:w="2551" w:type="dxa"/>
          <w:vAlign w:val="center"/>
        </w:tcPr>
        <w:p w14:paraId="74576EA1"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Comisionada ponente:</w:t>
          </w:r>
        </w:p>
      </w:tc>
      <w:tc>
        <w:tcPr>
          <w:tcW w:w="3052" w:type="dxa"/>
          <w:vAlign w:val="center"/>
        </w:tcPr>
        <w:p w14:paraId="593C15CA"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Guadalupe Ramírez Peña</w:t>
          </w:r>
        </w:p>
      </w:tc>
    </w:tr>
  </w:tbl>
  <w:p w14:paraId="7A87F407" w14:textId="77777777" w:rsidR="008B41AE" w:rsidRDefault="008B41AE">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4D04" w14:textId="77777777" w:rsidR="008B41AE" w:rsidRDefault="00900DB0">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71CEB0E" wp14:editId="7B7225F0">
          <wp:simplePos x="0" y="0"/>
          <wp:positionH relativeFrom="column">
            <wp:posOffset>-929001</wp:posOffset>
          </wp:positionH>
          <wp:positionV relativeFrom="paragraph">
            <wp:posOffset>-644521</wp:posOffset>
          </wp:positionV>
          <wp:extent cx="7809865" cy="10165715"/>
          <wp:effectExtent l="0" t="0" r="0" b="0"/>
          <wp:wrapNone/>
          <wp:docPr id="3064786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c"/>
      <w:tblW w:w="5603" w:type="dxa"/>
      <w:tblInd w:w="3611" w:type="dxa"/>
      <w:tblLayout w:type="fixed"/>
      <w:tblLook w:val="0400" w:firstRow="0" w:lastRow="0" w:firstColumn="0" w:lastColumn="0" w:noHBand="0" w:noVBand="1"/>
    </w:tblPr>
    <w:tblGrid>
      <w:gridCol w:w="2551"/>
      <w:gridCol w:w="3052"/>
    </w:tblGrid>
    <w:tr w:rsidR="008B41AE" w14:paraId="35BB072C" w14:textId="77777777">
      <w:tc>
        <w:tcPr>
          <w:tcW w:w="2551" w:type="dxa"/>
          <w:vAlign w:val="center"/>
        </w:tcPr>
        <w:p w14:paraId="50A88624"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Recurso de Revisión:</w:t>
          </w:r>
        </w:p>
        <w:p w14:paraId="6C2EFE4C" w14:textId="77777777" w:rsidR="008B41AE" w:rsidRDefault="008B41AE">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p>
      </w:tc>
      <w:tc>
        <w:tcPr>
          <w:tcW w:w="3052" w:type="dxa"/>
          <w:vAlign w:val="center"/>
        </w:tcPr>
        <w:p w14:paraId="61DEA70A"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2"/>
              <w:szCs w:val="22"/>
            </w:rPr>
            <w:t>08669/INFOEM/IP/RR/2025 y acumulados</w:t>
          </w:r>
        </w:p>
      </w:tc>
    </w:tr>
    <w:tr w:rsidR="008B41AE" w14:paraId="50C92143" w14:textId="77777777">
      <w:tc>
        <w:tcPr>
          <w:tcW w:w="2551" w:type="dxa"/>
          <w:vAlign w:val="center"/>
        </w:tcPr>
        <w:p w14:paraId="630EE2F9"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Recurrente:</w:t>
          </w:r>
        </w:p>
      </w:tc>
      <w:tc>
        <w:tcPr>
          <w:tcW w:w="3052" w:type="dxa"/>
          <w:vAlign w:val="center"/>
        </w:tcPr>
        <w:p w14:paraId="4D2648F1" w14:textId="6FAF89E5" w:rsidR="008B41AE" w:rsidRDefault="00B13F19" w:rsidP="00B13F19">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XXX</w:t>
          </w:r>
          <w:r w:rsidR="00900DB0">
            <w:rPr>
              <w:rFonts w:ascii="Palatino Linotype" w:eastAsia="Palatino Linotype" w:hAnsi="Palatino Linotype" w:cs="Palatino Linotype"/>
              <w:b/>
              <w:bCs/>
              <w:color w:val="000000"/>
              <w:sz w:val="20"/>
              <w:szCs w:val="20"/>
            </w:rPr>
            <w:t xml:space="preserve"> </w:t>
          </w:r>
        </w:p>
      </w:tc>
    </w:tr>
    <w:tr w:rsidR="008B41AE" w14:paraId="245D3391" w14:textId="77777777">
      <w:trPr>
        <w:trHeight w:val="152"/>
      </w:trPr>
      <w:tc>
        <w:tcPr>
          <w:tcW w:w="2551" w:type="dxa"/>
          <w:vAlign w:val="center"/>
        </w:tcPr>
        <w:p w14:paraId="4F0DEDC4" w14:textId="77777777" w:rsidR="008B41AE" w:rsidRDefault="00900DB0">
          <w:pP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Sujeto obligado:</w:t>
          </w:r>
        </w:p>
        <w:p w14:paraId="64675DA7" w14:textId="77777777" w:rsidR="008B41AE" w:rsidRDefault="008B41AE">
          <w:pPr>
            <w:tabs>
              <w:tab w:val="center" w:pos="4419"/>
              <w:tab w:val="right" w:pos="8838"/>
            </w:tabs>
            <w:rPr>
              <w:rFonts w:ascii="Palatino Linotype" w:eastAsia="Palatino Linotype" w:hAnsi="Palatino Linotype" w:cs="Palatino Linotype"/>
              <w:b/>
              <w:bCs/>
              <w:color w:val="000000"/>
              <w:sz w:val="20"/>
              <w:szCs w:val="20"/>
            </w:rPr>
          </w:pPr>
        </w:p>
      </w:tc>
      <w:tc>
        <w:tcPr>
          <w:tcW w:w="3052" w:type="dxa"/>
          <w:vAlign w:val="center"/>
        </w:tcPr>
        <w:p w14:paraId="6C80CD9F" w14:textId="77777777" w:rsidR="008B41AE" w:rsidRDefault="00900DB0">
          <w:pPr>
            <w:pBdr>
              <w:top w:val="nil"/>
              <w:left w:val="nil"/>
              <w:bottom w:val="nil"/>
              <w:right w:val="nil"/>
              <w:between w:val="nil"/>
            </w:pBdr>
            <w:tabs>
              <w:tab w:val="center" w:pos="4419"/>
              <w:tab w:val="right" w:pos="8838"/>
            </w:tabs>
            <w:ind w:right="174"/>
            <w:jc w:val="both"/>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sz w:val="22"/>
              <w:szCs w:val="22"/>
            </w:rPr>
            <w:t>Protectora de Bosques del Estado de México</w:t>
          </w:r>
        </w:p>
      </w:tc>
    </w:tr>
    <w:tr w:rsidR="008B41AE" w14:paraId="15A77FB1" w14:textId="77777777">
      <w:tc>
        <w:tcPr>
          <w:tcW w:w="2551" w:type="dxa"/>
          <w:vAlign w:val="center"/>
        </w:tcPr>
        <w:p w14:paraId="268FFD3F"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Comisionada ponente:</w:t>
          </w:r>
        </w:p>
      </w:tc>
      <w:tc>
        <w:tcPr>
          <w:tcW w:w="3052" w:type="dxa"/>
          <w:vAlign w:val="center"/>
        </w:tcPr>
        <w:p w14:paraId="7CF31CDF" w14:textId="77777777" w:rsidR="008B41AE" w:rsidRDefault="00900DB0">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Guadalupe Ramírez Peña</w:t>
          </w:r>
        </w:p>
      </w:tc>
    </w:tr>
  </w:tbl>
  <w:p w14:paraId="55DA5356" w14:textId="77777777" w:rsidR="008B41AE" w:rsidRDefault="00900DB0">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20F9"/>
    <w:multiLevelType w:val="multilevel"/>
    <w:tmpl w:val="3556A8A8"/>
    <w:lvl w:ilvl="0">
      <w:start w:val="2"/>
      <w:numFmt w:val="decimal"/>
      <w:pStyle w:val="Listaconvietas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BD2770B"/>
    <w:multiLevelType w:val="multilevel"/>
    <w:tmpl w:val="6C2AF518"/>
    <w:lvl w:ilvl="0">
      <w:start w:val="1"/>
      <w:numFmt w:val="bullet"/>
      <w:lvlText w:val="●"/>
      <w:lvlJc w:val="left"/>
      <w:pPr>
        <w:ind w:left="578"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2" w15:restartNumberingAfterBreak="0">
    <w:nsid w:val="239A7A14"/>
    <w:multiLevelType w:val="multilevel"/>
    <w:tmpl w:val="3B6C08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7EF3724"/>
    <w:multiLevelType w:val="multilevel"/>
    <w:tmpl w:val="3DEE455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95645B"/>
    <w:multiLevelType w:val="multilevel"/>
    <w:tmpl w:val="8ECCD12C"/>
    <w:lvl w:ilvl="0">
      <w:start w:val="2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D476FB"/>
    <w:multiLevelType w:val="multilevel"/>
    <w:tmpl w:val="8EEA23B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B62102E"/>
    <w:multiLevelType w:val="multilevel"/>
    <w:tmpl w:val="BB261606"/>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7" w15:restartNumberingAfterBreak="0">
    <w:nsid w:val="66C26F9F"/>
    <w:multiLevelType w:val="multilevel"/>
    <w:tmpl w:val="F20C432C"/>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D118C9"/>
    <w:multiLevelType w:val="multilevel"/>
    <w:tmpl w:val="247AD2B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5050926"/>
    <w:multiLevelType w:val="multilevel"/>
    <w:tmpl w:val="5832F4BC"/>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8"/>
  </w:num>
  <w:num w:numId="3">
    <w:abstractNumId w:val="7"/>
  </w:num>
  <w:num w:numId="4">
    <w:abstractNumId w:val="2"/>
  </w:num>
  <w:num w:numId="5">
    <w:abstractNumId w:val="6"/>
  </w:num>
  <w:num w:numId="6">
    <w:abstractNumId w:val="3"/>
  </w:num>
  <w:num w:numId="7">
    <w:abstractNumId w:val="5"/>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AE"/>
    <w:rsid w:val="006616D0"/>
    <w:rsid w:val="008B41AE"/>
    <w:rsid w:val="008C0657"/>
    <w:rsid w:val="00900DB0"/>
    <w:rsid w:val="00B13F19"/>
    <w:rsid w:val="00BD78C2"/>
    <w:rsid w:val="00D453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2BF89"/>
  <w15:docId w15:val="{0A11A880-4600-4197-B74A-BBDE65C5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7"/>
    <w:tblPr>
      <w:tblStyleRowBandSize w:val="1"/>
      <w:tblStyleColBandSize w:val="1"/>
      <w:tblCellMar>
        <w:left w:w="115" w:type="dxa"/>
        <w:right w:w="115" w:type="dxa"/>
      </w:tblCellMar>
    </w:tblPr>
  </w:style>
  <w:style w:type="table" w:customStyle="1" w:styleId="a0">
    <w:basedOn w:val="TableNormal7"/>
    <w:tblPr>
      <w:tblStyleRowBandSize w:val="1"/>
      <w:tblStyleColBandSize w:val="1"/>
      <w:tblCellMar>
        <w:left w:w="115" w:type="dxa"/>
        <w:right w:w="115" w:type="dxa"/>
      </w:tblCellMar>
    </w:tblPr>
  </w:style>
  <w:style w:type="table" w:customStyle="1" w:styleId="a1">
    <w:basedOn w:val="TableNormal7"/>
    <w:tblPr>
      <w:tblStyleRowBandSize w:val="1"/>
      <w:tblStyleColBandSize w:val="1"/>
      <w:tblCellMar>
        <w:left w:w="115" w:type="dxa"/>
        <w:right w:w="115" w:type="dxa"/>
      </w:tblCellMar>
    </w:tblPr>
  </w:style>
  <w:style w:type="table" w:customStyle="1" w:styleId="a2">
    <w:basedOn w:val="TableNormal7"/>
    <w:tblPr>
      <w:tblStyleRowBandSize w:val="1"/>
      <w:tblStyleColBandSize w:val="1"/>
      <w:tblCellMar>
        <w:left w:w="115" w:type="dxa"/>
        <w:right w:w="115" w:type="dxa"/>
      </w:tblCellMar>
    </w:tblPr>
  </w:style>
  <w:style w:type="table" w:customStyle="1" w:styleId="a3">
    <w:basedOn w:val="TableNormal7"/>
    <w:tblPr>
      <w:tblStyleRowBandSize w:val="1"/>
      <w:tblStyleColBandSize w:val="1"/>
      <w:tblCellMar>
        <w:top w:w="15" w:type="dxa"/>
        <w:left w:w="115" w:type="dxa"/>
        <w:bottom w:w="15" w:type="dxa"/>
        <w:right w:w="115" w:type="dxa"/>
      </w:tblCellMar>
    </w:tblPr>
  </w:style>
  <w:style w:type="table" w:customStyle="1" w:styleId="a4">
    <w:basedOn w:val="TableNormal7"/>
    <w:tblPr>
      <w:tblStyleRowBandSize w:val="1"/>
      <w:tblStyleColBandSize w:val="1"/>
      <w:tblCellMar>
        <w:top w:w="15" w:type="dxa"/>
        <w:left w:w="115" w:type="dxa"/>
        <w:bottom w:w="15" w:type="dxa"/>
        <w:right w:w="115" w:type="dxa"/>
      </w:tblCellMar>
    </w:tblPr>
  </w:style>
  <w:style w:type="table" w:customStyle="1" w:styleId="a5">
    <w:basedOn w:val="TableNormal6"/>
    <w:tblPr>
      <w:tblStyleRowBandSize w:val="1"/>
      <w:tblStyleColBandSize w:val="1"/>
      <w:tblCellMar>
        <w:left w:w="115" w:type="dxa"/>
        <w:right w:w="115" w:type="dxa"/>
      </w:tblCellMar>
    </w:tblPr>
  </w:style>
  <w:style w:type="table" w:customStyle="1" w:styleId="a6">
    <w:basedOn w:val="TableNormal6"/>
    <w:tblPr>
      <w:tblStyleRowBandSize w:val="1"/>
      <w:tblStyleColBandSize w:val="1"/>
      <w:tblCellMar>
        <w:left w:w="115" w:type="dxa"/>
        <w:right w:w="115" w:type="dxa"/>
      </w:tblCellMar>
    </w:tblPr>
  </w:style>
  <w:style w:type="table" w:customStyle="1" w:styleId="a7">
    <w:basedOn w:val="TableNormal6"/>
    <w:tblPr>
      <w:tblStyleRowBandSize w:val="1"/>
      <w:tblStyleColBandSize w:val="1"/>
      <w:tblCellMar>
        <w:left w:w="115" w:type="dxa"/>
        <w:right w:w="115" w:type="dxa"/>
      </w:tblCellMar>
    </w:tblPr>
  </w:style>
  <w:style w:type="table" w:customStyle="1" w:styleId="a8">
    <w:basedOn w:val="TableNormal6"/>
    <w:tblPr>
      <w:tblStyleRowBandSize w:val="1"/>
      <w:tblStyleColBandSize w:val="1"/>
      <w:tblCellMar>
        <w:left w:w="115" w:type="dxa"/>
        <w:right w:w="115" w:type="dxa"/>
      </w:tblCellMar>
    </w:tblPr>
  </w:style>
  <w:style w:type="table" w:customStyle="1" w:styleId="a9">
    <w:basedOn w:val="TableNormal6"/>
    <w:tblPr>
      <w:tblStyleRowBandSize w:val="1"/>
      <w:tblStyleColBandSize w:val="1"/>
      <w:tblCellMar>
        <w:top w:w="15" w:type="dxa"/>
        <w:left w:w="115" w:type="dxa"/>
        <w:bottom w:w="15" w:type="dxa"/>
        <w:right w:w="115" w:type="dxa"/>
      </w:tblCellMar>
    </w:tblPr>
  </w:style>
  <w:style w:type="table" w:customStyle="1" w:styleId="aa">
    <w:basedOn w:val="TableNormal6"/>
    <w:tblPr>
      <w:tblStyleRowBandSize w:val="1"/>
      <w:tblStyleColBandSize w:val="1"/>
      <w:tblCellMar>
        <w:top w:w="15" w:type="dxa"/>
        <w:left w:w="115" w:type="dxa"/>
        <w:bottom w:w="15" w:type="dxa"/>
        <w:right w:w="115" w:type="dxa"/>
      </w:tblCellMar>
    </w:tblPr>
  </w:style>
  <w:style w:type="table" w:customStyle="1" w:styleId="ab">
    <w:basedOn w:val="TableNormal5"/>
    <w:tblPr>
      <w:tblStyleRowBandSize w:val="1"/>
      <w:tblStyleColBandSize w:val="1"/>
      <w:tblCellMar>
        <w:left w:w="115" w:type="dxa"/>
        <w:right w:w="115" w:type="dxa"/>
      </w:tblCellMar>
    </w:tblPr>
  </w:style>
  <w:style w:type="table" w:customStyle="1" w:styleId="ac">
    <w:basedOn w:val="TableNormal5"/>
    <w:tblPr>
      <w:tblStyleRowBandSize w:val="1"/>
      <w:tblStyleColBandSize w:val="1"/>
      <w:tblCellMar>
        <w:left w:w="115" w:type="dxa"/>
        <w:right w:w="115" w:type="dxa"/>
      </w:tblCellMar>
    </w:tblPr>
  </w:style>
  <w:style w:type="table" w:customStyle="1" w:styleId="ad">
    <w:basedOn w:val="TableNormal5"/>
    <w:tblPr>
      <w:tblStyleRowBandSize w:val="1"/>
      <w:tblStyleColBandSize w:val="1"/>
      <w:tblCellMar>
        <w:left w:w="115" w:type="dxa"/>
        <w:right w:w="115" w:type="dxa"/>
      </w:tblCellMar>
    </w:tblPr>
  </w:style>
  <w:style w:type="table" w:customStyle="1" w:styleId="ae">
    <w:basedOn w:val="TableNormal5"/>
    <w:tblPr>
      <w:tblStyleRowBandSize w:val="1"/>
      <w:tblStyleColBandSize w:val="1"/>
      <w:tblCellMar>
        <w:left w:w="115" w:type="dxa"/>
        <w:right w:w="115"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5"/>
    <w:tblPr>
      <w:tblStyleRowBandSize w:val="1"/>
      <w:tblStyleColBandSize w:val="1"/>
      <w:tblCellMar>
        <w:top w:w="15" w:type="dxa"/>
        <w:left w:w="115" w:type="dxa"/>
        <w:bottom w:w="15" w:type="dxa"/>
        <w:right w:w="115" w:type="dxa"/>
      </w:tblCellMar>
    </w:tblPr>
  </w:style>
  <w:style w:type="table" w:customStyle="1" w:styleId="af2">
    <w:basedOn w:val="TableNormal5"/>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top w:w="15" w:type="dxa"/>
        <w:left w:w="115" w:type="dxa"/>
        <w:bottom w:w="15" w:type="dxa"/>
        <w:right w:w="115" w:type="dxa"/>
      </w:tblCellMar>
    </w:tblPr>
  </w:style>
  <w:style w:type="table" w:customStyle="1" w:styleId="af5">
    <w:basedOn w:val="TableNormal4"/>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3"/>
    <w:tblPr>
      <w:tblStyleRowBandSize w:val="1"/>
      <w:tblStyleColBandSize w:val="1"/>
      <w:tblCellMar>
        <w:left w:w="108" w:type="dxa"/>
        <w:right w:w="108"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top w:w="15" w:type="dxa"/>
        <w:left w:w="115" w:type="dxa"/>
        <w:bottom w:w="15" w:type="dxa"/>
        <w:right w:w="115" w:type="dxa"/>
      </w:tblCellMar>
    </w:tblPr>
  </w:style>
  <w:style w:type="table" w:customStyle="1" w:styleId="afa">
    <w:basedOn w:val="TableNormal3"/>
    <w:tblPr>
      <w:tblStyleRowBandSize w:val="1"/>
      <w:tblStyleColBandSize w:val="1"/>
      <w:tblCellMar>
        <w:top w:w="15" w:type="dxa"/>
        <w:left w:w="115" w:type="dxa"/>
        <w:bottom w:w="15" w:type="dxa"/>
        <w:right w:w="115" w:type="dxa"/>
      </w:tblCellMar>
    </w:tblPr>
  </w:style>
  <w:style w:type="paragraph" w:customStyle="1" w:styleId="p1">
    <w:name w:val="p1"/>
    <w:basedOn w:val="Normal"/>
    <w:rsid w:val="00A155ED"/>
    <w:rPr>
      <w:rFonts w:ascii="Arial" w:hAnsi="Arial" w:cs="Arial"/>
      <w:color w:val="000000"/>
      <w:sz w:val="17"/>
      <w:szCs w:val="17"/>
      <w:lang w:val="es-ES"/>
    </w:rPr>
  </w:style>
  <w:style w:type="character" w:customStyle="1" w:styleId="s1">
    <w:name w:val="s1"/>
    <w:basedOn w:val="Fuentedeprrafopredeter"/>
    <w:rsid w:val="00A155ED"/>
    <w:rPr>
      <w:rFonts w:ascii="Arial" w:hAnsi="Arial" w:cs="Arial" w:hint="default"/>
      <w:sz w:val="18"/>
      <w:szCs w:val="18"/>
    </w:rPr>
  </w:style>
  <w:style w:type="table" w:customStyle="1" w:styleId="afb">
    <w:basedOn w:val="TableNormal2"/>
    <w:tblPr>
      <w:tblStyleRowBandSize w:val="1"/>
      <w:tblStyleColBandSize w:val="1"/>
      <w:tblCellMar>
        <w:top w:w="0" w:type="dxa"/>
        <w:left w:w="108" w:type="dxa"/>
        <w:bottom w:w="0" w:type="dxa"/>
        <w:right w:w="108" w:type="dxa"/>
      </w:tblCellMar>
    </w:tblPr>
  </w:style>
  <w:style w:type="table" w:customStyle="1" w:styleId="afc">
    <w:basedOn w:val="TableNormal2"/>
    <w:tblPr>
      <w:tblStyleRowBandSize w:val="1"/>
      <w:tblStyleColBandSize w:val="1"/>
      <w:tblCellMar>
        <w:top w:w="0" w:type="dxa"/>
        <w:left w:w="108" w:type="dxa"/>
        <w:bottom w:w="0" w:type="dxa"/>
        <w:right w:w="108" w:type="dxa"/>
      </w:tblCellMar>
    </w:tblPr>
  </w:style>
  <w:style w:type="table" w:customStyle="1" w:styleId="afd">
    <w:basedOn w:val="TableNormal2"/>
    <w:tblPr>
      <w:tblStyleRowBandSize w:val="1"/>
      <w:tblStyleColBandSize w:val="1"/>
      <w:tblCellMar>
        <w:top w:w="0" w:type="dxa"/>
        <w:left w:w="108" w:type="dxa"/>
        <w:bottom w:w="0" w:type="dxa"/>
        <w:right w:w="108" w:type="dxa"/>
      </w:tblCellMar>
    </w:tblPr>
  </w:style>
  <w:style w:type="table" w:customStyle="1" w:styleId="afe">
    <w:basedOn w:val="TableNormal2"/>
    <w:tblPr>
      <w:tblStyleRowBandSize w:val="1"/>
      <w:tblStyleColBandSize w:val="1"/>
      <w:tblCellMar>
        <w:top w:w="0" w:type="dxa"/>
        <w:left w:w="115" w:type="dxa"/>
        <w:bottom w:w="0" w:type="dxa"/>
        <w:right w:w="115" w:type="dxa"/>
      </w:tblCellMar>
    </w:tblPr>
  </w:style>
  <w:style w:type="table" w:customStyle="1" w:styleId="aff">
    <w:basedOn w:val="TableNormal2"/>
    <w:tblPr>
      <w:tblStyleRowBandSize w:val="1"/>
      <w:tblStyleColBandSize w:val="1"/>
      <w:tblCellMar>
        <w:top w:w="15" w:type="dxa"/>
        <w:left w:w="115" w:type="dxa"/>
        <w:bottom w:w="15" w:type="dxa"/>
        <w:right w:w="115" w:type="dxa"/>
      </w:tblCellMar>
    </w:tblPr>
  </w:style>
  <w:style w:type="table" w:customStyle="1" w:styleId="aff0">
    <w:basedOn w:val="TableNormal2"/>
    <w:tblPr>
      <w:tblStyleRowBandSize w:val="1"/>
      <w:tblStyleColBandSize w:val="1"/>
      <w:tblCellMar>
        <w:top w:w="15" w:type="dxa"/>
        <w:left w:w="115" w:type="dxa"/>
        <w:bottom w:w="15" w:type="dxa"/>
        <w:right w:w="115"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15" w:type="dxa"/>
        <w:left w:w="115" w:type="dxa"/>
        <w:bottom w:w="15" w:type="dxa"/>
        <w:right w:w="115" w:type="dxa"/>
      </w:tblCellMar>
    </w:tblPr>
  </w:style>
  <w:style w:type="table" w:customStyle="1" w:styleId="aff6">
    <w:basedOn w:val="TableNormal1"/>
    <w:tblPr>
      <w:tblStyleRowBandSize w:val="1"/>
      <w:tblStyleColBandSize w:val="1"/>
      <w:tblCellMar>
        <w:top w:w="15" w:type="dxa"/>
        <w:left w:w="115" w:type="dxa"/>
        <w:bottom w:w="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15" w:type="dxa"/>
        <w:left w:w="115" w:type="dxa"/>
        <w:bottom w:w="15" w:type="dxa"/>
        <w:right w:w="115" w:type="dxa"/>
      </w:tblCellMar>
    </w:tblPr>
  </w:style>
  <w:style w:type="table" w:customStyle="1" w:styleId="affc">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Opu6Tsp0IQyXY/GSq3l78lVAFQ==">CgMxLjAyCWguM3pueXNoNzIOaC54eTJzZ3VzbmZucHMyDmguam5wcm90ZHFlbm9vMgloLjFmb2I5dGUyDmguOGJnNDNnb2hxb2YxMg5oLmozcHB5eHdsYjFzMjIIaC50eWpjd3QyDWguamwwZGxhc290NGY4AHIhMWdCcDB6WDA4SHJlRG1PYk9uNEJMcDRRVEVETWZSaEJ5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22456</Words>
  <Characters>123510</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BC</Company>
  <LinksUpToDate>false</LinksUpToDate>
  <CharactersWithSpaces>145675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2026-04-07T17:45:00Z</dcterms:created>
  <dcterms:modified xsi:type="dcterms:W3CDTF">2026-04-07T17:45:00Z</dcterms:modified>
</cp:coreProperties>
</file>