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FC5" w:rsidRPr="00467950" w:rsidRDefault="00036D1B">
      <w:pPr>
        <w:tabs>
          <w:tab w:val="left" w:pos="3465"/>
        </w:tabs>
        <w:spacing w:line="360" w:lineRule="auto"/>
        <w:ind w:right="49"/>
        <w:jc w:val="both"/>
        <w:rPr>
          <w:rFonts w:ascii="Palatino Linotype" w:eastAsia="Palatino Linotype" w:hAnsi="Palatino Linotype" w:cs="Palatino Linotype"/>
          <w:b/>
        </w:rPr>
      </w:pPr>
      <w:r w:rsidRPr="0046795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522046" w:rsidRPr="00467950">
        <w:rPr>
          <w:rFonts w:ascii="Palatino Linotype" w:eastAsia="Palatino Linotype" w:hAnsi="Palatino Linotype" w:cs="Palatino Linotype"/>
        </w:rPr>
        <w:t xml:space="preserve">do de México; </w:t>
      </w:r>
      <w:r w:rsidR="00522046" w:rsidRPr="00467950">
        <w:rPr>
          <w:rFonts w:ascii="Palatino Linotype" w:eastAsia="Palatino Linotype" w:hAnsi="Palatino Linotype" w:cs="Palatino Linotype"/>
          <w:b/>
        </w:rPr>
        <w:t>de fecha diecinueve</w:t>
      </w:r>
      <w:r w:rsidR="00467950" w:rsidRPr="00467950">
        <w:rPr>
          <w:rFonts w:ascii="Palatino Linotype" w:eastAsia="Palatino Linotype" w:hAnsi="Palatino Linotype" w:cs="Palatino Linotype"/>
          <w:b/>
        </w:rPr>
        <w:t xml:space="preserve"> (19)</w:t>
      </w:r>
      <w:r w:rsidR="00522046" w:rsidRPr="00467950">
        <w:rPr>
          <w:rFonts w:ascii="Palatino Linotype" w:eastAsia="Palatino Linotype" w:hAnsi="Palatino Linotype" w:cs="Palatino Linotype"/>
          <w:b/>
        </w:rPr>
        <w:t xml:space="preserve"> de marzo de dos mil veintiséis</w:t>
      </w:r>
      <w:r w:rsidRPr="00467950">
        <w:rPr>
          <w:rFonts w:ascii="Palatino Linotype" w:eastAsia="Palatino Linotype" w:hAnsi="Palatino Linotype" w:cs="Palatino Linotype"/>
          <w:b/>
        </w:rPr>
        <w:t>.</w:t>
      </w:r>
    </w:p>
    <w:p w:rsidR="00727FC5" w:rsidRPr="00467950" w:rsidRDefault="00727FC5">
      <w:pPr>
        <w:tabs>
          <w:tab w:val="left" w:pos="3465"/>
        </w:tabs>
        <w:spacing w:line="360" w:lineRule="auto"/>
        <w:ind w:right="49"/>
        <w:jc w:val="both"/>
        <w:rPr>
          <w:rFonts w:ascii="Palatino Linotype" w:eastAsia="Palatino Linotype" w:hAnsi="Palatino Linotype" w:cs="Palatino Linotype"/>
        </w:rPr>
      </w:pPr>
    </w:p>
    <w:p w:rsidR="00727FC5" w:rsidRPr="00467950" w:rsidRDefault="00036D1B">
      <w:pPr>
        <w:spacing w:line="360" w:lineRule="auto"/>
        <w:ind w:right="49"/>
        <w:jc w:val="both"/>
        <w:rPr>
          <w:rFonts w:ascii="Palatino Linotype" w:eastAsia="Palatino Linotype" w:hAnsi="Palatino Linotype" w:cs="Palatino Linotype"/>
        </w:rPr>
      </w:pPr>
      <w:r w:rsidRPr="00467950">
        <w:rPr>
          <w:rFonts w:ascii="Palatino Linotype" w:eastAsia="Palatino Linotype" w:hAnsi="Palatino Linotype" w:cs="Palatino Linotype"/>
          <w:b/>
          <w:bCs/>
        </w:rPr>
        <w:t xml:space="preserve">VISTAS </w:t>
      </w:r>
      <w:r w:rsidRPr="00467950">
        <w:rPr>
          <w:rFonts w:ascii="Palatino Linotype" w:eastAsia="Palatino Linotype" w:hAnsi="Palatino Linotype" w:cs="Palatino Linotype"/>
        </w:rPr>
        <w:t xml:space="preserve">las constancias para resolver el Recurso de Revisión </w:t>
      </w:r>
      <w:r w:rsidRPr="00467950">
        <w:rPr>
          <w:rFonts w:ascii="Palatino Linotype" w:eastAsia="Palatino Linotype" w:hAnsi="Palatino Linotype" w:cs="Palatino Linotype"/>
          <w:b/>
          <w:bCs/>
        </w:rPr>
        <w:t>06433/INFOEM/IP/RR/2025,</w:t>
      </w:r>
      <w:r w:rsidRPr="00467950">
        <w:rPr>
          <w:rFonts w:ascii="Palatino Linotype" w:eastAsia="Palatino Linotype" w:hAnsi="Palatino Linotype" w:cs="Palatino Linotype"/>
        </w:rPr>
        <w:t xml:space="preserve"> presentado por </w:t>
      </w:r>
      <w:r w:rsidRPr="00467950">
        <w:rPr>
          <w:rFonts w:ascii="Palatino Linotype" w:eastAsia="Palatino Linotype" w:hAnsi="Palatino Linotype" w:cs="Palatino Linotype"/>
          <w:b/>
        </w:rPr>
        <w:t>una persona que no aportó datos de identificación</w:t>
      </w:r>
      <w:r w:rsidRPr="00467950">
        <w:rPr>
          <w:rFonts w:ascii="Palatino Linotype" w:eastAsia="Palatino Linotype" w:hAnsi="Palatino Linotype" w:cs="Palatino Linotype"/>
          <w:b/>
          <w:bCs/>
        </w:rPr>
        <w:t>,</w:t>
      </w:r>
      <w:r w:rsidRPr="00467950">
        <w:rPr>
          <w:rFonts w:ascii="Palatino Linotype" w:eastAsia="Palatino Linotype" w:hAnsi="Palatino Linotype" w:cs="Palatino Linotype"/>
        </w:rPr>
        <w:t xml:space="preserve"> a quien en lo sucesivo se denominará </w:t>
      </w:r>
      <w:r w:rsidRPr="00467950">
        <w:rPr>
          <w:rFonts w:ascii="Palatino Linotype" w:eastAsia="Palatino Linotype" w:hAnsi="Palatino Linotype" w:cs="Palatino Linotype"/>
          <w:b/>
          <w:bCs/>
        </w:rPr>
        <w:t>EL RECURRENTE</w:t>
      </w:r>
      <w:r w:rsidRPr="00467950">
        <w:rPr>
          <w:rFonts w:ascii="Palatino Linotype" w:eastAsia="Palatino Linotype" w:hAnsi="Palatino Linotype" w:cs="Palatino Linotype"/>
        </w:rPr>
        <w:t xml:space="preserve">, en contra de la respuesta otorgada a la solicitud de información con número de folio </w:t>
      </w:r>
      <w:r w:rsidRPr="00467950">
        <w:rPr>
          <w:rFonts w:ascii="Palatino Linotype" w:eastAsia="Palatino Linotype" w:hAnsi="Palatino Linotype" w:cs="Palatino Linotype"/>
          <w:b/>
          <w:bCs/>
        </w:rPr>
        <w:t>01935/TOLUCA/IP/2025</w:t>
      </w:r>
      <w:r w:rsidRPr="00467950">
        <w:rPr>
          <w:rFonts w:ascii="Palatino Linotype" w:eastAsia="Palatino Linotype" w:hAnsi="Palatino Linotype" w:cs="Palatino Linotype"/>
        </w:rPr>
        <w:t xml:space="preserve">, por parte de la </w:t>
      </w:r>
      <w:r w:rsidRPr="00467950">
        <w:rPr>
          <w:rFonts w:ascii="Palatino Linotype" w:eastAsia="Palatino Linotype" w:hAnsi="Palatino Linotype" w:cs="Palatino Linotype"/>
          <w:b/>
          <w:bCs/>
        </w:rPr>
        <w:t xml:space="preserve">Ayuntamiento de Toluca, </w:t>
      </w:r>
      <w:r w:rsidRPr="00467950">
        <w:rPr>
          <w:rFonts w:ascii="Palatino Linotype" w:eastAsia="Palatino Linotype" w:hAnsi="Palatino Linotype" w:cs="Palatino Linotype"/>
        </w:rPr>
        <w:t xml:space="preserve">en adelante </w:t>
      </w:r>
      <w:r w:rsidRPr="00467950">
        <w:rPr>
          <w:rFonts w:ascii="Palatino Linotype" w:eastAsia="Palatino Linotype" w:hAnsi="Palatino Linotype" w:cs="Palatino Linotype"/>
          <w:b/>
          <w:bCs/>
        </w:rPr>
        <w:t>EL SUJETO OBLIGADO,</w:t>
      </w:r>
      <w:r w:rsidRPr="00467950">
        <w:rPr>
          <w:rFonts w:ascii="Palatino Linotype" w:eastAsia="Palatino Linotype" w:hAnsi="Palatino Linotype" w:cs="Palatino Linotype"/>
        </w:rPr>
        <w:t xml:space="preserve"> se emite la presente Resolución con base en los siguientes:</w:t>
      </w:r>
    </w:p>
    <w:p w:rsidR="00727FC5" w:rsidRPr="00467950" w:rsidRDefault="00727FC5">
      <w:pPr>
        <w:spacing w:line="360" w:lineRule="auto"/>
        <w:ind w:right="49"/>
        <w:jc w:val="both"/>
        <w:rPr>
          <w:rFonts w:ascii="Palatino Linotype" w:eastAsia="Palatino Linotype" w:hAnsi="Palatino Linotype" w:cs="Palatino Linotype"/>
        </w:rPr>
      </w:pPr>
    </w:p>
    <w:p w:rsidR="00727FC5" w:rsidRPr="00467950" w:rsidRDefault="00036D1B">
      <w:pPr>
        <w:pStyle w:val="Ttulo1"/>
        <w:spacing w:before="0" w:line="360" w:lineRule="auto"/>
        <w:ind w:right="49"/>
        <w:jc w:val="center"/>
        <w:rPr>
          <w:rFonts w:ascii="Palatino Linotype" w:eastAsia="Palatino Linotype" w:hAnsi="Palatino Linotype" w:cs="Palatino Linotype"/>
          <w:b/>
          <w:bCs/>
          <w:color w:val="000000"/>
          <w:sz w:val="24"/>
          <w:szCs w:val="24"/>
        </w:rPr>
      </w:pPr>
      <w:bookmarkStart w:id="0" w:name="_heading=h.gjdgxs" w:colFirst="0" w:colLast="0"/>
      <w:bookmarkEnd w:id="0"/>
      <w:r w:rsidRPr="00467950">
        <w:rPr>
          <w:rFonts w:ascii="Palatino Linotype" w:eastAsia="Palatino Linotype" w:hAnsi="Palatino Linotype" w:cs="Palatino Linotype"/>
          <w:b/>
          <w:bCs/>
          <w:color w:val="000000"/>
          <w:sz w:val="24"/>
          <w:szCs w:val="24"/>
        </w:rPr>
        <w:t>A N T E C E D E N T E S</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u w:val="single"/>
        </w:rPr>
      </w:pPr>
    </w:p>
    <w:p w:rsidR="00727FC5" w:rsidRPr="00467950" w:rsidRDefault="00036D1B">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El día</w:t>
      </w:r>
      <w:r w:rsidRPr="00467950">
        <w:rPr>
          <w:rFonts w:ascii="Palatino Linotype" w:eastAsia="Palatino Linotype" w:hAnsi="Palatino Linotype" w:cs="Palatino Linotype"/>
          <w:b/>
          <w:bCs/>
          <w:color w:val="000000"/>
        </w:rPr>
        <w:t xml:space="preserve"> uno de abril dos mil veinticinco</w:t>
      </w:r>
      <w:r w:rsidRPr="00467950">
        <w:rPr>
          <w:rFonts w:ascii="Palatino Linotype" w:eastAsia="Palatino Linotype" w:hAnsi="Palatino Linotype" w:cs="Palatino Linotype"/>
          <w:color w:val="000000"/>
        </w:rPr>
        <w:t>,</w:t>
      </w:r>
      <w:r w:rsidRPr="00467950">
        <w:rPr>
          <w:rFonts w:ascii="Palatino Linotype" w:eastAsia="Palatino Linotype" w:hAnsi="Palatino Linotype" w:cs="Palatino Linotype"/>
          <w:b/>
          <w:bCs/>
          <w:color w:val="000000"/>
        </w:rPr>
        <w:t xml:space="preserve"> </w:t>
      </w:r>
      <w:r w:rsidRPr="00467950">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27FC5" w:rsidRPr="00467950" w:rsidRDefault="00036D1B">
      <w:pPr>
        <w:pBdr>
          <w:top w:val="nil"/>
          <w:left w:val="nil"/>
          <w:bottom w:val="nil"/>
          <w:right w:val="nil"/>
          <w:between w:val="nil"/>
        </w:pBdr>
        <w:spacing w:line="360" w:lineRule="auto"/>
        <w:ind w:left="425"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w:t>
      </w:r>
      <w:r w:rsidRPr="00467950">
        <w:rPr>
          <w:rFonts w:ascii="Palatino Linotype" w:eastAsia="Palatino Linotype" w:hAnsi="Palatino Linotype" w:cs="Palatino Linotype"/>
          <w:i/>
          <w:iCs/>
        </w:rPr>
        <w:t xml:space="preserve">DE CONFORMIDAD CON EL ARTÍCULO 8 CONSTITUCIONAL SOLICITAMOS SE INFORME ANUAL DEL MUNICIPIO: Nos podrían facilitar cuanto gasto el Presidente o Presidenta 2024 (según su Cabildo) en estos días, con lo que respecta a la difusión de su informe anual, para ello queremos lo siguiente: 1) Gastos en impresión de informe en cualquiera forma, incluir contratos y procedimiento de adquisición, cotizaciones o estudios de mercado y evidencia y copia de los ejemplares o negativos de los mismos; 2) Gastos en el evento, número y nombre de invitados, incluir gastos como proyectores, sillas, estrados, y en </w:t>
      </w:r>
      <w:r w:rsidRPr="00467950">
        <w:rPr>
          <w:rFonts w:ascii="Palatino Linotype" w:eastAsia="Palatino Linotype" w:hAnsi="Palatino Linotype" w:cs="Palatino Linotype"/>
          <w:i/>
          <w:iCs/>
        </w:rPr>
        <w:lastRenderedPageBreak/>
        <w:t xml:space="preserve">general lo que se gastó; 3) Todo el gasto de publicidad en periódicos, revistas u otros medios impresos. 4) Todo lo que se erogo en medios de comunicación de banda, como televisión abierta, televisión de paga o radio, tanto en estaciones locales como externas o si se contrató directa o indirectamente con los concesionarios, en especial con emisoras de radio del Valle de Toluca, Televisa y Televisión Azteca, cuyos reportajes más parecen un comercial que un reportaje; 5) Gasto en comerciales, videos y spots, para después ser difundidos en medios, así como contratación de outsourcing en cualquier modalidad directamente aplicable al informe. Como meseros, camarógrafos, edecanes, banquetes, perifoneo, reparto de informes, mensajería, etc; 6) Todo el gasto en medios como redes sociales, inserciones en aplicaciones como Facebook, YouTube twitter u otras como estas; 7) Y todos los demás gastos relacionados directa o indirectamente al informe. 8) Esta información la estaremos compartiendo entre nosotros, los medios de comunicación, la opinión pública y en redes u otros que consideremos importantes, incluso buscar cruzar datos o presentar las denuncia que aplique si consideramos actos que así lo ameriten; es tiempo de acabar con el abuso y prepotencia de los munícipes, que el pueblo hable; 9) Contacto para medir medios u otros contratos o encuestas o metodologías para medir esta campaña promocional de presidente o presidenta, o disque de informe, también el informe, reporte, estudio o lo que les hayan entregado. 10) Todo lo relacionado con suvenir u artículos promocionales, como lapiceros, tazas, pines o artículos parecidos; 11) Todo lo gastado en eventos de festejo, como comida, taquiza, desayuno, banquetes o simplemente cafetería, favor de especificar, en su caso para cuantas personas y el nombre de los invitados; 12) Gasto en Renta de inmuebles o instalaciones temporales, como teatros, plazas, carpas, foros, salones de fiesta o similares, si fueron prestados el contrato o documento que ampare esta condición; 13) Gasto en adecuar el lugar del informe. 14) De toda lo anterior solicitamos la autorización presupuestal, que indica que ya se tenía y no están </w:t>
      </w:r>
      <w:r w:rsidRPr="00467950">
        <w:rPr>
          <w:rFonts w:ascii="Palatino Linotype" w:eastAsia="Palatino Linotype" w:hAnsi="Palatino Linotype" w:cs="Palatino Linotype"/>
          <w:i/>
          <w:iCs/>
        </w:rPr>
        <w:lastRenderedPageBreak/>
        <w:t>regularizando; 15) Solicitamos los informes oficiales y fechas y mecanismos para el glose del informe. 16) Si no tienen pagos manden por favor los documentos que tengan disponibles (como contratos, presupuesto, orden de compra, etc.) o estén regularizando, ya que tenemos casi la certeza que están corrigiendo esta irregularidad. 17) Recordamos que en una petición anterior solicitamos el informe y no está disponible o no se nos ha enviado;</w:t>
      </w:r>
      <w:r w:rsidRPr="00467950">
        <w:rPr>
          <w:rFonts w:ascii="Palatino Linotype" w:eastAsia="Palatino Linotype" w:hAnsi="Palatino Linotype" w:cs="Palatino Linotype"/>
          <w:i/>
          <w:iCs/>
          <w:color w:val="000000"/>
        </w:rPr>
        <w:t>”</w:t>
      </w:r>
    </w:p>
    <w:p w:rsidR="00727FC5" w:rsidRPr="00467950" w:rsidRDefault="00727FC5">
      <w:pPr>
        <w:pBdr>
          <w:top w:val="nil"/>
          <w:left w:val="nil"/>
          <w:bottom w:val="nil"/>
          <w:right w:val="nil"/>
          <w:between w:val="nil"/>
        </w:pBdr>
        <w:spacing w:line="360" w:lineRule="auto"/>
        <w:ind w:left="425" w:right="49"/>
        <w:jc w:val="both"/>
        <w:rPr>
          <w:rFonts w:ascii="Palatino Linotype" w:eastAsia="Palatino Linotype" w:hAnsi="Palatino Linotype" w:cs="Palatino Linotype"/>
          <w:color w:val="000000"/>
        </w:rPr>
      </w:pPr>
    </w:p>
    <w:p w:rsidR="00727FC5" w:rsidRPr="00467950" w:rsidRDefault="00036D1B" w:rsidP="00467950">
      <w:pPr>
        <w:numPr>
          <w:ilvl w:val="0"/>
          <w:numId w:val="5"/>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Se eligió como modalidad de entrega de la información: </w:t>
      </w:r>
      <w:r w:rsidRPr="00467950">
        <w:rPr>
          <w:rFonts w:ascii="Palatino Linotype" w:eastAsia="Palatino Linotype" w:hAnsi="Palatino Linotype" w:cs="Palatino Linotype"/>
          <w:b/>
          <w:bCs/>
          <w:color w:val="000000"/>
        </w:rPr>
        <w:t>a través de SAIMEX</w:t>
      </w:r>
    </w:p>
    <w:p w:rsidR="00727FC5" w:rsidRPr="00467950" w:rsidRDefault="00727FC5">
      <w:p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bCs/>
        </w:rPr>
      </w:pPr>
      <w:r w:rsidRPr="00467950">
        <w:rPr>
          <w:rFonts w:ascii="Palatino Linotype" w:eastAsia="Palatino Linotype" w:hAnsi="Palatino Linotype" w:cs="Palatino Linotype"/>
          <w:color w:val="000000"/>
        </w:rPr>
        <w:t xml:space="preserve">El </w:t>
      </w:r>
      <w:r w:rsidRPr="00467950">
        <w:rPr>
          <w:rFonts w:ascii="Palatino Linotype" w:eastAsia="Palatino Linotype" w:hAnsi="Palatino Linotype" w:cs="Palatino Linotype"/>
          <w:b/>
          <w:bCs/>
          <w:color w:val="000000"/>
        </w:rPr>
        <w:t>dos de abril de dos mil veinticinco</w:t>
      </w:r>
      <w:r w:rsidRPr="00467950">
        <w:rPr>
          <w:rFonts w:ascii="Palatino Linotype" w:eastAsia="Palatino Linotype" w:hAnsi="Palatino Linotype" w:cs="Palatino Linotype"/>
          <w:color w:val="000000"/>
        </w:rPr>
        <w:t xml:space="preserve">, </w:t>
      </w:r>
      <w:r w:rsidRPr="00467950">
        <w:rPr>
          <w:rFonts w:ascii="Palatino Linotype" w:eastAsia="Palatino Linotype" w:hAnsi="Palatino Linotype" w:cs="Palatino Linotype"/>
        </w:rPr>
        <w:t xml:space="preserve">el </w:t>
      </w:r>
      <w:r w:rsidRPr="00467950">
        <w:rPr>
          <w:rFonts w:ascii="Palatino Linotype" w:eastAsia="Palatino Linotype" w:hAnsi="Palatino Linotype" w:cs="Palatino Linotype"/>
          <w:b/>
          <w:bCs/>
        </w:rPr>
        <w:t xml:space="preserve">SUJETO OBLIGADO </w:t>
      </w:r>
      <w:r w:rsidRPr="00467950">
        <w:rPr>
          <w:rFonts w:ascii="Palatino Linotype" w:eastAsia="Palatino Linotype" w:hAnsi="Palatino Linotype" w:cs="Palatino Linotype"/>
        </w:rPr>
        <w:t xml:space="preserve">envió su respuesta a la </w:t>
      </w:r>
      <w:r w:rsidRPr="00467950">
        <w:rPr>
          <w:rFonts w:ascii="Palatino Linotype" w:eastAsia="Palatino Linotype" w:hAnsi="Palatino Linotype" w:cs="Palatino Linotype"/>
          <w:color w:val="000000"/>
        </w:rPr>
        <w:t>solicitud</w:t>
      </w:r>
      <w:r w:rsidRPr="00467950">
        <w:rPr>
          <w:rFonts w:ascii="Palatino Linotype" w:eastAsia="Palatino Linotype" w:hAnsi="Palatino Linotype" w:cs="Palatino Linotype"/>
        </w:rPr>
        <w:t xml:space="preserve"> de </w:t>
      </w:r>
      <w:r w:rsidRPr="00467950">
        <w:rPr>
          <w:rFonts w:ascii="Palatino Linotype" w:eastAsia="Palatino Linotype" w:hAnsi="Palatino Linotype" w:cs="Palatino Linotype"/>
          <w:color w:val="000000"/>
        </w:rPr>
        <w:t>acceso</w:t>
      </w:r>
      <w:r w:rsidRPr="00467950">
        <w:rPr>
          <w:rFonts w:ascii="Palatino Linotype" w:eastAsia="Palatino Linotype" w:hAnsi="Palatino Linotype" w:cs="Palatino Linotype"/>
        </w:rPr>
        <w:t xml:space="preserve"> a la información a través de SAIMEX, mediante cinco archivos </w:t>
      </w:r>
      <w:r w:rsidRPr="00467950">
        <w:rPr>
          <w:rFonts w:ascii="Palatino Linotype" w:eastAsia="Palatino Linotype" w:hAnsi="Palatino Linotype" w:cs="Palatino Linotype"/>
          <w:b/>
          <w:bCs/>
          <w:i/>
          <w:iCs/>
        </w:rPr>
        <w:t xml:space="preserve">SAIMEX 1935.pdf, Resp_Oficio_1045_ solic_01935.pdf, INFORME DE RESULTADOS 2024.pdf, 1935.pdf </w:t>
      </w:r>
      <w:r w:rsidRPr="00467950">
        <w:rPr>
          <w:rFonts w:ascii="Palatino Linotype" w:eastAsia="Palatino Linotype" w:hAnsi="Palatino Linotype" w:cs="Palatino Linotype"/>
          <w:i/>
          <w:iCs/>
        </w:rPr>
        <w:t>y,</w:t>
      </w:r>
      <w:r w:rsidRPr="00467950">
        <w:rPr>
          <w:rFonts w:ascii="Palatino Linotype" w:eastAsia="Palatino Linotype" w:hAnsi="Palatino Linotype" w:cs="Palatino Linotype"/>
          <w:b/>
          <w:bCs/>
          <w:i/>
          <w:iCs/>
        </w:rPr>
        <w:t xml:space="preserve"> R. 01935. 2025.pdf, </w:t>
      </w:r>
      <w:r w:rsidRPr="00467950">
        <w:rPr>
          <w:rFonts w:ascii="Palatino Linotype" w:eastAsia="Palatino Linotype" w:hAnsi="Palatino Linotype" w:cs="Palatino Linotype"/>
        </w:rPr>
        <w:t>que de manera general corresponden a la siguiente información: un oficio signado por el Tesorero Municipal, quien refiere que lo solicitado no constituye el ejercicio del derecho de acceso a la información, sino al de derecho de petición; una Gaceta Municipal Especial de la que se desprende el Tercer informe del estado que guarda la Administración Pública Municipal y de las labores realizadas durante el ejercicio 2024; un oficio signado por el Secretario Particular de Presidencia a través del cual informa que lo solicitado se puede localizar en el Portal de Información Pública Mexiquense; un oficio signado por el Coordinador General, a través del cual informa las atribuciones vigentes de la Coordinación de Comunicación Social.</w:t>
      </w:r>
    </w:p>
    <w:p w:rsidR="00727FC5" w:rsidRPr="00467950" w:rsidRDefault="00727FC5">
      <w:pPr>
        <w:pBdr>
          <w:top w:val="nil"/>
          <w:left w:val="nil"/>
          <w:bottom w:val="nil"/>
          <w:right w:val="nil"/>
          <w:between w:val="nil"/>
        </w:pBdr>
        <w:tabs>
          <w:tab w:val="left" w:pos="0"/>
        </w:tabs>
        <w:spacing w:line="360" w:lineRule="auto"/>
        <w:ind w:left="502" w:right="49"/>
        <w:jc w:val="both"/>
        <w:rPr>
          <w:rFonts w:ascii="Palatino Linotype" w:eastAsia="Palatino Linotype" w:hAnsi="Palatino Linotype" w:cs="Palatino Linotype"/>
          <w:b/>
          <w:bCs/>
        </w:rPr>
      </w:pPr>
    </w:p>
    <w:p w:rsidR="00727FC5" w:rsidRPr="00467950" w:rsidRDefault="00036D1B">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color w:val="000000"/>
        </w:rPr>
        <w:t>El</w:t>
      </w:r>
      <w:r w:rsidRPr="00467950">
        <w:rPr>
          <w:rFonts w:ascii="Palatino Linotype" w:eastAsia="Palatino Linotype" w:hAnsi="Palatino Linotype" w:cs="Palatino Linotype"/>
          <w:b/>
          <w:bCs/>
          <w:color w:val="000000"/>
        </w:rPr>
        <w:t xml:space="preserve"> </w:t>
      </w:r>
      <w:r w:rsidRPr="00467950">
        <w:rPr>
          <w:rFonts w:ascii="Palatino Linotype" w:eastAsia="Palatino Linotype" w:hAnsi="Palatino Linotype" w:cs="Palatino Linotype"/>
          <w:b/>
          <w:bCs/>
        </w:rPr>
        <w:t xml:space="preserve">dos de junio de dos mil veinticinco, </w:t>
      </w:r>
      <w:r w:rsidRPr="00467950">
        <w:rPr>
          <w:rFonts w:ascii="Palatino Linotype" w:eastAsia="Palatino Linotype" w:hAnsi="Palatino Linotype" w:cs="Palatino Linotype"/>
        </w:rPr>
        <w:t xml:space="preserve">la parte </w:t>
      </w:r>
      <w:r w:rsidRPr="00467950">
        <w:rPr>
          <w:rFonts w:ascii="Palatino Linotype" w:eastAsia="Palatino Linotype" w:hAnsi="Palatino Linotype" w:cs="Palatino Linotype"/>
          <w:b/>
          <w:bCs/>
        </w:rPr>
        <w:t>Recurrente</w:t>
      </w:r>
      <w:r w:rsidRPr="00467950">
        <w:rPr>
          <w:rFonts w:ascii="Palatino Linotype" w:eastAsia="Palatino Linotype" w:hAnsi="Palatino Linotype" w:cs="Palatino Linotype"/>
        </w:rPr>
        <w:t xml:space="preserve"> interpuso el recurso de revisión a través de </w:t>
      </w:r>
      <w:r w:rsidRPr="00467950">
        <w:rPr>
          <w:rFonts w:ascii="Palatino Linotype" w:eastAsia="Palatino Linotype" w:hAnsi="Palatino Linotype" w:cs="Palatino Linotype"/>
          <w:b/>
          <w:bCs/>
        </w:rPr>
        <w:t xml:space="preserve">SAIMEX, </w:t>
      </w:r>
      <w:r w:rsidRPr="00467950">
        <w:rPr>
          <w:rFonts w:ascii="Palatino Linotype" w:eastAsia="Palatino Linotype" w:hAnsi="Palatino Linotype" w:cs="Palatino Linotype"/>
        </w:rPr>
        <w:t>en donde se manifestó de la siguiente manera:</w:t>
      </w:r>
    </w:p>
    <w:p w:rsidR="00727FC5" w:rsidRPr="00467950" w:rsidRDefault="00467950" w:rsidP="00467950">
      <w:pPr>
        <w:pStyle w:val="Prrafodelista"/>
        <w:numPr>
          <w:ilvl w:val="0"/>
          <w:numId w:val="8"/>
        </w:numPr>
        <w:tabs>
          <w:tab w:val="left" w:pos="2745"/>
        </w:tabs>
        <w:spacing w:line="360" w:lineRule="auto"/>
        <w:ind w:right="616"/>
        <w:jc w:val="both"/>
        <w:rPr>
          <w:rFonts w:ascii="Palatino Linotype" w:eastAsia="Palatino Linotype" w:hAnsi="Palatino Linotype" w:cs="Palatino Linotype"/>
          <w:b/>
          <w:bCs/>
        </w:rPr>
      </w:pPr>
      <w:r w:rsidRPr="00467950">
        <w:rPr>
          <w:rFonts w:ascii="Palatino Linotype" w:eastAsia="Palatino Linotype" w:hAnsi="Palatino Linotype" w:cs="Palatino Linotype"/>
          <w:b/>
          <w:bCs/>
        </w:rPr>
        <w:lastRenderedPageBreak/>
        <w:t xml:space="preserve">ACTO IMPUGNADO: </w:t>
      </w:r>
    </w:p>
    <w:p w:rsidR="00727FC5" w:rsidRPr="00467950" w:rsidRDefault="00036D1B" w:rsidP="00467950">
      <w:pPr>
        <w:tabs>
          <w:tab w:val="left" w:pos="2745"/>
        </w:tabs>
        <w:spacing w:line="360" w:lineRule="auto"/>
        <w:ind w:right="616"/>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“LA RESPEUSTA DEL SUJETO OBLIGADO NO HACE ENTREGA DE TODO DE ACUERDO CON LO SOLICITADO”</w:t>
      </w:r>
    </w:p>
    <w:p w:rsidR="00727FC5" w:rsidRPr="00467950" w:rsidRDefault="00727FC5" w:rsidP="00467950">
      <w:pPr>
        <w:tabs>
          <w:tab w:val="left" w:pos="2745"/>
        </w:tabs>
        <w:spacing w:line="360" w:lineRule="auto"/>
        <w:ind w:right="616"/>
        <w:jc w:val="both"/>
        <w:rPr>
          <w:rFonts w:ascii="Palatino Linotype" w:eastAsia="Palatino Linotype" w:hAnsi="Palatino Linotype" w:cs="Palatino Linotype"/>
          <w:i/>
          <w:iCs/>
        </w:rPr>
      </w:pPr>
    </w:p>
    <w:p w:rsidR="00727FC5" w:rsidRPr="00467950" w:rsidRDefault="00467950" w:rsidP="00467950">
      <w:pPr>
        <w:pStyle w:val="Prrafodelista"/>
        <w:numPr>
          <w:ilvl w:val="0"/>
          <w:numId w:val="8"/>
        </w:numPr>
        <w:spacing w:line="360" w:lineRule="auto"/>
        <w:ind w:right="616"/>
        <w:jc w:val="both"/>
        <w:rPr>
          <w:rFonts w:ascii="Palatino Linotype" w:eastAsia="Palatino Linotype" w:hAnsi="Palatino Linotype" w:cs="Palatino Linotype"/>
        </w:rPr>
      </w:pPr>
      <w:bookmarkStart w:id="1" w:name="_heading=h.30j0zll" w:colFirst="0" w:colLast="0"/>
      <w:bookmarkEnd w:id="1"/>
      <w:r w:rsidRPr="00467950">
        <w:rPr>
          <w:rFonts w:ascii="Palatino Linotype" w:eastAsia="Palatino Linotype" w:hAnsi="Palatino Linotype" w:cs="Palatino Linotype"/>
          <w:b/>
          <w:bCs/>
        </w:rPr>
        <w:t>RAZONES O MOTIVOS DE INCONFORMIDAD</w:t>
      </w:r>
      <w:r w:rsidRPr="00467950">
        <w:rPr>
          <w:rFonts w:ascii="Palatino Linotype" w:eastAsia="Palatino Linotype" w:hAnsi="Palatino Linotype" w:cs="Palatino Linotype"/>
        </w:rPr>
        <w:t>:</w:t>
      </w:r>
    </w:p>
    <w:p w:rsidR="00727FC5" w:rsidRPr="00467950" w:rsidRDefault="00036D1B" w:rsidP="00467950">
      <w:pPr>
        <w:tabs>
          <w:tab w:val="left" w:pos="2745"/>
        </w:tabs>
        <w:spacing w:line="360" w:lineRule="auto"/>
        <w:ind w:right="616"/>
        <w:jc w:val="both"/>
        <w:rPr>
          <w:rFonts w:ascii="Palatino Linotype" w:eastAsia="Palatino Linotype" w:hAnsi="Palatino Linotype" w:cs="Palatino Linotype"/>
          <w:b/>
          <w:bCs/>
          <w:i/>
          <w:iCs/>
        </w:rPr>
      </w:pPr>
      <w:r w:rsidRPr="00467950">
        <w:rPr>
          <w:rFonts w:ascii="Palatino Linotype" w:eastAsia="Palatino Linotype" w:hAnsi="Palatino Linotype" w:cs="Palatino Linotype"/>
          <w:i/>
          <w:iCs/>
        </w:rPr>
        <w:t>“FALTA INFORMACIÓN SOLICITO SE ENTREGUE DE ACUERDO CON EL SAIMEX”</w:t>
      </w:r>
    </w:p>
    <w:p w:rsidR="00727FC5" w:rsidRPr="00467950" w:rsidRDefault="00727FC5">
      <w:pPr>
        <w:tabs>
          <w:tab w:val="left" w:pos="2745"/>
        </w:tabs>
        <w:spacing w:line="360" w:lineRule="auto"/>
        <w:ind w:left="709" w:right="616"/>
        <w:jc w:val="both"/>
        <w:rPr>
          <w:rFonts w:ascii="Palatino Linotype" w:eastAsia="Palatino Linotype" w:hAnsi="Palatino Linotype" w:cs="Palatino Linotype"/>
          <w:i/>
          <w:iCs/>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rPr>
        <w:t>Con fecha</w:t>
      </w:r>
      <w:r w:rsidRPr="00467950">
        <w:rPr>
          <w:rFonts w:ascii="Palatino Linotype" w:eastAsia="Palatino Linotype" w:hAnsi="Palatino Linotype" w:cs="Palatino Linotype"/>
          <w:b/>
          <w:bCs/>
        </w:rPr>
        <w:t xml:space="preserve"> tres de junio dos mil veinticinco, </w:t>
      </w:r>
      <w:r w:rsidRPr="0046795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67950">
        <w:rPr>
          <w:rFonts w:ascii="Palatino Linotype" w:eastAsia="Palatino Linotype" w:hAnsi="Palatino Linotype" w:cs="Palatino Linotype"/>
          <w:b/>
          <w:bCs/>
        </w:rPr>
        <w:t xml:space="preserve">SUJETO OBLIGADO </w:t>
      </w:r>
      <w:r w:rsidRPr="00467950">
        <w:rPr>
          <w:rFonts w:ascii="Palatino Linotype" w:eastAsia="Palatino Linotype" w:hAnsi="Palatino Linotype" w:cs="Palatino Linotype"/>
        </w:rPr>
        <w:t>presentara su informe justificado.</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color w:val="000000"/>
        </w:rPr>
        <w:t>El</w:t>
      </w:r>
      <w:r w:rsidRPr="00467950">
        <w:rPr>
          <w:rFonts w:ascii="Palatino Linotype" w:eastAsia="Palatino Linotype" w:hAnsi="Palatino Linotype" w:cs="Palatino Linotype"/>
          <w:b/>
          <w:bCs/>
          <w:color w:val="000000"/>
        </w:rPr>
        <w:t xml:space="preserve"> SUJETO </w:t>
      </w:r>
      <w:r w:rsidRPr="00467950">
        <w:rPr>
          <w:rFonts w:ascii="Palatino Linotype" w:eastAsia="Palatino Linotype" w:hAnsi="Palatino Linotype" w:cs="Palatino Linotype"/>
          <w:b/>
          <w:bCs/>
        </w:rPr>
        <w:t>OBLIGADO</w:t>
      </w:r>
      <w:r w:rsidRPr="00467950">
        <w:rPr>
          <w:rFonts w:ascii="Palatino Linotype" w:eastAsia="Palatino Linotype" w:hAnsi="Palatino Linotype" w:cs="Palatino Linotype"/>
          <w:b/>
          <w:bCs/>
          <w:color w:val="000000"/>
        </w:rPr>
        <w:t xml:space="preserve"> </w:t>
      </w:r>
      <w:r w:rsidRPr="00467950">
        <w:rPr>
          <w:rFonts w:ascii="Palatino Linotype" w:eastAsia="Palatino Linotype" w:hAnsi="Palatino Linotype" w:cs="Palatino Linotype"/>
          <w:color w:val="000000"/>
        </w:rPr>
        <w:t>en fecha</w:t>
      </w:r>
      <w:r w:rsidRPr="00467950">
        <w:rPr>
          <w:rFonts w:ascii="Palatino Linotype" w:eastAsia="Palatino Linotype" w:hAnsi="Palatino Linotype" w:cs="Palatino Linotype"/>
          <w:b/>
          <w:bCs/>
          <w:color w:val="000000"/>
        </w:rPr>
        <w:t xml:space="preserve"> doce de junio de dos mil veinticinco </w:t>
      </w:r>
      <w:r w:rsidRPr="00467950">
        <w:rPr>
          <w:rFonts w:ascii="Palatino Linotype" w:eastAsia="Palatino Linotype" w:hAnsi="Palatino Linotype" w:cs="Palatino Linotype"/>
          <w:color w:val="000000"/>
        </w:rPr>
        <w:t xml:space="preserve">rindió </w:t>
      </w:r>
      <w:r w:rsidRPr="00467950">
        <w:rPr>
          <w:rFonts w:ascii="Palatino Linotype" w:eastAsia="Palatino Linotype" w:hAnsi="Palatino Linotype" w:cs="Palatino Linotype"/>
        </w:rPr>
        <w:t xml:space="preserve">informe a través de un escrito suscrito por el Titular de la Unidad de Transparencia en el que manifiesta lo siguiente: </w:t>
      </w:r>
      <w:r w:rsidRPr="00467950">
        <w:rPr>
          <w:rFonts w:ascii="Palatino Linotype" w:eastAsia="Palatino Linotype" w:hAnsi="Palatino Linotype" w:cs="Palatino Linotype"/>
          <w:i/>
          <w:iCs/>
        </w:rPr>
        <w:t>"...a través de este acto, comparezco a realizar la ratificación de la respuesta emitida por las Unidades Administrativas y Servidores Públicos Habilitados, el 12 de mayo de 2025 a la solicitud 01935/TOLUCA/IP/2025, relacionada con el Recurso de Revisión 06433/INFOEM/IP/RR/2025."</w:t>
      </w:r>
    </w:p>
    <w:p w:rsidR="00727FC5" w:rsidRPr="00467950" w:rsidRDefault="00727FC5">
      <w:pPr>
        <w:pBdr>
          <w:top w:val="nil"/>
          <w:left w:val="nil"/>
          <w:bottom w:val="nil"/>
          <w:right w:val="nil"/>
          <w:between w:val="nil"/>
        </w:pBdr>
        <w:spacing w:line="360" w:lineRule="auto"/>
        <w:ind w:right="616"/>
        <w:jc w:val="both"/>
        <w:rPr>
          <w:rFonts w:ascii="Palatino Linotype" w:eastAsia="Palatino Linotype" w:hAnsi="Palatino Linotype" w:cs="Palatino Linotype"/>
          <w:i/>
          <w:iCs/>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467950">
        <w:rPr>
          <w:rFonts w:ascii="Palatino Linotype" w:eastAsia="Palatino Linotype" w:hAnsi="Palatino Linotype" w:cs="Palatino Linotype"/>
          <w:color w:val="000000"/>
        </w:rPr>
        <w:t xml:space="preserve">Seguidamente, mediante Acuerdo de fecha </w:t>
      </w:r>
      <w:r w:rsidRPr="00467950">
        <w:rPr>
          <w:rFonts w:ascii="Palatino Linotype" w:eastAsia="Palatino Linotype" w:hAnsi="Palatino Linotype" w:cs="Palatino Linotype"/>
          <w:b/>
          <w:bCs/>
          <w:color w:val="000000"/>
        </w:rPr>
        <w:t xml:space="preserve">cinco de marzo del año en curso, </w:t>
      </w:r>
      <w:r w:rsidRPr="00467950">
        <w:rPr>
          <w:rFonts w:ascii="Palatino Linotype" w:eastAsia="Palatino Linotype" w:hAnsi="Palatino Linotype" w:cs="Palatino Linotype"/>
          <w:color w:val="000000"/>
        </w:rPr>
        <w:t xml:space="preserve">se amplió el termino para resolver, consecutivamente se decretó el cierre de instrucción </w:t>
      </w:r>
      <w:r w:rsidRPr="00467950">
        <w:rPr>
          <w:rFonts w:ascii="Palatino Linotype" w:eastAsia="Palatino Linotype" w:hAnsi="Palatino Linotype" w:cs="Palatino Linotype"/>
          <w:color w:val="000000"/>
        </w:rPr>
        <w:lastRenderedPageBreak/>
        <w:t xml:space="preserve">mediante Acuerdo de once del mismo mes y año, se decretó el </w:t>
      </w:r>
      <w:r w:rsidRPr="00467950">
        <w:rPr>
          <w:rFonts w:ascii="Palatino Linotype" w:eastAsia="Palatino Linotype" w:hAnsi="Palatino Linotype" w:cs="Palatino Linotype"/>
          <w:b/>
          <w:bCs/>
          <w:color w:val="000000"/>
        </w:rPr>
        <w:t>cierre de instrucción</w:t>
      </w:r>
      <w:r w:rsidRPr="00467950">
        <w:rPr>
          <w:rFonts w:ascii="Palatino Linotype" w:eastAsia="Palatino Linotype" w:hAnsi="Palatino Linotype" w:cs="Palatino Linotype"/>
          <w:color w:val="000000"/>
        </w:rPr>
        <w:t>, por lo que no ha</w:t>
      </w:r>
      <w:r w:rsidR="00467950">
        <w:rPr>
          <w:rFonts w:ascii="Palatino Linotype" w:eastAsia="Palatino Linotype" w:hAnsi="Palatino Linotype" w:cs="Palatino Linotype"/>
          <w:color w:val="000000"/>
        </w:rPr>
        <w:t>biendo más que hacer constar, y</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b/>
          <w:bCs/>
          <w:color w:val="000000"/>
        </w:rPr>
      </w:pPr>
    </w:p>
    <w:p w:rsidR="00727FC5" w:rsidRPr="00467950" w:rsidRDefault="00036D1B">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r w:rsidRPr="00467950">
        <w:rPr>
          <w:rFonts w:ascii="Palatino Linotype" w:eastAsia="Palatino Linotype" w:hAnsi="Palatino Linotype" w:cs="Palatino Linotype"/>
          <w:b/>
          <w:bCs/>
          <w:color w:val="000000"/>
        </w:rPr>
        <w:t>C O N S I D E R A N D O</w:t>
      </w:r>
    </w:p>
    <w:p w:rsidR="00727FC5" w:rsidRPr="00467950" w:rsidRDefault="00727FC5">
      <w:pPr>
        <w:pBdr>
          <w:top w:val="nil"/>
          <w:left w:val="nil"/>
          <w:bottom w:val="nil"/>
          <w:right w:val="nil"/>
          <w:between w:val="nil"/>
        </w:pBdr>
        <w:spacing w:line="360" w:lineRule="auto"/>
        <w:ind w:right="49"/>
        <w:jc w:val="center"/>
        <w:rPr>
          <w:rFonts w:ascii="Palatino Linotype" w:eastAsia="Palatino Linotype" w:hAnsi="Palatino Linotype" w:cs="Palatino Linotype"/>
          <w:b/>
          <w:bCs/>
          <w:color w:val="000000"/>
        </w:rPr>
      </w:pPr>
    </w:p>
    <w:p w:rsidR="00727FC5" w:rsidRPr="00467950" w:rsidRDefault="00036D1B">
      <w:pPr>
        <w:pStyle w:val="Ttulo2"/>
        <w:spacing w:before="0" w:line="360" w:lineRule="auto"/>
        <w:ind w:right="49"/>
        <w:rPr>
          <w:rFonts w:ascii="Palatino Linotype" w:eastAsia="Palatino Linotype" w:hAnsi="Palatino Linotype" w:cs="Palatino Linotype"/>
          <w:b/>
          <w:bCs/>
          <w:color w:val="000000"/>
          <w:sz w:val="24"/>
          <w:szCs w:val="24"/>
        </w:rPr>
      </w:pPr>
      <w:bookmarkStart w:id="2" w:name="_heading=h.3znysh7" w:colFirst="0" w:colLast="0"/>
      <w:bookmarkEnd w:id="2"/>
      <w:r w:rsidRPr="00467950">
        <w:rPr>
          <w:rFonts w:ascii="Palatino Linotype" w:eastAsia="Palatino Linotype" w:hAnsi="Palatino Linotype" w:cs="Palatino Linotype"/>
          <w:b/>
          <w:bCs/>
          <w:color w:val="000000"/>
          <w:sz w:val="24"/>
          <w:szCs w:val="24"/>
        </w:rPr>
        <w:t>PRIMERO. Competencia</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Este Instituto de Transparencia, Acceso a la Información Pública y Protección de Datos </w:t>
      </w:r>
      <w:r w:rsidRPr="00467950">
        <w:rPr>
          <w:rFonts w:ascii="Palatino Linotype" w:eastAsia="Palatino Linotype" w:hAnsi="Palatino Linotype" w:cs="Palatino Linotype"/>
        </w:rPr>
        <w:t>Personales</w:t>
      </w:r>
      <w:r w:rsidRPr="00467950">
        <w:rPr>
          <w:rFonts w:ascii="Palatino Linotype" w:eastAsia="Palatino Linotype" w:hAnsi="Palatino Linotype" w:cs="Palatino Linotype"/>
          <w:color w:val="000000"/>
        </w:rPr>
        <w:t xml:space="preserve"> del Estado de México y Municipios es competente para conocer y </w:t>
      </w:r>
      <w:r w:rsidRPr="00467950">
        <w:rPr>
          <w:rFonts w:ascii="Palatino Linotype" w:eastAsia="Palatino Linotype" w:hAnsi="Palatino Linotype" w:cs="Palatino Linotype"/>
        </w:rPr>
        <w:t>resolver</w:t>
      </w:r>
      <w:r w:rsidRPr="00467950">
        <w:rPr>
          <w:rFonts w:ascii="Palatino Linotype" w:eastAsia="Palatino Linotype" w:hAnsi="Palatino Linotype" w:cs="Palatino Linotype"/>
          <w:color w:val="000000"/>
        </w:rPr>
        <w:t xml:space="preserve"> el presente Recurso de Revisión, conforme a lo dispuesto en los artículos 6, Apartado A de la Constitución Política de los Estados Unidos Mexicanos; 5, párrafos trigésimo noveno, cuadragésimo y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27FC5" w:rsidRPr="00467950" w:rsidRDefault="00036D1B">
      <w:pPr>
        <w:pStyle w:val="Ttulo2"/>
        <w:spacing w:before="0" w:line="360" w:lineRule="auto"/>
        <w:ind w:right="49"/>
        <w:rPr>
          <w:rFonts w:ascii="Palatino Linotype" w:eastAsia="Palatino Linotype" w:hAnsi="Palatino Linotype" w:cs="Palatino Linotype"/>
          <w:b/>
          <w:bCs/>
          <w:color w:val="000000"/>
          <w:sz w:val="24"/>
          <w:szCs w:val="24"/>
        </w:rPr>
      </w:pPr>
      <w:bookmarkStart w:id="3" w:name="_heading=h.2et92p0" w:colFirst="0" w:colLast="0"/>
      <w:bookmarkEnd w:id="3"/>
      <w:r w:rsidRPr="00467950">
        <w:rPr>
          <w:rFonts w:ascii="Palatino Linotype" w:eastAsia="Palatino Linotype" w:hAnsi="Palatino Linotype" w:cs="Palatino Linotype"/>
          <w:b/>
          <w:bCs/>
          <w:color w:val="000000"/>
          <w:sz w:val="24"/>
          <w:szCs w:val="24"/>
        </w:rPr>
        <w:t>SEGUNDO. Procedencia.</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Este Órgano Garante considera que el medio de impugnación reúne los requisitos de </w:t>
      </w:r>
      <w:r w:rsidRPr="00467950">
        <w:rPr>
          <w:rFonts w:ascii="Palatino Linotype" w:eastAsia="Palatino Linotype" w:hAnsi="Palatino Linotype" w:cs="Palatino Linotype"/>
          <w:color w:val="000000"/>
        </w:rPr>
        <w:t>procedencia</w:t>
      </w:r>
      <w:r w:rsidRPr="00467950">
        <w:rPr>
          <w:rFonts w:ascii="Palatino Linotype" w:eastAsia="Palatino Linotype" w:hAnsi="Palatino Linotype" w:cs="Palatino Linotype"/>
        </w:rPr>
        <w:t xml:space="preserve"> </w:t>
      </w:r>
      <w:r w:rsidRPr="00467950">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lastRenderedPageBreak/>
        <w:t>Por otro lado, es de suma importancia señalar que la parte recurrente no proporciona un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b/>
          <w:bCs/>
          <w:i/>
          <w:iCs/>
        </w:rPr>
        <w:t>Las solicitudes anónimas</w:t>
      </w:r>
      <w:r w:rsidRPr="00467950">
        <w:rPr>
          <w:rFonts w:ascii="Palatino Linotype" w:eastAsia="Palatino Linotype" w:hAnsi="Palatino Linotype" w:cs="Palatino Linotype"/>
          <w:i/>
          <w:iCs/>
        </w:rPr>
        <w:t xml:space="preserve">, con nombre incompleto o seudónimo </w:t>
      </w:r>
      <w:r w:rsidRPr="00467950">
        <w:rPr>
          <w:rFonts w:ascii="Palatino Linotype" w:eastAsia="Palatino Linotype" w:hAnsi="Palatino Linotype" w:cs="Palatino Linotype"/>
          <w:b/>
          <w:bCs/>
          <w:i/>
          <w:iCs/>
        </w:rPr>
        <w:t>serán procedentes para su trámite por parte del sujeto obligado ante quien se presente</w:t>
      </w:r>
      <w:r w:rsidRPr="00467950">
        <w:rPr>
          <w:rFonts w:ascii="Palatino Linotype" w:eastAsia="Palatino Linotype" w:hAnsi="Palatino Linotype" w:cs="Palatino Linotype"/>
          <w:i/>
          <w:iCs/>
        </w:rPr>
        <w:t>. No podrá requerirse información adicional con motivo del nombre proporcionado por el solicitante."</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 de Revisión.</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pStyle w:val="Ttulo2"/>
        <w:tabs>
          <w:tab w:val="left" w:pos="284"/>
          <w:tab w:val="left" w:pos="426"/>
        </w:tabs>
        <w:spacing w:before="0" w:line="360" w:lineRule="auto"/>
        <w:rPr>
          <w:rFonts w:ascii="Palatino Linotype" w:eastAsia="Palatino Linotype" w:hAnsi="Palatino Linotype" w:cs="Palatino Linotype"/>
          <w:b/>
          <w:bCs/>
          <w:color w:val="000000"/>
          <w:sz w:val="24"/>
          <w:szCs w:val="24"/>
        </w:rPr>
      </w:pPr>
      <w:bookmarkStart w:id="4" w:name="_heading=h.tyjcwt" w:colFirst="0" w:colLast="0"/>
      <w:bookmarkEnd w:id="4"/>
      <w:r w:rsidRPr="00467950">
        <w:rPr>
          <w:rFonts w:ascii="Palatino Linotype" w:eastAsia="Palatino Linotype" w:hAnsi="Palatino Linotype" w:cs="Palatino Linotype"/>
          <w:b/>
          <w:bCs/>
          <w:color w:val="000000"/>
          <w:sz w:val="24"/>
          <w:szCs w:val="24"/>
        </w:rPr>
        <w:t xml:space="preserve">TERCERO. Del planteamiento de la </w:t>
      </w:r>
      <w:r w:rsidRPr="00467950">
        <w:rPr>
          <w:rFonts w:ascii="Palatino Linotype" w:eastAsia="Palatino Linotype" w:hAnsi="Palatino Linotype" w:cs="Palatino Linotype"/>
          <w:b/>
          <w:bCs/>
          <w:i/>
          <w:iCs/>
          <w:color w:val="000000"/>
          <w:sz w:val="24"/>
          <w:szCs w:val="24"/>
        </w:rPr>
        <w:t>Litis.</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Se solicitó tener acceso, a la información que a continuación se simplifica:</w:t>
      </w:r>
    </w:p>
    <w:p w:rsidR="00727FC5" w:rsidRPr="00467950" w:rsidRDefault="00036D1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Monto gastado para la difusión del Informe de Gobierno 2024</w:t>
      </w:r>
    </w:p>
    <w:p w:rsidR="00727FC5" w:rsidRPr="00467950" w:rsidRDefault="00036D1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Monto gastado por los siguientes conceptos de manera enunciativa mas no limitativa: impresión de informe en cualquier forma, proyectores, sillas, estrados, publicidad en periódicos, revistas u otros medios impresos, medios de comunicación de banda, como televisión abierta, televisión de paga o radio, tanto en estaciones locales como externas, reportajes, comerciales, videos, meseros, camarógrafos, edecanes, banquetes, perifoneo, reparto de informes, mensajería, redes sociales, inserciones en </w:t>
      </w:r>
      <w:r w:rsidRPr="00467950">
        <w:rPr>
          <w:rFonts w:ascii="Palatino Linotype" w:eastAsia="Palatino Linotype" w:hAnsi="Palatino Linotype" w:cs="Palatino Linotype"/>
          <w:color w:val="000000"/>
        </w:rPr>
        <w:lastRenderedPageBreak/>
        <w:t>aplicaciones digitales, suvenir u artículos promocionales, como lapiceros, tazas, pines o artículos similares, comida, taquiza, desayuno, banquetes o simplemente cafetería, renta de inmuebles o instalaciones temporales, como teatros, plazas, carpas, foros, salones de fiesta o similares, gastos para adecuar el lugar del informe</w:t>
      </w:r>
    </w:p>
    <w:p w:rsidR="00727FC5" w:rsidRPr="00467950" w:rsidRDefault="00036D1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Informe, reporte, estudio o lo que les hayan entregado.</w:t>
      </w:r>
    </w:p>
    <w:p w:rsidR="00727FC5" w:rsidRPr="00467950" w:rsidRDefault="00036D1B">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Los informes oficiales y fechas y mecanismos para la glosa del informe.</w:t>
      </w:r>
    </w:p>
    <w:p w:rsidR="00727FC5" w:rsidRPr="00467950" w:rsidRDefault="00036D1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Contratos y procedimiento de adquisición, cotizaciones o estudios de mercado y evidencia</w:t>
      </w:r>
    </w:p>
    <w:p w:rsidR="00727FC5" w:rsidRPr="00467950" w:rsidRDefault="00036D1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Número y nombre de invitados</w:t>
      </w:r>
    </w:p>
    <w:p w:rsidR="00727FC5" w:rsidRPr="00467950" w:rsidRDefault="00036D1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Contratación de </w:t>
      </w:r>
      <w:r w:rsidRPr="00467950">
        <w:rPr>
          <w:rFonts w:ascii="Palatino Linotype" w:eastAsia="Palatino Linotype" w:hAnsi="Palatino Linotype" w:cs="Palatino Linotype"/>
          <w:i/>
          <w:iCs/>
          <w:color w:val="000000"/>
        </w:rPr>
        <w:t>outsourcing</w:t>
      </w:r>
      <w:r w:rsidRPr="00467950">
        <w:rPr>
          <w:rFonts w:ascii="Palatino Linotype" w:eastAsia="Palatino Linotype" w:hAnsi="Palatino Linotype" w:cs="Palatino Linotype"/>
          <w:color w:val="000000"/>
        </w:rPr>
        <w:t xml:space="preserve"> en cualquier modalidad directamente aplicable al informe.</w:t>
      </w:r>
    </w:p>
    <w:p w:rsidR="00727FC5" w:rsidRPr="00467950" w:rsidRDefault="00727F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Inconforme con la respuesta, el solicitante interpuso recurso de revisión de manera general en contra de la entrega de información incompleta</w:t>
      </w:r>
      <w:r w:rsidRPr="00467950">
        <w:rPr>
          <w:rFonts w:ascii="Palatino Linotype" w:eastAsia="Palatino Linotype" w:hAnsi="Palatino Linotype" w:cs="Palatino Linotype"/>
          <w:color w:val="000000"/>
        </w:rPr>
        <w:t xml:space="preserve">. </w:t>
      </w:r>
      <w:r w:rsidRPr="00467950">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fracción V, de la Ley de Transparencia y Acceso a la Información Pública del Estado de México y Municipios; fracción que determina la hipótesis relativa a la entrega de información incompleta; contexto del cual se dolió el Recurrente al momento de interponer su inconformidad. De modo tal que el presente recurso de revisión se abocará en determinar si el Sujeto Obligado con su respuesta ciertamente actualiza la causal de procedencia señalada. </w:t>
      </w:r>
    </w:p>
    <w:p w:rsidR="00727FC5"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67950" w:rsidRDefault="00467950">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467950" w:rsidRPr="00467950" w:rsidRDefault="00467950">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spacing w:line="360" w:lineRule="auto"/>
        <w:rPr>
          <w:rFonts w:ascii="Palatino Linotype" w:eastAsia="Palatino Linotype" w:hAnsi="Palatino Linotype" w:cs="Palatino Linotype"/>
          <w:b/>
          <w:bCs/>
        </w:rPr>
      </w:pPr>
      <w:r w:rsidRPr="00467950">
        <w:rPr>
          <w:rFonts w:ascii="Palatino Linotype" w:eastAsia="Palatino Linotype" w:hAnsi="Palatino Linotype" w:cs="Palatino Linotype"/>
          <w:b/>
          <w:bCs/>
        </w:rPr>
        <w:lastRenderedPageBreak/>
        <w:t>CUARTO. Del estudio y resolución del asunto.</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727FC5" w:rsidRPr="00467950" w:rsidRDefault="00727F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27FC5" w:rsidRPr="00467950" w:rsidRDefault="00727FC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w:t>
      </w:r>
      <w:r w:rsidRPr="00467950">
        <w:rPr>
          <w:rFonts w:ascii="Palatino Linotype" w:eastAsia="Palatino Linotype" w:hAnsi="Palatino Linotype" w:cs="Palatino Linotype"/>
        </w:rPr>
        <w:lastRenderedPageBreak/>
        <w:t>cualquier medio de difusión o porque la requieren a través de una solicitud de acceso a la información, siempre y cuando no encuadre en una de las excepciones contempladas por la ley.</w:t>
      </w:r>
    </w:p>
    <w:p w:rsidR="00727FC5" w:rsidRPr="00467950" w:rsidRDefault="00727FC5">
      <w:pPr>
        <w:spacing w:line="360" w:lineRule="auto"/>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bookmarkStart w:id="5" w:name="_heading=h.xlsamw2bzd5p" w:colFirst="0" w:colLast="0"/>
      <w:bookmarkEnd w:id="5"/>
      <w:r w:rsidRPr="00467950">
        <w:rPr>
          <w:rFonts w:ascii="Palatino Linotype" w:eastAsia="Palatino Linotype" w:hAnsi="Palatino Linotype" w:cs="Palatino Linotype"/>
        </w:rPr>
        <w:t xml:space="preserve">Dicho lo anterior, se procede al análisis de los puntos que integraron la solicitud de información a efecto de determinar aquellos que fueron no colmados o en su caso atendidos. En ese contexto conviene inicialmente atraer a contexto el requerimiento relativo al informe, reporte, estudio o lo que les hayan entregado; toda vez que de las constancias que obran en el expediente electrónico en que se actúa, se desprende el Informe de Gobierno del año 2024, en el archivo electrónico denominado </w:t>
      </w:r>
      <w:r w:rsidRPr="00467950">
        <w:rPr>
          <w:rFonts w:ascii="Palatino Linotype" w:eastAsia="Palatino Linotype" w:hAnsi="Palatino Linotype" w:cs="Palatino Linotype"/>
          <w:i/>
          <w:iCs/>
        </w:rPr>
        <w:t>INFORME DE RESULTADOS 2024.pdf.</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Luego entonces, al corresponder al Informe de Gobierno 2024, del entonces un Presidente Municipal, también conocido como informe de labores, en su versión oficial; se tiene por colmado el rubro en comento, pues este corresponde a la versión pública –entregada– derivado del acto público mediante el cual el Presidente Municipal presentó a la ciudadanía y al Cabildo los resultados de su gestión durante el Ejercicio Fiscal 2024.</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Seguidamente conviene traer a colación el resto de requerimientos; toda vez que de las documentales entregadas se desprende que ninguno se colma por las siguientes consideraciones. Si bien es cierto el Secretario Particular de Presidencia, informó de un enlace en el que a su decir se puede localizar toda la información solicitada; también lo es que este se encuentra inmerso en un documento en formar PDF de solo lector, es decir que no corresponde a un formato abierto.</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lastRenderedPageBreak/>
        <w:t>Al respecto, el 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Así </w:t>
      </w:r>
      <w:r w:rsidRPr="00467950">
        <w:rPr>
          <w:rFonts w:ascii="Palatino Linotype" w:eastAsia="Palatino Linotype" w:hAnsi="Palatino Linotype" w:cs="Palatino Linotype"/>
        </w:rPr>
        <w:t xml:space="preserve">las </w:t>
      </w:r>
      <w:r w:rsidRPr="00467950">
        <w:rPr>
          <w:rFonts w:ascii="Palatino Linotype" w:eastAsia="Palatino Linotype" w:hAnsi="Palatino Linotype" w:cs="Palatino Linotype"/>
          <w:color w:val="000000"/>
        </w:rPr>
        <w:t>cosas</w:t>
      </w:r>
      <w:r w:rsidRPr="00467950">
        <w:rPr>
          <w:rFonts w:ascii="Palatino Linotype" w:eastAsia="Palatino Linotype" w:hAnsi="Palatino Linotype" w:cs="Palatino Linotype"/>
        </w:rPr>
        <w:t xml:space="preserve">, la Ley de la materia establece que, para el caso de que la información que requieran los particulares ya se encuentre disponible en medios electrónicos, el </w:t>
      </w:r>
      <w:r w:rsidRPr="00467950">
        <w:rPr>
          <w:rFonts w:ascii="Palatino Linotype" w:eastAsia="Palatino Linotype" w:hAnsi="Palatino Linotype" w:cs="Palatino Linotype"/>
          <w:b/>
          <w:bCs/>
        </w:rPr>
        <w:t>SUJETO OBLIGADO</w:t>
      </w:r>
      <w:r w:rsidRPr="00467950">
        <w:rPr>
          <w:rFonts w:ascii="Palatino Linotype" w:eastAsia="Palatino Linotype" w:hAnsi="Palatino Linotype" w:cs="Palatino Linotype"/>
        </w:rPr>
        <w:t xml:space="preserve"> podrá hacerle saber al particular la fuente de consulta atendiendo dos consideraciones: </w:t>
      </w:r>
      <w:r w:rsidRPr="00467950">
        <w:rPr>
          <w:rFonts w:ascii="Palatino Linotype" w:eastAsia="Palatino Linotype" w:hAnsi="Palatino Linotype" w:cs="Palatino Linotype"/>
          <w:b/>
          <w:bCs/>
        </w:rPr>
        <w:t>a)</w:t>
      </w:r>
      <w:r w:rsidRPr="00467950">
        <w:rPr>
          <w:rFonts w:ascii="Palatino Linotype" w:eastAsia="Palatino Linotype" w:hAnsi="Palatino Linotype" w:cs="Palatino Linotype"/>
        </w:rPr>
        <w:t xml:space="preserve"> la fuente se deberá hacer de su conocimiento dentro de los primeros cinco días hábiles posteriores a la recepción de la solicitud de información; y, </w:t>
      </w:r>
      <w:r w:rsidRPr="00467950">
        <w:rPr>
          <w:rFonts w:ascii="Palatino Linotype" w:eastAsia="Palatino Linotype" w:hAnsi="Palatino Linotype" w:cs="Palatino Linotype"/>
          <w:b/>
          <w:bCs/>
        </w:rPr>
        <w:t>b)</w:t>
      </w:r>
      <w:r w:rsidRPr="00467950">
        <w:rPr>
          <w:rFonts w:ascii="Palatino Linotype" w:eastAsia="Palatino Linotype" w:hAnsi="Palatino Linotype" w:cs="Palatino Linotype"/>
        </w:rPr>
        <w:t xml:space="preserve"> la fuente deberá ser precisa, esto es, que evite que el particular tenga que realizar una búsqueda en toda la información disponible en el portal que se señale.</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color w:val="000000"/>
        </w:rPr>
        <w:t xml:space="preserve">En </w:t>
      </w:r>
      <w:r w:rsidRPr="00467950">
        <w:rPr>
          <w:rFonts w:ascii="Palatino Linotype" w:eastAsia="Palatino Linotype" w:hAnsi="Palatino Linotype" w:cs="Palatino Linotype"/>
        </w:rPr>
        <w:t xml:space="preserve">el presente </w:t>
      </w:r>
      <w:r w:rsidRPr="00467950">
        <w:rPr>
          <w:rFonts w:ascii="Palatino Linotype" w:eastAsia="Palatino Linotype" w:hAnsi="Palatino Linotype" w:cs="Palatino Linotype"/>
          <w:color w:val="000000"/>
        </w:rPr>
        <w:t>asunto</w:t>
      </w:r>
      <w:r w:rsidRPr="00467950">
        <w:rPr>
          <w:rFonts w:ascii="Palatino Linotype" w:eastAsia="Palatino Linotype" w:hAnsi="Palatino Linotype" w:cs="Palatino Linotype"/>
        </w:rPr>
        <w:t>, al encontrarse en formato cerrado, no puede tomarse en consideración para colmar algún rubro de los que integran la solicitud de información, por lo que resulta dable realizar un análisis del marco normativo de lo solicitado a efecto de determinar la procedencia o improcedencia de su entrega.</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lastRenderedPageBreak/>
        <w:t xml:space="preserve">Por cuanto hace a todos los rubros de los que se enlista se requieren los montos erogados, es necesario mencionar que, respecto de las facturas y contratos solicitados, </w:t>
      </w:r>
      <w:r w:rsidRPr="00467950">
        <w:rPr>
          <w:rFonts w:ascii="Palatino Linotype" w:eastAsia="Palatino Linotype" w:hAnsi="Palatino Linotype" w:cs="Palatino Linotype"/>
          <w:color w:val="000000"/>
        </w:rPr>
        <w:t>resulta</w:t>
      </w:r>
      <w:r w:rsidRPr="00467950">
        <w:rPr>
          <w:rFonts w:ascii="Palatino Linotype" w:eastAsia="Palatino Linotype" w:hAnsi="Palatino Linotype" w:cs="Palatino Linotype"/>
        </w:rPr>
        <w:t xml:space="preserve"> importante señalar que este término se </w:t>
      </w:r>
      <w:r w:rsidRPr="00467950">
        <w:rPr>
          <w:rFonts w:ascii="Palatino Linotype" w:eastAsia="Palatino Linotype" w:hAnsi="Palatino Linotype" w:cs="Palatino Linotype"/>
          <w:color w:val="000000"/>
        </w:rPr>
        <w:t>encuentra</w:t>
      </w:r>
      <w:r w:rsidRPr="00467950">
        <w:rPr>
          <w:rFonts w:ascii="Palatino Linotype" w:eastAsia="Palatino Linotype" w:hAnsi="Palatino Linotype" w:cs="Palatino Linotype"/>
        </w:rPr>
        <w:t xml:space="preserve"> definido en el Glosario de Términos Hacendarios que emite el Instituto Hacendario del Estado de México, el cual expresa lo siguiente:</w:t>
      </w:r>
    </w:p>
    <w:p w:rsidR="00727FC5" w:rsidRPr="00467950" w:rsidRDefault="00036D1B">
      <w:pPr>
        <w:spacing w:line="360" w:lineRule="auto"/>
        <w:ind w:left="851" w:right="851"/>
        <w:jc w:val="both"/>
        <w:rPr>
          <w:rFonts w:ascii="Palatino Linotype" w:eastAsia="Palatino Linotype" w:hAnsi="Palatino Linotype" w:cs="Palatino Linotype"/>
          <w:b/>
          <w:bCs/>
          <w:i/>
          <w:iCs/>
        </w:rPr>
      </w:pP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b/>
          <w:bCs/>
          <w:i/>
          <w:iCs/>
        </w:rPr>
        <w:t>FACTURA</w:t>
      </w:r>
    </w:p>
    <w:p w:rsidR="00727FC5" w:rsidRPr="00467950" w:rsidRDefault="00036D1B">
      <w:pPr>
        <w:spacing w:line="360" w:lineRule="auto"/>
        <w:ind w:left="851" w:right="851"/>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 xml:space="preserve">Es el documento fiscal que emite la persona física o moral para </w:t>
      </w:r>
      <w:r w:rsidRPr="00467950">
        <w:rPr>
          <w:rFonts w:ascii="Palatino Linotype" w:eastAsia="Palatino Linotype" w:hAnsi="Palatino Linotype" w:cs="Palatino Linotype"/>
          <w:b/>
          <w:bCs/>
          <w:i/>
          <w:iCs/>
          <w:u w:val="single"/>
        </w:rPr>
        <w:t>comprobar la venta o adquisición de un bien y/o servicio</w:t>
      </w:r>
      <w:r w:rsidRPr="00467950">
        <w:rPr>
          <w:rFonts w:ascii="Palatino Linotype" w:eastAsia="Palatino Linotype" w:hAnsi="Palatino Linotype" w:cs="Palatino Linotype"/>
          <w:i/>
          <w:iCs/>
        </w:rPr>
        <w:t xml:space="preserve">.” </w:t>
      </w:r>
      <w:r w:rsidRPr="00467950">
        <w:rPr>
          <w:rFonts w:ascii="Palatino Linotype" w:eastAsia="Palatino Linotype" w:hAnsi="Palatino Linotype" w:cs="Palatino Linotype"/>
        </w:rPr>
        <w:t>(Énfasis añadido)</w:t>
      </w:r>
    </w:p>
    <w:p w:rsidR="00727FC5" w:rsidRPr="00467950" w:rsidRDefault="00727FC5">
      <w:pPr>
        <w:spacing w:line="360" w:lineRule="auto"/>
        <w:ind w:left="851" w:right="851"/>
        <w:jc w:val="both"/>
        <w:rPr>
          <w:rFonts w:ascii="Palatino Linotype" w:eastAsia="Palatino Linotype" w:hAnsi="Palatino Linotype" w:cs="Palatino Linotype"/>
          <w:i/>
          <w:iCs/>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467950">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727FC5" w:rsidRPr="00467950" w:rsidRDefault="00036D1B">
      <w:pPr>
        <w:spacing w:line="360" w:lineRule="auto"/>
        <w:ind w:left="567" w:right="567"/>
        <w:jc w:val="both"/>
        <w:rPr>
          <w:rFonts w:ascii="Palatino Linotype" w:eastAsia="Palatino Linotype" w:hAnsi="Palatino Linotype" w:cs="Palatino Linotype"/>
          <w:b/>
          <w:bCs/>
          <w:i/>
          <w:iCs/>
        </w:rPr>
      </w:pPr>
      <w:r w:rsidRPr="00467950">
        <w:rPr>
          <w:rFonts w:ascii="Palatino Linotype" w:eastAsia="Palatino Linotype" w:hAnsi="Palatino Linotype" w:cs="Palatino Linotype"/>
          <w:i/>
          <w:iCs/>
          <w:color w:val="000000"/>
        </w:rPr>
        <w:t>“</w:t>
      </w:r>
      <w:r w:rsidRPr="00467950">
        <w:rPr>
          <w:rFonts w:ascii="Palatino Linotype" w:eastAsia="Palatino Linotype" w:hAnsi="Palatino Linotype" w:cs="Palatino Linotype"/>
          <w:b/>
          <w:bCs/>
          <w:i/>
          <w:iCs/>
        </w:rPr>
        <w:t>Artículo 342.-</w:t>
      </w:r>
      <w:r w:rsidRPr="00467950">
        <w:rPr>
          <w:rFonts w:ascii="Palatino Linotype" w:eastAsia="Palatino Linotype" w:hAnsi="Palatino Linotype" w:cs="Palatino Linotype"/>
          <w:i/>
          <w:iCs/>
        </w:rPr>
        <w:t xml:space="preserve"> </w:t>
      </w:r>
      <w:r w:rsidRPr="00467950">
        <w:rPr>
          <w:rFonts w:ascii="Palatino Linotype" w:eastAsia="Palatino Linotype" w:hAnsi="Palatino Linotype" w:cs="Palatino Linotype"/>
          <w:b/>
          <w:bCs/>
          <w:i/>
          <w:iCs/>
        </w:rPr>
        <w:t xml:space="preserve">El registro contable del efecto patrimonial y presupuestal de las operaciones financieras, se realizará conforme al sistema y a las disposiciones que se aprueben en materia </w:t>
      </w:r>
      <w:r w:rsidRPr="00467950">
        <w:rPr>
          <w:rFonts w:ascii="Palatino Linotype" w:eastAsia="Palatino Linotype" w:hAnsi="Palatino Linotype" w:cs="Palatino Linotype"/>
          <w:i/>
          <w:iCs/>
        </w:rPr>
        <w:t xml:space="preserve">de </w:t>
      </w:r>
      <w:r w:rsidRPr="00467950">
        <w:rPr>
          <w:rFonts w:ascii="Palatino Linotype" w:eastAsia="Palatino Linotype" w:hAnsi="Palatino Linotype" w:cs="Palatino Linotype"/>
          <w:i/>
          <w:iCs/>
          <w:color w:val="000000"/>
        </w:rPr>
        <w:t>planeación</w:t>
      </w: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b/>
          <w:bCs/>
          <w:i/>
          <w:iCs/>
        </w:rPr>
        <w:t xml:space="preserve"> programación, presupuestación</w:t>
      </w:r>
      <w:r w:rsidRPr="00467950">
        <w:rPr>
          <w:rFonts w:ascii="Palatino Linotype" w:eastAsia="Palatino Linotype" w:hAnsi="Palatino Linotype" w:cs="Palatino Linotype"/>
          <w:i/>
          <w:iCs/>
        </w:rPr>
        <w:t xml:space="preserve">, evaluación y </w:t>
      </w:r>
      <w:r w:rsidRPr="00467950">
        <w:rPr>
          <w:rFonts w:ascii="Palatino Linotype" w:eastAsia="Palatino Linotype" w:hAnsi="Palatino Linotype" w:cs="Palatino Linotype"/>
          <w:b/>
          <w:bCs/>
          <w:i/>
          <w:iCs/>
          <w:color w:val="000000"/>
        </w:rPr>
        <w:t>contabilidad</w:t>
      </w:r>
      <w:r w:rsidRPr="00467950">
        <w:rPr>
          <w:rFonts w:ascii="Palatino Linotype" w:eastAsia="Palatino Linotype" w:hAnsi="Palatino Linotype" w:cs="Palatino Linotype"/>
          <w:b/>
          <w:bCs/>
          <w:i/>
          <w:iCs/>
        </w:rPr>
        <w:t xml:space="preserve"> gubernamental.</w:t>
      </w:r>
      <w:r w:rsidRPr="00467950">
        <w:rPr>
          <w:rFonts w:ascii="Palatino Linotype" w:eastAsia="Palatino Linotype" w:hAnsi="Palatino Linotype" w:cs="Palatino Linotype"/>
          <w:i/>
          <w:iCs/>
        </w:rPr>
        <w:t xml:space="preserve"> </w:t>
      </w:r>
    </w:p>
    <w:p w:rsidR="00727FC5" w:rsidRPr="00467950" w:rsidRDefault="00036D1B">
      <w:pPr>
        <w:spacing w:line="360" w:lineRule="auto"/>
        <w:ind w:left="567" w:right="567"/>
        <w:jc w:val="both"/>
        <w:rPr>
          <w:rFonts w:ascii="Palatino Linotype" w:eastAsia="Palatino Linotype" w:hAnsi="Palatino Linotype" w:cs="Palatino Linotype"/>
          <w:b/>
          <w:bCs/>
          <w:i/>
          <w:iCs/>
        </w:rPr>
      </w:pPr>
      <w:r w:rsidRPr="00467950">
        <w:rPr>
          <w:rFonts w:ascii="Palatino Linotype" w:eastAsia="Palatino Linotype" w:hAnsi="Palatino Linotype" w:cs="Palatino Linotype"/>
          <w:b/>
          <w:bCs/>
          <w:i/>
          <w:iCs/>
          <w:color w:val="000000"/>
        </w:rPr>
        <w:lastRenderedPageBreak/>
        <w:t>…</w:t>
      </w: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Artículo 343.-</w:t>
      </w:r>
      <w:r w:rsidRPr="00467950">
        <w:rPr>
          <w:rFonts w:ascii="Palatino Linotype" w:eastAsia="Palatino Linotype" w:hAnsi="Palatino Linotype" w:cs="Palatino Linotype"/>
          <w:i/>
          <w:iC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 xml:space="preserve">El sistema de contabilidad sobre base acumulativa total se sustentará en los postulados básicos y el marco conceptual de la contabilidad gubernamental. </w:t>
      </w:r>
    </w:p>
    <w:p w:rsidR="00727FC5" w:rsidRPr="00467950" w:rsidRDefault="00727FC5">
      <w:pPr>
        <w:spacing w:line="360" w:lineRule="auto"/>
        <w:ind w:left="567" w:right="567"/>
        <w:jc w:val="both"/>
        <w:rPr>
          <w:rFonts w:ascii="Palatino Linotype" w:eastAsia="Palatino Linotype" w:hAnsi="Palatino Linotype" w:cs="Palatino Linotype"/>
          <w:i/>
          <w:iCs/>
        </w:rPr>
      </w:pP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467950">
        <w:rPr>
          <w:rFonts w:ascii="Palatino Linotype" w:eastAsia="Palatino Linotype" w:hAnsi="Palatino Linotype" w:cs="Palatino Linotype"/>
          <w:i/>
          <w:iCs/>
        </w:rPr>
        <w:t xml:space="preserve">en el caso de los Municipios se hará por la Tesorería. </w:t>
      </w: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 xml:space="preserve">Derogado. </w:t>
      </w:r>
    </w:p>
    <w:p w:rsidR="00727FC5" w:rsidRPr="00467950" w:rsidRDefault="00727FC5">
      <w:pPr>
        <w:spacing w:line="360" w:lineRule="auto"/>
        <w:ind w:left="567" w:right="567"/>
        <w:jc w:val="both"/>
        <w:rPr>
          <w:rFonts w:ascii="Palatino Linotype" w:eastAsia="Palatino Linotype" w:hAnsi="Palatino Linotype" w:cs="Palatino Linotype"/>
          <w:i/>
          <w:iCs/>
        </w:rPr>
      </w:pP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467950">
        <w:rPr>
          <w:rFonts w:ascii="Palatino Linotype" w:eastAsia="Palatino Linotype" w:hAnsi="Palatino Linotype" w:cs="Palatino Linotype"/>
          <w:i/>
          <w:iCs/>
        </w:rPr>
        <w:t xml:space="preserve"> a partir del ejercicio presupuestal siguiente al que corresponda, en el caso de los municipios se hará por la Tesorería. </w:t>
      </w: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w:t>
      </w: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Artículo 345.-</w:t>
      </w:r>
      <w:r w:rsidRPr="00467950">
        <w:rPr>
          <w:rFonts w:ascii="Palatino Linotype" w:eastAsia="Palatino Linotype" w:hAnsi="Palatino Linotype" w:cs="Palatino Linotype"/>
          <w:i/>
          <w:iCs/>
        </w:rPr>
        <w:t xml:space="preserve"> </w:t>
      </w:r>
      <w:r w:rsidRPr="00467950">
        <w:rPr>
          <w:rFonts w:ascii="Palatino Linotype" w:eastAsia="Palatino Linotype" w:hAnsi="Palatino Linotype" w:cs="Palatino Linotype"/>
          <w:b/>
          <w:bCs/>
          <w:i/>
          <w:iCs/>
        </w:rPr>
        <w:t xml:space="preserve">Las Dependencias, Entidades Públicas y unidades administrativas deberán conservar la documentación contable del año en curso y la de ejercicios </w:t>
      </w:r>
      <w:r w:rsidRPr="00467950">
        <w:rPr>
          <w:rFonts w:ascii="Palatino Linotype" w:eastAsia="Palatino Linotype" w:hAnsi="Palatino Linotype" w:cs="Palatino Linotype"/>
          <w:b/>
          <w:bCs/>
          <w:i/>
          <w:iCs/>
        </w:rPr>
        <w:lastRenderedPageBreak/>
        <w:t>anteriores cuyas cuentas públicas hayan sido revisadas y fiscalizadas por la Legislatura</w:t>
      </w:r>
      <w:r w:rsidRPr="00467950">
        <w:rPr>
          <w:rFonts w:ascii="Palatino Linotype" w:eastAsia="Palatino Linotype" w:hAnsi="Palatino Linotype" w:cs="Palatino Linotype"/>
          <w:i/>
          <w:iCs/>
        </w:rPr>
        <w:t xml:space="preserve">, la remitirán en un plazo que no excederá de seis meses al Archivo Contable Gubernamental. </w:t>
      </w:r>
      <w:r w:rsidRPr="00467950">
        <w:rPr>
          <w:rFonts w:ascii="Palatino Linotype" w:eastAsia="Palatino Linotype" w:hAnsi="Palatino Linotype" w:cs="Palatino Linotype"/>
          <w:b/>
          <w:bCs/>
          <w:i/>
          <w:iCs/>
        </w:rPr>
        <w:t>Tratándose de los comprobantes fiscales digitales, estos deberán estar agregados en forma electrónica en cada póliza de registro contable</w:t>
      </w:r>
      <w:r w:rsidRPr="00467950">
        <w:rPr>
          <w:rFonts w:ascii="Palatino Linotype" w:eastAsia="Palatino Linotype" w:hAnsi="Palatino Linotype" w:cs="Palatino Linotype"/>
          <w:i/>
          <w:iCs/>
        </w:rPr>
        <w:t xml:space="preserve">. </w:t>
      </w:r>
    </w:p>
    <w:p w:rsidR="00727FC5" w:rsidRPr="00467950" w:rsidRDefault="00036D1B">
      <w:pPr>
        <w:spacing w:line="360" w:lineRule="auto"/>
        <w:ind w:left="567" w:right="567"/>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rPr>
        <w:t>El plazo señalado en el párrafo anterior, empezará a contar a partir de la publicación en el Periódico Oficial, del decreto correspondiente.</w:t>
      </w:r>
      <w:r w:rsidRPr="00467950">
        <w:rPr>
          <w:rFonts w:ascii="Palatino Linotype" w:eastAsia="Palatino Linotype" w:hAnsi="Palatino Linotype" w:cs="Palatino Linotype"/>
          <w:i/>
          <w:iCs/>
          <w:color w:val="000000"/>
        </w:rPr>
        <w:t xml:space="preserve"> “</w:t>
      </w:r>
    </w:p>
    <w:p w:rsidR="00727FC5" w:rsidRPr="00467950" w:rsidRDefault="00036D1B">
      <w:pPr>
        <w:spacing w:line="360" w:lineRule="auto"/>
        <w:ind w:left="567" w:right="567"/>
        <w:jc w:val="right"/>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(Énfasis añadido)</w:t>
      </w:r>
    </w:p>
    <w:p w:rsidR="00727FC5"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rPr>
        <w:t>De una interpretación sistemática de los artículos transcritos, se desprende primeramente que el</w:t>
      </w:r>
      <w:r w:rsidRPr="00467950">
        <w:rPr>
          <w:rFonts w:ascii="Palatino Linotype" w:eastAsia="Palatino Linotype" w:hAnsi="Palatino Linotype" w:cs="Palatino Linotype"/>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467950" w:rsidRPr="00467950" w:rsidRDefault="00467950" w:rsidP="0046795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727FC5" w:rsidRPr="00467950" w:rsidRDefault="00036D1B">
      <w:pPr>
        <w:spacing w:line="360" w:lineRule="auto"/>
        <w:ind w:left="567" w:right="567"/>
        <w:jc w:val="both"/>
        <w:rPr>
          <w:rFonts w:ascii="Palatino Linotype" w:eastAsia="Palatino Linotype" w:hAnsi="Palatino Linotype" w:cs="Palatino Linotype"/>
          <w:b/>
          <w:bCs/>
          <w:i/>
          <w:iCs/>
        </w:rPr>
      </w:pPr>
      <w:r w:rsidRPr="00467950">
        <w:rPr>
          <w:rFonts w:ascii="Palatino Linotype" w:eastAsia="Palatino Linotype" w:hAnsi="Palatino Linotype" w:cs="Palatino Linotype"/>
          <w:b/>
          <w:bCs/>
          <w:i/>
          <w:iCs/>
        </w:rPr>
        <w:lastRenderedPageBreak/>
        <w:t xml:space="preserve">“REGISTRO CONTABLE </w:t>
      </w: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Asiento que se realiza en los libros de contabilidad de las actividades relacionadas con el ingreso y egresos de un ente económico.” (Sic)</w:t>
      </w:r>
    </w:p>
    <w:p w:rsidR="00727FC5" w:rsidRPr="00467950" w:rsidRDefault="00727FC5">
      <w:pPr>
        <w:spacing w:line="360" w:lineRule="auto"/>
        <w:ind w:left="567" w:right="567"/>
        <w:jc w:val="both"/>
        <w:rPr>
          <w:rFonts w:ascii="Palatino Linotype" w:eastAsia="Palatino Linotype" w:hAnsi="Palatino Linotype" w:cs="Palatino Linotype"/>
          <w:i/>
          <w:iCs/>
        </w:rPr>
      </w:pPr>
    </w:p>
    <w:p w:rsidR="00727FC5" w:rsidRPr="00467950" w:rsidRDefault="00036D1B">
      <w:pPr>
        <w:spacing w:line="360" w:lineRule="auto"/>
        <w:ind w:left="567" w:right="567"/>
        <w:jc w:val="both"/>
        <w:rPr>
          <w:rFonts w:ascii="Palatino Linotype" w:eastAsia="Palatino Linotype" w:hAnsi="Palatino Linotype" w:cs="Palatino Linotype"/>
          <w:b/>
          <w:bCs/>
          <w:i/>
          <w:iCs/>
        </w:rPr>
      </w:pPr>
      <w:r w:rsidRPr="00467950">
        <w:rPr>
          <w:rFonts w:ascii="Palatino Linotype" w:eastAsia="Palatino Linotype" w:hAnsi="Palatino Linotype" w:cs="Palatino Linotype"/>
          <w:b/>
          <w:bCs/>
          <w:i/>
          <w:iCs/>
        </w:rPr>
        <w:t>“REGISTRO PRESUPUESTARIO</w:t>
      </w: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Asiento contable de las erogaciones realizadas por las dependencias y entidades con relación a la asignación, modificación y ejercicio de los recursos presupuestarios que se les hayan autorizado.”</w:t>
      </w:r>
    </w:p>
    <w:p w:rsidR="00727FC5" w:rsidRPr="00467950" w:rsidRDefault="00727FC5">
      <w:pPr>
        <w:spacing w:line="360" w:lineRule="auto"/>
        <w:ind w:left="567" w:right="567"/>
        <w:jc w:val="both"/>
        <w:rPr>
          <w:rFonts w:ascii="Palatino Linotype" w:eastAsia="Palatino Linotype" w:hAnsi="Palatino Linotype" w:cs="Palatino Linotype"/>
          <w:i/>
          <w:iCs/>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Por otra parte, se establece que el sistema de contabilidad sobre base </w:t>
      </w:r>
      <w:r w:rsidRPr="00467950">
        <w:rPr>
          <w:rFonts w:ascii="Palatino Linotype" w:eastAsia="Palatino Linotype" w:hAnsi="Palatino Linotype" w:cs="Palatino Linotype"/>
        </w:rPr>
        <w:t>acumulativa</w:t>
      </w:r>
      <w:r w:rsidRPr="00467950">
        <w:rPr>
          <w:rFonts w:ascii="Palatino Linotype" w:eastAsia="Palatino Linotype" w:hAnsi="Palatino Linotype" w:cs="Palatino Linotype"/>
          <w:color w:val="000000"/>
        </w:rPr>
        <w:t xml:space="preserve"> </w:t>
      </w:r>
      <w:r w:rsidRPr="00467950">
        <w:rPr>
          <w:rFonts w:ascii="Palatino Linotype" w:eastAsia="Palatino Linotype" w:hAnsi="Palatino Linotype" w:cs="Palatino Linotype"/>
        </w:rPr>
        <w:t>total</w:t>
      </w:r>
      <w:r w:rsidRPr="00467950">
        <w:rPr>
          <w:rFonts w:ascii="Palatino Linotype" w:eastAsia="Palatino Linotype" w:hAnsi="Palatino Linotype" w:cs="Palatino Linotype"/>
          <w:color w:val="000000"/>
        </w:rPr>
        <w:t xml:space="preserve"> se </w:t>
      </w:r>
      <w:r w:rsidRPr="00467950">
        <w:rPr>
          <w:rFonts w:ascii="Palatino Linotype" w:eastAsia="Palatino Linotype" w:hAnsi="Palatino Linotype" w:cs="Palatino Linotype"/>
        </w:rPr>
        <w:t>sustentará</w:t>
      </w:r>
      <w:r w:rsidRPr="00467950">
        <w:rPr>
          <w:rFonts w:ascii="Palatino Linotype" w:eastAsia="Palatino Linotype" w:hAnsi="Palatino Linotype" w:cs="Palatino Linotype"/>
          <w:color w:val="000000"/>
        </w:rPr>
        <w:t xml:space="preserve"> en los principios de contabilidad gubernamental, igualmente señalan que los </w:t>
      </w:r>
      <w:r w:rsidRPr="00467950">
        <w:rPr>
          <w:rFonts w:ascii="Palatino Linotype" w:eastAsia="Palatino Linotype" w:hAnsi="Palatino Linotype" w:cs="Palatino Linotype"/>
          <w:b/>
          <w:bCs/>
          <w:color w:val="000000"/>
        </w:rPr>
        <w:t>sujetos obligados</w:t>
      </w:r>
      <w:r w:rsidRPr="00467950">
        <w:rPr>
          <w:rFonts w:ascii="Palatino Linotype" w:eastAsia="Palatino Linotype" w:hAnsi="Palatino Linotype" w:cs="Palatino Linotype"/>
          <w:color w:val="000000"/>
        </w:rPr>
        <w:t xml:space="preserve"> deben contar con una unidad administrativa que registra contablemente el efecto patrimonial y presupuestal de las operaciones financieras que realizan, en el momento en que ocurran, con base en el sistema y políticas de registro establecidas.</w:t>
      </w:r>
    </w:p>
    <w:p w:rsidR="00727FC5" w:rsidRPr="00467950" w:rsidRDefault="00727F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color w:val="000000"/>
        </w:rPr>
        <w:t>Correlativo</w:t>
      </w:r>
      <w:r w:rsidRPr="00467950">
        <w:rPr>
          <w:rFonts w:ascii="Palatino Linotype" w:eastAsia="Palatino Linotype" w:hAnsi="Palatino Linotype" w:cs="Palatino Linotype"/>
        </w:rPr>
        <w:t xml:space="preserve"> a lo anterior, es preciso referir una definición de </w:t>
      </w:r>
      <w:r w:rsidRPr="00467950">
        <w:rPr>
          <w:rFonts w:ascii="Palatino Linotype" w:eastAsia="Palatino Linotype" w:hAnsi="Palatino Linotype" w:cs="Palatino Linotype"/>
          <w:i/>
          <w:iCs/>
        </w:rPr>
        <w:t>póliza contable</w:t>
      </w:r>
      <w:r w:rsidRPr="00467950">
        <w:rPr>
          <w:rFonts w:ascii="Palatino Linotype" w:eastAsia="Palatino Linotype" w:hAnsi="Palatino Linotype" w:cs="Palatino Linotype"/>
        </w:rPr>
        <w:t xml:space="preserve">, la cual, </w:t>
      </w:r>
      <w:r w:rsidRPr="00467950">
        <w:rPr>
          <w:rFonts w:ascii="Palatino Linotype" w:eastAsia="Palatino Linotype" w:hAnsi="Palatino Linotype" w:cs="Palatino Linotype"/>
          <w:color w:val="000000"/>
        </w:rPr>
        <w:t>primeramente</w:t>
      </w:r>
      <w:r w:rsidRPr="00467950">
        <w:rPr>
          <w:rFonts w:ascii="Palatino Linotype" w:eastAsia="Palatino Linotype" w:hAnsi="Palatino Linotype" w:cs="Palatino Linotype"/>
        </w:rPr>
        <w:t xml:space="preserve">, no está definida en el Código Financiero del Estado de México y Municipios; no obstante, los ya mencionados Glosarios la definen como: </w:t>
      </w:r>
    </w:p>
    <w:p w:rsidR="00727FC5" w:rsidRPr="00467950" w:rsidRDefault="00036D1B">
      <w:pPr>
        <w:spacing w:line="360" w:lineRule="auto"/>
        <w:ind w:left="567" w:right="567"/>
        <w:jc w:val="both"/>
        <w:rPr>
          <w:rFonts w:ascii="Palatino Linotype" w:eastAsia="Palatino Linotype" w:hAnsi="Palatino Linotype" w:cs="Palatino Linotype"/>
          <w:b/>
          <w:bCs/>
          <w:i/>
          <w:iCs/>
        </w:rPr>
      </w:pP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b/>
          <w:bCs/>
          <w:i/>
          <w:iCs/>
        </w:rPr>
        <w:t>PÓLIZA CONTABLE</w:t>
      </w:r>
    </w:p>
    <w:p w:rsidR="00727FC5" w:rsidRPr="00467950" w:rsidRDefault="00036D1B">
      <w:pPr>
        <w:spacing w:line="360" w:lineRule="auto"/>
        <w:ind w:left="567" w:right="567"/>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 xml:space="preserve">Documento en el cual se asientan en forma individual todas y cada una de las operaciones desarrolladas por una institución, así como la información necesaria para la identificación de dichas operaciones.” </w:t>
      </w:r>
    </w:p>
    <w:p w:rsidR="00727FC5" w:rsidRPr="00467950" w:rsidRDefault="00727FC5">
      <w:pPr>
        <w:spacing w:line="360" w:lineRule="auto"/>
        <w:ind w:left="567" w:right="567"/>
        <w:jc w:val="both"/>
        <w:rPr>
          <w:rFonts w:ascii="Palatino Linotype" w:eastAsia="Palatino Linotype" w:hAnsi="Palatino Linotype" w:cs="Palatino Linotype"/>
          <w:i/>
          <w:iCs/>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lastRenderedPageBreak/>
        <w:t xml:space="preserve">Así, se advierte que la </w:t>
      </w:r>
      <w:r w:rsidRPr="00467950">
        <w:rPr>
          <w:rFonts w:ascii="Palatino Linotype" w:eastAsia="Palatino Linotype" w:hAnsi="Palatino Linotype" w:cs="Palatino Linotype"/>
          <w:i/>
          <w:iCs/>
        </w:rPr>
        <w:t>póliza contable</w:t>
      </w:r>
      <w:r w:rsidRPr="00467950">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727FC5" w:rsidRPr="00467950" w:rsidRDefault="00727F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color w:val="000000"/>
        </w:rPr>
        <w:t xml:space="preserve">De tal </w:t>
      </w:r>
      <w:r w:rsidRPr="00467950">
        <w:rPr>
          <w:rFonts w:ascii="Palatino Linotype" w:eastAsia="Palatino Linotype" w:hAnsi="Palatino Linotype" w:cs="Palatino Linotype"/>
        </w:rPr>
        <w:t>forma</w:t>
      </w:r>
      <w:r w:rsidRPr="00467950">
        <w:rPr>
          <w:rFonts w:ascii="Palatino Linotype" w:eastAsia="Palatino Linotype" w:hAnsi="Palatino Linotype" w:cs="Palatino Linotype"/>
          <w:color w:val="000000"/>
        </w:rPr>
        <w:t xml:space="preserve"> que, la información requerida en la solicitud de información de mérito, ciertamente deberá ser en versión pública, en términos del artículo 143 de la Ley de Transparencia y Acceso a la Información Pública del Estado de México y Municipios, debiendo </w:t>
      </w:r>
      <w:r w:rsidRPr="00467950">
        <w:rPr>
          <w:rFonts w:ascii="Palatino Linotype" w:eastAsia="Palatino Linotype" w:hAnsi="Palatino Linotype" w:cs="Palatino Linotype"/>
        </w:rPr>
        <w:t>omitir, eliminar o suprimir la</w:t>
      </w:r>
      <w:r w:rsidRPr="00467950">
        <w:rPr>
          <w:rFonts w:ascii="Palatino Linotype" w:eastAsia="Palatino Linotype" w:hAnsi="Palatino Linotype" w:cs="Palatino Linotype"/>
          <w:color w:val="000000"/>
        </w:rPr>
        <w:t xml:space="preserve"> información confidencial</w:t>
      </w:r>
      <w:r w:rsidRPr="00467950">
        <w:rPr>
          <w:rFonts w:ascii="Palatino Linotype" w:eastAsia="Palatino Linotype" w:hAnsi="Palatino Linotype" w:cs="Palatino Linotype"/>
        </w:rPr>
        <w:t xml:space="preserve">. En ese sentido, sólo podrán ser testados los datos que actualicen las hipótesis normativas previstas en dicho precepto legal, y deberá procederse a su clasificación mediante las formalidades de Ley, es decir, que el Comité de Transparencia del </w:t>
      </w:r>
      <w:r w:rsidRPr="00467950">
        <w:rPr>
          <w:rFonts w:ascii="Palatino Linotype" w:eastAsia="Palatino Linotype" w:hAnsi="Palatino Linotype" w:cs="Palatino Linotype"/>
          <w:b/>
          <w:bCs/>
        </w:rPr>
        <w:t>SUJETO OBLIGADO</w:t>
      </w:r>
      <w:r w:rsidRPr="00467950">
        <w:rPr>
          <w:rFonts w:ascii="Palatino Linotype" w:eastAsia="Palatino Linotype" w:hAnsi="Palatino Linotype" w:cs="Palatino Linotype"/>
        </w:rPr>
        <w:t xml:space="preserve"> emita el Acuerdo de Clasificación correspondiente debidamente fundado y motivado.</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En esa tesitura, por lo que respecta a los RFC de personas físicas o morales </w:t>
      </w:r>
      <w:r w:rsidRPr="00467950">
        <w:rPr>
          <w:rFonts w:ascii="Palatino Linotype" w:eastAsia="Palatino Linotype" w:hAnsi="Palatino Linotype" w:cs="Palatino Linotype"/>
          <w:color w:val="000000"/>
        </w:rPr>
        <w:t>proveedores</w:t>
      </w:r>
      <w:r w:rsidRPr="00467950">
        <w:rPr>
          <w:rFonts w:ascii="Palatino Linotype" w:eastAsia="Palatino Linotype" w:hAnsi="Palatino Linotype" w:cs="Palatino Linotype"/>
        </w:rPr>
        <w:t>, de acuerdo al criterio SO/004/2021, emitido por el Instituto Nacional de Transparencia, Acceso a la Información y Protección de Datos Personales, que establece lo siguiente:</w:t>
      </w:r>
    </w:p>
    <w:p w:rsidR="00727FC5" w:rsidRPr="00467950" w:rsidRDefault="00036D1B">
      <w:pPr>
        <w:spacing w:line="360" w:lineRule="auto"/>
        <w:ind w:left="850" w:right="901"/>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“Registro Federal de Contribuyentes (RFC) de personas físicas proveedores o contratistas</w:t>
      </w:r>
      <w:r w:rsidRPr="00467950">
        <w:rPr>
          <w:rFonts w:ascii="Palatino Linotype" w:eastAsia="Palatino Linotype" w:hAnsi="Palatino Linotype" w:cs="Palatino Linotype"/>
          <w:b/>
          <w:bCs/>
          <w:i/>
          <w:iCs/>
          <w:u w:val="single"/>
        </w:rPr>
        <w:t>.</w:t>
      </w:r>
      <w:r w:rsidRPr="00467950">
        <w:rPr>
          <w:rFonts w:ascii="Palatino Linotype" w:eastAsia="Palatino Linotype" w:hAnsi="Palatino Linotype" w:cs="Palatino Linotype"/>
          <w:i/>
          <w:iCs/>
          <w:u w:val="single"/>
        </w:rPr>
        <w:t xml:space="preserve"> </w:t>
      </w:r>
      <w:r w:rsidRPr="00467950">
        <w:rPr>
          <w:rFonts w:ascii="Palatino Linotype" w:eastAsia="Palatino Linotype" w:hAnsi="Palatino Linotype" w:cs="Palatino Linotype"/>
          <w:b/>
          <w:bCs/>
          <w:i/>
          <w:iCs/>
          <w:u w:val="single"/>
        </w:rPr>
        <w:t>El RFC de contratistas o proveedores de sujetos obligados debe ser público</w:t>
      </w:r>
      <w:r w:rsidRPr="00467950">
        <w:rPr>
          <w:rFonts w:ascii="Palatino Linotype" w:eastAsia="Palatino Linotype" w:hAnsi="Palatino Linotype" w:cs="Palatino Linotype"/>
          <w:b/>
          <w:bCs/>
          <w:i/>
          <w:iCs/>
        </w:rPr>
        <w:t>,</w:t>
      </w:r>
      <w:r w:rsidRPr="00467950">
        <w:rPr>
          <w:rFonts w:ascii="Palatino Linotype" w:eastAsia="Palatino Linotype" w:hAnsi="Palatino Linotype" w:cs="Palatino Linotype"/>
          <w:i/>
          <w:iCs/>
        </w:rPr>
        <w:t xml:space="preserve"> ya que, al tratarse de personas relacionadas con contrataciones públicas, su difusión favorece la transparencia con la que deben administrarse los </w:t>
      </w:r>
      <w:r w:rsidRPr="00467950">
        <w:rPr>
          <w:rFonts w:ascii="Palatino Linotype" w:eastAsia="Palatino Linotype" w:hAnsi="Palatino Linotype" w:cs="Palatino Linotype"/>
          <w:i/>
          <w:iCs/>
        </w:rPr>
        <w:lastRenderedPageBreak/>
        <w:t>recursos públicos, en términos del artículo 134 de la Constitución Política de los Estados Unidos Mexicanos.”</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Por cuanto hace a las cuentas bancarias y clabes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sidRPr="00467950">
        <w:rPr>
          <w:rFonts w:ascii="Palatino Linotype" w:eastAsia="Palatino Linotype" w:hAnsi="Palatino Linotype" w:cs="Palatino Linotype"/>
          <w:b/>
          <w:bCs/>
        </w:rPr>
        <w:t xml:space="preserve"> </w:t>
      </w:r>
      <w:r w:rsidRPr="00467950">
        <w:rPr>
          <w:rFonts w:ascii="Palatino Linotype" w:eastAsia="Palatino Linotype" w:hAnsi="Palatino Linotype" w:cs="Palatino Linotype"/>
        </w:rPr>
        <w:t>toda vez que su publicidad abona a la transparencia y a la rendición de cuentas.</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En este sentido, es importante precisar que de acuerdo al C</w:t>
      </w:r>
      <w:r w:rsidRPr="00467950">
        <w:rPr>
          <w:rFonts w:ascii="Palatino Linotype" w:eastAsia="Palatino Linotype" w:hAnsi="Palatino Linotype" w:cs="Palatino Linotype"/>
          <w:b/>
          <w:bCs/>
        </w:rPr>
        <w:t>riterio 11/17</w:t>
      </w:r>
      <w:r w:rsidRPr="00467950">
        <w:rPr>
          <w:rFonts w:ascii="Palatino Linotype" w:eastAsia="Palatino Linotype" w:hAnsi="Palatino Linotype" w:cs="Palatino Linotype"/>
        </w:rPr>
        <w:t xml:space="preserve"> emitido por el entonces INAI, las cuentas bancarias y/o clave interbancaria de los Sujetos Obligados es información de carácter público. </w:t>
      </w:r>
    </w:p>
    <w:p w:rsidR="00727FC5" w:rsidRPr="00467950" w:rsidRDefault="00036D1B">
      <w:pPr>
        <w:tabs>
          <w:tab w:val="left" w:pos="8222"/>
        </w:tabs>
        <w:spacing w:line="360" w:lineRule="auto"/>
        <w:ind w:left="851" w:right="902"/>
        <w:jc w:val="center"/>
        <w:rPr>
          <w:rFonts w:ascii="Palatino Linotype" w:eastAsia="Palatino Linotype" w:hAnsi="Palatino Linotype" w:cs="Palatino Linotype"/>
          <w:b/>
          <w:bCs/>
        </w:rPr>
      </w:pPr>
      <w:r w:rsidRPr="00467950">
        <w:rPr>
          <w:rFonts w:ascii="Palatino Linotype" w:eastAsia="Palatino Linotype" w:hAnsi="Palatino Linotype" w:cs="Palatino Linotype"/>
        </w:rPr>
        <w:t>“</w:t>
      </w:r>
      <w:r w:rsidRPr="00467950">
        <w:rPr>
          <w:rFonts w:ascii="Palatino Linotype" w:eastAsia="Palatino Linotype" w:hAnsi="Palatino Linotype" w:cs="Palatino Linotype"/>
          <w:b/>
          <w:bCs/>
        </w:rPr>
        <w:t>Criterio 11/17</w:t>
      </w:r>
    </w:p>
    <w:p w:rsidR="00727FC5" w:rsidRPr="00467950" w:rsidRDefault="00036D1B">
      <w:pPr>
        <w:tabs>
          <w:tab w:val="left" w:pos="8222"/>
        </w:tabs>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Cuentas bancarias y/o CLABE interbancaria de sujetos obligados que reciben y/o transfieren recursos públicos, son información pública.</w:t>
      </w:r>
      <w:r w:rsidRPr="00467950">
        <w:rPr>
          <w:rFonts w:ascii="Palatino Linotype" w:eastAsia="Palatino Linotype" w:hAnsi="Palatino Linotype" w:cs="Palatino Linotype"/>
          <w:i/>
          <w:iC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727FC5" w:rsidRPr="00467950" w:rsidRDefault="00727FC5">
      <w:pPr>
        <w:tabs>
          <w:tab w:val="left" w:pos="8222"/>
        </w:tabs>
        <w:spacing w:line="360" w:lineRule="auto"/>
        <w:ind w:left="851" w:right="902"/>
        <w:jc w:val="both"/>
        <w:rPr>
          <w:rFonts w:ascii="Palatino Linotype" w:eastAsia="Palatino Linotype" w:hAnsi="Palatino Linotype" w:cs="Palatino Linotype"/>
          <w:i/>
          <w:iCs/>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Caso contrario a los particulares, como lo refiere el </w:t>
      </w:r>
      <w:r w:rsidRPr="00467950">
        <w:rPr>
          <w:rFonts w:ascii="Palatino Linotype" w:eastAsia="Palatino Linotype" w:hAnsi="Palatino Linotype" w:cs="Palatino Linotype"/>
          <w:b/>
          <w:bCs/>
        </w:rPr>
        <w:t>Criterio 10/17</w:t>
      </w:r>
      <w:r w:rsidRPr="00467950">
        <w:rPr>
          <w:rFonts w:ascii="Palatino Linotype" w:eastAsia="Palatino Linotype" w:hAnsi="Palatino Linotype" w:cs="Palatino Linotype"/>
        </w:rPr>
        <w:t xml:space="preserve"> emitido por el entonces INAI, que es del tenor literal siguiente:</w:t>
      </w: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 xml:space="preserve">Cuentas bancarias y/o CLABE interbancaria de personas físicas y morales privadas. El número de cuenta bancaria y/o CLABE interbancaria de </w:t>
      </w:r>
      <w:r w:rsidRPr="00467950">
        <w:rPr>
          <w:rFonts w:ascii="Palatino Linotype" w:eastAsia="Palatino Linotype" w:hAnsi="Palatino Linotype" w:cs="Palatino Linotype"/>
          <w:b/>
          <w:bCs/>
          <w:i/>
          <w:iCs/>
        </w:rPr>
        <w:lastRenderedPageBreak/>
        <w:t>particulares es información confidencial</w:t>
      </w:r>
      <w:r w:rsidRPr="00467950">
        <w:rPr>
          <w:rFonts w:ascii="Palatino Linotype" w:eastAsia="Palatino Linotype" w:hAnsi="Palatino Linotype" w:cs="Palatino Linotype"/>
          <w:i/>
          <w:iCs/>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727FC5" w:rsidRPr="00467950" w:rsidRDefault="00727FC5">
      <w:pPr>
        <w:spacing w:line="360" w:lineRule="auto"/>
        <w:ind w:left="851" w:right="902"/>
        <w:jc w:val="both"/>
        <w:rPr>
          <w:rFonts w:ascii="Palatino Linotype" w:eastAsia="Palatino Linotype" w:hAnsi="Palatino Linotype" w:cs="Palatino Linotype"/>
          <w:i/>
          <w:iCs/>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En ese sentido, referente al QR, </w:t>
      </w:r>
      <w:r w:rsidRPr="00467950">
        <w:rPr>
          <w:rFonts w:ascii="Palatino Linotype" w:eastAsia="Palatino Linotype" w:hAnsi="Palatino Linotype" w:cs="Palatino Linotype"/>
          <w:b/>
          <w:bCs/>
        </w:rPr>
        <w:t xml:space="preserve">folio fiscal, número de serie del certificado del emisor, sello digital Comprobante Fiscal Digital por Internet (CFDI), sello digital </w:t>
      </w:r>
      <w:r w:rsidRPr="00467950">
        <w:rPr>
          <w:rFonts w:ascii="Palatino Linotype" w:eastAsia="Palatino Linotype" w:hAnsi="Palatino Linotype" w:cs="Palatino Linotype"/>
        </w:rPr>
        <w:t>del</w:t>
      </w:r>
      <w:r w:rsidRPr="00467950">
        <w:rPr>
          <w:rFonts w:ascii="Palatino Linotype" w:eastAsia="Palatino Linotype" w:hAnsi="Palatino Linotype" w:cs="Palatino Linotype"/>
          <w:b/>
          <w:bCs/>
        </w:rPr>
        <w:t xml:space="preserve"> SAT, Cadena Original del SAT, número de serie del certificado del SAT, </w:t>
      </w:r>
      <w:r w:rsidRPr="00467950">
        <w:rPr>
          <w:rFonts w:ascii="Palatino Linotype" w:eastAsia="Palatino Linotype" w:hAnsi="Palatino Linotype" w:cs="Palatino Linotype"/>
        </w:rPr>
        <w:t>es preciso señalar que si de la secuencia de números y letras, se advierte el Registro Federal de Contribuyentes o una Clave Única de Registro de Población, que pueda hacer identificable al titular del dato personal, no puede tenerse como dato personal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 y si bien, en un momento dichas cadenas derivan información personal de los contribuyentes, esta se encuentra encriptada como se verá a continuación.</w:t>
      </w:r>
    </w:p>
    <w:p w:rsidR="00727FC5" w:rsidRDefault="00727FC5">
      <w:pPr>
        <w:spacing w:line="360" w:lineRule="auto"/>
        <w:jc w:val="both"/>
        <w:rPr>
          <w:rFonts w:ascii="Palatino Linotype" w:eastAsia="Palatino Linotype" w:hAnsi="Palatino Linotype" w:cs="Palatino Linotype"/>
        </w:rPr>
      </w:pPr>
    </w:p>
    <w:p w:rsidR="00467950" w:rsidRDefault="00467950">
      <w:pPr>
        <w:spacing w:line="360" w:lineRule="auto"/>
        <w:jc w:val="both"/>
        <w:rPr>
          <w:rFonts w:ascii="Palatino Linotype" w:eastAsia="Palatino Linotype" w:hAnsi="Palatino Linotype" w:cs="Palatino Linotype"/>
        </w:rPr>
      </w:pPr>
    </w:p>
    <w:p w:rsidR="00467950" w:rsidRPr="00467950" w:rsidRDefault="00467950">
      <w:pPr>
        <w:spacing w:line="360" w:lineRule="auto"/>
        <w:jc w:val="both"/>
        <w:rPr>
          <w:rFonts w:ascii="Palatino Linotype" w:eastAsia="Palatino Linotype" w:hAnsi="Palatino Linotype" w:cs="Palatino Linotype"/>
        </w:rPr>
      </w:pPr>
    </w:p>
    <w:p w:rsidR="00727FC5" w:rsidRPr="00467950" w:rsidRDefault="00036D1B">
      <w:pPr>
        <w:spacing w:line="360" w:lineRule="auto"/>
        <w:jc w:val="both"/>
        <w:rPr>
          <w:rFonts w:ascii="Palatino Linotype" w:eastAsia="Palatino Linotype" w:hAnsi="Palatino Linotype" w:cs="Palatino Linotype"/>
          <w:b/>
          <w:bCs/>
        </w:rPr>
      </w:pPr>
      <w:r w:rsidRPr="00467950">
        <w:rPr>
          <w:rFonts w:ascii="Palatino Linotype" w:eastAsia="Palatino Linotype" w:hAnsi="Palatino Linotype" w:cs="Palatino Linotype"/>
          <w:b/>
          <w:bCs/>
        </w:rPr>
        <w:lastRenderedPageBreak/>
        <w:t xml:space="preserve">• Código Bidimensional o QR. </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Incluso con la captura de dicho código, a través de la aplicación móvil del Servicio de Administración Tributaria, permite el acceso al Registro Federal de Contribuyentes, como del Sujeto Obligado, como del proveedor, persona física o moral. </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rsidR="00727FC5" w:rsidRPr="00467950" w:rsidRDefault="00727FC5">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727FC5" w:rsidRPr="00467950" w:rsidRDefault="00036D1B">
      <w:pPr>
        <w:numPr>
          <w:ilvl w:val="0"/>
          <w:numId w:val="2"/>
        </w:numPr>
        <w:spacing w:line="360" w:lineRule="auto"/>
        <w:ind w:right="-91"/>
        <w:jc w:val="both"/>
        <w:rPr>
          <w:rFonts w:ascii="Palatino Linotype" w:eastAsia="Palatino Linotype" w:hAnsi="Palatino Linotype" w:cs="Palatino Linotype"/>
          <w:b/>
          <w:bCs/>
        </w:rPr>
      </w:pPr>
      <w:r w:rsidRPr="00467950">
        <w:rPr>
          <w:rFonts w:ascii="Palatino Linotype" w:eastAsia="Palatino Linotype" w:hAnsi="Palatino Linotype" w:cs="Palatino Linotype"/>
          <w:b/>
          <w:bCs/>
        </w:rPr>
        <w:t>Folio Fiscal</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w:t>
      </w:r>
      <w:r w:rsidRPr="00467950">
        <w:rPr>
          <w:rFonts w:ascii="Palatino Linotype" w:eastAsia="Palatino Linotype" w:hAnsi="Palatino Linotype" w:cs="Palatino Linotype"/>
        </w:rPr>
        <w:lastRenderedPageBreak/>
        <w:t>Es un número consecutivo contenido en los comprobantes fiscales digitales, compuesto por 5 grupos de números y letras separados por guiones, tal como se muestra a continuación:</w:t>
      </w:r>
    </w:p>
    <w:p w:rsidR="00727FC5" w:rsidRPr="00467950" w:rsidRDefault="00036D1B">
      <w:pPr>
        <w:spacing w:line="360" w:lineRule="auto"/>
        <w:jc w:val="center"/>
        <w:rPr>
          <w:rFonts w:ascii="Palatino Linotype" w:eastAsia="Palatino Linotype" w:hAnsi="Palatino Linotype" w:cs="Palatino Linotype"/>
        </w:rPr>
      </w:pPr>
      <w:r w:rsidRPr="00467950">
        <w:rPr>
          <w:rFonts w:ascii="Palatino Linotype" w:eastAsia="Palatino Linotype" w:hAnsi="Palatino Linotype" w:cs="Palatino Linotype"/>
          <w:noProof/>
          <w:lang w:val="es-MX"/>
        </w:rPr>
        <w:drawing>
          <wp:inline distT="0" distB="0" distL="0" distR="0">
            <wp:extent cx="4667250" cy="133350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32787"/>
                    <a:stretch>
                      <a:fillRect/>
                    </a:stretch>
                  </pic:blipFill>
                  <pic:spPr>
                    <a:xfrm>
                      <a:off x="0" y="0"/>
                      <a:ext cx="4667250" cy="1333500"/>
                    </a:xfrm>
                    <a:prstGeom prst="rect">
                      <a:avLst/>
                    </a:prstGeom>
                    <a:ln/>
                  </pic:spPr>
                </pic:pic>
              </a:graphicData>
            </a:graphic>
          </wp:inline>
        </w:drawing>
      </w:r>
    </w:p>
    <w:p w:rsidR="00727FC5" w:rsidRPr="00467950" w:rsidRDefault="00727FC5">
      <w:pPr>
        <w:spacing w:line="360" w:lineRule="auto"/>
        <w:jc w:val="center"/>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467950">
        <w:rPr>
          <w:rFonts w:ascii="Palatino Linotype" w:eastAsia="Palatino Linotype" w:hAnsi="Palatino Linotype" w:cs="Palatino Linotype"/>
          <w:b/>
          <w:bCs/>
        </w:rPr>
        <w:t>no se actualiza la clasificación</w:t>
      </w:r>
      <w:r w:rsidRPr="00467950">
        <w:rPr>
          <w:rFonts w:ascii="Palatino Linotype" w:eastAsia="Palatino Linotype" w:hAnsi="Palatino Linotype" w:cs="Palatino Linotype"/>
        </w:rPr>
        <w:t>, en términos del artículo 143, fracción I de la Ley de la materia.</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numPr>
          <w:ilvl w:val="0"/>
          <w:numId w:val="2"/>
        </w:numPr>
        <w:spacing w:line="360" w:lineRule="auto"/>
        <w:ind w:right="-91"/>
        <w:jc w:val="both"/>
        <w:rPr>
          <w:rFonts w:ascii="Palatino Linotype" w:eastAsia="Palatino Linotype" w:hAnsi="Palatino Linotype" w:cs="Palatino Linotype"/>
          <w:b/>
          <w:bCs/>
        </w:rPr>
      </w:pPr>
      <w:r w:rsidRPr="00467950">
        <w:rPr>
          <w:rFonts w:ascii="Palatino Linotype" w:eastAsia="Palatino Linotype" w:hAnsi="Palatino Linotype" w:cs="Palatino Linotype"/>
          <w:b/>
          <w:bCs/>
        </w:rPr>
        <w:t>Cadenas originales y sellos.</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b/>
          <w:bCs/>
        </w:rPr>
        <w:t>Las cadenas originales y sellos</w:t>
      </w:r>
      <w:r w:rsidRPr="00467950">
        <w:rPr>
          <w:rFonts w:ascii="Palatino Linotype" w:eastAsia="Palatino Linotype" w:hAnsi="Palatino Linotype" w:cs="Palatino Linotype"/>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727FC5" w:rsidRPr="00467950" w:rsidRDefault="00036D1B">
      <w:pPr>
        <w:spacing w:line="360" w:lineRule="auto"/>
        <w:ind w:left="851" w:right="99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“Elementos utilizados en la generación de Sellos Digitales:</w:t>
      </w:r>
    </w:p>
    <w:p w:rsidR="00727FC5" w:rsidRPr="00467950" w:rsidRDefault="00036D1B">
      <w:pPr>
        <w:spacing w:line="360" w:lineRule="auto"/>
        <w:ind w:left="851" w:right="992" w:hanging="14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lastRenderedPageBreak/>
        <w:t>•</w:t>
      </w:r>
      <w:r w:rsidRPr="00467950">
        <w:rPr>
          <w:rFonts w:ascii="Palatino Linotype" w:eastAsia="Palatino Linotype" w:hAnsi="Palatino Linotype" w:cs="Palatino Linotype"/>
          <w:i/>
          <w:iCs/>
        </w:rPr>
        <w:tab/>
        <w:t>Cadena Original, el elemento a sellar, en este caso de un comprobante fiscal digital a través de Internet.</w:t>
      </w:r>
    </w:p>
    <w:p w:rsidR="00727FC5" w:rsidRPr="00467950" w:rsidRDefault="00036D1B">
      <w:pPr>
        <w:spacing w:line="360" w:lineRule="auto"/>
        <w:ind w:left="851" w:right="992" w:hanging="14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i/>
          <w:iCs/>
        </w:rPr>
        <w:tab/>
        <w:t>Certificado de Sello Digital y su correspondiente clave privada.</w:t>
      </w:r>
    </w:p>
    <w:p w:rsidR="00727FC5" w:rsidRPr="00467950" w:rsidRDefault="00036D1B">
      <w:pPr>
        <w:spacing w:line="360" w:lineRule="auto"/>
        <w:ind w:left="851" w:right="992" w:hanging="14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i/>
          <w:iCs/>
        </w:rPr>
        <w:tab/>
        <w:t>Algoritmos de criptografía de clave pública para firma electrónica avanzada.</w:t>
      </w:r>
    </w:p>
    <w:p w:rsidR="00727FC5" w:rsidRPr="00467950" w:rsidRDefault="00036D1B">
      <w:pPr>
        <w:spacing w:line="360" w:lineRule="auto"/>
        <w:ind w:left="851" w:right="992" w:hanging="14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i/>
          <w:iCs/>
        </w:rPr>
        <w:tab/>
        <w:t>Especificaciones de conversión de la firma electrónica avanzada a Base 64.</w:t>
      </w:r>
    </w:p>
    <w:p w:rsidR="00727FC5" w:rsidRPr="00467950" w:rsidRDefault="00036D1B">
      <w:pPr>
        <w:spacing w:line="360" w:lineRule="auto"/>
        <w:ind w:left="851" w:right="992" w:hanging="14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Para la generación de sellos digitales se utiliza criptografía de clave pública aplicada a una cadena original.</w:t>
      </w:r>
    </w:p>
    <w:p w:rsidR="00727FC5" w:rsidRPr="00467950" w:rsidRDefault="00036D1B">
      <w:pPr>
        <w:spacing w:line="360" w:lineRule="auto"/>
        <w:ind w:left="851" w:right="992" w:hanging="14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Criptografía de la Clave Pública</w:t>
      </w:r>
    </w:p>
    <w:p w:rsidR="00727FC5" w:rsidRPr="00467950" w:rsidRDefault="00036D1B">
      <w:pPr>
        <w:spacing w:line="360" w:lineRule="auto"/>
        <w:ind w:left="851" w:right="992" w:hanging="14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727FC5" w:rsidRPr="00467950" w:rsidRDefault="00727FC5">
      <w:pPr>
        <w:spacing w:line="360" w:lineRule="auto"/>
        <w:ind w:left="851" w:right="992"/>
        <w:jc w:val="both"/>
        <w:rPr>
          <w:rFonts w:ascii="Palatino Linotype" w:eastAsia="Palatino Linotype" w:hAnsi="Palatino Linotype" w:cs="Palatino Linotype"/>
          <w:i/>
          <w:iCs/>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Es decir, por sí solos las cadenas originales y los sellos originales no contienen datos personales confidenciales, por lo que se considera que </w:t>
      </w:r>
      <w:r w:rsidRPr="00467950">
        <w:rPr>
          <w:rFonts w:ascii="Palatino Linotype" w:eastAsia="Palatino Linotype" w:hAnsi="Palatino Linotype" w:cs="Palatino Linotype"/>
          <w:b/>
          <w:bCs/>
        </w:rPr>
        <w:t>no actualizan en supuesto de confidencialidad</w:t>
      </w:r>
      <w:r w:rsidRPr="00467950">
        <w:rPr>
          <w:rFonts w:ascii="Palatino Linotype" w:eastAsia="Palatino Linotype" w:hAnsi="Palatino Linotype" w:cs="Palatino Linotype"/>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727FC5" w:rsidRDefault="00727FC5">
      <w:pPr>
        <w:spacing w:line="360" w:lineRule="auto"/>
        <w:jc w:val="both"/>
        <w:rPr>
          <w:rFonts w:ascii="Palatino Linotype" w:eastAsia="Palatino Linotype" w:hAnsi="Palatino Linotype" w:cs="Palatino Linotype"/>
        </w:rPr>
      </w:pPr>
    </w:p>
    <w:p w:rsidR="00467950" w:rsidRPr="00467950" w:rsidRDefault="00467950">
      <w:pPr>
        <w:spacing w:line="360" w:lineRule="auto"/>
        <w:jc w:val="both"/>
        <w:rPr>
          <w:rFonts w:ascii="Palatino Linotype" w:eastAsia="Palatino Linotype" w:hAnsi="Palatino Linotype" w:cs="Palatino Linotype"/>
        </w:rPr>
      </w:pPr>
    </w:p>
    <w:p w:rsidR="00727FC5" w:rsidRPr="00467950" w:rsidRDefault="00036D1B">
      <w:pPr>
        <w:numPr>
          <w:ilvl w:val="0"/>
          <w:numId w:val="2"/>
        </w:numPr>
        <w:spacing w:line="360" w:lineRule="auto"/>
        <w:jc w:val="both"/>
        <w:rPr>
          <w:rFonts w:ascii="Palatino Linotype" w:eastAsia="Palatino Linotype" w:hAnsi="Palatino Linotype" w:cs="Palatino Linotype"/>
          <w:b/>
          <w:bCs/>
        </w:rPr>
      </w:pPr>
      <w:r w:rsidRPr="00467950">
        <w:rPr>
          <w:rFonts w:ascii="Palatino Linotype" w:eastAsia="Palatino Linotype" w:hAnsi="Palatino Linotype" w:cs="Palatino Linotype"/>
          <w:b/>
          <w:bCs/>
        </w:rPr>
        <w:lastRenderedPageBreak/>
        <w:t>Número de serie del emisor y/o CSD y número de certificado del SAT</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Por otra parte, por lo que hace </w:t>
      </w:r>
      <w:r w:rsidRPr="00467950">
        <w:rPr>
          <w:rFonts w:ascii="Palatino Linotype" w:eastAsia="Palatino Linotype" w:hAnsi="Palatino Linotype" w:cs="Palatino Linotype"/>
          <w:b/>
          <w:bCs/>
        </w:rPr>
        <w:t xml:space="preserve">al número de serie de los certificados de Sello Digitales del emisor y del </w:t>
      </w:r>
      <w:r w:rsidRPr="00467950">
        <w:rPr>
          <w:rFonts w:ascii="Palatino Linotype" w:eastAsia="Palatino Linotype" w:hAnsi="Palatino Linotype" w:cs="Palatino Linotype"/>
        </w:rPr>
        <w:t>Servicio</w:t>
      </w:r>
      <w:r w:rsidRPr="00467950">
        <w:rPr>
          <w:rFonts w:ascii="Palatino Linotype" w:eastAsia="Palatino Linotype" w:hAnsi="Palatino Linotype" w:cs="Palatino Linotype"/>
          <w:b/>
          <w:bCs/>
        </w:rPr>
        <w:t xml:space="preserve"> de Administración Tributaria,</w:t>
      </w:r>
      <w:r w:rsidRPr="00467950">
        <w:rPr>
          <w:rFonts w:ascii="Palatino Linotype" w:eastAsia="Palatino Linotype" w:hAnsi="Palatino Linotype" w:cs="Palatino Linotype"/>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cual se advierte que únicamente se encuentra conformado por números, se muestra a continuación:</w:t>
      </w:r>
    </w:p>
    <w:p w:rsidR="00727FC5" w:rsidRPr="00467950" w:rsidRDefault="00467950">
      <w:pPr>
        <w:spacing w:line="360" w:lineRule="auto"/>
        <w:jc w:val="center"/>
        <w:rPr>
          <w:rFonts w:ascii="Palatino Linotype" w:eastAsia="Palatino Linotype" w:hAnsi="Palatino Linotype" w:cs="Palatino Linotype"/>
        </w:rPr>
      </w:pPr>
      <w:r w:rsidRPr="00467950">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568409</wp:posOffset>
                </wp:positionH>
                <wp:positionV relativeFrom="paragraph">
                  <wp:posOffset>805707</wp:posOffset>
                </wp:positionV>
                <wp:extent cx="3486150" cy="247650"/>
                <wp:effectExtent l="0" t="0" r="0" b="0"/>
                <wp:wrapNone/>
                <wp:docPr id="37" name="Rectángulo 37"/>
                <wp:cNvGraphicFramePr/>
                <a:graphic xmlns:a="http://schemas.openxmlformats.org/drawingml/2006/main">
                  <a:graphicData uri="http://schemas.microsoft.com/office/word/2010/wordprocessingShape">
                    <wps:wsp>
                      <wps:cNvSpPr/>
                      <wps:spPr>
                        <a:xfrm>
                          <a:off x="0" y="0"/>
                          <a:ext cx="3486150" cy="247650"/>
                        </a:xfrm>
                        <a:prstGeom prst="rect">
                          <a:avLst/>
                        </a:prstGeom>
                        <a:noFill/>
                        <a:ln w="28575" cap="flat" cmpd="sng">
                          <a:solidFill>
                            <a:srgbClr val="000000"/>
                          </a:solidFill>
                          <a:prstDash val="solid"/>
                          <a:round/>
                          <a:headEnd type="none" w="sm" len="sm"/>
                          <a:tailEnd type="none" w="sm" len="sm"/>
                        </a:ln>
                      </wps:spPr>
                      <wps:txbx>
                        <w:txbxContent>
                          <w:p w:rsidR="00727FC5" w:rsidRDefault="00727FC5">
                            <w:pPr>
                              <w:textDirection w:val="btLr"/>
                            </w:pPr>
                          </w:p>
                        </w:txbxContent>
                      </wps:txbx>
                      <wps:bodyPr spcFirstLastPara="1" wrap="square" lIns="91425" tIns="91425" rIns="91425" bIns="91425" anchor="ctr" anchorCtr="0">
                        <a:noAutofit/>
                      </wps:bodyPr>
                    </wps:wsp>
                  </a:graphicData>
                </a:graphic>
              </wp:anchor>
            </w:drawing>
          </mc:Choice>
          <mc:Fallback>
            <w:pict>
              <v:rect id="Rectángulo 37" o:spid="_x0000_s1026" style="position:absolute;left:0;text-align:left;margin-left:44.75pt;margin-top:63.45pt;width:274.5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" filled="f" strokeweight="2.25pt">
                <v:stroke startarrowwidth="narrow" startarrowlength="short" endarrowwidth="narrow" endarrowlength="short" joinstyle="round"/>
                <v:textbox inset="2.53958mm,2.53958mm,2.53958mm,2.53958mm">
                  <w:txbxContent>
                    <w:p w:rsidR="00727FC5" w:rsidRDefault="00727FC5">
                      <w:pPr>
                        <w:textDirection w:val="btLr"/>
                      </w:pPr>
                    </w:p>
                  </w:txbxContent>
                </v:textbox>
              </v:rect>
            </w:pict>
          </mc:Fallback>
        </mc:AlternateContent>
      </w:r>
      <w:r w:rsidR="00036D1B" w:rsidRPr="00467950">
        <w:rPr>
          <w:rFonts w:ascii="Palatino Linotype" w:eastAsia="Palatino Linotype" w:hAnsi="Palatino Linotype" w:cs="Palatino Linotype"/>
          <w:noProof/>
          <w:lang w:val="es-MX"/>
        </w:rPr>
        <w:drawing>
          <wp:inline distT="0" distB="0" distL="0" distR="0">
            <wp:extent cx="5191125" cy="100965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191125" cy="1009650"/>
                    </a:xfrm>
                    <a:prstGeom prst="rect">
                      <a:avLst/>
                    </a:prstGeom>
                    <a:ln/>
                  </pic:spPr>
                </pic:pic>
              </a:graphicData>
            </a:graphic>
          </wp:inline>
        </w:drawing>
      </w:r>
    </w:p>
    <w:p w:rsidR="00727FC5" w:rsidRPr="00467950" w:rsidRDefault="00727FC5">
      <w:pPr>
        <w:spacing w:line="360" w:lineRule="auto"/>
        <w:jc w:val="center"/>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rPr>
      </w:pPr>
      <w:r w:rsidRPr="00467950">
        <w:rPr>
          <w:rFonts w:ascii="Palatino Linotype" w:eastAsia="Palatino Linotype" w:hAnsi="Palatino Linotype" w:cs="Palatino Linotype"/>
        </w:rPr>
        <w:t xml:space="preserve">Como se logra observar, los números de serie del certificado de sello digital no contiene datos personales y con dichos dígitos tampoco se puede obtener información de carácter confidencial, por lo que, </w:t>
      </w:r>
      <w:r w:rsidRPr="00467950">
        <w:rPr>
          <w:rFonts w:ascii="Palatino Linotype" w:eastAsia="Palatino Linotype" w:hAnsi="Palatino Linotype" w:cs="Palatino Linotype"/>
          <w:b/>
          <w:bCs/>
        </w:rPr>
        <w:t>tampoco actualizan la causal de clasificación</w:t>
      </w:r>
      <w:r w:rsidRPr="00467950">
        <w:rPr>
          <w:rFonts w:ascii="Palatino Linotype" w:eastAsia="Palatino Linotype" w:hAnsi="Palatino Linotype" w:cs="Palatino Linotype"/>
        </w:rPr>
        <w:t xml:space="preserve">, establecida en el artículo 143, fracción I, de la Ley de Transparencia y Acceso a la Información Pública del Estado de México y Municipios. </w:t>
      </w:r>
      <w:r w:rsidRPr="00467950">
        <w:rPr>
          <w:rFonts w:ascii="Palatino Linotype" w:eastAsia="Palatino Linotype" w:hAnsi="Palatino Linotype" w:cs="Palatino Linotype"/>
          <w:b/>
          <w:bCs/>
        </w:rPr>
        <w:t>Máxime que permite corroborar la legitimidad a los CDFI, pues amparan la utilización de los certificados de sellos digitales válidos.</w:t>
      </w:r>
    </w:p>
    <w:p w:rsidR="00727FC5" w:rsidRPr="00467950" w:rsidRDefault="00727FC5">
      <w:pPr>
        <w:spacing w:line="360" w:lineRule="auto"/>
        <w:jc w:val="both"/>
        <w:rPr>
          <w:rFonts w:ascii="Palatino Linotype" w:eastAsia="Palatino Linotype" w:hAnsi="Palatino Linotype" w:cs="Palatino Linotype"/>
          <w:b/>
          <w:bCs/>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467950">
        <w:rPr>
          <w:rFonts w:ascii="Palatino Linotype" w:eastAsia="Palatino Linotype" w:hAnsi="Palatino Linotype" w:cs="Palatino Linotype"/>
          <w:b/>
          <w:bCs/>
        </w:rPr>
        <w:t>SUJETO OBLIGADO</w:t>
      </w:r>
      <w:r w:rsidRPr="00467950">
        <w:rPr>
          <w:rFonts w:ascii="Palatino Linotype" w:eastAsia="Palatino Linotype" w:hAnsi="Palatino Linotype" w:cs="Palatino Linotype"/>
        </w:rPr>
        <w:t xml:space="preserve"> deberá hacer la elaboración de la versión pública de </w:t>
      </w:r>
      <w:r w:rsidRPr="00467950">
        <w:rPr>
          <w:rFonts w:ascii="Palatino Linotype" w:eastAsia="Palatino Linotype" w:hAnsi="Palatino Linotype" w:cs="Palatino Linotype"/>
        </w:rPr>
        <w:lastRenderedPageBreak/>
        <w:t xml:space="preserve">los mismos a fin de satisfacer el derecho de acceso a la información pública de la parte </w:t>
      </w:r>
      <w:r w:rsidRPr="00467950">
        <w:rPr>
          <w:rFonts w:ascii="Palatino Linotype" w:eastAsia="Palatino Linotype" w:hAnsi="Palatino Linotype" w:cs="Palatino Linotype"/>
          <w:b/>
          <w:bCs/>
        </w:rPr>
        <w:t>RECURRENTE</w:t>
      </w:r>
      <w:r w:rsidRPr="00467950">
        <w:rPr>
          <w:rFonts w:ascii="Palatino Linotype" w:eastAsia="Palatino Linotype" w:hAnsi="Palatino Linotype" w:cs="Palatino Linotype"/>
        </w:rPr>
        <w:t xml:space="preserve"> sin menoscabo al derecho a la protección de los datos personales de terceros.</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 Por lo que en relatadas circunstancias lo procedente es ordenar la entrega de las facturas remitidas en calidad de respuesta en correcta versión pública.</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pPr>
      <w:r w:rsidRPr="00467950">
        <w:rPr>
          <w:rFonts w:ascii="Palatino Linotype" w:eastAsia="Palatino Linotype" w:hAnsi="Palatino Linotype" w:cs="Palatino Linotype"/>
        </w:rPr>
        <w:t xml:space="preserve">Ahora bien, respecto a los procesos de licitación y contratación que la Ley de la  Contratación Pública del Estado de México y Municipios, tiene por objeto regular los actos relativos a la planeación, programación, presupuestación, ejecución y control de la </w:t>
      </w:r>
      <w:r w:rsidRPr="00467950">
        <w:rPr>
          <w:rFonts w:ascii="Palatino Linotype" w:eastAsia="Palatino Linotype" w:hAnsi="Palatino Linotype" w:cs="Palatino Linotype"/>
          <w:b/>
          <w:bCs/>
          <w:u w:val="single"/>
        </w:rPr>
        <w:t>adquisición</w:t>
      </w:r>
      <w:r w:rsidRPr="00467950">
        <w:rPr>
          <w:rFonts w:ascii="Palatino Linotype" w:eastAsia="Palatino Linotype" w:hAnsi="Palatino Linotype" w:cs="Palatino Linotype"/>
        </w:rPr>
        <w:t xml:space="preserve">, enajenación y arrendamiento </w:t>
      </w:r>
      <w:r w:rsidRPr="00467950">
        <w:rPr>
          <w:rFonts w:ascii="Palatino Linotype" w:eastAsia="Palatino Linotype" w:hAnsi="Palatino Linotype" w:cs="Palatino Linotype"/>
          <w:b/>
          <w:bCs/>
          <w:u w:val="single"/>
        </w:rPr>
        <w:t>de bienes</w:t>
      </w:r>
      <w:r w:rsidRPr="00467950">
        <w:rPr>
          <w:rFonts w:ascii="Palatino Linotype" w:eastAsia="Palatino Linotype" w:hAnsi="Palatino Linotype" w:cs="Palatino Linotype"/>
        </w:rPr>
        <w:t xml:space="preserve">, y la </w:t>
      </w:r>
      <w:r w:rsidRPr="00467950">
        <w:rPr>
          <w:rFonts w:ascii="Palatino Linotype" w:eastAsia="Palatino Linotype" w:hAnsi="Palatino Linotype" w:cs="Palatino Linotype"/>
          <w:b/>
          <w:bCs/>
          <w:u w:val="single"/>
        </w:rPr>
        <w:t>contratación de servicios de cualquier naturaleza, que realicen los Ayuntamientos del Estado</w:t>
      </w:r>
      <w:r w:rsidRPr="00467950">
        <w:rPr>
          <w:rFonts w:ascii="Palatino Linotype" w:eastAsia="Palatino Linotype" w:hAnsi="Palatino Linotype" w:cs="Palatino Linotype"/>
        </w:rPr>
        <w:t xml:space="preserve">; los cuales se adjudicarán a través de </w:t>
      </w:r>
      <w:r w:rsidRPr="00467950">
        <w:rPr>
          <w:rFonts w:ascii="Palatino Linotype" w:eastAsia="Palatino Linotype" w:hAnsi="Palatino Linotype" w:cs="Palatino Linotype"/>
          <w:b/>
          <w:bCs/>
          <w:u w:val="single"/>
        </w:rPr>
        <w:t>licitaciones públicas</w:t>
      </w:r>
      <w:r w:rsidRPr="00467950">
        <w:rPr>
          <w:rFonts w:ascii="Palatino Linotype" w:eastAsia="Palatino Linotype" w:hAnsi="Palatino Linotype" w:cs="Palatino Linotype"/>
        </w:rPr>
        <w:t>, invitación restringida o adjudicación directa, mediante convocatoria pública, tal y como lo establecen los artículos 4, 26 y 27 de dicha Ley, los cuales son del tenor siguiente: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b/>
          <w:bCs/>
          <w:i/>
          <w:iCs/>
        </w:rPr>
        <w:t>Artículo 4.-</w:t>
      </w:r>
      <w:r w:rsidRPr="00467950">
        <w:rPr>
          <w:rFonts w:ascii="Palatino Linotype" w:eastAsia="Palatino Linotype" w:hAnsi="Palatino Linotype" w:cs="Palatino Linotype"/>
          <w:i/>
          <w:iCs/>
        </w:rPr>
        <w:t xml:space="preserve"> Para los efectos de esta Ley, en las adquisiciones, enajenaciones, arrendamientos y servicios, quedan comprendidos: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u w:val="single"/>
        </w:rPr>
        <w:t>I. La adquisición de bienes muebles.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II. La adquisición de bienes inmuebles, a través de compraventa.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III. La enajenación de bienes muebles e inmuebles.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u w:val="single"/>
        </w:rPr>
        <w:t>IV. El arrendamiento de bienes muebles</w:t>
      </w:r>
      <w:r w:rsidRPr="00467950">
        <w:rPr>
          <w:rFonts w:ascii="Palatino Linotype" w:eastAsia="Palatino Linotype" w:hAnsi="Palatino Linotype" w:cs="Palatino Linotype"/>
          <w:i/>
          <w:iCs/>
        </w:rPr>
        <w:t xml:space="preserve"> e inmuebles.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u w:val="single"/>
        </w:rPr>
        <w:lastRenderedPageBreak/>
        <w:t>V. La contratación de los servicios, relacionados con bienes muebles que se encuentran incorporados o adheridos a bienes inmuebles, cuya instalación o mantenimiento no implique modificación al bien inmueble.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VI. La contratación de los servicios de reconstrucción y mantenimiento de bienes muebles.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u w:val="single"/>
        </w:rPr>
        <w:t xml:space="preserve">VII. La contratación de los servicios </w:t>
      </w:r>
      <w:r w:rsidRPr="00467950">
        <w:rPr>
          <w:rFonts w:ascii="Palatino Linotype" w:eastAsia="Palatino Linotype" w:hAnsi="Palatino Linotype" w:cs="Palatino Linotype"/>
          <w:i/>
          <w:iCs/>
        </w:rPr>
        <w:t>de maquila, seguros y transportación, así como de los de limpieza y vigilancia de bienes inmuebles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VIII. La prestación de servicios profesionales, la contratación de consultorías, asesorías y estudios e investigaciones, excepto la contratación de servicios personales de personas físicas bajo el régimen de honorarios.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u w:val="single"/>
        </w:rPr>
        <w:t>En general, otros actos que impliquen la contratación de servicios de cualquier naturaleza.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Artículo 26.- Las adquisiciones, arrendamientos y servicios se adjudicarán a través de licitaciones públicas, mediante convocatoria pública.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 xml:space="preserve">Artículo 27.- </w:t>
      </w:r>
      <w:r w:rsidRPr="00467950">
        <w:rPr>
          <w:rFonts w:ascii="Palatino Linotype" w:eastAsia="Palatino Linotype" w:hAnsi="Palatino Linotype" w:cs="Palatino Linotype"/>
          <w:i/>
          <w:iCs/>
        </w:rPr>
        <w:t xml:space="preserve">La Secretaría, las entidades, los tribunales administrativos y </w:t>
      </w:r>
      <w:r w:rsidRPr="00467950">
        <w:rPr>
          <w:rFonts w:ascii="Palatino Linotype" w:eastAsia="Palatino Linotype" w:hAnsi="Palatino Linotype" w:cs="Palatino Linotype"/>
          <w:b/>
          <w:bCs/>
          <w:i/>
          <w:iCs/>
        </w:rPr>
        <w:t>los ayuntamientos podrán adjudicar adquisiciones, arrendamientos y servicios, mediante las excepciones al procedimiento de licitación que a continuación se señalan: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I. Invitación restringida.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II. Adjudicación directa.”</w:t>
      </w:r>
      <w:r w:rsidRPr="00467950">
        <w:rPr>
          <w:rFonts w:ascii="Palatino Linotype" w:eastAsia="Palatino Linotype" w:hAnsi="Palatino Linotype" w:cs="Palatino Linotype"/>
          <w:i/>
          <w:iCs/>
        </w:rPr>
        <w:t xml:space="preserve"> </w:t>
      </w:r>
      <w:r w:rsidRPr="00467950">
        <w:rPr>
          <w:rFonts w:ascii="Palatino Linotype" w:eastAsia="Palatino Linotype" w:hAnsi="Palatino Linotype" w:cs="Palatino Linotype"/>
        </w:rPr>
        <w:t>(Énfasis añadido)</w:t>
      </w:r>
      <w:r w:rsidRPr="00467950">
        <w:rPr>
          <w:rFonts w:ascii="Palatino Linotype" w:eastAsia="Palatino Linotype" w:hAnsi="Palatino Linotype" w:cs="Palatino Linotype"/>
          <w:i/>
          <w:iCs/>
        </w:rPr>
        <w:t> </w:t>
      </w:r>
    </w:p>
    <w:p w:rsidR="00727FC5" w:rsidRPr="00467950" w:rsidRDefault="00727FC5">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w:t>
      </w:r>
      <w:r w:rsidRPr="00467950">
        <w:rPr>
          <w:rFonts w:ascii="Palatino Linotype" w:eastAsia="Palatino Linotype" w:hAnsi="Palatino Linotype" w:cs="Palatino Linotype"/>
        </w:rPr>
        <w:lastRenderedPageBreak/>
        <w:t>requisitos de la convocatoria y de las bases de la licitación tendrá derecho a presentar su propuesta. </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Por lo que, en las licitaciones se debe seguir el procedimiento marcado en el artículo 35 del precitado ordenamiento, que literalmente establece:</w:t>
      </w:r>
    </w:p>
    <w:p w:rsidR="00727FC5" w:rsidRPr="00467950" w:rsidRDefault="00036D1B">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“Artículo 35</w:t>
      </w:r>
      <w:r w:rsidRPr="00467950">
        <w:rPr>
          <w:rFonts w:ascii="Palatino Linotype" w:eastAsia="Palatino Linotype" w:hAnsi="Palatino Linotype" w:cs="Palatino Linotype"/>
          <w:i/>
          <w:iCs/>
        </w:rPr>
        <w:t>.- En los procedimientos de licitación pública se observará lo siguiente:</w:t>
      </w:r>
    </w:p>
    <w:p w:rsidR="00727FC5" w:rsidRPr="00467950" w:rsidRDefault="00036D1B">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rPr>
      </w:pPr>
      <w:r w:rsidRPr="00467950">
        <w:rPr>
          <w:rFonts w:ascii="Palatino Linotype" w:eastAsia="Palatino Linotype" w:hAnsi="Palatino Linotype" w:cs="Palatino Linotype"/>
          <w:i/>
          <w:iCs/>
        </w:rPr>
        <w:t>I. El acto de presentación y apertura de propuestas se llevará a cabo por el servidor público que designe la convocante, conforme al procedimiento que se establezca en el reglamento de esta Ley.</w:t>
      </w:r>
    </w:p>
    <w:p w:rsidR="00727FC5" w:rsidRPr="00467950" w:rsidRDefault="00036D1B">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rPr>
      </w:pPr>
      <w:r w:rsidRPr="00467950">
        <w:rPr>
          <w:rFonts w:ascii="Palatino Linotype" w:eastAsia="Palatino Linotype" w:hAnsi="Palatino Linotype" w:cs="Palatino Linotype"/>
          <w:i/>
          <w:iCs/>
        </w:rPr>
        <w:t>II. El comité de adquisiciones y servicios evaluará y analizará las propuestas técnicas y económicas presentadas por los licitantes en el ámbito de las respectivas competencias de sus integrantes, y emitirá el dictamen de adjudicación.</w:t>
      </w:r>
    </w:p>
    <w:p w:rsidR="00727FC5" w:rsidRPr="00467950" w:rsidRDefault="00036D1B">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rPr>
      </w:pPr>
      <w:r w:rsidRPr="00467950">
        <w:rPr>
          <w:rFonts w:ascii="Palatino Linotype" w:eastAsia="Palatino Linotype" w:hAnsi="Palatino Linotype" w:cs="Palatino Linotype"/>
          <w:i/>
          <w:iC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727FC5" w:rsidRPr="00467950" w:rsidRDefault="00036D1B">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rPr>
      </w:pPr>
      <w:r w:rsidRPr="00467950">
        <w:rPr>
          <w:rFonts w:ascii="Palatino Linotype" w:eastAsia="Palatino Linotype" w:hAnsi="Palatino Linotype" w:cs="Palatino Linotype"/>
          <w:i/>
          <w:iCs/>
        </w:rPr>
        <w:t>IV. Las convocantes podrán modificar los plazos y términos establecidos en la convocatoria o en las bases de licitación, hasta cinco días hábiles anteriores a la fecha de la celebración del acto de presentación y apertura de propuestas.</w:t>
      </w:r>
    </w:p>
    <w:p w:rsidR="00727FC5" w:rsidRPr="00467950" w:rsidRDefault="00036D1B">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rPr>
      </w:pPr>
      <w:r w:rsidRPr="00467950">
        <w:rPr>
          <w:rFonts w:ascii="Palatino Linotype" w:eastAsia="Palatino Linotype" w:hAnsi="Palatino Linotype" w:cs="Palatino Linotype"/>
          <w:i/>
          <w:iCs/>
        </w:rPr>
        <w:lastRenderedPageBreak/>
        <w:t>V. Las modificaciones no podrán limitar el número de licitantes, sustituir o variar sustancialmente los bienes o servicios convocados originalmente, ni adicionar otros distintos.</w:t>
      </w:r>
    </w:p>
    <w:p w:rsidR="00727FC5" w:rsidRPr="00467950" w:rsidRDefault="00036D1B">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rPr>
      </w:pPr>
      <w:r w:rsidRPr="00467950">
        <w:rPr>
          <w:rFonts w:ascii="Palatino Linotype" w:eastAsia="Palatino Linotype" w:hAnsi="Palatino Linotype" w:cs="Palatino Linotype"/>
          <w:i/>
          <w:iCs/>
        </w:rPr>
        <w:t>VI. Las modificaciones a la convocatoria o a las bases se harán del conocimiento de los interesados hasta tres días hábiles antes de la fecha señalada para el acto de presentación y apertura de propuestas.</w:t>
      </w:r>
    </w:p>
    <w:p w:rsidR="00727FC5" w:rsidRPr="00467950" w:rsidRDefault="00036D1B">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rPr>
      </w:pPr>
      <w:r w:rsidRPr="00467950">
        <w:rPr>
          <w:rFonts w:ascii="Palatino Linotype" w:eastAsia="Palatino Linotype" w:hAnsi="Palatino Linotype" w:cs="Palatino Linotype"/>
          <w:i/>
          <w:iCs/>
        </w:rPr>
        <w:t>VII. Se emitirá el fallo dentro de los 15 días hábiles siguientes a la publicación de la convocatoria.</w:t>
      </w:r>
    </w:p>
    <w:p w:rsidR="00727FC5" w:rsidRPr="00467950" w:rsidRDefault="00036D1B">
      <w:pPr>
        <w:pBdr>
          <w:top w:val="nil"/>
          <w:left w:val="nil"/>
          <w:bottom w:val="nil"/>
          <w:right w:val="nil"/>
          <w:between w:val="nil"/>
        </w:pBdr>
        <w:spacing w:before="240" w:after="240" w:line="276" w:lineRule="auto"/>
        <w:ind w:left="567" w:right="758"/>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VIII. Los licitantes se podrán registrar hasta el día y la hora fijados para el acto de presentación y apertura de propuestas.</w:t>
      </w:r>
      <w:r w:rsidRPr="00467950">
        <w:rPr>
          <w:rFonts w:ascii="Palatino Linotype" w:eastAsia="Palatino Linotype" w:hAnsi="Palatino Linotype" w:cs="Palatino Linotype"/>
          <w:b/>
          <w:bCs/>
          <w:i/>
          <w:iCs/>
        </w:rPr>
        <w:t>”</w:t>
      </w:r>
      <w:r w:rsidRPr="00467950">
        <w:rPr>
          <w:rFonts w:ascii="Palatino Linotype" w:eastAsia="Palatino Linotype" w:hAnsi="Palatino Linotype" w:cs="Palatino Linotype"/>
          <w:i/>
          <w:iCs/>
        </w:rPr>
        <w:t xml:space="preserve"> </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Además, respecto al dictamen y el fallo de la adjudicación, es de señalar que la Ley en mención indica lo siguiente: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“Artículo 37.-</w:t>
      </w:r>
      <w:r w:rsidRPr="00467950">
        <w:rPr>
          <w:rFonts w:ascii="Palatino Linotype" w:eastAsia="Palatino Linotype" w:hAnsi="Palatino Linotype" w:cs="Palatino Linotype"/>
          <w:i/>
          <w:iC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w:t>
      </w:r>
      <w:r w:rsidRPr="00467950">
        <w:rPr>
          <w:rFonts w:ascii="Palatino Linotype" w:eastAsia="Palatino Linotype" w:hAnsi="Palatino Linotype" w:cs="Palatino Linotype"/>
          <w:i/>
          <w:iCs/>
        </w:rPr>
        <w:lastRenderedPageBreak/>
        <w:t>garantizando en todo momento la obtención de las mejores condiciones en cuanto a precio, calidad, financiamiento, oportunidad y demás circunstancias pertinentes.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Artículo 38.-</w:t>
      </w:r>
      <w:r w:rsidRPr="00467950">
        <w:rPr>
          <w:rFonts w:ascii="Palatino Linotype" w:eastAsia="Palatino Linotype" w:hAnsi="Palatino Linotype" w:cs="Palatino Linotype"/>
          <w:i/>
          <w:iC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727FC5" w:rsidRPr="00467950" w:rsidRDefault="00036D1B">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467950">
        <w:rPr>
          <w:rFonts w:ascii="Palatino Linotype" w:eastAsia="Palatino Linotype" w:hAnsi="Palatino Linotype" w:cs="Palatino Linotype"/>
          <w:b/>
          <w:bCs/>
          <w:i/>
          <w:iCs/>
        </w:rPr>
        <w:t>”</w:t>
      </w:r>
      <w:r w:rsidRPr="00467950">
        <w:rPr>
          <w:rFonts w:ascii="Palatino Linotype" w:eastAsia="Palatino Linotype" w:hAnsi="Palatino Linotype" w:cs="Palatino Linotype"/>
          <w:i/>
          <w:iCs/>
        </w:rPr>
        <w:t> </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“Artículo 46.-</w:t>
      </w:r>
      <w:r w:rsidRPr="00467950">
        <w:rPr>
          <w:rFonts w:ascii="Palatino Linotype" w:eastAsia="Palatino Linotype" w:hAnsi="Palatino Linotype" w:cs="Palatino Linotype"/>
          <w:i/>
          <w:iCs/>
        </w:rPr>
        <w:t xml:space="preserve"> El procedimiento de invitación restringida se desarrollará en los términos de la licitación pública, a excepción de la publicación de la convocatoria.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w:t>
      </w:r>
      <w:r w:rsidRPr="00467950">
        <w:rPr>
          <w:rFonts w:ascii="Palatino Linotype" w:eastAsia="Palatino Linotype" w:hAnsi="Palatino Linotype" w:cs="Palatino Linotype"/>
          <w:i/>
          <w:iCs/>
        </w:rPr>
        <w:t xml:space="preserve">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lastRenderedPageBreak/>
        <w:t>Por ello, el Reglamento de la Ley en comento, en su artículo 90, indica cuales lo son los supuestos que deberán observarse para llevar a cabo dicho procedimiento:</w:t>
      </w:r>
    </w:p>
    <w:p w:rsidR="00727FC5" w:rsidRPr="00467950" w:rsidRDefault="00727FC5">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Artículo 90.-</w:t>
      </w:r>
      <w:r w:rsidRPr="00467950">
        <w:rPr>
          <w:rFonts w:ascii="Palatino Linotype" w:eastAsia="Palatino Linotype" w:hAnsi="Palatino Linotype" w:cs="Palatino Linotype"/>
          <w:i/>
          <w:iCs/>
        </w:rPr>
        <w:t xml:space="preserve"> En el procedimiento de invitación restringida se deberá observar lo siguiente: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I. Se invitará a un mínimo de tres personas seleccionadas de entre las que se encuentren inscritas en el catálogo de proveedores y de prestadores de servicios.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Se podrá invitar a personas que no se encuentren inscritas, cuando en el giro correspondiente del catálogo de proveedores y prestadores de servicios no exista el registro mínimo de personas requeridas para tal modalidad;</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II. Las bases de la invitación restringida indicarán los aspectos de la adquisición o contratación; y</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bCs/>
          <w:i/>
          <w:iCs/>
        </w:rPr>
      </w:pPr>
      <w:r w:rsidRPr="00467950">
        <w:rPr>
          <w:rFonts w:ascii="Palatino Linotype" w:eastAsia="Palatino Linotype" w:hAnsi="Palatino Linotype" w:cs="Palatino Linotype"/>
          <w:i/>
          <w:iCs/>
        </w:rPr>
        <w:t>III. Serán aplicables, en lo conducente, las disposiciones de la licitación pública.</w:t>
      </w:r>
      <w:r w:rsidRPr="00467950">
        <w:rPr>
          <w:rFonts w:ascii="Palatino Linotype" w:eastAsia="Palatino Linotype" w:hAnsi="Palatino Linotype" w:cs="Palatino Linotype"/>
          <w:b/>
          <w:bCs/>
          <w:i/>
          <w:iCs/>
        </w:rPr>
        <w:t>”</w:t>
      </w:r>
    </w:p>
    <w:p w:rsidR="00727FC5" w:rsidRPr="00467950" w:rsidRDefault="00727FC5">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Por último, y en cuanto hace a la adjudicación directa, el artículo 48 de la Ley de la Contratación Pública del Estado de México y Municipios y 91 del Reglamento de dicha Ley, indican en qué supuestos puede llevarse a cabo este procedimiento.</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lastRenderedPageBreak/>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Además, el artículo 94 del referido Reglamento, detalla el procedimiento que se llevará a cabo en la adjudicación directa, de la siguiente manera: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 xml:space="preserve">“Artículo 94.- </w:t>
      </w:r>
      <w:r w:rsidRPr="00467950">
        <w:rPr>
          <w:rFonts w:ascii="Palatino Linotype" w:eastAsia="Palatino Linotype" w:hAnsi="Palatino Linotype" w:cs="Palatino Linotype"/>
          <w:i/>
          <w:iCs/>
        </w:rPr>
        <w:t>En el procedimiento de adjudicación directa se observará lo siguiente:</w:t>
      </w:r>
      <w:r w:rsidRPr="00467950">
        <w:rPr>
          <w:rFonts w:ascii="Palatino Linotype" w:eastAsia="Palatino Linotype" w:hAnsi="Palatino Linotype" w:cs="Palatino Linotype"/>
          <w:b/>
          <w:bCs/>
          <w:i/>
          <w:iCs/>
        </w:rPr>
        <w:t> </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I.</w:t>
      </w:r>
      <w:r w:rsidRPr="00467950">
        <w:rPr>
          <w:rFonts w:ascii="Palatino Linotype" w:eastAsia="Palatino Linotype" w:hAnsi="Palatino Linotype" w:cs="Palatino Linotype"/>
          <w:i/>
          <w:iCs/>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II.</w:t>
      </w:r>
      <w:r w:rsidRPr="00467950">
        <w:rPr>
          <w:rFonts w:ascii="Palatino Linotype" w:eastAsia="Palatino Linotype" w:hAnsi="Palatino Linotype" w:cs="Palatino Linotype"/>
          <w:i/>
          <w:iC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III.</w:t>
      </w:r>
      <w:r w:rsidRPr="00467950">
        <w:rPr>
          <w:rFonts w:ascii="Palatino Linotype" w:eastAsia="Palatino Linotype" w:hAnsi="Palatino Linotype" w:cs="Palatino Linotype"/>
          <w:i/>
          <w:iCs/>
        </w:rPr>
        <w:t xml:space="preserve"> La solicitud de participación contendrá, como mínimo, la descripción y cantidad de los bienes o servicios requeridos, lugar, plazo de entrega o duración del servicio y forma de pago;</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IV.</w:t>
      </w:r>
      <w:r w:rsidRPr="00467950">
        <w:rPr>
          <w:rFonts w:ascii="Palatino Linotype" w:eastAsia="Palatino Linotype" w:hAnsi="Palatino Linotype" w:cs="Palatino Linotype"/>
          <w:i/>
          <w:iCs/>
        </w:rPr>
        <w:t xml:space="preserve"> La solicitud de participación deberá señalar el día, hora y lugar en que tendrá verificativo el acto de presentación y apertura de ofertas;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V.</w:t>
      </w:r>
      <w:r w:rsidRPr="00467950">
        <w:rPr>
          <w:rFonts w:ascii="Palatino Linotype" w:eastAsia="Palatino Linotype" w:hAnsi="Palatino Linotype" w:cs="Palatino Linotype"/>
          <w:i/>
          <w:iCs/>
        </w:rPr>
        <w:t xml:space="preserve"> Atendiendo a la naturaleza de los bienes o servicios, la convocante podrá optar entre celebrar o no junta de aclaraciones, en términos de lo dispuesto por este Reglamento;</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lastRenderedPageBreak/>
        <w:t>VI.</w:t>
      </w:r>
      <w:r w:rsidRPr="00467950">
        <w:rPr>
          <w:rFonts w:ascii="Palatino Linotype" w:eastAsia="Palatino Linotype" w:hAnsi="Palatino Linotype" w:cs="Palatino Linotype"/>
          <w:i/>
          <w:iCs/>
        </w:rPr>
        <w:t xml:space="preserve"> El servidor público designado por la convocante será el responsable de llevar a cabo el acto de presentación y apertura de propuestas;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VII.</w:t>
      </w:r>
      <w:r w:rsidRPr="00467950">
        <w:rPr>
          <w:rFonts w:ascii="Palatino Linotype" w:eastAsia="Palatino Linotype" w:hAnsi="Palatino Linotype" w:cs="Palatino Linotype"/>
          <w:i/>
          <w:iCs/>
        </w:rPr>
        <w:t xml:space="preserve"> Se observarán, en lo conducente, las disposiciones relativas a la contraoferta; y</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VIII.</w:t>
      </w:r>
      <w:r w:rsidRPr="00467950">
        <w:rPr>
          <w:rFonts w:ascii="Palatino Linotype" w:eastAsia="Palatino Linotype" w:hAnsi="Palatino Linotype" w:cs="Palatino Linotype"/>
          <w:i/>
          <w:iCs/>
        </w:rPr>
        <w:t xml:space="preserve"> El comité será responsable de emitir el dictamen de adjudicación que servirá de base para el fallo de adjudicación; correspondiendo a la convocante emitir dicho fallo, quien lo hará del conocimiento de los licitantes.</w:t>
      </w:r>
      <w:r w:rsidRPr="00467950">
        <w:rPr>
          <w:rFonts w:ascii="Palatino Linotype" w:eastAsia="Palatino Linotype" w:hAnsi="Palatino Linotype" w:cs="Palatino Linotype"/>
          <w:b/>
          <w:bCs/>
          <w:i/>
          <w:iCs/>
        </w:rPr>
        <w:t>”</w:t>
      </w:r>
      <w:r w:rsidRPr="00467950">
        <w:rPr>
          <w:rFonts w:ascii="Palatino Linotype" w:eastAsia="Palatino Linotype" w:hAnsi="Palatino Linotype" w:cs="Palatino Linotype"/>
          <w:i/>
          <w:iCs/>
        </w:rPr>
        <w:t> </w:t>
      </w:r>
      <w:r w:rsidRPr="00467950">
        <w:rPr>
          <w:rFonts w:ascii="Palatino Linotype" w:eastAsia="Palatino Linotype" w:hAnsi="Palatino Linotype" w:cs="Palatino Linotype"/>
        </w:rPr>
        <w:t>(Énfasis añadido)</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En este sentido, debe decirse que los </w:t>
      </w:r>
      <w:r w:rsidRPr="00467950">
        <w:rPr>
          <w:rFonts w:ascii="Palatino Linotype" w:eastAsia="Palatino Linotype" w:hAnsi="Palatino Linotype" w:cs="Palatino Linotype"/>
          <w:b/>
          <w:bCs/>
          <w:u w:val="single"/>
        </w:rPr>
        <w:t>expedientes de las adquisiciones, arrendamientos, enajenaciones y servicios</w:t>
      </w:r>
      <w:r w:rsidRPr="00467950">
        <w:rPr>
          <w:rFonts w:ascii="Palatino Linotype" w:eastAsia="Palatino Linotype" w:hAnsi="Palatino Linotype" w:cs="Palatino Linotype"/>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“Artículo 92. </w:t>
      </w:r>
      <w:r w:rsidRPr="00467950">
        <w:rPr>
          <w:rFonts w:ascii="Palatino Linotype" w:eastAsia="Palatino Linotype" w:hAnsi="Palatino Linotype" w:cs="Palatino Linotype"/>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XXIX. </w:t>
      </w:r>
      <w:r w:rsidRPr="00467950">
        <w:rPr>
          <w:rFonts w:ascii="Palatino Linotype" w:eastAsia="Palatino Linotype" w:hAnsi="Palatino Linotype" w:cs="Palatino Linotype"/>
          <w:b/>
          <w:bCs/>
          <w:i/>
          <w:iCs/>
          <w:u w:val="single"/>
        </w:rPr>
        <w:t xml:space="preserve">La información sobre los procesos y resultados sobre procedimientos de adjudicación directa, invitación restringida y licitación de cualquier </w:t>
      </w:r>
      <w:r w:rsidRPr="00467950">
        <w:rPr>
          <w:rFonts w:ascii="Palatino Linotype" w:eastAsia="Palatino Linotype" w:hAnsi="Palatino Linotype" w:cs="Palatino Linotype"/>
          <w:b/>
          <w:bCs/>
          <w:i/>
          <w:iCs/>
          <w:u w:val="single"/>
        </w:rPr>
        <w:lastRenderedPageBreak/>
        <w:t>naturaleza,</w:t>
      </w:r>
      <w:r w:rsidRPr="00467950">
        <w:rPr>
          <w:rFonts w:ascii="Palatino Linotype" w:eastAsia="Palatino Linotype" w:hAnsi="Palatino Linotype" w:cs="Palatino Linotype"/>
          <w:i/>
          <w:iCs/>
        </w:rPr>
        <w:t> </w:t>
      </w:r>
      <w:r w:rsidRPr="00467950">
        <w:rPr>
          <w:rFonts w:ascii="Palatino Linotype" w:eastAsia="Palatino Linotype" w:hAnsi="Palatino Linotype" w:cs="Palatino Linotype"/>
          <w:b/>
          <w:bCs/>
          <w:i/>
          <w:iCs/>
          <w:u w:val="single"/>
        </w:rPr>
        <w:t>incluyendo la versión pública del expediente respectivo y de los contratos</w:t>
      </w:r>
      <w:r w:rsidRPr="00467950">
        <w:rPr>
          <w:rFonts w:ascii="Palatino Linotype" w:eastAsia="Palatino Linotype" w:hAnsi="Palatino Linotype" w:cs="Palatino Linotype"/>
          <w:i/>
          <w:iCs/>
        </w:rPr>
        <w:t> celebrados, que deberán contener, por los menos, lo siguiente: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a) </w:t>
      </w:r>
      <w:r w:rsidRPr="00467950">
        <w:rPr>
          <w:rFonts w:ascii="Palatino Linotype" w:eastAsia="Palatino Linotype" w:hAnsi="Palatino Linotype" w:cs="Palatino Linotype"/>
          <w:i/>
          <w:iCs/>
        </w:rPr>
        <w:t>De licitaciones públicas o procedimientos de invitación restringida: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1)</w:t>
      </w:r>
      <w:r w:rsidRPr="00467950">
        <w:rPr>
          <w:rFonts w:ascii="Palatino Linotype" w:eastAsia="Palatino Linotype" w:hAnsi="Palatino Linotype" w:cs="Palatino Linotype"/>
          <w:i/>
          <w:iCs/>
        </w:rPr>
        <w:t> La convocatoria o invitación emitida, así como los fundamentos legales aplicados para llevarla a cabo;</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2) </w:t>
      </w:r>
      <w:r w:rsidRPr="00467950">
        <w:rPr>
          <w:rFonts w:ascii="Palatino Linotype" w:eastAsia="Palatino Linotype" w:hAnsi="Palatino Linotype" w:cs="Palatino Linotype"/>
          <w:i/>
          <w:iCs/>
        </w:rPr>
        <w:t>Los nombres de los participantes o invitados;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3)</w:t>
      </w:r>
      <w:r w:rsidRPr="00467950">
        <w:rPr>
          <w:rFonts w:ascii="Palatino Linotype" w:eastAsia="Palatino Linotype" w:hAnsi="Palatino Linotype" w:cs="Palatino Linotype"/>
          <w:i/>
          <w:iCs/>
        </w:rPr>
        <w:t> El nombre del ganador y las razones que lo justifican;</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4) </w:t>
      </w:r>
      <w:r w:rsidRPr="00467950">
        <w:rPr>
          <w:rFonts w:ascii="Palatino Linotype" w:eastAsia="Palatino Linotype" w:hAnsi="Palatino Linotype" w:cs="Palatino Linotype"/>
          <w:i/>
          <w:iCs/>
        </w:rPr>
        <w:t>El área solicitante y la responsable de su ejecución;</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5) </w:t>
      </w:r>
      <w:r w:rsidRPr="00467950">
        <w:rPr>
          <w:rFonts w:ascii="Palatino Linotype" w:eastAsia="Palatino Linotype" w:hAnsi="Palatino Linotype" w:cs="Palatino Linotype"/>
          <w:i/>
          <w:iCs/>
        </w:rPr>
        <w:t>Las convocatorias e invitaciones emitidas;</w:t>
      </w:r>
    </w:p>
    <w:p w:rsidR="00727FC5" w:rsidRPr="00467950" w:rsidRDefault="00036D1B">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6)</w:t>
      </w:r>
      <w:r w:rsidRPr="00467950">
        <w:rPr>
          <w:rFonts w:ascii="Palatino Linotype" w:eastAsia="Palatino Linotype" w:hAnsi="Palatino Linotype" w:cs="Palatino Linotype"/>
          <w:i/>
          <w:iCs/>
        </w:rPr>
        <w:t> Los dictámenes y fallo de adjudicación;</w:t>
      </w:r>
    </w:p>
    <w:p w:rsidR="00727FC5" w:rsidRPr="00467950" w:rsidRDefault="00036D1B">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rPr>
      </w:pPr>
      <w:r w:rsidRPr="00467950">
        <w:rPr>
          <w:rFonts w:ascii="Palatino Linotype" w:eastAsia="Palatino Linotype" w:hAnsi="Palatino Linotype" w:cs="Palatino Linotype"/>
          <w:b/>
          <w:bCs/>
          <w:i/>
          <w:iCs/>
          <w:u w:val="single"/>
        </w:rPr>
        <w:t>7) El contrato y, en su caso, sus anexos</w:t>
      </w:r>
      <w:r w:rsidRPr="00467950">
        <w:rPr>
          <w:rFonts w:ascii="Palatino Linotype" w:eastAsia="Palatino Linotype" w:hAnsi="Palatino Linotype" w:cs="Palatino Linotype"/>
          <w:i/>
          <w:iCs/>
        </w:rPr>
        <w:t>;</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8) </w:t>
      </w:r>
      <w:r w:rsidRPr="00467950">
        <w:rPr>
          <w:rFonts w:ascii="Palatino Linotype" w:eastAsia="Palatino Linotype" w:hAnsi="Palatino Linotype" w:cs="Palatino Linotype"/>
          <w:i/>
          <w:iCs/>
        </w:rPr>
        <w:t>Los mecanismos de vigilancia y supervisión, incluyendo en su caso, los estudios de impacto urbano y ambiental, según corresponda;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9) </w:t>
      </w:r>
      <w:r w:rsidRPr="00467950">
        <w:rPr>
          <w:rFonts w:ascii="Palatino Linotype" w:eastAsia="Palatino Linotype" w:hAnsi="Palatino Linotype" w:cs="Palatino Linotype"/>
          <w:i/>
          <w:iCs/>
        </w:rPr>
        <w:t>La partida presupuestal, de conformidad con el clasificador por objeto del gasto, en el caso de ser aplicable;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10) </w:t>
      </w:r>
      <w:r w:rsidRPr="00467950">
        <w:rPr>
          <w:rFonts w:ascii="Palatino Linotype" w:eastAsia="Palatino Linotype" w:hAnsi="Palatino Linotype" w:cs="Palatino Linotype"/>
          <w:i/>
          <w:iCs/>
        </w:rPr>
        <w:t>Origen de los recursos especificando si son federales, estatales o municipales, así como el tipo de fondo de participación o aportación respectiva;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11) </w:t>
      </w:r>
      <w:r w:rsidRPr="00467950">
        <w:rPr>
          <w:rFonts w:ascii="Palatino Linotype" w:eastAsia="Palatino Linotype" w:hAnsi="Palatino Linotype" w:cs="Palatino Linotype"/>
          <w:i/>
          <w:iCs/>
        </w:rPr>
        <w:t>Los convenios modificatorios que, en su caso, sean firmados, precisando el objeto y la fecha de celebración;</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12) </w:t>
      </w:r>
      <w:r w:rsidRPr="00467950">
        <w:rPr>
          <w:rFonts w:ascii="Palatino Linotype" w:eastAsia="Palatino Linotype" w:hAnsi="Palatino Linotype" w:cs="Palatino Linotype"/>
          <w:i/>
          <w:iCs/>
        </w:rPr>
        <w:t>Los informes de avance físico y financiero sobre las obras o servicios contratados;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13) </w:t>
      </w:r>
      <w:r w:rsidRPr="00467950">
        <w:rPr>
          <w:rFonts w:ascii="Palatino Linotype" w:eastAsia="Palatino Linotype" w:hAnsi="Palatino Linotype" w:cs="Palatino Linotype"/>
          <w:i/>
          <w:iCs/>
        </w:rPr>
        <w:t>El convenio de terminación; y</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lastRenderedPageBreak/>
        <w:t>14) </w:t>
      </w:r>
      <w:r w:rsidRPr="00467950">
        <w:rPr>
          <w:rFonts w:ascii="Palatino Linotype" w:eastAsia="Palatino Linotype" w:hAnsi="Palatino Linotype" w:cs="Palatino Linotype"/>
          <w:i/>
          <w:iCs/>
        </w:rPr>
        <w:t>El finiquito.</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b) </w:t>
      </w:r>
      <w:r w:rsidRPr="00467950">
        <w:rPr>
          <w:rFonts w:ascii="Palatino Linotype" w:eastAsia="Palatino Linotype" w:hAnsi="Palatino Linotype" w:cs="Palatino Linotype"/>
          <w:i/>
          <w:iCs/>
        </w:rPr>
        <w:t>De las adjudicaciones directas: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1) </w:t>
      </w:r>
      <w:r w:rsidRPr="00467950">
        <w:rPr>
          <w:rFonts w:ascii="Palatino Linotype" w:eastAsia="Palatino Linotype" w:hAnsi="Palatino Linotype" w:cs="Palatino Linotype"/>
          <w:i/>
          <w:iCs/>
        </w:rPr>
        <w:t>La propuesta enviada por el participante;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2) </w:t>
      </w:r>
      <w:r w:rsidRPr="00467950">
        <w:rPr>
          <w:rFonts w:ascii="Palatino Linotype" w:eastAsia="Palatino Linotype" w:hAnsi="Palatino Linotype" w:cs="Palatino Linotype"/>
          <w:i/>
          <w:iCs/>
        </w:rPr>
        <w:t>Los motivos y fundamentos legales aplicados para llevarla a cabo;</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3) </w:t>
      </w:r>
      <w:r w:rsidRPr="00467950">
        <w:rPr>
          <w:rFonts w:ascii="Palatino Linotype" w:eastAsia="Palatino Linotype" w:hAnsi="Palatino Linotype" w:cs="Palatino Linotype"/>
          <w:i/>
          <w:iCs/>
        </w:rPr>
        <w:t>La autorización del ejercicio de la opción;</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4)</w:t>
      </w:r>
      <w:r w:rsidRPr="00467950">
        <w:rPr>
          <w:rFonts w:ascii="Palatino Linotype" w:eastAsia="Palatino Linotype" w:hAnsi="Palatino Linotype" w:cs="Palatino Linotype"/>
          <w:i/>
          <w:iCs/>
        </w:rPr>
        <w:t> En su caso, las cotizaciones consideradas, especificando los nombres de los proveedores y sus montos;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5) </w:t>
      </w:r>
      <w:r w:rsidRPr="00467950">
        <w:rPr>
          <w:rFonts w:ascii="Palatino Linotype" w:eastAsia="Palatino Linotype" w:hAnsi="Palatino Linotype" w:cs="Palatino Linotype"/>
          <w:i/>
          <w:iCs/>
        </w:rPr>
        <w:t>El nombre de la persona física o jurídica colectiva adjudicada;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6) </w:t>
      </w:r>
      <w:r w:rsidRPr="00467950">
        <w:rPr>
          <w:rFonts w:ascii="Palatino Linotype" w:eastAsia="Palatino Linotype" w:hAnsi="Palatino Linotype" w:cs="Palatino Linotype"/>
          <w:i/>
          <w:iCs/>
        </w:rPr>
        <w:t>La unidad administrativa solicitante y la responsable de su ejecución;</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7)</w:t>
      </w:r>
      <w:r w:rsidRPr="00467950">
        <w:rPr>
          <w:rFonts w:ascii="Palatino Linotype" w:eastAsia="Palatino Linotype" w:hAnsi="Palatino Linotype" w:cs="Palatino Linotype"/>
          <w:i/>
          <w:iCs/>
        </w:rPr>
        <w:t> El número, fecha, el monto del contrato y el plazo de entrega o de ejecución de los servicios u obra;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8) </w:t>
      </w:r>
      <w:r w:rsidRPr="00467950">
        <w:rPr>
          <w:rFonts w:ascii="Palatino Linotype" w:eastAsia="Palatino Linotype" w:hAnsi="Palatino Linotype" w:cs="Palatino Linotype"/>
          <w:i/>
          <w:iCs/>
        </w:rPr>
        <w:t>Los mecanismos de vigilancia y supervisión, incluyendo, en su caso, los estudios de impacto urbano y ambiental, según corresponda;</w:t>
      </w:r>
    </w:p>
    <w:p w:rsidR="00727FC5" w:rsidRPr="00467950" w:rsidRDefault="00036D1B">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9) </w:t>
      </w:r>
      <w:r w:rsidRPr="00467950">
        <w:rPr>
          <w:rFonts w:ascii="Palatino Linotype" w:eastAsia="Palatino Linotype" w:hAnsi="Palatino Linotype" w:cs="Palatino Linotype"/>
          <w:i/>
          <w:iCs/>
        </w:rPr>
        <w:t>Los informes de avance sobre las obras o servicios contratados;</w:t>
      </w:r>
    </w:p>
    <w:p w:rsidR="00727FC5" w:rsidRPr="00467950" w:rsidRDefault="00036D1B">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10) </w:t>
      </w:r>
      <w:r w:rsidRPr="00467950">
        <w:rPr>
          <w:rFonts w:ascii="Palatino Linotype" w:eastAsia="Palatino Linotype" w:hAnsi="Palatino Linotype" w:cs="Palatino Linotype"/>
          <w:i/>
          <w:iCs/>
        </w:rPr>
        <w:t>El convenio de terminación; y</w:t>
      </w:r>
    </w:p>
    <w:p w:rsidR="00727FC5" w:rsidRPr="00467950" w:rsidRDefault="00036D1B">
      <w:pPr>
        <w:pBdr>
          <w:top w:val="nil"/>
          <w:left w:val="nil"/>
          <w:bottom w:val="nil"/>
          <w:right w:val="nil"/>
          <w:between w:val="nil"/>
        </w:pBdr>
        <w:spacing w:before="240" w:after="240" w:line="276" w:lineRule="auto"/>
        <w:ind w:left="567"/>
        <w:jc w:val="both"/>
        <w:rPr>
          <w:rFonts w:ascii="Palatino Linotype" w:eastAsia="Palatino Linotype" w:hAnsi="Palatino Linotype" w:cs="Palatino Linotype"/>
          <w:b/>
          <w:bCs/>
          <w:i/>
          <w:iCs/>
        </w:rPr>
      </w:pPr>
      <w:r w:rsidRPr="00467950">
        <w:rPr>
          <w:rFonts w:ascii="Palatino Linotype" w:eastAsia="Palatino Linotype" w:hAnsi="Palatino Linotype" w:cs="Palatino Linotype"/>
          <w:b/>
          <w:bCs/>
          <w:i/>
          <w:iCs/>
        </w:rPr>
        <w:t>11) </w:t>
      </w:r>
      <w:r w:rsidRPr="00467950">
        <w:rPr>
          <w:rFonts w:ascii="Palatino Linotype" w:eastAsia="Palatino Linotype" w:hAnsi="Palatino Linotype" w:cs="Palatino Linotype"/>
          <w:i/>
          <w:iCs/>
        </w:rPr>
        <w:t>El finiquito.</w:t>
      </w:r>
      <w:r w:rsidRPr="00467950">
        <w:rPr>
          <w:rFonts w:ascii="Palatino Linotype" w:eastAsia="Palatino Linotype" w:hAnsi="Palatino Linotype" w:cs="Palatino Linotype"/>
          <w:b/>
          <w:bCs/>
          <w:i/>
          <w:iCs/>
        </w:rPr>
        <w:t>”</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w:t>
      </w:r>
      <w:r w:rsidRPr="00467950">
        <w:rPr>
          <w:rFonts w:ascii="Palatino Linotype" w:eastAsia="Palatino Linotype" w:hAnsi="Palatino Linotype" w:cs="Palatino Linotype"/>
        </w:rPr>
        <w:lastRenderedPageBreak/>
        <w:t>de cualquier naturaleza, en el que se debe contener dentro de la versión pública del expediente respectivo los contratos celebrados, el cual debe contener entre otros requisitos, nombre de los proveedores y sus montos, así como el origen de los recursos.</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De la interpretación armónica de los preceptos transcritos, se advierte que el</w:t>
      </w:r>
      <w:r w:rsidRPr="00467950">
        <w:rPr>
          <w:rFonts w:ascii="Palatino Linotype" w:eastAsia="Palatino Linotype" w:hAnsi="Palatino Linotype" w:cs="Palatino Linotype"/>
          <w:b/>
          <w:bCs/>
        </w:rPr>
        <w:t xml:space="preserve"> </w:t>
      </w:r>
      <w:r w:rsidRPr="00467950">
        <w:rPr>
          <w:rFonts w:ascii="Palatino Linotype" w:eastAsia="Palatino Linotype" w:hAnsi="Palatino Linotype" w:cs="Palatino Linotype"/>
        </w:rPr>
        <w:t xml:space="preserve">Sujeto Obligado, cuenta con la competencia para regular los actos relativos a la planeación, programación, presupuestación, ejecución y </w:t>
      </w:r>
      <w:r w:rsidRPr="00467950">
        <w:rPr>
          <w:rFonts w:ascii="Palatino Linotype" w:eastAsia="Palatino Linotype" w:hAnsi="Palatino Linotype" w:cs="Palatino Linotype"/>
          <w:b/>
          <w:bCs/>
          <w:u w:val="single"/>
        </w:rPr>
        <w:t>control de la adquisición y arrendamiento de bienes, así como la contratación de servicios de cualquier naturaleza</w:t>
      </w:r>
      <w:r w:rsidRPr="00467950">
        <w:rPr>
          <w:rFonts w:ascii="Palatino Linotype" w:eastAsia="Palatino Linotype" w:hAnsi="Palatino Linotype" w:cs="Palatino Linotype"/>
        </w:rPr>
        <w:t>;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De lo anteriormente citado, se advierte que derivado de los procedimientos de adquisiciones de bienes y servicios, se generan diversos soportes documentales, sin embargo, los que revisten nuestro interés, son los contratos, mismos que son susceptibles de publicación, por lo tanto, es procedente su entrega.</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En otro orden de ideas, por cuanto hace a las facturas, es necesario traer a colación lo que establece el Glosario de Términos Hacendarios que emite el Instituto Hacendario del Estado de México, el cual define como </w:t>
      </w:r>
      <w:r w:rsidRPr="00467950">
        <w:rPr>
          <w:rFonts w:ascii="Palatino Linotype" w:eastAsia="Palatino Linotype" w:hAnsi="Palatino Linotype" w:cs="Palatino Linotype"/>
          <w:i/>
          <w:iCs/>
        </w:rPr>
        <w:t>“factura” al</w:t>
      </w:r>
      <w:r w:rsidRPr="00467950">
        <w:rPr>
          <w:rFonts w:ascii="Palatino Linotype" w:eastAsia="Palatino Linotype" w:hAnsi="Palatino Linotype" w:cs="Palatino Linotype"/>
          <w:b/>
          <w:bCs/>
          <w:i/>
          <w:iCs/>
        </w:rPr>
        <w:t xml:space="preserve"> documento fiscal que emite la persona física o moral para comprobar la venta o adquisición de un bien y/o servicio.</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En ese sentido, es de señalar que cuando las facturas amparan las erogaciones que se realizan con erario público tienen naturaleza pública, pues constituyen un medio idóneo de evidencia del gasto realizado con recursos públicos. </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lastRenderedPageBreak/>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b/>
          <w:bCs/>
          <w:i/>
          <w:iCs/>
        </w:rPr>
        <w:t>Artículo 342.-</w:t>
      </w:r>
      <w:r w:rsidRPr="00467950">
        <w:rPr>
          <w:rFonts w:ascii="Palatino Linotype" w:eastAsia="Palatino Linotype" w:hAnsi="Palatino Linotype" w:cs="Palatino Linotype"/>
          <w:i/>
          <w:iCs/>
        </w:rPr>
        <w:t>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Artículo 343.-</w:t>
      </w:r>
      <w:r w:rsidRPr="00467950">
        <w:rPr>
          <w:rFonts w:ascii="Palatino Linotype" w:eastAsia="Palatino Linotype" w:hAnsi="Palatino Linotype" w:cs="Palatino Linotype"/>
          <w:i/>
          <w:iCs/>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El sistema de contabilidad sobre base acumulativa total, se sustentará en las normas emitidas por el Consejo Nacional de Armonización Contable.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 xml:space="preserve">Artículo 344.- Los Entes Públicos, a través de cualquiera de sus unidades administrativas, de acuerdo con su naturaleza jurídica y según corresponda, </w:t>
      </w:r>
      <w:r w:rsidRPr="00467950">
        <w:rPr>
          <w:rFonts w:ascii="Palatino Linotype" w:eastAsia="Palatino Linotype" w:hAnsi="Palatino Linotype" w:cs="Palatino Linotype"/>
          <w:b/>
          <w:bCs/>
          <w:i/>
          <w:iCs/>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467950">
        <w:rPr>
          <w:rFonts w:ascii="Palatino Linotype" w:eastAsia="Palatino Linotype" w:hAnsi="Palatino Linotype" w:cs="Palatino Linotype"/>
          <w:b/>
          <w:bCs/>
          <w:i/>
          <w:iCs/>
        </w:rPr>
        <w:t>.</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lastRenderedPageBreak/>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467950">
        <w:rPr>
          <w:rFonts w:ascii="Palatino Linotype" w:eastAsia="Palatino Linotype" w:hAnsi="Palatino Linotype" w:cs="Palatino Linotype"/>
          <w:i/>
          <w:iCs/>
        </w:rPr>
        <w:t>según corresponda, así como de los órganos internos de control, por un término de cinco años, contados a partir del ejercicio presupuestal siguiente al que corresponda,</w:t>
      </w:r>
      <w:r w:rsidRPr="00467950">
        <w:rPr>
          <w:rFonts w:ascii="Palatino Linotype" w:eastAsia="Palatino Linotype" w:hAnsi="Palatino Linotype" w:cs="Palatino Linotype"/>
          <w:b/>
          <w:bCs/>
          <w:i/>
          <w:iCs/>
        </w:rPr>
        <w:t xml:space="preserve"> en el caso de los Municipios, dicha obligación corresponderá a la Tesorería.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Tratándose de documentos de carácter histórico, se estará a lo dispuesto por la legislación de la materia.</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b/>
          <w:bCs/>
          <w:i/>
          <w:iCs/>
        </w:rPr>
        <w:t>Artículo 345.-</w:t>
      </w:r>
      <w:r w:rsidRPr="00467950">
        <w:rPr>
          <w:rFonts w:ascii="Palatino Linotype" w:eastAsia="Palatino Linotype" w:hAnsi="Palatino Linotype" w:cs="Palatino Linotype"/>
          <w:i/>
          <w:iCs/>
        </w:rPr>
        <w:t xml:space="preserve"> </w:t>
      </w:r>
      <w:r w:rsidRPr="00467950">
        <w:rPr>
          <w:rFonts w:ascii="Palatino Linotype" w:eastAsia="Palatino Linotype" w:hAnsi="Palatino Linotype" w:cs="Palatino Linotype"/>
          <w:b/>
          <w:bCs/>
          <w:i/>
          <w:iCs/>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467950">
        <w:rPr>
          <w:rFonts w:ascii="Palatino Linotype" w:eastAsia="Palatino Linotype" w:hAnsi="Palatino Linotype" w:cs="Palatino Linotype"/>
          <w:i/>
          <w:iCs/>
        </w:rPr>
        <w:t>registro contable.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rsidR="00727FC5" w:rsidRPr="00467950" w:rsidRDefault="00036D1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67950">
        <w:rPr>
          <w:rFonts w:ascii="Palatino Linotype" w:eastAsia="Palatino Linotype" w:hAnsi="Palatino Linotype" w:cs="Palatino Linotype"/>
          <w:i/>
          <w:iCs/>
        </w:rPr>
        <w:t>El plazo señalado en este artículo empezará a contar a partir de la publicación en el Periódico Oficial, del decreto correspondiente</w:t>
      </w:r>
      <w:r w:rsidRPr="00467950">
        <w:rPr>
          <w:rFonts w:ascii="Palatino Linotype" w:eastAsia="Palatino Linotype" w:hAnsi="Palatino Linotype" w:cs="Palatino Linotype"/>
          <w:b/>
          <w:bCs/>
          <w:i/>
          <w:iCs/>
        </w:rPr>
        <w:t xml:space="preserve"> </w:t>
      </w:r>
      <w:r w:rsidRPr="00467950">
        <w:rPr>
          <w:rFonts w:ascii="Palatino Linotype" w:eastAsia="Palatino Linotype" w:hAnsi="Palatino Linotype" w:cs="Palatino Linotype"/>
          <w:i/>
          <w:iCs/>
        </w:rPr>
        <w:t>“(Énfasis añadido)</w:t>
      </w: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w:t>
      </w:r>
      <w:r w:rsidRPr="00467950">
        <w:rPr>
          <w:rFonts w:ascii="Palatino Linotype" w:eastAsia="Palatino Linotype" w:hAnsi="Palatino Linotype" w:cs="Palatino Linotype"/>
        </w:rPr>
        <w:lastRenderedPageBreak/>
        <w:t>operaciones financieras se realizará conforme al sistema y a las disposiciones que se aprueben en materia de planeación, programación, presupuestación, evaluación y contabilidad gubernamental.</w:t>
      </w:r>
    </w:p>
    <w:p w:rsidR="00727FC5" w:rsidRPr="00467950" w:rsidRDefault="00727FC5">
      <w:pPr>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Gastos que se tiene certeza fueron generados, poseídos o administrados, derivado de diversas notas periodísticas que obran en fuentes de acceso público, como se ilustra a continuación:</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jc w:val="center"/>
        <w:rPr>
          <w:rFonts w:ascii="Palatino Linotype" w:eastAsia="Palatino Linotype" w:hAnsi="Palatino Linotype" w:cs="Palatino Linotype"/>
        </w:rPr>
      </w:pPr>
      <w:r w:rsidRPr="00467950">
        <w:rPr>
          <w:rFonts w:ascii="Palatino Linotype" w:eastAsia="Palatino Linotype" w:hAnsi="Palatino Linotype" w:cs="Palatino Linotype"/>
          <w:noProof/>
          <w:lang w:val="es-MX"/>
        </w:rPr>
        <w:drawing>
          <wp:inline distT="0" distB="0" distL="0" distR="0">
            <wp:extent cx="4250084" cy="4059653"/>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250084" cy="4059653"/>
                    </a:xfrm>
                    <a:prstGeom prst="rect">
                      <a:avLst/>
                    </a:prstGeom>
                    <a:ln/>
                  </pic:spPr>
                </pic:pic>
              </a:graphicData>
            </a:graphic>
          </wp:inline>
        </w:drawing>
      </w:r>
    </w:p>
    <w:p w:rsidR="00727FC5" w:rsidRPr="00467950" w:rsidRDefault="00036D1B">
      <w:pPr>
        <w:jc w:val="center"/>
        <w:rPr>
          <w:rFonts w:ascii="Palatino Linotype" w:eastAsia="Palatino Linotype" w:hAnsi="Palatino Linotype" w:cs="Palatino Linotype"/>
        </w:rPr>
      </w:pPr>
      <w:r w:rsidRPr="00467950">
        <w:rPr>
          <w:rFonts w:ascii="Palatino Linotype" w:eastAsia="Palatino Linotype" w:hAnsi="Palatino Linotype" w:cs="Palatino Linotype"/>
        </w:rPr>
        <w:t>(…)</w:t>
      </w:r>
    </w:p>
    <w:p w:rsidR="00727FC5" w:rsidRPr="00467950" w:rsidRDefault="00036D1B">
      <w:pPr>
        <w:jc w:val="center"/>
        <w:rPr>
          <w:rFonts w:ascii="Palatino Linotype" w:eastAsia="Palatino Linotype" w:hAnsi="Palatino Linotype" w:cs="Palatino Linotype"/>
        </w:rPr>
      </w:pPr>
      <w:r w:rsidRPr="00467950">
        <w:rPr>
          <w:rFonts w:ascii="Palatino Linotype" w:eastAsia="Palatino Linotype" w:hAnsi="Palatino Linotype" w:cs="Palatino Linotype"/>
          <w:noProof/>
          <w:lang w:val="es-MX"/>
        </w:rPr>
        <w:lastRenderedPageBreak/>
        <w:drawing>
          <wp:inline distT="0" distB="0" distL="0" distR="0">
            <wp:extent cx="4203034" cy="253000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03034" cy="2530000"/>
                    </a:xfrm>
                    <a:prstGeom prst="rect">
                      <a:avLst/>
                    </a:prstGeom>
                    <a:ln/>
                  </pic:spPr>
                </pic:pic>
              </a:graphicData>
            </a:graphic>
          </wp:inline>
        </w:drawing>
      </w:r>
    </w:p>
    <w:p w:rsidR="00727FC5" w:rsidRPr="00467950" w:rsidRDefault="00727FC5">
      <w:pPr>
        <w:jc w:val="center"/>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Por tanto, se concluye que existen hechos notorios que permiten presumir que lo solicitado se generó, posee y administra. Sirven de </w:t>
      </w:r>
      <w:r w:rsidRPr="00467950">
        <w:rPr>
          <w:rFonts w:ascii="Palatino Linotype" w:eastAsia="Palatino Linotype" w:hAnsi="Palatino Linotype" w:cs="Palatino Linotype"/>
          <w:color w:val="000000"/>
        </w:rPr>
        <w:t>criterios</w:t>
      </w:r>
      <w:r w:rsidRPr="00467950">
        <w:rPr>
          <w:rFonts w:ascii="Palatino Linotype" w:eastAsia="Palatino Linotype" w:hAnsi="Palatino Linotype" w:cs="Palatino Linotype"/>
        </w:rPr>
        <w:t xml:space="preserve"> orientadores las Tesis P./J. 74/2006 y I.3o.C.102 K, emitidas por el más alto tribunal de este país, y que son del tenor literal siguiente:</w:t>
      </w:r>
    </w:p>
    <w:p w:rsidR="00727FC5" w:rsidRPr="00467950" w:rsidRDefault="00036D1B">
      <w:pPr>
        <w:spacing w:line="360" w:lineRule="auto"/>
        <w:ind w:left="426" w:right="474"/>
        <w:jc w:val="both"/>
        <w:rPr>
          <w:rFonts w:ascii="Palatino Linotype" w:eastAsia="Palatino Linotype" w:hAnsi="Palatino Linotype" w:cs="Palatino Linotype"/>
          <w:b/>
          <w:bCs/>
          <w:color w:val="000000"/>
        </w:rPr>
      </w:pPr>
      <w:r w:rsidRPr="00467950">
        <w:rPr>
          <w:rFonts w:ascii="Palatino Linotype" w:eastAsia="Palatino Linotype" w:hAnsi="Palatino Linotype" w:cs="Palatino Linotype"/>
          <w:b/>
          <w:bCs/>
          <w:color w:val="000000"/>
        </w:rPr>
        <w:t>HECHOS NOTORIOS. CONCEPTOS GENERAL Y JURÍDICO.</w:t>
      </w:r>
    </w:p>
    <w:p w:rsidR="00727FC5" w:rsidRPr="00467950" w:rsidRDefault="00036D1B">
      <w:pPr>
        <w:spacing w:line="360" w:lineRule="auto"/>
        <w:ind w:left="426"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Conforme al artículo </w:t>
      </w:r>
      <w:r w:rsidRPr="00467950">
        <w:rPr>
          <w:rFonts w:ascii="Palatino Linotype" w:eastAsia="Palatino Linotype" w:hAnsi="Palatino Linotype" w:cs="Palatino Linotype"/>
          <w:i/>
          <w:iCs/>
          <w:color w:val="000000"/>
          <w:u w:val="single"/>
        </w:rPr>
        <w:t>88 del Código Federal de Procedimientos Civiles</w:t>
      </w:r>
      <w:r w:rsidRPr="00467950">
        <w:rPr>
          <w:rFonts w:ascii="Palatino Linotype" w:eastAsia="Palatino Linotype" w:hAnsi="Palatino Linotype" w:cs="Palatino Linotype"/>
          <w:i/>
          <w:iCs/>
          <w:color w:val="000000"/>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w:t>
      </w:r>
      <w:r w:rsidRPr="00467950">
        <w:rPr>
          <w:rFonts w:ascii="Palatino Linotype" w:eastAsia="Palatino Linotype" w:hAnsi="Palatino Linotype" w:cs="Palatino Linotype"/>
          <w:i/>
          <w:iCs/>
          <w:color w:val="000000"/>
        </w:rPr>
        <w:lastRenderedPageBreak/>
        <w:t>al ser notorio la ley exime de su prueba, por ser del conocimiento público en el medio social donde ocurrió o donde se tramita el procedimiento.</w:t>
      </w:r>
    </w:p>
    <w:p w:rsidR="00727FC5" w:rsidRPr="00467950" w:rsidRDefault="00727FC5">
      <w:pPr>
        <w:spacing w:line="360" w:lineRule="auto"/>
        <w:ind w:left="426" w:right="474"/>
        <w:jc w:val="both"/>
        <w:rPr>
          <w:rFonts w:ascii="Palatino Linotype" w:eastAsia="Palatino Linotype" w:hAnsi="Palatino Linotype" w:cs="Palatino Linotype"/>
          <w:i/>
          <w:iCs/>
          <w:color w:val="000000"/>
        </w:rPr>
      </w:pPr>
    </w:p>
    <w:p w:rsidR="00727FC5" w:rsidRPr="00467950" w:rsidRDefault="00036D1B">
      <w:pPr>
        <w:spacing w:line="360" w:lineRule="auto"/>
        <w:ind w:left="426" w:right="474"/>
        <w:jc w:val="both"/>
        <w:rPr>
          <w:rFonts w:ascii="Palatino Linotype" w:eastAsia="Palatino Linotype" w:hAnsi="Palatino Linotype" w:cs="Palatino Linotype"/>
          <w:b/>
          <w:bCs/>
          <w:i/>
          <w:iCs/>
          <w:color w:val="000000"/>
        </w:rPr>
      </w:pPr>
      <w:r w:rsidRPr="00467950">
        <w:rPr>
          <w:rFonts w:ascii="Palatino Linotype" w:eastAsia="Palatino Linotype" w:hAnsi="Palatino Linotype" w:cs="Palatino Linotype"/>
          <w:b/>
          <w:bCs/>
          <w:i/>
          <w:iCs/>
          <w:color w:val="000000"/>
        </w:rPr>
        <w:t>HECHO NOTORIO. SU INVOCACIÓN NO ES UN DERECHO DE LAS PARTES EN EL PROCEDIMIENTO DEL JUICIO DE AMPARO SINO UNA FACULTAD JURISDICCIONAL CONFERIDA AL JUEZ DE DISTRITO QUE NO DEBE APLICAR FRENTE A LA CARGA PROBATORIA QUE DERIVA DEL ARTÍCULO 78 DE LA LEY DE AMPARO.</w:t>
      </w:r>
    </w:p>
    <w:p w:rsidR="00727FC5" w:rsidRPr="00467950" w:rsidRDefault="00036D1B">
      <w:pPr>
        <w:spacing w:line="360" w:lineRule="auto"/>
        <w:ind w:left="426" w:right="333"/>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Conforme a lo establecido por la Suprema Corte de Justicia de la Nación, en relación a lo dispuesto en el artículo </w:t>
      </w:r>
      <w:hyperlink r:id="rId12">
        <w:r w:rsidRPr="00467950">
          <w:rPr>
            <w:rFonts w:ascii="Palatino Linotype" w:eastAsia="Palatino Linotype" w:hAnsi="Palatino Linotype" w:cs="Palatino Linotype"/>
            <w:i/>
            <w:iCs/>
            <w:color w:val="000000"/>
          </w:rPr>
          <w:t>88 del Código Federal de Procedimientos Civiles</w:t>
        </w:r>
      </w:hyperlink>
      <w:r w:rsidRPr="00467950">
        <w:rPr>
          <w:rFonts w:ascii="Palatino Linotype" w:eastAsia="Palatino Linotype" w:hAnsi="Palatino Linotype" w:cs="Palatino Linotype"/>
          <w:i/>
          <w:iCs/>
          <w:color w:val="000000"/>
        </w:rPr>
        <w:t xml:space="preserve">, de aplicación supletoria a la Ley de Amparo, los tribunales pueden invocar hechos notorios aunque no hayan sido alegados o probados por las partes. Tal es el caso de las sentencias que emite la autoridad judicial federal en los juicios de amparo que se tramitan ante ella, de las que tiene conocimiento por razón de su actividad y, por ello, al ser notorio, la ley exime de su prueba; sin embargo, su invocación no constituye un derecho de las partes, sino una facultad del órgano jurisdiccional federal que no debe aplicar cuando se actualiza la obligación establecida en el artículo 78 de la Ley de Amparo, que consiste en analizar el acto reclamado tal como aparezca probado ante la autoridad responsable, cuando la quejosa intervino como parte y estuvo en aptitud legal de ofrecer todos aquellos medios de prueba que a su interés conviniera en el juicio de origen y el hecho notorio respecto del cual se alegue, ya sea en el juicio de amparo biinstancial o en la revisión de la sentencia ahí dictada que en su caso se recurra, que debió ser invocado por el Juez de Distrito, tiene por objeto probar la legalidad de la referida sentencia o aspectos que debieron formar parte de la litis del juicio natural y probarse en esa oportunidad con las actuaciones y sentencias que se hayan dictado en los diversos juicios de amparo relacionados con el juicio </w:t>
      </w:r>
      <w:r w:rsidRPr="00467950">
        <w:rPr>
          <w:rFonts w:ascii="Palatino Linotype" w:eastAsia="Palatino Linotype" w:hAnsi="Palatino Linotype" w:cs="Palatino Linotype"/>
          <w:i/>
          <w:iCs/>
          <w:color w:val="000000"/>
        </w:rPr>
        <w:lastRenderedPageBreak/>
        <w:t>principal en el que se emitió la resolución reclamada. La controversia de origen quedaría alterada si bajo el supuesto del hecho notorio, el Juez de amparo tuviera que analizar la legalidad del acto con el contenido de diversas ejecutorias dictadas en los juicios de garantías que se afirma, se tramitaron ante el mismo juzgador. Además, no debe pasar por alto que el hecho notorio del que dicha autoridad tiene conocimiento por razón de su actividad jurisdiccional, no constituye un derecho de las partes dentro del procedimiento del juicio de amparo, porque es claro lo que señala el citado numeral 78 de la ley de la materia, concerniente a que el acto reclamado debe apreciarse tal como fue probado ante la autoridad responsable y, por ende, no pueden admitirse ni tomarse en consideración en el juicio de garantías o en la revisión pruebas que no se hubieren rendido ante dicha autoridad para comprobar los hechos que motivaron o fueron objeto de la resolución reclamada, ni aquellas que no sean de las consideradas necesarias para la resolución del juicio de amparo, menos aún cuando las pruebas de que se trate el recurrente las exhiba hasta la revisión sin haberlas ofrecido en la audiencia constitucional.</w:t>
      </w:r>
    </w:p>
    <w:p w:rsidR="00727FC5" w:rsidRPr="00467950" w:rsidRDefault="00727FC5">
      <w:pPr>
        <w:spacing w:line="360" w:lineRule="auto"/>
        <w:ind w:left="426" w:right="333"/>
        <w:jc w:val="both"/>
        <w:rPr>
          <w:rFonts w:ascii="Palatino Linotype" w:eastAsia="Palatino Linotype" w:hAnsi="Palatino Linotype" w:cs="Palatino Linotype"/>
          <w:color w:val="000000"/>
        </w:rPr>
      </w:pPr>
    </w:p>
    <w:p w:rsidR="00727FC5"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Asimismo, cabe traer a colación por analogía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467950">
        <w:rPr>
          <w:rFonts w:ascii="Palatino Linotype" w:eastAsia="Palatino Linotype" w:hAnsi="Palatino Linotype" w:cs="Palatino Linotype"/>
          <w:b/>
          <w:bCs/>
          <w:i/>
          <w:iCs/>
        </w:rPr>
        <w:t>“NOTAS PERIODISTICAS, EL CONOCIMIENTO QUE DE ELLAS SE OBTIENE NO CONSTITUYE ‘UN HECHO PUBLICO Y NOTORIO’”</w:t>
      </w:r>
      <w:r w:rsidRPr="00467950">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w:t>
      </w:r>
      <w:r w:rsidRPr="00467950">
        <w:rPr>
          <w:rFonts w:ascii="Palatino Linotype" w:eastAsia="Palatino Linotype" w:hAnsi="Palatino Linotype" w:cs="Palatino Linotype"/>
        </w:rPr>
        <w:lastRenderedPageBreak/>
        <w:t>conocimiento forma parte de la cultura propia de un círculo social determinado, en el tiempo de su realización.</w:t>
      </w:r>
    </w:p>
    <w:p w:rsidR="00467950" w:rsidRPr="00467950" w:rsidRDefault="00467950" w:rsidP="00467950">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rPr>
        <w:t xml:space="preserve">Respecto del número y nombre de invitados, atañe a rubros de los cuales tampoco existe pronunciamiento al respecto; sin embargo es dable mencionar, </w:t>
      </w:r>
      <w:r w:rsidRPr="00467950">
        <w:rPr>
          <w:rFonts w:ascii="Palatino Linotype" w:eastAsia="Palatino Linotype" w:hAnsi="Palatino Linotype" w:cs="Palatino Linotype"/>
          <w:color w:val="000000"/>
        </w:rPr>
        <w:t>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00727FC5" w:rsidRPr="00467950" w:rsidRDefault="00727FC5">
      <w:pP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Además, debemos tomar en cuenta los artículos 4 y 12, de la Ley de </w:t>
      </w:r>
      <w:r w:rsidRPr="00467950">
        <w:rPr>
          <w:rFonts w:ascii="Palatino Linotype" w:eastAsia="Palatino Linotype" w:hAnsi="Palatino Linotype" w:cs="Palatino Linotype"/>
        </w:rPr>
        <w:t>Transparencia</w:t>
      </w:r>
      <w:r w:rsidRPr="00467950">
        <w:rPr>
          <w:rFonts w:ascii="Palatino Linotype" w:eastAsia="Palatino Linotype" w:hAnsi="Palatino Linotype" w:cs="Palatino Linotype"/>
          <w:color w:val="000000"/>
        </w:rPr>
        <w:t xml:space="preserve"> y Acceso a la Información Pública del Estado de México y Municipios, los cuales establecen lo siguiente:</w:t>
      </w: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b/>
          <w:bCs/>
          <w:i/>
          <w:iCs/>
          <w:color w:val="000000"/>
        </w:rPr>
        <w:t>Artículo 4.</w:t>
      </w:r>
      <w:r w:rsidRPr="00467950">
        <w:rPr>
          <w:rFonts w:ascii="Palatino Linotype" w:eastAsia="Palatino Linotype" w:hAnsi="Palatino Linotype" w:cs="Palatino Linotype"/>
          <w:i/>
          <w:iCs/>
          <w:color w:val="000000"/>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27FC5" w:rsidRPr="00467950" w:rsidRDefault="00727FC5">
      <w:pPr>
        <w:spacing w:line="360" w:lineRule="auto"/>
        <w:ind w:left="567" w:right="49"/>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w:t>
      </w:r>
      <w:r w:rsidRPr="00467950">
        <w:rPr>
          <w:rFonts w:ascii="Palatino Linotype" w:eastAsia="Palatino Linotype" w:hAnsi="Palatino Linotype" w:cs="Palatino Linotype"/>
          <w:i/>
          <w:iCs/>
          <w:color w:val="000000"/>
        </w:rPr>
        <w:lastRenderedPageBreak/>
        <w:t>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27FC5" w:rsidRPr="00467950" w:rsidRDefault="00727FC5">
      <w:pPr>
        <w:spacing w:line="360" w:lineRule="auto"/>
        <w:ind w:left="567" w:right="49"/>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rsidR="00727FC5" w:rsidRPr="00467950" w:rsidRDefault="00727FC5">
      <w:pPr>
        <w:spacing w:line="360" w:lineRule="auto"/>
        <w:ind w:left="567" w:right="49"/>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b/>
          <w:bCs/>
          <w:i/>
          <w:iCs/>
          <w:color w:val="000000"/>
        </w:rPr>
        <w:t>Artículo 12.</w:t>
      </w:r>
      <w:r w:rsidRPr="00467950">
        <w:rPr>
          <w:rFonts w:ascii="Palatino Linotype" w:eastAsia="Palatino Linotype" w:hAnsi="Palatino Linotype" w:cs="Palatino Linotype"/>
          <w:i/>
          <w:iCs/>
          <w:color w:val="000000"/>
        </w:rPr>
        <w:t xml:space="preserve"> Quienes generen, recopilen, administren, manejen, procesen, archiven o conserven información pública serán responsables de la misma en los términos de las disposiciones jurídicas aplicables. </w:t>
      </w:r>
    </w:p>
    <w:p w:rsidR="00727FC5" w:rsidRPr="00467950" w:rsidRDefault="00727FC5">
      <w:pPr>
        <w:spacing w:line="360" w:lineRule="auto"/>
        <w:ind w:left="567" w:right="49"/>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27FC5" w:rsidRPr="00467950" w:rsidRDefault="00727FC5">
      <w:pP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w:t>
      </w:r>
      <w:r w:rsidRPr="00467950">
        <w:rPr>
          <w:rFonts w:ascii="Palatino Linotype" w:eastAsia="Palatino Linotype" w:hAnsi="Palatino Linotype" w:cs="Palatino Linotype"/>
          <w:color w:val="000000"/>
        </w:rPr>
        <w:lastRenderedPageBreak/>
        <w:t>permite que la ciudadanía tenga un amplio acceso sobre lo que es el actuar de las autoridades.</w:t>
      </w:r>
    </w:p>
    <w:p w:rsidR="00727FC5" w:rsidRPr="00467950" w:rsidRDefault="00727FC5">
      <w:pP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b/>
          <w:bCs/>
          <w:i/>
          <w:iCs/>
          <w:color w:val="000000"/>
        </w:rPr>
        <w:t>ACCESO A LA INFORMACIÓN. IMPLICACIÓN DEL PRINCIPIO DE MÁXIMA PUBLICIDAD EN EL DERECHO FUNDAMENTAL RELATIVO.</w:t>
      </w:r>
      <w:r w:rsidRPr="00467950">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w:t>
      </w:r>
      <w:r w:rsidRPr="00467950">
        <w:rPr>
          <w:rFonts w:ascii="Palatino Linotype" w:eastAsia="Palatino Linotype" w:hAnsi="Palatino Linotype" w:cs="Palatino Linotype"/>
          <w:i/>
          <w:iCs/>
          <w:color w:val="000000"/>
        </w:rPr>
        <w:lastRenderedPageBreak/>
        <w:t xml:space="preserve">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727FC5" w:rsidRPr="00467950" w:rsidRDefault="00727FC5">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Como se ha señalado, los Sujetos Obligados deberán proporcionar toda la información que se encuentre en su posesión bajo los estándares más altos de transparencia y máxima publicidad. </w:t>
      </w:r>
    </w:p>
    <w:p w:rsidR="00727FC5" w:rsidRPr="00467950" w:rsidRDefault="00727FC5">
      <w:pP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Es pertinente enfatizar lo que respecto al derecho de acceso a la información pública, refiere el artículo 6° de la Constitución Política de los Estados Unidos Mexicanos, que en su parte conducente señala:</w:t>
      </w: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b/>
          <w:bCs/>
          <w:i/>
          <w:iCs/>
          <w:color w:val="000000"/>
        </w:rPr>
        <w:t>“Artículo 6o.</w:t>
      </w:r>
      <w:r w:rsidRPr="00467950">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27FC5" w:rsidRPr="00467950" w:rsidRDefault="00727FC5">
      <w:pPr>
        <w:spacing w:line="360" w:lineRule="auto"/>
        <w:ind w:left="567" w:right="49"/>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Toda persona tiene derecho al libre acceso a información plural y oportuna, así como a buscar, recibir y difundir información e ideas de toda índole por cualquier medio de expresión.</w:t>
      </w:r>
    </w:p>
    <w:p w:rsidR="00727FC5" w:rsidRPr="00467950" w:rsidRDefault="00727FC5">
      <w:pP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Para efectos de lo dispuesto en el presente artículo se observará lo siguiente:</w:t>
      </w:r>
    </w:p>
    <w:p w:rsidR="00727FC5" w:rsidRPr="00467950" w:rsidRDefault="00727FC5">
      <w:pP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numPr>
          <w:ilvl w:val="4"/>
          <w:numId w:val="4"/>
        </w:numPr>
        <w:pBdr>
          <w:top w:val="nil"/>
          <w:left w:val="nil"/>
          <w:bottom w:val="nil"/>
          <w:right w:val="nil"/>
          <w:between w:val="nil"/>
        </w:pBdr>
        <w:spacing w:line="360" w:lineRule="auto"/>
        <w:ind w:left="567" w:right="474" w:firstLine="0"/>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lastRenderedPageBreak/>
        <w:t>Para el ejercicio del derecho de acceso a la información, la Federación, los Estados y el Distrito Federal, en el ámbito de sus respectivas competencias, se regirán por los siguientes principios y bases:</w:t>
      </w:r>
    </w:p>
    <w:p w:rsidR="00727FC5" w:rsidRPr="00467950" w:rsidRDefault="00727FC5">
      <w:pP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27FC5" w:rsidRPr="00467950" w:rsidRDefault="00727FC5">
      <w:pP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La información que se refiere a la vida privada y los datos personales será protegida en los términos y con las excepciones que fijen las leyes.</w:t>
      </w: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Toda persona, sin necesidad de acreditar interés alguno o justificar su utilización, tendrá acceso gratuito a la información pública, a sus datos personales o a la rectificación de éstos.</w:t>
      </w:r>
    </w:p>
    <w:p w:rsidR="00727FC5" w:rsidRPr="00467950" w:rsidRDefault="00727FC5">
      <w:pP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Se establecerán mecanismos de acceso a la información y procedimientos de revisión expeditos que se sustanciarán ante los organismos autónomos especializados e imparciales que establece esta Constitución.</w:t>
      </w:r>
    </w:p>
    <w:p w:rsidR="00727FC5" w:rsidRPr="00467950" w:rsidRDefault="00727FC5">
      <w:pP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lastRenderedPageBreak/>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27FC5" w:rsidRPr="00467950" w:rsidRDefault="00727FC5">
      <w:pP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Las leyes determinarán la manera en que los sujetos obligados deberán hacer pública la información relativa a los recursos públicos que entreguen a personas físicas o morales.</w:t>
      </w:r>
    </w:p>
    <w:p w:rsidR="00727FC5" w:rsidRPr="00467950" w:rsidRDefault="00727FC5">
      <w:pP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La inobservancia a las disposiciones en materia de acceso a la información pública será sancionada en los términos que dispongan las leyes.</w:t>
      </w: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w:t>
      </w:r>
    </w:p>
    <w:p w:rsidR="00727FC5" w:rsidRPr="00467950" w:rsidRDefault="00036D1B">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La ley establecerá aquella información que se considere reservada o confidencial.”</w:t>
      </w:r>
    </w:p>
    <w:p w:rsidR="00727FC5" w:rsidRPr="00467950" w:rsidRDefault="00727FC5">
      <w:pPr>
        <w:pBdr>
          <w:top w:val="nil"/>
          <w:left w:val="nil"/>
          <w:bottom w:val="nil"/>
          <w:right w:val="nil"/>
          <w:between w:val="nil"/>
        </w:pBdr>
        <w:spacing w:line="360" w:lineRule="auto"/>
        <w:ind w:left="567" w:right="474"/>
        <w:jc w:val="both"/>
        <w:rPr>
          <w:rFonts w:ascii="Palatino Linotype" w:eastAsia="Palatino Linotype" w:hAnsi="Palatino Linotype" w:cs="Palatino Linotype"/>
          <w:i/>
          <w:iCs/>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rsidR="00727FC5" w:rsidRPr="00467950" w:rsidRDefault="00036D1B">
      <w:pPr>
        <w:pBdr>
          <w:top w:val="nil"/>
          <w:left w:val="nil"/>
          <w:bottom w:val="nil"/>
          <w:right w:val="nil"/>
          <w:between w:val="nil"/>
        </w:pBdr>
        <w:spacing w:line="360" w:lineRule="auto"/>
        <w:ind w:left="567" w:right="616"/>
        <w:jc w:val="both"/>
        <w:rPr>
          <w:rFonts w:ascii="Palatino Linotype" w:eastAsia="Palatino Linotype" w:hAnsi="Palatino Linotype" w:cs="Palatino Linotype"/>
          <w:b/>
          <w:bCs/>
          <w:i/>
          <w:iCs/>
          <w:color w:val="000000"/>
        </w:rPr>
      </w:pPr>
      <w:r w:rsidRPr="00467950">
        <w:rPr>
          <w:rFonts w:ascii="Palatino Linotype" w:eastAsia="Palatino Linotype" w:hAnsi="Palatino Linotype" w:cs="Palatino Linotype"/>
          <w:b/>
          <w:bCs/>
          <w:i/>
          <w:iCs/>
          <w:color w:val="000000"/>
        </w:rPr>
        <w:t xml:space="preserve">“Artículo 5. … </w:t>
      </w:r>
    </w:p>
    <w:p w:rsidR="00727FC5" w:rsidRPr="00467950" w:rsidRDefault="00036D1B">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b/>
          <w:bCs/>
          <w:i/>
          <w:iCs/>
          <w:color w:val="000000"/>
        </w:rPr>
        <w:t>El derecho a la información será garantizado por el Estado</w:t>
      </w:r>
      <w:r w:rsidRPr="00467950">
        <w:rPr>
          <w:rFonts w:ascii="Palatino Linotype" w:eastAsia="Palatino Linotype" w:hAnsi="Palatino Linotype" w:cs="Palatino Linotype"/>
          <w:i/>
          <w:iCs/>
          <w:color w:val="000000"/>
        </w:rPr>
        <w:t xml:space="preserve">. La ley establecerá las previsiones que permitan asegurar la protección, el respeto y la difusión de este derecho. </w:t>
      </w:r>
    </w:p>
    <w:p w:rsidR="00727FC5" w:rsidRPr="00467950" w:rsidRDefault="00036D1B">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27FC5" w:rsidRPr="00467950" w:rsidRDefault="00727FC5">
      <w:pPr>
        <w:spacing w:line="360" w:lineRule="auto"/>
        <w:ind w:left="567" w:right="616"/>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Este derecho se regirá por los principios y bases siguientes:</w:t>
      </w:r>
    </w:p>
    <w:p w:rsidR="00727FC5" w:rsidRPr="00467950" w:rsidRDefault="00727FC5">
      <w:pPr>
        <w:spacing w:line="360" w:lineRule="auto"/>
        <w:ind w:left="567" w:right="616"/>
        <w:jc w:val="both"/>
        <w:rPr>
          <w:rFonts w:ascii="Palatino Linotype" w:eastAsia="Palatino Linotype" w:hAnsi="Palatino Linotype" w:cs="Palatino Linotype"/>
          <w:i/>
          <w:iCs/>
          <w:color w:val="000000"/>
        </w:rPr>
      </w:pPr>
    </w:p>
    <w:p w:rsidR="00727FC5" w:rsidRPr="00467950" w:rsidRDefault="00036D1B">
      <w:pPr>
        <w:numPr>
          <w:ilvl w:val="3"/>
          <w:numId w:val="4"/>
        </w:numPr>
        <w:pBdr>
          <w:top w:val="nil"/>
          <w:left w:val="nil"/>
          <w:bottom w:val="nil"/>
          <w:right w:val="nil"/>
          <w:between w:val="nil"/>
        </w:pBdr>
        <w:spacing w:line="360" w:lineRule="auto"/>
        <w:ind w:left="567" w:right="616" w:firstLine="0"/>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b/>
          <w:bCs/>
          <w:i/>
          <w:iCs/>
          <w:color w:val="000000"/>
        </w:rPr>
        <w:t>Toda la información en posesión de cualquier autoridad</w:t>
      </w:r>
      <w:r w:rsidRPr="00467950">
        <w:rPr>
          <w:rFonts w:ascii="Palatino Linotype" w:eastAsia="Palatino Linotype" w:hAnsi="Palatino Linotype" w:cs="Palatino Linotype"/>
          <w:i/>
          <w:iCs/>
          <w:color w:val="000000"/>
        </w:rPr>
        <w:t xml:space="preserve">, entidad, órgano y organismos de los Poderes Ejecutivo, Legislativo y Judicial, órganos autónomos, partidos políticos, fideicomisos y fondos públicos estatales y municipales, </w:t>
      </w:r>
      <w:r w:rsidRPr="00467950">
        <w:rPr>
          <w:rFonts w:ascii="Palatino Linotype" w:eastAsia="Palatino Linotype" w:hAnsi="Palatino Linotype" w:cs="Palatino Linotype"/>
          <w:b/>
          <w:bCs/>
          <w:i/>
          <w:iCs/>
          <w:color w:val="000000"/>
        </w:rPr>
        <w:t>así como del gobierno y de la administración pública municipal y sus organismos descentralizados</w:t>
      </w:r>
      <w:r w:rsidRPr="00467950">
        <w:rPr>
          <w:rFonts w:ascii="Palatino Linotype" w:eastAsia="Palatino Linotype" w:hAnsi="Palatino Linotype" w:cs="Palatino Linotype"/>
          <w:i/>
          <w:iCs/>
          <w:color w:val="000000"/>
        </w:rPr>
        <w:t xml:space="preserve">, asimismo de cualquier persona física, jurídica colectiva o sindicato que reciba y ejerza recursos públicos o realice actos de autoridad en el ámbito estatal y municipal, </w:t>
      </w:r>
      <w:r w:rsidRPr="00467950">
        <w:rPr>
          <w:rFonts w:ascii="Palatino Linotype" w:eastAsia="Palatino Linotype" w:hAnsi="Palatino Linotype" w:cs="Palatino Linotype"/>
          <w:b/>
          <w:bCs/>
          <w:i/>
          <w:iCs/>
          <w:color w:val="000000"/>
        </w:rPr>
        <w:t>es pública</w:t>
      </w:r>
      <w:r w:rsidRPr="00467950">
        <w:rPr>
          <w:rFonts w:ascii="Palatino Linotype" w:eastAsia="Palatino Linotype" w:hAnsi="Palatino Linotype" w:cs="Palatino Linotype"/>
          <w:i/>
          <w:iCs/>
          <w:color w:val="000000"/>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27FC5" w:rsidRPr="00467950" w:rsidRDefault="00036D1B">
      <w:pPr>
        <w:numPr>
          <w:ilvl w:val="3"/>
          <w:numId w:val="4"/>
        </w:numPr>
        <w:pBdr>
          <w:top w:val="nil"/>
          <w:left w:val="nil"/>
          <w:bottom w:val="nil"/>
          <w:right w:val="nil"/>
          <w:between w:val="nil"/>
        </w:pBdr>
        <w:spacing w:line="360" w:lineRule="auto"/>
        <w:ind w:left="567" w:right="616" w:firstLine="0"/>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La información referente a la intimidad de la vida privada y la imagen de las personas será protegida a través de un marco jurídico rígido de tratamiento y manejo de datos personales, con las excepciones que establezca la ley reglamentaria.</w:t>
      </w:r>
    </w:p>
    <w:p w:rsidR="00727FC5" w:rsidRPr="00467950" w:rsidRDefault="00036D1B">
      <w:pPr>
        <w:numPr>
          <w:ilvl w:val="3"/>
          <w:numId w:val="4"/>
        </w:numPr>
        <w:pBdr>
          <w:top w:val="nil"/>
          <w:left w:val="nil"/>
          <w:bottom w:val="nil"/>
          <w:right w:val="nil"/>
          <w:between w:val="nil"/>
        </w:pBdr>
        <w:spacing w:line="360" w:lineRule="auto"/>
        <w:ind w:left="567" w:right="616" w:firstLine="0"/>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lastRenderedPageBreak/>
        <w:t>Toda persona, sin necesidad de acreditar interés alguno o justificar su utilización, tendrá acceso gratuito a la información pública, a sus datos personales o a la rectificación de éstos.</w:t>
      </w:r>
    </w:p>
    <w:p w:rsidR="00727FC5" w:rsidRPr="00467950" w:rsidRDefault="00036D1B">
      <w:pPr>
        <w:numPr>
          <w:ilvl w:val="3"/>
          <w:numId w:val="4"/>
        </w:numPr>
        <w:pBdr>
          <w:top w:val="nil"/>
          <w:left w:val="nil"/>
          <w:bottom w:val="nil"/>
          <w:right w:val="nil"/>
          <w:between w:val="nil"/>
        </w:pBdr>
        <w:spacing w:line="360" w:lineRule="auto"/>
        <w:ind w:left="567" w:right="616" w:firstLine="0"/>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Se establecerán mecanismos de acceso a la información y procedimientos de revisión expeditos que se sustanciarán ante el organismo autónomo especializado e imparcial que establece esta Constitución.</w:t>
      </w:r>
    </w:p>
    <w:p w:rsidR="00727FC5" w:rsidRPr="00467950" w:rsidRDefault="00036D1B">
      <w:pPr>
        <w:numPr>
          <w:ilvl w:val="3"/>
          <w:numId w:val="4"/>
        </w:numPr>
        <w:pBdr>
          <w:top w:val="nil"/>
          <w:left w:val="nil"/>
          <w:bottom w:val="nil"/>
          <w:right w:val="nil"/>
          <w:between w:val="nil"/>
        </w:pBdr>
        <w:spacing w:line="360" w:lineRule="auto"/>
        <w:ind w:left="567" w:right="616" w:firstLine="0"/>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27FC5" w:rsidRPr="00467950" w:rsidRDefault="00036D1B">
      <w:pPr>
        <w:numPr>
          <w:ilvl w:val="3"/>
          <w:numId w:val="4"/>
        </w:numPr>
        <w:pBdr>
          <w:top w:val="nil"/>
          <w:left w:val="nil"/>
          <w:bottom w:val="nil"/>
          <w:right w:val="nil"/>
          <w:between w:val="nil"/>
        </w:pBdr>
        <w:spacing w:line="360" w:lineRule="auto"/>
        <w:ind w:left="567" w:right="616" w:firstLine="0"/>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b/>
          <w:bCs/>
          <w:i/>
          <w:iCs/>
          <w:color w:val="000000"/>
        </w:rPr>
        <w:t>Los sujetos obligados deberán preservar sus documentos en archivos administrativos actualizados y publicarán, a través de los medios electrónicos disponibles, la información completa y actualizada sobre el ejercicio de los recursos públicos</w:t>
      </w:r>
      <w:r w:rsidRPr="00467950">
        <w:rPr>
          <w:rFonts w:ascii="Palatino Linotype" w:eastAsia="Palatino Linotype" w:hAnsi="Palatino Linotype" w:cs="Palatino Linotype"/>
          <w:i/>
          <w:iCs/>
          <w:color w:val="000000"/>
        </w:rPr>
        <w:t xml:space="preserve"> y los indicadores que permitan rendir cuenta del cumplimiento de sus objetivos y los resultados obtenidos.</w:t>
      </w:r>
    </w:p>
    <w:p w:rsidR="00727FC5" w:rsidRPr="00467950" w:rsidRDefault="00036D1B">
      <w:pPr>
        <w:numPr>
          <w:ilvl w:val="3"/>
          <w:numId w:val="4"/>
        </w:numPr>
        <w:pBdr>
          <w:top w:val="nil"/>
          <w:left w:val="nil"/>
          <w:bottom w:val="nil"/>
          <w:right w:val="nil"/>
          <w:between w:val="nil"/>
        </w:pBdr>
        <w:spacing w:line="360" w:lineRule="auto"/>
        <w:ind w:left="567" w:right="616" w:firstLine="0"/>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La ley reglamentaria, determinará la manera en que los sujetos obligados deberán hacer pública la información relativa a los recursos públicos que entreguen a personas físicas o jurídicas colectivas.”</w:t>
      </w:r>
    </w:p>
    <w:p w:rsidR="00727FC5" w:rsidRPr="00467950" w:rsidRDefault="00727FC5">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Adicional, tenemos que la Ley de Transparencia y Acceso a la Información Pública del Estado de México y Municipios, prevé en su artículo 23 fracción I, lo siguiente:</w:t>
      </w: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b/>
          <w:bCs/>
          <w:i/>
          <w:iCs/>
          <w:color w:val="000000"/>
        </w:rPr>
        <w:lastRenderedPageBreak/>
        <w:t>“Artículo 23.</w:t>
      </w:r>
      <w:r w:rsidRPr="00467950">
        <w:rPr>
          <w:rFonts w:ascii="Palatino Linotype" w:eastAsia="Palatino Linotype" w:hAnsi="Palatino Linotype" w:cs="Palatino Linotype"/>
          <w:i/>
          <w:iCs/>
          <w:color w:val="000000"/>
        </w:rPr>
        <w:t xml:space="preserve"> Son sujetos obligados a transparentar y permitir el acceso a su información y proteger los datos personales que obren en su poder:</w:t>
      </w: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w:t>
      </w: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 xml:space="preserve">I. El Poder Ejecutivo del Estado de México, las dependencias, organismos auxiliares, órganos, entidades, fideicomisos y fondos públicos, así como la Fiscalía General de Justicia del Estado de México; </w:t>
      </w: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w:t>
      </w: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27FC5" w:rsidRPr="00467950" w:rsidRDefault="00727FC5">
      <w:pPr>
        <w:spacing w:line="360" w:lineRule="auto"/>
        <w:ind w:left="567" w:right="49"/>
        <w:jc w:val="both"/>
        <w:rPr>
          <w:rFonts w:ascii="Palatino Linotype" w:eastAsia="Palatino Linotype" w:hAnsi="Palatino Linotype" w:cs="Palatino Linotype"/>
          <w:i/>
          <w:iCs/>
          <w:color w:val="000000"/>
        </w:rPr>
      </w:pPr>
    </w:p>
    <w:p w:rsidR="00727FC5" w:rsidRPr="00467950" w:rsidRDefault="00036D1B">
      <w:pPr>
        <w:pBdr>
          <w:top w:val="nil"/>
          <w:left w:val="nil"/>
          <w:bottom w:val="nil"/>
          <w:right w:val="nil"/>
          <w:between w:val="nil"/>
        </w:pBdr>
        <w:spacing w:line="360" w:lineRule="auto"/>
        <w:ind w:left="567" w:right="49"/>
        <w:jc w:val="both"/>
        <w:rPr>
          <w:rFonts w:ascii="Palatino Linotype" w:eastAsia="Palatino Linotype" w:hAnsi="Palatino Linotype" w:cs="Palatino Linotype"/>
          <w:i/>
          <w:iCs/>
          <w:color w:val="000000"/>
        </w:rPr>
      </w:pPr>
      <w:r w:rsidRPr="00467950">
        <w:rPr>
          <w:rFonts w:ascii="Palatino Linotype" w:eastAsia="Palatino Linotype" w:hAnsi="Palatino Linotype" w:cs="Palatino Linotype"/>
          <w:i/>
          <w:iCs/>
          <w:color w:val="000000"/>
        </w:rPr>
        <w:t>Los servidores públicos deberán transparentar sus acciones así como garantizar y respetar el derecho de acceso a la información pública.”</w:t>
      </w:r>
    </w:p>
    <w:p w:rsidR="00727FC5" w:rsidRPr="00467950" w:rsidRDefault="00727FC5">
      <w:pP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27FC5" w:rsidRPr="00467950" w:rsidRDefault="00727FC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Por lo anterior, es de referir que, el </w:t>
      </w:r>
      <w:r w:rsidRPr="00467950">
        <w:rPr>
          <w:rFonts w:ascii="Palatino Linotype" w:eastAsia="Palatino Linotype" w:hAnsi="Palatino Linotype" w:cs="Palatino Linotype"/>
          <w:b/>
          <w:bCs/>
          <w:color w:val="000000"/>
        </w:rPr>
        <w:t>Ayuntamiento de Toluca</w:t>
      </w:r>
      <w:r w:rsidRPr="00467950">
        <w:rPr>
          <w:rFonts w:ascii="Palatino Linotype" w:eastAsia="Palatino Linotype" w:hAnsi="Palatino Linotype" w:cs="Palatino Linotype"/>
          <w:color w:val="000000"/>
        </w:rPr>
        <w:t xml:space="preserve">, al ser un Sujeto Obligado comprendido por la Legislación Local en materia de Transparencia, se encuentra obligado a hacer pública toda aquella información que genere, administre o posea y, que si bien tiene el deber de documentar; también lo es que no existe un marco normativo que lo </w:t>
      </w:r>
      <w:r w:rsidRPr="00467950">
        <w:rPr>
          <w:rFonts w:ascii="Palatino Linotype" w:eastAsia="Palatino Linotype" w:hAnsi="Palatino Linotype" w:cs="Palatino Linotype"/>
          <w:color w:val="000000"/>
        </w:rPr>
        <w:lastRenderedPageBreak/>
        <w:t>constriña a que deba contar con lo solicitado por lo que se deberá realizar la búsqueda exhaustiva y razonable en las áreas que de acuerdo a sus facultades ya atribuciones eventualmente cuenten con lo solicitado.</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No pasando desapercibido que el nombre de los invitados únicamente resulta dable su entrega si tienen la calidad de servidores públicos; caso contrario deberá someterse a un tratamiento de clasificación como información confidencial. Finalmente, para el caso de no contar con dicha información, bastará con que lo haga del conocimiento del hoy </w:t>
      </w:r>
      <w:r w:rsidRPr="00467950">
        <w:rPr>
          <w:rFonts w:ascii="Palatino Linotype" w:eastAsia="Palatino Linotype" w:hAnsi="Palatino Linotype" w:cs="Palatino Linotype"/>
          <w:b/>
          <w:bCs/>
          <w:color w:val="000000"/>
        </w:rPr>
        <w:t>RECURRENTE</w:t>
      </w:r>
      <w:r w:rsidRPr="00467950">
        <w:rPr>
          <w:rFonts w:ascii="Palatino Linotype" w:eastAsia="Palatino Linotype" w:hAnsi="Palatino Linotype" w:cs="Palatino Linotype"/>
          <w:color w:val="000000"/>
        </w:rPr>
        <w:t xml:space="preserve"> al momento de dar cumplimiento con la presente Resolución.</w:t>
      </w:r>
    </w:p>
    <w:p w:rsidR="00727FC5" w:rsidRPr="00467950" w:rsidRDefault="00727FC5">
      <w:pPr>
        <w:spacing w:line="360" w:lineRule="auto"/>
        <w:jc w:val="both"/>
        <w:rPr>
          <w:rFonts w:ascii="Palatino Linotype" w:eastAsia="Palatino Linotype" w:hAnsi="Palatino Linotype" w:cs="Palatino Linotype"/>
          <w:b/>
          <w:bCs/>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bookmarkStart w:id="6" w:name="_heading=h.wug6zblbzhfw" w:colFirst="0" w:colLast="0"/>
      <w:bookmarkEnd w:id="6"/>
      <w:r w:rsidRPr="00467950">
        <w:rPr>
          <w:rFonts w:ascii="Palatino Linotype" w:eastAsia="Palatino Linotype" w:hAnsi="Palatino Linotype" w:cs="Palatino Linotype"/>
        </w:rPr>
        <w:t xml:space="preserve">Con la determinación anterior, se tendrá por colmado el derecho de acceso a la información del ahora </w:t>
      </w:r>
      <w:r w:rsidRPr="00467950">
        <w:rPr>
          <w:rFonts w:ascii="Palatino Linotype" w:eastAsia="Palatino Linotype" w:hAnsi="Palatino Linotype" w:cs="Palatino Linotype"/>
          <w:b/>
          <w:bCs/>
        </w:rPr>
        <w:t>RECURRENTE</w:t>
      </w:r>
      <w:r w:rsidRPr="00467950">
        <w:rPr>
          <w:rFonts w:ascii="Palatino Linotype" w:eastAsia="Palatino Linotype" w:hAnsi="Palatino Linotype" w:cs="Palatino Linotype"/>
        </w:rPr>
        <w:t xml:space="preserve">; toda vez </w:t>
      </w:r>
      <w:r w:rsidRPr="00467950">
        <w:rPr>
          <w:rFonts w:ascii="Palatino Linotype" w:eastAsia="Palatino Linotype" w:hAnsi="Palatino Linotype" w:cs="Palatino Linotype"/>
          <w:color w:val="000000"/>
        </w:rPr>
        <w:t xml:space="preserve">que el Derecho que tutela este Órgano Garante corresponde a la  </w:t>
      </w:r>
      <w:r w:rsidRPr="00467950">
        <w:rPr>
          <w:rFonts w:ascii="Palatino Linotype" w:eastAsia="Palatino Linotype" w:hAnsi="Palatino Linotype" w:cs="Palatino Linotype"/>
          <w:i/>
          <w:iCs/>
        </w:rPr>
        <w:t>igualdad de oportunidades para recibir, buscar e impartir información</w:t>
      </w:r>
      <w:r w:rsidRPr="00467950">
        <w:rPr>
          <w:rFonts w:ascii="Palatino Linotype" w:eastAsia="Palatino Linotype" w:hAnsi="Palatino Linotype" w:cs="Palatino Linotype"/>
          <w:i/>
          <w:iCs/>
          <w:vertAlign w:val="superscript"/>
        </w:rPr>
        <w:footnoteReference w:id="1"/>
      </w:r>
      <w:r w:rsidRPr="00467950">
        <w:rPr>
          <w:rFonts w:ascii="Palatino Linotype" w:eastAsia="Palatino Linotype" w:hAnsi="Palatino Linotype" w:cs="Palatino Linotype"/>
          <w:i/>
          <w:iC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67950">
        <w:rPr>
          <w:rFonts w:ascii="Palatino Linotype" w:eastAsia="Palatino Linotype" w:hAnsi="Palatino Linotype" w:cs="Palatino Linotype"/>
          <w:vertAlign w:val="superscript"/>
        </w:rPr>
        <w:footnoteReference w:id="2"/>
      </w:r>
      <w:r w:rsidRPr="00467950">
        <w:rPr>
          <w:rFonts w:ascii="Palatino Linotype" w:eastAsia="Palatino Linotype" w:hAnsi="Palatino Linotype" w:cs="Palatino Linotype"/>
          <w:i/>
          <w:iCs/>
        </w:rPr>
        <w:t xml:space="preserve"> </w:t>
      </w:r>
      <w:r w:rsidRPr="00467950">
        <w:rPr>
          <w:rFonts w:ascii="Palatino Linotype" w:eastAsia="Palatino Linotype" w:hAnsi="Palatino Linotype" w:cs="Palatino Linotype"/>
        </w:rPr>
        <w:t xml:space="preserve">que se constituye como una herramienta fundamental para </w:t>
      </w:r>
      <w:r w:rsidRPr="00467950">
        <w:rPr>
          <w:rFonts w:ascii="Palatino Linotype" w:eastAsia="Palatino Linotype" w:hAnsi="Palatino Linotype" w:cs="Palatino Linotype"/>
          <w:i/>
          <w:iCs/>
        </w:rPr>
        <w:t>ejercer control democrático de las gestiones estatales, de forma tal que puedan cuestionar, indagar y considerar si se está dando un adecuado cumplimiento de las funciones públicas,</w:t>
      </w:r>
      <w:r w:rsidRPr="00467950">
        <w:rPr>
          <w:rFonts w:ascii="Palatino Linotype" w:eastAsia="Palatino Linotype" w:hAnsi="Palatino Linotype" w:cs="Palatino Linotype"/>
          <w:i/>
          <w:iCs/>
          <w:vertAlign w:val="superscript"/>
        </w:rPr>
        <w:footnoteReference w:id="3"/>
      </w:r>
      <w:r w:rsidRPr="00467950">
        <w:rPr>
          <w:rFonts w:ascii="Palatino Linotype" w:eastAsia="Palatino Linotype" w:hAnsi="Palatino Linotype" w:cs="Palatino Linotype"/>
        </w:rPr>
        <w:t>fomentando</w:t>
      </w:r>
      <w:r w:rsidRPr="00467950">
        <w:rPr>
          <w:rFonts w:ascii="Palatino Linotype" w:eastAsia="Palatino Linotype" w:hAnsi="Palatino Linotype" w:cs="Palatino Linotype"/>
          <w:i/>
          <w:iCs/>
        </w:rPr>
        <w:t xml:space="preserve"> la transparencia de las actividades estatales y</w:t>
      </w:r>
      <w:r w:rsidRPr="00467950">
        <w:rPr>
          <w:rFonts w:ascii="Palatino Linotype" w:eastAsia="Palatino Linotype" w:hAnsi="Palatino Linotype" w:cs="Palatino Linotype"/>
        </w:rPr>
        <w:t xml:space="preserve"> promoviendo</w:t>
      </w:r>
      <w:r w:rsidRPr="00467950">
        <w:rPr>
          <w:rFonts w:ascii="Palatino Linotype" w:eastAsia="Palatino Linotype" w:hAnsi="Palatino Linotype" w:cs="Palatino Linotype"/>
          <w:i/>
          <w:iCs/>
        </w:rPr>
        <w:t xml:space="preserve"> la responsabilidad de los funcionarios sobre </w:t>
      </w:r>
      <w:r w:rsidRPr="00467950">
        <w:rPr>
          <w:rFonts w:ascii="Palatino Linotype" w:eastAsia="Palatino Linotype" w:hAnsi="Palatino Linotype" w:cs="Palatino Linotype"/>
          <w:i/>
          <w:iCs/>
        </w:rPr>
        <w:lastRenderedPageBreak/>
        <w:t>su gestión pública</w:t>
      </w:r>
      <w:r w:rsidRPr="00467950">
        <w:rPr>
          <w:rFonts w:ascii="Palatino Linotype" w:eastAsia="Palatino Linotype" w:hAnsi="Palatino Linotype" w:cs="Palatino Linotype"/>
          <w:i/>
          <w:iCs/>
          <w:vertAlign w:val="superscript"/>
        </w:rPr>
        <w:footnoteReference w:id="4"/>
      </w:r>
      <w:r w:rsidRPr="00467950">
        <w:rPr>
          <w:rFonts w:ascii="Palatino Linotype" w:eastAsia="Palatino Linotype" w:hAnsi="Palatino Linotype" w:cs="Palatino Linotype"/>
          <w:i/>
          <w:iCs/>
        </w:rPr>
        <w:t xml:space="preserve"> </w:t>
      </w:r>
      <w:r w:rsidRPr="00467950">
        <w:rPr>
          <w:rFonts w:ascii="Palatino Linotype" w:eastAsia="Palatino Linotype" w:hAnsi="Palatino Linotype" w:cs="Palatino Linotype"/>
        </w:rPr>
        <w:t>que permite</w:t>
      </w:r>
      <w:r w:rsidRPr="00467950">
        <w:rPr>
          <w:rFonts w:ascii="Palatino Linotype" w:eastAsia="Palatino Linotype" w:hAnsi="Palatino Linotype" w:cs="Palatino Linotype"/>
          <w:i/>
          <w:iCs/>
        </w:rPr>
        <w:t xml:space="preserve"> saber qué están haciendo los gobiernos por sus pueblos, sin lo cual la verdad languidecería y la participación en el gobierno permanecería fragmentada.</w:t>
      </w:r>
      <w:r w:rsidRPr="00467950">
        <w:rPr>
          <w:rFonts w:ascii="Palatino Linotype" w:eastAsia="Palatino Linotype" w:hAnsi="Palatino Linotype" w:cs="Palatino Linotype"/>
          <w:i/>
          <w:iCs/>
          <w:vertAlign w:val="superscript"/>
        </w:rPr>
        <w:footnoteReference w:id="5"/>
      </w:r>
      <w:r w:rsidRPr="00467950">
        <w:rPr>
          <w:rFonts w:ascii="Palatino Linotype" w:eastAsia="Palatino Linotype" w:hAnsi="Palatino Linotype" w:cs="Palatino Linotype"/>
        </w:rPr>
        <w:t xml:space="preserve"> ” </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Es así que, todos los actos de autoridad que realicen los Sujetos Obligados </w:t>
      </w:r>
      <w:r w:rsidRPr="00467950">
        <w:rPr>
          <w:rFonts w:ascii="Palatino Linotype" w:eastAsia="Palatino Linotype" w:hAnsi="Palatino Linotype" w:cs="Palatino Linotype"/>
          <w:b/>
          <w:bCs/>
        </w:rPr>
        <w:t>deben estar documentados</w:t>
      </w:r>
      <w:r w:rsidRPr="00467950">
        <w:rPr>
          <w:rFonts w:ascii="Palatino Linotype" w:eastAsia="Palatino Linotype" w:hAnsi="Palatino Linotype" w:cs="Palatino Linotype"/>
        </w:rPr>
        <w:t xml:space="preserve"> y, bajo el más alto estándar de transparencia deberán poner toda la información que se encuentre en su posesión, a disposición de los particulares que la soliciten.</w:t>
      </w:r>
    </w:p>
    <w:p w:rsidR="00727FC5" w:rsidRPr="00467950" w:rsidRDefault="00727F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color w:val="000000"/>
        </w:rPr>
        <w:t xml:space="preserve">Además, </w:t>
      </w:r>
      <w:r w:rsidRPr="00467950">
        <w:rPr>
          <w:rFonts w:ascii="Palatino Linotype" w:eastAsia="Palatino Linotype" w:hAnsi="Palatino Linotype" w:cs="Palatino Linotype"/>
        </w:rPr>
        <w:t>debemos</w:t>
      </w:r>
      <w:r w:rsidRPr="00467950">
        <w:rPr>
          <w:rFonts w:ascii="Palatino Linotype" w:eastAsia="Palatino Linotype" w:hAnsi="Palatino Linotype" w:cs="Palatino Linotype"/>
          <w:color w:val="000000"/>
        </w:rPr>
        <w:t xml:space="preserve"> tomar en cuenta los artículos 4 y 12 (antes transcritos), de la Ley de Transparencia y Acceso a la Información Pública del Estado de México y </w:t>
      </w:r>
      <w:r w:rsidRPr="00467950">
        <w:rPr>
          <w:rFonts w:ascii="Palatino Linotype" w:eastAsia="Palatino Linotype" w:hAnsi="Palatino Linotype" w:cs="Palatino Linotype"/>
        </w:rPr>
        <w:t>Municipios</w:t>
      </w:r>
      <w:r w:rsidRPr="00467950">
        <w:rPr>
          <w:rFonts w:ascii="Palatino Linotype" w:eastAsia="Palatino Linotype" w:hAnsi="Palatino Linotype" w:cs="Palatino Linotype"/>
          <w:color w:val="000000"/>
        </w:rPr>
        <w:t xml:space="preserve">. </w:t>
      </w:r>
      <w:r w:rsidRPr="00467950">
        <w:rPr>
          <w:rFonts w:ascii="Palatino Linotype" w:eastAsia="Palatino Linotype" w:hAnsi="Palatino Linotype" w:cs="Palatino Linotype"/>
        </w:rPr>
        <w:t xml:space="preserve">Es así que, por un lado se tiene la obligación de documentar todos los actos que se lleven a cabo en el ejercicio de sus funciones, atribuciones y competencias, mientras que por otro, se ven impuestos por la obligación de hacer pública toda aquella </w:t>
      </w:r>
      <w:r w:rsidRPr="00467950">
        <w:rPr>
          <w:rFonts w:ascii="Palatino Linotype" w:eastAsia="Palatino Linotype" w:hAnsi="Palatino Linotype" w:cs="Palatino Linotype"/>
          <w:color w:val="000000"/>
        </w:rPr>
        <w:t>información</w:t>
      </w:r>
      <w:r w:rsidRPr="00467950">
        <w:rPr>
          <w:rFonts w:ascii="Palatino Linotype" w:eastAsia="Palatino Linotype" w:hAnsi="Palatino Linotype" w:cs="Palatino Linotype"/>
        </w:rPr>
        <w:t xml:space="preserve"> que se encuentre en su posesión en estricto apego a los principios de eficacia</w:t>
      </w:r>
      <w:r w:rsidRPr="00467950">
        <w:rPr>
          <w:rFonts w:ascii="Palatino Linotype" w:eastAsia="Palatino Linotype" w:hAnsi="Palatino Linotype" w:cs="Palatino Linotype"/>
          <w:vertAlign w:val="superscript"/>
        </w:rPr>
        <w:footnoteReference w:id="6"/>
      </w:r>
      <w:r w:rsidRPr="00467950">
        <w:rPr>
          <w:rFonts w:ascii="Palatino Linotype" w:eastAsia="Palatino Linotype" w:hAnsi="Palatino Linotype" w:cs="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727FC5" w:rsidRPr="00467950" w:rsidRDefault="00036D1B">
      <w:pPr>
        <w:spacing w:line="360" w:lineRule="auto"/>
        <w:ind w:right="49"/>
        <w:jc w:val="both"/>
        <w:rPr>
          <w:rFonts w:ascii="Palatino Linotype" w:eastAsia="Palatino Linotype" w:hAnsi="Palatino Linotype" w:cs="Palatino Linotype"/>
          <w:b/>
          <w:bCs/>
        </w:rPr>
      </w:pPr>
      <w:r w:rsidRPr="00467950">
        <w:rPr>
          <w:rFonts w:ascii="Palatino Linotype" w:eastAsia="Palatino Linotype" w:hAnsi="Palatino Linotype" w:cs="Palatino Linotype"/>
          <w:b/>
          <w:bCs/>
        </w:rPr>
        <w:lastRenderedPageBreak/>
        <w:t>QUINTO. De la versión pública.</w:t>
      </w: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color w:val="000000"/>
        </w:rPr>
        <w:t>Finalmente</w:t>
      </w:r>
      <w:r w:rsidRPr="00467950">
        <w:rPr>
          <w:rFonts w:ascii="Palatino Linotype" w:eastAsia="Palatino Linotype" w:hAnsi="Palatino Linotype" w:cs="Palatino Linotype"/>
        </w:rPr>
        <w:t xml:space="preserve">, debe señalarse que lo ordenado contiene datos personales conforme al análisis realizado, por tanto el </w:t>
      </w:r>
      <w:r w:rsidRPr="00467950">
        <w:rPr>
          <w:rFonts w:ascii="Palatino Linotype" w:eastAsia="Palatino Linotype" w:hAnsi="Palatino Linotype" w:cs="Palatino Linotype"/>
          <w:b/>
          <w:bCs/>
        </w:rPr>
        <w:t>SUJETO OBLIGADO</w:t>
      </w:r>
      <w:r w:rsidRPr="00467950">
        <w:rPr>
          <w:rFonts w:ascii="Palatino Linotype" w:eastAsia="Palatino Linotype" w:hAnsi="Palatino Linotype" w:cs="Palatino Linotype"/>
        </w:rPr>
        <w:t>, para dar cumplimiento a la presente Resolución, deberá proceder a la elaboración de la versión pública de tales documentos a fin de satisfacer el derecho de acceso a la información pública del recurrente sin menoscabo al derecho a la protección de los datos personales de terceros.</w:t>
      </w:r>
    </w:p>
    <w:p w:rsidR="00727FC5" w:rsidRPr="00467950" w:rsidRDefault="00727FC5">
      <w:pPr>
        <w:spacing w:line="360" w:lineRule="auto"/>
        <w:ind w:right="49"/>
        <w:jc w:val="both"/>
        <w:rPr>
          <w:rFonts w:ascii="Palatino Linotype" w:eastAsia="Palatino Linotype" w:hAnsi="Palatino Linotype" w:cs="Palatino Linotype"/>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w:t>
      </w:r>
      <w:r w:rsidRPr="00467950">
        <w:rPr>
          <w:rFonts w:ascii="Palatino Linotype" w:eastAsia="Palatino Linotype" w:hAnsi="Palatino Linotype" w:cs="Palatino Linotype"/>
          <w:b/>
          <w:bCs/>
          <w:i/>
          <w:iCs/>
        </w:rPr>
        <w:t>Artículo 3</w:t>
      </w:r>
      <w:r w:rsidRPr="00467950">
        <w:rPr>
          <w:rFonts w:ascii="Palatino Linotype" w:eastAsia="Palatino Linotype" w:hAnsi="Palatino Linotype" w:cs="Palatino Linotype"/>
          <w:i/>
          <w:iCs/>
        </w:rPr>
        <w:t>. Para los efectos de la presente Ley se entenderá por:</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IX. Datos personales</w:t>
      </w:r>
      <w:r w:rsidRPr="00467950">
        <w:rPr>
          <w:rFonts w:ascii="Palatino Linotype" w:eastAsia="Palatino Linotype" w:hAnsi="Palatino Linotype" w:cs="Palatino Linotype"/>
          <w:i/>
          <w:iCs/>
        </w:rPr>
        <w:t xml:space="preserve">: La información concerniente a una persona, identificada o identificable según lo dispuesto por la Ley de Protección de Datos Personales del Estado de México; </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XX. Información clasificada</w:t>
      </w:r>
      <w:r w:rsidRPr="00467950">
        <w:rPr>
          <w:rFonts w:ascii="Palatino Linotype" w:eastAsia="Palatino Linotype" w:hAnsi="Palatino Linotype" w:cs="Palatino Linotype"/>
          <w:i/>
          <w:iCs/>
        </w:rPr>
        <w:t>: Aquella considerada por la presente Ley como reservada o confidencial;</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 xml:space="preserve">XXI. Información confidencial: </w:t>
      </w:r>
      <w:r w:rsidRPr="00467950">
        <w:rPr>
          <w:rFonts w:ascii="Palatino Linotype" w:eastAsia="Palatino Linotype" w:hAnsi="Palatino Linotype" w:cs="Palatino Linotype"/>
          <w:i/>
          <w:iCs/>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XLV. Versión pública:</w:t>
      </w:r>
      <w:r w:rsidRPr="00467950">
        <w:rPr>
          <w:rFonts w:ascii="Palatino Linotype" w:eastAsia="Palatino Linotype" w:hAnsi="Palatino Linotype" w:cs="Palatino Linotype"/>
          <w:i/>
          <w:iCs/>
        </w:rPr>
        <w:t xml:space="preserve"> Documento en el que se elimine, suprime o borra la información clasificada como reservada o confidencial para permitir su acceso.</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lastRenderedPageBreak/>
        <w:t>[…]</w:t>
      </w:r>
    </w:p>
    <w:p w:rsidR="00727FC5" w:rsidRPr="00467950" w:rsidRDefault="00727FC5">
      <w:pPr>
        <w:spacing w:line="360" w:lineRule="auto"/>
        <w:ind w:left="1134" w:right="902"/>
        <w:jc w:val="both"/>
        <w:rPr>
          <w:rFonts w:ascii="Palatino Linotype" w:eastAsia="Palatino Linotype" w:hAnsi="Palatino Linotype" w:cs="Palatino Linotype"/>
          <w:i/>
          <w:iCs/>
        </w:rPr>
      </w:pP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Artículo 91.</w:t>
      </w:r>
      <w:r w:rsidRPr="00467950">
        <w:rPr>
          <w:rFonts w:ascii="Palatino Linotype" w:eastAsia="Palatino Linotype" w:hAnsi="Palatino Linotype" w:cs="Palatino Linotype"/>
          <w:i/>
          <w:iCs/>
        </w:rPr>
        <w:t xml:space="preserve"> El acceso a la información pública será restringido excepcionalmente, cuando ésta sea clasificada como reservada o confidencial.</w:t>
      </w:r>
    </w:p>
    <w:p w:rsidR="00727FC5" w:rsidRPr="00467950" w:rsidRDefault="00727FC5">
      <w:pPr>
        <w:spacing w:line="360" w:lineRule="auto"/>
        <w:ind w:left="851" w:right="902"/>
        <w:jc w:val="both"/>
        <w:rPr>
          <w:rFonts w:ascii="Palatino Linotype" w:eastAsia="Palatino Linotype" w:hAnsi="Palatino Linotype" w:cs="Palatino Linotype"/>
          <w:i/>
          <w:iCs/>
        </w:rPr>
      </w:pP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Artículo 132.</w:t>
      </w:r>
      <w:r w:rsidRPr="00467950">
        <w:rPr>
          <w:rFonts w:ascii="Palatino Linotype" w:eastAsia="Palatino Linotype" w:hAnsi="Palatino Linotype" w:cs="Palatino Linotype"/>
          <w:i/>
          <w:iCs/>
        </w:rPr>
        <w:t xml:space="preserve"> La clasificación de la información se llevará a cabo en el momento en que:</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w:t>
      </w:r>
      <w:r w:rsidRPr="00467950">
        <w:rPr>
          <w:rFonts w:ascii="Palatino Linotype" w:eastAsia="Palatino Linotype" w:hAnsi="Palatino Linotype" w:cs="Palatino Linotype"/>
          <w:i/>
          <w:iCs/>
        </w:rPr>
        <w:t>. Se reciba una solicitud de acceso a la información;</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II.</w:t>
      </w:r>
      <w:r w:rsidRPr="00467950">
        <w:rPr>
          <w:rFonts w:ascii="Palatino Linotype" w:eastAsia="Palatino Linotype" w:hAnsi="Palatino Linotype" w:cs="Palatino Linotype"/>
          <w:i/>
          <w:iCs/>
        </w:rPr>
        <w:t xml:space="preserve"> Se determine mediante resolución de autoridad competente; o</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III.</w:t>
      </w:r>
      <w:r w:rsidRPr="00467950">
        <w:rPr>
          <w:rFonts w:ascii="Palatino Linotype" w:eastAsia="Palatino Linotype" w:hAnsi="Palatino Linotype" w:cs="Palatino Linotype"/>
          <w:i/>
          <w:iCs/>
        </w:rPr>
        <w:t xml:space="preserve"> Se generen versiones públicas para dar cumplimiento a las obligaciones de transparencia previstas en esta Ley.</w:t>
      </w: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w:t>
      </w:r>
    </w:p>
    <w:p w:rsidR="00727FC5" w:rsidRPr="00467950" w:rsidRDefault="00727FC5">
      <w:pPr>
        <w:spacing w:line="360" w:lineRule="auto"/>
        <w:ind w:left="851" w:right="902"/>
        <w:jc w:val="both"/>
        <w:rPr>
          <w:rFonts w:ascii="Palatino Linotype" w:eastAsia="Palatino Linotype" w:hAnsi="Palatino Linotype" w:cs="Palatino Linotype"/>
          <w:i/>
          <w:iCs/>
        </w:rPr>
      </w:pP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Artículo 143</w:t>
      </w:r>
      <w:r w:rsidRPr="00467950">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w:t>
      </w:r>
      <w:r w:rsidRPr="00467950">
        <w:rPr>
          <w:rFonts w:ascii="Palatino Linotype" w:eastAsia="Palatino Linotype" w:hAnsi="Palatino Linotype" w:cs="Palatino Linotype"/>
          <w:i/>
          <w:iCs/>
        </w:rPr>
        <w:t xml:space="preserve"> Se refiera a la información privada y los datos personales concernientes a una persona física o jurídico colectiva identificada o identificable;</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II.</w:t>
      </w:r>
      <w:r w:rsidRPr="00467950">
        <w:rPr>
          <w:rFonts w:ascii="Palatino Linotype" w:eastAsia="Palatino Linotype" w:hAnsi="Palatino Linotype" w:cs="Palatino Linotype"/>
          <w:i/>
          <w:iCs/>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III.</w:t>
      </w:r>
      <w:r w:rsidRPr="00467950">
        <w:rPr>
          <w:rFonts w:ascii="Palatino Linotype" w:eastAsia="Palatino Linotype" w:hAnsi="Palatino Linotype" w:cs="Palatino Linotype"/>
          <w:i/>
          <w:iCs/>
        </w:rPr>
        <w:t xml:space="preserve"> La que presenten los particulares a los sujetos obligados, de conformidad con lo dispuesto por las leyes o los tratados internacionales.</w:t>
      </w: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lastRenderedPageBreak/>
        <w:t>La información confidencial no estará sujeta a temporalidad alguna y sólo podrán tener acceso a ella los titulares de la misma, sus representantes y los servidores públicos facultados para ello.</w:t>
      </w: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No se considerará confidencial la información que se encuentre en los registros públicos o en fuentes de acceso público, ni tampoco la que sea considerada por la presente ley como información pública.”</w:t>
      </w:r>
    </w:p>
    <w:p w:rsidR="00727FC5" w:rsidRPr="00467950" w:rsidRDefault="00727FC5">
      <w:pPr>
        <w:spacing w:line="360" w:lineRule="auto"/>
        <w:ind w:left="851" w:right="902"/>
        <w:jc w:val="both"/>
        <w:rPr>
          <w:rFonts w:ascii="Palatino Linotype" w:eastAsia="Palatino Linotype" w:hAnsi="Palatino Linotype" w:cs="Palatino Linotype"/>
          <w:i/>
          <w:iCs/>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27FC5" w:rsidRPr="00467950" w:rsidRDefault="00727F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“Quincuagésimo sexto</w:t>
      </w:r>
      <w:r w:rsidRPr="00467950">
        <w:rPr>
          <w:rFonts w:ascii="Palatino Linotype" w:eastAsia="Palatino Linotype" w:hAnsi="Palatino Linotype" w:cs="Palatino Linotype"/>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27FC5" w:rsidRPr="00467950" w:rsidRDefault="00727FC5">
      <w:pPr>
        <w:spacing w:line="360" w:lineRule="auto"/>
        <w:ind w:left="851" w:right="902"/>
        <w:jc w:val="both"/>
        <w:rPr>
          <w:rFonts w:ascii="Palatino Linotype" w:eastAsia="Palatino Linotype" w:hAnsi="Palatino Linotype" w:cs="Palatino Linotype"/>
          <w:i/>
          <w:iCs/>
        </w:rPr>
      </w:pP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lastRenderedPageBreak/>
        <w:t>Quincuagésimo séptimo</w:t>
      </w:r>
      <w:r w:rsidRPr="00467950">
        <w:rPr>
          <w:rFonts w:ascii="Palatino Linotype" w:eastAsia="Palatino Linotype" w:hAnsi="Palatino Linotype" w:cs="Palatino Linotype"/>
          <w:i/>
          <w:iCs/>
        </w:rPr>
        <w:t xml:space="preserve">. Se considera, en principio, como información pública y no podrá omitirse de las versiones públicas la siguiente: </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w:t>
      </w:r>
      <w:r w:rsidRPr="00467950">
        <w:rPr>
          <w:rFonts w:ascii="Palatino Linotype" w:eastAsia="Palatino Linotype" w:hAnsi="Palatino Linotype" w:cs="Palatino Linotype"/>
          <w:i/>
          <w:iCs/>
        </w:rPr>
        <w:t xml:space="preserve"> La relativa a las Obligaciones de Transparencia que contempla el Título V de la Ley General y las demás disposiciones legales aplicables; </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II.</w:t>
      </w:r>
      <w:r w:rsidRPr="00467950">
        <w:rPr>
          <w:rFonts w:ascii="Palatino Linotype" w:eastAsia="Palatino Linotype" w:hAnsi="Palatino Linotype" w:cs="Palatino Linotype"/>
          <w:i/>
          <w:iCs/>
        </w:rPr>
        <w:t xml:space="preserve"> El nombre de los servidores públicos en los documentos, y sus firmas autógrafas, cuando sean utilizados en el ejercicio de las facultades conferidas para el desempeño del servicio público, y </w:t>
      </w:r>
    </w:p>
    <w:p w:rsidR="00727FC5" w:rsidRPr="00467950" w:rsidRDefault="00036D1B">
      <w:pPr>
        <w:spacing w:line="360" w:lineRule="auto"/>
        <w:ind w:left="1134"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III.</w:t>
      </w:r>
      <w:r w:rsidRPr="00467950">
        <w:rPr>
          <w:rFonts w:ascii="Palatino Linotype" w:eastAsia="Palatino Linotype" w:hAnsi="Palatino Linotype" w:cs="Palatino Linotype"/>
          <w:i/>
          <w:iCs/>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727FC5" w:rsidRPr="00467950" w:rsidRDefault="00727FC5">
      <w:pPr>
        <w:spacing w:line="360" w:lineRule="auto"/>
        <w:ind w:left="851" w:right="902"/>
        <w:jc w:val="both"/>
        <w:rPr>
          <w:rFonts w:ascii="Palatino Linotype" w:eastAsia="Palatino Linotype" w:hAnsi="Palatino Linotype" w:cs="Palatino Linotype"/>
          <w:i/>
          <w:iCs/>
        </w:rPr>
      </w:pPr>
    </w:p>
    <w:p w:rsidR="00727FC5" w:rsidRPr="00467950" w:rsidRDefault="00036D1B">
      <w:pPr>
        <w:spacing w:line="360" w:lineRule="auto"/>
        <w:ind w:left="851" w:right="902"/>
        <w:jc w:val="both"/>
        <w:rPr>
          <w:rFonts w:ascii="Palatino Linotype" w:eastAsia="Palatino Linotype" w:hAnsi="Palatino Linotype" w:cs="Palatino Linotype"/>
          <w:i/>
          <w:iCs/>
        </w:rPr>
      </w:pPr>
      <w:r w:rsidRPr="00467950">
        <w:rPr>
          <w:rFonts w:ascii="Palatino Linotype" w:eastAsia="Palatino Linotype" w:hAnsi="Palatino Linotype" w:cs="Palatino Linotype"/>
          <w:b/>
          <w:bCs/>
          <w:i/>
          <w:iCs/>
        </w:rPr>
        <w:t>Quincuagésimo octavo</w:t>
      </w:r>
      <w:r w:rsidRPr="00467950">
        <w:rPr>
          <w:rFonts w:ascii="Palatino Linotype" w:eastAsia="Palatino Linotype" w:hAnsi="Palatino Linotype" w:cs="Palatino Linotype"/>
          <w:i/>
          <w:iCs/>
        </w:rPr>
        <w:t>. Los sujetos obligados garantizarán que los sistemas o medios empleados para eliminar la información en las versiones públicas no permitan la recuperación o visualización de la misma.”</w:t>
      </w:r>
    </w:p>
    <w:p w:rsidR="00727FC5" w:rsidRPr="00467950" w:rsidRDefault="00727FC5">
      <w:pPr>
        <w:spacing w:line="360" w:lineRule="auto"/>
        <w:ind w:left="851" w:right="902"/>
        <w:jc w:val="both"/>
        <w:rPr>
          <w:rFonts w:ascii="Palatino Linotype" w:eastAsia="Palatino Linotype" w:hAnsi="Palatino Linotype" w:cs="Palatino Linotype"/>
          <w:i/>
          <w:iCs/>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En el caso concreto de manera enunciativa </w:t>
      </w:r>
      <w:r w:rsidRPr="00467950">
        <w:rPr>
          <w:rFonts w:ascii="Palatino Linotype" w:eastAsia="Palatino Linotype" w:hAnsi="Palatino Linotype" w:cs="Palatino Linotype"/>
        </w:rPr>
        <w:t>más</w:t>
      </w:r>
      <w:r w:rsidRPr="00467950">
        <w:rPr>
          <w:rFonts w:ascii="Palatino Linotype" w:eastAsia="Palatino Linotype" w:hAnsi="Palatino Linotype" w:cs="Palatino Linotype"/>
          <w:color w:val="000000"/>
        </w:rPr>
        <w:t xml:space="preserve"> no limitativa, los siguientes datos, como pudiera ser de invitados al evento público:</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Pr="00467950" w:rsidRDefault="00036D1B">
      <w:pPr>
        <w:spacing w:line="360" w:lineRule="auto"/>
        <w:jc w:val="both"/>
        <w:rPr>
          <w:rFonts w:ascii="Palatino Linotype" w:eastAsia="Palatino Linotype" w:hAnsi="Palatino Linotype" w:cs="Palatino Linotype"/>
        </w:rPr>
      </w:pPr>
      <w:r w:rsidRPr="00467950">
        <w:rPr>
          <w:rFonts w:ascii="Palatino Linotype" w:eastAsia="Palatino Linotype" w:hAnsi="Palatino Linotype" w:cs="Palatino Linotype"/>
          <w:b/>
          <w:bCs/>
        </w:rPr>
        <w:t>Teléfono y celular particular.</w:t>
      </w: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El número asignado a un teléfono particular o celular permite localizar a una persona física </w:t>
      </w:r>
      <w:r w:rsidRPr="00467950">
        <w:rPr>
          <w:rFonts w:ascii="Palatino Linotype" w:eastAsia="Palatino Linotype" w:hAnsi="Palatino Linotype" w:cs="Palatino Linotype"/>
          <w:color w:val="000000"/>
        </w:rPr>
        <w:t>identificada</w:t>
      </w:r>
      <w:r w:rsidRPr="00467950">
        <w:rPr>
          <w:rFonts w:ascii="Palatino Linotype" w:eastAsia="Palatino Linotype" w:hAnsi="Palatino Linotype" w:cs="Palatino Linotype"/>
        </w:rPr>
        <w:t xml:space="preserve"> o identificable, ya sea a través de un dispositivo </w:t>
      </w:r>
      <w:r w:rsidRPr="00467950">
        <w:rPr>
          <w:rFonts w:ascii="Palatino Linotype" w:eastAsia="Palatino Linotype" w:hAnsi="Palatino Linotype" w:cs="Palatino Linotype"/>
          <w:color w:val="000000"/>
        </w:rPr>
        <w:t>móvil</w:t>
      </w:r>
      <w:r w:rsidRPr="00467950">
        <w:rPr>
          <w:rFonts w:ascii="Palatino Linotype" w:eastAsia="Palatino Linotype" w:hAnsi="Palatino Linotype" w:cs="Palatino Linotype"/>
        </w:rPr>
        <w:t xml:space="preserve"> o bien, en un lugar como el domicilio. </w:t>
      </w: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lastRenderedPageBreak/>
        <w:t xml:space="preserve">En ese </w:t>
      </w:r>
      <w:r w:rsidRPr="00467950">
        <w:rPr>
          <w:rFonts w:ascii="Palatino Linotype" w:eastAsia="Palatino Linotype" w:hAnsi="Palatino Linotype" w:cs="Palatino Linotype"/>
          <w:color w:val="000000"/>
        </w:rPr>
        <w:t>sentido</w:t>
      </w:r>
      <w:r w:rsidRPr="00467950">
        <w:rPr>
          <w:rFonts w:ascii="Palatino Linotype" w:eastAsia="Palatino Linotype" w:hAnsi="Palatino Linotype" w:cs="Palatino Linotype"/>
        </w:rPr>
        <w:t>, se colige que la titularidad de este, al igual, corresponde a la persona física en su calidad de particular y no como servidor público.</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En tales consideraciones, dicho dato personal es susceptible de ser clasificado </w:t>
      </w:r>
      <w:r w:rsidRPr="00467950">
        <w:rPr>
          <w:rFonts w:ascii="Palatino Linotype" w:eastAsia="Palatino Linotype" w:hAnsi="Palatino Linotype" w:cs="Palatino Linotype"/>
          <w:color w:val="000000"/>
        </w:rPr>
        <w:t>como</w:t>
      </w:r>
      <w:r w:rsidRPr="00467950">
        <w:rPr>
          <w:rFonts w:ascii="Palatino Linotype" w:eastAsia="Palatino Linotype" w:hAnsi="Palatino Linotype" w:cs="Palatino Linotype"/>
        </w:rPr>
        <w:t xml:space="preserve"> confidencial, con fundamento en el artículo 143, fracción I de la Ley de Transparencia y Acceso a la Información Pública.</w:t>
      </w:r>
    </w:p>
    <w:p w:rsidR="00727FC5" w:rsidRPr="00467950" w:rsidRDefault="00727FC5">
      <w:pPr>
        <w:pBdr>
          <w:top w:val="nil"/>
          <w:left w:val="nil"/>
          <w:bottom w:val="nil"/>
          <w:right w:val="nil"/>
          <w:between w:val="nil"/>
        </w:pBdr>
        <w:rPr>
          <w:rFonts w:ascii="Palatino Linotype" w:eastAsia="Palatino Linotype" w:hAnsi="Palatino Linotype" w:cs="Palatino Linotype"/>
          <w:color w:val="000000"/>
        </w:rPr>
      </w:pPr>
    </w:p>
    <w:p w:rsidR="00727FC5" w:rsidRPr="00467950" w:rsidRDefault="00036D1B">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b/>
          <w:bCs/>
          <w:color w:val="000000"/>
        </w:rPr>
        <w:t>Correo electrónico particular.</w:t>
      </w: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En ese sentido, cabe señalar que el correo electrónico corresponde a un dato personal que actualiza la causal de clasificación establecida en el artículo 143, fracción I de la Ley de Transparencia y Acceso a la Información Pública del Estado de México y Municipios.</w:t>
      </w:r>
    </w:p>
    <w:p w:rsidR="00727FC5" w:rsidRPr="00467950" w:rsidRDefault="00727FC5">
      <w:pPr>
        <w:pBdr>
          <w:top w:val="nil"/>
          <w:left w:val="nil"/>
          <w:bottom w:val="nil"/>
          <w:right w:val="nil"/>
          <w:between w:val="nil"/>
        </w:pBdr>
        <w:ind w:left="720"/>
        <w:rPr>
          <w:rFonts w:ascii="Palatino Linotype" w:eastAsia="Palatino Linotype" w:hAnsi="Palatino Linotype" w:cs="Palatino Linotype"/>
          <w:color w:val="000000"/>
        </w:rPr>
      </w:pPr>
    </w:p>
    <w:p w:rsidR="00727FC5" w:rsidRDefault="00036D1B">
      <w:pPr>
        <w:numPr>
          <w:ilvl w:val="0"/>
          <w:numId w:val="1"/>
        </w:numP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Luego entonces, el </w:t>
      </w:r>
      <w:r w:rsidRPr="00467950">
        <w:rPr>
          <w:rFonts w:ascii="Palatino Linotype" w:eastAsia="Palatino Linotype" w:hAnsi="Palatino Linotype" w:cs="Palatino Linotype"/>
          <w:b/>
          <w:bCs/>
          <w:color w:val="000000"/>
        </w:rPr>
        <w:t xml:space="preserve">SUJETOS OBLIGADOS </w:t>
      </w:r>
      <w:r w:rsidRPr="00467950">
        <w:rPr>
          <w:rFonts w:ascii="Palatino Linotype" w:eastAsia="Palatino Linotype" w:hAnsi="Palatino Linotype" w:cs="Palatino Linotype"/>
          <w:color w:val="000000"/>
        </w:rPr>
        <w:t xml:space="preserve">será responsable de los datos personales en </w:t>
      </w:r>
      <w:r w:rsidRPr="00467950">
        <w:rPr>
          <w:rFonts w:ascii="Palatino Linotype" w:eastAsia="Palatino Linotype" w:hAnsi="Palatino Linotype" w:cs="Palatino Linotype"/>
        </w:rPr>
        <w:t>su</w:t>
      </w:r>
      <w:r w:rsidRPr="00467950">
        <w:rPr>
          <w:rFonts w:ascii="Palatino Linotype" w:eastAsia="Palatino Linotype" w:hAnsi="Palatino Linotype" w:cs="Palatino Linotype"/>
          <w:color w:val="000000"/>
        </w:rPr>
        <w:t xml:space="preserve"> posesión y que, en caso de localizarse datos concernientes a terceros, éstos no podrán difundir, distribuir o comercializar los datos personales.  Cabe destacar que, para la realización de la clasificación de la información, se deben seguir una serie de </w:t>
      </w:r>
      <w:r w:rsidRPr="00467950">
        <w:rPr>
          <w:rFonts w:ascii="Palatino Linotype" w:eastAsia="Palatino Linotype" w:hAnsi="Palatino Linotype" w:cs="Palatino Linotype"/>
        </w:rPr>
        <w:t>pasos</w:t>
      </w:r>
      <w:r w:rsidRPr="00467950">
        <w:rPr>
          <w:rFonts w:ascii="Palatino Linotype" w:eastAsia="Palatino Linotype" w:hAnsi="Palatino Linotype" w:cs="Palatino Linotype"/>
          <w:color w:val="000000"/>
        </w:rPr>
        <w:t xml:space="preserve"> y procedimientos, por lo que es menester reiterar los mismos:</w:t>
      </w:r>
    </w:p>
    <w:p w:rsidR="00467950" w:rsidRDefault="00467950" w:rsidP="00467950">
      <w:pPr>
        <w:pStyle w:val="Prrafodelista"/>
        <w:rPr>
          <w:rFonts w:ascii="Palatino Linotype" w:eastAsia="Palatino Linotype" w:hAnsi="Palatino Linotype" w:cs="Palatino Linotype"/>
          <w:color w:val="000000"/>
        </w:rPr>
      </w:pPr>
    </w:p>
    <w:p w:rsidR="00467950" w:rsidRPr="00467950" w:rsidRDefault="00467950" w:rsidP="00467950">
      <w:pPr>
        <w:spacing w:line="360" w:lineRule="auto"/>
        <w:ind w:right="49"/>
        <w:jc w:val="both"/>
        <w:rPr>
          <w:rFonts w:ascii="Palatino Linotype" w:eastAsia="Palatino Linotype" w:hAnsi="Palatino Linotype" w:cs="Palatino Linotype"/>
          <w:color w:val="000000"/>
        </w:rPr>
      </w:pPr>
    </w:p>
    <w:tbl>
      <w:tblPr>
        <w:tblStyle w:val="a4"/>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727FC5" w:rsidRPr="00467950" w:rsidTr="00467950">
        <w:tc>
          <w:tcPr>
            <w:tcW w:w="2689" w:type="dxa"/>
          </w:tcPr>
          <w:p w:rsidR="00727FC5" w:rsidRPr="00467950" w:rsidRDefault="00036D1B">
            <w:pPr>
              <w:tabs>
                <w:tab w:val="left" w:pos="284"/>
              </w:tabs>
              <w:rPr>
                <w:rFonts w:ascii="Palatino Linotype" w:eastAsia="Palatino Linotype" w:hAnsi="Palatino Linotype" w:cs="Palatino Linotype"/>
              </w:rPr>
            </w:pPr>
            <w:r w:rsidRPr="00467950">
              <w:rPr>
                <w:rFonts w:ascii="Palatino Linotype" w:eastAsia="Palatino Linotype" w:hAnsi="Palatino Linotype" w:cs="Palatino Linotype"/>
              </w:rPr>
              <w:lastRenderedPageBreak/>
              <w:t>a) Requisitos previos.</w:t>
            </w:r>
          </w:p>
        </w:tc>
        <w:tc>
          <w:tcPr>
            <w:tcW w:w="7087" w:type="dxa"/>
          </w:tcPr>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727FC5" w:rsidRPr="00467950" w:rsidRDefault="00036D1B">
            <w:pPr>
              <w:tabs>
                <w:tab w:val="left" w:pos="284"/>
              </w:tabs>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467950">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467950">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727FC5" w:rsidRPr="00467950" w:rsidRDefault="00727FC5">
            <w:pPr>
              <w:tabs>
                <w:tab w:val="left" w:pos="284"/>
              </w:tabs>
              <w:jc w:val="both"/>
              <w:rPr>
                <w:rFonts w:ascii="Palatino Linotype" w:eastAsia="Palatino Linotype" w:hAnsi="Palatino Linotype" w:cs="Palatino Linotype"/>
              </w:rPr>
            </w:pPr>
          </w:p>
        </w:tc>
      </w:tr>
      <w:tr w:rsidR="00727FC5" w:rsidRPr="00467950" w:rsidTr="00467950">
        <w:tc>
          <w:tcPr>
            <w:tcW w:w="2689" w:type="dxa"/>
          </w:tcPr>
          <w:p w:rsidR="00727FC5" w:rsidRPr="00467950" w:rsidRDefault="00036D1B">
            <w:pPr>
              <w:tabs>
                <w:tab w:val="left" w:pos="284"/>
              </w:tabs>
              <w:rPr>
                <w:rFonts w:ascii="Palatino Linotype" w:eastAsia="Palatino Linotype" w:hAnsi="Palatino Linotype" w:cs="Palatino Linotype"/>
              </w:rPr>
            </w:pPr>
            <w:r w:rsidRPr="00467950">
              <w:rPr>
                <w:rFonts w:ascii="Palatino Linotype" w:eastAsia="Palatino Linotype" w:hAnsi="Palatino Linotype" w:cs="Palatino Linotype"/>
              </w:rPr>
              <w:t>b) Supuestos de clasificación.</w:t>
            </w:r>
          </w:p>
        </w:tc>
        <w:tc>
          <w:tcPr>
            <w:tcW w:w="7087" w:type="dxa"/>
          </w:tcPr>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27FC5" w:rsidRPr="00467950" w:rsidRDefault="00036D1B">
            <w:pPr>
              <w:tabs>
                <w:tab w:val="left" w:pos="284"/>
              </w:tabs>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El </w:t>
            </w:r>
            <w:r w:rsidRPr="00467950">
              <w:rPr>
                <w:rFonts w:ascii="Palatino Linotype" w:eastAsia="Palatino Linotype" w:hAnsi="Palatino Linotype" w:cs="Palatino Linotype"/>
                <w:b/>
                <w:bCs/>
                <w:color w:val="000000"/>
              </w:rPr>
              <w:t>Sujeto Obligado</w:t>
            </w:r>
            <w:r w:rsidRPr="00467950">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w:t>
            </w:r>
            <w:r w:rsidRPr="00467950">
              <w:rPr>
                <w:rFonts w:ascii="Palatino Linotype" w:eastAsia="Palatino Linotype" w:hAnsi="Palatino Linotype" w:cs="Palatino Linotype"/>
                <w:color w:val="000000"/>
              </w:rPr>
              <w:lastRenderedPageBreak/>
              <w:t>servidor público habilitado y el titular del área que administra la información.</w:t>
            </w:r>
          </w:p>
          <w:p w:rsidR="00727FC5" w:rsidRPr="00467950" w:rsidRDefault="00727FC5">
            <w:pPr>
              <w:tabs>
                <w:tab w:val="left" w:pos="284"/>
              </w:tabs>
              <w:jc w:val="both"/>
              <w:rPr>
                <w:rFonts w:ascii="Palatino Linotype" w:eastAsia="Palatino Linotype" w:hAnsi="Palatino Linotype" w:cs="Palatino Linotype"/>
              </w:rPr>
            </w:pPr>
          </w:p>
        </w:tc>
      </w:tr>
      <w:tr w:rsidR="00727FC5" w:rsidRPr="00467950" w:rsidTr="00467950">
        <w:tc>
          <w:tcPr>
            <w:tcW w:w="2689" w:type="dxa"/>
          </w:tcPr>
          <w:p w:rsidR="00727FC5" w:rsidRPr="00467950" w:rsidRDefault="00036D1B">
            <w:pPr>
              <w:tabs>
                <w:tab w:val="left" w:pos="284"/>
              </w:tabs>
              <w:rPr>
                <w:rFonts w:ascii="Palatino Linotype" w:eastAsia="Palatino Linotype" w:hAnsi="Palatino Linotype" w:cs="Palatino Linotype"/>
              </w:rPr>
            </w:pPr>
            <w:r w:rsidRPr="00467950">
              <w:rPr>
                <w:rFonts w:ascii="Palatino Linotype" w:eastAsia="Palatino Linotype" w:hAnsi="Palatino Linotype" w:cs="Palatino Linotype"/>
              </w:rPr>
              <w:lastRenderedPageBreak/>
              <w:t>c) Formalidades para emitir el acuerdo de clasificación.</w:t>
            </w:r>
          </w:p>
        </w:tc>
        <w:tc>
          <w:tcPr>
            <w:tcW w:w="7087" w:type="dxa"/>
          </w:tcPr>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Es necesario que </w:t>
            </w:r>
            <w:r w:rsidRPr="00467950">
              <w:rPr>
                <w:rFonts w:ascii="Palatino Linotype" w:eastAsia="Palatino Linotype" w:hAnsi="Palatino Linotype" w:cs="Palatino Linotype"/>
                <w:b/>
                <w:bCs/>
                <w:color w:val="000000"/>
                <w:u w:val="single"/>
              </w:rPr>
              <w:t>el acto reúna con los requisitos elementales</w:t>
            </w:r>
            <w:r w:rsidRPr="00467950">
              <w:rPr>
                <w:rFonts w:ascii="Palatino Linotype" w:eastAsia="Palatino Linotype" w:hAnsi="Palatino Linotype" w:cs="Palatino Linotype"/>
                <w:color w:val="000000"/>
              </w:rPr>
              <w:t>, entre ellos, que la autoridad que va a emitir el acto de autoridad sea la legalmente facultada para ello.</w:t>
            </w:r>
          </w:p>
          <w:p w:rsidR="00727FC5" w:rsidRPr="00467950" w:rsidRDefault="00036D1B">
            <w:pPr>
              <w:tabs>
                <w:tab w:val="left" w:pos="284"/>
              </w:tabs>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27FC5" w:rsidRPr="00467950" w:rsidRDefault="00727FC5">
            <w:pPr>
              <w:tabs>
                <w:tab w:val="left" w:pos="284"/>
              </w:tabs>
              <w:jc w:val="both"/>
              <w:rPr>
                <w:rFonts w:ascii="Palatino Linotype" w:eastAsia="Palatino Linotype" w:hAnsi="Palatino Linotype" w:cs="Palatino Linotype"/>
              </w:rPr>
            </w:pPr>
          </w:p>
        </w:tc>
      </w:tr>
      <w:tr w:rsidR="00727FC5" w:rsidRPr="00467950" w:rsidTr="00467950">
        <w:tc>
          <w:tcPr>
            <w:tcW w:w="2689" w:type="dxa"/>
          </w:tcPr>
          <w:p w:rsidR="00727FC5" w:rsidRPr="00467950" w:rsidRDefault="00727FC5">
            <w:pPr>
              <w:tabs>
                <w:tab w:val="left" w:pos="284"/>
              </w:tabs>
              <w:rPr>
                <w:rFonts w:ascii="Palatino Linotype" w:eastAsia="Palatino Linotype" w:hAnsi="Palatino Linotype" w:cs="Palatino Linotype"/>
              </w:rPr>
            </w:pPr>
          </w:p>
          <w:p w:rsidR="00727FC5" w:rsidRPr="00467950" w:rsidRDefault="00036D1B">
            <w:pPr>
              <w:tabs>
                <w:tab w:val="left" w:pos="284"/>
              </w:tabs>
              <w:jc w:val="both"/>
              <w:rPr>
                <w:rFonts w:ascii="Palatino Linotype" w:eastAsia="Palatino Linotype" w:hAnsi="Palatino Linotype" w:cs="Palatino Linotype"/>
              </w:rPr>
            </w:pPr>
            <w:r w:rsidRPr="00467950">
              <w:rPr>
                <w:rFonts w:ascii="Palatino Linotype" w:eastAsia="Palatino Linotype" w:hAnsi="Palatino Linotype" w:cs="Palatino Linotype"/>
                <w:color w:val="000000"/>
              </w:rPr>
              <w:t xml:space="preserve">d) Requisitos de fondo del acuerdo de clasificación. </w:t>
            </w:r>
          </w:p>
        </w:tc>
        <w:tc>
          <w:tcPr>
            <w:tcW w:w="7087" w:type="dxa"/>
          </w:tcPr>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67950">
              <w:rPr>
                <w:rFonts w:ascii="Palatino Linotype" w:eastAsia="Palatino Linotype" w:hAnsi="Palatino Linotype" w:cs="Palatino Linotype"/>
                <w:b/>
                <w:bCs/>
                <w:color w:val="000000"/>
              </w:rPr>
              <w:t>Sujetos Obligados</w:t>
            </w:r>
            <w:r w:rsidRPr="00467950">
              <w:rPr>
                <w:rFonts w:ascii="Palatino Linotype" w:eastAsia="Palatino Linotype" w:hAnsi="Palatino Linotype" w:cs="Palatino Linotype"/>
                <w:color w:val="000000"/>
              </w:rPr>
              <w:t xml:space="preserve">, por lo que deberán fundar y motivar debidamente la clasificación. </w:t>
            </w:r>
          </w:p>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De lo anterior, se desprende que para una correcta </w:t>
            </w:r>
            <w:r w:rsidRPr="00467950">
              <w:rPr>
                <w:rFonts w:ascii="Palatino Linotype" w:eastAsia="Palatino Linotype" w:hAnsi="Palatino Linotype" w:cs="Palatino Linotype"/>
                <w:b/>
                <w:bCs/>
                <w:color w:val="000000"/>
              </w:rPr>
              <w:t>clasificación total o parcial</w:t>
            </w:r>
            <w:r w:rsidRPr="00467950">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Ahora bien, </w:t>
            </w:r>
            <w:r w:rsidRPr="00467950">
              <w:rPr>
                <w:rFonts w:ascii="Palatino Linotype" w:eastAsia="Palatino Linotype" w:hAnsi="Palatino Linotype" w:cs="Palatino Linotype"/>
                <w:b/>
                <w:bCs/>
                <w:color w:val="000000"/>
                <w:u w:val="single"/>
              </w:rPr>
              <w:t>para cada caso además de fundar y motivar</w:t>
            </w:r>
            <w:r w:rsidRPr="00467950">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Registro Federal de Contribuyentes (R.F.C.), </w:t>
            </w:r>
            <w:bookmarkStart w:id="7" w:name="_GoBack"/>
            <w:r w:rsidRPr="00467950">
              <w:rPr>
                <w:rFonts w:ascii="Palatino Linotype" w:eastAsia="Palatino Linotype" w:hAnsi="Palatino Linotype" w:cs="Palatino Linotype"/>
                <w:color w:val="000000"/>
              </w:rPr>
              <w:t>claves</w:t>
            </w:r>
            <w:bookmarkEnd w:id="7"/>
            <w:r w:rsidRPr="00467950">
              <w:rPr>
                <w:rFonts w:ascii="Palatino Linotype" w:eastAsia="Palatino Linotype" w:hAnsi="Palatino Linotype" w:cs="Palatino Linotype"/>
                <w:color w:val="000000"/>
              </w:rPr>
              <w:t xml:space="preserve"> de seguros, préstamos o descuentos personales, secretos bancario, fiduciario, industrial, comercial, fiscal, bursátil y postal, cuya titularidad corresponda a particulares, entre otros.</w:t>
            </w:r>
          </w:p>
          <w:p w:rsidR="00727FC5" w:rsidRPr="00467950" w:rsidRDefault="00727FC5">
            <w:pPr>
              <w:tabs>
                <w:tab w:val="left" w:pos="284"/>
              </w:tabs>
              <w:ind w:right="49"/>
              <w:jc w:val="both"/>
              <w:rPr>
                <w:rFonts w:ascii="Palatino Linotype" w:eastAsia="Palatino Linotype" w:hAnsi="Palatino Linotype" w:cs="Palatino Linotype"/>
                <w:color w:val="000000"/>
              </w:rPr>
            </w:pPr>
          </w:p>
        </w:tc>
      </w:tr>
      <w:tr w:rsidR="00727FC5" w:rsidRPr="00467950" w:rsidTr="00467950">
        <w:tc>
          <w:tcPr>
            <w:tcW w:w="2689" w:type="dxa"/>
          </w:tcPr>
          <w:p w:rsidR="00727FC5" w:rsidRPr="00467950" w:rsidRDefault="00036D1B">
            <w:pPr>
              <w:tabs>
                <w:tab w:val="left" w:pos="284"/>
              </w:tabs>
              <w:ind w:right="49"/>
              <w:jc w:val="both"/>
              <w:rPr>
                <w:rFonts w:ascii="Palatino Linotype" w:eastAsia="Palatino Linotype" w:hAnsi="Palatino Linotype" w:cs="Palatino Linotype"/>
              </w:rPr>
            </w:pPr>
            <w:r w:rsidRPr="00467950">
              <w:rPr>
                <w:rFonts w:ascii="Palatino Linotype" w:eastAsia="Palatino Linotype" w:hAnsi="Palatino Linotype" w:cs="Palatino Linotype"/>
              </w:rPr>
              <w:lastRenderedPageBreak/>
              <w:t xml:space="preserve">e) Condiciones especiales de la clasificación de la información como confidencial. </w:t>
            </w:r>
          </w:p>
        </w:tc>
        <w:tc>
          <w:tcPr>
            <w:tcW w:w="7087" w:type="dxa"/>
          </w:tcPr>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727FC5" w:rsidRPr="00467950" w:rsidRDefault="00036D1B">
            <w:pPr>
              <w:tabs>
                <w:tab w:val="left" w:pos="284"/>
              </w:tabs>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27FC5" w:rsidRPr="00467950" w:rsidRDefault="00036D1B">
            <w:pPr>
              <w:tabs>
                <w:tab w:val="left" w:pos="284"/>
              </w:tabs>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727FC5" w:rsidRPr="00467950" w:rsidRDefault="00727FC5">
            <w:pPr>
              <w:tabs>
                <w:tab w:val="left" w:pos="284"/>
              </w:tabs>
              <w:rPr>
                <w:rFonts w:ascii="Palatino Linotype" w:eastAsia="Palatino Linotype" w:hAnsi="Palatino Linotype" w:cs="Palatino Linotype"/>
              </w:rPr>
            </w:pPr>
          </w:p>
        </w:tc>
      </w:tr>
    </w:tbl>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rPr>
        <w:lastRenderedPageBreak/>
        <w:t xml:space="preserve">Si el </w:t>
      </w:r>
      <w:r w:rsidRPr="00467950">
        <w:rPr>
          <w:rFonts w:ascii="Palatino Linotype" w:eastAsia="Palatino Linotype" w:hAnsi="Palatino Linotype" w:cs="Palatino Linotype"/>
          <w:color w:val="000000"/>
        </w:rPr>
        <w:t>servidor</w:t>
      </w:r>
      <w:r w:rsidRPr="00467950">
        <w:rPr>
          <w:rFonts w:ascii="Palatino Linotype" w:eastAsia="Palatino Linotype" w:hAnsi="Palatino Linotype" w:cs="Palatino Linotype"/>
        </w:rPr>
        <w:t xml:space="preserve"> público incumple con estas formalidades y entrega la información </w:t>
      </w:r>
      <w:r w:rsidRPr="00467950">
        <w:rPr>
          <w:rFonts w:ascii="Palatino Linotype" w:eastAsia="Palatino Linotype" w:hAnsi="Palatino Linotype" w:cs="Palatino Linotype"/>
          <w:color w:val="000000"/>
        </w:rPr>
        <w:t>sin</w:t>
      </w:r>
      <w:r w:rsidRPr="00467950">
        <w:rPr>
          <w:rFonts w:ascii="Palatino Linotype" w:eastAsia="Palatino Linotype" w:hAnsi="Palatino Linotype" w:cs="Palatino Linotype"/>
        </w:rPr>
        <w:t xml:space="preserve"> proteger los datos personales incumple con lo que estipula las disposiciones legales </w:t>
      </w:r>
      <w:r w:rsidRPr="00467950">
        <w:rPr>
          <w:rFonts w:ascii="Palatino Linotype" w:eastAsia="Palatino Linotype" w:hAnsi="Palatino Linotype" w:cs="Palatino Linotype"/>
          <w:color w:val="000000"/>
        </w:rPr>
        <w:t>establecidas;</w:t>
      </w:r>
      <w:r w:rsidRPr="00467950">
        <w:rPr>
          <w:rFonts w:ascii="Palatino Linotype" w:eastAsia="Palatino Linotype" w:hAnsi="Palatino Linotype" w:cs="Palatino Linotype"/>
        </w:rPr>
        <w:t xml:space="preserve"> asimismo que si entrega un documento testado sin el debido acuerdo de clasificación.</w:t>
      </w:r>
    </w:p>
    <w:p w:rsidR="00727FC5" w:rsidRPr="00467950" w:rsidRDefault="00727FC5">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27FC5" w:rsidRPr="00467950" w:rsidRDefault="00036D1B">
      <w:pPr>
        <w:numPr>
          <w:ilvl w:val="0"/>
          <w:numId w:val="1"/>
        </w:numPr>
        <w:spacing w:line="360" w:lineRule="auto"/>
        <w:ind w:left="0" w:right="49" w:firstLine="0"/>
        <w:jc w:val="both"/>
        <w:rPr>
          <w:rFonts w:ascii="Palatino Linotype" w:eastAsia="Palatino Linotype" w:hAnsi="Palatino Linotype" w:cs="Palatino Linotype"/>
        </w:rPr>
      </w:pPr>
      <w:r w:rsidRPr="00467950">
        <w:rPr>
          <w:rFonts w:ascii="Palatino Linotype" w:eastAsia="Palatino Linotype" w:hAnsi="Palatino Linotype" w:cs="Palatino Linotype"/>
        </w:rPr>
        <w:t>Por</w:t>
      </w:r>
      <w:r w:rsidRPr="00467950">
        <w:rPr>
          <w:rFonts w:ascii="Palatino Linotype" w:eastAsia="Palatino Linotype" w:hAnsi="Palatino Linotype" w:cs="Palatino Linotype"/>
          <w:color w:val="000000"/>
        </w:rPr>
        <w:t xml:space="preserve"> lo </w:t>
      </w:r>
      <w:r w:rsidRPr="00467950">
        <w:rPr>
          <w:rFonts w:ascii="Palatino Linotype" w:eastAsia="Palatino Linotype" w:hAnsi="Palatino Linotype" w:cs="Palatino Linotype"/>
        </w:rPr>
        <w:t>anteriormente</w:t>
      </w:r>
      <w:r w:rsidRPr="00467950">
        <w:rPr>
          <w:rFonts w:ascii="Palatino Linotype" w:eastAsia="Palatino Linotype" w:hAnsi="Palatino Linotype" w:cs="Palatino Linotype"/>
          <w:color w:val="000000"/>
        </w:rPr>
        <w:t xml:space="preserve"> expuesto y fundado, este Órgano Garante emite los siguientes: </w:t>
      </w:r>
    </w:p>
    <w:p w:rsidR="009B66C0" w:rsidRPr="00467950" w:rsidRDefault="009B66C0" w:rsidP="009B66C0">
      <w:pPr>
        <w:pStyle w:val="Prrafodelista"/>
        <w:rPr>
          <w:rFonts w:ascii="Palatino Linotype" w:eastAsia="Palatino Linotype" w:hAnsi="Palatino Linotype" w:cs="Palatino Linotype"/>
        </w:rPr>
      </w:pPr>
    </w:p>
    <w:p w:rsidR="009B66C0" w:rsidRPr="00467950" w:rsidRDefault="009B66C0" w:rsidP="009B66C0">
      <w:pPr>
        <w:spacing w:line="360" w:lineRule="auto"/>
        <w:ind w:right="49"/>
        <w:jc w:val="both"/>
        <w:rPr>
          <w:rFonts w:ascii="Palatino Linotype" w:eastAsia="Palatino Linotype" w:hAnsi="Palatino Linotype" w:cs="Palatino Linotype"/>
        </w:rPr>
      </w:pPr>
    </w:p>
    <w:p w:rsidR="00727FC5" w:rsidRPr="00467950" w:rsidRDefault="00036D1B">
      <w:pPr>
        <w:pStyle w:val="Ttulo1"/>
        <w:spacing w:before="0" w:line="360" w:lineRule="auto"/>
        <w:jc w:val="center"/>
        <w:rPr>
          <w:rFonts w:ascii="Palatino Linotype" w:eastAsia="Palatino Linotype" w:hAnsi="Palatino Linotype" w:cs="Palatino Linotype"/>
          <w:b/>
          <w:bCs/>
          <w:color w:val="000000"/>
          <w:sz w:val="24"/>
          <w:szCs w:val="24"/>
        </w:rPr>
      </w:pPr>
      <w:bookmarkStart w:id="8" w:name="_heading=h.tf7vfppaqb7n" w:colFirst="0" w:colLast="0"/>
      <w:bookmarkEnd w:id="8"/>
      <w:r w:rsidRPr="00467950">
        <w:rPr>
          <w:rFonts w:ascii="Palatino Linotype" w:eastAsia="Palatino Linotype" w:hAnsi="Palatino Linotype" w:cs="Palatino Linotype"/>
          <w:b/>
          <w:bCs/>
          <w:color w:val="000000"/>
          <w:sz w:val="24"/>
          <w:szCs w:val="24"/>
        </w:rPr>
        <w:t>R E S O L U T I V O S</w:t>
      </w:r>
    </w:p>
    <w:p w:rsidR="00727FC5" w:rsidRPr="00467950" w:rsidRDefault="00727FC5">
      <w:pPr>
        <w:spacing w:line="360" w:lineRule="auto"/>
        <w:rPr>
          <w:rFonts w:ascii="Palatino Linotype" w:eastAsia="Palatino Linotype" w:hAnsi="Palatino Linotype" w:cs="Palatino Linotype"/>
        </w:rPr>
      </w:pPr>
    </w:p>
    <w:p w:rsidR="00727FC5" w:rsidRPr="00467950" w:rsidRDefault="00036D1B">
      <w:pPr>
        <w:spacing w:line="360" w:lineRule="auto"/>
        <w:jc w:val="both"/>
        <w:rPr>
          <w:rFonts w:ascii="Palatino Linotype" w:eastAsia="Palatino Linotype" w:hAnsi="Palatino Linotype" w:cs="Palatino Linotype"/>
        </w:rPr>
      </w:pPr>
      <w:r w:rsidRPr="00467950">
        <w:rPr>
          <w:rFonts w:ascii="Palatino Linotype" w:eastAsia="Palatino Linotype" w:hAnsi="Palatino Linotype" w:cs="Palatino Linotype"/>
          <w:b/>
          <w:bCs/>
        </w:rPr>
        <w:t>PRIMERO</w:t>
      </w:r>
      <w:r w:rsidRPr="00467950">
        <w:rPr>
          <w:rFonts w:ascii="Palatino Linotype" w:eastAsia="Palatino Linotype" w:hAnsi="Palatino Linotype" w:cs="Palatino Linotype"/>
        </w:rPr>
        <w:t>. Resultan fundadas las</w:t>
      </w:r>
      <w:r w:rsidRPr="00467950">
        <w:rPr>
          <w:rFonts w:ascii="Palatino Linotype" w:eastAsia="Palatino Linotype" w:hAnsi="Palatino Linotype" w:cs="Palatino Linotype"/>
          <w:b/>
          <w:bCs/>
        </w:rPr>
        <w:t xml:space="preserve"> </w:t>
      </w:r>
      <w:r w:rsidRPr="00467950">
        <w:rPr>
          <w:rFonts w:ascii="Palatino Linotype" w:eastAsia="Palatino Linotype" w:hAnsi="Palatino Linotype" w:cs="Palatino Linotype"/>
        </w:rPr>
        <w:t xml:space="preserve">razones o motivos de inconformidad hechos valer en el Recurso de Revisión </w:t>
      </w:r>
      <w:r w:rsidRPr="00467950">
        <w:rPr>
          <w:rFonts w:ascii="Palatino Linotype" w:eastAsia="Palatino Linotype" w:hAnsi="Palatino Linotype" w:cs="Palatino Linotype"/>
          <w:b/>
          <w:bCs/>
          <w:color w:val="000000"/>
        </w:rPr>
        <w:t>06433/INFOEM/IP/RR/2025</w:t>
      </w:r>
      <w:r w:rsidRPr="00467950">
        <w:rPr>
          <w:rFonts w:ascii="Palatino Linotype" w:eastAsia="Palatino Linotype" w:hAnsi="Palatino Linotype" w:cs="Palatino Linotype"/>
          <w:b/>
          <w:bCs/>
        </w:rPr>
        <w:t xml:space="preserve">, </w:t>
      </w:r>
      <w:r w:rsidRPr="00467950">
        <w:rPr>
          <w:rFonts w:ascii="Palatino Linotype" w:eastAsia="Palatino Linotype" w:hAnsi="Palatino Linotype" w:cs="Palatino Linotype"/>
        </w:rPr>
        <w:t xml:space="preserve">en términos de los </w:t>
      </w:r>
      <w:r w:rsidRPr="00467950">
        <w:rPr>
          <w:rFonts w:ascii="Palatino Linotype" w:eastAsia="Palatino Linotype" w:hAnsi="Palatino Linotype" w:cs="Palatino Linotype"/>
          <w:b/>
          <w:bCs/>
        </w:rPr>
        <w:t>Considerandos</w:t>
      </w:r>
      <w:r w:rsidRPr="00467950">
        <w:rPr>
          <w:rFonts w:ascii="Palatino Linotype" w:eastAsia="Palatino Linotype" w:hAnsi="Palatino Linotype" w:cs="Palatino Linotype"/>
        </w:rPr>
        <w:t xml:space="preserve"> </w:t>
      </w:r>
      <w:r w:rsidRPr="00467950">
        <w:rPr>
          <w:rFonts w:ascii="Palatino Linotype" w:eastAsia="Palatino Linotype" w:hAnsi="Palatino Linotype" w:cs="Palatino Linotype"/>
          <w:b/>
          <w:bCs/>
        </w:rPr>
        <w:t>CUARTO</w:t>
      </w:r>
      <w:r w:rsidRPr="00467950">
        <w:rPr>
          <w:rFonts w:ascii="Palatino Linotype" w:eastAsia="Palatino Linotype" w:hAnsi="Palatino Linotype" w:cs="Palatino Linotype"/>
        </w:rPr>
        <w:t xml:space="preserve"> y </w:t>
      </w:r>
      <w:r w:rsidRPr="00467950">
        <w:rPr>
          <w:rFonts w:ascii="Palatino Linotype" w:eastAsia="Palatino Linotype" w:hAnsi="Palatino Linotype" w:cs="Palatino Linotype"/>
          <w:b/>
          <w:bCs/>
        </w:rPr>
        <w:t xml:space="preserve">QUINTO </w:t>
      </w:r>
      <w:r w:rsidRPr="00467950">
        <w:rPr>
          <w:rFonts w:ascii="Palatino Linotype" w:eastAsia="Palatino Linotype" w:hAnsi="Palatino Linotype" w:cs="Palatino Linotype"/>
        </w:rPr>
        <w:t>de la presente Resolución.</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spacing w:line="360" w:lineRule="auto"/>
        <w:jc w:val="both"/>
        <w:rPr>
          <w:rFonts w:ascii="Palatino Linotype" w:eastAsia="Palatino Linotype" w:hAnsi="Palatino Linotype" w:cs="Palatino Linotype"/>
        </w:rPr>
      </w:pPr>
      <w:bookmarkStart w:id="9" w:name="_heading=h.nm9gf3rjgq2" w:colFirst="0" w:colLast="0"/>
      <w:bookmarkEnd w:id="9"/>
      <w:r w:rsidRPr="00467950">
        <w:rPr>
          <w:rFonts w:ascii="Palatino Linotype" w:eastAsia="Palatino Linotype" w:hAnsi="Palatino Linotype" w:cs="Palatino Linotype"/>
          <w:b/>
          <w:bCs/>
        </w:rPr>
        <w:t xml:space="preserve">SEGUNDO. </w:t>
      </w:r>
      <w:r w:rsidRPr="00467950">
        <w:rPr>
          <w:rFonts w:ascii="Palatino Linotype" w:eastAsia="Palatino Linotype" w:hAnsi="Palatino Linotype" w:cs="Palatino Linotype"/>
          <w:color w:val="000000"/>
        </w:rPr>
        <w:t xml:space="preserve">Se </w:t>
      </w:r>
      <w:r w:rsidRPr="00467950">
        <w:rPr>
          <w:rFonts w:ascii="Palatino Linotype" w:eastAsia="Palatino Linotype" w:hAnsi="Palatino Linotype" w:cs="Palatino Linotype"/>
          <w:b/>
          <w:bCs/>
          <w:color w:val="000000"/>
        </w:rPr>
        <w:t xml:space="preserve">MODIFICA </w:t>
      </w:r>
      <w:r w:rsidR="009B66C0" w:rsidRPr="00467950">
        <w:rPr>
          <w:rFonts w:ascii="Palatino Linotype" w:eastAsia="Palatino Linotype" w:hAnsi="Palatino Linotype" w:cs="Palatino Linotype"/>
          <w:color w:val="000000"/>
        </w:rPr>
        <w:t>la respuesta emitida por el</w:t>
      </w:r>
      <w:r w:rsidRPr="00467950">
        <w:rPr>
          <w:rFonts w:ascii="Palatino Linotype" w:eastAsia="Palatino Linotype" w:hAnsi="Palatino Linotype" w:cs="Palatino Linotype"/>
          <w:color w:val="000000"/>
        </w:rPr>
        <w:t xml:space="preserve"> </w:t>
      </w:r>
      <w:r w:rsidRPr="00467950">
        <w:rPr>
          <w:rFonts w:ascii="Palatino Linotype" w:eastAsia="Palatino Linotype" w:hAnsi="Palatino Linotype" w:cs="Palatino Linotype"/>
          <w:b/>
          <w:bCs/>
        </w:rPr>
        <w:t>Ayuntamiento de Toluca</w:t>
      </w:r>
      <w:r w:rsidRPr="00467950">
        <w:rPr>
          <w:rFonts w:ascii="Palatino Linotype" w:eastAsia="Palatino Linotype" w:hAnsi="Palatino Linotype" w:cs="Palatino Linotype"/>
          <w:color w:val="000000"/>
        </w:rPr>
        <w:t xml:space="preserve"> y se </w:t>
      </w:r>
      <w:r w:rsidRPr="00467950">
        <w:rPr>
          <w:rFonts w:ascii="Palatino Linotype" w:eastAsia="Palatino Linotype" w:hAnsi="Palatino Linotype" w:cs="Palatino Linotype"/>
          <w:b/>
          <w:bCs/>
          <w:color w:val="000000"/>
        </w:rPr>
        <w:t>ORDENA</w:t>
      </w:r>
      <w:r w:rsidRPr="00467950">
        <w:rPr>
          <w:rFonts w:ascii="Palatino Linotype" w:eastAsia="Palatino Linotype" w:hAnsi="Palatino Linotype" w:cs="Palatino Linotype"/>
          <w:color w:val="000000"/>
        </w:rPr>
        <w:t xml:space="preserve"> entregar vía Sistema de Acceso a la Información Mexiquense (SAIMEX), la siguiente información, en versión pública</w:t>
      </w:r>
      <w:r w:rsidRPr="00467950">
        <w:rPr>
          <w:rFonts w:ascii="Palatino Linotype" w:eastAsia="Palatino Linotype" w:hAnsi="Palatino Linotype" w:cs="Palatino Linotype"/>
        </w:rPr>
        <w:t>:</w:t>
      </w:r>
    </w:p>
    <w:p w:rsidR="00727FC5" w:rsidRPr="00467950" w:rsidRDefault="00727FC5">
      <w:pPr>
        <w:pBdr>
          <w:top w:val="nil"/>
          <w:left w:val="nil"/>
          <w:bottom w:val="nil"/>
          <w:right w:val="nil"/>
          <w:between w:val="nil"/>
        </w:pBdr>
        <w:tabs>
          <w:tab w:val="left" w:pos="8080"/>
        </w:tabs>
        <w:spacing w:line="360" w:lineRule="auto"/>
        <w:ind w:left="709" w:right="474"/>
        <w:jc w:val="both"/>
        <w:rPr>
          <w:rFonts w:ascii="Palatino Linotype" w:eastAsia="Palatino Linotype" w:hAnsi="Palatino Linotype" w:cs="Palatino Linotype"/>
          <w:i/>
          <w:iCs/>
          <w:color w:val="000000"/>
        </w:rPr>
      </w:pPr>
    </w:p>
    <w:p w:rsidR="00727FC5" w:rsidRPr="00467950" w:rsidRDefault="00036D1B">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bookmarkStart w:id="10" w:name="_heading=h.obxc1wr3x0eb" w:colFirst="0" w:colLast="0"/>
      <w:bookmarkEnd w:id="10"/>
      <w:r w:rsidRPr="00467950">
        <w:rPr>
          <w:rFonts w:ascii="Palatino Linotype" w:eastAsia="Palatino Linotype" w:hAnsi="Palatino Linotype" w:cs="Palatino Linotype"/>
          <w:color w:val="000000"/>
        </w:rPr>
        <w:t>Soporte documental en que consten o se adviertan los montos gastados para la elaboración y difusión del Informe de Gobierno 2024, por cualquier concepto, al 01 de abril de 2025;</w:t>
      </w:r>
    </w:p>
    <w:p w:rsidR="00727FC5" w:rsidRPr="00467950" w:rsidRDefault="00036D1B">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Soporte documental en que consten o se adviertan los montos gastados para el evento de presentación del Informe de Gobierno 2024, por cualquier concepto, al 01 de abril de 2025</w:t>
      </w:r>
      <w:r w:rsidRPr="00467950">
        <w:rPr>
          <w:rFonts w:ascii="Palatino Linotype" w:eastAsia="Palatino Linotype" w:hAnsi="Palatino Linotype" w:cs="Palatino Linotype"/>
        </w:rPr>
        <w:t xml:space="preserve">. </w:t>
      </w:r>
    </w:p>
    <w:p w:rsidR="00727FC5" w:rsidRPr="00467950" w:rsidRDefault="00036D1B">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lastRenderedPageBreak/>
        <w:t>Los procedimientos de adquisición y contratos celebrados con motivo de la elaboración, difusión y, evento de presentación del Informe de Gobierno 2024, por cualquier concepto, al 01 de abril de 2025;</w:t>
      </w:r>
    </w:p>
    <w:p w:rsidR="00727FC5" w:rsidRPr="00467950" w:rsidRDefault="00036D1B">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Soporte documental en que consten o se adviertan los informes, fechas programadas y mecanismos para la glosa del Informe de Gobierno 2024, al 01 de abril de 2025;</w:t>
      </w:r>
    </w:p>
    <w:p w:rsidR="00727FC5" w:rsidRPr="00467950" w:rsidRDefault="00036D1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Documento en que conste el número y nombre de invitados al evento de presentación del Informe de Gobierno 2024, de fecha 05 de diciembre de 2025; y</w:t>
      </w:r>
    </w:p>
    <w:p w:rsidR="00727FC5" w:rsidRPr="00467950" w:rsidRDefault="00036D1B">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467950">
        <w:rPr>
          <w:rFonts w:ascii="Palatino Linotype" w:eastAsia="Palatino Linotype" w:hAnsi="Palatino Linotype" w:cs="Palatino Linotype"/>
          <w:color w:val="000000"/>
        </w:rPr>
        <w:t xml:space="preserve">Las contrataciones de </w:t>
      </w:r>
      <w:r w:rsidRPr="00467950">
        <w:rPr>
          <w:rFonts w:ascii="Palatino Linotype" w:eastAsia="Palatino Linotype" w:hAnsi="Palatino Linotype" w:cs="Palatino Linotype"/>
          <w:i/>
          <w:iCs/>
          <w:color w:val="000000"/>
        </w:rPr>
        <w:t>outsourcing</w:t>
      </w:r>
      <w:r w:rsidRPr="00467950">
        <w:rPr>
          <w:rFonts w:ascii="Palatino Linotype" w:eastAsia="Palatino Linotype" w:hAnsi="Palatino Linotype" w:cs="Palatino Linotype"/>
          <w:color w:val="000000"/>
        </w:rPr>
        <w:t xml:space="preserve"> o, </w:t>
      </w:r>
      <w:r w:rsidRPr="00467950">
        <w:rPr>
          <w:rFonts w:ascii="Palatino Linotype" w:eastAsia="Palatino Linotype" w:hAnsi="Palatino Linotype" w:cs="Palatino Linotype"/>
        </w:rPr>
        <w:t>subcontrataciones</w:t>
      </w:r>
      <w:r w:rsidRPr="00467950">
        <w:rPr>
          <w:rFonts w:ascii="Palatino Linotype" w:eastAsia="Palatino Linotype" w:hAnsi="Palatino Linotype" w:cs="Palatino Linotype"/>
          <w:color w:val="000000"/>
        </w:rPr>
        <w:t xml:space="preserve"> celebradas, relacionadas con motivo de la elaboración, difusión y, evento de presentación del Informe de Gobierno 2024, por cualquier concepto, al 01 de abril de 2025.</w:t>
      </w:r>
    </w:p>
    <w:p w:rsidR="00727FC5" w:rsidRPr="00467950" w:rsidRDefault="00727FC5">
      <w:pPr>
        <w:tabs>
          <w:tab w:val="left" w:pos="8080"/>
        </w:tabs>
        <w:spacing w:line="360" w:lineRule="auto"/>
        <w:ind w:right="49"/>
        <w:jc w:val="both"/>
        <w:rPr>
          <w:rFonts w:ascii="Palatino Linotype" w:eastAsia="Palatino Linotype" w:hAnsi="Palatino Linotype" w:cs="Palatino Linotype"/>
        </w:rPr>
      </w:pPr>
    </w:p>
    <w:p w:rsidR="00727FC5" w:rsidRPr="00467950" w:rsidRDefault="00036D1B">
      <w:pPr>
        <w:tabs>
          <w:tab w:val="left" w:pos="8080"/>
        </w:tabs>
        <w:spacing w:line="360" w:lineRule="auto"/>
        <w:ind w:right="49"/>
        <w:jc w:val="both"/>
        <w:rPr>
          <w:rFonts w:ascii="Palatino Linotype" w:eastAsia="Palatino Linotype" w:hAnsi="Palatino Linotype" w:cs="Palatino Linotype"/>
        </w:rPr>
      </w:pPr>
      <w:r w:rsidRPr="00467950">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467950">
        <w:rPr>
          <w:rFonts w:ascii="Palatino Linotype" w:eastAsia="Palatino Linotype" w:hAnsi="Palatino Linotype" w:cs="Palatino Linotype"/>
          <w:b/>
          <w:bCs/>
          <w:color w:val="000000"/>
        </w:rPr>
        <w:t>RECURRENTE</w:t>
      </w:r>
      <w:r w:rsidRPr="00467950">
        <w:rPr>
          <w:rFonts w:ascii="Palatino Linotype" w:eastAsia="Palatino Linotype" w:hAnsi="Palatino Linotype" w:cs="Palatino Linotype"/>
        </w:rPr>
        <w:t>.</w:t>
      </w:r>
    </w:p>
    <w:p w:rsidR="00727FC5" w:rsidRPr="00467950" w:rsidRDefault="00727FC5">
      <w:pPr>
        <w:tabs>
          <w:tab w:val="left" w:pos="8080"/>
        </w:tabs>
        <w:spacing w:line="360" w:lineRule="auto"/>
        <w:ind w:right="49"/>
        <w:jc w:val="both"/>
        <w:rPr>
          <w:rFonts w:ascii="Palatino Linotype" w:eastAsia="Palatino Linotype" w:hAnsi="Palatino Linotype" w:cs="Palatino Linotype"/>
        </w:rPr>
      </w:pPr>
    </w:p>
    <w:p w:rsidR="00727FC5" w:rsidRPr="00467950" w:rsidRDefault="00036D1B">
      <w:pPr>
        <w:spacing w:line="360" w:lineRule="auto"/>
        <w:jc w:val="both"/>
        <w:rPr>
          <w:rFonts w:ascii="Palatino Linotype" w:eastAsia="Palatino Linotype" w:hAnsi="Palatino Linotype" w:cs="Palatino Linotype"/>
        </w:rPr>
      </w:pPr>
      <w:r w:rsidRPr="00467950">
        <w:rPr>
          <w:rFonts w:ascii="Palatino Linotype" w:eastAsia="Palatino Linotype" w:hAnsi="Palatino Linotype" w:cs="Palatino Linotype"/>
          <w:color w:val="000000"/>
        </w:rPr>
        <w:t>Para el caso de en lo ordenado en el</w:t>
      </w:r>
      <w:r w:rsidRPr="00467950">
        <w:rPr>
          <w:rFonts w:ascii="Palatino Linotype" w:eastAsia="Palatino Linotype" w:hAnsi="Palatino Linotype" w:cs="Palatino Linotype"/>
          <w:b/>
          <w:bCs/>
          <w:color w:val="000000"/>
        </w:rPr>
        <w:t xml:space="preserve"> Inciso b)</w:t>
      </w:r>
      <w:r w:rsidRPr="00467950">
        <w:rPr>
          <w:rFonts w:ascii="Palatino Linotype" w:eastAsia="Palatino Linotype" w:hAnsi="Palatino Linotype" w:cs="Palatino Linotype"/>
          <w:color w:val="000000"/>
        </w:rPr>
        <w:t xml:space="preserve">, no existieran gastos por concepto de renta de inmuebles o instalaciones temporales, como teatros, plazas, carpas, foros, salones de fiesta o similares, por haber sido prestados; así como por no contar con lo ordenado en los incisos </w:t>
      </w:r>
      <w:r w:rsidRPr="00467950">
        <w:rPr>
          <w:rFonts w:ascii="Palatino Linotype" w:eastAsia="Palatino Linotype" w:hAnsi="Palatino Linotype" w:cs="Palatino Linotype"/>
          <w:b/>
          <w:bCs/>
          <w:color w:val="000000"/>
        </w:rPr>
        <w:t xml:space="preserve">d), e) </w:t>
      </w:r>
      <w:r w:rsidRPr="00467950">
        <w:rPr>
          <w:rFonts w:ascii="Palatino Linotype" w:eastAsia="Palatino Linotype" w:hAnsi="Palatino Linotype" w:cs="Palatino Linotype"/>
          <w:color w:val="000000"/>
        </w:rPr>
        <w:t>y,</w:t>
      </w:r>
      <w:r w:rsidRPr="00467950">
        <w:rPr>
          <w:rFonts w:ascii="Palatino Linotype" w:eastAsia="Palatino Linotype" w:hAnsi="Palatino Linotype" w:cs="Palatino Linotype"/>
          <w:b/>
          <w:bCs/>
          <w:color w:val="000000"/>
        </w:rPr>
        <w:t xml:space="preserve"> f), </w:t>
      </w:r>
      <w:r w:rsidRPr="00467950">
        <w:rPr>
          <w:rFonts w:ascii="Palatino Linotype" w:eastAsia="Palatino Linotype" w:hAnsi="Palatino Linotype" w:cs="Palatino Linotype"/>
          <w:color w:val="000000"/>
        </w:rPr>
        <w:t xml:space="preserve">bastará que el </w:t>
      </w:r>
      <w:r w:rsidRPr="00467950">
        <w:rPr>
          <w:rFonts w:ascii="Palatino Linotype" w:eastAsia="Palatino Linotype" w:hAnsi="Palatino Linotype" w:cs="Palatino Linotype"/>
          <w:b/>
          <w:bCs/>
          <w:color w:val="000000"/>
        </w:rPr>
        <w:t>SUJETO OBLIGADO</w:t>
      </w:r>
      <w:r w:rsidRPr="00467950">
        <w:rPr>
          <w:rFonts w:ascii="Palatino Linotype" w:eastAsia="Palatino Linotype" w:hAnsi="Palatino Linotype" w:cs="Palatino Linotype"/>
          <w:color w:val="000000"/>
        </w:rPr>
        <w:t xml:space="preserve"> lo haga del conocimiento de la parte </w:t>
      </w:r>
      <w:r w:rsidRPr="00467950">
        <w:rPr>
          <w:rFonts w:ascii="Palatino Linotype" w:eastAsia="Palatino Linotype" w:hAnsi="Palatino Linotype" w:cs="Palatino Linotype"/>
          <w:b/>
          <w:bCs/>
          <w:color w:val="000000"/>
        </w:rPr>
        <w:t>RECURRENTE</w:t>
      </w:r>
      <w:r w:rsidRPr="00467950">
        <w:rPr>
          <w:rFonts w:ascii="Palatino Linotype" w:eastAsia="Palatino Linotype" w:hAnsi="Palatino Linotype" w:cs="Palatino Linotype"/>
          <w:color w:val="000000"/>
        </w:rPr>
        <w:t xml:space="preserve"> al momento de dar cumplimiento a la presente Resolución en términos del </w:t>
      </w:r>
      <w:r w:rsidRPr="00467950">
        <w:rPr>
          <w:rFonts w:ascii="Palatino Linotype" w:eastAsia="Palatino Linotype" w:hAnsi="Palatino Linotype" w:cs="Palatino Linotype"/>
          <w:color w:val="000000"/>
        </w:rPr>
        <w:lastRenderedPageBreak/>
        <w:t>artículo 19 párrafo segundo de la</w:t>
      </w:r>
      <w:r w:rsidRPr="00467950">
        <w:rPr>
          <w:rFonts w:ascii="Palatino Linotype" w:eastAsia="Palatino Linotype" w:hAnsi="Palatino Linotype" w:cs="Palatino Linotype"/>
        </w:rPr>
        <w:t xml:space="preserve"> Ley de Transparencia y Acceso a la Información Pública del Estado de México y Municipios.</w:t>
      </w:r>
    </w:p>
    <w:p w:rsidR="00727FC5" w:rsidRPr="00467950" w:rsidRDefault="00727FC5">
      <w:pPr>
        <w:tabs>
          <w:tab w:val="left" w:pos="8080"/>
        </w:tabs>
        <w:spacing w:line="360" w:lineRule="auto"/>
        <w:ind w:right="49"/>
        <w:jc w:val="both"/>
        <w:rPr>
          <w:rFonts w:ascii="Palatino Linotype" w:eastAsia="Palatino Linotype" w:hAnsi="Palatino Linotype" w:cs="Palatino Linotype"/>
        </w:rPr>
      </w:pPr>
    </w:p>
    <w:p w:rsidR="00727FC5" w:rsidRPr="00467950" w:rsidRDefault="00036D1B">
      <w:pPr>
        <w:spacing w:line="360" w:lineRule="auto"/>
        <w:jc w:val="both"/>
        <w:rPr>
          <w:rFonts w:ascii="Palatino Linotype" w:eastAsia="Palatino Linotype" w:hAnsi="Palatino Linotype" w:cs="Palatino Linotype"/>
        </w:rPr>
      </w:pPr>
      <w:r w:rsidRPr="00467950">
        <w:rPr>
          <w:rFonts w:ascii="Palatino Linotype" w:eastAsia="Palatino Linotype" w:hAnsi="Palatino Linotype" w:cs="Palatino Linotype"/>
          <w:b/>
          <w:bCs/>
        </w:rPr>
        <w:t xml:space="preserve">TERCERO. Notifíquese </w:t>
      </w:r>
      <w:r w:rsidRPr="00467950">
        <w:rPr>
          <w:rFonts w:ascii="Palatino Linotype" w:eastAsia="Palatino Linotype" w:hAnsi="Palatino Linotype" w:cs="Palatino Linotype"/>
        </w:rPr>
        <w:t xml:space="preserve">la presente Resolución al Titular de la Unidad de Transparencia del Sujeto Obligado vía </w:t>
      </w:r>
      <w:r w:rsidRPr="00467950">
        <w:rPr>
          <w:rFonts w:ascii="Palatino Linotype" w:eastAsia="Palatino Linotype" w:hAnsi="Palatino Linotype" w:cs="Palatino Linotype"/>
          <w:b/>
          <w:bCs/>
        </w:rPr>
        <w:t>SAIMEX</w:t>
      </w:r>
      <w:r w:rsidRPr="00467950">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467950">
        <w:rPr>
          <w:rFonts w:ascii="Palatino Linotype" w:eastAsia="Palatino Linotype" w:hAnsi="Palatino Linotype" w:cs="Palatino Linotype"/>
          <w:b/>
          <w:bCs/>
        </w:rPr>
        <w:t>dé cumplimiento a lo ordenado dentro del plazo de diez días hábiles</w:t>
      </w:r>
      <w:r w:rsidRPr="00467950">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spacing w:line="360" w:lineRule="auto"/>
        <w:jc w:val="both"/>
        <w:rPr>
          <w:rFonts w:ascii="Palatino Linotype" w:eastAsia="Palatino Linotype" w:hAnsi="Palatino Linotype" w:cs="Palatino Linotype"/>
        </w:rPr>
      </w:pPr>
      <w:r w:rsidRPr="00467950">
        <w:rPr>
          <w:rFonts w:ascii="Palatino Linotype" w:eastAsia="Palatino Linotype" w:hAnsi="Palatino Linotype" w:cs="Palatino Linotype"/>
          <w:b/>
          <w:bCs/>
        </w:rPr>
        <w:t xml:space="preserve">CUARTO. </w:t>
      </w:r>
      <w:r w:rsidRPr="0046795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67950">
        <w:rPr>
          <w:rFonts w:ascii="Palatino Linotype" w:eastAsia="Palatino Linotype" w:hAnsi="Palatino Linotype" w:cs="Palatino Linotype"/>
          <w:b/>
          <w:bCs/>
        </w:rPr>
        <w:t>SUJETO OBLIGADO</w:t>
      </w:r>
      <w:r w:rsidRPr="00467950">
        <w:rPr>
          <w:rFonts w:ascii="Palatino Linotype" w:eastAsia="Palatino Linotype" w:hAnsi="Palatino Linotype" w:cs="Palatino Linotype"/>
        </w:rPr>
        <w:t xml:space="preserve"> de manera fundada y motivada, podrá solicitar una ampliación de plazo para el cumplimiento de la presente Resolución.</w:t>
      </w:r>
    </w:p>
    <w:p w:rsidR="00727FC5" w:rsidRPr="00467950" w:rsidRDefault="00727FC5">
      <w:pPr>
        <w:spacing w:line="360" w:lineRule="auto"/>
        <w:jc w:val="both"/>
        <w:rPr>
          <w:rFonts w:ascii="Palatino Linotype" w:eastAsia="Palatino Linotype" w:hAnsi="Palatino Linotype" w:cs="Palatino Linotype"/>
        </w:rPr>
      </w:pPr>
    </w:p>
    <w:p w:rsidR="00727FC5" w:rsidRPr="00467950" w:rsidRDefault="00036D1B">
      <w:pPr>
        <w:tabs>
          <w:tab w:val="left" w:pos="8080"/>
        </w:tabs>
        <w:spacing w:line="360" w:lineRule="auto"/>
        <w:ind w:right="49"/>
        <w:jc w:val="both"/>
        <w:rPr>
          <w:rFonts w:ascii="Palatino Linotype" w:eastAsia="Palatino Linotype" w:hAnsi="Palatino Linotype" w:cs="Palatino Linotype"/>
        </w:rPr>
      </w:pPr>
      <w:bookmarkStart w:id="11" w:name="_heading=h.isv455qa027t" w:colFirst="0" w:colLast="0"/>
      <w:bookmarkEnd w:id="11"/>
      <w:r w:rsidRPr="00467950">
        <w:rPr>
          <w:rFonts w:ascii="Palatino Linotype" w:eastAsia="Palatino Linotype" w:hAnsi="Palatino Linotype" w:cs="Palatino Linotype"/>
          <w:b/>
          <w:bCs/>
        </w:rPr>
        <w:t xml:space="preserve">QUINTO. </w:t>
      </w:r>
      <w:r w:rsidRPr="00467950">
        <w:rPr>
          <w:rFonts w:ascii="Palatino Linotype" w:eastAsia="Palatino Linotype" w:hAnsi="Palatino Linotype" w:cs="Palatino Linotype"/>
        </w:rPr>
        <w:t xml:space="preserve">Notifíquese al </w:t>
      </w:r>
      <w:r w:rsidRPr="00467950">
        <w:rPr>
          <w:rFonts w:ascii="Palatino Linotype" w:eastAsia="Palatino Linotype" w:hAnsi="Palatino Linotype" w:cs="Palatino Linotype"/>
          <w:b/>
          <w:bCs/>
        </w:rPr>
        <w:t>RECURRENTE</w:t>
      </w:r>
      <w:r w:rsidRPr="00467950">
        <w:rPr>
          <w:rFonts w:ascii="Palatino Linotype" w:eastAsia="Palatino Linotype" w:hAnsi="Palatino Linotype" w:cs="Palatino Linotype"/>
        </w:rPr>
        <w:t xml:space="preserve"> la presente Resolución, vía </w:t>
      </w:r>
      <w:r w:rsidRPr="00467950">
        <w:rPr>
          <w:rFonts w:ascii="Palatino Linotype" w:eastAsia="Palatino Linotype" w:hAnsi="Palatino Linotype" w:cs="Palatino Linotype"/>
          <w:b/>
          <w:bCs/>
        </w:rPr>
        <w:t>SAIMEX</w:t>
      </w:r>
      <w:r w:rsidRPr="00467950">
        <w:rPr>
          <w:rFonts w:ascii="Palatino Linotype" w:eastAsia="Palatino Linotype" w:hAnsi="Palatino Linotype" w:cs="Palatino Linotype"/>
        </w:rPr>
        <w:t>.</w:t>
      </w:r>
    </w:p>
    <w:p w:rsidR="00727FC5" w:rsidRPr="00467950" w:rsidRDefault="00727FC5">
      <w:pPr>
        <w:tabs>
          <w:tab w:val="left" w:pos="8080"/>
        </w:tabs>
        <w:spacing w:line="360" w:lineRule="auto"/>
        <w:ind w:right="49"/>
        <w:jc w:val="both"/>
        <w:rPr>
          <w:rFonts w:ascii="Palatino Linotype" w:eastAsia="Palatino Linotype" w:hAnsi="Palatino Linotype" w:cs="Palatino Linotype"/>
        </w:rPr>
      </w:pPr>
    </w:p>
    <w:p w:rsidR="00727FC5" w:rsidRPr="00467950" w:rsidRDefault="00036D1B">
      <w:pPr>
        <w:shd w:val="clear" w:color="auto" w:fill="FFFFFF"/>
        <w:spacing w:line="360" w:lineRule="auto"/>
        <w:jc w:val="both"/>
        <w:rPr>
          <w:rFonts w:ascii="Palatino Linotype" w:eastAsia="Palatino Linotype" w:hAnsi="Palatino Linotype" w:cs="Palatino Linotype"/>
        </w:rPr>
      </w:pPr>
      <w:r w:rsidRPr="00467950">
        <w:rPr>
          <w:rFonts w:ascii="Palatino Linotype" w:eastAsia="Palatino Linotype" w:hAnsi="Palatino Linotype" w:cs="Palatino Linotype"/>
          <w:b/>
          <w:bCs/>
        </w:rPr>
        <w:t xml:space="preserve">SEXTO. </w:t>
      </w:r>
      <w:r w:rsidRPr="00467950">
        <w:rPr>
          <w:rFonts w:ascii="Palatino Linotype" w:eastAsia="Palatino Linotype" w:hAnsi="Palatino Linotype" w:cs="Palatino Linotype"/>
        </w:rPr>
        <w:t>Se hace del conocimiento del</w:t>
      </w:r>
      <w:r w:rsidRPr="00467950">
        <w:rPr>
          <w:rFonts w:ascii="Palatino Linotype" w:eastAsia="Palatino Linotype" w:hAnsi="Palatino Linotype" w:cs="Palatino Linotype"/>
          <w:b/>
          <w:bCs/>
        </w:rPr>
        <w:t xml:space="preserve"> RECURRENTE </w:t>
      </w:r>
      <w:r w:rsidRPr="00467950">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9B66C0" w:rsidRPr="00467950" w:rsidRDefault="009B66C0" w:rsidP="009B66C0">
      <w:pPr>
        <w:spacing w:before="240" w:after="240" w:line="360" w:lineRule="auto"/>
        <w:ind w:firstLine="1"/>
        <w:jc w:val="both"/>
        <w:rPr>
          <w:rFonts w:ascii="Palatino Linotype" w:hAnsi="Palatino Linotype"/>
        </w:rPr>
      </w:pPr>
      <w:bookmarkStart w:id="12" w:name="_Hlk99014733"/>
      <w:r w:rsidRPr="00467950">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467950">
        <w:rPr>
          <w:rFonts w:ascii="Palatino Linotype" w:hAnsi="Palatino Linotype" w:cs="Palatino Linotype"/>
          <w:color w:val="000000" w:themeColor="text1"/>
        </w:rPr>
        <w:t>ALEXIS TAPIA RAMÍREZ.</w:t>
      </w:r>
    </w:p>
    <w:bookmarkEnd w:id="12"/>
    <w:p w:rsidR="00727FC5" w:rsidRPr="00467950" w:rsidRDefault="00727FC5">
      <w:pPr>
        <w:spacing w:line="360" w:lineRule="auto"/>
        <w:ind w:right="49"/>
        <w:jc w:val="both"/>
        <w:rPr>
          <w:rFonts w:ascii="Palatino Linotype" w:eastAsia="Palatino Linotype" w:hAnsi="Palatino Linotype" w:cs="Palatino Linotype"/>
        </w:rPr>
      </w:pPr>
    </w:p>
    <w:p w:rsidR="00727FC5" w:rsidRPr="00467950" w:rsidRDefault="00727FC5">
      <w:pPr>
        <w:spacing w:line="360" w:lineRule="auto"/>
        <w:ind w:right="49"/>
        <w:jc w:val="both"/>
        <w:rPr>
          <w:rFonts w:ascii="Palatino Linotype" w:eastAsia="Palatino Linotype" w:hAnsi="Palatino Linotype" w:cs="Palatino Linotype"/>
        </w:rPr>
      </w:pPr>
    </w:p>
    <w:p w:rsidR="00727FC5" w:rsidRPr="00467950" w:rsidRDefault="00727FC5">
      <w:pPr>
        <w:spacing w:line="360" w:lineRule="auto"/>
        <w:ind w:right="49"/>
        <w:jc w:val="both"/>
        <w:rPr>
          <w:rFonts w:ascii="Palatino Linotype" w:eastAsia="Palatino Linotype" w:hAnsi="Palatino Linotype" w:cs="Palatino Linotype"/>
        </w:rPr>
      </w:pPr>
    </w:p>
    <w:p w:rsidR="00727FC5" w:rsidRPr="00467950" w:rsidRDefault="00727FC5">
      <w:pPr>
        <w:spacing w:line="360" w:lineRule="auto"/>
        <w:ind w:right="49"/>
        <w:jc w:val="both"/>
        <w:rPr>
          <w:rFonts w:ascii="Palatino Linotype" w:eastAsia="Palatino Linotype" w:hAnsi="Palatino Linotype" w:cs="Palatino Linotype"/>
        </w:rPr>
      </w:pPr>
    </w:p>
    <w:p w:rsidR="00727FC5" w:rsidRPr="00467950" w:rsidRDefault="00727FC5">
      <w:pPr>
        <w:spacing w:line="360" w:lineRule="auto"/>
        <w:ind w:right="49"/>
        <w:rPr>
          <w:rFonts w:ascii="Palatino Linotype" w:eastAsia="Palatino Linotype" w:hAnsi="Palatino Linotype" w:cs="Palatino Linotype"/>
        </w:rPr>
      </w:pPr>
    </w:p>
    <w:p w:rsidR="00727FC5" w:rsidRPr="00467950" w:rsidRDefault="00727FC5">
      <w:pPr>
        <w:spacing w:line="360" w:lineRule="auto"/>
        <w:ind w:right="49"/>
        <w:rPr>
          <w:rFonts w:ascii="Palatino Linotype" w:eastAsia="Palatino Linotype" w:hAnsi="Palatino Linotype" w:cs="Palatino Linotype"/>
        </w:rPr>
      </w:pPr>
    </w:p>
    <w:p w:rsidR="00727FC5" w:rsidRPr="00467950" w:rsidRDefault="00727FC5">
      <w:pPr>
        <w:spacing w:line="360" w:lineRule="auto"/>
        <w:ind w:right="49"/>
        <w:rPr>
          <w:rFonts w:ascii="Palatino Linotype" w:eastAsia="Palatino Linotype" w:hAnsi="Palatino Linotype" w:cs="Palatino Linotype"/>
        </w:rPr>
      </w:pPr>
    </w:p>
    <w:p w:rsidR="00727FC5" w:rsidRPr="00467950" w:rsidRDefault="00727FC5">
      <w:pPr>
        <w:spacing w:line="360" w:lineRule="auto"/>
        <w:ind w:right="49"/>
        <w:rPr>
          <w:rFonts w:ascii="Palatino Linotype" w:eastAsia="Palatino Linotype" w:hAnsi="Palatino Linotype" w:cs="Palatino Linotype"/>
        </w:rPr>
      </w:pPr>
    </w:p>
    <w:p w:rsidR="00727FC5" w:rsidRPr="00467950" w:rsidRDefault="00727FC5">
      <w:pPr>
        <w:spacing w:line="360" w:lineRule="auto"/>
        <w:ind w:right="49"/>
        <w:rPr>
          <w:rFonts w:ascii="Palatino Linotype" w:eastAsia="Palatino Linotype" w:hAnsi="Palatino Linotype" w:cs="Palatino Linotype"/>
        </w:rPr>
      </w:pPr>
    </w:p>
    <w:p w:rsidR="00727FC5" w:rsidRPr="00467950" w:rsidRDefault="00727FC5">
      <w:pPr>
        <w:spacing w:line="360" w:lineRule="auto"/>
        <w:ind w:right="49"/>
        <w:rPr>
          <w:rFonts w:ascii="Palatino Linotype" w:eastAsia="Palatino Linotype" w:hAnsi="Palatino Linotype" w:cs="Palatino Linotype"/>
        </w:rPr>
      </w:pPr>
    </w:p>
    <w:p w:rsidR="00727FC5" w:rsidRPr="00467950" w:rsidRDefault="00727FC5">
      <w:pPr>
        <w:spacing w:line="360" w:lineRule="auto"/>
        <w:ind w:right="49"/>
        <w:rPr>
          <w:rFonts w:ascii="Palatino Linotype" w:eastAsia="Palatino Linotype" w:hAnsi="Palatino Linotype" w:cs="Palatino Linotype"/>
        </w:rPr>
      </w:pPr>
    </w:p>
    <w:p w:rsidR="00727FC5" w:rsidRPr="00467950" w:rsidRDefault="00036D1B">
      <w:pPr>
        <w:tabs>
          <w:tab w:val="left" w:pos="3374"/>
        </w:tabs>
        <w:spacing w:line="360" w:lineRule="auto"/>
        <w:ind w:right="49"/>
        <w:rPr>
          <w:rFonts w:ascii="Palatino Linotype" w:eastAsia="Palatino Linotype" w:hAnsi="Palatino Linotype" w:cs="Palatino Linotype"/>
        </w:rPr>
      </w:pPr>
      <w:r w:rsidRPr="00467950">
        <w:rPr>
          <w:rFonts w:ascii="Palatino Linotype" w:eastAsia="Palatino Linotype" w:hAnsi="Palatino Linotype" w:cs="Palatino Linotype"/>
        </w:rPr>
        <w:tab/>
      </w:r>
    </w:p>
    <w:p w:rsidR="00727FC5" w:rsidRPr="00467950" w:rsidRDefault="00727FC5">
      <w:pPr>
        <w:tabs>
          <w:tab w:val="left" w:pos="3374"/>
        </w:tabs>
        <w:spacing w:line="360" w:lineRule="auto"/>
        <w:ind w:right="49"/>
        <w:rPr>
          <w:rFonts w:ascii="Palatino Linotype" w:eastAsia="Palatino Linotype" w:hAnsi="Palatino Linotype" w:cs="Palatino Linotype"/>
        </w:rPr>
      </w:pPr>
    </w:p>
    <w:p w:rsidR="00727FC5" w:rsidRPr="00467950" w:rsidRDefault="00727FC5">
      <w:pPr>
        <w:tabs>
          <w:tab w:val="left" w:pos="3374"/>
        </w:tabs>
        <w:spacing w:line="360" w:lineRule="auto"/>
        <w:ind w:right="49"/>
        <w:rPr>
          <w:rFonts w:ascii="Palatino Linotype" w:eastAsia="Palatino Linotype" w:hAnsi="Palatino Linotype" w:cs="Palatino Linotype"/>
        </w:rPr>
      </w:pPr>
    </w:p>
    <w:p w:rsidR="00727FC5" w:rsidRPr="00467950" w:rsidRDefault="00727FC5">
      <w:pPr>
        <w:tabs>
          <w:tab w:val="left" w:pos="3374"/>
        </w:tabs>
        <w:spacing w:line="360" w:lineRule="auto"/>
        <w:ind w:right="49"/>
        <w:rPr>
          <w:rFonts w:ascii="Palatino Linotype" w:eastAsia="Palatino Linotype" w:hAnsi="Palatino Linotype" w:cs="Palatino Linotype"/>
        </w:rPr>
      </w:pPr>
    </w:p>
    <w:p w:rsidR="00727FC5" w:rsidRPr="00467950" w:rsidRDefault="00727FC5">
      <w:pPr>
        <w:tabs>
          <w:tab w:val="left" w:pos="3374"/>
        </w:tabs>
        <w:spacing w:line="360" w:lineRule="auto"/>
        <w:ind w:right="49"/>
        <w:rPr>
          <w:rFonts w:ascii="Palatino Linotype" w:eastAsia="Palatino Linotype" w:hAnsi="Palatino Linotype" w:cs="Palatino Linotype"/>
        </w:rPr>
      </w:pPr>
    </w:p>
    <w:p w:rsidR="00727FC5" w:rsidRPr="00467950" w:rsidRDefault="00727FC5">
      <w:pPr>
        <w:tabs>
          <w:tab w:val="left" w:pos="3374"/>
        </w:tabs>
        <w:spacing w:line="360" w:lineRule="auto"/>
        <w:ind w:right="49"/>
        <w:rPr>
          <w:rFonts w:ascii="Palatino Linotype" w:eastAsia="Palatino Linotype" w:hAnsi="Palatino Linotype" w:cs="Palatino Linotype"/>
        </w:rPr>
      </w:pPr>
    </w:p>
    <w:p w:rsidR="00727FC5" w:rsidRPr="00467950" w:rsidRDefault="00727FC5">
      <w:pPr>
        <w:tabs>
          <w:tab w:val="left" w:pos="3374"/>
        </w:tabs>
        <w:spacing w:line="360" w:lineRule="auto"/>
        <w:ind w:right="49"/>
        <w:rPr>
          <w:rFonts w:ascii="Palatino Linotype" w:eastAsia="Palatino Linotype" w:hAnsi="Palatino Linotype" w:cs="Palatino Linotype"/>
        </w:rPr>
      </w:pPr>
    </w:p>
    <w:p w:rsidR="00727FC5" w:rsidRPr="00467950" w:rsidRDefault="00727FC5">
      <w:pPr>
        <w:tabs>
          <w:tab w:val="left" w:pos="3374"/>
        </w:tabs>
        <w:spacing w:line="360" w:lineRule="auto"/>
        <w:ind w:right="49"/>
        <w:rPr>
          <w:rFonts w:ascii="Palatino Linotype" w:eastAsia="Palatino Linotype" w:hAnsi="Palatino Linotype" w:cs="Palatino Linotype"/>
        </w:rPr>
      </w:pPr>
    </w:p>
    <w:p w:rsidR="00727FC5" w:rsidRPr="00467950" w:rsidRDefault="00727FC5">
      <w:pPr>
        <w:tabs>
          <w:tab w:val="left" w:pos="3374"/>
        </w:tabs>
        <w:spacing w:line="360" w:lineRule="auto"/>
        <w:ind w:right="49"/>
        <w:rPr>
          <w:rFonts w:ascii="Palatino Linotype" w:eastAsia="Palatino Linotype" w:hAnsi="Palatino Linotype" w:cs="Palatino Linotype"/>
        </w:rPr>
      </w:pPr>
    </w:p>
    <w:p w:rsidR="00727FC5" w:rsidRPr="00467950" w:rsidRDefault="00727FC5">
      <w:pPr>
        <w:spacing w:line="360" w:lineRule="auto"/>
        <w:ind w:right="49"/>
        <w:rPr>
          <w:rFonts w:ascii="Palatino Linotype" w:eastAsia="Palatino Linotype" w:hAnsi="Palatino Linotype" w:cs="Palatino Linotype"/>
        </w:rPr>
      </w:pPr>
    </w:p>
    <w:sectPr w:rsidR="00727FC5" w:rsidRPr="00467950" w:rsidSect="00467950">
      <w:headerReference w:type="even" r:id="rId13"/>
      <w:headerReference w:type="default" r:id="rId14"/>
      <w:footerReference w:type="default" r:id="rId15"/>
      <w:headerReference w:type="first" r:id="rId16"/>
      <w:footerReference w:type="first" r:id="rId17"/>
      <w:pgSz w:w="12240" w:h="15840"/>
      <w:pgMar w:top="2268"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010" w:rsidRDefault="00FC2010">
      <w:r>
        <w:separator/>
      </w:r>
    </w:p>
  </w:endnote>
  <w:endnote w:type="continuationSeparator" w:id="0">
    <w:p w:rsidR="00FC2010" w:rsidRDefault="00FC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embedRegular r:id="rId1" w:fontKey="{9CEFA80C-9F05-4301-8177-3DB124BC1AEC}"/>
    <w:embedBold r:id="rId2" w:fontKey="{7F69AD00-A3E5-47BE-A94B-53B1F51D1868}"/>
    <w:embedItalic r:id="rId3" w:fontKey="{59A9AE7C-B82A-4BD3-92B6-28B0769AD655}"/>
    <w:embedBoldItalic r:id="rId4" w:fontKey="{6F4C52E3-C3DB-4708-93EE-8CB155B8C292}"/>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62D7FC04-0AA8-4147-9669-44652770808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A7160F64-EB67-401E-BA6D-6FA4DC34A575}"/>
    <w:embedBold r:id="rId7" w:fontKey="{7D0221C7-25CE-4B05-876B-10C07D0C53B1}"/>
    <w:embedItalic r:id="rId8" w:fontKey="{54A00B23-F3C3-4FC8-ADBF-C1C5CE0BAE06}"/>
  </w:font>
  <w:font w:name="Calibri Light">
    <w:panose1 w:val="020F0302020204030204"/>
    <w:charset w:val="00"/>
    <w:family w:val="swiss"/>
    <w:pitch w:val="variable"/>
    <w:sig w:usb0="E4002EFF" w:usb1="C200247B" w:usb2="00000009" w:usb3="00000000" w:csb0="000001FF" w:csb1="00000000"/>
    <w:embedRegular r:id="rId9" w:fontKey="{9322A761-08CB-48AA-AC62-198E43167BF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F2F4AA78-9B7B-46B7-900B-573C209DC0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FC5" w:rsidRPr="00467950" w:rsidRDefault="00036D1B">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467950">
      <w:rPr>
        <w:rFonts w:ascii="Palatino Linotype" w:eastAsia="Palatino Linotype" w:hAnsi="Palatino Linotype" w:cs="Palatino Linotype"/>
        <w:b/>
        <w:color w:val="000000"/>
        <w:sz w:val="22"/>
        <w:szCs w:val="20"/>
      </w:rPr>
      <w:t xml:space="preserve">Página </w:t>
    </w:r>
    <w:r w:rsidRPr="00467950">
      <w:rPr>
        <w:rFonts w:ascii="Palatino Linotype" w:eastAsia="Palatino Linotype" w:hAnsi="Palatino Linotype" w:cs="Palatino Linotype"/>
        <w:b/>
        <w:color w:val="000000"/>
        <w:sz w:val="22"/>
        <w:szCs w:val="20"/>
      </w:rPr>
      <w:fldChar w:fldCharType="begin"/>
    </w:r>
    <w:r w:rsidRPr="00467950">
      <w:rPr>
        <w:rFonts w:ascii="Palatino Linotype" w:eastAsia="Palatino Linotype" w:hAnsi="Palatino Linotype" w:cs="Palatino Linotype"/>
        <w:b/>
        <w:color w:val="000000"/>
        <w:sz w:val="22"/>
        <w:szCs w:val="20"/>
      </w:rPr>
      <w:instrText>PAGE</w:instrText>
    </w:r>
    <w:r w:rsidRPr="00467950">
      <w:rPr>
        <w:rFonts w:ascii="Palatino Linotype" w:eastAsia="Palatino Linotype" w:hAnsi="Palatino Linotype" w:cs="Palatino Linotype"/>
        <w:b/>
        <w:color w:val="000000"/>
        <w:sz w:val="22"/>
        <w:szCs w:val="20"/>
      </w:rPr>
      <w:fldChar w:fldCharType="separate"/>
    </w:r>
    <w:r w:rsidR="00467950">
      <w:rPr>
        <w:rFonts w:ascii="Palatino Linotype" w:eastAsia="Palatino Linotype" w:hAnsi="Palatino Linotype" w:cs="Palatino Linotype"/>
        <w:b/>
        <w:noProof/>
        <w:color w:val="000000"/>
        <w:sz w:val="22"/>
        <w:szCs w:val="20"/>
      </w:rPr>
      <w:t>58</w:t>
    </w:r>
    <w:r w:rsidRPr="00467950">
      <w:rPr>
        <w:rFonts w:ascii="Palatino Linotype" w:eastAsia="Palatino Linotype" w:hAnsi="Palatino Linotype" w:cs="Palatino Linotype"/>
        <w:b/>
        <w:color w:val="000000"/>
        <w:sz w:val="22"/>
        <w:szCs w:val="20"/>
      </w:rPr>
      <w:fldChar w:fldCharType="end"/>
    </w:r>
    <w:r w:rsidRPr="00467950">
      <w:rPr>
        <w:rFonts w:ascii="Palatino Linotype" w:eastAsia="Palatino Linotype" w:hAnsi="Palatino Linotype" w:cs="Palatino Linotype"/>
        <w:b/>
        <w:color w:val="000000"/>
        <w:sz w:val="22"/>
        <w:szCs w:val="20"/>
      </w:rPr>
      <w:t xml:space="preserve"> de </w:t>
    </w:r>
    <w:r w:rsidRPr="00467950">
      <w:rPr>
        <w:rFonts w:ascii="Palatino Linotype" w:eastAsia="Palatino Linotype" w:hAnsi="Palatino Linotype" w:cs="Palatino Linotype"/>
        <w:b/>
        <w:color w:val="000000"/>
        <w:sz w:val="22"/>
        <w:szCs w:val="20"/>
      </w:rPr>
      <w:fldChar w:fldCharType="begin"/>
    </w:r>
    <w:r w:rsidRPr="00467950">
      <w:rPr>
        <w:rFonts w:ascii="Palatino Linotype" w:eastAsia="Palatino Linotype" w:hAnsi="Palatino Linotype" w:cs="Palatino Linotype"/>
        <w:b/>
        <w:color w:val="000000"/>
        <w:sz w:val="22"/>
        <w:szCs w:val="20"/>
      </w:rPr>
      <w:instrText>NUMPAGES</w:instrText>
    </w:r>
    <w:r w:rsidRPr="00467950">
      <w:rPr>
        <w:rFonts w:ascii="Palatino Linotype" w:eastAsia="Palatino Linotype" w:hAnsi="Palatino Linotype" w:cs="Palatino Linotype"/>
        <w:b/>
        <w:color w:val="000000"/>
        <w:sz w:val="22"/>
        <w:szCs w:val="20"/>
      </w:rPr>
      <w:fldChar w:fldCharType="separate"/>
    </w:r>
    <w:r w:rsidR="00467950">
      <w:rPr>
        <w:rFonts w:ascii="Palatino Linotype" w:eastAsia="Palatino Linotype" w:hAnsi="Palatino Linotype" w:cs="Palatino Linotype"/>
        <w:b/>
        <w:noProof/>
        <w:color w:val="000000"/>
        <w:sz w:val="22"/>
        <w:szCs w:val="20"/>
      </w:rPr>
      <w:t>62</w:t>
    </w:r>
    <w:r w:rsidRPr="00467950">
      <w:rPr>
        <w:rFonts w:ascii="Palatino Linotype" w:eastAsia="Palatino Linotype" w:hAnsi="Palatino Linotype" w:cs="Palatino Linotype"/>
        <w:b/>
        <w:color w:val="000000"/>
        <w:sz w:val="22"/>
        <w:szCs w:val="20"/>
      </w:rPr>
      <w:fldChar w:fldCharType="end"/>
    </w:r>
  </w:p>
  <w:p w:rsidR="00727FC5" w:rsidRDefault="00727FC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FC5" w:rsidRPr="00467950" w:rsidRDefault="00036D1B">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467950">
      <w:rPr>
        <w:rFonts w:ascii="Palatino Linotype" w:eastAsia="Palatino Linotype" w:hAnsi="Palatino Linotype" w:cs="Palatino Linotype"/>
        <w:b/>
        <w:color w:val="000000"/>
        <w:sz w:val="22"/>
        <w:szCs w:val="20"/>
      </w:rPr>
      <w:t xml:space="preserve">Página </w:t>
    </w:r>
    <w:r w:rsidRPr="00467950">
      <w:rPr>
        <w:rFonts w:ascii="Palatino Linotype" w:eastAsia="Palatino Linotype" w:hAnsi="Palatino Linotype" w:cs="Palatino Linotype"/>
        <w:b/>
        <w:color w:val="000000"/>
        <w:sz w:val="22"/>
        <w:szCs w:val="20"/>
      </w:rPr>
      <w:fldChar w:fldCharType="begin"/>
    </w:r>
    <w:r w:rsidRPr="00467950">
      <w:rPr>
        <w:rFonts w:ascii="Palatino Linotype" w:eastAsia="Palatino Linotype" w:hAnsi="Palatino Linotype" w:cs="Palatino Linotype"/>
        <w:b/>
        <w:color w:val="000000"/>
        <w:sz w:val="22"/>
        <w:szCs w:val="20"/>
      </w:rPr>
      <w:instrText>PAGE</w:instrText>
    </w:r>
    <w:r w:rsidRPr="00467950">
      <w:rPr>
        <w:rFonts w:ascii="Palatino Linotype" w:eastAsia="Palatino Linotype" w:hAnsi="Palatino Linotype" w:cs="Palatino Linotype"/>
        <w:b/>
        <w:color w:val="000000"/>
        <w:sz w:val="22"/>
        <w:szCs w:val="20"/>
      </w:rPr>
      <w:fldChar w:fldCharType="separate"/>
    </w:r>
    <w:r w:rsidR="00467950">
      <w:rPr>
        <w:rFonts w:ascii="Palatino Linotype" w:eastAsia="Palatino Linotype" w:hAnsi="Palatino Linotype" w:cs="Palatino Linotype"/>
        <w:b/>
        <w:noProof/>
        <w:color w:val="000000"/>
        <w:sz w:val="22"/>
        <w:szCs w:val="20"/>
      </w:rPr>
      <w:t>1</w:t>
    </w:r>
    <w:r w:rsidRPr="00467950">
      <w:rPr>
        <w:rFonts w:ascii="Palatino Linotype" w:eastAsia="Palatino Linotype" w:hAnsi="Palatino Linotype" w:cs="Palatino Linotype"/>
        <w:b/>
        <w:color w:val="000000"/>
        <w:sz w:val="22"/>
        <w:szCs w:val="20"/>
      </w:rPr>
      <w:fldChar w:fldCharType="end"/>
    </w:r>
    <w:r w:rsidRPr="00467950">
      <w:rPr>
        <w:rFonts w:ascii="Palatino Linotype" w:eastAsia="Palatino Linotype" w:hAnsi="Palatino Linotype" w:cs="Palatino Linotype"/>
        <w:b/>
        <w:color w:val="000000"/>
        <w:sz w:val="22"/>
        <w:szCs w:val="20"/>
      </w:rPr>
      <w:t xml:space="preserve"> de </w:t>
    </w:r>
    <w:r w:rsidRPr="00467950">
      <w:rPr>
        <w:rFonts w:ascii="Palatino Linotype" w:eastAsia="Palatino Linotype" w:hAnsi="Palatino Linotype" w:cs="Palatino Linotype"/>
        <w:b/>
        <w:color w:val="000000"/>
        <w:sz w:val="22"/>
        <w:szCs w:val="20"/>
      </w:rPr>
      <w:fldChar w:fldCharType="begin"/>
    </w:r>
    <w:r w:rsidRPr="00467950">
      <w:rPr>
        <w:rFonts w:ascii="Palatino Linotype" w:eastAsia="Palatino Linotype" w:hAnsi="Palatino Linotype" w:cs="Palatino Linotype"/>
        <w:b/>
        <w:color w:val="000000"/>
        <w:sz w:val="22"/>
        <w:szCs w:val="20"/>
      </w:rPr>
      <w:instrText>NUMPAGES</w:instrText>
    </w:r>
    <w:r w:rsidRPr="00467950">
      <w:rPr>
        <w:rFonts w:ascii="Palatino Linotype" w:eastAsia="Palatino Linotype" w:hAnsi="Palatino Linotype" w:cs="Palatino Linotype"/>
        <w:b/>
        <w:color w:val="000000"/>
        <w:sz w:val="22"/>
        <w:szCs w:val="20"/>
      </w:rPr>
      <w:fldChar w:fldCharType="separate"/>
    </w:r>
    <w:r w:rsidR="00467950">
      <w:rPr>
        <w:rFonts w:ascii="Palatino Linotype" w:eastAsia="Palatino Linotype" w:hAnsi="Palatino Linotype" w:cs="Palatino Linotype"/>
        <w:b/>
        <w:noProof/>
        <w:color w:val="000000"/>
        <w:sz w:val="22"/>
        <w:szCs w:val="20"/>
      </w:rPr>
      <w:t>62</w:t>
    </w:r>
    <w:r w:rsidRPr="00467950">
      <w:rPr>
        <w:rFonts w:ascii="Palatino Linotype" w:eastAsia="Palatino Linotype" w:hAnsi="Palatino Linotype" w:cs="Palatino Linotype"/>
        <w:b/>
        <w:color w:val="000000"/>
        <w:sz w:val="22"/>
        <w:szCs w:val="20"/>
      </w:rPr>
      <w:fldChar w:fldCharType="end"/>
    </w:r>
  </w:p>
  <w:p w:rsidR="00727FC5" w:rsidRDefault="00727FC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010" w:rsidRDefault="00FC2010">
      <w:r>
        <w:separator/>
      </w:r>
    </w:p>
  </w:footnote>
  <w:footnote w:type="continuationSeparator" w:id="0">
    <w:p w:rsidR="00FC2010" w:rsidRDefault="00FC2010">
      <w:r>
        <w:continuationSeparator/>
      </w:r>
    </w:p>
  </w:footnote>
  <w:footnote w:id="1">
    <w:p w:rsidR="00727FC5" w:rsidRDefault="00036D1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727FC5" w:rsidRDefault="00036D1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727FC5" w:rsidRDefault="00036D1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727FC5" w:rsidRDefault="00036D1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727FC5" w:rsidRDefault="00036D1B">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563C1"/>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727FC5" w:rsidRDefault="00036D1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rsidR="00727FC5" w:rsidRDefault="00036D1B">
      <w:pPr>
        <w:pBdr>
          <w:top w:val="nil"/>
          <w:left w:val="nil"/>
          <w:bottom w:val="nil"/>
          <w:right w:val="nil"/>
          <w:between w:val="nil"/>
        </w:pBdr>
        <w:rPr>
          <w:color w:val="000000"/>
          <w:sz w:val="20"/>
          <w:szCs w:val="20"/>
        </w:rPr>
      </w:pPr>
      <w:r>
        <w:rPr>
          <w:color w:val="000000"/>
          <w:sz w:val="20"/>
          <w:szCs w:val="20"/>
        </w:rPr>
        <w:t>II. Eficacia: Obligación del Instituto para tutelar, de manera efectiva, el derecho de acceso a la información;</w:t>
      </w:r>
    </w:p>
    <w:p w:rsidR="00727FC5" w:rsidRDefault="00036D1B">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FC5" w:rsidRDefault="00FC201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6519" w:type="dxa"/>
      <w:tblInd w:w="3261" w:type="dxa"/>
      <w:tblLayout w:type="fixed"/>
      <w:tblLook w:val="0400" w:firstRow="0" w:lastRow="0" w:firstColumn="0" w:lastColumn="0" w:noHBand="0" w:noVBand="1"/>
    </w:tblPr>
    <w:tblGrid>
      <w:gridCol w:w="2976"/>
      <w:gridCol w:w="3543"/>
    </w:tblGrid>
    <w:tr w:rsidR="00727FC5" w:rsidTr="00467950">
      <w:trPr>
        <w:trHeight w:val="227"/>
      </w:trPr>
      <w:tc>
        <w:tcPr>
          <w:tcW w:w="2976" w:type="dxa"/>
          <w:vAlign w:val="center"/>
        </w:tcPr>
        <w:p w:rsidR="00727FC5" w:rsidRPr="00467950" w:rsidRDefault="00036D1B">
          <w:pPr>
            <w:ind w:right="34"/>
            <w:jc w:val="right"/>
            <w:rPr>
              <w:rFonts w:ascii="Palatino Linotype" w:eastAsia="Palatino Linotype" w:hAnsi="Palatino Linotype" w:cs="Palatino Linotype"/>
              <w:b/>
              <w:bCs/>
              <w:szCs w:val="22"/>
            </w:rPr>
          </w:pPr>
          <w:r w:rsidRPr="00467950">
            <w:rPr>
              <w:rFonts w:ascii="Palatino Linotype" w:eastAsia="Palatino Linotype" w:hAnsi="Palatino Linotype" w:cs="Palatino Linotype"/>
              <w:b/>
              <w:bCs/>
              <w:szCs w:val="22"/>
            </w:rPr>
            <w:t>Recurso de Revisión:</w:t>
          </w:r>
        </w:p>
      </w:tc>
      <w:tc>
        <w:tcPr>
          <w:tcW w:w="3543" w:type="dxa"/>
          <w:vAlign w:val="center"/>
        </w:tcPr>
        <w:p w:rsidR="00727FC5" w:rsidRPr="00467950" w:rsidRDefault="00036D1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467950">
            <w:rPr>
              <w:rFonts w:ascii="Palatino Linotype" w:eastAsia="Palatino Linotype" w:hAnsi="Palatino Linotype" w:cs="Palatino Linotype"/>
              <w:color w:val="000000"/>
              <w:szCs w:val="22"/>
            </w:rPr>
            <w:t>06433/INFOEM/IP/RR/2025</w:t>
          </w:r>
        </w:p>
      </w:tc>
    </w:tr>
    <w:tr w:rsidR="00727FC5" w:rsidTr="00467950">
      <w:trPr>
        <w:trHeight w:val="242"/>
      </w:trPr>
      <w:tc>
        <w:tcPr>
          <w:tcW w:w="2976" w:type="dxa"/>
          <w:vAlign w:val="center"/>
        </w:tcPr>
        <w:p w:rsidR="00727FC5" w:rsidRPr="00467950" w:rsidRDefault="00036D1B">
          <w:pPr>
            <w:ind w:right="34"/>
            <w:jc w:val="right"/>
            <w:rPr>
              <w:rFonts w:ascii="Palatino Linotype" w:eastAsia="Palatino Linotype" w:hAnsi="Palatino Linotype" w:cs="Palatino Linotype"/>
              <w:b/>
              <w:bCs/>
              <w:szCs w:val="22"/>
            </w:rPr>
          </w:pPr>
          <w:r w:rsidRPr="00467950">
            <w:rPr>
              <w:rFonts w:ascii="Palatino Linotype" w:eastAsia="Palatino Linotype" w:hAnsi="Palatino Linotype" w:cs="Palatino Linotype"/>
              <w:b/>
              <w:bCs/>
              <w:szCs w:val="22"/>
            </w:rPr>
            <w:t>Sujeto Obligado:</w:t>
          </w:r>
        </w:p>
      </w:tc>
      <w:tc>
        <w:tcPr>
          <w:tcW w:w="3543" w:type="dxa"/>
          <w:vAlign w:val="center"/>
        </w:tcPr>
        <w:p w:rsidR="00727FC5" w:rsidRPr="00467950" w:rsidRDefault="00036D1B">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Cs w:val="22"/>
              <w:highlight w:val="green"/>
            </w:rPr>
          </w:pPr>
          <w:r w:rsidRPr="00467950">
            <w:rPr>
              <w:rFonts w:ascii="Palatino Linotype" w:eastAsia="Palatino Linotype" w:hAnsi="Palatino Linotype" w:cs="Palatino Linotype"/>
              <w:color w:val="000000"/>
              <w:szCs w:val="22"/>
            </w:rPr>
            <w:t>Ayuntamiento de Toluca</w:t>
          </w:r>
        </w:p>
      </w:tc>
    </w:tr>
    <w:tr w:rsidR="00727FC5" w:rsidTr="00467950">
      <w:trPr>
        <w:trHeight w:val="342"/>
      </w:trPr>
      <w:tc>
        <w:tcPr>
          <w:tcW w:w="2976" w:type="dxa"/>
          <w:vAlign w:val="center"/>
        </w:tcPr>
        <w:p w:rsidR="00727FC5" w:rsidRPr="00467950" w:rsidRDefault="00036D1B">
          <w:pPr>
            <w:ind w:right="34"/>
            <w:jc w:val="right"/>
            <w:rPr>
              <w:rFonts w:ascii="Palatino Linotype" w:eastAsia="Palatino Linotype" w:hAnsi="Palatino Linotype" w:cs="Palatino Linotype"/>
              <w:b/>
              <w:bCs/>
              <w:szCs w:val="22"/>
            </w:rPr>
          </w:pPr>
          <w:r w:rsidRPr="00467950">
            <w:rPr>
              <w:rFonts w:ascii="Palatino Linotype" w:eastAsia="Palatino Linotype" w:hAnsi="Palatino Linotype" w:cs="Palatino Linotype"/>
              <w:b/>
              <w:bCs/>
              <w:szCs w:val="22"/>
            </w:rPr>
            <w:t>Comisionada Ponente:</w:t>
          </w:r>
        </w:p>
      </w:tc>
      <w:tc>
        <w:tcPr>
          <w:tcW w:w="3543" w:type="dxa"/>
          <w:vAlign w:val="center"/>
        </w:tcPr>
        <w:p w:rsidR="00727FC5" w:rsidRPr="00467950" w:rsidRDefault="00036D1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467950">
            <w:rPr>
              <w:rFonts w:ascii="Palatino Linotype" w:eastAsia="Palatino Linotype" w:hAnsi="Palatino Linotype" w:cs="Palatino Linotype"/>
              <w:color w:val="000000"/>
              <w:szCs w:val="22"/>
            </w:rPr>
            <w:t>María del Rosario Mejía Ayala</w:t>
          </w:r>
        </w:p>
      </w:tc>
    </w:tr>
  </w:tbl>
  <w:p w:rsidR="00727FC5" w:rsidRDefault="00FC2010">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4.15pt;margin-top:-119.6pt;width:609.4pt;height:793.75pt;z-index:-251659776;mso-position-horizontal-relative:margin;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6660" w:type="dxa"/>
      <w:tblInd w:w="3402" w:type="dxa"/>
      <w:tblLayout w:type="fixed"/>
      <w:tblLook w:val="0400" w:firstRow="0" w:lastRow="0" w:firstColumn="0" w:lastColumn="0" w:noHBand="0" w:noVBand="1"/>
    </w:tblPr>
    <w:tblGrid>
      <w:gridCol w:w="2977"/>
      <w:gridCol w:w="3683"/>
    </w:tblGrid>
    <w:tr w:rsidR="00727FC5" w:rsidTr="00467950">
      <w:trPr>
        <w:trHeight w:val="227"/>
      </w:trPr>
      <w:tc>
        <w:tcPr>
          <w:tcW w:w="2977" w:type="dxa"/>
          <w:vAlign w:val="center"/>
        </w:tcPr>
        <w:p w:rsidR="00727FC5" w:rsidRPr="00467950" w:rsidRDefault="00036D1B">
          <w:pPr>
            <w:jc w:val="right"/>
            <w:rPr>
              <w:rFonts w:ascii="Palatino Linotype" w:eastAsia="Palatino Linotype" w:hAnsi="Palatino Linotype" w:cs="Palatino Linotype"/>
              <w:b/>
              <w:bCs/>
              <w:szCs w:val="22"/>
            </w:rPr>
          </w:pPr>
          <w:r w:rsidRPr="00467950">
            <w:rPr>
              <w:rFonts w:ascii="Palatino Linotype" w:eastAsia="Palatino Linotype" w:hAnsi="Palatino Linotype" w:cs="Palatino Linotype"/>
              <w:b/>
              <w:bCs/>
              <w:szCs w:val="22"/>
            </w:rPr>
            <w:t>Recurso de Revisión:</w:t>
          </w:r>
        </w:p>
      </w:tc>
      <w:tc>
        <w:tcPr>
          <w:tcW w:w="3683" w:type="dxa"/>
          <w:vAlign w:val="center"/>
        </w:tcPr>
        <w:p w:rsidR="00727FC5" w:rsidRPr="00467950" w:rsidRDefault="00036D1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467950">
            <w:rPr>
              <w:rFonts w:ascii="Palatino Linotype" w:eastAsia="Palatino Linotype" w:hAnsi="Palatino Linotype" w:cs="Palatino Linotype"/>
              <w:color w:val="000000"/>
              <w:szCs w:val="22"/>
            </w:rPr>
            <w:t>06433/INFOEM/IP/RR/2025</w:t>
          </w:r>
        </w:p>
      </w:tc>
    </w:tr>
    <w:tr w:rsidR="00727FC5" w:rsidTr="00467950">
      <w:trPr>
        <w:trHeight w:val="242"/>
      </w:trPr>
      <w:tc>
        <w:tcPr>
          <w:tcW w:w="2977" w:type="dxa"/>
          <w:vAlign w:val="center"/>
        </w:tcPr>
        <w:p w:rsidR="00727FC5" w:rsidRPr="00467950" w:rsidRDefault="00036D1B">
          <w:pPr>
            <w:jc w:val="right"/>
            <w:rPr>
              <w:rFonts w:ascii="Palatino Linotype" w:eastAsia="Palatino Linotype" w:hAnsi="Palatino Linotype" w:cs="Palatino Linotype"/>
              <w:b/>
              <w:bCs/>
              <w:szCs w:val="22"/>
            </w:rPr>
          </w:pPr>
          <w:r w:rsidRPr="00467950">
            <w:rPr>
              <w:rFonts w:ascii="Palatino Linotype" w:eastAsia="Palatino Linotype" w:hAnsi="Palatino Linotype" w:cs="Palatino Linotype"/>
              <w:b/>
              <w:bCs/>
              <w:szCs w:val="22"/>
            </w:rPr>
            <w:t>Recurrente:</w:t>
          </w:r>
        </w:p>
      </w:tc>
      <w:tc>
        <w:tcPr>
          <w:tcW w:w="3683" w:type="dxa"/>
        </w:tcPr>
        <w:p w:rsidR="00727FC5" w:rsidRPr="00467950" w:rsidRDefault="00727FC5">
          <w:pPr>
            <w:pBdr>
              <w:top w:val="nil"/>
              <w:left w:val="nil"/>
              <w:bottom w:val="nil"/>
              <w:right w:val="nil"/>
              <w:between w:val="nil"/>
            </w:pBdr>
            <w:tabs>
              <w:tab w:val="center" w:pos="4419"/>
              <w:tab w:val="right" w:pos="8838"/>
              <w:tab w:val="left" w:pos="521"/>
            </w:tabs>
            <w:ind w:firstLine="720"/>
            <w:rPr>
              <w:rFonts w:ascii="Palatino Linotype" w:eastAsia="Palatino Linotype" w:hAnsi="Palatino Linotype" w:cs="Palatino Linotype"/>
              <w:color w:val="000000"/>
              <w:szCs w:val="22"/>
              <w:highlight w:val="green"/>
            </w:rPr>
          </w:pPr>
        </w:p>
      </w:tc>
    </w:tr>
    <w:tr w:rsidR="00727FC5" w:rsidTr="00467950">
      <w:trPr>
        <w:trHeight w:val="342"/>
      </w:trPr>
      <w:tc>
        <w:tcPr>
          <w:tcW w:w="2977" w:type="dxa"/>
          <w:vAlign w:val="center"/>
        </w:tcPr>
        <w:p w:rsidR="00727FC5" w:rsidRPr="00467950" w:rsidRDefault="00036D1B">
          <w:pPr>
            <w:jc w:val="right"/>
            <w:rPr>
              <w:rFonts w:ascii="Palatino Linotype" w:eastAsia="Palatino Linotype" w:hAnsi="Palatino Linotype" w:cs="Palatino Linotype"/>
              <w:b/>
              <w:bCs/>
              <w:szCs w:val="22"/>
            </w:rPr>
          </w:pPr>
          <w:r w:rsidRPr="00467950">
            <w:rPr>
              <w:rFonts w:ascii="Palatino Linotype" w:eastAsia="Palatino Linotype" w:hAnsi="Palatino Linotype" w:cs="Palatino Linotype"/>
              <w:b/>
              <w:bCs/>
              <w:szCs w:val="22"/>
            </w:rPr>
            <w:t>Sujeto Obligado:</w:t>
          </w:r>
        </w:p>
      </w:tc>
      <w:tc>
        <w:tcPr>
          <w:tcW w:w="3683" w:type="dxa"/>
          <w:vAlign w:val="center"/>
        </w:tcPr>
        <w:p w:rsidR="00727FC5" w:rsidRPr="00467950" w:rsidRDefault="00036D1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highlight w:val="green"/>
            </w:rPr>
          </w:pPr>
          <w:r w:rsidRPr="00467950">
            <w:rPr>
              <w:rFonts w:ascii="Palatino Linotype" w:eastAsia="Palatino Linotype" w:hAnsi="Palatino Linotype" w:cs="Palatino Linotype"/>
              <w:color w:val="000000"/>
              <w:szCs w:val="22"/>
            </w:rPr>
            <w:t>Ayuntamiento de Toluca</w:t>
          </w:r>
        </w:p>
      </w:tc>
    </w:tr>
    <w:tr w:rsidR="00727FC5" w:rsidTr="00467950">
      <w:trPr>
        <w:trHeight w:val="342"/>
      </w:trPr>
      <w:tc>
        <w:tcPr>
          <w:tcW w:w="2977" w:type="dxa"/>
          <w:vAlign w:val="center"/>
        </w:tcPr>
        <w:p w:rsidR="00727FC5" w:rsidRPr="00467950" w:rsidRDefault="00036D1B">
          <w:pPr>
            <w:jc w:val="right"/>
            <w:rPr>
              <w:rFonts w:ascii="Palatino Linotype" w:eastAsia="Palatino Linotype" w:hAnsi="Palatino Linotype" w:cs="Palatino Linotype"/>
              <w:b/>
              <w:bCs/>
              <w:szCs w:val="22"/>
            </w:rPr>
          </w:pPr>
          <w:r w:rsidRPr="00467950">
            <w:rPr>
              <w:rFonts w:ascii="Palatino Linotype" w:eastAsia="Palatino Linotype" w:hAnsi="Palatino Linotype" w:cs="Palatino Linotype"/>
              <w:b/>
              <w:bCs/>
              <w:szCs w:val="22"/>
            </w:rPr>
            <w:t>Comisionada Ponente:</w:t>
          </w:r>
        </w:p>
      </w:tc>
      <w:tc>
        <w:tcPr>
          <w:tcW w:w="3683" w:type="dxa"/>
          <w:vAlign w:val="center"/>
        </w:tcPr>
        <w:p w:rsidR="00727FC5" w:rsidRPr="00467950" w:rsidRDefault="00036D1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Cs w:val="22"/>
            </w:rPr>
          </w:pPr>
          <w:r w:rsidRPr="00467950">
            <w:rPr>
              <w:rFonts w:ascii="Palatino Linotype" w:eastAsia="Palatino Linotype" w:hAnsi="Palatino Linotype" w:cs="Palatino Linotype"/>
              <w:color w:val="000000"/>
              <w:szCs w:val="22"/>
            </w:rPr>
            <w:t>María del Rosario Mejía Ayala</w:t>
          </w:r>
        </w:p>
      </w:tc>
    </w:tr>
  </w:tbl>
  <w:p w:rsidR="00727FC5" w:rsidRDefault="00FC2010">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0.1pt;margin-top:-123.4pt;width:609.4pt;height:793.75pt;z-index:-251658752;mso-position-horizontal-relative:margin;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75A67"/>
    <w:multiLevelType w:val="multilevel"/>
    <w:tmpl w:val="F72860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8F09A8"/>
    <w:multiLevelType w:val="multilevel"/>
    <w:tmpl w:val="2D8A7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1937A1"/>
    <w:multiLevelType w:val="multilevel"/>
    <w:tmpl w:val="C2024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C651D5"/>
    <w:multiLevelType w:val="multilevel"/>
    <w:tmpl w:val="2102A87E"/>
    <w:lvl w:ilvl="0">
      <w:start w:val="1"/>
      <w:numFmt w:val="decimal"/>
      <w:pStyle w:val="Listaconvietas2"/>
      <w:lvlText w:val="%1."/>
      <w:lvlJc w:val="left"/>
      <w:pPr>
        <w:ind w:left="720" w:hanging="360"/>
      </w:pPr>
      <w:rPr>
        <w:b/>
        <w:bCs/>
        <w:i w:val="0"/>
        <w:iCs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937D5B"/>
    <w:multiLevelType w:val="multilevel"/>
    <w:tmpl w:val="D1C88886"/>
    <w:lvl w:ilvl="0">
      <w:start w:val="1"/>
      <w:numFmt w:val="decimal"/>
      <w:lvlText w:val="%1."/>
      <w:lvlJc w:val="left"/>
      <w:pPr>
        <w:ind w:left="644" w:hanging="359"/>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160847"/>
    <w:multiLevelType w:val="multilevel"/>
    <w:tmpl w:val="59A80C7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6C623471"/>
    <w:multiLevelType w:val="hybridMultilevel"/>
    <w:tmpl w:val="D2D60C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B3C7370"/>
    <w:multiLevelType w:val="multilevel"/>
    <w:tmpl w:val="9E9EAFF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5"/>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FC5"/>
    <w:rsid w:val="00036D1B"/>
    <w:rsid w:val="00442FF7"/>
    <w:rsid w:val="004464D8"/>
    <w:rsid w:val="00467950"/>
    <w:rsid w:val="00522046"/>
    <w:rsid w:val="00727FC5"/>
    <w:rsid w:val="00771608"/>
    <w:rsid w:val="009B66C0"/>
    <w:rsid w:val="00EB0216"/>
    <w:rsid w:val="00FC20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14DB5E5-893E-4A37-9844-31BD0160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qForma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 w:type="paragraph" w:styleId="NormalWeb">
    <w:name w:val="Normal (Web)"/>
    <w:basedOn w:val="Normal"/>
    <w:uiPriority w:val="99"/>
    <w:rsid w:val="00151F2D"/>
    <w:pPr>
      <w:spacing w:before="100" w:beforeAutospacing="1" w:after="100" w:afterAutospacing="1"/>
    </w:pPr>
    <w:rPr>
      <w:rFonts w:ascii="Times New Roman" w:eastAsia="Times New Roman" w:hAnsi="Times New Roman" w:cs="Times New Roman"/>
      <w:lang w:val="es-MX"/>
    </w:r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7137AB"/>
    <w:pPr>
      <w:numPr>
        <w:numId w:val="4"/>
      </w:numPr>
      <w:contextualSpacing/>
    </w:pPr>
    <w:rPr>
      <w:rFonts w:ascii="Times New Roman" w:eastAsia="Times New Roman" w:hAnsi="Times New Roman" w:cs="Times New Roman"/>
      <w:sz w:val="20"/>
      <w:szCs w:val="20"/>
      <w:lang w:val="es-MX"/>
    </w:rPr>
  </w:style>
  <w:style w:type="paragraph" w:customStyle="1" w:styleId="paragraph">
    <w:name w:val="paragraph"/>
    <w:basedOn w:val="Normal"/>
    <w:rsid w:val="008330D2"/>
    <w:pPr>
      <w:spacing w:before="100" w:beforeAutospacing="1" w:after="100" w:afterAutospacing="1"/>
    </w:pPr>
    <w:rPr>
      <w:rFonts w:ascii="Times New Roman" w:eastAsia="Times New Roman" w:hAnsi="Times New Roman" w:cs="Times New Roman"/>
      <w:lang w:val="es-MX"/>
    </w:rPr>
  </w:style>
  <w:style w:type="paragraph" w:customStyle="1" w:styleId="rtejustify">
    <w:name w:val="rtejustify"/>
    <w:basedOn w:val="Normal"/>
    <w:rsid w:val="00924256"/>
    <w:pPr>
      <w:spacing w:before="100" w:beforeAutospacing="1" w:after="100" w:afterAutospacing="1"/>
    </w:pPr>
    <w:rPr>
      <w:rFonts w:ascii="Times New Roman" w:eastAsia="Times New Roman" w:hAnsi="Times New Roman" w:cs="Times New Roman"/>
      <w:lang w:val="es-MX"/>
    </w:rPr>
  </w:style>
  <w:style w:type="paragraph" w:customStyle="1" w:styleId="m5907675151158779931gmail-msolistparagraph">
    <w:name w:val="m_5907675151158779931gmail-msolistparagraph"/>
    <w:basedOn w:val="Normal"/>
    <w:rsid w:val="003038A1"/>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ByAfN3qzAgI5eQebbo/Zye5wyQ==">CgMxLjAyCGguZ2pkZ3hzMgloLjMwajB6bGwyCWguM3pueXNoNzIJaC4yZXQ5MnAwMghoLnR5amN3dDIOaC54bHNhbXcyYnpkNXAyDmgud3VnNnpibGJ6aGZ3Mg5oLnRmN3ZmcHBhcWI3bjINaC5ubTlnZjNyamdxMjIOaC5vYnhjMXdyM3gwZWIyDmguaXN2NDU1cWEwMjd0OAByITFQVUFqR2JRR1E3Wjl2MlR4NW5XdmdXRVRTUUJidnM0Ng==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62</Pages>
  <Words>14558</Words>
  <Characters>80072</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12</cp:revision>
  <cp:lastPrinted>2026-03-23T16:13:00Z</cp:lastPrinted>
  <dcterms:created xsi:type="dcterms:W3CDTF">2026-03-06T20:43:00Z</dcterms:created>
  <dcterms:modified xsi:type="dcterms:W3CDTF">2026-03-26T23:24:00Z</dcterms:modified>
</cp:coreProperties>
</file>