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F0134"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del diecisiete de septiembre de dos mil veintiséis. </w:t>
      </w:r>
    </w:p>
    <w:p w14:paraId="3F6DE721" w14:textId="5DA002E8" w:rsidR="00313806" w:rsidRPr="004D578C" w:rsidRDefault="007468AD">
      <w:pPr>
        <w:tabs>
          <w:tab w:val="left" w:pos="5812"/>
        </w:tabs>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VISTO </w:t>
      </w:r>
      <w:r w:rsidRPr="004D578C">
        <w:rPr>
          <w:rFonts w:ascii="Palatino Linotype" w:eastAsia="Palatino Linotype" w:hAnsi="Palatino Linotype" w:cs="Palatino Linotype"/>
          <w:sz w:val="22"/>
          <w:szCs w:val="22"/>
        </w:rPr>
        <w:t xml:space="preserve">el expediente relativo al recurso de revisión </w:t>
      </w:r>
      <w:r w:rsidRPr="004D578C">
        <w:rPr>
          <w:rFonts w:ascii="Palatino Linotype" w:eastAsia="Palatino Linotype" w:hAnsi="Palatino Linotype" w:cs="Palatino Linotype"/>
          <w:b/>
          <w:bCs/>
          <w:sz w:val="22"/>
          <w:szCs w:val="22"/>
        </w:rPr>
        <w:t>05447/INFOEM/ICR-168/IP/RR/2026</w:t>
      </w:r>
      <w:r w:rsidRPr="004D578C">
        <w:rPr>
          <w:rFonts w:ascii="Palatino Linotype" w:eastAsia="Palatino Linotype" w:hAnsi="Palatino Linotype" w:cs="Palatino Linotype"/>
          <w:sz w:val="22"/>
          <w:szCs w:val="22"/>
        </w:rPr>
        <w:t>, interpuesto por</w:t>
      </w:r>
      <w:r w:rsidRPr="004D578C">
        <w:rPr>
          <w:rFonts w:ascii="Palatino Linotype" w:eastAsia="Palatino Linotype" w:hAnsi="Palatino Linotype" w:cs="Palatino Linotype"/>
          <w:b/>
          <w:bCs/>
          <w:sz w:val="22"/>
          <w:szCs w:val="22"/>
        </w:rPr>
        <w:t xml:space="preserve"> </w:t>
      </w:r>
      <w:r w:rsidR="001A5ABB" w:rsidRPr="001A5ABB">
        <w:rPr>
          <w:rFonts w:ascii="Palatino Linotype" w:eastAsia="Palatino Linotype" w:hAnsi="Palatino Linotype" w:cs="Palatino Linotype"/>
          <w:b/>
          <w:bCs/>
          <w:sz w:val="22"/>
          <w:szCs w:val="22"/>
        </w:rPr>
        <w:t>XXXXXXXX XXXXXXXXX</w:t>
      </w:r>
      <w:bookmarkStart w:id="0" w:name="_GoBack"/>
      <w:bookmarkEnd w:id="0"/>
      <w:r w:rsidRPr="004D578C">
        <w:rPr>
          <w:rFonts w:ascii="Palatino Linotype" w:eastAsia="Palatino Linotype" w:hAnsi="Palatino Linotype" w:cs="Palatino Linotype"/>
          <w:sz w:val="22"/>
          <w:szCs w:val="22"/>
        </w:rPr>
        <w:t xml:space="preserve">, en lo sucesivo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en contra de la respuesta a la solicitud de información con número de folio</w:t>
      </w:r>
      <w:r w:rsidRPr="004D578C">
        <w:rPr>
          <w:rFonts w:ascii="Palatino Linotype" w:eastAsia="Palatino Linotype" w:hAnsi="Palatino Linotype" w:cs="Palatino Linotype"/>
        </w:rPr>
        <w:t xml:space="preserve"> </w:t>
      </w:r>
      <w:r w:rsidRPr="004D578C">
        <w:rPr>
          <w:rFonts w:ascii="Palatino Linotype" w:eastAsia="Palatino Linotype" w:hAnsi="Palatino Linotype" w:cs="Palatino Linotype"/>
          <w:b/>
          <w:bCs/>
          <w:sz w:val="22"/>
          <w:szCs w:val="22"/>
        </w:rPr>
        <w:t xml:space="preserve">00006/ISIFABE/IP/2026, </w:t>
      </w:r>
      <w:r w:rsidRPr="004D578C">
        <w:rPr>
          <w:rFonts w:ascii="Palatino Linotype" w:eastAsia="Palatino Linotype" w:hAnsi="Palatino Linotype" w:cs="Palatino Linotype"/>
          <w:sz w:val="22"/>
          <w:szCs w:val="22"/>
        </w:rPr>
        <w:t xml:space="preserve">por parte del </w:t>
      </w:r>
      <w:r w:rsidRPr="004D578C">
        <w:rPr>
          <w:rFonts w:ascii="Palatino Linotype" w:eastAsia="Palatino Linotype" w:hAnsi="Palatino Linotype" w:cs="Palatino Linotype"/>
          <w:b/>
          <w:bCs/>
          <w:sz w:val="22"/>
          <w:szCs w:val="22"/>
        </w:rPr>
        <w:t xml:space="preserve">Ayuntamiento de Isidro Fabela, </w:t>
      </w:r>
      <w:r w:rsidRPr="004D578C">
        <w:rPr>
          <w:rFonts w:ascii="Palatino Linotype" w:eastAsia="Palatino Linotype" w:hAnsi="Palatino Linotype" w:cs="Palatino Linotype"/>
          <w:sz w:val="22"/>
          <w:szCs w:val="22"/>
        </w:rPr>
        <w:t xml:space="preserve">en lo sucesivo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en cumplimiento a la determinación del diverso con número </w:t>
      </w:r>
      <w:r w:rsidRPr="004D578C">
        <w:rPr>
          <w:rFonts w:ascii="Palatino Linotype" w:eastAsia="Palatino Linotype" w:hAnsi="Palatino Linotype" w:cs="Palatino Linotype"/>
          <w:b/>
          <w:bCs/>
          <w:sz w:val="22"/>
          <w:szCs w:val="22"/>
        </w:rPr>
        <w:t>05447/INFOEM/IP/RR/2026</w:t>
      </w:r>
      <w:r w:rsidRPr="004D578C">
        <w:rPr>
          <w:rFonts w:ascii="Palatino Linotype" w:eastAsia="Palatino Linotype" w:hAnsi="Palatino Linotype" w:cs="Palatino Linotype"/>
          <w:sz w:val="22"/>
          <w:szCs w:val="22"/>
        </w:rPr>
        <w:t xml:space="preserve">, se procede a dictar la presente resolución con base en los siguientes: </w:t>
      </w:r>
    </w:p>
    <w:p w14:paraId="7648C283" w14:textId="77777777" w:rsidR="00313806" w:rsidRPr="004D578C" w:rsidRDefault="007468AD">
      <w:pPr>
        <w:numPr>
          <w:ilvl w:val="0"/>
          <w:numId w:val="1"/>
        </w:numPr>
        <w:pBdr>
          <w:top w:val="nil"/>
          <w:left w:val="nil"/>
          <w:bottom w:val="nil"/>
          <w:right w:val="nil"/>
          <w:between w:val="nil"/>
        </w:pBdr>
        <w:spacing w:line="360" w:lineRule="auto"/>
        <w:ind w:left="1077"/>
        <w:jc w:val="center"/>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A N T E C E D E N T E S:</w:t>
      </w:r>
    </w:p>
    <w:p w14:paraId="605B2083" w14:textId="77777777" w:rsidR="00313806" w:rsidRPr="004D578C" w:rsidRDefault="00313806">
      <w:pPr>
        <w:pBdr>
          <w:top w:val="nil"/>
          <w:left w:val="nil"/>
          <w:bottom w:val="nil"/>
          <w:right w:val="nil"/>
          <w:between w:val="nil"/>
        </w:pBdr>
        <w:spacing w:line="360" w:lineRule="auto"/>
        <w:ind w:left="1077"/>
        <w:rPr>
          <w:rFonts w:ascii="Palatino Linotype" w:eastAsia="Palatino Linotype" w:hAnsi="Palatino Linotype" w:cs="Palatino Linotype"/>
          <w:b/>
          <w:bCs/>
          <w:sz w:val="22"/>
          <w:szCs w:val="22"/>
        </w:rPr>
      </w:pPr>
    </w:p>
    <w:p w14:paraId="22FB246C"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1. Solicitud de acceso a la información. </w:t>
      </w:r>
      <w:r w:rsidRPr="004D578C">
        <w:rPr>
          <w:rFonts w:ascii="Palatino Linotype" w:eastAsia="Palatino Linotype" w:hAnsi="Palatino Linotype" w:cs="Palatino Linotype"/>
          <w:sz w:val="22"/>
          <w:szCs w:val="22"/>
        </w:rPr>
        <w:t xml:space="preserve">El </w:t>
      </w:r>
      <w:r w:rsidRPr="004D578C">
        <w:rPr>
          <w:rFonts w:ascii="Palatino Linotype" w:eastAsia="Palatino Linotype" w:hAnsi="Palatino Linotype" w:cs="Palatino Linotype"/>
          <w:b/>
          <w:bCs/>
          <w:sz w:val="22"/>
          <w:szCs w:val="22"/>
        </w:rPr>
        <w:t>veintisiete de abril de dos mil veintiséis</w:t>
      </w:r>
      <w:r w:rsidRPr="004D578C">
        <w:rPr>
          <w:rFonts w:ascii="Palatino Linotype" w:eastAsia="Palatino Linotype" w:hAnsi="Palatino Linotype" w:cs="Palatino Linotype"/>
          <w:sz w:val="22"/>
          <w:szCs w:val="22"/>
        </w:rPr>
        <w:t xml:space="preserv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formuló a través del Sistema de Acceso a la Información Mexiquense, en adelante </w:t>
      </w:r>
      <w:r w:rsidRPr="004D578C">
        <w:rPr>
          <w:rFonts w:ascii="Palatino Linotype" w:eastAsia="Palatino Linotype" w:hAnsi="Palatino Linotype" w:cs="Palatino Linotype"/>
          <w:b/>
          <w:bCs/>
          <w:sz w:val="22"/>
          <w:szCs w:val="22"/>
        </w:rPr>
        <w:t>SAIMEX,</w:t>
      </w:r>
      <w:r w:rsidRPr="004D578C">
        <w:rPr>
          <w:rFonts w:ascii="Palatino Linotype" w:eastAsia="Palatino Linotype" w:hAnsi="Palatino Linotype" w:cs="Palatino Linotype"/>
          <w:sz w:val="22"/>
          <w:szCs w:val="22"/>
        </w:rPr>
        <w:t xml:space="preserve"> solicitud de información al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requiriendo lo siguiente:</w:t>
      </w:r>
    </w:p>
    <w:p w14:paraId="17B10D1E" w14:textId="77777777" w:rsidR="00313806" w:rsidRPr="004D578C" w:rsidRDefault="00313806">
      <w:pPr>
        <w:ind w:left="567" w:right="616"/>
        <w:jc w:val="both"/>
        <w:rPr>
          <w:rFonts w:ascii="Palatino Linotype" w:eastAsia="Palatino Linotype" w:hAnsi="Palatino Linotype" w:cs="Palatino Linotype"/>
          <w:i/>
          <w:iCs/>
          <w:sz w:val="22"/>
          <w:szCs w:val="22"/>
        </w:rPr>
      </w:pPr>
    </w:p>
    <w:p w14:paraId="7E50EF1E" w14:textId="77777777" w:rsidR="00313806" w:rsidRPr="004D578C" w:rsidRDefault="007468AD">
      <w:pPr>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“recibos de nomina firmados por los servidores publicos de la quincena del 15 de abril del 2026” (Sic)</w:t>
      </w:r>
    </w:p>
    <w:p w14:paraId="01F24D16" w14:textId="77777777" w:rsidR="00313806" w:rsidRPr="004D578C" w:rsidRDefault="00313806">
      <w:pPr>
        <w:spacing w:line="360" w:lineRule="auto"/>
        <w:jc w:val="both"/>
        <w:rPr>
          <w:rFonts w:ascii="Palatino Linotype" w:eastAsia="Palatino Linotype" w:hAnsi="Palatino Linotype" w:cs="Palatino Linotype"/>
          <w:b/>
          <w:bCs/>
          <w:sz w:val="22"/>
          <w:szCs w:val="22"/>
        </w:rPr>
      </w:pPr>
    </w:p>
    <w:p w14:paraId="4783E9C8"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Modalidad elegida para la entrega de la información: </w:t>
      </w:r>
      <w:r w:rsidRPr="004D578C">
        <w:rPr>
          <w:rFonts w:ascii="Palatino Linotype" w:eastAsia="Palatino Linotype" w:hAnsi="Palatino Linotype" w:cs="Palatino Linotype"/>
          <w:sz w:val="22"/>
          <w:szCs w:val="22"/>
        </w:rPr>
        <w:t>a través del SAIMEX.</w:t>
      </w:r>
    </w:p>
    <w:p w14:paraId="2AAC7E9E" w14:textId="77777777" w:rsidR="00313806" w:rsidRPr="004D578C" w:rsidRDefault="00313806">
      <w:pPr>
        <w:spacing w:line="360" w:lineRule="auto"/>
        <w:jc w:val="both"/>
        <w:rPr>
          <w:rFonts w:ascii="Palatino Linotype" w:eastAsia="Palatino Linotype" w:hAnsi="Palatino Linotype" w:cs="Palatino Linotype"/>
          <w:b/>
          <w:bCs/>
          <w:sz w:val="22"/>
          <w:szCs w:val="22"/>
        </w:rPr>
      </w:pPr>
    </w:p>
    <w:p w14:paraId="36823F87"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2. Respuesta. </w:t>
      </w:r>
      <w:r w:rsidRPr="004D578C">
        <w:rPr>
          <w:rFonts w:ascii="Palatino Linotype" w:eastAsia="Palatino Linotype" w:hAnsi="Palatino Linotype" w:cs="Palatino Linotype"/>
          <w:sz w:val="22"/>
          <w:szCs w:val="22"/>
        </w:rPr>
        <w:t xml:space="preserve">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fue omiso en proporcionar respuesta. </w:t>
      </w:r>
    </w:p>
    <w:p w14:paraId="3DCBE680"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525688C7"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3. Interposición del recurso de revisión. </w:t>
      </w:r>
      <w:r w:rsidRPr="004D578C">
        <w:rPr>
          <w:rFonts w:ascii="Palatino Linotype" w:eastAsia="Palatino Linotype" w:hAnsi="Palatino Linotype" w:cs="Palatino Linotype"/>
          <w:sz w:val="22"/>
          <w:szCs w:val="22"/>
        </w:rPr>
        <w:t xml:space="preserve">Inconforme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xml:space="preserve"> con la falta de respuesta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interpuso recurso de revisión a través del SAIMEX el </w:t>
      </w:r>
      <w:r w:rsidRPr="004D578C">
        <w:rPr>
          <w:rFonts w:ascii="Palatino Linotype" w:eastAsia="Palatino Linotype" w:hAnsi="Palatino Linotype" w:cs="Palatino Linotype"/>
          <w:b/>
          <w:bCs/>
          <w:sz w:val="22"/>
          <w:szCs w:val="22"/>
        </w:rPr>
        <w:t>veintidós de mayo de dos mil veintiséis</w:t>
      </w:r>
      <w:r w:rsidRPr="004D578C">
        <w:rPr>
          <w:rFonts w:ascii="Palatino Linotype" w:eastAsia="Palatino Linotype" w:hAnsi="Palatino Linotype" w:cs="Palatino Linotype"/>
          <w:sz w:val="22"/>
          <w:szCs w:val="22"/>
        </w:rPr>
        <w:t>, expresando lo siguiente:</w:t>
      </w:r>
    </w:p>
    <w:p w14:paraId="5CCA10AF"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4EEEF3F9" w14:textId="77777777" w:rsidR="00313806" w:rsidRPr="004D578C" w:rsidRDefault="007468AD">
      <w:pPr>
        <w:spacing w:line="360" w:lineRule="auto"/>
        <w:ind w:left="851" w:right="900"/>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a) Acto impugnado. </w:t>
      </w:r>
    </w:p>
    <w:p w14:paraId="40126E99" w14:textId="77777777" w:rsidR="00313806" w:rsidRPr="004D578C" w:rsidRDefault="007468AD">
      <w:pPr>
        <w:spacing w:before="120" w:after="120"/>
        <w:ind w:left="851" w:right="900"/>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i/>
          <w:iCs/>
          <w:sz w:val="22"/>
          <w:szCs w:val="22"/>
        </w:rPr>
        <w:t>“no se me ha entregado la informacion solicitada, correspondiente a los recibos de nomina de la quincena del 15 de abril de 2026” (Sic)</w:t>
      </w:r>
    </w:p>
    <w:p w14:paraId="1E29C6F0" w14:textId="77777777" w:rsidR="00313806" w:rsidRPr="004D578C" w:rsidRDefault="007468AD">
      <w:pPr>
        <w:spacing w:line="360" w:lineRule="auto"/>
        <w:ind w:left="851" w:right="900"/>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b) Motivos de inconformidad. </w:t>
      </w:r>
    </w:p>
    <w:p w14:paraId="43C1B97B"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“no se me ha entregado la informacion solicitada despues del tiempo que marca la ley” (Sic)</w:t>
      </w:r>
    </w:p>
    <w:p w14:paraId="79F58AC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4. Turno. </w:t>
      </w:r>
      <w:r w:rsidRPr="004D578C">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w:t>
      </w:r>
      <w:r w:rsidRPr="004D578C">
        <w:rPr>
          <w:rFonts w:ascii="Palatino Linotype" w:eastAsia="Palatino Linotype" w:hAnsi="Palatino Linotype" w:cs="Palatino Linotype"/>
          <w:b/>
          <w:bCs/>
          <w:sz w:val="22"/>
          <w:szCs w:val="22"/>
        </w:rPr>
        <w:t>Sharon Cristina Morales Martínez</w:t>
      </w:r>
      <w:r w:rsidRPr="004D578C">
        <w:rPr>
          <w:rFonts w:ascii="Palatino Linotype" w:eastAsia="Palatino Linotype" w:hAnsi="Palatino Linotype" w:cs="Palatino Linotype"/>
          <w:sz w:val="22"/>
          <w:szCs w:val="22"/>
        </w:rPr>
        <w:t>, a efecto de presentar al Pleno el proyecto de resolución correspondiente.</w:t>
      </w:r>
    </w:p>
    <w:p w14:paraId="5BDA1876"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5. Admisión. </w:t>
      </w:r>
      <w:r w:rsidRPr="004D578C">
        <w:rPr>
          <w:rFonts w:ascii="Palatino Linotype" w:eastAsia="Palatino Linotype" w:hAnsi="Palatino Linotype" w:cs="Palatino Linotype"/>
          <w:sz w:val="22"/>
          <w:szCs w:val="22"/>
        </w:rPr>
        <w:t xml:space="preserve">En fecha </w:t>
      </w:r>
      <w:r w:rsidRPr="004D578C">
        <w:rPr>
          <w:rFonts w:ascii="Palatino Linotype" w:eastAsia="Palatino Linotype" w:hAnsi="Palatino Linotype" w:cs="Palatino Linotype"/>
          <w:b/>
          <w:bCs/>
          <w:sz w:val="22"/>
          <w:szCs w:val="22"/>
        </w:rPr>
        <w:t>veinticinco de mayo de dos mil veintiséis</w:t>
      </w:r>
      <w:r w:rsidRPr="004D578C">
        <w:rPr>
          <w:rFonts w:ascii="Palatino Linotype" w:eastAsia="Palatino Linotype" w:hAnsi="Palatino Linotype" w:cs="Palatino Linotype"/>
          <w:sz w:val="22"/>
          <w:szCs w:val="22"/>
        </w:rPr>
        <w:t>, en términos de lo dispuesto en el artículo 185 fracciones I, II y IV de la Ley de Transparencia y Acceso a la Información Pública del Estado de México y Municipios, se admitió a trámite el recurso de revisión al rubro indicado.</w:t>
      </w:r>
    </w:p>
    <w:p w14:paraId="58E93FCE" w14:textId="77777777" w:rsidR="00313806" w:rsidRPr="004D578C" w:rsidRDefault="007468AD">
      <w:pPr>
        <w:widowControl w:val="0"/>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6. Manifestaciones</w:t>
      </w:r>
      <w:r w:rsidRPr="004D578C">
        <w:rPr>
          <w:rFonts w:ascii="Palatino Linotype" w:eastAsia="Palatino Linotype" w:hAnsi="Palatino Linotype" w:cs="Palatino Linotype"/>
          <w:sz w:val="22"/>
          <w:szCs w:val="22"/>
        </w:rPr>
        <w:t>. Las partes fueron omisas en rendir manifestaciones, como se observa a continuación en la siguiente imagen:</w:t>
      </w:r>
    </w:p>
    <w:p w14:paraId="0741B2FB" w14:textId="77777777" w:rsidR="00313806" w:rsidRPr="004D578C" w:rsidRDefault="007468AD">
      <w:pPr>
        <w:spacing w:line="360" w:lineRule="auto"/>
        <w:jc w:val="center"/>
        <w:rPr>
          <w:rFonts w:ascii="Palatino Linotype" w:eastAsia="Palatino Linotype" w:hAnsi="Palatino Linotype" w:cs="Palatino Linotype"/>
          <w:sz w:val="22"/>
          <w:szCs w:val="22"/>
        </w:rPr>
      </w:pPr>
      <w:r w:rsidRPr="004D578C">
        <w:rPr>
          <w:noProof/>
          <w:lang w:val="es-MX"/>
        </w:rPr>
        <w:drawing>
          <wp:inline distT="0" distB="0" distL="0" distR="0" wp14:anchorId="0C8234EE" wp14:editId="7A353FC3">
            <wp:extent cx="5612130" cy="1676400"/>
            <wp:effectExtent l="0" t="0" r="0" b="0"/>
            <wp:docPr id="21401318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612130" cy="1676400"/>
                    </a:xfrm>
                    <a:prstGeom prst="rect">
                      <a:avLst/>
                    </a:prstGeom>
                    <a:ln/>
                  </pic:spPr>
                </pic:pic>
              </a:graphicData>
            </a:graphic>
          </wp:inline>
        </w:drawing>
      </w:r>
    </w:p>
    <w:p w14:paraId="7E7C054C"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7. Cierre de instrucción. </w:t>
      </w:r>
      <w:r w:rsidRPr="004D578C">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Pr="004D578C">
        <w:rPr>
          <w:rFonts w:ascii="Palatino Linotype" w:eastAsia="Palatino Linotype" w:hAnsi="Palatino Linotype" w:cs="Palatino Linotype"/>
          <w:b/>
          <w:bCs/>
          <w:sz w:val="22"/>
          <w:szCs w:val="22"/>
        </w:rPr>
        <w:t xml:space="preserve">cuatro </w:t>
      </w:r>
      <w:r w:rsidRPr="004D578C">
        <w:rPr>
          <w:rFonts w:ascii="Palatino Linotype" w:eastAsia="Palatino Linotype" w:hAnsi="Palatino Linotype" w:cs="Palatino Linotype"/>
          <w:b/>
          <w:bCs/>
          <w:sz w:val="22"/>
          <w:szCs w:val="22"/>
        </w:rPr>
        <w:lastRenderedPageBreak/>
        <w:t>de junio de dos mil veintiséis</w:t>
      </w:r>
      <w:r w:rsidRPr="004D578C">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76E424B3"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8. Resolución del recurso de revisión.</w:t>
      </w:r>
      <w:r w:rsidRPr="004D578C">
        <w:rPr>
          <w:rFonts w:ascii="Palatino Linotype" w:eastAsia="Palatino Linotype" w:hAnsi="Palatino Linotype" w:cs="Palatino Linotype"/>
          <w:sz w:val="22"/>
          <w:szCs w:val="22"/>
        </w:rPr>
        <w:t xml:space="preserve"> El </w:t>
      </w:r>
      <w:r w:rsidRPr="004D578C">
        <w:rPr>
          <w:rFonts w:ascii="Palatino Linotype" w:eastAsia="Palatino Linotype" w:hAnsi="Palatino Linotype" w:cs="Palatino Linotype"/>
          <w:b/>
          <w:bCs/>
          <w:sz w:val="22"/>
          <w:szCs w:val="22"/>
        </w:rPr>
        <w:t xml:space="preserve">veinticinco de junio de dos mil veintiséis, </w:t>
      </w:r>
      <w:r w:rsidRPr="004D578C">
        <w:rPr>
          <w:rFonts w:ascii="Palatino Linotype" w:eastAsia="Palatino Linotype" w:hAnsi="Palatino Linotype" w:cs="Palatino Linotype"/>
          <w:sz w:val="22"/>
          <w:szCs w:val="22"/>
        </w:rPr>
        <w:t xml:space="preserve">el Pleno del Infoem en la </w:t>
      </w:r>
      <w:r w:rsidRPr="004D578C">
        <w:rPr>
          <w:rFonts w:ascii="Palatino Linotype" w:eastAsia="Palatino Linotype" w:hAnsi="Palatino Linotype" w:cs="Palatino Linotype"/>
          <w:b/>
          <w:bCs/>
          <w:sz w:val="22"/>
          <w:szCs w:val="22"/>
        </w:rPr>
        <w:t xml:space="preserve">Vigésima Tercera Sesión Ordinaria, </w:t>
      </w:r>
      <w:r w:rsidRPr="004D578C">
        <w:rPr>
          <w:rFonts w:ascii="Palatino Linotype" w:eastAsia="Palatino Linotype" w:hAnsi="Palatino Linotype" w:cs="Palatino Linotype"/>
          <w:sz w:val="22"/>
          <w:szCs w:val="22"/>
        </w:rPr>
        <w:t xml:space="preserve">aprobó por unanimidad de votos la resolución del recurso de revisión </w:t>
      </w:r>
      <w:r w:rsidRPr="004D578C">
        <w:rPr>
          <w:rFonts w:ascii="Palatino Linotype" w:eastAsia="Palatino Linotype" w:hAnsi="Palatino Linotype" w:cs="Palatino Linotype"/>
          <w:b/>
          <w:bCs/>
          <w:sz w:val="22"/>
          <w:szCs w:val="22"/>
        </w:rPr>
        <w:t>05447/INFOEM/IP/RR/2026,</w:t>
      </w:r>
      <w:r w:rsidRPr="004D578C">
        <w:rPr>
          <w:rFonts w:ascii="Palatino Linotype" w:eastAsia="Palatino Linotype" w:hAnsi="Palatino Linotype" w:cs="Palatino Linotype"/>
          <w:sz w:val="22"/>
          <w:szCs w:val="22"/>
        </w:rPr>
        <w:t xml:space="preserve"> misma que fue </w:t>
      </w:r>
      <w:r w:rsidRPr="004D578C">
        <w:rPr>
          <w:rFonts w:ascii="Palatino Linotype" w:eastAsia="Palatino Linotype" w:hAnsi="Palatino Linotype" w:cs="Palatino Linotype"/>
          <w:b/>
          <w:bCs/>
          <w:sz w:val="22"/>
          <w:szCs w:val="22"/>
        </w:rPr>
        <w:t>notificada el treinta de junio de dos mil veintiséis</w:t>
      </w:r>
      <w:r w:rsidRPr="004D578C">
        <w:rPr>
          <w:rFonts w:ascii="Palatino Linotype" w:eastAsia="Palatino Linotype" w:hAnsi="Palatino Linotype" w:cs="Palatino Linotype"/>
          <w:sz w:val="22"/>
          <w:szCs w:val="22"/>
        </w:rPr>
        <w:t xml:space="preserve">, en la cual se ordenó lo siguiente: </w:t>
      </w:r>
    </w:p>
    <w:p w14:paraId="2960DD0B"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R E S U E L V E</w:t>
      </w:r>
    </w:p>
    <w:p w14:paraId="040CA5C6"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PRIMERO.</w:t>
      </w:r>
      <w:r w:rsidRPr="004D578C">
        <w:rPr>
          <w:rFonts w:ascii="Palatino Linotype" w:eastAsia="Palatino Linotype" w:hAnsi="Palatino Linotype" w:cs="Palatino Linotype"/>
          <w:i/>
          <w:iCs/>
          <w:sz w:val="22"/>
          <w:szCs w:val="22"/>
        </w:rPr>
        <w:t xml:space="preserve"> Resultan </w:t>
      </w:r>
      <w:r w:rsidRPr="004D578C">
        <w:rPr>
          <w:rFonts w:ascii="Palatino Linotype" w:eastAsia="Palatino Linotype" w:hAnsi="Palatino Linotype" w:cs="Palatino Linotype"/>
          <w:b/>
          <w:bCs/>
          <w:i/>
          <w:iCs/>
          <w:sz w:val="22"/>
          <w:szCs w:val="22"/>
        </w:rPr>
        <w:t>fundadas</w:t>
      </w:r>
      <w:r w:rsidRPr="004D578C">
        <w:rPr>
          <w:rFonts w:ascii="Palatino Linotype" w:eastAsia="Palatino Linotype" w:hAnsi="Palatino Linotype" w:cs="Palatino Linotype"/>
          <w:i/>
          <w:iCs/>
          <w:sz w:val="22"/>
          <w:szCs w:val="22"/>
        </w:rPr>
        <w:t xml:space="preserve"> las razones o motivos de inconformidad hechas valer por </w:t>
      </w:r>
      <w:r w:rsidRPr="004D578C">
        <w:rPr>
          <w:rFonts w:ascii="Palatino Linotype" w:eastAsia="Palatino Linotype" w:hAnsi="Palatino Linotype" w:cs="Palatino Linotype"/>
          <w:b/>
          <w:bCs/>
          <w:i/>
          <w:iCs/>
          <w:sz w:val="22"/>
          <w:szCs w:val="22"/>
        </w:rPr>
        <w:t>LA PARTE RECURRENTE</w:t>
      </w:r>
      <w:r w:rsidRPr="004D578C">
        <w:rPr>
          <w:rFonts w:ascii="Palatino Linotype" w:eastAsia="Palatino Linotype" w:hAnsi="Palatino Linotype" w:cs="Palatino Linotype"/>
          <w:i/>
          <w:iCs/>
          <w:sz w:val="22"/>
          <w:szCs w:val="22"/>
        </w:rPr>
        <w:t xml:space="preserve">, en términos del Considerando </w:t>
      </w:r>
      <w:r w:rsidRPr="004D578C">
        <w:rPr>
          <w:rFonts w:ascii="Palatino Linotype" w:eastAsia="Palatino Linotype" w:hAnsi="Palatino Linotype" w:cs="Palatino Linotype"/>
          <w:b/>
          <w:bCs/>
          <w:i/>
          <w:iCs/>
          <w:sz w:val="22"/>
          <w:szCs w:val="22"/>
        </w:rPr>
        <w:t>SEGUNDO</w:t>
      </w:r>
      <w:r w:rsidRPr="004D578C">
        <w:rPr>
          <w:rFonts w:ascii="Palatino Linotype" w:eastAsia="Palatino Linotype" w:hAnsi="Palatino Linotype" w:cs="Palatino Linotype"/>
          <w:i/>
          <w:iCs/>
          <w:sz w:val="22"/>
          <w:szCs w:val="22"/>
        </w:rPr>
        <w:t xml:space="preserve"> de la presente resolución.</w:t>
      </w:r>
    </w:p>
    <w:p w14:paraId="744047F0" w14:textId="77777777" w:rsidR="00313806" w:rsidRPr="004D578C" w:rsidRDefault="007468AD">
      <w:pPr>
        <w:spacing w:before="120" w:after="120"/>
        <w:ind w:left="851" w:right="902"/>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SEGUNDO.</w:t>
      </w:r>
      <w:r w:rsidRPr="004D578C">
        <w:rPr>
          <w:rFonts w:ascii="Palatino Linotype" w:eastAsia="Palatino Linotype" w:hAnsi="Palatino Linotype" w:cs="Palatino Linotype"/>
          <w:i/>
          <w:iCs/>
          <w:sz w:val="22"/>
          <w:szCs w:val="22"/>
        </w:rPr>
        <w:t xml:space="preserve"> Se</w:t>
      </w:r>
      <w:r w:rsidRPr="004D578C">
        <w:rPr>
          <w:rFonts w:ascii="Palatino Linotype" w:eastAsia="Palatino Linotype" w:hAnsi="Palatino Linotype" w:cs="Palatino Linotype"/>
          <w:b/>
          <w:bCs/>
          <w:i/>
          <w:iCs/>
          <w:sz w:val="22"/>
          <w:szCs w:val="22"/>
        </w:rPr>
        <w:t xml:space="preserve"> ORDENA </w:t>
      </w:r>
      <w:r w:rsidRPr="004D578C">
        <w:rPr>
          <w:rFonts w:ascii="Palatino Linotype" w:eastAsia="Palatino Linotype" w:hAnsi="Palatino Linotype" w:cs="Palatino Linotype"/>
          <w:i/>
          <w:iCs/>
          <w:sz w:val="22"/>
          <w:szCs w:val="22"/>
        </w:rPr>
        <w:t xml:space="preserve">al </w:t>
      </w:r>
      <w:r w:rsidRPr="004D578C">
        <w:rPr>
          <w:rFonts w:ascii="Palatino Linotype" w:eastAsia="Palatino Linotype" w:hAnsi="Palatino Linotype" w:cs="Palatino Linotype"/>
          <w:b/>
          <w:bCs/>
          <w:i/>
          <w:iCs/>
          <w:sz w:val="22"/>
          <w:szCs w:val="22"/>
        </w:rPr>
        <w:t xml:space="preserve">SUJETO OBLIGADO </w:t>
      </w:r>
      <w:r w:rsidRPr="004D578C">
        <w:rPr>
          <w:rFonts w:ascii="Palatino Linotype" w:eastAsia="Palatino Linotype" w:hAnsi="Palatino Linotype" w:cs="Palatino Linotype"/>
          <w:i/>
          <w:iCs/>
          <w:sz w:val="22"/>
          <w:szCs w:val="22"/>
        </w:rPr>
        <w:t xml:space="preserve">atienda la Solicitud de Acceso a la Información Pública que dio origen al Recurso Revisión número </w:t>
      </w:r>
      <w:r w:rsidRPr="004D578C">
        <w:rPr>
          <w:rFonts w:ascii="Palatino Linotype" w:eastAsia="Palatino Linotype" w:hAnsi="Palatino Linotype" w:cs="Palatino Linotype"/>
          <w:b/>
          <w:bCs/>
          <w:i/>
          <w:iCs/>
          <w:sz w:val="22"/>
          <w:szCs w:val="22"/>
        </w:rPr>
        <w:t xml:space="preserve">05447/INFOEM/IP/RR/2026, </w:t>
      </w:r>
      <w:r w:rsidRPr="004D578C">
        <w:rPr>
          <w:rFonts w:ascii="Palatino Linotype" w:eastAsia="Palatino Linotype" w:hAnsi="Palatino Linotype" w:cs="Palatino Linotype"/>
          <w:i/>
          <w:iCs/>
          <w:sz w:val="22"/>
          <w:szCs w:val="22"/>
        </w:rPr>
        <w:t xml:space="preserve">vía Sistema de Acceso a la Información Mexiquense </w:t>
      </w:r>
      <w:r w:rsidRPr="004D578C">
        <w:rPr>
          <w:rFonts w:ascii="Palatino Linotype" w:eastAsia="Palatino Linotype" w:hAnsi="Palatino Linotype" w:cs="Palatino Linotype"/>
          <w:b/>
          <w:bCs/>
          <w:i/>
          <w:iCs/>
          <w:sz w:val="22"/>
          <w:szCs w:val="22"/>
        </w:rPr>
        <w:t xml:space="preserve">(SAIMEX), </w:t>
      </w:r>
      <w:r w:rsidRPr="004D578C">
        <w:rPr>
          <w:rFonts w:ascii="Palatino Linotype" w:eastAsia="Palatino Linotype" w:hAnsi="Palatino Linotype" w:cs="Palatino Linotype"/>
          <w:i/>
          <w:iCs/>
          <w:sz w:val="22"/>
          <w:szCs w:val="22"/>
        </w:rPr>
        <w:t xml:space="preserve">en términos del Considerando </w:t>
      </w:r>
      <w:r w:rsidRPr="004D578C">
        <w:rPr>
          <w:rFonts w:ascii="Palatino Linotype" w:eastAsia="Palatino Linotype" w:hAnsi="Palatino Linotype" w:cs="Palatino Linotype"/>
          <w:b/>
          <w:bCs/>
          <w:i/>
          <w:iCs/>
          <w:sz w:val="22"/>
          <w:szCs w:val="22"/>
        </w:rPr>
        <w:t xml:space="preserve">SEGUNDO </w:t>
      </w:r>
      <w:r w:rsidRPr="004D578C">
        <w:rPr>
          <w:rFonts w:ascii="Palatino Linotype" w:eastAsia="Palatino Linotype" w:hAnsi="Palatino Linotype" w:cs="Palatino Linotype"/>
          <w:i/>
          <w:iCs/>
          <w:sz w:val="22"/>
          <w:szCs w:val="22"/>
        </w:rPr>
        <w:t>de esta resolución; y en su caso haga entrega de la información solicitada, debiendo observar las excepciones contenidas en la Ley de Transparencia y Acceso a la Información Pública del Estado de México y Municipios, que en su caso resulten aplicables.</w:t>
      </w:r>
    </w:p>
    <w:p w14:paraId="6114A61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TERCERO.</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 xml:space="preserve">Notifíquese </w:t>
      </w:r>
      <w:r w:rsidRPr="004D578C">
        <w:rPr>
          <w:rFonts w:ascii="Palatino Linotype" w:eastAsia="Palatino Linotype" w:hAnsi="Palatino Linotype" w:cs="Palatino Linotype"/>
          <w:i/>
          <w:iCs/>
          <w:sz w:val="22"/>
          <w:szCs w:val="22"/>
        </w:rPr>
        <w:t xml:space="preserve">vía Sistema de Acceso a la Información Mexiquense </w:t>
      </w:r>
      <w:r w:rsidRPr="004D578C">
        <w:rPr>
          <w:rFonts w:ascii="Palatino Linotype" w:eastAsia="Palatino Linotype" w:hAnsi="Palatino Linotype" w:cs="Palatino Linotype"/>
          <w:b/>
          <w:bCs/>
          <w:i/>
          <w:iCs/>
          <w:sz w:val="22"/>
          <w:szCs w:val="22"/>
        </w:rPr>
        <w:t>(SAIMEX)</w:t>
      </w:r>
      <w:r w:rsidRPr="004D578C">
        <w:rPr>
          <w:rFonts w:ascii="Palatino Linotype" w:eastAsia="Palatino Linotype" w:hAnsi="Palatino Linotype" w:cs="Palatino Linotype"/>
          <w:i/>
          <w:iCs/>
          <w:sz w:val="22"/>
          <w:szCs w:val="22"/>
        </w:rPr>
        <w:t xml:space="preserve"> la presente resolución al Titular de la Unidad de Transparencia del Sujeto Obligado, para que conforme al artículo 186 último párrafo, 189 segundo párrafo y 194 de la Ley de Transparencia y Acceso a la Información Pública del Estado de México y Municipios; dé cumplimiento a lo ordenado dentro del plazo de </w:t>
      </w:r>
      <w:r w:rsidRPr="004D578C">
        <w:rPr>
          <w:rFonts w:ascii="Palatino Linotype" w:eastAsia="Palatino Linotype" w:hAnsi="Palatino Linotype" w:cs="Palatino Linotype"/>
          <w:b/>
          <w:bCs/>
          <w:i/>
          <w:iCs/>
          <w:sz w:val="22"/>
          <w:szCs w:val="22"/>
        </w:rPr>
        <w:t>diez días hábiles</w:t>
      </w:r>
      <w:r w:rsidRPr="004D578C">
        <w:rPr>
          <w:rFonts w:ascii="Palatino Linotype" w:eastAsia="Palatino Linotype" w:hAnsi="Palatino Linotype" w:cs="Palatino Linotype"/>
          <w:i/>
          <w:iCs/>
          <w:sz w:val="22"/>
          <w:szCs w:val="22"/>
        </w:rPr>
        <w:t xml:space="preserve">, e informe a este Instituto en un plazo de </w:t>
      </w:r>
      <w:r w:rsidRPr="004D578C">
        <w:rPr>
          <w:rFonts w:ascii="Palatino Linotype" w:eastAsia="Palatino Linotype" w:hAnsi="Palatino Linotype" w:cs="Palatino Linotype"/>
          <w:b/>
          <w:bCs/>
          <w:i/>
          <w:iCs/>
          <w:sz w:val="22"/>
          <w:szCs w:val="22"/>
        </w:rPr>
        <w:t xml:space="preserve">tres días hábiles </w:t>
      </w:r>
      <w:r w:rsidRPr="004D578C">
        <w:rPr>
          <w:rFonts w:ascii="Palatino Linotype" w:eastAsia="Palatino Linotype" w:hAnsi="Palatino Linotype" w:cs="Palatino Linotype"/>
          <w:i/>
          <w:iCs/>
          <w:sz w:val="22"/>
          <w:szCs w:val="22"/>
        </w:rPr>
        <w:t xml:space="preserve">siguientes sobre el cumplimiento dado a la presente y, se le </w:t>
      </w:r>
      <w:r w:rsidRPr="004D578C">
        <w:rPr>
          <w:rFonts w:ascii="Palatino Linotype" w:eastAsia="Palatino Linotype" w:hAnsi="Palatino Linotype" w:cs="Palatino Linotype"/>
          <w:b/>
          <w:bCs/>
          <w:i/>
          <w:iCs/>
          <w:sz w:val="22"/>
          <w:szCs w:val="22"/>
        </w:rPr>
        <w:t>apercibe</w:t>
      </w:r>
      <w:r w:rsidRPr="004D578C">
        <w:rPr>
          <w:rFonts w:ascii="Palatino Linotype" w:eastAsia="Palatino Linotype" w:hAnsi="Palatino Linotype" w:cs="Palatino Linotype"/>
          <w:i/>
          <w:iCs/>
          <w:sz w:val="22"/>
          <w:szCs w:val="22"/>
        </w:rPr>
        <w:t xml:space="preserv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7033B8F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CUARTO</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Notifíquese</w:t>
      </w:r>
      <w:r w:rsidRPr="004D578C">
        <w:rPr>
          <w:rFonts w:ascii="Palatino Linotype" w:eastAsia="Palatino Linotype" w:hAnsi="Palatino Linotype" w:cs="Palatino Linotype"/>
          <w:i/>
          <w:iCs/>
          <w:sz w:val="22"/>
          <w:szCs w:val="22"/>
        </w:rPr>
        <w:t xml:space="preserve"> a </w:t>
      </w:r>
      <w:r w:rsidRPr="004D578C">
        <w:rPr>
          <w:rFonts w:ascii="Palatino Linotype" w:eastAsia="Palatino Linotype" w:hAnsi="Palatino Linotype" w:cs="Palatino Linotype"/>
          <w:b/>
          <w:bCs/>
          <w:i/>
          <w:iCs/>
          <w:sz w:val="22"/>
          <w:szCs w:val="22"/>
        </w:rPr>
        <w:t>LA PARTE RECURRENTE</w:t>
      </w:r>
      <w:r w:rsidRPr="004D578C">
        <w:rPr>
          <w:rFonts w:ascii="Palatino Linotype" w:eastAsia="Palatino Linotype" w:hAnsi="Palatino Linotype" w:cs="Palatino Linotype"/>
          <w:i/>
          <w:iCs/>
          <w:sz w:val="22"/>
          <w:szCs w:val="22"/>
        </w:rPr>
        <w:t xml:space="preserve"> la presente resolución vía Sistema de Acceso a la Información Mexiquense </w:t>
      </w:r>
      <w:r w:rsidRPr="004D578C">
        <w:rPr>
          <w:rFonts w:ascii="Palatino Linotype" w:eastAsia="Palatino Linotype" w:hAnsi="Palatino Linotype" w:cs="Palatino Linotype"/>
          <w:b/>
          <w:bCs/>
          <w:i/>
          <w:iCs/>
          <w:sz w:val="22"/>
          <w:szCs w:val="22"/>
        </w:rPr>
        <w:t>(SAIMEX)</w:t>
      </w:r>
      <w:r w:rsidRPr="004D578C">
        <w:rPr>
          <w:rFonts w:ascii="Palatino Linotype" w:eastAsia="Palatino Linotype" w:hAnsi="Palatino Linotype" w:cs="Palatino Linotype"/>
          <w:i/>
          <w:iCs/>
          <w:sz w:val="22"/>
          <w:szCs w:val="22"/>
        </w:rPr>
        <w:t>.</w:t>
      </w:r>
    </w:p>
    <w:p w14:paraId="0B4B869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QUINTO.</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Hágase</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del conocimiento a</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LA PARTE RECURRENTE,</w:t>
      </w:r>
      <w:r w:rsidRPr="004D578C">
        <w:rPr>
          <w:rFonts w:ascii="Palatino Linotype" w:eastAsia="Palatino Linotype" w:hAnsi="Palatino Linotype" w:cs="Palatino Linotype"/>
          <w:i/>
          <w:iCs/>
          <w:sz w:val="22"/>
          <w:szCs w:val="22"/>
        </w:rPr>
        <w:t xml:space="preserve"> que, de conformidad con lo establecido en el artículo 196 de la Ley de Transparencia y Acceso a la Información Pública del Estado de México y Municipios, podrá impugnarla vía Juicio de Amparo en los términos de las leyes aplicables.</w:t>
      </w:r>
    </w:p>
    <w:p w14:paraId="6B7724C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SEXTO.</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Hágase del conocimiento a LA PARTE RECURRENTE</w:t>
      </w:r>
      <w:r w:rsidRPr="004D578C">
        <w:rPr>
          <w:rFonts w:ascii="Palatino Linotype" w:eastAsia="Palatino Linotype" w:hAnsi="Palatino Linotype" w:cs="Palatino Linotype"/>
          <w:i/>
          <w:iCs/>
          <w:sz w:val="22"/>
          <w:szCs w:val="22"/>
        </w:rPr>
        <w:t xml:space="preserve">, que las respuestas que dé </w:t>
      </w:r>
      <w:r w:rsidRPr="004D578C">
        <w:rPr>
          <w:rFonts w:ascii="Palatino Linotype" w:eastAsia="Palatino Linotype" w:hAnsi="Palatino Linotype" w:cs="Palatino Linotype"/>
          <w:b/>
          <w:bCs/>
          <w:i/>
          <w:iCs/>
          <w:sz w:val="22"/>
          <w:szCs w:val="22"/>
        </w:rPr>
        <w:t>EL SUJETO OBLIGADO</w:t>
      </w:r>
      <w:r w:rsidRPr="004D578C">
        <w:rPr>
          <w:rFonts w:ascii="Palatino Linotype" w:eastAsia="Palatino Linotype" w:hAnsi="Palatino Linotype" w:cs="Palatino Linotype"/>
          <w:i/>
          <w:iCs/>
          <w:sz w:val="22"/>
          <w:szCs w:val="22"/>
        </w:rPr>
        <w:t xml:space="preserve"> derivadas de la presente resolución son susceptibles de ser impugnadas nuevamente, mediante Recurso de Revisión, ante el Instituto, en términos del artículo 179, último párrafo de la Ley de Transparencia y Acceso a la Información Pública del Estado de México y Municipios.</w:t>
      </w:r>
    </w:p>
    <w:p w14:paraId="54CB8D0F" w14:textId="77777777" w:rsidR="00313806" w:rsidRPr="004D578C" w:rsidRDefault="007468AD">
      <w:pPr>
        <w:spacing w:before="120" w:after="120"/>
        <w:ind w:left="851" w:right="902"/>
        <w:jc w:val="both"/>
      </w:pPr>
      <w:r w:rsidRPr="004D578C">
        <w:rPr>
          <w:rFonts w:ascii="Palatino Linotype" w:eastAsia="Palatino Linotype" w:hAnsi="Palatino Linotype" w:cs="Palatino Linotype"/>
          <w:b/>
          <w:bCs/>
          <w:i/>
          <w:iCs/>
          <w:sz w:val="22"/>
          <w:szCs w:val="22"/>
        </w:rPr>
        <w:t>SÉPTIMO. Gírese oficio</w:t>
      </w:r>
      <w:r w:rsidRPr="004D578C">
        <w:rPr>
          <w:rFonts w:ascii="Palatino Linotype" w:eastAsia="Palatino Linotype" w:hAnsi="Palatino Linotype" w:cs="Palatino Linotype"/>
          <w:i/>
          <w:iCs/>
          <w:sz w:val="22"/>
          <w:szCs w:val="22"/>
        </w:rPr>
        <w:t xml:space="preserve"> 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w:t>
      </w:r>
      <w:r w:rsidRPr="004D578C">
        <w:rPr>
          <w:rFonts w:ascii="Palatino Linotype" w:eastAsia="Palatino Linotype" w:hAnsi="Palatino Linotype" w:cs="Palatino Linotype"/>
          <w:b/>
          <w:bCs/>
          <w:i/>
          <w:iCs/>
          <w:sz w:val="22"/>
          <w:szCs w:val="22"/>
        </w:rPr>
        <w:t>SEGUNDO</w:t>
      </w:r>
      <w:r w:rsidRPr="004D578C">
        <w:rPr>
          <w:rFonts w:ascii="Palatino Linotype" w:eastAsia="Palatino Linotype" w:hAnsi="Palatino Linotype" w:cs="Palatino Linotype"/>
          <w:i/>
          <w:iCs/>
          <w:sz w:val="22"/>
          <w:szCs w:val="22"/>
        </w:rPr>
        <w:t xml:space="preserve"> de la presente resolución.</w:t>
      </w:r>
      <w:r w:rsidRPr="004D578C">
        <w:rPr>
          <w:rFonts w:ascii="Palatino Linotype" w:eastAsia="Palatino Linotype" w:hAnsi="Palatino Linotype" w:cs="Palatino Linotype"/>
          <w:b/>
          <w:bCs/>
          <w:i/>
          <w:iCs/>
          <w:sz w:val="22"/>
          <w:szCs w:val="22"/>
        </w:rPr>
        <w:t>”</w:t>
      </w:r>
    </w:p>
    <w:p w14:paraId="1FEF687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9. Respuesta al recurso de revisión o entrega de información. E</w:t>
      </w:r>
      <w:r w:rsidRPr="004D578C">
        <w:rPr>
          <w:rFonts w:ascii="Palatino Linotype" w:eastAsia="Palatino Linotype" w:hAnsi="Palatino Linotype" w:cs="Palatino Linotype"/>
          <w:sz w:val="22"/>
          <w:szCs w:val="22"/>
        </w:rPr>
        <w:t xml:space="preserve">l </w:t>
      </w:r>
      <w:r w:rsidRPr="004D578C">
        <w:rPr>
          <w:rFonts w:ascii="Palatino Linotype" w:eastAsia="Palatino Linotype" w:hAnsi="Palatino Linotype" w:cs="Palatino Linotype"/>
          <w:b/>
          <w:bCs/>
          <w:sz w:val="22"/>
          <w:szCs w:val="22"/>
        </w:rPr>
        <w:t xml:space="preserve">siete de julio de dos mil veintiséis, </w:t>
      </w:r>
      <w:r w:rsidRPr="004D578C">
        <w:rPr>
          <w:rFonts w:ascii="Palatino Linotype" w:eastAsia="Palatino Linotype" w:hAnsi="Palatino Linotype" w:cs="Palatino Linotype"/>
          <w:sz w:val="22"/>
          <w:szCs w:val="22"/>
        </w:rPr>
        <w:t xml:space="preserve">en cumplimiento a la resolución,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remitió lo siguiente:</w:t>
      </w:r>
    </w:p>
    <w:p w14:paraId="3E878C46"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Quince recibos de nómina de la primera quincena de abril de dos mil veintiséis del personal de Protección Civil, testados.</w:t>
      </w:r>
    </w:p>
    <w:p w14:paraId="711D3A9C"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Veintiocho recibos de nómina de la primera quincena de abril de dos mil veintiséis del personal de Seguridad Pública, testados.</w:t>
      </w:r>
    </w:p>
    <w:p w14:paraId="095E6311"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10. Interposición del segundo recurso de revisión </w:t>
      </w:r>
      <w:r w:rsidRPr="004D578C">
        <w:rPr>
          <w:rFonts w:ascii="Palatino Linotype" w:eastAsia="Palatino Linotype" w:hAnsi="Palatino Linotype" w:cs="Palatino Linotype"/>
          <w:b/>
          <w:bCs/>
          <w:sz w:val="22"/>
          <w:szCs w:val="22"/>
        </w:rPr>
        <w:tab/>
        <w:t xml:space="preserve">05447/INFOEM/ICR-168/IP/RR/2026. </w:t>
      </w:r>
      <w:r w:rsidRPr="004D578C">
        <w:rPr>
          <w:rFonts w:ascii="Palatino Linotype" w:eastAsia="Palatino Linotype" w:hAnsi="Palatino Linotype" w:cs="Palatino Linotype"/>
          <w:sz w:val="22"/>
          <w:szCs w:val="22"/>
        </w:rPr>
        <w:t xml:space="preserve">El </w:t>
      </w:r>
      <w:r w:rsidRPr="004D578C">
        <w:rPr>
          <w:rFonts w:ascii="Palatino Linotype" w:eastAsia="Palatino Linotype" w:hAnsi="Palatino Linotype" w:cs="Palatino Linotype"/>
          <w:b/>
          <w:bCs/>
          <w:sz w:val="22"/>
          <w:szCs w:val="22"/>
        </w:rPr>
        <w:t xml:space="preserve">ocho de julio de dos mil veintiséis, </w:t>
      </w:r>
      <w:r w:rsidRPr="004D578C">
        <w:rPr>
          <w:rFonts w:ascii="Palatino Linotype" w:eastAsia="Palatino Linotype" w:hAnsi="Palatino Linotype" w:cs="Palatino Linotype"/>
          <w:sz w:val="22"/>
          <w:szCs w:val="22"/>
        </w:rPr>
        <w:t xml:space="preserve">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interpuso recurso de revisión a través del </w:t>
      </w:r>
      <w:r w:rsidRPr="004D578C">
        <w:rPr>
          <w:rFonts w:ascii="Palatino Linotype" w:eastAsia="Palatino Linotype" w:hAnsi="Palatino Linotype" w:cs="Palatino Linotype"/>
          <w:b/>
          <w:bCs/>
          <w:sz w:val="22"/>
          <w:szCs w:val="22"/>
        </w:rPr>
        <w:t xml:space="preserve">SAIMEX, </w:t>
      </w:r>
      <w:r w:rsidRPr="004D578C">
        <w:rPr>
          <w:rFonts w:ascii="Palatino Linotype" w:eastAsia="Palatino Linotype" w:hAnsi="Palatino Linotype" w:cs="Palatino Linotype"/>
          <w:sz w:val="22"/>
          <w:szCs w:val="22"/>
        </w:rPr>
        <w:t xml:space="preserve">en contra de la respuesta a la solicitud de información </w:t>
      </w:r>
      <w:r w:rsidRPr="004D578C">
        <w:rPr>
          <w:rFonts w:ascii="Palatino Linotype" w:eastAsia="Palatino Linotype" w:hAnsi="Palatino Linotype" w:cs="Palatino Linotype"/>
          <w:b/>
          <w:bCs/>
          <w:sz w:val="22"/>
          <w:szCs w:val="22"/>
        </w:rPr>
        <w:t xml:space="preserve">00006/ISIFABE/IP/2026, </w:t>
      </w:r>
      <w:r w:rsidRPr="004D578C">
        <w:rPr>
          <w:rFonts w:ascii="Palatino Linotype" w:eastAsia="Palatino Linotype" w:hAnsi="Palatino Linotype" w:cs="Palatino Linotype"/>
          <w:sz w:val="22"/>
          <w:szCs w:val="22"/>
        </w:rPr>
        <w:t xml:space="preserve">en cumplimiento a la resolución </w:t>
      </w:r>
      <w:r w:rsidRPr="004D578C">
        <w:rPr>
          <w:rFonts w:ascii="Palatino Linotype" w:eastAsia="Palatino Linotype" w:hAnsi="Palatino Linotype" w:cs="Palatino Linotype"/>
          <w:b/>
          <w:bCs/>
          <w:sz w:val="22"/>
          <w:szCs w:val="22"/>
        </w:rPr>
        <w:t xml:space="preserve">05447/INFOEM/IP/RR/2026; </w:t>
      </w:r>
      <w:r w:rsidRPr="004D578C">
        <w:rPr>
          <w:rFonts w:ascii="Palatino Linotype" w:eastAsia="Palatino Linotype" w:hAnsi="Palatino Linotype" w:cs="Palatino Linotype"/>
          <w:sz w:val="22"/>
          <w:szCs w:val="22"/>
        </w:rPr>
        <w:t>en donde se manifestó de la siguiente manera:</w:t>
      </w:r>
    </w:p>
    <w:p w14:paraId="050B4857" w14:textId="77777777" w:rsidR="00313806" w:rsidRPr="004D578C" w:rsidRDefault="007468AD">
      <w:pPr>
        <w:spacing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Acto impugnado: </w:t>
      </w:r>
    </w:p>
    <w:p w14:paraId="1CE2D7D2" w14:textId="77777777" w:rsidR="00313806" w:rsidRPr="004D578C" w:rsidRDefault="00313806">
      <w:pPr>
        <w:pBdr>
          <w:top w:val="nil"/>
          <w:left w:val="nil"/>
          <w:bottom w:val="nil"/>
          <w:right w:val="nil"/>
          <w:between w:val="nil"/>
        </w:pBdr>
        <w:ind w:left="864" w:right="864"/>
        <w:jc w:val="both"/>
        <w:rPr>
          <w:rFonts w:ascii="Palatino Linotype" w:eastAsia="Palatino Linotype" w:hAnsi="Palatino Linotype" w:cs="Palatino Linotype"/>
          <w:i/>
          <w:iCs/>
          <w:sz w:val="22"/>
          <w:szCs w:val="22"/>
        </w:rPr>
      </w:pPr>
    </w:p>
    <w:p w14:paraId="457E5F31" w14:textId="77777777" w:rsidR="00313806" w:rsidRPr="004D578C" w:rsidRDefault="007468AD">
      <w:pPr>
        <w:pBdr>
          <w:top w:val="nil"/>
          <w:left w:val="nil"/>
          <w:bottom w:val="nil"/>
          <w:right w:val="nil"/>
          <w:between w:val="nil"/>
        </w:pBdr>
        <w:ind w:left="864" w:right="864"/>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“no se entrega la totalidad de los recibos de nomina solo se entregan los de seguridad publica y proteccion civil, faltando todos los demas que corresponden a todo el demas personal que se encuentra trabajando en el ayuntamiento asi como los del cabildo” (Sic)</w:t>
      </w:r>
    </w:p>
    <w:p w14:paraId="1C16B4B8" w14:textId="77777777" w:rsidR="00313806" w:rsidRPr="004D578C" w:rsidRDefault="00313806">
      <w:pPr>
        <w:pBdr>
          <w:top w:val="nil"/>
          <w:left w:val="nil"/>
          <w:bottom w:val="nil"/>
          <w:right w:val="nil"/>
          <w:between w:val="nil"/>
        </w:pBdr>
        <w:ind w:left="864" w:right="864"/>
        <w:jc w:val="both"/>
        <w:rPr>
          <w:rFonts w:ascii="Palatino Linotype" w:eastAsia="Palatino Linotype" w:hAnsi="Palatino Linotype" w:cs="Palatino Linotype"/>
          <w:i/>
          <w:iCs/>
          <w:sz w:val="22"/>
          <w:szCs w:val="22"/>
        </w:rPr>
      </w:pPr>
    </w:p>
    <w:p w14:paraId="2E1FA91F" w14:textId="77777777" w:rsidR="00313806" w:rsidRPr="004D578C" w:rsidRDefault="007468AD">
      <w:pPr>
        <w:spacing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Motivos o razones de inconformidad: </w:t>
      </w:r>
    </w:p>
    <w:p w14:paraId="0FA7DF89" w14:textId="77777777" w:rsidR="00313806" w:rsidRPr="004D578C" w:rsidRDefault="00313806">
      <w:pPr>
        <w:pBdr>
          <w:top w:val="nil"/>
          <w:left w:val="nil"/>
          <w:bottom w:val="nil"/>
          <w:right w:val="nil"/>
          <w:between w:val="nil"/>
        </w:pBdr>
        <w:ind w:left="864" w:right="864"/>
        <w:jc w:val="both"/>
        <w:rPr>
          <w:rFonts w:ascii="Palatino Linotype" w:eastAsia="Palatino Linotype" w:hAnsi="Palatino Linotype" w:cs="Palatino Linotype"/>
          <w:i/>
          <w:iCs/>
          <w:sz w:val="22"/>
          <w:szCs w:val="22"/>
        </w:rPr>
      </w:pPr>
    </w:p>
    <w:p w14:paraId="36373302" w14:textId="77777777" w:rsidR="00313806" w:rsidRPr="004D578C" w:rsidRDefault="007468AD">
      <w:pPr>
        <w:pBdr>
          <w:top w:val="nil"/>
          <w:left w:val="nil"/>
          <w:bottom w:val="nil"/>
          <w:right w:val="nil"/>
          <w:between w:val="nil"/>
        </w:pBdr>
        <w:ind w:left="864" w:right="864"/>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“no me me entrega la informacion completa solo la de seguridad publica y proteccion civil, cuando solicite los recibos de nomina de la totalidad de servidores publicos que se encuentran dados de alta en el ayuntamiento asi como los del cabildo” (Sic) </w:t>
      </w:r>
    </w:p>
    <w:p w14:paraId="7EAC9BF4"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11. Turno. </w:t>
      </w:r>
      <w:r w:rsidRPr="004D578C">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recurso de revisión </w:t>
      </w:r>
      <w:r w:rsidRPr="004D578C">
        <w:rPr>
          <w:rFonts w:ascii="Palatino Linotype" w:eastAsia="Palatino Linotype" w:hAnsi="Palatino Linotype" w:cs="Palatino Linotype"/>
          <w:b/>
          <w:bCs/>
          <w:sz w:val="22"/>
          <w:szCs w:val="22"/>
        </w:rPr>
        <w:t xml:space="preserve">05447/INFOEM/ICR-168/IP/RR/2026, </w:t>
      </w:r>
      <w:r w:rsidRPr="004D578C">
        <w:rPr>
          <w:rFonts w:ascii="Palatino Linotype" w:eastAsia="Palatino Linotype" w:hAnsi="Palatino Linotype" w:cs="Palatino Linotype"/>
          <w:sz w:val="22"/>
          <w:szCs w:val="22"/>
        </w:rPr>
        <w:t xml:space="preserve">se turnó por el sistema electrónico del Instituto de Transparencia, Acceso a la Información Pública y Protección de Datos Personales del Estado de México y Municipios, a la </w:t>
      </w:r>
      <w:r w:rsidRPr="004D578C">
        <w:rPr>
          <w:rFonts w:ascii="Palatino Linotype" w:eastAsia="Palatino Linotype" w:hAnsi="Palatino Linotype" w:cs="Palatino Linotype"/>
          <w:b/>
          <w:bCs/>
          <w:sz w:val="22"/>
          <w:szCs w:val="22"/>
        </w:rPr>
        <w:t xml:space="preserve">Comisionada Sharon Cristona Morales Martínez, </w:t>
      </w:r>
      <w:r w:rsidRPr="004D578C">
        <w:rPr>
          <w:rFonts w:ascii="Palatino Linotype" w:eastAsia="Palatino Linotype" w:hAnsi="Palatino Linotype" w:cs="Palatino Linotype"/>
          <w:sz w:val="22"/>
          <w:szCs w:val="22"/>
        </w:rPr>
        <w:t>a efecto de que analizara sobre su admisión o su desechamiento.</w:t>
      </w:r>
    </w:p>
    <w:p w14:paraId="3EE7E3BD"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12. Admisión del recurso de revisión.</w:t>
      </w:r>
      <w:r w:rsidRPr="004D578C">
        <w:rPr>
          <w:rFonts w:ascii="Palatino Linotype" w:eastAsia="Palatino Linotype" w:hAnsi="Palatino Linotype" w:cs="Palatino Linotype"/>
          <w:sz w:val="22"/>
          <w:szCs w:val="22"/>
        </w:rPr>
        <w:t xml:space="preserve"> El </w:t>
      </w:r>
      <w:r w:rsidRPr="004D578C">
        <w:rPr>
          <w:rFonts w:ascii="Palatino Linotype" w:eastAsia="Palatino Linotype" w:hAnsi="Palatino Linotype" w:cs="Palatino Linotype"/>
          <w:b/>
          <w:bCs/>
          <w:sz w:val="22"/>
          <w:szCs w:val="22"/>
        </w:rPr>
        <w:t xml:space="preserve">trece de julio de dos mil veintiséis, </w:t>
      </w:r>
      <w:r w:rsidRPr="004D578C">
        <w:rPr>
          <w:rFonts w:ascii="Palatino Linotype" w:eastAsia="Palatino Linotype" w:hAnsi="Palatino Linotype" w:cs="Palatino Linotype"/>
          <w:sz w:val="22"/>
          <w:szCs w:val="22"/>
        </w:rPr>
        <w:t>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w:t>
      </w:r>
      <w:r w:rsidRPr="004D578C">
        <w:rPr>
          <w:rFonts w:ascii="Palatino Linotype" w:eastAsia="Palatino Linotype" w:hAnsi="Palatino Linotype" w:cs="Palatino Linotype"/>
          <w:b/>
          <w:bCs/>
          <w:sz w:val="22"/>
          <w:szCs w:val="22"/>
        </w:rPr>
        <w:t xml:space="preserve"> Sujeto Obligado </w:t>
      </w:r>
      <w:r w:rsidRPr="004D578C">
        <w:rPr>
          <w:rFonts w:ascii="Palatino Linotype" w:eastAsia="Palatino Linotype" w:hAnsi="Palatino Linotype" w:cs="Palatino Linotype"/>
          <w:sz w:val="22"/>
          <w:szCs w:val="22"/>
        </w:rPr>
        <w:t>presentara su Informe Justificado.</w:t>
      </w:r>
    </w:p>
    <w:p w14:paraId="6118AC7D" w14:textId="77777777" w:rsidR="00313806" w:rsidRPr="004D578C" w:rsidRDefault="007468AD">
      <w:pPr>
        <w:widowControl w:val="0"/>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13. Manifestaciones</w:t>
      </w:r>
      <w:r w:rsidRPr="004D578C">
        <w:rPr>
          <w:rFonts w:ascii="Palatino Linotype" w:eastAsia="Palatino Linotype" w:hAnsi="Palatino Linotype" w:cs="Palatino Linotype"/>
          <w:sz w:val="22"/>
          <w:szCs w:val="22"/>
        </w:rPr>
        <w:t xml:space="preserve">. El </w:t>
      </w:r>
      <w:r w:rsidRPr="004D578C">
        <w:rPr>
          <w:rFonts w:ascii="Palatino Linotype" w:eastAsia="Palatino Linotype" w:hAnsi="Palatino Linotype" w:cs="Palatino Linotype"/>
          <w:b/>
          <w:bCs/>
          <w:sz w:val="22"/>
          <w:szCs w:val="22"/>
        </w:rPr>
        <w:t xml:space="preserve">quince de julio de dos mil veintiséis </w:t>
      </w:r>
      <w:r w:rsidRPr="004D578C">
        <w:rPr>
          <w:rFonts w:ascii="Palatino Linotype" w:eastAsia="Palatino Linotype" w:hAnsi="Palatino Linotype" w:cs="Palatino Linotype"/>
          <w:sz w:val="22"/>
          <w:szCs w:val="22"/>
        </w:rPr>
        <w:t xml:space="preserve">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remitió a través del </w:t>
      </w:r>
      <w:r w:rsidRPr="004D578C">
        <w:rPr>
          <w:rFonts w:ascii="Palatino Linotype" w:eastAsia="Palatino Linotype" w:hAnsi="Palatino Linotype" w:cs="Palatino Linotype"/>
          <w:b/>
          <w:bCs/>
          <w:sz w:val="22"/>
          <w:szCs w:val="22"/>
        </w:rPr>
        <w:t xml:space="preserve">SAIMEX </w:t>
      </w:r>
      <w:r w:rsidRPr="004D578C">
        <w:rPr>
          <w:rFonts w:ascii="Palatino Linotype" w:eastAsia="Palatino Linotype" w:hAnsi="Palatino Linotype" w:cs="Palatino Linotype"/>
          <w:sz w:val="22"/>
          <w:szCs w:val="22"/>
        </w:rPr>
        <w:t xml:space="preserve">el oficio número IF/UTyAIP/ 075/2026 mediante el cual la Directora General Municipal de Simplificación y Digitalización y Unidad de Transparencia refirió que el descontento con la respuesta proporcionada se basa en las causales provenientes de una mala redacción de la solicitud, ya que el Sujeto Obligado dio cumplimiento a la resolución del recurso de revisión, particularmente conforme a lo establecido en el Artículo 12 de la Ley de Transparencia у Acceso a la Información Pública del Estado de México y Municipios, entregando la información que se encontraba firmada al momento de la solicitud, asimismo, manifestó que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no solicito el total de la nómina sino los recibos de nómina firmados por los servidores públicos de la quincena del 15 de abril del 2026, es decir, no especificó el número, el área o cargo de los trabajadores, por lo tanto, en el acto, confirmó la respuesta proporcionada.</w:t>
      </w:r>
    </w:p>
    <w:p w14:paraId="0A9E27A8" w14:textId="77777777" w:rsidR="00313806" w:rsidRPr="004D578C" w:rsidRDefault="007468AD">
      <w:pPr>
        <w:widowControl w:val="0"/>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14. Returno. </w:t>
      </w:r>
      <w:r w:rsidRPr="004D578C">
        <w:rPr>
          <w:rFonts w:ascii="Palatino Linotype" w:eastAsia="Palatino Linotype" w:hAnsi="Palatino Linotype" w:cs="Palatino Linotype"/>
          <w:sz w:val="22"/>
          <w:szCs w:val="22"/>
        </w:rPr>
        <w:t xml:space="preserve">Mediante acuerdo del diecinueve de agosto de dos mil veintiséis el Pleno de este Organismo Garante, aprobó returnar el recurso de revisión a la Comisionada </w:t>
      </w:r>
      <w:r w:rsidRPr="004D578C">
        <w:rPr>
          <w:rFonts w:ascii="Palatino Linotype" w:eastAsia="Palatino Linotype" w:hAnsi="Palatino Linotype" w:cs="Palatino Linotype"/>
          <w:b/>
          <w:bCs/>
          <w:sz w:val="22"/>
          <w:szCs w:val="22"/>
        </w:rPr>
        <w:t>Guadalupe Ramírez Peña</w:t>
      </w:r>
      <w:r w:rsidRPr="004D578C">
        <w:rPr>
          <w:rFonts w:ascii="Palatino Linotype" w:eastAsia="Palatino Linotype" w:hAnsi="Palatino Linotype" w:cs="Palatino Linotype"/>
          <w:sz w:val="22"/>
          <w:szCs w:val="22"/>
        </w:rPr>
        <w:t>, a efecto de que formulara y presentara el proyecto de resolución correspondiente.</w:t>
      </w:r>
    </w:p>
    <w:p w14:paraId="70640F4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15. Cierre de instrucción. </w:t>
      </w:r>
      <w:r w:rsidRPr="004D578C">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4D578C">
        <w:rPr>
          <w:rFonts w:ascii="Palatino Linotype" w:eastAsia="Palatino Linotype" w:hAnsi="Palatino Linotype" w:cs="Palatino Linotype"/>
          <w:b/>
          <w:bCs/>
          <w:sz w:val="22"/>
          <w:szCs w:val="22"/>
        </w:rPr>
        <w:t>ocho de septiembre de dos mil veintiséis</w:t>
      </w:r>
      <w:r w:rsidRPr="004D578C">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49AA056F"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16.</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rPr>
        <w:t>Ampliación del término para resolver</w:t>
      </w:r>
      <w:r w:rsidRPr="004D578C">
        <w:rPr>
          <w:rFonts w:ascii="Palatino Linotype" w:eastAsia="Palatino Linotype" w:hAnsi="Palatino Linotype" w:cs="Palatino Linotype"/>
          <w:sz w:val="22"/>
          <w:szCs w:val="22"/>
        </w:rPr>
        <w:t xml:space="preserve">. El </w:t>
      </w:r>
      <w:r w:rsidRPr="004D578C">
        <w:rPr>
          <w:rFonts w:ascii="Palatino Linotype" w:eastAsia="Palatino Linotype" w:hAnsi="Palatino Linotype" w:cs="Palatino Linotype"/>
          <w:b/>
          <w:bCs/>
          <w:sz w:val="22"/>
          <w:szCs w:val="22"/>
        </w:rPr>
        <w:t>ocho de septiembre de dos mil veintiséis</w:t>
      </w:r>
      <w:r w:rsidRPr="004D578C">
        <w:rPr>
          <w:rFonts w:ascii="Palatino Linotype" w:eastAsia="Palatino Linotype" w:hAnsi="Palatino Linotype" w:cs="Palatino Linotype"/>
          <w:sz w:val="22"/>
          <w:szCs w:val="22"/>
        </w:rPr>
        <w:t>, se amplió el término para resolver el recurso de revisión en términos del artículo 181 párrafo tercero de la Ley de Transparencia y Acceso a la Información Pública del Estado de México y Municipios.</w:t>
      </w:r>
    </w:p>
    <w:p w14:paraId="1A9F3E7B"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6A2CAF46"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4F4D1248"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5AC325AD"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0B894FAB" w14:textId="77777777" w:rsidR="00313806" w:rsidRPr="004D578C" w:rsidRDefault="00313806">
      <w:pPr>
        <w:spacing w:line="360" w:lineRule="auto"/>
        <w:jc w:val="both"/>
        <w:rPr>
          <w:rFonts w:ascii="Palatino Linotype" w:eastAsia="Palatino Linotype" w:hAnsi="Palatino Linotype" w:cs="Palatino Linotype"/>
          <w:sz w:val="22"/>
          <w:szCs w:val="22"/>
        </w:rPr>
      </w:pPr>
    </w:p>
    <w:p w14:paraId="2DC2033A" w14:textId="77777777" w:rsidR="00313806" w:rsidRPr="004D578C" w:rsidRDefault="007468AD">
      <w:pPr>
        <w:widowControl w:val="0"/>
        <w:spacing w:line="360" w:lineRule="auto"/>
        <w:jc w:val="center"/>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II. C O N S I D E R A N D O S</w:t>
      </w:r>
    </w:p>
    <w:p w14:paraId="07029314" w14:textId="77777777" w:rsidR="00313806" w:rsidRPr="004D578C" w:rsidRDefault="00313806">
      <w:pPr>
        <w:widowControl w:val="0"/>
        <w:pBdr>
          <w:top w:val="nil"/>
          <w:left w:val="nil"/>
          <w:bottom w:val="nil"/>
          <w:right w:val="nil"/>
          <w:between w:val="nil"/>
        </w:pBdr>
        <w:spacing w:line="360" w:lineRule="auto"/>
        <w:ind w:left="1080"/>
        <w:rPr>
          <w:rFonts w:ascii="Palatino Linotype" w:eastAsia="Palatino Linotype" w:hAnsi="Palatino Linotype" w:cs="Palatino Linotype"/>
          <w:b/>
          <w:bCs/>
          <w:sz w:val="22"/>
          <w:szCs w:val="22"/>
        </w:rPr>
      </w:pPr>
    </w:p>
    <w:p w14:paraId="08D112ED" w14:textId="77777777" w:rsidR="00313806" w:rsidRPr="004D578C" w:rsidRDefault="007468AD">
      <w:pPr>
        <w:spacing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Primero. Competencia.</w:t>
      </w:r>
      <w:r w:rsidRPr="004D578C">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y cuadragésimo sexto, fracciones IV y V de la Constitución Política del Estado Libre y Soberano de México; transitorio Cuarto del Decreto número 198 de la “LXII” Legislatura del Estado de México; 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57CFCB76"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Segundo. Oportunidad y Procedibilidad. </w:t>
      </w:r>
      <w:r w:rsidRPr="004D578C">
        <w:rPr>
          <w:rFonts w:ascii="Palatino Linotype" w:eastAsia="Palatino Linotype" w:hAnsi="Palatino Linotype" w:cs="Palatino Linotype"/>
          <w:sz w:val="22"/>
          <w:szCs w:val="22"/>
        </w:rPr>
        <w:t>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59BD650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Al respecto la Ley de Transparencia y Acceso a la Información Pública del Estado de México y Municipios, establece lo siguiente:</w:t>
      </w:r>
    </w:p>
    <w:p w14:paraId="51D8A9D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xml:space="preserve">“Artículo 178. </w:t>
      </w:r>
      <w:r w:rsidRPr="004D578C">
        <w:rPr>
          <w:rFonts w:ascii="Palatino Linotype" w:eastAsia="Palatino Linotype" w:hAnsi="Palatino Linotype" w:cs="Palatino Linotype"/>
          <w:i/>
          <w:iCs/>
          <w:sz w:val="22"/>
          <w:szCs w:val="22"/>
        </w:rPr>
        <w:t>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7FF9363C" w14:textId="77777777" w:rsidR="00313806" w:rsidRPr="004D578C" w:rsidRDefault="007468AD">
      <w:pPr>
        <w:spacing w:before="120" w:after="120"/>
        <w:ind w:left="851" w:right="851"/>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w:t>
      </w:r>
    </w:p>
    <w:p w14:paraId="16A2896B"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remitió la respuesta a la solicitud de información, en cumplimiento a la resolución del recurso de revisión </w:t>
      </w:r>
      <w:r w:rsidRPr="004D578C">
        <w:rPr>
          <w:rFonts w:ascii="Palatino Linotype" w:eastAsia="Palatino Linotype" w:hAnsi="Palatino Linotype" w:cs="Palatino Linotype"/>
          <w:b/>
          <w:bCs/>
          <w:sz w:val="22"/>
          <w:szCs w:val="22"/>
        </w:rPr>
        <w:t>05447/INFOEM/IP/RR/2026</w:t>
      </w:r>
      <w:r w:rsidRPr="004D578C">
        <w:rPr>
          <w:rFonts w:ascii="Palatino Linotype" w:eastAsia="Palatino Linotype" w:hAnsi="Palatino Linotype" w:cs="Palatino Linotype"/>
          <w:sz w:val="22"/>
          <w:szCs w:val="22"/>
        </w:rPr>
        <w:t xml:space="preserve">, el día </w:t>
      </w:r>
      <w:r w:rsidRPr="004D578C">
        <w:rPr>
          <w:rFonts w:ascii="Palatino Linotype" w:eastAsia="Palatino Linotype" w:hAnsi="Palatino Linotype" w:cs="Palatino Linotype"/>
          <w:b/>
          <w:bCs/>
          <w:sz w:val="22"/>
          <w:szCs w:val="22"/>
        </w:rPr>
        <w:t xml:space="preserve">siete de julio de dos mil veintiséis, </w:t>
      </w:r>
      <w:r w:rsidRPr="004D578C">
        <w:rPr>
          <w:rFonts w:ascii="Palatino Linotype" w:eastAsia="Palatino Linotype" w:hAnsi="Palatino Linotype" w:cs="Palatino Linotype"/>
          <w:sz w:val="22"/>
          <w:szCs w:val="22"/>
        </w:rPr>
        <w:t xml:space="preserve">mientras que el segundo recurso de revisión interpuesto por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xml:space="preserve">, se tuvo por presentado el </w:t>
      </w:r>
      <w:r w:rsidRPr="004D578C">
        <w:rPr>
          <w:rFonts w:ascii="Palatino Linotype" w:eastAsia="Palatino Linotype" w:hAnsi="Palatino Linotype" w:cs="Palatino Linotype"/>
          <w:b/>
          <w:bCs/>
          <w:sz w:val="22"/>
          <w:szCs w:val="22"/>
        </w:rPr>
        <w:t>ocho de julio de dos mil veintiséis</w:t>
      </w:r>
      <w:r w:rsidRPr="004D578C">
        <w:rPr>
          <w:rFonts w:ascii="Palatino Linotype" w:eastAsia="Palatino Linotype" w:hAnsi="Palatino Linotype" w:cs="Palatino Linotype"/>
          <w:sz w:val="22"/>
          <w:szCs w:val="22"/>
        </w:rPr>
        <w:t xml:space="preserve">; esto es, al </w:t>
      </w:r>
      <w:r w:rsidRPr="004D578C">
        <w:rPr>
          <w:rFonts w:ascii="Palatino Linotype" w:eastAsia="Palatino Linotype" w:hAnsi="Palatino Linotype" w:cs="Palatino Linotype"/>
          <w:b/>
          <w:bCs/>
          <w:sz w:val="22"/>
          <w:szCs w:val="22"/>
        </w:rPr>
        <w:t xml:space="preserve">siguiente día hábil </w:t>
      </w:r>
      <w:r w:rsidRPr="004D578C">
        <w:rPr>
          <w:rFonts w:ascii="Palatino Linotype" w:eastAsia="Palatino Linotype" w:hAnsi="Palatino Linotype" w:cs="Palatino Linotype"/>
          <w:sz w:val="22"/>
          <w:szCs w:val="22"/>
        </w:rPr>
        <w:t>posterior a aquel en el que se tuvo conocimiento de la respuesta impugnada.</w:t>
      </w:r>
    </w:p>
    <w:p w14:paraId="747E9DD1"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Además, por cuanto hace a la procedibilidad del recurso de revisión, es de suma importancia señalar que la parte</w:t>
      </w:r>
      <w:r w:rsidRPr="004D578C">
        <w:rPr>
          <w:rFonts w:ascii="Palatino Linotype" w:eastAsia="Palatino Linotype" w:hAnsi="Palatino Linotype" w:cs="Palatino Linotype"/>
          <w:b/>
          <w:bCs/>
          <w:sz w:val="22"/>
          <w:szCs w:val="22"/>
        </w:rPr>
        <w:t xml:space="preserve"> Recurrente</w:t>
      </w:r>
      <w:r w:rsidRPr="004D578C">
        <w:rPr>
          <w:rFonts w:ascii="Palatino Linotype" w:eastAsia="Palatino Linotype" w:hAnsi="Palatino Linotype" w:cs="Palatino Linotype"/>
          <w:sz w:val="22"/>
          <w:szCs w:val="22"/>
        </w:rPr>
        <w:t xml:space="preserve">, no señaló </w:t>
      </w:r>
      <w:r w:rsidRPr="004D578C">
        <w:rPr>
          <w:rFonts w:ascii="Palatino Linotype" w:eastAsia="Palatino Linotype" w:hAnsi="Palatino Linotype" w:cs="Palatino Linotype"/>
          <w:b/>
          <w:bCs/>
          <w:sz w:val="22"/>
          <w:szCs w:val="22"/>
        </w:rPr>
        <w:t>nombre completo</w:t>
      </w:r>
      <w:r w:rsidRPr="004D578C">
        <w:rPr>
          <w:rFonts w:ascii="Palatino Linotype" w:eastAsia="Palatino Linotype" w:hAnsi="Palatino Linotype" w:cs="Palatino Linotype"/>
          <w:sz w:val="22"/>
          <w:szCs w:val="22"/>
        </w:rPr>
        <w:t>,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387953D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Las solicitudes anónimas</w:t>
      </w:r>
      <w:r w:rsidRPr="004D578C">
        <w:rPr>
          <w:rFonts w:ascii="Palatino Linotype" w:eastAsia="Palatino Linotype" w:hAnsi="Palatino Linotype" w:cs="Palatino Linotype"/>
          <w:i/>
          <w:iCs/>
          <w:sz w:val="22"/>
          <w:szCs w:val="22"/>
        </w:rPr>
        <w:t xml:space="preserve">, con </w:t>
      </w:r>
      <w:r w:rsidRPr="004D578C">
        <w:rPr>
          <w:rFonts w:ascii="Palatino Linotype" w:eastAsia="Palatino Linotype" w:hAnsi="Palatino Linotype" w:cs="Palatino Linotype"/>
          <w:b/>
          <w:bCs/>
          <w:i/>
          <w:iCs/>
          <w:sz w:val="22"/>
          <w:szCs w:val="22"/>
        </w:rPr>
        <w:t>nombre incompleto o seudónimo</w:t>
      </w:r>
      <w:r w:rsidRPr="004D578C">
        <w:rPr>
          <w:rFonts w:ascii="Palatino Linotype" w:eastAsia="Palatino Linotype" w:hAnsi="Palatino Linotype" w:cs="Palatino Linotype"/>
          <w:i/>
          <w:iCs/>
          <w:sz w:val="22"/>
          <w:szCs w:val="22"/>
        </w:rPr>
        <w:t xml:space="preserve"> serán procedentes para su trámite por parte del sujeto obligado ante quien se presente. No podrá requerirse información adicional con motivo del nombre proporcionado por el solicitante."</w:t>
      </w:r>
    </w:p>
    <w:p w14:paraId="2192FF5B"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sz w:val="22"/>
          <w:szCs w:val="22"/>
        </w:rPr>
        <w:t>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RPr="004D578C">
        <w:rPr>
          <w:rFonts w:ascii="Palatino Linotype" w:eastAsia="Palatino Linotype" w:hAnsi="Palatino Linotype" w:cs="Palatino Linotype"/>
          <w:b/>
          <w:bCs/>
          <w:sz w:val="22"/>
          <w:szCs w:val="22"/>
        </w:rPr>
        <w:t xml:space="preserve"> SAIMEX.</w:t>
      </w:r>
    </w:p>
    <w:p w14:paraId="1F5B1722" w14:textId="77777777" w:rsidR="00313806" w:rsidRPr="004D578C" w:rsidRDefault="007468AD">
      <w:pP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en términos del artículo 179, fracción V del ordenamiento legal de la materia, que a la letra dice:</w:t>
      </w:r>
    </w:p>
    <w:p w14:paraId="04933B5D" w14:textId="77777777" w:rsidR="00313806" w:rsidRPr="004D578C" w:rsidRDefault="007468AD">
      <w:pPr>
        <w:ind w:left="567" w:right="616"/>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179.</w:t>
      </w:r>
      <w:r w:rsidRPr="004D578C">
        <w:rPr>
          <w:rFonts w:ascii="Palatino Linotype" w:eastAsia="Palatino Linotype" w:hAnsi="Palatino Linotype" w:cs="Palatino Linotype"/>
          <w:i/>
          <w:iCs/>
          <w:sz w:val="22"/>
          <w:szCs w:val="22"/>
        </w:rPr>
        <w:t>El recurso de revisión es un medio de protección que la Ley otorga a los particulares, para hacer valer su derecho de acceso a la información pública, y procederá en contra de las siguientes causas:  </w:t>
      </w:r>
    </w:p>
    <w:p w14:paraId="1F590141" w14:textId="77777777" w:rsidR="00313806" w:rsidRPr="004D578C" w:rsidRDefault="007468AD">
      <w:pPr>
        <w:ind w:left="567" w:right="616"/>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3491E35F" w14:textId="77777777" w:rsidR="00313806" w:rsidRPr="004D578C" w:rsidRDefault="007468AD">
      <w:pPr>
        <w:ind w:left="567" w:right="616"/>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w:t>
      </w:r>
      <w:r w:rsidRPr="004D578C">
        <w:rPr>
          <w:rFonts w:ascii="Palatino Linotype" w:eastAsia="Palatino Linotype" w:hAnsi="Palatino Linotype" w:cs="Palatino Linotype"/>
          <w:i/>
          <w:iCs/>
          <w:sz w:val="22"/>
          <w:szCs w:val="22"/>
        </w:rPr>
        <w:t xml:space="preserve"> La entrega de información incompleta;…”</w:t>
      </w:r>
    </w:p>
    <w:p w14:paraId="5BCC754C"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Tercero. Materia de la revisión. </w:t>
      </w:r>
      <w:r w:rsidRPr="004D578C">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4D578C">
        <w:rPr>
          <w:rFonts w:ascii="Palatino Linotype" w:eastAsia="Palatino Linotype" w:hAnsi="Palatino Linotype" w:cs="Palatino Linotype"/>
          <w:b/>
          <w:bCs/>
          <w:sz w:val="22"/>
          <w:szCs w:val="22"/>
        </w:rPr>
        <w:t xml:space="preserve">verificar si la respuesta proporcionada por el Sujeto Obligado en cumplimiento a la resolución </w:t>
      </w:r>
      <w:r w:rsidRPr="004D578C">
        <w:rPr>
          <w:rFonts w:ascii="Palatino Linotype" w:eastAsia="Palatino Linotype" w:hAnsi="Palatino Linotype" w:cs="Palatino Linotype"/>
          <w:sz w:val="22"/>
          <w:szCs w:val="22"/>
        </w:rPr>
        <w:t xml:space="preserve">recaída al recurso de revisión </w:t>
      </w:r>
      <w:r w:rsidRPr="004D578C">
        <w:rPr>
          <w:rFonts w:ascii="Palatino Linotype" w:eastAsia="Palatino Linotype" w:hAnsi="Palatino Linotype" w:cs="Palatino Linotype"/>
          <w:b/>
          <w:bCs/>
          <w:sz w:val="22"/>
          <w:szCs w:val="22"/>
        </w:rPr>
        <w:t>05447/INFOEM/IP/RR/2026</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rPr>
        <w:t xml:space="preserve">es adecuada y suficiente para satisfacer el derecho de acceso a la información pública </w:t>
      </w:r>
      <w:r w:rsidRPr="004D578C">
        <w:rPr>
          <w:rFonts w:ascii="Palatino Linotype" w:eastAsia="Palatino Linotype" w:hAnsi="Palatino Linotype" w:cs="Palatino Linotype"/>
          <w:sz w:val="22"/>
          <w:szCs w:val="22"/>
        </w:rPr>
        <w:t xml:space="preserve">de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o en su defecto, en caso de ser procedente, ordenar la entrega de información.</w:t>
      </w:r>
    </w:p>
    <w:p w14:paraId="4DBCD0E1"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bookmarkStart w:id="1" w:name="_heading=h.2et92p0" w:colFirst="0" w:colLast="0"/>
      <w:bookmarkEnd w:id="1"/>
      <w:r w:rsidRPr="004D578C">
        <w:rPr>
          <w:rFonts w:ascii="Palatino Linotype" w:eastAsia="Palatino Linotype" w:hAnsi="Palatino Linotype" w:cs="Palatino Linotype"/>
          <w:b/>
          <w:bCs/>
          <w:sz w:val="22"/>
          <w:szCs w:val="22"/>
        </w:rPr>
        <w:t xml:space="preserve">Cuarto. Estudio del asunto. </w:t>
      </w:r>
      <w:r w:rsidRPr="004D578C">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5FA633A2"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4</w:t>
      </w:r>
      <w:r w:rsidRPr="004D578C">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0617BD46"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4D578C">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57C4DDBA"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4D578C">
        <w:rPr>
          <w:rFonts w:ascii="Palatino Linotype" w:eastAsia="Palatino Linotype" w:hAnsi="Palatino Linotype" w:cs="Palatino Linotype"/>
          <w:i/>
          <w:iCs/>
          <w:sz w:val="22"/>
          <w:szCs w:val="22"/>
        </w:rPr>
        <w:t>.”</w:t>
      </w:r>
    </w:p>
    <w:p w14:paraId="367B045C"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2863047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12.-</w:t>
      </w:r>
      <w:r w:rsidRPr="004D578C">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79AEB77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3EC174EC" w14:textId="77777777" w:rsidR="00313806" w:rsidRPr="004D578C" w:rsidRDefault="007468AD">
      <w:pPr>
        <w:spacing w:before="240" w:after="240" w:line="360" w:lineRule="auto"/>
        <w:ind w:right="-93"/>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1EAF652B"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4D578C">
        <w:rPr>
          <w:rFonts w:ascii="Palatino Linotype" w:eastAsia="Palatino Linotype" w:hAnsi="Palatino Linotype" w:cs="Palatino Linotype"/>
          <w:b/>
          <w:bCs/>
          <w:sz w:val="22"/>
          <w:szCs w:val="22"/>
        </w:rPr>
        <w:t xml:space="preserve"> </w:t>
      </w:r>
    </w:p>
    <w:p w14:paraId="49C8D785" w14:textId="77777777" w:rsidR="00313806" w:rsidRPr="004D578C" w:rsidRDefault="007468AD">
      <w:pPr>
        <w:spacing w:before="120" w:after="120"/>
        <w:ind w:left="1134"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4D578C">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3900EC4C" w14:textId="77777777" w:rsidR="00313806" w:rsidRPr="004D578C" w:rsidRDefault="00313806">
      <w:pPr>
        <w:spacing w:before="120" w:after="120"/>
        <w:ind w:left="1134" w:right="902"/>
        <w:jc w:val="both"/>
        <w:rPr>
          <w:rFonts w:ascii="Palatino Linotype" w:eastAsia="Palatino Linotype" w:hAnsi="Palatino Linotype" w:cs="Palatino Linotype"/>
          <w:i/>
          <w:iCs/>
          <w:sz w:val="22"/>
          <w:szCs w:val="22"/>
        </w:rPr>
      </w:pPr>
    </w:p>
    <w:p w14:paraId="7375F76C" w14:textId="77777777" w:rsidR="00313806" w:rsidRPr="004D578C" w:rsidRDefault="007468AD">
      <w:pPr>
        <w:spacing w:before="120" w:after="12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0FA1E5F2" w14:textId="77777777" w:rsidR="00313806" w:rsidRPr="004D578C" w:rsidRDefault="007468AD">
      <w:pPr>
        <w:spacing w:before="120" w:after="12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0FF243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 xml:space="preserve">Artículo 3. </w:t>
      </w:r>
      <w:r w:rsidRPr="004D578C">
        <w:rPr>
          <w:rFonts w:ascii="Palatino Linotype" w:eastAsia="Palatino Linotype" w:hAnsi="Palatino Linotype" w:cs="Palatino Linotype"/>
          <w:i/>
          <w:iCs/>
          <w:sz w:val="22"/>
          <w:szCs w:val="22"/>
        </w:rPr>
        <w:t>Para los efectos de la presente Ley se entenderá por:</w:t>
      </w:r>
    </w:p>
    <w:p w14:paraId="671C5D3D"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4631ED83"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XI. Documento:</w:t>
      </w:r>
      <w:r w:rsidRPr="004D578C">
        <w:rPr>
          <w:rFonts w:ascii="Palatino Linotype" w:eastAsia="Palatino Linotype" w:hAnsi="Palatino Linotype" w:cs="Palatino Linotype"/>
          <w:i/>
          <w:iCs/>
          <w:sz w:val="22"/>
          <w:szCs w:val="22"/>
        </w:rPr>
        <w:t xml:space="preserve"> Los expedientes, reportes, estudios, actas</w:t>
      </w:r>
      <w:r w:rsidRPr="004D578C">
        <w:rPr>
          <w:rFonts w:ascii="Palatino Linotype" w:eastAsia="Palatino Linotype" w:hAnsi="Palatino Linotype" w:cs="Palatino Linotype"/>
          <w:b/>
          <w:bCs/>
          <w:i/>
          <w:iCs/>
          <w:sz w:val="22"/>
          <w:szCs w:val="22"/>
        </w:rPr>
        <w:t>,</w:t>
      </w:r>
      <w:r w:rsidRPr="004D578C">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04719A34"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153567AD"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sz w:val="22"/>
          <w:szCs w:val="22"/>
        </w:rPr>
        <w:t>“</w:t>
      </w:r>
      <w:r w:rsidRPr="004D578C">
        <w:rPr>
          <w:rFonts w:ascii="Palatino Linotype" w:eastAsia="Palatino Linotype" w:hAnsi="Palatino Linotype" w:cs="Palatino Linotype"/>
          <w:b/>
          <w:bCs/>
          <w:i/>
          <w:iCs/>
          <w:sz w:val="22"/>
          <w:szCs w:val="22"/>
        </w:rPr>
        <w:t>INFORMACIÓN PÚBLICA, CONCEPTO DE, EN MATERIA DE TRANSPARENCIA. INTERPRETACIÓN SISTEMÁTICA DE LOS ARTÍCULOS 2°, FRACCIÓN V, XV, Y XVI, 3°, 4°, 11 Y 41.</w:t>
      </w:r>
      <w:r w:rsidRPr="004D578C">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3CD726D3"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24F9315D"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06E785EB"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2) Que se trate de información registrada en cualquier soporte documental, que en ejercicio de las atribuciones conferidas, sea administrada por los Sujetos Obligados, y</w:t>
      </w:r>
    </w:p>
    <w:p w14:paraId="7B0946A2"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3) Que se trate de información registrada en cualquier soporte documental, que en ejercicio de las atribuciones conferidas, se encuentre en posesión de los Sujetos Obligados.”</w:t>
      </w:r>
    </w:p>
    <w:p w14:paraId="2DE7B2E2" w14:textId="77777777" w:rsidR="00313806" w:rsidRPr="004D578C" w:rsidRDefault="007468AD">
      <w:pPr>
        <w:spacing w:before="240" w:after="240" w:line="360" w:lineRule="auto"/>
        <w:ind w:right="51"/>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2CC64FA9"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4EEACBC7"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Acotado lo anterior, del análisis de la solicitud de información motivo del recurso de revisión que ahora se resuelve, se advierte que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requirió al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la siguiente información:</w:t>
      </w:r>
    </w:p>
    <w:p w14:paraId="209872C7" w14:textId="77777777" w:rsidR="00313806" w:rsidRPr="004D578C" w:rsidRDefault="007468AD">
      <w:pPr>
        <w:spacing w:before="240" w:after="240" w:line="360" w:lineRule="auto"/>
        <w:ind w:left="284"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1. Recibos de nómina firmados por los servidores públicos, de la quincena del 15 de abril del 2026.</w:t>
      </w:r>
    </w:p>
    <w:p w14:paraId="1377FBD6"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respuesta a la solicitud en cumplimiento a la resolución emitida por el Pleno de este Instituto,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hizo entrega de quince recibos de nómina de la primera quincena de abril de dos mil veintiséis del personal de Protección Civil y veintiocho recibos de nómina de la primera quincena de abril de dos mil veintiséis del personal de Seguridad Pública, testados.</w:t>
      </w:r>
    </w:p>
    <w:p w14:paraId="7D04F56A" w14:textId="77777777" w:rsidR="00313806" w:rsidRPr="004D578C" w:rsidRDefault="007468AD">
      <w:pPr>
        <w:spacing w:before="240" w:after="240" w:line="360" w:lineRule="auto"/>
        <w:ind w:right="51"/>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No obstante,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interpuso el recurso de revisión que nos ocupa, en el cual señaló que no se entregó la totalidad de los recibos de nómina, al haberse entregado únicamente los correspondientes al personal de Seguridad Pública y Protección Civil, faltando todos los recibos de los demás empleados que laboran en el Ayuntamiento, y los integrantes del Cabildo.</w:t>
      </w:r>
    </w:p>
    <w:p w14:paraId="4247D7F2"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Es de señalar que, de la lectura del motivo de inconformidad de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se advierte que este no versa sobre la información proporcionada por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ya que no manifestó agravios respecto de los recibos de nómina proporcionados, sino por la información faltante que consiste en los recibos de nómina de los demás empleados del Ayuntamiento y los integrantes del Cabildo, del periodo solicitado.</w:t>
      </w:r>
    </w:p>
    <w:p w14:paraId="5934433E"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Lo anterior es así, debido a que cuando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xml:space="preserve"> impugna la respuesta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y éste no expresa razón o motivo de inconformidad en contra de todos los rubros solicitados, dichos rubros deben declararse atendidos, pues se entiende que ésta conforme con la información entregada al no contravenir la misma. </w:t>
      </w:r>
    </w:p>
    <w:p w14:paraId="450483AE"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Sirve de apoyo a lo anterior, lo plasmado en el criterio orientador con clave de control SO/001/2020, emitido por el entonces Instituto Nacional de Transparencia, Acceso a la Información, y Protección de Datos Personales, INAI, que lleva por rubro y texto, lo siguiente: </w:t>
      </w:r>
    </w:p>
    <w:p w14:paraId="593C821A"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 xml:space="preserve">Actos consentidos tácitamente. Improcedencia de su análisis. </w:t>
      </w:r>
      <w:r w:rsidRPr="004D578C">
        <w:rPr>
          <w:rFonts w:ascii="Palatino Linotype" w:eastAsia="Palatino Linotype" w:hAnsi="Palatino Linotype" w:cs="Palatino Linotype"/>
          <w:i/>
          <w:iCs/>
          <w:sz w:val="22"/>
          <w:szCs w:val="22"/>
        </w:rPr>
        <w:t>Si en su recurso de revisión, la persona recurrente no expresó inconformidad alguna con ciertas partes de la respuesta otorgada, se entienden tácitamente consentidas, por ende, no deben formar parte del estudio de fondo de la resolución que emite el Instituto.”</w:t>
      </w:r>
    </w:p>
    <w:p w14:paraId="0157FBC3"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Asimismo, resulta aplicable por analogía la tesis jurisprudencial número VI.3o.C. J/60, publicada en el Semanario Judicial de la Federación y su Gaceta bajo el número de registro 176,608 que a la letra dice:</w:t>
      </w:r>
    </w:p>
    <w:p w14:paraId="276212ED" w14:textId="77777777" w:rsidR="00313806" w:rsidRPr="004D578C" w:rsidRDefault="007468AD">
      <w:pPr>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mallCaps/>
          <w:sz w:val="22"/>
          <w:szCs w:val="22"/>
        </w:rPr>
        <w:t xml:space="preserve">“ACTOS CONSENTIDOS. SON LOS QUE NO SE IMPUGNAN MEDIANTE EL RECURSO IDÓNEO. </w:t>
      </w:r>
      <w:r w:rsidRPr="004D578C">
        <w:rPr>
          <w:rFonts w:ascii="Palatino Linotype" w:eastAsia="Palatino Linotype" w:hAnsi="Palatino Linotype" w:cs="Palatino Linotype"/>
          <w:i/>
          <w:iCs/>
          <w:sz w:val="22"/>
          <w:szCs w:val="22"/>
        </w:rPr>
        <w:t>Debe reputarse como consentido el acto que no se impugnó por el medio establecido por la ley, ya que si se hizo uso de otro no previsto por ella o si se hace una simple manifestación de inconformidad, tales actuaciones no producen efectos jurídicos tendientes a revocar, confirmar o modificar el acto reclamado en amparo, lo que significa consentimiento del mismo por falta de impugnación eficaz.”</w:t>
      </w:r>
    </w:p>
    <w:p w14:paraId="787CD295"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consecuencia, se insiste, ante la falta de impugnación eficaz, la respuesta entregada debe declararse consentida por la persona solicitante, y, por consiguiente, no es procedente el análisis de fondo en la resolución.</w:t>
      </w:r>
    </w:p>
    <w:p w14:paraId="67A78437"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la etapa de manifestaciones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ratificó en lo sustancia, la respuesta proporcionada a la solicitud, argumentando que se hizo entrega de los recibos de nómina que se encontraban firmados al momento de haberse recibido la solicitud, atendiendo a la literalidad de la solicitud, dado que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no especificó el número, el área o cargo de los trabajadores de quienes requiere la información.</w:t>
      </w:r>
    </w:p>
    <w:p w14:paraId="208831BC"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Mientras que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23E8C786" w14:textId="77777777" w:rsidR="00313806" w:rsidRPr="004D578C" w:rsidRDefault="007468AD">
      <w:pPr>
        <w:spacing w:before="280" w:after="28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Una vez establecidas las posturas de las partes, se procede al análisis del requerimiento de información combatido, así como la información proporcionada por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en contraposición con el motivo de inconformidad alegado por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343B2B6F"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este tenor, en principio es imprescindible mencionar que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no niega la competencia para conocer de la información solicitada, sino por el contrario, con la información proporcionada en la etapa de manifestaciones asevera que es competente para conocer de la solicitud</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sz w:val="22"/>
          <w:szCs w:val="22"/>
        </w:rPr>
        <w:t xml:space="preserve">lo anterior es así, ya que el estudio enunciado tiene por objeto determinar si los Sujetos Obligados generan, poseen o administran  la información solicitada, sin embargo, en aquellos casos en que estos han asumido la competencia, sería ocioso y a nada práctico nos conduciría su estudio, ya que, se insiste, </w:t>
      </w:r>
      <w:r w:rsidRPr="004D578C">
        <w:rPr>
          <w:rFonts w:ascii="Palatino Linotype" w:eastAsia="Palatino Linotype" w:hAnsi="Palatino Linotype" w:cs="Palatino Linotype"/>
          <w:b/>
          <w:bCs/>
          <w:sz w:val="22"/>
          <w:szCs w:val="22"/>
        </w:rPr>
        <w:t>el ente obligado</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u w:val="single"/>
        </w:rPr>
        <w:t>asumió la competencia referida</w:t>
      </w:r>
      <w:r w:rsidRPr="004D578C">
        <w:rPr>
          <w:rFonts w:ascii="Palatino Linotype" w:eastAsia="Palatino Linotype" w:hAnsi="Palatino Linotype" w:cs="Palatino Linotype"/>
          <w:sz w:val="22"/>
          <w:szCs w:val="22"/>
        </w:rPr>
        <w:t>, motivo por el cual se actualiza el supuesto previsto en el artículo 12 de la legislación aplicable en la materia, citado con antelación.</w:t>
      </w:r>
    </w:p>
    <w:p w14:paraId="5CFE0D4D"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Ahora bien, por lo que se refiere a la materia de la solicitud, derivado de las constancias que obran en el expediente electrónico en el que se actúa, se advierte que el motivo de inconformidad de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es fundado, toda vez que el Sujeto Obligado se limitó a hacer entrega de los recibos de nómina de dos áreas, mientras que en la persona solicitante requirió el acceso a los recibos de nómina correspondientes a la primera quincena de abril de dos mil veintiséis, es decir, todos los recibos de nómina de todas las personas que laboran en el ayuntamiento.</w:t>
      </w:r>
    </w:p>
    <w:p w14:paraId="195123DC" w14:textId="77777777" w:rsidR="00313806" w:rsidRPr="004D578C" w:rsidRDefault="007468AD">
      <w:pPr>
        <w:spacing w:before="240" w:after="240" w:line="360" w:lineRule="auto"/>
        <w:ind w:right="49"/>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sz w:val="22"/>
          <w:szCs w:val="22"/>
        </w:rPr>
        <w:t xml:space="preserve">Y, si bien es cierto que en la solicitud se señaló que se requerían los recibos de nómina firmados, ello no es razón suficiente para que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se hubiera limitado a entregar aquellos recibos de nómina que se encontraban firmados a la fecha de presentación de la solicitud, toda vez que la normativa de la materia de constriñe a proporcionar la información solicitada como se hubieran generado y en el estado en el que se encuentren al momento de que les sea solicitada, más no a generar información, practicar investigaciones, o realizar cálculos para proporcionarla conforme al interés de los solicitantes, en este caso, todos recibos de nómina de la primera quincena de abril de dos mil veintiséis, contaran o no con firma de los servidores públicos, sin estar obligados a recabar la firma de estos para atender la solicitud en los términos requeridos por la parte </w:t>
      </w:r>
      <w:r w:rsidRPr="004D578C">
        <w:rPr>
          <w:rFonts w:ascii="Palatino Linotype" w:eastAsia="Palatino Linotype" w:hAnsi="Palatino Linotype" w:cs="Palatino Linotype"/>
          <w:b/>
          <w:bCs/>
          <w:sz w:val="22"/>
          <w:szCs w:val="22"/>
        </w:rPr>
        <w:t>Recurrente.</w:t>
      </w:r>
    </w:p>
    <w:p w14:paraId="58D95D14"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Bajo esta línea de pensamiento, es evidente que para tener por satisfecho el Derecho de acceso de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deberá hacer entrega de los recibos de nómina de la primera quincena de abril de dos mil veintiséis, faltantes, en versión pública de conformidad con el considerando siguiente.</w:t>
      </w:r>
    </w:p>
    <w:p w14:paraId="25D49DE9"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Para lo cual no obsta mencionar que de conformidad con los artículos 10 y 45 del Bando Municipal, la estructura orgánica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se integra de la siguiente forma: </w:t>
      </w:r>
    </w:p>
    <w:p w14:paraId="68BABEB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10</w:t>
      </w:r>
      <w:r w:rsidRPr="004D578C">
        <w:rPr>
          <w:rFonts w:ascii="Palatino Linotype" w:eastAsia="Palatino Linotype" w:hAnsi="Palatino Linotype" w:cs="Palatino Linotype"/>
          <w:i/>
          <w:iCs/>
          <w:sz w:val="22"/>
          <w:szCs w:val="22"/>
        </w:rPr>
        <w:t xml:space="preserve">.- El Ayuntamiento de Isidro Fabela se integra por </w:t>
      </w:r>
      <w:r w:rsidRPr="004D578C">
        <w:rPr>
          <w:rFonts w:ascii="Palatino Linotype" w:eastAsia="Palatino Linotype" w:hAnsi="Palatino Linotype" w:cs="Palatino Linotype"/>
          <w:b/>
          <w:bCs/>
          <w:i/>
          <w:iCs/>
          <w:sz w:val="22"/>
          <w:szCs w:val="22"/>
        </w:rPr>
        <w:t>una Presidenta Municipal, un síndico y siete regidoras o regidore</w:t>
      </w:r>
      <w:r w:rsidRPr="004D578C">
        <w:rPr>
          <w:rFonts w:ascii="Palatino Linotype" w:eastAsia="Palatino Linotype" w:hAnsi="Palatino Linotype" w:cs="Palatino Linotype"/>
          <w:i/>
          <w:iCs/>
          <w:sz w:val="22"/>
          <w:szCs w:val="22"/>
        </w:rPr>
        <w:t>s, cuatro electos por el principio de mayoría relativa y tres por representación proporcional.</w:t>
      </w:r>
    </w:p>
    <w:p w14:paraId="5F339932"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5988F2C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45.-</w:t>
      </w:r>
      <w:r w:rsidRPr="004D578C">
        <w:rPr>
          <w:rFonts w:ascii="Palatino Linotype" w:eastAsia="Palatino Linotype" w:hAnsi="Palatino Linotype" w:cs="Palatino Linotype"/>
          <w:i/>
          <w:iCs/>
          <w:sz w:val="22"/>
          <w:szCs w:val="22"/>
        </w:rPr>
        <w:t xml:space="preserve"> La administración pública municipal de Isidro Fabela se integra por las dependencias del sector central, organismos descentralizados y organismos autónomos siguientes: </w:t>
      </w:r>
    </w:p>
    <w:p w14:paraId="75D66713" w14:textId="77777777" w:rsidR="00313806" w:rsidRPr="004D578C" w:rsidRDefault="007468AD">
      <w:pPr>
        <w:spacing w:before="120" w:after="120"/>
        <w:ind w:left="851" w:right="902"/>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 xml:space="preserve">I. Sector Central </w:t>
      </w:r>
    </w:p>
    <w:p w14:paraId="3D3D393E"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a) Presidencia Municipal </w:t>
      </w:r>
    </w:p>
    <w:p w14:paraId="70C9C46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b) Secretaría del Ayuntamiento </w:t>
      </w:r>
    </w:p>
    <w:p w14:paraId="077FBAA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c) Tesorería Municipal </w:t>
      </w:r>
    </w:p>
    <w:p w14:paraId="4A290EA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d) Dirección de Obras Públicas y Desarrollo Urbano </w:t>
      </w:r>
    </w:p>
    <w:p w14:paraId="24242963"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e) Comisaría de Seguridad Pública </w:t>
      </w:r>
    </w:p>
    <w:p w14:paraId="1A547317"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f) Dirección de Servicios Públicos </w:t>
      </w:r>
    </w:p>
    <w:p w14:paraId="34CFEEB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g) Dirección de Agua Potable </w:t>
      </w:r>
    </w:p>
    <w:p w14:paraId="280555D2"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h) Dirección de Administración </w:t>
      </w:r>
    </w:p>
    <w:p w14:paraId="6FBA1860"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i) Dirección Desarrollo Económico y Normatividad</w:t>
      </w:r>
    </w:p>
    <w:p w14:paraId="514618D4"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j) Dirección de Ecología </w:t>
      </w:r>
    </w:p>
    <w:p w14:paraId="093363E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k) Dirección de Atención a la Mujer </w:t>
      </w:r>
    </w:p>
    <w:p w14:paraId="138C0ABB"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l) Dirección de Casa de Cultura</w:t>
      </w:r>
    </w:p>
    <w:p w14:paraId="7E8466C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m) Dirección de Turismo </w:t>
      </w:r>
    </w:p>
    <w:p w14:paraId="38688929"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n) Dirección de Protección Civil </w:t>
      </w:r>
    </w:p>
    <w:p w14:paraId="1D62B6D9"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o) Dirección de Desarrollo Agropecuario </w:t>
      </w:r>
    </w:p>
    <w:p w14:paraId="6F0D6B36"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p) Dirección de Bienestar </w:t>
      </w:r>
    </w:p>
    <w:p w14:paraId="70D6E249"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q) Dirección de Catastro </w:t>
      </w:r>
    </w:p>
    <w:p w14:paraId="7EB40B7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r) Órgano Interno de Control”</w:t>
      </w:r>
    </w:p>
    <w:p w14:paraId="5C28EBA9"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bookmarkStart w:id="2" w:name="_heading=h.ufldlg1z5cqe" w:colFirst="0" w:colLast="0"/>
      <w:bookmarkEnd w:id="2"/>
      <w:r w:rsidRPr="004D578C">
        <w:rPr>
          <w:rFonts w:ascii="Palatino Linotype" w:eastAsia="Palatino Linotype" w:hAnsi="Palatino Linotype" w:cs="Palatino Linotype"/>
          <w:sz w:val="22"/>
          <w:szCs w:val="22"/>
        </w:rPr>
        <w:t xml:space="preserve">Finalmente, no pasa desapercibido para este Instituto que de los documentos remitidos en respuesta en cumplimiento a la resolución 05447/INFOEM/IP/RR/2026,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proporcionó el nombre de los elementos operativos adscritos a la Comisaría de Seguridad Pública, el cual reviste el carácter de información reservada al actualizar la hipótesis prevista en el artículo 140 fracción IV de la Ley de Transparencia y Acceso a la Información Pública del Estado de México y Municipios, que a su vez se vincula con la diversa del artículo 112 fracción V de la Ley General de Transparencia y Acceso a la Información Pública, como se detallará en el considerando siguiente, en términos de lo previsto en el artículo 190 de la Ley de Transparencia y Acceso a la Información Pública del Estado de México y Municipios, se ordena dar vista a la </w:t>
      </w:r>
      <w:r w:rsidRPr="004D578C">
        <w:rPr>
          <w:rFonts w:ascii="Palatino Linotype" w:eastAsia="Palatino Linotype" w:hAnsi="Palatino Linotype" w:cs="Palatino Linotype"/>
          <w:b/>
          <w:bCs/>
          <w:sz w:val="22"/>
          <w:szCs w:val="22"/>
        </w:rPr>
        <w:t>Secretaría Técnica del Pleno</w:t>
      </w:r>
      <w:r w:rsidRPr="004D578C">
        <w:rPr>
          <w:rFonts w:ascii="Palatino Linotype" w:eastAsia="Palatino Linotype" w:hAnsi="Palatino Linotype" w:cs="Palatino Linotype"/>
          <w:sz w:val="22"/>
          <w:szCs w:val="22"/>
        </w:rPr>
        <w:t xml:space="preserve"> a efecto de que ejerza las atribuciones previstas en la normatividad aplicable y comunique al Órgano de Control Interno competente para que este último en ejercicio de sus atribuciones resuelva lo conducente y determine en su caso el grado de responsabilidad en el incumplimiento de las obligaciones establecidas en la citada Ley. </w:t>
      </w:r>
    </w:p>
    <w:p w14:paraId="28E58FFB"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 lo hasta aquí expuesto, se concluye que los motivos de inconformidad de la parte </w:t>
      </w:r>
      <w:r w:rsidRPr="004D578C">
        <w:rPr>
          <w:rFonts w:ascii="Palatino Linotype" w:eastAsia="Palatino Linotype" w:hAnsi="Palatino Linotype" w:cs="Palatino Linotype"/>
          <w:b/>
          <w:bCs/>
          <w:sz w:val="22"/>
          <w:szCs w:val="22"/>
        </w:rPr>
        <w:t xml:space="preserve">Recurrente </w:t>
      </w:r>
      <w:r w:rsidRPr="004D578C">
        <w:rPr>
          <w:rFonts w:ascii="Palatino Linotype" w:eastAsia="Palatino Linotype" w:hAnsi="Palatino Linotype" w:cs="Palatino Linotype"/>
          <w:sz w:val="22"/>
          <w:szCs w:val="22"/>
        </w:rPr>
        <w:t xml:space="preserve">devienen fundados, siendo procedente </w:t>
      </w:r>
      <w:r w:rsidRPr="004D578C">
        <w:rPr>
          <w:rFonts w:ascii="Palatino Linotype" w:eastAsia="Palatino Linotype" w:hAnsi="Palatino Linotype" w:cs="Palatino Linotype"/>
          <w:i/>
          <w:iCs/>
          <w:sz w:val="22"/>
          <w:szCs w:val="22"/>
        </w:rPr>
        <w:t xml:space="preserve">Revocar </w:t>
      </w:r>
      <w:r w:rsidRPr="004D578C">
        <w:rPr>
          <w:rFonts w:ascii="Palatino Linotype" w:eastAsia="Palatino Linotype" w:hAnsi="Palatino Linotype" w:cs="Palatino Linotype"/>
          <w:sz w:val="22"/>
          <w:szCs w:val="22"/>
        </w:rPr>
        <w:t xml:space="preserve">la respuesta proporcionada por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en cumplimiento a la resolución del recurso de revisión 05447/INFOEM/IP/RR/2026</w:t>
      </w:r>
      <w:r w:rsidRPr="004D578C">
        <w:rPr>
          <w:rFonts w:ascii="Palatino Linotype" w:eastAsia="Palatino Linotype" w:hAnsi="Palatino Linotype" w:cs="Palatino Linotype"/>
          <w:b/>
          <w:bCs/>
          <w:sz w:val="22"/>
          <w:szCs w:val="22"/>
        </w:rPr>
        <w:t xml:space="preserve"> </w:t>
      </w:r>
      <w:r w:rsidRPr="004D578C">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14:paraId="09D16502" w14:textId="77777777" w:rsidR="00313806" w:rsidRPr="004D578C" w:rsidRDefault="007468AD">
      <w:pPr>
        <w:spacing w:before="240" w:after="240" w:line="360" w:lineRule="auto"/>
        <w:ind w:right="51"/>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Quinto. Versión Pública. </w:t>
      </w:r>
      <w:r w:rsidRPr="004D578C">
        <w:rPr>
          <w:rFonts w:ascii="Palatino Linotype" w:eastAsia="Palatino Linotype" w:hAnsi="Palatino Linotype" w:cs="Palatino Linotype"/>
          <w:sz w:val="22"/>
          <w:szCs w:val="22"/>
        </w:rPr>
        <w:t>Como fue debidamente apuntado,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411CA284"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029382EA"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70120021"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14:paraId="7D9BE9DF"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sz w:val="22"/>
          <w:szCs w:val="22"/>
        </w:rPr>
        <w:t> </w:t>
      </w: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3.</w:t>
      </w:r>
      <w:r w:rsidRPr="004D578C">
        <w:rPr>
          <w:rFonts w:ascii="Palatino Linotype" w:eastAsia="Palatino Linotype" w:hAnsi="Palatino Linotype" w:cs="Palatino Linotype"/>
          <w:i/>
          <w:iCs/>
          <w:sz w:val="22"/>
          <w:szCs w:val="22"/>
        </w:rPr>
        <w:t xml:space="preserve"> Para los efectos de la presente Ley se entenderá por:</w:t>
      </w:r>
    </w:p>
    <w:p w14:paraId="616818E7"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719050B9"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IX. Datos personales</w:t>
      </w:r>
      <w:r w:rsidRPr="004D578C">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4875BE3F"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6810463C"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XX. Información clasificada</w:t>
      </w:r>
      <w:r w:rsidRPr="004D578C">
        <w:rPr>
          <w:rFonts w:ascii="Palatino Linotype" w:eastAsia="Palatino Linotype" w:hAnsi="Palatino Linotype" w:cs="Palatino Linotype"/>
          <w:i/>
          <w:iCs/>
          <w:sz w:val="22"/>
          <w:szCs w:val="22"/>
        </w:rPr>
        <w:t>: Aquella considerada por la presente Ley como reservada o confidencial;</w:t>
      </w:r>
    </w:p>
    <w:p w14:paraId="53635359"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XXI. Información confidencial</w:t>
      </w:r>
      <w:r w:rsidRPr="004D578C">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24815839"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112242D9"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XXXII. Protección de Datos Personales</w:t>
      </w:r>
      <w:r w:rsidRPr="004D578C">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6A6B44E3"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303EB24D" w14:textId="77777777" w:rsidR="00313806" w:rsidRPr="004D578C" w:rsidRDefault="007468AD">
      <w:pPr>
        <w:tabs>
          <w:tab w:val="left" w:pos="1276"/>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XLV. Versión pública</w:t>
      </w:r>
      <w:r w:rsidRPr="004D578C">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704AF4C8"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Artículo 6</w:t>
      </w:r>
      <w:r w:rsidRPr="004D578C">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069DA16F"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6846CDB4"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91.</w:t>
      </w:r>
      <w:r w:rsidRPr="004D578C">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4D578C">
        <w:rPr>
          <w:rFonts w:ascii="Palatino Linotype" w:eastAsia="Palatino Linotype" w:hAnsi="Palatino Linotype" w:cs="Palatino Linotype"/>
          <w:i/>
          <w:iCs/>
          <w:sz w:val="22"/>
          <w:szCs w:val="22"/>
        </w:rPr>
        <w:br/>
        <w:t>…</w:t>
      </w:r>
    </w:p>
    <w:p w14:paraId="7F4E5CEF"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132.</w:t>
      </w:r>
      <w:r w:rsidRPr="004D578C">
        <w:rPr>
          <w:rFonts w:ascii="Palatino Linotype" w:eastAsia="Palatino Linotype" w:hAnsi="Palatino Linotype" w:cs="Palatino Linotype"/>
          <w:i/>
          <w:iCs/>
          <w:sz w:val="22"/>
          <w:szCs w:val="22"/>
        </w:rPr>
        <w:t xml:space="preserve"> La clasificación de la información se llevará a cabo en el momento en que:</w:t>
      </w:r>
    </w:p>
    <w:p w14:paraId="7C504843"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w:t>
      </w:r>
      <w:r w:rsidRPr="004D578C">
        <w:rPr>
          <w:rFonts w:ascii="Palatino Linotype" w:eastAsia="Palatino Linotype" w:hAnsi="Palatino Linotype" w:cs="Palatino Linotype"/>
          <w:i/>
          <w:iCs/>
          <w:sz w:val="22"/>
          <w:szCs w:val="22"/>
        </w:rPr>
        <w:t>. Se reciba una solicitud de acceso a la información;</w:t>
      </w:r>
    </w:p>
    <w:p w14:paraId="2EF133E4"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w:t>
      </w:r>
      <w:r w:rsidRPr="004D578C">
        <w:rPr>
          <w:rFonts w:ascii="Palatino Linotype" w:eastAsia="Palatino Linotype" w:hAnsi="Palatino Linotype" w:cs="Palatino Linotype"/>
          <w:i/>
          <w:iCs/>
          <w:sz w:val="22"/>
          <w:szCs w:val="22"/>
        </w:rPr>
        <w:t xml:space="preserve"> Se determine mediante resolución de autoridad competente; o</w:t>
      </w:r>
    </w:p>
    <w:p w14:paraId="76608DE9"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III.</w:t>
      </w:r>
      <w:r w:rsidRPr="004D578C">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71312CE9"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w:t>
      </w:r>
    </w:p>
    <w:p w14:paraId="0694DDD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137.</w:t>
      </w:r>
      <w:r w:rsidRPr="004D578C">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180FF41A"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Artículo 143.</w:t>
      </w:r>
      <w:r w:rsidRPr="004D578C">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37143F3F"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w:t>
      </w:r>
      <w:r w:rsidRPr="004D578C">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1ECB1766" w14:textId="77777777" w:rsidR="00313806" w:rsidRPr="004D578C" w:rsidRDefault="007468AD">
      <w:pPr>
        <w:spacing w:before="240" w:after="240" w:line="360" w:lineRule="auto"/>
        <w:ind w:right="50"/>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704D70C7" w14:textId="77777777" w:rsidR="00313806" w:rsidRPr="004D578C" w:rsidRDefault="007468AD">
      <w:pPr>
        <w:spacing w:before="240" w:after="240" w:line="360" w:lineRule="auto"/>
        <w:ind w:right="50"/>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65EC827E"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el caso específico, la información que se ordena si bien tiene el carácter información pública en razón de que se trata de documentos que se encuentran en posesión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derivado del ejercicio de sus atribuciones, tal como quedo acotado en el cuerpo de la presente Resolución, también contienen los datos personales de servidores públicos, que de hacerse públicos afectarían su intimidad y vida privada; es por ello que es criterio reiterado en las resoluciones de este Pleno que, además de los datos especificados en la Ley de Transparencia y Acceso a la Información Pública del Estado de México y Municipios, se consideran confidenciales y por tanto deben testarse al momento de la elaboración de versiones públicas el </w:t>
      </w:r>
      <w:r w:rsidRPr="004D578C">
        <w:rPr>
          <w:rFonts w:ascii="Palatino Linotype" w:eastAsia="Palatino Linotype" w:hAnsi="Palatino Linotype" w:cs="Palatino Linotype"/>
          <w:b/>
          <w:bCs/>
          <w:sz w:val="22"/>
          <w:szCs w:val="22"/>
        </w:rPr>
        <w:t>Registro Federal de Contribuyentes</w:t>
      </w:r>
      <w:r w:rsidRPr="004D578C">
        <w:rPr>
          <w:rFonts w:ascii="Palatino Linotype" w:eastAsia="Palatino Linotype" w:hAnsi="Palatino Linotype" w:cs="Palatino Linotype"/>
          <w:sz w:val="22"/>
          <w:szCs w:val="22"/>
        </w:rPr>
        <w:t xml:space="preserve"> (RFC), la </w:t>
      </w:r>
      <w:r w:rsidRPr="004D578C">
        <w:rPr>
          <w:rFonts w:ascii="Palatino Linotype" w:eastAsia="Palatino Linotype" w:hAnsi="Palatino Linotype" w:cs="Palatino Linotype"/>
          <w:b/>
          <w:bCs/>
          <w:sz w:val="22"/>
          <w:szCs w:val="22"/>
        </w:rPr>
        <w:t>Clave Única de Registro de Población</w:t>
      </w:r>
      <w:r w:rsidRPr="004D578C">
        <w:rPr>
          <w:rFonts w:ascii="Palatino Linotype" w:eastAsia="Palatino Linotype" w:hAnsi="Palatino Linotype" w:cs="Palatino Linotype"/>
          <w:sz w:val="22"/>
          <w:szCs w:val="22"/>
        </w:rPr>
        <w:t xml:space="preserve"> (CURP), la </w:t>
      </w:r>
      <w:r w:rsidRPr="004D578C">
        <w:rPr>
          <w:rFonts w:ascii="Palatino Linotype" w:eastAsia="Palatino Linotype" w:hAnsi="Palatino Linotype" w:cs="Palatino Linotype"/>
          <w:b/>
          <w:bCs/>
          <w:sz w:val="22"/>
          <w:szCs w:val="22"/>
        </w:rPr>
        <w:t>Clave de cualquier tipo de seguridad social</w:t>
      </w:r>
      <w:r w:rsidRPr="004D578C">
        <w:rPr>
          <w:rFonts w:ascii="Palatino Linotype" w:eastAsia="Palatino Linotype" w:hAnsi="Palatino Linotype" w:cs="Palatino Linotype"/>
          <w:sz w:val="22"/>
          <w:szCs w:val="22"/>
        </w:rPr>
        <w:t xml:space="preserve"> (ISSEMYM, u otros), los </w:t>
      </w:r>
      <w:r w:rsidRPr="004D578C">
        <w:rPr>
          <w:rFonts w:ascii="Palatino Linotype" w:eastAsia="Palatino Linotype" w:hAnsi="Palatino Linotype" w:cs="Palatino Linotype"/>
          <w:b/>
          <w:bCs/>
          <w:sz w:val="22"/>
          <w:szCs w:val="22"/>
        </w:rPr>
        <w:t>números de cuentas bancarias</w:t>
      </w:r>
      <w:r w:rsidRPr="004D578C">
        <w:rPr>
          <w:rFonts w:ascii="Palatino Linotype" w:eastAsia="Palatino Linotype" w:hAnsi="Palatino Linotype" w:cs="Palatino Linotype"/>
          <w:sz w:val="22"/>
          <w:szCs w:val="22"/>
        </w:rPr>
        <w:t xml:space="preserve">, claves estandarizadas – interbancarias - (CLABES) y de tarjetas, los </w:t>
      </w:r>
      <w:r w:rsidRPr="004D578C">
        <w:rPr>
          <w:rFonts w:ascii="Palatino Linotype" w:eastAsia="Palatino Linotype" w:hAnsi="Palatino Linotype" w:cs="Palatino Linotype"/>
          <w:b/>
          <w:bCs/>
          <w:sz w:val="22"/>
          <w:szCs w:val="22"/>
        </w:rPr>
        <w:t>préstamos o descuentos</w:t>
      </w:r>
      <w:r w:rsidRPr="004D578C">
        <w:rPr>
          <w:rFonts w:ascii="Palatino Linotype" w:eastAsia="Palatino Linotype" w:hAnsi="Palatino Linotype" w:cs="Palatino Linotype"/>
          <w:sz w:val="22"/>
          <w:szCs w:val="22"/>
        </w:rPr>
        <w:t xml:space="preserve"> que se le hagan a la persona y que no tengan relación con los impuestos o la cuota por seguridad social, el</w:t>
      </w:r>
      <w:r w:rsidRPr="004D578C">
        <w:rPr>
          <w:rFonts w:ascii="Palatino Linotype" w:eastAsia="Palatino Linotype" w:hAnsi="Palatino Linotype" w:cs="Palatino Linotype"/>
          <w:b/>
          <w:bCs/>
          <w:sz w:val="22"/>
          <w:szCs w:val="22"/>
        </w:rPr>
        <w:t xml:space="preserve"> número de empleado, </w:t>
      </w:r>
      <w:r w:rsidRPr="004D578C">
        <w:rPr>
          <w:rFonts w:ascii="Palatino Linotype" w:eastAsia="Palatino Linotype" w:hAnsi="Palatino Linotype" w:cs="Palatino Linotype"/>
          <w:sz w:val="22"/>
          <w:szCs w:val="22"/>
        </w:rPr>
        <w:t xml:space="preserve">y, de ser el caso, el </w:t>
      </w:r>
      <w:r w:rsidRPr="004D578C">
        <w:rPr>
          <w:rFonts w:ascii="Palatino Linotype" w:eastAsia="Palatino Linotype" w:hAnsi="Palatino Linotype" w:cs="Palatino Linotype"/>
          <w:b/>
          <w:bCs/>
          <w:sz w:val="22"/>
          <w:szCs w:val="22"/>
        </w:rPr>
        <w:t>folio fiscal</w:t>
      </w:r>
      <w:r w:rsidRPr="004D578C">
        <w:rPr>
          <w:rFonts w:ascii="Palatino Linotype" w:eastAsia="Palatino Linotype" w:hAnsi="Palatino Linotype" w:cs="Palatino Linotype"/>
          <w:sz w:val="22"/>
          <w:szCs w:val="22"/>
        </w:rPr>
        <w:t xml:space="preserve">, la </w:t>
      </w:r>
      <w:r w:rsidRPr="004D578C">
        <w:rPr>
          <w:rFonts w:ascii="Palatino Linotype" w:eastAsia="Palatino Linotype" w:hAnsi="Palatino Linotype" w:cs="Palatino Linotype"/>
          <w:b/>
          <w:bCs/>
          <w:sz w:val="22"/>
          <w:szCs w:val="22"/>
        </w:rPr>
        <w:t xml:space="preserve">cadena original, </w:t>
      </w:r>
      <w:r w:rsidRPr="004D578C">
        <w:rPr>
          <w:rFonts w:ascii="Palatino Linotype" w:eastAsia="Palatino Linotype" w:hAnsi="Palatino Linotype" w:cs="Palatino Linotype"/>
          <w:sz w:val="22"/>
          <w:szCs w:val="22"/>
        </w:rPr>
        <w:t>los</w:t>
      </w:r>
      <w:r w:rsidRPr="004D578C">
        <w:rPr>
          <w:rFonts w:ascii="Palatino Linotype" w:eastAsia="Palatino Linotype" w:hAnsi="Palatino Linotype" w:cs="Palatino Linotype"/>
          <w:b/>
          <w:bCs/>
          <w:sz w:val="22"/>
          <w:szCs w:val="22"/>
        </w:rPr>
        <w:t xml:space="preserve"> códigos bidimensionales o códigos QR,</w:t>
      </w:r>
      <w:r w:rsidRPr="004D578C">
        <w:rPr>
          <w:rFonts w:ascii="Palatino Linotype" w:eastAsia="Palatino Linotype" w:hAnsi="Palatino Linotype" w:cs="Palatino Linotype"/>
          <w:sz w:val="22"/>
          <w:szCs w:val="22"/>
        </w:rPr>
        <w:t xml:space="preserve"> y cualquier información de carácter fiscal.</w:t>
      </w:r>
    </w:p>
    <w:p w14:paraId="3D5713E2" w14:textId="77777777" w:rsidR="00313806" w:rsidRPr="004D578C" w:rsidRDefault="007468AD">
      <w:pPr>
        <w:spacing w:before="240" w:after="240" w:line="360" w:lineRule="auto"/>
        <w:ind w:right="50"/>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50A2A575"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Por cuanto hace al </w:t>
      </w:r>
      <w:r w:rsidRPr="004D578C">
        <w:rPr>
          <w:rFonts w:ascii="Palatino Linotype" w:eastAsia="Palatino Linotype" w:hAnsi="Palatino Linotype" w:cs="Palatino Linotype"/>
          <w:b/>
          <w:bCs/>
          <w:sz w:val="22"/>
          <w:szCs w:val="22"/>
        </w:rPr>
        <w:t>Registro Federal de Contribuyentes, RFC,</w:t>
      </w:r>
      <w:r w:rsidRPr="004D578C">
        <w:rPr>
          <w:rFonts w:ascii="Palatino Linotype" w:eastAsia="Palatino Linotype" w:hAnsi="Palatino Linotype" w:cs="Palatino Linotype"/>
          <w:sz w:val="22"/>
          <w:szCs w:val="22"/>
        </w:rPr>
        <w:t xml:space="preserve"> de las personas físicas, constituye un dato personal, pues se genera con caracteres alfanuméricos a partir del nombre y la fecha de nacimiento de cada persona, y finalmente la homoclave, por lo que para su obtención es necesario acreditar ante la autoridad fiscal previamente la identidad de la persona, su fecha de nacimiento, entre otros aspectos.</w:t>
      </w:r>
    </w:p>
    <w:p w14:paraId="0AB269FA"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Ahora bien, las personas físicas tramitan su inscripción en el registro con el propósito de realizar —mediante esa clave de identificación— operaciones o actividades de naturaleza fiscal, la cual, les permite hacerse identificables respecto de una situación fiscal determinada.</w:t>
      </w:r>
    </w:p>
    <w:p w14:paraId="79984195"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sz w:val="22"/>
          <w:szCs w:val="22"/>
        </w:rPr>
        <w:t>Sirve de apoyo a lo anterior, el criterio orientador con clave de control SO/019/2017, emitido por el entonces Instituto Nacional de Transparencia, Acceso a la Información y Protección de Datos Personales, que por rubro y texto, dispone lo siguiente:</w:t>
      </w:r>
      <w:r w:rsidRPr="004D578C">
        <w:rPr>
          <w:rFonts w:ascii="Palatino Linotype" w:eastAsia="Palatino Linotype" w:hAnsi="Palatino Linotype" w:cs="Palatino Linotype"/>
          <w:b/>
          <w:bCs/>
          <w:sz w:val="22"/>
          <w:szCs w:val="22"/>
        </w:rPr>
        <w:t xml:space="preserve"> </w:t>
      </w:r>
    </w:p>
    <w:p w14:paraId="6118DFF2" w14:textId="77777777" w:rsidR="00313806" w:rsidRPr="004D578C" w:rsidRDefault="007468AD">
      <w:pPr>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“Registro Federal de Contribuyentes (RFC) de personas físicas</w:t>
      </w:r>
      <w:r w:rsidRPr="004D578C">
        <w:rPr>
          <w:rFonts w:ascii="Palatino Linotype" w:eastAsia="Palatino Linotype" w:hAnsi="Palatino Linotype" w:cs="Palatino Linotype"/>
          <w:i/>
          <w:iCs/>
          <w:sz w:val="22"/>
          <w:szCs w:val="22"/>
        </w:rPr>
        <w:t>. El RFC es una clave de carácter fiscal, única e irrepetible, que permite identificar al titular, su edad y fecha de nacimiento, por lo que es un dato personal de carácter confidencial.”</w:t>
      </w:r>
    </w:p>
    <w:p w14:paraId="125439A2" w14:textId="77777777" w:rsidR="00313806" w:rsidRPr="004D578C" w:rsidRDefault="007468A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Así, el Registro Federal de Contribuyentes, RFC, se vincula al nombre de su titular y permite identificar la edad de la persona, su fecha de nacimiento, así como su homoclave, la cual es única e irrepetible y determina la identificación de dicha persona para efectos fiscales, por lo que constituye un dato personal que concierne a una persona física identificada e identificable en términos de los artículos 3, fracción IX de la Ley de Transparencia y Acceso a la Información Pública del Estado de México y Municipios, y  4 fracciones XI y XII de la Ley de Protección de Datos Personales en Posesión de los Sujetos Obligados del Estado de México y Municipios.</w:t>
      </w:r>
    </w:p>
    <w:p w14:paraId="4433B2D9" w14:textId="77777777" w:rsidR="00313806" w:rsidRPr="004D578C" w:rsidRDefault="007468A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 igual manera la </w:t>
      </w:r>
      <w:r w:rsidRPr="004D578C">
        <w:rPr>
          <w:rFonts w:ascii="Palatino Linotype" w:eastAsia="Palatino Linotype" w:hAnsi="Palatino Linotype" w:cs="Palatino Linotype"/>
          <w:b/>
          <w:bCs/>
          <w:sz w:val="22"/>
          <w:szCs w:val="22"/>
        </w:rPr>
        <w:t>Clave Única de Registro de Población</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rPr>
        <w:t>CURP,</w:t>
      </w:r>
      <w:r w:rsidRPr="004D578C">
        <w:rPr>
          <w:rFonts w:ascii="Palatino Linotype" w:eastAsia="Palatino Linotype" w:hAnsi="Palatino Linotype" w:cs="Palatino Linotype"/>
          <w:sz w:val="22"/>
          <w:szCs w:val="22"/>
        </w:rPr>
        <w:t xml:space="preserve"> constituye un dato personal, ya que tiene como finalidad registrar a cada una de las personas que integran la población del país, con datos que permitan certificar y acreditar fehacientemente su identidad, en virtud de que se integra por datos personales que únicamente le conciernen a un particular como son su fecha de nacimiento, su nombre, sus apellidos y su lugar de nacimiento; información que permite distinguirlo del resto de los habitantes, por tal motivo, se considera que es de carácter confidencial.</w:t>
      </w:r>
    </w:p>
    <w:p w14:paraId="0E61151D" w14:textId="77777777" w:rsidR="00313806" w:rsidRPr="004D578C" w:rsidRDefault="007468A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Argumento que se sustenta con el criterio orientador con clave de control SO/018/2017 emitido por el entonces Instituto Nacional de Transparencia, Acceso a la Información y Protección de Datos Personales, INAI, el cual refiere:</w:t>
      </w:r>
    </w:p>
    <w:p w14:paraId="3D73AAB0" w14:textId="77777777" w:rsidR="00313806" w:rsidRPr="004D578C" w:rsidRDefault="007468AD">
      <w:pPr>
        <w:ind w:left="851" w:right="851"/>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xml:space="preserve"> “Clave Única de Registro de Población (CURP). </w:t>
      </w:r>
      <w:r w:rsidRPr="004D578C">
        <w:rPr>
          <w:rFonts w:ascii="Palatino Linotype" w:eastAsia="Palatino Linotype" w:hAnsi="Palatino Linotype" w:cs="Palatino Linotype"/>
          <w:i/>
          <w:iCs/>
          <w:sz w:val="22"/>
          <w:szCs w:val="22"/>
        </w:rPr>
        <w:t>La Clave Única de Registro de Población se integra por d</w:t>
      </w:r>
    </w:p>
    <w:p w14:paraId="196801C6" w14:textId="77777777" w:rsidR="00313806" w:rsidRPr="004D578C" w:rsidRDefault="007468AD">
      <w:pPr>
        <w:ind w:left="851" w:right="851"/>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que la CURP está considerada como información confidencial.”</w:t>
      </w:r>
    </w:p>
    <w:p w14:paraId="4618C89E"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Por lo que respecta a la </w:t>
      </w:r>
      <w:r w:rsidRPr="004D578C">
        <w:rPr>
          <w:rFonts w:ascii="Palatino Linotype" w:eastAsia="Palatino Linotype" w:hAnsi="Palatino Linotype" w:cs="Palatino Linotype"/>
          <w:b/>
          <w:bCs/>
          <w:sz w:val="22"/>
          <w:szCs w:val="22"/>
        </w:rPr>
        <w:t>clave de seguridad social</w:t>
      </w:r>
      <w:r w:rsidRPr="004D578C">
        <w:rPr>
          <w:rFonts w:ascii="Palatino Linotype" w:eastAsia="Palatino Linotype" w:hAnsi="Palatino Linotype" w:cs="Palatino Linotype"/>
          <w:sz w:val="22"/>
          <w:szCs w:val="22"/>
        </w:rPr>
        <w:t>, en virtud de que su divulgación no aporta a la transparencia o a la rendición de cuentas y sí provoca una transgresión a la vida privada e intimidad de la persona, esta información también resulta ser de carácter confidencial.</w:t>
      </w:r>
    </w:p>
    <w:p w14:paraId="3FD53E6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Respecto de los </w:t>
      </w:r>
      <w:r w:rsidRPr="004D578C">
        <w:rPr>
          <w:rFonts w:ascii="Palatino Linotype" w:eastAsia="Palatino Linotype" w:hAnsi="Palatino Linotype" w:cs="Palatino Linotype"/>
          <w:b/>
          <w:bCs/>
          <w:sz w:val="22"/>
          <w:szCs w:val="22"/>
        </w:rPr>
        <w:t>números de cuentas bancari</w:t>
      </w:r>
      <w:r w:rsidRPr="004D578C">
        <w:rPr>
          <w:rFonts w:ascii="Palatino Linotype" w:eastAsia="Palatino Linotype" w:hAnsi="Palatino Linotype" w:cs="Palatino Linotype"/>
          <w:sz w:val="22"/>
          <w:szCs w:val="22"/>
        </w:rPr>
        <w:t xml:space="preserve">as, </w:t>
      </w:r>
      <w:r w:rsidRPr="004D578C">
        <w:rPr>
          <w:rFonts w:ascii="Palatino Linotype" w:eastAsia="Palatino Linotype" w:hAnsi="Palatino Linotype" w:cs="Palatino Linotype"/>
          <w:b/>
          <w:bCs/>
          <w:sz w:val="22"/>
          <w:szCs w:val="22"/>
        </w:rPr>
        <w:t>claves estandarizadas –interbancarias- (CLABES) y de tarjetas</w:t>
      </w:r>
      <w:r w:rsidRPr="004D578C">
        <w:rPr>
          <w:rFonts w:ascii="Palatino Linotype" w:eastAsia="Palatino Linotype" w:hAnsi="Palatino Linotype" w:cs="Palatino Linotype"/>
          <w:sz w:val="22"/>
          <w:szCs w:val="22"/>
        </w:rPr>
        <w:t>, el Pleno de este Instituto ha determinado que esa información debe clasificarse como confidencial, y elaborarse una versión pública en la que se teste la misma.</w:t>
      </w:r>
    </w:p>
    <w:p w14:paraId="72C6AEB5"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Igualmente, resulta importante destacar que el número de cuenta bancaria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4B293AAF"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vigente en la Entidad; en razón de que con su difusión se estaría poniendo en riesgo la seguridad de su titular.</w:t>
      </w:r>
    </w:p>
    <w:p w14:paraId="07BD18D4" w14:textId="77777777" w:rsidR="00313806" w:rsidRPr="004D578C" w:rsidRDefault="007468A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14:paraId="7C6E3AE7"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14:paraId="2BD6B17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Lo argumentado encuentra sustento en los Criterios orientadores con Clave de control SO/010/2017 y SO/011/2017, emitidos por el entonces Instituto Nacional de Transparencia, Acceso a la Información y Protección de Datos Personales, INAI, que llevan por rubro y texto los siguientes:</w:t>
      </w:r>
    </w:p>
    <w:p w14:paraId="666324AE" w14:textId="77777777" w:rsidR="00313806" w:rsidRPr="004D578C" w:rsidRDefault="007468AD">
      <w:pPr>
        <w:spacing w:before="240" w:after="24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Cuentas bancarias y/o CLABE interbancaria de personas físicas y morales privadas.</w:t>
      </w:r>
      <w:r w:rsidRPr="004D578C">
        <w:rPr>
          <w:rFonts w:ascii="Palatino Linotype" w:eastAsia="Palatino Linotype" w:hAnsi="Palatino Linotype" w:cs="Palatino Linotype"/>
          <w:i/>
          <w:iCs/>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04830A1F" w14:textId="77777777" w:rsidR="00313806" w:rsidRPr="004D578C" w:rsidRDefault="007468AD">
      <w:pPr>
        <w:spacing w:before="240" w:after="24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“Cuentas bancarias y/o CLABE interbancaria de sujetos obligados que reciben y/o transfieren recursos públicos, son información pública.</w:t>
      </w:r>
      <w:r w:rsidRPr="004D578C">
        <w:rPr>
          <w:rFonts w:ascii="Palatino Linotype" w:eastAsia="Palatino Linotype" w:hAnsi="Palatino Linotype" w:cs="Palatino Linotype"/>
          <w:i/>
          <w:iCs/>
          <w:sz w:val="22"/>
          <w:szCs w:val="22"/>
        </w:rPr>
        <w:t xml:space="preserve">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3227F1BF"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bookmarkStart w:id="3" w:name="_heading=h.35nkun2" w:colFirst="0" w:colLast="0"/>
      <w:bookmarkEnd w:id="3"/>
      <w:r w:rsidRPr="004D578C">
        <w:rPr>
          <w:rFonts w:ascii="Palatino Linotype" w:eastAsia="Palatino Linotype" w:hAnsi="Palatino Linotype" w:cs="Palatino Linotype"/>
          <w:sz w:val="22"/>
          <w:szCs w:val="22"/>
        </w:rPr>
        <w:t xml:space="preserve">Por cuanto hace a los </w:t>
      </w:r>
      <w:r w:rsidRPr="004D578C">
        <w:rPr>
          <w:rFonts w:ascii="Palatino Linotype" w:eastAsia="Palatino Linotype" w:hAnsi="Palatino Linotype" w:cs="Palatino Linotype"/>
          <w:b/>
          <w:bCs/>
          <w:sz w:val="22"/>
          <w:szCs w:val="22"/>
        </w:rPr>
        <w:t>préstamos o descuentos de carácter personal</w:t>
      </w:r>
      <w:r w:rsidRPr="004D578C">
        <w:rPr>
          <w:rFonts w:ascii="Palatino Linotype" w:eastAsia="Palatino Linotype" w:hAnsi="Palatino Linotype" w:cs="Palatino Linotype"/>
          <w:sz w:val="22"/>
          <w:szCs w:val="22"/>
        </w:rPr>
        <w:t>, en virtud de no tener relación con la prestación del servicio y al no involucrar instituciones públicas, se consideran datos confidenciales.</w:t>
      </w:r>
    </w:p>
    <w:p w14:paraId="417205DA"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Para entender los límites y alcances de esta restricción, es oportuno recurrir al artículo 84 de la Ley del Trabajo de los Servidores Públicos del Estado y Municipios:</w:t>
      </w:r>
    </w:p>
    <w:p w14:paraId="4E575163" w14:textId="77777777" w:rsidR="00313806" w:rsidRPr="004D578C" w:rsidRDefault="007468AD">
      <w:pPr>
        <w:spacing w:before="120" w:after="120"/>
        <w:ind w:left="851" w:right="900"/>
        <w:jc w:val="both"/>
        <w:rPr>
          <w:rFonts w:ascii="Palatino Linotype" w:eastAsia="Palatino Linotype" w:hAnsi="Palatino Linotype" w:cs="Palatino Linotype"/>
          <w:b/>
          <w:bCs/>
          <w:i/>
          <w:iCs/>
          <w:sz w:val="22"/>
          <w:szCs w:val="22"/>
        </w:rPr>
      </w:pPr>
      <w:bookmarkStart w:id="4" w:name="_heading=h.1ksv4uv" w:colFirst="0" w:colLast="0"/>
      <w:bookmarkEnd w:id="4"/>
      <w:r w:rsidRPr="004D578C">
        <w:rPr>
          <w:rFonts w:ascii="Palatino Linotype" w:eastAsia="Palatino Linotype" w:hAnsi="Palatino Linotype" w:cs="Palatino Linotype"/>
          <w:b/>
          <w:bCs/>
          <w:i/>
          <w:iCs/>
          <w:sz w:val="22"/>
          <w:szCs w:val="22"/>
        </w:rPr>
        <w:t xml:space="preserve">“ARTÍCULO 84. </w:t>
      </w:r>
      <w:r w:rsidRPr="004D578C">
        <w:rPr>
          <w:rFonts w:ascii="Palatino Linotype" w:eastAsia="Palatino Linotype" w:hAnsi="Palatino Linotype" w:cs="Palatino Linotype"/>
          <w:i/>
          <w:iCs/>
          <w:sz w:val="22"/>
          <w:szCs w:val="22"/>
        </w:rPr>
        <w:t>Sólo podrán hacerse retenciones, descuentos o deducciones al sueldo de los servidores públicos por concepto de:</w:t>
      </w:r>
    </w:p>
    <w:p w14:paraId="06DA30F7"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w:t>
      </w:r>
      <w:r w:rsidRPr="004D578C">
        <w:rPr>
          <w:rFonts w:ascii="Palatino Linotype" w:eastAsia="Palatino Linotype" w:hAnsi="Palatino Linotype" w:cs="Palatino Linotype"/>
          <w:i/>
          <w:iCs/>
          <w:sz w:val="22"/>
          <w:szCs w:val="22"/>
        </w:rPr>
        <w:t xml:space="preserve"> Gravámenes fiscales relacionados con el sueldo;</w:t>
      </w:r>
    </w:p>
    <w:p w14:paraId="7B9519B7"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w:t>
      </w:r>
      <w:r w:rsidRPr="004D578C">
        <w:rPr>
          <w:rFonts w:ascii="Palatino Linotype" w:eastAsia="Palatino Linotype" w:hAnsi="Palatino Linotype" w:cs="Palatino Linotype"/>
          <w:i/>
          <w:iCs/>
          <w:sz w:val="22"/>
          <w:szCs w:val="22"/>
        </w:rPr>
        <w:t xml:space="preserve"> Deudas contraídas con las instituciones públicas o dependencias por concepto de anticipos de sueldo, pagos hechos con exceso, errores o pérdidas debidamente comprobados;</w:t>
      </w:r>
    </w:p>
    <w:p w14:paraId="2208853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III.</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Cuotas sindicales</w:t>
      </w:r>
      <w:r w:rsidRPr="004D578C">
        <w:rPr>
          <w:rFonts w:ascii="Palatino Linotype" w:eastAsia="Palatino Linotype" w:hAnsi="Palatino Linotype" w:cs="Palatino Linotype"/>
          <w:i/>
          <w:iCs/>
          <w:sz w:val="22"/>
          <w:szCs w:val="22"/>
        </w:rPr>
        <w:t>;</w:t>
      </w:r>
    </w:p>
    <w:p w14:paraId="3BEB025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IV.</w:t>
      </w:r>
      <w:r w:rsidRPr="004D578C">
        <w:rPr>
          <w:rFonts w:ascii="Palatino Linotype" w:eastAsia="Palatino Linotype" w:hAnsi="Palatino Linotype" w:cs="Palatino Linotype"/>
          <w:i/>
          <w:iCs/>
          <w:sz w:val="22"/>
          <w:szCs w:val="22"/>
        </w:rPr>
        <w:t xml:space="preserve"> Cuotas de aportación a fondos para la constitución de cooperativas y de cajas de ahorro, siempre que el servidor público hubiese manifestado previamente, de manera expresa, su conformidad;</w:t>
      </w:r>
    </w:p>
    <w:p w14:paraId="41C4C2E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w:t>
      </w:r>
      <w:r w:rsidRPr="004D578C">
        <w:rPr>
          <w:rFonts w:ascii="Palatino Linotype" w:eastAsia="Palatino Linotype" w:hAnsi="Palatino Linotype" w:cs="Palatino Linotype"/>
          <w:i/>
          <w:iCs/>
          <w:sz w:val="22"/>
          <w:szCs w:val="22"/>
        </w:rPr>
        <w:t xml:space="preserve"> Descuentos ordenados por el Instituto de Seguridad Social del Estado de México y Municipios, con motivo de cuotas y obligaciones contraídas con éste por los servidores públicos;</w:t>
      </w:r>
    </w:p>
    <w:p w14:paraId="3475095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VI.</w:t>
      </w:r>
      <w:r w:rsidRPr="004D578C">
        <w:rPr>
          <w:rFonts w:ascii="Palatino Linotype" w:eastAsia="Palatino Linotype" w:hAnsi="Palatino Linotype" w:cs="Palatino Linotype"/>
          <w:i/>
          <w:iCs/>
          <w:sz w:val="22"/>
          <w:szCs w:val="22"/>
        </w:rPr>
        <w:t xml:space="preserve"> Obligaciones a cargo del servidor público con las que haya consentido, derivadas de la adquisición o del uso de habitaciones consideradas como de interés social;</w:t>
      </w:r>
    </w:p>
    <w:p w14:paraId="08F3C252"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VII.</w:t>
      </w:r>
      <w:r w:rsidRPr="004D578C">
        <w:rPr>
          <w:rFonts w:ascii="Palatino Linotype" w:eastAsia="Palatino Linotype" w:hAnsi="Palatino Linotype" w:cs="Palatino Linotype"/>
          <w:i/>
          <w:iCs/>
          <w:sz w:val="22"/>
          <w:szCs w:val="22"/>
        </w:rPr>
        <w:t xml:space="preserve"> Faltas de puntualidad o de asistencia injustificadas;</w:t>
      </w:r>
    </w:p>
    <w:p w14:paraId="0A727F5C"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VIII. Pensiones alimenticias ordenadas por la autoridad judicial;</w:t>
      </w:r>
      <w:r w:rsidRPr="004D578C">
        <w:rPr>
          <w:rFonts w:ascii="Palatino Linotype" w:eastAsia="Palatino Linotype" w:hAnsi="Palatino Linotype" w:cs="Palatino Linotype"/>
          <w:i/>
          <w:iCs/>
          <w:sz w:val="22"/>
          <w:szCs w:val="22"/>
        </w:rPr>
        <w:t xml:space="preserve"> o</w:t>
      </w:r>
    </w:p>
    <w:p w14:paraId="658CAF68" w14:textId="77777777" w:rsidR="00313806" w:rsidRPr="004D578C" w:rsidRDefault="007468AD">
      <w:pPr>
        <w:spacing w:before="120" w:after="120"/>
        <w:ind w:left="851" w:right="902"/>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IX. Cualquier otro convenido con instituciones de servicios y aceptado por el servidor público.</w:t>
      </w:r>
    </w:p>
    <w:p w14:paraId="61321174"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58D485D3"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Como se puede observar, el precepto citado establece claramente cuáles son esos descuentos o gravámenes que directamente se relacionan con las obligaciones adquiridas como servidores públicos y aquéllos que únicamente inciden en su vida privada. </w:t>
      </w:r>
    </w:p>
    <w:p w14:paraId="6C1EE51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 este modo, los </w:t>
      </w:r>
      <w:r w:rsidRPr="004D578C">
        <w:rPr>
          <w:rFonts w:ascii="Palatino Linotype" w:eastAsia="Palatino Linotype" w:hAnsi="Palatino Linotype" w:cs="Palatino Linotype"/>
          <w:b/>
          <w:bCs/>
          <w:sz w:val="22"/>
          <w:szCs w:val="22"/>
        </w:rPr>
        <w:t>descuentos o deducciones por cuotas sindicales</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rPr>
        <w:t>pensiones alimenticias</w:t>
      </w:r>
      <w:r w:rsidRPr="004D578C">
        <w:rPr>
          <w:rFonts w:ascii="Palatino Linotype" w:eastAsia="Palatino Linotype" w:hAnsi="Palatino Linotype" w:cs="Palatino Linotype"/>
          <w:sz w:val="22"/>
          <w:szCs w:val="22"/>
        </w:rPr>
        <w:t xml:space="preserve"> o </w:t>
      </w:r>
      <w:r w:rsidRPr="004D578C">
        <w:rPr>
          <w:rFonts w:ascii="Palatino Linotype" w:eastAsia="Palatino Linotype" w:hAnsi="Palatino Linotype" w:cs="Palatino Linotype"/>
          <w:b/>
          <w:bCs/>
          <w:sz w:val="22"/>
          <w:szCs w:val="22"/>
        </w:rPr>
        <w:t>créditos adquiridos con instituciones privadas</w:t>
      </w:r>
      <w:r w:rsidRPr="004D578C">
        <w:rPr>
          <w:rFonts w:ascii="Palatino Linotype" w:eastAsia="Palatino Linotype" w:hAnsi="Palatino Linotype" w:cs="Palatino Linotype"/>
          <w:sz w:val="22"/>
          <w:szCs w:val="22"/>
        </w:rPr>
        <w:t xml:space="preserve">, entre otros que no se relacionen con el gasto público, al revelar parte de las decisiones que adopta una persona respecto del uso y destino de su remuneración salarial, lo cual incide en la manera en que se integra su patrimonio, </w:t>
      </w:r>
      <w:r w:rsidRPr="004D578C">
        <w:rPr>
          <w:rFonts w:ascii="Palatino Linotype" w:eastAsia="Palatino Linotype" w:hAnsi="Palatino Linotype" w:cs="Palatino Linotype"/>
          <w:b/>
          <w:bCs/>
          <w:sz w:val="22"/>
          <w:szCs w:val="22"/>
        </w:rPr>
        <w:t>es información que no es de carácter público, sino que constituye información confidencial</w:t>
      </w:r>
      <w:r w:rsidRPr="004D578C">
        <w:rPr>
          <w:rFonts w:ascii="Palatino Linotype" w:eastAsia="Palatino Linotype" w:hAnsi="Palatino Linotype" w:cs="Palatino Linotype"/>
          <w:sz w:val="22"/>
          <w:szCs w:val="22"/>
        </w:rPr>
        <w:t xml:space="preserve"> en virtud de que corresponde con decisiones personales, y por tanto, se debe clasificar.</w:t>
      </w:r>
    </w:p>
    <w:p w14:paraId="784688DA" w14:textId="77777777" w:rsidR="00313806" w:rsidRPr="004D578C" w:rsidRDefault="007468AD">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Las claves y conceptos de los descuentos personales guardan también la misma naturaleza que los importes, ya que al hacerse públicas, es posible inferir que cierto servidor público tiene determinada deducción personal, misma que se relaciona con su esfera más íntima de privacidad, asimismo, en aquellos casos en los que sólo se tenga una deducción, inclusive es posible deducir el importe de la misma, derivado de los cálculos que se hagan respecto al sueldo bruto y sueldo neto.</w:t>
      </w:r>
    </w:p>
    <w:p w14:paraId="44FCFEB8" w14:textId="77777777" w:rsidR="00313806" w:rsidRPr="004D578C" w:rsidRDefault="007468AD">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conclusión, la información relacionada con los préstamos o descuentos de carácter personal, en virtud de no tener relación con la prestación del servicio y al no involucrar instituciones públicas, se consideran datos confidenciales.</w:t>
      </w:r>
    </w:p>
    <w:p w14:paraId="38C4A57F"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Con relación al </w:t>
      </w:r>
      <w:r w:rsidRPr="004D578C">
        <w:rPr>
          <w:rFonts w:ascii="Palatino Linotype" w:eastAsia="Palatino Linotype" w:hAnsi="Palatino Linotype" w:cs="Palatino Linotype"/>
          <w:b/>
          <w:bCs/>
          <w:sz w:val="22"/>
          <w:szCs w:val="22"/>
        </w:rPr>
        <w:t>número de empleado</w:t>
      </w:r>
      <w:r w:rsidRPr="004D578C">
        <w:rPr>
          <w:rFonts w:ascii="Palatino Linotype" w:eastAsia="Palatino Linotype" w:hAnsi="Palatino Linotype" w:cs="Palatino Linotype"/>
          <w:sz w:val="22"/>
          <w:szCs w:val="22"/>
        </w:rPr>
        <w:t xml:space="preserve"> debe precisarse que este constituye un código, en virtud del cual, los trabajadores pueden acceder a un sistema de datos o información de la dependencia o entidad a la que pertenecen, a fin de presentar consultas relacionadas con su situación laboral particular, siendo un número único, permanente e intransferible que se asigna para llevar un registro de los trabajadores</w:t>
      </w:r>
      <w:r w:rsidRPr="004D578C">
        <w:rPr>
          <w:rFonts w:ascii="Palatino Linotype" w:eastAsia="Palatino Linotype" w:hAnsi="Palatino Linotype" w:cs="Palatino Linotype"/>
          <w:sz w:val="22"/>
          <w:szCs w:val="22"/>
          <w:vertAlign w:val="superscript"/>
        </w:rPr>
        <w:footnoteReference w:id="1"/>
      </w:r>
      <w:r w:rsidRPr="004D578C">
        <w:rPr>
          <w:rFonts w:ascii="Palatino Linotype" w:eastAsia="Palatino Linotype" w:hAnsi="Palatino Linotype" w:cs="Palatino Linotype"/>
          <w:sz w:val="22"/>
          <w:szCs w:val="22"/>
        </w:rPr>
        <w:t>.</w:t>
      </w:r>
    </w:p>
    <w:p w14:paraId="6B0DCC01"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Bajo esos argumentos, se entendería que la información relativa al número de empleado constituye información confidencial al tratarse de un número de identificación personal a través del cual se puede consultar la situación laboral personal, empero el Pleno del entonces Instituto Nacional de Transparencia, Acceso a la Información, y Protección de Datos Personales, INAI  se ha pronunciado sobre su publicidad, a través del Criterio orientador con clave de control SO/006/2019, que indica lo siguiente:</w:t>
      </w:r>
    </w:p>
    <w:p w14:paraId="0B583E86" w14:textId="77777777" w:rsidR="00313806" w:rsidRPr="004D578C" w:rsidRDefault="007468AD">
      <w:pPr>
        <w:tabs>
          <w:tab w:val="left" w:pos="7655"/>
        </w:tabs>
        <w:spacing w:before="240" w:after="240"/>
        <w:ind w:left="993" w:right="99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xml:space="preserve">“Número de empleado. </w:t>
      </w:r>
      <w:r w:rsidRPr="004D578C">
        <w:rPr>
          <w:rFonts w:ascii="Palatino Linotype" w:eastAsia="Palatino Linotype" w:hAnsi="Palatino Linotype" w:cs="Palatino Linotype"/>
          <w:i/>
          <w:iCs/>
          <w:sz w:val="22"/>
          <w:szCs w:val="22"/>
        </w:rPr>
        <w:t>Cuando el número de empleado o su equivalente, se integra con datos personales de los trabajadores o funciona como una clave de acceso que no requiere adicionalmente de una contraseña para ingresar a sistemas o bases de datos personales, procede su clasificación como información confidencial.”</w:t>
      </w:r>
    </w:p>
    <w:p w14:paraId="53634D6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atención al criterio de interpretación, se advierten dos supuestos para catalogar la información concerniente al número de empleado o equivalente, el primero es considerar la información como confidencial, siempre y cuando se integre con datos personales o que permita acceder a ellos sin necesidad de alguna contraseña, y el segundo supuesto es considerar que la información es susceptible de entregarse siempre que requiera una contraseña para acceder a los datos personales o cuando su conformación no revele los mismos, por consiguiente, en el caso concreto,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deberá acatar lo establecido y de ser procedente, entregará el número de empleado o equivalente de los servidores públicos materia de la solicitud, o en su caso, los clasificará como información confidencial, a través del Acuerdo emitido por su Comité de Transparencia conforme a la Ley de la Materia.</w:t>
      </w:r>
    </w:p>
    <w:p w14:paraId="239D678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Sobre la firma de servidores públicos, es de señalar que se trata de un dato de naturaleza pública cuando se vincula al ejercicio de la función pública, pues documenta y rinde cuentas sobre el debido ejercicio de sus atribuciones.</w:t>
      </w:r>
    </w:p>
    <w:p w14:paraId="68984F5F" w14:textId="77777777" w:rsidR="00313806" w:rsidRPr="004D578C" w:rsidRDefault="007468AD">
      <w:pPr>
        <w:spacing w:before="240" w:after="240" w:line="360" w:lineRule="auto"/>
        <w:ind w:right="49"/>
        <w:jc w:val="both"/>
        <w:rPr>
          <w:rFonts w:ascii="Palatino Linotype" w:eastAsia="Palatino Linotype" w:hAnsi="Palatino Linotype" w:cs="Palatino Linotype"/>
          <w:sz w:val="22"/>
          <w:szCs w:val="22"/>
        </w:rPr>
      </w:pPr>
      <w:bookmarkStart w:id="5" w:name="_heading=h.8f1z3ysgl27y" w:colFirst="0" w:colLast="0"/>
      <w:bookmarkEnd w:id="5"/>
      <w:r w:rsidRPr="004D578C">
        <w:rPr>
          <w:rFonts w:ascii="Palatino Linotype" w:eastAsia="Palatino Linotype" w:hAnsi="Palatino Linotype" w:cs="Palatino Linotype"/>
          <w:sz w:val="22"/>
          <w:szCs w:val="22"/>
        </w:rPr>
        <w:t>Sirve de apoyo a lo anterior el criterio orientador con clave de control SO/002/2019, emitido por el entonces Instituto Nacional de Transparencia, Acceso a la Información y Protección de Datos Personales, cuyo rubro y texto establecen lo siguiente:</w:t>
      </w:r>
    </w:p>
    <w:p w14:paraId="3629E05B" w14:textId="77777777" w:rsidR="00313806" w:rsidRPr="004D578C" w:rsidRDefault="007468AD">
      <w:pPr>
        <w:tabs>
          <w:tab w:val="left" w:pos="7513"/>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Firma y rúbrica de servidores públicos.</w:t>
      </w:r>
      <w:r w:rsidRPr="004D578C">
        <w:rPr>
          <w:rFonts w:ascii="Palatino Linotype" w:eastAsia="Palatino Linotype" w:hAnsi="Palatino Linotype" w:cs="Palatino Linotype"/>
          <w:i/>
          <w:iCs/>
          <w:sz w:val="22"/>
          <w:szCs w:val="22"/>
        </w:rPr>
        <w:t xml:space="preserve"> Si bien la firma y la rúbrica son datos personales confidenciales, cuando un servidor público emite un acto como autoridad, en ejercicio de las funciones que tiene conferidas, la firma o rúbrica mediante la cual se valida dicho acto es pública.”</w:t>
      </w:r>
    </w:p>
    <w:p w14:paraId="7F90CBA9"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De la información fiscal</w:t>
      </w:r>
      <w:r w:rsidRPr="004D578C">
        <w:rPr>
          <w:rFonts w:ascii="Palatino Linotype" w:eastAsia="Palatino Linotype" w:hAnsi="Palatino Linotype" w:cs="Palatino Linotype"/>
          <w:sz w:val="22"/>
          <w:szCs w:val="22"/>
        </w:rPr>
        <w:t xml:space="preserve">: </w:t>
      </w:r>
    </w:p>
    <w:p w14:paraId="70E212F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La </w:t>
      </w:r>
      <w:r w:rsidRPr="004D578C">
        <w:rPr>
          <w:rFonts w:ascii="Palatino Linotype" w:eastAsia="Palatino Linotype" w:hAnsi="Palatino Linotype" w:cs="Palatino Linotype"/>
          <w:b/>
          <w:bCs/>
          <w:sz w:val="22"/>
          <w:szCs w:val="22"/>
        </w:rPr>
        <w:t>Cadena Original</w:t>
      </w:r>
      <w:r w:rsidRPr="004D578C">
        <w:rPr>
          <w:rFonts w:ascii="Palatino Linotype" w:eastAsia="Palatino Linotype" w:hAnsi="Palatino Linotype" w:cs="Palatino Linotype"/>
          <w:sz w:val="22"/>
          <w:szCs w:val="22"/>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analizar dicha circunstancia con la finalidad de proteger, de ser el caso, la información a través de su clasificación por actualizarse el supuesto de confidencialidad.</w:t>
      </w:r>
    </w:p>
    <w:p w14:paraId="2BFEA89C"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Los </w:t>
      </w:r>
      <w:r w:rsidRPr="004D578C">
        <w:rPr>
          <w:rFonts w:ascii="Palatino Linotype" w:eastAsia="Palatino Linotype" w:hAnsi="Palatino Linotype" w:cs="Palatino Linotype"/>
          <w:b/>
          <w:bCs/>
          <w:sz w:val="22"/>
          <w:szCs w:val="22"/>
        </w:rPr>
        <w:t>códigos bidimensionales</w:t>
      </w:r>
      <w:r w:rsidRPr="004D578C">
        <w:rPr>
          <w:rFonts w:ascii="Palatino Linotype" w:eastAsia="Palatino Linotype" w:hAnsi="Palatino Linotype" w:cs="Palatino Linotype"/>
          <w:sz w:val="22"/>
          <w:szCs w:val="22"/>
        </w:rPr>
        <w:t xml:space="preserve"> o </w:t>
      </w:r>
      <w:r w:rsidRPr="004D578C">
        <w:rPr>
          <w:rFonts w:ascii="Palatino Linotype" w:eastAsia="Palatino Linotype" w:hAnsi="Palatino Linotype" w:cs="Palatino Linotype"/>
          <w:b/>
          <w:bCs/>
          <w:sz w:val="22"/>
          <w:szCs w:val="22"/>
        </w:rPr>
        <w:t xml:space="preserve">códigos QR, </w:t>
      </w:r>
      <w:r w:rsidRPr="004D578C">
        <w:rPr>
          <w:rFonts w:ascii="Palatino Linotype" w:eastAsia="Palatino Linotype" w:hAnsi="Palatino Linotype" w:cs="Palatino Linotype"/>
          <w:sz w:val="22"/>
          <w:szCs w:val="22"/>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analizar dicha circunstancia con la finalidad de determinar si se actualiza algún supuesto de confidencialidad.</w:t>
      </w:r>
    </w:p>
    <w:p w14:paraId="63972D87"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En tal sentido, si derivado del análisis efectuado por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vulnerar la esfera más íntima de privacidad de su titular, deberá clasificarla como confidencial, de manera fundada y motivada en términos del artículo 143, fracción I de la Ley de Transparencia y Acceso a la Información Pública del Estado de México y Municipios.</w:t>
      </w:r>
    </w:p>
    <w:p w14:paraId="39BA9179"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Por otro lado, derivado de la información que se ordena entregar pudiera existir información de la Dirección de Seguridad Pública del Ayuntamiento o su equivalente, la cual ponga en riesgo los integrantes de las corporaciones policiacas, esto es así derivado de las funciones encomendadas en términos del artículo 21 párrafo noveno de la Constitución Política de los Estados Unidos Mexicanos, de las cuales comprende la prevención de los delitos, investigación y persecución para hacerla efectiva, lo cual permite a esta Ponencia proteger los datos de los servidores públicos que integran dicha Dirección </w:t>
      </w:r>
      <w:r w:rsidRPr="004D578C">
        <w:rPr>
          <w:rFonts w:ascii="Palatino Linotype" w:eastAsia="Palatino Linotype" w:hAnsi="Palatino Linotype" w:cs="Palatino Linotype"/>
          <w:b/>
          <w:bCs/>
          <w:sz w:val="22"/>
          <w:szCs w:val="22"/>
          <w:u w:val="single"/>
        </w:rPr>
        <w:t>sólo por cuanto hace al nombre</w:t>
      </w:r>
      <w:r w:rsidRPr="004D578C">
        <w:rPr>
          <w:rFonts w:ascii="Palatino Linotype" w:eastAsia="Palatino Linotype" w:hAnsi="Palatino Linotype" w:cs="Palatino Linotype"/>
          <w:b/>
          <w:bCs/>
          <w:sz w:val="22"/>
          <w:szCs w:val="22"/>
        </w:rPr>
        <w:t xml:space="preserve">, </w:t>
      </w:r>
      <w:r w:rsidRPr="004D578C">
        <w:rPr>
          <w:rFonts w:ascii="Palatino Linotype" w:eastAsia="Palatino Linotype" w:hAnsi="Palatino Linotype" w:cs="Palatino Linotype"/>
          <w:sz w:val="22"/>
          <w:szCs w:val="22"/>
        </w:rPr>
        <w:t xml:space="preserve">dejando intocable el rubro de percepciones que por su naturaleza conciernen a la ciudadanía por referirse a recursos de carácter público; circunstancia que en nada afecta al derecho tutelado por este Organismo Garante sino por el contrario también reafirma su compromiso con la rendición de cuentas del Estado y la protección a grupos vulnerables de acuerdo al cargo de seguridad Municipal, por lo que deberá testarse de igual manera sólo el nombre de los servidores públicos de la Policía Municipal </w:t>
      </w:r>
      <w:r w:rsidRPr="004D578C">
        <w:rPr>
          <w:rFonts w:ascii="Palatino Linotype" w:eastAsia="Palatino Linotype" w:hAnsi="Palatino Linotype" w:cs="Palatino Linotype"/>
          <w:b/>
          <w:bCs/>
          <w:sz w:val="22"/>
          <w:szCs w:val="22"/>
        </w:rPr>
        <w:t>que desempeñen funciones operativas</w:t>
      </w:r>
      <w:r w:rsidRPr="004D578C">
        <w:rPr>
          <w:rFonts w:ascii="Palatino Linotype" w:eastAsia="Palatino Linotype" w:hAnsi="Palatino Linotype" w:cs="Palatino Linotype"/>
          <w:sz w:val="22"/>
          <w:szCs w:val="22"/>
        </w:rPr>
        <w:t>.</w:t>
      </w:r>
    </w:p>
    <w:p w14:paraId="456BAB58"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Al respecto, la información </w:t>
      </w:r>
      <w:r w:rsidRPr="004D578C">
        <w:rPr>
          <w:rFonts w:ascii="Palatino Linotype" w:eastAsia="Palatino Linotype" w:hAnsi="Palatino Linotype" w:cs="Palatino Linotype"/>
          <w:b/>
          <w:bCs/>
          <w:sz w:val="22"/>
          <w:szCs w:val="22"/>
        </w:rPr>
        <w:t>de los elementos que realizan funciones operativas, entre ellos su nombre, deben ser protegidos</w:t>
      </w:r>
      <w:r w:rsidRPr="004D578C">
        <w:rPr>
          <w:rFonts w:ascii="Palatino Linotype" w:eastAsia="Palatino Linotype" w:hAnsi="Palatino Linotype" w:cs="Palatino Linotype"/>
          <w:sz w:val="22"/>
          <w:szCs w:val="22"/>
        </w:rPr>
        <w:t xml:space="preserve"> con la finalidad de evitar la identificación de las personas al amparo de la protección a la vida, salud y seguridad; porque los miembros de las instituciones policiales o que realizan actividades operativas en materia de seguridad pública, se encuentran en un régimen de excepción a diferencia de los servidores públicos con funciones administrativas, ello obedece a que el sólo ejercicio de las funciones que tienen encomendadas lleva implícito el riesgo a su integridad, toda vez que son responsables de procurar el orden, la estabilidad y la defensa de la sociedad a la que pertenecen, lo que se traduce en la prevención de delitos y combate a los delincuentes.</w:t>
      </w:r>
    </w:p>
    <w:p w14:paraId="4E992762"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Es importante mencionar que la causal de reserva antes señalada, puede ubicarse en los supuestos previstos por el artículo 140 fracción IV de la Ley de Transparencia y  Acceso a la Información Pública del Estado de México y Municipios, que a su vez se vincula con la diversa del artículo 112 fracción V de la Ley General de Transparencia y Acceso a la Información Pública vigente a la fecha de presentación de la solicitud, así como los requisitos previstos por los numerales Vigésimo tercero y Trigésimo tercero, de los Lineamientos generales en materia de clasificación y desclasificación de la información, así como para la elaboración de versiones públicas, vigentes a la fecha de presentación de la solicitud, al aplicar la prueba de daño correspondiente.</w:t>
      </w:r>
    </w:p>
    <w:p w14:paraId="6488C154"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sz w:val="22"/>
          <w:szCs w:val="22"/>
        </w:rPr>
        <w:t xml:space="preserve">Como sustento de lo anterior, es preciso mencionar que el </w:t>
      </w:r>
      <w:r w:rsidRPr="004D578C">
        <w:rPr>
          <w:rFonts w:ascii="Palatino Linotype" w:eastAsia="Palatino Linotype" w:hAnsi="Palatino Linotype" w:cs="Palatino Linotype"/>
          <w:b/>
          <w:bCs/>
          <w:sz w:val="22"/>
          <w:szCs w:val="22"/>
        </w:rPr>
        <w:t xml:space="preserve">actual Pleno de este Instituto ha sostenido el criterio de no dar a conocer los nombres de aquellos servidores públicos que realizan funciones operativas en materia de seguridad pública, </w:t>
      </w:r>
      <w:r w:rsidRPr="004D578C">
        <w:rPr>
          <w:rFonts w:ascii="Palatino Linotype" w:eastAsia="Palatino Linotype" w:hAnsi="Palatino Linotype" w:cs="Palatino Linotype"/>
          <w:sz w:val="22"/>
          <w:szCs w:val="22"/>
        </w:rPr>
        <w:t xml:space="preserve">pues los vuelve identificables y posiblemente reconocibles para grupos delictivos, que pudieran relacionarlos directamente con actividades u operativos pasados, presentes o ubicarlos simplemente por el hecho de pertenecer a una organización que lleva a cabo actividades de prevención y salvaguarda de la integridad de las personas en el combate a la delincuencia; así, dicha información puede ser utilizada para </w:t>
      </w:r>
      <w:r w:rsidRPr="004D578C">
        <w:rPr>
          <w:rFonts w:ascii="Palatino Linotype" w:eastAsia="Palatino Linotype" w:hAnsi="Palatino Linotype" w:cs="Palatino Linotype"/>
          <w:b/>
          <w:bCs/>
          <w:sz w:val="22"/>
          <w:szCs w:val="22"/>
        </w:rPr>
        <w:t xml:space="preserve">vulnerar la vida, seguridad o salud de dichos elementos, incluso la de sus familias o entorno social. </w:t>
      </w:r>
    </w:p>
    <w:p w14:paraId="6D6D8E7A"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tal contexto, es procedente la clasificación del nombre de los elementos operativos como información reservada, con el fin de no poner en riesgo su vida, salud y seguridad, dado que los hace identificables, y para no comprometer el cumplimiento de los objetivos en materia de seguridad pública, o bien, la consecución de la investigación de probables hechos delictivos y/o faltas administrativas; así como evitar que células delictivas neutralizar las acciones en materia de seguridad pública para la preservación del orden y la paz pública, por lo que, no se trata de una medida desproporcional, ni excesiva.</w:t>
      </w:r>
    </w:p>
    <w:p w14:paraId="1EFFCBCB"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ese entendido, la leyenda de clasificación que se genere, deberá establecer ambos supuestos de clasificación: reserva y confidencialidad, en congruencia con los requisitos establecidos en los lineamientos citados.</w:t>
      </w:r>
    </w:p>
    <w:p w14:paraId="5639ECC2" w14:textId="77777777" w:rsidR="00313806" w:rsidRPr="004D578C" w:rsidRDefault="007468AD">
      <w:pPr>
        <w:spacing w:before="120" w:after="12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este marco, cabe señalar que, si bien es cierto este Instituto de Transparencia, Acceso a la Información Pública y Protección de Datos Personales del Estado de México y Municipios tiene la misión de garantizar el derecho de acceso a la información pública de los particulares; también lo es que debe cuidar la protección de datos personales y sobre todo cuando traen implícito que se ponga en riesgo la vida o integridad de una persona, resulta necesario traer por analogía, el criterio orientador histórico 06/09, emitido por el entonces Instituto Federal de Acceso a la Información y Protección de Datos, que establece lo siguiente:</w:t>
      </w:r>
    </w:p>
    <w:p w14:paraId="073CA94B" w14:textId="77777777" w:rsidR="00313806" w:rsidRPr="004D578C" w:rsidRDefault="007468AD">
      <w:pPr>
        <w:tabs>
          <w:tab w:val="left" w:pos="4962"/>
        </w:tabs>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“Nombres de servidores públicos dedicados a actividades en materia de seguridad, por excepción pueden considerarse información reservada.</w:t>
      </w:r>
      <w:r w:rsidRPr="004D578C">
        <w:rPr>
          <w:rFonts w:ascii="Palatino Linotype" w:eastAsia="Palatino Linotype" w:hAnsi="Palatino Linotype" w:cs="Palatino Linotype"/>
          <w:i/>
          <w:iCs/>
          <w:sz w:val="22"/>
          <w:szCs w:val="22"/>
        </w:rPr>
        <w:t xml:space="preserve"> De conformidad con el artículo 7, fracciones I y III de la Ley Federal de Transparencia y Acceso a la Información Pública Gubernamental el nombre de los servidores públicos es información de naturaleza pública. No obstante lo anterior, el mismo precepto establece la posibilidad de que existan excepciones a las obligaciones ahí establecidas cuando la información actualice algunos de los supuestos de reserva o confidencialidad previstos en los artículos 13, 14 y 18 de la citada ley. En este sentido, se debe señalar que existen funciones a cargo de servidores públicos, tendientes a garantizar de manera directa la seguridad nacional y pública, a través de acciones preventivas y correctivas encaminadas a combatir a la delincuencia en sus diferentes manifestaciones. Así, es pertinente señalar que en el artículo 13, fracción I de la ley de referencia se establece que podrá clasificarse aquella información cuya difusión pueda comprometer la seguridad nacional y pública. En este orden de ideas, una de las formas en que la delincuencia puede llegar a poner en riesgo la seguridad del país es precisamente anulando, impidiendo u obstaculizando la actuación de los servidores públicos que realizan funciones de carácter operativo, mediante el conocimiento de dicha situación, por lo que la reserva de la relación de los nombres y las funciones que desempeñan los servidores públicos que prestan sus servicios en áreas de seguridad nacional o pública, puede llegar a constituirse en un componente fundamental en el esfuerzo que realiza el Estado Mexicano para garantizar la seguridad del país en sus diferentes vertientes.”</w:t>
      </w:r>
    </w:p>
    <w:p w14:paraId="3D375B6B"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De dicho criterio, se desprende que existen funciones a cargo de servidores públicos, tendentes a garantizar de manera directa la seguridad pública, a través de acciones preventivas y correctivas, encaminadas a combatir a la delincuencia en sus diferentes manifestaciones; por lo que, una forma en que la delincuencia puede llegar a poner en riesgo la seguridad del País, Estado y Municipio, anulando, impidiendo u obstaculizando la actuación de los servidores públicos que realizan </w:t>
      </w:r>
      <w:r w:rsidRPr="004D578C">
        <w:rPr>
          <w:rFonts w:ascii="Palatino Linotype" w:eastAsia="Palatino Linotype" w:hAnsi="Palatino Linotype" w:cs="Palatino Linotype"/>
          <w:b/>
          <w:bCs/>
          <w:sz w:val="22"/>
          <w:szCs w:val="22"/>
        </w:rPr>
        <w:t>funciones de carácter operativo.</w:t>
      </w:r>
    </w:p>
    <w:p w14:paraId="0FBAE20E" w14:textId="77777777" w:rsidR="00313806" w:rsidRPr="004D578C" w:rsidRDefault="007468AD">
      <w:pPr>
        <w:spacing w:before="240" w:after="36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Sirven de sustento a lo anterior las tesis jurisprudenciales emitidas por la Suprema corte de Justicia de la Nación, que son del literal siguiente:</w:t>
      </w:r>
    </w:p>
    <w:p w14:paraId="0F7EDFD2" w14:textId="77777777" w:rsidR="00313806" w:rsidRPr="004D578C" w:rsidRDefault="007468AD">
      <w:pPr>
        <w:spacing w:before="120" w:after="120"/>
        <w:ind w:left="851" w:right="760"/>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 xml:space="preserve">“DERECHO A LA INFORMACIÓN. SU EJERCICIO SE ENCUENTRA LIMITADO TANTO POR LOS INTERESES NACIONALES Y DE LA SOCIEDAD, COMO POR LOS DERECHOS DE TERCEROS. </w:t>
      </w:r>
      <w:r w:rsidRPr="004D578C">
        <w:rPr>
          <w:rFonts w:ascii="Palatino Linotype" w:eastAsia="Palatino Linotype" w:hAnsi="Palatino Linotype" w:cs="Palatino Linotype"/>
          <w:i/>
          <w:iCs/>
          <w:sz w:val="22"/>
          <w:szCs w:val="22"/>
        </w:rPr>
        <w:t xml:space="preserve">El derecho a la información consagrado en la última parte del artículo 6o. de la Constitución Federal no es absoluto, sino que, como toda garantía, se halla sujeto a limitaciones o excepciones que se sustentan, fundamentalmente, en la protección de la seguridad nacional y en el respeto tanto a los intereses de la sociedad como a los derechos de los gobernados, limitaciones que, incluso, han dado origen a la figura jurídica del secreto de información que se conoce en la doctrina como "reserva de información" o "secreto burocrático". En estas condiciones, al encontrarse obligado el Estado, como sujeto pasivo de la citada garantía, a velar por dichos intereses, con apego a las normas constitucionales y legales, el mencionado derecho no puede ser garantizado indiscriminadamente, sino que el respeto a su ejercicio encuentra excepciones que lo regulan y a su vez lo garantizan, en atención a la materia a que se refiera; así, en cuanto a la seguridad nacional, se tienen normas que, por un lado, </w:t>
      </w:r>
      <w:r w:rsidRPr="004D578C">
        <w:rPr>
          <w:rFonts w:ascii="Palatino Linotype" w:eastAsia="Palatino Linotype" w:hAnsi="Palatino Linotype" w:cs="Palatino Linotype"/>
          <w:b/>
          <w:bCs/>
          <w:i/>
          <w:iCs/>
          <w:sz w:val="22"/>
          <w:szCs w:val="22"/>
        </w:rPr>
        <w:t>restringen el acceso a la información en esta materia, en razón de que su conocimiento público puede generar daños a los intereses nacionales y, por el otro, sancionan la inobservancia de esa reserva;</w:t>
      </w:r>
      <w:r w:rsidRPr="004D578C">
        <w:rPr>
          <w:rFonts w:ascii="Palatino Linotype" w:eastAsia="Palatino Linotype" w:hAnsi="Palatino Linotype" w:cs="Palatino Linotype"/>
          <w:i/>
          <w:iCs/>
          <w:sz w:val="22"/>
          <w:szCs w:val="22"/>
        </w:rPr>
        <w:t xml:space="preserve"> por lo que hace al interés social, se cuenta con normas que tienden a proteger la averiguación de los delitos, la salud y la moral públicas, </w:t>
      </w:r>
      <w:r w:rsidRPr="004D578C">
        <w:rPr>
          <w:rFonts w:ascii="Palatino Linotype" w:eastAsia="Palatino Linotype" w:hAnsi="Palatino Linotype" w:cs="Palatino Linotype"/>
          <w:b/>
          <w:bCs/>
          <w:i/>
          <w:iCs/>
          <w:sz w:val="22"/>
          <w:szCs w:val="22"/>
        </w:rPr>
        <w:t>mientras que por lo que respecta a la protección de la persona existen normas que protegen el derecho a la vida o a la privacidad de los gobernados.</w:t>
      </w:r>
      <w:r w:rsidRPr="004D578C">
        <w:rPr>
          <w:rFonts w:ascii="Palatino Linotype" w:eastAsia="Palatino Linotype" w:hAnsi="Palatino Linotype" w:cs="Palatino Linotype"/>
          <w:i/>
          <w:iCs/>
          <w:sz w:val="22"/>
          <w:szCs w:val="22"/>
        </w:rPr>
        <w:t>”</w:t>
      </w:r>
    </w:p>
    <w:p w14:paraId="115D3FA0" w14:textId="77777777" w:rsidR="00313806" w:rsidRPr="004D578C" w:rsidRDefault="007468AD">
      <w:pPr>
        <w:spacing w:before="120" w:after="120"/>
        <w:ind w:left="851" w:right="76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“TRANSPARENCIA Y ACCESO A LA INFORMACIÓN PÚBLICA GUBERNAMENTAL. EL ARTÍCULO 14, FRACCIÓN I, DE LA LEY FEDERAL RELATIVA, NO VIOLA LA GARANTÍA DE ACCESO A LA INFORMACIÓN.</w:t>
      </w:r>
      <w:r w:rsidRPr="004D578C">
        <w:rPr>
          <w:rFonts w:ascii="Palatino Linotype" w:eastAsia="Palatino Linotype" w:hAnsi="Palatino Linotype" w:cs="Palatino Linotype"/>
          <w:i/>
          <w:iCs/>
          <w:sz w:val="22"/>
          <w:szCs w:val="22"/>
        </w:rPr>
        <w:t xml:space="preserve"> El Tribunal en Pleno de la Suprema Corte de Justicia de la Nación en la tesis P. LX/2000 de rubro: "DERECHO A LA INFORMACIÓN. SU EJERCICIO SE ENCUENTRA LIMITADO TANTO POR LOS INTERESES NACIONALES Y DE LA SOCIEDAD, COMO POR LOS DERECHOS DE TERCEROS.", publicada en el Semanario Judicial de la Federación y su Gaceta, Novena Época, Tomo XI, abril de 2000, página 74, estableció que el ejercicio del derecho a la información no es irrestricto, sino que tiene límites que se sustentan en la protección de la seguridad nacional y en el respeto a los intereses de la sociedad y a los derechos de los gobernados, en atención a la materia de que se trate. En ese sentido, el citado precepto, al remitir a diversas normas ordinarias que establezcan restricciones a la información, no viola la garantía de acceso a la información contenida en el artículo 6o. de la Constitución Política de los Estados Unidos Mexicanos, porque es jurídicamente adecuado que en las leyes reguladoras de cada materia, </w:t>
      </w:r>
      <w:r w:rsidRPr="004D578C">
        <w:rPr>
          <w:rFonts w:ascii="Palatino Linotype" w:eastAsia="Palatino Linotype" w:hAnsi="Palatino Linotype" w:cs="Palatino Linotype"/>
          <w:b/>
          <w:bCs/>
          <w:i/>
          <w:iCs/>
          <w:sz w:val="22"/>
          <w:szCs w:val="22"/>
        </w:rPr>
        <w:t>el legislador federal o local establezca las restricciones correspondientes y clasifique a determinados datos como confidenciales o reservados, con la condición de que tales límites atiendan a intereses públicos o de los particulares y encuentren justificación racional en función del bien jurídico a proteger, es decir, que exista proporcionalidad y congruencia entre el derecho fundamental de que se trata y la razón que motive la restricción legislativa correspondiente</w:t>
      </w:r>
      <w:r w:rsidRPr="004D578C">
        <w:rPr>
          <w:rFonts w:ascii="Palatino Linotype" w:eastAsia="Palatino Linotype" w:hAnsi="Palatino Linotype" w:cs="Palatino Linotype"/>
          <w:i/>
          <w:iCs/>
          <w:sz w:val="22"/>
          <w:szCs w:val="22"/>
        </w:rPr>
        <w:t>, la cual debe ser adecuada y necesaria para alcanzar el fin perseguido, de manera que las ventajas obtenidas con la reserva compensen el sacrificio que ésta implique para los titulares de la garantía individual mencionada o para la sociedad en general.”</w:t>
      </w:r>
    </w:p>
    <w:p w14:paraId="415EA9C7" w14:textId="77777777" w:rsidR="00313806" w:rsidRPr="004D578C" w:rsidRDefault="007468AD">
      <w:pPr>
        <w:widowControl w:val="0"/>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El Acuerdo de Clasificación de Información, se emitirá en términos de lo dispuesto tanto como en los en los artículos 128 y 129 de la Ley de Transparencia y Acceso a la Información Pública del Estado de México y Municipios, como en los Lineamientos Generales en Materia de Clasificación y Desclasificación de la Información, así como para la elaboración de Versiones Públicas, publicados en el Diario Oficial de la Federación en fecha quince de abril de la presente anualidad, mediante ACUERDO del Consejo Nacional del Sistema Nacional de Transparencia, Acceso a la Información Pública y Protección de Datos Personales, motivando la referida clasificación al señalar las </w:t>
      </w:r>
      <w:r w:rsidRPr="004D578C">
        <w:rPr>
          <w:rFonts w:ascii="Palatino Linotype" w:eastAsia="Palatino Linotype" w:hAnsi="Palatino Linotype" w:cs="Palatino Linotype"/>
          <w:b/>
          <w:bCs/>
          <w:sz w:val="22"/>
          <w:szCs w:val="22"/>
          <w:u w:val="single"/>
        </w:rPr>
        <w:t>razones, motivos o circunstancias especiales</w:t>
      </w:r>
      <w:r w:rsidRPr="004D578C">
        <w:rPr>
          <w:rFonts w:ascii="Palatino Linotype" w:eastAsia="Palatino Linotype" w:hAnsi="Palatino Linotype" w:cs="Palatino Linotype"/>
          <w:sz w:val="22"/>
          <w:szCs w:val="22"/>
        </w:rPr>
        <w:t xml:space="preserve"> que lo llevaron a concluir que el caso concreto, se ajustó a los supuestos previstos en la normatividad legal invocada como fundamento, para dichos efectos, debe proceder a su vez a realizar una prueba de daño, en la que se justificaran las razones, motivos y circunstancias que avalen que la divulgación de la información representa un riesgo real, demostrable e identificable de perjuicio significativo al interés público o a la seguridad nacional; que el riesgo de perjuicio que supondría la divulgación supera el interés público general de que se difunda, y que la limitación sea adecuada al principio de proporcionalidad y representa el medio menos restrictivo disponible para evitar el perjuicio.</w:t>
      </w:r>
    </w:p>
    <w:p w14:paraId="67A40A29" w14:textId="77777777" w:rsidR="00313806" w:rsidRPr="004D578C" w:rsidRDefault="007468AD">
      <w:pPr>
        <w:spacing w:before="240" w:after="240" w:line="360" w:lineRule="auto"/>
        <w:ind w:right="50"/>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1B26C30E"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49.</w:t>
      </w:r>
      <w:r w:rsidRPr="004D578C">
        <w:rPr>
          <w:rFonts w:ascii="Palatino Linotype" w:eastAsia="Palatino Linotype" w:hAnsi="Palatino Linotype" w:cs="Palatino Linotype"/>
          <w:i/>
          <w:iCs/>
          <w:sz w:val="22"/>
          <w:szCs w:val="22"/>
        </w:rPr>
        <w:t xml:space="preserve"> </w:t>
      </w:r>
      <w:r w:rsidRPr="004D578C">
        <w:rPr>
          <w:rFonts w:ascii="Palatino Linotype" w:eastAsia="Palatino Linotype" w:hAnsi="Palatino Linotype" w:cs="Palatino Linotype"/>
          <w:b/>
          <w:bCs/>
          <w:i/>
          <w:iCs/>
          <w:sz w:val="22"/>
          <w:szCs w:val="22"/>
        </w:rPr>
        <w:t>Los Comités de Transparencia</w:t>
      </w:r>
      <w:r w:rsidRPr="004D578C">
        <w:rPr>
          <w:rFonts w:ascii="Palatino Linotype" w:eastAsia="Palatino Linotype" w:hAnsi="Palatino Linotype" w:cs="Palatino Linotype"/>
          <w:i/>
          <w:iCs/>
          <w:sz w:val="22"/>
          <w:szCs w:val="22"/>
        </w:rPr>
        <w:t xml:space="preserve"> tendrán las siguientes atribuciones:</w:t>
      </w:r>
    </w:p>
    <w:p w14:paraId="3915A2BD"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VIII. Aprobar, modificar o revocar la clasificación de la información</w:t>
      </w:r>
      <w:r w:rsidRPr="004D578C">
        <w:rPr>
          <w:rFonts w:ascii="Palatino Linotype" w:eastAsia="Palatino Linotype" w:hAnsi="Palatino Linotype" w:cs="Palatino Linotype"/>
          <w:i/>
          <w:iCs/>
          <w:sz w:val="22"/>
          <w:szCs w:val="22"/>
        </w:rPr>
        <w:t>…”</w:t>
      </w:r>
    </w:p>
    <w:p w14:paraId="0E10FE69"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53.</w:t>
      </w:r>
      <w:r w:rsidRPr="004D578C">
        <w:rPr>
          <w:rFonts w:ascii="Palatino Linotype" w:eastAsia="Palatino Linotype" w:hAnsi="Palatino Linotype" w:cs="Palatino Linotype"/>
          <w:i/>
          <w:iCs/>
          <w:sz w:val="22"/>
          <w:szCs w:val="22"/>
        </w:rPr>
        <w:t xml:space="preserve"> Las </w:t>
      </w:r>
      <w:r w:rsidRPr="004D578C">
        <w:rPr>
          <w:rFonts w:ascii="Palatino Linotype" w:eastAsia="Palatino Linotype" w:hAnsi="Palatino Linotype" w:cs="Palatino Linotype"/>
          <w:b/>
          <w:bCs/>
          <w:i/>
          <w:iCs/>
          <w:sz w:val="22"/>
          <w:szCs w:val="22"/>
        </w:rPr>
        <w:t>Unidades de Transparencia</w:t>
      </w:r>
      <w:r w:rsidRPr="004D578C">
        <w:rPr>
          <w:rFonts w:ascii="Palatino Linotype" w:eastAsia="Palatino Linotype" w:hAnsi="Palatino Linotype" w:cs="Palatino Linotype"/>
          <w:i/>
          <w:iCs/>
          <w:sz w:val="22"/>
          <w:szCs w:val="22"/>
        </w:rPr>
        <w:t xml:space="preserve"> tendrán las siguientes </w:t>
      </w:r>
      <w:r w:rsidRPr="004D578C">
        <w:rPr>
          <w:rFonts w:ascii="Palatino Linotype" w:eastAsia="Palatino Linotype" w:hAnsi="Palatino Linotype" w:cs="Palatino Linotype"/>
          <w:b/>
          <w:bCs/>
          <w:i/>
          <w:iCs/>
          <w:sz w:val="22"/>
          <w:szCs w:val="22"/>
        </w:rPr>
        <w:t>funciones</w:t>
      </w:r>
      <w:r w:rsidRPr="004D578C">
        <w:rPr>
          <w:rFonts w:ascii="Palatino Linotype" w:eastAsia="Palatino Linotype" w:hAnsi="Palatino Linotype" w:cs="Palatino Linotype"/>
          <w:i/>
          <w:iCs/>
          <w:sz w:val="22"/>
          <w:szCs w:val="22"/>
        </w:rPr>
        <w:t>:</w:t>
      </w:r>
    </w:p>
    <w:p w14:paraId="3CFCBC24"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X. Presentar ante el Comité, el proyecto de clasificación de información</w:t>
      </w:r>
      <w:r w:rsidRPr="004D578C">
        <w:rPr>
          <w:rFonts w:ascii="Palatino Linotype" w:eastAsia="Palatino Linotype" w:hAnsi="Palatino Linotype" w:cs="Palatino Linotype"/>
          <w:i/>
          <w:iCs/>
          <w:sz w:val="22"/>
          <w:szCs w:val="22"/>
        </w:rPr>
        <w:t xml:space="preserve">…” </w:t>
      </w:r>
    </w:p>
    <w:p w14:paraId="46CA7B2F"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“Artículo 59.</w:t>
      </w:r>
      <w:r w:rsidRPr="004D578C">
        <w:rPr>
          <w:rFonts w:ascii="Palatino Linotype" w:eastAsia="Palatino Linotype" w:hAnsi="Palatino Linotype" w:cs="Palatino Linotype"/>
          <w:i/>
          <w:iCs/>
          <w:sz w:val="22"/>
          <w:szCs w:val="22"/>
        </w:rPr>
        <w:t xml:space="preserve"> Los </w:t>
      </w:r>
      <w:r w:rsidRPr="004D578C">
        <w:rPr>
          <w:rFonts w:ascii="Palatino Linotype" w:eastAsia="Palatino Linotype" w:hAnsi="Palatino Linotype" w:cs="Palatino Linotype"/>
          <w:b/>
          <w:bCs/>
          <w:i/>
          <w:iCs/>
          <w:sz w:val="22"/>
          <w:szCs w:val="22"/>
        </w:rPr>
        <w:t>servidores públicos habilitados</w:t>
      </w:r>
      <w:r w:rsidRPr="004D578C">
        <w:rPr>
          <w:rFonts w:ascii="Palatino Linotype" w:eastAsia="Palatino Linotype" w:hAnsi="Palatino Linotype" w:cs="Palatino Linotype"/>
          <w:i/>
          <w:iCs/>
          <w:sz w:val="22"/>
          <w:szCs w:val="22"/>
        </w:rPr>
        <w:t xml:space="preserve"> tendrán las </w:t>
      </w:r>
      <w:r w:rsidRPr="004D578C">
        <w:rPr>
          <w:rFonts w:ascii="Palatino Linotype" w:eastAsia="Palatino Linotype" w:hAnsi="Palatino Linotype" w:cs="Palatino Linotype"/>
          <w:b/>
          <w:bCs/>
          <w:i/>
          <w:iCs/>
          <w:sz w:val="22"/>
          <w:szCs w:val="22"/>
        </w:rPr>
        <w:t>funciones</w:t>
      </w:r>
      <w:r w:rsidRPr="004D578C">
        <w:rPr>
          <w:rFonts w:ascii="Palatino Linotype" w:eastAsia="Palatino Linotype" w:hAnsi="Palatino Linotype" w:cs="Palatino Linotype"/>
          <w:i/>
          <w:iCs/>
          <w:sz w:val="22"/>
          <w:szCs w:val="22"/>
        </w:rPr>
        <w:t xml:space="preserve"> siguientes:</w:t>
      </w:r>
    </w:p>
    <w:p w14:paraId="60E48633"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4D578C">
        <w:rPr>
          <w:rFonts w:ascii="Palatino Linotype" w:eastAsia="Palatino Linotype" w:hAnsi="Palatino Linotype" w:cs="Palatino Linotype"/>
          <w:i/>
          <w:iCs/>
          <w:sz w:val="22"/>
          <w:szCs w:val="22"/>
        </w:rPr>
        <w:t>, la cual tendrá los fundamentos y argumentos en que se basa dicha propuesta…”</w:t>
      </w:r>
    </w:p>
    <w:p w14:paraId="39FD4159"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43C0BF9C"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54839A10"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Artículo 149.</w:t>
      </w:r>
      <w:r w:rsidRPr="004D578C">
        <w:rPr>
          <w:rFonts w:ascii="Palatino Linotype" w:eastAsia="Palatino Linotype" w:hAnsi="Palatino Linotype" w:cs="Palatino Linotype"/>
          <w:i/>
          <w:iCs/>
          <w:sz w:val="22"/>
          <w:szCs w:val="22"/>
        </w:rPr>
        <w:t xml:space="preserve"> El </w:t>
      </w:r>
      <w:r w:rsidRPr="004D578C">
        <w:rPr>
          <w:rFonts w:ascii="Palatino Linotype" w:eastAsia="Palatino Linotype" w:hAnsi="Palatino Linotype" w:cs="Palatino Linotype"/>
          <w:b/>
          <w:bCs/>
          <w:i/>
          <w:iCs/>
          <w:sz w:val="22"/>
          <w:szCs w:val="22"/>
        </w:rPr>
        <w:t>acuerdo que clasifique la información como confidencial</w:t>
      </w:r>
      <w:r w:rsidRPr="004D578C">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57BA4236" w14:textId="77777777" w:rsidR="00313806" w:rsidRPr="004D578C" w:rsidRDefault="007468AD">
      <w:pPr>
        <w:spacing w:before="240" w:after="240" w:line="360" w:lineRule="auto"/>
        <w:ind w:right="51"/>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Es decir,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1F8AE8C3" w14:textId="77777777" w:rsidR="00313806" w:rsidRPr="004D578C" w:rsidRDefault="007468AD">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2F103DD5" w14:textId="77777777" w:rsidR="00313806" w:rsidRPr="004D578C" w:rsidRDefault="007468AD">
      <w:pP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 xml:space="preserve"> “Quincuagésimo. </w:t>
      </w:r>
      <w:r w:rsidRPr="004D578C">
        <w:rPr>
          <w:rFonts w:ascii="Palatino Linotype" w:eastAsia="Palatino Linotype" w:hAnsi="Palatino Linotype" w:cs="Palatino Linotype"/>
          <w:i/>
          <w:iCs/>
          <w:sz w:val="20"/>
          <w:szCs w:val="2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1D20E8AD"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 xml:space="preserve">Quincuagésimo primero. </w:t>
      </w:r>
      <w:r w:rsidRPr="004D578C">
        <w:rPr>
          <w:rFonts w:ascii="Palatino Linotype" w:eastAsia="Palatino Linotype" w:hAnsi="Palatino Linotype" w:cs="Palatino Linotype"/>
          <w:i/>
          <w:iCs/>
          <w:sz w:val="20"/>
          <w:szCs w:val="20"/>
        </w:rPr>
        <w:t xml:space="preserve">Toda acta del Comité de Transparencia deberá contener: </w:t>
      </w:r>
    </w:p>
    <w:p w14:paraId="128AF597"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w:t>
      </w:r>
      <w:r w:rsidRPr="004D578C">
        <w:rPr>
          <w:rFonts w:ascii="Palatino Linotype" w:eastAsia="Palatino Linotype" w:hAnsi="Palatino Linotype" w:cs="Palatino Linotype"/>
          <w:i/>
          <w:iCs/>
          <w:sz w:val="20"/>
          <w:szCs w:val="20"/>
        </w:rPr>
        <w:t xml:space="preserve"> El número de sesión y fecha; </w:t>
      </w:r>
    </w:p>
    <w:p w14:paraId="77FC52EE"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II</w:t>
      </w:r>
      <w:r w:rsidRPr="004D578C">
        <w:rPr>
          <w:rFonts w:ascii="Palatino Linotype" w:eastAsia="Palatino Linotype" w:hAnsi="Palatino Linotype" w:cs="Palatino Linotype"/>
          <w:i/>
          <w:iCs/>
          <w:sz w:val="20"/>
          <w:szCs w:val="20"/>
        </w:rPr>
        <w:t xml:space="preserve">. El nombre del área que solicitó la clasificación de información; </w:t>
      </w:r>
    </w:p>
    <w:p w14:paraId="260673B1"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III</w:t>
      </w:r>
      <w:r w:rsidRPr="004D578C">
        <w:rPr>
          <w:rFonts w:ascii="Palatino Linotype" w:eastAsia="Palatino Linotype" w:hAnsi="Palatino Linotype" w:cs="Palatino Linotype"/>
          <w:i/>
          <w:iCs/>
          <w:sz w:val="20"/>
          <w:szCs w:val="20"/>
        </w:rPr>
        <w:t xml:space="preserve">. La fundamentación legal y motivación correspondiente; </w:t>
      </w:r>
    </w:p>
    <w:p w14:paraId="60911142"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IV</w:t>
      </w:r>
      <w:r w:rsidRPr="004D578C">
        <w:rPr>
          <w:rFonts w:ascii="Palatino Linotype" w:eastAsia="Palatino Linotype" w:hAnsi="Palatino Linotype" w:cs="Palatino Linotype"/>
          <w:i/>
          <w:iCs/>
          <w:sz w:val="20"/>
          <w:szCs w:val="20"/>
        </w:rPr>
        <w:t xml:space="preserve">. La resolución o resoluciones aprobadas; y </w:t>
      </w:r>
    </w:p>
    <w:p w14:paraId="38500784"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V</w:t>
      </w:r>
      <w:r w:rsidRPr="004D578C">
        <w:rPr>
          <w:rFonts w:ascii="Palatino Linotype" w:eastAsia="Palatino Linotype" w:hAnsi="Palatino Linotype" w:cs="Palatino Linotype"/>
          <w:i/>
          <w:iCs/>
          <w:sz w:val="20"/>
          <w:szCs w:val="20"/>
        </w:rPr>
        <w:t xml:space="preserve">. La rúbrica o firma digital de cada integrante del Comité de Transparencia. </w:t>
      </w:r>
    </w:p>
    <w:p w14:paraId="713D1410"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i/>
          <w:iCs/>
          <w:sz w:val="20"/>
          <w:szCs w:val="20"/>
        </w:rPr>
        <w:t xml:space="preserve">Las resoluciones del Comité en las que se haya determinado confirmar o modificar la clasificación de información pública como reservada, deberán incluir, cuando menos: </w:t>
      </w:r>
    </w:p>
    <w:p w14:paraId="4F37A418"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w:t>
      </w:r>
      <w:r w:rsidRPr="004D578C">
        <w:rPr>
          <w:rFonts w:ascii="Palatino Linotype" w:eastAsia="Palatino Linotype" w:hAnsi="Palatino Linotype" w:cs="Palatino Linotype"/>
          <w:i/>
          <w:iCs/>
          <w:sz w:val="20"/>
          <w:szCs w:val="20"/>
        </w:rPr>
        <w:t xml:space="preserve"> Los motivos y razonamientos que sustenten la confirmación o modificación de la prueba de daño;</w:t>
      </w:r>
    </w:p>
    <w:p w14:paraId="249F1758"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b/>
          <w:bCs/>
          <w:i/>
          <w:iCs/>
          <w:sz w:val="20"/>
          <w:szCs w:val="20"/>
        </w:rPr>
      </w:pPr>
      <w:r w:rsidRPr="004D578C">
        <w:rPr>
          <w:rFonts w:ascii="Palatino Linotype" w:eastAsia="Palatino Linotype" w:hAnsi="Palatino Linotype" w:cs="Palatino Linotype"/>
          <w:b/>
          <w:bCs/>
          <w:i/>
          <w:iCs/>
          <w:sz w:val="20"/>
          <w:szCs w:val="20"/>
        </w:rPr>
        <w:t>II</w:t>
      </w:r>
      <w:r w:rsidRPr="004D578C">
        <w:rPr>
          <w:rFonts w:ascii="Palatino Linotype" w:eastAsia="Palatino Linotype" w:hAnsi="Palatino Linotype" w:cs="Palatino Linotype"/>
          <w:i/>
          <w:iCs/>
          <w:sz w:val="20"/>
          <w:szCs w:val="20"/>
        </w:rPr>
        <w:t>. Descripción de las partes o secciones reservadas, en caso de clasificación parcial</w:t>
      </w:r>
      <w:r w:rsidRPr="004D578C">
        <w:rPr>
          <w:rFonts w:ascii="Palatino Linotype" w:eastAsia="Palatino Linotype" w:hAnsi="Palatino Linotype" w:cs="Palatino Linotype"/>
          <w:b/>
          <w:bCs/>
          <w:i/>
          <w:iCs/>
          <w:sz w:val="20"/>
          <w:szCs w:val="20"/>
        </w:rPr>
        <w:t xml:space="preserve">; </w:t>
      </w:r>
    </w:p>
    <w:p w14:paraId="064F50A8"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III.</w:t>
      </w:r>
      <w:r w:rsidRPr="004D578C">
        <w:rPr>
          <w:rFonts w:ascii="Palatino Linotype" w:eastAsia="Palatino Linotype" w:hAnsi="Palatino Linotype" w:cs="Palatino Linotype"/>
          <w:i/>
          <w:iCs/>
          <w:sz w:val="20"/>
          <w:szCs w:val="20"/>
        </w:rPr>
        <w:t xml:space="preserve"> El periodo por el que mantendrá su clasificación y fecha de expiración; y </w:t>
      </w:r>
    </w:p>
    <w:p w14:paraId="2BD5EDA9"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b/>
          <w:bCs/>
          <w:i/>
          <w:iCs/>
          <w:sz w:val="20"/>
          <w:szCs w:val="20"/>
        </w:rPr>
        <w:t>IV.</w:t>
      </w:r>
      <w:r w:rsidRPr="004D578C">
        <w:rPr>
          <w:rFonts w:ascii="Palatino Linotype" w:eastAsia="Palatino Linotype" w:hAnsi="Palatino Linotype" w:cs="Palatino Linotype"/>
          <w:i/>
          <w:iCs/>
          <w:sz w:val="20"/>
          <w:szCs w:val="20"/>
        </w:rPr>
        <w:t xml:space="preserve"> El nombre del titular y área encargada de realizar la versión pública del documento, en su caso. </w:t>
      </w:r>
    </w:p>
    <w:p w14:paraId="490B41D0"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i/>
          <w:iCs/>
          <w:sz w:val="20"/>
          <w:szCs w:val="20"/>
        </w:rPr>
        <w:t xml:space="preserve">En los casos en que se clasifique la información como reservada siempre se entregará o anexará la prueba de daño con la respuesta al solicitante. </w:t>
      </w:r>
    </w:p>
    <w:p w14:paraId="4FE8A519" w14:textId="77777777" w:rsidR="00313806" w:rsidRPr="004D578C" w:rsidRDefault="007468AD">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i/>
          <w:iCs/>
          <w:sz w:val="20"/>
          <w:szCs w:val="20"/>
        </w:rPr>
        <w:t>En los casos de resoluciones del Comité de Transparencia en las que se confirme la clasificación de información confidencial solo se deberán de identificar los tipos de datos protegidos, de conformidad con el lineamiento trigésimo octavo.</w:t>
      </w:r>
    </w:p>
    <w:p w14:paraId="2B12967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0321FED0"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r w:rsidRPr="004D578C">
        <w:rPr>
          <w:rFonts w:ascii="Palatino Linotype" w:eastAsia="Palatino Linotype" w:hAnsi="Palatino Linotype" w:cs="Palatino Linotype"/>
          <w:b/>
          <w:bCs/>
          <w:i/>
          <w:iCs/>
          <w:sz w:val="22"/>
          <w:szCs w:val="22"/>
        </w:rPr>
        <w:t>Quincuagésimo segundo</w:t>
      </w:r>
      <w:r w:rsidRPr="004D578C">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4A3926E9"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0D969F14"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w:t>
      </w:r>
      <w:r w:rsidRPr="004D578C">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666171FE"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w:t>
      </w:r>
      <w:r w:rsidRPr="004D578C">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435F1229"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III.</w:t>
      </w:r>
      <w:r w:rsidRPr="004D578C">
        <w:rPr>
          <w:rFonts w:ascii="Palatino Linotype" w:eastAsia="Palatino Linotype" w:hAnsi="Palatino Linotype" w:cs="Palatino Linotype"/>
          <w:i/>
          <w:iCs/>
          <w:sz w:val="22"/>
          <w:szCs w:val="22"/>
        </w:rPr>
        <w:t xml:space="preserve"> Señalar las personas o instancias autorizadas a acceder a la información clasificada.</w:t>
      </w:r>
    </w:p>
    <w:p w14:paraId="31489686" w14:textId="77777777" w:rsidR="00313806" w:rsidRPr="004D578C" w:rsidRDefault="007468AD">
      <w:pP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48C34E2C" w14:textId="77777777" w:rsidR="00313806" w:rsidRPr="004D578C" w:rsidRDefault="007468AD">
      <w:pPr>
        <w:pBdr>
          <w:top w:val="nil"/>
          <w:left w:val="nil"/>
          <w:bottom w:val="nil"/>
          <w:right w:val="nil"/>
          <w:between w:val="nil"/>
        </w:pBdr>
        <w:spacing w:before="120" w:after="120"/>
        <w:ind w:left="851" w:right="900"/>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w:t>
      </w:r>
    </w:p>
    <w:p w14:paraId="079AD05E" w14:textId="77777777" w:rsidR="00313806" w:rsidRPr="004D578C" w:rsidRDefault="007468AD">
      <w:pPr>
        <w:pBdr>
          <w:top w:val="nil"/>
          <w:left w:val="nil"/>
          <w:bottom w:val="nil"/>
          <w:right w:val="nil"/>
          <w:between w:val="nil"/>
        </w:pBdr>
        <w:spacing w:before="120" w:after="120"/>
        <w:ind w:left="851" w:right="900"/>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 xml:space="preserve">Quincuagésimo cuarto. </w:t>
      </w:r>
      <w:r w:rsidRPr="004D578C">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4D578C">
        <w:rPr>
          <w:rFonts w:ascii="Palatino Linotype" w:eastAsia="Palatino Linotype" w:hAnsi="Palatino Linotype" w:cs="Palatino Linotype"/>
          <w:b/>
          <w:bCs/>
          <w:i/>
          <w:iCs/>
          <w:sz w:val="22"/>
          <w:szCs w:val="22"/>
        </w:rPr>
        <w:t xml:space="preserve"> </w:t>
      </w:r>
    </w:p>
    <w:p w14:paraId="59386C94"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 xml:space="preserve">Quincuagésimo quinto. </w:t>
      </w:r>
      <w:r w:rsidRPr="004D578C">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64AA6013" w14:textId="77777777" w:rsidR="00313806" w:rsidRPr="004D578C" w:rsidRDefault="007468AD">
      <w:pPr>
        <w:spacing w:before="120" w:after="120"/>
        <w:ind w:left="851" w:right="902"/>
        <w:jc w:val="both"/>
        <w:rPr>
          <w:rFonts w:ascii="Palatino Linotype" w:eastAsia="Palatino Linotype" w:hAnsi="Palatino Linotype" w:cs="Palatino Linotype"/>
          <w:b/>
          <w:bCs/>
          <w:i/>
          <w:iCs/>
          <w:sz w:val="22"/>
          <w:szCs w:val="22"/>
        </w:rPr>
      </w:pPr>
      <w:r w:rsidRPr="004D578C">
        <w:rPr>
          <w:rFonts w:ascii="Palatino Linotype" w:eastAsia="Palatino Linotype" w:hAnsi="Palatino Linotype" w:cs="Palatino Linotype"/>
          <w:b/>
          <w:bCs/>
          <w:i/>
          <w:iCs/>
          <w:sz w:val="22"/>
          <w:szCs w:val="22"/>
        </w:rPr>
        <w:t>...</w:t>
      </w:r>
    </w:p>
    <w:p w14:paraId="7734B1D5"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Quincuagésimo séptimo</w:t>
      </w:r>
      <w:r w:rsidRPr="004D578C">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3B973F07"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w:t>
      </w:r>
      <w:r w:rsidRPr="004D578C">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3459B2C1"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w:t>
      </w:r>
      <w:r w:rsidRPr="004D578C">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702B6D54"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III</w:t>
      </w:r>
      <w:r w:rsidRPr="004D578C">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4D0E19D7"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31021D5B" w14:textId="77777777" w:rsidR="00313806" w:rsidRPr="004D578C" w:rsidRDefault="007468AD">
      <w:pPr>
        <w:spacing w:before="120" w:after="120"/>
        <w:ind w:left="851" w:right="902"/>
        <w:jc w:val="both"/>
        <w:rPr>
          <w:rFonts w:ascii="Palatino Linotype" w:eastAsia="Palatino Linotype" w:hAnsi="Palatino Linotype" w:cs="Palatino Linotype"/>
          <w:i/>
          <w:iCs/>
          <w:sz w:val="22"/>
          <w:szCs w:val="22"/>
        </w:rPr>
      </w:pPr>
      <w:r w:rsidRPr="004D578C">
        <w:rPr>
          <w:rFonts w:ascii="Palatino Linotype" w:eastAsia="Palatino Linotype" w:hAnsi="Palatino Linotype" w:cs="Palatino Linotype"/>
          <w:b/>
          <w:bCs/>
          <w:i/>
          <w:iCs/>
          <w:sz w:val="22"/>
          <w:szCs w:val="22"/>
        </w:rPr>
        <w:t>Quincuagésimo octavo</w:t>
      </w:r>
      <w:r w:rsidRPr="004D578C">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392CF424"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del Decreto número 198 de la “LXII” Legislatura del Estado de México; 2, fracción II; 29, 36 fracciones I y II; 176, 178, 181, 185, fracción I, 186 y 188 de la Ley de Transparencia y Acceso a la Información Pública del Estado de México y Municipios, este Pleno:</w:t>
      </w:r>
    </w:p>
    <w:p w14:paraId="0C9ED8E1" w14:textId="77777777" w:rsidR="00313806" w:rsidRPr="004D578C" w:rsidRDefault="007468AD">
      <w:pPr>
        <w:pBdr>
          <w:top w:val="nil"/>
          <w:left w:val="nil"/>
          <w:bottom w:val="nil"/>
          <w:right w:val="nil"/>
          <w:between w:val="nil"/>
        </w:pBdr>
        <w:spacing w:line="360" w:lineRule="auto"/>
        <w:jc w:val="center"/>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III. R E S U E L V E</w:t>
      </w:r>
    </w:p>
    <w:p w14:paraId="44F2F45F"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bookmarkStart w:id="6" w:name="_heading=h.ibiie51sawl6" w:colFirst="0" w:colLast="0"/>
      <w:bookmarkEnd w:id="6"/>
      <w:r w:rsidRPr="004D578C">
        <w:rPr>
          <w:rFonts w:ascii="Palatino Linotype" w:eastAsia="Palatino Linotype" w:hAnsi="Palatino Linotype" w:cs="Palatino Linotype"/>
          <w:b/>
          <w:bCs/>
          <w:sz w:val="22"/>
          <w:szCs w:val="22"/>
        </w:rPr>
        <w:t xml:space="preserve">Primero. </w:t>
      </w:r>
      <w:r w:rsidRPr="004D578C">
        <w:rPr>
          <w:rFonts w:ascii="Palatino Linotype" w:eastAsia="Palatino Linotype" w:hAnsi="Palatino Linotype" w:cs="Palatino Linotype"/>
          <w:sz w:val="22"/>
          <w:szCs w:val="22"/>
        </w:rPr>
        <w:t>Resultan</w:t>
      </w:r>
      <w:r w:rsidRPr="004D578C">
        <w:rPr>
          <w:rFonts w:ascii="Palatino Linotype" w:eastAsia="Palatino Linotype" w:hAnsi="Palatino Linotype" w:cs="Palatino Linotype"/>
          <w:b/>
          <w:bCs/>
          <w:sz w:val="22"/>
          <w:szCs w:val="22"/>
        </w:rPr>
        <w:t xml:space="preserve"> fundadas</w:t>
      </w:r>
      <w:r w:rsidRPr="004D578C">
        <w:rPr>
          <w:rFonts w:ascii="Palatino Linotype" w:eastAsia="Palatino Linotype" w:hAnsi="Palatino Linotype" w:cs="Palatino Linotype"/>
          <w:sz w:val="22"/>
          <w:szCs w:val="22"/>
        </w:rPr>
        <w:t xml:space="preserve"> las razones o motivos de inconformidad hechos valer por la parte</w:t>
      </w:r>
      <w:r w:rsidRPr="004D578C">
        <w:rPr>
          <w:rFonts w:ascii="Palatino Linotype" w:eastAsia="Palatino Linotype" w:hAnsi="Palatino Linotype" w:cs="Palatino Linotype"/>
          <w:b/>
          <w:bCs/>
          <w:sz w:val="22"/>
          <w:szCs w:val="22"/>
        </w:rPr>
        <w:t xml:space="preserve"> Recurrente</w:t>
      </w:r>
      <w:r w:rsidRPr="004D578C">
        <w:rPr>
          <w:rFonts w:ascii="Palatino Linotype" w:eastAsia="Palatino Linotype" w:hAnsi="Palatino Linotype" w:cs="Palatino Linotype"/>
          <w:sz w:val="22"/>
          <w:szCs w:val="22"/>
        </w:rPr>
        <w:t xml:space="preserve"> en el recurso de revisión </w:t>
      </w:r>
      <w:r w:rsidRPr="004D578C">
        <w:rPr>
          <w:rFonts w:ascii="Palatino Linotype" w:eastAsia="Palatino Linotype" w:hAnsi="Palatino Linotype" w:cs="Palatino Linotype"/>
          <w:b/>
          <w:bCs/>
          <w:sz w:val="22"/>
          <w:szCs w:val="22"/>
        </w:rPr>
        <w:t>05447/INFOEM/ICR-168/IP/RR/2026</w:t>
      </w:r>
      <w:r w:rsidRPr="004D578C">
        <w:rPr>
          <w:rFonts w:ascii="Palatino Linotype" w:eastAsia="Palatino Linotype" w:hAnsi="Palatino Linotype" w:cs="Palatino Linotype"/>
          <w:sz w:val="22"/>
          <w:szCs w:val="22"/>
        </w:rPr>
        <w:t xml:space="preserve">; por lo que, en términos del </w:t>
      </w:r>
      <w:r w:rsidRPr="004D578C">
        <w:rPr>
          <w:rFonts w:ascii="Palatino Linotype" w:eastAsia="Palatino Linotype" w:hAnsi="Palatino Linotype" w:cs="Palatino Linotype"/>
          <w:b/>
          <w:bCs/>
          <w:sz w:val="22"/>
          <w:szCs w:val="22"/>
        </w:rPr>
        <w:t>Considerando</w:t>
      </w:r>
      <w:r w:rsidRPr="004D578C">
        <w:rPr>
          <w:rFonts w:ascii="Palatino Linotype" w:eastAsia="Palatino Linotype" w:hAnsi="Palatino Linotype" w:cs="Palatino Linotype"/>
          <w:sz w:val="22"/>
          <w:szCs w:val="22"/>
        </w:rPr>
        <w:t xml:space="preserve"> </w:t>
      </w:r>
      <w:r w:rsidRPr="004D578C">
        <w:rPr>
          <w:rFonts w:ascii="Palatino Linotype" w:eastAsia="Palatino Linotype" w:hAnsi="Palatino Linotype" w:cs="Palatino Linotype"/>
          <w:b/>
          <w:bCs/>
          <w:sz w:val="22"/>
          <w:szCs w:val="22"/>
        </w:rPr>
        <w:t xml:space="preserve">Cuarto </w:t>
      </w:r>
      <w:r w:rsidRPr="004D578C">
        <w:rPr>
          <w:rFonts w:ascii="Palatino Linotype" w:eastAsia="Palatino Linotype" w:hAnsi="Palatino Linotype" w:cs="Palatino Linotype"/>
          <w:sz w:val="22"/>
          <w:szCs w:val="22"/>
        </w:rPr>
        <w:t xml:space="preserve">de esta resolución, se </w:t>
      </w:r>
      <w:r w:rsidRPr="004D578C">
        <w:rPr>
          <w:rFonts w:ascii="Palatino Linotype" w:eastAsia="Palatino Linotype" w:hAnsi="Palatino Linotype" w:cs="Palatino Linotype"/>
          <w:b/>
          <w:bCs/>
          <w:sz w:val="22"/>
          <w:szCs w:val="22"/>
        </w:rPr>
        <w:t xml:space="preserve">Modifica </w:t>
      </w:r>
      <w:r w:rsidRPr="004D578C">
        <w:rPr>
          <w:rFonts w:ascii="Palatino Linotype" w:eastAsia="Palatino Linotype" w:hAnsi="Palatino Linotype" w:cs="Palatino Linotype"/>
          <w:sz w:val="22"/>
          <w:szCs w:val="22"/>
        </w:rPr>
        <w:t xml:space="preserve">la respuesta emitida por el </w:t>
      </w:r>
      <w:r w:rsidRPr="004D578C">
        <w:rPr>
          <w:rFonts w:ascii="Palatino Linotype" w:eastAsia="Palatino Linotype" w:hAnsi="Palatino Linotype" w:cs="Palatino Linotype"/>
          <w:b/>
          <w:bCs/>
          <w:sz w:val="22"/>
          <w:szCs w:val="22"/>
        </w:rPr>
        <w:t xml:space="preserve">Sujeto Obligado, </w:t>
      </w:r>
      <w:r w:rsidRPr="004D578C">
        <w:rPr>
          <w:rFonts w:ascii="Palatino Linotype" w:eastAsia="Palatino Linotype" w:hAnsi="Palatino Linotype" w:cs="Palatino Linotype"/>
          <w:sz w:val="22"/>
          <w:szCs w:val="22"/>
        </w:rPr>
        <w:t xml:space="preserve">en cumplimiento a la resolución del recurso de revisión </w:t>
      </w:r>
      <w:r w:rsidRPr="004D578C">
        <w:rPr>
          <w:rFonts w:ascii="Palatino Linotype" w:eastAsia="Palatino Linotype" w:hAnsi="Palatino Linotype" w:cs="Palatino Linotype"/>
          <w:b/>
          <w:bCs/>
          <w:sz w:val="22"/>
          <w:szCs w:val="22"/>
        </w:rPr>
        <w:t>05447/INFOEM/IP/RR/2026</w:t>
      </w:r>
      <w:r w:rsidRPr="004D578C">
        <w:rPr>
          <w:rFonts w:ascii="Palatino Linotype" w:eastAsia="Palatino Linotype" w:hAnsi="Palatino Linotype" w:cs="Palatino Linotype"/>
          <w:sz w:val="22"/>
          <w:szCs w:val="22"/>
        </w:rPr>
        <w:t>.</w:t>
      </w:r>
    </w:p>
    <w:p w14:paraId="3795C90A"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bookmarkStart w:id="7" w:name="_heading=h.lnxbz9" w:colFirst="0" w:colLast="0"/>
      <w:bookmarkEnd w:id="7"/>
      <w:r w:rsidRPr="004D578C">
        <w:rPr>
          <w:rFonts w:ascii="Palatino Linotype" w:eastAsia="Palatino Linotype" w:hAnsi="Palatino Linotype" w:cs="Palatino Linotype"/>
          <w:b/>
          <w:bCs/>
          <w:sz w:val="22"/>
          <w:szCs w:val="22"/>
        </w:rPr>
        <w:t xml:space="preserve">Segundo. </w:t>
      </w:r>
      <w:r w:rsidRPr="004D578C">
        <w:rPr>
          <w:rFonts w:ascii="Palatino Linotype" w:eastAsia="Palatino Linotype" w:hAnsi="Palatino Linotype" w:cs="Palatino Linotype"/>
          <w:sz w:val="22"/>
          <w:szCs w:val="22"/>
        </w:rPr>
        <w:t xml:space="preserve">Se </w:t>
      </w:r>
      <w:r w:rsidRPr="004D578C">
        <w:rPr>
          <w:rFonts w:ascii="Palatino Linotype" w:eastAsia="Palatino Linotype" w:hAnsi="Palatino Linotype" w:cs="Palatino Linotype"/>
          <w:b/>
          <w:bCs/>
          <w:sz w:val="22"/>
          <w:szCs w:val="22"/>
        </w:rPr>
        <w:t>Ordena</w:t>
      </w:r>
      <w:r w:rsidRPr="004D578C">
        <w:rPr>
          <w:rFonts w:ascii="Palatino Linotype" w:eastAsia="Palatino Linotype" w:hAnsi="Palatino Linotype" w:cs="Palatino Linotype"/>
          <w:sz w:val="22"/>
          <w:szCs w:val="22"/>
        </w:rPr>
        <w:t xml:space="preserve"> al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en términos de los Considerandos </w:t>
      </w:r>
      <w:r w:rsidRPr="004D578C">
        <w:rPr>
          <w:rFonts w:ascii="Palatino Linotype" w:eastAsia="Palatino Linotype" w:hAnsi="Palatino Linotype" w:cs="Palatino Linotype"/>
          <w:b/>
          <w:bCs/>
          <w:sz w:val="22"/>
          <w:szCs w:val="22"/>
        </w:rPr>
        <w:t xml:space="preserve">Cuarto </w:t>
      </w:r>
      <w:r w:rsidRPr="004D578C">
        <w:rPr>
          <w:rFonts w:ascii="Palatino Linotype" w:eastAsia="Palatino Linotype" w:hAnsi="Palatino Linotype" w:cs="Palatino Linotype"/>
          <w:sz w:val="22"/>
          <w:szCs w:val="22"/>
        </w:rPr>
        <w:t xml:space="preserve">y </w:t>
      </w:r>
      <w:r w:rsidRPr="004D578C">
        <w:rPr>
          <w:rFonts w:ascii="Palatino Linotype" w:eastAsia="Palatino Linotype" w:hAnsi="Palatino Linotype" w:cs="Palatino Linotype"/>
          <w:b/>
          <w:bCs/>
          <w:sz w:val="22"/>
          <w:szCs w:val="22"/>
        </w:rPr>
        <w:t xml:space="preserve">Quinto </w:t>
      </w:r>
      <w:r w:rsidRPr="004D578C">
        <w:rPr>
          <w:rFonts w:ascii="Palatino Linotype" w:eastAsia="Palatino Linotype" w:hAnsi="Palatino Linotype" w:cs="Palatino Linotype"/>
          <w:sz w:val="22"/>
          <w:szCs w:val="22"/>
        </w:rPr>
        <w:t xml:space="preserve">de esta resolución, haga entrega, vía </w:t>
      </w:r>
      <w:r w:rsidRPr="004D578C">
        <w:rPr>
          <w:rFonts w:ascii="Palatino Linotype" w:eastAsia="Palatino Linotype" w:hAnsi="Palatino Linotype" w:cs="Palatino Linotype"/>
          <w:b/>
          <w:bCs/>
          <w:sz w:val="22"/>
          <w:szCs w:val="22"/>
        </w:rPr>
        <w:t>SAIMEX</w:t>
      </w:r>
      <w:r w:rsidRPr="004D578C">
        <w:rPr>
          <w:rFonts w:ascii="Palatino Linotype" w:eastAsia="Palatino Linotype" w:hAnsi="Palatino Linotype" w:cs="Palatino Linotype"/>
          <w:sz w:val="22"/>
          <w:szCs w:val="22"/>
        </w:rPr>
        <w:t>, en versión pública, de lo siguiente:</w:t>
      </w:r>
    </w:p>
    <w:p w14:paraId="084E4706" w14:textId="77777777" w:rsidR="00313806" w:rsidRPr="004D578C" w:rsidRDefault="007468AD">
      <w:pPr>
        <w:spacing w:before="240" w:after="240" w:line="360" w:lineRule="auto"/>
        <w:ind w:left="284"/>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sz w:val="22"/>
          <w:szCs w:val="22"/>
        </w:rPr>
        <w:t>1. Recibos de nómina de la primera quincena de abril de dos mil veintiséis, de las áreas faltantes.</w:t>
      </w:r>
    </w:p>
    <w:p w14:paraId="3E07621C" w14:textId="77777777" w:rsidR="00313806" w:rsidRPr="004D578C" w:rsidRDefault="007468AD">
      <w:pPr>
        <w:spacing w:before="120" w:after="120"/>
        <w:ind w:left="284"/>
        <w:jc w:val="both"/>
        <w:rPr>
          <w:rFonts w:ascii="Palatino Linotype" w:eastAsia="Palatino Linotype" w:hAnsi="Palatino Linotype" w:cs="Palatino Linotype"/>
          <w:i/>
          <w:iCs/>
          <w:sz w:val="20"/>
          <w:szCs w:val="20"/>
        </w:rPr>
      </w:pPr>
      <w:r w:rsidRPr="004D578C">
        <w:rPr>
          <w:rFonts w:ascii="Palatino Linotype" w:eastAsia="Palatino Linotype" w:hAnsi="Palatino Linotype" w:cs="Palatino Linotype"/>
          <w:i/>
          <w:iCs/>
          <w:sz w:val="20"/>
          <w:szCs w:val="20"/>
        </w:rPr>
        <w:t>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 mismo que también hará de conocimiento del particular.</w:t>
      </w:r>
    </w:p>
    <w:p w14:paraId="3C4B971A"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Tercero. Notifíquese, </w:t>
      </w:r>
      <w:r w:rsidRPr="004D578C">
        <w:rPr>
          <w:rFonts w:ascii="Palatino Linotype" w:eastAsia="Palatino Linotype" w:hAnsi="Palatino Linotype" w:cs="Palatino Linotype"/>
          <w:sz w:val="22"/>
          <w:szCs w:val="22"/>
        </w:rPr>
        <w:t xml:space="preserve">vía </w:t>
      </w:r>
      <w:r w:rsidRPr="004D578C">
        <w:rPr>
          <w:rFonts w:ascii="Palatino Linotype" w:eastAsia="Palatino Linotype" w:hAnsi="Palatino Linotype" w:cs="Palatino Linotype"/>
          <w:b/>
          <w:bCs/>
          <w:sz w:val="22"/>
          <w:szCs w:val="22"/>
        </w:rPr>
        <w:t>SAIMEX</w:t>
      </w:r>
      <w:r w:rsidRPr="004D578C">
        <w:rPr>
          <w:rFonts w:ascii="Palatino Linotype" w:eastAsia="Palatino Linotype" w:hAnsi="Palatino Linotype" w:cs="Palatino Linotype"/>
          <w:sz w:val="22"/>
          <w:szCs w:val="22"/>
        </w:rPr>
        <w:t xml:space="preserve">, al Titular de la Unidad de Transparencia del </w:t>
      </w:r>
      <w:r w:rsidRPr="004D578C">
        <w:rPr>
          <w:rFonts w:ascii="Palatino Linotype" w:eastAsia="Palatino Linotype" w:hAnsi="Palatino Linotype" w:cs="Palatino Linotype"/>
          <w:b/>
          <w:bCs/>
          <w:sz w:val="22"/>
          <w:szCs w:val="22"/>
        </w:rPr>
        <w:t>Sujeto Obligado,</w:t>
      </w:r>
      <w:r w:rsidRPr="004D578C">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3AF08C80" w14:textId="77777777" w:rsidR="00313806" w:rsidRPr="004D578C" w:rsidRDefault="007468AD">
      <w:pPr>
        <w:spacing w:before="240" w:after="240" w:line="360" w:lineRule="auto"/>
        <w:jc w:val="both"/>
        <w:rPr>
          <w:rFonts w:ascii="Palatino Linotype" w:eastAsia="Palatino Linotype" w:hAnsi="Palatino Linotype" w:cs="Palatino Linotype"/>
          <w:sz w:val="22"/>
          <w:szCs w:val="22"/>
        </w:rPr>
      </w:pPr>
      <w:r w:rsidRPr="004D578C">
        <w:rPr>
          <w:rFonts w:ascii="Palatino Linotype" w:eastAsia="Palatino Linotype" w:hAnsi="Palatino Linotype" w:cs="Palatino Linotype"/>
          <w:b/>
          <w:bCs/>
          <w:sz w:val="22"/>
          <w:szCs w:val="22"/>
        </w:rPr>
        <w:t xml:space="preserve">Cuarto.  Notifíquese, </w:t>
      </w:r>
      <w:r w:rsidRPr="004D578C">
        <w:rPr>
          <w:rFonts w:ascii="Palatino Linotype" w:eastAsia="Palatino Linotype" w:hAnsi="Palatino Linotype" w:cs="Palatino Linotype"/>
          <w:sz w:val="22"/>
          <w:szCs w:val="22"/>
        </w:rPr>
        <w:t xml:space="preserve">vía </w:t>
      </w:r>
      <w:r w:rsidRPr="004D578C">
        <w:rPr>
          <w:rFonts w:ascii="Palatino Linotype" w:eastAsia="Palatino Linotype" w:hAnsi="Palatino Linotype" w:cs="Palatino Linotype"/>
          <w:b/>
          <w:bCs/>
          <w:sz w:val="22"/>
          <w:szCs w:val="22"/>
        </w:rPr>
        <w:t>SAIMEX</w:t>
      </w:r>
      <w:r w:rsidRPr="004D578C">
        <w:rPr>
          <w:rFonts w:ascii="Palatino Linotype" w:eastAsia="Palatino Linotype" w:hAnsi="Palatino Linotype" w:cs="Palatino Linotype"/>
          <w:sz w:val="22"/>
          <w:szCs w:val="22"/>
        </w:rPr>
        <w:t xml:space="preserve">, a la parte </w:t>
      </w:r>
      <w:r w:rsidRPr="004D578C">
        <w:rPr>
          <w:rFonts w:ascii="Palatino Linotype" w:eastAsia="Palatino Linotype" w:hAnsi="Palatino Linotype" w:cs="Palatino Linotype"/>
          <w:b/>
          <w:bCs/>
          <w:sz w:val="22"/>
          <w:szCs w:val="22"/>
        </w:rPr>
        <w:t>Recurrente</w:t>
      </w:r>
      <w:r w:rsidRPr="004D578C">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394ACBFD" w14:textId="77777777" w:rsidR="00313806" w:rsidRPr="004D578C" w:rsidRDefault="007468AD">
      <w:pPr>
        <w:spacing w:before="240" w:after="240" w:line="360" w:lineRule="auto"/>
        <w:jc w:val="both"/>
        <w:rPr>
          <w:rFonts w:ascii="Palatino Linotype" w:eastAsia="Palatino Linotype" w:hAnsi="Palatino Linotype" w:cs="Palatino Linotype"/>
          <w:b/>
          <w:bCs/>
          <w:sz w:val="22"/>
          <w:szCs w:val="22"/>
        </w:rPr>
      </w:pPr>
      <w:r w:rsidRPr="004D578C">
        <w:rPr>
          <w:rFonts w:ascii="Palatino Linotype" w:eastAsia="Palatino Linotype" w:hAnsi="Palatino Linotype" w:cs="Palatino Linotype"/>
          <w:b/>
          <w:bCs/>
          <w:sz w:val="22"/>
          <w:szCs w:val="22"/>
        </w:rPr>
        <w:t xml:space="preserve">Quinto. Gírese </w:t>
      </w:r>
      <w:r w:rsidRPr="004D578C">
        <w:rPr>
          <w:rFonts w:ascii="Palatino Linotype" w:eastAsia="Palatino Linotype" w:hAnsi="Palatino Linotype" w:cs="Palatino Linotype"/>
          <w:sz w:val="22"/>
          <w:szCs w:val="22"/>
        </w:rPr>
        <w:t xml:space="preserve">oficio a la </w:t>
      </w:r>
      <w:r w:rsidRPr="004D578C">
        <w:rPr>
          <w:rFonts w:ascii="Palatino Linotype" w:eastAsia="Palatino Linotype" w:hAnsi="Palatino Linotype" w:cs="Palatino Linotype"/>
          <w:b/>
          <w:bCs/>
          <w:sz w:val="22"/>
          <w:szCs w:val="22"/>
        </w:rPr>
        <w:t>Secretaría Técnica del Pleno</w:t>
      </w:r>
      <w:r w:rsidRPr="004D578C">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w:t>
      </w:r>
      <w:r w:rsidRPr="004D578C">
        <w:rPr>
          <w:rFonts w:ascii="Palatino Linotype" w:eastAsia="Palatino Linotype" w:hAnsi="Palatino Linotype" w:cs="Palatino Linotype"/>
          <w:b/>
          <w:bCs/>
          <w:sz w:val="22"/>
          <w:szCs w:val="22"/>
        </w:rPr>
        <w:t xml:space="preserve">Cuarto </w:t>
      </w:r>
      <w:r w:rsidRPr="004D578C">
        <w:rPr>
          <w:rFonts w:ascii="Palatino Linotype" w:eastAsia="Palatino Linotype" w:hAnsi="Palatino Linotype" w:cs="Palatino Linotype"/>
          <w:sz w:val="22"/>
          <w:szCs w:val="22"/>
        </w:rPr>
        <w:t>de la presente resolución.</w:t>
      </w:r>
      <w:r w:rsidRPr="004D578C">
        <w:rPr>
          <w:rFonts w:ascii="Palatino Linotype" w:eastAsia="Palatino Linotype" w:hAnsi="Palatino Linotype" w:cs="Palatino Linotype"/>
          <w:b/>
          <w:bCs/>
          <w:sz w:val="22"/>
          <w:szCs w:val="22"/>
        </w:rPr>
        <w:t xml:space="preserve"> </w:t>
      </w:r>
    </w:p>
    <w:p w14:paraId="05807950" w14:textId="46C15FD1" w:rsidR="00313806" w:rsidRPr="005F1B3A" w:rsidRDefault="007468AD">
      <w:pPr>
        <w:spacing w:before="240" w:after="240" w:line="360" w:lineRule="auto"/>
        <w:ind w:right="49"/>
        <w:jc w:val="both"/>
        <w:rPr>
          <w:rFonts w:ascii="Palatino Linotype" w:eastAsia="Palatino Linotype" w:hAnsi="Palatino Linotype" w:cs="Palatino Linotype"/>
          <w:sz w:val="22"/>
          <w:szCs w:val="22"/>
        </w:rPr>
      </w:pPr>
      <w:bookmarkStart w:id="8" w:name="_heading=h.1fob9te" w:colFirst="0" w:colLast="0"/>
      <w:bookmarkEnd w:id="8"/>
      <w:r w:rsidRPr="004D578C">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w:t>
      </w:r>
      <w:r w:rsidR="005F1B3A" w:rsidRPr="004D578C">
        <w:rPr>
          <w:rFonts w:ascii="Palatino Linotype" w:eastAsia="Palatino Linotype" w:hAnsi="Palatino Linotype" w:cs="Palatino Linotype"/>
          <w:sz w:val="22"/>
          <w:szCs w:val="22"/>
        </w:rPr>
        <w:t>, EMITIENDO VOTO PARTICULAR</w:t>
      </w:r>
      <w:r w:rsidRPr="004D578C">
        <w:rPr>
          <w:rFonts w:ascii="Palatino Linotype" w:eastAsia="Palatino Linotype" w:hAnsi="Palatino Linotype" w:cs="Palatino Linotype"/>
          <w:sz w:val="22"/>
          <w:szCs w:val="22"/>
        </w:rPr>
        <w:t>; EN LA TRIGÉSIMA TERCERA SESIÓN ORDINARIA CELEBRADA EL DIECISIETE DE SEPTIEMBRE DE DOS MIL VEINTISÉIS, ANTE EL SECRETARIO TÉCNICO DEL PLENO ALEXIS TAPIA RAMÍREZ.</w:t>
      </w:r>
      <w:r w:rsidRPr="005F1B3A">
        <w:rPr>
          <w:rFonts w:ascii="Palatino Linotype" w:eastAsia="Palatino Linotype" w:hAnsi="Palatino Linotype" w:cs="Palatino Linotype"/>
          <w:sz w:val="22"/>
          <w:szCs w:val="22"/>
        </w:rPr>
        <w:t xml:space="preserve"> </w:t>
      </w:r>
    </w:p>
    <w:p w14:paraId="2CBAA1B8" w14:textId="77777777" w:rsidR="00313806" w:rsidRPr="005F1B3A" w:rsidRDefault="00313806">
      <w:pPr>
        <w:spacing w:before="240" w:after="240" w:line="360" w:lineRule="auto"/>
        <w:ind w:right="49"/>
        <w:jc w:val="both"/>
        <w:rPr>
          <w:rFonts w:ascii="Palatino Linotype" w:eastAsia="Palatino Linotype" w:hAnsi="Palatino Linotype" w:cs="Palatino Linotype"/>
          <w:sz w:val="22"/>
          <w:szCs w:val="22"/>
        </w:rPr>
      </w:pPr>
    </w:p>
    <w:p w14:paraId="0EDAD767" w14:textId="77777777" w:rsidR="00313806" w:rsidRPr="005F1B3A" w:rsidRDefault="00313806">
      <w:pPr>
        <w:spacing w:line="360" w:lineRule="auto"/>
        <w:ind w:right="49"/>
        <w:jc w:val="both"/>
        <w:rPr>
          <w:rFonts w:ascii="Palatino Linotype" w:eastAsia="Palatino Linotype" w:hAnsi="Palatino Linotype" w:cs="Palatino Linotype"/>
          <w:sz w:val="22"/>
          <w:szCs w:val="22"/>
        </w:rPr>
      </w:pPr>
    </w:p>
    <w:p w14:paraId="7C864FCC" w14:textId="77777777" w:rsidR="00313806" w:rsidRPr="005F1B3A" w:rsidRDefault="00313806">
      <w:pPr>
        <w:spacing w:line="360" w:lineRule="auto"/>
        <w:ind w:right="49"/>
        <w:jc w:val="both"/>
        <w:rPr>
          <w:rFonts w:ascii="Palatino Linotype" w:eastAsia="Palatino Linotype" w:hAnsi="Palatino Linotype" w:cs="Palatino Linotype"/>
          <w:sz w:val="22"/>
          <w:szCs w:val="22"/>
        </w:rPr>
      </w:pPr>
    </w:p>
    <w:p w14:paraId="47B04CF4" w14:textId="77777777" w:rsidR="00313806" w:rsidRPr="005F1B3A" w:rsidRDefault="00313806">
      <w:pPr>
        <w:spacing w:line="360" w:lineRule="auto"/>
        <w:ind w:right="49"/>
        <w:jc w:val="both"/>
        <w:rPr>
          <w:rFonts w:ascii="Palatino Linotype" w:eastAsia="Palatino Linotype" w:hAnsi="Palatino Linotype" w:cs="Palatino Linotype"/>
          <w:sz w:val="22"/>
          <w:szCs w:val="22"/>
        </w:rPr>
      </w:pPr>
    </w:p>
    <w:p w14:paraId="5185129E" w14:textId="77777777" w:rsidR="00313806" w:rsidRPr="005F1B3A" w:rsidRDefault="00313806">
      <w:pPr>
        <w:spacing w:line="360" w:lineRule="auto"/>
        <w:ind w:right="49"/>
        <w:jc w:val="both"/>
        <w:rPr>
          <w:rFonts w:ascii="Palatino Linotype" w:eastAsia="Palatino Linotype" w:hAnsi="Palatino Linotype" w:cs="Palatino Linotype"/>
          <w:sz w:val="22"/>
          <w:szCs w:val="22"/>
        </w:rPr>
      </w:pPr>
    </w:p>
    <w:p w14:paraId="79281967" w14:textId="77777777" w:rsidR="00313806" w:rsidRPr="005F1B3A" w:rsidRDefault="00313806">
      <w:pPr>
        <w:spacing w:line="360" w:lineRule="auto"/>
        <w:ind w:right="49"/>
        <w:jc w:val="both"/>
        <w:rPr>
          <w:rFonts w:ascii="Palatino Linotype" w:eastAsia="Palatino Linotype" w:hAnsi="Palatino Linotype" w:cs="Palatino Linotype"/>
          <w:sz w:val="22"/>
          <w:szCs w:val="22"/>
        </w:rPr>
      </w:pPr>
    </w:p>
    <w:p w14:paraId="126374BD" w14:textId="33688BA5" w:rsidR="00313806" w:rsidRPr="005F1B3A" w:rsidRDefault="00313806">
      <w:pPr>
        <w:spacing w:line="360" w:lineRule="auto"/>
        <w:ind w:right="49"/>
        <w:jc w:val="both"/>
        <w:rPr>
          <w:rFonts w:ascii="Palatino Linotype" w:eastAsia="Palatino Linotype" w:hAnsi="Palatino Linotype" w:cs="Palatino Linotype"/>
          <w:sz w:val="22"/>
          <w:szCs w:val="22"/>
        </w:rPr>
      </w:pPr>
    </w:p>
    <w:p w14:paraId="4CC202F8" w14:textId="49F8CF9E" w:rsidR="005F1B3A" w:rsidRPr="005F1B3A" w:rsidRDefault="005F1B3A">
      <w:pPr>
        <w:spacing w:line="360" w:lineRule="auto"/>
        <w:ind w:right="49"/>
        <w:jc w:val="both"/>
        <w:rPr>
          <w:rFonts w:ascii="Palatino Linotype" w:eastAsia="Palatino Linotype" w:hAnsi="Palatino Linotype" w:cs="Palatino Linotype"/>
          <w:sz w:val="22"/>
          <w:szCs w:val="22"/>
        </w:rPr>
      </w:pPr>
    </w:p>
    <w:p w14:paraId="6941ACF9" w14:textId="1795BEBA" w:rsidR="005F1B3A" w:rsidRPr="005F1B3A" w:rsidRDefault="005F1B3A">
      <w:pPr>
        <w:spacing w:line="360" w:lineRule="auto"/>
        <w:ind w:right="49"/>
        <w:jc w:val="both"/>
        <w:rPr>
          <w:rFonts w:ascii="Palatino Linotype" w:eastAsia="Palatino Linotype" w:hAnsi="Palatino Linotype" w:cs="Palatino Linotype"/>
          <w:sz w:val="22"/>
          <w:szCs w:val="22"/>
        </w:rPr>
      </w:pPr>
    </w:p>
    <w:p w14:paraId="66C2991E" w14:textId="527912E7" w:rsidR="005F1B3A" w:rsidRPr="005F1B3A" w:rsidRDefault="005F1B3A">
      <w:pPr>
        <w:spacing w:line="360" w:lineRule="auto"/>
        <w:ind w:right="49"/>
        <w:jc w:val="both"/>
        <w:rPr>
          <w:rFonts w:ascii="Palatino Linotype" w:eastAsia="Palatino Linotype" w:hAnsi="Palatino Linotype" w:cs="Palatino Linotype"/>
          <w:sz w:val="22"/>
          <w:szCs w:val="22"/>
        </w:rPr>
      </w:pPr>
    </w:p>
    <w:p w14:paraId="09D6FD31" w14:textId="17BBE90A" w:rsidR="005F1B3A" w:rsidRPr="005F1B3A" w:rsidRDefault="005F1B3A">
      <w:pPr>
        <w:spacing w:line="360" w:lineRule="auto"/>
        <w:ind w:right="49"/>
        <w:jc w:val="both"/>
        <w:rPr>
          <w:rFonts w:ascii="Palatino Linotype" w:eastAsia="Palatino Linotype" w:hAnsi="Palatino Linotype" w:cs="Palatino Linotype"/>
          <w:sz w:val="22"/>
          <w:szCs w:val="22"/>
        </w:rPr>
      </w:pPr>
    </w:p>
    <w:p w14:paraId="1EE7ECDE" w14:textId="4276B805" w:rsidR="005F1B3A" w:rsidRPr="005F1B3A" w:rsidRDefault="005F1B3A">
      <w:pPr>
        <w:spacing w:line="360" w:lineRule="auto"/>
        <w:ind w:right="49"/>
        <w:jc w:val="both"/>
        <w:rPr>
          <w:rFonts w:ascii="Palatino Linotype" w:eastAsia="Palatino Linotype" w:hAnsi="Palatino Linotype" w:cs="Palatino Linotype"/>
          <w:sz w:val="22"/>
          <w:szCs w:val="22"/>
        </w:rPr>
      </w:pPr>
    </w:p>
    <w:p w14:paraId="5F7E7A92" w14:textId="12311C51" w:rsidR="005F1B3A" w:rsidRPr="005F1B3A" w:rsidRDefault="005F1B3A">
      <w:pPr>
        <w:spacing w:line="360" w:lineRule="auto"/>
        <w:ind w:right="49"/>
        <w:jc w:val="both"/>
        <w:rPr>
          <w:rFonts w:ascii="Palatino Linotype" w:eastAsia="Palatino Linotype" w:hAnsi="Palatino Linotype" w:cs="Palatino Linotype"/>
          <w:sz w:val="22"/>
          <w:szCs w:val="22"/>
        </w:rPr>
      </w:pPr>
    </w:p>
    <w:p w14:paraId="01180AC6" w14:textId="1261FC04" w:rsidR="005F1B3A" w:rsidRPr="005F1B3A" w:rsidRDefault="005F1B3A">
      <w:pPr>
        <w:spacing w:line="360" w:lineRule="auto"/>
        <w:ind w:right="49"/>
        <w:jc w:val="both"/>
        <w:rPr>
          <w:rFonts w:ascii="Palatino Linotype" w:eastAsia="Palatino Linotype" w:hAnsi="Palatino Linotype" w:cs="Palatino Linotype"/>
          <w:sz w:val="22"/>
          <w:szCs w:val="22"/>
        </w:rPr>
      </w:pPr>
    </w:p>
    <w:p w14:paraId="540DCDC4" w14:textId="309BB2E8" w:rsidR="005F1B3A" w:rsidRPr="005F1B3A" w:rsidRDefault="005F1B3A">
      <w:pPr>
        <w:spacing w:line="360" w:lineRule="auto"/>
        <w:ind w:right="49"/>
        <w:jc w:val="both"/>
        <w:rPr>
          <w:rFonts w:ascii="Palatino Linotype" w:eastAsia="Palatino Linotype" w:hAnsi="Palatino Linotype" w:cs="Palatino Linotype"/>
          <w:sz w:val="22"/>
          <w:szCs w:val="22"/>
        </w:rPr>
      </w:pPr>
    </w:p>
    <w:p w14:paraId="602B3037" w14:textId="73E5A830" w:rsidR="005F1B3A" w:rsidRPr="005F1B3A" w:rsidRDefault="005F1B3A">
      <w:pPr>
        <w:spacing w:line="360" w:lineRule="auto"/>
        <w:ind w:right="49"/>
        <w:jc w:val="both"/>
        <w:rPr>
          <w:rFonts w:ascii="Palatino Linotype" w:eastAsia="Palatino Linotype" w:hAnsi="Palatino Linotype" w:cs="Palatino Linotype"/>
          <w:sz w:val="22"/>
          <w:szCs w:val="22"/>
        </w:rPr>
      </w:pPr>
    </w:p>
    <w:p w14:paraId="4C721D17" w14:textId="50D2EBAC" w:rsidR="005F1B3A" w:rsidRPr="005F1B3A" w:rsidRDefault="005F1B3A">
      <w:pPr>
        <w:spacing w:line="360" w:lineRule="auto"/>
        <w:ind w:right="49"/>
        <w:jc w:val="both"/>
        <w:rPr>
          <w:rFonts w:ascii="Palatino Linotype" w:eastAsia="Palatino Linotype" w:hAnsi="Palatino Linotype" w:cs="Palatino Linotype"/>
          <w:sz w:val="22"/>
          <w:szCs w:val="22"/>
        </w:rPr>
      </w:pPr>
    </w:p>
    <w:p w14:paraId="46A80A0A" w14:textId="3795F255" w:rsidR="005F1B3A" w:rsidRPr="005F1B3A" w:rsidRDefault="005F1B3A">
      <w:pPr>
        <w:spacing w:line="360" w:lineRule="auto"/>
        <w:ind w:right="49"/>
        <w:jc w:val="both"/>
        <w:rPr>
          <w:rFonts w:ascii="Palatino Linotype" w:eastAsia="Palatino Linotype" w:hAnsi="Palatino Linotype" w:cs="Palatino Linotype"/>
          <w:sz w:val="22"/>
          <w:szCs w:val="22"/>
        </w:rPr>
      </w:pPr>
    </w:p>
    <w:p w14:paraId="0E7E7269" w14:textId="23F7DD38" w:rsidR="005F1B3A" w:rsidRPr="005F1B3A" w:rsidRDefault="005F1B3A">
      <w:pPr>
        <w:spacing w:line="360" w:lineRule="auto"/>
        <w:ind w:right="49"/>
        <w:jc w:val="both"/>
        <w:rPr>
          <w:rFonts w:ascii="Palatino Linotype" w:eastAsia="Palatino Linotype" w:hAnsi="Palatino Linotype" w:cs="Palatino Linotype"/>
          <w:sz w:val="22"/>
          <w:szCs w:val="22"/>
        </w:rPr>
      </w:pPr>
    </w:p>
    <w:p w14:paraId="76EE7439" w14:textId="34EDA877" w:rsidR="005F1B3A" w:rsidRPr="005F1B3A" w:rsidRDefault="005F1B3A">
      <w:pPr>
        <w:spacing w:line="360" w:lineRule="auto"/>
        <w:ind w:right="49"/>
        <w:jc w:val="both"/>
        <w:rPr>
          <w:rFonts w:ascii="Palatino Linotype" w:eastAsia="Palatino Linotype" w:hAnsi="Palatino Linotype" w:cs="Palatino Linotype"/>
          <w:sz w:val="22"/>
          <w:szCs w:val="22"/>
        </w:rPr>
      </w:pPr>
    </w:p>
    <w:p w14:paraId="1C64BD84" w14:textId="5FC73416" w:rsidR="005F1B3A" w:rsidRPr="005F1B3A" w:rsidRDefault="005F1B3A">
      <w:pPr>
        <w:spacing w:line="360" w:lineRule="auto"/>
        <w:ind w:right="49"/>
        <w:jc w:val="both"/>
        <w:rPr>
          <w:rFonts w:ascii="Palatino Linotype" w:eastAsia="Palatino Linotype" w:hAnsi="Palatino Linotype" w:cs="Palatino Linotype"/>
          <w:sz w:val="22"/>
          <w:szCs w:val="22"/>
        </w:rPr>
      </w:pPr>
    </w:p>
    <w:p w14:paraId="7826269A" w14:textId="6AA3D063" w:rsidR="005F1B3A" w:rsidRPr="005F1B3A" w:rsidRDefault="005F1B3A">
      <w:pPr>
        <w:spacing w:line="360" w:lineRule="auto"/>
        <w:ind w:right="49"/>
        <w:jc w:val="both"/>
        <w:rPr>
          <w:rFonts w:ascii="Palatino Linotype" w:eastAsia="Palatino Linotype" w:hAnsi="Palatino Linotype" w:cs="Palatino Linotype"/>
          <w:sz w:val="22"/>
          <w:szCs w:val="22"/>
        </w:rPr>
      </w:pPr>
    </w:p>
    <w:p w14:paraId="297E5C47" w14:textId="6FA6E25D" w:rsidR="005F1B3A" w:rsidRPr="005F1B3A" w:rsidRDefault="005F1B3A">
      <w:pPr>
        <w:spacing w:line="360" w:lineRule="auto"/>
        <w:ind w:right="49"/>
        <w:jc w:val="both"/>
        <w:rPr>
          <w:rFonts w:ascii="Palatino Linotype" w:eastAsia="Palatino Linotype" w:hAnsi="Palatino Linotype" w:cs="Palatino Linotype"/>
          <w:sz w:val="22"/>
          <w:szCs w:val="22"/>
        </w:rPr>
      </w:pPr>
    </w:p>
    <w:p w14:paraId="7046EA11" w14:textId="6B8E77BF" w:rsidR="005F1B3A" w:rsidRPr="005F1B3A" w:rsidRDefault="005F1B3A">
      <w:pPr>
        <w:spacing w:line="360" w:lineRule="auto"/>
        <w:ind w:right="49"/>
        <w:jc w:val="both"/>
        <w:rPr>
          <w:rFonts w:ascii="Palatino Linotype" w:eastAsia="Palatino Linotype" w:hAnsi="Palatino Linotype" w:cs="Palatino Linotype"/>
          <w:sz w:val="22"/>
          <w:szCs w:val="22"/>
        </w:rPr>
      </w:pPr>
    </w:p>
    <w:p w14:paraId="5394D80A" w14:textId="77777777" w:rsidR="005F1B3A" w:rsidRPr="005F1B3A" w:rsidRDefault="005F1B3A">
      <w:pPr>
        <w:spacing w:line="360" w:lineRule="auto"/>
        <w:ind w:right="49"/>
        <w:jc w:val="both"/>
        <w:rPr>
          <w:rFonts w:ascii="Palatino Linotype" w:eastAsia="Palatino Linotype" w:hAnsi="Palatino Linotype" w:cs="Palatino Linotype"/>
          <w:sz w:val="22"/>
          <w:szCs w:val="22"/>
        </w:rPr>
      </w:pPr>
    </w:p>
    <w:sectPr w:rsidR="005F1B3A" w:rsidRPr="005F1B3A">
      <w:headerReference w:type="default" r:id="rId9"/>
      <w:headerReference w:type="first" r:id="rId10"/>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17430" w14:textId="77777777" w:rsidR="009408DD" w:rsidRDefault="009408DD">
      <w:r>
        <w:separator/>
      </w:r>
    </w:p>
  </w:endnote>
  <w:endnote w:type="continuationSeparator" w:id="0">
    <w:p w14:paraId="0FA455A9" w14:textId="77777777" w:rsidR="009408DD" w:rsidRDefault="00940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6642214-6FA2-4A7B-8E1A-7A6F09F69241}"/>
  </w:font>
  <w:font w:name="Segoe UI">
    <w:panose1 w:val="020B0502040204020203"/>
    <w:charset w:val="00"/>
    <w:family w:val="swiss"/>
    <w:pitch w:val="variable"/>
    <w:sig w:usb0="E4002EFF" w:usb1="C000E47F" w:usb2="00000009" w:usb3="00000000" w:csb0="000001FF" w:csb1="00000000"/>
    <w:embedRegular r:id="rId2" w:fontKey="{2313FBF5-8002-45AD-8A83-49A5C7A35EF0}"/>
  </w:font>
  <w:font w:name="Georgia">
    <w:panose1 w:val="02040502050405020303"/>
    <w:charset w:val="00"/>
    <w:family w:val="roman"/>
    <w:pitch w:val="variable"/>
    <w:sig w:usb0="00000287" w:usb1="00000000" w:usb2="00000000" w:usb3="00000000" w:csb0="0000009F" w:csb1="00000000"/>
    <w:embedItalic r:id="rId3" w:fontKey="{474A44F7-C1E9-4F8A-AEAC-DE7DBD3B6448}"/>
  </w:font>
  <w:font w:name="Palatino Linotype">
    <w:panose1 w:val="02040502050505030304"/>
    <w:charset w:val="00"/>
    <w:family w:val="roman"/>
    <w:pitch w:val="variable"/>
    <w:sig w:usb0="E0000287" w:usb1="40000013" w:usb2="00000000" w:usb3="00000000" w:csb0="0000019F" w:csb1="00000000"/>
    <w:embedRegular r:id="rId4" w:fontKey="{1CDC7BE4-1EA3-4F25-B30E-5A1AFFB3EFD7}"/>
    <w:embedBold r:id="rId5" w:fontKey="{7FA9C516-116E-4D41-94EC-8EF97CC6E5D2}"/>
    <w:embedItalic r:id="rId6" w:fontKey="{FECC3EC5-7768-4DE1-B3EE-1DD7EF393F6F}"/>
    <w:embedBoldItalic r:id="rId7" w:fontKey="{0D2B2413-7807-440B-97A4-5646A735EC03}"/>
  </w:font>
  <w:font w:name="Calibri Light">
    <w:panose1 w:val="020F0302020204030204"/>
    <w:charset w:val="00"/>
    <w:family w:val="swiss"/>
    <w:pitch w:val="variable"/>
    <w:sig w:usb0="E4002EFF" w:usb1="C200247B" w:usb2="00000009" w:usb3="00000000" w:csb0="000001FF" w:csb1="00000000"/>
    <w:embedRegular r:id="rId8" w:fontKey="{181B5F1A-5DCD-42EB-AB5B-2F6122A2F5B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1C397" w14:textId="77777777" w:rsidR="009408DD" w:rsidRDefault="009408DD">
      <w:r>
        <w:separator/>
      </w:r>
    </w:p>
  </w:footnote>
  <w:footnote w:type="continuationSeparator" w:id="0">
    <w:p w14:paraId="35335E4B" w14:textId="77777777" w:rsidR="009408DD" w:rsidRDefault="009408DD">
      <w:r>
        <w:continuationSeparator/>
      </w:r>
    </w:p>
  </w:footnote>
  <w:footnote w:id="1">
    <w:p w14:paraId="5DB4133D" w14:textId="77777777" w:rsidR="00313806" w:rsidRDefault="007468AD">
      <w:pPr>
        <w:pBdr>
          <w:top w:val="nil"/>
          <w:left w:val="nil"/>
          <w:bottom w:val="nil"/>
          <w:right w:val="nil"/>
          <w:between w:val="nil"/>
        </w:pBdr>
        <w:tabs>
          <w:tab w:val="right" w:pos="0"/>
        </w:tabs>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Resolución RRA2431/17 del Instituto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F8A12" w14:textId="77777777" w:rsidR="00313806" w:rsidRDefault="00313806">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p>
  <w:tbl>
    <w:tblPr>
      <w:tblStyle w:val="a8"/>
      <w:tblW w:w="6521" w:type="dxa"/>
      <w:tblInd w:w="2977" w:type="dxa"/>
      <w:tblLayout w:type="fixed"/>
      <w:tblLook w:val="0400" w:firstRow="0" w:lastRow="0" w:firstColumn="0" w:lastColumn="0" w:noHBand="0" w:noVBand="1"/>
    </w:tblPr>
    <w:tblGrid>
      <w:gridCol w:w="2773"/>
      <w:gridCol w:w="3748"/>
    </w:tblGrid>
    <w:tr w:rsidR="00313806" w14:paraId="542450DD" w14:textId="77777777">
      <w:tc>
        <w:tcPr>
          <w:tcW w:w="2773" w:type="dxa"/>
        </w:tcPr>
        <w:p w14:paraId="6820D6D6" w14:textId="77777777" w:rsidR="00313806" w:rsidRDefault="007468A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748" w:type="dxa"/>
          <w:vAlign w:val="center"/>
        </w:tcPr>
        <w:p w14:paraId="4EDECB26" w14:textId="77777777" w:rsidR="00313806" w:rsidRDefault="007468A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0"/>
              <w:szCs w:val="20"/>
            </w:rPr>
            <w:t>05447/INFOEM/ICR-168/IP/RR/2026</w:t>
          </w:r>
        </w:p>
      </w:tc>
    </w:tr>
    <w:tr w:rsidR="00313806" w14:paraId="28F099A7" w14:textId="77777777">
      <w:trPr>
        <w:trHeight w:val="228"/>
      </w:trPr>
      <w:tc>
        <w:tcPr>
          <w:tcW w:w="2773" w:type="dxa"/>
          <w:vAlign w:val="center"/>
        </w:tcPr>
        <w:p w14:paraId="103F02E2" w14:textId="77777777" w:rsidR="00313806" w:rsidRDefault="007468A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748" w:type="dxa"/>
          <w:vAlign w:val="center"/>
        </w:tcPr>
        <w:p w14:paraId="5C5E4E59" w14:textId="77777777" w:rsidR="00313806" w:rsidRDefault="007468AD">
          <w:pPr>
            <w:ind w:left="-45" w:right="176"/>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Ayuntamiento de Isidro Fabela</w:t>
          </w:r>
        </w:p>
      </w:tc>
    </w:tr>
    <w:tr w:rsidR="00313806" w14:paraId="0B77AF2F" w14:textId="77777777">
      <w:tc>
        <w:tcPr>
          <w:tcW w:w="2773" w:type="dxa"/>
          <w:vAlign w:val="center"/>
        </w:tcPr>
        <w:p w14:paraId="31437608" w14:textId="77777777" w:rsidR="00313806" w:rsidRDefault="007468AD">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748" w:type="dxa"/>
          <w:vAlign w:val="center"/>
        </w:tcPr>
        <w:p w14:paraId="0413ECFF" w14:textId="77777777" w:rsidR="00313806" w:rsidRDefault="007468A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09884890" w14:textId="77777777" w:rsidR="00313806" w:rsidRDefault="007468AD">
    <w:pPr>
      <w:pBdr>
        <w:top w:val="nil"/>
        <w:left w:val="nil"/>
        <w:bottom w:val="nil"/>
        <w:right w:val="nil"/>
        <w:between w:val="nil"/>
      </w:pBdr>
      <w:tabs>
        <w:tab w:val="center" w:pos="4252"/>
        <w:tab w:val="right" w:pos="8504"/>
      </w:tabs>
      <w:rPr>
        <w:rFonts w:ascii="Calibri" w:eastAsia="Calibri" w:hAnsi="Calibri" w:cs="Calibri"/>
        <w:color w:val="000000"/>
      </w:rPr>
    </w:pPr>
    <w:r>
      <w:rPr>
        <w:noProof/>
        <w:lang w:val="es-MX"/>
      </w:rPr>
      <w:drawing>
        <wp:anchor distT="0" distB="0" distL="0" distR="0" simplePos="0" relativeHeight="251658240" behindDoc="1" locked="0" layoutInCell="1" hidden="0" allowOverlap="1" wp14:anchorId="6D1F1CC5" wp14:editId="5D9F9EE3">
          <wp:simplePos x="0" y="0"/>
          <wp:positionH relativeFrom="column">
            <wp:posOffset>-952499</wp:posOffset>
          </wp:positionH>
          <wp:positionV relativeFrom="paragraph">
            <wp:posOffset>-1200784</wp:posOffset>
          </wp:positionV>
          <wp:extent cx="7809865" cy="10165715"/>
          <wp:effectExtent l="0" t="0" r="0" b="0"/>
          <wp:wrapNone/>
          <wp:docPr id="21401318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30AB3" w14:textId="77777777" w:rsidR="00313806" w:rsidRDefault="00313806">
    <w:pPr>
      <w:widowControl w:val="0"/>
      <w:pBdr>
        <w:top w:val="nil"/>
        <w:left w:val="nil"/>
        <w:bottom w:val="nil"/>
        <w:right w:val="nil"/>
        <w:between w:val="nil"/>
      </w:pBdr>
      <w:spacing w:line="276" w:lineRule="auto"/>
      <w:rPr>
        <w:rFonts w:ascii="Calibri" w:eastAsia="Calibri" w:hAnsi="Calibri" w:cs="Calibri"/>
        <w:color w:val="000000"/>
      </w:rPr>
    </w:pPr>
  </w:p>
  <w:tbl>
    <w:tblPr>
      <w:tblStyle w:val="a9"/>
      <w:tblW w:w="6237" w:type="dxa"/>
      <w:tblInd w:w="3119" w:type="dxa"/>
      <w:tblLayout w:type="fixed"/>
      <w:tblLook w:val="0400" w:firstRow="0" w:lastRow="0" w:firstColumn="0" w:lastColumn="0" w:noHBand="0" w:noVBand="1"/>
    </w:tblPr>
    <w:tblGrid>
      <w:gridCol w:w="2551"/>
      <w:gridCol w:w="3686"/>
    </w:tblGrid>
    <w:tr w:rsidR="00313806" w14:paraId="1759A3C5" w14:textId="77777777">
      <w:tc>
        <w:tcPr>
          <w:tcW w:w="2551" w:type="dxa"/>
        </w:tcPr>
        <w:p w14:paraId="4CFE6306" w14:textId="77777777" w:rsidR="00313806" w:rsidRDefault="007468A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686" w:type="dxa"/>
          <w:vAlign w:val="center"/>
        </w:tcPr>
        <w:p w14:paraId="5629A988" w14:textId="77777777" w:rsidR="00313806" w:rsidRDefault="007468A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0"/>
              <w:szCs w:val="20"/>
            </w:rPr>
            <w:t>05447/INFOEM/ICR-168/IP/RR/2026</w:t>
          </w:r>
        </w:p>
      </w:tc>
    </w:tr>
    <w:tr w:rsidR="00313806" w14:paraId="730E4E5C" w14:textId="77777777">
      <w:tc>
        <w:tcPr>
          <w:tcW w:w="2551" w:type="dxa"/>
        </w:tcPr>
        <w:p w14:paraId="64EC7C7A" w14:textId="77777777" w:rsidR="00313806" w:rsidRDefault="007468A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686" w:type="dxa"/>
          <w:vAlign w:val="center"/>
        </w:tcPr>
        <w:p w14:paraId="5F705233" w14:textId="75C82FF5" w:rsidR="00313806" w:rsidRDefault="001A5ABB" w:rsidP="001A5ABB">
          <w:pPr>
            <w:ind w:right="175"/>
            <w:jc w:val="both"/>
            <w:rPr>
              <w:rFonts w:ascii="Palatino Linotype" w:eastAsia="Palatino Linotype" w:hAnsi="Palatino Linotype" w:cs="Palatino Linotype"/>
              <w:b/>
              <w:bCs/>
              <w:sz w:val="22"/>
              <w:szCs w:val="22"/>
              <w:highlight w:val="yellow"/>
            </w:rPr>
          </w:pPr>
          <w:r>
            <w:rPr>
              <w:rFonts w:ascii="Palatino Linotype" w:eastAsia="Palatino Linotype" w:hAnsi="Palatino Linotype" w:cs="Palatino Linotype"/>
              <w:b/>
              <w:bCs/>
              <w:sz w:val="22"/>
              <w:szCs w:val="22"/>
            </w:rPr>
            <w:t>XXXXXXXX XXXXXXXXX</w:t>
          </w:r>
        </w:p>
      </w:tc>
    </w:tr>
    <w:tr w:rsidR="00313806" w14:paraId="5356E566" w14:textId="77777777">
      <w:trPr>
        <w:trHeight w:val="228"/>
      </w:trPr>
      <w:tc>
        <w:tcPr>
          <w:tcW w:w="2551" w:type="dxa"/>
          <w:vAlign w:val="center"/>
        </w:tcPr>
        <w:p w14:paraId="06E1057A" w14:textId="77777777" w:rsidR="00313806" w:rsidRDefault="007468A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686" w:type="dxa"/>
          <w:vAlign w:val="center"/>
        </w:tcPr>
        <w:p w14:paraId="019BDC16" w14:textId="77777777" w:rsidR="00313806" w:rsidRDefault="007468AD">
          <w:pPr>
            <w:ind w:left="-45" w:right="176"/>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Ayuntamiento de Isidro Fabela</w:t>
          </w:r>
        </w:p>
      </w:tc>
    </w:tr>
    <w:tr w:rsidR="00313806" w14:paraId="095000BD" w14:textId="77777777">
      <w:tc>
        <w:tcPr>
          <w:tcW w:w="2551" w:type="dxa"/>
          <w:vAlign w:val="center"/>
        </w:tcPr>
        <w:p w14:paraId="47AB56BE" w14:textId="77777777" w:rsidR="00313806" w:rsidRDefault="007468AD">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686" w:type="dxa"/>
          <w:vAlign w:val="center"/>
        </w:tcPr>
        <w:p w14:paraId="132B906A" w14:textId="77777777" w:rsidR="00313806" w:rsidRDefault="007468A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5D38F80C" w14:textId="77777777" w:rsidR="00313806" w:rsidRDefault="007468AD">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r>
      <w:rPr>
        <w:noProof/>
        <w:lang w:val="es-MX"/>
      </w:rPr>
      <w:drawing>
        <wp:anchor distT="0" distB="0" distL="0" distR="0" simplePos="0" relativeHeight="251659264" behindDoc="1" locked="0" layoutInCell="1" hidden="0" allowOverlap="1" wp14:anchorId="4F9F44E7" wp14:editId="2C2334FA">
          <wp:simplePos x="0" y="0"/>
          <wp:positionH relativeFrom="column">
            <wp:posOffset>-923924</wp:posOffset>
          </wp:positionH>
          <wp:positionV relativeFrom="paragraph">
            <wp:posOffset>-1200784</wp:posOffset>
          </wp:positionV>
          <wp:extent cx="7809865" cy="10165715"/>
          <wp:effectExtent l="0" t="0" r="0" b="0"/>
          <wp:wrapNone/>
          <wp:docPr id="21401318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p w14:paraId="6D90D6B3" w14:textId="77777777" w:rsidR="00313806" w:rsidRDefault="00313806">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950656"/>
    <w:multiLevelType w:val="multilevel"/>
    <w:tmpl w:val="A46A00D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806"/>
    <w:rsid w:val="001A5ABB"/>
    <w:rsid w:val="00313806"/>
    <w:rsid w:val="004D578C"/>
    <w:rsid w:val="005F1B3A"/>
    <w:rsid w:val="007468AD"/>
    <w:rsid w:val="009408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9079"/>
  <w15:docId w15:val="{B000C3B7-16C3-4DD8-8C17-0431EC91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wHW8XDIlhV+IolOCBmZfliQ8XA==">CgMxLjAyCWguMmV0OTJwMDIOaC51ZmxkbGcxejVjcWUyCWguMzVua3VuMjIJaC4xa3N2NHV2Mg5oLjhmMXozeXNnbDI3eTIOaC5pYmlpZTUxc2F3bDYyCGgubG54Yno5MgloLjFmb2I5dGU4AHIhMUtmT05iZEkxdWVhR0U5NG01RWJKWVltdGoyNUhGbC04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12381</Words>
  <Characters>68098</Characters>
  <Application>Microsoft Office Word</Application>
  <DocSecurity>0</DocSecurity>
  <Lines>567</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Maricela Villagómez Martínez</cp:lastModifiedBy>
  <cp:revision>2</cp:revision>
  <cp:lastPrinted>2026-09-18T18:56:00Z</cp:lastPrinted>
  <dcterms:created xsi:type="dcterms:W3CDTF">2026-09-22T21:52:00Z</dcterms:created>
  <dcterms:modified xsi:type="dcterms:W3CDTF">2026-09-22T21:52:00Z</dcterms:modified>
</cp:coreProperties>
</file>