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40F31">
        <w:rPr>
          <w:rFonts w:ascii="Palatino Linotype" w:eastAsia="Palatino Linotype" w:hAnsi="Palatino Linotype" w:cs="Palatino Linotype"/>
          <w:color w:val="000000"/>
          <w:sz w:val="24"/>
          <w:szCs w:val="24"/>
        </w:rPr>
        <w:t>quince</w:t>
      </w:r>
      <w:r w:rsidR="00580394">
        <w:rPr>
          <w:rFonts w:ascii="Palatino Linotype" w:eastAsia="Palatino Linotype" w:hAnsi="Palatino Linotype" w:cs="Palatino Linotype"/>
          <w:color w:val="000000"/>
          <w:sz w:val="24"/>
          <w:szCs w:val="24"/>
        </w:rPr>
        <w:t xml:space="preserve"> (15)</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A56F73">
        <w:rPr>
          <w:rFonts w:ascii="Palatino Linotype" w:eastAsia="Palatino Linotype" w:hAnsi="Palatino Linotype" w:cs="Palatino Linotype"/>
          <w:b/>
          <w:sz w:val="24"/>
          <w:szCs w:val="24"/>
        </w:rPr>
        <w:t>3403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E47592">
        <w:rPr>
          <w:rFonts w:ascii="Palatino Linotype" w:eastAsia="Palatino Linotype" w:hAnsi="Palatino Linotype" w:cs="Palatino Linotype"/>
          <w:b/>
          <w:sz w:val="24"/>
        </w:rPr>
        <w:t>una persona que no proporcionó nombre</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E47592">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A56F73">
        <w:rPr>
          <w:rFonts w:ascii="Palatino Linotype" w:eastAsia="Palatino Linotype" w:hAnsi="Palatino Linotype" w:cs="Palatino Linotype"/>
          <w:b/>
          <w:color w:val="000000"/>
          <w:sz w:val="24"/>
          <w:szCs w:val="24"/>
        </w:rPr>
        <w:t>ocho</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56F73">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E47592">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A56F73">
        <w:rPr>
          <w:rFonts w:ascii="Palatino Linotype" w:eastAsia="Palatino Linotype" w:hAnsi="Palatino Linotype" w:cs="Palatino Linotype"/>
          <w:b/>
          <w:color w:val="000000"/>
          <w:sz w:val="24"/>
          <w:szCs w:val="24"/>
        </w:rPr>
        <w:t>0565</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E47592">
        <w:rPr>
          <w:rFonts w:ascii="Palatino Linotype" w:eastAsia="Palatino Linotype" w:hAnsi="Palatino Linotype" w:cs="Palatino Linotype"/>
          <w:color w:val="000000"/>
          <w:sz w:val="24"/>
          <w:szCs w:val="24"/>
        </w:rPr>
        <w:t>misma que</w:t>
      </w:r>
      <w:r w:rsidR="00DD74E1">
        <w:rPr>
          <w:rFonts w:ascii="Palatino Linotype" w:eastAsia="Palatino Linotype" w:hAnsi="Palatino Linotype" w:cs="Palatino Linotype"/>
          <w:color w:val="000000"/>
          <w:sz w:val="24"/>
          <w:szCs w:val="24"/>
        </w:rPr>
        <w:t xml:space="preserve"> se t</w:t>
      </w:r>
      <w:r w:rsidR="00A56F73">
        <w:rPr>
          <w:rFonts w:ascii="Palatino Linotype" w:eastAsia="Palatino Linotype" w:hAnsi="Palatino Linotype" w:cs="Palatino Linotype"/>
          <w:color w:val="000000"/>
          <w:sz w:val="24"/>
          <w:szCs w:val="24"/>
        </w:rPr>
        <w:t>uvo por presentada el nueve de febrero</w:t>
      </w:r>
      <w:r w:rsidR="00E47592">
        <w:rPr>
          <w:rFonts w:ascii="Palatino Linotype" w:eastAsia="Palatino Linotype" w:hAnsi="Palatino Linotype" w:cs="Palatino Linotype"/>
          <w:color w:val="000000"/>
          <w:sz w:val="24"/>
          <w:szCs w:val="24"/>
        </w:rPr>
        <w:t xml:space="preserv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A56F73"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0565/TEPOTZOT/IP/2026</w:t>
      </w:r>
      <w:r w:rsidR="00656D21" w:rsidRPr="00463865">
        <w:rPr>
          <w:rFonts w:ascii="Palatino Linotype" w:eastAsia="Palatino Linotype" w:hAnsi="Palatino Linotype" w:cs="Palatino Linotype"/>
          <w:b/>
          <w:color w:val="000000"/>
          <w:sz w:val="24"/>
          <w:szCs w:val="24"/>
        </w:rPr>
        <w:t>:</w:t>
      </w:r>
    </w:p>
    <w:p w:rsidR="009A0E57" w:rsidRPr="00A56F73"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56F73">
        <w:rPr>
          <w:rFonts w:ascii="Palatino Linotype" w:eastAsia="Palatino Linotype" w:hAnsi="Palatino Linotype" w:cs="Palatino Linotype"/>
          <w:i/>
          <w:color w:val="000000"/>
          <w:sz w:val="24"/>
          <w:szCs w:val="24"/>
        </w:rPr>
        <w:t>“</w:t>
      </w:r>
      <w:r w:rsidR="00A56F73" w:rsidRPr="00A56F73">
        <w:rPr>
          <w:rFonts w:ascii="Palatino Linotype" w:hAnsi="Palatino Linotype"/>
          <w:i/>
          <w:color w:val="000000"/>
          <w:sz w:val="24"/>
          <w:szCs w:val="24"/>
        </w:rPr>
        <w:t>Solicito la información que dice la Contralora que anexó a su oficio SiN FECHA con número CIM/1133/2025</w:t>
      </w:r>
      <w:r w:rsidR="00FC3C5B" w:rsidRPr="00A56F73">
        <w:rPr>
          <w:rFonts w:ascii="Palatino Linotype" w:hAnsi="Palatino Linotype"/>
          <w:i/>
          <w:color w:val="000000"/>
          <w:sz w:val="24"/>
          <w:szCs w:val="24"/>
        </w:rPr>
        <w:t xml:space="preserve">” </w:t>
      </w:r>
      <w:r w:rsidR="003B3AF6" w:rsidRPr="00A56F73">
        <w:rPr>
          <w:rFonts w:ascii="Palatino Linotype" w:hAnsi="Palatino Linotype"/>
          <w:i/>
          <w:color w:val="000000"/>
          <w:sz w:val="24"/>
          <w:szCs w:val="24"/>
        </w:rPr>
        <w:t>(</w:t>
      </w:r>
      <w:r w:rsidRPr="00A56F73">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061C9">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6061C9">
        <w:rPr>
          <w:rFonts w:ascii="Palatino Linotype" w:eastAsia="Palatino Linotype" w:hAnsi="Palatino Linotype" w:cs="Palatino Linotype"/>
          <w:b/>
          <w:color w:val="000000"/>
          <w:sz w:val="24"/>
          <w:szCs w:val="24"/>
        </w:rPr>
        <w:t>veinte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A56F73">
        <w:rPr>
          <w:rFonts w:ascii="Palatino Linotype" w:eastAsia="Palatino Linotype" w:hAnsi="Palatino Linotype" w:cs="Palatino Linotype"/>
          <w:b/>
          <w:sz w:val="24"/>
          <w:szCs w:val="24"/>
        </w:rPr>
        <w:t>3403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374F91" w:rsidRDefault="00331433" w:rsidP="006B375B">
      <w:pPr>
        <w:ind w:left="633"/>
        <w:jc w:val="both"/>
        <w:rPr>
          <w:rFonts w:ascii="Palatino Linotype" w:eastAsia="Times New Roman" w:hAnsi="Palatino Linotype" w:cs="Times New Roman"/>
          <w:i/>
          <w:sz w:val="24"/>
          <w:szCs w:val="24"/>
          <w:lang w:val="es-MX"/>
        </w:rPr>
      </w:pPr>
      <w:r w:rsidRPr="00374F91">
        <w:rPr>
          <w:rFonts w:ascii="Palatino Linotype" w:eastAsia="Palatino Linotype" w:hAnsi="Palatino Linotype" w:cs="Palatino Linotype"/>
          <w:i/>
          <w:color w:val="000000"/>
          <w:sz w:val="24"/>
          <w:szCs w:val="24"/>
        </w:rPr>
        <w:t>“</w:t>
      </w:r>
      <w:r w:rsidR="006061C9">
        <w:rPr>
          <w:rFonts w:ascii="Palatino Linotype" w:hAnsi="Palatino Linotype"/>
          <w:i/>
          <w:color w:val="000000"/>
          <w:sz w:val="24"/>
          <w:szCs w:val="24"/>
        </w:rPr>
        <w:t>Sin respuesta</w:t>
      </w:r>
      <w:r w:rsidR="00696670" w:rsidRPr="00374F91">
        <w:rPr>
          <w:rFonts w:ascii="Palatino Linotype" w:hAnsi="Palatino Linotype"/>
          <w:i/>
          <w:color w:val="000000"/>
          <w:sz w:val="24"/>
          <w:szCs w:val="24"/>
        </w:rPr>
        <w:t>.</w:t>
      </w:r>
      <w:r w:rsidR="0004750F" w:rsidRPr="00374F91">
        <w:rPr>
          <w:rFonts w:ascii="Palatino Linotype" w:hAnsi="Palatino Linotype"/>
          <w:i/>
          <w:color w:val="000000"/>
          <w:sz w:val="24"/>
          <w:szCs w:val="24"/>
        </w:rPr>
        <w:t>”</w:t>
      </w:r>
      <w:r w:rsidR="00071A60" w:rsidRPr="00374F91">
        <w:rPr>
          <w:rFonts w:ascii="Palatino Linotype" w:hAnsi="Palatino Linotype"/>
          <w:i/>
          <w:color w:val="000000"/>
          <w:sz w:val="24"/>
          <w:szCs w:val="24"/>
        </w:rPr>
        <w:t xml:space="preserve"> </w:t>
      </w:r>
      <w:r w:rsidR="009D2402" w:rsidRPr="00374F91">
        <w:rPr>
          <w:rFonts w:ascii="Palatino Linotype" w:hAnsi="Palatino Linotype"/>
          <w:i/>
          <w:color w:val="000000"/>
          <w:sz w:val="24"/>
          <w:szCs w:val="24"/>
        </w:rPr>
        <w:t>(</w:t>
      </w:r>
      <w:r w:rsidRPr="00374F9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6061C9" w:rsidRPr="006061C9" w:rsidRDefault="006061C9" w:rsidP="006061C9">
      <w:pPr>
        <w:pStyle w:val="Prrafodelista"/>
        <w:ind w:left="720"/>
        <w:jc w:val="both"/>
        <w:rPr>
          <w:rFonts w:ascii="Palatino Linotype" w:hAnsi="Palatino Linotype"/>
          <w:i/>
          <w:lang w:val="es-MX"/>
        </w:rPr>
      </w:pPr>
      <w:r w:rsidRPr="006061C9">
        <w:rPr>
          <w:rFonts w:ascii="Palatino Linotype" w:eastAsia="Palatino Linotype" w:hAnsi="Palatino Linotype" w:cs="Palatino Linotype"/>
          <w:i/>
          <w:color w:val="000000"/>
        </w:rPr>
        <w:t>“</w:t>
      </w:r>
      <w:r w:rsidRPr="006061C9">
        <w:rPr>
          <w:rFonts w:ascii="Palatino Linotype" w:hAnsi="Palatino Linotype"/>
          <w:i/>
          <w:color w:val="000000"/>
        </w:rPr>
        <w:t>Sin respuesta.” (</w:t>
      </w:r>
      <w:r w:rsidRPr="006061C9">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C965AF">
        <w:rPr>
          <w:rFonts w:ascii="Palatino Linotype" w:eastAsia="Palatino Linotype" w:hAnsi="Palatino Linotype" w:cs="Palatino Linotype"/>
          <w:b/>
          <w:color w:val="000000"/>
          <w:sz w:val="24"/>
          <w:szCs w:val="24"/>
        </w:rPr>
        <w:t>veintitrés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nueve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463865">
        <w:rPr>
          <w:rFonts w:ascii="Palatino Linotype" w:eastAsia="Palatino Linotype" w:hAnsi="Palatino Linotype" w:cs="Palatino Linotype"/>
          <w:color w:val="000000"/>
          <w:sz w:val="24"/>
          <w:szCs w:val="24"/>
        </w:rPr>
        <w:lastRenderedPageBreak/>
        <w:t>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46386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463865">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80394" w:rsidRPr="00463865" w:rsidRDefault="00580394" w:rsidP="0058039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56F73" w:rsidRPr="00463865">
        <w:rPr>
          <w:rFonts w:ascii="Palatino Linotype" w:eastAsia="Palatino Linotype" w:hAnsi="Palatino Linotype" w:cs="Palatino Linotype"/>
          <w:b/>
          <w:color w:val="000000"/>
          <w:sz w:val="24"/>
          <w:szCs w:val="24"/>
        </w:rPr>
        <w:t>0</w:t>
      </w:r>
      <w:r w:rsidR="00A56F73">
        <w:rPr>
          <w:rFonts w:ascii="Palatino Linotype" w:eastAsia="Palatino Linotype" w:hAnsi="Palatino Linotype" w:cs="Palatino Linotype"/>
          <w:b/>
          <w:color w:val="000000"/>
          <w:sz w:val="24"/>
          <w:szCs w:val="24"/>
        </w:rPr>
        <w:t>0565/TEPOTZOT/IP/2026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580394">
        <w:rPr>
          <w:rFonts w:ascii="Palatino Linotype" w:eastAsia="Palatino Linotype" w:hAnsi="Palatino Linotype" w:cs="Palatino Linotype"/>
          <w:sz w:val="24"/>
          <w:szCs w:val="24"/>
        </w:rPr>
        <w:t xml:space="preserve"> --------------------------------------------------</w:t>
      </w:r>
    </w:p>
    <w:p w:rsidR="00580394" w:rsidRDefault="00580394">
      <w:pPr>
        <w:spacing w:after="0" w:line="360" w:lineRule="auto"/>
        <w:jc w:val="both"/>
        <w:rPr>
          <w:rFonts w:ascii="Palatino Linotype" w:eastAsia="Palatino Linotype" w:hAnsi="Palatino Linotype" w:cs="Palatino Linotype"/>
          <w:sz w:val="24"/>
          <w:szCs w:val="24"/>
        </w:rPr>
      </w:pPr>
    </w:p>
    <w:p w:rsidR="00580394" w:rsidRDefault="00580394">
      <w:pPr>
        <w:spacing w:after="0" w:line="360" w:lineRule="auto"/>
        <w:jc w:val="both"/>
        <w:rPr>
          <w:rFonts w:ascii="Palatino Linotype" w:eastAsia="Palatino Linotype" w:hAnsi="Palatino Linotype" w:cs="Palatino Linotype"/>
          <w:sz w:val="24"/>
          <w:szCs w:val="24"/>
        </w:rPr>
      </w:pPr>
    </w:p>
    <w:p w:rsidR="00580394" w:rsidRPr="00463865" w:rsidRDefault="00580394">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56F73" w:rsidRPr="00463865">
        <w:rPr>
          <w:rFonts w:ascii="Palatino Linotype" w:eastAsia="Palatino Linotype" w:hAnsi="Palatino Linotype" w:cs="Palatino Linotype"/>
          <w:b/>
          <w:color w:val="000000"/>
          <w:sz w:val="24"/>
          <w:szCs w:val="24"/>
        </w:rPr>
        <w:t>0</w:t>
      </w:r>
      <w:r w:rsidR="00A56F73">
        <w:rPr>
          <w:rFonts w:ascii="Palatino Linotype" w:eastAsia="Palatino Linotype" w:hAnsi="Palatino Linotype" w:cs="Palatino Linotype"/>
          <w:b/>
          <w:color w:val="000000"/>
          <w:sz w:val="24"/>
          <w:szCs w:val="24"/>
        </w:rPr>
        <w:t>0565/TEPOTZOT/IP/2026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6424C">
        <w:rPr>
          <w:rFonts w:ascii="Palatino Linotype" w:hAnsi="Palatino Linotype" w:cs="Palatino Linotype"/>
          <w:sz w:val="24"/>
        </w:rPr>
        <w:t>MÍREZ PEÑA; EN LA DÉCIMA TERCERA</w:t>
      </w:r>
      <w:r w:rsidRPr="008B0A4E">
        <w:rPr>
          <w:rFonts w:ascii="Palatino Linotype" w:hAnsi="Palatino Linotype" w:cs="Palatino Linotype"/>
          <w:sz w:val="24"/>
        </w:rPr>
        <w:t xml:space="preserve"> SESIÓN ORDINARIA, CELEBRADA EL </w:t>
      </w:r>
      <w:r w:rsidR="00F6424C">
        <w:rPr>
          <w:rFonts w:ascii="Palatino Linotype" w:hAnsi="Palatino Linotype" w:cs="Palatino Linotype"/>
          <w:sz w:val="24"/>
        </w:rPr>
        <w:t>QUINCE (15</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580394">
      <w:headerReference w:type="default" r:id="rId9"/>
      <w:footerReference w:type="default" r:id="rId10"/>
      <w:headerReference w:type="first" r:id="rId11"/>
      <w:footerReference w:type="first" r:id="rId12"/>
      <w:pgSz w:w="12240" w:h="15840"/>
      <w:pgMar w:top="2268"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C76" w:rsidRDefault="00182C76">
      <w:pPr>
        <w:spacing w:after="0" w:line="240" w:lineRule="auto"/>
      </w:pPr>
      <w:r>
        <w:separator/>
      </w:r>
    </w:p>
  </w:endnote>
  <w:endnote w:type="continuationSeparator" w:id="0">
    <w:p w:rsidR="00182C76" w:rsidRDefault="0018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8039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80394">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8039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80394">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C76" w:rsidRDefault="00182C76">
      <w:pPr>
        <w:spacing w:after="0" w:line="240" w:lineRule="auto"/>
      </w:pPr>
      <w:r>
        <w:separator/>
      </w:r>
    </w:p>
  </w:footnote>
  <w:footnote w:type="continuationSeparator" w:id="0">
    <w:p w:rsidR="00182C76" w:rsidRDefault="00182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580394" w:rsidRDefault="003D4DD1" w:rsidP="00580394">
          <w:pPr>
            <w:spacing w:after="0" w:line="256" w:lineRule="auto"/>
            <w:ind w:right="204"/>
            <w:jc w:val="right"/>
            <w:rPr>
              <w:rFonts w:ascii="Palatino Linotype" w:eastAsia="Palatino Linotype" w:hAnsi="Palatino Linotype" w:cs="Palatino Linotype"/>
              <w:b/>
              <w:sz w:val="24"/>
            </w:rPr>
          </w:pPr>
          <w:r w:rsidRPr="00580394">
            <w:rPr>
              <w:rFonts w:ascii="Palatino Linotype" w:eastAsia="Palatino Linotype" w:hAnsi="Palatino Linotype" w:cs="Palatino Linotype"/>
              <w:b/>
              <w:sz w:val="24"/>
            </w:rPr>
            <w:t>Recurso de Revisión:</w:t>
          </w:r>
        </w:p>
      </w:tc>
      <w:tc>
        <w:tcPr>
          <w:tcW w:w="4819" w:type="dxa"/>
        </w:tcPr>
        <w:p w:rsidR="003D4DD1" w:rsidRPr="00580394" w:rsidRDefault="00A56F73" w:rsidP="00580394">
          <w:pPr>
            <w:spacing w:after="0" w:line="256" w:lineRule="auto"/>
            <w:ind w:right="214"/>
            <w:rPr>
              <w:rFonts w:ascii="Palatino Linotype" w:eastAsia="Palatino Linotype" w:hAnsi="Palatino Linotype" w:cs="Palatino Linotype"/>
              <w:sz w:val="24"/>
            </w:rPr>
          </w:pPr>
          <w:r w:rsidRPr="00580394">
            <w:rPr>
              <w:rFonts w:ascii="Palatino Linotype" w:eastAsia="Palatino Linotype" w:hAnsi="Palatino Linotype" w:cs="Palatino Linotype"/>
              <w:sz w:val="24"/>
            </w:rPr>
            <w:t>3403/INFOEM/IP/RR/2026</w:t>
          </w:r>
        </w:p>
      </w:tc>
    </w:tr>
    <w:tr w:rsidR="003D4DD1">
      <w:trPr>
        <w:trHeight w:val="242"/>
      </w:trPr>
      <w:tc>
        <w:tcPr>
          <w:tcW w:w="5246" w:type="dxa"/>
        </w:tcPr>
        <w:p w:rsidR="003D4DD1" w:rsidRPr="00580394" w:rsidRDefault="003D4DD1" w:rsidP="00580394">
          <w:pPr>
            <w:spacing w:after="0" w:line="256" w:lineRule="auto"/>
            <w:ind w:right="204"/>
            <w:jc w:val="right"/>
            <w:rPr>
              <w:rFonts w:ascii="Palatino Linotype" w:eastAsia="Palatino Linotype" w:hAnsi="Palatino Linotype" w:cs="Palatino Linotype"/>
              <w:b/>
              <w:sz w:val="24"/>
            </w:rPr>
          </w:pPr>
          <w:r w:rsidRPr="00580394">
            <w:rPr>
              <w:rFonts w:ascii="Palatino Linotype" w:eastAsia="Palatino Linotype" w:hAnsi="Palatino Linotype" w:cs="Palatino Linotype"/>
              <w:b/>
              <w:sz w:val="24"/>
            </w:rPr>
            <w:t>Sujeto Obligado:</w:t>
          </w:r>
        </w:p>
      </w:tc>
      <w:tc>
        <w:tcPr>
          <w:tcW w:w="4819" w:type="dxa"/>
        </w:tcPr>
        <w:p w:rsidR="003D4DD1" w:rsidRPr="00580394" w:rsidRDefault="003D4DD1" w:rsidP="00580394">
          <w:pPr>
            <w:spacing w:after="0" w:line="256" w:lineRule="auto"/>
            <w:ind w:right="1207"/>
            <w:rPr>
              <w:rFonts w:ascii="Palatino Linotype" w:hAnsi="Palatino Linotype"/>
              <w:bCs/>
              <w:color w:val="000000"/>
              <w:sz w:val="24"/>
            </w:rPr>
          </w:pPr>
          <w:r w:rsidRPr="00580394">
            <w:rPr>
              <w:rFonts w:ascii="Palatino Linotype" w:hAnsi="Palatino Linotype"/>
              <w:bCs/>
              <w:color w:val="000000"/>
              <w:sz w:val="24"/>
            </w:rPr>
            <w:t>Ayuntamiento de Tepotzotlán</w:t>
          </w:r>
        </w:p>
      </w:tc>
    </w:tr>
    <w:tr w:rsidR="003D4DD1">
      <w:trPr>
        <w:trHeight w:val="342"/>
      </w:trPr>
      <w:tc>
        <w:tcPr>
          <w:tcW w:w="5246" w:type="dxa"/>
        </w:tcPr>
        <w:p w:rsidR="003D4DD1" w:rsidRPr="00580394" w:rsidRDefault="003D4DD1" w:rsidP="00580394">
          <w:pPr>
            <w:tabs>
              <w:tab w:val="left" w:pos="4892"/>
            </w:tabs>
            <w:spacing w:after="0" w:line="256" w:lineRule="auto"/>
            <w:ind w:right="204"/>
            <w:jc w:val="right"/>
            <w:rPr>
              <w:rFonts w:ascii="Palatino Linotype" w:eastAsia="Palatino Linotype" w:hAnsi="Palatino Linotype" w:cs="Palatino Linotype"/>
              <w:b/>
              <w:sz w:val="24"/>
            </w:rPr>
          </w:pPr>
          <w:r w:rsidRPr="00580394">
            <w:rPr>
              <w:rFonts w:ascii="Palatino Linotype" w:eastAsia="Palatino Linotype" w:hAnsi="Palatino Linotype" w:cs="Palatino Linotype"/>
              <w:b/>
              <w:sz w:val="24"/>
            </w:rPr>
            <w:t>Comisionado Ponente:</w:t>
          </w:r>
        </w:p>
      </w:tc>
      <w:tc>
        <w:tcPr>
          <w:tcW w:w="4819" w:type="dxa"/>
        </w:tcPr>
        <w:p w:rsidR="003D4DD1" w:rsidRPr="00580394" w:rsidRDefault="003D4DD1" w:rsidP="00580394">
          <w:pPr>
            <w:spacing w:after="0" w:line="256" w:lineRule="auto"/>
            <w:ind w:right="214"/>
            <w:rPr>
              <w:rFonts w:ascii="Palatino Linotype" w:eastAsia="Palatino Linotype" w:hAnsi="Palatino Linotype" w:cs="Palatino Linotype"/>
              <w:sz w:val="24"/>
            </w:rPr>
          </w:pPr>
          <w:r w:rsidRPr="00580394">
            <w:rPr>
              <w:rFonts w:ascii="Palatino Linotype" w:eastAsia="Palatino Linotype" w:hAnsi="Palatino Linotype" w:cs="Palatino Linotype"/>
              <w:sz w:val="24"/>
            </w:rPr>
            <w:t>María del Rosario Mejía Ayala</w:t>
          </w:r>
        </w:p>
      </w:tc>
    </w:tr>
  </w:tbl>
  <w:p w:rsidR="009E4B39" w:rsidRDefault="0058039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58039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posOffset>-168191</wp:posOffset>
          </wp:positionV>
          <wp:extent cx="7705725" cy="9987915"/>
          <wp:effectExtent l="0" t="0" r="9525"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80394" w:rsidRDefault="009E4B39" w:rsidP="00580394">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580394">
            <w:rPr>
              <w:rFonts w:ascii="Palatino Linotype" w:eastAsia="Palatino Linotype" w:hAnsi="Palatino Linotype" w:cs="Palatino Linotype"/>
              <w:b/>
              <w:sz w:val="24"/>
            </w:rPr>
            <w:t>Recurso de Revisión:</w:t>
          </w:r>
        </w:p>
      </w:tc>
      <w:tc>
        <w:tcPr>
          <w:tcW w:w="3828" w:type="dxa"/>
        </w:tcPr>
        <w:p w:rsidR="009E4B39" w:rsidRPr="00580394" w:rsidRDefault="00A56F73" w:rsidP="00580394">
          <w:pPr>
            <w:spacing w:after="0" w:line="256" w:lineRule="auto"/>
            <w:ind w:right="214"/>
            <w:rPr>
              <w:rFonts w:ascii="Palatino Linotype" w:eastAsia="Palatino Linotype" w:hAnsi="Palatino Linotype" w:cs="Palatino Linotype"/>
              <w:sz w:val="24"/>
            </w:rPr>
          </w:pPr>
          <w:r w:rsidRPr="00580394">
            <w:rPr>
              <w:rFonts w:ascii="Palatino Linotype" w:eastAsia="Palatino Linotype" w:hAnsi="Palatino Linotype" w:cs="Palatino Linotype"/>
              <w:sz w:val="24"/>
            </w:rPr>
            <w:t>3403</w:t>
          </w:r>
          <w:r w:rsidR="0082376A" w:rsidRPr="00580394">
            <w:rPr>
              <w:rFonts w:ascii="Palatino Linotype" w:eastAsia="Palatino Linotype" w:hAnsi="Palatino Linotype" w:cs="Palatino Linotype"/>
              <w:sz w:val="24"/>
            </w:rPr>
            <w:t>/INFOEM/IP/RR/2026</w:t>
          </w:r>
          <w:r w:rsidR="009E4B39" w:rsidRPr="00580394">
            <w:rPr>
              <w:rFonts w:ascii="Palatino Linotype" w:eastAsia="Palatino Linotype" w:hAnsi="Palatino Linotype" w:cs="Palatino Linotype"/>
              <w:sz w:val="24"/>
            </w:rPr>
            <w:t xml:space="preserve"> </w:t>
          </w:r>
        </w:p>
      </w:tc>
    </w:tr>
    <w:tr w:rsidR="009E4B39">
      <w:trPr>
        <w:trHeight w:val="242"/>
      </w:trPr>
      <w:tc>
        <w:tcPr>
          <w:tcW w:w="6770" w:type="dxa"/>
        </w:tcPr>
        <w:p w:rsidR="009E4B39" w:rsidRPr="00580394" w:rsidRDefault="009E4B39" w:rsidP="00580394">
          <w:pPr>
            <w:spacing w:after="0" w:line="256" w:lineRule="auto"/>
            <w:ind w:right="204"/>
            <w:jc w:val="right"/>
            <w:rPr>
              <w:rFonts w:ascii="Palatino Linotype" w:eastAsia="Palatino Linotype" w:hAnsi="Palatino Linotype" w:cs="Palatino Linotype"/>
              <w:b/>
              <w:sz w:val="24"/>
            </w:rPr>
          </w:pPr>
          <w:r w:rsidRPr="00580394">
            <w:rPr>
              <w:rFonts w:ascii="Palatino Linotype" w:eastAsia="Palatino Linotype" w:hAnsi="Palatino Linotype" w:cs="Palatino Linotype"/>
              <w:b/>
              <w:sz w:val="24"/>
            </w:rPr>
            <w:t>Sujeto Obligado:</w:t>
          </w:r>
        </w:p>
      </w:tc>
      <w:tc>
        <w:tcPr>
          <w:tcW w:w="3828" w:type="dxa"/>
        </w:tcPr>
        <w:p w:rsidR="009E4B39" w:rsidRPr="00580394" w:rsidRDefault="00773047" w:rsidP="00580394">
          <w:pPr>
            <w:spacing w:after="0" w:line="256" w:lineRule="auto"/>
            <w:ind w:left="-67" w:right="214"/>
            <w:jc w:val="both"/>
            <w:rPr>
              <w:rFonts w:ascii="Palatino Linotype" w:eastAsia="Palatino Linotype" w:hAnsi="Palatino Linotype" w:cs="Palatino Linotype"/>
              <w:sz w:val="24"/>
            </w:rPr>
          </w:pPr>
          <w:r w:rsidRPr="00580394">
            <w:rPr>
              <w:rFonts w:ascii="Palatino Linotype" w:hAnsi="Palatino Linotype"/>
              <w:bCs/>
              <w:color w:val="000000"/>
              <w:sz w:val="24"/>
            </w:rPr>
            <w:t>Ayuntamiento de Tepotzotlán</w:t>
          </w:r>
        </w:p>
      </w:tc>
    </w:tr>
    <w:tr w:rsidR="009E4B39">
      <w:trPr>
        <w:trHeight w:val="342"/>
      </w:trPr>
      <w:tc>
        <w:tcPr>
          <w:tcW w:w="6770" w:type="dxa"/>
        </w:tcPr>
        <w:p w:rsidR="009E4B39" w:rsidRPr="00580394" w:rsidRDefault="009E4B39" w:rsidP="00580394">
          <w:pPr>
            <w:tabs>
              <w:tab w:val="left" w:pos="4892"/>
            </w:tabs>
            <w:spacing w:after="0" w:line="256" w:lineRule="auto"/>
            <w:ind w:right="204"/>
            <w:jc w:val="right"/>
            <w:rPr>
              <w:rFonts w:ascii="Palatino Linotype" w:eastAsia="Palatino Linotype" w:hAnsi="Palatino Linotype" w:cs="Palatino Linotype"/>
              <w:b/>
              <w:sz w:val="24"/>
            </w:rPr>
          </w:pPr>
          <w:r w:rsidRPr="00580394">
            <w:rPr>
              <w:rFonts w:ascii="Palatino Linotype" w:eastAsia="Palatino Linotype" w:hAnsi="Palatino Linotype" w:cs="Palatino Linotype"/>
              <w:b/>
              <w:sz w:val="24"/>
            </w:rPr>
            <w:t>Recurrente:</w:t>
          </w:r>
        </w:p>
      </w:tc>
      <w:tc>
        <w:tcPr>
          <w:tcW w:w="3828" w:type="dxa"/>
        </w:tcPr>
        <w:p w:rsidR="009E4B39" w:rsidRPr="00580394" w:rsidRDefault="009E4B39" w:rsidP="00580394">
          <w:pPr>
            <w:spacing w:after="0" w:line="256" w:lineRule="auto"/>
            <w:ind w:right="214"/>
            <w:rPr>
              <w:rFonts w:ascii="Palatino Linotype" w:eastAsia="Palatino Linotype" w:hAnsi="Palatino Linotype" w:cs="Palatino Linotype"/>
              <w:sz w:val="24"/>
            </w:rPr>
          </w:pPr>
        </w:p>
      </w:tc>
    </w:tr>
    <w:tr w:rsidR="009E4B39">
      <w:trPr>
        <w:trHeight w:val="342"/>
      </w:trPr>
      <w:tc>
        <w:tcPr>
          <w:tcW w:w="6770" w:type="dxa"/>
        </w:tcPr>
        <w:p w:rsidR="009E4B39" w:rsidRPr="00580394" w:rsidRDefault="009E4B39" w:rsidP="00580394">
          <w:pPr>
            <w:tabs>
              <w:tab w:val="left" w:pos="4892"/>
            </w:tabs>
            <w:spacing w:after="0" w:line="256" w:lineRule="auto"/>
            <w:ind w:right="204"/>
            <w:jc w:val="right"/>
            <w:rPr>
              <w:rFonts w:ascii="Palatino Linotype" w:eastAsia="Palatino Linotype" w:hAnsi="Palatino Linotype" w:cs="Palatino Linotype"/>
              <w:b/>
              <w:sz w:val="24"/>
            </w:rPr>
          </w:pPr>
          <w:r w:rsidRPr="00580394">
            <w:rPr>
              <w:rFonts w:ascii="Palatino Linotype" w:eastAsia="Palatino Linotype" w:hAnsi="Palatino Linotype" w:cs="Palatino Linotype"/>
              <w:b/>
              <w:sz w:val="24"/>
            </w:rPr>
            <w:t>Comisionado Ponente:</w:t>
          </w:r>
        </w:p>
      </w:tc>
      <w:tc>
        <w:tcPr>
          <w:tcW w:w="3828" w:type="dxa"/>
        </w:tcPr>
        <w:p w:rsidR="009E4B39" w:rsidRPr="00580394" w:rsidRDefault="009E4B39" w:rsidP="00580394">
          <w:pPr>
            <w:spacing w:after="0" w:line="256" w:lineRule="auto"/>
            <w:ind w:right="214"/>
            <w:rPr>
              <w:rFonts w:ascii="Palatino Linotype" w:eastAsia="Palatino Linotype" w:hAnsi="Palatino Linotype" w:cs="Palatino Linotype"/>
              <w:sz w:val="24"/>
            </w:rPr>
          </w:pPr>
          <w:r w:rsidRPr="00580394">
            <w:rPr>
              <w:rFonts w:ascii="Palatino Linotype" w:eastAsia="Palatino Linotype" w:hAnsi="Palatino Linotype" w:cs="Palatino Linotype"/>
              <w:sz w:val="24"/>
            </w:rPr>
            <w:t>María del Rosario Mejía Ayala</w:t>
          </w:r>
        </w:p>
      </w:tc>
    </w:tr>
  </w:tbl>
  <w:p w:rsidR="009E4B39" w:rsidRDefault="0058039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58039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-817688</wp:posOffset>
          </wp:positionH>
          <wp:positionV relativeFrom="page">
            <wp:align>top</wp:align>
          </wp:positionV>
          <wp:extent cx="7705725" cy="9987915"/>
          <wp:effectExtent l="0" t="0" r="9525"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2C76"/>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394"/>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3C8A"/>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3B5C"/>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DA86DA-0461-42EA-9F4A-FF930FCB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13</Pages>
  <Words>2965</Words>
  <Characters>16312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611</cp:revision>
  <cp:lastPrinted>2026-04-17T17:21:00Z</cp:lastPrinted>
  <dcterms:created xsi:type="dcterms:W3CDTF">2025-04-24T19:37:00Z</dcterms:created>
  <dcterms:modified xsi:type="dcterms:W3CDTF">2026-04-21T18:52:00Z</dcterms:modified>
</cp:coreProperties>
</file>