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BE228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diecinueve de marzo de dos mil veintiséis. </w:t>
      </w:r>
    </w:p>
    <w:p w:rsidR="00717E55" w:rsidRPr="00BE228F" w:rsidRDefault="005C0ADD">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BE228F">
        <w:rPr>
          <w:rFonts w:ascii="Palatino Linotype" w:eastAsia="Palatino Linotype" w:hAnsi="Palatino Linotype" w:cs="Palatino Linotype"/>
          <w:b/>
          <w:bCs/>
          <w:sz w:val="22"/>
          <w:szCs w:val="22"/>
        </w:rPr>
        <w:t>VISTO</w:t>
      </w:r>
      <w:r w:rsidRPr="00BE228F">
        <w:rPr>
          <w:rFonts w:ascii="Palatino Linotype" w:eastAsia="Palatino Linotype" w:hAnsi="Palatino Linotype" w:cs="Palatino Linotype"/>
          <w:sz w:val="22"/>
          <w:szCs w:val="22"/>
        </w:rPr>
        <w:t xml:space="preserve"> el expediente formado con motivo del recurso de revisión </w:t>
      </w:r>
      <w:r w:rsidRPr="00BE228F">
        <w:rPr>
          <w:rFonts w:ascii="Palatino Linotype" w:eastAsia="Palatino Linotype" w:hAnsi="Palatino Linotype" w:cs="Palatino Linotype"/>
          <w:b/>
          <w:bCs/>
          <w:sz w:val="22"/>
          <w:szCs w:val="22"/>
        </w:rPr>
        <w:t>10804/INFOEM/IP/RR/2025</w:t>
      </w:r>
      <w:r w:rsidRPr="00BE228F">
        <w:rPr>
          <w:rFonts w:ascii="Palatino Linotype" w:eastAsia="Palatino Linotype" w:hAnsi="Palatino Linotype" w:cs="Palatino Linotype"/>
          <w:sz w:val="22"/>
          <w:szCs w:val="22"/>
        </w:rPr>
        <w:t>, interpuesto por</w:t>
      </w:r>
      <w:r w:rsidRPr="00BE228F">
        <w:rPr>
          <w:rFonts w:ascii="Palatino Linotype" w:eastAsia="Palatino Linotype" w:hAnsi="Palatino Linotype" w:cs="Palatino Linotype"/>
          <w:b/>
          <w:bCs/>
          <w:sz w:val="22"/>
          <w:szCs w:val="22"/>
        </w:rPr>
        <w:t xml:space="preserve"> </w:t>
      </w:r>
      <w:r w:rsidR="005267EE" w:rsidRPr="005267EE">
        <w:rPr>
          <w:rFonts w:ascii="Palatino Linotype" w:eastAsia="Palatino Linotype" w:hAnsi="Palatino Linotype" w:cs="Palatino Linotype"/>
          <w:b/>
          <w:bCs/>
          <w:sz w:val="22"/>
          <w:szCs w:val="22"/>
        </w:rPr>
        <w:t>XXXX XXXXX XXXXXXXXX</w:t>
      </w:r>
      <w:r w:rsidRPr="005267EE">
        <w:rPr>
          <w:rFonts w:ascii="Palatino Linotype" w:eastAsia="Palatino Linotype" w:hAnsi="Palatino Linotype" w:cs="Palatino Linotype"/>
          <w:b/>
          <w:bCs/>
          <w:sz w:val="22"/>
          <w:szCs w:val="22"/>
        </w:rPr>
        <w:t>,</w:t>
      </w:r>
      <w:bookmarkStart w:id="2" w:name="_GoBack"/>
      <w:bookmarkEnd w:id="2"/>
      <w:r w:rsidRPr="00BE228F">
        <w:rPr>
          <w:rFonts w:ascii="Palatino Linotype" w:eastAsia="Palatino Linotype" w:hAnsi="Palatino Linotype" w:cs="Palatino Linotype"/>
          <w:sz w:val="22"/>
          <w:szCs w:val="22"/>
        </w:rPr>
        <w:t xml:space="preserve"> en lo sucesivo</w:t>
      </w:r>
      <w:r w:rsidRPr="00BE228F">
        <w:rPr>
          <w:rFonts w:ascii="Palatino Linotype" w:eastAsia="Palatino Linotype" w:hAnsi="Palatino Linotype" w:cs="Palatino Linotype"/>
          <w:b/>
          <w:bCs/>
          <w:sz w:val="22"/>
          <w:szCs w:val="22"/>
        </w:rPr>
        <w:t xml:space="preserve"> </w:t>
      </w:r>
      <w:r w:rsidRPr="00BE228F">
        <w:rPr>
          <w:rFonts w:ascii="Palatino Linotype" w:eastAsia="Palatino Linotype" w:hAnsi="Palatino Linotype" w:cs="Palatino Linotype"/>
          <w:sz w:val="22"/>
          <w:szCs w:val="22"/>
        </w:rPr>
        <w:t xml:space="preserve">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en contra de la respuesta a la solicitud de información con número de folio</w:t>
      </w:r>
      <w:r w:rsidRPr="00BE228F">
        <w:rPr>
          <w:rFonts w:ascii="Palatino Linotype" w:eastAsia="Palatino Linotype" w:hAnsi="Palatino Linotype" w:cs="Palatino Linotype"/>
          <w:b/>
          <w:bCs/>
          <w:sz w:val="22"/>
          <w:szCs w:val="22"/>
        </w:rPr>
        <w:t xml:space="preserve"> 00474/CUAUTIT/IP/2025, </w:t>
      </w:r>
      <w:r w:rsidRPr="00BE228F">
        <w:rPr>
          <w:rFonts w:ascii="Palatino Linotype" w:eastAsia="Palatino Linotype" w:hAnsi="Palatino Linotype" w:cs="Palatino Linotype"/>
          <w:sz w:val="22"/>
          <w:szCs w:val="22"/>
        </w:rPr>
        <w:t xml:space="preserve">por parte del </w:t>
      </w:r>
      <w:r w:rsidRPr="00BE228F">
        <w:rPr>
          <w:rFonts w:ascii="Palatino Linotype" w:eastAsia="Palatino Linotype" w:hAnsi="Palatino Linotype" w:cs="Palatino Linotype"/>
          <w:b/>
          <w:bCs/>
          <w:sz w:val="22"/>
          <w:szCs w:val="22"/>
        </w:rPr>
        <w:t xml:space="preserve">Ayuntamiento de Cuautitlán, </w:t>
      </w:r>
      <w:r w:rsidRPr="00BE228F">
        <w:rPr>
          <w:rFonts w:ascii="Palatino Linotype" w:eastAsia="Palatino Linotype" w:hAnsi="Palatino Linotype" w:cs="Palatino Linotype"/>
          <w:sz w:val="22"/>
          <w:szCs w:val="22"/>
        </w:rPr>
        <w:t xml:space="preserve">en lo sucesivo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se procede a dictar la presente resolución con base en los siguientes: </w:t>
      </w:r>
    </w:p>
    <w:p w:rsidR="00717E55" w:rsidRPr="00BE228F" w:rsidRDefault="005C0ADD">
      <w:pPr>
        <w:spacing w:before="240" w:after="240" w:line="360" w:lineRule="auto"/>
        <w:jc w:val="center"/>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I. A N T E C E D E N T E 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BE228F">
        <w:rPr>
          <w:rFonts w:ascii="Palatino Linotype" w:eastAsia="Palatino Linotype" w:hAnsi="Palatino Linotype" w:cs="Palatino Linotype"/>
          <w:b/>
          <w:bCs/>
          <w:sz w:val="22"/>
          <w:szCs w:val="22"/>
        </w:rPr>
        <w:t>1. Solicitud de acceso a la información.</w:t>
      </w:r>
      <w:r w:rsidRPr="00BE228F">
        <w:rPr>
          <w:rFonts w:ascii="Palatino Linotype" w:eastAsia="Palatino Linotype" w:hAnsi="Palatino Linotype" w:cs="Palatino Linotype"/>
          <w:sz w:val="22"/>
          <w:szCs w:val="22"/>
        </w:rPr>
        <w:t xml:space="preserve"> El veinte de julio de dos mil veinticinco</w:t>
      </w:r>
      <w:r w:rsidRPr="00BE228F">
        <w:rPr>
          <w:rFonts w:ascii="Palatino Linotype" w:eastAsia="Palatino Linotype" w:hAnsi="Palatino Linotype" w:cs="Palatino Linotype"/>
          <w:b/>
          <w:bCs/>
          <w:sz w:val="22"/>
          <w:szCs w:val="22"/>
        </w:rPr>
        <w:t>,</w:t>
      </w:r>
      <w:r w:rsidRPr="00BE228F">
        <w:rPr>
          <w:rFonts w:ascii="Palatino Linotype" w:eastAsia="Palatino Linotype" w:hAnsi="Palatino Linotype" w:cs="Palatino Linotype"/>
          <w:sz w:val="22"/>
          <w:szCs w:val="22"/>
        </w:rPr>
        <w:t xml:space="preserve">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presentó la solicitud de acceso a la información pública ante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a través del Sistema de Acceso a la Información Mexiquense, en lo subsecuente el </w:t>
      </w:r>
      <w:r w:rsidRPr="00BE228F">
        <w:rPr>
          <w:rFonts w:ascii="Palatino Linotype" w:eastAsia="Palatino Linotype" w:hAnsi="Palatino Linotype" w:cs="Palatino Linotype"/>
          <w:b/>
          <w:bCs/>
          <w:sz w:val="22"/>
          <w:szCs w:val="22"/>
        </w:rPr>
        <w:t>SAIMEX,</w:t>
      </w:r>
      <w:r w:rsidRPr="00BE228F">
        <w:rPr>
          <w:rFonts w:ascii="Palatino Linotype" w:eastAsia="Palatino Linotype" w:hAnsi="Palatino Linotype" w:cs="Palatino Linotype"/>
          <w:sz w:val="22"/>
          <w:szCs w:val="22"/>
        </w:rPr>
        <w:t xml:space="preserve"> la cual se tuvo por presentada el </w:t>
      </w:r>
      <w:r w:rsidRPr="00BE228F">
        <w:rPr>
          <w:rFonts w:ascii="Palatino Linotype" w:eastAsia="Palatino Linotype" w:hAnsi="Palatino Linotype" w:cs="Palatino Linotype"/>
          <w:b/>
          <w:bCs/>
          <w:sz w:val="22"/>
          <w:szCs w:val="22"/>
        </w:rPr>
        <w:t>cuatro de agosto de dos mil veinticinco</w:t>
      </w:r>
      <w:r w:rsidRPr="00BE228F">
        <w:rPr>
          <w:rFonts w:ascii="Palatino Linotype" w:eastAsia="Palatino Linotype" w:hAnsi="Palatino Linotype" w:cs="Palatino Linotype"/>
          <w:sz w:val="22"/>
          <w:szCs w:val="22"/>
        </w:rPr>
        <w:t>, mediante la cual requirió lo siguiente:</w:t>
      </w:r>
    </w:p>
    <w:p w:rsidR="00717E55" w:rsidRPr="00BE228F" w:rsidRDefault="005C0ADD">
      <w:pPr>
        <w:spacing w:before="120" w:after="120"/>
        <w:ind w:left="851" w:right="902"/>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i/>
          <w:iCs/>
          <w:sz w:val="22"/>
          <w:szCs w:val="22"/>
        </w:rPr>
        <w:t xml:space="preserve"> “* Se haga llegar digitalmente el bando municipal reformado y vigente. * Se haga llegar digitalmente el reglamento del bando municipal reformado y vigente. * Se haga llegar el reglamento de la mesas de arbitraje condominal vigente. * Se informe la cantidad o monto de recurso invertido por el ayuntamiento en la reparación de los tanques cisterna del conjunto urbano conocido como Santa Elena. * Se informen la cantidad de intervenciones en obra que han sido donadas por inversión estás privados en el conjunto urbano conocido como Santa Elena y cuáles son duchas obras donadas? * Se informe la poligonal que delimita el conjunto urbano conocido como Santa Elena se encuentra bajo régimen condominal y se entregue el archivo digital de dicha poligonal. * Se informe si la poligonal del conjunto urbano conocido como Santa Elena se encuentra bajo régimen condominal y cuál es su delimitación periferica. * Se informe el tipo de obra que se desarrollará en el terreno sobre la avenida Teyeahualco en colindancia con el arco de Tultepec. * Se informe si quien dice ser Issac Pavel Martinez </w:t>
      </w:r>
      <w:r w:rsidRPr="00BE228F">
        <w:rPr>
          <w:rFonts w:ascii="Palatino Linotype" w:eastAsia="Palatino Linotype" w:hAnsi="Palatino Linotype" w:cs="Palatino Linotype"/>
          <w:i/>
          <w:iCs/>
          <w:sz w:val="22"/>
          <w:szCs w:val="22"/>
        </w:rPr>
        <w:lastRenderedPageBreak/>
        <w:t>Malvaez supuesto jefe de oficina de presidencia tiene poder o nombramiento o capacidad legal para tomar decisiones en nombre de la representante legal y presidenta municipal en turno del ayuntamiento y/o de las diferentes áreas o direcciones de competencia indicada en el artículo 115 fracción III de la Constitución Política de los Estados Unidos Mexicano?, como lo desarrollo en la asamblea del 11 de junio del año 2025 en el conjunto urbano conocido como santa Elena transmitido en la página oficial del mismo que se puede observar en la siguiente liga https://www.facebook.com/share/v/19CehizGVy/ dicha acción de toma de desiciones en particular por lo que compete al agua y en particular a la dirección del agua la volvió a repetir en fecha miércoles 16 de junio del año 2025 como se desprende del link https://www.facebook.com/share/v/1GM1e84sGJ/ * Se informe el monto asignado para las diferentes obras de bacheo que se está llevando a cabo dentro del fraccionamiento conocido como santa Elena. * Se informe si todas las diferentes calles y avenidas que existen dentro del conjunto urbano conocido como Santa Elena dentro de su poligonal están bajo régimen condominal? Si o no y porque ?.</w:t>
      </w:r>
      <w:r w:rsidRPr="00BE228F">
        <w:rPr>
          <w:rFonts w:ascii="Palatino Linotype" w:eastAsia="Palatino Linotype" w:hAnsi="Palatino Linotype" w:cs="Palatino Linotype"/>
          <w:b/>
          <w:bCs/>
          <w:i/>
          <w:iCs/>
          <w:sz w:val="22"/>
          <w:szCs w:val="22"/>
        </w:rPr>
        <w:t>”</w:t>
      </w:r>
      <w:r w:rsidRPr="00BE228F">
        <w:rPr>
          <w:rFonts w:ascii="Palatino Linotype" w:eastAsia="Palatino Linotype" w:hAnsi="Palatino Linotype" w:cs="Palatino Linotype"/>
          <w:i/>
          <w:iCs/>
          <w:sz w:val="22"/>
          <w:szCs w:val="22"/>
        </w:rPr>
        <w:t xml:space="preserve"> (sic) </w:t>
      </w:r>
    </w:p>
    <w:p w:rsidR="00717E55" w:rsidRPr="00BE228F" w:rsidRDefault="005C0ADD">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BE228F">
        <w:rPr>
          <w:rFonts w:ascii="Palatino Linotype" w:eastAsia="Palatino Linotype" w:hAnsi="Palatino Linotype" w:cs="Palatino Linotype"/>
          <w:b/>
          <w:bCs/>
          <w:sz w:val="22"/>
          <w:szCs w:val="22"/>
        </w:rPr>
        <w:t xml:space="preserve">Modalidad elegida para la entrega de la información: </w:t>
      </w:r>
      <w:r w:rsidRPr="00BE228F">
        <w:rPr>
          <w:rFonts w:ascii="Palatino Linotype" w:eastAsia="Palatino Linotype" w:hAnsi="Palatino Linotype" w:cs="Palatino Linotype"/>
          <w:sz w:val="22"/>
          <w:szCs w:val="22"/>
        </w:rPr>
        <w:t>a través del SAIMEX.</w:t>
      </w:r>
    </w:p>
    <w:p w:rsidR="00717E55" w:rsidRPr="00BE228F" w:rsidRDefault="005C0AD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2. Prórroga. </w:t>
      </w:r>
      <w:r w:rsidRPr="00BE228F">
        <w:rPr>
          <w:rFonts w:ascii="Palatino Linotype" w:eastAsia="Palatino Linotype" w:hAnsi="Palatino Linotype" w:cs="Palatino Linotype"/>
          <w:sz w:val="22"/>
          <w:szCs w:val="22"/>
        </w:rPr>
        <w:t xml:space="preserve">Con fecha </w:t>
      </w:r>
      <w:r w:rsidRPr="00BE228F">
        <w:rPr>
          <w:rFonts w:ascii="Palatino Linotype" w:eastAsia="Palatino Linotype" w:hAnsi="Palatino Linotype" w:cs="Palatino Linotype"/>
          <w:b/>
          <w:bCs/>
          <w:sz w:val="22"/>
          <w:szCs w:val="22"/>
        </w:rPr>
        <w:t xml:space="preserve">veinticinco de agosto de dos mil veinticinco, </w:t>
      </w:r>
      <w:r w:rsidRPr="00BE228F">
        <w:rPr>
          <w:rFonts w:ascii="Palatino Linotype" w:eastAsia="Palatino Linotype" w:hAnsi="Palatino Linotype" w:cs="Palatino Linotype"/>
          <w:sz w:val="22"/>
          <w:szCs w:val="22"/>
        </w:rPr>
        <w:t xml:space="preserve">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solicitó prórroga</w:t>
      </w:r>
      <w:r w:rsidRPr="00BE228F">
        <w:rPr>
          <w:sz w:val="22"/>
          <w:szCs w:val="22"/>
        </w:rPr>
        <w:t xml:space="preserve"> </w:t>
      </w:r>
      <w:r w:rsidRPr="00BE228F">
        <w:rPr>
          <w:rFonts w:ascii="Palatino Linotype" w:eastAsia="Palatino Linotype" w:hAnsi="Palatino Linotype" w:cs="Palatino Linotype"/>
          <w:sz w:val="22"/>
          <w:szCs w:val="22"/>
        </w:rPr>
        <w:t>a través del Sistema de Acceso a la Información Mexiquense, en lo subsecuente el SAIMEX, para dar atención a solicitud de acceso a información pública, bajo los siguientes términos:</w:t>
      </w:r>
    </w:p>
    <w:p w:rsidR="00717E55" w:rsidRPr="00BE228F" w:rsidRDefault="005C0AD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sz w:val="22"/>
          <w:szCs w:val="22"/>
        </w:rPr>
        <w:t>“….</w:t>
      </w:r>
    </w:p>
    <w:p w:rsidR="00717E55" w:rsidRPr="00BE228F" w:rsidRDefault="005C0AD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i/>
          <w:iCs/>
          <w:sz w:val="22"/>
          <w:szCs w:val="22"/>
        </w:rPr>
        <w:t xml:space="preserve">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ha sido prorrogado por 7 días en virtud de la siguiente razón; “Con fundamento en el artículo 163 segundo párrafo de la Ley de Transparencia y Acceso a la Información Pública del Estado de México y Municipios, informo que esta dependencia aún se encuentra en el proceso de búsqueda exhaustiva y razonable de la información solicitada, toda vez que se verificará si es oportuno solicitar la aprobación de versiones públicas de la documentación que en su caso sea identificada, por lo anterior mencionado se solicita la ampliación de término.” SIC Por lo anteriormente expuesto y con fundamento en el artículo163 párrafo segundo de la Ley </w:t>
      </w:r>
      <w:r w:rsidRPr="00BE228F">
        <w:rPr>
          <w:rFonts w:ascii="Palatino Linotype" w:eastAsia="Palatino Linotype" w:hAnsi="Palatino Linotype" w:cs="Palatino Linotype"/>
          <w:i/>
          <w:iCs/>
          <w:sz w:val="22"/>
          <w:szCs w:val="22"/>
        </w:rPr>
        <w:lastRenderedPageBreak/>
        <w:t>de Transparencia y Acceso a la Información Pública del Estado de México y Municipios, pido se sirva tenerse por notificado en tiempo y forma la ampliación el término de su solicitud de información número 00474/CUAUTIT/IP/2025.</w:t>
      </w:r>
      <w:r w:rsidRPr="00BE228F">
        <w:rPr>
          <w:rFonts w:ascii="Palatino Linotype" w:eastAsia="Palatino Linotype" w:hAnsi="Palatino Linotype" w:cs="Palatino Linotype"/>
          <w:sz w:val="22"/>
          <w:szCs w:val="22"/>
        </w:rPr>
        <w:t xml:space="preserve">” </w:t>
      </w:r>
      <w:r w:rsidRPr="00BE228F">
        <w:rPr>
          <w:rFonts w:ascii="Palatino Linotype" w:eastAsia="Palatino Linotype" w:hAnsi="Palatino Linotype" w:cs="Palatino Linotype"/>
          <w:i/>
          <w:iCs/>
          <w:sz w:val="22"/>
          <w:szCs w:val="22"/>
        </w:rPr>
        <w:t>(sic)</w:t>
      </w:r>
    </w:p>
    <w:p w:rsidR="00717E55" w:rsidRPr="00BE228F" w:rsidRDefault="005C0AD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Pronunciamiento al que adjuntó el Acuerdo número UT/CUAU/SE031/AA011/2025 de fecha cuatro de agosto de dos mil veinticinco por medio del cual se aprueba la ampliación excepcional al plazo para dar respuesta a la solicitud de información por un término de siete días; toda vez que, se está realizando la búsqueda de la información. </w:t>
      </w:r>
    </w:p>
    <w:p w:rsidR="00717E55" w:rsidRPr="00BE228F" w:rsidRDefault="005C0AD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Como refiere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los expedientes, se advierte que</w:t>
      </w:r>
      <w:r w:rsidRPr="00BE228F">
        <w:rPr>
          <w:rFonts w:ascii="Palatino Linotype" w:eastAsia="Palatino Linotype" w:hAnsi="Palatino Linotype" w:cs="Palatino Linotype"/>
          <w:b/>
          <w:bCs/>
          <w:sz w:val="22"/>
          <w:szCs w:val="22"/>
        </w:rPr>
        <w:t xml:space="preserve"> </w:t>
      </w:r>
      <w:r w:rsidRPr="00BE228F">
        <w:rPr>
          <w:rFonts w:ascii="Palatino Linotype" w:eastAsia="Palatino Linotype" w:hAnsi="Palatino Linotype" w:cs="Palatino Linotype"/>
          <w:sz w:val="22"/>
          <w:szCs w:val="22"/>
        </w:rPr>
        <w:t>se observaron las formalidades que establece la Ley de la materia, pues se anexó la resolución mediante la cual el Comité de Transparencia aprobó la ampliación del plazo.</w:t>
      </w:r>
    </w:p>
    <w:p w:rsidR="00717E55" w:rsidRPr="00BE228F" w:rsidRDefault="00717E55">
      <w:pPr>
        <w:spacing w:before="240" w:after="240" w:line="360" w:lineRule="auto"/>
        <w:jc w:val="both"/>
        <w:rPr>
          <w:rFonts w:ascii="Palatino Linotype" w:eastAsia="Palatino Linotype" w:hAnsi="Palatino Linotype" w:cs="Palatino Linotype"/>
          <w:b/>
          <w:bCs/>
          <w:sz w:val="22"/>
          <w:szCs w:val="22"/>
        </w:rPr>
      </w:pP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3. Respuesta. </w:t>
      </w:r>
      <w:r w:rsidRPr="00BE228F">
        <w:rPr>
          <w:rFonts w:ascii="Palatino Linotype" w:eastAsia="Palatino Linotype" w:hAnsi="Palatino Linotype" w:cs="Palatino Linotype"/>
          <w:sz w:val="22"/>
          <w:szCs w:val="22"/>
        </w:rPr>
        <w:t xml:space="preserve">El </w:t>
      </w:r>
      <w:r w:rsidRPr="00BE228F">
        <w:rPr>
          <w:rFonts w:ascii="Palatino Linotype" w:eastAsia="Palatino Linotype" w:hAnsi="Palatino Linotype" w:cs="Palatino Linotype"/>
          <w:b/>
          <w:bCs/>
          <w:sz w:val="22"/>
          <w:szCs w:val="22"/>
        </w:rPr>
        <w:t>dos de septiembre de dos mil veinticinco,</w:t>
      </w:r>
      <w:r w:rsidRPr="00BE228F">
        <w:rPr>
          <w:rFonts w:ascii="Palatino Linotype" w:eastAsia="Palatino Linotype" w:hAnsi="Palatino Linotype" w:cs="Palatino Linotype"/>
          <w:sz w:val="22"/>
          <w:szCs w:val="22"/>
        </w:rPr>
        <w:t xml:space="preserve">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rsidR="00717E55" w:rsidRPr="00BE228F" w:rsidRDefault="005C0ADD">
      <w:pPr>
        <w:spacing w:before="240" w:after="24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“…LE ENVÍO UN CORDIAL SALUDO Y DE ACUERDO A LAS FACULTADES DE LA UNIDAD DE TRANSPARENCIA LE INFORMO QUE SE SOLICITÓ AL ÁREA RESPONSABLES LA INFORMACIÓN DE LA SOLICITUD DE MÉRITO. CON FUNDAMENTO EN LOS ARTÍCULOS 156, 163, 166 PRIMER PÁRRAFO DE LA LTAIPEMyM ADJUNTO EN ARCHIVO EN FORMATO DIGITAL LA RESPUESTA OTORGADA POR LA DIRECCIÓN DE DESARROLLO METROPOLITANO SOSTENIBLE, SINDICATURA, DIRECCIÓN DE OBRAS PÚBLICAS, DIRECCIÓN DE AGUA POTABLE ALCANTARILLADO Y SANEAMIENTO, SECRETARIA DEL AYUNTAMIENTO, SECRETARÍA TÉCNICA.” (sic)</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adjuntó lo siguiente:</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número ST/CGDyMR/UT/1072/2025, mediante el cual la Secretaría Técnica, dirigido al Director de Obras Públicas mediante el cual, en lo medular le requiere que atienda la solicitud de información.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DOP/850/2025 suscrito por el Director de Obras Públicas quien informó que carece de competencia legal para conocer, atender o intervenir en los asuntos referidos en la solicitud; toda vez que, su naturaleza corresponde a trabajos no relacionados con sus funciones.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ST/CGDyMR/UT/1126/2025 de fecha cuatro de agosto de dos mil veinticinco, emitido por la Secretaría Técnica, dirigido al Director de Agua Potable, Alcantarillado y Saneamiento, en el que le requiere conteste a los puntos formulados en la solicitud de información.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DAPAS/1261/2025 suscrito por el Subdirector General de Agua Potable, Alcantarillado y Saneamiento y el Coordinador Administrativo informaron que el Ayuntamiento no ha destinado recurso alguno para la reparación de los tanques cisterna ubicados en el conjunto urbano denominado Santa Elena.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ST/CGDyMR/UT/1072/2025 por medio del cual la Secretaría Técnica requiere al Sindico Municipal para que atienda la solicitud de información.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SIND/CUA/0411/2025 remitido por el Síndico Municipal por medio del cual informó que el Reglamento Interno de la Mesa de Arbitraje en materia Condominal se encuentra en la Comisión Edilicia de Actualización y Revisión de la Reglamentación Municipal para su revisión y dictamen.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Gaceta de fecha dieciocho de julio de dos mil veinticinco que contiene el Acta 39  con los puntos de acuerdo de la Décima Sesión Extraordinaria de Cabildo correspondiente al número consecutivo de la Trigésima Novena Orden del día, consistente en 340 páginas.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número ST/CGDyMR/UT/1069/2025 suscrito por la Secretaría Técnica, dirigido al Secretario del Ayuntamiento, a efecto de que conteste a la solicitud de información.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SAYTO/2115/08/2025  remitido por el Secretario del Ayuntamiento por medio de cual remitió la liga electrónica en la que podía ser consultado el documento solicitado. </w:t>
      </w:r>
    </w:p>
    <w:p w:rsidR="00717E55" w:rsidRPr="00BE228F" w:rsidRDefault="005C0ADD">
      <w:pPr>
        <w:tabs>
          <w:tab w:val="left" w:pos="5071"/>
        </w:tabs>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 </w:t>
      </w:r>
      <w:r w:rsidRPr="00BE228F">
        <w:rPr>
          <w:rFonts w:ascii="Palatino Linotype" w:eastAsia="Palatino Linotype" w:hAnsi="Palatino Linotype" w:cs="Palatino Linotype"/>
          <w:sz w:val="22"/>
          <w:szCs w:val="22"/>
        </w:rPr>
        <w:t>Oficio ST/CGDyMR/UT/1073/2025 dirigido al Director de Desarrollo Metropolitano Sostenible, en el que en su parte sustancia le solicite conteste a la solicitud de información.</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Oficio DDMS/SDU/SPH/1636/2025 enviado por el Director de Desarrollo Metropolitano Sostenible adjuntó el mapa digital del conjunto habitacional de interés social denominado “Santa Elena”; asimismo, informó que el conjunto habitacional mencionado se encuentra bajo el régimen condominal, el cual se rige por la Ley que Regula el Régimen de Propiedad en Condominio y en el mapa que se proporciona se puede observar su delimitación periférica.  </w:t>
      </w:r>
    </w:p>
    <w:p w:rsidR="00717E55" w:rsidRPr="00BE228F" w:rsidRDefault="005C0ADD">
      <w:pPr>
        <w:tabs>
          <w:tab w:val="left" w:pos="5071"/>
        </w:tabs>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4. Interposición del recurso de revisión. </w:t>
      </w:r>
      <w:r w:rsidRPr="00BE228F">
        <w:rPr>
          <w:rFonts w:ascii="Palatino Linotype" w:eastAsia="Palatino Linotype" w:hAnsi="Palatino Linotype" w:cs="Palatino Linotype"/>
          <w:sz w:val="22"/>
          <w:szCs w:val="22"/>
        </w:rPr>
        <w:t xml:space="preserve">Inconforme con los términos de la respuesta emitida por parte del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el </w:t>
      </w:r>
      <w:r w:rsidRPr="00BE228F">
        <w:rPr>
          <w:rFonts w:ascii="Palatino Linotype" w:eastAsia="Palatino Linotype" w:hAnsi="Palatino Linotype" w:cs="Palatino Linotype"/>
          <w:b/>
          <w:bCs/>
          <w:sz w:val="22"/>
          <w:szCs w:val="22"/>
        </w:rPr>
        <w:t>trece de septiembre de dos mil veinticinco,</w:t>
      </w:r>
      <w:r w:rsidRPr="00BE228F">
        <w:rPr>
          <w:rFonts w:ascii="Palatino Linotype" w:eastAsia="Palatino Linotype" w:hAnsi="Palatino Linotype" w:cs="Palatino Linotype"/>
          <w:sz w:val="22"/>
          <w:szCs w:val="22"/>
        </w:rPr>
        <w:t xml:space="preserve">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interpuso el recurso de revisión a través de </w:t>
      </w:r>
      <w:r w:rsidRPr="00BE228F">
        <w:rPr>
          <w:rFonts w:ascii="Palatino Linotype" w:eastAsia="Palatino Linotype" w:hAnsi="Palatino Linotype" w:cs="Palatino Linotype"/>
          <w:b/>
          <w:bCs/>
          <w:sz w:val="22"/>
          <w:szCs w:val="22"/>
        </w:rPr>
        <w:t xml:space="preserve">SAIMEX; </w:t>
      </w:r>
      <w:r w:rsidRPr="00BE228F">
        <w:rPr>
          <w:rFonts w:ascii="Palatino Linotype" w:eastAsia="Palatino Linotype" w:hAnsi="Palatino Linotype" w:cs="Palatino Linotype"/>
          <w:sz w:val="22"/>
          <w:szCs w:val="22"/>
        </w:rPr>
        <w:t>mismo que se tuvo por presentado, el quince de septiembre de dos mil veinticinco, en el que manifestó lo siguiente:</w:t>
      </w:r>
    </w:p>
    <w:p w:rsidR="00717E55" w:rsidRPr="00BE228F" w:rsidRDefault="005C0ADD">
      <w:pPr>
        <w:spacing w:before="240" w:after="240" w:line="360" w:lineRule="auto"/>
        <w:ind w:right="49"/>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 xml:space="preserve">Acto impugnado: </w:t>
      </w:r>
    </w:p>
    <w:p w:rsidR="00717E55" w:rsidRPr="00BE228F" w:rsidRDefault="005C0ADD">
      <w:pPr>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“Se informe si quien dice ser Issac Pavel Martinez Malvaez supuesto jefe de oficina de presidencia tiene poder o nombramiento o capacidad legal para tomar decisiones en nombre de la representante legal y presidenta municipal en turno del ayuntamiento y/o de las diferentes áreas o direcciones de competencia indicada en el artículo 115 fracción III de la Constitución Política de los Estados Unidos Mexicano?, como lo desarrollo en la asamblea del 11 de junio del año 2025 en el conjunto urbano conocido como santa Elena transmitido en la página oficial del mismo que se puede observar en la siguiente liga https://www.facebook.com/share/v/19CehizGVy/ dicha acción de toma de desiciones en particular por lo que compete al agua y en particular a la dirección del agua la volvió a repetir en fecha miércoles 16 de junio del año 2025 como se desprende del link https://www.facebook.com/share/v/1GM1e84sGJ/ * Se informe el monto asignado para las diferentes obras de bacheo que se está llevando a cabo dentro del fraccionamiento conocido como santa Elena” (sic)</w:t>
      </w:r>
    </w:p>
    <w:p w:rsidR="00717E55" w:rsidRPr="00BE228F" w:rsidRDefault="00717E55">
      <w:pPr>
        <w:ind w:left="851" w:right="900"/>
        <w:jc w:val="both"/>
        <w:rPr>
          <w:rFonts w:ascii="Palatino Linotype" w:eastAsia="Palatino Linotype" w:hAnsi="Palatino Linotype" w:cs="Palatino Linotype"/>
          <w:i/>
          <w:iCs/>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BE228F">
        <w:rPr>
          <w:rFonts w:ascii="Palatino Linotype" w:eastAsia="Palatino Linotype" w:hAnsi="Palatino Linotype" w:cs="Palatino Linotype"/>
          <w:b/>
          <w:bCs/>
          <w:sz w:val="22"/>
          <w:szCs w:val="22"/>
        </w:rPr>
        <w:t>Y, Razones o motivos de inconformidad</w:t>
      </w:r>
      <w:r w:rsidRPr="00BE228F">
        <w:rPr>
          <w:rFonts w:ascii="Palatino Linotype" w:eastAsia="Palatino Linotype" w:hAnsi="Palatino Linotype" w:cs="Palatino Linotype"/>
          <w:sz w:val="22"/>
          <w:szCs w:val="22"/>
        </w:rPr>
        <w:t>:</w:t>
      </w:r>
    </w:p>
    <w:p w:rsidR="00717E55" w:rsidRPr="00BE228F" w:rsidRDefault="005C0ADD">
      <w:pPr>
        <w:tabs>
          <w:tab w:val="left" w:pos="2745"/>
        </w:tabs>
        <w:spacing w:before="240" w:after="24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“Dentro de las respuestas la autoridad son omisos responder así como en fundar y motivar las actuaciones del C. ISSAC PAVEL MARTINEZ MALVAEZ como supuesto jefe de oficina de presidencia en razón de informar si tiene poder o nombramiento o capacidad legal para tomar decisiones en nombre de la representante legal y presidenta municipal en turno del ayuntamiento y de diferentes áreas o direcciones de competencia indicadas en el artículo 115 fracción III de la Constitución Política de los Estados Unidos Mexicanos como lo realizó en los links y como lo sigue realizando hasta la fecha como se demuestra en este link https://www.facebook.com/share/v/19ArZsgDF7/ sin estar debidamente fundada y motivada su actuación. También son omisos en responder el monto asignado para las diferentes obras de bacheo que se están llevando a cabo dentro del fraccionamiento conocido como Santa Elena Por lo anterior se formula el presente recursos ya que no tiene la debida exhaustividad la respuesta por el contrario son omisos intencionalmente” (sic)</w:t>
      </w: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5. Turno. </w:t>
      </w:r>
      <w:r w:rsidRPr="00BE228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E228F">
        <w:rPr>
          <w:rFonts w:ascii="Palatino Linotype" w:eastAsia="Palatino Linotype" w:hAnsi="Palatino Linotype" w:cs="Palatino Linotype"/>
          <w:b/>
          <w:bCs/>
          <w:sz w:val="22"/>
          <w:szCs w:val="22"/>
        </w:rPr>
        <w:t xml:space="preserve">Guadalupe Ramírez Peña, </w:t>
      </w:r>
      <w:r w:rsidRPr="00BE228F">
        <w:rPr>
          <w:rFonts w:ascii="Palatino Linotype" w:eastAsia="Palatino Linotype" w:hAnsi="Palatino Linotype" w:cs="Palatino Linotype"/>
          <w:sz w:val="22"/>
          <w:szCs w:val="22"/>
        </w:rPr>
        <w:t>a efecto de que analizara sobre su admisión o su desechamiento.</w:t>
      </w:r>
    </w:p>
    <w:p w:rsidR="00717E55" w:rsidRPr="00BE228F" w:rsidRDefault="005C0ADD">
      <w:pPr>
        <w:spacing w:before="240" w:after="240" w:line="360" w:lineRule="auto"/>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6. Admisión del Recurso de revisión.</w:t>
      </w:r>
      <w:r w:rsidRPr="00BE228F">
        <w:rPr>
          <w:rFonts w:ascii="Palatino Linotype" w:eastAsia="Palatino Linotype" w:hAnsi="Palatino Linotype" w:cs="Palatino Linotype"/>
          <w:sz w:val="22"/>
          <w:szCs w:val="22"/>
        </w:rPr>
        <w:t xml:space="preserve"> El</w:t>
      </w:r>
      <w:r w:rsidRPr="00BE228F">
        <w:rPr>
          <w:rFonts w:ascii="Palatino Linotype" w:eastAsia="Palatino Linotype" w:hAnsi="Palatino Linotype" w:cs="Palatino Linotype"/>
          <w:b/>
          <w:bCs/>
          <w:sz w:val="22"/>
          <w:szCs w:val="22"/>
        </w:rPr>
        <w:t xml:space="preserve"> diecinueve de septiembre de dos mil veinticinco, </w:t>
      </w:r>
      <w:r w:rsidRPr="00BE228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presentara su informe justificado.</w:t>
      </w:r>
    </w:p>
    <w:p w:rsidR="00717E55" w:rsidRPr="00BE228F" w:rsidRDefault="005C0ADD">
      <w:pPr>
        <w:widowControl w:val="0"/>
        <w:spacing w:before="240" w:after="240"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BE228F">
        <w:rPr>
          <w:rFonts w:ascii="Palatino Linotype" w:eastAsia="Palatino Linotype" w:hAnsi="Palatino Linotype" w:cs="Palatino Linotype"/>
          <w:b/>
          <w:bCs/>
          <w:sz w:val="22"/>
          <w:szCs w:val="22"/>
        </w:rPr>
        <w:t>7. Manifestaciones</w:t>
      </w:r>
      <w:r w:rsidRPr="00BE228F">
        <w:rPr>
          <w:rFonts w:ascii="Palatino Linotype" w:eastAsia="Palatino Linotype" w:hAnsi="Palatino Linotype" w:cs="Palatino Linotype"/>
          <w:sz w:val="22"/>
          <w:szCs w:val="22"/>
        </w:rPr>
        <w:t xml:space="preserve">. El </w:t>
      </w:r>
      <w:r w:rsidRPr="00BE228F">
        <w:rPr>
          <w:rFonts w:ascii="Palatino Linotype" w:eastAsia="Palatino Linotype" w:hAnsi="Palatino Linotype" w:cs="Palatino Linotype"/>
          <w:b/>
          <w:bCs/>
          <w:sz w:val="22"/>
          <w:szCs w:val="22"/>
        </w:rPr>
        <w:t>veinticinco de septiembre de dos mil veinticinco</w:t>
      </w:r>
      <w:r w:rsidRPr="00BE228F">
        <w:rPr>
          <w:rFonts w:ascii="Palatino Linotype" w:eastAsia="Palatino Linotype" w:hAnsi="Palatino Linotype" w:cs="Palatino Linotype"/>
          <w:sz w:val="22"/>
          <w:szCs w:val="22"/>
        </w:rPr>
        <w:t xml:space="preserv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remitió, a través de SAIMEX, su informe justificado, cuyo contenido se trata de los escritos remitidos por los Servidores Públicos Habilitados, en atención a los motivos de inconformidad manifestados por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al momento de interponer el Recurso de Revisión; documentos que al ser del conocimiento de las partes serán analizados en el considerando de estudio. </w:t>
      </w:r>
    </w:p>
    <w:p w:rsidR="00717E55" w:rsidRPr="00BE228F" w:rsidRDefault="005C0ADD">
      <w:pPr>
        <w:widowControl w:val="0"/>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Dicha información se hizo del conocimiento de la persona solicitante a efecto de que manifestara lo que a su derecho estimara conveniente; quien en fechas dieciséis de octubre de dos mil veinticinco y cinco de marzo de dos mil veintiséis remitió los archivos electrónicos, descritos en el siguiente orden: </w:t>
      </w:r>
    </w:p>
    <w:p w:rsidR="00717E55" w:rsidRPr="00BE228F" w:rsidRDefault="005C0ADD">
      <w:pPr>
        <w:widowControl w:val="0"/>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689691.page.pdf: </w:t>
      </w:r>
      <w:r w:rsidRPr="00BE228F">
        <w:rPr>
          <w:rFonts w:ascii="Palatino Linotype" w:eastAsia="Palatino Linotype" w:hAnsi="Palatino Linotype" w:cs="Palatino Linotype"/>
          <w:sz w:val="22"/>
          <w:szCs w:val="22"/>
        </w:rPr>
        <w:t xml:space="preserve">Contiene el acuse de la solicitud de información. </w:t>
      </w:r>
    </w:p>
    <w:p w:rsidR="00717E55" w:rsidRPr="00BE228F" w:rsidRDefault="005C0AD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Screenshot_20251016-110913-514.png: </w:t>
      </w:r>
      <w:r w:rsidRPr="00BE228F">
        <w:rPr>
          <w:rFonts w:ascii="Palatino Linotype" w:eastAsia="Palatino Linotype" w:hAnsi="Palatino Linotype" w:cs="Palatino Linotype"/>
          <w:sz w:val="22"/>
          <w:szCs w:val="22"/>
        </w:rPr>
        <w:t xml:space="preserve">Se trata de una captura de pantalla a través de la cual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proporciona una liga electrónica de Facebook y manifiesta que “</w:t>
      </w:r>
      <w:r w:rsidRPr="00BE228F">
        <w:rPr>
          <w:rFonts w:ascii="Palatino Linotype" w:eastAsia="Palatino Linotype" w:hAnsi="Palatino Linotype" w:cs="Palatino Linotype"/>
          <w:i/>
          <w:iCs/>
          <w:sz w:val="22"/>
          <w:szCs w:val="22"/>
        </w:rPr>
        <w:t xml:space="preserve">...del servidor público del cual se está solicitando se de certeza si tiene capacidad legal de actuar en nombre de presidencia o direcciones y si tiene capacidad legal para realizar actos jurídicos como lo realiza a partir del minuto 19 ya que todo acto de autoridad debe estar debidamente fundado y motivado con la cual se prueba la omisión en responder a lo planteado en el presente recurso...” </w:t>
      </w:r>
    </w:p>
    <w:p w:rsidR="00717E55" w:rsidRPr="00BE228F" w:rsidRDefault="005C0AD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Screenshot_20251016-111047-210.png: </w:t>
      </w:r>
      <w:r w:rsidRPr="00BE228F">
        <w:rPr>
          <w:rFonts w:ascii="Palatino Linotype" w:eastAsia="Palatino Linotype" w:hAnsi="Palatino Linotype" w:cs="Palatino Linotype"/>
          <w:sz w:val="22"/>
          <w:szCs w:val="22"/>
        </w:rPr>
        <w:t xml:space="preserve">Imagen remitida por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por medio de la cual expresa: </w:t>
      </w:r>
      <w:r w:rsidRPr="00BE228F">
        <w:rPr>
          <w:rFonts w:ascii="Palatino Linotype" w:eastAsia="Palatino Linotype" w:hAnsi="Palatino Linotype" w:cs="Palatino Linotype"/>
          <w:i/>
          <w:iCs/>
          <w:sz w:val="22"/>
          <w:szCs w:val="22"/>
        </w:rPr>
        <w:t xml:space="preserve">“Se ofrece de parte del promovente se tengan las pretensiones del presente recurso reproducidas como alegatos para buscar no ser ociosos en la tramitología y pronta respuesta al presente recurso. </w:t>
      </w:r>
      <w:r w:rsidRPr="00BE228F">
        <w:rPr>
          <w:rFonts w:ascii="Palatino Linotype" w:eastAsia="Palatino Linotype" w:hAnsi="Palatino Linotype" w:cs="Palatino Linotype"/>
          <w:sz w:val="22"/>
          <w:szCs w:val="22"/>
        </w:rPr>
        <w:t xml:space="preserve"> </w:t>
      </w:r>
    </w:p>
    <w:p w:rsidR="00717E55" w:rsidRPr="00BE228F" w:rsidRDefault="005C0ADD">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Screenshot_20260305-162207-642.png: </w:t>
      </w:r>
      <w:r w:rsidRPr="00BE228F">
        <w:rPr>
          <w:rFonts w:ascii="Palatino Linotype" w:eastAsia="Palatino Linotype" w:hAnsi="Palatino Linotype" w:cs="Palatino Linotype"/>
          <w:sz w:val="22"/>
          <w:szCs w:val="22"/>
        </w:rPr>
        <w:t xml:space="preserve">Captura de pantalla a través de la cual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insiste en requerir el poder o nombramiento o capacidad legal para tomar decisiones en nombre del representante legal y presidenta municipal en turno. </w:t>
      </w:r>
    </w:p>
    <w:p w:rsidR="00717E55" w:rsidRPr="00BE228F" w:rsidRDefault="005C0ADD">
      <w:pPr>
        <w:widowControl w:val="0"/>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Screenshot_20260305-162143-391.png: </w:t>
      </w:r>
      <w:r w:rsidRPr="00BE228F">
        <w:rPr>
          <w:rFonts w:ascii="Palatino Linotype" w:eastAsia="Palatino Linotype" w:hAnsi="Palatino Linotype" w:cs="Palatino Linotype"/>
          <w:sz w:val="22"/>
          <w:szCs w:val="22"/>
        </w:rPr>
        <w:t xml:space="preserve"> Imagen en la que se advierte el Acto Impugnado y parte de la Razones o Motivos de la Inconformidad. </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8. Cierre de instrucción. </w:t>
      </w:r>
      <w:r w:rsidRPr="00BE228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BE228F">
        <w:rPr>
          <w:rFonts w:ascii="Palatino Linotype" w:eastAsia="Palatino Linotype" w:hAnsi="Palatino Linotype" w:cs="Palatino Linotype"/>
          <w:b/>
          <w:bCs/>
          <w:sz w:val="22"/>
          <w:szCs w:val="22"/>
        </w:rPr>
        <w:t>once de marzo de dos mil veintiséis</w:t>
      </w:r>
      <w:r w:rsidRPr="00BE228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9. Ampliación del término para resolver</w:t>
      </w:r>
      <w:r w:rsidRPr="00BE228F">
        <w:rPr>
          <w:rFonts w:ascii="Palatino Linotype" w:eastAsia="Palatino Linotype" w:hAnsi="Palatino Linotype" w:cs="Palatino Linotype"/>
          <w:sz w:val="22"/>
          <w:szCs w:val="22"/>
        </w:rPr>
        <w:t xml:space="preserve">. Mediante acuerdo del </w:t>
      </w:r>
      <w:r w:rsidRPr="00BE228F">
        <w:rPr>
          <w:rFonts w:ascii="Palatino Linotype" w:eastAsia="Palatino Linotype" w:hAnsi="Palatino Linotype" w:cs="Palatino Linotype"/>
          <w:b/>
          <w:bCs/>
          <w:sz w:val="22"/>
          <w:szCs w:val="22"/>
        </w:rPr>
        <w:t>once de marzo de dos mil veintiséis</w:t>
      </w:r>
      <w:r w:rsidRPr="00BE228F">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717E55" w:rsidRPr="00BE228F" w:rsidRDefault="00717E55">
      <w:pPr>
        <w:spacing w:line="360" w:lineRule="auto"/>
        <w:jc w:val="both"/>
        <w:rPr>
          <w:rFonts w:ascii="Palatino Linotype" w:eastAsia="Palatino Linotype" w:hAnsi="Palatino Linotype" w:cs="Palatino Linotype"/>
          <w:strike/>
          <w:sz w:val="22"/>
          <w:szCs w:val="22"/>
        </w:rPr>
      </w:pPr>
    </w:p>
    <w:p w:rsidR="00717E55" w:rsidRPr="00BE228F" w:rsidRDefault="005C0ADD">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Complejidad del Asunto:</w:t>
      </w:r>
      <w:r w:rsidRPr="00BE228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717E55" w:rsidRPr="00BE228F" w:rsidRDefault="005C0ADD">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Actividad Procesal del interesado</w:t>
      </w:r>
      <w:r w:rsidRPr="00BE228F">
        <w:rPr>
          <w:rFonts w:ascii="Palatino Linotype" w:eastAsia="Palatino Linotype" w:hAnsi="Palatino Linotype" w:cs="Palatino Linotype"/>
          <w:sz w:val="22"/>
          <w:szCs w:val="22"/>
        </w:rPr>
        <w:t>. Acciones u omisiones del interesado.</w:t>
      </w:r>
    </w:p>
    <w:p w:rsidR="00717E55" w:rsidRPr="00BE228F" w:rsidRDefault="005C0ADD">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Conducta de la Autoridad:</w:t>
      </w:r>
      <w:r w:rsidRPr="00BE228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717E55" w:rsidRPr="00BE228F" w:rsidRDefault="005C0ADD">
      <w:pPr>
        <w:numPr>
          <w:ilvl w:val="0"/>
          <w:numId w:val="2"/>
        </w:numPr>
        <w:tabs>
          <w:tab w:val="left" w:pos="993"/>
        </w:tabs>
        <w:spacing w:after="160" w:line="360" w:lineRule="auto"/>
        <w:ind w:left="567" w:right="900" w:firstLine="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La afectación generada en la situación jurídica de la persona involucrada en el proceso:</w:t>
      </w:r>
      <w:r w:rsidRPr="00BE228F">
        <w:rPr>
          <w:rFonts w:ascii="Palatino Linotype" w:eastAsia="Palatino Linotype" w:hAnsi="Palatino Linotype" w:cs="Palatino Linotype"/>
          <w:sz w:val="22"/>
          <w:szCs w:val="22"/>
        </w:rPr>
        <w:t xml:space="preserve"> Violación a sus derechos humanos.</w:t>
      </w:r>
    </w:p>
    <w:p w:rsidR="00717E55" w:rsidRPr="00BE228F" w:rsidRDefault="00717E55">
      <w:pPr>
        <w:tabs>
          <w:tab w:val="left" w:pos="993"/>
        </w:tabs>
        <w:spacing w:line="360" w:lineRule="auto"/>
        <w:ind w:left="567" w:right="900"/>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E228F">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E228F">
        <w:rPr>
          <w:rFonts w:ascii="Palatino Linotype" w:eastAsia="Palatino Linotype" w:hAnsi="Palatino Linotype" w:cs="Palatino Linotype"/>
          <w:sz w:val="22"/>
          <w:szCs w:val="22"/>
        </w:rPr>
        <w:t>, visible en la Gaceta del Seminario Judicial de la Federación con el registro digital 205635.</w:t>
      </w:r>
    </w:p>
    <w:p w:rsidR="00717E55" w:rsidRPr="00BE228F" w:rsidRDefault="00717E55">
      <w:pPr>
        <w:spacing w:line="360" w:lineRule="auto"/>
        <w:jc w:val="both"/>
        <w:rPr>
          <w:rFonts w:ascii="Palatino Linotype" w:eastAsia="Palatino Linotype" w:hAnsi="Palatino Linotype" w:cs="Palatino Linotype"/>
          <w:b/>
          <w:bCs/>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ind w:left="851" w:right="90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 </w:t>
      </w:r>
      <w:r w:rsidRPr="00BE228F">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sz w:val="22"/>
          <w:szCs w:val="22"/>
        </w:rPr>
        <w:t xml:space="preserve"> consultable en el Seminario Judicial de la Federación y su gaceta, con el registro digital 2002351.</w:t>
      </w:r>
    </w:p>
    <w:p w:rsidR="00717E55" w:rsidRPr="00BE228F" w:rsidRDefault="005C0ADD">
      <w:pPr>
        <w:spacing w:line="360" w:lineRule="auto"/>
        <w:ind w:left="851" w:right="90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E228F">
        <w:rPr>
          <w:rFonts w:ascii="Palatino Linotype" w:eastAsia="Palatino Linotype" w:hAnsi="Palatino Linotype" w:cs="Palatino Linotype"/>
          <w:sz w:val="22"/>
          <w:szCs w:val="22"/>
        </w:rPr>
        <w:t>, visible en el Seminario Judicial de la Federación y su gaceta, con el registro digital 2002350.</w:t>
      </w:r>
    </w:p>
    <w:p w:rsidR="00717E55" w:rsidRPr="00BE228F" w:rsidRDefault="00717E55">
      <w:pPr>
        <w:spacing w:line="360" w:lineRule="auto"/>
        <w:ind w:left="851" w:right="900"/>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717E55" w:rsidRPr="00BE228F" w:rsidRDefault="005C0ADD">
      <w:pPr>
        <w:widowControl w:val="0"/>
        <w:spacing w:before="240" w:after="240" w:line="360" w:lineRule="auto"/>
        <w:jc w:val="center"/>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II. C O N S I D E R A N D O 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Primero. Competencia.</w:t>
      </w:r>
      <w:r w:rsidRPr="00BE228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BE228F">
        <w:rPr>
          <w:rFonts w:ascii="Palatino Linotype" w:eastAsia="Palatino Linotype" w:hAnsi="Palatino Linotype" w:cs="Palatino Linotype"/>
          <w:b/>
          <w:bCs/>
          <w:sz w:val="22"/>
          <w:szCs w:val="22"/>
        </w:rPr>
        <w:t>Segundo. Oportunidad y Procedibilidad del Recurso de Revisión</w:t>
      </w:r>
      <w:r w:rsidRPr="00BE228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remitió la respuesta a la solicitud de información el día </w:t>
      </w:r>
      <w:r w:rsidRPr="00BE228F">
        <w:rPr>
          <w:rFonts w:ascii="Palatino Linotype" w:eastAsia="Palatino Linotype" w:hAnsi="Palatino Linotype" w:cs="Palatino Linotype"/>
          <w:b/>
          <w:bCs/>
          <w:sz w:val="22"/>
          <w:szCs w:val="22"/>
        </w:rPr>
        <w:t xml:space="preserve">dos de septiembre de dos mil veinticinco, </w:t>
      </w:r>
      <w:r w:rsidRPr="00BE228F">
        <w:rPr>
          <w:rFonts w:ascii="Palatino Linotype" w:eastAsia="Palatino Linotype" w:hAnsi="Palatino Linotype" w:cs="Palatino Linotype"/>
          <w:sz w:val="22"/>
          <w:szCs w:val="22"/>
        </w:rPr>
        <w:t xml:space="preserve">mientras que el recurso de revisión interpuesto por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se tuvo por presentado el día</w:t>
      </w:r>
      <w:r w:rsidRPr="00BE228F">
        <w:rPr>
          <w:rFonts w:ascii="Palatino Linotype" w:eastAsia="Palatino Linotype" w:hAnsi="Palatino Linotype" w:cs="Palatino Linotype"/>
          <w:b/>
          <w:bCs/>
          <w:sz w:val="22"/>
          <w:szCs w:val="22"/>
        </w:rPr>
        <w:t xml:space="preserve"> quince de septiembre de dos mil veinticinco, </w:t>
      </w:r>
      <w:r w:rsidRPr="00BE228F">
        <w:rPr>
          <w:rFonts w:ascii="Palatino Linotype" w:eastAsia="Palatino Linotype" w:hAnsi="Palatino Linotype" w:cs="Palatino Linotype"/>
          <w:sz w:val="22"/>
          <w:szCs w:val="22"/>
        </w:rPr>
        <w:t>esto es, al noveno día hábil posterior. En este sentido, se concluye que el presente recurso de revisión se encuentra dentro de los márgenes temporales previstos en las disposiciones legales referidas.</w:t>
      </w: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Además, por cuanto hace a la procedibilidad del recurso de revisión, es de suma importancia señalar que la parte</w:t>
      </w:r>
      <w:r w:rsidRPr="00BE228F">
        <w:rPr>
          <w:rFonts w:ascii="Palatino Linotype" w:eastAsia="Palatino Linotype" w:hAnsi="Palatino Linotype" w:cs="Palatino Linotype"/>
          <w:b/>
          <w:bCs/>
          <w:sz w:val="22"/>
          <w:szCs w:val="22"/>
        </w:rPr>
        <w:t xml:space="preserve"> Recurrente</w:t>
      </w:r>
      <w:r w:rsidRPr="00BE228F">
        <w:rPr>
          <w:rFonts w:ascii="Palatino Linotype" w:eastAsia="Palatino Linotype" w:hAnsi="Palatino Linotype" w:cs="Palatino Linotype"/>
          <w:sz w:val="22"/>
          <w:szCs w:val="22"/>
        </w:rPr>
        <w:t xml:space="preserve">, no señaló un </w:t>
      </w:r>
      <w:r w:rsidRPr="00BE228F">
        <w:rPr>
          <w:rFonts w:ascii="Palatino Linotype" w:eastAsia="Palatino Linotype" w:hAnsi="Palatino Linotype" w:cs="Palatino Linotype"/>
          <w:b/>
          <w:bCs/>
          <w:sz w:val="22"/>
          <w:szCs w:val="22"/>
        </w:rPr>
        <w:t>nombre</w:t>
      </w:r>
      <w:r w:rsidRPr="00BE228F">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Las solicitudes anónimas</w:t>
      </w:r>
      <w:r w:rsidRPr="00BE228F">
        <w:rPr>
          <w:rFonts w:ascii="Palatino Linotype" w:eastAsia="Palatino Linotype" w:hAnsi="Palatino Linotype" w:cs="Palatino Linotype"/>
          <w:i/>
          <w:iCs/>
          <w:sz w:val="22"/>
          <w:szCs w:val="22"/>
        </w:rPr>
        <w:t xml:space="preserve">, con nombre incompleto o </w:t>
      </w:r>
      <w:r w:rsidRPr="00BE228F">
        <w:rPr>
          <w:rFonts w:ascii="Palatino Linotype" w:eastAsia="Palatino Linotype" w:hAnsi="Palatino Linotype" w:cs="Palatino Linotype"/>
          <w:b/>
          <w:bCs/>
          <w:i/>
          <w:iCs/>
          <w:sz w:val="22"/>
          <w:szCs w:val="22"/>
        </w:rPr>
        <w:t>seudónimo</w:t>
      </w:r>
      <w:r w:rsidRPr="00BE228F">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rsidR="00717E55" w:rsidRPr="00BE228F" w:rsidRDefault="005C0ADD">
      <w:pPr>
        <w:spacing w:before="240" w:after="240" w:line="360" w:lineRule="auto"/>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BE228F">
        <w:rPr>
          <w:rFonts w:ascii="Palatino Linotype" w:eastAsia="Palatino Linotype" w:hAnsi="Palatino Linotype" w:cs="Palatino Linotype"/>
          <w:b/>
          <w:bCs/>
          <w:sz w:val="22"/>
          <w:szCs w:val="22"/>
        </w:rPr>
        <w:t xml:space="preserve"> SAIMEX.</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717E55" w:rsidRPr="00BE228F" w:rsidRDefault="005C0ADD">
      <w:pPr>
        <w:tabs>
          <w:tab w:val="left" w:pos="7938"/>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179.</w:t>
      </w:r>
      <w:r w:rsidRPr="00BE228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717E55" w:rsidRPr="00BE228F" w:rsidRDefault="005C0ADD">
      <w:pPr>
        <w:tabs>
          <w:tab w:val="left" w:pos="7938"/>
        </w:tabs>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La negativa a la información solicitada;”</w:t>
      </w:r>
    </w:p>
    <w:p w:rsidR="00717E55" w:rsidRPr="00BE228F" w:rsidRDefault="005C0ADD">
      <w:pPr>
        <w:spacing w:before="240" w:after="240" w:line="360" w:lineRule="auto"/>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 xml:space="preserve">Tercero. Materia de la revisión. </w:t>
      </w:r>
      <w:r w:rsidRPr="00BE228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E228F">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BE228F">
        <w:rPr>
          <w:rFonts w:ascii="Palatino Linotype" w:eastAsia="Palatino Linotype" w:hAnsi="Palatino Linotype" w:cs="Palatino Linotype"/>
          <w:sz w:val="22"/>
          <w:szCs w:val="22"/>
        </w:rPr>
        <w:t xml:space="preserve">de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o en su defecto, en caso de ser procedente, ordenar la entrega de información.</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BE228F">
        <w:rPr>
          <w:rFonts w:ascii="Palatino Linotype" w:eastAsia="Palatino Linotype" w:hAnsi="Palatino Linotype" w:cs="Palatino Linotype"/>
          <w:b/>
          <w:bCs/>
          <w:sz w:val="22"/>
          <w:szCs w:val="22"/>
        </w:rPr>
        <w:t xml:space="preserve">Cuarto. Estudio del asunto. </w:t>
      </w:r>
      <w:r w:rsidRPr="00BE228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4</w:t>
      </w:r>
      <w:r w:rsidRPr="00BE228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E228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E228F">
        <w:rPr>
          <w:rFonts w:ascii="Palatino Linotype" w:eastAsia="Palatino Linotype" w:hAnsi="Palatino Linotype" w:cs="Palatino Linotype"/>
          <w:i/>
          <w:iCs/>
          <w:sz w:val="22"/>
          <w:szCs w:val="22"/>
        </w:rPr>
        <w:t>.”</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12.-</w:t>
      </w:r>
      <w:r w:rsidRPr="00BE228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E228F">
        <w:rPr>
          <w:rFonts w:ascii="Palatino Linotype" w:eastAsia="Palatino Linotype" w:hAnsi="Palatino Linotype" w:cs="Palatino Linotype"/>
          <w:i/>
          <w:iCs/>
          <w:sz w:val="22"/>
          <w:szCs w:val="22"/>
        </w:rPr>
        <w:t xml:space="preserve">. </w:t>
      </w:r>
      <w:r w:rsidRPr="00BE228F">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717E55" w:rsidRPr="00BE228F" w:rsidRDefault="005C0ADD">
      <w:pPr>
        <w:spacing w:before="240" w:after="240" w:line="360" w:lineRule="auto"/>
        <w:ind w:right="-93"/>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717E55" w:rsidRPr="00BE228F" w:rsidRDefault="005C0ADD">
      <w:pPr>
        <w:spacing w:before="240" w:after="240" w:line="360" w:lineRule="auto"/>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BE228F">
        <w:rPr>
          <w:rFonts w:ascii="Palatino Linotype" w:eastAsia="Palatino Linotype" w:hAnsi="Palatino Linotype" w:cs="Palatino Linotype"/>
          <w:b/>
          <w:bCs/>
          <w:sz w:val="22"/>
          <w:szCs w:val="22"/>
        </w:rPr>
        <w:t xml:space="preserve"> </w:t>
      </w:r>
    </w:p>
    <w:p w:rsidR="00717E55" w:rsidRPr="00BE228F" w:rsidRDefault="005C0ADD">
      <w:pPr>
        <w:spacing w:before="120" w:after="120"/>
        <w:ind w:left="1134"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 “</w:t>
      </w:r>
      <w:r w:rsidRPr="00BE228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E228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 xml:space="preserve">Artículo 3. </w:t>
      </w:r>
      <w:r w:rsidRPr="00BE228F">
        <w:rPr>
          <w:rFonts w:ascii="Palatino Linotype" w:eastAsia="Palatino Linotype" w:hAnsi="Palatino Linotype" w:cs="Palatino Linotype"/>
          <w:i/>
          <w:iCs/>
          <w:sz w:val="22"/>
          <w:szCs w:val="22"/>
        </w:rPr>
        <w:t>Para los efectos de la presente Ley se entenderá por:</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XI. Documento:</w:t>
      </w:r>
      <w:r w:rsidRPr="00BE228F">
        <w:rPr>
          <w:rFonts w:ascii="Palatino Linotype" w:eastAsia="Palatino Linotype" w:hAnsi="Palatino Linotype" w:cs="Palatino Linotype"/>
          <w:i/>
          <w:iCs/>
          <w:sz w:val="22"/>
          <w:szCs w:val="22"/>
        </w:rPr>
        <w:t xml:space="preserve"> Los expedientes, reportes, estudios, actas</w:t>
      </w:r>
      <w:r w:rsidRPr="00BE228F">
        <w:rPr>
          <w:rFonts w:ascii="Palatino Linotype" w:eastAsia="Palatino Linotype" w:hAnsi="Palatino Linotype" w:cs="Palatino Linotype"/>
          <w:b/>
          <w:bCs/>
          <w:i/>
          <w:iCs/>
          <w:sz w:val="22"/>
          <w:szCs w:val="22"/>
        </w:rPr>
        <w:t>,</w:t>
      </w:r>
      <w:r w:rsidRPr="00BE228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sz w:val="22"/>
          <w:szCs w:val="22"/>
        </w:rPr>
        <w:t>“</w:t>
      </w:r>
      <w:r w:rsidRPr="00BE228F">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BE228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requirió al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le proporcione lo siguiente:</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1. Bando municipal reformado y vigente.</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2. Reglamento del bando municipal reformado y vigente.</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3. Reglamento de la mesas de arbitraje condominal vigente.</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4. Cantidad o monto de recurso invertido por el ayuntamiento en la reparación de los tanques cisterna del conjunto urbano conocido como Santa Elena.</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5. Cantidad de intervenciones en obra que han sido donadas por inversión estás privados en el conjunto urbano conocido como Santa Elena y las obras donadas</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6. Poligonal que delimita el conjunto urbano conocido como Santa Elena se encuentra bajo régimen condominal y el archivo digital de dicha poligonal.</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7. Si la poligonal del conjunto urbano conocido como Santa Elena se encuentra bajo régimen condominal y cuál es su delimitación periférica.</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8. Tipo de obra que se desarrollará en el terreno sobre la avenida Teyeahualco en colindancia con el arco de Tultepec.</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9. Se informe si la persona referida en la solicitud, supuesto jefe de oficina de presidencia tiene poder o nombramiento o capacidad legal para tomar decisiones en nombre de la representante legal y presidenta municipal en turno del ayuntamiento y/o de las diferentes áreas o direcciones de competencia indicada en el artículo 115 fracción III de la Constitución Política de los Estados Unidos Mexicano?, como lo desarrollo en la asamblea del 11 de junio del año 2025 en el conjunto urbano conocido como santa Elena transmitido en la página oficial del mismo que se puede observar en la siguiente liga https://www.facebook.com/share/v/19CehizGVy/ dicha acción de toma de decisiones en particular por lo que compete al agua y en particular a la dirección del agua la volvió a repetir en fecha miércoles 16 de junio del año 2025 como se desprende del link https://www.facebook.com/share/v/1GM1e84sGJ/</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10. monto asignado para las diferentes obras de bacheo que se está llevando a cabo dentro del fraccionamiento conocido como santa Elena.</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11. Se informe si todas las diferentes calles y avenidas que existen dentro del conjunto urbano conocido como Santa Elena dentro de su poligonal están bajo régimen condominal? Si o no y porque</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En respuesta a la solicitud de información el Director de Obras Públicas informó que carece de competencia legal para conocer, atender o intervenir en los asuntos referidos en la solicitud; toda vez que, su naturaleza corresponde a trabajos no relacionados con sus funciones. </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Por su parte el Coordinador Administrativo y el Subdirector General de Agua Potable, Alcantarillado y Saneamiento informaron que el Ayuntamiento no ha destinado recurso alguno para la reparación de los tanques cisterna ubicados en el conjunto urbano denominado Santa Elena.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Síndico Municipal informó que el Reglamento Interno de la Mesa de Arbitraje en materia Condominal se encuentra en la Comisión Edilicia de Actualización y Revisión de la Reglamentación Municipal para su revisión y dictamen.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entregó el Acta de la Décima Primera Sesión Extraordinaria de Cabildo correspondiente al número consecutivo Trigésima Novena, en el que se discutió y aprobó entre otros ordenamientos el Reglamento Orgánico de la Administración Pública del Municipio de Cuautitlán.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Secretario del Ayuntamiento remitió la liga electrónica en la que podía ser consultado el documento solicitado.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El Director de Desarrollo Metropolitano Sostenible adjuntó el mapa digital del conjunto habitacional de interés social denominado “Santa Elena”; asimismo, informó que el conjunto habitacional mencionado se encuentra bajo el régimen condominal, el cual se rige por la Ley que Regula el Régimen de Propiedad en Condominio y en el mapa que se proporciona se puede observar su delimitación periférica. </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Sin embargo, al no estar conforme con los términos de la respuesta proporcionada,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presentó el recurso de revisión que nos ocupa, en el que medularmente manifestó como razones o motivos de inconformidad respecto a que si el jefe de oficina de presidencia tiene poder o nombramiento o capacidad legal para tomar decisiones en nombre de la representante legal y presidenta municipal en turno del ayuntamiento y/o de las diferentes áreas o direcciones; así como, la omisión del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respecto el monto asignado para las diferentes obras de bacheo que se están llevando a cabo dentro del fraccionamiento. </w:t>
      </w:r>
    </w:p>
    <w:p w:rsidR="00717E55" w:rsidRPr="00BE228F" w:rsidRDefault="005C0ADD">
      <w:pPr>
        <w:spacing w:before="240" w:after="240" w:line="360" w:lineRule="auto"/>
        <w:jc w:val="both"/>
        <w:rPr>
          <w:rFonts w:ascii="Palatino Linotype" w:eastAsia="Palatino Linotype" w:hAnsi="Palatino Linotype" w:cs="Palatino Linotype"/>
          <w:sz w:val="22"/>
          <w:szCs w:val="22"/>
          <w:u w:val="single"/>
        </w:rPr>
      </w:pPr>
      <w:r w:rsidRPr="00BE228F">
        <w:rPr>
          <w:rFonts w:ascii="Palatino Linotype" w:eastAsia="Palatino Linotype" w:hAnsi="Palatino Linotype" w:cs="Palatino Linotype"/>
          <w:sz w:val="22"/>
          <w:szCs w:val="22"/>
        </w:rPr>
        <w:t xml:space="preserve">En la etapa de manifestaciones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remitió el informe justificado rendido por los Servidores Públicos Habilitados en los que en términos generales ratifican la respuesta inicial. </w:t>
      </w:r>
    </w:p>
    <w:p w:rsidR="00717E55" w:rsidRPr="00BE228F" w:rsidRDefault="005C0ADD">
      <w:pPr>
        <w:spacing w:line="360" w:lineRule="auto"/>
        <w:jc w:val="both"/>
        <w:rPr>
          <w:rFonts w:ascii="Palatino Linotype" w:eastAsia="Palatino Linotype" w:hAnsi="Palatino Linotype" w:cs="Palatino Linotype"/>
          <w:b/>
          <w:bCs/>
          <w:sz w:val="22"/>
          <w:szCs w:val="22"/>
        </w:rPr>
      </w:pPr>
      <w:bookmarkStart w:id="9" w:name="_heading=h.nldhtufnoj3y" w:colFirst="0" w:colLast="0"/>
      <w:bookmarkEnd w:id="9"/>
      <w:r w:rsidRPr="00BE228F">
        <w:rPr>
          <w:rFonts w:ascii="Palatino Linotype" w:eastAsia="Palatino Linotype" w:hAnsi="Palatino Linotype" w:cs="Palatino Linotype"/>
          <w:sz w:val="22"/>
          <w:szCs w:val="22"/>
        </w:rPr>
        <w:t xml:space="preserve">Acotado lo anterior, de las manifestaciones realizadas por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al momento de interponer el Recurso de Revisión, se tiene que, se inconformó únicamente respecto a la información requerida respecto a conocer  </w:t>
      </w:r>
      <w:r w:rsidRPr="00BE228F">
        <w:rPr>
          <w:rFonts w:ascii="Palatino Linotype" w:eastAsia="Palatino Linotype" w:hAnsi="Palatino Linotype" w:cs="Palatino Linotype"/>
          <w:b/>
          <w:bCs/>
          <w:sz w:val="22"/>
          <w:szCs w:val="22"/>
        </w:rPr>
        <w:t>si la persona referida en la solicitud, supuesto jefe de oficina de presidencia tiene poder o nombramiento o capacidad legal para tomar decisiones en nombre de la representante legal y presidenta municipal en turno del ayuntamiento y/o de las diferentes áreas o direcciones</w:t>
      </w:r>
      <w:r w:rsidRPr="00BE228F">
        <w:rPr>
          <w:rFonts w:ascii="Palatino Linotype" w:eastAsia="Palatino Linotype" w:hAnsi="Palatino Linotype" w:cs="Palatino Linotype"/>
          <w:sz w:val="22"/>
          <w:szCs w:val="22"/>
        </w:rPr>
        <w:t xml:space="preserve">; </w:t>
      </w:r>
      <w:r w:rsidRPr="00BE228F">
        <w:rPr>
          <w:rFonts w:ascii="Palatino Linotype" w:eastAsia="Palatino Linotype" w:hAnsi="Palatino Linotype" w:cs="Palatino Linotype"/>
          <w:b/>
          <w:bCs/>
          <w:sz w:val="22"/>
          <w:szCs w:val="22"/>
        </w:rPr>
        <w:t xml:space="preserve">así como del monto asignado para las diferentes obras de bacheo que se llevan a cabo dentro del fraccionamiento; </w:t>
      </w:r>
      <w:r w:rsidRPr="00BE228F">
        <w:rPr>
          <w:rFonts w:ascii="Palatino Linotype" w:eastAsia="Palatino Linotype" w:hAnsi="Palatino Linotype" w:cs="Palatino Linotype"/>
          <w:sz w:val="22"/>
          <w:szCs w:val="22"/>
        </w:rPr>
        <w:t xml:space="preserve">por ende, no pueden producirse efectos jurídicos tendentes a revocar, confirmar o modificar el acto reclamado, ya que, sobre dicha parte de la solicitud, la misma se encuentra satisfecha por la parte </w:t>
      </w:r>
      <w:r w:rsidRPr="00BE228F">
        <w:rPr>
          <w:rFonts w:ascii="Palatino Linotype" w:eastAsia="Palatino Linotype" w:hAnsi="Palatino Linotype" w:cs="Palatino Linotype"/>
          <w:b/>
          <w:bCs/>
          <w:sz w:val="22"/>
          <w:szCs w:val="22"/>
        </w:rPr>
        <w:t>Recurrente.</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Lo anterior es así, debido a que cuando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 xml:space="preserve">impugna la respuesta del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276" w:lineRule="auto"/>
        <w:ind w:left="567"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“REVISIÓN EN AMPARO. LOS RESOLUTIVOS NO COMBATIDOS DEBEN DECLARARSE FIRMES. </w:t>
      </w:r>
      <w:r w:rsidRPr="00BE228F">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17E55" w:rsidRPr="00BE228F" w:rsidRDefault="00717E55">
      <w:pPr>
        <w:spacing w:line="276" w:lineRule="auto"/>
        <w:ind w:left="567" w:right="616"/>
        <w:jc w:val="both"/>
        <w:rPr>
          <w:rFonts w:ascii="Palatino Linotype" w:eastAsia="Palatino Linotype" w:hAnsi="Palatino Linotype" w:cs="Palatino Linotype"/>
          <w:i/>
          <w:iCs/>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Consecuentemente, se insiste, ante la falta de impugnación en contra de todos los puntos de la solicitud, los no controvertidos deben declararse consentidos.</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Lo anterior se sustenta con lo plasmado en el criterio 01/20 emitido por el entonces Instituto Nacional de Transparencia, Acceso a la Información, y Protección de Datos Personales, INAI, que lleva por rubro y texto los siguientes: </w:t>
      </w:r>
    </w:p>
    <w:p w:rsidR="00717E55" w:rsidRPr="00BE228F" w:rsidRDefault="00717E55">
      <w:pPr>
        <w:spacing w:line="360" w:lineRule="auto"/>
        <w:jc w:val="both"/>
        <w:rPr>
          <w:rFonts w:ascii="Palatino Linotype" w:eastAsia="Palatino Linotype" w:hAnsi="Palatino Linotype" w:cs="Palatino Linotype"/>
          <w:sz w:val="22"/>
          <w:szCs w:val="22"/>
        </w:rPr>
      </w:pPr>
    </w:p>
    <w:p w:rsidR="00717E55" w:rsidRPr="00BE228F" w:rsidRDefault="005C0ADD">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 xml:space="preserve">Actos consentidos tácitamente. Improcedencia de su análisis. </w:t>
      </w:r>
      <w:r w:rsidRPr="00BE228F">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17E55" w:rsidRPr="00BE228F" w:rsidRDefault="00717E55">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rsidR="00717E55" w:rsidRPr="00BE228F" w:rsidRDefault="00717E55">
      <w:pPr>
        <w:spacing w:line="360" w:lineRule="auto"/>
        <w:ind w:left="851" w:right="900"/>
        <w:jc w:val="both"/>
        <w:rPr>
          <w:rFonts w:ascii="Palatino Linotype" w:eastAsia="Palatino Linotype" w:hAnsi="Palatino Linotype" w:cs="Palatino Linotype"/>
          <w:b/>
          <w:bCs/>
          <w:i/>
          <w:iCs/>
          <w:smallCaps/>
          <w:sz w:val="22"/>
          <w:szCs w:val="22"/>
        </w:rPr>
      </w:pPr>
    </w:p>
    <w:p w:rsidR="00717E55" w:rsidRPr="00BE228F" w:rsidRDefault="005C0ADD">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i/>
          <w:iCs/>
          <w:smallCaps/>
          <w:sz w:val="22"/>
          <w:szCs w:val="22"/>
        </w:rPr>
        <w:t xml:space="preserve">“ACTOS CONSENTIDOS. SON LOS QUE NO SE IMPUGNAN MEDIANTE EL RECURSO IDÓNEO. </w:t>
      </w:r>
      <w:r w:rsidRPr="00BE228F">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17E55" w:rsidRPr="00BE228F" w:rsidRDefault="00717E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717E55" w:rsidRPr="00BE228F" w:rsidRDefault="005C0ADD">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sz w:val="22"/>
          <w:szCs w:val="22"/>
        </w:rPr>
        <w:t xml:space="preserve">En ese sentido, atendiendo los motivos de inconformidad, </w:t>
      </w:r>
      <w:r w:rsidRPr="00BE228F">
        <w:rPr>
          <w:rFonts w:ascii="Palatino Linotype" w:eastAsia="Palatino Linotype" w:hAnsi="Palatino Linotype" w:cs="Palatino Linotype"/>
          <w:b/>
          <w:bCs/>
          <w:sz w:val="22"/>
          <w:szCs w:val="22"/>
        </w:rPr>
        <w:t xml:space="preserve">nombramiento de la persona referida en a solicitud </w:t>
      </w:r>
    </w:p>
    <w:p w:rsidR="00717E55" w:rsidRPr="00BE228F" w:rsidRDefault="00717E55">
      <w:pPr>
        <w:spacing w:before="280" w:after="280" w:line="360" w:lineRule="auto"/>
        <w:jc w:val="both"/>
        <w:rPr>
          <w:rFonts w:ascii="Palatino Linotype" w:eastAsia="Palatino Linotype" w:hAnsi="Palatino Linotype" w:cs="Palatino Linotype"/>
          <w:sz w:val="22"/>
          <w:szCs w:val="22"/>
        </w:rPr>
      </w:pPr>
    </w:p>
    <w:p w:rsidR="00717E55" w:rsidRPr="00BE228F" w:rsidRDefault="005C0ADD">
      <w:pPr>
        <w:spacing w:before="280" w:after="28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Una vez establecidas las posturas de las partes, se procede al análisis del requerimiento de información, así como la información proporcionada por el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en contraposición con el motivo de inconformidad alegado por la parte </w:t>
      </w:r>
      <w:r w:rsidRPr="00BE228F">
        <w:rPr>
          <w:rFonts w:ascii="Palatino Linotype" w:eastAsia="Palatino Linotype" w:hAnsi="Palatino Linotype" w:cs="Palatino Linotype"/>
          <w:b/>
          <w:bCs/>
          <w:sz w:val="22"/>
          <w:szCs w:val="22"/>
        </w:rPr>
        <w:t xml:space="preserve">Recurrente, </w:t>
      </w:r>
      <w:r w:rsidRPr="00BE228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717E55" w:rsidRPr="00BE228F" w:rsidRDefault="005C0ADD">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En este tenor, en primer lugar 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En el caso particular, es de recordar que si bien la Unidad de Transparencia turnó la solicitud a distintas áreas para efecto de que atendieran la solicitud de información, también lo es que; por cuanto hace al punto relativo a: “Se informe si la persona referida en la solicitud, supuesto jefe de oficina de presidencia tiene poder o nombramiento o capacidad legal para tomar decisiones en nombre de la representante legal y presidenta municipal en turno del ayuntamiento y/o de las diferentes áreas o direcciones de competencia indicada en el artículo 115 fracción III de la Constitución Política de los Estados Unidos Mexicano?, como lo desarrollo en la asamblea del 11 de junio del año 2025 en el conjunto urbano conocido como santa Elena transmitido en la página oficial del mismo que se puede observar en la siguiente liga https://www.facebook.com/share/v/19CehizGVy/ dicha acción de toma de decisiones en particular por lo que compete al agua y en particular a la dirección del agua la volvió a repetir en fecha miércoles 16 de junio del año 2025 como se desprende del link </w:t>
      </w:r>
      <w:hyperlink r:id="rId8">
        <w:r w:rsidRPr="00BE228F">
          <w:rPr>
            <w:rFonts w:ascii="Palatino Linotype" w:eastAsia="Palatino Linotype" w:hAnsi="Palatino Linotype" w:cs="Palatino Linotype"/>
            <w:sz w:val="22"/>
            <w:szCs w:val="22"/>
            <w:u w:val="single"/>
          </w:rPr>
          <w:t>https://www.facebook.com/share/v/1GM1e84sGJ/</w:t>
        </w:r>
      </w:hyperlink>
      <w:r w:rsidRPr="00BE228F">
        <w:rPr>
          <w:rFonts w:ascii="Palatino Linotype" w:eastAsia="Palatino Linotype" w:hAnsi="Palatino Linotype" w:cs="Palatino Linotype"/>
          <w:sz w:val="22"/>
          <w:szCs w:val="22"/>
        </w:rPr>
        <w:t xml:space="preserve">” no se advierte el pronunciamiento del área competente. </w:t>
      </w:r>
    </w:p>
    <w:p w:rsidR="00717E55" w:rsidRPr="00BE228F" w:rsidRDefault="005C0ADD">
      <w:pPr>
        <w:spacing w:before="240" w:after="240" w:line="360" w:lineRule="auto"/>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Bajo esta óptica, es claro que el requerimiento en cuestión no puede tenerse por atendido, dado que el </w:t>
      </w:r>
      <w:r w:rsidRPr="00BE228F">
        <w:rPr>
          <w:rFonts w:ascii="Palatino Linotype" w:eastAsia="Palatino Linotype" w:hAnsi="Palatino Linotype" w:cs="Palatino Linotype"/>
          <w:b/>
          <w:bCs/>
        </w:rPr>
        <w:t xml:space="preserve">Sujeto Obligado </w:t>
      </w:r>
      <w:r w:rsidRPr="00BE228F">
        <w:rPr>
          <w:rFonts w:ascii="Palatino Linotype" w:eastAsia="Palatino Linotype" w:hAnsi="Palatino Linotype" w:cs="Palatino Linotype"/>
        </w:rPr>
        <w:t>no respondió a ese punto de la solicitud, y, si bien es cierto, la persona solicitante al no ser experta en la materia, omitió señalar de manera concreta el o los documentos a los que pretende acceder, no debe perderse de vista que es obligación de los Sujetos Obligados dar a las solicitudes una interpretación que les dé una expresión documental, ya que para que el derecho de acceso a la información pública se satisfaga completamente, es necesario que se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al requerimiento.</w:t>
      </w:r>
    </w:p>
    <w:p w:rsidR="00717E55" w:rsidRPr="00BE228F" w:rsidRDefault="005C0AD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Argumento que se sustenta con el Criterio orientador con clave de control  SO/016/2017, emitido por el entonces Instituto Nacional de Transparencia, Acceso a la Información y Protección de Datos Personales, INAI, que establece lo siguiente: </w:t>
      </w:r>
    </w:p>
    <w:p w:rsidR="00717E55" w:rsidRPr="00BE228F" w:rsidRDefault="005C0ADD">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BE228F">
        <w:rPr>
          <w:sz w:val="22"/>
          <w:szCs w:val="22"/>
        </w:rPr>
        <w:t xml:space="preserve"> “</w:t>
      </w:r>
      <w:r w:rsidRPr="00BE228F">
        <w:rPr>
          <w:rFonts w:ascii="Palatino Linotype" w:eastAsia="Palatino Linotype" w:hAnsi="Palatino Linotype" w:cs="Palatino Linotype"/>
          <w:b/>
          <w:bCs/>
          <w:i/>
          <w:iCs/>
          <w:sz w:val="22"/>
          <w:szCs w:val="22"/>
        </w:rPr>
        <w:t xml:space="preserve">Expresión documental. </w:t>
      </w:r>
      <w:r w:rsidRPr="00BE228F">
        <w:rPr>
          <w:rFonts w:ascii="Palatino Linotype" w:eastAsia="Palatino Linotype" w:hAnsi="Palatino Linotype" w:cs="Palatino Linotype"/>
          <w:i/>
          <w:iCs/>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En tal contexto, se estima que el documento por medio del cual pudiera colmarse el requerimiento de información es, de manera enunciativa más no limitativa, el documento en el que consten las funciones del servidor público referido en la solicitud, tomando en consideración lo siguiente. </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Previo a analizar el ámbito competencial del </w:t>
      </w:r>
      <w:r w:rsidRPr="00BE228F">
        <w:rPr>
          <w:rFonts w:ascii="Palatino Linotype" w:eastAsia="Palatino Linotype" w:hAnsi="Palatino Linotype" w:cs="Palatino Linotype"/>
          <w:b/>
          <w:bCs/>
        </w:rPr>
        <w:t xml:space="preserve">Sujeto Obligado </w:t>
      </w:r>
      <w:r w:rsidRPr="00BE228F">
        <w:rPr>
          <w:rFonts w:ascii="Palatino Linotype" w:eastAsia="Palatino Linotype" w:hAnsi="Palatino Linotype" w:cs="Palatino Linotype"/>
        </w:rPr>
        <w:t xml:space="preserve">para generar, administrar o poseer la información solicitada, es importante destacar que de la consulta realizada en el Portal de Información Pública de Oficio del Ayuntamiento de Cuautitlán, se advierte que la persona referida tanto en la solicitud como en las razones o motivos de inconformidad, esa adscrito a la Oficina de Presidencia con el cargo de Subdirector, tal como se muestra en la siguiente imagen. </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noProof/>
        </w:rPr>
        <w:drawing>
          <wp:inline distT="0" distB="0" distL="0" distR="0">
            <wp:extent cx="5612130" cy="188912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889125"/>
                    </a:xfrm>
                    <a:prstGeom prst="rect">
                      <a:avLst/>
                    </a:prstGeom>
                    <a:ln/>
                  </pic:spPr>
                </pic:pic>
              </a:graphicData>
            </a:graphic>
          </wp:inline>
        </w:drawing>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Acotado lo anterior, es de señalar que de conformidad con lo dispuesto en el artículo 58 del Bando Municipal de Cuautitlán vigente, la Dirección de Administración tiene como atribuciones, las siguientes: </w:t>
      </w:r>
    </w:p>
    <w:p w:rsidR="00717E55" w:rsidRPr="00BE228F" w:rsidRDefault="005C0ADD">
      <w:pPr>
        <w:spacing w:before="240" w:after="240" w:line="360"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58</w:t>
      </w:r>
      <w:r w:rsidRPr="00BE228F">
        <w:rPr>
          <w:rFonts w:ascii="Palatino Linotype" w:eastAsia="Palatino Linotype" w:hAnsi="Palatino Linotype" w:cs="Palatino Linotype"/>
          <w:i/>
          <w:iCs/>
          <w:sz w:val="22"/>
          <w:szCs w:val="22"/>
        </w:rPr>
        <w:t>. Previa autorización de la persona Titular de la Presidencia Municipal tendrá a su cargo la asignación del personal requerido por las áreas administrativas; facilitará programas y cursos de certificación, profesionalización y capacitación dirigidos a los servidores públicos, con el propósito de asegurar el adecuado cumplimiento de sus funciones y atribuciones; además de ejercer las facultades que le confieran las leyes y demás disposiciones jurídicas aplicables.”</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Correlativo a lo anterior, el artículo 8.1, fracciones VI y VII, Reglamento Orgánico de la Administración Pública del Municipio de Cuautitlán, establece que la Dirección de Administración tiene atribuciones para: </w:t>
      </w:r>
    </w:p>
    <w:p w:rsidR="00717E55" w:rsidRPr="00BE228F" w:rsidRDefault="005C0ADD">
      <w:pPr>
        <w:spacing w:before="240" w:after="240" w:line="360"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“Artículo 8.1.A la Dirección de Administración a través de su titular le corresponden las siguientes facultades:</w:t>
      </w:r>
    </w:p>
    <w:p w:rsidR="00717E55" w:rsidRPr="00BE228F" w:rsidRDefault="005C0ADD">
      <w:pPr>
        <w:spacing w:before="240" w:after="240" w:line="360" w:lineRule="auto"/>
        <w:ind w:right="51" w:firstLine="851"/>
        <w:jc w:val="both"/>
        <w:rPr>
          <w:rFonts w:ascii="Palatino Linotype" w:eastAsia="Palatino Linotype" w:hAnsi="Palatino Linotype" w:cs="Palatino Linotype"/>
        </w:rPr>
      </w:pPr>
      <w:r w:rsidRPr="00BE228F">
        <w:rPr>
          <w:rFonts w:ascii="Palatino Linotype" w:eastAsia="Palatino Linotype" w:hAnsi="Palatino Linotype" w:cs="Palatino Linotype"/>
        </w:rPr>
        <w:t>...</w:t>
      </w:r>
    </w:p>
    <w:p w:rsidR="00717E55" w:rsidRPr="00BE228F" w:rsidRDefault="005C0ADD">
      <w:pPr>
        <w:spacing w:before="240" w:after="240" w:line="360"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VI. Vigilar que se elaboren y actualicen los perfiles y descripciones de puestos que se requieran en las diferentes dependencias, a efecto de optimizar el capital humano; </w:t>
      </w:r>
    </w:p>
    <w:p w:rsidR="00717E55" w:rsidRPr="00BE228F" w:rsidRDefault="005C0ADD">
      <w:pPr>
        <w:spacing w:before="240" w:after="240" w:line="360"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VII. Vigilar y supervisar la integración de los expedientes del personal, así como la expedición de las credenciales de identificación laboral; </w:t>
      </w:r>
    </w:p>
    <w:p w:rsidR="00717E55" w:rsidRPr="00BE228F" w:rsidRDefault="005C0ADD">
      <w:pPr>
        <w:spacing w:before="240" w:after="240" w:line="360"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VIII. Evaluar el desempeño de las áreas administrativas que integran la Dirección, para determinar el grado de eficiencia y eficacia, y el cumplimiento de las atribuciones que tienen encomendadas;</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Conforme lo anterior, de manera enunciativa mas no limitativa la Dirección de Administración con atribuciones para poseer o administrar la información requerida por la persona solicitante. </w:t>
      </w:r>
    </w:p>
    <w:p w:rsidR="00717E55" w:rsidRPr="00BE228F" w:rsidRDefault="005C0ADD">
      <w:pPr>
        <w:spacing w:line="360" w:lineRule="auto"/>
        <w:jc w:val="both"/>
        <w:rPr>
          <w:rFonts w:ascii="Palatino Linotype" w:eastAsia="Palatino Linotype" w:hAnsi="Palatino Linotype" w:cs="Palatino Linotype"/>
        </w:rPr>
      </w:pPr>
      <w:r w:rsidRPr="00BE228F">
        <w:rPr>
          <w:rFonts w:ascii="Palatino Linotype" w:eastAsia="Palatino Linotype" w:hAnsi="Palatino Linotype" w:cs="Palatino Linotype"/>
        </w:rPr>
        <w:t>Aunado a lo anterior, es de mencionar que de conformidad con lo dispuesto en el artículo 92, fracción II, de la Ley de Transparencia y Acceso a la Información Pública del Estado de México y Municipios, que se transcribe a continuación:</w:t>
      </w:r>
    </w:p>
    <w:p w:rsidR="00717E55" w:rsidRPr="00BE228F" w:rsidRDefault="00717E55">
      <w:pPr>
        <w:spacing w:line="360" w:lineRule="auto"/>
        <w:jc w:val="both"/>
        <w:rPr>
          <w:rFonts w:ascii="Palatino Linotype" w:eastAsia="Palatino Linotype" w:hAnsi="Palatino Linotype" w:cs="Palatino Linotype"/>
        </w:rPr>
      </w:pPr>
    </w:p>
    <w:p w:rsidR="00717E55" w:rsidRPr="00BE228F" w:rsidRDefault="005C0ADD">
      <w:pPr>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92.</w:t>
      </w:r>
      <w:r w:rsidRPr="00BE228F">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rsidR="00717E55" w:rsidRPr="00BE228F" w:rsidRDefault="005C0ADD">
      <w:pPr>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w:t>
      </w:r>
    </w:p>
    <w:p w:rsidR="00717E55" w:rsidRPr="00BE228F" w:rsidRDefault="005C0ADD">
      <w:pPr>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II. </w:t>
      </w:r>
      <w:r w:rsidRPr="00BE228F">
        <w:rPr>
          <w:rFonts w:ascii="Palatino Linotype" w:eastAsia="Palatino Linotype" w:hAnsi="Palatino Linotype" w:cs="Palatino Linotype"/>
          <w:i/>
          <w:iCs/>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717E55" w:rsidRPr="00BE228F" w:rsidRDefault="005C0ADD">
      <w:pPr>
        <w:pBdr>
          <w:top w:val="nil"/>
          <w:left w:val="nil"/>
          <w:bottom w:val="nil"/>
          <w:right w:val="nil"/>
          <w:between w:val="nil"/>
        </w:pBdr>
        <w:spacing w:before="240" w:after="240" w:line="360" w:lineRule="auto"/>
        <w:ind w:right="51"/>
        <w:jc w:val="both"/>
      </w:pPr>
      <w:r w:rsidRPr="00BE228F">
        <w:rPr>
          <w:rFonts w:ascii="Palatino Linotype" w:eastAsia="Palatino Linotype" w:hAnsi="Palatino Linotype" w:cs="Palatino Linotype"/>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i/>
          <w:iCs/>
          <w:sz w:val="22"/>
          <w:szCs w:val="22"/>
        </w:rPr>
        <w:t xml:space="preserve">“II. Su estructura orgánica completa, </w:t>
      </w:r>
      <w:r w:rsidRPr="00BE228F">
        <w:rPr>
          <w:rFonts w:ascii="Palatino Linotype" w:eastAsia="Palatino Linotype" w:hAnsi="Palatino Linotype" w:cs="Palatino Linotype"/>
          <w:b/>
          <w:bCs/>
          <w:i/>
          <w:iCs/>
          <w:sz w:val="22"/>
          <w:szCs w:val="22"/>
        </w:rPr>
        <w:t xml:space="preserve">en un formato que permita vincular cada parte de la estructura, </w:t>
      </w:r>
      <w:r w:rsidRPr="00BE228F">
        <w:rPr>
          <w:rFonts w:ascii="Palatino Linotype" w:eastAsia="Palatino Linotype" w:hAnsi="Palatino Linotype" w:cs="Palatino Linotype"/>
          <w:b/>
          <w:bCs/>
          <w:i/>
          <w:iCs/>
          <w:sz w:val="22"/>
          <w:szCs w:val="22"/>
          <w:u w:val="single"/>
        </w:rPr>
        <w:t>las atribuciones y responsabilidades que le corresponden a cada servidor público</w:t>
      </w:r>
      <w:r w:rsidRPr="00BE228F">
        <w:rPr>
          <w:rFonts w:ascii="Palatino Linotype" w:eastAsia="Palatino Linotype" w:hAnsi="Palatino Linotype" w:cs="Palatino Linotype"/>
          <w:b/>
          <w:bCs/>
          <w:i/>
          <w:iCs/>
          <w:sz w:val="22"/>
          <w:szCs w:val="22"/>
        </w:rPr>
        <w:t>,</w:t>
      </w:r>
      <w:r w:rsidRPr="00BE228F">
        <w:rPr>
          <w:rFonts w:ascii="Palatino Linotype" w:eastAsia="Palatino Linotype" w:hAnsi="Palatino Linotype" w:cs="Palatino Linotype"/>
          <w:i/>
          <w:iCs/>
          <w:sz w:val="22"/>
          <w:szCs w:val="22"/>
        </w:rPr>
        <w:t xml:space="preserve"> prestador de servicios profesionales o miembro de los sujetos obligados de conformidad con las disposiciones aplicables</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b/>
          <w:bCs/>
          <w:i/>
          <w:iCs/>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 xml:space="preserve"> de tal forma que sea posible visualizar los niveles jerárquicos y sus relaciones de dependencia de acuerdo con el estatuto orgánico u otro ordenamiento que le aplique</w:t>
      </w:r>
      <w:r w:rsidRPr="00BE228F">
        <w:rPr>
          <w:rFonts w:ascii="Palatino Linotype" w:eastAsia="Palatino Linotype" w:hAnsi="Palatino Linotype" w:cs="Palatino Linotype"/>
          <w:i/>
          <w:iCs/>
          <w:sz w:val="22"/>
          <w:szCs w:val="22"/>
        </w:rPr>
        <w:t>. Se deberá publicar la estructura vigente, es decir, la que está en operación en el sujeto obligado y ha sido aprobada y/o dictaminada por la autoridad competente. </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i/>
          <w:iCs/>
          <w:sz w:val="22"/>
          <w:szCs w:val="22"/>
        </w:rPr>
        <w:t>En aquellos casos en los que dicha estructura no corresponda con la funcional, deberá especificarse cuáles puestos se encuentran en tránsito de aprobación por parte de las autoridades competentes. </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i/>
          <w:iCs/>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b/>
          <w:bCs/>
          <w:i/>
          <w:iCs/>
          <w:sz w:val="22"/>
          <w:szCs w:val="22"/>
          <w:u w:val="single"/>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rsidR="00717E55" w:rsidRPr="00BE228F" w:rsidRDefault="005C0ADD">
      <w:pPr>
        <w:pBdr>
          <w:top w:val="nil"/>
          <w:left w:val="nil"/>
          <w:bottom w:val="nil"/>
          <w:right w:val="nil"/>
          <w:between w:val="nil"/>
        </w:pBdr>
        <w:spacing w:before="120" w:after="120"/>
        <w:ind w:left="851" w:right="902"/>
        <w:jc w:val="both"/>
        <w:rPr>
          <w:sz w:val="22"/>
          <w:szCs w:val="22"/>
        </w:rPr>
      </w:pPr>
      <w:r w:rsidRPr="00BE228F">
        <w:rPr>
          <w:rFonts w:ascii="Palatino Linotype" w:eastAsia="Palatino Linotype" w:hAnsi="Palatino Linotype" w:cs="Palatino Linotype"/>
          <w:i/>
          <w:iCs/>
          <w:sz w:val="22"/>
          <w:szCs w:val="22"/>
        </w:rPr>
        <w:t>…</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u w:val="single"/>
        </w:rPr>
      </w:pPr>
      <w:r w:rsidRPr="00BE228F">
        <w:rPr>
          <w:rFonts w:ascii="Palatino Linotype" w:eastAsia="Palatino Linotype" w:hAnsi="Palatino Linotype" w:cs="Palatino Linotype"/>
          <w:b/>
          <w:bCs/>
          <w:i/>
          <w:iCs/>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rsidR="00717E55" w:rsidRPr="00BE228F" w:rsidRDefault="005C0ADD">
      <w:pPr>
        <w:pBdr>
          <w:top w:val="nil"/>
          <w:left w:val="nil"/>
          <w:bottom w:val="nil"/>
          <w:right w:val="nil"/>
          <w:between w:val="nil"/>
        </w:pBdr>
        <w:ind w:left="567" w:right="900"/>
        <w:jc w:val="both"/>
      </w:pPr>
      <w:r w:rsidRPr="00BE228F">
        <w:rPr>
          <w:rFonts w:ascii="Palatino Linotype" w:eastAsia="Palatino Linotype" w:hAnsi="Palatino Linotype" w:cs="Palatino Linotype"/>
          <w:i/>
          <w:iCs/>
          <w:noProof/>
        </w:rPr>
        <w:drawing>
          <wp:inline distT="0" distB="0" distL="0" distR="0">
            <wp:extent cx="4699051" cy="1675795"/>
            <wp:effectExtent l="0" t="0" r="0" b="0"/>
            <wp:docPr id="25" name="image1.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Em2T3FepT9VaJWw0tVO9TivCdmh6uCuZwpDBqMJDlWo9INEMu2dwLOf_dpW7-U0ArpYyJ1B94JFvCsgwNp-9v93PEM8cRC19Sz4VR8mr0gx6EZbdEvmx84HPZVaDwZveqEaoT8C-JB6q6fmYTLFn"/>
                    <pic:cNvPicPr preferRelativeResize="0"/>
                  </pic:nvPicPr>
                  <pic:blipFill>
                    <a:blip r:embed="rId10"/>
                    <a:srcRect b="55621"/>
                    <a:stretch>
                      <a:fillRect/>
                    </a:stretch>
                  </pic:blipFill>
                  <pic:spPr>
                    <a:xfrm>
                      <a:off x="0" y="0"/>
                      <a:ext cx="4699051" cy="1675795"/>
                    </a:xfrm>
                    <a:prstGeom prst="rect">
                      <a:avLst/>
                    </a:prstGeom>
                    <a:ln/>
                  </pic:spPr>
                </pic:pic>
              </a:graphicData>
            </a:graphic>
          </wp:inline>
        </w:drawing>
      </w:r>
      <w:r w:rsidRPr="00BE228F">
        <w:rPr>
          <w:noProof/>
        </w:rPr>
        <mc:AlternateContent>
          <mc:Choice Requires="wpg">
            <w:drawing>
              <wp:anchor distT="0" distB="0" distL="114300" distR="114300" simplePos="0" relativeHeight="251658240" behindDoc="0" locked="0" layoutInCell="1" hidden="0" allowOverlap="1">
                <wp:simplePos x="0" y="0"/>
                <wp:positionH relativeFrom="column">
                  <wp:posOffset>608844</wp:posOffset>
                </wp:positionH>
                <wp:positionV relativeFrom="paragraph">
                  <wp:posOffset>805323</wp:posOffset>
                </wp:positionV>
                <wp:extent cx="4359934" cy="943873"/>
                <wp:effectExtent l="0" t="0" r="0" b="0"/>
                <wp:wrapNone/>
                <wp:docPr id="18" name="Rectángulo 18"/>
                <wp:cNvGraphicFramePr/>
                <a:graphic xmlns:a="http://schemas.openxmlformats.org/drawingml/2006/main">
                  <a:graphicData uri="http://schemas.microsoft.com/office/word/2010/wordprocessingShape">
                    <wps:wsp>
                      <wps:cNvSpPr/>
                      <wps:spPr>
                        <a:xfrm>
                          <a:off x="3185083" y="3327114"/>
                          <a:ext cx="4321834" cy="905773"/>
                        </a:xfrm>
                        <a:prstGeom prst="rect">
                          <a:avLst/>
                        </a:prstGeom>
                        <a:noFill/>
                        <a:ln w="38100" cap="flat" cmpd="sng">
                          <a:solidFill>
                            <a:srgbClr val="C00000"/>
                          </a:solidFill>
                          <a:prstDash val="solid"/>
                          <a:round/>
                          <a:headEnd type="none" w="sm" len="sm"/>
                          <a:tailEnd type="none" w="sm" len="sm"/>
                        </a:ln>
                      </wps:spPr>
                      <wps:txbx>
                        <w:txbxContent>
                          <w:p w:rsidR="00717E55" w:rsidRDefault="00717E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608844</wp:posOffset>
                </wp:positionH>
                <wp:positionV relativeFrom="paragraph">
                  <wp:posOffset>805323</wp:posOffset>
                </wp:positionV>
                <wp:extent cx="4359934" cy="943873"/>
                <wp:effectExtent b="0" l="0" r="0" t="0"/>
                <wp:wrapNone/>
                <wp:docPr id="1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4359934" cy="943873"/>
                        </a:xfrm>
                        <a:prstGeom prst="rect"/>
                        <a:ln/>
                      </pic:spPr>
                    </pic:pic>
                  </a:graphicData>
                </a:graphic>
              </wp:anchor>
            </w:drawing>
          </mc:Fallback>
        </mc:AlternateContent>
      </w:r>
    </w:p>
    <w:p w:rsidR="00717E55" w:rsidRPr="00BE228F" w:rsidRDefault="00717E55">
      <w:pPr>
        <w:pBdr>
          <w:top w:val="nil"/>
          <w:left w:val="nil"/>
          <w:bottom w:val="nil"/>
          <w:right w:val="nil"/>
          <w:between w:val="nil"/>
        </w:pBdr>
        <w:ind w:left="567" w:right="900"/>
        <w:jc w:val="both"/>
      </w:pPr>
    </w:p>
    <w:p w:rsidR="00717E55" w:rsidRPr="00BE228F" w:rsidRDefault="005C0ADD">
      <w:pPr>
        <w:pBdr>
          <w:top w:val="nil"/>
          <w:left w:val="nil"/>
          <w:bottom w:val="nil"/>
          <w:right w:val="nil"/>
          <w:between w:val="nil"/>
        </w:pBdr>
        <w:ind w:left="567" w:right="900"/>
        <w:jc w:val="both"/>
      </w:pPr>
      <w:r w:rsidRPr="00BE228F">
        <w:rPr>
          <w:rFonts w:ascii="Palatino Linotype" w:eastAsia="Palatino Linotype" w:hAnsi="Palatino Linotype" w:cs="Palatino Linotype"/>
          <w:i/>
          <w:iCs/>
          <w:noProof/>
        </w:rPr>
        <w:drawing>
          <wp:inline distT="0" distB="0" distL="0" distR="0">
            <wp:extent cx="4460179" cy="1792035"/>
            <wp:effectExtent l="0" t="0" r="0" b="0"/>
            <wp:docPr id="24" name="image1.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Em2T3FepT9VaJWw0tVO9TivCdmh6uCuZwpDBqMJDlWo9INEMu2dwLOf_dpW7-U0ArpYyJ1B94JFvCsgwNp-9v93PEM8cRC19Sz4VR8mr0gx6EZbdEvmx84HPZVaDwZveqEaoT8C-JB6q6fmYTLFn"/>
                    <pic:cNvPicPr preferRelativeResize="0"/>
                  </pic:nvPicPr>
                  <pic:blipFill>
                    <a:blip r:embed="rId10"/>
                    <a:srcRect t="48276"/>
                    <a:stretch>
                      <a:fillRect/>
                    </a:stretch>
                  </pic:blipFill>
                  <pic:spPr>
                    <a:xfrm>
                      <a:off x="0" y="0"/>
                      <a:ext cx="4460179" cy="1792035"/>
                    </a:xfrm>
                    <a:prstGeom prst="rect">
                      <a:avLst/>
                    </a:prstGeom>
                    <a:ln/>
                  </pic:spPr>
                </pic:pic>
              </a:graphicData>
            </a:graphic>
          </wp:inline>
        </w:drawing>
      </w:r>
      <w:r w:rsidRPr="00BE228F">
        <w:rPr>
          <w:noProof/>
        </w:rPr>
        <mc:AlternateContent>
          <mc:Choice Requires="wpg">
            <w:drawing>
              <wp:anchor distT="0" distB="0" distL="114300" distR="114300" simplePos="0" relativeHeight="251659264" behindDoc="0" locked="0" layoutInCell="1" hidden="0" allowOverlap="1">
                <wp:simplePos x="0" y="0"/>
                <wp:positionH relativeFrom="column">
                  <wp:posOffset>626098</wp:posOffset>
                </wp:positionH>
                <wp:positionV relativeFrom="paragraph">
                  <wp:posOffset>-97896</wp:posOffset>
                </wp:positionV>
                <wp:extent cx="4359934" cy="279640"/>
                <wp:effectExtent l="0" t="0" r="0" b="0"/>
                <wp:wrapNone/>
                <wp:docPr id="19" name="Rectángulo 19"/>
                <wp:cNvGraphicFramePr/>
                <a:graphic xmlns:a="http://schemas.openxmlformats.org/drawingml/2006/main">
                  <a:graphicData uri="http://schemas.microsoft.com/office/word/2010/wordprocessingShape">
                    <wps:wsp>
                      <wps:cNvSpPr/>
                      <wps:spPr>
                        <a:xfrm rot="10800000" flipH="1">
                          <a:off x="3185083" y="3659230"/>
                          <a:ext cx="4321834" cy="241540"/>
                        </a:xfrm>
                        <a:prstGeom prst="rect">
                          <a:avLst/>
                        </a:prstGeom>
                        <a:noFill/>
                        <a:ln w="38100" cap="flat" cmpd="sng">
                          <a:solidFill>
                            <a:srgbClr val="C00000"/>
                          </a:solidFill>
                          <a:prstDash val="solid"/>
                          <a:round/>
                          <a:headEnd type="none" w="sm" len="sm"/>
                          <a:tailEnd type="none" w="sm" len="sm"/>
                        </a:ln>
                      </wps:spPr>
                      <wps:txbx>
                        <w:txbxContent>
                          <w:p w:rsidR="00717E55" w:rsidRDefault="00717E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626098</wp:posOffset>
                </wp:positionH>
                <wp:positionV relativeFrom="paragraph">
                  <wp:posOffset>-97896</wp:posOffset>
                </wp:positionV>
                <wp:extent cx="4359934" cy="279640"/>
                <wp:effectExtent b="0" l="0" r="0" t="0"/>
                <wp:wrapNone/>
                <wp:docPr id="1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359934" cy="279640"/>
                        </a:xfrm>
                        <a:prstGeom prst="rect"/>
                        <a:ln/>
                      </pic:spPr>
                    </pic:pic>
                  </a:graphicData>
                </a:graphic>
              </wp:anchor>
            </w:drawing>
          </mc:Fallback>
        </mc:AlternateContent>
      </w:r>
      <w:r w:rsidRPr="00BE228F">
        <w:rPr>
          <w:noProof/>
        </w:rPr>
        <mc:AlternateContent>
          <mc:Choice Requires="wpg">
            <w:drawing>
              <wp:anchor distT="0" distB="0" distL="114300" distR="114300" simplePos="0" relativeHeight="251660288" behindDoc="0" locked="0" layoutInCell="1" hidden="0" allowOverlap="1">
                <wp:simplePos x="0" y="0"/>
                <wp:positionH relativeFrom="column">
                  <wp:posOffset>617471</wp:posOffset>
                </wp:positionH>
                <wp:positionV relativeFrom="paragraph">
                  <wp:posOffset>316109</wp:posOffset>
                </wp:positionV>
                <wp:extent cx="4359934" cy="460795"/>
                <wp:effectExtent l="0" t="0" r="0" b="0"/>
                <wp:wrapNone/>
                <wp:docPr id="20" name="Rectángulo 20"/>
                <wp:cNvGraphicFramePr/>
                <a:graphic xmlns:a="http://schemas.openxmlformats.org/drawingml/2006/main">
                  <a:graphicData uri="http://schemas.microsoft.com/office/word/2010/wordprocessingShape">
                    <wps:wsp>
                      <wps:cNvSpPr/>
                      <wps:spPr>
                        <a:xfrm rot="10800000" flipH="1">
                          <a:off x="3185083" y="3568653"/>
                          <a:ext cx="4321834" cy="422695"/>
                        </a:xfrm>
                        <a:prstGeom prst="rect">
                          <a:avLst/>
                        </a:prstGeom>
                        <a:noFill/>
                        <a:ln w="38100" cap="flat" cmpd="sng">
                          <a:solidFill>
                            <a:srgbClr val="C00000"/>
                          </a:solidFill>
                          <a:prstDash val="solid"/>
                          <a:round/>
                          <a:headEnd type="none" w="sm" len="sm"/>
                          <a:tailEnd type="none" w="sm" len="sm"/>
                        </a:ln>
                      </wps:spPr>
                      <wps:txbx>
                        <w:txbxContent>
                          <w:p w:rsidR="00717E55" w:rsidRDefault="00717E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617471</wp:posOffset>
                </wp:positionH>
                <wp:positionV relativeFrom="paragraph">
                  <wp:posOffset>316109</wp:posOffset>
                </wp:positionV>
                <wp:extent cx="4359934" cy="460795"/>
                <wp:effectExtent b="0" l="0" r="0" t="0"/>
                <wp:wrapNone/>
                <wp:docPr id="2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359934" cy="460795"/>
                        </a:xfrm>
                        <a:prstGeom prst="rect"/>
                        <a:ln/>
                      </pic:spPr>
                    </pic:pic>
                  </a:graphicData>
                </a:graphic>
              </wp:anchor>
            </w:drawing>
          </mc:Fallback>
        </mc:AlternateConten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De lo anterior se desprende que la información que deben publicar los Sujetos Obligados en cumplimiento a dicha obligación de transparencia, debe estar estructurada en un formato que permita vincular cada parte de la estructura orgánica y las atribuciones y responsabilidades que le correspondan a cada servidor público, de acuerdo con el puesto o cargo que ostentan, y la norma que establece sus atribuciones, responsabilidades o funciones según sea el caso y el fundamento legal que sustenta el puesto.</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Por consiguiente, el Pleno de este Instituto determina procedente ordenar la entrega del documento en el que conste la atribuciones, funciones o facultades del servidor público referido en la solicitud de información. </w:t>
      </w: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rPr>
        <w:t xml:space="preserve">Ahora bien, por cuanto hace al </w:t>
      </w:r>
      <w:r w:rsidRPr="00BE228F">
        <w:rPr>
          <w:rFonts w:ascii="Palatino Linotype" w:eastAsia="Palatino Linotype" w:hAnsi="Palatino Linotype" w:cs="Palatino Linotype"/>
          <w:b/>
          <w:bCs/>
        </w:rPr>
        <w:t>monto asignado para las diferentes obras de bacheo que se llevaron a cabo dentro del fraccionamiento Santa Elena</w:t>
      </w:r>
      <w:r w:rsidRPr="00BE228F">
        <w:rPr>
          <w:rFonts w:ascii="Palatino Linotype" w:eastAsia="Palatino Linotype" w:hAnsi="Palatino Linotype" w:cs="Palatino Linotype"/>
        </w:rPr>
        <w:t xml:space="preserve">, </w:t>
      </w:r>
      <w:r w:rsidRPr="00BE228F">
        <w:rPr>
          <w:rFonts w:ascii="Palatino Linotype" w:eastAsia="Palatino Linotype" w:hAnsi="Palatino Linotype" w:cs="Palatino Linotype"/>
          <w:sz w:val="22"/>
          <w:szCs w:val="22"/>
        </w:rPr>
        <w:t>resulta conveniente traer a colación lo previsto por los artículos 95 fracción I y IV, 125 fracción IX y 126 de la Ley Orgánica Municipal del Estado de México, los cuales son del tenor literal siguiente:</w:t>
      </w:r>
    </w:p>
    <w:p w:rsidR="00717E55" w:rsidRPr="00BE228F" w:rsidRDefault="00717E55">
      <w:pPr>
        <w:tabs>
          <w:tab w:val="left" w:pos="7371"/>
        </w:tabs>
        <w:spacing w:line="276" w:lineRule="auto"/>
        <w:ind w:left="851" w:right="616"/>
        <w:jc w:val="center"/>
        <w:rPr>
          <w:rFonts w:ascii="Palatino Linotype" w:eastAsia="Palatino Linotype" w:hAnsi="Palatino Linotype" w:cs="Palatino Linotype"/>
          <w:b/>
          <w:bCs/>
          <w:i/>
          <w:iCs/>
          <w:sz w:val="22"/>
          <w:szCs w:val="22"/>
        </w:rPr>
      </w:pPr>
    </w:p>
    <w:p w:rsidR="00717E55" w:rsidRPr="00BE228F" w:rsidRDefault="005C0ADD">
      <w:pPr>
        <w:tabs>
          <w:tab w:val="left" w:pos="7371"/>
        </w:tabs>
        <w:spacing w:line="276" w:lineRule="auto"/>
        <w:ind w:left="851" w:right="616"/>
        <w:jc w:val="center"/>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Ley Orgánica Municipal</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95</w:t>
      </w:r>
      <w:r w:rsidRPr="00BE228F">
        <w:rPr>
          <w:rFonts w:ascii="Palatino Linotype" w:eastAsia="Palatino Linotype" w:hAnsi="Palatino Linotype" w:cs="Palatino Linotype"/>
          <w:i/>
          <w:iCs/>
          <w:sz w:val="22"/>
          <w:szCs w:val="22"/>
        </w:rPr>
        <w:t xml:space="preserve">.- Son atribuciones del </w:t>
      </w:r>
      <w:r w:rsidRPr="00BE228F">
        <w:rPr>
          <w:rFonts w:ascii="Palatino Linotype" w:eastAsia="Palatino Linotype" w:hAnsi="Palatino Linotype" w:cs="Palatino Linotype"/>
          <w:b/>
          <w:bCs/>
          <w:i/>
          <w:iCs/>
          <w:sz w:val="22"/>
          <w:szCs w:val="22"/>
        </w:rPr>
        <w:t>tesorero municipal</w:t>
      </w:r>
      <w:r w:rsidRPr="00BE228F">
        <w:rPr>
          <w:rFonts w:ascii="Palatino Linotype" w:eastAsia="Palatino Linotype" w:hAnsi="Palatino Linotype" w:cs="Palatino Linotype"/>
          <w:i/>
          <w:iCs/>
          <w:sz w:val="22"/>
          <w:szCs w:val="22"/>
        </w:rPr>
        <w:t>:</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 Administrar la hacienda pública municipal</w:t>
      </w:r>
      <w:r w:rsidRPr="00BE228F">
        <w:rPr>
          <w:rFonts w:ascii="Palatino Linotype" w:eastAsia="Palatino Linotype" w:hAnsi="Palatino Linotype" w:cs="Palatino Linotype"/>
          <w:i/>
          <w:iCs/>
          <w:sz w:val="22"/>
          <w:szCs w:val="22"/>
        </w:rPr>
        <w:t xml:space="preserve">, de conformidad con las disposiciones legales aplicables; </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III. Imponer las sanciones administrativas que procedan por infracciones a las disposiciones fiscales;</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IV. Llevar los registros contables, financieros y administrativos de los ingresos, egresos, e inventarios</w:t>
      </w:r>
      <w:r w:rsidRPr="00BE228F">
        <w:rPr>
          <w:rFonts w:ascii="Palatino Linotype" w:eastAsia="Palatino Linotype" w:hAnsi="Palatino Linotype" w:cs="Palatino Linotype"/>
          <w:i/>
          <w:iCs/>
          <w:sz w:val="22"/>
          <w:szCs w:val="22"/>
        </w:rPr>
        <w:t>;</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Artículo 125.- </w:t>
      </w:r>
      <w:r w:rsidRPr="00BE228F">
        <w:rPr>
          <w:rFonts w:ascii="Palatino Linotype" w:eastAsia="Palatino Linotype" w:hAnsi="Palatino Linotype" w:cs="Palatino Linotype"/>
          <w:i/>
          <w:iCs/>
          <w:sz w:val="22"/>
          <w:szCs w:val="22"/>
        </w:rPr>
        <w:t>Los municipios tendrán a su cargo la prestación, explotación, administración y conservación de los servicios públicos municipales, considerándose enunciativa y no limitativamente, los siguientes:</w:t>
      </w:r>
    </w:p>
    <w:p w:rsidR="00717E55" w:rsidRPr="00BE228F" w:rsidRDefault="005C0AD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IX. Embellecimiento y conservación de los poblados, </w:t>
      </w:r>
      <w:r w:rsidRPr="00BE228F">
        <w:rPr>
          <w:rFonts w:ascii="Palatino Linotype" w:eastAsia="Palatino Linotype" w:hAnsi="Palatino Linotype" w:cs="Palatino Linotype"/>
          <w:i/>
          <w:iCs/>
          <w:sz w:val="22"/>
          <w:szCs w:val="22"/>
        </w:rPr>
        <w:t>centros urbanos y obras de interés social;</w:t>
      </w:r>
    </w:p>
    <w:p w:rsidR="00717E55" w:rsidRPr="00BE228F" w:rsidRDefault="005C0AD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126.-</w:t>
      </w:r>
      <w:r w:rsidRPr="00BE228F">
        <w:rPr>
          <w:rFonts w:ascii="Palatino Linotype" w:eastAsia="Palatino Linotype" w:hAnsi="Palatino Linotype" w:cs="Palatino Linotype"/>
          <w:i/>
          <w:iCs/>
          <w:sz w:val="22"/>
          <w:szCs w:val="22"/>
        </w:rPr>
        <w:t xml:space="preserve"> La prestación de los servicios públicos deberá realizarse por los ayuntamientos, sus unidades administrativas y organismos auxiliares, quienes podrán coordinarse con el Estado o con otros municipios para la eficacia en su prestación.”</w:t>
      </w:r>
    </w:p>
    <w:p w:rsidR="00717E55" w:rsidRPr="00BE228F" w:rsidRDefault="005C0ADD">
      <w:pPr>
        <w:tabs>
          <w:tab w:val="left" w:pos="7371"/>
        </w:tabs>
        <w:spacing w:line="276" w:lineRule="auto"/>
        <w:ind w:left="851" w:right="616"/>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(Énfasis Añadido)</w:t>
      </w:r>
    </w:p>
    <w:p w:rsidR="00717E55" w:rsidRPr="00BE228F" w:rsidRDefault="00717E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717E55" w:rsidRPr="00BE228F" w:rsidRDefault="005C0AD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De los preceptos anteriores se desprende que es atribución de los ayuntamientos la administración y conservación de los servicios públicos municipales, considerándose enunciativa y no limitativamente, el embellecimiento y conservación de los poblados; y que corresponde a la Tesorería Municipal administrar la hacienda pública municipal y llevar los registros contables, financieros y administrativos de los egresos. </w:t>
      </w:r>
    </w:p>
    <w:p w:rsidR="00717E55" w:rsidRPr="00BE228F" w:rsidRDefault="005C0ADD">
      <w:pPr>
        <w:spacing w:before="240" w:after="240" w:line="360" w:lineRule="auto"/>
        <w:ind w:right="51"/>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Asimismo, los artículos 77 y 78 del Bando Municipal de Cuautitlán disponen que la Dirección de Servicios Públicos tiene las siguientes atribuciones: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b/>
          <w:bCs/>
          <w:i/>
          <w:iCs/>
        </w:rPr>
        <w:t>“Artículo 77</w:t>
      </w:r>
      <w:r w:rsidRPr="00BE228F">
        <w:rPr>
          <w:rFonts w:ascii="Palatino Linotype" w:eastAsia="Palatino Linotype" w:hAnsi="Palatino Linotype" w:cs="Palatino Linotype"/>
          <w:i/>
          <w:iCs/>
        </w:rPr>
        <w:t xml:space="preserve">. Esta Dependencia será responsable de promover y ejecutar acciones tendentes a la recolección de residuos sólidos urbanos, arreglar, conservar y mejorar la imagen urbana del Municipio, así como todo lo relacionado a los Panteones.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 xml:space="preserve">Para tales efectos, se abstendrá de prestar servicios públicos en áreas comunes que se encuentren dentro de unidades habitacionales, conjuntos urbanos y fraccionamientos, de igual manera en aquellas calles que hayan sido cerradas mediante la colocación de puertas automatizadas, rejas, bolardos, cadenas o cualquier otro objeto que impida o restrinja el libre tránsito de vehículos y peatones, salvo en los casos debidamente autorizados conforme a la normatividad aplicable.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b/>
          <w:bCs/>
          <w:i/>
          <w:iCs/>
        </w:rPr>
        <w:t>Artículo 78.</w:t>
      </w:r>
      <w:r w:rsidRPr="00BE228F">
        <w:rPr>
          <w:rFonts w:ascii="Palatino Linotype" w:eastAsia="Palatino Linotype" w:hAnsi="Palatino Linotype" w:cs="Palatino Linotype"/>
          <w:i/>
          <w:iCs/>
        </w:rPr>
        <w:t xml:space="preserve"> Será responsable de los siguientes servicios: </w:t>
      </w:r>
    </w:p>
    <w:p w:rsidR="00717E55" w:rsidRPr="00BE228F" w:rsidRDefault="005C0ADD">
      <w:pPr>
        <w:spacing w:before="240" w:after="240" w:line="276" w:lineRule="auto"/>
        <w:ind w:left="851" w:right="616"/>
        <w:jc w:val="both"/>
        <w:rPr>
          <w:rFonts w:ascii="Palatino Linotype" w:eastAsia="Palatino Linotype" w:hAnsi="Palatino Linotype" w:cs="Palatino Linotype"/>
          <w:b/>
          <w:bCs/>
          <w:i/>
          <w:iCs/>
          <w:u w:val="single"/>
        </w:rPr>
      </w:pPr>
      <w:r w:rsidRPr="00BE228F">
        <w:rPr>
          <w:rFonts w:ascii="Palatino Linotype" w:eastAsia="Palatino Linotype" w:hAnsi="Palatino Linotype" w:cs="Palatino Linotype"/>
          <w:i/>
          <w:iCs/>
        </w:rPr>
        <w:t xml:space="preserve">I. </w:t>
      </w:r>
      <w:r w:rsidRPr="00BE228F">
        <w:rPr>
          <w:rFonts w:ascii="Palatino Linotype" w:eastAsia="Palatino Linotype" w:hAnsi="Palatino Linotype" w:cs="Palatino Linotype"/>
          <w:b/>
          <w:bCs/>
          <w:i/>
          <w:iCs/>
          <w:u w:val="single"/>
        </w:rPr>
        <w:t xml:space="preserve">Bacheo superficial con mezcla asfáltica en calles y avenidas que sean competencia del Municipio;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 xml:space="preserve">II. Balizamiento de guarniciones;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 xml:space="preserve">III. Mantenimiento de pintura a la infraestructura urbana municipal; </w:t>
      </w:r>
    </w:p>
    <w:p w:rsidR="00717E55" w:rsidRPr="00BE228F" w:rsidRDefault="005C0ADD">
      <w:pPr>
        <w:spacing w:before="240" w:after="240" w:line="276" w:lineRule="auto"/>
        <w:ind w:left="851" w:right="616"/>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 xml:space="preserve">IV. Instalación y del mantenimiento integral del alumbrado público; y </w:t>
      </w:r>
    </w:p>
    <w:p w:rsidR="00717E55" w:rsidRPr="00BE228F" w:rsidRDefault="005C0ADD">
      <w:pPr>
        <w:spacing w:before="240" w:after="240" w:line="276" w:lineRule="auto"/>
        <w:ind w:left="851" w:right="616"/>
        <w:jc w:val="both"/>
        <w:rPr>
          <w:rFonts w:ascii="Palatino Linotype" w:eastAsia="Palatino Linotype" w:hAnsi="Palatino Linotype" w:cs="Palatino Linotype"/>
        </w:rPr>
      </w:pPr>
      <w:r w:rsidRPr="00BE228F">
        <w:rPr>
          <w:rFonts w:ascii="Palatino Linotype" w:eastAsia="Palatino Linotype" w:hAnsi="Palatino Linotype" w:cs="Palatino Linotype"/>
          <w:i/>
          <w:iCs/>
        </w:rPr>
        <w:t>V. Mantenimiento de panteones, parques y jardines municipales</w:t>
      </w:r>
      <w:r w:rsidRPr="00BE228F">
        <w:t>.</w:t>
      </w:r>
    </w:p>
    <w:p w:rsidR="00717E55" w:rsidRPr="00BE228F" w:rsidRDefault="005C0ADD">
      <w:pPr>
        <w:spacing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De lo anteriormente, se colige que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cuenta con la competencia, facultades y atribuciones para conocer, administrar y generar la información relacionada con el monto invertido para la realización de bacheo dentro de las calles del ayuntamiento; por lo que, resulta procedente ordenar la entrega de los documentos donde conste o se advierta el monto asignado para las obras de bacheo en el fraccionamiento conocido como Santa Elena, del uno de enero al cuatro de agosto de dos mil veinticinco. </w:t>
      </w:r>
    </w:p>
    <w:p w:rsidR="00717E55" w:rsidRPr="00BE228F" w:rsidRDefault="005C0ADD">
      <w:pPr>
        <w:spacing w:before="240" w:after="240" w:line="360" w:lineRule="auto"/>
        <w:jc w:val="both"/>
        <w:rPr>
          <w:rFonts w:ascii="Palatino Linotype" w:eastAsia="Palatino Linotype" w:hAnsi="Palatino Linotype" w:cs="Palatino Linotype"/>
        </w:rPr>
      </w:pPr>
      <w:bookmarkStart w:id="10" w:name="_heading=h.wtbzfymrge38" w:colFirst="0" w:colLast="0"/>
      <w:bookmarkEnd w:id="10"/>
      <w:r w:rsidRPr="00BE228F">
        <w:rPr>
          <w:rFonts w:ascii="Palatino Linotype" w:eastAsia="Palatino Linotype" w:hAnsi="Palatino Linotype" w:cs="Palatino Linotype"/>
        </w:rPr>
        <w:t>Sin embargo,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717E55" w:rsidRPr="00BE228F" w:rsidRDefault="005C0ADD">
      <w:pPr>
        <w:spacing w:before="120" w:after="120"/>
        <w:ind w:left="851" w:right="902"/>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w:t>
      </w:r>
      <w:r w:rsidRPr="00BE228F">
        <w:rPr>
          <w:rFonts w:ascii="Palatino Linotype" w:eastAsia="Palatino Linotype" w:hAnsi="Palatino Linotype" w:cs="Palatino Linotype"/>
          <w:b/>
          <w:bCs/>
          <w:i/>
          <w:iCs/>
        </w:rPr>
        <w:t>Artículo 19</w:t>
      </w:r>
      <w:r w:rsidRPr="00BE228F">
        <w:rPr>
          <w:rFonts w:ascii="Palatino Linotype" w:eastAsia="Palatino Linotype" w:hAnsi="Palatino Linotype" w:cs="Palatino Linotype"/>
          <w:i/>
          <w:iCs/>
        </w:rPr>
        <w:t>…</w:t>
      </w:r>
    </w:p>
    <w:p w:rsidR="00717E55" w:rsidRPr="00BE228F" w:rsidRDefault="005C0ADD">
      <w:pPr>
        <w:spacing w:before="120" w:after="120"/>
        <w:ind w:left="851" w:right="902"/>
        <w:jc w:val="both"/>
        <w:rPr>
          <w:rFonts w:ascii="Palatino Linotype" w:eastAsia="Palatino Linotype" w:hAnsi="Palatino Linotype" w:cs="Palatino Linotype"/>
          <w:i/>
          <w:iCs/>
        </w:rPr>
      </w:pPr>
      <w:r w:rsidRPr="00BE228F">
        <w:rPr>
          <w:rFonts w:ascii="Palatino Linotype" w:eastAsia="Palatino Linotype" w:hAnsi="Palatino Linotype" w:cs="Palatino Linotype"/>
          <w:i/>
          <w:iCs/>
        </w:rPr>
        <w:t>En los casos en que ciertas facultades, competencias o funciones no se hayan ejercido, se debe motivar la respuesta en función de las causas que motiven tal circunstancia.”</w:t>
      </w:r>
    </w:p>
    <w:p w:rsidR="00717E55" w:rsidRPr="00BE228F" w:rsidRDefault="005C0ADD">
      <w:pPr>
        <w:spacing w:before="240" w:after="240" w:line="360" w:lineRule="auto"/>
        <w:jc w:val="both"/>
        <w:rPr>
          <w:rFonts w:ascii="Palatino Linotype" w:eastAsia="Palatino Linotype" w:hAnsi="Palatino Linotype" w:cs="Palatino Linotype"/>
          <w:i/>
          <w:iCs/>
        </w:rPr>
      </w:pPr>
      <w:r w:rsidRPr="00BE228F">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BE228F">
        <w:rPr>
          <w:rFonts w:ascii="Palatino Linotype" w:eastAsia="Palatino Linotype" w:hAnsi="Palatino Linotype" w:cs="Palatino Linotype"/>
          <w:b/>
          <w:bCs/>
        </w:rPr>
        <w:t>Sujeto Obligado</w:t>
      </w:r>
      <w:r w:rsidRPr="00BE228F">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Quinto. Versión Pública. </w:t>
      </w:r>
      <w:r w:rsidRPr="00BE228F">
        <w:rPr>
          <w:rFonts w:ascii="Palatino Linotype" w:eastAsia="Palatino Linotype" w:hAnsi="Palatino Linotype" w:cs="Palatino Linotype"/>
          <w:sz w:val="22"/>
          <w:szCs w:val="22"/>
        </w:rPr>
        <w:t>Como fue debidamente apuntado,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sz w:val="22"/>
          <w:szCs w:val="22"/>
        </w:rPr>
        <w:t> </w:t>
      </w: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3.</w:t>
      </w:r>
      <w:r w:rsidRPr="00BE228F">
        <w:rPr>
          <w:rFonts w:ascii="Palatino Linotype" w:eastAsia="Palatino Linotype" w:hAnsi="Palatino Linotype" w:cs="Palatino Linotype"/>
          <w:i/>
          <w:iCs/>
          <w:sz w:val="22"/>
          <w:szCs w:val="22"/>
        </w:rPr>
        <w:t xml:space="preserve"> Para los efectos de la presente Ley se entenderá por:</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IX. Datos personales</w:t>
      </w:r>
      <w:r w:rsidRPr="00BE228F">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XX. Información clasificada</w:t>
      </w:r>
      <w:r w:rsidRPr="00BE228F">
        <w:rPr>
          <w:rFonts w:ascii="Palatino Linotype" w:eastAsia="Palatino Linotype" w:hAnsi="Palatino Linotype" w:cs="Palatino Linotype"/>
          <w:i/>
          <w:iCs/>
          <w:sz w:val="22"/>
          <w:szCs w:val="22"/>
        </w:rPr>
        <w:t>: Aquella considerada por la presente Ley como reservada o confidencial;</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XXI. Información confidencial</w:t>
      </w:r>
      <w:r w:rsidRPr="00BE228F">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XXXII. Protección de Datos Personales</w:t>
      </w:r>
      <w:r w:rsidRPr="00BE228F">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tabs>
          <w:tab w:val="left" w:pos="1276"/>
        </w:tabs>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XLV. Versión pública</w:t>
      </w:r>
      <w:r w:rsidRPr="00BE228F">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Artículo 6</w:t>
      </w:r>
      <w:r w:rsidRPr="00BE228F">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91.</w:t>
      </w:r>
      <w:r w:rsidRPr="00BE228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BE228F">
        <w:rPr>
          <w:rFonts w:ascii="Palatino Linotype" w:eastAsia="Palatino Linotype" w:hAnsi="Palatino Linotype" w:cs="Palatino Linotype"/>
          <w:i/>
          <w:iCs/>
          <w:sz w:val="22"/>
          <w:szCs w:val="22"/>
        </w:rPr>
        <w:br/>
        <w:t>…</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132.</w:t>
      </w:r>
      <w:r w:rsidRPr="00BE228F">
        <w:rPr>
          <w:rFonts w:ascii="Palatino Linotype" w:eastAsia="Palatino Linotype" w:hAnsi="Palatino Linotype" w:cs="Palatino Linotype"/>
          <w:i/>
          <w:iCs/>
          <w:sz w:val="22"/>
          <w:szCs w:val="22"/>
        </w:rPr>
        <w:t xml:space="preserve"> La clasificación de la información se llevará a cabo en el momento en que: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Se reciba una solicitud de acceso a la información;</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w:t>
      </w:r>
      <w:r w:rsidRPr="00BE228F">
        <w:rPr>
          <w:rFonts w:ascii="Palatino Linotype" w:eastAsia="Palatino Linotype" w:hAnsi="Palatino Linotype" w:cs="Palatino Linotype"/>
          <w:i/>
          <w:iCs/>
          <w:sz w:val="22"/>
          <w:szCs w:val="22"/>
        </w:rPr>
        <w:t xml:space="preserve"> Se determine mediante resolución de autoridad competente; o</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III.</w:t>
      </w:r>
      <w:r w:rsidRPr="00BE228F">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137.</w:t>
      </w:r>
      <w:r w:rsidRPr="00BE228F">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Artículo 143.</w:t>
      </w:r>
      <w:r w:rsidRPr="00BE228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rsidR="00717E55" w:rsidRPr="00BE228F" w:rsidRDefault="005C0ADD">
      <w:pPr>
        <w:spacing w:before="240" w:after="240" w:line="360" w:lineRule="auto"/>
        <w:ind w:right="5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717E55" w:rsidRPr="00BE228F" w:rsidRDefault="005C0ADD">
      <w:pPr>
        <w:spacing w:before="240" w:after="240" w:line="360" w:lineRule="auto"/>
        <w:ind w:right="5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17E55" w:rsidRPr="00BE228F" w:rsidRDefault="005C0ADD">
      <w:pPr>
        <w:spacing w:before="240" w:after="240" w:line="360" w:lineRule="auto"/>
        <w:ind w:right="50"/>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49.</w:t>
      </w:r>
      <w:r w:rsidRPr="00BE228F">
        <w:rPr>
          <w:rFonts w:ascii="Palatino Linotype" w:eastAsia="Palatino Linotype" w:hAnsi="Palatino Linotype" w:cs="Palatino Linotype"/>
          <w:i/>
          <w:iCs/>
          <w:sz w:val="22"/>
          <w:szCs w:val="22"/>
        </w:rPr>
        <w:t xml:space="preserve"> </w:t>
      </w:r>
      <w:r w:rsidRPr="00BE228F">
        <w:rPr>
          <w:rFonts w:ascii="Palatino Linotype" w:eastAsia="Palatino Linotype" w:hAnsi="Palatino Linotype" w:cs="Palatino Linotype"/>
          <w:b/>
          <w:bCs/>
          <w:i/>
          <w:iCs/>
          <w:sz w:val="22"/>
          <w:szCs w:val="22"/>
        </w:rPr>
        <w:t>Los Comités de Transparencia</w:t>
      </w:r>
      <w:r w:rsidRPr="00BE228F">
        <w:rPr>
          <w:rFonts w:ascii="Palatino Linotype" w:eastAsia="Palatino Linotype" w:hAnsi="Palatino Linotype" w:cs="Palatino Linotype"/>
          <w:i/>
          <w:iCs/>
          <w:sz w:val="22"/>
          <w:szCs w:val="22"/>
        </w:rPr>
        <w:t xml:space="preserve"> tendrán las siguientes atribuciones:</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VIII. Aprobar, modificar o revocar la clasificación de la información</w:t>
      </w:r>
      <w:r w:rsidRPr="00BE228F">
        <w:rPr>
          <w:rFonts w:ascii="Palatino Linotype" w:eastAsia="Palatino Linotype" w:hAnsi="Palatino Linotype" w:cs="Palatino Linotype"/>
          <w:i/>
          <w:iCs/>
          <w:sz w:val="22"/>
          <w:szCs w:val="22"/>
        </w:rPr>
        <w:t>…”</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53.</w:t>
      </w:r>
      <w:r w:rsidRPr="00BE228F">
        <w:rPr>
          <w:rFonts w:ascii="Palatino Linotype" w:eastAsia="Palatino Linotype" w:hAnsi="Palatino Linotype" w:cs="Palatino Linotype"/>
          <w:i/>
          <w:iCs/>
          <w:sz w:val="22"/>
          <w:szCs w:val="22"/>
        </w:rPr>
        <w:t xml:space="preserve"> Las </w:t>
      </w:r>
      <w:r w:rsidRPr="00BE228F">
        <w:rPr>
          <w:rFonts w:ascii="Palatino Linotype" w:eastAsia="Palatino Linotype" w:hAnsi="Palatino Linotype" w:cs="Palatino Linotype"/>
          <w:b/>
          <w:bCs/>
          <w:i/>
          <w:iCs/>
          <w:sz w:val="22"/>
          <w:szCs w:val="22"/>
        </w:rPr>
        <w:t>Unidades de Transparencia</w:t>
      </w:r>
      <w:r w:rsidRPr="00BE228F">
        <w:rPr>
          <w:rFonts w:ascii="Palatino Linotype" w:eastAsia="Palatino Linotype" w:hAnsi="Palatino Linotype" w:cs="Palatino Linotype"/>
          <w:i/>
          <w:iCs/>
          <w:sz w:val="22"/>
          <w:szCs w:val="22"/>
        </w:rPr>
        <w:t xml:space="preserve"> tendrán las siguientes </w:t>
      </w:r>
      <w:r w:rsidRPr="00BE228F">
        <w:rPr>
          <w:rFonts w:ascii="Palatino Linotype" w:eastAsia="Palatino Linotype" w:hAnsi="Palatino Linotype" w:cs="Palatino Linotype"/>
          <w:b/>
          <w:bCs/>
          <w:i/>
          <w:iCs/>
          <w:sz w:val="22"/>
          <w:szCs w:val="22"/>
        </w:rPr>
        <w:t>funciones</w:t>
      </w:r>
      <w:r w:rsidRPr="00BE228F">
        <w:rPr>
          <w:rFonts w:ascii="Palatino Linotype" w:eastAsia="Palatino Linotype" w:hAnsi="Palatino Linotype" w:cs="Palatino Linotype"/>
          <w:i/>
          <w:iCs/>
          <w:sz w:val="22"/>
          <w:szCs w:val="22"/>
        </w:rPr>
        <w:t>:</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X. Presentar ante el Comité, el proyecto de clasificación de información</w:t>
      </w:r>
      <w:r w:rsidRPr="00BE228F">
        <w:rPr>
          <w:rFonts w:ascii="Palatino Linotype" w:eastAsia="Palatino Linotype" w:hAnsi="Palatino Linotype" w:cs="Palatino Linotype"/>
          <w:i/>
          <w:iCs/>
          <w:sz w:val="22"/>
          <w:szCs w:val="22"/>
        </w:rPr>
        <w:t xml:space="preserve">…” </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“Artículo 59.</w:t>
      </w:r>
      <w:r w:rsidRPr="00BE228F">
        <w:rPr>
          <w:rFonts w:ascii="Palatino Linotype" w:eastAsia="Palatino Linotype" w:hAnsi="Palatino Linotype" w:cs="Palatino Linotype"/>
          <w:i/>
          <w:iCs/>
          <w:sz w:val="22"/>
          <w:szCs w:val="22"/>
        </w:rPr>
        <w:t xml:space="preserve"> Los </w:t>
      </w:r>
      <w:r w:rsidRPr="00BE228F">
        <w:rPr>
          <w:rFonts w:ascii="Palatino Linotype" w:eastAsia="Palatino Linotype" w:hAnsi="Palatino Linotype" w:cs="Palatino Linotype"/>
          <w:b/>
          <w:bCs/>
          <w:i/>
          <w:iCs/>
          <w:sz w:val="22"/>
          <w:szCs w:val="22"/>
        </w:rPr>
        <w:t>servidores públicos habilitados</w:t>
      </w:r>
      <w:r w:rsidRPr="00BE228F">
        <w:rPr>
          <w:rFonts w:ascii="Palatino Linotype" w:eastAsia="Palatino Linotype" w:hAnsi="Palatino Linotype" w:cs="Palatino Linotype"/>
          <w:i/>
          <w:iCs/>
          <w:sz w:val="22"/>
          <w:szCs w:val="22"/>
        </w:rPr>
        <w:t xml:space="preserve"> tendrán las </w:t>
      </w:r>
      <w:r w:rsidRPr="00BE228F">
        <w:rPr>
          <w:rFonts w:ascii="Palatino Linotype" w:eastAsia="Palatino Linotype" w:hAnsi="Palatino Linotype" w:cs="Palatino Linotype"/>
          <w:b/>
          <w:bCs/>
          <w:i/>
          <w:iCs/>
          <w:sz w:val="22"/>
          <w:szCs w:val="22"/>
        </w:rPr>
        <w:t>funciones</w:t>
      </w:r>
      <w:r w:rsidRPr="00BE228F">
        <w:rPr>
          <w:rFonts w:ascii="Palatino Linotype" w:eastAsia="Palatino Linotype" w:hAnsi="Palatino Linotype" w:cs="Palatino Linotype"/>
          <w:i/>
          <w:iCs/>
          <w:sz w:val="22"/>
          <w:szCs w:val="22"/>
        </w:rPr>
        <w:t xml:space="preserve"> siguientes:</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BE228F">
        <w:rPr>
          <w:rFonts w:ascii="Palatino Linotype" w:eastAsia="Palatino Linotype" w:hAnsi="Palatino Linotype" w:cs="Palatino Linotype"/>
          <w:i/>
          <w:iCs/>
          <w:sz w:val="22"/>
          <w:szCs w:val="22"/>
        </w:rPr>
        <w:t>, la cual tendrá los fundamentos y argumentos en que se basa dicha propuesta…”</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 su vez, en el caso de información de carácter confidencial, se debe atender a lo que señala el artículo 149 de la Ley de Transparencia Local vigente, que se lee como sigue: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Artículo 149.</w:t>
      </w:r>
      <w:r w:rsidRPr="00BE228F">
        <w:rPr>
          <w:rFonts w:ascii="Palatino Linotype" w:eastAsia="Palatino Linotype" w:hAnsi="Palatino Linotype" w:cs="Palatino Linotype"/>
          <w:i/>
          <w:iCs/>
          <w:sz w:val="22"/>
          <w:szCs w:val="22"/>
        </w:rPr>
        <w:t xml:space="preserve"> El </w:t>
      </w:r>
      <w:r w:rsidRPr="00BE228F">
        <w:rPr>
          <w:rFonts w:ascii="Palatino Linotype" w:eastAsia="Palatino Linotype" w:hAnsi="Palatino Linotype" w:cs="Palatino Linotype"/>
          <w:b/>
          <w:bCs/>
          <w:i/>
          <w:iCs/>
          <w:sz w:val="22"/>
          <w:szCs w:val="22"/>
        </w:rPr>
        <w:t>acuerdo que clasifique la información como confidencial</w:t>
      </w:r>
      <w:r w:rsidRPr="00BE228F">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717E55" w:rsidRPr="00BE228F" w:rsidRDefault="005C0ADD">
      <w:pP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Es decir,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717E55" w:rsidRPr="00BE228F" w:rsidRDefault="005C0ADD">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 “Quincuagésimo. </w:t>
      </w:r>
      <w:r w:rsidRPr="00BE228F">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Quincuagésimo primero. </w:t>
      </w:r>
      <w:r w:rsidRPr="00BE228F">
        <w:rPr>
          <w:rFonts w:ascii="Palatino Linotype" w:eastAsia="Palatino Linotype" w:hAnsi="Palatino Linotype" w:cs="Palatino Linotype"/>
          <w:i/>
          <w:iCs/>
          <w:sz w:val="22"/>
          <w:szCs w:val="22"/>
        </w:rPr>
        <w:t xml:space="preserve">Toda acta del Comité de Transparencia deberá contener: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xml:space="preserve"> El número de sesión y fecha;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w:t>
      </w:r>
      <w:r w:rsidRPr="00BE228F">
        <w:rPr>
          <w:rFonts w:ascii="Palatino Linotype" w:eastAsia="Palatino Linotype" w:hAnsi="Palatino Linotype" w:cs="Palatino Linotype"/>
          <w:i/>
          <w:iCs/>
          <w:sz w:val="22"/>
          <w:szCs w:val="22"/>
        </w:rPr>
        <w:t xml:space="preserve">. El nombre del área que solicitó la clasificación de información;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III</w:t>
      </w:r>
      <w:r w:rsidRPr="00BE228F">
        <w:rPr>
          <w:rFonts w:ascii="Palatino Linotype" w:eastAsia="Palatino Linotype" w:hAnsi="Palatino Linotype" w:cs="Palatino Linotype"/>
          <w:i/>
          <w:iCs/>
          <w:sz w:val="22"/>
          <w:szCs w:val="22"/>
        </w:rPr>
        <w:t xml:space="preserve">. La fundamentación legal y motivación correspondiente;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IV</w:t>
      </w:r>
      <w:r w:rsidRPr="00BE228F">
        <w:rPr>
          <w:rFonts w:ascii="Palatino Linotype" w:eastAsia="Palatino Linotype" w:hAnsi="Palatino Linotype" w:cs="Palatino Linotype"/>
          <w:i/>
          <w:iCs/>
          <w:sz w:val="22"/>
          <w:szCs w:val="22"/>
        </w:rPr>
        <w:t xml:space="preserve">. La resolución o resoluciones aprobadas; y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V</w:t>
      </w:r>
      <w:r w:rsidRPr="00BE228F">
        <w:rPr>
          <w:rFonts w:ascii="Palatino Linotype" w:eastAsia="Palatino Linotype" w:hAnsi="Palatino Linotype" w:cs="Palatino Linotype"/>
          <w:i/>
          <w:iCs/>
          <w:sz w:val="22"/>
          <w:szCs w:val="22"/>
        </w:rPr>
        <w:t xml:space="preserve">. La rúbrica o firma digital de cada integrante del Comité de Transparencia.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xml:space="preserve"> Los motivos y razonamientos que sustenten la confirmación o modificación de la prueba de daño;</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II</w:t>
      </w:r>
      <w:r w:rsidRPr="00BE228F">
        <w:rPr>
          <w:rFonts w:ascii="Palatino Linotype" w:eastAsia="Palatino Linotype" w:hAnsi="Palatino Linotype" w:cs="Palatino Linotype"/>
          <w:i/>
          <w:iCs/>
          <w:sz w:val="22"/>
          <w:szCs w:val="22"/>
        </w:rPr>
        <w:t>. Descripción de las partes o secciones reservadas, en caso de clasificación parcial</w:t>
      </w:r>
      <w:r w:rsidRPr="00BE228F">
        <w:rPr>
          <w:rFonts w:ascii="Palatino Linotype" w:eastAsia="Palatino Linotype" w:hAnsi="Palatino Linotype" w:cs="Palatino Linotype"/>
          <w:b/>
          <w:bCs/>
          <w:i/>
          <w:iCs/>
          <w:sz w:val="22"/>
          <w:szCs w:val="22"/>
        </w:rPr>
        <w:t xml:space="preserve">;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III.</w:t>
      </w:r>
      <w:r w:rsidRPr="00BE228F">
        <w:rPr>
          <w:rFonts w:ascii="Palatino Linotype" w:eastAsia="Palatino Linotype" w:hAnsi="Palatino Linotype" w:cs="Palatino Linotype"/>
          <w:i/>
          <w:iCs/>
          <w:sz w:val="22"/>
          <w:szCs w:val="22"/>
        </w:rPr>
        <w:t xml:space="preserve"> El periodo por el que mantendrá su clasificación y fecha de expiración; y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IV.</w:t>
      </w:r>
      <w:r w:rsidRPr="00BE228F">
        <w:rPr>
          <w:rFonts w:ascii="Palatino Linotype" w:eastAsia="Palatino Linotype" w:hAnsi="Palatino Linotype" w:cs="Palatino Linotype"/>
          <w:i/>
          <w:iCs/>
          <w:sz w:val="22"/>
          <w:szCs w:val="22"/>
        </w:rPr>
        <w:t xml:space="preserve"> El nombre del titular y área encargada de realizar la versión pública del documento, en su caso.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717E55" w:rsidRPr="00BE228F" w:rsidRDefault="005C0AD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r w:rsidRPr="00BE228F">
        <w:rPr>
          <w:rFonts w:ascii="Palatino Linotype" w:eastAsia="Palatino Linotype" w:hAnsi="Palatino Linotype" w:cs="Palatino Linotype"/>
          <w:b/>
          <w:bCs/>
          <w:i/>
          <w:iCs/>
          <w:sz w:val="22"/>
          <w:szCs w:val="22"/>
        </w:rPr>
        <w:t>Quincuagésimo segundo</w:t>
      </w:r>
      <w:r w:rsidRPr="00BE228F">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w:t>
      </w:r>
      <w:r w:rsidRPr="00BE228F">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III.</w:t>
      </w:r>
      <w:r w:rsidRPr="00BE228F">
        <w:rPr>
          <w:rFonts w:ascii="Palatino Linotype" w:eastAsia="Palatino Linotype" w:hAnsi="Palatino Linotype" w:cs="Palatino Linotype"/>
          <w:i/>
          <w:iCs/>
          <w:sz w:val="22"/>
          <w:szCs w:val="22"/>
        </w:rPr>
        <w:t xml:space="preserve"> Señalar las personas o instancias autorizadas a acceder a la información clasificada.</w:t>
      </w:r>
    </w:p>
    <w:p w:rsidR="00717E55" w:rsidRPr="00BE228F" w:rsidRDefault="005C0ADD">
      <w:pP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717E55" w:rsidRPr="00BE228F" w:rsidRDefault="005C0ADD">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w:t>
      </w:r>
    </w:p>
    <w:p w:rsidR="00717E55" w:rsidRPr="00BE228F" w:rsidRDefault="005C0ADD">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 xml:space="preserve">Quincuagésimo cuarto. </w:t>
      </w:r>
      <w:r w:rsidRPr="00BE228F">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E228F">
        <w:rPr>
          <w:rFonts w:ascii="Palatino Linotype" w:eastAsia="Palatino Linotype" w:hAnsi="Palatino Linotype" w:cs="Palatino Linotype"/>
          <w:b/>
          <w:bCs/>
          <w:i/>
          <w:iCs/>
          <w:sz w:val="22"/>
          <w:szCs w:val="22"/>
        </w:rPr>
        <w:t xml:space="preserve">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 xml:space="preserve">Quincuagésimo quinto. </w:t>
      </w:r>
      <w:r w:rsidRPr="00BE228F">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717E55" w:rsidRPr="00BE228F" w:rsidRDefault="005C0ADD">
      <w:pPr>
        <w:spacing w:before="120" w:after="120"/>
        <w:ind w:left="851" w:right="902"/>
        <w:jc w:val="both"/>
        <w:rPr>
          <w:rFonts w:ascii="Palatino Linotype" w:eastAsia="Palatino Linotype" w:hAnsi="Palatino Linotype" w:cs="Palatino Linotype"/>
          <w:b/>
          <w:bCs/>
          <w:i/>
          <w:iCs/>
          <w:sz w:val="22"/>
          <w:szCs w:val="22"/>
        </w:rPr>
      </w:pPr>
      <w:r w:rsidRPr="00BE228F">
        <w:rPr>
          <w:rFonts w:ascii="Palatino Linotype" w:eastAsia="Palatino Linotype" w:hAnsi="Palatino Linotype" w:cs="Palatino Linotype"/>
          <w:b/>
          <w:bCs/>
          <w:i/>
          <w:iCs/>
          <w:sz w:val="22"/>
          <w:szCs w:val="22"/>
        </w:rPr>
        <w:t>...</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Quincuagésimo séptimo</w:t>
      </w:r>
      <w:r w:rsidRPr="00BE228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w:t>
      </w:r>
      <w:r w:rsidRPr="00BE228F">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w:t>
      </w:r>
      <w:r w:rsidRPr="00BE228F">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III</w:t>
      </w:r>
      <w:r w:rsidRPr="00BE228F">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717E55" w:rsidRPr="00BE228F" w:rsidRDefault="005C0ADD">
      <w:pPr>
        <w:spacing w:before="120" w:after="120"/>
        <w:ind w:left="851" w:right="902"/>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b/>
          <w:bCs/>
          <w:i/>
          <w:iCs/>
          <w:sz w:val="22"/>
          <w:szCs w:val="22"/>
        </w:rPr>
        <w:t>Quincuagésimo octavo</w:t>
      </w:r>
      <w:r w:rsidRPr="00BE228F">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717E55" w:rsidRPr="00BE228F" w:rsidRDefault="005C0ADD">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BE228F">
        <w:rPr>
          <w:rFonts w:ascii="Palatino Linotype" w:eastAsia="Palatino Linotype" w:hAnsi="Palatino Linotype" w:cs="Palatino Linotype"/>
          <w:b/>
          <w:bCs/>
          <w:sz w:val="22"/>
          <w:szCs w:val="22"/>
        </w:rPr>
        <w:t>III. R E S U E L V E</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11" w:name="_heading=h.lnxbz9" w:colFirst="0" w:colLast="0"/>
      <w:bookmarkEnd w:id="11"/>
      <w:r w:rsidRPr="00BE228F">
        <w:rPr>
          <w:rFonts w:ascii="Palatino Linotype" w:eastAsia="Palatino Linotype" w:hAnsi="Palatino Linotype" w:cs="Palatino Linotype"/>
          <w:b/>
          <w:bCs/>
          <w:sz w:val="22"/>
          <w:szCs w:val="22"/>
        </w:rPr>
        <w:t xml:space="preserve">Primero. </w:t>
      </w:r>
      <w:r w:rsidRPr="00BE228F">
        <w:rPr>
          <w:rFonts w:ascii="Palatino Linotype" w:eastAsia="Palatino Linotype" w:hAnsi="Palatino Linotype" w:cs="Palatino Linotype"/>
          <w:sz w:val="22"/>
          <w:szCs w:val="22"/>
        </w:rPr>
        <w:t>Resultan</w:t>
      </w:r>
      <w:r w:rsidRPr="00BE228F">
        <w:rPr>
          <w:rFonts w:ascii="Palatino Linotype" w:eastAsia="Palatino Linotype" w:hAnsi="Palatino Linotype" w:cs="Palatino Linotype"/>
          <w:b/>
          <w:bCs/>
          <w:sz w:val="22"/>
          <w:szCs w:val="22"/>
        </w:rPr>
        <w:t xml:space="preserve"> fundadas</w:t>
      </w:r>
      <w:r w:rsidRPr="00BE228F">
        <w:rPr>
          <w:rFonts w:ascii="Palatino Linotype" w:eastAsia="Palatino Linotype" w:hAnsi="Palatino Linotype" w:cs="Palatino Linotype"/>
          <w:sz w:val="22"/>
          <w:szCs w:val="22"/>
        </w:rPr>
        <w:t xml:space="preserve"> las razones o motivos de inconformidad hechos valer por la parte</w:t>
      </w:r>
      <w:r w:rsidRPr="00BE228F">
        <w:rPr>
          <w:rFonts w:ascii="Palatino Linotype" w:eastAsia="Palatino Linotype" w:hAnsi="Palatino Linotype" w:cs="Palatino Linotype"/>
          <w:b/>
          <w:bCs/>
          <w:sz w:val="22"/>
          <w:szCs w:val="22"/>
        </w:rPr>
        <w:t xml:space="preserve"> Recurrente</w:t>
      </w:r>
      <w:r w:rsidRPr="00BE228F">
        <w:rPr>
          <w:rFonts w:ascii="Palatino Linotype" w:eastAsia="Palatino Linotype" w:hAnsi="Palatino Linotype" w:cs="Palatino Linotype"/>
          <w:sz w:val="22"/>
          <w:szCs w:val="22"/>
        </w:rPr>
        <w:t xml:space="preserve"> en el recurso de revisión </w:t>
      </w:r>
      <w:r w:rsidRPr="00BE228F">
        <w:rPr>
          <w:rFonts w:ascii="Palatino Linotype" w:eastAsia="Palatino Linotype" w:hAnsi="Palatino Linotype" w:cs="Palatino Linotype"/>
          <w:b/>
          <w:bCs/>
          <w:sz w:val="22"/>
          <w:szCs w:val="22"/>
        </w:rPr>
        <w:t>10804/INFOEM/IP/RR/2025</w:t>
      </w:r>
      <w:r w:rsidRPr="00BE228F">
        <w:rPr>
          <w:rFonts w:ascii="Palatino Linotype" w:eastAsia="Palatino Linotype" w:hAnsi="Palatino Linotype" w:cs="Palatino Linotype"/>
          <w:sz w:val="22"/>
          <w:szCs w:val="22"/>
        </w:rPr>
        <w:t xml:space="preserve">; por lo que, en términos del </w:t>
      </w:r>
      <w:r w:rsidRPr="00BE228F">
        <w:rPr>
          <w:rFonts w:ascii="Palatino Linotype" w:eastAsia="Palatino Linotype" w:hAnsi="Palatino Linotype" w:cs="Palatino Linotype"/>
          <w:b/>
          <w:bCs/>
          <w:sz w:val="22"/>
          <w:szCs w:val="22"/>
        </w:rPr>
        <w:t>Considerando</w:t>
      </w:r>
      <w:r w:rsidRPr="00BE228F">
        <w:rPr>
          <w:rFonts w:ascii="Palatino Linotype" w:eastAsia="Palatino Linotype" w:hAnsi="Palatino Linotype" w:cs="Palatino Linotype"/>
          <w:sz w:val="22"/>
          <w:szCs w:val="22"/>
        </w:rPr>
        <w:t xml:space="preserve"> </w:t>
      </w:r>
      <w:r w:rsidRPr="00BE228F">
        <w:rPr>
          <w:rFonts w:ascii="Palatino Linotype" w:eastAsia="Palatino Linotype" w:hAnsi="Palatino Linotype" w:cs="Palatino Linotype"/>
          <w:b/>
          <w:bCs/>
          <w:sz w:val="22"/>
          <w:szCs w:val="22"/>
        </w:rPr>
        <w:t xml:space="preserve">Cuarto </w:t>
      </w:r>
      <w:r w:rsidRPr="00BE228F">
        <w:rPr>
          <w:rFonts w:ascii="Palatino Linotype" w:eastAsia="Palatino Linotype" w:hAnsi="Palatino Linotype" w:cs="Palatino Linotype"/>
          <w:sz w:val="22"/>
          <w:szCs w:val="22"/>
        </w:rPr>
        <w:t xml:space="preserve">de esta resolución, se </w:t>
      </w:r>
      <w:r w:rsidRPr="00BE228F">
        <w:rPr>
          <w:rFonts w:ascii="Palatino Linotype" w:eastAsia="Palatino Linotype" w:hAnsi="Palatino Linotype" w:cs="Palatino Linotype"/>
          <w:b/>
          <w:bCs/>
          <w:sz w:val="22"/>
          <w:szCs w:val="22"/>
        </w:rPr>
        <w:t xml:space="preserve">Modifica </w:t>
      </w:r>
      <w:r w:rsidRPr="00BE228F">
        <w:rPr>
          <w:rFonts w:ascii="Palatino Linotype" w:eastAsia="Palatino Linotype" w:hAnsi="Palatino Linotype" w:cs="Palatino Linotype"/>
          <w:sz w:val="22"/>
          <w:szCs w:val="22"/>
        </w:rPr>
        <w:t xml:space="preserve">la respuesta emitida por el </w:t>
      </w:r>
      <w:r w:rsidRPr="00BE228F">
        <w:rPr>
          <w:rFonts w:ascii="Palatino Linotype" w:eastAsia="Palatino Linotype" w:hAnsi="Palatino Linotype" w:cs="Palatino Linotype"/>
          <w:b/>
          <w:bCs/>
          <w:sz w:val="22"/>
          <w:szCs w:val="22"/>
        </w:rPr>
        <w:t xml:space="preserve">Sujeto Obligado. </w:t>
      </w:r>
    </w:p>
    <w:p w:rsidR="00717E55" w:rsidRPr="00BE228F" w:rsidRDefault="005C0ADD">
      <w:pPr>
        <w:spacing w:before="240" w:after="240" w:line="360" w:lineRule="auto"/>
        <w:ind w:right="49"/>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Segundo. </w:t>
      </w:r>
      <w:r w:rsidRPr="00BE228F">
        <w:rPr>
          <w:rFonts w:ascii="Palatino Linotype" w:eastAsia="Palatino Linotype" w:hAnsi="Palatino Linotype" w:cs="Palatino Linotype"/>
          <w:sz w:val="22"/>
          <w:szCs w:val="22"/>
        </w:rPr>
        <w:t xml:space="preserve">Se </w:t>
      </w:r>
      <w:r w:rsidRPr="00BE228F">
        <w:rPr>
          <w:rFonts w:ascii="Palatino Linotype" w:eastAsia="Palatino Linotype" w:hAnsi="Palatino Linotype" w:cs="Palatino Linotype"/>
          <w:b/>
          <w:bCs/>
          <w:sz w:val="22"/>
          <w:szCs w:val="22"/>
        </w:rPr>
        <w:t xml:space="preserve">Ordena </w:t>
      </w:r>
      <w:r w:rsidRPr="00BE228F">
        <w:rPr>
          <w:rFonts w:ascii="Palatino Linotype" w:eastAsia="Palatino Linotype" w:hAnsi="Palatino Linotype" w:cs="Palatino Linotype"/>
          <w:sz w:val="22"/>
          <w:szCs w:val="22"/>
        </w:rPr>
        <w:t xml:space="preserve">al </w:t>
      </w:r>
      <w:r w:rsidRPr="00BE228F">
        <w:rPr>
          <w:rFonts w:ascii="Palatino Linotype" w:eastAsia="Palatino Linotype" w:hAnsi="Palatino Linotype" w:cs="Palatino Linotype"/>
          <w:b/>
          <w:bCs/>
          <w:sz w:val="22"/>
          <w:szCs w:val="22"/>
        </w:rPr>
        <w:t xml:space="preserve">Sujeto Obligado, </w:t>
      </w:r>
      <w:r w:rsidRPr="00BE228F">
        <w:rPr>
          <w:rFonts w:ascii="Palatino Linotype" w:eastAsia="Palatino Linotype" w:hAnsi="Palatino Linotype" w:cs="Palatino Linotype"/>
          <w:sz w:val="22"/>
          <w:szCs w:val="22"/>
        </w:rPr>
        <w:t xml:space="preserve">en términos de los </w:t>
      </w:r>
      <w:r w:rsidRPr="00BE228F">
        <w:rPr>
          <w:rFonts w:ascii="Palatino Linotype" w:eastAsia="Palatino Linotype" w:hAnsi="Palatino Linotype" w:cs="Palatino Linotype"/>
          <w:b/>
          <w:bCs/>
          <w:sz w:val="22"/>
          <w:szCs w:val="22"/>
        </w:rPr>
        <w:t>Considerandos</w:t>
      </w:r>
      <w:r w:rsidRPr="00BE228F">
        <w:rPr>
          <w:rFonts w:ascii="Palatino Linotype" w:eastAsia="Palatino Linotype" w:hAnsi="Palatino Linotype" w:cs="Palatino Linotype"/>
          <w:sz w:val="22"/>
          <w:szCs w:val="22"/>
        </w:rPr>
        <w:t xml:space="preserve"> </w:t>
      </w:r>
      <w:r w:rsidRPr="00BE228F">
        <w:rPr>
          <w:rFonts w:ascii="Palatino Linotype" w:eastAsia="Palatino Linotype" w:hAnsi="Palatino Linotype" w:cs="Palatino Linotype"/>
          <w:b/>
          <w:bCs/>
          <w:sz w:val="22"/>
          <w:szCs w:val="22"/>
        </w:rPr>
        <w:t xml:space="preserve">Cuarto </w:t>
      </w:r>
      <w:r w:rsidRPr="00BE228F">
        <w:rPr>
          <w:rFonts w:ascii="Palatino Linotype" w:eastAsia="Palatino Linotype" w:hAnsi="Palatino Linotype" w:cs="Palatino Linotype"/>
          <w:sz w:val="22"/>
          <w:szCs w:val="22"/>
        </w:rPr>
        <w:t xml:space="preserve">y </w:t>
      </w:r>
      <w:r w:rsidRPr="00BE228F">
        <w:rPr>
          <w:rFonts w:ascii="Palatino Linotype" w:eastAsia="Palatino Linotype" w:hAnsi="Palatino Linotype" w:cs="Palatino Linotype"/>
          <w:b/>
          <w:bCs/>
          <w:sz w:val="22"/>
          <w:szCs w:val="22"/>
        </w:rPr>
        <w:t xml:space="preserve">Quinto </w:t>
      </w:r>
      <w:r w:rsidRPr="00BE228F">
        <w:rPr>
          <w:rFonts w:ascii="Palatino Linotype" w:eastAsia="Palatino Linotype" w:hAnsi="Palatino Linotype" w:cs="Palatino Linotype"/>
          <w:sz w:val="22"/>
          <w:szCs w:val="22"/>
        </w:rPr>
        <w:t xml:space="preserve">de esta resolución, haga entrega, vía </w:t>
      </w:r>
      <w:r w:rsidRPr="00BE228F">
        <w:rPr>
          <w:rFonts w:ascii="Palatino Linotype" w:eastAsia="Palatino Linotype" w:hAnsi="Palatino Linotype" w:cs="Palatino Linotype"/>
          <w:b/>
          <w:bCs/>
          <w:sz w:val="22"/>
          <w:szCs w:val="22"/>
        </w:rPr>
        <w:t>SAIMEX</w:t>
      </w:r>
      <w:r w:rsidRPr="00BE228F">
        <w:rPr>
          <w:rFonts w:ascii="Palatino Linotype" w:eastAsia="Palatino Linotype" w:hAnsi="Palatino Linotype" w:cs="Palatino Linotype"/>
          <w:sz w:val="22"/>
          <w:szCs w:val="22"/>
        </w:rPr>
        <w:t>, previa búsqueda exhaustiva y razonable, de ser procedente en versión pública, los documentos donde conste lo siguiente:</w:t>
      </w:r>
    </w:p>
    <w:p w:rsidR="00717E55" w:rsidRPr="00BE228F" w:rsidRDefault="005C0ADD">
      <w:pPr>
        <w:numPr>
          <w:ilvl w:val="3"/>
          <w:numId w:val="2"/>
        </w:numPr>
        <w:pBdr>
          <w:top w:val="nil"/>
          <w:left w:val="nil"/>
          <w:bottom w:val="nil"/>
          <w:right w:val="nil"/>
          <w:between w:val="nil"/>
        </w:pBdr>
        <w:spacing w:before="240" w:line="360" w:lineRule="auto"/>
        <w:ind w:left="993" w:right="51" w:hanging="567"/>
        <w:jc w:val="both"/>
        <w:rPr>
          <w:rFonts w:ascii="Palatino Linotype" w:eastAsia="Palatino Linotype" w:hAnsi="Palatino Linotype" w:cs="Palatino Linotype"/>
        </w:rPr>
      </w:pPr>
      <w:bookmarkStart w:id="12" w:name="_heading=h.1fob9te" w:colFirst="0" w:colLast="0"/>
      <w:bookmarkEnd w:id="12"/>
      <w:r w:rsidRPr="00BE228F">
        <w:rPr>
          <w:rFonts w:ascii="Palatino Linotype" w:eastAsia="Palatino Linotype" w:hAnsi="Palatino Linotype" w:cs="Palatino Linotype"/>
          <w:sz w:val="22"/>
          <w:szCs w:val="22"/>
        </w:rPr>
        <w:t>A</w:t>
      </w:r>
      <w:r w:rsidRPr="00BE228F">
        <w:rPr>
          <w:rFonts w:ascii="Palatino Linotype" w:eastAsia="Palatino Linotype" w:hAnsi="Palatino Linotype" w:cs="Palatino Linotype"/>
        </w:rPr>
        <w:t xml:space="preserve">tribuciones, funciones o facultades del servidor público referido en la solicitud de información 00474/CUAUTIT/IP/2025, al cuatro de agosto de dos mil veinticinco. </w:t>
      </w:r>
    </w:p>
    <w:p w:rsidR="00717E55" w:rsidRPr="00BE228F" w:rsidRDefault="00717E55">
      <w:pPr>
        <w:pBdr>
          <w:top w:val="nil"/>
          <w:left w:val="nil"/>
          <w:bottom w:val="nil"/>
          <w:right w:val="nil"/>
          <w:between w:val="nil"/>
        </w:pBdr>
        <w:spacing w:line="360" w:lineRule="auto"/>
        <w:ind w:left="993" w:right="51"/>
        <w:jc w:val="both"/>
        <w:rPr>
          <w:rFonts w:ascii="Palatino Linotype" w:eastAsia="Palatino Linotype" w:hAnsi="Palatino Linotype" w:cs="Palatino Linotype"/>
        </w:rPr>
      </w:pPr>
    </w:p>
    <w:p w:rsidR="00717E55" w:rsidRPr="00BE228F" w:rsidRDefault="005C0ADD">
      <w:pPr>
        <w:numPr>
          <w:ilvl w:val="3"/>
          <w:numId w:val="2"/>
        </w:numPr>
        <w:pBdr>
          <w:top w:val="nil"/>
          <w:left w:val="nil"/>
          <w:bottom w:val="nil"/>
          <w:right w:val="nil"/>
          <w:between w:val="nil"/>
        </w:pBdr>
        <w:spacing w:after="240" w:line="360" w:lineRule="auto"/>
        <w:ind w:left="993" w:right="51" w:hanging="567"/>
        <w:jc w:val="both"/>
        <w:rPr>
          <w:rFonts w:ascii="Palatino Linotype" w:eastAsia="Palatino Linotype" w:hAnsi="Palatino Linotype" w:cs="Palatino Linotype"/>
        </w:rPr>
      </w:pPr>
      <w:r w:rsidRPr="00BE228F">
        <w:rPr>
          <w:rFonts w:ascii="Palatino Linotype" w:eastAsia="Palatino Linotype" w:hAnsi="Palatino Linotype" w:cs="Palatino Linotype"/>
        </w:rPr>
        <w:t xml:space="preserve">Monto asignado para las diferentes obras de bacheo que se llevaron a cabo dentro del fraccionamiento Santa Elena, del uno de enero al cuatro de agosto de dos mil veinticinco. </w:t>
      </w:r>
    </w:p>
    <w:p w:rsidR="00717E55" w:rsidRPr="00BE228F" w:rsidRDefault="005C0ADD">
      <w:pPr>
        <w:spacing w:before="240" w:after="240"/>
        <w:ind w:left="284"/>
        <w:jc w:val="both"/>
        <w:rPr>
          <w:rFonts w:ascii="Palatino Linotype" w:eastAsia="Palatino Linotype" w:hAnsi="Palatino Linotype" w:cs="Palatino Linotype"/>
          <w:i/>
          <w:iCs/>
          <w:sz w:val="22"/>
          <w:szCs w:val="22"/>
        </w:rPr>
      </w:pPr>
      <w:bookmarkStart w:id="13" w:name="_heading=h.hnzxsch5gysz" w:colFirst="0" w:colLast="0"/>
      <w:bookmarkEnd w:id="13"/>
      <w:r w:rsidRPr="00BE228F">
        <w:rPr>
          <w:rFonts w:ascii="Palatino Linotype" w:eastAsia="Palatino Linotype" w:hAnsi="Palatino Linotype" w:cs="Palatino Linotype"/>
          <w:i/>
          <w:iCs/>
          <w:sz w:val="22"/>
          <w:szCs w:val="22"/>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rsidR="00717E55" w:rsidRPr="00BE228F" w:rsidRDefault="005C0ADD">
      <w:pPr>
        <w:spacing w:before="240" w:after="240"/>
        <w:ind w:left="284"/>
        <w:jc w:val="both"/>
        <w:rPr>
          <w:rFonts w:ascii="Palatino Linotype" w:eastAsia="Palatino Linotype" w:hAnsi="Palatino Linotype" w:cs="Palatino Linotype"/>
          <w:i/>
          <w:iCs/>
          <w:sz w:val="22"/>
          <w:szCs w:val="22"/>
        </w:rPr>
      </w:pPr>
      <w:r w:rsidRPr="00BE228F">
        <w:rPr>
          <w:rFonts w:ascii="Palatino Linotype" w:eastAsia="Palatino Linotype" w:hAnsi="Palatino Linotype" w:cs="Palatino Linotype"/>
          <w:i/>
          <w:iCs/>
          <w:sz w:val="22"/>
          <w:szCs w:val="22"/>
        </w:rPr>
        <w:t xml:space="preserve">De ser el caso de que no se cuente con la información que se ordena en el numeral 2, por no haberse generado a la fecha de la solicitud, bastará con que así lo haga del conocimiento de la parte </w:t>
      </w:r>
      <w:r w:rsidRPr="00BE228F">
        <w:rPr>
          <w:rFonts w:ascii="Palatino Linotype" w:eastAsia="Palatino Linotype" w:hAnsi="Palatino Linotype" w:cs="Palatino Linotype"/>
          <w:b/>
          <w:bCs/>
          <w:i/>
          <w:iCs/>
          <w:sz w:val="22"/>
          <w:szCs w:val="22"/>
        </w:rPr>
        <w:t>Recurrente</w:t>
      </w:r>
      <w:r w:rsidRPr="00BE228F">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b/>
          <w:bCs/>
          <w:sz w:val="22"/>
          <w:szCs w:val="22"/>
        </w:rPr>
        <w:t xml:space="preserve">Tercero. Notifíquese, </w:t>
      </w:r>
      <w:r w:rsidRPr="00BE228F">
        <w:rPr>
          <w:rFonts w:ascii="Palatino Linotype" w:eastAsia="Palatino Linotype" w:hAnsi="Palatino Linotype" w:cs="Palatino Linotype"/>
          <w:sz w:val="22"/>
          <w:szCs w:val="22"/>
        </w:rPr>
        <w:t xml:space="preserve">vía </w:t>
      </w:r>
      <w:r w:rsidRPr="00BE228F">
        <w:rPr>
          <w:rFonts w:ascii="Palatino Linotype" w:eastAsia="Palatino Linotype" w:hAnsi="Palatino Linotype" w:cs="Palatino Linotype"/>
          <w:b/>
          <w:bCs/>
          <w:sz w:val="22"/>
          <w:szCs w:val="22"/>
        </w:rPr>
        <w:t>SAIMEX</w:t>
      </w:r>
      <w:r w:rsidRPr="00BE228F">
        <w:rPr>
          <w:rFonts w:ascii="Palatino Linotype" w:eastAsia="Palatino Linotype" w:hAnsi="Palatino Linotype" w:cs="Palatino Linotype"/>
          <w:sz w:val="22"/>
          <w:szCs w:val="22"/>
        </w:rPr>
        <w:t xml:space="preserve">, al Titular de la Unidad de Transparencia del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E228F">
        <w:rPr>
          <w:rFonts w:ascii="Palatino Linotype" w:eastAsia="Palatino Linotype" w:hAnsi="Palatino Linotype" w:cs="Palatino Linotype"/>
          <w:b/>
          <w:bCs/>
          <w:sz w:val="22"/>
          <w:szCs w:val="22"/>
        </w:rPr>
        <w:t>Sujeto Obligado</w:t>
      </w:r>
      <w:r w:rsidRPr="00BE228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717E55" w:rsidRPr="00BE228F" w:rsidRDefault="005C0ADD">
      <w:pPr>
        <w:spacing w:before="240" w:after="240" w:line="360" w:lineRule="auto"/>
        <w:jc w:val="both"/>
        <w:rPr>
          <w:rFonts w:ascii="Palatino Linotype" w:eastAsia="Palatino Linotype" w:hAnsi="Palatino Linotype" w:cs="Palatino Linotype"/>
          <w:sz w:val="22"/>
          <w:szCs w:val="22"/>
        </w:rPr>
      </w:pPr>
      <w:bookmarkStart w:id="14" w:name="_heading=h.ot3qq6vxa08f" w:colFirst="0" w:colLast="0"/>
      <w:bookmarkEnd w:id="14"/>
      <w:r w:rsidRPr="00BE228F">
        <w:rPr>
          <w:rFonts w:ascii="Palatino Linotype" w:eastAsia="Palatino Linotype" w:hAnsi="Palatino Linotype" w:cs="Palatino Linotype"/>
          <w:b/>
          <w:bCs/>
          <w:sz w:val="22"/>
          <w:szCs w:val="22"/>
        </w:rPr>
        <w:t xml:space="preserve">Cuarto.  Notifíquese, </w:t>
      </w:r>
      <w:r w:rsidRPr="00BE228F">
        <w:rPr>
          <w:rFonts w:ascii="Palatino Linotype" w:eastAsia="Palatino Linotype" w:hAnsi="Palatino Linotype" w:cs="Palatino Linotype"/>
          <w:sz w:val="22"/>
          <w:szCs w:val="22"/>
        </w:rPr>
        <w:t xml:space="preserve">vía </w:t>
      </w:r>
      <w:r w:rsidRPr="00BE228F">
        <w:rPr>
          <w:rFonts w:ascii="Palatino Linotype" w:eastAsia="Palatino Linotype" w:hAnsi="Palatino Linotype" w:cs="Palatino Linotype"/>
          <w:b/>
          <w:bCs/>
          <w:sz w:val="22"/>
          <w:szCs w:val="22"/>
        </w:rPr>
        <w:t>SAIMEX</w:t>
      </w:r>
      <w:r w:rsidRPr="00BE228F">
        <w:rPr>
          <w:rFonts w:ascii="Palatino Linotype" w:eastAsia="Palatino Linotype" w:hAnsi="Palatino Linotype" w:cs="Palatino Linotype"/>
          <w:sz w:val="22"/>
          <w:szCs w:val="22"/>
        </w:rPr>
        <w:t xml:space="preserve"> a la parte </w:t>
      </w:r>
      <w:r w:rsidRPr="00BE228F">
        <w:rPr>
          <w:rFonts w:ascii="Palatino Linotype" w:eastAsia="Palatino Linotype" w:hAnsi="Palatino Linotype" w:cs="Palatino Linotype"/>
          <w:b/>
          <w:bCs/>
          <w:sz w:val="22"/>
          <w:szCs w:val="22"/>
        </w:rPr>
        <w:t>Recurrente</w:t>
      </w:r>
      <w:r w:rsidRPr="00BE228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717E55" w:rsidRPr="005C0ADD" w:rsidRDefault="005C0ADD">
      <w:pPr>
        <w:tabs>
          <w:tab w:val="left" w:pos="8647"/>
        </w:tabs>
        <w:spacing w:before="240" w:after="240" w:line="360" w:lineRule="auto"/>
        <w:ind w:right="51"/>
        <w:jc w:val="both"/>
        <w:rPr>
          <w:rFonts w:ascii="Palatino Linotype" w:eastAsia="Palatino Linotype" w:hAnsi="Palatino Linotype" w:cs="Palatino Linotype"/>
          <w:sz w:val="22"/>
          <w:szCs w:val="22"/>
        </w:rPr>
      </w:pPr>
      <w:r w:rsidRPr="00BE228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center"/>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p w:rsidR="00717E55" w:rsidRPr="005C0ADD" w:rsidRDefault="00717E55">
      <w:pPr>
        <w:spacing w:line="360" w:lineRule="auto"/>
        <w:jc w:val="both"/>
        <w:rPr>
          <w:rFonts w:ascii="Palatino Linotype" w:eastAsia="Palatino Linotype" w:hAnsi="Palatino Linotype" w:cs="Palatino Linotype"/>
          <w:sz w:val="22"/>
          <w:szCs w:val="22"/>
        </w:rPr>
      </w:pPr>
    </w:p>
    <w:sectPr w:rsidR="00717E55" w:rsidRPr="005C0ADD">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DB7" w:rsidRDefault="00886DB7">
      <w:r>
        <w:separator/>
      </w:r>
    </w:p>
  </w:endnote>
  <w:endnote w:type="continuationSeparator" w:id="0">
    <w:p w:rsidR="00886DB7" w:rsidRDefault="0088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9F12AA11-2CB3-4275-9DA3-EEE770E760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96D842-7A35-4F39-A783-FFE3ACEA234B}"/>
    <w:embedBold r:id="rId3" w:fontKey="{02C4AE36-E1DF-4F98-ACA4-7F9D96E8A505}"/>
  </w:font>
  <w:font w:name="Cambria">
    <w:panose1 w:val="02040503050406030204"/>
    <w:charset w:val="00"/>
    <w:family w:val="roman"/>
    <w:pitch w:val="variable"/>
    <w:sig w:usb0="E00006FF" w:usb1="420024FF" w:usb2="02000000" w:usb3="00000000" w:csb0="0000019F" w:csb1="00000000"/>
    <w:embedRegular r:id="rId4" w:fontKey="{9A973E7E-34AE-4BAA-8906-86E7AF8E226D}"/>
    <w:embedBold r:id="rId5" w:fontKey="{2F7581FF-2029-4072-9188-EFAACE38651A}"/>
    <w:embedBoldItalic r:id="rId6" w:fontKey="{5B91C518-7231-461C-B9B3-C05A2E25C8F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969711B-ED48-4757-B80F-7185F2CF1CC5}"/>
  </w:font>
  <w:font w:name="Georgia">
    <w:panose1 w:val="02040502050405020303"/>
    <w:charset w:val="00"/>
    <w:family w:val="roman"/>
    <w:pitch w:val="variable"/>
    <w:sig w:usb0="00000287" w:usb1="00000000" w:usb2="00000000" w:usb3="00000000" w:csb0="0000009F" w:csb1="00000000"/>
    <w:embedItalic r:id="rId8" w:fontKey="{9B2DB80D-17CB-4725-8F45-358FC807962E}"/>
  </w:font>
  <w:font w:name="Palatino Linotype">
    <w:panose1 w:val="02040502050505030304"/>
    <w:charset w:val="00"/>
    <w:family w:val="roman"/>
    <w:pitch w:val="variable"/>
    <w:sig w:usb0="E0000287" w:usb1="40000013" w:usb2="00000000" w:usb3="00000000" w:csb0="0000019F" w:csb1="00000000"/>
    <w:embedRegular r:id="rId9" w:fontKey="{3B8F9F52-8E26-4362-822F-8F3AA0B6F795}"/>
    <w:embedBold r:id="rId10" w:fontKey="{36C7BCFF-3767-4F72-B590-5EC82BF7DC20}"/>
    <w:embedItalic r:id="rId11" w:fontKey="{9B5AFEE2-E519-4C31-BA73-C956B6958B3F}"/>
    <w:embedBoldItalic r:id="rId12" w:fontKey="{0A7FCA2E-5507-4C43-BEEE-0281C884F4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55" w:rsidRDefault="005C0A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267EE">
      <w:rPr>
        <w:rFonts w:ascii="Palatino Linotype" w:eastAsia="Palatino Linotype" w:hAnsi="Palatino Linotype" w:cs="Palatino Linotype"/>
        <w:b/>
        <w:bCs/>
        <w:noProof/>
        <w:color w:val="000000"/>
        <w:sz w:val="20"/>
        <w:szCs w:val="20"/>
      </w:rPr>
      <w:t>43</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267EE">
      <w:rPr>
        <w:rFonts w:ascii="Palatino Linotype" w:eastAsia="Palatino Linotype" w:hAnsi="Palatino Linotype" w:cs="Palatino Linotype"/>
        <w:b/>
        <w:bCs/>
        <w:noProof/>
        <w:color w:val="000000"/>
        <w:sz w:val="20"/>
        <w:szCs w:val="20"/>
      </w:rPr>
      <w:t>43</w:t>
    </w:r>
    <w:r>
      <w:rPr>
        <w:rFonts w:ascii="Palatino Linotype" w:eastAsia="Palatino Linotype" w:hAnsi="Palatino Linotype" w:cs="Palatino Linotype"/>
        <w:b/>
        <w:bCs/>
        <w:color w:val="000000"/>
        <w:sz w:val="20"/>
        <w:szCs w:val="20"/>
      </w:rPr>
      <w:fldChar w:fldCharType="end"/>
    </w:r>
  </w:p>
  <w:p w:rsidR="00717E55" w:rsidRDefault="00717E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55" w:rsidRDefault="005C0A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267EE">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267EE">
      <w:rPr>
        <w:rFonts w:ascii="Palatino Linotype" w:eastAsia="Palatino Linotype" w:hAnsi="Palatino Linotype" w:cs="Palatino Linotype"/>
        <w:b/>
        <w:bCs/>
        <w:noProof/>
        <w:color w:val="000000"/>
        <w:sz w:val="20"/>
        <w:szCs w:val="20"/>
      </w:rPr>
      <w:t>43</w:t>
    </w:r>
    <w:r>
      <w:rPr>
        <w:rFonts w:ascii="Palatino Linotype" w:eastAsia="Palatino Linotype" w:hAnsi="Palatino Linotype" w:cs="Palatino Linotype"/>
        <w:b/>
        <w:bCs/>
        <w:color w:val="000000"/>
        <w:sz w:val="20"/>
        <w:szCs w:val="20"/>
      </w:rPr>
      <w:fldChar w:fldCharType="end"/>
    </w:r>
  </w:p>
  <w:p w:rsidR="00717E55" w:rsidRDefault="00717E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DB7" w:rsidRDefault="00886DB7">
      <w:r>
        <w:separator/>
      </w:r>
    </w:p>
  </w:footnote>
  <w:footnote w:type="continuationSeparator" w:id="0">
    <w:p w:rsidR="00886DB7" w:rsidRDefault="00886D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55" w:rsidRDefault="005C0ADD">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-1080090</wp:posOffset>
          </wp:positionH>
          <wp:positionV relativeFrom="paragraph">
            <wp:posOffset>-488261</wp:posOffset>
          </wp:positionV>
          <wp:extent cx="7809865" cy="10165715"/>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717E55">
      <w:tc>
        <w:tcPr>
          <w:tcW w:w="2489" w:type="dxa"/>
        </w:tcPr>
        <w:p w:rsidR="00717E55" w:rsidRDefault="005C0AD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717E55" w:rsidRDefault="005C0AD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10804/INFOEM/IP/RR/2025</w:t>
          </w:r>
        </w:p>
      </w:tc>
    </w:tr>
    <w:tr w:rsidR="00717E55">
      <w:trPr>
        <w:trHeight w:val="228"/>
      </w:trPr>
      <w:tc>
        <w:tcPr>
          <w:tcW w:w="2489" w:type="dxa"/>
          <w:vAlign w:val="center"/>
        </w:tcPr>
        <w:p w:rsidR="00717E55" w:rsidRDefault="005C0AD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717E55" w:rsidRDefault="005C0ADD">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Cuautitlán</w:t>
          </w:r>
        </w:p>
      </w:tc>
    </w:tr>
    <w:tr w:rsidR="00717E55">
      <w:tc>
        <w:tcPr>
          <w:tcW w:w="2489" w:type="dxa"/>
          <w:vAlign w:val="center"/>
        </w:tcPr>
        <w:p w:rsidR="00717E55" w:rsidRDefault="005C0ADD">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717E55" w:rsidRDefault="005C0AD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717E55" w:rsidRDefault="005C0AD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E55" w:rsidRDefault="005C0A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-1080132</wp:posOffset>
          </wp:positionH>
          <wp:positionV relativeFrom="paragraph">
            <wp:posOffset>-369891</wp:posOffset>
          </wp:positionV>
          <wp:extent cx="7809865" cy="10165715"/>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717E55">
      <w:tc>
        <w:tcPr>
          <w:tcW w:w="2489" w:type="dxa"/>
        </w:tcPr>
        <w:p w:rsidR="00717E55" w:rsidRDefault="005C0AD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717E55" w:rsidRDefault="005C0AD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10804/INFOEM/IP/RR/2025</w:t>
          </w:r>
        </w:p>
      </w:tc>
    </w:tr>
    <w:tr w:rsidR="00717E55">
      <w:tc>
        <w:tcPr>
          <w:tcW w:w="2489" w:type="dxa"/>
        </w:tcPr>
        <w:p w:rsidR="00717E55" w:rsidRDefault="005C0AD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rsidR="00717E55" w:rsidRDefault="005267EE" w:rsidP="005267EE">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 XXXXX XXXXXXXXX </w:t>
          </w:r>
        </w:p>
      </w:tc>
    </w:tr>
    <w:tr w:rsidR="00717E55">
      <w:trPr>
        <w:trHeight w:val="228"/>
      </w:trPr>
      <w:tc>
        <w:tcPr>
          <w:tcW w:w="2489" w:type="dxa"/>
          <w:vAlign w:val="center"/>
        </w:tcPr>
        <w:p w:rsidR="00717E55" w:rsidRDefault="005C0AD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717E55" w:rsidRDefault="005C0ADD">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Cuautitlán</w:t>
          </w:r>
        </w:p>
      </w:tc>
    </w:tr>
    <w:tr w:rsidR="00717E55">
      <w:tc>
        <w:tcPr>
          <w:tcW w:w="2489" w:type="dxa"/>
          <w:vAlign w:val="center"/>
        </w:tcPr>
        <w:p w:rsidR="00717E55" w:rsidRDefault="005C0ADD">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717E55" w:rsidRDefault="005C0ADD">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717E55" w:rsidRDefault="00717E5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A65EFF"/>
    <w:multiLevelType w:val="multilevel"/>
    <w:tmpl w:val="43080696"/>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bullet"/>
      <w:lvlText w:val="⮚"/>
      <w:lvlJc w:val="left"/>
      <w:pPr>
        <w:ind w:left="2367" w:hanging="180"/>
      </w:pPr>
      <w:rPr>
        <w:rFonts w:ascii="Noto Sans Symbols" w:eastAsia="Noto Sans Symbols" w:hAnsi="Noto Sans Symbols" w:cs="Noto Sans Symbols"/>
      </w:rPr>
    </w:lvl>
    <w:lvl w:ilvl="3">
      <w:start w:val="1"/>
      <w:numFmt w:val="decimal"/>
      <w:lvlText w:val="%4."/>
      <w:lvlJc w:val="left"/>
      <w:pPr>
        <w:ind w:left="3087" w:hanging="360"/>
      </w:pPr>
      <w:rPr>
        <w:b/>
        <w:bCs/>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A731B25"/>
    <w:multiLevelType w:val="multilevel"/>
    <w:tmpl w:val="07A6C76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E55"/>
    <w:rsid w:val="002A56C0"/>
    <w:rsid w:val="005267EE"/>
    <w:rsid w:val="005C0ADD"/>
    <w:rsid w:val="00717E55"/>
    <w:rsid w:val="00886DB7"/>
    <w:rsid w:val="00BE22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900AD"/>
  <w15:docId w15:val="{B8775731-EFD3-40B7-93A9-26CC6EA0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366E8C"/>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acebook.com/share/v/1GM1e84sGJ/"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YA2d9Zq/lOt0NN8VKmYlvce5A==">CgMxLjAyCWguM3JkY3JqbjIOaC5kYWozajJ4bzZxNjYyCGguZ2pkZ3hzMgloLjNkeTZ2a20yCWguMzBqMHpsbDIJaC4yczhleW8xMghoLnR5amN3dDIJaC4yZXQ5MnAwMg5oLm5sZGh0dWZub2ozeTIOaC53dGJ6ZnltcmdlMzgyCGgubG54Yno5MgloLjFmb2I5dGUyDmguaG56eHNjaDVneXN6Mg5oLm90M3FxNnZ4YTA4ZjgAciExOHdlQmFZWmtLazNGTGtQWU5IVl9kRmRKM0dfSGxlZ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12038</Words>
  <Characters>66211</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2026-03-20T18:22:00Z</cp:lastPrinted>
  <dcterms:created xsi:type="dcterms:W3CDTF">2026-04-09T16:46:00Z</dcterms:created>
  <dcterms:modified xsi:type="dcterms:W3CDTF">2026-04-09T16:46:00Z</dcterms:modified>
</cp:coreProperties>
</file>