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AE" w:rsidRPr="00E9553D" w:rsidRDefault="00766EAE" w:rsidP="00766EAE">
      <w:pPr>
        <w:tabs>
          <w:tab w:val="left" w:pos="3465"/>
        </w:tabs>
        <w:spacing w:line="360" w:lineRule="auto"/>
        <w:ind w:right="49"/>
        <w:jc w:val="both"/>
        <w:rPr>
          <w:rFonts w:ascii="Palatino Linotype" w:eastAsia="Palatino Linotype" w:hAnsi="Palatino Linotype" w:cs="Palatino Linotype"/>
        </w:rPr>
      </w:pPr>
      <w:bookmarkStart w:id="0" w:name="_GoBack"/>
      <w:bookmarkEnd w:id="0"/>
      <w:r w:rsidRPr="00E955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E9553D">
        <w:rPr>
          <w:rFonts w:ascii="Palatino Linotype" w:eastAsia="Palatino Linotype" w:hAnsi="Palatino Linotype" w:cs="Palatino Linotype"/>
          <w:b/>
        </w:rPr>
        <w:t>quince</w:t>
      </w:r>
      <w:r w:rsidR="00E9553D">
        <w:rPr>
          <w:rFonts w:ascii="Palatino Linotype" w:eastAsia="Palatino Linotype" w:hAnsi="Palatino Linotype" w:cs="Palatino Linotype"/>
          <w:b/>
        </w:rPr>
        <w:t xml:space="preserve"> (15)</w:t>
      </w:r>
      <w:r w:rsidRPr="00E9553D">
        <w:rPr>
          <w:rFonts w:ascii="Palatino Linotype" w:eastAsia="Palatino Linotype" w:hAnsi="Palatino Linotype" w:cs="Palatino Linotype"/>
          <w:b/>
        </w:rPr>
        <w:t xml:space="preserve"> de abril de dos mil </w:t>
      </w:r>
      <w:r w:rsidR="00957601" w:rsidRPr="00E9553D">
        <w:rPr>
          <w:rFonts w:ascii="Palatino Linotype" w:eastAsia="Palatino Linotype" w:hAnsi="Palatino Linotype" w:cs="Palatino Linotype"/>
          <w:b/>
        </w:rPr>
        <w:t>veintiséis</w:t>
      </w:r>
      <w:r w:rsidRPr="00E9553D">
        <w:rPr>
          <w:rFonts w:ascii="Palatino Linotype" w:eastAsia="Palatino Linotype" w:hAnsi="Palatino Linotype" w:cs="Palatino Linotype"/>
        </w:rPr>
        <w:t>.</w:t>
      </w:r>
    </w:p>
    <w:p w:rsidR="00766EAE" w:rsidRPr="00E9553D" w:rsidRDefault="00766EAE" w:rsidP="00766EAE">
      <w:pPr>
        <w:tabs>
          <w:tab w:val="left" w:pos="3465"/>
        </w:tabs>
        <w:spacing w:line="360" w:lineRule="auto"/>
        <w:jc w:val="both"/>
        <w:rPr>
          <w:rFonts w:ascii="Palatino Linotype" w:eastAsia="Palatino Linotype" w:hAnsi="Palatino Linotype" w:cs="Palatino Linotype"/>
        </w:rPr>
      </w:pPr>
    </w:p>
    <w:p w:rsidR="00766EAE" w:rsidRPr="00E9553D" w:rsidRDefault="00766EAE" w:rsidP="00766EAE">
      <w:pPr>
        <w:spacing w:line="360" w:lineRule="auto"/>
        <w:ind w:right="49"/>
        <w:jc w:val="both"/>
        <w:rPr>
          <w:rFonts w:ascii="Palatino Linotype" w:eastAsia="Palatino Linotype" w:hAnsi="Palatino Linotype" w:cs="Palatino Linotype"/>
        </w:rPr>
      </w:pPr>
      <w:r w:rsidRPr="00E9553D">
        <w:rPr>
          <w:rFonts w:ascii="Palatino Linotype" w:eastAsia="Palatino Linotype" w:hAnsi="Palatino Linotype" w:cs="Palatino Linotype"/>
          <w:b/>
        </w:rPr>
        <w:t>VISTOS</w:t>
      </w:r>
      <w:r w:rsidRPr="00E9553D">
        <w:rPr>
          <w:rFonts w:ascii="Palatino Linotype" w:eastAsia="Palatino Linotype" w:hAnsi="Palatino Linotype" w:cs="Palatino Linotype"/>
        </w:rPr>
        <w:t xml:space="preserve"> los expedientes electrónicos formados con motivo de los recursos de revisión </w:t>
      </w:r>
      <w:r w:rsidRPr="00E9553D">
        <w:rPr>
          <w:rFonts w:ascii="Palatino Linotype" w:eastAsia="Palatino Linotype" w:hAnsi="Palatino Linotype" w:cs="Palatino Linotype"/>
          <w:b/>
          <w:bCs/>
        </w:rPr>
        <w:t>03023/INFOEM/IP/RR/2026 y 03026/INFOEM/IP/RR/2026</w:t>
      </w:r>
      <w:r w:rsidRPr="00E9553D">
        <w:rPr>
          <w:rFonts w:ascii="Palatino Linotype" w:eastAsia="Palatino Linotype" w:hAnsi="Palatino Linotype" w:cs="Palatino Linotype"/>
          <w:b/>
        </w:rPr>
        <w:t xml:space="preserve">, </w:t>
      </w:r>
      <w:r w:rsidRPr="00E9553D">
        <w:rPr>
          <w:rFonts w:ascii="Palatino Linotype" w:eastAsia="Palatino Linotype" w:hAnsi="Palatino Linotype" w:cs="Palatino Linotype"/>
        </w:rPr>
        <w:t>promovido por</w:t>
      </w:r>
      <w:r w:rsidRPr="00E9553D">
        <w:rPr>
          <w:rFonts w:ascii="Palatino Linotype" w:eastAsia="Palatino Linotype" w:hAnsi="Palatino Linotype" w:cs="Palatino Linotype"/>
          <w:b/>
        </w:rPr>
        <w:t xml:space="preserve"> </w:t>
      </w:r>
      <w:r w:rsidR="00D03874">
        <w:rPr>
          <w:rFonts w:ascii="Palatino Linotype" w:eastAsia="Palatino Linotype" w:hAnsi="Palatino Linotype" w:cs="Palatino Linotype"/>
          <w:b/>
          <w:bCs/>
        </w:rPr>
        <w:t>XXXX</w:t>
      </w:r>
      <w:r w:rsidRPr="00E9553D">
        <w:rPr>
          <w:rFonts w:ascii="Palatino Linotype" w:eastAsia="Palatino Linotype" w:hAnsi="Palatino Linotype" w:cs="Palatino Linotype"/>
          <w:b/>
        </w:rPr>
        <w:t>,</w:t>
      </w:r>
      <w:r w:rsidR="00E9553D">
        <w:rPr>
          <w:rFonts w:ascii="Palatino Linotype" w:eastAsia="Palatino Linotype" w:hAnsi="Palatino Linotype" w:cs="Palatino Linotype"/>
        </w:rPr>
        <w:t xml:space="preserve"> </w:t>
      </w:r>
      <w:r w:rsidRPr="00E9553D">
        <w:rPr>
          <w:rFonts w:ascii="Palatino Linotype" w:eastAsia="Palatino Linotype" w:hAnsi="Palatino Linotype" w:cs="Palatino Linotype"/>
        </w:rPr>
        <w:t xml:space="preserve">a quien en lo sucesivo se le identificará como </w:t>
      </w:r>
      <w:r w:rsidRPr="00E9553D">
        <w:rPr>
          <w:rFonts w:ascii="Palatino Linotype" w:eastAsia="Palatino Linotype" w:hAnsi="Palatino Linotype" w:cs="Palatino Linotype"/>
          <w:b/>
        </w:rPr>
        <w:t>RECURRENTE</w:t>
      </w:r>
      <w:r w:rsidRPr="00E9553D">
        <w:rPr>
          <w:rFonts w:ascii="Palatino Linotype" w:eastAsia="Palatino Linotype" w:hAnsi="Palatino Linotype" w:cs="Palatino Linotype"/>
        </w:rPr>
        <w:t xml:space="preserve">, en contra de la respuesta del </w:t>
      </w:r>
      <w:r w:rsidRPr="00E9553D">
        <w:rPr>
          <w:rFonts w:ascii="Palatino Linotype" w:eastAsia="Palatino Linotype" w:hAnsi="Palatino Linotype" w:cs="Palatino Linotype"/>
          <w:b/>
          <w:bCs/>
        </w:rPr>
        <w:t>Ayuntamiento de Cuautitlán Izcalli</w:t>
      </w:r>
      <w:r w:rsidRPr="00E9553D">
        <w:rPr>
          <w:rFonts w:ascii="Palatino Linotype" w:eastAsia="Palatino Linotype" w:hAnsi="Palatino Linotype" w:cs="Palatino Linotype"/>
          <w:b/>
        </w:rPr>
        <w:t xml:space="preserve">, </w:t>
      </w:r>
      <w:r w:rsidRPr="00E9553D">
        <w:rPr>
          <w:rFonts w:ascii="Palatino Linotype" w:eastAsia="Palatino Linotype" w:hAnsi="Palatino Linotype" w:cs="Palatino Linotype"/>
        </w:rPr>
        <w:t>en adelante el</w:t>
      </w:r>
      <w:r w:rsidRPr="00E9553D">
        <w:rPr>
          <w:rFonts w:ascii="Palatino Linotype" w:eastAsia="Palatino Linotype" w:hAnsi="Palatino Linotype" w:cs="Palatino Linotype"/>
          <w:b/>
        </w:rPr>
        <w:t xml:space="preserve"> SUJETO OBLIGADO</w:t>
      </w:r>
      <w:r w:rsidRPr="00E9553D">
        <w:rPr>
          <w:rFonts w:ascii="Palatino Linotype" w:eastAsia="Palatino Linotype" w:hAnsi="Palatino Linotype" w:cs="Palatino Linotype"/>
        </w:rPr>
        <w:t>, se procede a dictar la presente resolución, con base en los siguientes:</w:t>
      </w:r>
    </w:p>
    <w:p w:rsidR="00766EAE" w:rsidRPr="00E9553D" w:rsidRDefault="00766EAE" w:rsidP="00766EAE">
      <w:pPr>
        <w:spacing w:line="360" w:lineRule="auto"/>
        <w:jc w:val="both"/>
        <w:rPr>
          <w:rFonts w:ascii="Palatino Linotype" w:eastAsia="Palatino Linotype" w:hAnsi="Palatino Linotype" w:cs="Palatino Linotype"/>
          <w:b/>
        </w:rPr>
      </w:pPr>
    </w:p>
    <w:p w:rsidR="00766EAE" w:rsidRPr="00E9553D" w:rsidRDefault="00766EAE" w:rsidP="00766EAE">
      <w:pPr>
        <w:pStyle w:val="Ttulo1"/>
        <w:spacing w:before="0" w:line="360" w:lineRule="auto"/>
        <w:jc w:val="center"/>
        <w:rPr>
          <w:rFonts w:ascii="Palatino Linotype" w:eastAsia="Palatino Linotype" w:hAnsi="Palatino Linotype" w:cs="Palatino Linotype"/>
          <w:b/>
          <w:color w:val="000000"/>
          <w:sz w:val="24"/>
          <w:szCs w:val="24"/>
        </w:rPr>
      </w:pPr>
      <w:r w:rsidRPr="00E9553D">
        <w:rPr>
          <w:rFonts w:ascii="Palatino Linotype" w:eastAsia="Palatino Linotype" w:hAnsi="Palatino Linotype" w:cs="Palatino Linotype"/>
          <w:b/>
          <w:color w:val="000000"/>
          <w:sz w:val="24"/>
          <w:szCs w:val="24"/>
        </w:rPr>
        <w:t>A N T E C E D E N T E S</w:t>
      </w:r>
    </w:p>
    <w:p w:rsidR="00766EAE"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E9553D">
        <w:rPr>
          <w:rFonts w:ascii="Palatino Linotype" w:eastAsia="Palatino Linotype" w:hAnsi="Palatino Linotype" w:cs="Palatino Linotype"/>
          <w:b/>
          <w:color w:val="000000"/>
          <w:sz w:val="24"/>
          <w:szCs w:val="24"/>
        </w:rPr>
        <w:t>SOLICITUDES</w:t>
      </w:r>
    </w:p>
    <w:p w:rsidR="00766EAE" w:rsidRPr="00E9553D" w:rsidRDefault="00766EAE" w:rsidP="00766EAE">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E9553D">
        <w:rPr>
          <w:rFonts w:ascii="Palatino Linotype" w:eastAsia="Palatino Linotype" w:hAnsi="Palatino Linotype" w:cs="Palatino Linotype"/>
          <w:color w:val="000000"/>
        </w:rPr>
        <w:t xml:space="preserve">El </w:t>
      </w:r>
      <w:r w:rsidRPr="00E9553D">
        <w:rPr>
          <w:rFonts w:ascii="Palatino Linotype" w:eastAsia="Palatino Linotype" w:hAnsi="Palatino Linotype" w:cs="Palatino Linotype"/>
          <w:b/>
          <w:color w:val="000000"/>
        </w:rPr>
        <w:t xml:space="preserve">veintisiete de enero de dos mil veintiséis, </w:t>
      </w:r>
      <w:r w:rsidR="00957601" w:rsidRPr="00E9553D">
        <w:rPr>
          <w:rFonts w:ascii="Palatino Linotype" w:eastAsia="Palatino Linotype" w:hAnsi="Palatino Linotype" w:cs="Palatino Linotype"/>
          <w:color w:val="000000"/>
        </w:rPr>
        <w:t>se presentaron</w:t>
      </w:r>
      <w:r w:rsidRPr="00E9553D">
        <w:rPr>
          <w:rFonts w:ascii="Palatino Linotype" w:eastAsia="Palatino Linotype" w:hAnsi="Palatino Linotype" w:cs="Palatino Linotype"/>
          <w:color w:val="000000"/>
        </w:rPr>
        <w:t xml:space="preserve"> ante el </w:t>
      </w:r>
      <w:r w:rsidRPr="00E9553D">
        <w:rPr>
          <w:rFonts w:ascii="Palatino Linotype" w:eastAsia="Palatino Linotype" w:hAnsi="Palatino Linotype" w:cs="Palatino Linotype"/>
          <w:b/>
          <w:color w:val="000000"/>
        </w:rPr>
        <w:t>SUJETO OBLIGADO</w:t>
      </w:r>
      <w:r w:rsidRPr="00E9553D">
        <w:rPr>
          <w:rFonts w:ascii="Palatino Linotype" w:eastAsia="Palatino Linotype" w:hAnsi="Palatino Linotype" w:cs="Palatino Linotype"/>
          <w:color w:val="000000"/>
        </w:rPr>
        <w:t xml:space="preserve"> vía SAIMEX, las solicitudes de información pública registradas con los números</w:t>
      </w:r>
      <w:r w:rsidRPr="00E9553D">
        <w:rPr>
          <w:rFonts w:ascii="Palatino Linotype" w:eastAsia="Palatino Linotype" w:hAnsi="Palatino Linotype" w:cs="Palatino Linotype"/>
          <w:b/>
          <w:bCs/>
          <w:color w:val="000000"/>
        </w:rPr>
        <w:t xml:space="preserve"> 00033/CUAUTIZC/IP/2026 </w:t>
      </w:r>
      <w:r w:rsidRPr="00E9553D">
        <w:rPr>
          <w:rFonts w:ascii="Palatino Linotype" w:eastAsia="Palatino Linotype" w:hAnsi="Palatino Linotype" w:cs="Palatino Linotype"/>
          <w:bCs/>
          <w:color w:val="000000"/>
        </w:rPr>
        <w:t>y</w:t>
      </w:r>
      <w:r w:rsidRPr="00E9553D">
        <w:rPr>
          <w:rFonts w:ascii="Palatino Linotype" w:eastAsia="Palatino Linotype" w:hAnsi="Palatino Linotype" w:cs="Palatino Linotype"/>
          <w:b/>
          <w:bCs/>
          <w:color w:val="000000"/>
        </w:rPr>
        <w:t xml:space="preserve"> 00036/CUAUTIZC/IP/2026</w:t>
      </w:r>
      <w:r w:rsidRPr="00E9553D">
        <w:rPr>
          <w:rFonts w:ascii="Palatino Linotype" w:eastAsia="Palatino Linotype" w:hAnsi="Palatino Linotype" w:cs="Palatino Linotype"/>
          <w:b/>
          <w:color w:val="000000"/>
        </w:rPr>
        <w:t xml:space="preserve">; </w:t>
      </w:r>
      <w:r w:rsidRPr="00E9553D">
        <w:rPr>
          <w:rFonts w:ascii="Palatino Linotype" w:eastAsia="Palatino Linotype" w:hAnsi="Palatino Linotype" w:cs="Palatino Linotype"/>
        </w:rPr>
        <w:t>en la que</w:t>
      </w:r>
      <w:r w:rsidRPr="00E9553D">
        <w:rPr>
          <w:rFonts w:ascii="Palatino Linotype" w:eastAsia="Palatino Linotype" w:hAnsi="Palatino Linotype" w:cs="Palatino Linotype"/>
          <w:color w:val="000000"/>
        </w:rPr>
        <w:t xml:space="preserve"> se solicitó la siguiente información:</w:t>
      </w:r>
    </w:p>
    <w:p w:rsidR="00766EAE" w:rsidRPr="00E9553D" w:rsidRDefault="00766EAE" w:rsidP="00766E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6EAE" w:rsidRPr="00E9553D" w:rsidRDefault="00766EAE" w:rsidP="00766EA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E9553D">
        <w:rPr>
          <w:rFonts w:ascii="Palatino Linotype" w:eastAsia="Palatino Linotype" w:hAnsi="Palatino Linotype" w:cs="Palatino Linotype"/>
          <w:i/>
          <w:color w:val="000000"/>
        </w:rPr>
        <w:t xml:space="preserve">“3. Se solicita un informe desglosado relativo al gasto por $181,000,000.00 (ciento ochenta y un millones de pesos 00/100 M.N.) ejercido en servicios profesionales, científicos y técnicos integrales, mismo que se encuentra relacionado con el Estado Analítico del Ejercicio del Presupuesto, dentro del Capítulo 3000 “Servicios Generales”, partida 33101 “Servicios profesionales, científicos y técnicos integrales”, misma que deberá ser requerida al Presidente Municipal, que contenga: a) Servicios específicos contratados. b) Nombre o razón social de las personas físicas o morales proveedoras. c) Modalidad de contratación utilizada en cada caso. d) Objeto del contrato y actividades realizadas. e) Monto pagado por cada servicio. </w:t>
      </w:r>
      <w:r w:rsidRPr="00E9553D">
        <w:rPr>
          <w:rFonts w:ascii="Palatino Linotype" w:hAnsi="Palatino Linotype"/>
          <w:i/>
          <w:color w:val="000000"/>
        </w:rPr>
        <w:t>“</w:t>
      </w:r>
      <w:r w:rsidRPr="00E9553D">
        <w:rPr>
          <w:rFonts w:ascii="Palatino Linotype" w:hAnsi="Palatino Linotype"/>
          <w:color w:val="000000"/>
        </w:rPr>
        <w:t>(sic.)</w:t>
      </w:r>
    </w:p>
    <w:p w:rsidR="00766EAE" w:rsidRPr="00E9553D" w:rsidRDefault="00766EAE" w:rsidP="00766EAE">
      <w:pPr>
        <w:pBdr>
          <w:top w:val="nil"/>
          <w:left w:val="nil"/>
          <w:bottom w:val="nil"/>
          <w:right w:val="nil"/>
          <w:between w:val="nil"/>
        </w:pBdr>
        <w:ind w:left="1134" w:right="900"/>
        <w:jc w:val="both"/>
        <w:rPr>
          <w:rFonts w:ascii="Palatino Linotype" w:eastAsia="Palatino Linotype" w:hAnsi="Palatino Linotype" w:cs="Palatino Linotype"/>
          <w:color w:val="000000"/>
        </w:rPr>
      </w:pPr>
    </w:p>
    <w:p w:rsidR="00766EAE" w:rsidRPr="00E9553D" w:rsidRDefault="00766EAE" w:rsidP="00766EA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E9553D">
        <w:rPr>
          <w:rFonts w:ascii="Palatino Linotype" w:eastAsia="Palatino Linotype" w:hAnsi="Palatino Linotype" w:cs="Palatino Linotype"/>
          <w:color w:val="000000"/>
        </w:rPr>
        <w:lastRenderedPageBreak/>
        <w:t xml:space="preserve">Señaló como modalidad de entrega de la información a través del </w:t>
      </w:r>
      <w:r w:rsidRPr="00E9553D">
        <w:rPr>
          <w:rFonts w:ascii="Palatino Linotype" w:eastAsia="Palatino Linotype" w:hAnsi="Palatino Linotype" w:cs="Palatino Linotype"/>
          <w:b/>
          <w:color w:val="000000"/>
        </w:rPr>
        <w:t>SAIMEX.</w:t>
      </w:r>
    </w:p>
    <w:p w:rsidR="00766EAE" w:rsidRPr="00E9553D" w:rsidRDefault="00766EAE" w:rsidP="00766EAE">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p>
    <w:p w:rsidR="00F92B16"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bCs/>
          <w:sz w:val="24"/>
          <w:szCs w:val="24"/>
        </w:rPr>
      </w:pPr>
      <w:r w:rsidRPr="00E9553D">
        <w:rPr>
          <w:rFonts w:ascii="Palatino Linotype" w:eastAsia="Palatino Linotype" w:hAnsi="Palatino Linotype" w:cs="Palatino Linotype"/>
          <w:b/>
          <w:bCs/>
          <w:color w:val="auto"/>
          <w:sz w:val="24"/>
          <w:szCs w:val="24"/>
        </w:rPr>
        <w:t xml:space="preserve">SOLICITUD DE ACLARACIÓN </w:t>
      </w:r>
    </w:p>
    <w:p w:rsidR="00766EAE" w:rsidRPr="00E9553D" w:rsidRDefault="00766EAE" w:rsidP="00766EAE">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E9553D">
        <w:rPr>
          <w:rFonts w:ascii="Palatino Linotype" w:eastAsia="Palatino Linotype" w:hAnsi="Palatino Linotype" w:cs="Palatino Linotype"/>
          <w:color w:val="000000"/>
        </w:rPr>
        <w:t xml:space="preserve">El </w:t>
      </w:r>
      <w:r w:rsidRPr="00E9553D">
        <w:rPr>
          <w:rFonts w:ascii="Palatino Linotype" w:eastAsia="Palatino Linotype" w:hAnsi="Palatino Linotype" w:cs="Palatino Linotype"/>
          <w:b/>
          <w:color w:val="000000"/>
        </w:rPr>
        <w:t xml:space="preserve">veintinueve de enero de dos mil </w:t>
      </w:r>
      <w:r w:rsidR="00CC692E" w:rsidRPr="00E9553D">
        <w:rPr>
          <w:rFonts w:ascii="Palatino Linotype" w:eastAsia="Palatino Linotype" w:hAnsi="Palatino Linotype" w:cs="Palatino Linotype"/>
          <w:b/>
          <w:color w:val="000000"/>
        </w:rPr>
        <w:t>veintiséis</w:t>
      </w:r>
      <w:r w:rsidRPr="00E9553D">
        <w:rPr>
          <w:rFonts w:ascii="Palatino Linotype" w:eastAsia="Palatino Linotype" w:hAnsi="Palatino Linotype" w:cs="Palatino Linotype"/>
          <w:color w:val="000000"/>
        </w:rPr>
        <w:t xml:space="preserve">, el </w:t>
      </w:r>
      <w:r w:rsidRPr="00E9553D">
        <w:rPr>
          <w:rFonts w:ascii="Palatino Linotype" w:eastAsia="Palatino Linotype" w:hAnsi="Palatino Linotype" w:cs="Palatino Linotype"/>
          <w:b/>
          <w:color w:val="000000"/>
        </w:rPr>
        <w:t xml:space="preserve">SUJETO OBLIGADO, </w:t>
      </w:r>
      <w:r w:rsidRPr="00E9553D">
        <w:rPr>
          <w:rFonts w:ascii="Palatino Linotype" w:eastAsia="Palatino Linotype" w:hAnsi="Palatino Linotype" w:cs="Palatino Linotype"/>
          <w:color w:val="000000"/>
        </w:rPr>
        <w:t xml:space="preserve">solicito al </w:t>
      </w:r>
      <w:r w:rsidRPr="00E9553D">
        <w:rPr>
          <w:rFonts w:ascii="Palatino Linotype" w:eastAsia="Palatino Linotype" w:hAnsi="Palatino Linotype" w:cs="Palatino Linotype"/>
          <w:b/>
          <w:color w:val="000000"/>
        </w:rPr>
        <w:t xml:space="preserve">PARTICULAR, </w:t>
      </w:r>
      <w:r w:rsidRPr="00E9553D">
        <w:rPr>
          <w:rFonts w:ascii="Palatino Linotype" w:eastAsia="Palatino Linotype" w:hAnsi="Palatino Linotype" w:cs="Palatino Linotype"/>
          <w:color w:val="000000"/>
        </w:rPr>
        <w:t xml:space="preserve">aclarara </w:t>
      </w:r>
      <w:r w:rsidR="00CC692E" w:rsidRPr="00E9553D">
        <w:rPr>
          <w:rFonts w:ascii="Palatino Linotype" w:eastAsia="Palatino Linotype" w:hAnsi="Palatino Linotype" w:cs="Palatino Linotype"/>
          <w:color w:val="000000"/>
        </w:rPr>
        <w:t>las solicitudes de información, en el tenor siguiente:</w:t>
      </w:r>
    </w:p>
    <w:p w:rsidR="00CC692E" w:rsidRPr="00E9553D" w:rsidRDefault="00CC692E" w:rsidP="00CC692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tbl>
      <w:tblPr>
        <w:tblW w:w="7806" w:type="dxa"/>
        <w:jc w:val="center"/>
        <w:tblCellSpacing w:w="0" w:type="dxa"/>
        <w:tblCellMar>
          <w:left w:w="0" w:type="dxa"/>
          <w:right w:w="0" w:type="dxa"/>
        </w:tblCellMar>
        <w:tblLook w:val="04A0" w:firstRow="1" w:lastRow="0" w:firstColumn="1" w:lastColumn="0" w:noHBand="0" w:noVBand="1"/>
      </w:tblPr>
      <w:tblGrid>
        <w:gridCol w:w="7806"/>
      </w:tblGrid>
      <w:tr w:rsidR="00CC692E" w:rsidRPr="00E9553D" w:rsidTr="00CC692E">
        <w:trPr>
          <w:trHeight w:val="300"/>
          <w:tblCellSpacing w:w="0" w:type="dxa"/>
          <w:jc w:val="center"/>
        </w:trPr>
        <w:tc>
          <w:tcPr>
            <w:tcW w:w="7806" w:type="dxa"/>
            <w:vAlign w:val="center"/>
            <w:hideMark/>
          </w:tcPr>
          <w:p w:rsidR="00CC692E" w:rsidRPr="00E9553D" w:rsidRDefault="00CC692E" w:rsidP="00CC692E">
            <w:pPr>
              <w:jc w:val="right"/>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Cuautitlán Izcalli, México a 29 de Enero de 2026</w:t>
            </w:r>
          </w:p>
        </w:tc>
      </w:tr>
      <w:tr w:rsidR="00CC692E" w:rsidRPr="00E9553D" w:rsidTr="00CC692E">
        <w:trPr>
          <w:trHeight w:val="300"/>
          <w:tblCellSpacing w:w="0" w:type="dxa"/>
          <w:jc w:val="center"/>
        </w:trPr>
        <w:tc>
          <w:tcPr>
            <w:tcW w:w="7806" w:type="dxa"/>
            <w:vAlign w:val="center"/>
            <w:hideMark/>
          </w:tcPr>
          <w:p w:rsidR="00CC692E" w:rsidRPr="00E9553D" w:rsidRDefault="00CC692E" w:rsidP="00CC692E">
            <w:pPr>
              <w:jc w:val="right"/>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Nombre del solicitante: C. Solicitante</w:t>
            </w:r>
          </w:p>
        </w:tc>
      </w:tr>
      <w:tr w:rsidR="00CC692E" w:rsidRPr="00E9553D" w:rsidTr="00CC692E">
        <w:trPr>
          <w:trHeight w:val="300"/>
          <w:tblCellSpacing w:w="0" w:type="dxa"/>
          <w:jc w:val="center"/>
        </w:trPr>
        <w:tc>
          <w:tcPr>
            <w:tcW w:w="7806" w:type="dxa"/>
            <w:vAlign w:val="center"/>
            <w:hideMark/>
          </w:tcPr>
          <w:p w:rsidR="00CC692E" w:rsidRPr="00E9553D" w:rsidRDefault="00CC692E" w:rsidP="00CC692E">
            <w:pPr>
              <w:jc w:val="right"/>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Folio de la solicitud: 00033/CUAUTIZC/IP/2026</w:t>
            </w:r>
          </w:p>
        </w:tc>
      </w:tr>
      <w:tr w:rsidR="00CC692E" w:rsidRPr="00E9553D" w:rsidTr="00CC692E">
        <w:trPr>
          <w:trHeight w:val="450"/>
          <w:tblCellSpacing w:w="0" w:type="dxa"/>
          <w:jc w:val="center"/>
        </w:trPr>
        <w:tc>
          <w:tcPr>
            <w:tcW w:w="7806" w:type="dxa"/>
            <w:vAlign w:val="center"/>
            <w:hideMark/>
          </w:tcPr>
          <w:p w:rsidR="00CC692E" w:rsidRPr="00E9553D" w:rsidRDefault="00CC692E" w:rsidP="00CC692E">
            <w:pPr>
              <w:jc w:val="right"/>
              <w:rPr>
                <w:rFonts w:ascii="Times New Roman" w:eastAsia="Times New Roman" w:hAnsi="Times New Roman" w:cs="Times New Roman"/>
                <w:lang w:val="es-MX" w:eastAsia="es-MX"/>
              </w:rPr>
            </w:pPr>
          </w:p>
        </w:tc>
      </w:tr>
      <w:tr w:rsidR="00CC692E" w:rsidRPr="00E9553D" w:rsidTr="00CC692E">
        <w:trPr>
          <w:trHeight w:val="150"/>
          <w:tblCellSpacing w:w="0" w:type="dxa"/>
          <w:jc w:val="center"/>
        </w:trPr>
        <w:tc>
          <w:tcPr>
            <w:tcW w:w="7806" w:type="dxa"/>
            <w:vAlign w:val="center"/>
            <w:hideMark/>
          </w:tcPr>
          <w:p w:rsidR="00CC692E" w:rsidRPr="00E9553D" w:rsidRDefault="00CC692E" w:rsidP="001C4299">
            <w:pPr>
              <w:jc w:val="both"/>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Con fundamento en el articulo 159 de la Ley de Transparencia y Acceso a la Información Pública del Estado de México y Municipios, se le requiere para que dentro del plazo de diez días hábiles realice lo siguiente:</w:t>
            </w:r>
          </w:p>
        </w:tc>
      </w:tr>
      <w:tr w:rsidR="00CC692E" w:rsidRPr="00E9553D" w:rsidTr="00CC692E">
        <w:trPr>
          <w:trHeight w:val="375"/>
          <w:tblCellSpacing w:w="0" w:type="dxa"/>
          <w:jc w:val="center"/>
        </w:trPr>
        <w:tc>
          <w:tcPr>
            <w:tcW w:w="7806" w:type="dxa"/>
            <w:vAlign w:val="center"/>
            <w:hideMark/>
          </w:tcPr>
          <w:p w:rsidR="00CC692E" w:rsidRPr="00E9553D" w:rsidRDefault="00CC692E" w:rsidP="001C4299">
            <w:pPr>
              <w:jc w:val="both"/>
              <w:rPr>
                <w:rFonts w:ascii="Times New Roman" w:eastAsia="Times New Roman" w:hAnsi="Times New Roman" w:cs="Times New Roman"/>
                <w:lang w:val="es-MX" w:eastAsia="es-MX"/>
              </w:rPr>
            </w:pPr>
          </w:p>
        </w:tc>
      </w:tr>
      <w:tr w:rsidR="00CC692E" w:rsidRPr="00E9553D" w:rsidTr="00CC692E">
        <w:trPr>
          <w:trHeight w:val="150"/>
          <w:tblCellSpacing w:w="0" w:type="dxa"/>
          <w:jc w:val="center"/>
        </w:trPr>
        <w:tc>
          <w:tcPr>
            <w:tcW w:w="7806" w:type="dxa"/>
            <w:vAlign w:val="center"/>
            <w:hideMark/>
          </w:tcPr>
          <w:p w:rsidR="00CC692E" w:rsidRPr="00E9553D" w:rsidRDefault="00CC692E" w:rsidP="001C4299">
            <w:pPr>
              <w:jc w:val="both"/>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Por medio del presente, y en atención a su oficio PM/CUT/0095/2026, de fecha 28 de enero del 2026, hago de su conocimiento lo siguiente: Para poder brindar una respuesta actualizada, completa, congruente, verificable y veraz a su solicitud, solicito una aclaración referente a: 1. Mencionar una partida existente, ya que no existe la partida 33101, las partidas y subpartidas constan de 4 dígitos. 2. No indica año o ejercicio del desglose del presupuesto solicitado. 3. No indica el trimestre del desglose del presupuesto solicitado. Sin mas por el momento, quedo a sus ordenes. Atte.: José de Jesús Castillo Salazar Tesorero Municipal de Cuautitlán Izcalli, Estado de Mexico.</w:t>
            </w:r>
          </w:p>
        </w:tc>
      </w:tr>
      <w:tr w:rsidR="00CC692E" w:rsidRPr="00E9553D" w:rsidTr="00CC692E">
        <w:trPr>
          <w:trHeight w:val="375"/>
          <w:tblCellSpacing w:w="0" w:type="dxa"/>
          <w:jc w:val="center"/>
        </w:trPr>
        <w:tc>
          <w:tcPr>
            <w:tcW w:w="7806" w:type="dxa"/>
            <w:vAlign w:val="center"/>
            <w:hideMark/>
          </w:tcPr>
          <w:p w:rsidR="00CC692E" w:rsidRPr="00E9553D" w:rsidRDefault="00CC692E" w:rsidP="001C4299">
            <w:pPr>
              <w:jc w:val="both"/>
              <w:rPr>
                <w:rFonts w:ascii="Times New Roman" w:eastAsia="Times New Roman" w:hAnsi="Times New Roman" w:cs="Times New Roman"/>
                <w:lang w:val="es-MX" w:eastAsia="es-MX"/>
              </w:rPr>
            </w:pPr>
          </w:p>
        </w:tc>
      </w:tr>
      <w:tr w:rsidR="00CC692E" w:rsidRPr="00E9553D" w:rsidTr="00CC692E">
        <w:trPr>
          <w:trHeight w:val="150"/>
          <w:tblCellSpacing w:w="0" w:type="dxa"/>
          <w:jc w:val="center"/>
        </w:trPr>
        <w:tc>
          <w:tcPr>
            <w:tcW w:w="7806" w:type="dxa"/>
            <w:vAlign w:val="center"/>
            <w:hideMark/>
          </w:tcPr>
          <w:p w:rsidR="00CC692E" w:rsidRPr="00E9553D" w:rsidRDefault="00CC692E" w:rsidP="001C4299">
            <w:pPr>
              <w:jc w:val="both"/>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CC692E" w:rsidRPr="00E9553D" w:rsidTr="00CC692E">
        <w:trPr>
          <w:trHeight w:val="150"/>
          <w:tblCellSpacing w:w="0" w:type="dxa"/>
          <w:jc w:val="center"/>
        </w:trPr>
        <w:tc>
          <w:tcPr>
            <w:tcW w:w="7806" w:type="dxa"/>
            <w:vAlign w:val="center"/>
            <w:hideMark/>
          </w:tcPr>
          <w:p w:rsidR="00CC692E" w:rsidRPr="00E9553D" w:rsidRDefault="00CC692E" w:rsidP="00CC692E">
            <w:pPr>
              <w:rPr>
                <w:rFonts w:ascii="Times New Roman" w:eastAsia="Times New Roman" w:hAnsi="Times New Roman" w:cs="Times New Roman"/>
                <w:lang w:val="es-MX" w:eastAsia="es-MX"/>
              </w:rPr>
            </w:pPr>
          </w:p>
        </w:tc>
      </w:tr>
      <w:tr w:rsidR="00CC692E" w:rsidRPr="00E9553D" w:rsidTr="00CC692E">
        <w:trPr>
          <w:trHeight w:val="150"/>
          <w:tblCellSpacing w:w="0" w:type="dxa"/>
          <w:jc w:val="center"/>
        </w:trPr>
        <w:tc>
          <w:tcPr>
            <w:tcW w:w="7806" w:type="dxa"/>
            <w:vAlign w:val="center"/>
            <w:hideMark/>
          </w:tcPr>
          <w:p w:rsidR="00CC692E" w:rsidRPr="00E9553D" w:rsidRDefault="00CC692E" w:rsidP="00CC692E">
            <w:pPr>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ATENTAMENTE</w:t>
            </w:r>
          </w:p>
        </w:tc>
      </w:tr>
      <w:tr w:rsidR="00CC692E" w:rsidRPr="00E9553D" w:rsidTr="00CC692E">
        <w:trPr>
          <w:trHeight w:val="225"/>
          <w:tblCellSpacing w:w="0" w:type="dxa"/>
          <w:jc w:val="center"/>
        </w:trPr>
        <w:tc>
          <w:tcPr>
            <w:tcW w:w="7806" w:type="dxa"/>
            <w:vAlign w:val="center"/>
            <w:hideMark/>
          </w:tcPr>
          <w:p w:rsidR="00CC692E" w:rsidRPr="00E9553D" w:rsidRDefault="00CC692E" w:rsidP="00CC692E">
            <w:pPr>
              <w:rPr>
                <w:rFonts w:ascii="Times New Roman" w:eastAsia="Times New Roman" w:hAnsi="Times New Roman" w:cs="Times New Roman"/>
                <w:lang w:val="es-MX" w:eastAsia="es-MX"/>
              </w:rPr>
            </w:pPr>
          </w:p>
        </w:tc>
      </w:tr>
      <w:tr w:rsidR="00CC692E" w:rsidRPr="00E9553D" w:rsidTr="00CC692E">
        <w:trPr>
          <w:trHeight w:val="150"/>
          <w:tblCellSpacing w:w="0" w:type="dxa"/>
          <w:jc w:val="center"/>
        </w:trPr>
        <w:tc>
          <w:tcPr>
            <w:tcW w:w="7806" w:type="dxa"/>
            <w:vAlign w:val="center"/>
            <w:hideMark/>
          </w:tcPr>
          <w:p w:rsidR="00CC692E" w:rsidRPr="00E9553D" w:rsidRDefault="00CC692E" w:rsidP="00CC692E">
            <w:pPr>
              <w:rPr>
                <w:rFonts w:ascii="Times New Roman" w:eastAsia="Times New Roman" w:hAnsi="Times New Roman" w:cs="Times New Roman"/>
                <w:lang w:val="es-MX" w:eastAsia="es-MX"/>
              </w:rPr>
            </w:pPr>
            <w:r w:rsidRPr="00E9553D">
              <w:rPr>
                <w:rFonts w:ascii="Verdana" w:eastAsia="Times New Roman" w:hAnsi="Verdana" w:cs="Times New Roman"/>
                <w:lang w:val="es-MX" w:eastAsia="es-MX"/>
              </w:rPr>
              <w:t>GABRIELA ELIZABETH MORALES CRUZ</w:t>
            </w:r>
          </w:p>
        </w:tc>
      </w:tr>
    </w:tbl>
    <w:p w:rsidR="00F92B16"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bCs/>
          <w:sz w:val="24"/>
          <w:szCs w:val="24"/>
        </w:rPr>
      </w:pPr>
      <w:r w:rsidRPr="00E9553D">
        <w:rPr>
          <w:rFonts w:ascii="Palatino Linotype" w:eastAsia="Palatino Linotype" w:hAnsi="Palatino Linotype" w:cs="Palatino Linotype"/>
          <w:b/>
          <w:bCs/>
          <w:color w:val="auto"/>
          <w:sz w:val="24"/>
          <w:szCs w:val="24"/>
        </w:rPr>
        <w:lastRenderedPageBreak/>
        <w:t>ACLRACIÓN NO PRESENTADA</w:t>
      </w:r>
    </w:p>
    <w:p w:rsidR="00766EAE" w:rsidRPr="00E9553D" w:rsidRDefault="00766EAE" w:rsidP="00766EAE">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E9553D">
        <w:rPr>
          <w:rFonts w:ascii="Palatino Linotype" w:hAnsi="Palatino Linotype"/>
          <w:color w:val="000000"/>
        </w:rPr>
        <w:t xml:space="preserve">El </w:t>
      </w:r>
      <w:r w:rsidR="00CC692E" w:rsidRPr="00E9553D">
        <w:rPr>
          <w:rFonts w:ascii="Palatino Linotype" w:hAnsi="Palatino Linotype"/>
          <w:b/>
          <w:color w:val="000000"/>
        </w:rPr>
        <w:t>dieciséis de enero de dos mil veintiséis</w:t>
      </w:r>
      <w:r w:rsidRPr="00E9553D">
        <w:rPr>
          <w:rFonts w:ascii="Palatino Linotype" w:hAnsi="Palatino Linotype"/>
          <w:b/>
          <w:color w:val="000000"/>
        </w:rPr>
        <w:t xml:space="preserve">, </w:t>
      </w:r>
      <w:r w:rsidR="00CC692E" w:rsidRPr="00E9553D">
        <w:rPr>
          <w:rFonts w:ascii="Palatino Linotype" w:hAnsi="Palatino Linotype"/>
          <w:color w:val="000000"/>
        </w:rPr>
        <w:t>se notificó el acuerdo por el que se tuvo por no presentada la aclaración realizada.</w:t>
      </w:r>
    </w:p>
    <w:p w:rsidR="00766EAE" w:rsidRPr="00E9553D" w:rsidRDefault="00766EAE" w:rsidP="00766EAE">
      <w:pPr>
        <w:pBdr>
          <w:top w:val="nil"/>
          <w:left w:val="nil"/>
          <w:bottom w:val="nil"/>
          <w:right w:val="nil"/>
          <w:between w:val="nil"/>
        </w:pBdr>
        <w:ind w:left="720"/>
        <w:rPr>
          <w:rFonts w:ascii="Palatino Linotype" w:eastAsia="Palatino Linotype" w:hAnsi="Palatino Linotype" w:cs="Palatino Linotype"/>
          <w:color w:val="000000"/>
        </w:rPr>
      </w:pPr>
    </w:p>
    <w:p w:rsidR="00F92B16"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E9553D">
        <w:rPr>
          <w:rFonts w:ascii="Palatino Linotype" w:eastAsia="Palatino Linotype" w:hAnsi="Palatino Linotype" w:cs="Palatino Linotype"/>
          <w:b/>
          <w:color w:val="auto"/>
          <w:sz w:val="24"/>
          <w:szCs w:val="24"/>
        </w:rPr>
        <w:t>INCONFORMIDAD</w:t>
      </w:r>
    </w:p>
    <w:p w:rsidR="00F92B16" w:rsidRPr="00E9553D" w:rsidRDefault="00F92B16" w:rsidP="00F92B16">
      <w:pPr>
        <w:pBdr>
          <w:top w:val="nil"/>
          <w:left w:val="nil"/>
          <w:bottom w:val="nil"/>
          <w:right w:val="nil"/>
          <w:between w:val="nil"/>
        </w:pBdr>
        <w:rPr>
          <w:rFonts w:ascii="Palatino Linotype" w:eastAsia="Palatino Linotype" w:hAnsi="Palatino Linotype" w:cs="Palatino Linotype"/>
          <w:color w:val="000000"/>
        </w:rPr>
      </w:pPr>
    </w:p>
    <w:p w:rsidR="00766EAE" w:rsidRPr="00E9553D" w:rsidRDefault="00766EAE" w:rsidP="00766EAE">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E9553D">
        <w:rPr>
          <w:rFonts w:ascii="Palatino Linotype" w:eastAsia="Palatino Linotype" w:hAnsi="Palatino Linotype" w:cs="Palatino Linotype"/>
          <w:color w:val="000000"/>
        </w:rPr>
        <w:t xml:space="preserve">El </w:t>
      </w:r>
      <w:r w:rsidR="00CC692E" w:rsidRPr="00E9553D">
        <w:rPr>
          <w:rFonts w:ascii="Palatino Linotype" w:eastAsia="Palatino Linotype" w:hAnsi="Palatino Linotype" w:cs="Palatino Linotype"/>
          <w:b/>
          <w:color w:val="000000"/>
        </w:rPr>
        <w:t>nueve de marzo de dos mil veintiséis</w:t>
      </w:r>
      <w:r w:rsidRPr="00E9553D">
        <w:rPr>
          <w:rFonts w:ascii="Palatino Linotype" w:eastAsia="Palatino Linotype" w:hAnsi="Palatino Linotype" w:cs="Palatino Linotype"/>
          <w:color w:val="000000"/>
        </w:rPr>
        <w:t xml:space="preserve">, </w:t>
      </w:r>
      <w:r w:rsidRPr="00E9553D">
        <w:rPr>
          <w:rFonts w:ascii="Palatino Linotype" w:eastAsia="Palatino Linotype" w:hAnsi="Palatino Linotype" w:cs="Palatino Linotype"/>
          <w:b/>
          <w:color w:val="000000"/>
        </w:rPr>
        <w:t>EL RECURRENTE</w:t>
      </w:r>
      <w:r w:rsidR="00957601" w:rsidRPr="00E9553D">
        <w:rPr>
          <w:rFonts w:ascii="Palatino Linotype" w:eastAsia="Palatino Linotype" w:hAnsi="Palatino Linotype" w:cs="Palatino Linotype"/>
          <w:color w:val="000000"/>
        </w:rPr>
        <w:t xml:space="preserve"> interpuso los</w:t>
      </w:r>
      <w:r w:rsidRPr="00E9553D">
        <w:rPr>
          <w:rFonts w:ascii="Palatino Linotype" w:eastAsia="Palatino Linotype" w:hAnsi="Palatino Linotype" w:cs="Palatino Linotype"/>
          <w:color w:val="000000"/>
        </w:rPr>
        <w:t xml:space="preserve"> recurso</w:t>
      </w:r>
      <w:r w:rsidR="00957601" w:rsidRPr="00E9553D">
        <w:rPr>
          <w:rFonts w:ascii="Palatino Linotype" w:eastAsia="Palatino Linotype" w:hAnsi="Palatino Linotype" w:cs="Palatino Linotype"/>
          <w:color w:val="000000"/>
        </w:rPr>
        <w:t>s</w:t>
      </w:r>
      <w:r w:rsidRPr="00E9553D">
        <w:rPr>
          <w:rFonts w:ascii="Palatino Linotype" w:eastAsia="Palatino Linotype" w:hAnsi="Palatino Linotype" w:cs="Palatino Linotype"/>
          <w:color w:val="000000"/>
        </w:rPr>
        <w:t xml:space="preserve"> de revisión, en contra de la respuesta</w:t>
      </w:r>
      <w:r w:rsidR="00957601" w:rsidRPr="00E9553D">
        <w:rPr>
          <w:rFonts w:ascii="Palatino Linotype" w:eastAsia="Palatino Linotype" w:hAnsi="Palatino Linotype" w:cs="Palatino Linotype"/>
          <w:color w:val="000000"/>
        </w:rPr>
        <w:t>s</w:t>
      </w:r>
      <w:r w:rsidRPr="00E9553D">
        <w:rPr>
          <w:rFonts w:ascii="Palatino Linotype" w:eastAsia="Palatino Linotype" w:hAnsi="Palatino Linotype" w:cs="Palatino Linotype"/>
          <w:color w:val="000000"/>
        </w:rPr>
        <w:t xml:space="preserve"> y señaló como:</w:t>
      </w:r>
    </w:p>
    <w:p w:rsidR="00766EAE" w:rsidRPr="00E9553D" w:rsidRDefault="00766EAE" w:rsidP="00CC692E">
      <w:pPr>
        <w:pBdr>
          <w:top w:val="nil"/>
          <w:left w:val="nil"/>
          <w:bottom w:val="nil"/>
          <w:right w:val="nil"/>
          <w:between w:val="nil"/>
        </w:pBdr>
        <w:ind w:left="709" w:right="992"/>
        <w:jc w:val="both"/>
        <w:rPr>
          <w:rFonts w:ascii="Palatino Linotype" w:eastAsia="Palatino Linotype" w:hAnsi="Palatino Linotype" w:cs="Palatino Linotype"/>
          <w:b/>
          <w:color w:val="000000"/>
        </w:rPr>
      </w:pPr>
    </w:p>
    <w:p w:rsidR="00CC692E" w:rsidRPr="00E9553D" w:rsidRDefault="00CC692E" w:rsidP="00CC692E">
      <w:pPr>
        <w:pBdr>
          <w:top w:val="nil"/>
          <w:left w:val="nil"/>
          <w:bottom w:val="nil"/>
          <w:right w:val="nil"/>
          <w:between w:val="nil"/>
        </w:pBdr>
        <w:ind w:right="992"/>
        <w:jc w:val="both"/>
        <w:rPr>
          <w:rFonts w:ascii="Palatino Linotype" w:eastAsia="Palatino Linotype" w:hAnsi="Palatino Linotype" w:cs="Palatino Linotype"/>
          <w:b/>
          <w:color w:val="000000"/>
        </w:rPr>
      </w:pPr>
      <w:r w:rsidRPr="00E9553D">
        <w:rPr>
          <w:rFonts w:ascii="Palatino Linotype" w:eastAsia="Palatino Linotype" w:hAnsi="Palatino Linotype" w:cs="Palatino Linotype"/>
          <w:b/>
          <w:color w:val="000000"/>
        </w:rPr>
        <w:t>00033/CUAUTIZC/IP/2026</w:t>
      </w:r>
    </w:p>
    <w:p w:rsidR="00CC692E" w:rsidRPr="00E9553D" w:rsidRDefault="00CC692E" w:rsidP="00CC692E">
      <w:pPr>
        <w:pBdr>
          <w:top w:val="nil"/>
          <w:left w:val="nil"/>
          <w:bottom w:val="nil"/>
          <w:right w:val="nil"/>
          <w:between w:val="nil"/>
        </w:pBdr>
        <w:ind w:right="992"/>
        <w:jc w:val="both"/>
        <w:rPr>
          <w:rFonts w:ascii="Palatino Linotype" w:eastAsia="Palatino Linotype" w:hAnsi="Palatino Linotype" w:cs="Palatino Linotype"/>
          <w:b/>
          <w:color w:val="000000"/>
        </w:rPr>
      </w:pPr>
    </w:p>
    <w:p w:rsidR="00766EAE" w:rsidRPr="00E9553D" w:rsidRDefault="00766EAE" w:rsidP="00CC692E">
      <w:pPr>
        <w:numPr>
          <w:ilvl w:val="0"/>
          <w:numId w:val="2"/>
        </w:numPr>
        <w:pBdr>
          <w:top w:val="nil"/>
          <w:left w:val="nil"/>
          <w:bottom w:val="nil"/>
          <w:right w:val="nil"/>
          <w:between w:val="nil"/>
        </w:pBdr>
        <w:ind w:left="709" w:right="992" w:hanging="283"/>
        <w:jc w:val="both"/>
        <w:rPr>
          <w:rFonts w:ascii="Palatino Linotype" w:eastAsia="Palatino Linotype" w:hAnsi="Palatino Linotype" w:cs="Palatino Linotype"/>
          <w:color w:val="000000"/>
        </w:rPr>
      </w:pPr>
      <w:r w:rsidRPr="00E9553D">
        <w:rPr>
          <w:rFonts w:ascii="Palatino Linotype" w:eastAsia="Palatino Linotype" w:hAnsi="Palatino Linotype" w:cs="Palatino Linotype"/>
          <w:b/>
          <w:color w:val="000000"/>
        </w:rPr>
        <w:t xml:space="preserve">Acto impugnado: </w:t>
      </w:r>
      <w:r w:rsidRPr="00E9553D">
        <w:rPr>
          <w:rFonts w:ascii="Palatino Linotype" w:eastAsia="Palatino Linotype" w:hAnsi="Palatino Linotype" w:cs="Palatino Linotype"/>
          <w:i/>
          <w:color w:val="000000"/>
        </w:rPr>
        <w:t>“</w:t>
      </w:r>
      <w:r w:rsidR="00CC692E" w:rsidRPr="00E9553D">
        <w:rPr>
          <w:rFonts w:ascii="Palatino Linotype" w:hAnsi="Palatino Linotype"/>
          <w:i/>
          <w:color w:val="000000"/>
        </w:rPr>
        <w:t>Se solicita un informe desglosado relativo al gasto por $181,000,000.00 (ciento ochenta y un millones de pesos 00/100 M.N.) ejercido en servicios profesionales, científicos y técnicos integrales, mismo que se encuentra relacionado con el Estado Analítico del Ejercicio del Presupuesto, dentro del Capítulo 3000 “Servicios Generales”, partida 3290 “Servicios profesionales, científicos y técnicos integrales”, misma que deberá ser requerida al Presidente Municipal, que contenga: a) Servicios específicos contratados. b) Nombre o razón social de las personas físicas o morales proveedoras. c) Modalidad de contratación utilizada en cada caso. d) Objeto del contrato y actividades realizadas. e) Monto pagado por cada servicio.</w:t>
      </w:r>
      <w:r w:rsidRPr="00E9553D">
        <w:rPr>
          <w:rFonts w:ascii="Palatino Linotype" w:hAnsi="Palatino Linotype"/>
          <w:i/>
          <w:color w:val="000000"/>
        </w:rPr>
        <w:t>.</w:t>
      </w:r>
      <w:r w:rsidRPr="00E9553D">
        <w:rPr>
          <w:rFonts w:ascii="Palatino Linotype" w:eastAsia="Palatino Linotype" w:hAnsi="Palatino Linotype" w:cs="Palatino Linotype"/>
          <w:i/>
          <w:color w:val="000000"/>
        </w:rPr>
        <w:t>”</w:t>
      </w:r>
    </w:p>
    <w:p w:rsidR="00CC692E" w:rsidRPr="00E9553D" w:rsidRDefault="00CC692E" w:rsidP="00CC692E">
      <w:pPr>
        <w:pBdr>
          <w:top w:val="nil"/>
          <w:left w:val="nil"/>
          <w:bottom w:val="nil"/>
          <w:right w:val="nil"/>
          <w:between w:val="nil"/>
        </w:pBdr>
        <w:spacing w:line="360" w:lineRule="auto"/>
        <w:ind w:left="709" w:right="992"/>
        <w:jc w:val="both"/>
        <w:rPr>
          <w:rFonts w:ascii="Palatino Linotype" w:eastAsia="Palatino Linotype" w:hAnsi="Palatino Linotype" w:cs="Palatino Linotype"/>
          <w:color w:val="000000"/>
        </w:rPr>
      </w:pPr>
    </w:p>
    <w:p w:rsidR="00766EAE" w:rsidRPr="00E9553D" w:rsidRDefault="00766EAE" w:rsidP="00CC692E">
      <w:pPr>
        <w:numPr>
          <w:ilvl w:val="0"/>
          <w:numId w:val="2"/>
        </w:numPr>
        <w:pBdr>
          <w:top w:val="nil"/>
          <w:left w:val="nil"/>
          <w:bottom w:val="nil"/>
          <w:right w:val="nil"/>
          <w:between w:val="nil"/>
        </w:pBdr>
        <w:ind w:left="709" w:right="992" w:hanging="283"/>
        <w:jc w:val="both"/>
        <w:rPr>
          <w:rFonts w:ascii="Palatino Linotype" w:eastAsia="Palatino Linotype" w:hAnsi="Palatino Linotype" w:cs="Palatino Linotype"/>
          <w:i/>
          <w:color w:val="000000"/>
        </w:rPr>
      </w:pPr>
      <w:r w:rsidRPr="00E9553D">
        <w:rPr>
          <w:rFonts w:ascii="Palatino Linotype" w:eastAsia="Palatino Linotype" w:hAnsi="Palatino Linotype" w:cs="Palatino Linotype"/>
          <w:b/>
          <w:color w:val="000000"/>
        </w:rPr>
        <w:t xml:space="preserve">Motivos o razones de inconformidad: </w:t>
      </w:r>
      <w:r w:rsidRPr="00E9553D">
        <w:rPr>
          <w:rFonts w:ascii="Palatino Linotype" w:eastAsia="Palatino Linotype" w:hAnsi="Palatino Linotype" w:cs="Palatino Linotype"/>
          <w:color w:val="000000"/>
        </w:rPr>
        <w:t>“</w:t>
      </w:r>
      <w:r w:rsidR="00CC692E" w:rsidRPr="00E9553D">
        <w:rPr>
          <w:rFonts w:ascii="Palatino Linotype" w:eastAsia="Palatino Linotype" w:hAnsi="Palatino Linotype" w:cs="Palatino Linotype"/>
          <w:i/>
          <w:color w:val="000000"/>
        </w:rPr>
        <w:t xml:space="preserve">El sujeto obligado no emitió una respuesta de fondo a la solicitud de información presentada, limitándose a formular un requerimiento de aclaración en el que señaló supuestas inconsistencias respecto a la identificación de la partida presupuestal, así como la falta de precisión del ejercicio fiscal y del trimestre correspondiente. Si bien es cierto que dentro de la solicitud se mencionó de manera incorrecta una partida presupuestal, también lo es que la petición sí contenía elementos suficientes para identificar la información requerida, ya que se precisó el monto del gasto por $181,000,000.00, el concepto correspondiente a servicios profesionales, científicos y técnicos integrales, así como su relación con el Capítulo 3000 “Servicios Generales” del Estado Analítico del Ejercicio del Presupuesto. En ese sentido, aun cuando existiera alguna imprecisión en la referencia </w:t>
      </w:r>
      <w:r w:rsidR="00CC692E" w:rsidRPr="00E9553D">
        <w:rPr>
          <w:rFonts w:ascii="Palatino Linotype" w:eastAsia="Palatino Linotype" w:hAnsi="Palatino Linotype" w:cs="Palatino Linotype"/>
          <w:i/>
          <w:color w:val="000000"/>
        </w:rPr>
        <w:lastRenderedPageBreak/>
        <w:t>numérica de la partida, la autoridad contaba con elementos suficientes para identificar el rubro presupuestal al que se refiere la solicitud y, en consecuencia, realizar una búsqueda de la información en las áreas administrativas competentes, en lugar de limitarse a formular un requerimiento de aclaración que impidió el acceso a la información solicitada. Asimismo, mediante el presente recurso se precisa que la información solicitada corresponde al ejercicio fiscal 2026, relativa al gasto ejercido en servicios profesionales, científicos y técnicos integrales dentro del Capítulo 3000 “Servicios Generales”. Por lo anterior, se solicita que se tenga por aclarada la solicitud de información y se ordene al sujeto obligado emitir una respuesta de fondo, realizando una búsqueda exhaustiva en las áreas competentes y proporcionando el informe desglosado relativo al gasto ejercido en servicios profesionales, científicos y técnicos integrales, con los elementos solicitados en la petición original.</w:t>
      </w:r>
      <w:r w:rsidRPr="00E9553D">
        <w:rPr>
          <w:rFonts w:ascii="Palatino Linotype" w:eastAsia="Palatino Linotype" w:hAnsi="Palatino Linotype" w:cs="Palatino Linotype"/>
          <w:i/>
          <w:color w:val="000000"/>
        </w:rPr>
        <w:t>.</w:t>
      </w:r>
      <w:r w:rsidRPr="00E9553D">
        <w:rPr>
          <w:rFonts w:ascii="Palatino Linotype" w:eastAsia="Palatino Linotype" w:hAnsi="Palatino Linotype" w:cs="Palatino Linotype"/>
          <w:b/>
          <w:i/>
          <w:color w:val="000000"/>
        </w:rPr>
        <w:t>”</w:t>
      </w:r>
    </w:p>
    <w:p w:rsidR="00CC692E" w:rsidRPr="00E9553D" w:rsidRDefault="00CC692E" w:rsidP="00CC692E">
      <w:pPr>
        <w:pBdr>
          <w:top w:val="nil"/>
          <w:left w:val="nil"/>
          <w:bottom w:val="nil"/>
          <w:right w:val="nil"/>
          <w:between w:val="nil"/>
        </w:pBdr>
        <w:spacing w:line="360" w:lineRule="auto"/>
        <w:ind w:right="541"/>
        <w:jc w:val="both"/>
        <w:rPr>
          <w:rFonts w:ascii="Palatino Linotype" w:eastAsia="Palatino Linotype" w:hAnsi="Palatino Linotype" w:cs="Palatino Linotype"/>
          <w:color w:val="000000"/>
        </w:rPr>
      </w:pPr>
    </w:p>
    <w:p w:rsidR="00CC692E" w:rsidRPr="00E9553D" w:rsidRDefault="00CC692E" w:rsidP="00CC692E">
      <w:pPr>
        <w:pBdr>
          <w:top w:val="nil"/>
          <w:left w:val="nil"/>
          <w:bottom w:val="nil"/>
          <w:right w:val="nil"/>
          <w:between w:val="nil"/>
        </w:pBdr>
        <w:spacing w:line="360" w:lineRule="auto"/>
        <w:ind w:right="541"/>
        <w:jc w:val="both"/>
        <w:rPr>
          <w:rFonts w:ascii="Palatino Linotype" w:eastAsia="Palatino Linotype" w:hAnsi="Palatino Linotype" w:cs="Palatino Linotype"/>
          <w:b/>
          <w:bCs/>
          <w:color w:val="000000"/>
        </w:rPr>
      </w:pPr>
      <w:r w:rsidRPr="00E9553D">
        <w:rPr>
          <w:rFonts w:ascii="Palatino Linotype" w:eastAsia="Palatino Linotype" w:hAnsi="Palatino Linotype" w:cs="Palatino Linotype"/>
          <w:b/>
          <w:bCs/>
          <w:color w:val="000000"/>
        </w:rPr>
        <w:t>00036/CUAUTIZC/IP/2026</w:t>
      </w:r>
    </w:p>
    <w:p w:rsidR="00CC692E" w:rsidRPr="00E9553D" w:rsidRDefault="00CC692E" w:rsidP="00CC692E">
      <w:pPr>
        <w:numPr>
          <w:ilvl w:val="0"/>
          <w:numId w:val="2"/>
        </w:numPr>
        <w:pBdr>
          <w:top w:val="nil"/>
          <w:left w:val="nil"/>
          <w:bottom w:val="nil"/>
          <w:right w:val="nil"/>
          <w:between w:val="nil"/>
        </w:pBdr>
        <w:ind w:left="709" w:right="992" w:hanging="283"/>
        <w:jc w:val="both"/>
        <w:rPr>
          <w:rFonts w:ascii="Palatino Linotype" w:eastAsia="Palatino Linotype" w:hAnsi="Palatino Linotype" w:cs="Palatino Linotype"/>
          <w:color w:val="000000"/>
        </w:rPr>
      </w:pPr>
      <w:r w:rsidRPr="00E9553D">
        <w:rPr>
          <w:rFonts w:ascii="Palatino Linotype" w:eastAsia="Palatino Linotype" w:hAnsi="Palatino Linotype" w:cs="Palatino Linotype"/>
          <w:b/>
          <w:color w:val="000000"/>
        </w:rPr>
        <w:t xml:space="preserve">Acto impugnado: </w:t>
      </w:r>
      <w:r w:rsidRPr="00E9553D">
        <w:rPr>
          <w:rFonts w:ascii="Palatino Linotype" w:eastAsia="Palatino Linotype" w:hAnsi="Palatino Linotype" w:cs="Palatino Linotype"/>
          <w:i/>
          <w:color w:val="000000"/>
        </w:rPr>
        <w:t>“</w:t>
      </w:r>
      <w:r w:rsidRPr="00E9553D">
        <w:rPr>
          <w:rFonts w:ascii="Palatino Linotype" w:hAnsi="Palatino Linotype"/>
          <w:i/>
          <w:color w:val="000000"/>
        </w:rPr>
        <w:t>El requerimiento de aclaración emitido por el sujeto obligado del Ayuntamiento de Cuautitlán Izcalli, mediante el cual se solicitó al particular precisar diversos elementos de la solicitud de información presentada bajo el folio 00036/CUAUTIZC/IP/2026, con fundamento en el artículo 159 de la Ley de Transparencia y Acceso a la Información Pública del Estado de México y Municipios, señalando supuestas inconsistencias relativas a la identificación de la partida presupuestal, así como la falta de precisión respecto del ejercicio fiscal y del trimestre del presupuesto solicitado, lo cual tuvo como consecuencia que no se emitiera una respuesta de fondo a la solicitud de información.”</w:t>
      </w:r>
    </w:p>
    <w:p w:rsidR="00CC692E" w:rsidRPr="00E9553D" w:rsidRDefault="00CC692E" w:rsidP="00CC692E">
      <w:pPr>
        <w:pBdr>
          <w:top w:val="nil"/>
          <w:left w:val="nil"/>
          <w:bottom w:val="nil"/>
          <w:right w:val="nil"/>
          <w:between w:val="nil"/>
        </w:pBdr>
        <w:spacing w:line="360" w:lineRule="auto"/>
        <w:ind w:left="709" w:right="992"/>
        <w:jc w:val="both"/>
        <w:rPr>
          <w:rFonts w:ascii="Palatino Linotype" w:eastAsia="Palatino Linotype" w:hAnsi="Palatino Linotype" w:cs="Palatino Linotype"/>
          <w:color w:val="000000"/>
        </w:rPr>
      </w:pPr>
    </w:p>
    <w:p w:rsidR="00CC692E" w:rsidRPr="00E9553D" w:rsidRDefault="00CC692E" w:rsidP="00CC692E">
      <w:pPr>
        <w:numPr>
          <w:ilvl w:val="0"/>
          <w:numId w:val="2"/>
        </w:numPr>
        <w:pBdr>
          <w:top w:val="nil"/>
          <w:left w:val="nil"/>
          <w:bottom w:val="nil"/>
          <w:right w:val="nil"/>
          <w:between w:val="nil"/>
        </w:pBdr>
        <w:ind w:left="709" w:right="992" w:hanging="283"/>
        <w:jc w:val="both"/>
        <w:rPr>
          <w:rFonts w:ascii="Palatino Linotype" w:eastAsia="Palatino Linotype" w:hAnsi="Palatino Linotype" w:cs="Palatino Linotype"/>
          <w:i/>
          <w:color w:val="000000"/>
        </w:rPr>
      </w:pPr>
      <w:r w:rsidRPr="00E9553D">
        <w:rPr>
          <w:rFonts w:ascii="Palatino Linotype" w:eastAsia="Palatino Linotype" w:hAnsi="Palatino Linotype" w:cs="Palatino Linotype"/>
          <w:b/>
          <w:color w:val="000000"/>
        </w:rPr>
        <w:t xml:space="preserve">Motivos o razones de inconformidad: </w:t>
      </w:r>
      <w:r w:rsidRPr="00E9553D">
        <w:rPr>
          <w:rFonts w:ascii="Palatino Linotype" w:eastAsia="Palatino Linotype" w:hAnsi="Palatino Linotype" w:cs="Palatino Linotype"/>
          <w:color w:val="000000"/>
        </w:rPr>
        <w:t>“</w:t>
      </w:r>
    </w:p>
    <w:p w:rsidR="00CC692E" w:rsidRPr="00E9553D" w:rsidRDefault="00CC692E" w:rsidP="00CC692E">
      <w:pPr>
        <w:pBdr>
          <w:top w:val="nil"/>
          <w:left w:val="nil"/>
          <w:bottom w:val="nil"/>
          <w:right w:val="nil"/>
          <w:between w:val="nil"/>
        </w:pBdr>
        <w:ind w:left="709" w:right="992"/>
        <w:jc w:val="both"/>
        <w:rPr>
          <w:rFonts w:ascii="Palatino Linotype" w:eastAsia="Palatino Linotype" w:hAnsi="Palatino Linotype" w:cs="Palatino Linotype"/>
          <w:i/>
          <w:color w:val="000000"/>
        </w:rPr>
      </w:pPr>
      <w:r w:rsidRPr="00E9553D">
        <w:rPr>
          <w:rFonts w:ascii="Palatino Linotype" w:hAnsi="Palatino Linotype"/>
          <w:i/>
          <w:color w:val="000000"/>
        </w:rPr>
        <w:t>El acto impugnado vulnera el derecho de acceso a la información p</w:t>
      </w:r>
      <w:r w:rsidRPr="00E9553D">
        <w:rPr>
          <w:rFonts w:ascii="Palatino Linotype" w:eastAsia="Palatino Linotype" w:hAnsi="Palatino Linotype" w:cs="Palatino Linotype"/>
          <w:i/>
          <w:color w:val="000000"/>
        </w:rPr>
        <w:t xml:space="preserve">ública, toda vez que el sujeto obligado no emitió una respuesta de fondo a la solicitud presentada, limitándose a formular un requerimiento de aclaración respecto de ciertos elementos de la solicitud. Si bien dentro de la solicitud se señaló inicialmente una referencia incorrecta en la identificación de la partida presupuestal, lo cierto es que la petición sí contenía elementos suficientes para identificar la información requerida, al precisar el monto del gasto por $181,000,000.00, el concepto correspondiente a servicios profesionales, científicos y técnicos integrales, así como su relación con el Capítulo 3000 “Servicios Generales” del Estado Analítico del Ejercicio del Presupuesto. Asimismo, mediante el presente recurso se precisa que la información solicitada </w:t>
      </w:r>
      <w:r w:rsidRPr="00E9553D">
        <w:rPr>
          <w:rFonts w:ascii="Palatino Linotype" w:eastAsia="Palatino Linotype" w:hAnsi="Palatino Linotype" w:cs="Palatino Linotype"/>
          <w:i/>
          <w:color w:val="000000"/>
        </w:rPr>
        <w:lastRenderedPageBreak/>
        <w:t>corresponde a la partida 3390 “Servicios profesionales, científicos y técnicos integrales”, relativa al ejercicio fiscal 2026, respecto del gasto ejercido dentro de dicho rubro. En ese sentido, aun cuando existiera una imprecisión inicial en la referencia de la partida, la solicitud permitía identificar el rubro presupuestal al que se refiere la información solicitada, por lo que el sujeto obligado contaba con elementos suficientes para realizar la búsqueda correspondiente en las áreas administrativas competentes. En consecuencia, se solicita que se tenga por aclarada la solicitud de información mediante el presente recurso, y se ordene al sujeto obligado emitir una respuesta de fondo, realizando una búsqueda exhaustiva en las áreas competentes y proporcionando el informe desglosado relativo al gasto ejercido en servicios profesionales, científicos y técnicos integrales, incluyendo los servicios contratados, el nombre o razón social de los proveedores, la modalidad de contratación utilizada, el objeto de los contratos y el monto pagado por cada servicio</w:t>
      </w:r>
      <w:r w:rsidRPr="00E9553D">
        <w:rPr>
          <w:rFonts w:ascii="Palatino Linotype" w:eastAsia="Palatino Linotype" w:hAnsi="Palatino Linotype" w:cs="Palatino Linotype"/>
          <w:b/>
          <w:i/>
          <w:color w:val="000000"/>
        </w:rPr>
        <w:t>”</w:t>
      </w:r>
    </w:p>
    <w:p w:rsidR="00CC692E" w:rsidRPr="00E9553D" w:rsidRDefault="00CC692E" w:rsidP="00CC692E">
      <w:pPr>
        <w:pBdr>
          <w:top w:val="nil"/>
          <w:left w:val="nil"/>
          <w:bottom w:val="nil"/>
          <w:right w:val="nil"/>
          <w:between w:val="nil"/>
        </w:pBdr>
        <w:spacing w:line="360" w:lineRule="auto"/>
        <w:ind w:right="541"/>
        <w:jc w:val="both"/>
        <w:rPr>
          <w:rFonts w:ascii="Palatino Linotype" w:eastAsia="Palatino Linotype" w:hAnsi="Palatino Linotype" w:cs="Palatino Linotype"/>
          <w:color w:val="000000"/>
        </w:rPr>
      </w:pPr>
    </w:p>
    <w:p w:rsidR="00CC692E"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E9553D">
        <w:rPr>
          <w:rFonts w:ascii="Palatino Linotype" w:eastAsia="Palatino Linotype" w:hAnsi="Palatino Linotype" w:cs="Palatino Linotype"/>
          <w:b/>
          <w:color w:val="auto"/>
          <w:sz w:val="24"/>
          <w:szCs w:val="24"/>
        </w:rPr>
        <w:t>ADMISIÓN</w:t>
      </w:r>
    </w:p>
    <w:p w:rsidR="00766EAE" w:rsidRPr="00E9553D" w:rsidRDefault="00CC692E" w:rsidP="00766EAE">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E9553D">
        <w:rPr>
          <w:rFonts w:ascii="Palatino Linotype" w:eastAsia="Palatino Linotype" w:hAnsi="Palatino Linotype" w:cs="Palatino Linotype"/>
          <w:color w:val="000000"/>
        </w:rPr>
        <w:t>Se registraron los</w:t>
      </w:r>
      <w:r w:rsidR="00766EAE" w:rsidRPr="00E9553D">
        <w:rPr>
          <w:rFonts w:ascii="Palatino Linotype" w:eastAsia="Palatino Linotype" w:hAnsi="Palatino Linotype" w:cs="Palatino Linotype"/>
          <w:color w:val="000000"/>
        </w:rPr>
        <w:t xml:space="preserve"> recurso</w:t>
      </w:r>
      <w:r w:rsidRPr="00E9553D">
        <w:rPr>
          <w:rFonts w:ascii="Palatino Linotype" w:eastAsia="Palatino Linotype" w:hAnsi="Palatino Linotype" w:cs="Palatino Linotype"/>
          <w:color w:val="000000"/>
        </w:rPr>
        <w:t>s de revisión bajo los</w:t>
      </w:r>
      <w:r w:rsidR="00766EAE" w:rsidRPr="00E9553D">
        <w:rPr>
          <w:rFonts w:ascii="Palatino Linotype" w:eastAsia="Palatino Linotype" w:hAnsi="Palatino Linotype" w:cs="Palatino Linotype"/>
          <w:color w:val="000000"/>
        </w:rPr>
        <w:t xml:space="preserve"> número</w:t>
      </w:r>
      <w:r w:rsidRPr="00E9553D">
        <w:rPr>
          <w:rFonts w:ascii="Palatino Linotype" w:eastAsia="Palatino Linotype" w:hAnsi="Palatino Linotype" w:cs="Palatino Linotype"/>
          <w:color w:val="000000"/>
        </w:rPr>
        <w:t>s</w:t>
      </w:r>
      <w:r w:rsidR="00766EAE" w:rsidRPr="00E9553D">
        <w:rPr>
          <w:rFonts w:ascii="Palatino Linotype" w:eastAsia="Palatino Linotype" w:hAnsi="Palatino Linotype" w:cs="Palatino Linotype"/>
          <w:color w:val="000000"/>
        </w:rPr>
        <w:t xml:space="preserve"> de expediente al rubro indicado, asimismo con fundamento en lo dispuesto por el artículo 185 fracción I de la </w:t>
      </w:r>
      <w:r w:rsidR="00766EAE" w:rsidRPr="00E9553D">
        <w:rPr>
          <w:rFonts w:ascii="Palatino Linotype" w:eastAsia="Palatino Linotype" w:hAnsi="Palatino Linotype" w:cs="Palatino Linotype"/>
          <w:b/>
          <w:color w:val="000000"/>
        </w:rPr>
        <w:t xml:space="preserve">Ley de Transparencia y Acceso a la Información Pública del Estado de México y Municipios </w:t>
      </w:r>
      <w:r w:rsidR="00766EAE" w:rsidRPr="00E9553D">
        <w:rPr>
          <w:rFonts w:ascii="Palatino Linotype" w:eastAsia="Palatino Linotype" w:hAnsi="Palatino Linotype" w:cs="Palatino Linotype"/>
          <w:color w:val="000000"/>
        </w:rPr>
        <w:t xml:space="preserve">se </w:t>
      </w:r>
      <w:r w:rsidR="00766EAE" w:rsidRPr="00E9553D">
        <w:rPr>
          <w:rFonts w:ascii="Palatino Linotype" w:eastAsia="Palatino Linotype" w:hAnsi="Palatino Linotype" w:cs="Palatino Linotype"/>
        </w:rPr>
        <w:t>turna</w:t>
      </w:r>
      <w:r w:rsidR="00766EAE" w:rsidRPr="00E9553D">
        <w:rPr>
          <w:rFonts w:ascii="Palatino Linotype" w:eastAsia="Palatino Linotype" w:hAnsi="Palatino Linotype" w:cs="Palatino Linotype"/>
          <w:color w:val="000000"/>
        </w:rPr>
        <w:t xml:space="preserve"> a la </w:t>
      </w:r>
      <w:r w:rsidR="00766EAE" w:rsidRPr="00E9553D">
        <w:rPr>
          <w:rFonts w:ascii="Palatino Linotype" w:eastAsia="Palatino Linotype" w:hAnsi="Palatino Linotype" w:cs="Palatino Linotype"/>
          <w:b/>
          <w:color w:val="000000"/>
        </w:rPr>
        <w:t xml:space="preserve">Comisionada María del Rosario Mejía Ayala, </w:t>
      </w:r>
      <w:r w:rsidR="00766EAE" w:rsidRPr="00E9553D">
        <w:rPr>
          <w:rFonts w:ascii="Palatino Linotype" w:eastAsia="Palatino Linotype" w:hAnsi="Palatino Linotype" w:cs="Palatino Linotype"/>
        </w:rPr>
        <w:t>para</w:t>
      </w:r>
      <w:r w:rsidR="00766EAE" w:rsidRPr="00E9553D">
        <w:rPr>
          <w:rFonts w:ascii="Palatino Linotype" w:eastAsia="Palatino Linotype" w:hAnsi="Palatino Linotype" w:cs="Palatino Linotype"/>
          <w:color w:val="000000"/>
        </w:rPr>
        <w:t xml:space="preserve"> su análisis.</w:t>
      </w:r>
    </w:p>
    <w:p w:rsidR="00F92B16" w:rsidRPr="00E9553D" w:rsidRDefault="00F92B16" w:rsidP="00F92B1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6EAE" w:rsidRPr="00E9553D" w:rsidRDefault="00F92B16" w:rsidP="00957601">
      <w:pPr>
        <w:pStyle w:val="Ttulo1"/>
        <w:tabs>
          <w:tab w:val="left" w:pos="567"/>
        </w:tabs>
        <w:spacing w:before="0" w:line="360" w:lineRule="auto"/>
        <w:ind w:right="-518"/>
        <w:jc w:val="center"/>
        <w:rPr>
          <w:rFonts w:ascii="Palatino Linotype" w:eastAsia="Palatino Linotype" w:hAnsi="Palatino Linotype" w:cs="Palatino Linotype"/>
          <w:b/>
          <w:sz w:val="24"/>
          <w:szCs w:val="24"/>
        </w:rPr>
      </w:pPr>
      <w:r w:rsidRPr="00E9553D">
        <w:rPr>
          <w:rFonts w:ascii="Palatino Linotype" w:eastAsia="Palatino Linotype" w:hAnsi="Palatino Linotype" w:cs="Palatino Linotype"/>
          <w:b/>
          <w:color w:val="auto"/>
          <w:sz w:val="24"/>
          <w:szCs w:val="24"/>
        </w:rPr>
        <w:t>MANIFESTACIONES</w:t>
      </w:r>
    </w:p>
    <w:p w:rsidR="00766EAE" w:rsidRPr="00E9553D" w:rsidRDefault="00766EAE" w:rsidP="00766EAE">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E9553D">
        <w:rPr>
          <w:rFonts w:ascii="Palatino Linotype" w:eastAsia="Palatino Linotype" w:hAnsi="Palatino Linotype" w:cs="Palatino Linotype"/>
          <w:color w:val="000000"/>
        </w:rPr>
        <w:t xml:space="preserve">La Comisionada Ponente con fundamento en lo dispuesto por el artículo 185 fracción I, II y IV de la ley de la materia, a través </w:t>
      </w:r>
      <w:r w:rsidR="00CC692E" w:rsidRPr="00E9553D">
        <w:rPr>
          <w:rFonts w:ascii="Palatino Linotype" w:eastAsia="Palatino Linotype" w:hAnsi="Palatino Linotype" w:cs="Palatino Linotype"/>
          <w:color w:val="000000"/>
        </w:rPr>
        <w:t>de los acuerdos de admisión notificados</w:t>
      </w:r>
      <w:r w:rsidRPr="00E9553D">
        <w:rPr>
          <w:rFonts w:ascii="Palatino Linotype" w:eastAsia="Palatino Linotype" w:hAnsi="Palatino Linotype" w:cs="Palatino Linotype"/>
          <w:color w:val="000000"/>
        </w:rPr>
        <w:t xml:space="preserve"> el </w:t>
      </w:r>
      <w:r w:rsidR="00CC692E" w:rsidRPr="00E9553D">
        <w:rPr>
          <w:rFonts w:ascii="Palatino Linotype" w:eastAsia="Palatino Linotype" w:hAnsi="Palatino Linotype" w:cs="Palatino Linotype"/>
          <w:b/>
          <w:color w:val="000000"/>
        </w:rPr>
        <w:t>doce y trece de marzo de dos mil veintiséis</w:t>
      </w:r>
      <w:r w:rsidRPr="00E9553D">
        <w:rPr>
          <w:rFonts w:ascii="Palatino Linotype" w:eastAsia="Palatino Linotype" w:hAnsi="Palatino Linotype" w:cs="Palatino Linotype"/>
          <w:color w:val="000000"/>
        </w:rPr>
        <w:t xml:space="preserve">, puso a disposición de las partes el expediente electrónico vía </w:t>
      </w:r>
      <w:r w:rsidRPr="00E9553D">
        <w:rPr>
          <w:rFonts w:ascii="Palatino Linotype" w:eastAsia="Palatino Linotype" w:hAnsi="Palatino Linotype" w:cs="Palatino Linotype"/>
          <w:b/>
          <w:color w:val="000000"/>
        </w:rPr>
        <w:t xml:space="preserve">SAIMEX </w:t>
      </w:r>
      <w:r w:rsidRPr="00E9553D">
        <w:rPr>
          <w:rFonts w:ascii="Palatino Linotype" w:eastAsia="Palatino Linotype" w:hAnsi="Palatino Linotype" w:cs="Palatino Linotype"/>
          <w:color w:val="000000"/>
        </w:rPr>
        <w:t xml:space="preserve">a efecto de que en un plazo máximo de siete días </w:t>
      </w:r>
      <w:r w:rsidRPr="00E9553D">
        <w:rPr>
          <w:rFonts w:ascii="Palatino Linotype" w:eastAsia="Palatino Linotype" w:hAnsi="Palatino Linotype" w:cs="Palatino Linotype"/>
        </w:rPr>
        <w:t>manifestara</w:t>
      </w:r>
      <w:r w:rsidRPr="00E9553D">
        <w:rPr>
          <w:rFonts w:ascii="Palatino Linotype" w:eastAsia="Palatino Linotype" w:hAnsi="Palatino Linotype" w:cs="Palatino Linotype"/>
          <w:color w:val="000000"/>
        </w:rPr>
        <w:t xml:space="preserve"> lo que a derecho </w:t>
      </w:r>
      <w:r w:rsidRPr="00E9553D">
        <w:rPr>
          <w:rFonts w:ascii="Palatino Linotype" w:eastAsia="Palatino Linotype" w:hAnsi="Palatino Linotype" w:cs="Palatino Linotype"/>
        </w:rPr>
        <w:t>conviniera</w:t>
      </w:r>
      <w:r w:rsidRPr="00E9553D">
        <w:rPr>
          <w:rFonts w:ascii="Palatino Linotype" w:eastAsia="Palatino Linotype" w:hAnsi="Palatino Linotype" w:cs="Palatino Linotype"/>
          <w:color w:val="000000"/>
        </w:rPr>
        <w:t xml:space="preserve">, </w:t>
      </w:r>
      <w:r w:rsidRPr="00E9553D">
        <w:rPr>
          <w:rFonts w:ascii="Palatino Linotype" w:eastAsia="Palatino Linotype" w:hAnsi="Palatino Linotype" w:cs="Palatino Linotype"/>
        </w:rPr>
        <w:t>ofreciera</w:t>
      </w:r>
      <w:r w:rsidRPr="00E9553D">
        <w:rPr>
          <w:rFonts w:ascii="Palatino Linotype" w:eastAsia="Palatino Linotype" w:hAnsi="Palatino Linotype" w:cs="Palatino Linotype"/>
          <w:color w:val="000000"/>
        </w:rPr>
        <w:t xml:space="preserve"> pruebas y alegatos según corresponda al caso concreto, de esta forma para que el </w:t>
      </w:r>
      <w:r w:rsidRPr="00E9553D">
        <w:rPr>
          <w:rFonts w:ascii="Palatino Linotype" w:eastAsia="Palatino Linotype" w:hAnsi="Palatino Linotype" w:cs="Palatino Linotype"/>
          <w:b/>
          <w:color w:val="000000"/>
        </w:rPr>
        <w:t>SUJETO OBLIGADO</w:t>
      </w:r>
      <w:r w:rsidRPr="00E9553D">
        <w:rPr>
          <w:rFonts w:ascii="Palatino Linotype" w:eastAsia="Palatino Linotype" w:hAnsi="Palatino Linotype" w:cs="Palatino Linotype"/>
          <w:color w:val="000000"/>
        </w:rPr>
        <w:t xml:space="preserve"> </w:t>
      </w:r>
      <w:r w:rsidRPr="00E9553D">
        <w:rPr>
          <w:rFonts w:ascii="Palatino Linotype" w:eastAsia="Palatino Linotype" w:hAnsi="Palatino Linotype" w:cs="Palatino Linotype"/>
        </w:rPr>
        <w:t>presentará</w:t>
      </w:r>
      <w:r w:rsidRPr="00E9553D">
        <w:rPr>
          <w:rFonts w:ascii="Palatino Linotype" w:eastAsia="Palatino Linotype" w:hAnsi="Palatino Linotype" w:cs="Palatino Linotype"/>
          <w:color w:val="000000"/>
        </w:rPr>
        <w:t xml:space="preserve"> el informe justificado procedente.</w:t>
      </w:r>
    </w:p>
    <w:p w:rsidR="00766EAE" w:rsidRPr="00E9553D" w:rsidRDefault="00766EAE" w:rsidP="00766EAE">
      <w:pPr>
        <w:pStyle w:val="Prrafodelista"/>
        <w:rPr>
          <w:rFonts w:ascii="Palatino Linotype" w:hAnsi="Palatino Linotype"/>
          <w:i/>
          <w:color w:val="000000"/>
        </w:rPr>
      </w:pPr>
    </w:p>
    <w:p w:rsidR="00766EAE" w:rsidRPr="00E9553D" w:rsidRDefault="00766EAE" w:rsidP="003A41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9553D">
        <w:rPr>
          <w:rFonts w:ascii="Palatino Linotype" w:eastAsia="Palatino Linotype" w:hAnsi="Palatino Linotype" w:cs="Palatino Linotype"/>
          <w:color w:val="000000"/>
        </w:rPr>
        <w:lastRenderedPageBreak/>
        <w:t xml:space="preserve">El </w:t>
      </w:r>
      <w:r w:rsidRPr="00E9553D">
        <w:rPr>
          <w:rFonts w:ascii="Palatino Linotype" w:eastAsia="Palatino Linotype" w:hAnsi="Palatino Linotype" w:cs="Palatino Linotype"/>
          <w:b/>
          <w:color w:val="000000"/>
        </w:rPr>
        <w:t xml:space="preserve">SUJETO OBLIGADO, </w:t>
      </w:r>
      <w:r w:rsidR="00CC692E" w:rsidRPr="00E9553D">
        <w:rPr>
          <w:rFonts w:ascii="Palatino Linotype" w:eastAsia="Palatino Linotype" w:hAnsi="Palatino Linotype" w:cs="Palatino Linotype"/>
          <w:color w:val="000000"/>
        </w:rPr>
        <w:t>rindió los informes justificados correspondientes a través de los archivos siguientes:</w:t>
      </w:r>
    </w:p>
    <w:p w:rsidR="00CC692E" w:rsidRPr="00E9553D" w:rsidRDefault="00CC692E" w:rsidP="00957601">
      <w:pPr>
        <w:pStyle w:val="Prrafodelista"/>
        <w:numPr>
          <w:ilvl w:val="0"/>
          <w:numId w:val="3"/>
        </w:numPr>
        <w:pBdr>
          <w:top w:val="nil"/>
          <w:left w:val="nil"/>
          <w:bottom w:val="nil"/>
          <w:right w:val="nil"/>
          <w:between w:val="nil"/>
        </w:pBdr>
        <w:jc w:val="both"/>
        <w:rPr>
          <w:rFonts w:ascii="Palatino Linotype" w:hAnsi="Palatino Linotype"/>
          <w:b/>
          <w:i/>
        </w:rPr>
      </w:pPr>
      <w:r w:rsidRPr="00E9553D">
        <w:rPr>
          <w:rFonts w:ascii="Palatino Linotype" w:hAnsi="Palatino Linotype"/>
          <w:b/>
          <w:i/>
        </w:rPr>
        <w:t>INFORME JUSTIFICADO RECURSO 3023-INFOEM-IP-RR-2025.pdf</w:t>
      </w:r>
    </w:p>
    <w:p w:rsidR="00CC692E" w:rsidRPr="00E9553D" w:rsidRDefault="00CC692E" w:rsidP="00957601">
      <w:pPr>
        <w:pStyle w:val="Prrafodelista"/>
        <w:numPr>
          <w:ilvl w:val="0"/>
          <w:numId w:val="3"/>
        </w:numPr>
        <w:pBdr>
          <w:top w:val="nil"/>
          <w:left w:val="nil"/>
          <w:bottom w:val="nil"/>
          <w:right w:val="nil"/>
          <w:between w:val="nil"/>
        </w:pBdr>
        <w:jc w:val="both"/>
        <w:rPr>
          <w:rFonts w:ascii="Palatino Linotype" w:hAnsi="Palatino Linotype"/>
          <w:b/>
          <w:i/>
        </w:rPr>
      </w:pPr>
      <w:r w:rsidRPr="00E9553D">
        <w:rPr>
          <w:rFonts w:ascii="Palatino Linotype" w:hAnsi="Palatino Linotype"/>
          <w:b/>
          <w:i/>
        </w:rPr>
        <w:t>INFORME JUSTIFICADO RECURSO 3026-INFOEM-IP-RR-2025.pdf</w:t>
      </w:r>
    </w:p>
    <w:p w:rsidR="00957601" w:rsidRPr="00E9553D" w:rsidRDefault="00957601" w:rsidP="00957601">
      <w:pPr>
        <w:pStyle w:val="Prrafodelista"/>
        <w:pBdr>
          <w:top w:val="nil"/>
          <w:left w:val="nil"/>
          <w:bottom w:val="nil"/>
          <w:right w:val="nil"/>
          <w:between w:val="nil"/>
        </w:pBdr>
        <w:jc w:val="both"/>
        <w:rPr>
          <w:rFonts w:ascii="Palatino Linotype" w:hAnsi="Palatino Linotype"/>
          <w:b/>
          <w:i/>
        </w:rPr>
      </w:pPr>
    </w:p>
    <w:p w:rsidR="00F92B16" w:rsidRPr="00E9553D" w:rsidRDefault="00CC692E" w:rsidP="00F92B16">
      <w:pPr>
        <w:pBdr>
          <w:top w:val="nil"/>
          <w:left w:val="nil"/>
          <w:bottom w:val="nil"/>
          <w:right w:val="nil"/>
          <w:between w:val="nil"/>
        </w:pBdr>
        <w:ind w:left="709" w:right="850"/>
        <w:jc w:val="both"/>
        <w:rPr>
          <w:rFonts w:ascii="Palatino Linotype" w:hAnsi="Palatino Linotype"/>
        </w:rPr>
      </w:pPr>
      <w:r w:rsidRPr="00E9553D">
        <w:rPr>
          <w:rFonts w:ascii="Palatino Linotype" w:hAnsi="Palatino Linotype"/>
        </w:rPr>
        <w:t xml:space="preserve">Informes Justificados por el que la Coordinadora de Transparencia informo que el solicitante no atendió </w:t>
      </w:r>
      <w:r w:rsidR="00F92B16" w:rsidRPr="00E9553D">
        <w:rPr>
          <w:rFonts w:ascii="Palatino Linotype" w:hAnsi="Palatino Linotype"/>
        </w:rPr>
        <w:t>la aclaración realizada por el Tesorero Municipal y manifestó que el recurso de revisión no es el medio para realizar la aclaración, solicitando se tenga por atendidas las solicitudes de información que nos ocupan.</w:t>
      </w:r>
    </w:p>
    <w:p w:rsidR="00766EAE" w:rsidRPr="00E9553D" w:rsidRDefault="00766EAE" w:rsidP="00766EAE">
      <w:pPr>
        <w:pBdr>
          <w:top w:val="nil"/>
          <w:left w:val="nil"/>
          <w:bottom w:val="nil"/>
          <w:right w:val="nil"/>
          <w:between w:val="nil"/>
        </w:pBdr>
        <w:spacing w:line="360" w:lineRule="auto"/>
        <w:jc w:val="both"/>
        <w:rPr>
          <w:rFonts w:ascii="Palatino Linotype" w:hAnsi="Palatino Linotype"/>
          <w:color w:val="000000"/>
        </w:rPr>
      </w:pPr>
    </w:p>
    <w:p w:rsidR="00766EAE" w:rsidRPr="00E9553D" w:rsidRDefault="00766EAE" w:rsidP="00766EAE">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E9553D">
        <w:rPr>
          <w:rFonts w:ascii="Palatino Linotype" w:hAnsi="Palatino Linotype"/>
          <w:color w:val="000000"/>
        </w:rPr>
        <w:t xml:space="preserve">El </w:t>
      </w:r>
      <w:r w:rsidRPr="00E9553D">
        <w:rPr>
          <w:rFonts w:ascii="Palatino Linotype" w:hAnsi="Palatino Linotype"/>
          <w:b/>
          <w:color w:val="000000"/>
        </w:rPr>
        <w:t xml:space="preserve">PARTICULAR, </w:t>
      </w:r>
      <w:r w:rsidRPr="00E9553D">
        <w:rPr>
          <w:rFonts w:ascii="Palatino Linotype" w:hAnsi="Palatino Linotype"/>
          <w:color w:val="000000"/>
        </w:rPr>
        <w:t xml:space="preserve">fue omiso en realizar manifestaciones. </w:t>
      </w:r>
    </w:p>
    <w:p w:rsidR="00766EAE" w:rsidRPr="00E9553D" w:rsidRDefault="00766EAE" w:rsidP="00766EAE">
      <w:pPr>
        <w:pBdr>
          <w:top w:val="nil"/>
          <w:left w:val="nil"/>
          <w:bottom w:val="nil"/>
          <w:right w:val="nil"/>
          <w:between w:val="nil"/>
        </w:pBdr>
        <w:spacing w:line="360" w:lineRule="auto"/>
        <w:jc w:val="both"/>
        <w:rPr>
          <w:rFonts w:ascii="Palatino Linotype" w:hAnsi="Palatino Linotype"/>
          <w:color w:val="000000"/>
        </w:rPr>
      </w:pPr>
    </w:p>
    <w:p w:rsidR="00F92B16"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E9553D">
        <w:rPr>
          <w:rFonts w:ascii="Palatino Linotype" w:eastAsia="Palatino Linotype" w:hAnsi="Palatino Linotype" w:cs="Palatino Linotype"/>
          <w:b/>
          <w:color w:val="auto"/>
          <w:sz w:val="24"/>
          <w:szCs w:val="24"/>
        </w:rPr>
        <w:t>AMPLIACIÓN DE PLAZO</w:t>
      </w:r>
    </w:p>
    <w:p w:rsidR="00F92B16" w:rsidRPr="00E9553D" w:rsidRDefault="00F92B16" w:rsidP="00766EAE">
      <w:pPr>
        <w:pBdr>
          <w:top w:val="nil"/>
          <w:left w:val="nil"/>
          <w:bottom w:val="nil"/>
          <w:right w:val="nil"/>
          <w:between w:val="nil"/>
        </w:pBdr>
        <w:spacing w:line="360" w:lineRule="auto"/>
        <w:jc w:val="both"/>
        <w:rPr>
          <w:rFonts w:ascii="Palatino Linotype" w:hAnsi="Palatino Linotype"/>
          <w:color w:val="000000"/>
        </w:rPr>
      </w:pPr>
    </w:p>
    <w:p w:rsidR="00F92B16" w:rsidRDefault="00766EAE" w:rsidP="00F92B1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9553D">
        <w:rPr>
          <w:rFonts w:ascii="Palatino Linotype" w:eastAsia="Palatino Linotype" w:hAnsi="Palatino Linotype" w:cs="Palatino Linotype"/>
          <w:color w:val="000000"/>
        </w:rPr>
        <w:t xml:space="preserve">El </w:t>
      </w:r>
      <w:r w:rsidR="00F7262A" w:rsidRPr="00E9553D">
        <w:rPr>
          <w:rFonts w:ascii="Palatino Linotype" w:eastAsia="Palatino Linotype" w:hAnsi="Palatino Linotype" w:cs="Palatino Linotype"/>
          <w:b/>
          <w:color w:val="000000"/>
        </w:rPr>
        <w:t>nueve</w:t>
      </w:r>
      <w:r w:rsidR="00F92B16" w:rsidRPr="00E9553D">
        <w:rPr>
          <w:rFonts w:ascii="Palatino Linotype" w:eastAsia="Palatino Linotype" w:hAnsi="Palatino Linotype" w:cs="Palatino Linotype"/>
          <w:b/>
          <w:color w:val="000000"/>
        </w:rPr>
        <w:t xml:space="preserve"> de abril de dos mil veintiséis</w:t>
      </w:r>
      <w:r w:rsidRPr="00E9553D">
        <w:rPr>
          <w:rFonts w:ascii="Palatino Linotype" w:eastAsia="Palatino Linotype" w:hAnsi="Palatino Linotype" w:cs="Palatino Linotype"/>
          <w:color w:val="000000"/>
        </w:rPr>
        <w:t>,</w:t>
      </w:r>
      <w:r w:rsidR="00F92B16" w:rsidRPr="00E9553D">
        <w:rPr>
          <w:rFonts w:ascii="Palatino Linotype" w:eastAsia="Palatino Linotype" w:hAnsi="Palatino Linotype" w:cs="Palatino Linotype"/>
          <w:color w:val="000000"/>
        </w:rPr>
        <w:t xml:space="preserve"> se notificó el acuerdo mediante el cual se aprobó la ampliación de plazo para emitir resolución.</w:t>
      </w:r>
    </w:p>
    <w:p w:rsidR="00E9553D" w:rsidRPr="00E9553D" w:rsidRDefault="00E9553D" w:rsidP="00E9553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92B16" w:rsidRPr="00E9553D" w:rsidRDefault="00F92B16" w:rsidP="00F92B16">
      <w:pPr>
        <w:pStyle w:val="Ttulo1"/>
        <w:tabs>
          <w:tab w:val="left" w:pos="567"/>
        </w:tabs>
        <w:spacing w:before="0" w:line="360" w:lineRule="auto"/>
        <w:ind w:right="-518"/>
        <w:jc w:val="center"/>
        <w:rPr>
          <w:rFonts w:ascii="Palatino Linotype" w:hAnsi="Palatino Linotype"/>
          <w:b/>
          <w:color w:val="000000"/>
          <w:sz w:val="24"/>
          <w:szCs w:val="24"/>
        </w:rPr>
      </w:pPr>
      <w:r w:rsidRPr="00E9553D">
        <w:rPr>
          <w:rFonts w:ascii="Palatino Linotype" w:hAnsi="Palatino Linotype"/>
          <w:b/>
          <w:color w:val="000000"/>
          <w:sz w:val="24"/>
          <w:szCs w:val="24"/>
        </w:rPr>
        <w:t>ACUMULACIÓN</w:t>
      </w:r>
    </w:p>
    <w:p w:rsidR="00F92B16" w:rsidRPr="00E9553D" w:rsidRDefault="00F92B16" w:rsidP="00F92B16">
      <w:pPr>
        <w:numPr>
          <w:ilvl w:val="0"/>
          <w:numId w:val="1"/>
        </w:numPr>
        <w:pBdr>
          <w:top w:val="nil"/>
          <w:left w:val="nil"/>
          <w:bottom w:val="nil"/>
          <w:right w:val="nil"/>
          <w:between w:val="nil"/>
        </w:pBdr>
        <w:spacing w:line="360" w:lineRule="auto"/>
        <w:ind w:left="0" w:firstLine="0"/>
        <w:jc w:val="both"/>
        <w:rPr>
          <w:rFonts w:ascii="Palatino Linotype" w:hAnsi="Palatino Linotype"/>
          <w:iCs/>
        </w:rPr>
      </w:pPr>
      <w:r w:rsidRPr="00E9553D">
        <w:rPr>
          <w:rFonts w:ascii="Palatino Linotype" w:hAnsi="Palatino Linotype" w:cs="Arial"/>
          <w:color w:val="000000"/>
        </w:rPr>
        <w:t xml:space="preserve">Se registraron los recursos de revisión bajo el número de expediente </w:t>
      </w:r>
      <w:r w:rsidRPr="00E9553D">
        <w:rPr>
          <w:rFonts w:ascii="Palatino Linotype" w:eastAsia="MS Mincho" w:hAnsi="Palatino Linotype" w:cs="Arial"/>
          <w:bCs/>
          <w:color w:val="000000"/>
        </w:rPr>
        <w:t>al rubro indicados</w:t>
      </w:r>
      <w:r w:rsidRPr="00E9553D">
        <w:rPr>
          <w:rFonts w:ascii="Palatino Linotype" w:hAnsi="Palatino Linotype" w:cs="Arial"/>
          <w:color w:val="000000"/>
        </w:rPr>
        <w:t>, no obstante</w:t>
      </w:r>
      <w:r w:rsidRPr="00E9553D">
        <w:rPr>
          <w:rFonts w:ascii="Palatino Linotype" w:hAnsi="Palatino Linotype"/>
          <w:iCs/>
        </w:rPr>
        <w:t xml:space="preserve">,  con fundamento en lo dispuesto por el artículo 185 fracción I de la Ley </w:t>
      </w:r>
      <w:r w:rsidRPr="00E9553D">
        <w:rPr>
          <w:rFonts w:ascii="Palatino Linotype" w:hAnsi="Palatino Linotype"/>
          <w:iCs/>
          <w:lang w:eastAsia="en-US"/>
        </w:rPr>
        <w:t>de</w:t>
      </w:r>
      <w:r w:rsidRPr="00E9553D">
        <w:rPr>
          <w:rFonts w:ascii="Palatino Linotype" w:hAnsi="Palatino Linotype"/>
          <w:iCs/>
        </w:rPr>
        <w:t xml:space="preserve"> Transparencia y Acceso a la Información Pública del Estado de México y Municipios, el Pleno de este Órgano Autónomo, mediante acuerdo de </w:t>
      </w:r>
      <w:r w:rsidRPr="00E9553D">
        <w:rPr>
          <w:rFonts w:ascii="Palatino Linotype" w:hAnsi="Palatino Linotype"/>
          <w:b/>
          <w:iCs/>
        </w:rPr>
        <w:t>veinticinco de marzo de dos mil veintiséis</w:t>
      </w:r>
      <w:r w:rsidRPr="00E9553D">
        <w:rPr>
          <w:rFonts w:ascii="Palatino Linotype" w:hAnsi="Palatino Linotype"/>
          <w:iCs/>
        </w:rPr>
        <w:t>, se ordenó la acumulación de los recursos de revisión</w:t>
      </w:r>
      <w:r w:rsidRPr="00E9553D">
        <w:rPr>
          <w:rFonts w:ascii="Palatino Linotype" w:hAnsi="Palatino Linotype"/>
          <w:b/>
          <w:iCs/>
        </w:rPr>
        <w:t xml:space="preserve">; </w:t>
      </w:r>
      <w:r w:rsidRPr="00E9553D">
        <w:rPr>
          <w:rFonts w:ascii="Palatino Linotype" w:hAnsi="Palatino Linotype"/>
          <w:iCs/>
        </w:rPr>
        <w:t xml:space="preserve">a efecto de que ésta Ponencia formulara y presentara el proyecto de resolución correspondiente de conformidad con el numeral </w:t>
      </w:r>
      <w:r w:rsidRPr="00E9553D">
        <w:rPr>
          <w:rFonts w:ascii="Palatino Linotype" w:hAnsi="Palatino Linotype"/>
          <w:b/>
          <w:iCs/>
        </w:rPr>
        <w:t xml:space="preserve">ONCE </w:t>
      </w:r>
      <w:r w:rsidRPr="00E9553D">
        <w:rPr>
          <w:rFonts w:ascii="Palatino Linotype" w:hAnsi="Palatino Linotype"/>
          <w:iCs/>
        </w:rPr>
        <w:t xml:space="preserve">incisos b) y c) de los Lineamientos para la Recepción, Trámite y Resolución </w:t>
      </w:r>
      <w:r w:rsidRPr="00E9553D">
        <w:rPr>
          <w:rFonts w:ascii="Palatino Linotype" w:hAnsi="Palatino Linotype"/>
          <w:iCs/>
        </w:rPr>
        <w:lastRenderedPageBreak/>
        <w:t>de las Solicitudes de Acceso a la Información Pública, así como de los Recursos de Revisión que deberán observar los Sujetos Obligados por la Ley de Transparencia Estatal , que señala:</w:t>
      </w:r>
    </w:p>
    <w:p w:rsidR="00F92B16" w:rsidRPr="00E9553D" w:rsidRDefault="00F92B16" w:rsidP="00F92B16">
      <w:pPr>
        <w:spacing w:line="360" w:lineRule="auto"/>
        <w:ind w:left="567" w:right="49"/>
        <w:jc w:val="both"/>
        <w:rPr>
          <w:rFonts w:ascii="Palatino Linotype" w:hAnsi="Palatino Linotype"/>
          <w:i/>
          <w:iCs/>
        </w:rPr>
      </w:pPr>
      <w:r w:rsidRPr="00E9553D">
        <w:rPr>
          <w:rFonts w:ascii="Palatino Linotype" w:hAnsi="Palatino Linotype"/>
          <w:b/>
          <w:i/>
          <w:iCs/>
        </w:rPr>
        <w:t>ONCE.</w:t>
      </w:r>
      <w:r w:rsidRPr="00E9553D">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rsidR="00F92B16" w:rsidRPr="00E9553D" w:rsidRDefault="00F92B16" w:rsidP="00F92B16">
      <w:pPr>
        <w:spacing w:line="360" w:lineRule="auto"/>
        <w:ind w:left="567" w:right="49"/>
        <w:jc w:val="both"/>
        <w:rPr>
          <w:rFonts w:ascii="Palatino Linotype" w:hAnsi="Palatino Linotype"/>
          <w:i/>
          <w:iCs/>
        </w:rPr>
      </w:pPr>
      <w:r w:rsidRPr="00E9553D">
        <w:rPr>
          <w:rFonts w:ascii="Palatino Linotype" w:hAnsi="Palatino Linotype"/>
          <w:i/>
          <w:iCs/>
        </w:rPr>
        <w:t>…</w:t>
      </w:r>
    </w:p>
    <w:p w:rsidR="00F92B16" w:rsidRPr="00E9553D" w:rsidRDefault="00F92B16" w:rsidP="00F92B16">
      <w:pPr>
        <w:spacing w:line="360" w:lineRule="auto"/>
        <w:ind w:left="567" w:right="49"/>
        <w:jc w:val="both"/>
        <w:rPr>
          <w:rFonts w:ascii="Palatino Linotype" w:hAnsi="Palatino Linotype"/>
          <w:i/>
          <w:iCs/>
        </w:rPr>
      </w:pPr>
      <w:r w:rsidRPr="00E9553D">
        <w:rPr>
          <w:rFonts w:ascii="Palatino Linotype" w:hAnsi="Palatino Linotype"/>
          <w:i/>
          <w:iCs/>
        </w:rPr>
        <w:t>b) Las partes o los actos impugnados sean iguales</w:t>
      </w:r>
    </w:p>
    <w:p w:rsidR="00F92B16" w:rsidRPr="00E9553D" w:rsidRDefault="00F92B16" w:rsidP="00F92B16">
      <w:pPr>
        <w:spacing w:line="360" w:lineRule="auto"/>
        <w:ind w:left="567" w:right="49"/>
        <w:jc w:val="both"/>
        <w:rPr>
          <w:rFonts w:ascii="Palatino Linotype" w:hAnsi="Palatino Linotype"/>
          <w:i/>
          <w:iCs/>
        </w:rPr>
      </w:pPr>
      <w:r w:rsidRPr="00E9553D">
        <w:rPr>
          <w:rFonts w:ascii="Palatino Linotype" w:hAnsi="Palatino Linotype"/>
          <w:i/>
          <w:iCs/>
        </w:rPr>
        <w:t xml:space="preserve">c) Cuando se trate del mismo solicitante, el mismo </w:t>
      </w:r>
      <w:r w:rsidRPr="00E9553D">
        <w:rPr>
          <w:rFonts w:ascii="Palatino Linotype" w:hAnsi="Palatino Linotype"/>
          <w:b/>
          <w:i/>
          <w:iCs/>
        </w:rPr>
        <w:t>SUJETO OBLIGADO</w:t>
      </w:r>
      <w:r w:rsidRPr="00E9553D">
        <w:rPr>
          <w:rFonts w:ascii="Palatino Linotype" w:hAnsi="Palatino Linotype"/>
          <w:i/>
          <w:iCs/>
        </w:rPr>
        <w:t>, aunque se trate de solicitudes diversas;</w:t>
      </w:r>
    </w:p>
    <w:p w:rsidR="00F92B16" w:rsidRPr="00E9553D" w:rsidRDefault="00F92B16" w:rsidP="00F92B16">
      <w:pPr>
        <w:spacing w:line="360" w:lineRule="auto"/>
        <w:ind w:left="567" w:right="49"/>
        <w:jc w:val="both"/>
        <w:rPr>
          <w:rFonts w:ascii="Palatino Linotype" w:hAnsi="Palatino Linotype"/>
          <w:i/>
          <w:iCs/>
        </w:rPr>
      </w:pPr>
      <w:r w:rsidRPr="00E9553D">
        <w:rPr>
          <w:rFonts w:ascii="Palatino Linotype" w:hAnsi="Palatino Linotype"/>
          <w:i/>
          <w:iCs/>
        </w:rPr>
        <w:t>(…)</w:t>
      </w:r>
    </w:p>
    <w:p w:rsidR="00F92B16" w:rsidRPr="00E9553D" w:rsidRDefault="00F92B16" w:rsidP="00F92B16">
      <w:pPr>
        <w:spacing w:line="360" w:lineRule="auto"/>
        <w:ind w:left="567" w:right="-518"/>
        <w:jc w:val="both"/>
        <w:rPr>
          <w:rFonts w:ascii="Palatino Linotype" w:hAnsi="Palatino Linotype"/>
          <w:i/>
          <w:iCs/>
        </w:rPr>
      </w:pPr>
    </w:p>
    <w:p w:rsidR="00F92B16" w:rsidRPr="00E9553D" w:rsidRDefault="00F92B16" w:rsidP="00F92B16">
      <w:pPr>
        <w:numPr>
          <w:ilvl w:val="0"/>
          <w:numId w:val="1"/>
        </w:numPr>
        <w:pBdr>
          <w:top w:val="nil"/>
          <w:left w:val="nil"/>
          <w:bottom w:val="nil"/>
          <w:right w:val="nil"/>
          <w:between w:val="nil"/>
        </w:pBdr>
        <w:spacing w:line="360" w:lineRule="auto"/>
        <w:ind w:left="0" w:firstLine="0"/>
        <w:jc w:val="both"/>
        <w:rPr>
          <w:rFonts w:ascii="Palatino Linotype" w:hAnsi="Palatino Linotype"/>
          <w:iCs/>
          <w:lang w:eastAsia="en-US"/>
        </w:rPr>
      </w:pPr>
      <w:r w:rsidRPr="00E9553D">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92B16" w:rsidRPr="00E9553D" w:rsidRDefault="00F92B16" w:rsidP="00F92B16">
      <w:pPr>
        <w:spacing w:line="276" w:lineRule="auto"/>
        <w:ind w:left="567" w:right="49"/>
        <w:jc w:val="center"/>
        <w:rPr>
          <w:rFonts w:ascii="Palatino Linotype" w:hAnsi="Palatino Linotype"/>
          <w:b/>
          <w:iCs/>
        </w:rPr>
      </w:pPr>
      <w:r w:rsidRPr="00E9553D">
        <w:rPr>
          <w:rFonts w:ascii="Palatino Linotype" w:hAnsi="Palatino Linotype"/>
          <w:b/>
          <w:iCs/>
        </w:rPr>
        <w:t>Código de Procedimientos Administrativos del Estado de México.</w:t>
      </w:r>
    </w:p>
    <w:p w:rsidR="00F92B16" w:rsidRPr="00E9553D" w:rsidRDefault="00F92B16" w:rsidP="00F92B16">
      <w:pPr>
        <w:spacing w:line="276" w:lineRule="auto"/>
        <w:ind w:left="567" w:right="49"/>
        <w:jc w:val="both"/>
        <w:rPr>
          <w:rFonts w:ascii="Palatino Linotype" w:hAnsi="Palatino Linotype"/>
          <w:i/>
          <w:iCs/>
        </w:rPr>
      </w:pPr>
    </w:p>
    <w:p w:rsidR="00F92B16" w:rsidRPr="00E9553D" w:rsidRDefault="00F92B16" w:rsidP="00F92B16">
      <w:pPr>
        <w:spacing w:line="276" w:lineRule="auto"/>
        <w:ind w:left="567" w:right="49"/>
        <w:jc w:val="both"/>
        <w:rPr>
          <w:rFonts w:ascii="Palatino Linotype" w:hAnsi="Palatino Linotype"/>
          <w:i/>
          <w:iCs/>
        </w:rPr>
      </w:pPr>
      <w:r w:rsidRPr="00E9553D">
        <w:rPr>
          <w:rFonts w:ascii="Palatino Linotype" w:hAnsi="Palatino Linotype"/>
          <w:i/>
          <w:iCs/>
        </w:rPr>
        <w:t>“</w:t>
      </w:r>
      <w:r w:rsidRPr="00E9553D">
        <w:rPr>
          <w:rFonts w:ascii="Palatino Linotype" w:hAnsi="Palatino Linotype"/>
          <w:b/>
          <w:i/>
          <w:iCs/>
        </w:rPr>
        <w:t>Artículo 18.-</w:t>
      </w:r>
      <w:r w:rsidRPr="00E9553D">
        <w:rPr>
          <w:rFonts w:ascii="Palatino Linotype" w:hAnsi="Palatino Linotype"/>
          <w:i/>
          <w:iC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92B16" w:rsidRPr="00E9553D" w:rsidRDefault="00F92B16" w:rsidP="00F92B16">
      <w:pPr>
        <w:spacing w:line="276" w:lineRule="auto"/>
        <w:ind w:left="567" w:right="49"/>
        <w:jc w:val="both"/>
        <w:rPr>
          <w:rFonts w:ascii="Palatino Linotype" w:hAnsi="Palatino Linotype"/>
          <w:i/>
          <w:iCs/>
        </w:rPr>
      </w:pPr>
    </w:p>
    <w:p w:rsidR="00F92B16" w:rsidRPr="00E9553D" w:rsidRDefault="00F92B16" w:rsidP="00F92B16">
      <w:pPr>
        <w:spacing w:line="276" w:lineRule="auto"/>
        <w:ind w:left="567" w:right="49"/>
        <w:jc w:val="both"/>
        <w:rPr>
          <w:rFonts w:ascii="Palatino Linotype" w:hAnsi="Palatino Linotype"/>
          <w:i/>
          <w:iCs/>
        </w:rPr>
      </w:pPr>
      <w:r w:rsidRPr="00E9553D">
        <w:rPr>
          <w:rFonts w:ascii="Palatino Linotype" w:hAnsi="Palatino Linotype"/>
          <w:i/>
          <w:iCs/>
        </w:rPr>
        <w:lastRenderedPageBreak/>
        <w:t>Ley de Transparencia y Acceso a la Información Pública del Estado de México y Municipios</w:t>
      </w:r>
    </w:p>
    <w:p w:rsidR="00F92B16" w:rsidRPr="00E9553D" w:rsidRDefault="00F92B16" w:rsidP="00F92B16">
      <w:pPr>
        <w:spacing w:line="276" w:lineRule="auto"/>
        <w:ind w:left="567" w:right="49"/>
        <w:jc w:val="both"/>
        <w:rPr>
          <w:rFonts w:ascii="Palatino Linotype" w:hAnsi="Palatino Linotype"/>
          <w:i/>
          <w:iCs/>
        </w:rPr>
      </w:pPr>
      <w:r w:rsidRPr="00E9553D">
        <w:rPr>
          <w:rFonts w:ascii="Palatino Linotype" w:hAnsi="Palatino Linotype"/>
          <w:i/>
          <w:iCs/>
        </w:rPr>
        <w:t>“Artículo 195. En la tramitación del recurso de revisión se aplicarán supletoriamente las disposiciones contenidas en el Código de Procedimientos Administrativos del Estado de México.”</w:t>
      </w:r>
    </w:p>
    <w:p w:rsidR="00F92B16" w:rsidRPr="00E9553D" w:rsidRDefault="00F92B16" w:rsidP="00F92B1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92B16" w:rsidRPr="00E9553D" w:rsidRDefault="00F92B16" w:rsidP="00F92B16">
      <w:pPr>
        <w:pStyle w:val="Ttulo1"/>
        <w:tabs>
          <w:tab w:val="left" w:pos="567"/>
        </w:tabs>
        <w:spacing w:before="0" w:line="360" w:lineRule="auto"/>
        <w:ind w:right="-518"/>
        <w:jc w:val="center"/>
        <w:rPr>
          <w:rFonts w:ascii="Palatino Linotype" w:eastAsia="Palatino Linotype" w:hAnsi="Palatino Linotype" w:cs="Palatino Linotype"/>
          <w:b/>
          <w:color w:val="auto"/>
          <w:sz w:val="24"/>
          <w:szCs w:val="24"/>
        </w:rPr>
      </w:pPr>
      <w:r w:rsidRPr="00E9553D">
        <w:rPr>
          <w:rFonts w:ascii="Palatino Linotype" w:eastAsia="Palatino Linotype" w:hAnsi="Palatino Linotype" w:cs="Palatino Linotype"/>
          <w:b/>
          <w:color w:val="auto"/>
          <w:sz w:val="24"/>
          <w:szCs w:val="24"/>
        </w:rPr>
        <w:t>CIERRE DE INSTRUCCIÓN</w:t>
      </w:r>
    </w:p>
    <w:p w:rsidR="00F92B16" w:rsidRPr="00E9553D" w:rsidRDefault="00F92B16" w:rsidP="00F92B16"/>
    <w:p w:rsidR="00F92B16" w:rsidRPr="00E9553D" w:rsidRDefault="0062326D" w:rsidP="0062326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9553D">
        <w:rPr>
          <w:rFonts w:ascii="Palatino Linotype" w:hAnsi="Palatino Linotype"/>
          <w:iCs/>
          <w:lang w:eastAsia="en-US"/>
        </w:rPr>
        <w:t>M</w:t>
      </w:r>
      <w:r w:rsidR="00F92B16" w:rsidRPr="00E9553D">
        <w:rPr>
          <w:rFonts w:ascii="Palatino Linotype" w:hAnsi="Palatino Linotype"/>
          <w:iCs/>
          <w:lang w:eastAsia="en-US"/>
        </w:rPr>
        <w:t>ediante</w:t>
      </w:r>
      <w:r w:rsidR="00F92B16" w:rsidRPr="00E9553D">
        <w:rPr>
          <w:rFonts w:ascii="Palatino Linotype" w:eastAsia="Palatino Linotype" w:hAnsi="Palatino Linotype" w:cs="Palatino Linotype"/>
        </w:rPr>
        <w:t xml:space="preserve"> acuerdo de </w:t>
      </w:r>
      <w:r w:rsidRPr="00E9553D">
        <w:rPr>
          <w:rFonts w:ascii="Palatino Linotype" w:eastAsia="Palatino Linotype" w:hAnsi="Palatino Linotype" w:cs="Palatino Linotype"/>
          <w:b/>
        </w:rPr>
        <w:t>quince de abril</w:t>
      </w:r>
      <w:r w:rsidR="00F92B16" w:rsidRPr="00E9553D">
        <w:rPr>
          <w:rFonts w:ascii="Palatino Linotype" w:eastAsia="Palatino Linotype" w:hAnsi="Palatino Linotype" w:cs="Palatino Linotype"/>
          <w:b/>
        </w:rPr>
        <w:t xml:space="preserve"> de dos mil veintiséis</w:t>
      </w:r>
      <w:r w:rsidR="00F92B16" w:rsidRPr="00E9553D">
        <w:rPr>
          <w:rFonts w:ascii="Palatino Linotype" w:eastAsia="Palatino Linotype" w:hAnsi="Palatino Linotype" w:cs="Palatino Linotype"/>
        </w:rPr>
        <w:t>, se  decretó el cierre de instrucción, por lo que no habiendo más que hacer constar, y</w:t>
      </w:r>
    </w:p>
    <w:p w:rsidR="00F92B16" w:rsidRPr="00E9553D" w:rsidRDefault="00F92B16" w:rsidP="00F92B1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6EAE" w:rsidRPr="00E9553D" w:rsidRDefault="00766EAE" w:rsidP="00766EAE">
      <w:pPr>
        <w:pStyle w:val="Ttulo1"/>
        <w:jc w:val="center"/>
        <w:rPr>
          <w:rFonts w:ascii="Palatino Linotype" w:eastAsia="Palatino Linotype" w:hAnsi="Palatino Linotype" w:cs="Palatino Linotype"/>
          <w:b/>
          <w:color w:val="000000"/>
          <w:sz w:val="24"/>
          <w:szCs w:val="24"/>
        </w:rPr>
      </w:pPr>
      <w:r w:rsidRPr="00E9553D">
        <w:rPr>
          <w:rFonts w:ascii="Palatino Linotype" w:eastAsia="Palatino Linotype" w:hAnsi="Palatino Linotype" w:cs="Palatino Linotype"/>
          <w:b/>
          <w:color w:val="000000"/>
          <w:sz w:val="24"/>
          <w:szCs w:val="24"/>
        </w:rPr>
        <w:t xml:space="preserve">C O N S I D E R A N D O </w:t>
      </w:r>
    </w:p>
    <w:p w:rsidR="00766EAE" w:rsidRPr="00E9553D" w:rsidRDefault="00766EAE" w:rsidP="00766EAE">
      <w:pPr>
        <w:rPr>
          <w:rFonts w:ascii="Palatino Linotype" w:eastAsia="Palatino Linotype" w:hAnsi="Palatino Linotype" w:cs="Palatino Linotype"/>
        </w:rPr>
      </w:pPr>
    </w:p>
    <w:p w:rsidR="00766EAE" w:rsidRPr="00E9553D" w:rsidRDefault="00766EAE" w:rsidP="00766EAE">
      <w:pPr>
        <w:pStyle w:val="Ttulo2"/>
        <w:rPr>
          <w:rFonts w:ascii="Palatino Linotype" w:eastAsia="Palatino Linotype" w:hAnsi="Palatino Linotype" w:cs="Palatino Linotype"/>
          <w:b/>
          <w:color w:val="000000"/>
          <w:sz w:val="24"/>
          <w:szCs w:val="24"/>
        </w:rPr>
      </w:pPr>
      <w:r w:rsidRPr="00E9553D">
        <w:rPr>
          <w:rFonts w:ascii="Palatino Linotype" w:eastAsia="Palatino Linotype" w:hAnsi="Palatino Linotype" w:cs="Palatino Linotype"/>
          <w:b/>
          <w:color w:val="000000"/>
          <w:sz w:val="24"/>
          <w:szCs w:val="24"/>
        </w:rPr>
        <w:t>PRIMERO. De la competencia</w:t>
      </w:r>
    </w:p>
    <w:p w:rsidR="00766EAE" w:rsidRPr="00E9553D" w:rsidRDefault="00766EAE" w:rsidP="00766EA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E9553D">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9553D">
        <w:rPr>
          <w:rFonts w:ascii="Palatino Linotype" w:eastAsia="Palatino Linotype" w:hAnsi="Palatino Linotype" w:cs="Palatino Linotype"/>
          <w:b/>
          <w:color w:val="000000"/>
        </w:rPr>
        <w:t>Constitución Política de los Estados Unidos Mexicanos</w:t>
      </w:r>
      <w:r w:rsidRPr="00E9553D">
        <w:rPr>
          <w:rFonts w:ascii="Palatino Linotype" w:eastAsia="Palatino Linotype" w:hAnsi="Palatino Linotype" w:cs="Palatino Linotype"/>
          <w:color w:val="000000"/>
        </w:rPr>
        <w:t xml:space="preserve">; 5, párrafos </w:t>
      </w:r>
      <w:r w:rsidRPr="00E9553D">
        <w:rPr>
          <w:rFonts w:ascii="Palatino Linotype" w:eastAsia="Palatino Linotype" w:hAnsi="Palatino Linotype" w:cs="Palatino Linotype"/>
          <w:color w:val="222222"/>
        </w:rPr>
        <w:t>trigésimo segundo, trigésimo tercero y trigésimo cuarto fracciones</w:t>
      </w:r>
      <w:r w:rsidRPr="00E9553D">
        <w:rPr>
          <w:rFonts w:ascii="Palatino Linotype" w:eastAsia="Palatino Linotype" w:hAnsi="Palatino Linotype" w:cs="Palatino Linotype"/>
          <w:color w:val="000000"/>
        </w:rPr>
        <w:t xml:space="preserve"> IV y V de la </w:t>
      </w:r>
      <w:r w:rsidRPr="00E9553D">
        <w:rPr>
          <w:rFonts w:ascii="Palatino Linotype" w:eastAsia="Palatino Linotype" w:hAnsi="Palatino Linotype" w:cs="Palatino Linotype"/>
          <w:b/>
          <w:color w:val="000000"/>
        </w:rPr>
        <w:t>Constitución Política del Estado Libre y Soberano de México</w:t>
      </w:r>
      <w:r w:rsidRPr="00E9553D">
        <w:rPr>
          <w:rFonts w:ascii="Palatino Linotype" w:eastAsia="Palatino Linotype" w:hAnsi="Palatino Linotype" w:cs="Palatino Linotype"/>
          <w:color w:val="000000"/>
        </w:rPr>
        <w:t xml:space="preserve">; artículos 1, 2 fracción II, 13, 29, 36 fracciones I y II, 176, 178, 179, 181 párrafo tercero y 185 de la </w:t>
      </w:r>
      <w:r w:rsidRPr="00E9553D">
        <w:rPr>
          <w:rFonts w:ascii="Palatino Linotype" w:eastAsia="Palatino Linotype" w:hAnsi="Palatino Linotype" w:cs="Palatino Linotype"/>
          <w:b/>
          <w:color w:val="000000"/>
        </w:rPr>
        <w:t>Ley de Transparencia y Acceso a la Información Pública del Estado de México y Municipios</w:t>
      </w:r>
      <w:r w:rsidRPr="00E9553D">
        <w:rPr>
          <w:rFonts w:ascii="Palatino Linotype" w:eastAsia="Palatino Linotype" w:hAnsi="Palatino Linotype" w:cs="Palatino Linotype"/>
          <w:color w:val="000000"/>
        </w:rPr>
        <w:t xml:space="preserve">; y 7, 9 fracciones I y XXIII, y 11 del </w:t>
      </w:r>
      <w:r w:rsidRPr="00E9553D">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E9553D">
        <w:rPr>
          <w:rFonts w:ascii="Palatino Linotype" w:eastAsia="Palatino Linotype" w:hAnsi="Palatino Linotype" w:cs="Palatino Linotype"/>
          <w:color w:val="000000"/>
        </w:rPr>
        <w:t>.</w:t>
      </w:r>
    </w:p>
    <w:p w:rsidR="00766EAE" w:rsidRPr="00E9553D" w:rsidRDefault="00766EAE" w:rsidP="00766EA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766EAE" w:rsidRPr="00E9553D" w:rsidRDefault="00766EAE" w:rsidP="00766EAE">
      <w:pPr>
        <w:pStyle w:val="Ttulo2"/>
        <w:rPr>
          <w:rFonts w:ascii="Palatino Linotype" w:eastAsia="Palatino Linotype" w:hAnsi="Palatino Linotype" w:cs="Palatino Linotype"/>
          <w:b/>
          <w:color w:val="000000"/>
          <w:sz w:val="24"/>
          <w:szCs w:val="24"/>
        </w:rPr>
      </w:pPr>
      <w:r w:rsidRPr="00E9553D">
        <w:rPr>
          <w:rFonts w:ascii="Palatino Linotype" w:eastAsia="Palatino Linotype" w:hAnsi="Palatino Linotype" w:cs="Palatino Linotype"/>
          <w:b/>
          <w:color w:val="000000"/>
          <w:sz w:val="24"/>
          <w:szCs w:val="24"/>
        </w:rPr>
        <w:lastRenderedPageBreak/>
        <w:t>SEGUNDO. De la oportunidad y procedencia.</w:t>
      </w:r>
    </w:p>
    <w:p w:rsidR="00766EAE" w:rsidRPr="00E9553D" w:rsidRDefault="00766EAE" w:rsidP="00766EAE">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E9553D">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E9553D">
        <w:rPr>
          <w:rFonts w:ascii="Palatino Linotype" w:eastAsia="Palatino Linotype" w:hAnsi="Palatino Linotype" w:cs="Palatino Linotype"/>
          <w:b/>
          <w:color w:val="000000"/>
        </w:rPr>
        <w:t>SUJETO OBLIGADO</w:t>
      </w:r>
      <w:r w:rsidRPr="00E9553D">
        <w:rPr>
          <w:rFonts w:ascii="Palatino Linotype" w:eastAsia="Palatino Linotype" w:hAnsi="Palatino Linotype" w:cs="Palatino Linotype"/>
          <w:color w:val="000000"/>
        </w:rPr>
        <w:t xml:space="preserve"> entregó respuesta el </w:t>
      </w:r>
      <w:r w:rsidR="003A413C" w:rsidRPr="00E9553D">
        <w:rPr>
          <w:rFonts w:ascii="Palatino Linotype" w:eastAsia="Palatino Linotype" w:hAnsi="Palatino Linotype" w:cs="Palatino Linotype"/>
          <w:b/>
          <w:color w:val="000000"/>
        </w:rPr>
        <w:t>dieciséis de febrero de dos mil veintiséis</w:t>
      </w:r>
      <w:r w:rsidRPr="00E9553D">
        <w:rPr>
          <w:rFonts w:ascii="Palatino Linotype" w:eastAsia="Palatino Linotype" w:hAnsi="Palatino Linotype" w:cs="Palatino Linotype"/>
          <w:color w:val="000000"/>
        </w:rPr>
        <w:t xml:space="preserve">, de tal forma </w:t>
      </w:r>
      <w:r w:rsidR="003A413C" w:rsidRPr="00E9553D">
        <w:rPr>
          <w:rFonts w:ascii="Palatino Linotype" w:eastAsia="Palatino Linotype" w:hAnsi="Palatino Linotype" w:cs="Palatino Linotype"/>
          <w:color w:val="000000"/>
        </w:rPr>
        <w:t xml:space="preserve">que el plazo para interponer los </w:t>
      </w:r>
      <w:r w:rsidRPr="00E9553D">
        <w:rPr>
          <w:rFonts w:ascii="Palatino Linotype" w:eastAsia="Palatino Linotype" w:hAnsi="Palatino Linotype" w:cs="Palatino Linotype"/>
          <w:color w:val="000000"/>
        </w:rPr>
        <w:t>recurso</w:t>
      </w:r>
      <w:r w:rsidR="003A413C" w:rsidRPr="00E9553D">
        <w:rPr>
          <w:rFonts w:ascii="Palatino Linotype" w:eastAsia="Palatino Linotype" w:hAnsi="Palatino Linotype" w:cs="Palatino Linotype"/>
          <w:color w:val="000000"/>
        </w:rPr>
        <w:t>s de revisión transcurrieron</w:t>
      </w:r>
      <w:r w:rsidRPr="00E9553D">
        <w:rPr>
          <w:rFonts w:ascii="Palatino Linotype" w:eastAsia="Palatino Linotype" w:hAnsi="Palatino Linotype" w:cs="Palatino Linotype"/>
          <w:color w:val="000000"/>
        </w:rPr>
        <w:t xml:space="preserve"> del</w:t>
      </w:r>
      <w:r w:rsidR="003A413C" w:rsidRPr="00E9553D">
        <w:rPr>
          <w:rFonts w:ascii="Palatino Linotype" w:eastAsia="Palatino Linotype" w:hAnsi="Palatino Linotype" w:cs="Palatino Linotype"/>
          <w:b/>
          <w:color w:val="000000"/>
        </w:rPr>
        <w:t xml:space="preserve"> diecisiete de febrero al diez de marzo de dos mil veintiséis</w:t>
      </w:r>
      <w:r w:rsidR="003A413C" w:rsidRPr="00E9553D">
        <w:rPr>
          <w:rFonts w:ascii="Palatino Linotype" w:eastAsia="Palatino Linotype" w:hAnsi="Palatino Linotype" w:cs="Palatino Linotype"/>
          <w:color w:val="000000"/>
        </w:rPr>
        <w:t xml:space="preserve">, luego entonces, los </w:t>
      </w:r>
      <w:r w:rsidRPr="00E9553D">
        <w:rPr>
          <w:rFonts w:ascii="Palatino Linotype" w:eastAsia="Palatino Linotype" w:hAnsi="Palatino Linotype" w:cs="Palatino Linotype"/>
          <w:color w:val="000000"/>
        </w:rPr>
        <w:t>recurso</w:t>
      </w:r>
      <w:r w:rsidR="003A413C" w:rsidRPr="00E9553D">
        <w:rPr>
          <w:rFonts w:ascii="Palatino Linotype" w:eastAsia="Palatino Linotype" w:hAnsi="Palatino Linotype" w:cs="Palatino Linotype"/>
          <w:color w:val="000000"/>
        </w:rPr>
        <w:t>s</w:t>
      </w:r>
      <w:r w:rsidRPr="00E9553D">
        <w:rPr>
          <w:rFonts w:ascii="Palatino Linotype" w:eastAsia="Palatino Linotype" w:hAnsi="Palatino Linotype" w:cs="Palatino Linotype"/>
          <w:color w:val="000000"/>
        </w:rPr>
        <w:t xml:space="preserve"> de revisión fue</w:t>
      </w:r>
      <w:r w:rsidR="003A413C" w:rsidRPr="00E9553D">
        <w:rPr>
          <w:rFonts w:ascii="Palatino Linotype" w:eastAsia="Palatino Linotype" w:hAnsi="Palatino Linotype" w:cs="Palatino Linotype"/>
          <w:color w:val="000000"/>
        </w:rPr>
        <w:t>ron</w:t>
      </w:r>
      <w:r w:rsidRPr="00E9553D">
        <w:rPr>
          <w:rFonts w:ascii="Palatino Linotype" w:eastAsia="Palatino Linotype" w:hAnsi="Palatino Linotype" w:cs="Palatino Linotype"/>
          <w:color w:val="000000"/>
        </w:rPr>
        <w:t xml:space="preserve"> interpuesto</w:t>
      </w:r>
      <w:r w:rsidR="003A413C" w:rsidRPr="00E9553D">
        <w:rPr>
          <w:rFonts w:ascii="Palatino Linotype" w:eastAsia="Palatino Linotype" w:hAnsi="Palatino Linotype" w:cs="Palatino Linotype"/>
          <w:color w:val="000000"/>
        </w:rPr>
        <w:t>s</w:t>
      </w:r>
      <w:r w:rsidRPr="00E9553D">
        <w:rPr>
          <w:rFonts w:ascii="Palatino Linotype" w:eastAsia="Palatino Linotype" w:hAnsi="Palatino Linotype" w:cs="Palatino Linotype"/>
          <w:color w:val="000000"/>
        </w:rPr>
        <w:t xml:space="preserve"> el </w:t>
      </w:r>
      <w:r w:rsidR="003A413C" w:rsidRPr="00E9553D">
        <w:rPr>
          <w:rFonts w:ascii="Palatino Linotype" w:eastAsia="Palatino Linotype" w:hAnsi="Palatino Linotype" w:cs="Palatino Linotype"/>
          <w:b/>
          <w:color w:val="000000"/>
        </w:rPr>
        <w:t>nueve de marzo de dos mil veintiséis</w:t>
      </w:r>
      <w:r w:rsidR="003A413C" w:rsidRPr="00E9553D">
        <w:rPr>
          <w:rFonts w:ascii="Palatino Linotype" w:eastAsia="Palatino Linotype" w:hAnsi="Palatino Linotype" w:cs="Palatino Linotype"/>
          <w:color w:val="000000"/>
        </w:rPr>
        <w:t>, estos</w:t>
      </w:r>
      <w:r w:rsidRPr="00E9553D">
        <w:rPr>
          <w:rFonts w:ascii="Palatino Linotype" w:eastAsia="Palatino Linotype" w:hAnsi="Palatino Linotype" w:cs="Palatino Linotype"/>
          <w:color w:val="000000"/>
        </w:rPr>
        <w:t xml:space="preserve"> se encuentra</w:t>
      </w:r>
      <w:r w:rsidR="003A413C" w:rsidRPr="00E9553D">
        <w:rPr>
          <w:rFonts w:ascii="Palatino Linotype" w:eastAsia="Palatino Linotype" w:hAnsi="Palatino Linotype" w:cs="Palatino Linotype"/>
          <w:color w:val="000000"/>
        </w:rPr>
        <w:t>n</w:t>
      </w:r>
      <w:r w:rsidRPr="00E9553D">
        <w:rPr>
          <w:rFonts w:ascii="Palatino Linotype" w:eastAsia="Palatino Linotype" w:hAnsi="Palatino Linotype" w:cs="Palatino Linotype"/>
          <w:color w:val="000000"/>
        </w:rPr>
        <w:t xml:space="preserve"> dentro de los márgenes temporales previstos en el artículo 178 de la Ley de Transparencia y Acceso a la Información Pública del Estado de México y Municipios</w:t>
      </w:r>
      <w:r w:rsidRPr="00E9553D">
        <w:rPr>
          <w:rFonts w:ascii="Palatino Linotype" w:eastAsia="Palatino Linotype" w:hAnsi="Palatino Linotype" w:cs="Palatino Linotype"/>
          <w:b/>
          <w:color w:val="000000"/>
        </w:rPr>
        <w:t xml:space="preserve"> </w:t>
      </w:r>
      <w:r w:rsidRPr="00E9553D">
        <w:rPr>
          <w:rFonts w:ascii="Palatino Linotype" w:eastAsia="Palatino Linotype" w:hAnsi="Palatino Linotype" w:cs="Palatino Linotype"/>
          <w:color w:val="000000"/>
        </w:rPr>
        <w:t xml:space="preserve">vigente. </w:t>
      </w:r>
    </w:p>
    <w:p w:rsidR="00766EAE" w:rsidRPr="00E9553D" w:rsidRDefault="00766EAE" w:rsidP="00766EAE">
      <w:pPr>
        <w:tabs>
          <w:tab w:val="left" w:pos="426"/>
        </w:tabs>
        <w:spacing w:line="360" w:lineRule="auto"/>
        <w:ind w:right="49"/>
        <w:jc w:val="both"/>
        <w:rPr>
          <w:rFonts w:ascii="Palatino Linotype" w:eastAsia="Palatino Linotype" w:hAnsi="Palatino Linotype" w:cs="Palatino Linotype"/>
          <w:color w:val="000000"/>
        </w:rPr>
      </w:pPr>
    </w:p>
    <w:p w:rsidR="00766EAE" w:rsidRPr="00E9553D" w:rsidRDefault="00766EAE" w:rsidP="00766EAE">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E9553D">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911842" w:rsidRPr="00E9553D" w:rsidRDefault="00911842" w:rsidP="0091184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911842" w:rsidRPr="00E9553D" w:rsidRDefault="00911842" w:rsidP="0091184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color w:val="000000"/>
        </w:rPr>
      </w:pPr>
      <w:bookmarkStart w:id="1" w:name="_Toc500360400"/>
      <w:bookmarkStart w:id="2" w:name="_Toc61470700"/>
      <w:bookmarkStart w:id="3" w:name="_Toc459174366"/>
      <w:bookmarkStart w:id="4" w:name="_Toc459659884"/>
      <w:bookmarkStart w:id="5" w:name="_Toc461687280"/>
      <w:bookmarkStart w:id="6" w:name="_Toc462771051"/>
      <w:bookmarkStart w:id="7" w:name="_Toc464139201"/>
      <w:bookmarkStart w:id="8" w:name="_Toc495427545"/>
      <w:bookmarkStart w:id="9" w:name="_Toc499296549"/>
      <w:r w:rsidRPr="00E9553D">
        <w:rPr>
          <w:rFonts w:ascii="Palatino Linotype" w:eastAsia="Palatino Linotype" w:hAnsi="Palatino Linotype" w:cs="Palatino Linotype"/>
          <w:b/>
          <w:color w:val="000000"/>
        </w:rPr>
        <w:t>TERCERO. De las causales del sobreseimiento.</w:t>
      </w:r>
      <w:bookmarkEnd w:id="1"/>
      <w:bookmarkEnd w:id="2"/>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s="Arial"/>
        </w:rPr>
      </w:pPr>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End w:id="3"/>
      <w:bookmarkEnd w:id="4"/>
      <w:bookmarkEnd w:id="5"/>
      <w:bookmarkEnd w:id="6"/>
      <w:bookmarkEnd w:id="7"/>
      <w:bookmarkEnd w:id="8"/>
      <w:bookmarkEnd w:id="9"/>
      <w:r w:rsidRPr="00E9553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E9553D">
        <w:rPr>
          <w:rFonts w:ascii="Palatino Linotype" w:eastAsia="Calibri" w:hAnsi="Palatino Linotype" w:cs="Arial"/>
        </w:rPr>
        <w:t>Transparencia, Acceso a la Información Pública del Estado de México y Municipios</w:t>
      </w:r>
      <w:r w:rsidRPr="00E9553D">
        <w:rPr>
          <w:rFonts w:ascii="Palatino Linotype" w:hAnsi="Palatino Linotype" w:cs="Arial"/>
        </w:rPr>
        <w:t xml:space="preserve">, y determinar la confirmación; revocación o modificación; desechamiento o </w:t>
      </w:r>
      <w:r w:rsidRPr="00E9553D">
        <w:rPr>
          <w:rFonts w:ascii="Palatino Linotype" w:hAnsi="Palatino Linotype" w:cs="Arial"/>
          <w:b/>
          <w:u w:val="single"/>
        </w:rPr>
        <w:t>sobreseimiento</w:t>
      </w:r>
      <w:r w:rsidRPr="00E9553D">
        <w:rPr>
          <w:rFonts w:ascii="Palatino Linotype" w:hAnsi="Palatino Linotype" w:cs="Arial"/>
        </w:rPr>
        <w:t xml:space="preserve">; y, en su caso, ordenar la entrega de la información respecto a la respuesta emitida por el </w:t>
      </w:r>
      <w:r w:rsidRPr="00E9553D">
        <w:rPr>
          <w:rFonts w:ascii="Palatino Linotype" w:hAnsi="Palatino Linotype" w:cs="Arial"/>
          <w:b/>
        </w:rPr>
        <w:t>SUJETO</w:t>
      </w:r>
      <w:r w:rsidRPr="00E9553D">
        <w:rPr>
          <w:rFonts w:ascii="Palatino Linotype" w:hAnsi="Palatino Linotype" w:cs="Arial"/>
        </w:rPr>
        <w:t xml:space="preserve"> </w:t>
      </w:r>
      <w:r w:rsidRPr="00E9553D">
        <w:rPr>
          <w:rFonts w:ascii="Palatino Linotype" w:hAnsi="Palatino Linotype" w:cs="Arial"/>
          <w:b/>
        </w:rPr>
        <w:t>OBLIGADO</w:t>
      </w:r>
      <w:r w:rsidRPr="00E9553D">
        <w:rPr>
          <w:rFonts w:ascii="Palatino Linotype" w:hAnsi="Palatino Linotype" w:cs="Arial"/>
        </w:rPr>
        <w:t>.</w:t>
      </w:r>
    </w:p>
    <w:p w:rsidR="00911842" w:rsidRPr="00E9553D" w:rsidRDefault="00911842" w:rsidP="00911842">
      <w:pPr>
        <w:rPr>
          <w:rFonts w:ascii="Palatino Linotype" w:hAnsi="Palatino Linotype" w:cs="Arial"/>
        </w:rPr>
      </w:pPr>
    </w:p>
    <w:p w:rsidR="00911842" w:rsidRPr="00E9553D" w:rsidRDefault="00911842" w:rsidP="00911842">
      <w:pPr>
        <w:rPr>
          <w:rFonts w:ascii="Palatino Linotype" w:hAnsi="Palatino Linotype"/>
          <w:b/>
        </w:rPr>
      </w:pPr>
      <w:r w:rsidRPr="00E9553D">
        <w:rPr>
          <w:rFonts w:ascii="Palatino Linotype" w:hAnsi="Palatino Linotype"/>
          <w:b/>
        </w:rPr>
        <w:lastRenderedPageBreak/>
        <w:t>De los límites del derecho de acceso a la información.</w:t>
      </w:r>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eastAsia="Calibri" w:hAnsi="Palatino Linotype" w:cs="Arial"/>
          <w:lang w:val="es-ES"/>
        </w:rPr>
        <w:t xml:space="preserve">Previo </w:t>
      </w:r>
      <w:r w:rsidRPr="00E9553D">
        <w:rPr>
          <w:rFonts w:ascii="Palatino Linotype" w:hAnsi="Palatino Linotype" w:cs="Arial"/>
        </w:rPr>
        <w:t xml:space="preserve">a analizar las constancias que obran dentro del expediente digital formado en el SAIMEX, </w:t>
      </w:r>
      <w:r w:rsidRPr="00E9553D">
        <w:rPr>
          <w:rFonts w:ascii="Palatino Linotype" w:hAnsi="Palatino Linotype"/>
          <w:lang w:val="es-ES"/>
        </w:rPr>
        <w:t xml:space="preserve">se considera </w:t>
      </w:r>
      <w:r w:rsidRPr="00E9553D">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E9553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i/>
        </w:rPr>
        <w:t>En consecuencia el acceso a la información se refiere a que se cumplan cualquiera de los siguientes tres supuestos:</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911842" w:rsidRPr="00E9553D" w:rsidRDefault="00911842" w:rsidP="00911842">
      <w:pPr>
        <w:spacing w:line="276" w:lineRule="auto"/>
        <w:ind w:left="567" w:right="567"/>
        <w:jc w:val="both"/>
        <w:rPr>
          <w:rFonts w:ascii="Palatino Linotype" w:eastAsia="Palatino Linotype" w:hAnsi="Palatino Linotype" w:cs="Palatino Linotype"/>
        </w:rPr>
      </w:pPr>
      <w:r w:rsidRPr="00E9553D">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911842" w:rsidRPr="00E9553D" w:rsidRDefault="00911842" w:rsidP="00911842">
      <w:pPr>
        <w:pStyle w:val="Prrafodelista"/>
        <w:tabs>
          <w:tab w:val="left" w:pos="426"/>
        </w:tabs>
        <w:spacing w:before="240" w:after="240" w:line="360" w:lineRule="auto"/>
        <w:ind w:left="0" w:right="51"/>
        <w:jc w:val="both"/>
        <w:rPr>
          <w:rFonts w:ascii="Palatino Linotype" w:hAnsi="Palatino Linotype"/>
          <w:color w:val="000000" w:themeColor="text1"/>
        </w:rPr>
      </w:pPr>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themeColor="text1"/>
        </w:rPr>
        <w:t xml:space="preserve">El </w:t>
      </w:r>
      <w:r w:rsidRPr="00E9553D">
        <w:rPr>
          <w:rFonts w:ascii="Palatino Linotype" w:hAnsi="Palatino Linotype" w:cs="Arial"/>
        </w:rPr>
        <w:t>derecho</w:t>
      </w:r>
      <w:r w:rsidRPr="00E9553D">
        <w:rPr>
          <w:rFonts w:ascii="Palatino Linotype" w:eastAsia="Palatino Linotype" w:hAnsi="Palatino Linotype" w:cs="Palatino Linotype"/>
          <w:color w:val="000000"/>
        </w:rPr>
        <w:t xml:space="preserve"> de acceso a la información encuentra su materia elemental en los documentos, y la Ley de Transparencia local nos brinda el siguiente concepto</w:t>
      </w:r>
      <w:r w:rsidRPr="00E9553D">
        <w:rPr>
          <w:rFonts w:ascii="Palatino Linotype" w:eastAsia="Palatino Linotype" w:hAnsi="Palatino Linotype" w:cs="Palatino Linotype"/>
          <w:color w:val="000000"/>
          <w:vertAlign w:val="superscript"/>
        </w:rPr>
        <w:footnoteReference w:id="1"/>
      </w:r>
      <w:r w:rsidRPr="00E9553D">
        <w:rPr>
          <w:rFonts w:ascii="Palatino Linotype" w:eastAsia="Palatino Linotype" w:hAnsi="Palatino Linotype" w:cs="Palatino Linotype"/>
          <w:color w:val="000000"/>
        </w:rPr>
        <w:t>, para darnos un mejor panorama:</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b/>
          <w:i/>
        </w:rPr>
        <w:lastRenderedPageBreak/>
        <w:t xml:space="preserve">“XI. Documento: </w:t>
      </w:r>
      <w:r w:rsidRPr="00E9553D">
        <w:rPr>
          <w:rFonts w:ascii="Palatino Linotype" w:eastAsia="Palatino Linotype" w:hAnsi="Palatino Linotype" w:cs="Palatino Linotype"/>
          <w:b/>
          <w:bCs/>
          <w:i/>
        </w:rPr>
        <w:t xml:space="preserve">Los </w:t>
      </w:r>
      <w:r w:rsidRPr="00E9553D">
        <w:rPr>
          <w:rFonts w:ascii="Palatino Linotype" w:eastAsia="Palatino Linotype" w:hAnsi="Palatino Linotype" w:cs="Palatino Linotype"/>
          <w:i/>
        </w:rPr>
        <w:t xml:space="preserve">expedientes, reportes, estudios, actas, resoluciones, oficios, correspondencia, acuerdos, directivas, directrices, circulares, contratos, convenios, instructivos, notas, memorandos, estadísticas o bien, </w:t>
      </w:r>
      <w:r w:rsidRPr="00E9553D">
        <w:rPr>
          <w:rFonts w:ascii="Palatino Linotype" w:eastAsia="Palatino Linotype" w:hAnsi="Palatino Linotype" w:cs="Palatino Linotype"/>
          <w:b/>
          <w:bCs/>
          <w:i/>
        </w:rPr>
        <w:t>cualquier</w:t>
      </w:r>
      <w:r w:rsidRPr="00E9553D">
        <w:rPr>
          <w:rFonts w:ascii="Palatino Linotype" w:eastAsia="Palatino Linotype" w:hAnsi="Palatino Linotype" w:cs="Palatino Linotype"/>
          <w:i/>
        </w:rPr>
        <w:t xml:space="preserve"> otro </w:t>
      </w:r>
      <w:r w:rsidRPr="00E9553D">
        <w:rPr>
          <w:rFonts w:ascii="Palatino Linotype" w:eastAsia="Palatino Linotype" w:hAnsi="Palatino Linotype" w:cs="Palatino Linotype"/>
          <w:b/>
          <w:bCs/>
          <w:i/>
        </w:rPr>
        <w:t>registro que documente el ejercicio de las facultades, funciones y competencias de los</w:t>
      </w:r>
      <w:r w:rsidRPr="00E9553D">
        <w:rPr>
          <w:rFonts w:ascii="Palatino Linotype" w:eastAsia="Palatino Linotype" w:hAnsi="Palatino Linotype" w:cs="Palatino Linotype"/>
          <w:i/>
        </w:rPr>
        <w:t xml:space="preserve"> </w:t>
      </w:r>
      <w:r w:rsidRPr="00E9553D">
        <w:rPr>
          <w:rFonts w:ascii="Palatino Linotype" w:eastAsia="Palatino Linotype" w:hAnsi="Palatino Linotype" w:cs="Palatino Linotype"/>
          <w:b/>
          <w:i/>
        </w:rPr>
        <w:t>sujetos obligados</w:t>
      </w:r>
      <w:r w:rsidRPr="00E9553D">
        <w:rPr>
          <w:rFonts w:ascii="Palatino Linotype" w:eastAsia="Palatino Linotype" w:hAnsi="Palatino Linotype" w:cs="Palatino Linotype"/>
          <w:i/>
        </w:rPr>
        <w:t xml:space="preserve">, sus </w:t>
      </w:r>
      <w:r w:rsidRPr="00E9553D">
        <w:rPr>
          <w:rFonts w:ascii="Palatino Linotype" w:eastAsia="Palatino Linotype" w:hAnsi="Palatino Linotype" w:cs="Palatino Linotype"/>
          <w:bCs/>
          <w:i/>
        </w:rPr>
        <w:t>servidores públicos</w:t>
      </w:r>
      <w:r w:rsidRPr="00E9553D">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rsidR="00911842" w:rsidRPr="00E9553D" w:rsidRDefault="00911842" w:rsidP="00957601">
      <w:pPr>
        <w:spacing w:line="276" w:lineRule="auto"/>
        <w:ind w:left="567" w:right="567"/>
        <w:jc w:val="both"/>
        <w:rPr>
          <w:rFonts w:ascii="Palatino Linotype" w:eastAsia="Palatino Linotype" w:hAnsi="Palatino Linotype" w:cs="Palatino Linotype"/>
        </w:rPr>
      </w:pPr>
      <w:r w:rsidRPr="00E9553D">
        <w:rPr>
          <w:rFonts w:ascii="Palatino Linotype" w:eastAsia="Palatino Linotype" w:hAnsi="Palatino Linotype" w:cs="Palatino Linotype"/>
        </w:rPr>
        <w:t>(Énfasis añadido)</w:t>
      </w:r>
    </w:p>
    <w:p w:rsidR="00957601" w:rsidRPr="00E9553D" w:rsidRDefault="00957601" w:rsidP="00957601">
      <w:pPr>
        <w:spacing w:line="276" w:lineRule="auto"/>
        <w:ind w:left="567" w:right="567"/>
        <w:jc w:val="both"/>
        <w:rPr>
          <w:rFonts w:ascii="Palatino Linotype" w:eastAsia="Palatino Linotype" w:hAnsi="Palatino Linotype" w:cs="Palatino Linotype"/>
          <w:iCs/>
        </w:rPr>
      </w:pPr>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s="Arial"/>
        </w:rPr>
        <w:t>Correlativo</w:t>
      </w:r>
      <w:r w:rsidRPr="00E9553D">
        <w:rPr>
          <w:rFonts w:ascii="Palatino Linotype" w:hAnsi="Palatino Linotype"/>
          <w:color w:val="000000" w:themeColor="text1"/>
        </w:rPr>
        <w:t xml:space="preserve"> </w:t>
      </w:r>
      <w:r w:rsidRPr="00E9553D">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b/>
          <w:i/>
        </w:rPr>
        <w:t xml:space="preserve">“Artículo 4. </w:t>
      </w:r>
      <w:r w:rsidRPr="00E9553D">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9553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11842" w:rsidRPr="00E9553D" w:rsidRDefault="00911842" w:rsidP="00911842">
      <w:pPr>
        <w:spacing w:line="276" w:lineRule="auto"/>
        <w:ind w:left="567" w:right="567"/>
        <w:jc w:val="both"/>
        <w:rPr>
          <w:rFonts w:ascii="Palatino Linotype" w:eastAsia="Palatino Linotype" w:hAnsi="Palatino Linotype" w:cs="Palatino Linotype"/>
          <w:b/>
          <w:i/>
        </w:rPr>
      </w:pPr>
      <w:r w:rsidRPr="00E9553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rsidR="00911842" w:rsidRPr="00E9553D" w:rsidRDefault="00911842" w:rsidP="00911842">
      <w:pPr>
        <w:spacing w:line="276" w:lineRule="auto"/>
        <w:ind w:right="567"/>
        <w:jc w:val="both"/>
        <w:rPr>
          <w:rFonts w:ascii="Palatino Linotype" w:eastAsia="Palatino Linotype" w:hAnsi="Palatino Linotype" w:cs="Palatino Linotype"/>
          <w:i/>
          <w:color w:val="000000"/>
        </w:rPr>
      </w:pP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E9553D">
        <w:rPr>
          <w:rFonts w:ascii="Palatino Linotype" w:eastAsia="Palatino Linotype" w:hAnsi="Palatino Linotype" w:cs="Palatino Linotype"/>
          <w:i/>
        </w:rPr>
        <w:t xml:space="preserve">. </w:t>
      </w:r>
    </w:p>
    <w:p w:rsidR="00911842" w:rsidRPr="00E9553D" w:rsidRDefault="00911842" w:rsidP="00911842">
      <w:pPr>
        <w:spacing w:line="276" w:lineRule="auto"/>
        <w:ind w:left="567" w:right="567"/>
        <w:jc w:val="both"/>
        <w:rPr>
          <w:rFonts w:ascii="Palatino Linotype" w:eastAsia="Palatino Linotype" w:hAnsi="Palatino Linotype" w:cs="Palatino Linotype"/>
          <w:i/>
        </w:rPr>
      </w:pPr>
      <w:r w:rsidRPr="00E9553D">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11842" w:rsidRPr="00E9553D" w:rsidRDefault="00957601" w:rsidP="00957601">
      <w:pPr>
        <w:spacing w:line="276" w:lineRule="auto"/>
        <w:ind w:left="567" w:right="567"/>
        <w:jc w:val="both"/>
        <w:rPr>
          <w:rFonts w:ascii="Palatino Linotype" w:eastAsia="Palatino Linotype" w:hAnsi="Palatino Linotype" w:cs="Palatino Linotype"/>
        </w:rPr>
      </w:pPr>
      <w:r w:rsidRPr="00E9553D">
        <w:rPr>
          <w:rFonts w:ascii="Palatino Linotype" w:eastAsia="Palatino Linotype" w:hAnsi="Palatino Linotype" w:cs="Palatino Linotype"/>
        </w:rPr>
        <w:t>(Énfasis añadido)</w:t>
      </w:r>
    </w:p>
    <w:p w:rsidR="00957601" w:rsidRPr="00E9553D" w:rsidRDefault="00957601" w:rsidP="00957601">
      <w:pPr>
        <w:spacing w:line="276" w:lineRule="auto"/>
        <w:ind w:left="567" w:right="567"/>
        <w:jc w:val="both"/>
        <w:rPr>
          <w:rFonts w:ascii="Palatino Linotype" w:eastAsia="Palatino Linotype" w:hAnsi="Palatino Linotype" w:cs="Palatino Linotype"/>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themeColor="text1"/>
        </w:rPr>
        <w:t xml:space="preserve">Es </w:t>
      </w:r>
      <w:r w:rsidRPr="00E9553D">
        <w:rPr>
          <w:rFonts w:ascii="Palatino Linotype" w:eastAsia="Palatino Linotype" w:hAnsi="Palatino Linotype" w:cs="Palatino Linotype"/>
          <w:color w:val="000000"/>
        </w:rPr>
        <w:t xml:space="preserve">así como todos los actos de autoridad que realicen los Sujetos Obligados deben estar </w:t>
      </w:r>
      <w:r w:rsidRPr="00E9553D">
        <w:rPr>
          <w:rFonts w:ascii="Palatino Linotype" w:hAnsi="Palatino Linotype" w:cs="Arial"/>
        </w:rPr>
        <w:t>documentados</w:t>
      </w:r>
      <w:r w:rsidRPr="00E9553D">
        <w:rPr>
          <w:rFonts w:ascii="Palatino Linotype" w:eastAsia="Palatino Linotype" w:hAnsi="Palatino Linotype" w:cs="Palatino Linotype"/>
          <w:color w:val="000000"/>
        </w:rPr>
        <w:t xml:space="preserve"> y, bajo el más alto estándar de transparencia, deberán poner toda la información que se encuentre en su posesión, de manera permanente y actualizada, a disposición de los particulares que la soliciten.</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hAnsi="Palatino Linotype"/>
          <w:color w:val="000000" w:themeColor="text1"/>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themeColor="text1"/>
        </w:rPr>
        <w:t xml:space="preserve">Por </w:t>
      </w:r>
      <w:r w:rsidRPr="00E9553D">
        <w:rPr>
          <w:rFonts w:ascii="Palatino Linotype" w:eastAsia="Palatino Linotype" w:hAnsi="Palatino Linotype" w:cs="Palatino Linotype"/>
          <w:color w:val="000000"/>
        </w:rPr>
        <w:t xml:space="preserve">otro lado, la Ley de Transparencia y Acceso a la Información Pública del </w:t>
      </w:r>
      <w:r w:rsidRPr="00E9553D">
        <w:rPr>
          <w:rFonts w:ascii="Palatino Linotype" w:hAnsi="Palatino Linotype" w:cs="Arial"/>
        </w:rPr>
        <w:t>Estado</w:t>
      </w:r>
      <w:r w:rsidRPr="00E9553D">
        <w:rPr>
          <w:rFonts w:ascii="Palatino Linotype" w:eastAsia="Palatino Linotype" w:hAnsi="Palatino Linotype" w:cs="Palatino Linotype"/>
          <w:color w:val="000000"/>
        </w:rPr>
        <w:t xml:space="preserve">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E9553D">
        <w:rPr>
          <w:rFonts w:ascii="Palatino Linotype" w:eastAsia="Palatino Linotype" w:hAnsi="Palatino Linotype" w:cs="Palatino Linotype"/>
          <w:color w:val="000000"/>
          <w:vertAlign w:val="superscript"/>
        </w:rPr>
        <w:footnoteReference w:id="2"/>
      </w:r>
      <w:r w:rsidRPr="00E9553D">
        <w:rPr>
          <w:rFonts w:ascii="Palatino Linotype" w:eastAsia="Palatino Linotype" w:hAnsi="Palatino Linotype" w:cs="Palatino Linotype"/>
          <w:color w:val="000000"/>
        </w:rPr>
        <w:t>.</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hAnsi="Palatino Linotype"/>
          <w:color w:val="000000" w:themeColor="text1"/>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themeColor="text1"/>
        </w:rPr>
        <w:t xml:space="preserve">En </w:t>
      </w:r>
      <w:r w:rsidRPr="00E9553D">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9553D">
        <w:rPr>
          <w:rFonts w:ascii="Palatino Linotype" w:eastAsia="Palatino Linotype" w:hAnsi="Palatino Linotype" w:cs="Palatino Linotype"/>
          <w:color w:val="000000"/>
          <w:vertAlign w:val="superscript"/>
        </w:rPr>
        <w:footnoteReference w:id="3"/>
      </w:r>
      <w:r w:rsidRPr="00E9553D">
        <w:rPr>
          <w:rFonts w:ascii="Palatino Linotype" w:eastAsia="Palatino Linotype" w:hAnsi="Palatino Linotype" w:cs="Palatino Linotype"/>
          <w:color w:val="000000"/>
        </w:rPr>
        <w:t xml:space="preserve"> y máxima publicidad; </w:t>
      </w:r>
      <w:r w:rsidRPr="00E9553D">
        <w:rPr>
          <w:rFonts w:ascii="Palatino Linotype" w:eastAsia="Palatino Linotype" w:hAnsi="Palatino Linotype" w:cs="Palatino Linotype"/>
          <w:color w:val="000000"/>
        </w:rPr>
        <w:lastRenderedPageBreak/>
        <w:t xml:space="preserve">sobre éste último se debe poner mayor énfasis, puesto que establece que </w:t>
      </w:r>
      <w:r w:rsidRPr="00E9553D">
        <w:rPr>
          <w:rFonts w:ascii="Palatino Linotype" w:eastAsia="Palatino Linotype" w:hAnsi="Palatino Linotype" w:cs="Palatino Linotype"/>
          <w:b/>
          <w:color w:val="000000"/>
          <w:u w:val="single"/>
        </w:rPr>
        <w:t>toda la información en posesión de los Sujetos Obligados será</w:t>
      </w:r>
      <w:r w:rsidRPr="00E9553D">
        <w:rPr>
          <w:rFonts w:ascii="Palatino Linotype" w:eastAsia="Palatino Linotype" w:hAnsi="Palatino Linotype" w:cs="Palatino Linotype"/>
          <w:color w:val="000000"/>
        </w:rPr>
        <w:t xml:space="preserve"> pública, completa, </w:t>
      </w:r>
      <w:r w:rsidRPr="00E9553D">
        <w:rPr>
          <w:rFonts w:ascii="Palatino Linotype" w:eastAsia="Palatino Linotype" w:hAnsi="Palatino Linotype" w:cs="Palatino Linotype"/>
          <w:b/>
          <w:color w:val="000000"/>
          <w:u w:val="single"/>
        </w:rPr>
        <w:t>oportuna</w:t>
      </w:r>
      <w:r w:rsidRPr="00E9553D">
        <w:rPr>
          <w:rFonts w:ascii="Palatino Linotype" w:eastAsia="Palatino Linotype" w:hAnsi="Palatino Linotype" w:cs="Palatino Linotype"/>
          <w:color w:val="000000"/>
        </w:rPr>
        <w:t xml:space="preserve"> y </w:t>
      </w:r>
      <w:r w:rsidRPr="00E9553D">
        <w:rPr>
          <w:rFonts w:ascii="Palatino Linotype" w:eastAsia="Palatino Linotype" w:hAnsi="Palatino Linotype" w:cs="Palatino Linotype"/>
          <w:b/>
          <w:color w:val="000000"/>
          <w:u w:val="single"/>
        </w:rPr>
        <w:t>accesible</w:t>
      </w:r>
      <w:r w:rsidRPr="00E9553D">
        <w:rPr>
          <w:rFonts w:ascii="Palatino Linotype" w:eastAsia="Palatino Linotype" w:hAnsi="Palatino Linotype" w:cs="Palatino Linotype"/>
          <w:color w:val="000000"/>
        </w:rPr>
        <w:t xml:space="preserve">, </w:t>
      </w:r>
      <w:r w:rsidRPr="00E9553D">
        <w:rPr>
          <w:rFonts w:ascii="Palatino Linotype" w:eastAsia="Palatino Linotype" w:hAnsi="Palatino Linotype" w:cs="Palatino Linotype"/>
          <w:b/>
          <w:color w:val="000000"/>
        </w:rPr>
        <w:t>lo que permite que la ciudadanía tenga un amplio acceso sobre lo que es el actuar de las autoridades</w:t>
      </w:r>
      <w:r w:rsidRPr="00E9553D">
        <w:rPr>
          <w:rFonts w:ascii="Palatino Linotype" w:eastAsia="Palatino Linotype" w:hAnsi="Palatino Linotype" w:cs="Palatino Linotype"/>
          <w:color w:val="000000"/>
        </w:rPr>
        <w:t>.</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hAnsi="Palatino Linotype"/>
          <w:color w:val="000000" w:themeColor="text1"/>
        </w:rPr>
      </w:pPr>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s="Arial"/>
        </w:rPr>
        <w:t>Robustece</w:t>
      </w:r>
      <w:r w:rsidRPr="00E9553D">
        <w:rPr>
          <w:rFonts w:ascii="Palatino Linotype" w:hAnsi="Palatino Linotype"/>
          <w:color w:val="000000" w:themeColor="text1"/>
        </w:rPr>
        <w:t xml:space="preserve"> </w:t>
      </w:r>
      <w:r w:rsidRPr="00E9553D">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rsidR="00911842" w:rsidRPr="00E9553D" w:rsidRDefault="00911842" w:rsidP="00957601">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i/>
          <w:color w:val="000000"/>
        </w:rPr>
      </w:pPr>
      <w:r w:rsidRPr="00E9553D">
        <w:rPr>
          <w:rFonts w:ascii="Palatino Linotype" w:eastAsia="Palatino Linotype" w:hAnsi="Palatino Linotype" w:cs="Palatino Linotype"/>
          <w:b/>
          <w:i/>
          <w:color w:val="000000"/>
        </w:rPr>
        <w:t>ACCESO A LA INFORMACIÓN. IMPLICACIÓN DEL PRINCIPIO DE MÁXIMA PUBLICIDAD EN EL DERECHO FUNDAMENTAL RELATIVO.</w:t>
      </w:r>
      <w:r w:rsidRPr="00E9553D">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r w:rsidRPr="00E9553D">
        <w:rPr>
          <w:rFonts w:ascii="Palatino Linotype" w:eastAsia="Palatino Linotype" w:hAnsi="Palatino Linotype" w:cs="Palatino Linotype"/>
          <w:i/>
          <w:color w:val="000000"/>
        </w:rPr>
        <w:lastRenderedPageBreak/>
        <w:t>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957601" w:rsidRPr="00E9553D" w:rsidRDefault="00957601" w:rsidP="00957601">
      <w:pPr>
        <w:pBdr>
          <w:top w:val="nil"/>
          <w:left w:val="nil"/>
          <w:bottom w:val="nil"/>
          <w:right w:val="nil"/>
          <w:between w:val="nil"/>
        </w:pBdr>
        <w:tabs>
          <w:tab w:val="left" w:pos="142"/>
          <w:tab w:val="left" w:pos="284"/>
          <w:tab w:val="left" w:pos="426"/>
        </w:tabs>
        <w:spacing w:line="276" w:lineRule="auto"/>
        <w:ind w:right="567"/>
        <w:jc w:val="both"/>
        <w:rPr>
          <w:rFonts w:ascii="Palatino Linotype" w:eastAsia="Palatino Linotype" w:hAnsi="Palatino Linotype" w:cs="Palatino Linotype"/>
          <w:color w:val="000000"/>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hAnsi="Palatino Linotype"/>
          <w:color w:val="000000" w:themeColor="text1"/>
        </w:rPr>
        <w:t xml:space="preserve">Tal y </w:t>
      </w:r>
      <w:r w:rsidRPr="00E9553D">
        <w:rPr>
          <w:rFonts w:ascii="Palatino Linotype" w:hAnsi="Palatino Linotype" w:cs="Arial"/>
        </w:rPr>
        <w:t>como</w:t>
      </w:r>
      <w:r w:rsidRPr="00E9553D">
        <w:rPr>
          <w:rFonts w:ascii="Palatino Linotype" w:hAnsi="Palatino Linotype"/>
          <w:color w:val="000000" w:themeColor="text1"/>
        </w:rPr>
        <w:t xml:space="preserve"> se ha señalado, </w:t>
      </w:r>
      <w:r w:rsidRPr="00E9553D">
        <w:rPr>
          <w:rFonts w:ascii="Palatino Linotype" w:hAnsi="Palatino Linotype"/>
          <w:bCs/>
          <w:color w:val="000000" w:themeColor="text1"/>
        </w:rPr>
        <w:t>el derecho de acceso a la información se basa en permitir que la ciudadanía conozca de primera mano toda aquella información que se encuentra en posesión de los Sujetos Obligados</w:t>
      </w:r>
      <w:r w:rsidRPr="00E9553D">
        <w:rPr>
          <w:rFonts w:ascii="Palatino Linotype" w:hAnsi="Palatino Linotype"/>
          <w:color w:val="000000" w:themeColor="text1"/>
        </w:rPr>
        <w:t xml:space="preserve">, ya sea porque la genera, posee o administra; </w:t>
      </w:r>
      <w:r w:rsidRPr="00E9553D">
        <w:rPr>
          <w:rFonts w:ascii="Palatino Linotype" w:hAnsi="Palatino Linotype"/>
          <w:bCs/>
          <w:color w:val="000000" w:themeColor="text1"/>
        </w:rPr>
        <w:t>toda vez que</w:t>
      </w:r>
      <w:r w:rsidRPr="00E9553D">
        <w:rPr>
          <w:rFonts w:ascii="Palatino Linotype" w:hAnsi="Palatino Linotype"/>
          <w:color w:val="000000" w:themeColor="text1"/>
        </w:rPr>
        <w:t>, a través de dicha acción, permite que las personas ejerzan un medio de control sobre las acciones que se están ejerciendo y evaluar su desempeño.</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eastAsia="Calibri" w:hAnsi="Palatino Linotype" w:cs="Arial"/>
          <w:lang w:val="es-ES"/>
        </w:rPr>
        <w:t xml:space="preserve">La </w:t>
      </w:r>
      <w:r w:rsidRPr="00E9553D">
        <w:rPr>
          <w:rFonts w:ascii="Palatino Linotype" w:hAnsi="Palatino Linotype"/>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hAnsi="Palatino Linotype"/>
          <w:color w:val="000000" w:themeColor="text1"/>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themeColor="text1"/>
        </w:rPr>
        <w:t xml:space="preserve">Para atender las solicitudes de información, los Sujetos Obligados contarán con un área denominada </w:t>
      </w:r>
      <w:r w:rsidRPr="00E9553D">
        <w:rPr>
          <w:rFonts w:ascii="Palatino Linotype" w:hAnsi="Palatino Linotype"/>
          <w:bCs/>
          <w:color w:val="000000" w:themeColor="text1"/>
        </w:rPr>
        <w:t>Unidad de Transparencia</w:t>
      </w:r>
      <w:r w:rsidRPr="00E9553D">
        <w:rPr>
          <w:rFonts w:ascii="Palatino Linotype" w:hAnsi="Palatino Linotype"/>
          <w:color w:val="000000" w:themeColor="text1"/>
          <w:vertAlign w:val="superscript"/>
        </w:rPr>
        <w:footnoteReference w:id="4"/>
      </w:r>
      <w:r w:rsidRPr="00E9553D">
        <w:rPr>
          <w:rFonts w:ascii="Palatino Linotype" w:hAnsi="Palatino Linotype"/>
          <w:color w:val="000000" w:themeColor="text1"/>
        </w:rPr>
        <w:t xml:space="preserve">, la cual será presidida por un Titular, quien fungirá como enlace entre éstos y los solicitantes. Dicha Unidad </w:t>
      </w:r>
      <w:r w:rsidRPr="00E9553D">
        <w:rPr>
          <w:rFonts w:ascii="Palatino Linotype" w:hAnsi="Palatino Linotype"/>
          <w:bCs/>
          <w:color w:val="000000" w:themeColor="text1"/>
        </w:rPr>
        <w:t>será la encargada de tramitar internamente la solicitud de información</w:t>
      </w:r>
      <w:r w:rsidRPr="00E9553D">
        <w:rPr>
          <w:rFonts w:ascii="Palatino Linotype" w:hAnsi="Palatino Linotype"/>
          <w:color w:val="000000" w:themeColor="text1"/>
        </w:rPr>
        <w:t xml:space="preserve"> y tendrá la alta responsabilidad de verificar, en cada caso, que la misma no sea confidencial o reservada. Asimismo, contará con las facultades </w:t>
      </w:r>
      <w:r w:rsidRPr="00E9553D">
        <w:rPr>
          <w:rFonts w:ascii="Palatino Linotype" w:hAnsi="Palatino Linotype"/>
          <w:color w:val="000000" w:themeColor="text1"/>
        </w:rPr>
        <w:lastRenderedPageBreak/>
        <w:t xml:space="preserve">internas necesarias para </w:t>
      </w:r>
      <w:r w:rsidRPr="00E9553D">
        <w:rPr>
          <w:rFonts w:ascii="Palatino Linotype" w:hAnsi="Palatino Linotype"/>
          <w:bCs/>
          <w:color w:val="000000" w:themeColor="text1"/>
        </w:rPr>
        <w:t xml:space="preserve">gestionar la atención a las solicitudes de información </w:t>
      </w:r>
      <w:r w:rsidRPr="00E9553D">
        <w:rPr>
          <w:rFonts w:ascii="Palatino Linotype" w:hAnsi="Palatino Linotype"/>
          <w:color w:val="000000" w:themeColor="text1"/>
        </w:rPr>
        <w:t>en los términos de la Ley General y la Ley de Transparencia y Acceso a la Información Pública del Estado de México y Municipios</w:t>
      </w:r>
      <w:r w:rsidRPr="00E9553D">
        <w:rPr>
          <w:rFonts w:ascii="Palatino Linotype" w:hAnsi="Palatino Linotype"/>
          <w:color w:val="000000" w:themeColor="text1"/>
          <w:vertAlign w:val="superscript"/>
        </w:rPr>
        <w:footnoteReference w:id="5"/>
      </w:r>
      <w:r w:rsidRPr="00E9553D">
        <w:rPr>
          <w:rFonts w:ascii="Palatino Linotype" w:hAnsi="Palatino Linotype"/>
          <w:color w:val="000000" w:themeColor="text1"/>
        </w:rPr>
        <w:t>.</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hAnsi="Palatino Linotype"/>
          <w:color w:val="000000" w:themeColor="text1"/>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rPr>
        <w:t xml:space="preserve">De </w:t>
      </w:r>
      <w:r w:rsidRPr="00E9553D">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rsidR="00911842" w:rsidRPr="00E9553D" w:rsidRDefault="00911842" w:rsidP="00911842">
      <w:pPr>
        <w:pStyle w:val="Prrafodelista"/>
        <w:numPr>
          <w:ilvl w:val="1"/>
          <w:numId w:val="16"/>
        </w:numPr>
        <w:tabs>
          <w:tab w:val="left" w:pos="426"/>
        </w:tabs>
        <w:spacing w:before="240" w:after="240" w:line="360" w:lineRule="auto"/>
        <w:ind w:left="1134" w:right="51"/>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Recibir, tramitar y dar respuesta a las solicitudes de acceso a la información;</w:t>
      </w:r>
    </w:p>
    <w:p w:rsidR="00911842" w:rsidRPr="00E9553D" w:rsidRDefault="00911842" w:rsidP="00911842">
      <w:pPr>
        <w:pStyle w:val="Prrafodelista"/>
        <w:numPr>
          <w:ilvl w:val="1"/>
          <w:numId w:val="16"/>
        </w:numPr>
        <w:tabs>
          <w:tab w:val="left" w:pos="426"/>
        </w:tabs>
        <w:spacing w:before="240" w:after="240" w:line="360" w:lineRule="auto"/>
        <w:ind w:left="1134" w:right="51"/>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Realizar, con efectividad, los trámites internos necesarios para la atención de las solicitudes de acceso a la información; </w:t>
      </w:r>
    </w:p>
    <w:p w:rsidR="00911842" w:rsidRPr="00E9553D" w:rsidRDefault="00911842" w:rsidP="00911842">
      <w:pPr>
        <w:pStyle w:val="Prrafodelista"/>
        <w:numPr>
          <w:ilvl w:val="1"/>
          <w:numId w:val="16"/>
        </w:numPr>
        <w:tabs>
          <w:tab w:val="left" w:pos="426"/>
        </w:tabs>
        <w:spacing w:before="240" w:after="240" w:line="360" w:lineRule="auto"/>
        <w:ind w:left="1134" w:right="51"/>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Entregar, en su caso, a los particulares la información solicitada; y </w:t>
      </w:r>
    </w:p>
    <w:p w:rsidR="00911842" w:rsidRPr="00E9553D" w:rsidRDefault="00911842" w:rsidP="00957601">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E9553D">
        <w:rPr>
          <w:rFonts w:ascii="Palatino Linotype" w:eastAsia="MS Mincho" w:hAnsi="Palatino Linotype" w:cs="Times New Roman"/>
          <w:color w:val="000000"/>
        </w:rPr>
        <w:t>Efectuar las notificaciones a los solicitantes.</w:t>
      </w:r>
    </w:p>
    <w:p w:rsidR="00957601" w:rsidRPr="00E9553D" w:rsidRDefault="00957601" w:rsidP="00957601">
      <w:pPr>
        <w:pStyle w:val="Prrafodelista"/>
        <w:tabs>
          <w:tab w:val="left" w:pos="426"/>
        </w:tabs>
        <w:spacing w:before="240" w:after="240" w:line="360" w:lineRule="auto"/>
        <w:ind w:left="1134" w:right="51"/>
        <w:jc w:val="both"/>
        <w:rPr>
          <w:rFonts w:ascii="Palatino Linotype" w:hAnsi="Palatino Linotype"/>
          <w:color w:val="000000" w:themeColor="text1"/>
        </w:rPr>
      </w:pPr>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s="Arial"/>
        </w:rPr>
        <w:t>Otros</w:t>
      </w:r>
      <w:r w:rsidRPr="00E9553D">
        <w:rPr>
          <w:rFonts w:ascii="Palatino Linotype" w:hAnsi="Palatino Linotype"/>
        </w:rPr>
        <w:t xml:space="preserve"> sujetos del proceso de atención a las solicitudes de información son los </w:t>
      </w:r>
      <w:r w:rsidRPr="00E9553D">
        <w:rPr>
          <w:rFonts w:ascii="Palatino Linotype" w:hAnsi="Palatino Linotype"/>
          <w:b/>
          <w:bCs/>
        </w:rPr>
        <w:t>servidores públicos habilitados</w:t>
      </w:r>
      <w:r w:rsidRPr="00E9553D">
        <w:rPr>
          <w:rFonts w:ascii="Palatino Linotype" w:hAnsi="Palatino Linotype"/>
        </w:rPr>
        <w:t xml:space="preserve">, quienes serán designados por el titular del </w:t>
      </w:r>
      <w:r w:rsidRPr="00E9553D">
        <w:rPr>
          <w:rFonts w:ascii="Palatino Linotype" w:hAnsi="Palatino Linotype"/>
          <w:b/>
          <w:bCs/>
        </w:rPr>
        <w:t>SUJETO OBLIGADO</w:t>
      </w:r>
      <w:r w:rsidRPr="00E9553D">
        <w:rPr>
          <w:rFonts w:ascii="Palatino Linotype" w:hAnsi="Palatino Linotype"/>
        </w:rPr>
        <w:t>, a propuesta del responsable de la Unidad de Transparencia</w:t>
      </w:r>
      <w:r w:rsidRPr="00E9553D">
        <w:rPr>
          <w:rFonts w:ascii="Palatino Linotype" w:hAnsi="Palatino Linotype"/>
          <w:vertAlign w:val="superscript"/>
        </w:rPr>
        <w:footnoteReference w:id="6"/>
      </w:r>
      <w:r w:rsidRPr="00E9553D">
        <w:rPr>
          <w:rFonts w:ascii="Palatino Linotype" w:hAnsi="Palatino Linotype"/>
        </w:rPr>
        <w:t xml:space="preserve"> y tendrán, entre sus atribuciones, las siguientes</w:t>
      </w:r>
      <w:r w:rsidRPr="00E9553D">
        <w:rPr>
          <w:rFonts w:ascii="Palatino Linotype" w:hAnsi="Palatino Linotype"/>
          <w:vertAlign w:val="superscript"/>
        </w:rPr>
        <w:footnoteReference w:id="7"/>
      </w:r>
      <w:r w:rsidRPr="00E9553D">
        <w:rPr>
          <w:rFonts w:ascii="Palatino Linotype" w:hAnsi="Palatino Linotype"/>
        </w:rPr>
        <w:t>:</w:t>
      </w:r>
    </w:p>
    <w:p w:rsidR="00911842" w:rsidRPr="00E9553D" w:rsidRDefault="00911842" w:rsidP="00D10FBC">
      <w:pPr>
        <w:pStyle w:val="Prrafodelista"/>
        <w:numPr>
          <w:ilvl w:val="1"/>
          <w:numId w:val="17"/>
        </w:numPr>
        <w:tabs>
          <w:tab w:val="left" w:pos="426"/>
        </w:tabs>
        <w:spacing w:before="240" w:after="240" w:line="360" w:lineRule="auto"/>
        <w:ind w:left="1134" w:right="708"/>
        <w:jc w:val="both"/>
        <w:rPr>
          <w:rFonts w:ascii="Palatino Linotype" w:hAnsi="Palatino Linotype"/>
        </w:rPr>
      </w:pPr>
      <w:r w:rsidRPr="00E9553D">
        <w:rPr>
          <w:rFonts w:ascii="Palatino Linotype" w:hAnsi="Palatino Linotype"/>
        </w:rPr>
        <w:t>Localizar la información que le solicite la Unidad de Transparencia; y</w:t>
      </w:r>
    </w:p>
    <w:p w:rsidR="00911842" w:rsidRPr="00E9553D" w:rsidRDefault="00911842" w:rsidP="00D10FBC">
      <w:pPr>
        <w:pStyle w:val="Prrafodelista"/>
        <w:numPr>
          <w:ilvl w:val="1"/>
          <w:numId w:val="17"/>
        </w:numPr>
        <w:tabs>
          <w:tab w:val="left" w:pos="426"/>
        </w:tabs>
        <w:spacing w:before="240" w:after="240"/>
        <w:ind w:left="1134" w:right="708"/>
        <w:jc w:val="both"/>
        <w:rPr>
          <w:rFonts w:ascii="Palatino Linotype" w:hAnsi="Palatino Linotype"/>
          <w:color w:val="000000" w:themeColor="text1"/>
        </w:rPr>
      </w:pPr>
      <w:r w:rsidRPr="00E9553D">
        <w:rPr>
          <w:rFonts w:ascii="Palatino Linotype" w:hAnsi="Palatino Linotype"/>
        </w:rPr>
        <w:t>Proporcionar la información que obre en los archivos y que le sea solicitada por la Unidad de Transparencia.</w:t>
      </w:r>
    </w:p>
    <w:p w:rsidR="00911842" w:rsidRPr="00E9553D" w:rsidRDefault="00911842" w:rsidP="00911842">
      <w:pPr>
        <w:pStyle w:val="Prrafodelista"/>
        <w:tabs>
          <w:tab w:val="left" w:pos="426"/>
        </w:tabs>
        <w:spacing w:before="240" w:after="240" w:line="360" w:lineRule="auto"/>
        <w:ind w:left="0" w:right="51"/>
        <w:jc w:val="both"/>
        <w:rPr>
          <w:rFonts w:ascii="Palatino Linotype" w:hAnsi="Palatino Linotype"/>
          <w:color w:val="000000" w:themeColor="text1"/>
        </w:rPr>
      </w:pPr>
    </w:p>
    <w:p w:rsidR="00D10FBC" w:rsidRPr="00E9553D" w:rsidRDefault="00911842" w:rsidP="00D10FBC">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hAnsi="Palatino Linotype" w:cs="Arial"/>
        </w:rPr>
        <w:lastRenderedPageBreak/>
        <w:t>De</w:t>
      </w:r>
      <w:r w:rsidRPr="00E9553D">
        <w:rPr>
          <w:rFonts w:ascii="Palatino Linotype" w:hAnsi="Palatino Linotype"/>
        </w:rPr>
        <w:t xml:space="preserve"> tal </w:t>
      </w:r>
      <w:r w:rsidRPr="00E9553D">
        <w:rPr>
          <w:rFonts w:ascii="Palatino Linotype" w:eastAsia="MS Mincho" w:hAnsi="Palatino Linotype" w:cs="Times New Roman"/>
          <w:color w:val="000000"/>
        </w:rPr>
        <w:t xml:space="preserve">manera que cada una de las áreas administrativas del </w:t>
      </w:r>
      <w:r w:rsidRPr="00E9553D">
        <w:rPr>
          <w:rFonts w:ascii="Palatino Linotype" w:eastAsia="MS Mincho" w:hAnsi="Palatino Linotype" w:cs="Times New Roman"/>
          <w:b/>
          <w:bCs/>
          <w:color w:val="000000"/>
        </w:rPr>
        <w:t>SUJETO OBLIGADO</w:t>
      </w:r>
      <w:r w:rsidRPr="00E9553D">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D10FBC" w:rsidRPr="00E9553D" w:rsidRDefault="00911842" w:rsidP="00D10FBC">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hAnsi="Palatino Linotype" w:cs="Arial"/>
        </w:rPr>
        <w:t>Una</w:t>
      </w:r>
      <w:r w:rsidRPr="00E9553D">
        <w:rPr>
          <w:rFonts w:ascii="Palatino Linotype" w:eastAsia="Calibri" w:hAnsi="Palatino Linotype" w:cs="Arial"/>
          <w:lang w:val="es-ES"/>
        </w:rPr>
        <w:t xml:space="preserve"> </w:t>
      </w:r>
      <w:r w:rsidRPr="00E9553D">
        <w:rPr>
          <w:rFonts w:ascii="Palatino Linotype" w:eastAsia="MS Mincho" w:hAnsi="Palatino Linotype" w:cs="Times New Roman"/>
          <w:color w:val="000000"/>
        </w:rPr>
        <w:t>vez establecido lo anterior,</w:t>
      </w:r>
      <w:r w:rsidR="00D10FBC" w:rsidRPr="00E9553D">
        <w:rPr>
          <w:rFonts w:ascii="Palatino Linotype" w:eastAsia="MS Mincho" w:hAnsi="Palatino Linotype" w:cs="Times New Roman"/>
          <w:color w:val="000000"/>
        </w:rPr>
        <w:t xml:space="preserve"> de la lectura de las solicitudes de información, se advierte que se requirió lo siguiente:</w:t>
      </w: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Informe desglosado relativo al gasto por $181,000,000.00 (ciento ochenta y un </w:t>
      </w:r>
      <w:r w:rsidR="00E9553D">
        <w:rPr>
          <w:rFonts w:ascii="Palatino Linotype" w:eastAsia="MS Mincho" w:hAnsi="Palatino Linotype" w:cs="Times New Roman"/>
          <w:color w:val="000000"/>
        </w:rPr>
        <w:t>millones</w:t>
      </w:r>
      <w:r w:rsidRPr="00E9553D">
        <w:rPr>
          <w:rFonts w:ascii="Palatino Linotype" w:eastAsia="MS Mincho" w:hAnsi="Palatino Linotype" w:cs="Times New Roman"/>
          <w:color w:val="000000"/>
        </w:rPr>
        <w:t xml:space="preserve"> de pesos 00/100 M.N.) ejercido en servicios profesionales, científicos y técnicos integrales, mismo que se encuentra relacionado con el Estado Analítico del Ejercicio del Presupuesto, dentro del Capítulo 3000 “Servicios Generales”, </w:t>
      </w:r>
      <w:r w:rsidRPr="00E9553D">
        <w:rPr>
          <w:rFonts w:ascii="Palatino Linotype" w:eastAsia="MS Mincho" w:hAnsi="Palatino Linotype" w:cs="Times New Roman"/>
          <w:b/>
          <w:color w:val="000000"/>
        </w:rPr>
        <w:t>partida 33101 “Servicios profesionales, científicos y técnicos integrales”</w:t>
      </w:r>
      <w:r w:rsidRPr="00E9553D">
        <w:rPr>
          <w:rFonts w:ascii="Palatino Linotype" w:eastAsia="MS Mincho" w:hAnsi="Palatino Linotype" w:cs="Times New Roman"/>
          <w:color w:val="000000"/>
        </w:rPr>
        <w:t xml:space="preserve">, </w:t>
      </w:r>
    </w:p>
    <w:p w:rsidR="00D10FBC" w:rsidRPr="00E9553D" w:rsidRDefault="00D10FBC" w:rsidP="00D10FBC">
      <w:pPr>
        <w:pBdr>
          <w:top w:val="nil"/>
          <w:left w:val="nil"/>
          <w:bottom w:val="nil"/>
          <w:right w:val="nil"/>
          <w:between w:val="nil"/>
        </w:pBdr>
        <w:tabs>
          <w:tab w:val="left" w:pos="426"/>
        </w:tabs>
        <w:spacing w:line="276" w:lineRule="auto"/>
        <w:ind w:right="425"/>
        <w:jc w:val="both"/>
        <w:rPr>
          <w:rFonts w:ascii="Palatino Linotype" w:eastAsia="MS Mincho" w:hAnsi="Palatino Linotype" w:cs="Times New Roman"/>
          <w:color w:val="000000"/>
        </w:rPr>
      </w:pP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Que contenga: </w:t>
      </w: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a) Servicios específicos contratados.</w:t>
      </w: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 b) Nombre o razón social de las personas físicas o morales proveedoras. </w:t>
      </w: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c) Modalidad de contratación utilizada en cada caso. </w:t>
      </w: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d) Objeto del contrato y actividades realizadas. </w:t>
      </w:r>
    </w:p>
    <w:p w:rsidR="00D10FBC" w:rsidRPr="00E9553D" w:rsidRDefault="00D10FBC" w:rsidP="00D10FBC">
      <w:pPr>
        <w:pBdr>
          <w:top w:val="nil"/>
          <w:left w:val="nil"/>
          <w:bottom w:val="nil"/>
          <w:right w:val="nil"/>
          <w:between w:val="nil"/>
        </w:pBdr>
        <w:tabs>
          <w:tab w:val="left" w:pos="426"/>
        </w:tabs>
        <w:spacing w:line="276" w:lineRule="auto"/>
        <w:ind w:left="709" w:right="425"/>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e) Monto pagado por cada servicio.</w:t>
      </w:r>
    </w:p>
    <w:p w:rsidR="00D10FBC" w:rsidRPr="00E9553D" w:rsidRDefault="00D10FBC"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D10FBC" w:rsidRPr="00E9553D" w:rsidRDefault="00D10FBC"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Ahora bien, relativo a la aclaración realizada por el </w:t>
      </w:r>
      <w:r w:rsidRPr="00E9553D">
        <w:rPr>
          <w:rFonts w:ascii="Palatino Linotype" w:eastAsia="MS Mincho" w:hAnsi="Palatino Linotype" w:cs="Times New Roman"/>
          <w:b/>
          <w:color w:val="000000"/>
        </w:rPr>
        <w:t xml:space="preserve">SUJETO OBLIGADO, </w:t>
      </w:r>
      <w:r w:rsidRPr="00E9553D">
        <w:rPr>
          <w:rFonts w:ascii="Palatino Linotype" w:eastAsia="MS Mincho" w:hAnsi="Palatino Linotype" w:cs="Times New Roman"/>
          <w:color w:val="000000"/>
        </w:rPr>
        <w:t xml:space="preserve">misma que no fue atendida por el ahora </w:t>
      </w:r>
      <w:r w:rsidRPr="00E9553D">
        <w:rPr>
          <w:rFonts w:ascii="Palatino Linotype" w:eastAsia="MS Mincho" w:hAnsi="Palatino Linotype" w:cs="Times New Roman"/>
          <w:b/>
          <w:color w:val="000000"/>
        </w:rPr>
        <w:t xml:space="preserve">RECURRENTE, </w:t>
      </w:r>
      <w:r w:rsidRPr="00E9553D">
        <w:rPr>
          <w:rFonts w:ascii="Palatino Linotype" w:eastAsia="MS Mincho" w:hAnsi="Palatino Linotype" w:cs="Times New Roman"/>
          <w:color w:val="000000"/>
        </w:rPr>
        <w:t>se advierte que si bien es cierto no fue atendida, resulta necesario referir que, la resolución de los recursos de revisión se constriñen a los motivos de inconformidad hechos valer en ambos recursos, mismos que a efecto de precisión, se plasman a continuación:</w:t>
      </w:r>
    </w:p>
    <w:p w:rsidR="00D10FBC" w:rsidRPr="00E9553D" w:rsidRDefault="00D10FBC"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D10FBC" w:rsidRPr="00E9553D" w:rsidRDefault="00D10FBC" w:rsidP="00D10FBC">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b/>
          <w:color w:val="000000"/>
        </w:rPr>
      </w:pPr>
      <w:r w:rsidRPr="00E9553D">
        <w:rPr>
          <w:rFonts w:ascii="Palatino Linotype" w:eastAsia="MS Mincho" w:hAnsi="Palatino Linotype" w:cs="Times New Roman"/>
          <w:b/>
          <w:color w:val="000000"/>
        </w:rPr>
        <w:lastRenderedPageBreak/>
        <w:t> 00036/CUAUTIZC/IP/2026</w:t>
      </w:r>
    </w:p>
    <w:p w:rsidR="00D10FBC" w:rsidRPr="00E9553D" w:rsidRDefault="00D10FBC" w:rsidP="00D10FBC">
      <w:pPr>
        <w:pStyle w:val="Prrafodelista"/>
        <w:numPr>
          <w:ilvl w:val="0"/>
          <w:numId w:val="15"/>
        </w:numPr>
        <w:ind w:left="709" w:right="567"/>
        <w:jc w:val="both"/>
        <w:rPr>
          <w:rFonts w:ascii="Palatino Linotype" w:hAnsi="Palatino Linotype"/>
          <w:i/>
          <w:color w:val="000000" w:themeColor="text1"/>
          <w:lang w:val="es-ES"/>
        </w:rPr>
      </w:pPr>
      <w:r w:rsidRPr="00E9553D">
        <w:rPr>
          <w:rFonts w:ascii="Palatino Linotype" w:hAnsi="Palatino Linotype"/>
          <w:b/>
          <w:color w:val="000000" w:themeColor="text1"/>
          <w:lang w:val="es-ES"/>
        </w:rPr>
        <w:t xml:space="preserve">Acto impugnado: </w:t>
      </w:r>
      <w:r w:rsidRPr="00E9553D">
        <w:rPr>
          <w:rFonts w:ascii="Palatino Linotype" w:hAnsi="Palatino Linotype"/>
          <w:color w:val="000000" w:themeColor="text1"/>
          <w:lang w:val="es-ES"/>
        </w:rPr>
        <w:t>“</w:t>
      </w:r>
      <w:r w:rsidRPr="00E9553D">
        <w:rPr>
          <w:rFonts w:ascii="Palatino Linotype" w:hAnsi="Palatino Linotype"/>
          <w:i/>
          <w:color w:val="000000" w:themeColor="text1"/>
          <w:lang w:val="es-ES"/>
        </w:rPr>
        <w:t xml:space="preserve">El </w:t>
      </w:r>
      <w:r w:rsidRPr="00E9553D">
        <w:rPr>
          <w:rFonts w:ascii="Palatino Linotype" w:hAnsi="Palatino Linotype"/>
          <w:b/>
          <w:i/>
          <w:color w:val="000000" w:themeColor="text1"/>
          <w:lang w:val="es-ES"/>
        </w:rPr>
        <w:t>requerimiento de aclaración</w:t>
      </w:r>
      <w:r w:rsidRPr="00E9553D">
        <w:rPr>
          <w:rFonts w:ascii="Palatino Linotype" w:hAnsi="Palatino Linotype"/>
          <w:i/>
          <w:color w:val="000000" w:themeColor="text1"/>
          <w:lang w:val="es-ES"/>
        </w:rPr>
        <w:t xml:space="preserve"> emitido por el sujeto obligado del Ayuntamiento de Cuautitlán Izcalli, mediante el cual se solicitó al particular precisar diversos elementos de la solicitud de información presentada bajo el folio 00036/CUAUTIZC/IP/2026, con fundamento en el artículo 159 de la Ley de Transparencia y Acceso a la Información Pública del Estado de México y Municipios, señalando supuestas inconsistencias relativas a la identificación de la partida presupuestal, así como la falta de precisión respecto del ejercicio fiscal y del trimestre del presupuesto solicitado, lo cual tuvo como consecuencia que no se emitiera una respuesta de fondo a la solicitud de información.</w:t>
      </w:r>
      <w:r w:rsidRPr="00E9553D">
        <w:rPr>
          <w:rFonts w:ascii="Palatino Linotype" w:hAnsi="Palatino Linotype"/>
          <w:i/>
          <w:color w:val="000000" w:themeColor="text1"/>
        </w:rPr>
        <w:t>.</w:t>
      </w:r>
      <w:r w:rsidRPr="00E9553D">
        <w:rPr>
          <w:rFonts w:ascii="Palatino Linotype" w:hAnsi="Palatino Linotype"/>
          <w:i/>
          <w:color w:val="000000" w:themeColor="text1"/>
          <w:lang w:val="es-ES"/>
        </w:rPr>
        <w:t>” (Sic).</w:t>
      </w:r>
    </w:p>
    <w:p w:rsidR="00D10FBC" w:rsidRPr="00E9553D" w:rsidRDefault="00D10FBC" w:rsidP="00D10FBC">
      <w:pPr>
        <w:pStyle w:val="Prrafodelista"/>
        <w:ind w:left="709" w:right="567"/>
        <w:jc w:val="both"/>
        <w:rPr>
          <w:rFonts w:ascii="Palatino Linotype" w:hAnsi="Palatino Linotype"/>
          <w:color w:val="000000" w:themeColor="text1"/>
          <w:lang w:val="es-ES"/>
        </w:rPr>
      </w:pPr>
    </w:p>
    <w:p w:rsidR="00D10FBC" w:rsidRPr="00E9553D" w:rsidRDefault="00D10FBC" w:rsidP="00D10FBC">
      <w:pPr>
        <w:pStyle w:val="Prrafodelista"/>
        <w:numPr>
          <w:ilvl w:val="0"/>
          <w:numId w:val="15"/>
        </w:numPr>
        <w:ind w:left="709" w:right="567"/>
        <w:jc w:val="both"/>
        <w:rPr>
          <w:rFonts w:ascii="Palatino Linotype" w:hAnsi="Palatino Linotype"/>
          <w:b/>
          <w:color w:val="000000" w:themeColor="text1"/>
          <w:lang w:val="es-ES"/>
        </w:rPr>
      </w:pPr>
      <w:r w:rsidRPr="00E9553D">
        <w:rPr>
          <w:rFonts w:ascii="Palatino Linotype" w:hAnsi="Palatino Linotype"/>
          <w:b/>
          <w:color w:val="000000" w:themeColor="text1"/>
          <w:lang w:val="es-ES"/>
        </w:rPr>
        <w:t xml:space="preserve">Razones o motivos de inconformidad: </w:t>
      </w:r>
      <w:r w:rsidRPr="00E9553D">
        <w:rPr>
          <w:rFonts w:ascii="Palatino Linotype" w:hAnsi="Palatino Linotype"/>
          <w:color w:val="000000" w:themeColor="text1"/>
          <w:lang w:val="es-ES"/>
        </w:rPr>
        <w:t>“</w:t>
      </w:r>
      <w:r w:rsidRPr="00E9553D">
        <w:rPr>
          <w:rFonts w:ascii="Palatino Linotype" w:hAnsi="Palatino Linotype"/>
          <w:i/>
          <w:color w:val="000000" w:themeColor="text1"/>
        </w:rPr>
        <w:t xml:space="preserve">El acto impugnado vulnera el derecho de acceso a la información pública, toda vez que el sujeto obligado no emitió una respuesta de fondo a la solicitud presentada, limitándose a formular un requerimiento de aclaración respecto de ciertos elementos de la solicitud. Si bien dentro de la solicitud se señaló inicialmente una referencia incorrecta en la identificación de la partida presupuestal, lo cierto es que la petición sí contenía elementos suficientes para identificar la información requerida, al precisar el monto del gasto por $181,000,000.00, el concepto correspondiente a servicios profesionales, científicos y técnicos integrales, así como su relación con el Capítulo 3000 “Servicios Generales” del Estado Analítico del Ejercicio del Presupuesto. Asimismo, mediante el presente recurso se precisa que la información solicitada corresponde a la </w:t>
      </w:r>
      <w:r w:rsidRPr="00E9553D">
        <w:rPr>
          <w:rFonts w:ascii="Palatino Linotype" w:hAnsi="Palatino Linotype"/>
          <w:b/>
          <w:i/>
          <w:color w:val="000000" w:themeColor="text1"/>
        </w:rPr>
        <w:t>partida 3390</w:t>
      </w:r>
      <w:r w:rsidRPr="00E9553D">
        <w:rPr>
          <w:rFonts w:ascii="Palatino Linotype" w:hAnsi="Palatino Linotype"/>
          <w:i/>
          <w:color w:val="000000" w:themeColor="text1"/>
        </w:rPr>
        <w:t xml:space="preserve"> “Servicios profesionales, científicos y técnicos integrales”, relativa al ejercicio fiscal 2026, respecto del gasto ejercido dentro de dicho rubro. En ese sentido, aun cuando existiera una imprecisión inicial en la referencia de la partida, la solicitud permitía identificar el rubro presupuestal al que se refiere la información solicitada, por lo que el sujeto obligado contaba con elementos suficientes para realizar la búsqueda correspondiente en las áreas administrativas competentes. En consecuencia, se solicita que se tenga por aclarada la solicitud de información mediante el presente recurso, y se ordene al sujeto obligado emitir una respuesta de fondo, realizando una búsqueda exhaustiva en las áreas competentes y proporcionando el informe desglosado relativo al gasto ejercido en servicios profesionales, científicos y técnicos integrales, incluyendo los servicios contratados, el nombre o razón social de los proveedores, la modalidad de contratación utilizada, el objeto de los contratos y el monto pagado por cada servicio”</w:t>
      </w:r>
      <w:r w:rsidRPr="00E9553D">
        <w:rPr>
          <w:rFonts w:ascii="Palatino Linotype" w:hAnsi="Palatino Linotype"/>
          <w:i/>
          <w:color w:val="000000" w:themeColor="text1"/>
          <w:lang w:val="es-ES"/>
        </w:rPr>
        <w:t xml:space="preserve"> (Sic).</w:t>
      </w:r>
    </w:p>
    <w:p w:rsidR="00D10FBC" w:rsidRPr="00E9553D" w:rsidRDefault="00D10FBC" w:rsidP="00D10FBC">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911842" w:rsidRPr="00E9553D" w:rsidRDefault="00D10FBC" w:rsidP="00D10FBC">
      <w:pPr>
        <w:tabs>
          <w:tab w:val="left" w:pos="284"/>
          <w:tab w:val="left" w:pos="426"/>
        </w:tabs>
        <w:spacing w:before="240" w:after="240" w:line="360" w:lineRule="auto"/>
        <w:ind w:right="49"/>
        <w:jc w:val="both"/>
        <w:rPr>
          <w:rFonts w:ascii="Palatino Linotype" w:eastAsia="MS Mincho" w:hAnsi="Palatino Linotype" w:cs="Times New Roman"/>
          <w:b/>
          <w:color w:val="000000"/>
        </w:rPr>
      </w:pPr>
      <w:r w:rsidRPr="00E9553D">
        <w:rPr>
          <w:rFonts w:ascii="Palatino Linotype" w:eastAsia="MS Mincho" w:hAnsi="Palatino Linotype" w:cs="Times New Roman"/>
          <w:b/>
          <w:color w:val="000000"/>
        </w:rPr>
        <w:lastRenderedPageBreak/>
        <w:t>00033/CUAUTIZC/IP/2026</w:t>
      </w:r>
    </w:p>
    <w:p w:rsidR="00D10FBC" w:rsidRPr="00E9553D" w:rsidRDefault="00D10FBC" w:rsidP="009A6FE1">
      <w:pPr>
        <w:pStyle w:val="Prrafodelista"/>
        <w:numPr>
          <w:ilvl w:val="0"/>
          <w:numId w:val="15"/>
        </w:numPr>
        <w:ind w:left="709" w:right="567"/>
        <w:jc w:val="both"/>
        <w:rPr>
          <w:rFonts w:ascii="Palatino Linotype" w:hAnsi="Palatino Linotype"/>
          <w:i/>
          <w:color w:val="000000" w:themeColor="text1"/>
          <w:lang w:val="es-ES"/>
        </w:rPr>
      </w:pPr>
      <w:r w:rsidRPr="00E9553D">
        <w:rPr>
          <w:rFonts w:ascii="Palatino Linotype" w:hAnsi="Palatino Linotype"/>
          <w:b/>
          <w:color w:val="000000" w:themeColor="text1"/>
          <w:lang w:val="es-ES"/>
        </w:rPr>
        <w:t xml:space="preserve">Acto impugnado: </w:t>
      </w:r>
      <w:r w:rsidRPr="00E9553D">
        <w:rPr>
          <w:rFonts w:ascii="Palatino Linotype" w:hAnsi="Palatino Linotype"/>
          <w:color w:val="000000" w:themeColor="text1"/>
          <w:lang w:val="es-ES"/>
        </w:rPr>
        <w:t>“</w:t>
      </w:r>
      <w:r w:rsidRPr="00E9553D">
        <w:rPr>
          <w:rFonts w:ascii="Palatino Linotype" w:hAnsi="Palatino Linotype"/>
          <w:i/>
          <w:color w:val="000000" w:themeColor="text1"/>
          <w:lang w:val="es-ES"/>
        </w:rPr>
        <w:t xml:space="preserve">Se solicita un informe desglosado relativo al gasto por $181,000,000.00 (ciento ochenta y un millones de pesos 00/100 M.N.) ejercido en servicios profesionales, científicos y técnicos integrales, mismo que se encuentra relacionado con el Estado Analítico del Ejercicio del Presupuesto, dentro del Capítulo 3000 “Servicios Generales”, </w:t>
      </w:r>
      <w:r w:rsidRPr="00E9553D">
        <w:rPr>
          <w:rFonts w:ascii="Palatino Linotype" w:hAnsi="Palatino Linotype"/>
          <w:b/>
          <w:i/>
          <w:color w:val="000000" w:themeColor="text1"/>
          <w:lang w:val="es-ES"/>
        </w:rPr>
        <w:t xml:space="preserve">partida 3290 </w:t>
      </w:r>
      <w:r w:rsidRPr="00E9553D">
        <w:rPr>
          <w:rFonts w:ascii="Palatino Linotype" w:hAnsi="Palatino Linotype"/>
          <w:i/>
          <w:color w:val="000000" w:themeColor="text1"/>
          <w:lang w:val="es-ES"/>
        </w:rPr>
        <w:t>“Servicios profesionales, científicos y técnicos integrales”, misma que deberá ser requerida al Presidente Municipal, que contenga: a) Servicios específicos contratados. b) Nombre o razón social de las personas físicas o morales proveedoras. c) Modalidad de contratación utilizada en cada caso. d) Objeto del contrato y actividades realizadas. e) Monto pagado por cada servicio..</w:t>
      </w:r>
      <w:r w:rsidRPr="00E9553D">
        <w:rPr>
          <w:rFonts w:ascii="Palatino Linotype" w:hAnsi="Palatino Linotype"/>
          <w:i/>
          <w:color w:val="000000" w:themeColor="text1"/>
        </w:rPr>
        <w:t>.</w:t>
      </w:r>
      <w:r w:rsidRPr="00E9553D">
        <w:rPr>
          <w:rFonts w:ascii="Palatino Linotype" w:hAnsi="Palatino Linotype"/>
          <w:i/>
          <w:color w:val="000000" w:themeColor="text1"/>
          <w:lang w:val="es-ES"/>
        </w:rPr>
        <w:t>” (Sic).</w:t>
      </w:r>
    </w:p>
    <w:p w:rsidR="00D10FBC" w:rsidRPr="00E9553D" w:rsidRDefault="00D10FBC" w:rsidP="00D10FBC">
      <w:pPr>
        <w:pStyle w:val="Prrafodelista"/>
        <w:ind w:left="709" w:right="567"/>
        <w:jc w:val="both"/>
        <w:rPr>
          <w:rFonts w:ascii="Palatino Linotype" w:hAnsi="Palatino Linotype"/>
          <w:color w:val="000000" w:themeColor="text1"/>
          <w:lang w:val="es-ES"/>
        </w:rPr>
      </w:pPr>
    </w:p>
    <w:p w:rsidR="00911842" w:rsidRPr="00E9553D" w:rsidRDefault="00D10FBC" w:rsidP="009A6FE1">
      <w:pPr>
        <w:pStyle w:val="Prrafodelista"/>
        <w:numPr>
          <w:ilvl w:val="0"/>
          <w:numId w:val="15"/>
        </w:numPr>
        <w:ind w:left="709" w:right="567"/>
        <w:jc w:val="both"/>
        <w:rPr>
          <w:rFonts w:ascii="Palatino Linotype" w:hAnsi="Palatino Linotype"/>
          <w:b/>
          <w:color w:val="000000" w:themeColor="text1"/>
          <w:lang w:val="es-ES"/>
        </w:rPr>
      </w:pPr>
      <w:r w:rsidRPr="00E9553D">
        <w:rPr>
          <w:rFonts w:ascii="Palatino Linotype" w:hAnsi="Palatino Linotype"/>
          <w:b/>
          <w:color w:val="000000" w:themeColor="text1"/>
          <w:lang w:val="es-ES"/>
        </w:rPr>
        <w:t xml:space="preserve">Razones o motivos de inconformidad: </w:t>
      </w:r>
      <w:r w:rsidRPr="00E9553D">
        <w:rPr>
          <w:rFonts w:ascii="Palatino Linotype" w:hAnsi="Palatino Linotype"/>
          <w:color w:val="000000" w:themeColor="text1"/>
          <w:lang w:val="es-ES"/>
        </w:rPr>
        <w:t>“</w:t>
      </w:r>
      <w:r w:rsidR="009A6FE1" w:rsidRPr="00E9553D">
        <w:rPr>
          <w:rFonts w:ascii="Palatino Linotype" w:hAnsi="Palatino Linotype"/>
          <w:i/>
          <w:color w:val="000000" w:themeColor="text1"/>
        </w:rPr>
        <w:t>El sujeto obligado no emitió una respuesta de fondo a la solicitud de información presentada, limitándose a formular un requerimiento de aclaración en el que señaló supuestas inconsistencias respecto a la identificación de la partida presupuestal, así como la falta de precisión del ejercicio fiscal y del trimestre correspondiente. Si bien es cierto que dentro de la solicitud se mencionó de manera incorrecta una partida presupuestal, también lo es que la petición sí contenía elementos suficientes para identificar la información requerida, ya que se precisó el monto del gasto por $181,000,000.00, el concepto correspondiente a servicios profesionales, científicos y técnicos integrales, así como su relación con el Capítulo 3000 “Servicios Generales” del Estado Analítico del Ejercicio del Presupuesto. En ese sentido, aun cuando existiera alguna imprecisión en la referencia numérica de la partida, la autoridad contaba con elementos suficientes para identificar el rubro presupuestal al que se refiere la solicitud y, en consecuencia, realizar una búsqueda de la información en las áreas administrativas competentes, en lugar de limitarse a formular un requerimiento de aclaración que impidió el acceso a la información solicitada. Asimismo, mediante el presente recurso se precisa que la información solicitada corresponde al ejercicio fiscal 2026, relativa al gasto ejercido en servicios profesionales, científicos y técnicos integrales dentro del Capítulo 3000 “Servicios Generales”. Por lo anterior, se solicita que se tenga por aclarada la solicitud de información y se ordene al sujeto obligado emitir una respuesta de fondo, realizando una búsqueda exhaustiva en las áreas competentes y proporcionando el informe desglosado relativo al gasto ejercido en servicios profesionales, científicos y técnicos integrales, con los elementos solicitados en la petición original.</w:t>
      </w:r>
      <w:r w:rsidRPr="00E9553D">
        <w:rPr>
          <w:rFonts w:ascii="Palatino Linotype" w:hAnsi="Palatino Linotype"/>
          <w:i/>
          <w:color w:val="000000" w:themeColor="text1"/>
        </w:rPr>
        <w:t>”</w:t>
      </w:r>
      <w:r w:rsidRPr="00E9553D">
        <w:rPr>
          <w:rFonts w:ascii="Palatino Linotype" w:hAnsi="Palatino Linotype"/>
          <w:i/>
          <w:color w:val="000000" w:themeColor="text1"/>
          <w:lang w:val="es-ES"/>
        </w:rPr>
        <w:t xml:space="preserve"> (Sic).</w:t>
      </w:r>
    </w:p>
    <w:p w:rsidR="00D10FBC" w:rsidRPr="00E9553D" w:rsidRDefault="00D10FBC" w:rsidP="00D10FBC">
      <w:pPr>
        <w:jc w:val="both"/>
        <w:rPr>
          <w:rFonts w:ascii="Palatino Linotype" w:hAnsi="Palatino Linotype"/>
          <w:b/>
          <w:color w:val="000000" w:themeColor="text1"/>
          <w:lang w:val="es-ES"/>
        </w:rPr>
      </w:pPr>
    </w:p>
    <w:p w:rsidR="00911842" w:rsidRPr="00E9553D" w:rsidRDefault="00911842" w:rsidP="00911842">
      <w:pPr>
        <w:pStyle w:val="Prrafodelista"/>
        <w:rPr>
          <w:rFonts w:ascii="Palatino Linotype" w:eastAsia="MS Mincho" w:hAnsi="Palatino Linotype" w:cs="Times New Roman"/>
          <w:b/>
          <w:color w:val="000000"/>
        </w:rPr>
      </w:pPr>
    </w:p>
    <w:p w:rsidR="00911842" w:rsidRPr="00E9553D" w:rsidRDefault="00911842" w:rsidP="0091184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r w:rsidRPr="00E9553D">
        <w:rPr>
          <w:rFonts w:ascii="Palatino Linotype" w:eastAsia="MS Mincho" w:hAnsi="Palatino Linotype" w:cs="Times New Roman"/>
          <w:b/>
          <w:color w:val="000000"/>
        </w:rPr>
        <w:lastRenderedPageBreak/>
        <w:t xml:space="preserve">De la </w:t>
      </w:r>
      <w:r w:rsidRPr="00E9553D">
        <w:rPr>
          <w:rFonts w:ascii="Palatino Linotype" w:eastAsia="MS Mincho" w:hAnsi="Palatino Linotype" w:cs="Times New Roman"/>
          <w:b/>
          <w:i/>
          <w:color w:val="000000"/>
        </w:rPr>
        <w:t>Plus Petitio</w:t>
      </w:r>
      <w:r w:rsidRPr="00E9553D">
        <w:rPr>
          <w:rFonts w:ascii="Palatino Linotype" w:eastAsia="MS Mincho" w:hAnsi="Palatino Linotype" w:cs="Times New Roman"/>
          <w:b/>
          <w:color w:val="000000"/>
        </w:rPr>
        <w:t xml:space="preserve"> y el derecho de petición.</w:t>
      </w:r>
    </w:p>
    <w:p w:rsidR="00911842" w:rsidRPr="00E9553D" w:rsidRDefault="009A6FE1" w:rsidP="009A6FE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Precisado lo anterior, r</w:t>
      </w:r>
      <w:r w:rsidR="00911842" w:rsidRPr="00E9553D">
        <w:rPr>
          <w:rFonts w:ascii="Palatino Linotype" w:eastAsia="MS Mincho" w:hAnsi="Palatino Linotype" w:cs="Times New Roman"/>
          <w:color w:val="000000"/>
        </w:rPr>
        <w:t>esulta</w:t>
      </w:r>
      <w:r w:rsidR="00911842" w:rsidRPr="00E9553D">
        <w:rPr>
          <w:rFonts w:ascii="Palatino Linotype" w:eastAsia="Calibri" w:hAnsi="Palatino Linotype" w:cs="Arial"/>
          <w:lang w:val="es-ES"/>
        </w:rPr>
        <w:t xml:space="preserve"> necesario reiterar que el </w:t>
      </w:r>
      <w:r w:rsidR="00911842" w:rsidRPr="00E9553D">
        <w:rPr>
          <w:rFonts w:ascii="Palatino Linotype" w:eastAsia="Calibri" w:hAnsi="Palatino Linotype" w:cs="Arial"/>
          <w:b/>
          <w:lang w:val="es-ES"/>
        </w:rPr>
        <w:t>PARTICULAR</w:t>
      </w:r>
      <w:r w:rsidR="00911842" w:rsidRPr="00E9553D">
        <w:rPr>
          <w:rFonts w:ascii="Palatino Linotype" w:eastAsia="Calibri" w:hAnsi="Palatino Linotype" w:cs="Arial"/>
          <w:lang w:val="es-ES"/>
        </w:rPr>
        <w:t>, a través d</w:t>
      </w:r>
      <w:r w:rsidRPr="00E9553D">
        <w:rPr>
          <w:rFonts w:ascii="Palatino Linotype" w:eastAsia="Calibri" w:hAnsi="Palatino Linotype" w:cs="Arial"/>
          <w:lang w:val="es-ES"/>
        </w:rPr>
        <w:t>e los recursos de revisión, solicitó</w:t>
      </w:r>
    </w:p>
    <w:p w:rsidR="009A6FE1" w:rsidRDefault="009A6FE1" w:rsidP="009A6FE1">
      <w:pPr>
        <w:pStyle w:val="Prrafodelista"/>
        <w:tabs>
          <w:tab w:val="left" w:pos="426"/>
        </w:tabs>
        <w:spacing w:before="240" w:after="240"/>
        <w:ind w:left="709" w:right="992"/>
        <w:jc w:val="both"/>
        <w:rPr>
          <w:rFonts w:ascii="Palatino Linotype" w:eastAsia="MS Mincho" w:hAnsi="Palatino Linotype" w:cs="Times New Roman"/>
          <w:color w:val="000000"/>
        </w:rPr>
      </w:pPr>
      <w:r w:rsidRPr="00E9553D">
        <w:rPr>
          <w:rFonts w:ascii="Palatino Linotype" w:eastAsia="MS Mincho" w:hAnsi="Palatino Linotype" w:cs="Times New Roman"/>
          <w:color w:val="000000"/>
        </w:rPr>
        <w:t xml:space="preserve">Informe desglosado relativo al gasto por $181,000,000.00 (ciento ochenta y un millones de pesos 00/100 M.N.) ejercido en servicios profesionales, científicos y técnicos integrales, mismo que se encuentra relacionado con el Estado Analítico del Ejercicio del Presupuesto, dentro del Capítulo 3000 “Servicios Generales”, </w:t>
      </w:r>
      <w:r w:rsidRPr="00E9553D">
        <w:rPr>
          <w:rFonts w:ascii="Palatino Linotype" w:eastAsia="MS Mincho" w:hAnsi="Palatino Linotype" w:cs="Times New Roman"/>
          <w:b/>
          <w:color w:val="000000"/>
        </w:rPr>
        <w:t>partida 33101</w:t>
      </w:r>
      <w:r w:rsidRPr="00E9553D">
        <w:rPr>
          <w:rFonts w:ascii="Palatino Linotype" w:eastAsia="MS Mincho" w:hAnsi="Palatino Linotype" w:cs="Times New Roman"/>
          <w:color w:val="000000"/>
        </w:rPr>
        <w:t xml:space="preserve"> “Servicios profesionales, científicos y técnicos integrales”, misma que deberá ser requerida al Tesorero Municipal, que contenga: a) Servicios específicos contratados. b) Nombre o razón social de las personas físicas o morales proveedoras. c) Modalidad de contratación utilizada en cada caso. d) Objeto del contrato y actividades realizadas. e) Monto pagado por cada servicio.</w:t>
      </w:r>
    </w:p>
    <w:p w:rsidR="00E9553D" w:rsidRPr="00E9553D" w:rsidRDefault="00E9553D" w:rsidP="009A6FE1">
      <w:pPr>
        <w:pStyle w:val="Prrafodelista"/>
        <w:tabs>
          <w:tab w:val="left" w:pos="426"/>
        </w:tabs>
        <w:spacing w:before="240" w:after="240"/>
        <w:ind w:left="709" w:right="992"/>
        <w:jc w:val="both"/>
        <w:rPr>
          <w:rFonts w:ascii="Palatino Linotype" w:eastAsia="MS Mincho" w:hAnsi="Palatino Linotype" w:cs="Times New Roman"/>
          <w:color w:val="000000"/>
        </w:rPr>
      </w:pPr>
    </w:p>
    <w:p w:rsidR="009A6FE1" w:rsidRPr="00E9553D" w:rsidRDefault="009A6FE1" w:rsidP="009A6FE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themeColor="text1"/>
        </w:rPr>
        <w:t xml:space="preserve">Posteriormente, en los recursos de inconformidad el </w:t>
      </w:r>
      <w:r w:rsidRPr="00E9553D">
        <w:rPr>
          <w:rFonts w:ascii="Palatino Linotype" w:hAnsi="Palatino Linotype"/>
          <w:b/>
          <w:color w:val="000000" w:themeColor="text1"/>
        </w:rPr>
        <w:t xml:space="preserve">RECURRENTE, </w:t>
      </w:r>
      <w:r w:rsidRPr="00E9553D">
        <w:rPr>
          <w:rFonts w:ascii="Palatino Linotype" w:hAnsi="Palatino Linotype"/>
          <w:color w:val="000000" w:themeColor="text1"/>
        </w:rPr>
        <w:t xml:space="preserve">arguyo motivos de inconformidad relativos a una partida presupuestal diversa, es decir, a la </w:t>
      </w:r>
      <w:r w:rsidRPr="00E9553D">
        <w:rPr>
          <w:rFonts w:ascii="Palatino Linotype" w:hAnsi="Palatino Linotype"/>
          <w:b/>
          <w:color w:val="000000" w:themeColor="text1"/>
        </w:rPr>
        <w:t>3390</w:t>
      </w:r>
      <w:r w:rsidRPr="00E9553D">
        <w:rPr>
          <w:rFonts w:ascii="Palatino Linotype" w:hAnsi="Palatino Linotype"/>
          <w:color w:val="000000" w:themeColor="text1"/>
        </w:rPr>
        <w:t xml:space="preserve"> y </w:t>
      </w:r>
      <w:r w:rsidRPr="00E9553D">
        <w:rPr>
          <w:rFonts w:ascii="Palatino Linotype" w:hAnsi="Palatino Linotype"/>
          <w:b/>
          <w:color w:val="000000" w:themeColor="text1"/>
        </w:rPr>
        <w:t>3290,</w:t>
      </w:r>
      <w:r w:rsidRPr="00E9553D">
        <w:rPr>
          <w:rFonts w:ascii="Palatino Linotype" w:hAnsi="Palatino Linotype"/>
          <w:color w:val="000000" w:themeColor="text1"/>
        </w:rPr>
        <w:t xml:space="preserve"> partidas completamente diversas a las requeridas de manera inicial (33101), por lo que, </w:t>
      </w:r>
      <w:r w:rsidR="00911842" w:rsidRPr="00E9553D">
        <w:rPr>
          <w:rFonts w:ascii="Palatino Linotype" w:eastAsia="Calibri" w:hAnsi="Palatino Linotype" w:cs="Arial"/>
          <w:lang w:val="es-ES"/>
        </w:rPr>
        <w:t xml:space="preserve">se colige que la </w:t>
      </w:r>
      <w:r w:rsidR="00911842" w:rsidRPr="00E9553D">
        <w:rPr>
          <w:rFonts w:ascii="Palatino Linotype" w:eastAsia="Calibri" w:hAnsi="Palatino Linotype" w:cs="Arial"/>
          <w:b/>
          <w:lang w:val="es-ES"/>
        </w:rPr>
        <w:t>RECURRENTE</w:t>
      </w:r>
      <w:r w:rsidR="00911842" w:rsidRPr="00E9553D">
        <w:rPr>
          <w:rFonts w:ascii="Palatino Linotype" w:eastAsia="Calibri" w:hAnsi="Palatino Linotype" w:cs="Arial"/>
          <w:lang w:val="es-ES"/>
        </w:rPr>
        <w:t xml:space="preserve"> hizo uso </w:t>
      </w:r>
      <w:r w:rsidRPr="00E9553D">
        <w:rPr>
          <w:rFonts w:ascii="Palatino Linotype" w:eastAsia="Calibri" w:hAnsi="Palatino Linotype" w:cs="Arial"/>
          <w:lang w:val="es-ES"/>
        </w:rPr>
        <w:t>de los recursos de revisión</w:t>
      </w:r>
      <w:r w:rsidR="00911842" w:rsidRPr="00E9553D">
        <w:rPr>
          <w:rFonts w:ascii="Palatino Linotype" w:eastAsia="Calibri" w:hAnsi="Palatino Linotype" w:cs="Arial"/>
          <w:lang w:val="es-ES"/>
        </w:rPr>
        <w:t xml:space="preserve"> que nos ocupa</w:t>
      </w:r>
      <w:r w:rsidRPr="00E9553D">
        <w:rPr>
          <w:rFonts w:ascii="Palatino Linotype" w:eastAsia="Calibri" w:hAnsi="Palatino Linotype" w:cs="Arial"/>
          <w:lang w:val="es-ES"/>
        </w:rPr>
        <w:t>n</w:t>
      </w:r>
      <w:r w:rsidR="00911842" w:rsidRPr="00E9553D">
        <w:rPr>
          <w:rFonts w:ascii="Palatino Linotype" w:eastAsia="Calibri" w:hAnsi="Palatino Linotype" w:cs="Arial"/>
          <w:lang w:val="es-ES"/>
        </w:rPr>
        <w:t xml:space="preserve"> para </w:t>
      </w:r>
      <w:r w:rsidR="00911842" w:rsidRPr="00E9553D">
        <w:rPr>
          <w:rFonts w:ascii="Palatino Linotype" w:eastAsia="Calibri" w:hAnsi="Palatino Linotype" w:cs="Arial"/>
          <w:b/>
          <w:lang w:val="es-ES"/>
        </w:rPr>
        <w:t>ampliar</w:t>
      </w:r>
      <w:r w:rsidR="00911842" w:rsidRPr="00E9553D">
        <w:rPr>
          <w:rFonts w:ascii="Palatino Linotype" w:eastAsia="Calibri" w:hAnsi="Palatino Linotype" w:cs="Arial"/>
          <w:lang w:val="es-ES"/>
        </w:rPr>
        <w:t xml:space="preserve"> su</w:t>
      </w:r>
      <w:r w:rsidRPr="00E9553D">
        <w:rPr>
          <w:rFonts w:ascii="Palatino Linotype" w:eastAsia="Calibri" w:hAnsi="Palatino Linotype" w:cs="Arial"/>
          <w:lang w:val="es-ES"/>
        </w:rPr>
        <w:t>s</w:t>
      </w:r>
      <w:r w:rsidR="00911842" w:rsidRPr="00E9553D">
        <w:rPr>
          <w:rFonts w:ascii="Palatino Linotype" w:eastAsia="Calibri" w:hAnsi="Palatino Linotype" w:cs="Arial"/>
          <w:lang w:val="es-ES"/>
        </w:rPr>
        <w:t xml:space="preserve"> solicitud</w:t>
      </w:r>
      <w:r w:rsidRPr="00E9553D">
        <w:rPr>
          <w:rFonts w:ascii="Palatino Linotype" w:eastAsia="Calibri" w:hAnsi="Palatino Linotype" w:cs="Arial"/>
          <w:lang w:val="es-ES"/>
        </w:rPr>
        <w:t>es</w:t>
      </w:r>
      <w:r w:rsidR="00911842" w:rsidRPr="00E9553D">
        <w:rPr>
          <w:rFonts w:ascii="Palatino Linotype" w:eastAsia="Calibri" w:hAnsi="Palatino Linotype" w:cs="Arial"/>
          <w:lang w:val="es-ES"/>
        </w:rPr>
        <w:t xml:space="preserve"> de información inicial, </w:t>
      </w:r>
      <w:r w:rsidRPr="00E9553D">
        <w:rPr>
          <w:rFonts w:ascii="Palatino Linotype" w:eastAsia="Calibri" w:hAnsi="Palatino Linotype" w:cs="Arial"/>
          <w:lang w:val="es-ES"/>
        </w:rPr>
        <w:t>pues se advierte que requiere información de partidas presupuestales que no fueron solicitadas de manera inicial.</w:t>
      </w:r>
    </w:p>
    <w:p w:rsidR="009A6FE1" w:rsidRPr="00E9553D" w:rsidRDefault="009A6FE1" w:rsidP="009A6FE1">
      <w:pPr>
        <w:pBdr>
          <w:top w:val="nil"/>
          <w:left w:val="nil"/>
          <w:bottom w:val="nil"/>
          <w:right w:val="nil"/>
          <w:between w:val="nil"/>
        </w:pBdr>
        <w:tabs>
          <w:tab w:val="left" w:pos="426"/>
        </w:tabs>
        <w:spacing w:line="360" w:lineRule="auto"/>
        <w:ind w:right="49"/>
        <w:jc w:val="both"/>
        <w:rPr>
          <w:rFonts w:ascii="Palatino Linotype" w:hAnsi="Palatino Linotype"/>
          <w:color w:val="000000" w:themeColor="text1"/>
        </w:rPr>
      </w:pPr>
    </w:p>
    <w:p w:rsidR="00911842" w:rsidRPr="00E9553D" w:rsidRDefault="00911842" w:rsidP="009A6FE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E9553D">
        <w:rPr>
          <w:rFonts w:ascii="Palatino Linotype" w:hAnsi="Palatino Linotype"/>
          <w:color w:val="000000"/>
        </w:rPr>
        <w:t xml:space="preserve">Conforme a lo anterior, debemos aclarar que </w:t>
      </w:r>
      <w:r w:rsidRPr="00E9553D">
        <w:rPr>
          <w:rFonts w:ascii="Palatino Linotype" w:hAnsi="Palatino Linotype" w:cs="Arial"/>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w:t>
      </w:r>
      <w:r w:rsidRPr="00E9553D">
        <w:rPr>
          <w:rFonts w:ascii="Palatino Linotype" w:hAnsi="Palatino Linotype" w:cs="Arial"/>
        </w:rPr>
        <w:lastRenderedPageBreak/>
        <w:t xml:space="preserve">información pública. De este modo, en los motivos de inconformidad, los Recurrentes no pueden incluir situaciones novedosas o solicitudes de información nuevas de las que el </w:t>
      </w:r>
      <w:r w:rsidRPr="00E9553D">
        <w:rPr>
          <w:rFonts w:ascii="Palatino Linotype" w:hAnsi="Palatino Linotype" w:cs="Arial"/>
          <w:b/>
          <w:bCs/>
        </w:rPr>
        <w:t>SUJETO OBLIGADO</w:t>
      </w:r>
      <w:r w:rsidRPr="00E9553D">
        <w:rPr>
          <w:rFonts w:ascii="Palatino Linotype" w:hAnsi="Palatino Linotype" w:cs="Arial"/>
        </w:rPr>
        <w:t xml:space="preserve"> no tuvo la oportunidad de conocer y, por consiguiente, producir un posicionamiento.</w:t>
      </w:r>
    </w:p>
    <w:p w:rsidR="00911842" w:rsidRPr="00E9553D" w:rsidRDefault="00911842" w:rsidP="00911842">
      <w:pPr>
        <w:rPr>
          <w:rFonts w:ascii="Palatino Linotype" w:hAnsi="Palatino Linotype"/>
          <w:color w:val="000000"/>
        </w:rPr>
      </w:pPr>
    </w:p>
    <w:p w:rsidR="00911842" w:rsidRPr="00E9553D" w:rsidRDefault="00911842" w:rsidP="009A6FE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E9553D">
        <w:rPr>
          <w:rFonts w:ascii="Palatino Linotype" w:hAnsi="Palatino Linotype"/>
          <w:color w:val="000000"/>
        </w:rPr>
        <w:t xml:space="preserve">Es </w:t>
      </w:r>
      <w:r w:rsidRPr="00E9553D">
        <w:rPr>
          <w:rFonts w:ascii="Palatino Linotype" w:hAnsi="Palatino Linotype" w:cs="Arial"/>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E9553D">
        <w:rPr>
          <w:rFonts w:ascii="Palatino Linotype" w:hAnsi="Palatino Linotype" w:cs="Arial"/>
          <w:i/>
          <w:iCs/>
        </w:rPr>
        <w:t>Litis</w:t>
      </w:r>
      <w:r w:rsidRPr="00E9553D">
        <w:rPr>
          <w:rFonts w:ascii="Palatino Linotype" w:hAnsi="Palatino Linotype" w:cs="Arial"/>
        </w:rPr>
        <w:t xml:space="preserve"> y debe ser desechada, tal y como lo establece el artículo 191, fracción VII, mismo que se transcribe a continuación:</w:t>
      </w:r>
    </w:p>
    <w:p w:rsidR="00911842" w:rsidRPr="00E9553D" w:rsidRDefault="00911842" w:rsidP="00911842">
      <w:pPr>
        <w:ind w:left="567" w:right="539"/>
        <w:contextualSpacing/>
        <w:jc w:val="both"/>
        <w:rPr>
          <w:rFonts w:ascii="Palatino Linotype" w:hAnsi="Palatino Linotype" w:cs="Arial"/>
          <w:i/>
        </w:rPr>
      </w:pPr>
      <w:r w:rsidRPr="00E9553D">
        <w:rPr>
          <w:rFonts w:ascii="Palatino Linotype" w:hAnsi="Palatino Linotype" w:cs="Arial"/>
          <w:b/>
          <w:bCs/>
          <w:i/>
        </w:rPr>
        <w:t>“Artículo 191.</w:t>
      </w:r>
      <w:r w:rsidRPr="00E9553D">
        <w:rPr>
          <w:rFonts w:ascii="Palatino Linotype" w:hAnsi="Palatino Linotype" w:cs="Arial"/>
          <w:i/>
        </w:rPr>
        <w:t xml:space="preserve"> El recurso será desechado por improcedente cuando:</w:t>
      </w:r>
    </w:p>
    <w:p w:rsidR="00911842" w:rsidRPr="00E9553D" w:rsidRDefault="00911842" w:rsidP="00911842">
      <w:pPr>
        <w:ind w:left="567" w:right="539"/>
        <w:contextualSpacing/>
        <w:jc w:val="both"/>
        <w:rPr>
          <w:rFonts w:ascii="Palatino Linotype" w:hAnsi="Palatino Linotype" w:cs="Arial"/>
          <w:i/>
        </w:rPr>
      </w:pPr>
      <w:r w:rsidRPr="00E9553D">
        <w:rPr>
          <w:rFonts w:ascii="Palatino Linotype" w:hAnsi="Palatino Linotype" w:cs="Arial"/>
          <w:i/>
        </w:rPr>
        <w:t>…</w:t>
      </w:r>
    </w:p>
    <w:p w:rsidR="00911842" w:rsidRPr="00E9553D" w:rsidRDefault="00911842" w:rsidP="00911842">
      <w:pPr>
        <w:ind w:left="567" w:right="539"/>
        <w:contextualSpacing/>
        <w:jc w:val="both"/>
        <w:rPr>
          <w:rFonts w:ascii="Palatino Linotype" w:hAnsi="Palatino Linotype" w:cs="Arial"/>
          <w:i/>
        </w:rPr>
      </w:pPr>
      <w:r w:rsidRPr="00E9553D">
        <w:rPr>
          <w:rFonts w:ascii="Palatino Linotype" w:hAnsi="Palatino Linotype" w:cs="Arial"/>
          <w:b/>
          <w:bCs/>
          <w:i/>
        </w:rPr>
        <w:t>VII.</w:t>
      </w:r>
      <w:r w:rsidRPr="00E9553D">
        <w:rPr>
          <w:rFonts w:ascii="Palatino Linotype" w:hAnsi="Palatino Linotype" w:cs="Arial"/>
          <w:i/>
        </w:rPr>
        <w:t xml:space="preserve"> El recurrente amplíe su solicitud en el recurso de revisión, únicamente respecto de los nuevos contenidos”</w:t>
      </w:r>
    </w:p>
    <w:p w:rsidR="00911842" w:rsidRPr="00E9553D" w:rsidRDefault="00911842" w:rsidP="00911842">
      <w:pPr>
        <w:ind w:left="567" w:right="539"/>
        <w:contextualSpacing/>
        <w:jc w:val="both"/>
        <w:rPr>
          <w:rFonts w:ascii="Palatino Linotype" w:hAnsi="Palatino Linotype" w:cs="Arial"/>
          <w:iCs/>
        </w:rPr>
      </w:pPr>
      <w:r w:rsidRPr="00E9553D">
        <w:rPr>
          <w:rFonts w:ascii="Palatino Linotype" w:hAnsi="Palatino Linotype" w:cs="Arial"/>
          <w:iCs/>
        </w:rPr>
        <w:t>(Énfasis Añadido)</w:t>
      </w:r>
    </w:p>
    <w:p w:rsidR="00911842" w:rsidRPr="00E9553D" w:rsidRDefault="00911842" w:rsidP="00911842">
      <w:pPr>
        <w:spacing w:line="360" w:lineRule="auto"/>
        <w:ind w:right="49"/>
        <w:contextualSpacing/>
        <w:jc w:val="both"/>
        <w:rPr>
          <w:rFonts w:ascii="Palatino Linotype" w:hAnsi="Palatino Linotype"/>
          <w:color w:val="000000"/>
        </w:rPr>
      </w:pPr>
    </w:p>
    <w:p w:rsidR="00911842" w:rsidRPr="00E9553D" w:rsidRDefault="00911842" w:rsidP="0091184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E9553D">
        <w:rPr>
          <w:rFonts w:ascii="Palatino Linotype" w:hAnsi="Palatino Linotype"/>
          <w:color w:val="000000"/>
        </w:rPr>
        <w:t xml:space="preserve">Por </w:t>
      </w:r>
      <w:r w:rsidRPr="00E9553D">
        <w:rPr>
          <w:rFonts w:ascii="Palatino Linotype" w:hAnsi="Palatino Linotype" w:cs="Arial"/>
        </w:rPr>
        <w:t>lo anterior, resulta</w:t>
      </w:r>
      <w:r w:rsidR="00957601" w:rsidRPr="00E9553D">
        <w:rPr>
          <w:rFonts w:ascii="Palatino Linotype" w:hAnsi="Palatino Linotype" w:cs="Arial"/>
        </w:rPr>
        <w:t>n</w:t>
      </w:r>
      <w:r w:rsidRPr="00E9553D">
        <w:rPr>
          <w:rFonts w:ascii="Palatino Linotype" w:hAnsi="Palatino Linotype" w:cs="Arial"/>
        </w:rPr>
        <w:t xml:space="preserve"> improcedente</w:t>
      </w:r>
      <w:r w:rsidR="00957601" w:rsidRPr="00E9553D">
        <w:rPr>
          <w:rFonts w:ascii="Palatino Linotype" w:hAnsi="Palatino Linotype" w:cs="Arial"/>
        </w:rPr>
        <w:t>s</w:t>
      </w:r>
      <w:r w:rsidRPr="00E9553D">
        <w:rPr>
          <w:rFonts w:ascii="Palatino Linotype" w:hAnsi="Palatino Linotype" w:cs="Arial"/>
        </w:rPr>
        <w:t xml:space="preserve"> </w:t>
      </w:r>
      <w:r w:rsidR="00957601" w:rsidRPr="00E9553D">
        <w:rPr>
          <w:rFonts w:ascii="Palatino Linotype" w:hAnsi="Palatino Linotype" w:cs="Arial"/>
        </w:rPr>
        <w:t>los motivos de inconformidad</w:t>
      </w:r>
      <w:r w:rsidRPr="00E9553D">
        <w:rPr>
          <w:rFonts w:ascii="Palatino Linotype" w:hAnsi="Palatino Linotype" w:cs="Arial"/>
        </w:rPr>
        <w:t xml:space="preserve">, ya que </w:t>
      </w:r>
      <w:r w:rsidRPr="00E9553D">
        <w:rPr>
          <w:rFonts w:ascii="Palatino Linotype" w:hAnsi="Palatino Linotype" w:cs="Arial"/>
          <w:color w:val="000000"/>
        </w:rPr>
        <w:t xml:space="preserve">se aprecia que el </w:t>
      </w:r>
      <w:r w:rsidRPr="00E9553D">
        <w:rPr>
          <w:rFonts w:ascii="Palatino Linotype" w:hAnsi="Palatino Linotype" w:cs="Arial"/>
          <w:b/>
          <w:bCs/>
          <w:color w:val="000000"/>
        </w:rPr>
        <w:t>RECURRENTE</w:t>
      </w:r>
      <w:r w:rsidRPr="00E9553D">
        <w:rPr>
          <w:rFonts w:ascii="Palatino Linotype" w:hAnsi="Palatino Linotype" w:cs="Arial"/>
          <w:color w:val="000000"/>
        </w:rPr>
        <w:t xml:space="preserve"> se excedió dentro de su inconformidad respecto a lo requerido originalmente en la solicitud de información, siendo el caso que pretende ampliar lo solicitado de origen, lo que hace que se surta lo que en la teoría jurídica se le denomina </w:t>
      </w:r>
      <w:r w:rsidRPr="00E9553D">
        <w:rPr>
          <w:rFonts w:ascii="Palatino Linotype" w:hAnsi="Palatino Linotype" w:cs="Arial"/>
          <w:b/>
          <w:bCs/>
          <w:i/>
          <w:iCs/>
          <w:color w:val="000000"/>
        </w:rPr>
        <w:t>Plus Petitio.</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hAnsi="Palatino Linotype"/>
          <w:color w:val="000000"/>
        </w:rPr>
      </w:pPr>
    </w:p>
    <w:p w:rsidR="00911842" w:rsidRPr="00E9553D" w:rsidRDefault="00911842" w:rsidP="009A6FE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E9553D">
        <w:rPr>
          <w:rFonts w:ascii="Palatino Linotype" w:hAnsi="Palatino Linotype"/>
          <w:color w:val="000000"/>
        </w:rPr>
        <w:t>Sustenta lo anterior</w:t>
      </w:r>
      <w:r w:rsidRPr="00E9553D">
        <w:rPr>
          <w:rFonts w:ascii="Palatino Linotype" w:hAnsi="Palatino Linotype" w:cs="Arial"/>
          <w:color w:val="000000"/>
        </w:rPr>
        <w:t xml:space="preserve"> el Criterio de Interpretación 01/17 emitido por el Instituto Nacional de Transparencia, Acceso a la Información y Protección de Datos Personales que establece lo siguiente:</w:t>
      </w:r>
    </w:p>
    <w:p w:rsidR="00911842" w:rsidRPr="00E9553D" w:rsidRDefault="00911842" w:rsidP="00911842">
      <w:pPr>
        <w:spacing w:line="360" w:lineRule="auto"/>
        <w:ind w:right="49"/>
        <w:contextualSpacing/>
        <w:jc w:val="both"/>
        <w:rPr>
          <w:rFonts w:ascii="Palatino Linotype" w:hAnsi="Palatino Linotype"/>
          <w:color w:val="000000"/>
        </w:rPr>
      </w:pPr>
    </w:p>
    <w:p w:rsidR="00911842" w:rsidRPr="00E9553D" w:rsidRDefault="00911842" w:rsidP="00911842">
      <w:pPr>
        <w:ind w:left="567" w:right="539"/>
        <w:contextualSpacing/>
        <w:jc w:val="both"/>
        <w:rPr>
          <w:rFonts w:ascii="Palatino Linotype" w:hAnsi="Palatino Linotype" w:cs="Arial"/>
          <w:i/>
          <w:color w:val="000000"/>
        </w:rPr>
      </w:pPr>
      <w:r w:rsidRPr="00E9553D">
        <w:rPr>
          <w:rFonts w:ascii="Palatino Linotype" w:hAnsi="Palatino Linotype" w:cs="Arial"/>
          <w:b/>
          <w:i/>
          <w:color w:val="000000"/>
        </w:rPr>
        <w:lastRenderedPageBreak/>
        <w:t>ES IMPROCEDENTE AMPLIAR LAS SOLICITUDES DE ACCESO A INFORMACIÓN, A TRAVÉS DE LA INTERPOSICIÓN DEL RECURSO DE REVISIÓN.</w:t>
      </w:r>
      <w:r w:rsidRPr="00E9553D">
        <w:rPr>
          <w:rFonts w:ascii="Palatino Linotype" w:hAnsi="Palatino Linotype" w:cs="Arial"/>
          <w:i/>
          <w:color w:val="000000"/>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911842" w:rsidRPr="00E9553D" w:rsidRDefault="00911842" w:rsidP="00911842">
      <w:pPr>
        <w:spacing w:line="360" w:lineRule="auto"/>
        <w:ind w:right="49"/>
        <w:contextualSpacing/>
        <w:jc w:val="both"/>
        <w:rPr>
          <w:rFonts w:ascii="Palatino Linotype" w:hAnsi="Palatino Linotype"/>
          <w:color w:val="000000"/>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E9553D">
        <w:rPr>
          <w:rFonts w:ascii="Palatino Linotype" w:hAnsi="Palatino Linotype"/>
          <w:color w:val="000000"/>
        </w:rPr>
        <w:t xml:space="preserve">Asimismo, </w:t>
      </w:r>
      <w:r w:rsidRPr="00E9553D">
        <w:rPr>
          <w:rFonts w:ascii="Palatino Linotype" w:hAnsi="Palatino Linotype" w:cs="Arial"/>
          <w:color w:val="000000"/>
        </w:rPr>
        <w:t>sirve de apoyo, por analogía, la Jurisprudencia No. 29 visible a foja 19 del Apéndice al Semanario Judicial de la Federación 1917-1995, Torno VI, Materia Común, Primera Parte, Tesis de la Suprema Corte de Justicia, que contiene:</w:t>
      </w:r>
    </w:p>
    <w:p w:rsidR="00911842" w:rsidRPr="00E9553D" w:rsidRDefault="00911842" w:rsidP="00911842">
      <w:pPr>
        <w:ind w:left="567" w:right="539"/>
        <w:contextualSpacing/>
        <w:jc w:val="both"/>
        <w:rPr>
          <w:rFonts w:ascii="Palatino Linotype" w:hAnsi="Palatino Linotype"/>
          <w:color w:val="000000"/>
        </w:rPr>
      </w:pPr>
      <w:r w:rsidRPr="00E9553D">
        <w:rPr>
          <w:rFonts w:ascii="Palatino Linotype" w:hAnsi="Palatino Linotype" w:cs="Arial"/>
          <w:b/>
          <w:i/>
          <w:color w:val="000000"/>
        </w:rPr>
        <w:t xml:space="preserve">AGRAVIOS EN LA REVISION. DEBEN ESTAR EN RELACION DIRECTA CON LOS FUNDAMENTOS Y CONSIDERACIONES DE LA SENTENCIA. </w:t>
      </w:r>
      <w:r w:rsidRPr="00E9553D">
        <w:rPr>
          <w:rFonts w:ascii="Palatino Linotype" w:hAnsi="Palatino Linotype" w:cs="Arial"/>
          <w:bCs/>
          <w:i/>
          <w:color w:val="000000"/>
        </w:rPr>
        <w:t>“</w:t>
      </w:r>
      <w:r w:rsidRPr="00E9553D">
        <w:rPr>
          <w:rFonts w:ascii="Palatino Linotype" w:hAnsi="Palatino Linotype" w:cs="Arial"/>
          <w:i/>
          <w:color w:val="000000"/>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911842" w:rsidRPr="00E9553D" w:rsidRDefault="00911842" w:rsidP="00911842">
      <w:pPr>
        <w:spacing w:line="360" w:lineRule="auto"/>
        <w:ind w:right="49"/>
        <w:contextualSpacing/>
        <w:jc w:val="both"/>
        <w:rPr>
          <w:rFonts w:ascii="Palatino Linotype" w:hAnsi="Palatino Linotype"/>
          <w:color w:val="000000"/>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Calibri" w:hAnsi="Palatino Linotype" w:cs="Arial"/>
          <w:lang w:val="es-ES"/>
        </w:rPr>
        <w:t xml:space="preserve">Así </w:t>
      </w:r>
      <w:r w:rsidRPr="00E9553D">
        <w:rPr>
          <w:rFonts w:ascii="Palatino Linotype" w:hAnsi="Palatino Linotype"/>
          <w:color w:val="000000"/>
        </w:rPr>
        <w:t>las</w:t>
      </w:r>
      <w:r w:rsidRPr="00E9553D">
        <w:rPr>
          <w:rFonts w:ascii="Palatino Linotype" w:eastAsia="Calibri" w:hAnsi="Palatino Linotype" w:cs="Arial"/>
          <w:lang w:val="es-ES"/>
        </w:rPr>
        <w:t xml:space="preserve"> cosas, por lo que hace a la causal de sobreseimiento reconocida en la fracción IV del artículo 192 de la Ley de Transparencia y Acceso a la Información Pública del Estado de México y Municipios, se contempla que si durante la sustanciación del recurso de revisión el </w:t>
      </w:r>
      <w:r w:rsidRPr="00E9553D">
        <w:rPr>
          <w:rFonts w:ascii="Palatino Linotype" w:eastAsia="Calibri" w:hAnsi="Palatino Linotype" w:cs="Arial"/>
          <w:b/>
          <w:bCs/>
          <w:lang w:val="es-ES"/>
        </w:rPr>
        <w:t xml:space="preserve">SUJETO </w:t>
      </w:r>
      <w:r w:rsidRPr="00E9553D">
        <w:rPr>
          <w:rFonts w:ascii="Palatino Linotype" w:eastAsia="Calibri" w:hAnsi="Palatino Linotype" w:cs="Arial"/>
          <w:b/>
          <w:bCs/>
        </w:rPr>
        <w:t>admitido el recurso de revisión, aparezca alguna causal de improcedencia en los términos de la presente Ley; y</w:t>
      </w:r>
      <w:r w:rsidRPr="00E9553D">
        <w:rPr>
          <w:rFonts w:ascii="Palatino Linotype" w:eastAsia="Calibri" w:hAnsi="Palatino Linotype" w:cs="Arial"/>
          <w:lang w:val="es-ES"/>
        </w:rPr>
        <w:t xml:space="preserve">, </w:t>
      </w:r>
      <w:r w:rsidRPr="00E9553D">
        <w:rPr>
          <w:rFonts w:ascii="Palatino Linotype" w:eastAsia="Calibri" w:hAnsi="Palatino Linotype" w:cs="Arial"/>
          <w:b/>
          <w:bCs/>
          <w:lang w:val="es-ES"/>
        </w:rPr>
        <w:t>éste</w:t>
      </w:r>
      <w:r w:rsidRPr="00E9553D">
        <w:rPr>
          <w:rFonts w:ascii="Palatino Linotype" w:eastAsia="Calibri" w:hAnsi="Palatino Linotype" w:cs="Arial"/>
          <w:b/>
          <w:lang w:val="es-ES"/>
        </w:rPr>
        <w:t xml:space="preserve"> deberá ser sobreseído</w:t>
      </w:r>
      <w:r w:rsidRPr="00E9553D">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Calibri" w:hAnsi="Palatino Linotype" w:cs="Arial"/>
          <w:lang w:val="es-ES"/>
        </w:rPr>
        <w:lastRenderedPageBreak/>
        <w:t>Al respecto</w:t>
      </w:r>
      <w:r w:rsidRPr="00E9553D">
        <w:rPr>
          <w:rFonts w:ascii="Palatino Linotype" w:eastAsia="Batang" w:hAnsi="Palatino Linotype" w:cs="Arial"/>
        </w:rPr>
        <w:t xml:space="preserve">, la doctrina establece que </w:t>
      </w:r>
      <w:r w:rsidRPr="00E9553D">
        <w:rPr>
          <w:rFonts w:ascii="Palatino Linotype" w:eastAsia="Batang" w:hAnsi="Palatino Linotype" w:cs="Arial"/>
          <w:b/>
          <w:bCs/>
        </w:rPr>
        <w:t>el sobreseimiento provoca que un procedimiento se suspenda o se resuelva en definitiva sin que se entre al estudio de los agravios o motivos de inconformidad</w:t>
      </w:r>
      <w:r w:rsidRPr="00E9553D">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rsidR="00911842" w:rsidRPr="00E9553D" w:rsidRDefault="00911842" w:rsidP="00911842">
      <w:pPr>
        <w:autoSpaceDE w:val="0"/>
        <w:autoSpaceDN w:val="0"/>
        <w:adjustRightInd w:val="0"/>
        <w:spacing w:line="276" w:lineRule="auto"/>
        <w:ind w:left="567" w:right="567"/>
        <w:contextualSpacing/>
        <w:jc w:val="both"/>
        <w:rPr>
          <w:rFonts w:ascii="Palatino Linotype" w:eastAsia="Batang" w:hAnsi="Palatino Linotype" w:cs="Arial"/>
          <w:iCs/>
          <w:lang w:val="es-AR"/>
        </w:rPr>
      </w:pPr>
      <w:r w:rsidRPr="00E9553D">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E9553D">
        <w:rPr>
          <w:rFonts w:ascii="Palatino Linotype" w:eastAsia="Batang" w:hAnsi="Palatino Linotype" w:cs="Arial"/>
          <w:i/>
          <w:lang w:val="es-AR"/>
        </w:rPr>
        <w:t xml:space="preserve"> en el juicio de amparo directo </w:t>
      </w:r>
      <w:r w:rsidRPr="00E9553D">
        <w:rPr>
          <w:rFonts w:ascii="Palatino Linotype" w:eastAsia="Batang" w:hAnsi="Palatino Linotype" w:cs="Arial"/>
          <w:b/>
          <w:i/>
          <w:lang w:val="es-AR"/>
        </w:rPr>
        <w:t>provoca la terminación de la controversia planteada</w:t>
      </w:r>
      <w:r w:rsidRPr="00E9553D">
        <w:rPr>
          <w:rFonts w:ascii="Palatino Linotype" w:eastAsia="Batang" w:hAnsi="Palatino Linotype" w:cs="Arial"/>
          <w:i/>
          <w:lang w:val="es-AR"/>
        </w:rPr>
        <w:t xml:space="preserve"> por el quejoso en la demanda de amparo</w:t>
      </w:r>
      <w:r w:rsidRPr="00E9553D">
        <w:rPr>
          <w:rFonts w:ascii="Palatino Linotype" w:eastAsia="Batang" w:hAnsi="Palatino Linotype" w:cs="Arial"/>
          <w:b/>
          <w:i/>
          <w:lang w:val="es-AR"/>
        </w:rPr>
        <w:t>, sin hacer un pronunciamiento de fondo sobre la legalidad o ilegalidad de la sentencia reclamada</w:t>
      </w:r>
      <w:r w:rsidRPr="00E9553D">
        <w:rPr>
          <w:rFonts w:ascii="Palatino Linotype" w:eastAsia="Batang" w:hAnsi="Palatino Linotype" w:cs="Arial"/>
          <w:i/>
          <w:lang w:val="es-AR"/>
        </w:rPr>
        <w:t xml:space="preserve">. </w:t>
      </w:r>
      <w:r w:rsidRPr="00E9553D">
        <w:rPr>
          <w:rFonts w:ascii="Palatino Linotype" w:eastAsia="Batang" w:hAnsi="Palatino Linotype" w:cs="Arial"/>
          <w:b/>
          <w:i/>
          <w:lang w:val="es-AR"/>
        </w:rPr>
        <w:t xml:space="preserve">Por consiguiente, si al sobreseerse en el juicio de amparo </w:t>
      </w:r>
      <w:r w:rsidRPr="00E9553D">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9553D">
        <w:rPr>
          <w:rFonts w:ascii="Palatino Linotype" w:eastAsia="Batang" w:hAnsi="Palatino Linotype" w:cs="Arial"/>
          <w:i/>
          <w:lang w:val="es-AR"/>
        </w:rPr>
        <w:t>.”</w:t>
      </w:r>
    </w:p>
    <w:p w:rsidR="00911842" w:rsidRPr="00E9553D" w:rsidRDefault="00957601" w:rsidP="00957601">
      <w:pPr>
        <w:autoSpaceDE w:val="0"/>
        <w:autoSpaceDN w:val="0"/>
        <w:adjustRightInd w:val="0"/>
        <w:spacing w:line="276" w:lineRule="auto"/>
        <w:ind w:left="567" w:right="567"/>
        <w:contextualSpacing/>
        <w:jc w:val="both"/>
        <w:rPr>
          <w:rFonts w:ascii="Palatino Linotype" w:eastAsia="Batang" w:hAnsi="Palatino Linotype" w:cs="Arial"/>
          <w:iCs/>
          <w:lang w:val="es-AR"/>
        </w:rPr>
      </w:pPr>
      <w:r w:rsidRPr="00E9553D">
        <w:rPr>
          <w:rFonts w:ascii="Palatino Linotype" w:eastAsia="Batang" w:hAnsi="Palatino Linotype" w:cs="Arial"/>
          <w:iCs/>
          <w:lang w:val="es-AR"/>
        </w:rPr>
        <w:t>(Énfasis añadido)</w:t>
      </w:r>
    </w:p>
    <w:p w:rsidR="00957601" w:rsidRPr="00E9553D" w:rsidRDefault="00957601" w:rsidP="00957601">
      <w:pPr>
        <w:autoSpaceDE w:val="0"/>
        <w:autoSpaceDN w:val="0"/>
        <w:adjustRightInd w:val="0"/>
        <w:spacing w:line="276" w:lineRule="auto"/>
        <w:ind w:right="567"/>
        <w:contextualSpacing/>
        <w:jc w:val="both"/>
        <w:rPr>
          <w:rFonts w:ascii="Palatino Linotype" w:eastAsia="Batang" w:hAnsi="Palatino Linotype" w:cs="Arial"/>
          <w:iCs/>
          <w:lang w:val="es-AR"/>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Calibri" w:hAnsi="Palatino Linotype" w:cs="Arial"/>
          <w:lang w:val="es-ES"/>
        </w:rPr>
        <w:t xml:space="preserve">De </w:t>
      </w:r>
      <w:r w:rsidRPr="00E9553D">
        <w:rPr>
          <w:rFonts w:ascii="Palatino Linotype" w:eastAsia="Batang" w:hAnsi="Palatino Linotype" w:cs="Arial"/>
        </w:rPr>
        <w:t>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957601"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Calibri" w:hAnsi="Palatino Linotype" w:cs="Arial"/>
          <w:lang w:val="es-ES"/>
        </w:rPr>
        <w:t xml:space="preserve">Luego entonces, </w:t>
      </w:r>
      <w:r w:rsidRPr="00E9553D">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E9553D">
        <w:rPr>
          <w:rFonts w:ascii="Palatino Linotype" w:hAnsi="Palatino Linotype" w:cs="Arial"/>
          <w:b/>
          <w:lang w:val="es-CO"/>
        </w:rPr>
        <w:lastRenderedPageBreak/>
        <w:t xml:space="preserve">SOBRESEIMIENTO </w:t>
      </w:r>
      <w:r w:rsidR="00957601" w:rsidRPr="00E9553D">
        <w:rPr>
          <w:rFonts w:ascii="Palatino Linotype" w:hAnsi="Palatino Linotype" w:cs="Arial"/>
          <w:lang w:val="es-CO"/>
        </w:rPr>
        <w:t>de los recursos</w:t>
      </w:r>
      <w:r w:rsidRPr="00E9553D">
        <w:rPr>
          <w:rFonts w:ascii="Palatino Linotype" w:hAnsi="Palatino Linotype" w:cs="Arial"/>
          <w:lang w:val="es-CO"/>
        </w:rPr>
        <w:t xml:space="preserve"> de revisión, toda vez que el </w:t>
      </w:r>
      <w:r w:rsidRPr="00E9553D">
        <w:rPr>
          <w:rFonts w:ascii="Palatino Linotype" w:hAnsi="Palatino Linotype" w:cs="Arial"/>
          <w:b/>
          <w:bCs/>
          <w:lang w:val="es-CO"/>
        </w:rPr>
        <w:t>RECURRENTE</w:t>
      </w:r>
      <w:r w:rsidRPr="00E9553D">
        <w:rPr>
          <w:rFonts w:ascii="Palatino Linotype" w:hAnsi="Palatino Linotype" w:cs="Arial"/>
          <w:lang w:val="es-CO"/>
        </w:rPr>
        <w:t xml:space="preserve"> amplio </w:t>
      </w:r>
      <w:r w:rsidR="00957601" w:rsidRPr="00E9553D">
        <w:rPr>
          <w:rFonts w:ascii="Palatino Linotype" w:hAnsi="Palatino Linotype" w:cs="Arial"/>
          <w:lang w:val="es-CO"/>
        </w:rPr>
        <w:t>sus solicitudes de información.</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911842" w:rsidRPr="00E9553D"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Calibri" w:hAnsi="Palatino Linotype" w:cs="Arial"/>
          <w:lang w:val="es-ES"/>
        </w:rPr>
        <w:t xml:space="preserve">Por </w:t>
      </w:r>
      <w:r w:rsidRPr="00E9553D">
        <w:rPr>
          <w:rFonts w:ascii="Palatino Linotype" w:eastAsia="MS Mincho" w:hAnsi="Palatino Linotype" w:cstheme="majorBidi"/>
          <w:lang w:val="es-MX"/>
        </w:rPr>
        <w:t>lo tanto,</w:t>
      </w:r>
      <w:r w:rsidRPr="00E9553D">
        <w:rPr>
          <w:rFonts w:ascii="Palatino Linotype" w:eastAsia="MS Mincho" w:hAnsi="Palatino Linotype" w:cstheme="majorBidi"/>
        </w:rPr>
        <w:t xml:space="preserve"> en consecuencia de lo expuesto en líneas anteriores, con fundamento en el artículo 192, fracción IV, de la Ley de Transparencia y Acceso a la Información Pública del Estado de México y Municipios, se </w:t>
      </w:r>
      <w:r w:rsidRPr="00E9553D">
        <w:rPr>
          <w:rFonts w:ascii="Palatino Linotype" w:eastAsia="MS Mincho" w:hAnsi="Palatino Linotype" w:cstheme="majorBidi"/>
          <w:b/>
        </w:rPr>
        <w:t>SOBRESEE</w:t>
      </w:r>
      <w:r w:rsidR="00957601" w:rsidRPr="00E9553D">
        <w:rPr>
          <w:rFonts w:ascii="Palatino Linotype" w:eastAsia="MS Mincho" w:hAnsi="Palatino Linotype" w:cstheme="majorBidi"/>
          <w:b/>
        </w:rPr>
        <w:t>N</w:t>
      </w:r>
      <w:r w:rsidRPr="00E9553D">
        <w:rPr>
          <w:rFonts w:ascii="Palatino Linotype" w:eastAsia="MS Mincho" w:hAnsi="Palatino Linotype" w:cstheme="majorBidi"/>
          <w:b/>
        </w:rPr>
        <w:t xml:space="preserve"> </w:t>
      </w:r>
      <w:r w:rsidR="00957601" w:rsidRPr="00E9553D">
        <w:rPr>
          <w:rFonts w:ascii="Palatino Linotype" w:eastAsia="MS Mincho" w:hAnsi="Palatino Linotype" w:cstheme="majorBidi"/>
        </w:rPr>
        <w:t>los</w:t>
      </w:r>
      <w:r w:rsidRPr="00E9553D">
        <w:rPr>
          <w:rFonts w:ascii="Palatino Linotype" w:eastAsia="MS Mincho" w:hAnsi="Palatino Linotype" w:cstheme="majorBidi"/>
        </w:rPr>
        <w:t xml:space="preserve"> recurso</w:t>
      </w:r>
      <w:r w:rsidR="00957601" w:rsidRPr="00E9553D">
        <w:rPr>
          <w:rFonts w:ascii="Palatino Linotype" w:eastAsia="MS Mincho" w:hAnsi="Palatino Linotype" w:cstheme="majorBidi"/>
        </w:rPr>
        <w:t>s</w:t>
      </w:r>
      <w:r w:rsidRPr="00E9553D">
        <w:rPr>
          <w:rFonts w:ascii="Palatino Linotype" w:eastAsia="MS Mincho" w:hAnsi="Palatino Linotype" w:cstheme="majorBidi"/>
        </w:rPr>
        <w:t xml:space="preserve"> de revisión </w:t>
      </w:r>
      <w:r w:rsidR="00957601" w:rsidRPr="00E9553D">
        <w:rPr>
          <w:rFonts w:ascii="Palatino Linotype" w:eastAsia="MS Mincho" w:hAnsi="Palatino Linotype" w:cstheme="majorBidi"/>
          <w:b/>
          <w:bCs/>
        </w:rPr>
        <w:t>03023/INFOEM/IP/RR/2026 y 03026/INFOEM/IP/RR/2026</w:t>
      </w:r>
      <w:r w:rsidRPr="00E9553D">
        <w:rPr>
          <w:rFonts w:ascii="Palatino Linotype" w:eastAsia="MS Mincho" w:hAnsi="Palatino Linotype" w:cstheme="majorBidi"/>
        </w:rPr>
        <w:t>, que ha</w:t>
      </w:r>
      <w:r w:rsidR="00957601" w:rsidRPr="00E9553D">
        <w:rPr>
          <w:rFonts w:ascii="Palatino Linotype" w:eastAsia="MS Mincho" w:hAnsi="Palatino Linotype" w:cstheme="majorBidi"/>
        </w:rPr>
        <w:t>n</w:t>
      </w:r>
      <w:r w:rsidRPr="00E9553D">
        <w:rPr>
          <w:rFonts w:ascii="Palatino Linotype" w:eastAsia="MS Mincho" w:hAnsi="Palatino Linotype" w:cstheme="majorBidi"/>
        </w:rPr>
        <w:t xml:space="preserve"> sido materia del presente fallo.</w:t>
      </w:r>
    </w:p>
    <w:p w:rsidR="00957601" w:rsidRPr="00E9553D" w:rsidRDefault="00957601" w:rsidP="00957601">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911842" w:rsidRPr="00096957" w:rsidRDefault="00911842" w:rsidP="0095760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MS Mincho" w:hAnsi="Palatino Linotype" w:cs="Times New Roman"/>
          <w:color w:val="000000"/>
        </w:rPr>
      </w:pPr>
      <w:r w:rsidRPr="00E9553D">
        <w:rPr>
          <w:rFonts w:ascii="Palatino Linotype" w:eastAsia="Calibri" w:hAnsi="Palatino Linotype" w:cs="Arial"/>
          <w:lang w:val="es-ES"/>
        </w:rPr>
        <w:t xml:space="preserve">Por lo anteriormente expuesto y fundado, este Organismo Garante emite los siguientes: </w:t>
      </w:r>
    </w:p>
    <w:p w:rsidR="00096957" w:rsidRDefault="00096957" w:rsidP="00096957">
      <w:pPr>
        <w:pStyle w:val="Prrafodelista"/>
        <w:rPr>
          <w:rFonts w:ascii="Palatino Linotype" w:eastAsia="MS Mincho" w:hAnsi="Palatino Linotype" w:cs="Times New Roman"/>
          <w:color w:val="000000"/>
        </w:rPr>
      </w:pPr>
    </w:p>
    <w:p w:rsidR="00096957" w:rsidRPr="00E9553D" w:rsidRDefault="00096957" w:rsidP="00096957">
      <w:pPr>
        <w:pBdr>
          <w:top w:val="nil"/>
          <w:left w:val="nil"/>
          <w:bottom w:val="nil"/>
          <w:right w:val="nil"/>
          <w:between w:val="nil"/>
        </w:pBdr>
        <w:tabs>
          <w:tab w:val="left" w:pos="426"/>
        </w:tabs>
        <w:spacing w:line="360" w:lineRule="auto"/>
        <w:ind w:right="49"/>
        <w:jc w:val="both"/>
        <w:rPr>
          <w:rFonts w:ascii="Palatino Linotype" w:eastAsia="MS Mincho" w:hAnsi="Palatino Linotype" w:cs="Times New Roman"/>
          <w:color w:val="000000"/>
        </w:rPr>
      </w:pPr>
    </w:p>
    <w:p w:rsidR="00911842" w:rsidRPr="00E9553D" w:rsidRDefault="00911842" w:rsidP="00957601">
      <w:pPr>
        <w:pStyle w:val="Ttulo1"/>
        <w:spacing w:before="0" w:line="360" w:lineRule="auto"/>
        <w:jc w:val="center"/>
        <w:rPr>
          <w:rFonts w:ascii="Palatino Linotype" w:eastAsia="Palatino Linotype" w:hAnsi="Palatino Linotype" w:cs="Palatino Linotype"/>
          <w:b/>
          <w:color w:val="000000"/>
          <w:sz w:val="24"/>
          <w:szCs w:val="24"/>
        </w:rPr>
      </w:pPr>
      <w:bookmarkStart w:id="27" w:name="_Toc466371865"/>
      <w:bookmarkStart w:id="28" w:name="_Toc466377653"/>
      <w:bookmarkStart w:id="29" w:name="_Toc495427547"/>
      <w:bookmarkStart w:id="30" w:name="_Toc497905366"/>
      <w:bookmarkStart w:id="31" w:name="_Toc614707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9553D">
        <w:rPr>
          <w:rFonts w:ascii="Palatino Linotype" w:eastAsia="Palatino Linotype" w:hAnsi="Palatino Linotype" w:cs="Palatino Linotype"/>
          <w:b/>
          <w:color w:val="000000"/>
          <w:sz w:val="24"/>
          <w:szCs w:val="24"/>
        </w:rPr>
        <w:t>R E S O L U T I V O S</w:t>
      </w:r>
      <w:bookmarkEnd w:id="27"/>
      <w:bookmarkEnd w:id="28"/>
      <w:bookmarkEnd w:id="29"/>
      <w:bookmarkEnd w:id="30"/>
      <w:bookmarkEnd w:id="31"/>
    </w:p>
    <w:p w:rsidR="00911842" w:rsidRPr="00E9553D" w:rsidRDefault="00911842" w:rsidP="00911842">
      <w:pPr>
        <w:spacing w:line="360" w:lineRule="auto"/>
        <w:jc w:val="both"/>
        <w:rPr>
          <w:rFonts w:ascii="Palatino Linotype" w:hAnsi="Palatino Linotype"/>
          <w:b/>
          <w:lang w:val="es-MX"/>
        </w:rPr>
      </w:pPr>
    </w:p>
    <w:p w:rsidR="00911842" w:rsidRPr="00E9553D" w:rsidRDefault="00911842" w:rsidP="00911842">
      <w:pPr>
        <w:spacing w:line="360" w:lineRule="auto"/>
        <w:jc w:val="both"/>
        <w:rPr>
          <w:rFonts w:ascii="Palatino Linotype" w:hAnsi="Palatino Linotype"/>
        </w:rPr>
      </w:pPr>
      <w:r w:rsidRPr="00E9553D">
        <w:rPr>
          <w:rFonts w:ascii="Palatino Linotype" w:hAnsi="Palatino Linotype"/>
          <w:b/>
        </w:rPr>
        <w:t>PRIMERO.</w:t>
      </w:r>
      <w:r w:rsidRPr="00E9553D">
        <w:rPr>
          <w:rFonts w:ascii="Palatino Linotype" w:hAnsi="Palatino Linotype"/>
        </w:rPr>
        <w:t xml:space="preserve"> Se </w:t>
      </w:r>
      <w:r w:rsidRPr="00E9553D">
        <w:rPr>
          <w:rFonts w:ascii="Palatino Linotype" w:hAnsi="Palatino Linotype"/>
          <w:b/>
        </w:rPr>
        <w:t>SOBRESEE</w:t>
      </w:r>
      <w:r w:rsidR="00957601" w:rsidRPr="00E9553D">
        <w:rPr>
          <w:rFonts w:ascii="Palatino Linotype" w:hAnsi="Palatino Linotype"/>
          <w:b/>
        </w:rPr>
        <w:t>N</w:t>
      </w:r>
      <w:r w:rsidR="00957601" w:rsidRPr="00E9553D">
        <w:rPr>
          <w:rFonts w:ascii="Palatino Linotype" w:hAnsi="Palatino Linotype"/>
        </w:rPr>
        <w:t xml:space="preserve"> los</w:t>
      </w:r>
      <w:r w:rsidRPr="00E9553D">
        <w:rPr>
          <w:rFonts w:ascii="Palatino Linotype" w:hAnsi="Palatino Linotype"/>
        </w:rPr>
        <w:t xml:space="preserve"> recurso</w:t>
      </w:r>
      <w:r w:rsidR="00957601" w:rsidRPr="00E9553D">
        <w:rPr>
          <w:rFonts w:ascii="Palatino Linotype" w:hAnsi="Palatino Linotype"/>
        </w:rPr>
        <w:t>s</w:t>
      </w:r>
      <w:r w:rsidRPr="00E9553D">
        <w:rPr>
          <w:rFonts w:ascii="Palatino Linotype" w:hAnsi="Palatino Linotype"/>
        </w:rPr>
        <w:t xml:space="preserve"> de revisión número </w:t>
      </w:r>
      <w:r w:rsidR="00957601" w:rsidRPr="00E9553D">
        <w:rPr>
          <w:rFonts w:ascii="Palatino Linotype" w:hAnsi="Palatino Linotype"/>
          <w:b/>
          <w:bCs/>
        </w:rPr>
        <w:t>03023/INFOEM/IP/RR/2026 y 03026/INFOEM/IP/RR/2026</w:t>
      </w:r>
      <w:r w:rsidRPr="00E9553D">
        <w:rPr>
          <w:rFonts w:ascii="Palatino Linotype" w:hAnsi="Palatino Linotype"/>
        </w:rPr>
        <w:t xml:space="preserve">, </w:t>
      </w:r>
      <w:r w:rsidRPr="00E9553D">
        <w:rPr>
          <w:rFonts w:ascii="Palatino Linotype" w:eastAsia="MS Mincho" w:hAnsi="Palatino Linotype" w:cstheme="majorBidi"/>
        </w:rPr>
        <w:t>con fundamento en el artículo 192, fracción IV, de la Ley de Transparencia y Acceso a la Información Pública del Estado de México y Municipios</w:t>
      </w:r>
      <w:r w:rsidRPr="00E9553D">
        <w:rPr>
          <w:rFonts w:ascii="Palatino Linotype" w:hAnsi="Palatino Linotype"/>
          <w:b/>
        </w:rPr>
        <w:t>, al ampliar su</w:t>
      </w:r>
      <w:r w:rsidR="00957601" w:rsidRPr="00E9553D">
        <w:rPr>
          <w:rFonts w:ascii="Palatino Linotype" w:hAnsi="Palatino Linotype"/>
          <w:b/>
        </w:rPr>
        <w:t>s</w:t>
      </w:r>
      <w:r w:rsidRPr="00E9553D">
        <w:rPr>
          <w:rFonts w:ascii="Palatino Linotype" w:hAnsi="Palatino Linotype"/>
          <w:b/>
        </w:rPr>
        <w:t xml:space="preserve"> solicitud</w:t>
      </w:r>
      <w:r w:rsidR="00957601" w:rsidRPr="00E9553D">
        <w:rPr>
          <w:rFonts w:ascii="Palatino Linotype" w:hAnsi="Palatino Linotype"/>
          <w:b/>
        </w:rPr>
        <w:t xml:space="preserve">es </w:t>
      </w:r>
      <w:r w:rsidRPr="00E9553D">
        <w:rPr>
          <w:rFonts w:ascii="Palatino Linotype" w:hAnsi="Palatino Linotype"/>
          <w:b/>
        </w:rPr>
        <w:t>de información</w:t>
      </w:r>
      <w:r w:rsidRPr="00E9553D">
        <w:rPr>
          <w:rFonts w:ascii="Palatino Linotype" w:hAnsi="Palatino Linotype"/>
        </w:rPr>
        <w:t xml:space="preserve"> en términos del </w:t>
      </w:r>
      <w:r w:rsidRPr="00E9553D">
        <w:rPr>
          <w:rFonts w:ascii="Palatino Linotype" w:hAnsi="Palatino Linotype"/>
          <w:b/>
        </w:rPr>
        <w:t>Considerando TERCERO</w:t>
      </w:r>
      <w:r w:rsidRPr="00E9553D">
        <w:rPr>
          <w:rFonts w:ascii="Palatino Linotype" w:hAnsi="Palatino Linotype"/>
        </w:rPr>
        <w:t xml:space="preserve"> de la presente resolución.</w:t>
      </w:r>
    </w:p>
    <w:p w:rsidR="00911842" w:rsidRPr="00E9553D" w:rsidRDefault="00911842" w:rsidP="00911842">
      <w:pPr>
        <w:spacing w:line="360" w:lineRule="auto"/>
        <w:jc w:val="both"/>
        <w:rPr>
          <w:rFonts w:ascii="Palatino Linotype" w:hAnsi="Palatino Linotype"/>
        </w:rPr>
      </w:pPr>
    </w:p>
    <w:p w:rsidR="00911842" w:rsidRPr="00E9553D" w:rsidRDefault="00911842" w:rsidP="00911842">
      <w:pPr>
        <w:pStyle w:val="Sinespaciado"/>
        <w:spacing w:line="360" w:lineRule="auto"/>
        <w:jc w:val="both"/>
        <w:rPr>
          <w:rFonts w:ascii="Palatino Linotype" w:eastAsia="Calibri" w:hAnsi="Palatino Linotype" w:cs="Arial"/>
          <w:b/>
          <w:bCs/>
          <w:lang w:val="es-ES"/>
        </w:rPr>
      </w:pPr>
      <w:r w:rsidRPr="00E9553D">
        <w:rPr>
          <w:rFonts w:ascii="Palatino Linotype" w:eastAsia="Calibri" w:hAnsi="Palatino Linotype" w:cs="Arial"/>
          <w:b/>
          <w:bCs/>
          <w:lang w:val="es-ES"/>
        </w:rPr>
        <w:t xml:space="preserve">SEGUNDO. Notifíquese </w:t>
      </w:r>
      <w:r w:rsidRPr="00E9553D">
        <w:rPr>
          <w:rFonts w:ascii="Palatino Linotype" w:eastAsia="Calibri" w:hAnsi="Palatino Linotype" w:cs="Arial"/>
          <w:bCs/>
          <w:lang w:val="es-ES"/>
        </w:rPr>
        <w:t xml:space="preserve">a través del Sistema de Acceso a la Información Mexiquense </w:t>
      </w:r>
      <w:r w:rsidRPr="00E9553D">
        <w:rPr>
          <w:rFonts w:ascii="Palatino Linotype" w:eastAsia="Calibri" w:hAnsi="Palatino Linotype" w:cs="Arial"/>
          <w:lang w:val="es-ES"/>
        </w:rPr>
        <w:t>(SAIMEX) la</w:t>
      </w:r>
      <w:r w:rsidRPr="00E9553D">
        <w:rPr>
          <w:rFonts w:ascii="Palatino Linotype" w:eastAsia="Calibri" w:hAnsi="Palatino Linotype" w:cs="Arial"/>
          <w:bCs/>
          <w:lang w:val="es-ES"/>
        </w:rPr>
        <w:t xml:space="preserve"> presente resolución al Titular de la Unidad de Transparencia del</w:t>
      </w:r>
      <w:r w:rsidRPr="00E9553D">
        <w:rPr>
          <w:rFonts w:ascii="Palatino Linotype" w:eastAsia="Calibri" w:hAnsi="Palatino Linotype" w:cs="Arial"/>
          <w:b/>
          <w:bCs/>
          <w:lang w:val="es-ES"/>
        </w:rPr>
        <w:t xml:space="preserve"> SUJETO OBLIGADO. </w:t>
      </w:r>
    </w:p>
    <w:p w:rsidR="00911842" w:rsidRPr="00E9553D" w:rsidRDefault="00911842" w:rsidP="00911842">
      <w:pPr>
        <w:pStyle w:val="Sinespaciado"/>
        <w:spacing w:line="360" w:lineRule="auto"/>
        <w:jc w:val="both"/>
        <w:rPr>
          <w:rFonts w:ascii="Palatino Linotype" w:eastAsia="Calibri" w:hAnsi="Palatino Linotype" w:cs="Arial"/>
          <w:b/>
          <w:bCs/>
          <w:lang w:val="es-ES"/>
        </w:rPr>
      </w:pPr>
    </w:p>
    <w:p w:rsidR="00911842" w:rsidRPr="00E9553D" w:rsidRDefault="00911842" w:rsidP="00911842">
      <w:pPr>
        <w:pStyle w:val="Sinespaciado"/>
        <w:spacing w:line="360" w:lineRule="auto"/>
        <w:jc w:val="both"/>
        <w:rPr>
          <w:rFonts w:ascii="Palatino Linotype" w:eastAsia="Times New Roman" w:hAnsi="Palatino Linotype" w:cs="Times New Roman"/>
          <w:color w:val="222222"/>
          <w:lang w:val="es-ES" w:eastAsia="es-MX"/>
        </w:rPr>
      </w:pPr>
      <w:r w:rsidRPr="00E9553D">
        <w:rPr>
          <w:rFonts w:ascii="Palatino Linotype" w:eastAsia="Times New Roman" w:hAnsi="Palatino Linotype" w:cs="Arial"/>
          <w:b/>
        </w:rPr>
        <w:t xml:space="preserve">TERCERO. </w:t>
      </w:r>
      <w:r w:rsidRPr="00E9553D">
        <w:rPr>
          <w:rFonts w:ascii="Palatino Linotype" w:eastAsia="Times New Roman" w:hAnsi="Palatino Linotype" w:cs="Times New Roman"/>
          <w:b/>
          <w:bCs/>
          <w:color w:val="222222"/>
          <w:lang w:val="es-ES"/>
        </w:rPr>
        <w:t xml:space="preserve">Notifíquese </w:t>
      </w:r>
      <w:r w:rsidR="003112A8" w:rsidRPr="00E9553D">
        <w:rPr>
          <w:rFonts w:ascii="Palatino Linotype" w:eastAsia="Times New Roman" w:hAnsi="Palatino Linotype" w:cs="Times New Roman"/>
          <w:bCs/>
          <w:color w:val="222222"/>
          <w:lang w:val="es-ES"/>
        </w:rPr>
        <w:t>al</w:t>
      </w:r>
      <w:r w:rsidRPr="00E9553D">
        <w:rPr>
          <w:rFonts w:ascii="Palatino Linotype" w:eastAsia="Times New Roman" w:hAnsi="Palatino Linotype" w:cs="Times New Roman"/>
          <w:bCs/>
          <w:color w:val="222222"/>
          <w:lang w:val="es-ES"/>
        </w:rPr>
        <w:t xml:space="preserve"> </w:t>
      </w:r>
      <w:r w:rsidRPr="00E9553D">
        <w:rPr>
          <w:rFonts w:ascii="Palatino Linotype" w:hAnsi="Palatino Linotype"/>
          <w:b/>
        </w:rPr>
        <w:t xml:space="preserve">RECURRENTE </w:t>
      </w:r>
      <w:r w:rsidRPr="00E9553D">
        <w:rPr>
          <w:rFonts w:ascii="Palatino Linotype" w:eastAsia="Times New Roman" w:hAnsi="Palatino Linotype" w:cs="Times New Roman"/>
          <w:color w:val="222222"/>
          <w:lang w:val="es-ES" w:eastAsia="es-MX"/>
        </w:rPr>
        <w:t>la presente resolución, vía SAIMEX</w:t>
      </w:r>
    </w:p>
    <w:p w:rsidR="00911842" w:rsidRPr="00E9553D" w:rsidRDefault="00911842" w:rsidP="00911842">
      <w:pPr>
        <w:pStyle w:val="Prrafodelista"/>
        <w:spacing w:line="360" w:lineRule="auto"/>
        <w:ind w:left="0"/>
        <w:jc w:val="both"/>
        <w:rPr>
          <w:rFonts w:ascii="Palatino Linotype" w:eastAsia="MS Mincho" w:hAnsi="Palatino Linotype" w:cs="Times New Roman"/>
          <w:lang w:val="es-ES"/>
        </w:rPr>
      </w:pPr>
      <w:r w:rsidRPr="00E9553D">
        <w:rPr>
          <w:rFonts w:ascii="Palatino Linotype" w:eastAsia="MS Mincho" w:hAnsi="Palatino Linotype" w:cs="Times New Roman"/>
          <w:b/>
          <w:lang w:val="es-MX"/>
        </w:rPr>
        <w:lastRenderedPageBreak/>
        <w:t>CUARTO.</w:t>
      </w:r>
      <w:r w:rsidRPr="00E9553D">
        <w:rPr>
          <w:rFonts w:ascii="Palatino Linotype" w:eastAsia="MS Mincho" w:hAnsi="Palatino Linotype" w:cs="Times New Roman"/>
          <w:lang w:val="es-MX"/>
        </w:rPr>
        <w:t xml:space="preserve"> </w:t>
      </w:r>
      <w:r w:rsidRPr="00E9553D">
        <w:rPr>
          <w:rFonts w:ascii="Palatino Linotype" w:eastAsia="MS Mincho" w:hAnsi="Palatino Linotype" w:cs="Times New Roman"/>
          <w:lang w:val="es-ES"/>
        </w:rPr>
        <w:t xml:space="preserve">Se hace del conocimiento de la </w:t>
      </w:r>
      <w:r w:rsidRPr="00E9553D">
        <w:rPr>
          <w:rFonts w:ascii="Palatino Linotype" w:hAnsi="Palatino Linotype"/>
          <w:b/>
        </w:rPr>
        <w:t xml:space="preserve">RECURRENTE </w:t>
      </w:r>
      <w:r w:rsidRPr="00E9553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9553D">
        <w:rPr>
          <w:rFonts w:ascii="Palatino Linotype" w:eastAsia="MS Mincho" w:hAnsi="Palatino Linotype" w:cs="Times New Roman"/>
          <w:bCs/>
          <w:lang w:val="es-ES"/>
        </w:rPr>
        <w:t xml:space="preserve">vía juicio de amparo </w:t>
      </w:r>
      <w:r w:rsidRPr="00E9553D">
        <w:rPr>
          <w:rFonts w:ascii="Palatino Linotype" w:eastAsia="MS Mincho" w:hAnsi="Palatino Linotype" w:cs="Times New Roman"/>
          <w:lang w:val="es-ES"/>
        </w:rPr>
        <w:t>en los términos de las leyes aplicables.</w:t>
      </w:r>
    </w:p>
    <w:p w:rsidR="00911842" w:rsidRPr="00E9553D" w:rsidRDefault="00911842" w:rsidP="00911842">
      <w:pPr>
        <w:pStyle w:val="Prrafodelista"/>
        <w:spacing w:line="360" w:lineRule="auto"/>
        <w:ind w:left="0"/>
        <w:jc w:val="both"/>
        <w:rPr>
          <w:rFonts w:ascii="Palatino Linotype" w:eastAsia="MS Mincho" w:hAnsi="Palatino Linotype" w:cs="Times New Roman"/>
          <w:lang w:val="es-ES"/>
        </w:rPr>
      </w:pPr>
    </w:p>
    <w:p w:rsidR="003112A8" w:rsidRPr="00E9553D" w:rsidRDefault="003112A8" w:rsidP="003112A8">
      <w:pPr>
        <w:spacing w:before="240" w:after="240" w:line="360" w:lineRule="auto"/>
        <w:ind w:firstLine="1"/>
        <w:jc w:val="both"/>
        <w:rPr>
          <w:rFonts w:ascii="Palatino Linotype" w:hAnsi="Palatino Linotype"/>
        </w:rPr>
      </w:pPr>
      <w:bookmarkStart w:id="32" w:name="_Hlk99014733"/>
      <w:r w:rsidRPr="00E9553D">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E9553D">
        <w:rPr>
          <w:rFonts w:ascii="Palatino Linotype" w:hAnsi="Palatino Linotype" w:cs="Palatino Linotype"/>
          <w:color w:val="000000" w:themeColor="text1"/>
        </w:rPr>
        <w:t>ALEXIS TAPIA RAMÍREZ.</w:t>
      </w:r>
    </w:p>
    <w:bookmarkEnd w:id="32"/>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957601" w:rsidRPr="00E9553D" w:rsidRDefault="00957601"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2632B3" w:rsidRPr="00E9553D" w:rsidRDefault="002632B3"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2632B3" w:rsidRPr="00E9553D" w:rsidRDefault="002632B3"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2632B3" w:rsidRPr="00E9553D" w:rsidRDefault="002632B3"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rsidR="002632B3" w:rsidRPr="00E9553D" w:rsidRDefault="002632B3" w:rsidP="00D43FEE">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sectPr w:rsidR="002632B3" w:rsidRPr="00E9553D" w:rsidSect="00E9553D">
      <w:headerReference w:type="even" r:id="rId8"/>
      <w:headerReference w:type="default" r:id="rId9"/>
      <w:footerReference w:type="default" r:id="rId10"/>
      <w:headerReference w:type="first" r:id="rId11"/>
      <w:footerReference w:type="first" r:id="rId12"/>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6C" w:rsidRDefault="0004116C" w:rsidP="00766EAE">
      <w:r>
        <w:separator/>
      </w:r>
    </w:p>
  </w:endnote>
  <w:endnote w:type="continuationSeparator" w:id="0">
    <w:p w:rsidR="0004116C" w:rsidRDefault="0004116C" w:rsidP="0076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E1" w:rsidRDefault="009A6FE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387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3874">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9A6FE1" w:rsidRDefault="009A6FE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E1" w:rsidRDefault="009A6FE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0387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03874">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9A6FE1" w:rsidRDefault="009A6FE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6C" w:rsidRDefault="0004116C" w:rsidP="00766EAE">
      <w:r>
        <w:separator/>
      </w:r>
    </w:p>
  </w:footnote>
  <w:footnote w:type="continuationSeparator" w:id="0">
    <w:p w:rsidR="0004116C" w:rsidRDefault="0004116C" w:rsidP="00766EAE">
      <w:r>
        <w:continuationSeparator/>
      </w:r>
    </w:p>
  </w:footnote>
  <w:footnote w:id="1">
    <w:p w:rsidR="009A6FE1" w:rsidRDefault="009A6FE1" w:rsidP="0091184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rsidR="009A6FE1" w:rsidRDefault="009A6FE1" w:rsidP="0091184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rsidR="009A6FE1" w:rsidRDefault="009A6FE1" w:rsidP="0091184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rsidR="009A6FE1" w:rsidRDefault="009A6FE1" w:rsidP="0091184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rsidR="009A6FE1" w:rsidRDefault="009A6FE1" w:rsidP="0091184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9A6FE1" w:rsidRDefault="009A6FE1" w:rsidP="00911842">
      <w:pPr>
        <w:pBdr>
          <w:top w:val="nil"/>
          <w:left w:val="nil"/>
          <w:bottom w:val="nil"/>
          <w:right w:val="nil"/>
          <w:between w:val="nil"/>
        </w:pBdr>
        <w:rPr>
          <w:color w:val="000000"/>
          <w:sz w:val="20"/>
          <w:szCs w:val="20"/>
        </w:rPr>
      </w:pPr>
      <w:r>
        <w:rPr>
          <w:color w:val="000000"/>
          <w:sz w:val="20"/>
          <w:szCs w:val="20"/>
        </w:rPr>
        <w:t>(…)”</w:t>
      </w:r>
    </w:p>
  </w:footnote>
  <w:footnote w:id="4">
    <w:p w:rsidR="009A6FE1" w:rsidRDefault="009A6FE1" w:rsidP="00911842">
      <w:pPr>
        <w:pStyle w:val="Textonotapie"/>
      </w:pPr>
      <w:r>
        <w:rPr>
          <w:rStyle w:val="Refdenotaalpie"/>
        </w:rPr>
        <w:footnoteRef/>
      </w:r>
      <w:r>
        <w:t xml:space="preserve"> Artículo 50, Ley de Transparencia y Acceso a la Información Pública del Estado de México y Municipios.</w:t>
      </w:r>
    </w:p>
  </w:footnote>
  <w:footnote w:id="5">
    <w:p w:rsidR="009A6FE1" w:rsidRDefault="009A6FE1" w:rsidP="00911842">
      <w:pPr>
        <w:pStyle w:val="Textonotapie"/>
      </w:pPr>
      <w:r>
        <w:rPr>
          <w:rStyle w:val="Refdenotaalpie"/>
        </w:rPr>
        <w:footnoteRef/>
      </w:r>
      <w:r>
        <w:t xml:space="preserve"> Artículo 51, Ídem.</w:t>
      </w:r>
    </w:p>
  </w:footnote>
  <w:footnote w:id="6">
    <w:p w:rsidR="009A6FE1" w:rsidRDefault="009A6FE1" w:rsidP="00911842">
      <w:pPr>
        <w:pStyle w:val="Textonotapie"/>
      </w:pPr>
      <w:r>
        <w:rPr>
          <w:rStyle w:val="Refdenotaalpie"/>
        </w:rPr>
        <w:footnoteRef/>
      </w:r>
      <w:r>
        <w:t xml:space="preserve"> Artículo 58, Ley de Transparencia y Acceso a la Información Pública del Estado de México y Municipios.</w:t>
      </w:r>
    </w:p>
  </w:footnote>
  <w:footnote w:id="7">
    <w:p w:rsidR="009A6FE1" w:rsidRDefault="009A6FE1" w:rsidP="00911842">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E1" w:rsidRDefault="0004116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09.4pt;height:793.75pt;z-index:-251655168;mso-position-horizontal:center;mso-position-horizontal-relative:margin;mso-position-vertical:center;mso-position-vertical-relative:margin">
          <v:imagedata r:id="rId1" o:title="image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654" w:type="dxa"/>
      <w:tblInd w:w="2694" w:type="dxa"/>
      <w:tblLayout w:type="fixed"/>
      <w:tblLook w:val="0400" w:firstRow="0" w:lastRow="0" w:firstColumn="0" w:lastColumn="0" w:noHBand="0" w:noVBand="1"/>
    </w:tblPr>
    <w:tblGrid>
      <w:gridCol w:w="2970"/>
      <w:gridCol w:w="4684"/>
    </w:tblGrid>
    <w:tr w:rsidR="009A6FE1" w:rsidTr="00E9553D">
      <w:trPr>
        <w:trHeight w:val="227"/>
      </w:trPr>
      <w:tc>
        <w:tcPr>
          <w:tcW w:w="2970" w:type="dxa"/>
          <w:vAlign w:val="center"/>
        </w:tcPr>
        <w:p w:rsidR="009A6FE1" w:rsidRDefault="009A6FE1">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684" w:type="dxa"/>
          <w:vAlign w:val="center"/>
        </w:tcPr>
        <w:p w:rsidR="009A6FE1" w:rsidRDefault="003112A8" w:rsidP="00766EA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b/>
              <w:bCs/>
              <w:color w:val="000000"/>
              <w:sz w:val="22"/>
              <w:szCs w:val="22"/>
            </w:rPr>
            <w:t>03023/INFOEM/IP/RR/2026</w:t>
          </w:r>
          <w:r w:rsidR="009A6FE1" w:rsidRPr="006117E3">
            <w:rPr>
              <w:rFonts w:ascii="Palatino Linotype" w:eastAsia="Palatino Linotype" w:hAnsi="Palatino Linotype" w:cs="Palatino Linotype"/>
              <w:b/>
              <w:bCs/>
              <w:color w:val="000000"/>
              <w:sz w:val="22"/>
              <w:szCs w:val="22"/>
            </w:rPr>
            <w:t xml:space="preserve"> y acumulado.</w:t>
          </w:r>
        </w:p>
      </w:tc>
    </w:tr>
    <w:tr w:rsidR="009A6FE1" w:rsidTr="00E9553D">
      <w:trPr>
        <w:trHeight w:val="242"/>
      </w:trPr>
      <w:tc>
        <w:tcPr>
          <w:tcW w:w="2970" w:type="dxa"/>
          <w:vAlign w:val="center"/>
        </w:tcPr>
        <w:p w:rsidR="009A6FE1" w:rsidRDefault="009A6FE1" w:rsidP="00766EAE">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684" w:type="dxa"/>
          <w:vAlign w:val="center"/>
        </w:tcPr>
        <w:p w:rsidR="009A6FE1" w:rsidRDefault="009A6FE1" w:rsidP="00766EA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6117E3">
            <w:rPr>
              <w:rFonts w:ascii="Palatino Linotype" w:eastAsia="Palatino Linotype" w:hAnsi="Palatino Linotype" w:cs="Palatino Linotype"/>
              <w:b/>
              <w:bCs/>
              <w:sz w:val="22"/>
              <w:szCs w:val="22"/>
            </w:rPr>
            <w:t>Ayuntamiento de Cuautitlán Izcalli</w:t>
          </w:r>
        </w:p>
      </w:tc>
    </w:tr>
    <w:tr w:rsidR="009A6FE1" w:rsidTr="00E9553D">
      <w:trPr>
        <w:trHeight w:val="342"/>
      </w:trPr>
      <w:tc>
        <w:tcPr>
          <w:tcW w:w="2970" w:type="dxa"/>
          <w:vAlign w:val="center"/>
        </w:tcPr>
        <w:p w:rsidR="009A6FE1" w:rsidRDefault="009A6FE1" w:rsidP="00766EAE">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684" w:type="dxa"/>
          <w:vAlign w:val="center"/>
        </w:tcPr>
        <w:p w:rsidR="009A6FE1" w:rsidRDefault="009A6FE1" w:rsidP="00766EA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9A6FE1" w:rsidRDefault="0004116C">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3pt;margin-top:-118.25pt;width:609.4pt;height:793.75pt;z-index:-251657216;mso-position-horizontal-relative:margin;mso-position-vertical-relative:margin">
          <v:imagedata r:id="rId1" o:title="image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470" w:type="dxa"/>
      <w:tblInd w:w="2552" w:type="dxa"/>
      <w:tblLayout w:type="fixed"/>
      <w:tblLook w:val="0400" w:firstRow="0" w:lastRow="0" w:firstColumn="0" w:lastColumn="0" w:noHBand="0" w:noVBand="1"/>
    </w:tblPr>
    <w:tblGrid>
      <w:gridCol w:w="2970"/>
      <w:gridCol w:w="4500"/>
    </w:tblGrid>
    <w:tr w:rsidR="009A6FE1">
      <w:trPr>
        <w:trHeight w:val="227"/>
      </w:trPr>
      <w:tc>
        <w:tcPr>
          <w:tcW w:w="2970" w:type="dxa"/>
          <w:vAlign w:val="center"/>
        </w:tcPr>
        <w:p w:rsidR="009A6FE1" w:rsidRDefault="009A6FE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00" w:type="dxa"/>
          <w:vAlign w:val="center"/>
        </w:tcPr>
        <w:p w:rsidR="009A6FE1" w:rsidRDefault="009A6FE1" w:rsidP="00766EAE">
          <w:pPr>
            <w:pBdr>
              <w:top w:val="nil"/>
              <w:left w:val="nil"/>
              <w:bottom w:val="nil"/>
              <w:right w:val="nil"/>
              <w:between w:val="nil"/>
            </w:pBdr>
            <w:tabs>
              <w:tab w:val="center" w:pos="4419"/>
              <w:tab w:val="right" w:pos="8838"/>
            </w:tabs>
            <w:rPr>
              <w:rFonts w:ascii="Palatino Linotype" w:eastAsia="Palatino Linotype" w:hAnsi="Palatino Linotype" w:cs="Palatino Linotype"/>
              <w:b/>
              <w:sz w:val="22"/>
              <w:szCs w:val="22"/>
              <w:highlight w:val="green"/>
            </w:rPr>
          </w:pPr>
          <w:r>
            <w:rPr>
              <w:rFonts w:ascii="Palatino Linotype" w:eastAsia="Palatino Linotype" w:hAnsi="Palatino Linotype" w:cs="Palatino Linotype"/>
              <w:b/>
              <w:bCs/>
              <w:sz w:val="22"/>
              <w:szCs w:val="22"/>
            </w:rPr>
            <w:t>03023</w:t>
          </w:r>
          <w:r w:rsidR="003112A8">
            <w:rPr>
              <w:rFonts w:ascii="Palatino Linotype" w:eastAsia="Palatino Linotype" w:hAnsi="Palatino Linotype" w:cs="Palatino Linotype"/>
              <w:b/>
              <w:bCs/>
              <w:sz w:val="22"/>
              <w:szCs w:val="22"/>
            </w:rPr>
            <w:t>/INFOEM/IP/RR/2026</w:t>
          </w:r>
          <w:r>
            <w:rPr>
              <w:rFonts w:ascii="Palatino Linotype" w:eastAsia="Palatino Linotype" w:hAnsi="Palatino Linotype" w:cs="Palatino Linotype"/>
              <w:b/>
              <w:bCs/>
              <w:sz w:val="22"/>
              <w:szCs w:val="22"/>
            </w:rPr>
            <w:t xml:space="preserve"> y acumulado.</w:t>
          </w:r>
        </w:p>
      </w:tc>
    </w:tr>
    <w:tr w:rsidR="009A6FE1">
      <w:trPr>
        <w:trHeight w:val="242"/>
      </w:trPr>
      <w:tc>
        <w:tcPr>
          <w:tcW w:w="2970" w:type="dxa"/>
          <w:vAlign w:val="center"/>
        </w:tcPr>
        <w:p w:rsidR="009A6FE1" w:rsidRDefault="009A6FE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00" w:type="dxa"/>
        </w:tcPr>
        <w:p w:rsidR="009A6FE1" w:rsidRDefault="00D03874">
          <w:r>
            <w:rPr>
              <w:rFonts w:ascii="Palatino Linotype" w:eastAsia="Palatino Linotype" w:hAnsi="Palatino Linotype" w:cs="Palatino Linotype"/>
              <w:b/>
              <w:bCs/>
              <w:sz w:val="22"/>
              <w:szCs w:val="22"/>
            </w:rPr>
            <w:t>XXXX</w:t>
          </w:r>
        </w:p>
      </w:tc>
    </w:tr>
    <w:tr w:rsidR="009A6FE1">
      <w:trPr>
        <w:trHeight w:val="342"/>
      </w:trPr>
      <w:tc>
        <w:tcPr>
          <w:tcW w:w="2970" w:type="dxa"/>
          <w:vAlign w:val="center"/>
        </w:tcPr>
        <w:p w:rsidR="009A6FE1" w:rsidRDefault="009A6FE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00" w:type="dxa"/>
          <w:vAlign w:val="center"/>
        </w:tcPr>
        <w:p w:rsidR="009A6FE1" w:rsidRDefault="009A6FE1" w:rsidP="00766EAE">
          <w:pPr>
            <w:pBdr>
              <w:top w:val="nil"/>
              <w:left w:val="nil"/>
              <w:bottom w:val="nil"/>
              <w:right w:val="nil"/>
              <w:between w:val="nil"/>
            </w:pBdr>
            <w:tabs>
              <w:tab w:val="center" w:pos="4419"/>
              <w:tab w:val="right" w:pos="8838"/>
            </w:tabs>
            <w:rPr>
              <w:rFonts w:ascii="Palatino Linotype" w:eastAsia="Palatino Linotype" w:hAnsi="Palatino Linotype" w:cs="Palatino Linotype"/>
              <w:b/>
              <w:sz w:val="22"/>
              <w:szCs w:val="22"/>
              <w:highlight w:val="green"/>
            </w:rPr>
          </w:pPr>
          <w:r w:rsidRPr="00766EAE">
            <w:rPr>
              <w:rFonts w:ascii="Palatino Linotype" w:eastAsia="Palatino Linotype" w:hAnsi="Palatino Linotype" w:cs="Palatino Linotype"/>
              <w:b/>
              <w:bCs/>
              <w:sz w:val="22"/>
              <w:szCs w:val="22"/>
            </w:rPr>
            <w:t>Ayuntamiento de Cuautitlán Izcalli</w:t>
          </w:r>
        </w:p>
      </w:tc>
    </w:tr>
    <w:tr w:rsidR="009A6FE1">
      <w:trPr>
        <w:trHeight w:val="342"/>
      </w:trPr>
      <w:tc>
        <w:tcPr>
          <w:tcW w:w="2970" w:type="dxa"/>
          <w:vAlign w:val="center"/>
        </w:tcPr>
        <w:p w:rsidR="009A6FE1" w:rsidRDefault="009A6FE1">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00" w:type="dxa"/>
          <w:vAlign w:val="center"/>
        </w:tcPr>
        <w:p w:rsidR="009A6FE1" w:rsidRDefault="009A6FE1">
          <w:pPr>
            <w:pBdr>
              <w:top w:val="nil"/>
              <w:left w:val="nil"/>
              <w:bottom w:val="nil"/>
              <w:right w:val="nil"/>
              <w:between w:val="nil"/>
            </w:pBdr>
            <w:tabs>
              <w:tab w:val="center" w:pos="4419"/>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rsidR="009A6FE1" w:rsidRDefault="0004116C">
    <w:pPr>
      <w:pBdr>
        <w:top w:val="nil"/>
        <w:left w:val="nil"/>
        <w:bottom w:val="nil"/>
        <w:right w:val="nil"/>
        <w:between w:val="nil"/>
      </w:pBdr>
      <w:tabs>
        <w:tab w:val="center" w:pos="4419"/>
        <w:tab w:val="right" w:pos="8838"/>
      </w:tabs>
      <w:rPr>
        <w:color w:val="000000"/>
        <w:sz w:val="16"/>
        <w:szCs w:val="16"/>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76.35pt;margin-top:-120.75pt;width:609.4pt;height:793.75pt;z-index:-251656192;mso-position-horizontal-relative:margin;mso-position-vertical-relative:margin">
          <v:imagedata r:id="rId1" o:title="image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0CA7"/>
    <w:multiLevelType w:val="hybridMultilevel"/>
    <w:tmpl w:val="508C7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7E2FFE"/>
    <w:multiLevelType w:val="multilevel"/>
    <w:tmpl w:val="D848C1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B53441"/>
    <w:multiLevelType w:val="hybridMultilevel"/>
    <w:tmpl w:val="9F1C8F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A9523E"/>
    <w:multiLevelType w:val="hybridMultilevel"/>
    <w:tmpl w:val="5D5AC5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AD8321B"/>
    <w:multiLevelType w:val="hybridMultilevel"/>
    <w:tmpl w:val="5B040688"/>
    <w:lvl w:ilvl="0" w:tplc="094CEBBC">
      <w:start w:val="29"/>
      <w:numFmt w:val="decimal"/>
      <w:lvlText w:val="%1."/>
      <w:lvlJc w:val="left"/>
      <w:pPr>
        <w:ind w:left="502" w:hanging="360"/>
      </w:pPr>
      <w:rPr>
        <w:rFonts w:cs="Times New Roman" w:hint="default"/>
        <w:b/>
        <w:i w:val="0"/>
        <w:sz w:val="24"/>
        <w:szCs w:val="24"/>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7"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5401735D"/>
    <w:multiLevelType w:val="hybridMultilevel"/>
    <w:tmpl w:val="1D1067F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1" w15:restartNumberingAfterBreak="0">
    <w:nsid w:val="57DD7EC9"/>
    <w:multiLevelType w:val="hybridMultilevel"/>
    <w:tmpl w:val="9342E8E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427C29"/>
    <w:multiLevelType w:val="hybridMultilevel"/>
    <w:tmpl w:val="15605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CFD2A49"/>
    <w:multiLevelType w:val="hybridMultilevel"/>
    <w:tmpl w:val="F78E9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327880"/>
    <w:multiLevelType w:val="hybridMultilevel"/>
    <w:tmpl w:val="82624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94051C"/>
    <w:multiLevelType w:val="hybridMultilevel"/>
    <w:tmpl w:val="B644EF9C"/>
    <w:lvl w:ilvl="0" w:tplc="2C004FD2">
      <w:start w:val="1"/>
      <w:numFmt w:val="upperRoman"/>
      <w:lvlText w:val="%1."/>
      <w:lvlJc w:val="left"/>
      <w:pPr>
        <w:ind w:left="1854" w:hanging="720"/>
      </w:pPr>
      <w:rPr>
        <w:rFonts w:ascii="Palatino Linotype" w:eastAsia="Calibri" w:hAnsi="Palatino Linotype" w:cs="Arial" w:hint="default"/>
        <w:i/>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
  </w:num>
  <w:num w:numId="2">
    <w:abstractNumId w:val="13"/>
  </w:num>
  <w:num w:numId="3">
    <w:abstractNumId w:val="0"/>
  </w:num>
  <w:num w:numId="4">
    <w:abstractNumId w:val="2"/>
  </w:num>
  <w:num w:numId="5">
    <w:abstractNumId w:val="12"/>
  </w:num>
  <w:num w:numId="6">
    <w:abstractNumId w:val="17"/>
  </w:num>
  <w:num w:numId="7">
    <w:abstractNumId w:val="10"/>
  </w:num>
  <w:num w:numId="8">
    <w:abstractNumId w:val="4"/>
  </w:num>
  <w:num w:numId="9">
    <w:abstractNumId w:val="8"/>
  </w:num>
  <w:num w:numId="10">
    <w:abstractNumId w:val="6"/>
  </w:num>
  <w:num w:numId="11">
    <w:abstractNumId w:val="19"/>
  </w:num>
  <w:num w:numId="12">
    <w:abstractNumId w:val="14"/>
  </w:num>
  <w:num w:numId="13">
    <w:abstractNumId w:val="16"/>
  </w:num>
  <w:num w:numId="14">
    <w:abstractNumId w:val="15"/>
  </w:num>
  <w:num w:numId="15">
    <w:abstractNumId w:val="9"/>
  </w:num>
  <w:num w:numId="16">
    <w:abstractNumId w:val="7"/>
  </w:num>
  <w:num w:numId="17">
    <w:abstractNumId w:val="18"/>
  </w:num>
  <w:num w:numId="18">
    <w:abstractNumId w:val="1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AE"/>
    <w:rsid w:val="00002B14"/>
    <w:rsid w:val="0003193C"/>
    <w:rsid w:val="0004116C"/>
    <w:rsid w:val="00096957"/>
    <w:rsid w:val="000E66B7"/>
    <w:rsid w:val="000F0359"/>
    <w:rsid w:val="001C4299"/>
    <w:rsid w:val="002632B3"/>
    <w:rsid w:val="003112A8"/>
    <w:rsid w:val="003A413C"/>
    <w:rsid w:val="00462DF3"/>
    <w:rsid w:val="005B3AFB"/>
    <w:rsid w:val="006117E3"/>
    <w:rsid w:val="0062326D"/>
    <w:rsid w:val="00766EAE"/>
    <w:rsid w:val="007F6FCA"/>
    <w:rsid w:val="00833D19"/>
    <w:rsid w:val="008657A4"/>
    <w:rsid w:val="00911842"/>
    <w:rsid w:val="00957601"/>
    <w:rsid w:val="009A6FE1"/>
    <w:rsid w:val="00C01758"/>
    <w:rsid w:val="00C06E99"/>
    <w:rsid w:val="00CC692E"/>
    <w:rsid w:val="00D03874"/>
    <w:rsid w:val="00D10FBC"/>
    <w:rsid w:val="00D43FEE"/>
    <w:rsid w:val="00E9553D"/>
    <w:rsid w:val="00F259A6"/>
    <w:rsid w:val="00F7262A"/>
    <w:rsid w:val="00F92B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76AD60B-06C2-4446-A20F-4D8C457F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EAE"/>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766E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66E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AE"/>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66EAE"/>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6E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6EAE"/>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66EAE"/>
    <w:rPr>
      <w:color w:val="0563C1" w:themeColor="hyperlink"/>
      <w:u w:val="single"/>
    </w:rPr>
  </w:style>
  <w:style w:type="table" w:customStyle="1" w:styleId="2">
    <w:name w:val="2"/>
    <w:basedOn w:val="Tablanormal"/>
    <w:rsid w:val="00766EAE"/>
    <w:pPr>
      <w:spacing w:after="0" w:line="240" w:lineRule="auto"/>
    </w:pPr>
    <w:rPr>
      <w:rFonts w:ascii="Calibri" w:eastAsia="Calibri" w:hAnsi="Calibri" w:cs="Calibri"/>
      <w:sz w:val="24"/>
      <w:szCs w:val="24"/>
      <w:lang w:val="es-ES_tradnl" w:eastAsia="es-MX"/>
    </w:rPr>
    <w:tblPr>
      <w:tblStyleRowBandSize w:val="1"/>
      <w:tblStyleColBandSize w:val="1"/>
      <w:tblCellMar>
        <w:left w:w="115" w:type="dxa"/>
        <w:right w:w="115" w:type="dxa"/>
      </w:tblCellMar>
    </w:tblPr>
  </w:style>
  <w:style w:type="table" w:customStyle="1" w:styleId="1">
    <w:name w:val="1"/>
    <w:basedOn w:val="Tablanormal"/>
    <w:rsid w:val="00766EAE"/>
    <w:pPr>
      <w:spacing w:after="0" w:line="240" w:lineRule="auto"/>
    </w:pPr>
    <w:rPr>
      <w:rFonts w:ascii="Calibri" w:eastAsia="Calibri" w:hAnsi="Calibri" w:cs="Calibri"/>
      <w:sz w:val="24"/>
      <w:szCs w:val="24"/>
      <w:lang w:val="es-ES_tradnl" w:eastAsia="es-MX"/>
    </w:rPr>
    <w:tblPr>
      <w:tblStyleRowBandSize w:val="1"/>
      <w:tblStyleColBandSize w:val="1"/>
      <w:tblCellMar>
        <w:left w:w="115" w:type="dxa"/>
        <w:right w:w="115" w:type="dxa"/>
      </w:tblCellMar>
    </w:tblPr>
  </w:style>
  <w:style w:type="table" w:styleId="Tablaconcuadrcula">
    <w:name w:val="Table Grid"/>
    <w:basedOn w:val="Tablanormal"/>
    <w:uiPriority w:val="39"/>
    <w:rsid w:val="00766EA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66EAE"/>
    <w:pPr>
      <w:tabs>
        <w:tab w:val="center" w:pos="4419"/>
        <w:tab w:val="right" w:pos="8838"/>
      </w:tabs>
    </w:pPr>
  </w:style>
  <w:style w:type="character" w:customStyle="1" w:styleId="PiedepginaCar">
    <w:name w:val="Pie de página Car"/>
    <w:basedOn w:val="Fuentedeprrafopredeter"/>
    <w:link w:val="Piedepgina"/>
    <w:uiPriority w:val="99"/>
    <w:rsid w:val="00766EAE"/>
    <w:rPr>
      <w:rFonts w:ascii="Calibri" w:eastAsiaTheme="minorEastAsia" w:hAnsi="Calibri" w:cs="Calibri"/>
      <w:sz w:val="24"/>
      <w:szCs w:val="24"/>
      <w:lang w:val="es-ES_tradnl" w:eastAsia="es-ES"/>
    </w:rPr>
  </w:style>
  <w:style w:type="paragraph" w:styleId="Sinespaciado">
    <w:name w:val="No Spacing"/>
    <w:aliases w:val="Francesa,INAI"/>
    <w:link w:val="SinespaciadoCar"/>
    <w:uiPriority w:val="1"/>
    <w:qFormat/>
    <w:rsid w:val="00911842"/>
    <w:pPr>
      <w:spacing w:after="0" w:line="240" w:lineRule="auto"/>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1184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1184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911842"/>
    <w:rPr>
      <w:vertAlign w:val="superscript"/>
    </w:rPr>
  </w:style>
  <w:style w:type="character" w:customStyle="1" w:styleId="SinespaciadoCar">
    <w:name w:val="Sin espaciado Car"/>
    <w:aliases w:val="Francesa Car,INAI Car"/>
    <w:link w:val="Sinespaciado"/>
    <w:uiPriority w:val="1"/>
    <w:locked/>
    <w:rsid w:val="00911842"/>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9022">
      <w:bodyDiv w:val="1"/>
      <w:marLeft w:val="0"/>
      <w:marRight w:val="0"/>
      <w:marTop w:val="0"/>
      <w:marBottom w:val="0"/>
      <w:divBdr>
        <w:top w:val="none" w:sz="0" w:space="0" w:color="auto"/>
        <w:left w:val="none" w:sz="0" w:space="0" w:color="auto"/>
        <w:bottom w:val="none" w:sz="0" w:space="0" w:color="auto"/>
        <w:right w:val="none" w:sz="0" w:space="0" w:color="auto"/>
      </w:divBdr>
    </w:div>
    <w:div w:id="624119691">
      <w:bodyDiv w:val="1"/>
      <w:marLeft w:val="0"/>
      <w:marRight w:val="0"/>
      <w:marTop w:val="0"/>
      <w:marBottom w:val="0"/>
      <w:divBdr>
        <w:top w:val="none" w:sz="0" w:space="0" w:color="auto"/>
        <w:left w:val="none" w:sz="0" w:space="0" w:color="auto"/>
        <w:bottom w:val="none" w:sz="0" w:space="0" w:color="auto"/>
        <w:right w:val="none" w:sz="0" w:space="0" w:color="auto"/>
      </w:divBdr>
      <w:divsChild>
        <w:div w:id="1792673399">
          <w:marLeft w:val="0"/>
          <w:marRight w:val="0"/>
          <w:marTop w:val="0"/>
          <w:marBottom w:val="101"/>
          <w:divBdr>
            <w:top w:val="none" w:sz="0" w:space="0" w:color="auto"/>
            <w:left w:val="none" w:sz="0" w:space="0" w:color="auto"/>
            <w:bottom w:val="none" w:sz="0" w:space="0" w:color="auto"/>
            <w:right w:val="none" w:sz="0" w:space="0" w:color="auto"/>
          </w:divBdr>
        </w:div>
        <w:div w:id="2077388261">
          <w:marLeft w:val="1008"/>
          <w:marRight w:val="0"/>
          <w:marTop w:val="0"/>
          <w:marBottom w:val="101"/>
          <w:divBdr>
            <w:top w:val="none" w:sz="0" w:space="0" w:color="auto"/>
            <w:left w:val="none" w:sz="0" w:space="0" w:color="auto"/>
            <w:bottom w:val="none" w:sz="0" w:space="0" w:color="auto"/>
            <w:right w:val="none" w:sz="0" w:space="0" w:color="auto"/>
          </w:divBdr>
        </w:div>
        <w:div w:id="13306441">
          <w:marLeft w:val="1008"/>
          <w:marRight w:val="0"/>
          <w:marTop w:val="0"/>
          <w:marBottom w:val="101"/>
          <w:divBdr>
            <w:top w:val="none" w:sz="0" w:space="0" w:color="auto"/>
            <w:left w:val="none" w:sz="0" w:space="0" w:color="auto"/>
            <w:bottom w:val="none" w:sz="0" w:space="0" w:color="auto"/>
            <w:right w:val="none" w:sz="0" w:space="0" w:color="auto"/>
          </w:divBdr>
        </w:div>
        <w:div w:id="355815332">
          <w:marLeft w:val="1008"/>
          <w:marRight w:val="0"/>
          <w:marTop w:val="0"/>
          <w:marBottom w:val="101"/>
          <w:divBdr>
            <w:top w:val="none" w:sz="0" w:space="0" w:color="auto"/>
            <w:left w:val="none" w:sz="0" w:space="0" w:color="auto"/>
            <w:bottom w:val="none" w:sz="0" w:space="0" w:color="auto"/>
            <w:right w:val="none" w:sz="0" w:space="0" w:color="auto"/>
          </w:divBdr>
        </w:div>
        <w:div w:id="1812166791">
          <w:marLeft w:val="1008"/>
          <w:marRight w:val="0"/>
          <w:marTop w:val="0"/>
          <w:marBottom w:val="101"/>
          <w:divBdr>
            <w:top w:val="none" w:sz="0" w:space="0" w:color="auto"/>
            <w:left w:val="none" w:sz="0" w:space="0" w:color="auto"/>
            <w:bottom w:val="none" w:sz="0" w:space="0" w:color="auto"/>
            <w:right w:val="none" w:sz="0" w:space="0" w:color="auto"/>
          </w:divBdr>
        </w:div>
        <w:div w:id="193616426">
          <w:marLeft w:val="1008"/>
          <w:marRight w:val="0"/>
          <w:marTop w:val="0"/>
          <w:marBottom w:val="101"/>
          <w:divBdr>
            <w:top w:val="none" w:sz="0" w:space="0" w:color="auto"/>
            <w:left w:val="none" w:sz="0" w:space="0" w:color="auto"/>
            <w:bottom w:val="none" w:sz="0" w:space="0" w:color="auto"/>
            <w:right w:val="none" w:sz="0" w:space="0" w:color="auto"/>
          </w:divBdr>
        </w:div>
        <w:div w:id="247926346">
          <w:marLeft w:val="1008"/>
          <w:marRight w:val="0"/>
          <w:marTop w:val="0"/>
          <w:marBottom w:val="101"/>
          <w:divBdr>
            <w:top w:val="none" w:sz="0" w:space="0" w:color="auto"/>
            <w:left w:val="none" w:sz="0" w:space="0" w:color="auto"/>
            <w:bottom w:val="none" w:sz="0" w:space="0" w:color="auto"/>
            <w:right w:val="none" w:sz="0" w:space="0" w:color="auto"/>
          </w:divBdr>
        </w:div>
        <w:div w:id="675303264">
          <w:marLeft w:val="1008"/>
          <w:marRight w:val="0"/>
          <w:marTop w:val="0"/>
          <w:marBottom w:val="101"/>
          <w:divBdr>
            <w:top w:val="none" w:sz="0" w:space="0" w:color="auto"/>
            <w:left w:val="none" w:sz="0" w:space="0" w:color="auto"/>
            <w:bottom w:val="none" w:sz="0" w:space="0" w:color="auto"/>
            <w:right w:val="none" w:sz="0" w:space="0" w:color="auto"/>
          </w:divBdr>
        </w:div>
        <w:div w:id="1199009592">
          <w:marLeft w:val="1008"/>
          <w:marRight w:val="0"/>
          <w:marTop w:val="0"/>
          <w:marBottom w:val="101"/>
          <w:divBdr>
            <w:top w:val="none" w:sz="0" w:space="0" w:color="auto"/>
            <w:left w:val="none" w:sz="0" w:space="0" w:color="auto"/>
            <w:bottom w:val="none" w:sz="0" w:space="0" w:color="auto"/>
            <w:right w:val="none" w:sz="0" w:space="0" w:color="auto"/>
          </w:divBdr>
        </w:div>
        <w:div w:id="1644966971">
          <w:marLeft w:val="1008"/>
          <w:marRight w:val="0"/>
          <w:marTop w:val="0"/>
          <w:marBottom w:val="101"/>
          <w:divBdr>
            <w:top w:val="none" w:sz="0" w:space="0" w:color="auto"/>
            <w:left w:val="none" w:sz="0" w:space="0" w:color="auto"/>
            <w:bottom w:val="none" w:sz="0" w:space="0" w:color="auto"/>
            <w:right w:val="none" w:sz="0" w:space="0" w:color="auto"/>
          </w:divBdr>
        </w:div>
        <w:div w:id="1539854284">
          <w:marLeft w:val="1008"/>
          <w:marRight w:val="0"/>
          <w:marTop w:val="0"/>
          <w:marBottom w:val="101"/>
          <w:divBdr>
            <w:top w:val="none" w:sz="0" w:space="0" w:color="auto"/>
            <w:left w:val="none" w:sz="0" w:space="0" w:color="auto"/>
            <w:bottom w:val="none" w:sz="0" w:space="0" w:color="auto"/>
            <w:right w:val="none" w:sz="0" w:space="0" w:color="auto"/>
          </w:divBdr>
        </w:div>
        <w:div w:id="1458530249">
          <w:marLeft w:val="1008"/>
          <w:marRight w:val="0"/>
          <w:marTop w:val="0"/>
          <w:marBottom w:val="101"/>
          <w:divBdr>
            <w:top w:val="none" w:sz="0" w:space="0" w:color="auto"/>
            <w:left w:val="none" w:sz="0" w:space="0" w:color="auto"/>
            <w:bottom w:val="none" w:sz="0" w:space="0" w:color="auto"/>
            <w:right w:val="none" w:sz="0" w:space="0" w:color="auto"/>
          </w:divBdr>
        </w:div>
      </w:divsChild>
    </w:div>
    <w:div w:id="1231228354">
      <w:bodyDiv w:val="1"/>
      <w:marLeft w:val="0"/>
      <w:marRight w:val="0"/>
      <w:marTop w:val="0"/>
      <w:marBottom w:val="0"/>
      <w:divBdr>
        <w:top w:val="none" w:sz="0" w:space="0" w:color="auto"/>
        <w:left w:val="none" w:sz="0" w:space="0" w:color="auto"/>
        <w:bottom w:val="none" w:sz="0" w:space="0" w:color="auto"/>
        <w:right w:val="none" w:sz="0" w:space="0" w:color="auto"/>
      </w:divBdr>
    </w:div>
    <w:div w:id="1299141224">
      <w:bodyDiv w:val="1"/>
      <w:marLeft w:val="0"/>
      <w:marRight w:val="0"/>
      <w:marTop w:val="0"/>
      <w:marBottom w:val="0"/>
      <w:divBdr>
        <w:top w:val="none" w:sz="0" w:space="0" w:color="auto"/>
        <w:left w:val="none" w:sz="0" w:space="0" w:color="auto"/>
        <w:bottom w:val="none" w:sz="0" w:space="0" w:color="auto"/>
        <w:right w:val="none" w:sz="0" w:space="0" w:color="auto"/>
      </w:divBdr>
    </w:div>
    <w:div w:id="1436052381">
      <w:bodyDiv w:val="1"/>
      <w:marLeft w:val="0"/>
      <w:marRight w:val="0"/>
      <w:marTop w:val="0"/>
      <w:marBottom w:val="0"/>
      <w:divBdr>
        <w:top w:val="none" w:sz="0" w:space="0" w:color="auto"/>
        <w:left w:val="none" w:sz="0" w:space="0" w:color="auto"/>
        <w:bottom w:val="none" w:sz="0" w:space="0" w:color="auto"/>
        <w:right w:val="none" w:sz="0" w:space="0" w:color="auto"/>
      </w:divBdr>
    </w:div>
    <w:div w:id="1541480459">
      <w:bodyDiv w:val="1"/>
      <w:marLeft w:val="0"/>
      <w:marRight w:val="0"/>
      <w:marTop w:val="0"/>
      <w:marBottom w:val="0"/>
      <w:divBdr>
        <w:top w:val="none" w:sz="0" w:space="0" w:color="auto"/>
        <w:left w:val="none" w:sz="0" w:space="0" w:color="auto"/>
        <w:bottom w:val="none" w:sz="0" w:space="0" w:color="auto"/>
        <w:right w:val="none" w:sz="0" w:space="0" w:color="auto"/>
      </w:divBdr>
    </w:div>
    <w:div w:id="15548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C93-005E-418A-A923-636EAC30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6593</Words>
  <Characters>36262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9</cp:revision>
  <cp:lastPrinted>2026-04-17T17:18:00Z</cp:lastPrinted>
  <dcterms:created xsi:type="dcterms:W3CDTF">2026-04-09T17:25:00Z</dcterms:created>
  <dcterms:modified xsi:type="dcterms:W3CDTF">2026-04-22T20:10:00Z</dcterms:modified>
</cp:coreProperties>
</file>