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3C6AF" w14:textId="77777777" w:rsidR="00CA6B97" w:rsidRPr="001A3C0D" w:rsidRDefault="005B4EBC">
      <w:pPr>
        <w:spacing w:line="360" w:lineRule="auto"/>
        <w:ind w:right="49" w:hanging="22"/>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1A3C0D">
        <w:rPr>
          <w:rFonts w:ascii="Palatino Linotype" w:eastAsia="Palatino Linotype" w:hAnsi="Palatino Linotype" w:cs="Palatino Linotype"/>
          <w:b/>
          <w:bCs/>
          <w:sz w:val="22"/>
          <w:szCs w:val="22"/>
        </w:rPr>
        <w:t>cinco de febrero</w:t>
      </w:r>
      <w:r w:rsidRPr="001A3C0D">
        <w:rPr>
          <w:rFonts w:ascii="Palatino Linotype" w:eastAsia="Palatino Linotype" w:hAnsi="Palatino Linotype" w:cs="Palatino Linotype"/>
          <w:sz w:val="22"/>
          <w:szCs w:val="22"/>
        </w:rPr>
        <w:t xml:space="preserve"> </w:t>
      </w:r>
      <w:r w:rsidRPr="001A3C0D">
        <w:rPr>
          <w:rFonts w:ascii="Palatino Linotype" w:eastAsia="Palatino Linotype" w:hAnsi="Palatino Linotype" w:cs="Palatino Linotype"/>
          <w:b/>
          <w:bCs/>
          <w:sz w:val="22"/>
          <w:szCs w:val="22"/>
        </w:rPr>
        <w:t>de dos mil veintiséis.</w:t>
      </w:r>
    </w:p>
    <w:p w14:paraId="04CA1A12" w14:textId="77777777" w:rsidR="00CA6B97" w:rsidRPr="001A3C0D" w:rsidRDefault="00CA6B97">
      <w:pPr>
        <w:spacing w:line="360" w:lineRule="auto"/>
        <w:ind w:right="49"/>
        <w:jc w:val="both"/>
        <w:rPr>
          <w:rFonts w:ascii="Palatino Linotype" w:eastAsia="Palatino Linotype" w:hAnsi="Palatino Linotype" w:cs="Palatino Linotype"/>
          <w:sz w:val="22"/>
          <w:szCs w:val="22"/>
        </w:rPr>
      </w:pPr>
    </w:p>
    <w:p w14:paraId="5856C6A1" w14:textId="728E35B1" w:rsidR="00CA6B97" w:rsidRPr="001A3C0D" w:rsidRDefault="005B4EBC">
      <w:pPr>
        <w:spacing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 xml:space="preserve">VISTO </w:t>
      </w:r>
      <w:r w:rsidRPr="001A3C0D">
        <w:rPr>
          <w:rFonts w:ascii="Palatino Linotype" w:eastAsia="Palatino Linotype" w:hAnsi="Palatino Linotype" w:cs="Palatino Linotype"/>
          <w:sz w:val="22"/>
          <w:szCs w:val="22"/>
        </w:rPr>
        <w:t xml:space="preserve">el expediente relativo al recurso de revisión </w:t>
      </w:r>
      <w:r w:rsidRPr="001A3C0D">
        <w:rPr>
          <w:rFonts w:ascii="Palatino Linotype" w:eastAsia="Palatino Linotype" w:hAnsi="Palatino Linotype" w:cs="Palatino Linotype"/>
          <w:b/>
          <w:bCs/>
          <w:sz w:val="22"/>
          <w:szCs w:val="22"/>
        </w:rPr>
        <w:t xml:space="preserve">12769/INFOEM/IP/RR/2025, </w:t>
      </w:r>
      <w:r w:rsidRPr="001A3C0D">
        <w:rPr>
          <w:rFonts w:ascii="Palatino Linotype" w:eastAsia="Palatino Linotype" w:hAnsi="Palatino Linotype" w:cs="Palatino Linotype"/>
          <w:sz w:val="22"/>
          <w:szCs w:val="22"/>
        </w:rPr>
        <w:t xml:space="preserve">interpuesto por </w:t>
      </w:r>
      <w:r w:rsidR="0032761D">
        <w:rPr>
          <w:rFonts w:ascii="Palatino Linotype" w:eastAsia="Palatino Linotype" w:hAnsi="Palatino Linotype" w:cs="Palatino Linotype"/>
          <w:b/>
          <w:bCs/>
          <w:sz w:val="22"/>
          <w:szCs w:val="22"/>
        </w:rPr>
        <w:t>XXXXX XXXX</w:t>
      </w:r>
      <w:bookmarkStart w:id="0" w:name="_GoBack"/>
      <w:bookmarkEnd w:id="0"/>
      <w:r w:rsidRPr="001A3C0D">
        <w:rPr>
          <w:rFonts w:ascii="Palatino Linotype" w:eastAsia="Palatino Linotype" w:hAnsi="Palatino Linotype" w:cs="Palatino Linotype"/>
          <w:sz w:val="22"/>
          <w:szCs w:val="22"/>
        </w:rPr>
        <w:t xml:space="preserve">, en lo sucesivo la parte </w:t>
      </w:r>
      <w:r w:rsidRPr="001A3C0D">
        <w:rPr>
          <w:rFonts w:ascii="Palatino Linotype" w:eastAsia="Palatino Linotype" w:hAnsi="Palatino Linotype" w:cs="Palatino Linotype"/>
          <w:b/>
          <w:bCs/>
          <w:sz w:val="22"/>
          <w:szCs w:val="22"/>
        </w:rPr>
        <w:t>Recurrente</w:t>
      </w:r>
      <w:r w:rsidRPr="001A3C0D">
        <w:rPr>
          <w:rFonts w:ascii="Palatino Linotype" w:eastAsia="Palatino Linotype" w:hAnsi="Palatino Linotype" w:cs="Palatino Linotype"/>
          <w:sz w:val="22"/>
          <w:szCs w:val="22"/>
        </w:rPr>
        <w:t xml:space="preserve">, en contra de la respuesta a la solicitud de información por parte del </w:t>
      </w:r>
      <w:r w:rsidRPr="001A3C0D">
        <w:rPr>
          <w:rFonts w:ascii="Palatino Linotype" w:eastAsia="Palatino Linotype" w:hAnsi="Palatino Linotype" w:cs="Palatino Linotype"/>
          <w:b/>
          <w:bCs/>
          <w:sz w:val="22"/>
          <w:szCs w:val="22"/>
        </w:rPr>
        <w:t>Ayuntamiento de Atizapán de Zaragoza</w:t>
      </w:r>
      <w:r w:rsidRPr="001A3C0D">
        <w:rPr>
          <w:rFonts w:ascii="Palatino Linotype" w:eastAsia="Palatino Linotype" w:hAnsi="Palatino Linotype" w:cs="Palatino Linotype"/>
          <w:sz w:val="22"/>
          <w:szCs w:val="22"/>
        </w:rPr>
        <w:t xml:space="preserve">, en lo sucesivo el </w:t>
      </w:r>
      <w:r w:rsidRPr="001A3C0D">
        <w:rPr>
          <w:rFonts w:ascii="Palatino Linotype" w:eastAsia="Palatino Linotype" w:hAnsi="Palatino Linotype" w:cs="Palatino Linotype"/>
          <w:b/>
          <w:bCs/>
          <w:sz w:val="22"/>
          <w:szCs w:val="22"/>
        </w:rPr>
        <w:t xml:space="preserve">Sujeto Obligado; </w:t>
      </w:r>
      <w:r w:rsidRPr="001A3C0D">
        <w:rPr>
          <w:rFonts w:ascii="Palatino Linotype" w:eastAsia="Palatino Linotype" w:hAnsi="Palatino Linotype" w:cs="Palatino Linotype"/>
          <w:sz w:val="22"/>
          <w:szCs w:val="22"/>
        </w:rPr>
        <w:t>se procede a dictar la presente resolución, con base en lo siguiente.</w:t>
      </w:r>
    </w:p>
    <w:p w14:paraId="140F0122" w14:textId="77777777" w:rsidR="00CA6B97" w:rsidRPr="001A3C0D" w:rsidRDefault="00CA6B97">
      <w:pPr>
        <w:spacing w:line="360" w:lineRule="auto"/>
        <w:ind w:right="49"/>
        <w:jc w:val="both"/>
        <w:rPr>
          <w:rFonts w:ascii="Palatino Linotype" w:eastAsia="Palatino Linotype" w:hAnsi="Palatino Linotype" w:cs="Palatino Linotype"/>
          <w:sz w:val="22"/>
          <w:szCs w:val="22"/>
        </w:rPr>
      </w:pPr>
    </w:p>
    <w:p w14:paraId="1EAB2562" w14:textId="77777777" w:rsidR="00CA6B97" w:rsidRPr="001A3C0D" w:rsidRDefault="005B4EBC">
      <w:pPr>
        <w:spacing w:line="360" w:lineRule="auto"/>
        <w:ind w:right="49"/>
        <w:jc w:val="center"/>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b/>
          <w:bCs/>
          <w:sz w:val="22"/>
          <w:szCs w:val="22"/>
        </w:rPr>
        <w:t>I.</w:t>
      </w:r>
      <w:r w:rsidRPr="001A3C0D">
        <w:rPr>
          <w:rFonts w:ascii="Palatino Linotype" w:eastAsia="Palatino Linotype" w:hAnsi="Palatino Linotype" w:cs="Palatino Linotype"/>
          <w:b/>
          <w:bCs/>
          <w:sz w:val="22"/>
          <w:szCs w:val="22"/>
        </w:rPr>
        <w:tab/>
        <w:t xml:space="preserve">A N T E C E D E N T E S </w:t>
      </w:r>
    </w:p>
    <w:p w14:paraId="26C5E4A3" w14:textId="77777777" w:rsidR="00CA6B97" w:rsidRPr="001A3C0D" w:rsidRDefault="00CA6B97">
      <w:pPr>
        <w:spacing w:line="360" w:lineRule="auto"/>
        <w:ind w:right="49"/>
        <w:jc w:val="both"/>
        <w:rPr>
          <w:rFonts w:ascii="Palatino Linotype" w:eastAsia="Palatino Linotype" w:hAnsi="Palatino Linotype" w:cs="Palatino Linotype"/>
          <w:sz w:val="22"/>
          <w:szCs w:val="22"/>
        </w:rPr>
      </w:pPr>
    </w:p>
    <w:p w14:paraId="10E1185C"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1.</w:t>
      </w:r>
      <w:r w:rsidRPr="001A3C0D">
        <w:rPr>
          <w:rFonts w:ascii="Palatino Linotype" w:eastAsia="Palatino Linotype" w:hAnsi="Palatino Linotype" w:cs="Palatino Linotype"/>
          <w:sz w:val="22"/>
          <w:szCs w:val="22"/>
        </w:rPr>
        <w:t xml:space="preserve"> </w:t>
      </w:r>
      <w:r w:rsidRPr="001A3C0D">
        <w:rPr>
          <w:rFonts w:ascii="Palatino Linotype" w:eastAsia="Palatino Linotype" w:hAnsi="Palatino Linotype" w:cs="Palatino Linotype"/>
          <w:b/>
          <w:bCs/>
          <w:sz w:val="22"/>
          <w:szCs w:val="22"/>
        </w:rPr>
        <w:t>Solicitud de Acceso a la Información. El dos de octubre de dos mil veinticinco</w:t>
      </w:r>
      <w:r w:rsidRPr="001A3C0D">
        <w:rPr>
          <w:rFonts w:ascii="Palatino Linotype" w:eastAsia="Palatino Linotype" w:hAnsi="Palatino Linotype" w:cs="Palatino Linotype"/>
          <w:sz w:val="22"/>
          <w:szCs w:val="22"/>
        </w:rPr>
        <w:t xml:space="preserve">, </w:t>
      </w:r>
      <w:r w:rsidRPr="001A3C0D">
        <w:rPr>
          <w:rFonts w:ascii="Palatino Linotype" w:eastAsia="Palatino Linotype" w:hAnsi="Palatino Linotype" w:cs="Palatino Linotype"/>
          <w:b/>
          <w:bCs/>
          <w:sz w:val="22"/>
          <w:szCs w:val="22"/>
        </w:rPr>
        <w:t>LA PARTE</w:t>
      </w:r>
      <w:r w:rsidRPr="001A3C0D">
        <w:rPr>
          <w:rFonts w:ascii="Palatino Linotype" w:eastAsia="Palatino Linotype" w:hAnsi="Palatino Linotype" w:cs="Palatino Linotype"/>
          <w:sz w:val="22"/>
          <w:szCs w:val="22"/>
        </w:rPr>
        <w:t xml:space="preserve"> </w:t>
      </w:r>
      <w:r w:rsidRPr="001A3C0D">
        <w:rPr>
          <w:rFonts w:ascii="Palatino Linotype" w:eastAsia="Palatino Linotype" w:hAnsi="Palatino Linotype" w:cs="Palatino Linotype"/>
          <w:b/>
          <w:bCs/>
          <w:sz w:val="22"/>
          <w:szCs w:val="22"/>
        </w:rPr>
        <w:t>RECURRENTE</w:t>
      </w:r>
      <w:r w:rsidRPr="001A3C0D">
        <w:rPr>
          <w:rFonts w:ascii="Palatino Linotype" w:eastAsia="Palatino Linotype" w:hAnsi="Palatino Linotype" w:cs="Palatino Linotype"/>
          <w:sz w:val="22"/>
          <w:szCs w:val="22"/>
        </w:rPr>
        <w:t xml:space="preserve"> formuló solicitud de acceso a información pública a través del </w:t>
      </w:r>
      <w:r w:rsidRPr="001A3C0D">
        <w:rPr>
          <w:rFonts w:ascii="Palatino Linotype" w:eastAsia="Palatino Linotype" w:hAnsi="Palatino Linotype" w:cs="Palatino Linotype"/>
          <w:b/>
          <w:bCs/>
          <w:sz w:val="22"/>
          <w:szCs w:val="22"/>
        </w:rPr>
        <w:t>SAIMEX</w:t>
      </w:r>
      <w:r w:rsidRPr="001A3C0D">
        <w:rPr>
          <w:rFonts w:ascii="Palatino Linotype" w:eastAsia="Palatino Linotype" w:hAnsi="Palatino Linotype" w:cs="Palatino Linotype"/>
          <w:sz w:val="22"/>
          <w:szCs w:val="22"/>
        </w:rPr>
        <w:t xml:space="preserve">, en la que requirió lo siguiente: </w:t>
      </w:r>
    </w:p>
    <w:p w14:paraId="26703E6A"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3B173CCE" w14:textId="77777777" w:rsidR="00CA6B97" w:rsidRPr="001A3C0D" w:rsidRDefault="005B4EBC">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1" w:name="_heading=h.3znysh7" w:colFirst="0" w:colLast="0"/>
      <w:bookmarkEnd w:id="1"/>
      <w:r w:rsidRPr="001A3C0D">
        <w:rPr>
          <w:rFonts w:ascii="Palatino Linotype" w:eastAsia="Palatino Linotype" w:hAnsi="Palatino Linotype" w:cs="Palatino Linotype"/>
          <w:b/>
          <w:bCs/>
          <w:sz w:val="22"/>
          <w:szCs w:val="22"/>
        </w:rPr>
        <w:t>00549/ATIZARA/IP/2025</w:t>
      </w:r>
    </w:p>
    <w:p w14:paraId="05846B94" w14:textId="77777777" w:rsidR="00CA6B97" w:rsidRPr="001A3C0D" w:rsidRDefault="005B4EBC">
      <w:pPr>
        <w:spacing w:line="276" w:lineRule="auto"/>
        <w:ind w:left="567" w:right="843"/>
        <w:jc w:val="both"/>
        <w:rPr>
          <w:rFonts w:ascii="Palatino Linotype" w:eastAsia="Palatino Linotype" w:hAnsi="Palatino Linotype" w:cs="Palatino Linotype"/>
          <w:b/>
          <w:bCs/>
          <w:i/>
          <w:iCs/>
          <w:sz w:val="22"/>
          <w:szCs w:val="22"/>
        </w:rPr>
      </w:pPr>
      <w:r w:rsidRPr="001A3C0D">
        <w:rPr>
          <w:rFonts w:ascii="Palatino Linotype" w:eastAsia="Palatino Linotype" w:hAnsi="Palatino Linotype" w:cs="Palatino Linotype"/>
          <w:i/>
          <w:iCs/>
          <w:sz w:val="22"/>
          <w:szCs w:val="22"/>
        </w:rPr>
        <w:t>"se solicita version publica de las determinaciones emitidas en 2025 por la contraloria interna derivadas de denuncias.</w:t>
      </w:r>
      <w:r w:rsidRPr="001A3C0D">
        <w:rPr>
          <w:rFonts w:ascii="Palatino Linotype" w:eastAsia="Palatino Linotype" w:hAnsi="Palatino Linotype" w:cs="Palatino Linotype"/>
          <w:b/>
          <w:bCs/>
          <w:i/>
          <w:iCs/>
          <w:sz w:val="22"/>
          <w:szCs w:val="22"/>
        </w:rPr>
        <w:t>” (Sic.)</w:t>
      </w:r>
    </w:p>
    <w:p w14:paraId="441FBDD8" w14:textId="77777777" w:rsidR="00CA6B97" w:rsidRPr="001A3C0D" w:rsidRDefault="00CA6B97">
      <w:pPr>
        <w:spacing w:line="360" w:lineRule="auto"/>
        <w:ind w:left="567" w:right="843"/>
        <w:jc w:val="both"/>
        <w:rPr>
          <w:rFonts w:ascii="Palatino Linotype" w:eastAsia="Palatino Linotype" w:hAnsi="Palatino Linotype" w:cs="Palatino Linotype"/>
          <w:i/>
          <w:iCs/>
          <w:sz w:val="22"/>
          <w:szCs w:val="22"/>
        </w:rPr>
      </w:pPr>
    </w:p>
    <w:p w14:paraId="10C2E056" w14:textId="77777777" w:rsidR="00CA6B97" w:rsidRPr="001A3C0D" w:rsidRDefault="005B4EBC">
      <w:pPr>
        <w:spacing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Modalidad elegida para la entrega de la información:</w:t>
      </w:r>
      <w:r w:rsidRPr="001A3C0D">
        <w:rPr>
          <w:rFonts w:ascii="Palatino Linotype" w:eastAsia="Palatino Linotype" w:hAnsi="Palatino Linotype" w:cs="Palatino Linotype"/>
          <w:sz w:val="22"/>
          <w:szCs w:val="22"/>
        </w:rPr>
        <w:t xml:space="preserve"> a través del Sistema de Acceso a la Información Mexiquense (SAIMEX).</w:t>
      </w:r>
    </w:p>
    <w:p w14:paraId="1F25070E" w14:textId="77777777" w:rsidR="00CA6B97" w:rsidRPr="001A3C0D" w:rsidRDefault="00CA6B97">
      <w:pPr>
        <w:widowControl w:val="0"/>
        <w:spacing w:line="360" w:lineRule="auto"/>
        <w:jc w:val="both"/>
        <w:rPr>
          <w:rFonts w:ascii="Palatino Linotype" w:eastAsia="Palatino Linotype" w:hAnsi="Palatino Linotype" w:cs="Palatino Linotype"/>
          <w:b/>
          <w:bCs/>
          <w:sz w:val="22"/>
          <w:szCs w:val="22"/>
        </w:rPr>
      </w:pPr>
    </w:p>
    <w:p w14:paraId="6A8C6652" w14:textId="77777777" w:rsidR="00CA6B97" w:rsidRPr="001A3C0D" w:rsidRDefault="005B4EBC">
      <w:pPr>
        <w:widowControl w:val="0"/>
        <w:spacing w:line="360" w:lineRule="auto"/>
        <w:jc w:val="both"/>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b/>
          <w:bCs/>
          <w:sz w:val="22"/>
          <w:szCs w:val="22"/>
        </w:rPr>
        <w:t xml:space="preserve">2. Prórroga. </w:t>
      </w:r>
      <w:r w:rsidRPr="001A3C0D">
        <w:rPr>
          <w:rFonts w:ascii="Palatino Linotype" w:eastAsia="Palatino Linotype" w:hAnsi="Palatino Linotype" w:cs="Palatino Linotype"/>
          <w:sz w:val="22"/>
          <w:szCs w:val="22"/>
        </w:rPr>
        <w:t xml:space="preserve">El </w:t>
      </w:r>
      <w:r w:rsidRPr="001A3C0D">
        <w:rPr>
          <w:rFonts w:ascii="Palatino Linotype" w:eastAsia="Palatino Linotype" w:hAnsi="Palatino Linotype" w:cs="Palatino Linotype"/>
          <w:b/>
          <w:bCs/>
          <w:sz w:val="22"/>
          <w:szCs w:val="22"/>
        </w:rPr>
        <w:t>veintitrés de octubre de dos mil veinticinco</w:t>
      </w:r>
      <w:r w:rsidRPr="001A3C0D">
        <w:rPr>
          <w:rFonts w:ascii="Palatino Linotype" w:eastAsia="Palatino Linotype" w:hAnsi="Palatino Linotype" w:cs="Palatino Linotype"/>
          <w:sz w:val="22"/>
          <w:szCs w:val="22"/>
        </w:rPr>
        <w:t xml:space="preserve"> el Sujeto Obligado solicitó una prórroga para dar respuesta a la solicitud de acceso a la información pública.</w:t>
      </w:r>
    </w:p>
    <w:p w14:paraId="273E4782" w14:textId="77777777" w:rsidR="00CA6B97" w:rsidRPr="001A3C0D" w:rsidRDefault="005B4EBC">
      <w:pPr>
        <w:widowControl w:val="0"/>
        <w:spacing w:line="360" w:lineRule="auto"/>
        <w:jc w:val="both"/>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b/>
          <w:bCs/>
          <w:sz w:val="22"/>
          <w:szCs w:val="22"/>
        </w:rPr>
        <w:t xml:space="preserve"> </w:t>
      </w:r>
    </w:p>
    <w:p w14:paraId="1B4A1966" w14:textId="77777777" w:rsidR="00CA6B97" w:rsidRPr="001A3C0D" w:rsidRDefault="005B4EBC">
      <w:pPr>
        <w:widowControl w:val="0"/>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lastRenderedPageBreak/>
        <w:t>3. Respuesta.</w:t>
      </w:r>
      <w:r w:rsidRPr="001A3C0D">
        <w:rPr>
          <w:rFonts w:ascii="Palatino Linotype" w:eastAsia="Palatino Linotype" w:hAnsi="Palatino Linotype" w:cs="Palatino Linotype"/>
          <w:sz w:val="22"/>
          <w:szCs w:val="22"/>
        </w:rPr>
        <w:t xml:space="preserve"> El </w:t>
      </w:r>
      <w:r w:rsidRPr="001A3C0D">
        <w:rPr>
          <w:rFonts w:ascii="Palatino Linotype" w:eastAsia="Palatino Linotype" w:hAnsi="Palatino Linotype" w:cs="Palatino Linotype"/>
          <w:b/>
          <w:bCs/>
          <w:sz w:val="22"/>
          <w:szCs w:val="22"/>
        </w:rPr>
        <w:t>tres de noviembre de dos mil veinticinco</w:t>
      </w:r>
      <w:r w:rsidRPr="001A3C0D">
        <w:rPr>
          <w:rFonts w:ascii="Palatino Linotype" w:eastAsia="Palatino Linotype" w:hAnsi="Palatino Linotype" w:cs="Palatino Linotype"/>
          <w:sz w:val="22"/>
          <w:szCs w:val="22"/>
        </w:rPr>
        <w:t>, el Sujeto Obligado dio respuesta a la solicitud en los siguientes términos:</w:t>
      </w:r>
    </w:p>
    <w:p w14:paraId="04BD295D" w14:textId="77777777" w:rsidR="00CA6B97" w:rsidRPr="001A3C0D" w:rsidRDefault="005B4EBC">
      <w:pPr>
        <w:widowControl w:val="0"/>
        <w:spacing w:line="360" w:lineRule="auto"/>
        <w:ind w:left="567" w:right="8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E876F3" w14:textId="77777777" w:rsidR="00CA6B97" w:rsidRPr="001A3C0D" w:rsidRDefault="005B4EBC">
      <w:pPr>
        <w:widowControl w:val="0"/>
        <w:spacing w:line="360" w:lineRule="auto"/>
        <w:ind w:left="567" w:right="8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SE ADJUNTA EN FORMATO PDF, EL NÚMERO DE OFICIO OICM/EJ/4891/2025.</w:t>
      </w:r>
    </w:p>
    <w:p w14:paraId="5C2841E2" w14:textId="77777777" w:rsidR="00CA6B97" w:rsidRPr="001A3C0D" w:rsidRDefault="005B4EBC">
      <w:pPr>
        <w:widowControl w:val="0"/>
        <w:spacing w:line="360" w:lineRule="auto"/>
        <w:ind w:left="567" w:right="8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ATENTAMENTE</w:t>
      </w:r>
    </w:p>
    <w:p w14:paraId="0F7473BD" w14:textId="77777777" w:rsidR="00CA6B97" w:rsidRPr="001A3C0D" w:rsidRDefault="005B4EBC">
      <w:pPr>
        <w:widowControl w:val="0"/>
        <w:spacing w:line="360" w:lineRule="auto"/>
        <w:ind w:left="567" w:right="8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LIC. MARIA FERNANDA ROA CASTRO”</w:t>
      </w:r>
    </w:p>
    <w:p w14:paraId="0188DE13" w14:textId="77777777" w:rsidR="00CA6B97" w:rsidRPr="001A3C0D" w:rsidRDefault="00CA6B97">
      <w:pPr>
        <w:widowControl w:val="0"/>
        <w:spacing w:line="360" w:lineRule="auto"/>
        <w:ind w:left="567" w:right="843"/>
        <w:jc w:val="both"/>
        <w:rPr>
          <w:rFonts w:ascii="Palatino Linotype" w:eastAsia="Palatino Linotype" w:hAnsi="Palatino Linotype" w:cs="Palatino Linotype"/>
          <w:i/>
          <w:iCs/>
          <w:sz w:val="22"/>
          <w:szCs w:val="22"/>
        </w:rPr>
      </w:pPr>
    </w:p>
    <w:p w14:paraId="7ABC2C28" w14:textId="77777777" w:rsidR="00CA6B97" w:rsidRPr="001A3C0D" w:rsidRDefault="005B4EBC">
      <w:pPr>
        <w:widowControl w:val="0"/>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El Sujeto Obligado adjuntó el documento electrónico denominado NÚMERO DE OFICIO OICM.EJ.4891.2025 Y DE MANERA ADJUNTA RESPUESTA DE LA SUBDIRECCIÓN INVESTIGADORA.pdf; mediante el cual, en términos generales se entregó un listado del registro de las determinaciones emitidas por la Contraloría Interna en el año 2025, donde se encuentra la fecha de inicio, número de expediente, área responsable, año, presunto responsable, determinación y fecha de conclusión; se inserta imagen de referencia:</w:t>
      </w:r>
    </w:p>
    <w:p w14:paraId="1FF6EFA6" w14:textId="77777777" w:rsidR="00CA6B97" w:rsidRPr="001A3C0D" w:rsidRDefault="005B4EBC">
      <w:pPr>
        <w:widowControl w:val="0"/>
        <w:spacing w:line="360" w:lineRule="auto"/>
        <w:jc w:val="center"/>
        <w:rPr>
          <w:rFonts w:ascii="Palatino Linotype" w:eastAsia="Palatino Linotype" w:hAnsi="Palatino Linotype" w:cs="Palatino Linotype"/>
          <w:sz w:val="22"/>
          <w:szCs w:val="22"/>
        </w:rPr>
      </w:pPr>
      <w:r w:rsidRPr="001A3C0D">
        <w:rPr>
          <w:rFonts w:ascii="Palatino Linotype" w:eastAsia="Palatino Linotype" w:hAnsi="Palatino Linotype" w:cs="Palatino Linotype"/>
          <w:noProof/>
          <w:sz w:val="22"/>
          <w:szCs w:val="22"/>
        </w:rPr>
        <w:drawing>
          <wp:inline distT="0" distB="0" distL="0" distR="0" wp14:anchorId="415C6B18" wp14:editId="11855635">
            <wp:extent cx="4553828" cy="2631826"/>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53828" cy="2631826"/>
                    </a:xfrm>
                    <a:prstGeom prst="rect">
                      <a:avLst/>
                    </a:prstGeom>
                    <a:ln/>
                  </pic:spPr>
                </pic:pic>
              </a:graphicData>
            </a:graphic>
          </wp:inline>
        </w:drawing>
      </w:r>
    </w:p>
    <w:p w14:paraId="5F546EB9"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lastRenderedPageBreak/>
        <w:t xml:space="preserve">3. Del Recurso de Revisión. </w:t>
      </w:r>
      <w:r w:rsidRPr="001A3C0D">
        <w:rPr>
          <w:rFonts w:ascii="Palatino Linotype" w:eastAsia="Palatino Linotype" w:hAnsi="Palatino Linotype" w:cs="Palatino Linotype"/>
          <w:sz w:val="22"/>
          <w:szCs w:val="22"/>
        </w:rPr>
        <w:t>Inconforme con la respuesta del</w:t>
      </w:r>
      <w:r w:rsidRPr="001A3C0D">
        <w:rPr>
          <w:rFonts w:ascii="Palatino Linotype" w:eastAsia="Palatino Linotype" w:hAnsi="Palatino Linotype" w:cs="Palatino Linotype"/>
          <w:b/>
          <w:bCs/>
          <w:sz w:val="22"/>
          <w:szCs w:val="22"/>
        </w:rPr>
        <w:t xml:space="preserve"> SUJETO OBLIGADO, </w:t>
      </w:r>
      <w:r w:rsidRPr="001A3C0D">
        <w:rPr>
          <w:rFonts w:ascii="Palatino Linotype" w:eastAsia="Palatino Linotype" w:hAnsi="Palatino Linotype" w:cs="Palatino Linotype"/>
          <w:sz w:val="22"/>
          <w:szCs w:val="22"/>
        </w:rPr>
        <w:t xml:space="preserve">el </w:t>
      </w:r>
      <w:r w:rsidRPr="001A3C0D">
        <w:rPr>
          <w:rFonts w:ascii="Palatino Linotype" w:eastAsia="Palatino Linotype" w:hAnsi="Palatino Linotype" w:cs="Palatino Linotype"/>
          <w:b/>
          <w:bCs/>
          <w:sz w:val="22"/>
          <w:szCs w:val="22"/>
        </w:rPr>
        <w:t xml:space="preserve">cinco de noviembre de dos mil veinticinco, LA PARTE RECURRENTE </w:t>
      </w:r>
      <w:r w:rsidRPr="001A3C0D">
        <w:rPr>
          <w:rFonts w:ascii="Palatino Linotype" w:eastAsia="Palatino Linotype" w:hAnsi="Palatino Linotype" w:cs="Palatino Linotype"/>
          <w:sz w:val="22"/>
          <w:szCs w:val="22"/>
        </w:rPr>
        <w:t xml:space="preserve">interpuso el recurso de revisión, mediante el cual y manifestó lo siguiente: </w:t>
      </w:r>
    </w:p>
    <w:p w14:paraId="45288A9F"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3F5AC051" w14:textId="77777777" w:rsidR="00CA6B97" w:rsidRPr="001A3C0D" w:rsidRDefault="005B4EBC">
      <w:pPr>
        <w:numPr>
          <w:ilvl w:val="0"/>
          <w:numId w:val="1"/>
        </w:numPr>
        <w:pBdr>
          <w:top w:val="nil"/>
          <w:left w:val="nil"/>
          <w:bottom w:val="nil"/>
          <w:right w:val="nil"/>
          <w:between w:val="nil"/>
        </w:pBdr>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Acto Impugnado:</w:t>
      </w:r>
      <w:r w:rsidRPr="001A3C0D">
        <w:rPr>
          <w:rFonts w:ascii="Palatino Linotype" w:eastAsia="Palatino Linotype" w:hAnsi="Palatino Linotype" w:cs="Palatino Linotype"/>
          <w:i/>
          <w:iCs/>
          <w:sz w:val="22"/>
          <w:szCs w:val="22"/>
        </w:rPr>
        <w:t xml:space="preserve"> “NO ENTREGAR INFORMACION COMPLETA” (Sic.)</w:t>
      </w:r>
    </w:p>
    <w:p w14:paraId="1790B301" w14:textId="77777777" w:rsidR="00CA6B97" w:rsidRPr="001A3C0D" w:rsidRDefault="00CA6B97">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252FDD18" w14:textId="77777777" w:rsidR="00CA6B97" w:rsidRPr="001A3C0D" w:rsidRDefault="005B4EBC">
      <w:pPr>
        <w:numPr>
          <w:ilvl w:val="0"/>
          <w:numId w:val="1"/>
        </w:numPr>
        <w:pBdr>
          <w:top w:val="nil"/>
          <w:left w:val="nil"/>
          <w:bottom w:val="nil"/>
          <w:right w:val="nil"/>
          <w:between w:val="nil"/>
        </w:pBdr>
      </w:pPr>
      <w:r w:rsidRPr="001A3C0D">
        <w:rPr>
          <w:b/>
          <w:bCs/>
        </w:rPr>
        <w:t>Motivo de inconformidad:</w:t>
      </w:r>
      <w:r w:rsidRPr="001A3C0D">
        <w:t xml:space="preserve"> “</w:t>
      </w:r>
      <w:r w:rsidRPr="001A3C0D">
        <w:rPr>
          <w:rFonts w:ascii="Palatino Linotype" w:eastAsia="Palatino Linotype" w:hAnsi="Palatino Linotype" w:cs="Palatino Linotype"/>
          <w:i/>
          <w:iCs/>
          <w:sz w:val="22"/>
          <w:szCs w:val="22"/>
        </w:rPr>
        <w:t>ME ENTREGARON UNA LISTA QUE NO PEDI</w:t>
      </w:r>
      <w:r w:rsidRPr="001A3C0D">
        <w:t>” (Sic.)</w:t>
      </w:r>
    </w:p>
    <w:p w14:paraId="3841B03F" w14:textId="77777777" w:rsidR="00CA6B97" w:rsidRPr="001A3C0D" w:rsidRDefault="00CA6B97">
      <w:pPr>
        <w:pBdr>
          <w:top w:val="nil"/>
          <w:left w:val="nil"/>
          <w:bottom w:val="nil"/>
          <w:right w:val="nil"/>
          <w:between w:val="nil"/>
        </w:pBdr>
        <w:ind w:left="720"/>
        <w:rPr>
          <w:rFonts w:ascii="Palatino Linotype" w:eastAsia="Palatino Linotype" w:hAnsi="Palatino Linotype" w:cs="Palatino Linotype"/>
          <w:i/>
          <w:iCs/>
          <w:sz w:val="22"/>
          <w:szCs w:val="22"/>
        </w:rPr>
      </w:pPr>
    </w:p>
    <w:p w14:paraId="4B132226"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 xml:space="preserve">4. Turno. </w:t>
      </w:r>
      <w:r w:rsidRPr="001A3C0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1A3C0D">
        <w:rPr>
          <w:rFonts w:ascii="Palatino Linotype" w:eastAsia="Palatino Linotype" w:hAnsi="Palatino Linotype" w:cs="Palatino Linotype"/>
          <w:b/>
          <w:bCs/>
          <w:sz w:val="22"/>
          <w:szCs w:val="22"/>
        </w:rPr>
        <w:t>12769/INFOEM/IP/RR/2025</w:t>
      </w:r>
      <w:r w:rsidRPr="001A3C0D">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1A3C0D">
        <w:rPr>
          <w:rFonts w:ascii="Palatino Linotype" w:eastAsia="Palatino Linotype" w:hAnsi="Palatino Linotype" w:cs="Palatino Linotype"/>
          <w:b/>
          <w:bCs/>
          <w:sz w:val="22"/>
          <w:szCs w:val="22"/>
        </w:rPr>
        <w:t>Guadalupe Ramírez Peña</w:t>
      </w:r>
      <w:r w:rsidRPr="001A3C0D">
        <w:rPr>
          <w:rFonts w:ascii="Palatino Linotype" w:eastAsia="Palatino Linotype" w:hAnsi="Palatino Linotype" w:cs="Palatino Linotype"/>
          <w:sz w:val="22"/>
          <w:szCs w:val="22"/>
        </w:rPr>
        <w:t>, para su análisis, estudio, elaboración del proyecto y presentación ante el Pleno de este Instituto.</w:t>
      </w:r>
    </w:p>
    <w:p w14:paraId="3811EDA9"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22D74EC7" w14:textId="77777777" w:rsidR="00CA6B97" w:rsidRPr="001A3C0D" w:rsidRDefault="005B4EBC">
      <w:pPr>
        <w:spacing w:line="360" w:lineRule="auto"/>
        <w:jc w:val="both"/>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b/>
          <w:bCs/>
          <w:sz w:val="22"/>
          <w:szCs w:val="22"/>
        </w:rPr>
        <w:t xml:space="preserve">5. Admisión. </w:t>
      </w:r>
      <w:r w:rsidRPr="001A3C0D">
        <w:rPr>
          <w:rFonts w:ascii="Palatino Linotype" w:eastAsia="Palatino Linotype" w:hAnsi="Palatino Linotype" w:cs="Palatino Linotype"/>
          <w:sz w:val="22"/>
          <w:szCs w:val="22"/>
        </w:rPr>
        <w:t xml:space="preserve">El </w:t>
      </w:r>
      <w:r w:rsidRPr="001A3C0D">
        <w:rPr>
          <w:rFonts w:ascii="Palatino Linotype" w:eastAsia="Palatino Linotype" w:hAnsi="Palatino Linotype" w:cs="Palatino Linotype"/>
          <w:b/>
          <w:bCs/>
          <w:sz w:val="22"/>
          <w:szCs w:val="22"/>
        </w:rPr>
        <w:t>diez</w:t>
      </w:r>
      <w:r w:rsidRPr="001A3C0D">
        <w:rPr>
          <w:rFonts w:ascii="Palatino Linotype" w:eastAsia="Palatino Linotype" w:hAnsi="Palatino Linotype" w:cs="Palatino Linotype"/>
          <w:sz w:val="22"/>
          <w:szCs w:val="22"/>
        </w:rPr>
        <w:t xml:space="preserve"> </w:t>
      </w:r>
      <w:r w:rsidRPr="001A3C0D">
        <w:rPr>
          <w:rFonts w:ascii="Palatino Linotype" w:eastAsia="Palatino Linotype" w:hAnsi="Palatino Linotype" w:cs="Palatino Linotype"/>
          <w:b/>
          <w:bCs/>
          <w:sz w:val="22"/>
          <w:szCs w:val="22"/>
        </w:rPr>
        <w:t>de noviembre de dos mil veinticinco</w:t>
      </w:r>
      <w:r w:rsidRPr="001A3C0D">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1A3C0D">
        <w:rPr>
          <w:rFonts w:ascii="Palatino Linotype" w:eastAsia="Palatino Linotype" w:hAnsi="Palatino Linotype" w:cs="Palatino Linotype"/>
          <w:b/>
          <w:bCs/>
          <w:sz w:val="22"/>
          <w:szCs w:val="22"/>
        </w:rPr>
        <w:t>.</w:t>
      </w:r>
    </w:p>
    <w:p w14:paraId="38F5EEBA" w14:textId="77777777" w:rsidR="00CA6B97" w:rsidRPr="001A3C0D" w:rsidRDefault="00CA6B97">
      <w:pPr>
        <w:spacing w:line="360" w:lineRule="auto"/>
        <w:jc w:val="both"/>
        <w:rPr>
          <w:rFonts w:ascii="Palatino Linotype" w:eastAsia="Palatino Linotype" w:hAnsi="Palatino Linotype" w:cs="Palatino Linotype"/>
          <w:b/>
          <w:bCs/>
          <w:sz w:val="22"/>
          <w:szCs w:val="22"/>
        </w:rPr>
      </w:pPr>
    </w:p>
    <w:p w14:paraId="4DD42585"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6. Manifestaciones.</w:t>
      </w:r>
      <w:r w:rsidRPr="001A3C0D">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1A3C0D">
        <w:rPr>
          <w:rFonts w:ascii="Palatino Linotype" w:eastAsia="Palatino Linotype" w:hAnsi="Palatino Linotype" w:cs="Palatino Linotype"/>
          <w:b/>
          <w:bCs/>
          <w:sz w:val="22"/>
          <w:szCs w:val="22"/>
        </w:rPr>
        <w:t>dieciocho de noviembre de dos mil veinticinco,</w:t>
      </w:r>
      <w:r w:rsidRPr="001A3C0D">
        <w:rPr>
          <w:rFonts w:ascii="Palatino Linotype" w:eastAsia="Palatino Linotype" w:hAnsi="Palatino Linotype" w:cs="Palatino Linotype"/>
          <w:sz w:val="22"/>
          <w:szCs w:val="22"/>
        </w:rPr>
        <w:t xml:space="preserve"> mediante los documentos electrónicos denominados (Untitled)_ 2025111816225897.pdf, documento emitido por la Subdirección de Investigación mediante el cual refiere que entrega en versión pública de 146 archivos en formato pdf a los cuales corresponden a las determinaciones derivadas de denuncias realizadas en el ejercicio 2025. El contenido del documento se puso a disposición del Particular el veintiocho de enero de dos mil veinticinco. </w:t>
      </w:r>
      <w:r w:rsidRPr="001A3C0D">
        <w:rPr>
          <w:rFonts w:ascii="Palatino Linotype" w:eastAsia="Palatino Linotype" w:hAnsi="Palatino Linotype" w:cs="Palatino Linotype"/>
          <w:b/>
          <w:bCs/>
          <w:sz w:val="22"/>
          <w:szCs w:val="22"/>
        </w:rPr>
        <w:t>CONTRALORIA.zip</w:t>
      </w:r>
      <w:r w:rsidRPr="001A3C0D">
        <w:rPr>
          <w:rFonts w:ascii="Palatino Linotype" w:eastAsia="Palatino Linotype" w:hAnsi="Palatino Linotype" w:cs="Palatino Linotype"/>
          <w:sz w:val="22"/>
          <w:szCs w:val="22"/>
        </w:rPr>
        <w:t xml:space="preserve"> documento que contiene las determinaciones de la Contraloría, en versión pública, de las denuncias recibidas. Este último documento no se puso a disposición del Recurrente porque se dejaron a la vista datos personales. </w:t>
      </w:r>
    </w:p>
    <w:p w14:paraId="5EB031E3"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2876B1C0" w14:textId="77777777" w:rsidR="00CA6B97" w:rsidRPr="001A3C0D" w:rsidRDefault="005B4E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7. Ampliación de plazo. El veintiocho de enero de dos mil veintiséis</w:t>
      </w:r>
      <w:r w:rsidRPr="001A3C0D">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w:t>
      </w:r>
    </w:p>
    <w:p w14:paraId="6C8DD5E2"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85335B7"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4B4075A3"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EDC4FC"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6AAB80F"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E64005B" w14:textId="77777777" w:rsidR="00CA6B97" w:rsidRPr="001A3C0D" w:rsidRDefault="005B4EBC">
      <w:pPr>
        <w:numPr>
          <w:ilvl w:val="0"/>
          <w:numId w:val="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Complejidad del Asunto:</w:t>
      </w:r>
      <w:r w:rsidRPr="001A3C0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2D6E52A4" w14:textId="77777777" w:rsidR="00CA6B97" w:rsidRPr="001A3C0D" w:rsidRDefault="005B4EBC">
      <w:pPr>
        <w:numPr>
          <w:ilvl w:val="0"/>
          <w:numId w:val="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Actividad Procesal del interesado</w:t>
      </w:r>
      <w:r w:rsidRPr="001A3C0D">
        <w:rPr>
          <w:rFonts w:ascii="Palatino Linotype" w:eastAsia="Palatino Linotype" w:hAnsi="Palatino Linotype" w:cs="Palatino Linotype"/>
          <w:sz w:val="22"/>
          <w:szCs w:val="22"/>
        </w:rPr>
        <w:t>. Acciones u omisiones del interesado.</w:t>
      </w:r>
    </w:p>
    <w:p w14:paraId="7C651E2A" w14:textId="77777777" w:rsidR="00CA6B97" w:rsidRPr="001A3C0D" w:rsidRDefault="005B4EBC">
      <w:pPr>
        <w:numPr>
          <w:ilvl w:val="0"/>
          <w:numId w:val="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Conducta de la Autoridad:</w:t>
      </w:r>
      <w:r w:rsidRPr="001A3C0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E432120" w14:textId="77777777" w:rsidR="00CA6B97" w:rsidRPr="001A3C0D" w:rsidRDefault="005B4EBC">
      <w:pPr>
        <w:numPr>
          <w:ilvl w:val="0"/>
          <w:numId w:val="6"/>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La afectación generada en la situación jurídica de la persona involucrada en el proceso:</w:t>
      </w:r>
      <w:r w:rsidRPr="001A3C0D">
        <w:rPr>
          <w:rFonts w:ascii="Palatino Linotype" w:eastAsia="Palatino Linotype" w:hAnsi="Palatino Linotype" w:cs="Palatino Linotype"/>
          <w:sz w:val="22"/>
          <w:szCs w:val="22"/>
        </w:rPr>
        <w:t xml:space="preserve"> Violación a sus derechos humanos.</w:t>
      </w:r>
    </w:p>
    <w:p w14:paraId="005AA9D0"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31343B"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1A3C0D">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1A3C0D">
        <w:rPr>
          <w:rFonts w:ascii="Palatino Linotype" w:eastAsia="Palatino Linotype" w:hAnsi="Palatino Linotype" w:cs="Palatino Linotype"/>
          <w:sz w:val="22"/>
          <w:szCs w:val="22"/>
        </w:rPr>
        <w:t>, visible en la Gaceta del Seminario Judicial de la Federación con el registro digital 205635.</w:t>
      </w:r>
    </w:p>
    <w:p w14:paraId="47AD8098"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2B222E"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FCB2C2F" w14:textId="77777777" w:rsidR="00CA6B97" w:rsidRPr="001A3C0D" w:rsidRDefault="005B4EBC">
      <w:pPr>
        <w:spacing w:before="240" w:after="240" w:line="360" w:lineRule="auto"/>
        <w:ind w:left="851" w:right="900"/>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 </w:t>
      </w:r>
      <w:r w:rsidRPr="001A3C0D">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sz w:val="22"/>
          <w:szCs w:val="22"/>
        </w:rPr>
        <w:t xml:space="preserve"> consultable en el Seminario Judicial de la Federación y su gaceta, con el registro digital 2002351.</w:t>
      </w:r>
    </w:p>
    <w:p w14:paraId="506AC903" w14:textId="77777777" w:rsidR="00CA6B97" w:rsidRPr="001A3C0D" w:rsidRDefault="005B4EBC">
      <w:pPr>
        <w:spacing w:before="240" w:after="240" w:line="360" w:lineRule="auto"/>
        <w:ind w:left="851" w:right="900"/>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1A3C0D">
        <w:rPr>
          <w:rFonts w:ascii="Palatino Linotype" w:eastAsia="Palatino Linotype" w:hAnsi="Palatino Linotype" w:cs="Palatino Linotype"/>
          <w:sz w:val="22"/>
          <w:szCs w:val="22"/>
        </w:rPr>
        <w:t>, visible en el Seminario Judicial de la Federación y su gaceta, con el registro digital 2002350.</w:t>
      </w:r>
    </w:p>
    <w:p w14:paraId="2BAE4BF0" w14:textId="77777777" w:rsidR="00CA6B97" w:rsidRPr="001A3C0D" w:rsidRDefault="005B4E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58A3F37A" w14:textId="77777777" w:rsidR="00CA6B97" w:rsidRPr="001A3C0D" w:rsidRDefault="00CA6B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4C07F7D" w14:textId="5013A686" w:rsidR="00CA6B97" w:rsidRPr="001A3C0D" w:rsidRDefault="005B4E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8. Cierre de instrucción</w:t>
      </w:r>
      <w:r w:rsidRPr="001A3C0D">
        <w:rPr>
          <w:rFonts w:ascii="Palatino Linotype" w:eastAsia="Palatino Linotype" w:hAnsi="Palatino Linotype" w:cs="Palatino Linotype"/>
          <w:sz w:val="22"/>
          <w:szCs w:val="22"/>
        </w:rPr>
        <w:t xml:space="preserve">. En fecha </w:t>
      </w:r>
      <w:r w:rsidR="003A2841" w:rsidRPr="001A3C0D">
        <w:rPr>
          <w:rFonts w:ascii="Palatino Linotype" w:eastAsia="Palatino Linotype" w:hAnsi="Palatino Linotype" w:cs="Palatino Linotype"/>
          <w:b/>
          <w:bCs/>
          <w:sz w:val="22"/>
          <w:szCs w:val="22"/>
        </w:rPr>
        <w:t>cinco</w:t>
      </w:r>
      <w:r w:rsidRPr="001A3C0D">
        <w:rPr>
          <w:rFonts w:ascii="Palatino Linotype" w:eastAsia="Palatino Linotype" w:hAnsi="Palatino Linotype" w:cs="Palatino Linotype"/>
          <w:sz w:val="22"/>
          <w:szCs w:val="22"/>
        </w:rPr>
        <w:t xml:space="preserve"> </w:t>
      </w:r>
      <w:r w:rsidRPr="001A3C0D">
        <w:rPr>
          <w:rFonts w:ascii="Palatino Linotype" w:eastAsia="Palatino Linotype" w:hAnsi="Palatino Linotype" w:cs="Palatino Linotype"/>
          <w:b/>
          <w:bCs/>
          <w:sz w:val="22"/>
          <w:szCs w:val="22"/>
        </w:rPr>
        <w:t>de febrero de dos mil veintiséis</w:t>
      </w:r>
      <w:r w:rsidRPr="001A3C0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7E7B508" w14:textId="77777777" w:rsidR="00CA6B97" w:rsidRPr="001A3C0D" w:rsidRDefault="00CA6B97">
      <w:pPr>
        <w:spacing w:line="360" w:lineRule="auto"/>
        <w:ind w:right="49"/>
        <w:jc w:val="both"/>
        <w:rPr>
          <w:rFonts w:ascii="Palatino Linotype" w:eastAsia="Palatino Linotype" w:hAnsi="Palatino Linotype" w:cs="Palatino Linotype"/>
          <w:sz w:val="22"/>
          <w:szCs w:val="22"/>
        </w:rPr>
      </w:pPr>
    </w:p>
    <w:p w14:paraId="5F18A67B" w14:textId="77777777" w:rsidR="00CA6B97" w:rsidRPr="001A3C0D" w:rsidRDefault="005B4EBC">
      <w:pPr>
        <w:spacing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Debido a que fue debidamente sustanciado </w:t>
      </w:r>
      <w:r w:rsidRPr="001A3C0D">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14:paraId="4FB7ADD3" w14:textId="77777777" w:rsidR="00CA6B97" w:rsidRPr="001A3C0D" w:rsidRDefault="00CA6B97">
      <w:pPr>
        <w:spacing w:line="360" w:lineRule="auto"/>
        <w:ind w:right="49"/>
        <w:jc w:val="both"/>
        <w:rPr>
          <w:rFonts w:ascii="Palatino Linotype" w:eastAsia="Palatino Linotype" w:hAnsi="Palatino Linotype" w:cs="Palatino Linotype"/>
          <w:sz w:val="22"/>
          <w:szCs w:val="22"/>
        </w:rPr>
      </w:pPr>
    </w:p>
    <w:p w14:paraId="54945C21" w14:textId="77777777" w:rsidR="00CA6B97" w:rsidRPr="001A3C0D" w:rsidRDefault="005B4EBC">
      <w:pPr>
        <w:spacing w:line="360" w:lineRule="auto"/>
        <w:ind w:left="720" w:right="49" w:hanging="720"/>
        <w:jc w:val="center"/>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b/>
          <w:bCs/>
          <w:sz w:val="22"/>
          <w:szCs w:val="22"/>
        </w:rPr>
        <w:t>II.</w:t>
      </w:r>
      <w:r w:rsidRPr="001A3C0D">
        <w:rPr>
          <w:rFonts w:ascii="Palatino Linotype" w:eastAsia="Palatino Linotype" w:hAnsi="Palatino Linotype" w:cs="Palatino Linotype"/>
          <w:b/>
          <w:bCs/>
          <w:sz w:val="22"/>
          <w:szCs w:val="22"/>
        </w:rPr>
        <w:tab/>
        <w:t xml:space="preserve">C O N S I D E R A N D O: </w:t>
      </w:r>
    </w:p>
    <w:p w14:paraId="5A9F4E14" w14:textId="77777777" w:rsidR="00CA6B97" w:rsidRPr="001A3C0D" w:rsidRDefault="00CA6B97">
      <w:pPr>
        <w:spacing w:line="360" w:lineRule="auto"/>
        <w:ind w:right="49"/>
        <w:jc w:val="both"/>
        <w:rPr>
          <w:rFonts w:ascii="Palatino Linotype" w:eastAsia="Palatino Linotype" w:hAnsi="Palatino Linotype" w:cs="Palatino Linotype"/>
          <w:sz w:val="22"/>
          <w:szCs w:val="22"/>
        </w:rPr>
      </w:pPr>
    </w:p>
    <w:p w14:paraId="2C834B47"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Primero. Competencia.</w:t>
      </w:r>
      <w:r w:rsidRPr="001A3C0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3EBBFDB"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 xml:space="preserve">Segundo. Oportunidad y Procedibilidad del Recurso de Revisión. </w:t>
      </w:r>
      <w:r w:rsidRPr="001A3C0D">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62BFEF6"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20E10B5F" w14:textId="77777777" w:rsidR="00CA6B97" w:rsidRPr="001A3C0D" w:rsidRDefault="005B4EBC">
      <w:pPr>
        <w:spacing w:line="360" w:lineRule="auto"/>
        <w:ind w:left="851" w:right="900"/>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 xml:space="preserve">“Artículo 178. </w:t>
      </w:r>
      <w:r w:rsidRPr="001A3C0D">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47DF37B" w14:textId="77777777" w:rsidR="00CA6B97" w:rsidRPr="001A3C0D" w:rsidRDefault="005B4EBC">
      <w:pPr>
        <w:spacing w:before="240" w:after="240" w:line="360" w:lineRule="auto"/>
        <w:ind w:right="49"/>
        <w:jc w:val="both"/>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1A3C0D">
        <w:rPr>
          <w:rFonts w:ascii="Palatino Linotype" w:eastAsia="Palatino Linotype" w:hAnsi="Palatino Linotype" w:cs="Palatino Linotype"/>
          <w:b/>
          <w:bCs/>
          <w:sz w:val="22"/>
          <w:szCs w:val="22"/>
        </w:rPr>
        <w:t>SUJETO OBLIGADO</w:t>
      </w:r>
      <w:r w:rsidRPr="001A3C0D">
        <w:rPr>
          <w:rFonts w:ascii="Palatino Linotype" w:eastAsia="Palatino Linotype" w:hAnsi="Palatino Linotype" w:cs="Palatino Linotype"/>
          <w:sz w:val="22"/>
          <w:szCs w:val="22"/>
        </w:rPr>
        <w:t xml:space="preserve"> remitió la respuesta a la solicitud de información el día </w:t>
      </w:r>
      <w:r w:rsidRPr="001A3C0D">
        <w:rPr>
          <w:rFonts w:ascii="Palatino Linotype" w:eastAsia="Palatino Linotype" w:hAnsi="Palatino Linotype" w:cs="Palatino Linotype"/>
          <w:b/>
          <w:bCs/>
          <w:sz w:val="22"/>
          <w:szCs w:val="22"/>
        </w:rPr>
        <w:t xml:space="preserve">tres de noviembre de dos mil veinticinco, </w:t>
      </w:r>
      <w:r w:rsidRPr="001A3C0D">
        <w:rPr>
          <w:rFonts w:ascii="Palatino Linotype" w:eastAsia="Palatino Linotype" w:hAnsi="Palatino Linotype" w:cs="Palatino Linotype"/>
          <w:sz w:val="22"/>
          <w:szCs w:val="22"/>
        </w:rPr>
        <w:t xml:space="preserve">mientras que el recurso de revisión interpuesto por la parte </w:t>
      </w:r>
      <w:r w:rsidRPr="001A3C0D">
        <w:rPr>
          <w:rFonts w:ascii="Palatino Linotype" w:eastAsia="Palatino Linotype" w:hAnsi="Palatino Linotype" w:cs="Palatino Linotype"/>
          <w:b/>
          <w:bCs/>
          <w:sz w:val="22"/>
          <w:szCs w:val="22"/>
        </w:rPr>
        <w:t>RECURRENTE</w:t>
      </w:r>
      <w:r w:rsidRPr="001A3C0D">
        <w:rPr>
          <w:rFonts w:ascii="Palatino Linotype" w:eastAsia="Palatino Linotype" w:hAnsi="Palatino Linotype" w:cs="Palatino Linotype"/>
          <w:sz w:val="22"/>
          <w:szCs w:val="22"/>
        </w:rPr>
        <w:t xml:space="preserve">, se tuvo por presentado el </w:t>
      </w:r>
      <w:r w:rsidRPr="001A3C0D">
        <w:rPr>
          <w:rFonts w:ascii="Palatino Linotype" w:eastAsia="Palatino Linotype" w:hAnsi="Palatino Linotype" w:cs="Palatino Linotype"/>
          <w:b/>
          <w:bCs/>
          <w:sz w:val="22"/>
          <w:szCs w:val="22"/>
        </w:rPr>
        <w:t>cinco de noviembre del año dos mil veinticinco</w:t>
      </w:r>
      <w:r w:rsidRPr="001A3C0D">
        <w:rPr>
          <w:rFonts w:ascii="Palatino Linotype" w:eastAsia="Palatino Linotype" w:hAnsi="Palatino Linotype" w:cs="Palatino Linotype"/>
          <w:sz w:val="22"/>
          <w:szCs w:val="22"/>
        </w:rPr>
        <w:t>; esto es, al segundo día que se tuvo conocimiento de la respuesta.</w:t>
      </w:r>
    </w:p>
    <w:p w14:paraId="1EF2A9D3" w14:textId="77777777" w:rsidR="00CA6B97" w:rsidRPr="001A3C0D" w:rsidRDefault="005B4EBC">
      <w:pPr>
        <w:spacing w:before="240" w:after="240"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E69CC1B"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BC81A74" w14:textId="77777777" w:rsidR="00CA6B97" w:rsidRPr="001A3C0D" w:rsidRDefault="005B4EBC">
      <w:pPr>
        <w:ind w:left="426" w:right="701"/>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br/>
      </w:r>
      <w:r w:rsidRPr="001A3C0D">
        <w:rPr>
          <w:rFonts w:ascii="Palatino Linotype" w:eastAsia="Palatino Linotype" w:hAnsi="Palatino Linotype" w:cs="Palatino Linotype"/>
          <w:b/>
          <w:bCs/>
          <w:i/>
          <w:iCs/>
          <w:sz w:val="22"/>
          <w:szCs w:val="22"/>
        </w:rPr>
        <w:t xml:space="preserve">"Las solicitudes anónimas, </w:t>
      </w:r>
      <w:r w:rsidRPr="001A3C0D">
        <w:rPr>
          <w:rFonts w:ascii="Palatino Linotype" w:eastAsia="Palatino Linotype" w:hAnsi="Palatino Linotype" w:cs="Palatino Linotype"/>
          <w:i/>
          <w:iCs/>
          <w:sz w:val="22"/>
          <w:szCs w:val="22"/>
        </w:rPr>
        <w:t>con nombre incompleto o seudónimo </w:t>
      </w:r>
      <w:r w:rsidRPr="001A3C0D">
        <w:rPr>
          <w:rFonts w:ascii="Palatino Linotype" w:eastAsia="Palatino Linotype" w:hAnsi="Palatino Linotype" w:cs="Palatino Linotype"/>
          <w:b/>
          <w:bCs/>
          <w:i/>
          <w:iCs/>
          <w:sz w:val="22"/>
          <w:szCs w:val="22"/>
        </w:rPr>
        <w:t>serán procedentes para su trámite por parte del sujeto obligado ante quien se presente.</w:t>
      </w:r>
      <w:r w:rsidRPr="001A3C0D">
        <w:rPr>
          <w:rFonts w:ascii="Palatino Linotype" w:eastAsia="Palatino Linotype" w:hAnsi="Palatino Linotype" w:cs="Palatino Linotype"/>
          <w:i/>
          <w:iCs/>
          <w:sz w:val="22"/>
          <w:szCs w:val="22"/>
        </w:rPr>
        <w:t xml:space="preserve"> No podrá requerirse información adicional con motivo del nombre proporcionado por el solicitante."</w:t>
      </w:r>
    </w:p>
    <w:p w14:paraId="66AB842B" w14:textId="77777777" w:rsidR="00CA6B97" w:rsidRPr="001A3C0D" w:rsidRDefault="005B4EBC">
      <w:pPr>
        <w:spacing w:before="240" w:after="240"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CFA5005" w14:textId="77777777" w:rsidR="00CA6B97" w:rsidRPr="001A3C0D" w:rsidRDefault="005B4EBC">
      <w:pPr>
        <w:spacing w:before="240" w:after="240"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9DCA6F6"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VI de la ley de la materia, que a la letra dice:</w:t>
      </w:r>
    </w:p>
    <w:p w14:paraId="70FDE85B" w14:textId="77777777" w:rsidR="00CA6B97" w:rsidRPr="001A3C0D" w:rsidRDefault="005B4EBC">
      <w:pPr>
        <w:spacing w:line="360" w:lineRule="auto"/>
        <w:ind w:left="851" w:right="1041"/>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b/>
          <w:bCs/>
          <w:i/>
          <w:iCs/>
          <w:sz w:val="22"/>
          <w:szCs w:val="22"/>
        </w:rPr>
        <w:t xml:space="preserve">Artículo 179. </w:t>
      </w:r>
      <w:r w:rsidRPr="001A3C0D">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57C7E5B7" w14:textId="77777777" w:rsidR="00CA6B97" w:rsidRPr="001A3C0D" w:rsidRDefault="005B4EBC">
      <w:pPr>
        <w:spacing w:line="360" w:lineRule="auto"/>
        <w:ind w:left="851" w:right="1041"/>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2AC484A9" w14:textId="77777777" w:rsidR="00CA6B97" w:rsidRPr="001A3C0D" w:rsidRDefault="005B4EBC">
      <w:pPr>
        <w:spacing w:line="360" w:lineRule="auto"/>
        <w:ind w:left="851" w:right="1041"/>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VI. La entrega de información que no corresponda con lo solicitado;</w:t>
      </w:r>
    </w:p>
    <w:p w14:paraId="5021FF71" w14:textId="77777777" w:rsidR="00CA6B97" w:rsidRPr="001A3C0D" w:rsidRDefault="005B4EBC">
      <w:pPr>
        <w:spacing w:line="360" w:lineRule="auto"/>
        <w:ind w:left="851" w:right="1041"/>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435166CB"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 xml:space="preserve">Tercero. Materia de la revisión. </w:t>
      </w:r>
      <w:r w:rsidRPr="001A3C0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A3C0D">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1A3C0D">
        <w:rPr>
          <w:rFonts w:ascii="Palatino Linotype" w:eastAsia="Palatino Linotype" w:hAnsi="Palatino Linotype" w:cs="Palatino Linotype"/>
          <w:sz w:val="22"/>
          <w:szCs w:val="22"/>
        </w:rPr>
        <w:t xml:space="preserve">de la parte </w:t>
      </w:r>
      <w:r w:rsidRPr="001A3C0D">
        <w:rPr>
          <w:rFonts w:ascii="Palatino Linotype" w:eastAsia="Palatino Linotype" w:hAnsi="Palatino Linotype" w:cs="Palatino Linotype"/>
          <w:b/>
          <w:bCs/>
          <w:sz w:val="22"/>
          <w:szCs w:val="22"/>
        </w:rPr>
        <w:t>Recurrente</w:t>
      </w:r>
      <w:r w:rsidRPr="001A3C0D">
        <w:rPr>
          <w:rFonts w:ascii="Palatino Linotype" w:eastAsia="Palatino Linotype" w:hAnsi="Palatino Linotype" w:cs="Palatino Linotype"/>
          <w:sz w:val="22"/>
          <w:szCs w:val="22"/>
        </w:rPr>
        <w:t>, o en su defecto, en caso de ser procedente, ordenar la entrega de información.</w:t>
      </w:r>
    </w:p>
    <w:p w14:paraId="24E1644C"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 xml:space="preserve">Cuarto. Estudio del asunto. </w:t>
      </w:r>
      <w:r w:rsidRPr="001A3C0D">
        <w:rPr>
          <w:rFonts w:ascii="Palatino Linotype" w:eastAsia="Palatino Linotype" w:hAnsi="Palatino Linotype" w:cs="Palatino Linotype"/>
          <w:sz w:val="22"/>
          <w:szCs w:val="22"/>
        </w:rPr>
        <w:t xml:space="preserve">En principio, es conveniente analizar si la respuesta del </w:t>
      </w:r>
      <w:r w:rsidRPr="001A3C0D">
        <w:rPr>
          <w:rFonts w:ascii="Palatino Linotype" w:eastAsia="Palatino Linotype" w:hAnsi="Palatino Linotype" w:cs="Palatino Linotype"/>
          <w:b/>
          <w:bCs/>
          <w:sz w:val="22"/>
          <w:szCs w:val="22"/>
        </w:rPr>
        <w:t>SUJETO OBLIGADO</w:t>
      </w:r>
      <w:r w:rsidRPr="001A3C0D">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5D17652"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7FB52943" w14:textId="77777777" w:rsidR="00CA6B97" w:rsidRPr="001A3C0D" w:rsidRDefault="005B4EBC">
      <w:pPr>
        <w:spacing w:line="276" w:lineRule="auto"/>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b/>
          <w:bCs/>
          <w:i/>
          <w:iCs/>
          <w:sz w:val="22"/>
          <w:szCs w:val="22"/>
        </w:rPr>
        <w:t>Artículo 4</w:t>
      </w:r>
      <w:r w:rsidRPr="001A3C0D">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3FCEABF" w14:textId="77777777" w:rsidR="00CA6B97" w:rsidRPr="001A3C0D" w:rsidRDefault="005B4EBC">
      <w:pPr>
        <w:spacing w:line="276" w:lineRule="auto"/>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1A3C0D">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8C68184" w14:textId="77777777" w:rsidR="00CA6B97" w:rsidRPr="001A3C0D" w:rsidRDefault="005B4EBC">
      <w:pPr>
        <w:spacing w:line="276" w:lineRule="auto"/>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1A3C0D">
        <w:rPr>
          <w:rFonts w:ascii="Palatino Linotype" w:eastAsia="Palatino Linotype" w:hAnsi="Palatino Linotype" w:cs="Palatino Linotype"/>
          <w:i/>
          <w:iCs/>
          <w:sz w:val="22"/>
          <w:szCs w:val="22"/>
        </w:rPr>
        <w:t>.”</w:t>
      </w:r>
    </w:p>
    <w:p w14:paraId="7263A6E0" w14:textId="77777777" w:rsidR="00CA6B97" w:rsidRPr="001A3C0D" w:rsidRDefault="00CA6B97">
      <w:pPr>
        <w:spacing w:line="276" w:lineRule="auto"/>
        <w:jc w:val="both"/>
        <w:rPr>
          <w:rFonts w:ascii="Palatino Linotype" w:eastAsia="Palatino Linotype" w:hAnsi="Palatino Linotype" w:cs="Palatino Linotype"/>
          <w:sz w:val="22"/>
          <w:szCs w:val="22"/>
        </w:rPr>
      </w:pPr>
    </w:p>
    <w:p w14:paraId="7405DE60"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0310495"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13899DC6" w14:textId="77777777" w:rsidR="00CA6B97" w:rsidRPr="001A3C0D" w:rsidRDefault="005B4EBC">
      <w:pPr>
        <w:spacing w:line="276" w:lineRule="auto"/>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“Artículo 12.-</w:t>
      </w:r>
      <w:r w:rsidRPr="001A3C0D">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21768003" w14:textId="77777777" w:rsidR="00CA6B97" w:rsidRPr="001A3C0D" w:rsidRDefault="00CA6B97">
      <w:pPr>
        <w:spacing w:line="276" w:lineRule="auto"/>
        <w:ind w:left="567" w:right="616"/>
        <w:jc w:val="both"/>
        <w:rPr>
          <w:rFonts w:ascii="Palatino Linotype" w:eastAsia="Palatino Linotype" w:hAnsi="Palatino Linotype" w:cs="Palatino Linotype"/>
          <w:i/>
          <w:iCs/>
          <w:sz w:val="22"/>
          <w:szCs w:val="22"/>
        </w:rPr>
      </w:pPr>
    </w:p>
    <w:p w14:paraId="5A19A6B7" w14:textId="77777777" w:rsidR="00CA6B97" w:rsidRPr="001A3C0D" w:rsidRDefault="005B4EBC">
      <w:pPr>
        <w:spacing w:line="276" w:lineRule="auto"/>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1A3C0D">
        <w:rPr>
          <w:rFonts w:ascii="Palatino Linotype" w:eastAsia="Palatino Linotype" w:hAnsi="Palatino Linotype" w:cs="Palatino Linotype"/>
          <w:i/>
          <w:iCs/>
          <w:sz w:val="22"/>
          <w:szCs w:val="22"/>
        </w:rPr>
        <w:t xml:space="preserve">. </w:t>
      </w:r>
      <w:r w:rsidRPr="001A3C0D">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51D9A17" w14:textId="77777777" w:rsidR="00CA6B97" w:rsidRPr="001A3C0D" w:rsidRDefault="00CA6B97">
      <w:pPr>
        <w:spacing w:line="360" w:lineRule="auto"/>
        <w:ind w:right="-93"/>
        <w:jc w:val="both"/>
        <w:rPr>
          <w:rFonts w:ascii="Palatino Linotype" w:eastAsia="Palatino Linotype" w:hAnsi="Palatino Linotype" w:cs="Palatino Linotype"/>
          <w:sz w:val="22"/>
          <w:szCs w:val="22"/>
        </w:rPr>
      </w:pPr>
    </w:p>
    <w:p w14:paraId="7BAD3580" w14:textId="77777777" w:rsidR="00CA6B97" w:rsidRPr="001A3C0D" w:rsidRDefault="005B4EBC">
      <w:pPr>
        <w:spacing w:line="360" w:lineRule="auto"/>
        <w:ind w:right="-93"/>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EEA64D7" w14:textId="77777777" w:rsidR="00CA6B97" w:rsidRPr="001A3C0D" w:rsidRDefault="00CA6B97">
      <w:pPr>
        <w:spacing w:line="360" w:lineRule="auto"/>
        <w:ind w:right="-93"/>
        <w:jc w:val="both"/>
        <w:rPr>
          <w:rFonts w:ascii="Palatino Linotype" w:eastAsia="Palatino Linotype" w:hAnsi="Palatino Linotype" w:cs="Palatino Linotype"/>
          <w:sz w:val="22"/>
          <w:szCs w:val="22"/>
        </w:rPr>
      </w:pPr>
    </w:p>
    <w:p w14:paraId="412B50F7" w14:textId="77777777" w:rsidR="00CA6B97" w:rsidRPr="001A3C0D" w:rsidRDefault="005B4EBC">
      <w:pPr>
        <w:spacing w:line="360" w:lineRule="auto"/>
        <w:ind w:right="-93"/>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1A3C0D">
        <w:rPr>
          <w:rFonts w:ascii="Palatino Linotype" w:eastAsia="Palatino Linotype" w:hAnsi="Palatino Linotype" w:cs="Palatino Linotype"/>
          <w:b/>
          <w:bCs/>
          <w:sz w:val="22"/>
          <w:szCs w:val="22"/>
        </w:rPr>
        <w:t xml:space="preserve"> </w:t>
      </w:r>
    </w:p>
    <w:p w14:paraId="35CDEACC" w14:textId="77777777" w:rsidR="00CA6B97" w:rsidRPr="001A3C0D" w:rsidRDefault="00CA6B97">
      <w:pPr>
        <w:spacing w:line="360" w:lineRule="auto"/>
        <w:jc w:val="both"/>
        <w:rPr>
          <w:rFonts w:ascii="Palatino Linotype" w:eastAsia="Palatino Linotype" w:hAnsi="Palatino Linotype" w:cs="Palatino Linotype"/>
          <w:b/>
          <w:bCs/>
          <w:sz w:val="22"/>
          <w:szCs w:val="22"/>
        </w:rPr>
      </w:pPr>
    </w:p>
    <w:p w14:paraId="37B5707F"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1A3C0D">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6A9908D" w14:textId="77777777" w:rsidR="00CA6B97" w:rsidRPr="001A3C0D" w:rsidRDefault="00CA6B97">
      <w:pPr>
        <w:spacing w:line="360" w:lineRule="auto"/>
        <w:ind w:right="-93"/>
        <w:jc w:val="both"/>
        <w:rPr>
          <w:rFonts w:ascii="Palatino Linotype" w:eastAsia="Palatino Linotype" w:hAnsi="Palatino Linotype" w:cs="Palatino Linotype"/>
          <w:sz w:val="22"/>
          <w:szCs w:val="22"/>
        </w:rPr>
      </w:pPr>
    </w:p>
    <w:p w14:paraId="721B57F2"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E09E03E"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7BEC71C7" w14:textId="77777777" w:rsidR="00CA6B97" w:rsidRPr="001A3C0D" w:rsidRDefault="005B4EBC">
      <w:pPr>
        <w:spacing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8D5D588" w14:textId="77777777" w:rsidR="00CA6B97" w:rsidRPr="001A3C0D" w:rsidRDefault="00CA6B97">
      <w:pPr>
        <w:spacing w:line="360" w:lineRule="auto"/>
        <w:ind w:right="49"/>
        <w:jc w:val="both"/>
        <w:rPr>
          <w:rFonts w:ascii="Palatino Linotype" w:eastAsia="Palatino Linotype" w:hAnsi="Palatino Linotype" w:cs="Palatino Linotype"/>
          <w:sz w:val="22"/>
          <w:szCs w:val="22"/>
        </w:rPr>
      </w:pPr>
    </w:p>
    <w:p w14:paraId="7E6D8E28"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BF386DF" w14:textId="77777777" w:rsidR="00CA6B97" w:rsidRPr="001A3C0D" w:rsidRDefault="00CA6B97">
      <w:pPr>
        <w:spacing w:line="360" w:lineRule="auto"/>
        <w:ind w:left="567" w:right="616"/>
        <w:jc w:val="both"/>
        <w:rPr>
          <w:rFonts w:ascii="Palatino Linotype" w:eastAsia="Palatino Linotype" w:hAnsi="Palatino Linotype" w:cs="Palatino Linotype"/>
          <w:i/>
          <w:iCs/>
          <w:sz w:val="22"/>
          <w:szCs w:val="22"/>
        </w:rPr>
      </w:pPr>
    </w:p>
    <w:p w14:paraId="5889FA0B"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b/>
          <w:bCs/>
          <w:i/>
          <w:iCs/>
          <w:sz w:val="22"/>
          <w:szCs w:val="22"/>
        </w:rPr>
        <w:t xml:space="preserve">Artículo 3. </w:t>
      </w:r>
      <w:r w:rsidRPr="001A3C0D">
        <w:rPr>
          <w:rFonts w:ascii="Palatino Linotype" w:eastAsia="Palatino Linotype" w:hAnsi="Palatino Linotype" w:cs="Palatino Linotype"/>
          <w:i/>
          <w:iCs/>
          <w:sz w:val="22"/>
          <w:szCs w:val="22"/>
        </w:rPr>
        <w:t>Para los efectos de la presente Ley se entenderá por:</w:t>
      </w:r>
    </w:p>
    <w:p w14:paraId="404A5A74"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7F7CE18A"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XI. Documento:</w:t>
      </w:r>
      <w:r w:rsidRPr="001A3C0D">
        <w:rPr>
          <w:rFonts w:ascii="Palatino Linotype" w:eastAsia="Palatino Linotype" w:hAnsi="Palatino Linotype" w:cs="Palatino Linotype"/>
          <w:i/>
          <w:iCs/>
          <w:sz w:val="22"/>
          <w:szCs w:val="22"/>
        </w:rPr>
        <w:t xml:space="preserve"> Los expedientes, reportes, estudios, actas</w:t>
      </w:r>
      <w:r w:rsidRPr="001A3C0D">
        <w:rPr>
          <w:rFonts w:ascii="Palatino Linotype" w:eastAsia="Palatino Linotype" w:hAnsi="Palatino Linotype" w:cs="Palatino Linotype"/>
          <w:b/>
          <w:bCs/>
          <w:i/>
          <w:iCs/>
          <w:sz w:val="22"/>
          <w:szCs w:val="22"/>
        </w:rPr>
        <w:t>,</w:t>
      </w:r>
      <w:r w:rsidRPr="001A3C0D">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4E55D52" w14:textId="77777777" w:rsidR="00CA6B97" w:rsidRPr="001A3C0D" w:rsidRDefault="00CA6B97">
      <w:pPr>
        <w:spacing w:line="360" w:lineRule="auto"/>
        <w:ind w:left="851" w:right="899"/>
        <w:jc w:val="both"/>
        <w:rPr>
          <w:rFonts w:ascii="Palatino Linotype" w:eastAsia="Palatino Linotype" w:hAnsi="Palatino Linotype" w:cs="Palatino Linotype"/>
          <w:sz w:val="22"/>
          <w:szCs w:val="22"/>
        </w:rPr>
      </w:pPr>
    </w:p>
    <w:p w14:paraId="1E3A0C1A"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3EEF7EB"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71A9CE3B" w14:textId="77777777" w:rsidR="00CA6B97" w:rsidRPr="001A3C0D" w:rsidRDefault="005B4EBC">
      <w:pPr>
        <w:ind w:left="567" w:right="616"/>
        <w:jc w:val="both"/>
        <w:rPr>
          <w:rFonts w:ascii="Palatino Linotype" w:eastAsia="Palatino Linotype" w:hAnsi="Palatino Linotype" w:cs="Palatino Linotype"/>
          <w:b/>
          <w:bCs/>
          <w:i/>
          <w:iCs/>
          <w:sz w:val="22"/>
          <w:szCs w:val="22"/>
        </w:rPr>
      </w:pPr>
      <w:r w:rsidRPr="001A3C0D">
        <w:rPr>
          <w:rFonts w:ascii="Palatino Linotype" w:eastAsia="Palatino Linotype" w:hAnsi="Palatino Linotype" w:cs="Palatino Linotype"/>
          <w:b/>
          <w:bCs/>
          <w:sz w:val="22"/>
          <w:szCs w:val="22"/>
        </w:rPr>
        <w:t>“</w:t>
      </w:r>
      <w:r w:rsidRPr="001A3C0D">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1A3C0D">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59A1CD"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BA0EC64"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6799BE00" w14:textId="77777777" w:rsidR="00CA6B97" w:rsidRPr="001A3C0D" w:rsidRDefault="005B4EBC">
      <w:pPr>
        <w:ind w:left="567" w:right="616"/>
        <w:jc w:val="both"/>
        <w:rPr>
          <w:rFonts w:ascii="Palatino Linotype" w:eastAsia="Palatino Linotype" w:hAnsi="Palatino Linotype" w:cs="Palatino Linotype"/>
          <w:b/>
          <w:bCs/>
          <w:i/>
          <w:iCs/>
          <w:sz w:val="22"/>
          <w:szCs w:val="22"/>
        </w:rPr>
      </w:pPr>
      <w:r w:rsidRPr="001A3C0D">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101AE1A4" w14:textId="77777777" w:rsidR="00CA6B97" w:rsidRPr="001A3C0D" w:rsidRDefault="005B4EBC">
      <w:pPr>
        <w:ind w:left="567" w:right="616"/>
        <w:jc w:val="both"/>
        <w:rPr>
          <w:rFonts w:ascii="Palatino Linotype" w:eastAsia="Palatino Linotype" w:hAnsi="Palatino Linotype" w:cs="Palatino Linotype"/>
          <w:b/>
          <w:bCs/>
          <w:i/>
          <w:iCs/>
          <w:sz w:val="22"/>
          <w:szCs w:val="22"/>
        </w:rPr>
      </w:pPr>
      <w:r w:rsidRPr="001A3C0D">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724F09AC" w14:textId="77777777" w:rsidR="00CA6B97" w:rsidRPr="001A3C0D" w:rsidRDefault="00CA6B97">
      <w:pPr>
        <w:tabs>
          <w:tab w:val="left" w:pos="8647"/>
        </w:tabs>
        <w:spacing w:line="360" w:lineRule="auto"/>
        <w:jc w:val="both"/>
        <w:rPr>
          <w:rFonts w:ascii="Palatino Linotype" w:eastAsia="Palatino Linotype" w:hAnsi="Palatino Linotype" w:cs="Palatino Linotype"/>
          <w:b/>
          <w:bCs/>
          <w:sz w:val="22"/>
          <w:szCs w:val="22"/>
        </w:rPr>
      </w:pPr>
    </w:p>
    <w:p w14:paraId="5D32F50F" w14:textId="77777777" w:rsidR="00CA6B97" w:rsidRPr="001A3C0D" w:rsidRDefault="005B4EBC">
      <w:pPr>
        <w:spacing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1A3C0D">
        <w:rPr>
          <w:rFonts w:ascii="Palatino Linotype" w:eastAsia="Palatino Linotype" w:hAnsi="Palatino Linotype" w:cs="Palatino Linotype"/>
          <w:b/>
          <w:bCs/>
          <w:sz w:val="22"/>
          <w:szCs w:val="22"/>
        </w:rPr>
        <w:t>Ayuntamiento de Atizapán de Zaragoza,</w:t>
      </w:r>
      <w:r w:rsidRPr="001A3C0D">
        <w:rPr>
          <w:rFonts w:ascii="Palatino Linotype" w:eastAsia="Palatino Linotype" w:hAnsi="Palatino Linotype" w:cs="Palatino Linotype"/>
          <w:sz w:val="22"/>
          <w:szCs w:val="22"/>
        </w:rPr>
        <w:t xml:space="preserve"> la siguiente información:</w:t>
      </w:r>
    </w:p>
    <w:p w14:paraId="06F017BF" w14:textId="77777777" w:rsidR="00CA6B97" w:rsidRPr="001A3C0D" w:rsidRDefault="005B4EBC">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Versión pública de las determinaciones emitidas en 2025 por la Contraloría Interna derivadas de denuncias.</w:t>
      </w:r>
    </w:p>
    <w:p w14:paraId="43CB9EF4"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Derivado de la naturaleza de la información requerida es necesario mencionar que de conformidad con el artículo 110 de la Ley Orgánica del Estado de México, el órgano interno de control municipal es el órgano interno de control encargado de promover, evaluar y fortalecer el buen funcionamiento del control interno, competente para aplicar las leyes en materia de responsabilidades de los servidores públicos, cuyas atribuciones, en su parte conducente se encuentran enmarcadas en el artículo 112 de la referida Ley, a saber:</w:t>
      </w:r>
    </w:p>
    <w:p w14:paraId="759DC2B1"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“Artículo 112</w:t>
      </w:r>
      <w:r w:rsidRPr="001A3C0D">
        <w:rPr>
          <w:rFonts w:ascii="Palatino Linotype" w:eastAsia="Palatino Linotype" w:hAnsi="Palatino Linotype" w:cs="Palatino Linotype"/>
          <w:i/>
          <w:iCs/>
          <w:sz w:val="22"/>
          <w:szCs w:val="22"/>
        </w:rPr>
        <w:t>. El órgano interno de control municipal tendrá a su cargo las funciones siguientes:</w:t>
      </w:r>
    </w:p>
    <w:p w14:paraId="4042E827"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I.</w:t>
      </w:r>
      <w:r w:rsidRPr="001A3C0D">
        <w:rPr>
          <w:rFonts w:ascii="Palatino Linotype" w:eastAsia="Palatino Linotype" w:hAnsi="Palatino Linotype" w:cs="Palatino Linotype"/>
          <w:i/>
          <w:iCs/>
          <w:sz w:val="22"/>
          <w:szCs w:val="22"/>
        </w:rPr>
        <w:t xml:space="preserve"> Planear, programar, organizar y coordinar el sistema de control y evaluación municipal;</w:t>
      </w:r>
    </w:p>
    <w:p w14:paraId="61D0F0B7"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II</w:t>
      </w:r>
      <w:r w:rsidRPr="001A3C0D">
        <w:rPr>
          <w:rFonts w:ascii="Palatino Linotype" w:eastAsia="Palatino Linotype" w:hAnsi="Palatino Linotype" w:cs="Palatino Linotype"/>
          <w:i/>
          <w:iCs/>
          <w:sz w:val="22"/>
          <w:szCs w:val="22"/>
        </w:rPr>
        <w:t>. Fiscalizar el ingreso y ejercicio del gasto público municipal y su congruencia con el presupuesto de egresos;</w:t>
      </w:r>
    </w:p>
    <w:p w14:paraId="27AF8070"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12DF0801"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V.</w:t>
      </w:r>
      <w:r w:rsidRPr="001A3C0D">
        <w:rPr>
          <w:rFonts w:ascii="Palatino Linotype" w:eastAsia="Palatino Linotype" w:hAnsi="Palatino Linotype" w:cs="Palatino Linotype"/>
          <w:i/>
          <w:iCs/>
          <w:sz w:val="22"/>
          <w:szCs w:val="22"/>
        </w:rPr>
        <w:t xml:space="preserve"> Establecer las bases generales para la realización de auditorías e inspecciones;</w:t>
      </w:r>
    </w:p>
    <w:p w14:paraId="1142D480"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4BDEE693"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VIII</w:t>
      </w:r>
      <w:r w:rsidRPr="001A3C0D">
        <w:rPr>
          <w:rFonts w:ascii="Palatino Linotype" w:eastAsia="Palatino Linotype" w:hAnsi="Palatino Linotype" w:cs="Palatino Linotype"/>
          <w:i/>
          <w:iCs/>
          <w:sz w:val="22"/>
          <w:szCs w:val="22"/>
        </w:rPr>
        <w:t>. Coordinarse con el Órgano Superior de Fiscalización del Estado de México y la Contraloría del Poder Legislativo y con la Secretaría de la Contraloría del Estado para el cumplimiento de sus funciones;</w:t>
      </w:r>
    </w:p>
    <w:p w14:paraId="41407875"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6159FF49"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w:t>
      </w:r>
      <w:r w:rsidRPr="001A3C0D">
        <w:rPr>
          <w:rFonts w:ascii="Palatino Linotype" w:eastAsia="Palatino Linotype" w:hAnsi="Palatino Linotype" w:cs="Palatino Linotype"/>
          <w:i/>
          <w:iCs/>
          <w:sz w:val="22"/>
          <w:szCs w:val="22"/>
        </w:rPr>
        <w:t xml:space="preserve"> Establecer y operar un sistema de atención de quejas, denuncias y sugerencias;</w:t>
      </w:r>
    </w:p>
    <w:p w14:paraId="54A38B1B"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XI.</w:t>
      </w:r>
      <w:r w:rsidRPr="001A3C0D">
        <w:rPr>
          <w:rFonts w:ascii="Palatino Linotype" w:eastAsia="Palatino Linotype" w:hAnsi="Palatino Linotype" w:cs="Palatino Linotype"/>
          <w:i/>
          <w:iCs/>
          <w:sz w:val="22"/>
          <w:szCs w:val="22"/>
        </w:rPr>
        <w:t xml:space="preserve"> Realizar auditorías y evaluaciones e informar del resultado de las mismas al ayuntamiento;</w:t>
      </w:r>
    </w:p>
    <w:p w14:paraId="211C60C1"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58B88CB3"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XVII</w:t>
      </w:r>
      <w:r w:rsidRPr="001A3C0D">
        <w:rPr>
          <w:rFonts w:ascii="Palatino Linotype" w:eastAsia="Palatino Linotype" w:hAnsi="Palatino Linotype" w:cs="Palatino Linotype"/>
          <w:i/>
          <w:iCs/>
          <w:sz w:val="22"/>
          <w:szCs w:val="22"/>
        </w:rPr>
        <w:t xml:space="preserve">. Recibir las denuncias que se formulen por presuntas infracciones o faltas administrativas derivadas de actos u omisiones cometidos por las personas servidoras públicas de sus municipios, o de particulares vinculados con faltas administrativas graves; así como </w:t>
      </w:r>
      <w:r w:rsidRPr="001A3C0D">
        <w:rPr>
          <w:rFonts w:ascii="Palatino Linotype" w:eastAsia="Palatino Linotype" w:hAnsi="Palatino Linotype" w:cs="Palatino Linotype"/>
          <w:b/>
          <w:bCs/>
          <w:i/>
          <w:iCs/>
          <w:sz w:val="22"/>
          <w:szCs w:val="22"/>
          <w:u w:val="single"/>
        </w:rPr>
        <w:t>iniciar de oficio, por denuncia o derivado de auditorías realizadas por las autoridades competentes</w:t>
      </w:r>
      <w:r w:rsidRPr="001A3C0D">
        <w:rPr>
          <w:rFonts w:ascii="Palatino Linotype" w:eastAsia="Palatino Linotype" w:hAnsi="Palatino Linotype" w:cs="Palatino Linotype"/>
          <w:b/>
          <w:bCs/>
          <w:i/>
          <w:iCs/>
          <w:sz w:val="22"/>
          <w:szCs w:val="22"/>
        </w:rPr>
        <w:t>, los procedimientos de investigación por posibles faltas administrativas y en su caso, la calificación de faltas graves y no graves, en términos de la Ley de Responsabilidades Administrativas del Estado de México y Municipios.</w:t>
      </w:r>
      <w:r w:rsidRPr="001A3C0D">
        <w:rPr>
          <w:rFonts w:ascii="Palatino Linotype" w:eastAsia="Palatino Linotype" w:hAnsi="Palatino Linotype" w:cs="Palatino Linotype"/>
          <w:i/>
          <w:iCs/>
          <w:sz w:val="22"/>
          <w:szCs w:val="22"/>
        </w:rPr>
        <w:t xml:space="preserve"> </w:t>
      </w:r>
    </w:p>
    <w:p w14:paraId="3AFA9EE5" w14:textId="77777777" w:rsidR="00CA6B97" w:rsidRPr="001A3C0D" w:rsidRDefault="005B4EBC">
      <w:pPr>
        <w:spacing w:before="120" w:after="120"/>
        <w:ind w:left="851" w:right="902"/>
        <w:jc w:val="both"/>
        <w:rPr>
          <w:rFonts w:ascii="Palatino Linotype" w:eastAsia="Palatino Linotype" w:hAnsi="Palatino Linotype" w:cs="Palatino Linotype"/>
          <w:b/>
          <w:bCs/>
          <w:i/>
          <w:iCs/>
          <w:sz w:val="22"/>
          <w:szCs w:val="22"/>
        </w:rPr>
      </w:pPr>
      <w:r w:rsidRPr="001A3C0D">
        <w:rPr>
          <w:rFonts w:ascii="Palatino Linotype" w:eastAsia="Palatino Linotype" w:hAnsi="Palatino Linotype" w:cs="Palatino Linotype"/>
          <w:i/>
          <w:iCs/>
          <w:sz w:val="22"/>
          <w:szCs w:val="22"/>
        </w:rPr>
        <w:t xml:space="preserve">Asimismo, </w:t>
      </w:r>
      <w:r w:rsidRPr="001A3C0D">
        <w:rPr>
          <w:rFonts w:ascii="Palatino Linotype" w:eastAsia="Palatino Linotype" w:hAnsi="Palatino Linotype" w:cs="Palatino Linotype"/>
          <w:b/>
          <w:bCs/>
          <w:i/>
          <w:iCs/>
          <w:sz w:val="22"/>
          <w:szCs w:val="22"/>
          <w:u w:val="single"/>
        </w:rPr>
        <w:t>substanciar los procedimientos de responsabilidad administrativa</w:t>
      </w:r>
      <w:r w:rsidRPr="001A3C0D">
        <w:rPr>
          <w:rFonts w:ascii="Palatino Linotype" w:eastAsia="Palatino Linotype" w:hAnsi="Palatino Linotype" w:cs="Palatino Linotype"/>
          <w:b/>
          <w:bCs/>
          <w:i/>
          <w:iCs/>
          <w:sz w:val="22"/>
          <w:szCs w:val="22"/>
        </w:rPr>
        <w:t xml:space="preserve"> y emitir en su caso, las resoluciones que son de su competencia, </w:t>
      </w:r>
      <w:r w:rsidRPr="001A3C0D">
        <w:rPr>
          <w:rFonts w:ascii="Palatino Linotype" w:eastAsia="Palatino Linotype" w:hAnsi="Palatino Linotype" w:cs="Palatino Linotype"/>
          <w:b/>
          <w:bCs/>
          <w:i/>
          <w:iCs/>
          <w:sz w:val="22"/>
          <w:szCs w:val="22"/>
          <w:u w:val="single"/>
        </w:rPr>
        <w:t>imponiendo cuando proceda, las sanciones que correspondan</w:t>
      </w:r>
      <w:r w:rsidRPr="001A3C0D">
        <w:rPr>
          <w:rFonts w:ascii="Palatino Linotype" w:eastAsia="Palatino Linotype" w:hAnsi="Palatino Linotype" w:cs="Palatino Linotype"/>
          <w:b/>
          <w:bCs/>
          <w:i/>
          <w:iCs/>
          <w:sz w:val="22"/>
          <w:szCs w:val="22"/>
        </w:rPr>
        <w:t>;</w:t>
      </w:r>
      <w:r w:rsidRPr="001A3C0D">
        <w:rPr>
          <w:rFonts w:ascii="Palatino Linotype" w:eastAsia="Palatino Linotype" w:hAnsi="Palatino Linotype" w:cs="Palatino Linotype"/>
          <w:i/>
          <w:iCs/>
          <w:sz w:val="22"/>
          <w:szCs w:val="22"/>
        </w:rPr>
        <w:t xml:space="preserve"> remitiendo los expedientes al Tribunal de Justicia Administrativa del Estado de México, por faltas graves y faltas de particulares en términos de la referida Ley de Responsabilidades Administrativas del Estado de México y Municipios; </w:t>
      </w:r>
      <w:r w:rsidRPr="001A3C0D">
        <w:rPr>
          <w:rFonts w:ascii="Palatino Linotype" w:eastAsia="Palatino Linotype" w:hAnsi="Palatino Linotype" w:cs="Palatino Linotype"/>
          <w:b/>
          <w:bCs/>
          <w:i/>
          <w:iCs/>
          <w:sz w:val="22"/>
          <w:szCs w:val="22"/>
        </w:rPr>
        <w:t>instruyendo, tramitando y resolviendo los recursos que le corresponda conocer, previstos en esta;”</w:t>
      </w:r>
    </w:p>
    <w:p w14:paraId="3BAE984D" w14:textId="77777777" w:rsidR="00CA6B97" w:rsidRPr="001A3C0D" w:rsidRDefault="005B4EBC">
      <w:pPr>
        <w:spacing w:before="240" w:after="240"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Por su parte, el artículo 10, de la Ley de Responsabilidades Administrativas del Estado de México y Municipios, en su parte conducente, confiere a los órganos internos de control la atribución para investigar, substanciar calificar faltas administrativas en el ámbito de su competencia, así como de  iniciar, substanciar, y resolver los procedimientos de responsabilidad administrativa en los términos previstos en dicha Ley, respecto de aquellos actos u omisiones que hayan sido calificados como faltas no graves.</w:t>
      </w:r>
    </w:p>
    <w:p w14:paraId="34158509" w14:textId="77777777" w:rsidR="00CA6B97" w:rsidRPr="001A3C0D" w:rsidRDefault="005B4EBC">
      <w:pPr>
        <w:spacing w:before="240" w:after="240"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Asimismo, el precepto en cita dispone que en aquellos casos en los cuales las autoridades investigadoras determinen en su calificación la existencia de faltas administrativas, así como la presunta responsabilidad del infractor, deben elaborar el Informe de Presunta Responsabilidad Administrativa y presentarlo a la autoridad sustanciadora para que procesa en los términos de la Ley de Responsabilidades de la entidad.</w:t>
      </w:r>
    </w:p>
    <w:p w14:paraId="389D738D" w14:textId="77777777" w:rsidR="00CA6B97" w:rsidRPr="001A3C0D" w:rsidRDefault="005B4EBC">
      <w:pPr>
        <w:spacing w:before="240" w:after="240"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Al respecto, es importante mencionar que en términos de los artículos 3 fracciones XIII y XVI, 10 y 13 de la Ley de Responsabilidades Ley de Responsabilidades Administrativas del Estado de México y Municipios los órganos internos de control son competentes para investigar, substanciación y calificación de las faltas administrativas, </w:t>
      </w:r>
      <w:r w:rsidRPr="001A3C0D">
        <w:rPr>
          <w:rFonts w:ascii="Palatino Linotype" w:eastAsia="Palatino Linotype" w:hAnsi="Palatino Linotype" w:cs="Palatino Linotype"/>
          <w:b/>
          <w:bCs/>
          <w:sz w:val="22"/>
          <w:szCs w:val="22"/>
          <w:u w:val="single"/>
        </w:rPr>
        <w:t>así como imponer sanciones respecto de las faltas administrativas no graves de los servidores públicos</w:t>
      </w:r>
      <w:r w:rsidRPr="001A3C0D">
        <w:rPr>
          <w:rFonts w:ascii="Palatino Linotype" w:eastAsia="Palatino Linotype" w:hAnsi="Palatino Linotype" w:cs="Palatino Linotype"/>
          <w:sz w:val="22"/>
          <w:szCs w:val="22"/>
        </w:rPr>
        <w:t xml:space="preserve">; mientras que el Tribunal de Justicia Administrativa del Estado de México es competente para imponer sanciones por faltas graves de servidores públicos, así como por actos u omisiones de personas físicas o jurídicas colectivas que se encuentran vinculadas con las faltas administrativas graves. </w:t>
      </w:r>
    </w:p>
    <w:p w14:paraId="0B66B46E" w14:textId="77777777" w:rsidR="00CA6B97" w:rsidRPr="001A3C0D" w:rsidRDefault="005B4EBC">
      <w:pPr>
        <w:spacing w:before="240" w:after="240"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Hasta este punto es importante mencionar que el Particular fue muy preciso en solicitar las determinaciones emitidas en 2025, por la Contraloría Interna derivadas de denuncias, debiendo señalar que, las Contralorías Internas Municipales únicamente investigan, substancian y califican faltas administrativas no graves; mientras que las graves son Competencia del Tribunal de Justicia Administrativa.</w:t>
      </w:r>
    </w:p>
    <w:p w14:paraId="7E248905" w14:textId="77777777" w:rsidR="00CA6B97" w:rsidRPr="001A3C0D" w:rsidRDefault="005B4EBC">
      <w:pPr>
        <w:tabs>
          <w:tab w:val="left" w:pos="3544"/>
        </w:tabs>
        <w:spacing w:before="240" w:after="240"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Atento a lo anterior, se colige que la Contraloría Interna Municipal</w:t>
      </w:r>
      <w:r w:rsidRPr="001A3C0D">
        <w:rPr>
          <w:rFonts w:ascii="Palatino Linotype" w:eastAsia="Palatino Linotype" w:hAnsi="Palatino Linotype" w:cs="Palatino Linotype"/>
          <w:b/>
          <w:bCs/>
          <w:sz w:val="22"/>
          <w:szCs w:val="22"/>
        </w:rPr>
        <w:t xml:space="preserve"> </w:t>
      </w:r>
      <w:r w:rsidRPr="001A3C0D">
        <w:rPr>
          <w:rFonts w:ascii="Palatino Linotype" w:eastAsia="Palatino Linotype" w:hAnsi="Palatino Linotype" w:cs="Palatino Linotype"/>
          <w:sz w:val="22"/>
          <w:szCs w:val="22"/>
        </w:rPr>
        <w:t xml:space="preserve">cuenta con atribuciones para conocer de la información solicitada por la parte </w:t>
      </w:r>
      <w:r w:rsidRPr="001A3C0D">
        <w:rPr>
          <w:rFonts w:ascii="Palatino Linotype" w:eastAsia="Palatino Linotype" w:hAnsi="Palatino Linotype" w:cs="Palatino Linotype"/>
          <w:b/>
          <w:bCs/>
          <w:sz w:val="22"/>
          <w:szCs w:val="22"/>
        </w:rPr>
        <w:t>Recurrente</w:t>
      </w:r>
      <w:r w:rsidRPr="001A3C0D">
        <w:rPr>
          <w:rFonts w:ascii="Palatino Linotype" w:eastAsia="Palatino Linotype" w:hAnsi="Palatino Linotype" w:cs="Palatino Linotype"/>
          <w:sz w:val="22"/>
          <w:szCs w:val="22"/>
        </w:rPr>
        <w:t xml:space="preserve">, al ser el órgano responsable de investigación, substanciación y calificación de las faltas administrativas, así como de imponer sanciones respecto de las </w:t>
      </w:r>
      <w:r w:rsidRPr="001A3C0D">
        <w:rPr>
          <w:rFonts w:ascii="Palatino Linotype" w:eastAsia="Palatino Linotype" w:hAnsi="Palatino Linotype" w:cs="Palatino Linotype"/>
          <w:b/>
          <w:bCs/>
          <w:sz w:val="22"/>
          <w:szCs w:val="22"/>
        </w:rPr>
        <w:t>faltas administrativas no graves de los servidores públicos</w:t>
      </w:r>
      <w:r w:rsidRPr="001A3C0D">
        <w:rPr>
          <w:rFonts w:ascii="Palatino Linotype" w:eastAsia="Palatino Linotype" w:hAnsi="Palatino Linotype" w:cs="Palatino Linotype"/>
          <w:sz w:val="22"/>
          <w:szCs w:val="22"/>
        </w:rPr>
        <w:t>.</w:t>
      </w:r>
    </w:p>
    <w:p w14:paraId="5AA97356" w14:textId="77777777" w:rsidR="00CA6B97" w:rsidRPr="001A3C0D" w:rsidRDefault="005B4EBC">
      <w:pPr>
        <w:tabs>
          <w:tab w:val="left" w:pos="1140"/>
        </w:tabs>
        <w:spacing w:before="240" w:after="240" w:line="360" w:lineRule="auto"/>
        <w:jc w:val="both"/>
        <w:rPr>
          <w:rFonts w:ascii="Palatino Linotype" w:eastAsia="Palatino Linotype" w:hAnsi="Palatino Linotype" w:cs="Palatino Linotype"/>
          <w:sz w:val="22"/>
          <w:szCs w:val="22"/>
        </w:rPr>
      </w:pPr>
      <w:bookmarkStart w:id="2" w:name="_heading=h.8gaipez7rs8q" w:colFirst="0" w:colLast="0"/>
      <w:bookmarkEnd w:id="2"/>
      <w:r w:rsidRPr="001A3C0D">
        <w:rPr>
          <w:rFonts w:ascii="Palatino Linotype" w:eastAsia="Palatino Linotype" w:hAnsi="Palatino Linotype" w:cs="Palatino Linotype"/>
          <w:sz w:val="22"/>
          <w:szCs w:val="22"/>
        </w:rPr>
        <w:t xml:space="preserve">Ahora bien, por lo que se refiere a la materia de la solicitud, debe mencionarse que con motivo de la entrada en vigor de la Ley del Sistema Anticorrupción del Estado de México y Municipios publicada en el periódico oficial "Gaceta del Gobierno" el treinta de mayo de 2017, que establece que </w:t>
      </w:r>
      <w:r w:rsidRPr="001A3C0D">
        <w:rPr>
          <w:rFonts w:ascii="Palatino Linotype" w:eastAsia="Palatino Linotype" w:hAnsi="Palatino Linotype" w:cs="Palatino Linotype"/>
          <w:b/>
          <w:bCs/>
          <w:sz w:val="22"/>
          <w:szCs w:val="22"/>
          <w:u w:val="single"/>
        </w:rPr>
        <w:t>las sanciones no graves no serán públicas</w:t>
      </w:r>
      <w:r w:rsidRPr="001A3C0D">
        <w:rPr>
          <w:rFonts w:ascii="Palatino Linotype" w:eastAsia="Palatino Linotype" w:hAnsi="Palatino Linotype" w:cs="Palatino Linotype"/>
          <w:sz w:val="22"/>
          <w:szCs w:val="22"/>
        </w:rPr>
        <w:t>,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31BA8116"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 xml:space="preserve">“Artículo 53. Las sanciones impuestas por faltas administrativas graves serán del conocimiento público </w:t>
      </w:r>
      <w:r w:rsidRPr="001A3C0D">
        <w:rPr>
          <w:rFonts w:ascii="Palatino Linotype" w:eastAsia="Palatino Linotype" w:hAnsi="Palatino Linotype" w:cs="Palatino Linotype"/>
          <w:b/>
          <w:bCs/>
          <w:i/>
          <w:iCs/>
          <w:sz w:val="22"/>
          <w:szCs w:val="22"/>
          <w:u w:val="single"/>
        </w:rPr>
        <w:t>cuando éstas contengan impedimentos o inhabilitaciones</w:t>
      </w:r>
      <w:r w:rsidRPr="001A3C0D">
        <w:rPr>
          <w:rFonts w:ascii="Palatino Linotype" w:eastAsia="Palatino Linotype" w:hAnsi="Palatino Linotype" w:cs="Palatino Linotype"/>
          <w:i/>
          <w:iCs/>
          <w:sz w:val="22"/>
          <w:szCs w:val="22"/>
        </w:rPr>
        <w:t xml:space="preserve"> para ser contratados como servidores públicos o como prestadores de servicios o contratistas del sector público, en términos de la Ley de Responsabilidades Administrativas del Estado de México y Municipios.</w:t>
      </w:r>
    </w:p>
    <w:p w14:paraId="5AF6F079"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Los registros de </w:t>
      </w:r>
      <w:r w:rsidRPr="001A3C0D">
        <w:rPr>
          <w:rFonts w:ascii="Palatino Linotype" w:eastAsia="Palatino Linotype" w:hAnsi="Palatino Linotype" w:cs="Palatino Linotype"/>
          <w:b/>
          <w:bCs/>
          <w:i/>
          <w:iCs/>
          <w:sz w:val="22"/>
          <w:szCs w:val="22"/>
          <w:u w:val="single"/>
        </w:rPr>
        <w:t>las sanciones relativas a responsabilidades administrativas no graves, quedarán registradas para efectos de eventual reincidencia, pero no serán públicas.</w:t>
      </w:r>
      <w:r w:rsidRPr="001A3C0D">
        <w:rPr>
          <w:rFonts w:ascii="Palatino Linotype" w:eastAsia="Palatino Linotype" w:hAnsi="Palatino Linotype" w:cs="Palatino Linotype"/>
          <w:i/>
          <w:iCs/>
          <w:sz w:val="22"/>
          <w:szCs w:val="22"/>
        </w:rPr>
        <w:t>”</w:t>
      </w:r>
    </w:p>
    <w:p w14:paraId="4E7436BC" w14:textId="77777777" w:rsidR="00CA6B97" w:rsidRPr="001A3C0D" w:rsidRDefault="005B4EBC">
      <w:pPr>
        <w:spacing w:before="240" w:after="240" w:line="360" w:lineRule="auto"/>
        <w:ind w:right="51"/>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En ese sentido es importante, referir que la Ley de Responsabilidades Administrativas del Estado de México y Municipios, vigente, señala como faltas administrativas no graves, lo siguiente:</w:t>
      </w:r>
    </w:p>
    <w:p w14:paraId="5B64AFE6"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b/>
          <w:bCs/>
          <w:i/>
          <w:iCs/>
          <w:sz w:val="22"/>
          <w:szCs w:val="22"/>
        </w:rPr>
        <w:t>Artículo 3</w:t>
      </w:r>
      <w:r w:rsidRPr="001A3C0D">
        <w:rPr>
          <w:rFonts w:ascii="Palatino Linotype" w:eastAsia="Palatino Linotype" w:hAnsi="Palatino Linotype" w:cs="Palatino Linotype"/>
          <w:i/>
          <w:iCs/>
          <w:sz w:val="22"/>
          <w:szCs w:val="22"/>
        </w:rPr>
        <w:t>. Para los efectos de la presente Ley, se entenderá por:</w:t>
      </w:r>
      <w:r w:rsidRPr="001A3C0D">
        <w:rPr>
          <w:rFonts w:ascii="Palatino Linotype" w:eastAsia="Palatino Linotype" w:hAnsi="Palatino Linotype" w:cs="Palatino Linotype"/>
          <w:i/>
          <w:iCs/>
          <w:sz w:val="22"/>
          <w:szCs w:val="22"/>
        </w:rPr>
        <w:br/>
        <w:t>...</w:t>
      </w:r>
    </w:p>
    <w:p w14:paraId="40BCF015" w14:textId="77777777" w:rsidR="00CA6B97" w:rsidRPr="001A3C0D" w:rsidRDefault="005B4EBC">
      <w:pPr>
        <w:spacing w:before="120" w:after="120"/>
        <w:ind w:left="1134"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XIII.</w:t>
      </w:r>
      <w:r w:rsidRPr="001A3C0D">
        <w:rPr>
          <w:rFonts w:ascii="Palatino Linotype" w:eastAsia="Palatino Linotype" w:hAnsi="Palatino Linotype" w:cs="Palatino Linotype"/>
          <w:i/>
          <w:iCs/>
          <w:sz w:val="22"/>
          <w:szCs w:val="22"/>
        </w:rPr>
        <w:t xml:space="preserve"> </w:t>
      </w:r>
      <w:r w:rsidRPr="001A3C0D">
        <w:rPr>
          <w:rFonts w:ascii="Palatino Linotype" w:eastAsia="Palatino Linotype" w:hAnsi="Palatino Linotype" w:cs="Palatino Linotype"/>
          <w:b/>
          <w:bCs/>
          <w:i/>
          <w:iCs/>
          <w:sz w:val="22"/>
          <w:szCs w:val="22"/>
        </w:rPr>
        <w:t>Falta administrativa no grave</w:t>
      </w:r>
      <w:r w:rsidRPr="001A3C0D">
        <w:rPr>
          <w:rFonts w:ascii="Palatino Linotype" w:eastAsia="Palatino Linotype" w:hAnsi="Palatino Linotype" w:cs="Palatino Linotype"/>
          <w:i/>
          <w:iCs/>
          <w:sz w:val="22"/>
          <w:szCs w:val="22"/>
        </w:rPr>
        <w:t>: A las faltas administrativas de los servidores públicos en los términos de la presente Ley, cuya imposición de la sanción corresponde a la Secretaría de la Contraloría del Estado de México y a los órganos internos de control.</w:t>
      </w:r>
    </w:p>
    <w:p w14:paraId="2B533431" w14:textId="77777777" w:rsidR="00CA6B97" w:rsidRPr="001A3C0D" w:rsidRDefault="005B4EBC">
      <w:pPr>
        <w:spacing w:before="120" w:after="120"/>
        <w:ind w:left="1134"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3205F81F" w14:textId="77777777" w:rsidR="00CA6B97" w:rsidRPr="001A3C0D" w:rsidRDefault="005B4EB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14:paraId="2A0C7935" w14:textId="77777777" w:rsidR="00CA6B97" w:rsidRPr="001A3C0D" w:rsidRDefault="005B4EBC">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1A3C0D">
        <w:rPr>
          <w:rFonts w:ascii="Palatino Linotype" w:eastAsia="Palatino Linotype" w:hAnsi="Palatino Linotype" w:cs="Palatino Linotype"/>
          <w:b/>
          <w:bCs/>
          <w:i/>
          <w:iCs/>
          <w:sz w:val="22"/>
          <w:szCs w:val="22"/>
        </w:rPr>
        <w:t xml:space="preserve">“Artículo 50. Incurre en </w:t>
      </w:r>
      <w:r w:rsidRPr="001A3C0D">
        <w:rPr>
          <w:rFonts w:ascii="Palatino Linotype" w:eastAsia="Palatino Linotype" w:hAnsi="Palatino Linotype" w:cs="Palatino Linotype"/>
          <w:b/>
          <w:bCs/>
          <w:i/>
          <w:iCs/>
          <w:sz w:val="22"/>
          <w:szCs w:val="22"/>
          <w:u w:val="single"/>
        </w:rPr>
        <w:t>falta administrativa no grave</w:t>
      </w:r>
      <w:r w:rsidRPr="001A3C0D">
        <w:rPr>
          <w:rFonts w:ascii="Palatino Linotype" w:eastAsia="Palatino Linotype" w:hAnsi="Palatino Linotype" w:cs="Palatino Linotype"/>
          <w:b/>
          <w:bCs/>
          <w:i/>
          <w:iCs/>
          <w:sz w:val="22"/>
          <w:szCs w:val="22"/>
        </w:rPr>
        <w:t>, el servidor público que con sus actos u omisiones, incumpla o transgreda las obligaciones siguientes:</w:t>
      </w:r>
    </w:p>
    <w:p w14:paraId="3B92A5B8"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I.</w:t>
      </w:r>
      <w:r w:rsidRPr="001A3C0D">
        <w:rPr>
          <w:rFonts w:ascii="Palatino Linotype" w:eastAsia="Palatino Linotype" w:hAnsi="Palatino Linotype" w:cs="Palatino Linotype"/>
          <w:i/>
          <w:iCs/>
          <w:sz w:val="22"/>
          <w:szCs w:val="22"/>
        </w:rPr>
        <w:t xml:space="preserve"> Cumplir con las funciones, atribuciones y comisiones encomendadas, observando en su desempeño disciplina y respeto, tanto a los demás servidores públicos, a los particulares con los que llegare a tratar, </w:t>
      </w:r>
      <w:r w:rsidRPr="001A3C0D">
        <w:rPr>
          <w:rFonts w:ascii="Palatino Linotype" w:eastAsia="Palatino Linotype" w:hAnsi="Palatino Linotype" w:cs="Palatino Linotype"/>
          <w:b/>
          <w:bCs/>
          <w:i/>
          <w:iCs/>
          <w:sz w:val="22"/>
          <w:szCs w:val="22"/>
        </w:rPr>
        <w:t xml:space="preserve">en los términos que se establezcan en el </w:t>
      </w:r>
      <w:r w:rsidRPr="001A3C0D">
        <w:rPr>
          <w:rFonts w:ascii="Palatino Linotype" w:eastAsia="Palatino Linotype" w:hAnsi="Palatino Linotype" w:cs="Palatino Linotype"/>
          <w:b/>
          <w:bCs/>
          <w:i/>
          <w:iCs/>
          <w:sz w:val="22"/>
          <w:szCs w:val="22"/>
          <w:u w:val="single"/>
        </w:rPr>
        <w:t>código de ética</w:t>
      </w:r>
      <w:r w:rsidRPr="001A3C0D">
        <w:rPr>
          <w:rFonts w:ascii="Palatino Linotype" w:eastAsia="Palatino Linotype" w:hAnsi="Palatino Linotype" w:cs="Palatino Linotype"/>
          <w:i/>
          <w:iCs/>
          <w:sz w:val="22"/>
          <w:szCs w:val="22"/>
        </w:rPr>
        <w:t xml:space="preserve"> a que se refiere esta Ley. </w:t>
      </w:r>
    </w:p>
    <w:p w14:paraId="03EC57EB"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II.</w:t>
      </w:r>
      <w:r w:rsidRPr="001A3C0D">
        <w:rPr>
          <w:rFonts w:ascii="Palatino Linotype" w:eastAsia="Palatino Linotype" w:hAnsi="Palatino Linotype" w:cs="Palatino Linotype"/>
          <w:i/>
          <w:iCs/>
          <w:sz w:val="22"/>
          <w:szCs w:val="22"/>
        </w:rPr>
        <w:t xml:space="preserve"> Denunciar los actos u omisiones que en ejercicio de sus funciones llegare a advertir, que puedan constituir faltas administrativas en términos del artículo 95 de la presente Ley. </w:t>
      </w:r>
    </w:p>
    <w:p w14:paraId="1CF57E35"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III.</w:t>
      </w:r>
      <w:r w:rsidRPr="001A3C0D">
        <w:rPr>
          <w:rFonts w:ascii="Palatino Linotype" w:eastAsia="Palatino Linotype" w:hAnsi="Palatino Linotype" w:cs="Palatino Linotype"/>
          <w:i/>
          <w:iCs/>
          <w:sz w:val="22"/>
          <w:szCs w:val="22"/>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14:paraId="10F774B3"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IV</w:t>
      </w:r>
      <w:r w:rsidRPr="001A3C0D">
        <w:rPr>
          <w:rFonts w:ascii="Palatino Linotype" w:eastAsia="Palatino Linotype" w:hAnsi="Palatino Linotype" w:cs="Palatino Linotype"/>
          <w:i/>
          <w:iCs/>
          <w:sz w:val="22"/>
          <w:szCs w:val="22"/>
        </w:rPr>
        <w:t xml:space="preserve">. Presentar en tiempo y forma la declaración de situación patrimonial y la de intereses que, en su caso, considere se actualice, en los términos establecidos por esta Ley. </w:t>
      </w:r>
    </w:p>
    <w:p w14:paraId="0044A869"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V</w:t>
      </w:r>
      <w:r w:rsidRPr="001A3C0D">
        <w:rPr>
          <w:rFonts w:ascii="Palatino Linotype" w:eastAsia="Palatino Linotype" w:hAnsi="Palatino Linotype" w:cs="Palatino Linotype"/>
          <w:i/>
          <w:iCs/>
          <w:sz w:val="22"/>
          <w:szCs w:val="22"/>
        </w:rPr>
        <w:t xml:space="preserve">. Rendir cuentas sobre el ejercicio de las funciones, en términos de las normas aplicables. </w:t>
      </w:r>
    </w:p>
    <w:p w14:paraId="64FD6C28"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VI</w:t>
      </w:r>
      <w:r w:rsidRPr="001A3C0D">
        <w:rPr>
          <w:rFonts w:ascii="Palatino Linotype" w:eastAsia="Palatino Linotype" w:hAnsi="Palatino Linotype" w:cs="Palatino Linotype"/>
          <w:i/>
          <w:iCs/>
          <w:sz w:val="22"/>
          <w:szCs w:val="22"/>
        </w:rPr>
        <w:t xml:space="preserve">. Colaborar en los procedimientos judiciales y administrativos en los que sea parte. </w:t>
      </w:r>
    </w:p>
    <w:p w14:paraId="692B1438"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VII</w:t>
      </w:r>
      <w:r w:rsidRPr="001A3C0D">
        <w:rPr>
          <w:rFonts w:ascii="Palatino Linotype" w:eastAsia="Palatino Linotype" w:hAnsi="Palatino Linotype" w:cs="Palatino Linotype"/>
          <w:i/>
          <w:iCs/>
          <w:sz w:val="22"/>
          <w:szCs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34B3A0D4"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VIII</w:t>
      </w:r>
      <w:r w:rsidRPr="001A3C0D">
        <w:rPr>
          <w:rFonts w:ascii="Palatino Linotype" w:eastAsia="Palatino Linotype" w:hAnsi="Palatino Linotype" w:cs="Palatino Linotype"/>
          <w:i/>
          <w:iCs/>
          <w:sz w:val="22"/>
          <w:szCs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6A2DC1D9"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IX</w:t>
      </w:r>
      <w:r w:rsidRPr="001A3C0D">
        <w:rPr>
          <w:rFonts w:ascii="Palatino Linotype" w:eastAsia="Palatino Linotype" w:hAnsi="Palatino Linotype" w:cs="Palatino Linotype"/>
          <w:i/>
          <w:iCs/>
          <w:sz w:val="22"/>
          <w:szCs w:val="22"/>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7872A40E"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w:t>
      </w:r>
      <w:r w:rsidRPr="001A3C0D">
        <w:rPr>
          <w:rFonts w:ascii="Palatino Linotype" w:eastAsia="Palatino Linotype" w:hAnsi="Palatino Linotype" w:cs="Palatino Linotype"/>
          <w:i/>
          <w:iCs/>
          <w:sz w:val="22"/>
          <w:szCs w:val="22"/>
        </w:rPr>
        <w:t xml:space="preserve"> Observar buena conducta en su empleo, cargo o comisión tratando con respeto, diligencia, imparcialidad y rectitud a las personas y servidores públicos con los que tenga relación con motivo de éste. </w:t>
      </w:r>
    </w:p>
    <w:p w14:paraId="610CA173"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 xml:space="preserve">XI. </w:t>
      </w:r>
      <w:r w:rsidRPr="001A3C0D">
        <w:rPr>
          <w:rFonts w:ascii="Palatino Linotype" w:eastAsia="Palatino Linotype" w:hAnsi="Palatino Linotype" w:cs="Palatino Linotype"/>
          <w:i/>
          <w:iCs/>
          <w:sz w:val="22"/>
          <w:szCs w:val="22"/>
        </w:rPr>
        <w:t xml:space="preserve">Observar un trato respetuoso con sus subalternos. </w:t>
      </w:r>
    </w:p>
    <w:p w14:paraId="3C9A9610"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XII. Supervisar que los servidores públicos sujetos a su dirección, cumplan con las disposiciones de esta Ley. </w:t>
      </w:r>
    </w:p>
    <w:p w14:paraId="117BC320"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XIII.</w:t>
      </w:r>
      <w:r w:rsidRPr="001A3C0D">
        <w:rPr>
          <w:rFonts w:ascii="Palatino Linotype" w:eastAsia="Palatino Linotype" w:hAnsi="Palatino Linotype" w:cs="Palatino Linotype"/>
          <w:i/>
          <w:iCs/>
          <w:sz w:val="22"/>
          <w:szCs w:val="22"/>
        </w:rPr>
        <w:t xml:space="preserve"> Cumplir con la entrega de índole administrativo del despacho y de toda aquella documentación inherente a su cargo, en los términos que establezcan las disposiciones legales o administrativas que al efecto se señalen. </w:t>
      </w:r>
    </w:p>
    <w:p w14:paraId="53F957E6"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XIV.</w:t>
      </w:r>
      <w:r w:rsidRPr="001A3C0D">
        <w:rPr>
          <w:rFonts w:ascii="Palatino Linotype" w:eastAsia="Palatino Linotype" w:hAnsi="Palatino Linotype" w:cs="Palatino Linotype"/>
          <w:i/>
          <w:iCs/>
          <w:sz w:val="22"/>
          <w:szCs w:val="22"/>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1FADF204"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XV.</w:t>
      </w:r>
      <w:r w:rsidRPr="001A3C0D">
        <w:rPr>
          <w:rFonts w:ascii="Palatino Linotype" w:eastAsia="Palatino Linotype" w:hAnsi="Palatino Linotype" w:cs="Palatino Linotype"/>
          <w:i/>
          <w:iCs/>
          <w:sz w:val="22"/>
          <w:szCs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6F2A46A9"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XVI.</w:t>
      </w:r>
      <w:r w:rsidRPr="001A3C0D">
        <w:rPr>
          <w:rFonts w:ascii="Palatino Linotype" w:eastAsia="Palatino Linotype" w:hAnsi="Palatino Linotype" w:cs="Palatino Linotype"/>
          <w:i/>
          <w:iCs/>
          <w:sz w:val="22"/>
          <w:szCs w:val="22"/>
        </w:rPr>
        <w:t xml:space="preserve"> Cumplir con las disposiciones en materia de Gobierno Digital que impongan la Ley de la materia, su reglamento y demás disposiciones aplicables.</w:t>
      </w:r>
    </w:p>
    <w:p w14:paraId="43E5BEF9"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XVII.</w:t>
      </w:r>
      <w:r w:rsidRPr="001A3C0D">
        <w:rPr>
          <w:rFonts w:ascii="Palatino Linotype" w:eastAsia="Palatino Linotype" w:hAnsi="Palatino Linotype" w:cs="Palatino Linotype"/>
          <w:i/>
          <w:iCs/>
          <w:sz w:val="22"/>
          <w:szCs w:val="22"/>
        </w:rPr>
        <w:t xml:space="preserve"> Utilizar las medidas de seguridad informática y protección de datos e información personal recomendada por las instancias competentes. </w:t>
      </w:r>
    </w:p>
    <w:p w14:paraId="5FDC40C7"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 xml:space="preserve">XVIII. </w:t>
      </w:r>
      <w:r w:rsidRPr="001A3C0D">
        <w:rPr>
          <w:rFonts w:ascii="Palatino Linotype" w:eastAsia="Palatino Linotype" w:hAnsi="Palatino Linotype" w:cs="Palatino Linotype"/>
          <w:i/>
          <w:iCs/>
          <w:sz w:val="22"/>
          <w:szCs w:val="22"/>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14:paraId="1FAE08D5" w14:textId="77777777" w:rsidR="00CA6B97" w:rsidRPr="001A3C0D" w:rsidRDefault="005B4EBC">
      <w:pPr>
        <w:pBdr>
          <w:top w:val="nil"/>
          <w:left w:val="nil"/>
          <w:bottom w:val="nil"/>
          <w:right w:val="nil"/>
          <w:between w:val="nil"/>
        </w:pBdr>
        <w:spacing w:before="120" w:after="120"/>
        <w:ind w:left="993" w:right="1043"/>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XIX.</w:t>
      </w:r>
      <w:r w:rsidRPr="001A3C0D">
        <w:rPr>
          <w:rFonts w:ascii="Palatino Linotype" w:eastAsia="Palatino Linotype" w:hAnsi="Palatino Linotype" w:cs="Palatino Linotype"/>
          <w:i/>
          <w:iCs/>
          <w:sz w:val="22"/>
          <w:szCs w:val="22"/>
        </w:rPr>
        <w:t xml:space="preserve"> Las demás que le impongan las leyes, reglamentos o disposiciones administrativas aplicables.”</w:t>
      </w:r>
    </w:p>
    <w:p w14:paraId="7295947D" w14:textId="77777777" w:rsidR="00CA6B97" w:rsidRPr="001A3C0D" w:rsidRDefault="005B4EBC">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De la misma manera, el artículo 51 de la Ley de Responsabilidades Administrativas indica que </w:t>
      </w:r>
      <w:r w:rsidRPr="001A3C0D">
        <w:rPr>
          <w:rFonts w:ascii="Palatino Linotype" w:eastAsia="Palatino Linotype" w:hAnsi="Palatino Linotype" w:cs="Palatino Linotype"/>
          <w:b/>
          <w:bCs/>
          <w:sz w:val="22"/>
          <w:szCs w:val="22"/>
        </w:rPr>
        <w:t xml:space="preserve">también serán consideradas faltas administrativas </w:t>
      </w:r>
      <w:r w:rsidRPr="001A3C0D">
        <w:rPr>
          <w:rFonts w:ascii="Palatino Linotype" w:eastAsia="Palatino Linotype" w:hAnsi="Palatino Linotype" w:cs="Palatino Linotype"/>
          <w:b/>
          <w:bCs/>
          <w:sz w:val="22"/>
          <w:szCs w:val="22"/>
          <w:u w:val="single"/>
        </w:rPr>
        <w:t>no graves</w:t>
      </w:r>
      <w:r w:rsidRPr="001A3C0D">
        <w:rPr>
          <w:rFonts w:ascii="Palatino Linotype" w:eastAsia="Palatino Linotype" w:hAnsi="Palatino Linotype" w:cs="Palatino Linotype"/>
          <w:b/>
          <w:bCs/>
          <w:sz w:val="22"/>
          <w:szCs w:val="22"/>
        </w:rPr>
        <w:t>, los daños y perjuicios</w:t>
      </w:r>
      <w:r w:rsidRPr="001A3C0D">
        <w:rPr>
          <w:rFonts w:ascii="Palatino Linotype" w:eastAsia="Palatino Linotype" w:hAnsi="Palatino Linotype" w:cs="Palatino Linotype"/>
          <w:sz w:val="22"/>
          <w:szCs w:val="22"/>
        </w:rPr>
        <w:t xml:space="preserve"> que </w:t>
      </w:r>
      <w:r w:rsidRPr="001A3C0D">
        <w:rPr>
          <w:rFonts w:ascii="Palatino Linotype" w:eastAsia="Palatino Linotype" w:hAnsi="Palatino Linotype" w:cs="Palatino Linotype"/>
          <w:b/>
          <w:bCs/>
          <w:sz w:val="22"/>
          <w:szCs w:val="22"/>
          <w:u w:val="single"/>
        </w:rPr>
        <w:t>de manera culposa o negligente y sin incurrir en alguna de las faltas administrativas graves</w:t>
      </w:r>
      <w:r w:rsidRPr="001A3C0D">
        <w:rPr>
          <w:rFonts w:ascii="Palatino Linotype" w:eastAsia="Palatino Linotype" w:hAnsi="Palatino Linotype" w:cs="Palatino Linotype"/>
          <w:sz w:val="22"/>
          <w:szCs w:val="22"/>
        </w:rPr>
        <w:t xml:space="preserve">, </w:t>
      </w:r>
      <w:r w:rsidRPr="001A3C0D">
        <w:rPr>
          <w:rFonts w:ascii="Palatino Linotype" w:eastAsia="Palatino Linotype" w:hAnsi="Palatino Linotype" w:cs="Palatino Linotype"/>
          <w:b/>
          <w:bCs/>
          <w:sz w:val="22"/>
          <w:szCs w:val="22"/>
        </w:rPr>
        <w:t>cause un servidor público a la Hacienda Pública o al patrimonio de un ente público</w:t>
      </w:r>
      <w:r w:rsidRPr="001A3C0D">
        <w:rPr>
          <w:rFonts w:ascii="Palatino Linotype" w:eastAsia="Palatino Linotype" w:hAnsi="Palatino Linotype" w:cs="Palatino Linotype"/>
          <w:sz w:val="22"/>
          <w:szCs w:val="22"/>
        </w:rPr>
        <w:t xml:space="preserve">, siendo de suma importancia mencionar que la autoridad resolutora podrá abstenerse de imponer la sanción que corresponda </w:t>
      </w:r>
      <w:r w:rsidRPr="001A3C0D">
        <w:rPr>
          <w:rFonts w:ascii="Palatino Linotype" w:eastAsia="Palatino Linotype" w:hAnsi="Palatino Linotype" w:cs="Palatino Linotype"/>
          <w:b/>
          <w:bCs/>
          <w:sz w:val="22"/>
          <w:szCs w:val="22"/>
        </w:rPr>
        <w:t>cuando el daño o perjuicio</w:t>
      </w:r>
      <w:r w:rsidRPr="001A3C0D">
        <w:rPr>
          <w:rFonts w:ascii="Palatino Linotype" w:eastAsia="Palatino Linotype" w:hAnsi="Palatino Linotype" w:cs="Palatino Linotype"/>
          <w:sz w:val="22"/>
          <w:szCs w:val="22"/>
        </w:rPr>
        <w:t xml:space="preserve"> a la Hacienda Pública Estatal o Municipal o al patrimonio de los entes públicos </w:t>
      </w:r>
      <w:r w:rsidRPr="001A3C0D">
        <w:rPr>
          <w:rFonts w:ascii="Palatino Linotype" w:eastAsia="Palatino Linotype" w:hAnsi="Palatino Linotype" w:cs="Palatino Linotype"/>
          <w:b/>
          <w:bCs/>
          <w:sz w:val="22"/>
          <w:szCs w:val="22"/>
        </w:rPr>
        <w:t>no exceda de dos mil veces el valor diario de la unidad de medida y actualización y el daño haya sido resarcido o recuperado</w:t>
      </w:r>
      <w:r w:rsidRPr="001A3C0D">
        <w:rPr>
          <w:rFonts w:ascii="Palatino Linotype" w:eastAsia="Palatino Linotype" w:hAnsi="Palatino Linotype" w:cs="Palatino Linotype"/>
          <w:sz w:val="22"/>
          <w:szCs w:val="22"/>
        </w:rPr>
        <w:t>, tal como se lee en seguida:</w:t>
      </w:r>
    </w:p>
    <w:p w14:paraId="6F6E79B1" w14:textId="77777777" w:rsidR="00CA6B97" w:rsidRPr="001A3C0D" w:rsidRDefault="005B4EBC">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b/>
          <w:bCs/>
          <w:i/>
          <w:iCs/>
          <w:sz w:val="22"/>
          <w:szCs w:val="22"/>
        </w:rPr>
        <w:t>Artículo 51.</w:t>
      </w:r>
      <w:r w:rsidRPr="001A3C0D">
        <w:rPr>
          <w:rFonts w:ascii="Palatino Linotype" w:eastAsia="Palatino Linotype" w:hAnsi="Palatino Linotype" w:cs="Palatino Linotype"/>
          <w:i/>
          <w:iCs/>
          <w:sz w:val="22"/>
          <w:szCs w:val="22"/>
        </w:rPr>
        <w:t xml:space="preserve"> También se considerará </w:t>
      </w:r>
      <w:r w:rsidRPr="001A3C0D">
        <w:rPr>
          <w:rFonts w:ascii="Palatino Linotype" w:eastAsia="Palatino Linotype" w:hAnsi="Palatino Linotype" w:cs="Palatino Linotype"/>
          <w:b/>
          <w:bCs/>
          <w:i/>
          <w:iCs/>
          <w:sz w:val="22"/>
          <w:szCs w:val="22"/>
        </w:rPr>
        <w:t>falta administrativa no grave, los daños y perjuicios que, de manera culposa o negligente y sin incurrir en alguna de las faltas administrativas graves</w:t>
      </w:r>
      <w:r w:rsidRPr="001A3C0D">
        <w:rPr>
          <w:rFonts w:ascii="Palatino Linotype" w:eastAsia="Palatino Linotype" w:hAnsi="Palatino Linotype" w:cs="Palatino Linotype"/>
          <w:i/>
          <w:iCs/>
          <w:sz w:val="22"/>
          <w:szCs w:val="22"/>
        </w:rPr>
        <w:t xml:space="preserve"> señaladas en el Capítulo siguiente, </w:t>
      </w:r>
      <w:r w:rsidRPr="001A3C0D">
        <w:rPr>
          <w:rFonts w:ascii="Palatino Linotype" w:eastAsia="Palatino Linotype" w:hAnsi="Palatino Linotype" w:cs="Palatino Linotype"/>
          <w:b/>
          <w:bCs/>
          <w:i/>
          <w:iCs/>
          <w:sz w:val="22"/>
          <w:szCs w:val="22"/>
        </w:rPr>
        <w:t xml:space="preserve">cause un servidor público a la Hacienda Pública o al patrimonio de un ente público. </w:t>
      </w:r>
    </w:p>
    <w:p w14:paraId="7C3F65EC" w14:textId="77777777" w:rsidR="00CA6B97" w:rsidRPr="001A3C0D" w:rsidRDefault="005B4EBC">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14:paraId="2735FADC" w14:textId="77777777" w:rsidR="00CA6B97" w:rsidRPr="001A3C0D" w:rsidRDefault="005B4EBC">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5CE58198" w14:textId="77777777" w:rsidR="00CA6B97" w:rsidRPr="001A3C0D" w:rsidRDefault="005B4EBC">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La </w:t>
      </w:r>
      <w:r w:rsidRPr="001A3C0D">
        <w:rPr>
          <w:rFonts w:ascii="Palatino Linotype" w:eastAsia="Palatino Linotype" w:hAnsi="Palatino Linotype" w:cs="Palatino Linotype"/>
          <w:b/>
          <w:bCs/>
          <w:i/>
          <w:iCs/>
          <w:sz w:val="22"/>
          <w:szCs w:val="22"/>
        </w:rPr>
        <w:t>autoridad resolutora podrá abstenerse de imponer la sanción que corresponda</w:t>
      </w:r>
      <w:r w:rsidRPr="001A3C0D">
        <w:rPr>
          <w:rFonts w:ascii="Palatino Linotype" w:eastAsia="Palatino Linotype" w:hAnsi="Palatino Linotype" w:cs="Palatino Linotype"/>
          <w:i/>
          <w:iCs/>
          <w:sz w:val="22"/>
          <w:szCs w:val="22"/>
        </w:rPr>
        <w:t xml:space="preserve"> conforme al artículo 79 de esta Ley </w:t>
      </w:r>
      <w:r w:rsidRPr="001A3C0D">
        <w:rPr>
          <w:rFonts w:ascii="Palatino Linotype" w:eastAsia="Palatino Linotype" w:hAnsi="Palatino Linotype" w:cs="Palatino Linotype"/>
          <w:b/>
          <w:bCs/>
          <w:i/>
          <w:iCs/>
          <w:sz w:val="22"/>
          <w:szCs w:val="22"/>
        </w:rPr>
        <w:t>cuando el daño o perjuicio a la Hacienda Pública Estatal o Municipal o al patrimonio de los entes públicos no exceda de dos mil veces el valor diario de la unidad de medida y actualización y el daño haya sido resarcido o recuperado</w:t>
      </w:r>
      <w:r w:rsidRPr="001A3C0D">
        <w:rPr>
          <w:rFonts w:ascii="Palatino Linotype" w:eastAsia="Palatino Linotype" w:hAnsi="Palatino Linotype" w:cs="Palatino Linotype"/>
          <w:i/>
          <w:iCs/>
          <w:sz w:val="22"/>
          <w:szCs w:val="22"/>
        </w:rPr>
        <w:t>.”</w:t>
      </w:r>
    </w:p>
    <w:p w14:paraId="6BA97C7B" w14:textId="77777777" w:rsidR="00CA6B97" w:rsidRPr="001A3C0D" w:rsidRDefault="005B4EB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En otras palabras, </w:t>
      </w:r>
      <w:r w:rsidRPr="001A3C0D">
        <w:rPr>
          <w:rFonts w:ascii="Palatino Linotype" w:eastAsia="Palatino Linotype" w:hAnsi="Palatino Linotype" w:cs="Palatino Linotype"/>
          <w:b/>
          <w:bCs/>
          <w:sz w:val="22"/>
          <w:szCs w:val="22"/>
        </w:rPr>
        <w:t>los daños y perjuicios que cause un servidor público a la Hacienda Pública o al patrimonio de un ente público</w:t>
      </w:r>
      <w:r w:rsidRPr="001A3C0D">
        <w:rPr>
          <w:rFonts w:ascii="Palatino Linotype" w:eastAsia="Palatino Linotype" w:hAnsi="Palatino Linotype" w:cs="Palatino Linotype"/>
          <w:sz w:val="22"/>
          <w:szCs w:val="22"/>
        </w:rPr>
        <w:t>, también</w:t>
      </w:r>
      <w:r w:rsidRPr="001A3C0D">
        <w:rPr>
          <w:rFonts w:ascii="Palatino Linotype" w:eastAsia="Palatino Linotype" w:hAnsi="Palatino Linotype" w:cs="Palatino Linotype"/>
          <w:b/>
          <w:bCs/>
          <w:sz w:val="22"/>
          <w:szCs w:val="22"/>
        </w:rPr>
        <w:t xml:space="preserve"> podrán ser considerados como una falta </w:t>
      </w:r>
      <w:r w:rsidRPr="001A3C0D">
        <w:rPr>
          <w:rFonts w:ascii="Palatino Linotype" w:eastAsia="Palatino Linotype" w:hAnsi="Palatino Linotype" w:cs="Palatino Linotype"/>
          <w:b/>
          <w:bCs/>
          <w:sz w:val="22"/>
          <w:szCs w:val="22"/>
          <w:u w:val="single"/>
        </w:rPr>
        <w:t>no grave</w:t>
      </w:r>
      <w:r w:rsidRPr="001A3C0D">
        <w:rPr>
          <w:rFonts w:ascii="Palatino Linotype" w:eastAsia="Palatino Linotype" w:hAnsi="Palatino Linotype" w:cs="Palatino Linotype"/>
          <w:sz w:val="22"/>
          <w:szCs w:val="22"/>
        </w:rPr>
        <w:t>, para lo cual se deben actualizar los siguientes supuestos:</w:t>
      </w:r>
    </w:p>
    <w:p w14:paraId="601979D6" w14:textId="77777777" w:rsidR="00CA6B97" w:rsidRPr="001A3C0D" w:rsidRDefault="005B4EBC">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1. El daño o perjuicio se hubiera ocasionado de manera culposa o negligente, esto es sin dolo.</w:t>
      </w:r>
    </w:p>
    <w:p w14:paraId="4C63EA06" w14:textId="77777777" w:rsidR="00CA6B97" w:rsidRPr="001A3C0D" w:rsidRDefault="005B4EBC">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2. No debe incurrir en alguna de las faltas administrativas graves.</w:t>
      </w:r>
    </w:p>
    <w:p w14:paraId="3015B582" w14:textId="77777777" w:rsidR="00CA6B97" w:rsidRPr="001A3C0D" w:rsidRDefault="005B4EBC">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3. No exceda de dos mil veces el valor diario de la unidad de medida y actualización.</w:t>
      </w:r>
    </w:p>
    <w:p w14:paraId="4BE10116" w14:textId="77777777" w:rsidR="00CA6B97" w:rsidRPr="001A3C0D" w:rsidRDefault="005B4EBC">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4. El daño haya sido resarcido o recuperado.</w:t>
      </w:r>
    </w:p>
    <w:p w14:paraId="11F38010" w14:textId="77777777" w:rsidR="00CA6B97" w:rsidRPr="001A3C0D" w:rsidRDefault="005B4EBC">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En caso contrario, los daños o perjuicios </w:t>
      </w:r>
      <w:r w:rsidRPr="001A3C0D">
        <w:rPr>
          <w:rFonts w:ascii="Palatino Linotype" w:eastAsia="Palatino Linotype" w:hAnsi="Palatino Linotype" w:cs="Palatino Linotype"/>
          <w:b/>
          <w:bCs/>
          <w:sz w:val="22"/>
          <w:szCs w:val="22"/>
        </w:rPr>
        <w:t>se considerarán como faltas graves</w:t>
      </w:r>
      <w:r w:rsidRPr="001A3C0D">
        <w:rPr>
          <w:rFonts w:ascii="Palatino Linotype" w:eastAsia="Palatino Linotype" w:hAnsi="Palatino Linotype" w:cs="Palatino Linotype"/>
          <w:sz w:val="22"/>
          <w:szCs w:val="22"/>
        </w:rPr>
        <w:t>.</w:t>
      </w:r>
    </w:p>
    <w:p w14:paraId="45849BD6" w14:textId="77777777" w:rsidR="00CA6B97" w:rsidRPr="001A3C0D" w:rsidRDefault="005B4EBC">
      <w:pPr>
        <w:tabs>
          <w:tab w:val="left" w:pos="975"/>
        </w:tabs>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Así, en el entendido de que a través del Órgano Interno de Control está facultado para investigar, substanciar y calificar las faltas administrativas, </w:t>
      </w:r>
      <w:r w:rsidRPr="001A3C0D">
        <w:rPr>
          <w:rFonts w:ascii="Palatino Linotype" w:eastAsia="Palatino Linotype" w:hAnsi="Palatino Linotype" w:cs="Palatino Linotype"/>
          <w:b/>
          <w:bCs/>
          <w:sz w:val="22"/>
          <w:szCs w:val="22"/>
        </w:rPr>
        <w:t>imponer sanciones respecto de las faltas administrativas no graves de los servidores públicos</w:t>
      </w:r>
      <w:r w:rsidRPr="001A3C0D">
        <w:rPr>
          <w:rFonts w:ascii="Palatino Linotype" w:eastAsia="Palatino Linotype" w:hAnsi="Palatino Linotype" w:cs="Palatino Linotype"/>
          <w:sz w:val="22"/>
          <w:szCs w:val="22"/>
        </w:rPr>
        <w:t xml:space="preserve">, bajo la premisa de que, según lo dispuesto en los artículos 18, 24 fracción XXII y 160 párrafo primero de la Ley de Transparencia y Acceso a la Información Pública del Estado de México y Municipios, los Sujetos Obligados tienen el ineludible compromiso de documentar todos los actos que deriven de sus atribuciones, funciones y competencias considerando desde su origen la eventual publicidad de la información como a continuación se lee: </w:t>
      </w:r>
    </w:p>
    <w:p w14:paraId="0B5B3929" w14:textId="77777777" w:rsidR="00CA6B97" w:rsidRPr="001A3C0D" w:rsidRDefault="005B4EB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bookmarkStart w:id="3" w:name="_heading=h.9s1uhtyfgt4s" w:colFirst="0" w:colLast="0"/>
      <w:bookmarkEnd w:id="3"/>
      <w:r w:rsidRPr="001A3C0D">
        <w:rPr>
          <w:rFonts w:ascii="Palatino Linotype" w:eastAsia="Palatino Linotype" w:hAnsi="Palatino Linotype" w:cs="Palatino Linotype"/>
          <w:b/>
          <w:bCs/>
          <w:i/>
          <w:iCs/>
          <w:sz w:val="22"/>
          <w:szCs w:val="22"/>
        </w:rPr>
        <w:t>“Artículo 18</w:t>
      </w:r>
      <w:r w:rsidRPr="001A3C0D">
        <w:rPr>
          <w:rFonts w:ascii="Palatino Linotype" w:eastAsia="Palatino Linotype" w:hAnsi="Palatino Linotype" w:cs="Palatino Linotype"/>
          <w:i/>
          <w:iCs/>
          <w:sz w:val="22"/>
          <w:szCs w:val="22"/>
        </w:rPr>
        <w:t>. Los sujetos obligados deberán documentar todo acto que derive del ejercicio de sus facultades, competencias o funciones, considerando desde su origen la eventual publicidad y reutilización de la información que generen.</w:t>
      </w:r>
    </w:p>
    <w:p w14:paraId="45AC9A42" w14:textId="77777777" w:rsidR="00CA6B97" w:rsidRPr="001A3C0D" w:rsidRDefault="005B4EB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09A6B0F1" w14:textId="77777777" w:rsidR="00CA6B97" w:rsidRPr="001A3C0D" w:rsidRDefault="005B4EB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Artículo 24.</w:t>
      </w:r>
      <w:r w:rsidRPr="001A3C0D">
        <w:rPr>
          <w:rFonts w:ascii="Palatino Linotype" w:eastAsia="Palatino Linotype" w:hAnsi="Palatino Linotype" w:cs="Palatino Linotype"/>
          <w:i/>
          <w:iCs/>
          <w:sz w:val="22"/>
          <w:szCs w:val="22"/>
        </w:rPr>
        <w:t xml:space="preserve"> Para el cumplimiento de los objetivos de esta Ley, los sujetos obligados deberán cumplir con las siguientes obligaciones, según corresponda, de acuerdo a su naturaleza:</w:t>
      </w:r>
    </w:p>
    <w:p w14:paraId="5ADED4A8" w14:textId="77777777" w:rsidR="00CA6B97" w:rsidRPr="001A3C0D" w:rsidRDefault="005B4EB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XXII.</w:t>
      </w:r>
      <w:r w:rsidRPr="001A3C0D">
        <w:rPr>
          <w:rFonts w:ascii="Palatino Linotype" w:eastAsia="Palatino Linotype" w:hAnsi="Palatino Linotype" w:cs="Palatino Linotype"/>
          <w:i/>
          <w:iCs/>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31911955" w14:textId="77777777" w:rsidR="00CA6B97" w:rsidRPr="001A3C0D" w:rsidRDefault="005B4EBC">
      <w:pPr>
        <w:spacing w:before="120" w:after="120"/>
        <w:ind w:left="851" w:right="902"/>
        <w:jc w:val="both"/>
        <w:rPr>
          <w:rFonts w:ascii="Palatino Linotype" w:eastAsia="Palatino Linotype" w:hAnsi="Palatino Linotype" w:cs="Palatino Linotype"/>
          <w:b/>
          <w:bCs/>
          <w:i/>
          <w:iCs/>
          <w:sz w:val="22"/>
          <w:szCs w:val="22"/>
        </w:rPr>
      </w:pPr>
      <w:r w:rsidRPr="001A3C0D">
        <w:rPr>
          <w:rFonts w:ascii="Palatino Linotype" w:eastAsia="Palatino Linotype" w:hAnsi="Palatino Linotype" w:cs="Palatino Linotype"/>
          <w:b/>
          <w:bCs/>
          <w:i/>
          <w:iCs/>
          <w:sz w:val="22"/>
          <w:szCs w:val="22"/>
        </w:rPr>
        <w:t>…</w:t>
      </w:r>
    </w:p>
    <w:p w14:paraId="2685A5BA" w14:textId="77777777" w:rsidR="00CA6B97" w:rsidRPr="001A3C0D" w:rsidRDefault="005B4EBC">
      <w:pPr>
        <w:spacing w:before="120" w:after="120"/>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Artículo 160</w:t>
      </w:r>
      <w:r w:rsidRPr="001A3C0D">
        <w:rPr>
          <w:rFonts w:ascii="Palatino Linotype" w:eastAsia="Palatino Linotype" w:hAnsi="Palatino Linotype" w:cs="Palatino Linotype"/>
          <w:i/>
          <w:iCs/>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0338DDC" w14:textId="77777777" w:rsidR="00CA6B97" w:rsidRPr="001A3C0D" w:rsidRDefault="005B4EBC">
      <w:pPr>
        <w:tabs>
          <w:tab w:val="left" w:pos="2100"/>
        </w:tabs>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Entonces, al ser información que el Sujeto Obligado genera, administra y posee por estar dentro de sus atribuciones, funciones y competencias del Órgano Interno de Control</w:t>
      </w:r>
    </w:p>
    <w:p w14:paraId="04D62118" w14:textId="77777777" w:rsidR="00CA6B97" w:rsidRPr="001A3C0D" w:rsidRDefault="005B4EB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De lo hasta aquí expuesto, se concluye que la información que requiere el particular si es susceptible de proporcionarse, por ser generada, administrada y poseída en ejercicio de las atribuciones, funciones y competencias del Órgano Interno de Control y sus unidades administrativas.</w:t>
      </w:r>
    </w:p>
    <w:p w14:paraId="25C0460D" w14:textId="77777777" w:rsidR="00CA6B97" w:rsidRPr="001A3C0D" w:rsidRDefault="00CA6B9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C4C1A44" w14:textId="77777777" w:rsidR="00CA6B97" w:rsidRPr="001A3C0D" w:rsidRDefault="005B4EBC">
      <w:pPr>
        <w:spacing w:line="360" w:lineRule="auto"/>
        <w:ind w:firstLine="1"/>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Por lo que al haber turnado la solicitud a la Contraloría Interna Municipal es que se tiene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6E988FB9" w14:textId="77777777" w:rsidR="00CA6B97" w:rsidRPr="001A3C0D" w:rsidRDefault="005B4EBC">
      <w:pPr>
        <w:spacing w:after="240" w:line="360" w:lineRule="auto"/>
        <w:ind w:left="284"/>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DCE910F" w14:textId="77777777" w:rsidR="00CA6B97" w:rsidRPr="001A3C0D" w:rsidRDefault="005B4EBC">
      <w:pPr>
        <w:spacing w:after="240" w:line="360" w:lineRule="auto"/>
        <w:ind w:left="284"/>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89FD92C" w14:textId="77777777" w:rsidR="00CA6B97" w:rsidRPr="001A3C0D" w:rsidRDefault="005B4EBC">
      <w:pPr>
        <w:spacing w:after="240" w:line="360" w:lineRule="auto"/>
        <w:ind w:left="284"/>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175B360B" w14:textId="77777777" w:rsidR="00CA6B97" w:rsidRPr="001A3C0D" w:rsidRDefault="005B4EBC">
      <w:pPr>
        <w:spacing w:after="240" w:line="360" w:lineRule="auto"/>
        <w:ind w:left="284"/>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134FB4C" w14:textId="77777777" w:rsidR="00CA6B97" w:rsidRPr="001A3C0D" w:rsidRDefault="005B4EBC">
      <w:pPr>
        <w:spacing w:after="240" w:line="360" w:lineRule="auto"/>
        <w:ind w:left="284"/>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8994809" w14:textId="77777777" w:rsidR="00CA6B97" w:rsidRPr="001A3C0D" w:rsidRDefault="005B4EBC">
      <w:pPr>
        <w:spacing w:after="240" w:line="360" w:lineRule="auto"/>
        <w:ind w:left="284"/>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B6D484C"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En este orden de ideas, se reitera que la solicitud se turnó a la Unidad Administrativa que cuenta con atribuciones, funciones y competencias para generar, administrar y poseer la información requerida por el particular, con lo que se acreditó la correcta búsqueda exhaustiva y razonable.</w:t>
      </w:r>
    </w:p>
    <w:p w14:paraId="2A7B934E" w14:textId="77777777" w:rsidR="00CA6B97" w:rsidRPr="001A3C0D" w:rsidRDefault="00CA6B9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1CEEF60" w14:textId="77777777" w:rsidR="00CA6B97" w:rsidRPr="001A3C0D" w:rsidRDefault="005B4EBC">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Dicho lo anterior, es de recordar que el Sujeto Obligado, a través de la Contraloría Interna Municipal entregó un listado de 146 registros de</w:t>
      </w:r>
      <w:r w:rsidRPr="001A3C0D">
        <w:rPr>
          <w:rFonts w:ascii="Palatino Linotype" w:eastAsia="Palatino Linotype" w:hAnsi="Palatino Linotype" w:cs="Palatino Linotype"/>
          <w:b/>
          <w:bCs/>
          <w:sz w:val="22"/>
          <w:szCs w:val="22"/>
          <w:u w:val="single"/>
        </w:rPr>
        <w:t xml:space="preserve"> las determinaciones</w:t>
      </w:r>
      <w:r w:rsidRPr="001A3C0D">
        <w:rPr>
          <w:rFonts w:ascii="Palatino Linotype" w:eastAsia="Palatino Linotype" w:hAnsi="Palatino Linotype" w:cs="Palatino Linotype"/>
          <w:sz w:val="22"/>
          <w:szCs w:val="22"/>
        </w:rPr>
        <w:t xml:space="preserve"> emitidas en el año 2025; se inserta imagen de referencia:</w:t>
      </w:r>
    </w:p>
    <w:p w14:paraId="5AC2201F" w14:textId="77777777" w:rsidR="00CA6B97" w:rsidRPr="001A3C0D" w:rsidRDefault="005B4EBC">
      <w:pPr>
        <w:pBdr>
          <w:top w:val="nil"/>
          <w:left w:val="nil"/>
          <w:bottom w:val="nil"/>
          <w:right w:val="nil"/>
          <w:between w:val="nil"/>
        </w:pBdr>
        <w:spacing w:line="360" w:lineRule="auto"/>
        <w:ind w:right="99"/>
        <w:jc w:val="center"/>
        <w:rPr>
          <w:rFonts w:ascii="Palatino Linotype" w:eastAsia="Palatino Linotype" w:hAnsi="Palatino Linotype" w:cs="Palatino Linotype"/>
          <w:sz w:val="22"/>
          <w:szCs w:val="22"/>
        </w:rPr>
      </w:pPr>
      <w:r w:rsidRPr="001A3C0D">
        <w:rPr>
          <w:rFonts w:ascii="Palatino Linotype" w:eastAsia="Palatino Linotype" w:hAnsi="Palatino Linotype" w:cs="Palatino Linotype"/>
          <w:noProof/>
          <w:sz w:val="22"/>
          <w:szCs w:val="22"/>
        </w:rPr>
        <w:drawing>
          <wp:inline distT="0" distB="0" distL="0" distR="0" wp14:anchorId="4348E49A" wp14:editId="5E76CE5F">
            <wp:extent cx="4747053" cy="4841836"/>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47053" cy="4841836"/>
                    </a:xfrm>
                    <a:prstGeom prst="rect">
                      <a:avLst/>
                    </a:prstGeom>
                    <a:ln/>
                  </pic:spPr>
                </pic:pic>
              </a:graphicData>
            </a:graphic>
          </wp:inline>
        </w:drawing>
      </w:r>
    </w:p>
    <w:p w14:paraId="645734D4" w14:textId="77777777" w:rsidR="00CA6B97" w:rsidRPr="001A3C0D" w:rsidRDefault="005B4EBC">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 Por su parte, el Recurrente se inconformó manifestando que le entregaron información que no solicitó. </w:t>
      </w:r>
    </w:p>
    <w:p w14:paraId="0092949E" w14:textId="77777777" w:rsidR="00CA6B97" w:rsidRPr="001A3C0D" w:rsidRDefault="00CA6B97">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125C1E95" w14:textId="77777777" w:rsidR="00CA6B97" w:rsidRPr="001A3C0D" w:rsidRDefault="005B4EBC">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El Sujeto Obligado en aras de garantizar el derecho de acceso a la información pública del Particular, entregó el documento electrónico CONTRALORIA.zip que contiene un total de 146 documentos electrónicos en formato PDF que contiene, en versión pública, las determinaciones de la Contraloría Interna respecto a las denuncias recibidas durante el año 2025.</w:t>
      </w:r>
    </w:p>
    <w:p w14:paraId="730E01E9" w14:textId="77777777" w:rsidR="00CA6B97" w:rsidRPr="001A3C0D" w:rsidRDefault="00CA6B97">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7B6C2D6E" w14:textId="77777777" w:rsidR="00CA6B97" w:rsidRPr="001A3C0D" w:rsidRDefault="005B4EBC">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Sin embargo, el documento remitido en informe justificado no se puso a la vista del Recurrente por contener datos personales, como lo es el nombre de personas físicas. En consecuencia, si bien, la información pudiera colmar el derecho del particular, esto no sucedió por la incorrecta versión pública que remitió el Sujeto Obligado.</w:t>
      </w:r>
    </w:p>
    <w:p w14:paraId="0017DF35" w14:textId="77777777" w:rsidR="00CA6B97" w:rsidRPr="001A3C0D" w:rsidRDefault="00CA6B97">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2EDAACAD" w14:textId="77777777" w:rsidR="00CA6B97" w:rsidRPr="001A3C0D" w:rsidRDefault="005B4EBC">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Por lo anterior, se ORDENA al Sujeto Obligado entregar las determinaciones emitidas por la Contraloría Interna Municipal derivadas de denuncias recibidas del uno de enero al dos de octubre de dos mil veinticinco.</w:t>
      </w:r>
    </w:p>
    <w:p w14:paraId="161F3A13" w14:textId="77777777" w:rsidR="00CA6B97" w:rsidRPr="001A3C0D" w:rsidRDefault="00CA6B97">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4703A81E" w14:textId="77777777" w:rsidR="00CA6B97" w:rsidRPr="001A3C0D" w:rsidRDefault="005B4EBC">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Se debe tener en consideración la naturaleza de la información requerida, lo cual pudiera relacionarse únicamente sobre faltas administrativas no graves, consecuentemente el nombre de los servidores públicos y cualquier otro dato que los haga identificables,  debe ser clasificado como confidencial tanto de los que recibieron sanción y de aquellos que obtuvieron una resolución absolutoria, a efecto de salvaguardar el buen nombre y a la intimidad, ya que al tratarse de faltas que no tienen una trascendencia social, la publicidad de dicha información afectaría la reputación de personas y su privacidad, por lo que el Sujeto Obligado estará a lo dispuesto en el Considerando que a continuación se enuncia. </w:t>
      </w:r>
    </w:p>
    <w:p w14:paraId="72557018" w14:textId="77777777" w:rsidR="00CA6B97" w:rsidRPr="001A3C0D" w:rsidRDefault="00CA6B97">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52BA49D2"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 xml:space="preserve">Quinto. Versión Pública. </w:t>
      </w:r>
      <w:r w:rsidRPr="001A3C0D">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4FAED5EE"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0151E0BC"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D273489"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24173401" w14:textId="77777777" w:rsidR="00CA6B97" w:rsidRPr="001A3C0D" w:rsidRDefault="005B4EBC">
      <w:pPr>
        <w:spacing w:line="360" w:lineRule="auto"/>
        <w:ind w:right="50"/>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2932CD33" w14:textId="77777777" w:rsidR="00CA6B97" w:rsidRPr="001A3C0D" w:rsidRDefault="00CA6B97">
      <w:pPr>
        <w:spacing w:line="360" w:lineRule="auto"/>
        <w:ind w:right="50"/>
        <w:jc w:val="both"/>
        <w:rPr>
          <w:rFonts w:ascii="Palatino Linotype" w:eastAsia="Palatino Linotype" w:hAnsi="Palatino Linotype" w:cs="Palatino Linotype"/>
          <w:sz w:val="22"/>
          <w:szCs w:val="22"/>
        </w:rPr>
      </w:pPr>
    </w:p>
    <w:p w14:paraId="1CF6F845"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b/>
          <w:bCs/>
          <w:i/>
          <w:iCs/>
          <w:sz w:val="22"/>
          <w:szCs w:val="22"/>
        </w:rPr>
        <w:t>Artículo 3.</w:t>
      </w:r>
      <w:r w:rsidRPr="001A3C0D">
        <w:rPr>
          <w:rFonts w:ascii="Palatino Linotype" w:eastAsia="Palatino Linotype" w:hAnsi="Palatino Linotype" w:cs="Palatino Linotype"/>
          <w:i/>
          <w:iCs/>
          <w:sz w:val="22"/>
          <w:szCs w:val="22"/>
        </w:rPr>
        <w:t xml:space="preserve"> Para los efectos de la presente Ley se entenderá por:</w:t>
      </w:r>
    </w:p>
    <w:p w14:paraId="499F2145"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78CC225D"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4A4F42DE"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XX. Información clasificada: Aquella considerada por la presente Ley como reservada o confidencial;</w:t>
      </w:r>
    </w:p>
    <w:p w14:paraId="5DC52CDE"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5721E7"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59BC9247"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32449545"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Artículo 91.</w:t>
      </w:r>
      <w:r w:rsidRPr="001A3C0D">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0C1F4BFD"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Artículo 132.</w:t>
      </w:r>
      <w:r w:rsidRPr="001A3C0D">
        <w:rPr>
          <w:rFonts w:ascii="Palatino Linotype" w:eastAsia="Palatino Linotype" w:hAnsi="Palatino Linotype" w:cs="Palatino Linotype"/>
          <w:i/>
          <w:iCs/>
          <w:sz w:val="22"/>
          <w:szCs w:val="22"/>
        </w:rPr>
        <w:t xml:space="preserve"> La clasificación de la información se llevará a cabo en el momento en que:</w:t>
      </w:r>
    </w:p>
    <w:p w14:paraId="27B2ED2C" w14:textId="77777777" w:rsidR="00CA6B97" w:rsidRPr="001A3C0D" w:rsidRDefault="005B4EBC">
      <w:pPr>
        <w:tabs>
          <w:tab w:val="left" w:pos="1134"/>
        </w:tabs>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 Se reciba una solicitud de acceso a la información;</w:t>
      </w:r>
    </w:p>
    <w:p w14:paraId="164176AC" w14:textId="77777777" w:rsidR="00CA6B97" w:rsidRPr="001A3C0D" w:rsidRDefault="005B4EBC">
      <w:pPr>
        <w:tabs>
          <w:tab w:val="left" w:pos="1134"/>
        </w:tabs>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II. Se determine mediante resolución de autoridad competente; o</w:t>
      </w:r>
    </w:p>
    <w:p w14:paraId="6872551C" w14:textId="77777777" w:rsidR="00CA6B97" w:rsidRPr="001A3C0D" w:rsidRDefault="005B4EBC">
      <w:pPr>
        <w:tabs>
          <w:tab w:val="left" w:pos="1134"/>
        </w:tabs>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05380EF5"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52A2832D"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Artículo 143</w:t>
      </w:r>
      <w:r w:rsidRPr="001A3C0D">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3F8F3BB3"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74F22082"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7D61D4E"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3C2EF966"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7122A381"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58E789D1" w14:textId="77777777" w:rsidR="00CA6B97" w:rsidRPr="001A3C0D" w:rsidRDefault="00CA6B97">
      <w:pPr>
        <w:ind w:right="616"/>
        <w:jc w:val="both"/>
        <w:rPr>
          <w:rFonts w:ascii="Palatino Linotype" w:eastAsia="Palatino Linotype" w:hAnsi="Palatino Linotype" w:cs="Palatino Linotype"/>
          <w:i/>
          <w:iCs/>
          <w:sz w:val="22"/>
          <w:szCs w:val="22"/>
        </w:rPr>
      </w:pPr>
    </w:p>
    <w:p w14:paraId="459EFDCD"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14:paraId="7F7B8A5E"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417843BD" w14:textId="77777777" w:rsidR="00CA6B97" w:rsidRPr="001A3C0D" w:rsidRDefault="005B4EBC">
      <w:pPr>
        <w:spacing w:before="240" w:after="240" w:line="360" w:lineRule="auto"/>
        <w:jc w:val="both"/>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b/>
          <w:bCs/>
          <w:sz w:val="22"/>
          <w:szCs w:val="22"/>
        </w:rPr>
        <w:t xml:space="preserve">No debe perderse de vista que los expedientes son de acceso público, siempre que se realice la correcta </w:t>
      </w:r>
      <w:r w:rsidRPr="001A3C0D">
        <w:rPr>
          <w:rFonts w:ascii="Palatino Linotype" w:eastAsia="Palatino Linotype" w:hAnsi="Palatino Linotype" w:cs="Palatino Linotype"/>
          <w:sz w:val="22"/>
          <w:szCs w:val="22"/>
        </w:rPr>
        <w:t xml:space="preserve">versión pública para el caso de que el mismo contenga datos personales de los servidores públicos responsables susceptibles de protegerse, en cuyo caso, </w:t>
      </w:r>
      <w:r w:rsidRPr="001A3C0D">
        <w:rPr>
          <w:rFonts w:ascii="Palatino Linotype" w:eastAsia="Palatino Linotype" w:hAnsi="Palatino Linotype" w:cs="Palatino Linotype"/>
          <w:b/>
          <w:bCs/>
          <w:sz w:val="22"/>
          <w:szCs w:val="22"/>
        </w:rPr>
        <w:t>el</w:t>
      </w:r>
      <w:r w:rsidRPr="001A3C0D">
        <w:rPr>
          <w:rFonts w:ascii="Palatino Linotype" w:eastAsia="Palatino Linotype" w:hAnsi="Palatino Linotype" w:cs="Palatino Linotype"/>
          <w:sz w:val="22"/>
          <w:szCs w:val="22"/>
        </w:rPr>
        <w:t xml:space="preserve"> </w:t>
      </w:r>
      <w:r w:rsidRPr="001A3C0D">
        <w:rPr>
          <w:rFonts w:ascii="Palatino Linotype" w:eastAsia="Palatino Linotype" w:hAnsi="Palatino Linotype" w:cs="Palatino Linotype"/>
          <w:b/>
          <w:bCs/>
          <w:sz w:val="22"/>
          <w:szCs w:val="22"/>
        </w:rPr>
        <w:t xml:space="preserve">nombre, el cargo de los servidores públicos sancionados o absueltos, y cualquier dato que les haga identificables, </w:t>
      </w:r>
      <w:r w:rsidRPr="001A3C0D">
        <w:rPr>
          <w:rFonts w:ascii="Palatino Linotype" w:eastAsia="Palatino Linotype" w:hAnsi="Palatino Linotype" w:cs="Palatino Linotype"/>
          <w:sz w:val="22"/>
          <w:szCs w:val="22"/>
        </w:rPr>
        <w:t>debe ser protegido en un estricto sentido.</w:t>
      </w:r>
    </w:p>
    <w:p w14:paraId="3DCB92C9"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Lo anterior al tomar en cuenta el derecho al buen nombre y a la intimidad, ya que al tratarse de faltas que no tienen una trascendencia social, la publicidad de dicha información afectaría la reputación de personas y su privacidad.</w:t>
      </w:r>
    </w:p>
    <w:p w14:paraId="45CAFCCA" w14:textId="77777777" w:rsidR="00CA6B97" w:rsidRPr="001A3C0D" w:rsidRDefault="005B4EBC">
      <w:pPr>
        <w:tabs>
          <w:tab w:val="left" w:pos="3962"/>
        </w:tabs>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Respecto del </w:t>
      </w:r>
      <w:r w:rsidRPr="001A3C0D">
        <w:rPr>
          <w:rFonts w:ascii="Palatino Linotype" w:eastAsia="Palatino Linotype" w:hAnsi="Palatino Linotype" w:cs="Palatino Linotype"/>
          <w:b/>
          <w:bCs/>
          <w:sz w:val="22"/>
          <w:szCs w:val="22"/>
        </w:rPr>
        <w:t>derecho a la privacidad</w:t>
      </w:r>
      <w:r w:rsidRPr="001A3C0D">
        <w:rPr>
          <w:rFonts w:ascii="Palatino Linotype" w:eastAsia="Palatino Linotype" w:hAnsi="Palatino Linotype" w:cs="Palatino Linotype"/>
          <w:sz w:val="22"/>
          <w:szCs w:val="22"/>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14:paraId="1750AE12" w14:textId="77777777" w:rsidR="00CA6B97" w:rsidRPr="001A3C0D" w:rsidRDefault="00CA6B97">
      <w:pPr>
        <w:tabs>
          <w:tab w:val="left" w:pos="3962"/>
        </w:tabs>
        <w:spacing w:line="360" w:lineRule="auto"/>
        <w:jc w:val="both"/>
        <w:rPr>
          <w:rFonts w:ascii="Palatino Linotype" w:eastAsia="Palatino Linotype" w:hAnsi="Palatino Linotype" w:cs="Palatino Linotype"/>
          <w:sz w:val="22"/>
          <w:szCs w:val="22"/>
        </w:rPr>
      </w:pPr>
    </w:p>
    <w:p w14:paraId="0D32B678" w14:textId="77777777" w:rsidR="00CA6B97" w:rsidRPr="001A3C0D" w:rsidRDefault="005B4EBC">
      <w:pPr>
        <w:tabs>
          <w:tab w:val="left" w:pos="3962"/>
        </w:tabs>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b/>
          <w:bCs/>
          <w:i/>
          <w:iCs/>
          <w:sz w:val="22"/>
          <w:szCs w:val="22"/>
        </w:rPr>
        <w:t>DERECHO A LA PRIVACIDAD O INTIMIDAD. ESTÁ PROTEGIDO POR EL ARTÍCULO 16, PRIMER PÁRRAFO, DE LA CONSTITUCIÓN POLÍTICA DE LOS ESTADOS UNIDOS MEXICANOS</w:t>
      </w:r>
      <w:r w:rsidRPr="001A3C0D">
        <w:rPr>
          <w:rFonts w:ascii="Palatino Linotype" w:eastAsia="Palatino Linotype" w:hAnsi="Palatino Linotype" w:cs="Palatino Linotype"/>
          <w:i/>
          <w:iCs/>
          <w:sz w:val="22"/>
          <w:szCs w:val="22"/>
        </w:rPr>
        <w:t>.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6D8EC978" w14:textId="77777777" w:rsidR="00CA6B97" w:rsidRPr="001A3C0D" w:rsidRDefault="00CA6B97">
      <w:pPr>
        <w:tabs>
          <w:tab w:val="left" w:pos="3962"/>
        </w:tabs>
        <w:spacing w:line="276" w:lineRule="auto"/>
        <w:ind w:left="851" w:right="902"/>
        <w:jc w:val="both"/>
        <w:rPr>
          <w:rFonts w:ascii="Palatino Linotype" w:eastAsia="Palatino Linotype" w:hAnsi="Palatino Linotype" w:cs="Palatino Linotype"/>
          <w:i/>
          <w:iCs/>
          <w:sz w:val="22"/>
          <w:szCs w:val="22"/>
        </w:rPr>
      </w:pPr>
    </w:p>
    <w:p w14:paraId="19D4036C" w14:textId="77777777" w:rsidR="00CA6B97" w:rsidRPr="001A3C0D" w:rsidRDefault="005B4EBC">
      <w:pPr>
        <w:tabs>
          <w:tab w:val="left" w:pos="3962"/>
        </w:tabs>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14:paraId="7593FF67" w14:textId="77777777" w:rsidR="00CA6B97" w:rsidRPr="001A3C0D" w:rsidRDefault="00CA6B97">
      <w:pPr>
        <w:tabs>
          <w:tab w:val="left" w:pos="3962"/>
        </w:tabs>
        <w:spacing w:line="360" w:lineRule="auto"/>
        <w:jc w:val="both"/>
        <w:rPr>
          <w:rFonts w:ascii="Palatino Linotype" w:eastAsia="Palatino Linotype" w:hAnsi="Palatino Linotype" w:cs="Palatino Linotype"/>
          <w:sz w:val="22"/>
          <w:szCs w:val="22"/>
        </w:rPr>
      </w:pPr>
    </w:p>
    <w:p w14:paraId="49BA02F6" w14:textId="77777777" w:rsidR="00CA6B97" w:rsidRPr="001A3C0D" w:rsidRDefault="005B4EBC">
      <w:pPr>
        <w:tabs>
          <w:tab w:val="left" w:pos="3962"/>
        </w:tabs>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14:paraId="00106A9E" w14:textId="77777777" w:rsidR="00CA6B97" w:rsidRPr="001A3C0D" w:rsidRDefault="00CA6B97">
      <w:pPr>
        <w:tabs>
          <w:tab w:val="left" w:pos="3962"/>
        </w:tabs>
        <w:spacing w:line="360" w:lineRule="auto"/>
        <w:jc w:val="both"/>
        <w:rPr>
          <w:rFonts w:ascii="Palatino Linotype" w:eastAsia="Palatino Linotype" w:hAnsi="Palatino Linotype" w:cs="Palatino Linotype"/>
          <w:sz w:val="22"/>
          <w:szCs w:val="22"/>
        </w:rPr>
      </w:pPr>
    </w:p>
    <w:p w14:paraId="10D6DB4F" w14:textId="77777777" w:rsidR="00CA6B97" w:rsidRPr="001A3C0D" w:rsidRDefault="005B4EBC">
      <w:pPr>
        <w:tabs>
          <w:tab w:val="left" w:pos="3962"/>
        </w:tabs>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Por lo que hace al </w:t>
      </w:r>
      <w:r w:rsidRPr="001A3C0D">
        <w:rPr>
          <w:rFonts w:ascii="Palatino Linotype" w:eastAsia="Palatino Linotype" w:hAnsi="Palatino Linotype" w:cs="Palatino Linotype"/>
          <w:b/>
          <w:bCs/>
          <w:sz w:val="22"/>
          <w:szCs w:val="22"/>
        </w:rPr>
        <w:t>derecho al honor</w:t>
      </w:r>
      <w:r w:rsidRPr="001A3C0D">
        <w:rPr>
          <w:rFonts w:ascii="Palatino Linotype" w:eastAsia="Palatino Linotype" w:hAnsi="Palatino Linotype" w:cs="Palatino Linotype"/>
          <w:sz w:val="22"/>
          <w:szCs w:val="22"/>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14:paraId="1DA82A1D" w14:textId="77777777" w:rsidR="00CA6B97" w:rsidRPr="001A3C0D" w:rsidRDefault="00CA6B97">
      <w:pPr>
        <w:tabs>
          <w:tab w:val="left" w:pos="3962"/>
        </w:tabs>
        <w:spacing w:line="360" w:lineRule="auto"/>
        <w:jc w:val="both"/>
        <w:rPr>
          <w:rFonts w:ascii="Palatino Linotype" w:eastAsia="Palatino Linotype" w:hAnsi="Palatino Linotype" w:cs="Palatino Linotype"/>
          <w:sz w:val="22"/>
          <w:szCs w:val="22"/>
        </w:rPr>
      </w:pPr>
    </w:p>
    <w:p w14:paraId="57645572" w14:textId="77777777" w:rsidR="00CA6B97" w:rsidRPr="001A3C0D" w:rsidRDefault="005B4EBC">
      <w:pPr>
        <w:spacing w:line="276" w:lineRule="auto"/>
        <w:ind w:left="851" w:right="902"/>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 xml:space="preserve">“DERECHO FUNDAMENTAL AL HONOR. SU DIMENSIÓN SUBJETIVA Y OBJETIVA. </w:t>
      </w:r>
      <w:r w:rsidRPr="001A3C0D">
        <w:rPr>
          <w:rFonts w:ascii="Palatino Linotype" w:eastAsia="Palatino Linotype" w:hAnsi="Palatino Linotype" w:cs="Palatino Linotype"/>
          <w:i/>
          <w:iCs/>
          <w:sz w:val="22"/>
          <w:szCs w:val="22"/>
        </w:rPr>
        <w:t xml:space="preserve">A juicio de esta Primera Sala de la Suprema Corte de Justicia de la Nación, es posible definir al honor como el </w:t>
      </w:r>
      <w:r w:rsidRPr="001A3C0D">
        <w:rPr>
          <w:rFonts w:ascii="Palatino Linotype" w:eastAsia="Palatino Linotype" w:hAnsi="Palatino Linotype" w:cs="Palatino Linotype"/>
          <w:b/>
          <w:bCs/>
          <w:i/>
          <w:iCs/>
          <w:sz w:val="22"/>
          <w:szCs w:val="22"/>
        </w:rPr>
        <w:t>concepto que la persona tiene de sí misma o que los demás se han formado de ella, en virtud de su proceder o de la expresión de su calidad ética y social</w:t>
      </w:r>
      <w:r w:rsidRPr="001A3C0D">
        <w:rPr>
          <w:rFonts w:ascii="Palatino Linotype" w:eastAsia="Palatino Linotype" w:hAnsi="Palatino Linotype" w:cs="Palatino Linotype"/>
          <w:i/>
          <w:iCs/>
          <w:sz w:val="22"/>
          <w:szCs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3F2EE5E8" w14:textId="77777777" w:rsidR="00CA6B97" w:rsidRPr="001A3C0D" w:rsidRDefault="00CA6B97">
      <w:pPr>
        <w:spacing w:line="276" w:lineRule="auto"/>
        <w:ind w:left="851" w:right="902"/>
        <w:jc w:val="both"/>
        <w:rPr>
          <w:rFonts w:ascii="Palatino Linotype" w:eastAsia="Palatino Linotype" w:hAnsi="Palatino Linotype" w:cs="Palatino Linotype"/>
          <w:sz w:val="22"/>
          <w:szCs w:val="22"/>
        </w:rPr>
      </w:pPr>
    </w:p>
    <w:p w14:paraId="0536D9EA"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Es así que, el honor es el concepto que la persona tiene de sí misma o que los demás se han formado de ella, en virtud de su proceder o de la expresión de su calidad ética y social.</w:t>
      </w:r>
    </w:p>
    <w:p w14:paraId="24529750" w14:textId="77777777" w:rsidR="00CA6B97" w:rsidRPr="001A3C0D" w:rsidRDefault="005B4EBC">
      <w:pPr>
        <w:spacing w:before="240" w:after="240" w:line="360" w:lineRule="auto"/>
        <w:jc w:val="both"/>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sz w:val="22"/>
          <w:szCs w:val="22"/>
        </w:rPr>
        <w:t xml:space="preserve">En el fondo, se considera que se puede atentar contra la honra y el buen nombre de una persona mediante la divulgación de información sobre aquellos servidores públicos a quienes se les ha impuesto una sanción por faltas no graves o hayan sido absueltos, porque podrían orientar el juicio que se tiene de una persona por parte de la sociedad, lo que en efecto constituye una lesión injustificada a la posición del hombre en sociedad, ocasionando un perjuicio en su </w:t>
      </w:r>
      <w:r w:rsidRPr="001A3C0D">
        <w:rPr>
          <w:rFonts w:ascii="Palatino Linotype" w:eastAsia="Palatino Linotype" w:hAnsi="Palatino Linotype" w:cs="Palatino Linotype"/>
          <w:b/>
          <w:bCs/>
          <w:sz w:val="22"/>
          <w:szCs w:val="22"/>
        </w:rPr>
        <w:t>honor, intimidad, buena imagen y nombre, así como a su vida privada.</w:t>
      </w:r>
    </w:p>
    <w:p w14:paraId="0F839F79" w14:textId="77777777" w:rsidR="00CA6B97" w:rsidRPr="001A3C0D" w:rsidRDefault="005B4EBC">
      <w:pPr>
        <w:spacing w:line="360" w:lineRule="auto"/>
        <w:jc w:val="both"/>
        <w:rPr>
          <w:rFonts w:ascii="Palatino Linotype" w:eastAsia="Palatino Linotype" w:hAnsi="Palatino Linotype" w:cs="Palatino Linotype"/>
          <w:b/>
          <w:bCs/>
        </w:rPr>
      </w:pPr>
      <w:r w:rsidRPr="001A3C0D">
        <w:rPr>
          <w:rFonts w:ascii="Palatino Linotype" w:eastAsia="Palatino Linotype" w:hAnsi="Palatino Linotype" w:cs="Palatino Linotype"/>
          <w:b/>
          <w:bCs/>
        </w:rPr>
        <w:t xml:space="preserve">Nombre de particulares. </w:t>
      </w:r>
    </w:p>
    <w:p w14:paraId="47899C67" w14:textId="77777777" w:rsidR="00CA6B97" w:rsidRPr="001A3C0D" w:rsidRDefault="00CA6B97">
      <w:pPr>
        <w:spacing w:line="360" w:lineRule="auto"/>
        <w:jc w:val="both"/>
        <w:rPr>
          <w:rFonts w:ascii="Palatino Linotype" w:eastAsia="Palatino Linotype" w:hAnsi="Palatino Linotype" w:cs="Palatino Linotype"/>
        </w:rPr>
      </w:pPr>
    </w:p>
    <w:p w14:paraId="05420525" w14:textId="77777777" w:rsidR="00CA6B97" w:rsidRPr="001A3C0D" w:rsidRDefault="005B4EBC">
      <w:pPr>
        <w:spacing w:line="360" w:lineRule="auto"/>
        <w:jc w:val="both"/>
        <w:rPr>
          <w:rFonts w:ascii="Palatino Linotype" w:eastAsia="Palatino Linotype" w:hAnsi="Palatino Linotype" w:cs="Palatino Linotype"/>
          <w:b/>
          <w:bCs/>
        </w:rPr>
      </w:pPr>
      <w:r w:rsidRPr="001A3C0D">
        <w:rPr>
          <w:rFonts w:ascii="Palatino Linotype" w:eastAsia="Palatino Linotype" w:hAnsi="Palatino Linotype" w:cs="Palatino Linotype"/>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A3C0D">
        <w:rPr>
          <w:rFonts w:ascii="Palatino Linotype" w:eastAsia="Palatino Linotype" w:hAnsi="Palatino Linotype" w:cs="Palatino Linotype"/>
          <w:i/>
          <w:iCs/>
        </w:rPr>
        <w:t>per se</w:t>
      </w:r>
      <w:r w:rsidRPr="001A3C0D">
        <w:rPr>
          <w:rFonts w:ascii="Palatino Linotype" w:eastAsia="Palatino Linotype" w:hAnsi="Palatino Linotype" w:cs="Palatino Linotype"/>
        </w:rPr>
        <w:t xml:space="preserve"> es un elemento que hace a una persona física identificada o identificable, por lo que, </w:t>
      </w:r>
      <w:r w:rsidRPr="001A3C0D">
        <w:rPr>
          <w:rFonts w:ascii="Palatino Linotype" w:eastAsia="Palatino Linotype" w:hAnsi="Palatino Linotype" w:cs="Palatino Linotype"/>
          <w:b/>
          <w:bCs/>
        </w:rPr>
        <w:t>se considera un dato personal.</w:t>
      </w:r>
    </w:p>
    <w:p w14:paraId="50CC1B3B" w14:textId="77777777" w:rsidR="00CA6B97" w:rsidRPr="001A3C0D" w:rsidRDefault="005B4EBC">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1A3C0D">
        <w:rPr>
          <w:rFonts w:ascii="Palatino Linotype" w:eastAsia="Palatino Linotype" w:hAnsi="Palatino Linotype" w:cs="Palatino Linotype"/>
          <w:b/>
          <w:bCs/>
        </w:rPr>
        <w:t>Domicilio particular.</w:t>
      </w:r>
      <w:r w:rsidRPr="001A3C0D">
        <w:rPr>
          <w:rFonts w:ascii="Palatino Linotype" w:eastAsia="Palatino Linotype" w:hAnsi="Palatino Linotype" w:cs="Palatino Linotype"/>
        </w:rPr>
        <w:t xml:space="preserve"> </w:t>
      </w:r>
    </w:p>
    <w:p w14:paraId="413D8884" w14:textId="77777777" w:rsidR="00CA6B97" w:rsidRPr="001A3C0D" w:rsidRDefault="005B4EBC">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1A3C0D">
        <w:rPr>
          <w:rFonts w:ascii="Palatino Linotype" w:eastAsia="Palatino Linotype" w:hAnsi="Palatino Linotype" w:cs="Palatino Linotype"/>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0AB00DF" w14:textId="77777777" w:rsidR="00CA6B97" w:rsidRPr="001A3C0D" w:rsidRDefault="005B4EBC">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bCs/>
        </w:rPr>
      </w:pPr>
      <w:r w:rsidRPr="001A3C0D">
        <w:rPr>
          <w:rFonts w:ascii="Palatino Linotype" w:eastAsia="Palatino Linotype" w:hAnsi="Palatino Linotype" w:cs="Palatino Linotype"/>
        </w:rPr>
        <w:t>De la misma manera, lo establece el artículo 29 del Código Civil Federal, al precisar que el domicilio de personas físicas</w:t>
      </w:r>
      <w:r w:rsidRPr="001A3C0D">
        <w:rPr>
          <w:rFonts w:ascii="Palatino Linotype" w:eastAsia="Palatino Linotype" w:hAnsi="Palatino Linotype" w:cs="Palatino Linotype"/>
          <w:b/>
          <w:bCs/>
        </w:rPr>
        <w:t xml:space="preserve">, </w:t>
      </w:r>
      <w:r w:rsidRPr="001A3C0D">
        <w:rPr>
          <w:rFonts w:ascii="Palatino Linotype" w:eastAsia="Palatino Linotype" w:hAnsi="Palatino Linotype" w:cs="Palatino Linotype"/>
        </w:rPr>
        <w:t>es el lugar donde residen habitualmente, el lugar del centro principal de sus negocios, donde residan o el lugar donde se encuentren.</w:t>
      </w:r>
    </w:p>
    <w:p w14:paraId="6B4D71CE" w14:textId="77777777" w:rsidR="00CA6B97" w:rsidRPr="001A3C0D" w:rsidRDefault="005B4EBC">
      <w:pPr>
        <w:spacing w:before="240" w:after="240" w:line="360" w:lineRule="auto"/>
        <w:ind w:right="-93"/>
        <w:jc w:val="both"/>
        <w:rPr>
          <w:rFonts w:ascii="Palatino Linotype" w:eastAsia="Palatino Linotype" w:hAnsi="Palatino Linotype" w:cs="Palatino Linotype"/>
        </w:rPr>
      </w:pPr>
      <w:r w:rsidRPr="001A3C0D">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1513E359" w14:textId="77777777" w:rsidR="00CA6B97" w:rsidRPr="001A3C0D" w:rsidRDefault="005B4EBC">
      <w:pPr>
        <w:spacing w:before="240" w:after="240" w:line="360" w:lineRule="auto"/>
        <w:ind w:right="-93"/>
        <w:jc w:val="both"/>
        <w:rPr>
          <w:rFonts w:ascii="Palatino Linotype" w:eastAsia="Palatino Linotype" w:hAnsi="Palatino Linotype" w:cs="Palatino Linotype"/>
        </w:rPr>
      </w:pPr>
      <w:r w:rsidRPr="001A3C0D">
        <w:rPr>
          <w:rFonts w:ascii="Palatino Linotype" w:eastAsia="Palatino Linotype" w:hAnsi="Palatino Linotype" w:cs="Palatino Linotype"/>
        </w:rPr>
        <w:t xml:space="preserve">Por lo tanto, se actualiza la clasificación del </w:t>
      </w:r>
      <w:r w:rsidRPr="001A3C0D">
        <w:rPr>
          <w:rFonts w:ascii="Palatino Linotype" w:eastAsia="Palatino Linotype" w:hAnsi="Palatino Linotype" w:cs="Palatino Linotype"/>
          <w:b/>
          <w:bCs/>
          <w:u w:val="single"/>
        </w:rPr>
        <w:t>domicilio particular y su comprobante</w:t>
      </w:r>
      <w:r w:rsidRPr="001A3C0D">
        <w:rPr>
          <w:rFonts w:ascii="Palatino Linotype" w:eastAsia="Palatino Linotype" w:hAnsi="Palatino Linotype" w:cs="Palatino Linotype"/>
        </w:rPr>
        <w:t>, de conformidad con la fracción I, del artículo 143 de la Ley de Transparencia y Acceso a la Información Pública del Estado de México y Municipios.</w:t>
      </w:r>
    </w:p>
    <w:p w14:paraId="37059C62" w14:textId="77777777" w:rsidR="00CA6B97" w:rsidRPr="001A3C0D" w:rsidRDefault="005B4EBC">
      <w:pPr>
        <w:spacing w:before="240" w:after="240" w:line="360" w:lineRule="auto"/>
        <w:ind w:right="-93"/>
        <w:jc w:val="both"/>
        <w:rPr>
          <w:rFonts w:ascii="Palatino Linotype" w:eastAsia="Palatino Linotype" w:hAnsi="Palatino Linotype" w:cs="Palatino Linotype"/>
        </w:rPr>
      </w:pPr>
      <w:r w:rsidRPr="001A3C0D">
        <w:rPr>
          <w:rFonts w:ascii="Palatino Linotype" w:eastAsia="Palatino Linotype" w:hAnsi="Palatino Linotype" w:cs="Palatino Linotype"/>
          <w:b/>
          <w:bCs/>
        </w:rPr>
        <w:t>Teléfono particular</w:t>
      </w:r>
      <w:r w:rsidRPr="001A3C0D">
        <w:rPr>
          <w:rFonts w:ascii="Palatino Linotype" w:eastAsia="Palatino Linotype" w:hAnsi="Palatino Linotype" w:cs="Palatino Linotype"/>
        </w:rPr>
        <w:t xml:space="preserve">. </w:t>
      </w:r>
    </w:p>
    <w:p w14:paraId="6D4D2747" w14:textId="77777777" w:rsidR="00CA6B97" w:rsidRPr="001A3C0D" w:rsidRDefault="005B4EBC">
      <w:pPr>
        <w:spacing w:before="240" w:after="240" w:line="360" w:lineRule="auto"/>
        <w:ind w:right="-93"/>
        <w:jc w:val="both"/>
        <w:rPr>
          <w:rFonts w:ascii="Palatino Linotype" w:eastAsia="Palatino Linotype" w:hAnsi="Palatino Linotype" w:cs="Palatino Linotype"/>
        </w:rPr>
      </w:pPr>
      <w:r w:rsidRPr="001A3C0D">
        <w:rPr>
          <w:rFonts w:ascii="Palatino Linotype" w:eastAsia="Palatino Linotype" w:hAnsi="Palatino Linotype" w:cs="Palatino Linotype"/>
        </w:rPr>
        <w:t xml:space="preserve">Constituye un medio para comunicarse con una persona física identificada o identificable, por lo que la hace localizable. Por lo tanto, se trata de información que al darse a conocer afectaría la intimidad de la persona respectiva, siendo susceptible de clasificarse como información confidencial de conformidad con la fracción I, del artículo 143 de la Ley de Transparencia y Acceso a la Información Pública del Estado de México y Municipios. </w:t>
      </w:r>
    </w:p>
    <w:p w14:paraId="43E8BA2A" w14:textId="77777777" w:rsidR="00CA6B97" w:rsidRPr="001A3C0D" w:rsidRDefault="005B4EBC">
      <w:pPr>
        <w:pBdr>
          <w:top w:val="nil"/>
          <w:left w:val="nil"/>
          <w:bottom w:val="nil"/>
          <w:right w:val="nil"/>
          <w:between w:val="nil"/>
        </w:pBdr>
        <w:spacing w:before="240" w:after="240" w:line="360" w:lineRule="auto"/>
        <w:jc w:val="both"/>
        <w:rPr>
          <w:rFonts w:ascii="Palatino Linotype" w:eastAsia="Palatino Linotype" w:hAnsi="Palatino Linotype" w:cs="Palatino Linotype"/>
          <w:b/>
          <w:bCs/>
        </w:rPr>
      </w:pPr>
      <w:r w:rsidRPr="001A3C0D">
        <w:rPr>
          <w:rFonts w:ascii="Palatino Linotype" w:eastAsia="Palatino Linotype" w:hAnsi="Palatino Linotype" w:cs="Palatino Linotype"/>
          <w:b/>
          <w:bCs/>
        </w:rPr>
        <w:t xml:space="preserve">Correo electrónico particular. </w:t>
      </w:r>
    </w:p>
    <w:p w14:paraId="523AC256" w14:textId="77777777" w:rsidR="00CA6B97" w:rsidRPr="001A3C0D" w:rsidRDefault="005B4EB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A3C0D">
        <w:rPr>
          <w:rFonts w:ascii="Palatino Linotype" w:eastAsia="Palatino Linotype" w:hAnsi="Palatino Linotype" w:cs="Palatino Linotype"/>
        </w:rPr>
        <w:t>Al ser un sistema de transmisión de mensajes por computadora a través de redes informáticas, dicho dato se puede asimilar al teléfono o domicilio particular, toda vez que es otro medio para comunicarse con la persona titular del mismo, la hace localizable, e incluso identificable al poder estar conformado por parte de su nombre o bien, fecha de nacimiento. En ese sentido la titularidad de dicho dato corresponde a la persona física; por lo que corresponde a un dato personal que actualiza la causal de clasificación establecida en el artículo 143, fracción I de la Ley de Transparencia y Acceso a la Información Pública del Estado de México y Municipios.</w:t>
      </w:r>
    </w:p>
    <w:p w14:paraId="333E385B" w14:textId="77777777" w:rsidR="00CA6B97" w:rsidRPr="001A3C0D" w:rsidRDefault="00CA6B97"/>
    <w:p w14:paraId="7504D019" w14:textId="77777777" w:rsidR="00CA6B97" w:rsidRPr="001A3C0D" w:rsidRDefault="005B4EBC">
      <w:pPr>
        <w:rPr>
          <w:b/>
          <w:bCs/>
        </w:rPr>
      </w:pPr>
      <w:r w:rsidRPr="001A3C0D">
        <w:rPr>
          <w:b/>
          <w:bCs/>
        </w:rPr>
        <w:t>Firma de particulares</w:t>
      </w:r>
    </w:p>
    <w:p w14:paraId="54B05581" w14:textId="77777777" w:rsidR="00CA6B97" w:rsidRPr="001A3C0D" w:rsidRDefault="00CA6B97"/>
    <w:p w14:paraId="0BCD0A9C" w14:textId="77777777" w:rsidR="00CA6B97" w:rsidRPr="001A3C0D" w:rsidRDefault="005B4EBC">
      <w:pPr>
        <w:tabs>
          <w:tab w:val="left" w:pos="426"/>
        </w:tabs>
        <w:spacing w:before="240" w:after="240" w:line="360" w:lineRule="auto"/>
        <w:ind w:left="142"/>
        <w:jc w:val="both"/>
        <w:rPr>
          <w:rFonts w:ascii="Palatino Linotype" w:eastAsia="Palatino Linotype" w:hAnsi="Palatino Linotype" w:cs="Palatino Linotype"/>
        </w:rPr>
      </w:pPr>
      <w:r w:rsidRPr="001A3C0D">
        <w:rPr>
          <w:rFonts w:ascii="Palatino Linotype" w:eastAsia="Palatino Linotype" w:hAnsi="Palatino Linotype" w:cs="Palatino Linotype"/>
        </w:rPr>
        <w:t>Respecto de la rúbrica o firma de la persona que recibe el documento se debe tener presente que la firma y rúbrica son definidas por la Real Academia de la Lengua Española, de la siguiente manera:</w:t>
      </w:r>
    </w:p>
    <w:p w14:paraId="541CC6DB" w14:textId="77777777" w:rsidR="00CA6B97" w:rsidRPr="001A3C0D" w:rsidRDefault="005B4EBC">
      <w:pPr>
        <w:numPr>
          <w:ilvl w:val="0"/>
          <w:numId w:val="5"/>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rPr>
      </w:pPr>
      <w:r w:rsidRPr="001A3C0D">
        <w:rPr>
          <w:rFonts w:ascii="Palatino Linotype" w:eastAsia="Palatino Linotype" w:hAnsi="Palatino Linotype" w:cs="Palatino Linotype"/>
        </w:rPr>
        <w:t>Firma. Rasgo o conjunto de rasgos, realizados siempre de la misma manera, que identifican a una persona y sustituyen a su nombre y apellidos para aprobar o dar autenticidad a un documento.</w:t>
      </w:r>
    </w:p>
    <w:p w14:paraId="6F05A4A2" w14:textId="77777777" w:rsidR="00CA6B97" w:rsidRPr="001A3C0D" w:rsidRDefault="005B4EBC">
      <w:pPr>
        <w:numPr>
          <w:ilvl w:val="0"/>
          <w:numId w:val="5"/>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rPr>
      </w:pPr>
      <w:r w:rsidRPr="001A3C0D">
        <w:rPr>
          <w:rFonts w:ascii="Palatino Linotype" w:eastAsia="Palatino Linotype" w:hAnsi="Palatino Linotype" w:cs="Palatino Linotype"/>
        </w:rPr>
        <w:t>Rúbrica. Rasgo o conjunto de rasgos, realizados siempre de la misma manera que suele ponerse en la firma después del nombre y que a veces la sustituye.</w:t>
      </w:r>
    </w:p>
    <w:p w14:paraId="4689DC54" w14:textId="77777777" w:rsidR="00CA6B97" w:rsidRPr="001A3C0D" w:rsidRDefault="005B4EBC">
      <w:pPr>
        <w:spacing w:before="240" w:after="240" w:line="360" w:lineRule="auto"/>
        <w:jc w:val="both"/>
        <w:rPr>
          <w:rFonts w:ascii="Palatino Linotype" w:eastAsia="Palatino Linotype" w:hAnsi="Palatino Linotype" w:cs="Palatino Linotype"/>
        </w:rPr>
      </w:pPr>
      <w:r w:rsidRPr="001A3C0D">
        <w:rPr>
          <w:rFonts w:ascii="Palatino Linotype" w:eastAsia="Palatino Linotype" w:hAnsi="Palatino Linotype" w:cs="Palatino Linotype"/>
        </w:rPr>
        <w:t>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14:paraId="31D6578F" w14:textId="77777777" w:rsidR="00CA6B97" w:rsidRPr="001A3C0D" w:rsidRDefault="005B4EBC">
      <w:pPr>
        <w:spacing w:line="360" w:lineRule="auto"/>
        <w:jc w:val="both"/>
        <w:rPr>
          <w:rFonts w:ascii="Palatino Linotype" w:eastAsia="Palatino Linotype" w:hAnsi="Palatino Linotype" w:cs="Palatino Linotype"/>
          <w:b/>
          <w:bCs/>
        </w:rPr>
      </w:pPr>
      <w:r w:rsidRPr="001A3C0D">
        <w:rPr>
          <w:rFonts w:ascii="Palatino Linotype" w:eastAsia="Palatino Linotype" w:hAnsi="Palatino Linotype" w:cs="Palatino Linotype"/>
        </w:rPr>
        <w:t>En el caso particular, la firma o rúbrica de los titulares de las licencias o sus representantes que se plasma para el único efecto de acusar de recibido, pues, al tratarse de un acto de autoridad unilateral, es la misma autoridad quien determina la procedencia o improcedencia de la licencia, permiso o autorización, en función del cumplimiento de los requisitos por parte de los interesados; por lo que la firma o rúbrica de los titulares o sus representantes, no es un elemento de validez que forme parte de dichos documentos, sino que su finalidad consiste en la comprobación de que el trámite fue recibido por el interesado, por lo tanto se considera información que debe clasificarse como confidencial.</w:t>
      </w:r>
    </w:p>
    <w:p w14:paraId="06E9E903"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569CC652"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7711466"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28287A60"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b/>
          <w:bCs/>
          <w:i/>
          <w:iCs/>
          <w:sz w:val="22"/>
          <w:szCs w:val="22"/>
        </w:rPr>
        <w:t>Quincuagésimo</w:t>
      </w:r>
      <w:r w:rsidRPr="001A3C0D">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3EB8F3D"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Quincuagésimo primero.</w:t>
      </w:r>
      <w:r w:rsidRPr="001A3C0D">
        <w:rPr>
          <w:rFonts w:ascii="Palatino Linotype" w:eastAsia="Palatino Linotype" w:hAnsi="Palatino Linotype" w:cs="Palatino Linotype"/>
          <w:i/>
          <w:iCs/>
          <w:sz w:val="22"/>
          <w:szCs w:val="22"/>
        </w:rPr>
        <w:t xml:space="preserve"> Toda acta del Comité de Transparencia deberá contener: </w:t>
      </w:r>
    </w:p>
    <w:p w14:paraId="6EE2F33F"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I. El número de sesión y fecha; </w:t>
      </w:r>
    </w:p>
    <w:p w14:paraId="139A9ACC"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II. El nombre del área que solicitó la clasificación de información; </w:t>
      </w:r>
    </w:p>
    <w:p w14:paraId="2D312E98"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III. La fundamentación legal y motivación correspondiente; </w:t>
      </w:r>
    </w:p>
    <w:p w14:paraId="52D556AF"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IV. La resolución o resoluciones aprobadas; y </w:t>
      </w:r>
    </w:p>
    <w:p w14:paraId="5D6B4CC4"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V. La rúbrica o firma digital de cada integrante del Comité de Transparencia. </w:t>
      </w:r>
    </w:p>
    <w:p w14:paraId="786CE932"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053B15E2"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 Los motivos y razonamientos que sustenten la confirmación o modificación de la prueba de daño;</w:t>
      </w:r>
    </w:p>
    <w:p w14:paraId="46C3362C"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II. Descripción de las partes o secciones reservadas, en caso de clasificación parcial; </w:t>
      </w:r>
    </w:p>
    <w:p w14:paraId="4A02233B"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III. El periodo por el que mantendrá su clasificación y fecha de expiración; y </w:t>
      </w:r>
    </w:p>
    <w:p w14:paraId="4F0E61D4"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75CBE238"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29B2873D"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0FB039B"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Quincuagésimo segundo.</w:t>
      </w:r>
      <w:r w:rsidRPr="001A3C0D">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8C61FFB"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63C5D5BF"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37A5DA14"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70ABF500"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III. Señalar las personas o instancias autorizadas a acceder a la información clasificada.</w:t>
      </w:r>
    </w:p>
    <w:p w14:paraId="0FE2E2A3"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0E1D2E68"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1089FF2F"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190F78C8" w14:textId="77777777" w:rsidR="00CA6B97" w:rsidRPr="001A3C0D" w:rsidRDefault="00CA6B97">
      <w:pPr>
        <w:spacing w:line="360" w:lineRule="auto"/>
        <w:jc w:val="both"/>
        <w:rPr>
          <w:rFonts w:ascii="Palatino Linotype" w:eastAsia="Palatino Linotype" w:hAnsi="Palatino Linotype" w:cs="Palatino Linotype"/>
          <w:sz w:val="22"/>
          <w:szCs w:val="22"/>
        </w:rPr>
      </w:pPr>
    </w:p>
    <w:p w14:paraId="019947CF" w14:textId="77777777" w:rsidR="00CA6B97" w:rsidRPr="001A3C0D" w:rsidRDefault="005B4EBC">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r w:rsidRPr="001A3C0D">
        <w:rPr>
          <w:rFonts w:ascii="Palatino Linotype" w:eastAsia="Palatino Linotype" w:hAnsi="Palatino Linotype" w:cs="Palatino Linotype"/>
          <w:b/>
          <w:bCs/>
          <w:i/>
          <w:iCs/>
          <w:sz w:val="22"/>
          <w:szCs w:val="22"/>
        </w:rPr>
        <w:t>Quincuagésimo cuarto.</w:t>
      </w:r>
      <w:r w:rsidRPr="001A3C0D">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06477AF"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Quincuagésimo quinto.</w:t>
      </w:r>
      <w:r w:rsidRPr="001A3C0D">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9506A36"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w:t>
      </w:r>
    </w:p>
    <w:p w14:paraId="7D0785BC"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b/>
          <w:bCs/>
          <w:i/>
          <w:iCs/>
          <w:sz w:val="22"/>
          <w:szCs w:val="22"/>
        </w:rPr>
        <w:t>Quincuagésimo séptimo.</w:t>
      </w:r>
      <w:r w:rsidRPr="001A3C0D">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24A2819F"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09538236"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63B7161A"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1D7BE0A"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4CA229E6" w14:textId="77777777" w:rsidR="00CA6B97" w:rsidRPr="001A3C0D" w:rsidRDefault="005B4EBC">
      <w:pPr>
        <w:ind w:left="567" w:right="616"/>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042E331A" w14:textId="77777777" w:rsidR="00CA6B97" w:rsidRPr="001A3C0D" w:rsidRDefault="00CA6B97">
      <w:pPr>
        <w:ind w:right="616"/>
        <w:jc w:val="both"/>
        <w:rPr>
          <w:rFonts w:ascii="Palatino Linotype" w:eastAsia="Palatino Linotype" w:hAnsi="Palatino Linotype" w:cs="Palatino Linotype"/>
          <w:i/>
          <w:iCs/>
          <w:sz w:val="22"/>
          <w:szCs w:val="22"/>
        </w:rPr>
      </w:pPr>
    </w:p>
    <w:p w14:paraId="7B6B2F0E" w14:textId="77777777" w:rsidR="00CA6B97" w:rsidRPr="001A3C0D" w:rsidRDefault="00CA6B97">
      <w:pPr>
        <w:ind w:right="616"/>
        <w:jc w:val="both"/>
        <w:rPr>
          <w:rFonts w:ascii="Palatino Linotype" w:eastAsia="Palatino Linotype" w:hAnsi="Palatino Linotype" w:cs="Palatino Linotype"/>
          <w:i/>
          <w:iCs/>
          <w:sz w:val="22"/>
          <w:szCs w:val="22"/>
        </w:rPr>
      </w:pPr>
    </w:p>
    <w:p w14:paraId="59F91848" w14:textId="77777777" w:rsidR="00CA6B97" w:rsidRPr="001A3C0D" w:rsidRDefault="005B4EBC">
      <w:pPr>
        <w:spacing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 </w:t>
      </w:r>
    </w:p>
    <w:p w14:paraId="44256716"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69F0842B" w14:textId="77777777" w:rsidR="00CA6B97" w:rsidRPr="001A3C0D" w:rsidRDefault="005B4EBC">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b/>
          <w:bCs/>
          <w:sz w:val="22"/>
          <w:szCs w:val="22"/>
        </w:rPr>
        <w:t>R E S U E L V E:</w:t>
      </w:r>
    </w:p>
    <w:p w14:paraId="4B0B42E8" w14:textId="77777777" w:rsidR="00CA6B97" w:rsidRPr="001A3C0D" w:rsidRDefault="005B4EBC">
      <w:pPr>
        <w:spacing w:before="240" w:after="240" w:line="360" w:lineRule="auto"/>
        <w:jc w:val="both"/>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b/>
          <w:bCs/>
          <w:sz w:val="22"/>
          <w:szCs w:val="22"/>
        </w:rPr>
        <w:t xml:space="preserve">Primero. </w:t>
      </w:r>
      <w:r w:rsidRPr="001A3C0D">
        <w:rPr>
          <w:rFonts w:ascii="Palatino Linotype" w:eastAsia="Palatino Linotype" w:hAnsi="Palatino Linotype" w:cs="Palatino Linotype"/>
          <w:sz w:val="22"/>
          <w:szCs w:val="22"/>
        </w:rPr>
        <w:t>Resultan</w:t>
      </w:r>
      <w:r w:rsidRPr="001A3C0D">
        <w:rPr>
          <w:rFonts w:ascii="Palatino Linotype" w:eastAsia="Palatino Linotype" w:hAnsi="Palatino Linotype" w:cs="Palatino Linotype"/>
          <w:b/>
          <w:bCs/>
          <w:sz w:val="22"/>
          <w:szCs w:val="22"/>
        </w:rPr>
        <w:t xml:space="preserve"> parcialmente fundados </w:t>
      </w:r>
      <w:r w:rsidRPr="001A3C0D">
        <w:rPr>
          <w:rFonts w:ascii="Palatino Linotype" w:eastAsia="Palatino Linotype" w:hAnsi="Palatino Linotype" w:cs="Palatino Linotype"/>
          <w:sz w:val="22"/>
          <w:szCs w:val="22"/>
        </w:rPr>
        <w:t xml:space="preserve">los motivos de inconformidad hechos valer por </w:t>
      </w:r>
      <w:r w:rsidRPr="001A3C0D">
        <w:rPr>
          <w:rFonts w:ascii="Palatino Linotype" w:eastAsia="Palatino Linotype" w:hAnsi="Palatino Linotype" w:cs="Palatino Linotype"/>
          <w:b/>
          <w:bCs/>
          <w:sz w:val="22"/>
          <w:szCs w:val="22"/>
        </w:rPr>
        <w:t>la parte Recurrente</w:t>
      </w:r>
      <w:r w:rsidRPr="001A3C0D">
        <w:rPr>
          <w:rFonts w:ascii="Palatino Linotype" w:eastAsia="Palatino Linotype" w:hAnsi="Palatino Linotype" w:cs="Palatino Linotype"/>
          <w:sz w:val="22"/>
          <w:szCs w:val="22"/>
        </w:rPr>
        <w:t xml:space="preserve"> en el Recurso de Revisión</w:t>
      </w:r>
      <w:r w:rsidRPr="001A3C0D">
        <w:rPr>
          <w:rFonts w:ascii="Palatino Linotype" w:eastAsia="Palatino Linotype" w:hAnsi="Palatino Linotype" w:cs="Palatino Linotype"/>
          <w:b/>
          <w:bCs/>
          <w:sz w:val="22"/>
          <w:szCs w:val="22"/>
        </w:rPr>
        <w:t xml:space="preserve"> 12769/INFOEM/IP/RR/2025, </w:t>
      </w:r>
      <w:r w:rsidRPr="001A3C0D">
        <w:rPr>
          <w:rFonts w:ascii="Palatino Linotype" w:eastAsia="Palatino Linotype" w:hAnsi="Palatino Linotype" w:cs="Palatino Linotype"/>
          <w:sz w:val="22"/>
          <w:szCs w:val="22"/>
        </w:rPr>
        <w:t>por lo que</w:t>
      </w:r>
      <w:r w:rsidRPr="001A3C0D">
        <w:rPr>
          <w:rFonts w:ascii="Palatino Linotype" w:eastAsia="Palatino Linotype" w:hAnsi="Palatino Linotype" w:cs="Palatino Linotype"/>
          <w:b/>
          <w:bCs/>
          <w:sz w:val="22"/>
          <w:szCs w:val="22"/>
        </w:rPr>
        <w:t xml:space="preserve">, en términos del Considerando Cuarto </w:t>
      </w:r>
      <w:r w:rsidRPr="001A3C0D">
        <w:rPr>
          <w:rFonts w:ascii="Palatino Linotype" w:eastAsia="Palatino Linotype" w:hAnsi="Palatino Linotype" w:cs="Palatino Linotype"/>
          <w:sz w:val="22"/>
          <w:szCs w:val="22"/>
        </w:rPr>
        <w:t>de la presente resolución</w:t>
      </w:r>
      <w:r w:rsidRPr="001A3C0D">
        <w:rPr>
          <w:rFonts w:ascii="Palatino Linotype" w:eastAsia="Palatino Linotype" w:hAnsi="Palatino Linotype" w:cs="Palatino Linotype"/>
          <w:b/>
          <w:bCs/>
          <w:sz w:val="22"/>
          <w:szCs w:val="22"/>
        </w:rPr>
        <w:t>, se MODIFICA l</w:t>
      </w:r>
      <w:r w:rsidRPr="001A3C0D">
        <w:rPr>
          <w:rFonts w:ascii="Palatino Linotype" w:eastAsia="Palatino Linotype" w:hAnsi="Palatino Linotype" w:cs="Palatino Linotype"/>
          <w:sz w:val="22"/>
          <w:szCs w:val="22"/>
        </w:rPr>
        <w:t>a respuesta del</w:t>
      </w:r>
      <w:r w:rsidRPr="001A3C0D">
        <w:rPr>
          <w:rFonts w:ascii="Palatino Linotype" w:eastAsia="Palatino Linotype" w:hAnsi="Palatino Linotype" w:cs="Palatino Linotype"/>
          <w:b/>
          <w:bCs/>
          <w:sz w:val="22"/>
          <w:szCs w:val="22"/>
        </w:rPr>
        <w:t xml:space="preserve"> Sujeto Obligado.</w:t>
      </w:r>
    </w:p>
    <w:p w14:paraId="0A129D98" w14:textId="77777777" w:rsidR="00CA6B97" w:rsidRPr="001A3C0D" w:rsidRDefault="005B4EBC">
      <w:pPr>
        <w:spacing w:before="240" w:after="240" w:line="360" w:lineRule="auto"/>
        <w:jc w:val="both"/>
        <w:rPr>
          <w:rFonts w:ascii="Palatino Linotype" w:eastAsia="Palatino Linotype" w:hAnsi="Palatino Linotype" w:cs="Palatino Linotype"/>
          <w:b/>
          <w:bCs/>
          <w:sz w:val="22"/>
          <w:szCs w:val="22"/>
        </w:rPr>
      </w:pPr>
      <w:bookmarkStart w:id="4" w:name="_heading=h.j3ppyxwlb1s2" w:colFirst="0" w:colLast="0"/>
      <w:bookmarkEnd w:id="4"/>
      <w:r w:rsidRPr="001A3C0D">
        <w:rPr>
          <w:rFonts w:ascii="Palatino Linotype" w:eastAsia="Palatino Linotype" w:hAnsi="Palatino Linotype" w:cs="Palatino Linotype"/>
          <w:b/>
          <w:bCs/>
          <w:sz w:val="22"/>
          <w:szCs w:val="22"/>
        </w:rPr>
        <w:t xml:space="preserve">Segundo. Se Ordena al Sujeto Obligado </w:t>
      </w:r>
      <w:r w:rsidRPr="001A3C0D">
        <w:rPr>
          <w:rFonts w:ascii="Palatino Linotype" w:eastAsia="Palatino Linotype" w:hAnsi="Palatino Linotype" w:cs="Palatino Linotype"/>
          <w:sz w:val="22"/>
          <w:szCs w:val="22"/>
        </w:rPr>
        <w:t>que en términos de los</w:t>
      </w:r>
      <w:r w:rsidRPr="001A3C0D">
        <w:rPr>
          <w:rFonts w:ascii="Palatino Linotype" w:eastAsia="Palatino Linotype" w:hAnsi="Palatino Linotype" w:cs="Palatino Linotype"/>
          <w:b/>
          <w:bCs/>
          <w:sz w:val="22"/>
          <w:szCs w:val="22"/>
        </w:rPr>
        <w:t xml:space="preserve"> Considerandos Cuarto y Quinto </w:t>
      </w:r>
      <w:r w:rsidRPr="001A3C0D">
        <w:rPr>
          <w:rFonts w:ascii="Palatino Linotype" w:eastAsia="Palatino Linotype" w:hAnsi="Palatino Linotype" w:cs="Palatino Linotype"/>
          <w:sz w:val="22"/>
          <w:szCs w:val="22"/>
        </w:rPr>
        <w:t xml:space="preserve">de esta resolución, haga entrega a </w:t>
      </w:r>
      <w:r w:rsidRPr="001A3C0D">
        <w:rPr>
          <w:rFonts w:ascii="Palatino Linotype" w:eastAsia="Palatino Linotype" w:hAnsi="Palatino Linotype" w:cs="Palatino Linotype"/>
          <w:b/>
          <w:bCs/>
          <w:sz w:val="22"/>
          <w:szCs w:val="22"/>
        </w:rPr>
        <w:t xml:space="preserve">la parte Recurrente a través del SAIMEX, </w:t>
      </w:r>
      <w:r w:rsidRPr="001A3C0D">
        <w:rPr>
          <w:rFonts w:ascii="Palatino Linotype" w:eastAsia="Palatino Linotype" w:hAnsi="Palatino Linotype" w:cs="Palatino Linotype"/>
          <w:sz w:val="22"/>
          <w:szCs w:val="22"/>
        </w:rPr>
        <w:t>en correcta versión pública, la siguiente información:</w:t>
      </w:r>
    </w:p>
    <w:p w14:paraId="0734857F" w14:textId="77777777" w:rsidR="00CA6B97" w:rsidRPr="001A3C0D" w:rsidRDefault="005B4EBC">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1A3C0D">
        <w:rPr>
          <w:rFonts w:ascii="Palatino Linotype" w:eastAsia="Palatino Linotype" w:hAnsi="Palatino Linotype" w:cs="Palatino Linotype"/>
          <w:b/>
          <w:bCs/>
          <w:sz w:val="22"/>
          <w:szCs w:val="22"/>
        </w:rPr>
        <w:t xml:space="preserve">Determinaciones emitidas por la Contraloría Interna Municipal derivadas de denuncias recibidas del uno de enero al dos de octubre de dos mil veinticinco, remitidas en informe justificado. </w:t>
      </w:r>
    </w:p>
    <w:p w14:paraId="04F2123C" w14:textId="77777777" w:rsidR="00CA6B97" w:rsidRPr="001A3C0D" w:rsidRDefault="005B4EBC">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1A3C0D">
        <w:rPr>
          <w:rFonts w:ascii="Palatino Linotype" w:eastAsia="Palatino Linotype" w:hAnsi="Palatino Linotype" w:cs="Palatino Linotype"/>
          <w:i/>
          <w:iCs/>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14:paraId="55B24B02"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 xml:space="preserve">Tercero.  Notifíquese vía SAIMEX, </w:t>
      </w:r>
      <w:r w:rsidRPr="001A3C0D">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F462F2" w14:textId="77777777" w:rsidR="00CA6B97" w:rsidRPr="001A3C0D" w:rsidRDefault="005B4EBC">
      <w:pPr>
        <w:spacing w:before="240" w:after="240" w:line="360" w:lineRule="auto"/>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b/>
          <w:bCs/>
          <w:sz w:val="22"/>
          <w:szCs w:val="22"/>
        </w:rPr>
        <w:t xml:space="preserve">Cuarto. </w:t>
      </w:r>
      <w:r w:rsidRPr="001A3C0D">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1A3C0D">
        <w:rPr>
          <w:rFonts w:ascii="Palatino Linotype" w:eastAsia="Palatino Linotype" w:hAnsi="Palatino Linotype" w:cs="Palatino Linotype"/>
          <w:b/>
          <w:bCs/>
          <w:sz w:val="22"/>
          <w:szCs w:val="22"/>
        </w:rPr>
        <w:t>Sujeto Obligado</w:t>
      </w:r>
      <w:r w:rsidRPr="001A3C0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184A1E0" w14:textId="77777777" w:rsidR="00CA6B97" w:rsidRPr="001A3C0D" w:rsidRDefault="005B4EBC">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1A3C0D">
        <w:rPr>
          <w:rFonts w:ascii="Palatino Linotype" w:eastAsia="Palatino Linotype" w:hAnsi="Palatino Linotype" w:cs="Palatino Linotype"/>
          <w:b/>
          <w:bCs/>
          <w:sz w:val="22"/>
          <w:szCs w:val="22"/>
        </w:rPr>
        <w:t xml:space="preserve">Quinto. Notifíquese vía SAIMEX, </w:t>
      </w:r>
      <w:r w:rsidRPr="001A3C0D">
        <w:rPr>
          <w:rFonts w:ascii="Palatino Linotype" w:eastAsia="Palatino Linotype" w:hAnsi="Palatino Linotype" w:cs="Palatino Linotype"/>
          <w:sz w:val="22"/>
          <w:szCs w:val="22"/>
        </w:rPr>
        <w:t>a</w:t>
      </w:r>
      <w:r w:rsidRPr="001A3C0D">
        <w:rPr>
          <w:rFonts w:ascii="Palatino Linotype" w:eastAsia="Palatino Linotype" w:hAnsi="Palatino Linotype" w:cs="Palatino Linotype"/>
          <w:b/>
          <w:bCs/>
          <w:sz w:val="22"/>
          <w:szCs w:val="22"/>
        </w:rPr>
        <w:t xml:space="preserve"> la parte Recurrente</w:t>
      </w:r>
      <w:r w:rsidRPr="001A3C0D">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1842DE8D" w14:textId="77777777" w:rsidR="00CA6B97" w:rsidRPr="001A3C0D" w:rsidRDefault="00CA6B97">
      <w:pPr>
        <w:spacing w:line="360" w:lineRule="auto"/>
        <w:ind w:right="-93"/>
        <w:jc w:val="both"/>
        <w:rPr>
          <w:rFonts w:ascii="Palatino Linotype" w:eastAsia="Palatino Linotype" w:hAnsi="Palatino Linotype" w:cs="Palatino Linotype"/>
          <w:sz w:val="22"/>
          <w:szCs w:val="22"/>
        </w:rPr>
      </w:pPr>
      <w:bookmarkStart w:id="6" w:name="_heading=h.jl0dlasot4f" w:colFirst="0" w:colLast="0"/>
      <w:bookmarkEnd w:id="6"/>
    </w:p>
    <w:p w14:paraId="58608856" w14:textId="57528EF4" w:rsidR="00CA6B97" w:rsidRPr="003A2841" w:rsidRDefault="005B4EBC">
      <w:pPr>
        <w:spacing w:line="360" w:lineRule="auto"/>
        <w:ind w:right="-93"/>
        <w:jc w:val="both"/>
        <w:rPr>
          <w:rFonts w:ascii="Palatino Linotype" w:eastAsia="Palatino Linotype" w:hAnsi="Palatino Linotype" w:cs="Palatino Linotype"/>
          <w:sz w:val="22"/>
          <w:szCs w:val="22"/>
        </w:rPr>
      </w:pPr>
      <w:r w:rsidRPr="001A3C0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A2841" w:rsidRPr="001A3C0D">
        <w:rPr>
          <w:rFonts w:ascii="Palatino Linotype" w:eastAsia="Palatino Linotype" w:hAnsi="Palatino Linotype" w:cs="Palatino Linotype"/>
          <w:sz w:val="22"/>
          <w:szCs w:val="22"/>
        </w:rPr>
        <w:t xml:space="preserve"> EMITIENDO VOTO PARTICULAR,</w:t>
      </w:r>
      <w:r w:rsidRPr="001A3C0D">
        <w:rPr>
          <w:rFonts w:ascii="Palatino Linotype" w:eastAsia="Palatino Linotype" w:hAnsi="Palatino Linotype" w:cs="Palatino Linotype"/>
          <w:sz w:val="22"/>
          <w:szCs w:val="22"/>
        </w:rPr>
        <w:t xml:space="preserve"> SHARON CRISTINA MORALES MARTÍNEZ, LUIS GUSTAVO PARRA NORIEGA</w:t>
      </w:r>
      <w:r w:rsidR="003A2841" w:rsidRPr="001A3C0D">
        <w:rPr>
          <w:rFonts w:ascii="Palatino Linotype" w:eastAsia="Palatino Linotype" w:hAnsi="Palatino Linotype" w:cs="Palatino Linotype"/>
          <w:sz w:val="22"/>
          <w:szCs w:val="22"/>
        </w:rPr>
        <w:t>, EMITIENDO VOTO PARTICULAR</w:t>
      </w:r>
      <w:r w:rsidRPr="001A3C0D">
        <w:rPr>
          <w:rFonts w:ascii="Palatino Linotype" w:eastAsia="Palatino Linotype" w:hAnsi="Palatino Linotype" w:cs="Palatino Linotype"/>
          <w:sz w:val="22"/>
          <w:szCs w:val="22"/>
        </w:rPr>
        <w:t xml:space="preserve"> Y GUADALUPE RAMÍREZ PEÑA; EN LA CUARTA SESIÓN ORDINARIA CELEBRADA EL CINCO DE FEBRERO DE DOS MIL VEINTISÉIS, ANTE EL SECRETARIO TÉCNICO DEL PLENO ALEXIS TAPIA RAMÍREZ.</w:t>
      </w:r>
    </w:p>
    <w:p w14:paraId="0A5B1F2A" w14:textId="77777777" w:rsidR="00CA6B97" w:rsidRPr="003A2841" w:rsidRDefault="00CA6B97">
      <w:pPr>
        <w:spacing w:line="360" w:lineRule="auto"/>
        <w:ind w:right="-93"/>
        <w:jc w:val="both"/>
        <w:rPr>
          <w:rFonts w:ascii="Palatino Linotype" w:eastAsia="Palatino Linotype" w:hAnsi="Palatino Linotype" w:cs="Palatino Linotype"/>
          <w:sz w:val="22"/>
          <w:szCs w:val="22"/>
        </w:rPr>
      </w:pPr>
    </w:p>
    <w:p w14:paraId="64C75284" w14:textId="77777777" w:rsidR="00CA6B97" w:rsidRPr="003A2841" w:rsidRDefault="00CA6B97">
      <w:pPr>
        <w:spacing w:line="360" w:lineRule="auto"/>
        <w:ind w:right="-93"/>
        <w:jc w:val="both"/>
        <w:rPr>
          <w:rFonts w:ascii="Palatino Linotype" w:eastAsia="Palatino Linotype" w:hAnsi="Palatino Linotype" w:cs="Palatino Linotype"/>
          <w:sz w:val="22"/>
          <w:szCs w:val="22"/>
        </w:rPr>
      </w:pPr>
    </w:p>
    <w:p w14:paraId="4DB57E00" w14:textId="77777777" w:rsidR="00CA6B97" w:rsidRPr="003A2841" w:rsidRDefault="00CA6B97">
      <w:pPr>
        <w:spacing w:line="360" w:lineRule="auto"/>
        <w:ind w:right="-93"/>
        <w:jc w:val="both"/>
        <w:rPr>
          <w:rFonts w:ascii="Palatino Linotype" w:eastAsia="Palatino Linotype" w:hAnsi="Palatino Linotype" w:cs="Palatino Linotype"/>
          <w:sz w:val="22"/>
          <w:szCs w:val="22"/>
        </w:rPr>
      </w:pPr>
    </w:p>
    <w:p w14:paraId="46AF9CFE" w14:textId="77777777" w:rsidR="00CA6B97" w:rsidRPr="003A2841" w:rsidRDefault="00CA6B97">
      <w:pPr>
        <w:spacing w:line="360" w:lineRule="auto"/>
        <w:ind w:right="-93"/>
        <w:jc w:val="both"/>
        <w:rPr>
          <w:rFonts w:ascii="Palatino Linotype" w:eastAsia="Palatino Linotype" w:hAnsi="Palatino Linotype" w:cs="Palatino Linotype"/>
          <w:sz w:val="22"/>
          <w:szCs w:val="22"/>
        </w:rPr>
      </w:pPr>
    </w:p>
    <w:p w14:paraId="5A2691B1" w14:textId="77777777" w:rsidR="00CA6B97" w:rsidRPr="003A2841" w:rsidRDefault="00CA6B97">
      <w:pPr>
        <w:spacing w:line="360" w:lineRule="auto"/>
        <w:ind w:right="-93"/>
        <w:jc w:val="both"/>
        <w:rPr>
          <w:rFonts w:ascii="Palatino Linotype" w:eastAsia="Palatino Linotype" w:hAnsi="Palatino Linotype" w:cs="Palatino Linotype"/>
          <w:sz w:val="22"/>
          <w:szCs w:val="22"/>
        </w:rPr>
      </w:pPr>
    </w:p>
    <w:p w14:paraId="14B00FD7" w14:textId="77777777" w:rsidR="00CA6B97" w:rsidRPr="003A2841" w:rsidRDefault="00CA6B97">
      <w:pPr>
        <w:spacing w:line="360" w:lineRule="auto"/>
        <w:ind w:right="49"/>
        <w:jc w:val="both"/>
        <w:rPr>
          <w:rFonts w:ascii="Palatino Linotype" w:eastAsia="Palatino Linotype" w:hAnsi="Palatino Linotype" w:cs="Palatino Linotype"/>
          <w:sz w:val="22"/>
          <w:szCs w:val="22"/>
        </w:rPr>
      </w:pPr>
    </w:p>
    <w:sectPr w:rsidR="00CA6B97" w:rsidRPr="003A2841">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1426D" w14:textId="77777777" w:rsidR="00E36EA4" w:rsidRDefault="00E36EA4">
      <w:r>
        <w:separator/>
      </w:r>
    </w:p>
  </w:endnote>
  <w:endnote w:type="continuationSeparator" w:id="0">
    <w:p w14:paraId="4EBA050D" w14:textId="77777777" w:rsidR="00E36EA4" w:rsidRDefault="00E36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6EABD85A-D843-4B77-9641-466A16256505}"/>
    <w:embedBold r:id="rId2" w:fontKey="{7DDAB5DA-5C1E-4DB1-9149-E4B02F86ED5D}"/>
    <w:embedItalic r:id="rId3" w:fontKey="{8F9731DF-BE37-4FF4-B89D-D59A3D5E1A2F}"/>
    <w:embedBoldItalic r:id="rId4" w:fontKey="{C9C35025-7400-4BE6-BE45-6CFE0D0AD186}"/>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D7533A16-EC4F-4080-A79B-4B609887544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E6D54E1-84C3-40A5-BDC2-E166690AEFD8}"/>
    <w:embedBold r:id="rId7" w:fontKey="{ECA22F2C-5DB0-4817-A21A-210F5884AD19}"/>
    <w:embedItalic r:id="rId8" w:fontKey="{9FC429D7-1ACB-4E2A-B85C-E5D646E7F7A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C0E245BA-1D68-4236-B8DE-8097DEE32809}"/>
  </w:font>
  <w:font w:name="Calibri Light">
    <w:panose1 w:val="020F0302020204030204"/>
    <w:charset w:val="00"/>
    <w:family w:val="swiss"/>
    <w:pitch w:val="variable"/>
    <w:sig w:usb0="E4002EFF" w:usb1="C200247B" w:usb2="00000009" w:usb3="00000000" w:csb0="000001FF" w:csb1="00000000"/>
    <w:embedRegular r:id="rId10" w:fontKey="{BC4F9DE3-745E-49F3-B627-8F9EF22084E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9CDDA" w14:textId="56A61DEF" w:rsidR="00CA6B97" w:rsidRDefault="005B4EB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32761D">
      <w:rPr>
        <w:b/>
        <w:bCs/>
        <w:noProof/>
        <w:color w:val="000000"/>
      </w:rPr>
      <w:t>7</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32761D">
      <w:rPr>
        <w:b/>
        <w:bCs/>
        <w:noProof/>
        <w:color w:val="000000"/>
      </w:rPr>
      <w:t>40</w:t>
    </w:r>
    <w:r>
      <w:rPr>
        <w:b/>
        <w:bCs/>
        <w:color w:val="000000"/>
      </w:rPr>
      <w:fldChar w:fldCharType="end"/>
    </w:r>
  </w:p>
  <w:p w14:paraId="484B12F0" w14:textId="77777777" w:rsidR="00CA6B97" w:rsidRDefault="00CA6B9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16E56" w14:textId="3597086A" w:rsidR="00CA6B97" w:rsidRDefault="005B4EB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32761D">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32761D">
      <w:rPr>
        <w:b/>
        <w:bCs/>
        <w:noProof/>
        <w:color w:val="000000"/>
      </w:rPr>
      <w:t>40</w:t>
    </w:r>
    <w:r>
      <w:rPr>
        <w:b/>
        <w:bCs/>
        <w:color w:val="000000"/>
      </w:rPr>
      <w:fldChar w:fldCharType="end"/>
    </w:r>
  </w:p>
  <w:p w14:paraId="15D2B70E" w14:textId="77777777" w:rsidR="00CA6B97" w:rsidRDefault="00CA6B9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DEA75" w14:textId="77777777" w:rsidR="00E36EA4" w:rsidRDefault="00E36EA4">
      <w:r>
        <w:separator/>
      </w:r>
    </w:p>
  </w:footnote>
  <w:footnote w:type="continuationSeparator" w:id="0">
    <w:p w14:paraId="14CC21EA" w14:textId="77777777" w:rsidR="00E36EA4" w:rsidRDefault="00E36E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B92B1" w14:textId="77777777" w:rsidR="00CA6B97" w:rsidRDefault="005B4EBC">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244EBDC2" wp14:editId="7BD28C65">
          <wp:simplePos x="0" y="0"/>
          <wp:positionH relativeFrom="column">
            <wp:posOffset>-1400174</wp:posOffset>
          </wp:positionH>
          <wp:positionV relativeFrom="paragraph">
            <wp:posOffset>-352424</wp:posOffset>
          </wp:positionV>
          <wp:extent cx="7809876" cy="10165823"/>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CA6B97" w14:paraId="5559D537" w14:textId="77777777">
      <w:tc>
        <w:tcPr>
          <w:tcW w:w="2551" w:type="dxa"/>
          <w:vAlign w:val="center"/>
        </w:tcPr>
        <w:p w14:paraId="50C7729B" w14:textId="77777777" w:rsidR="00CA6B97" w:rsidRDefault="005B4EB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0E848A24" w14:textId="77777777" w:rsidR="00CA6B97" w:rsidRDefault="00CA6B97">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0DB434CA" w14:textId="77777777" w:rsidR="00CA6B97" w:rsidRDefault="005B4EB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12769/INFOEM/IP/RR/2025</w:t>
          </w:r>
        </w:p>
      </w:tc>
    </w:tr>
    <w:tr w:rsidR="00CA6B97" w14:paraId="3E66774A" w14:textId="77777777">
      <w:trPr>
        <w:trHeight w:val="217"/>
      </w:trPr>
      <w:tc>
        <w:tcPr>
          <w:tcW w:w="2551" w:type="dxa"/>
          <w:vAlign w:val="center"/>
        </w:tcPr>
        <w:p w14:paraId="725582C8" w14:textId="77777777" w:rsidR="00CA6B97" w:rsidRDefault="005B4EB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558730C2" w14:textId="77777777" w:rsidR="00CA6B97" w:rsidRDefault="005B4EBC">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Atizapán de Zaragoza</w:t>
          </w:r>
        </w:p>
      </w:tc>
    </w:tr>
    <w:tr w:rsidR="00CA6B97" w14:paraId="0C601A42" w14:textId="77777777">
      <w:tc>
        <w:tcPr>
          <w:tcW w:w="2551" w:type="dxa"/>
          <w:vAlign w:val="center"/>
        </w:tcPr>
        <w:p w14:paraId="7BFB3289" w14:textId="77777777" w:rsidR="00CA6B97" w:rsidRDefault="005B4EB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6ECEBE1C" w14:textId="77777777" w:rsidR="00CA6B97" w:rsidRDefault="005B4EB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5DDC009C" w14:textId="77777777" w:rsidR="00CA6B97" w:rsidRDefault="00CA6B9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CCE2D" w14:textId="77777777" w:rsidR="00CA6B97" w:rsidRDefault="005B4EBC">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5761057C" wp14:editId="401C5D8F">
          <wp:simplePos x="0" y="0"/>
          <wp:positionH relativeFrom="column">
            <wp:posOffset>-929003</wp:posOffset>
          </wp:positionH>
          <wp:positionV relativeFrom="paragraph">
            <wp:posOffset>-644523</wp:posOffset>
          </wp:positionV>
          <wp:extent cx="7809865" cy="1016571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CA6B97" w14:paraId="43151477" w14:textId="77777777">
      <w:tc>
        <w:tcPr>
          <w:tcW w:w="2343" w:type="dxa"/>
          <w:vAlign w:val="center"/>
        </w:tcPr>
        <w:p w14:paraId="183E7622" w14:textId="77777777" w:rsidR="00CA6B97" w:rsidRDefault="005B4EB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2F46C268" w14:textId="77777777" w:rsidR="00CA6B97" w:rsidRDefault="00CA6B97">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489CD145" w14:textId="77777777" w:rsidR="00CA6B97" w:rsidRDefault="005B4EB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12769/INFOEM/IP/RR/2025</w:t>
          </w:r>
        </w:p>
      </w:tc>
    </w:tr>
    <w:tr w:rsidR="00CA6B97" w14:paraId="0B9C9796" w14:textId="77777777">
      <w:tc>
        <w:tcPr>
          <w:tcW w:w="2343" w:type="dxa"/>
          <w:vAlign w:val="center"/>
        </w:tcPr>
        <w:p w14:paraId="1ABEEF40" w14:textId="77777777" w:rsidR="00CA6B97" w:rsidRDefault="005B4EB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14:paraId="29ED31CF" w14:textId="3A534508" w:rsidR="00CA6B97" w:rsidRDefault="003276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XXXXX XXXX</w:t>
          </w:r>
        </w:p>
      </w:tc>
    </w:tr>
    <w:tr w:rsidR="00CA6B97" w14:paraId="092F1D21" w14:textId="77777777">
      <w:trPr>
        <w:trHeight w:val="152"/>
      </w:trPr>
      <w:tc>
        <w:tcPr>
          <w:tcW w:w="2343" w:type="dxa"/>
          <w:vAlign w:val="center"/>
        </w:tcPr>
        <w:p w14:paraId="1170109D" w14:textId="77777777" w:rsidR="00CA6B97" w:rsidRDefault="005B4EBC">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133A1694" w14:textId="77777777" w:rsidR="00CA6B97" w:rsidRDefault="00CA6B97">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3680E071" w14:textId="77777777" w:rsidR="00CA6B97" w:rsidRDefault="005B4EBC">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Ayuntamiento de Atizapán de Zaragoza</w:t>
          </w:r>
        </w:p>
      </w:tc>
    </w:tr>
    <w:tr w:rsidR="00CA6B97" w14:paraId="3A29F838" w14:textId="77777777">
      <w:tc>
        <w:tcPr>
          <w:tcW w:w="2343" w:type="dxa"/>
          <w:vAlign w:val="center"/>
        </w:tcPr>
        <w:p w14:paraId="6F7D38CD" w14:textId="77777777" w:rsidR="00CA6B97" w:rsidRDefault="005B4EB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14:paraId="31F90B0E" w14:textId="77777777" w:rsidR="00CA6B97" w:rsidRDefault="005B4EB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772457E7" w14:textId="77777777" w:rsidR="00CA6B97" w:rsidRDefault="005B4EBC">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3752"/>
    <w:multiLevelType w:val="multilevel"/>
    <w:tmpl w:val="2110E926"/>
    <w:lvl w:ilvl="0">
      <w:start w:val="10"/>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606355"/>
    <w:multiLevelType w:val="multilevel"/>
    <w:tmpl w:val="14A42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A94BCF"/>
    <w:multiLevelType w:val="multilevel"/>
    <w:tmpl w:val="F56A7112"/>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59850FA0"/>
    <w:multiLevelType w:val="multilevel"/>
    <w:tmpl w:val="232CB61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4524A8"/>
    <w:multiLevelType w:val="multilevel"/>
    <w:tmpl w:val="0E8EC760"/>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590BB2"/>
    <w:multiLevelType w:val="multilevel"/>
    <w:tmpl w:val="BD480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B97"/>
    <w:rsid w:val="001A3C0D"/>
    <w:rsid w:val="0032761D"/>
    <w:rsid w:val="003A2841"/>
    <w:rsid w:val="005B4EBC"/>
    <w:rsid w:val="00CA6B97"/>
    <w:rsid w:val="00E36E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619CF"/>
  <w15:docId w15:val="{BFF2FC34-F888-4A13-AE98-BF9BF14FC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Citas">
    <w:name w:val="Citas"/>
    <w:basedOn w:val="Normal"/>
    <w:qFormat/>
    <w:rsid w:val="00F607D4"/>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8skwA5orl9ODUoqIIQJvDS8Xow==">CgMxLjAyCWguM3pueXNoNzIOaC44Z2FpcGV6N3JzOHEyDmguOXMxdWh0eWZndDRzMg5oLmozcHB5eHdsYjFzMjIIaC50eWpjd3QyDWguamwwZGxhc290NGY4AHIhMUh3cXAxTVZXQTRfVHpoc3RJVFBxUEVGZG9kbkZLeC0x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10728</Words>
  <Characters>59009</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2026-02-09T16:40:00Z</cp:lastPrinted>
  <dcterms:created xsi:type="dcterms:W3CDTF">2026-03-24T17:51:00Z</dcterms:created>
  <dcterms:modified xsi:type="dcterms:W3CDTF">2026-03-24T17:51:00Z</dcterms:modified>
</cp:coreProperties>
</file>