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727901772"/>
        <w:docPartObj>
          <w:docPartGallery w:val="Table of Contents"/>
          <w:docPartUnique/>
        </w:docPartObj>
      </w:sdtPr>
      <w:sdtEndPr>
        <w:rPr>
          <w:b/>
          <w:bCs/>
        </w:rPr>
      </w:sdtEndPr>
      <w:sdtContent>
        <w:p w14:paraId="67D6E212" w14:textId="08D35BCB" w:rsidR="00D349A4" w:rsidRDefault="00D349A4">
          <w:pPr>
            <w:pStyle w:val="TtuloTDC"/>
          </w:pPr>
        </w:p>
        <w:p w14:paraId="0AC63253" w14:textId="561893C3" w:rsidR="00000FC9" w:rsidRDefault="00D349A4">
          <w:pPr>
            <w:pStyle w:val="TDC1"/>
            <w:tabs>
              <w:tab w:val="right" w:leader="dot" w:pos="9204"/>
            </w:tabs>
            <w:rPr>
              <w:rFonts w:asciiTheme="minorHAnsi" w:eastAsiaTheme="minorEastAsia" w:hAnsiTheme="minorHAnsi" w:cstheme="minorBidi"/>
              <w:noProof/>
              <w:color w:val="auto"/>
              <w:kern w:val="2"/>
              <w14:ligatures w14:val="standardContextual"/>
            </w:rPr>
          </w:pPr>
          <w:r>
            <w:rPr>
              <w:b/>
              <w:bCs/>
              <w:lang w:val="es-ES"/>
            </w:rPr>
            <w:fldChar w:fldCharType="begin"/>
          </w:r>
          <w:r>
            <w:rPr>
              <w:b/>
              <w:bCs/>
              <w:lang w:val="es-ES"/>
            </w:rPr>
            <w:instrText xml:space="preserve"> TOC \o "1-3" \h \z \u </w:instrText>
          </w:r>
          <w:r>
            <w:rPr>
              <w:b/>
              <w:bCs/>
              <w:lang w:val="es-ES"/>
            </w:rPr>
            <w:fldChar w:fldCharType="separate"/>
          </w:r>
          <w:hyperlink w:anchor="_Toc223017820" w:history="1">
            <w:r w:rsidR="00000FC9" w:rsidRPr="00A95311">
              <w:rPr>
                <w:rStyle w:val="Hipervnculo"/>
                <w:noProof/>
              </w:rPr>
              <w:t>A N T E C E D E N T E S</w:t>
            </w:r>
            <w:r w:rsidR="00000FC9">
              <w:rPr>
                <w:noProof/>
                <w:webHidden/>
              </w:rPr>
              <w:tab/>
            </w:r>
            <w:r w:rsidR="00000FC9">
              <w:rPr>
                <w:noProof/>
                <w:webHidden/>
              </w:rPr>
              <w:fldChar w:fldCharType="begin"/>
            </w:r>
            <w:r w:rsidR="00000FC9">
              <w:rPr>
                <w:noProof/>
                <w:webHidden/>
              </w:rPr>
              <w:instrText xml:space="preserve"> PAGEREF _Toc223017820 \h </w:instrText>
            </w:r>
            <w:r w:rsidR="00000FC9">
              <w:rPr>
                <w:noProof/>
                <w:webHidden/>
              </w:rPr>
            </w:r>
            <w:r w:rsidR="00000FC9">
              <w:rPr>
                <w:noProof/>
                <w:webHidden/>
              </w:rPr>
              <w:fldChar w:fldCharType="separate"/>
            </w:r>
            <w:r w:rsidR="00000FC9">
              <w:rPr>
                <w:noProof/>
                <w:webHidden/>
              </w:rPr>
              <w:t>2</w:t>
            </w:r>
            <w:r w:rsidR="00000FC9">
              <w:rPr>
                <w:noProof/>
                <w:webHidden/>
              </w:rPr>
              <w:fldChar w:fldCharType="end"/>
            </w:r>
          </w:hyperlink>
        </w:p>
        <w:p w14:paraId="7085600F" w14:textId="2F34CD9F" w:rsidR="00000FC9" w:rsidRDefault="00000FC9">
          <w:pPr>
            <w:pStyle w:val="TDC2"/>
            <w:rPr>
              <w:rFonts w:asciiTheme="minorHAnsi" w:eastAsiaTheme="minorEastAsia" w:hAnsiTheme="minorHAnsi" w:cstheme="minorBidi"/>
              <w:noProof/>
              <w:color w:val="auto"/>
              <w:kern w:val="2"/>
              <w14:ligatures w14:val="standardContextual"/>
            </w:rPr>
          </w:pPr>
          <w:hyperlink w:anchor="_Toc223017821" w:history="1">
            <w:r w:rsidRPr="00A95311">
              <w:rPr>
                <w:rStyle w:val="Hipervnculo"/>
                <w:noProof/>
              </w:rPr>
              <w:t>I. Presentación de la solicitud</w:t>
            </w:r>
            <w:r>
              <w:rPr>
                <w:noProof/>
                <w:webHidden/>
              </w:rPr>
              <w:tab/>
            </w:r>
            <w:r>
              <w:rPr>
                <w:noProof/>
                <w:webHidden/>
              </w:rPr>
              <w:fldChar w:fldCharType="begin"/>
            </w:r>
            <w:r>
              <w:rPr>
                <w:noProof/>
                <w:webHidden/>
              </w:rPr>
              <w:instrText xml:space="preserve"> PAGEREF _Toc223017821 \h </w:instrText>
            </w:r>
            <w:r>
              <w:rPr>
                <w:noProof/>
                <w:webHidden/>
              </w:rPr>
            </w:r>
            <w:r>
              <w:rPr>
                <w:noProof/>
                <w:webHidden/>
              </w:rPr>
              <w:fldChar w:fldCharType="separate"/>
            </w:r>
            <w:r>
              <w:rPr>
                <w:noProof/>
                <w:webHidden/>
              </w:rPr>
              <w:t>2</w:t>
            </w:r>
            <w:r>
              <w:rPr>
                <w:noProof/>
                <w:webHidden/>
              </w:rPr>
              <w:fldChar w:fldCharType="end"/>
            </w:r>
          </w:hyperlink>
        </w:p>
        <w:p w14:paraId="47C30B59" w14:textId="7E74EE5D" w:rsidR="00000FC9" w:rsidRDefault="00000FC9">
          <w:pPr>
            <w:pStyle w:val="TDC2"/>
            <w:rPr>
              <w:rFonts w:asciiTheme="minorHAnsi" w:eastAsiaTheme="minorEastAsia" w:hAnsiTheme="minorHAnsi" w:cstheme="minorBidi"/>
              <w:noProof/>
              <w:color w:val="auto"/>
              <w:kern w:val="2"/>
              <w14:ligatures w14:val="standardContextual"/>
            </w:rPr>
          </w:pPr>
          <w:hyperlink w:anchor="_Toc223017822" w:history="1">
            <w:r w:rsidRPr="00A95311">
              <w:rPr>
                <w:rStyle w:val="Hipervnculo"/>
                <w:noProof/>
              </w:rPr>
              <w:t>II. Respuesta del Sujeto Obligado</w:t>
            </w:r>
            <w:r>
              <w:rPr>
                <w:noProof/>
                <w:webHidden/>
              </w:rPr>
              <w:tab/>
            </w:r>
            <w:r>
              <w:rPr>
                <w:noProof/>
                <w:webHidden/>
              </w:rPr>
              <w:fldChar w:fldCharType="begin"/>
            </w:r>
            <w:r>
              <w:rPr>
                <w:noProof/>
                <w:webHidden/>
              </w:rPr>
              <w:instrText xml:space="preserve"> PAGEREF _Toc223017822 \h </w:instrText>
            </w:r>
            <w:r>
              <w:rPr>
                <w:noProof/>
                <w:webHidden/>
              </w:rPr>
            </w:r>
            <w:r>
              <w:rPr>
                <w:noProof/>
                <w:webHidden/>
              </w:rPr>
              <w:fldChar w:fldCharType="separate"/>
            </w:r>
            <w:r>
              <w:rPr>
                <w:noProof/>
                <w:webHidden/>
              </w:rPr>
              <w:t>3</w:t>
            </w:r>
            <w:r>
              <w:rPr>
                <w:noProof/>
                <w:webHidden/>
              </w:rPr>
              <w:fldChar w:fldCharType="end"/>
            </w:r>
          </w:hyperlink>
        </w:p>
        <w:p w14:paraId="20971E64" w14:textId="37660F3B" w:rsidR="00000FC9" w:rsidRDefault="00000FC9">
          <w:pPr>
            <w:pStyle w:val="TDC2"/>
            <w:rPr>
              <w:rFonts w:asciiTheme="minorHAnsi" w:eastAsiaTheme="minorEastAsia" w:hAnsiTheme="minorHAnsi" w:cstheme="minorBidi"/>
              <w:noProof/>
              <w:color w:val="auto"/>
              <w:kern w:val="2"/>
              <w14:ligatures w14:val="standardContextual"/>
            </w:rPr>
          </w:pPr>
          <w:hyperlink w:anchor="_Toc223017823" w:history="1">
            <w:r w:rsidRPr="00A95311">
              <w:rPr>
                <w:rStyle w:val="Hipervnculo"/>
                <w:noProof/>
              </w:rPr>
              <w:t>III. Interposición del Recurso de Revisión</w:t>
            </w:r>
            <w:r>
              <w:rPr>
                <w:noProof/>
                <w:webHidden/>
              </w:rPr>
              <w:tab/>
            </w:r>
            <w:r>
              <w:rPr>
                <w:noProof/>
                <w:webHidden/>
              </w:rPr>
              <w:fldChar w:fldCharType="begin"/>
            </w:r>
            <w:r>
              <w:rPr>
                <w:noProof/>
                <w:webHidden/>
              </w:rPr>
              <w:instrText xml:space="preserve"> PAGEREF _Toc223017823 \h </w:instrText>
            </w:r>
            <w:r>
              <w:rPr>
                <w:noProof/>
                <w:webHidden/>
              </w:rPr>
            </w:r>
            <w:r>
              <w:rPr>
                <w:noProof/>
                <w:webHidden/>
              </w:rPr>
              <w:fldChar w:fldCharType="separate"/>
            </w:r>
            <w:r>
              <w:rPr>
                <w:noProof/>
                <w:webHidden/>
              </w:rPr>
              <w:t>3</w:t>
            </w:r>
            <w:r>
              <w:rPr>
                <w:noProof/>
                <w:webHidden/>
              </w:rPr>
              <w:fldChar w:fldCharType="end"/>
            </w:r>
          </w:hyperlink>
        </w:p>
        <w:p w14:paraId="607599A0" w14:textId="2BF87E05" w:rsidR="00000FC9" w:rsidRDefault="00000FC9">
          <w:pPr>
            <w:pStyle w:val="TDC2"/>
            <w:rPr>
              <w:rFonts w:asciiTheme="minorHAnsi" w:eastAsiaTheme="minorEastAsia" w:hAnsiTheme="minorHAnsi" w:cstheme="minorBidi"/>
              <w:noProof/>
              <w:color w:val="auto"/>
              <w:kern w:val="2"/>
              <w14:ligatures w14:val="standardContextual"/>
            </w:rPr>
          </w:pPr>
          <w:hyperlink w:anchor="_Toc223017824" w:history="1">
            <w:r w:rsidRPr="00A95311">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_Toc223017824 \h </w:instrText>
            </w:r>
            <w:r>
              <w:rPr>
                <w:noProof/>
                <w:webHidden/>
              </w:rPr>
            </w:r>
            <w:r>
              <w:rPr>
                <w:noProof/>
                <w:webHidden/>
              </w:rPr>
              <w:fldChar w:fldCharType="separate"/>
            </w:r>
            <w:r>
              <w:rPr>
                <w:noProof/>
                <w:webHidden/>
              </w:rPr>
              <w:t>4</w:t>
            </w:r>
            <w:r>
              <w:rPr>
                <w:noProof/>
                <w:webHidden/>
              </w:rPr>
              <w:fldChar w:fldCharType="end"/>
            </w:r>
          </w:hyperlink>
        </w:p>
        <w:p w14:paraId="1A936AEA" w14:textId="673D43BB" w:rsidR="00000FC9" w:rsidRDefault="00000FC9">
          <w:pPr>
            <w:pStyle w:val="TDC1"/>
            <w:tabs>
              <w:tab w:val="right" w:leader="dot" w:pos="9204"/>
            </w:tabs>
            <w:rPr>
              <w:rFonts w:asciiTheme="minorHAnsi" w:eastAsiaTheme="minorEastAsia" w:hAnsiTheme="minorHAnsi" w:cstheme="minorBidi"/>
              <w:noProof/>
              <w:color w:val="auto"/>
              <w:kern w:val="2"/>
              <w14:ligatures w14:val="standardContextual"/>
            </w:rPr>
          </w:pPr>
          <w:hyperlink w:anchor="_Toc223017825" w:history="1">
            <w:r w:rsidRPr="00A95311">
              <w:rPr>
                <w:rStyle w:val="Hipervnculo"/>
                <w:noProof/>
              </w:rPr>
              <w:t>C O N S I D E R A N D O S</w:t>
            </w:r>
            <w:r>
              <w:rPr>
                <w:noProof/>
                <w:webHidden/>
              </w:rPr>
              <w:tab/>
            </w:r>
            <w:r>
              <w:rPr>
                <w:noProof/>
                <w:webHidden/>
              </w:rPr>
              <w:fldChar w:fldCharType="begin"/>
            </w:r>
            <w:r>
              <w:rPr>
                <w:noProof/>
                <w:webHidden/>
              </w:rPr>
              <w:instrText xml:space="preserve"> PAGEREF _Toc223017825 \h </w:instrText>
            </w:r>
            <w:r>
              <w:rPr>
                <w:noProof/>
                <w:webHidden/>
              </w:rPr>
            </w:r>
            <w:r>
              <w:rPr>
                <w:noProof/>
                <w:webHidden/>
              </w:rPr>
              <w:fldChar w:fldCharType="separate"/>
            </w:r>
            <w:r>
              <w:rPr>
                <w:noProof/>
                <w:webHidden/>
              </w:rPr>
              <w:t>5</w:t>
            </w:r>
            <w:r>
              <w:rPr>
                <w:noProof/>
                <w:webHidden/>
              </w:rPr>
              <w:fldChar w:fldCharType="end"/>
            </w:r>
          </w:hyperlink>
        </w:p>
        <w:p w14:paraId="24795A0B" w14:textId="46338476" w:rsidR="00000FC9" w:rsidRDefault="00000FC9">
          <w:pPr>
            <w:pStyle w:val="TDC2"/>
            <w:rPr>
              <w:rFonts w:asciiTheme="minorHAnsi" w:eastAsiaTheme="minorEastAsia" w:hAnsiTheme="minorHAnsi" w:cstheme="minorBidi"/>
              <w:noProof/>
              <w:color w:val="auto"/>
              <w:kern w:val="2"/>
              <w14:ligatures w14:val="standardContextual"/>
            </w:rPr>
          </w:pPr>
          <w:hyperlink w:anchor="_Toc223017826" w:history="1">
            <w:r w:rsidRPr="00A95311">
              <w:rPr>
                <w:rStyle w:val="Hipervnculo"/>
                <w:noProof/>
              </w:rPr>
              <w:t>PRIMERO. Competencia</w:t>
            </w:r>
            <w:r>
              <w:rPr>
                <w:noProof/>
                <w:webHidden/>
              </w:rPr>
              <w:tab/>
            </w:r>
            <w:r>
              <w:rPr>
                <w:noProof/>
                <w:webHidden/>
              </w:rPr>
              <w:fldChar w:fldCharType="begin"/>
            </w:r>
            <w:r>
              <w:rPr>
                <w:noProof/>
                <w:webHidden/>
              </w:rPr>
              <w:instrText xml:space="preserve"> PAGEREF _Toc223017826 \h </w:instrText>
            </w:r>
            <w:r>
              <w:rPr>
                <w:noProof/>
                <w:webHidden/>
              </w:rPr>
            </w:r>
            <w:r>
              <w:rPr>
                <w:noProof/>
                <w:webHidden/>
              </w:rPr>
              <w:fldChar w:fldCharType="separate"/>
            </w:r>
            <w:r>
              <w:rPr>
                <w:noProof/>
                <w:webHidden/>
              </w:rPr>
              <w:t>5</w:t>
            </w:r>
            <w:r>
              <w:rPr>
                <w:noProof/>
                <w:webHidden/>
              </w:rPr>
              <w:fldChar w:fldCharType="end"/>
            </w:r>
          </w:hyperlink>
        </w:p>
        <w:p w14:paraId="5E8012F7" w14:textId="6C4AE392" w:rsidR="00000FC9" w:rsidRDefault="00000FC9">
          <w:pPr>
            <w:pStyle w:val="TDC2"/>
            <w:rPr>
              <w:rFonts w:asciiTheme="minorHAnsi" w:eastAsiaTheme="minorEastAsia" w:hAnsiTheme="minorHAnsi" w:cstheme="minorBidi"/>
              <w:noProof/>
              <w:color w:val="auto"/>
              <w:kern w:val="2"/>
              <w14:ligatures w14:val="standardContextual"/>
            </w:rPr>
          </w:pPr>
          <w:hyperlink w:anchor="_Toc223017827" w:history="1">
            <w:r w:rsidRPr="00A95311">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_Toc223017827 \h </w:instrText>
            </w:r>
            <w:r>
              <w:rPr>
                <w:noProof/>
                <w:webHidden/>
              </w:rPr>
            </w:r>
            <w:r>
              <w:rPr>
                <w:noProof/>
                <w:webHidden/>
              </w:rPr>
              <w:fldChar w:fldCharType="separate"/>
            </w:r>
            <w:r>
              <w:rPr>
                <w:noProof/>
                <w:webHidden/>
              </w:rPr>
              <w:t>6</w:t>
            </w:r>
            <w:r>
              <w:rPr>
                <w:noProof/>
                <w:webHidden/>
              </w:rPr>
              <w:fldChar w:fldCharType="end"/>
            </w:r>
          </w:hyperlink>
        </w:p>
        <w:p w14:paraId="726465B2" w14:textId="0939C844" w:rsidR="00000FC9" w:rsidRDefault="00000FC9">
          <w:pPr>
            <w:pStyle w:val="TDC2"/>
            <w:rPr>
              <w:rFonts w:asciiTheme="minorHAnsi" w:eastAsiaTheme="minorEastAsia" w:hAnsiTheme="minorHAnsi" w:cstheme="minorBidi"/>
              <w:noProof/>
              <w:color w:val="auto"/>
              <w:kern w:val="2"/>
              <w14:ligatures w14:val="standardContextual"/>
            </w:rPr>
          </w:pPr>
          <w:hyperlink w:anchor="_Toc223017828" w:history="1">
            <w:r w:rsidRPr="00A95311">
              <w:rPr>
                <w:rStyle w:val="Hipervnculo"/>
                <w:noProof/>
              </w:rPr>
              <w:t>TERCERO. Determinación de la Controversia.</w:t>
            </w:r>
            <w:r>
              <w:rPr>
                <w:noProof/>
                <w:webHidden/>
              </w:rPr>
              <w:tab/>
            </w:r>
            <w:r>
              <w:rPr>
                <w:noProof/>
                <w:webHidden/>
              </w:rPr>
              <w:fldChar w:fldCharType="begin"/>
            </w:r>
            <w:r>
              <w:rPr>
                <w:noProof/>
                <w:webHidden/>
              </w:rPr>
              <w:instrText xml:space="preserve"> PAGEREF _Toc223017828 \h </w:instrText>
            </w:r>
            <w:r>
              <w:rPr>
                <w:noProof/>
                <w:webHidden/>
              </w:rPr>
            </w:r>
            <w:r>
              <w:rPr>
                <w:noProof/>
                <w:webHidden/>
              </w:rPr>
              <w:fldChar w:fldCharType="separate"/>
            </w:r>
            <w:r>
              <w:rPr>
                <w:noProof/>
                <w:webHidden/>
              </w:rPr>
              <w:t>7</w:t>
            </w:r>
            <w:r>
              <w:rPr>
                <w:noProof/>
                <w:webHidden/>
              </w:rPr>
              <w:fldChar w:fldCharType="end"/>
            </w:r>
          </w:hyperlink>
        </w:p>
        <w:p w14:paraId="109E40F3" w14:textId="4410C62E" w:rsidR="00000FC9" w:rsidRDefault="00000FC9">
          <w:pPr>
            <w:pStyle w:val="TDC2"/>
            <w:rPr>
              <w:rFonts w:asciiTheme="minorHAnsi" w:eastAsiaTheme="minorEastAsia" w:hAnsiTheme="minorHAnsi" w:cstheme="minorBidi"/>
              <w:noProof/>
              <w:color w:val="auto"/>
              <w:kern w:val="2"/>
              <w14:ligatures w14:val="standardContextual"/>
            </w:rPr>
          </w:pPr>
          <w:hyperlink w:anchor="_Toc223017829" w:history="1">
            <w:r w:rsidRPr="00A95311">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_Toc223017829 \h </w:instrText>
            </w:r>
            <w:r>
              <w:rPr>
                <w:noProof/>
                <w:webHidden/>
              </w:rPr>
            </w:r>
            <w:r>
              <w:rPr>
                <w:noProof/>
                <w:webHidden/>
              </w:rPr>
              <w:fldChar w:fldCharType="separate"/>
            </w:r>
            <w:r>
              <w:rPr>
                <w:noProof/>
                <w:webHidden/>
              </w:rPr>
              <w:t>8</w:t>
            </w:r>
            <w:r>
              <w:rPr>
                <w:noProof/>
                <w:webHidden/>
              </w:rPr>
              <w:fldChar w:fldCharType="end"/>
            </w:r>
          </w:hyperlink>
        </w:p>
        <w:p w14:paraId="222E5151" w14:textId="27616D5E" w:rsidR="00000FC9" w:rsidRDefault="00000FC9">
          <w:pPr>
            <w:pStyle w:val="TDC2"/>
            <w:rPr>
              <w:rFonts w:asciiTheme="minorHAnsi" w:eastAsiaTheme="minorEastAsia" w:hAnsiTheme="minorHAnsi" w:cstheme="minorBidi"/>
              <w:noProof/>
              <w:color w:val="auto"/>
              <w:kern w:val="2"/>
              <w14:ligatures w14:val="standardContextual"/>
            </w:rPr>
          </w:pPr>
          <w:hyperlink w:anchor="_Toc223017830" w:history="1">
            <w:r w:rsidRPr="00A95311">
              <w:rPr>
                <w:rStyle w:val="Hipervnculo"/>
                <w:smallCaps/>
                <w:noProof/>
              </w:rPr>
              <w:t>QUINTO.</w:t>
            </w:r>
            <w:r w:rsidRPr="00A95311">
              <w:rPr>
                <w:rStyle w:val="Hipervnculo"/>
                <w:noProof/>
              </w:rPr>
              <w:t xml:space="preserve"> Estudio de Fondo</w:t>
            </w:r>
            <w:r>
              <w:rPr>
                <w:noProof/>
                <w:webHidden/>
              </w:rPr>
              <w:tab/>
            </w:r>
            <w:r>
              <w:rPr>
                <w:noProof/>
                <w:webHidden/>
              </w:rPr>
              <w:fldChar w:fldCharType="begin"/>
            </w:r>
            <w:r>
              <w:rPr>
                <w:noProof/>
                <w:webHidden/>
              </w:rPr>
              <w:instrText xml:space="preserve"> PAGEREF _Toc223017830 \h </w:instrText>
            </w:r>
            <w:r>
              <w:rPr>
                <w:noProof/>
                <w:webHidden/>
              </w:rPr>
            </w:r>
            <w:r>
              <w:rPr>
                <w:noProof/>
                <w:webHidden/>
              </w:rPr>
              <w:fldChar w:fldCharType="separate"/>
            </w:r>
            <w:r>
              <w:rPr>
                <w:noProof/>
                <w:webHidden/>
              </w:rPr>
              <w:t>9</w:t>
            </w:r>
            <w:r>
              <w:rPr>
                <w:noProof/>
                <w:webHidden/>
              </w:rPr>
              <w:fldChar w:fldCharType="end"/>
            </w:r>
          </w:hyperlink>
        </w:p>
        <w:p w14:paraId="65F25C40" w14:textId="7C8FE941" w:rsidR="00000FC9" w:rsidRDefault="00000FC9">
          <w:pPr>
            <w:pStyle w:val="TDC2"/>
            <w:rPr>
              <w:rFonts w:asciiTheme="minorHAnsi" w:eastAsiaTheme="minorEastAsia" w:hAnsiTheme="minorHAnsi" w:cstheme="minorBidi"/>
              <w:noProof/>
              <w:color w:val="auto"/>
              <w:kern w:val="2"/>
              <w14:ligatures w14:val="standardContextual"/>
            </w:rPr>
          </w:pPr>
          <w:hyperlink w:anchor="_Toc223017831" w:history="1">
            <w:r w:rsidRPr="00A95311">
              <w:rPr>
                <w:rStyle w:val="Hipervnculo"/>
                <w:noProof/>
              </w:rPr>
              <w:t>SEXTO. Decisión</w:t>
            </w:r>
            <w:r>
              <w:rPr>
                <w:noProof/>
                <w:webHidden/>
              </w:rPr>
              <w:tab/>
            </w:r>
            <w:r>
              <w:rPr>
                <w:noProof/>
                <w:webHidden/>
              </w:rPr>
              <w:fldChar w:fldCharType="begin"/>
            </w:r>
            <w:r>
              <w:rPr>
                <w:noProof/>
                <w:webHidden/>
              </w:rPr>
              <w:instrText xml:space="preserve"> PAGEREF _Toc223017831 \h </w:instrText>
            </w:r>
            <w:r>
              <w:rPr>
                <w:noProof/>
                <w:webHidden/>
              </w:rPr>
            </w:r>
            <w:r>
              <w:rPr>
                <w:noProof/>
                <w:webHidden/>
              </w:rPr>
              <w:fldChar w:fldCharType="separate"/>
            </w:r>
            <w:r>
              <w:rPr>
                <w:noProof/>
                <w:webHidden/>
              </w:rPr>
              <w:t>35</w:t>
            </w:r>
            <w:r>
              <w:rPr>
                <w:noProof/>
                <w:webHidden/>
              </w:rPr>
              <w:fldChar w:fldCharType="end"/>
            </w:r>
          </w:hyperlink>
        </w:p>
        <w:p w14:paraId="1DC9FC90" w14:textId="345BC2AA" w:rsidR="00000FC9" w:rsidRDefault="00000FC9">
          <w:pPr>
            <w:pStyle w:val="TDC1"/>
            <w:tabs>
              <w:tab w:val="right" w:leader="dot" w:pos="9204"/>
            </w:tabs>
            <w:rPr>
              <w:rFonts w:asciiTheme="minorHAnsi" w:eastAsiaTheme="minorEastAsia" w:hAnsiTheme="minorHAnsi" w:cstheme="minorBidi"/>
              <w:noProof/>
              <w:color w:val="auto"/>
              <w:kern w:val="2"/>
              <w14:ligatures w14:val="standardContextual"/>
            </w:rPr>
          </w:pPr>
          <w:hyperlink w:anchor="_Toc223017832" w:history="1">
            <w:r w:rsidRPr="00A95311">
              <w:rPr>
                <w:rStyle w:val="Hipervnculo"/>
                <w:noProof/>
              </w:rPr>
              <w:t>R E S U E L V E</w:t>
            </w:r>
            <w:r>
              <w:rPr>
                <w:noProof/>
                <w:webHidden/>
              </w:rPr>
              <w:tab/>
            </w:r>
            <w:r>
              <w:rPr>
                <w:noProof/>
                <w:webHidden/>
              </w:rPr>
              <w:fldChar w:fldCharType="begin"/>
            </w:r>
            <w:r>
              <w:rPr>
                <w:noProof/>
                <w:webHidden/>
              </w:rPr>
              <w:instrText xml:space="preserve"> PAGEREF _Toc223017832 \h </w:instrText>
            </w:r>
            <w:r>
              <w:rPr>
                <w:noProof/>
                <w:webHidden/>
              </w:rPr>
            </w:r>
            <w:r>
              <w:rPr>
                <w:noProof/>
                <w:webHidden/>
              </w:rPr>
              <w:fldChar w:fldCharType="separate"/>
            </w:r>
            <w:r>
              <w:rPr>
                <w:noProof/>
                <w:webHidden/>
              </w:rPr>
              <w:t>36</w:t>
            </w:r>
            <w:r>
              <w:rPr>
                <w:noProof/>
                <w:webHidden/>
              </w:rPr>
              <w:fldChar w:fldCharType="end"/>
            </w:r>
          </w:hyperlink>
        </w:p>
        <w:p w14:paraId="39ABCC71" w14:textId="68EAD6B5" w:rsidR="00D349A4" w:rsidRDefault="00D349A4">
          <w:r>
            <w:rPr>
              <w:b/>
              <w:bCs/>
              <w:lang w:val="es-ES"/>
            </w:rPr>
            <w:fldChar w:fldCharType="end"/>
          </w:r>
        </w:p>
      </w:sdtContent>
    </w:sdt>
    <w:p w14:paraId="5FC24EDC" w14:textId="77777777" w:rsidR="001359FA" w:rsidRDefault="001359FA" w:rsidP="004C29B5">
      <w:pPr>
        <w:spacing w:after="0" w:line="360" w:lineRule="auto"/>
      </w:pPr>
    </w:p>
    <w:p w14:paraId="3C58395F" w14:textId="77777777" w:rsidR="009E3DD4" w:rsidRDefault="009E3DD4" w:rsidP="004C29B5">
      <w:pPr>
        <w:widowControl w:val="0"/>
        <w:pBdr>
          <w:top w:val="nil"/>
          <w:left w:val="nil"/>
          <w:bottom w:val="nil"/>
          <w:right w:val="nil"/>
          <w:between w:val="nil"/>
        </w:pBdr>
        <w:spacing w:after="0" w:line="360" w:lineRule="auto"/>
      </w:pPr>
    </w:p>
    <w:p w14:paraId="1F9DB71F" w14:textId="77777777" w:rsidR="009E3DD4" w:rsidRDefault="009E3DD4" w:rsidP="004C29B5">
      <w:pPr>
        <w:widowControl w:val="0"/>
        <w:pBdr>
          <w:top w:val="nil"/>
          <w:left w:val="nil"/>
          <w:bottom w:val="nil"/>
          <w:right w:val="nil"/>
          <w:between w:val="nil"/>
        </w:pBdr>
        <w:spacing w:after="0" w:line="360" w:lineRule="auto"/>
      </w:pPr>
    </w:p>
    <w:p w14:paraId="0086F04A" w14:textId="77777777" w:rsidR="009E3DD4" w:rsidRDefault="009E3DD4" w:rsidP="004C29B5">
      <w:pPr>
        <w:widowControl w:val="0"/>
        <w:pBdr>
          <w:top w:val="nil"/>
          <w:left w:val="nil"/>
          <w:bottom w:val="nil"/>
          <w:right w:val="nil"/>
          <w:between w:val="nil"/>
        </w:pBdr>
        <w:spacing w:after="0" w:line="360" w:lineRule="auto"/>
      </w:pPr>
    </w:p>
    <w:p w14:paraId="53BCFA0F" w14:textId="77777777" w:rsidR="009E3DD4" w:rsidRDefault="009E3DD4" w:rsidP="004C29B5">
      <w:pPr>
        <w:widowControl w:val="0"/>
        <w:pBdr>
          <w:top w:val="nil"/>
          <w:left w:val="nil"/>
          <w:bottom w:val="nil"/>
          <w:right w:val="nil"/>
          <w:between w:val="nil"/>
        </w:pBdr>
        <w:spacing w:after="0" w:line="360" w:lineRule="auto"/>
      </w:pPr>
    </w:p>
    <w:p w14:paraId="13D1ED9D" w14:textId="77777777" w:rsidR="009E3DD4" w:rsidRDefault="009E3DD4" w:rsidP="004C29B5">
      <w:pPr>
        <w:widowControl w:val="0"/>
        <w:pBdr>
          <w:top w:val="nil"/>
          <w:left w:val="nil"/>
          <w:bottom w:val="nil"/>
          <w:right w:val="nil"/>
          <w:between w:val="nil"/>
        </w:pBdr>
        <w:spacing w:after="0" w:line="360" w:lineRule="auto"/>
      </w:pPr>
    </w:p>
    <w:p w14:paraId="77956F02" w14:textId="77777777" w:rsidR="009E3DD4" w:rsidRDefault="009E3DD4" w:rsidP="004C29B5">
      <w:pPr>
        <w:widowControl w:val="0"/>
        <w:pBdr>
          <w:top w:val="nil"/>
          <w:left w:val="nil"/>
          <w:bottom w:val="nil"/>
          <w:right w:val="nil"/>
          <w:between w:val="nil"/>
        </w:pBdr>
        <w:spacing w:after="0" w:line="360" w:lineRule="auto"/>
      </w:pPr>
    </w:p>
    <w:p w14:paraId="3AD08ACD" w14:textId="77777777" w:rsidR="009E3DD4" w:rsidRDefault="009E3DD4" w:rsidP="004C29B5">
      <w:pPr>
        <w:widowControl w:val="0"/>
        <w:pBdr>
          <w:top w:val="nil"/>
          <w:left w:val="nil"/>
          <w:bottom w:val="nil"/>
          <w:right w:val="nil"/>
          <w:between w:val="nil"/>
        </w:pBdr>
        <w:spacing w:after="0" w:line="360" w:lineRule="auto"/>
      </w:pPr>
    </w:p>
    <w:p w14:paraId="6D69A3AD" w14:textId="77777777" w:rsidR="001359FA" w:rsidRDefault="00924A65" w:rsidP="004C29B5">
      <w:pPr>
        <w:widowControl w:val="0"/>
        <w:pBdr>
          <w:top w:val="nil"/>
          <w:left w:val="nil"/>
          <w:bottom w:val="nil"/>
          <w:right w:val="nil"/>
          <w:between w:val="nil"/>
        </w:pBdr>
        <w:spacing w:after="0" w:line="360" w:lineRule="auto"/>
      </w:pPr>
      <w:r>
        <w:br w:type="column"/>
      </w:r>
      <w:r>
        <w:lastRenderedPageBreak/>
        <w:t xml:space="preserve">Resolución del Pleno del Instituto de Transparencia, Acceso a la Información Pública y Protección de Datos Personales del Estado de México y Municipios, con domicilio en Metepec, Estado de México, de fecha </w:t>
      </w:r>
      <w:r w:rsidR="009E3DD4">
        <w:t>veinticinco de febrero de dos mil veintiséis.</w:t>
      </w:r>
    </w:p>
    <w:p w14:paraId="08B90F73" w14:textId="77777777" w:rsidR="001359FA" w:rsidRDefault="001359FA" w:rsidP="004C29B5">
      <w:pPr>
        <w:spacing w:after="0" w:line="360" w:lineRule="auto"/>
        <w:rPr>
          <w:b/>
        </w:rPr>
      </w:pPr>
    </w:p>
    <w:p w14:paraId="3E925BF6" w14:textId="7D5EF0EA" w:rsidR="001359FA" w:rsidRDefault="00924A65" w:rsidP="004C29B5">
      <w:pPr>
        <w:spacing w:after="0" w:line="360" w:lineRule="auto"/>
      </w:pPr>
      <w:r>
        <w:rPr>
          <w:b/>
        </w:rPr>
        <w:t>VISTO</w:t>
      </w:r>
      <w:r>
        <w:t xml:space="preserve"> el expediente conformado con motivo del Recurso de Revisión </w:t>
      </w:r>
      <w:r w:rsidR="009E3DD4">
        <w:rPr>
          <w:b/>
        </w:rPr>
        <w:t>11371</w:t>
      </w:r>
      <w:r>
        <w:rPr>
          <w:b/>
        </w:rPr>
        <w:t>/INFOEM/IP/RR/2025</w:t>
      </w:r>
      <w:r>
        <w:t xml:space="preserve">, interpuesto por </w:t>
      </w:r>
      <w:r w:rsidR="009E3DD4">
        <w:t xml:space="preserve">el </w:t>
      </w:r>
      <w:r>
        <w:t xml:space="preserve">Recurrente o Particular, en contra de la respuesta del Sujeto Obligado, </w:t>
      </w:r>
      <w:r w:rsidRPr="00AD5306">
        <w:rPr>
          <w:b/>
          <w:bCs/>
        </w:rPr>
        <w:t xml:space="preserve">Ayuntamiento de </w:t>
      </w:r>
      <w:r w:rsidR="009E3DD4" w:rsidRPr="00AD5306">
        <w:rPr>
          <w:b/>
          <w:bCs/>
        </w:rPr>
        <w:t>Tianguistenco</w:t>
      </w:r>
      <w:r>
        <w:t>, a la solicitud de acceso a la información</w:t>
      </w:r>
      <w:r w:rsidR="00AD5306">
        <w:t xml:space="preserve"> </w:t>
      </w:r>
      <w:r w:rsidR="009E3DD4" w:rsidRPr="009E3DD4">
        <w:rPr>
          <w:b/>
          <w:color w:val="0D0D0D"/>
        </w:rPr>
        <w:t>00160/TIANGUIS/IP/2025</w:t>
      </w:r>
      <w:r>
        <w:t>, se emite la presente Resolución, con base en los Antecedentes y Considerandos que se exponen a continuación:</w:t>
      </w:r>
    </w:p>
    <w:p w14:paraId="0FDEB427" w14:textId="77777777" w:rsidR="001359FA" w:rsidRDefault="001359FA" w:rsidP="004C29B5">
      <w:pPr>
        <w:spacing w:after="0" w:line="360" w:lineRule="auto"/>
      </w:pPr>
    </w:p>
    <w:p w14:paraId="6DB1F017" w14:textId="77777777" w:rsidR="001359FA" w:rsidRDefault="00924A65" w:rsidP="004C29B5">
      <w:pPr>
        <w:pStyle w:val="Ttulo1"/>
        <w:spacing w:before="0" w:after="0"/>
      </w:pPr>
      <w:bookmarkStart w:id="0" w:name="_heading=h.moblepatsrto" w:colFirst="0" w:colLast="0"/>
      <w:bookmarkStart w:id="1" w:name="_Toc193973746"/>
      <w:bookmarkStart w:id="2" w:name="_Toc223017820"/>
      <w:bookmarkEnd w:id="0"/>
      <w:r>
        <w:t>A N T E C E D E N T E S</w:t>
      </w:r>
      <w:bookmarkEnd w:id="1"/>
      <w:bookmarkEnd w:id="2"/>
    </w:p>
    <w:p w14:paraId="5E549DD6" w14:textId="77777777" w:rsidR="001359FA" w:rsidRDefault="001359FA" w:rsidP="004C29B5">
      <w:pPr>
        <w:spacing w:after="0" w:line="360" w:lineRule="auto"/>
      </w:pPr>
    </w:p>
    <w:p w14:paraId="6F3801C4" w14:textId="77777777" w:rsidR="001359FA" w:rsidRDefault="00924A65" w:rsidP="004C29B5">
      <w:pPr>
        <w:pStyle w:val="Ttulo2"/>
        <w:spacing w:before="0" w:after="0"/>
      </w:pPr>
      <w:bookmarkStart w:id="3" w:name="_heading=h.nah1zk30dbwv" w:colFirst="0" w:colLast="0"/>
      <w:bookmarkStart w:id="4" w:name="_Toc193973747"/>
      <w:bookmarkStart w:id="5" w:name="_Toc223017821"/>
      <w:bookmarkEnd w:id="3"/>
      <w:r>
        <w:t>I. Presentación de la solicitud</w:t>
      </w:r>
      <w:bookmarkEnd w:id="4"/>
      <w:bookmarkEnd w:id="5"/>
    </w:p>
    <w:p w14:paraId="52A8B30A" w14:textId="77777777" w:rsidR="001359FA" w:rsidRDefault="001359FA" w:rsidP="004C29B5">
      <w:pPr>
        <w:tabs>
          <w:tab w:val="left" w:pos="567"/>
        </w:tabs>
        <w:spacing w:after="0" w:line="360" w:lineRule="auto"/>
      </w:pPr>
    </w:p>
    <w:p w14:paraId="2CE963C5" w14:textId="77777777" w:rsidR="001359FA" w:rsidRDefault="00924A65" w:rsidP="004C29B5">
      <w:pPr>
        <w:spacing w:after="0" w:line="360" w:lineRule="auto"/>
      </w:pPr>
      <w:r>
        <w:t xml:space="preserve">Con fecha </w:t>
      </w:r>
      <w:r w:rsidR="00557355">
        <w:t>dos de septiembre</w:t>
      </w:r>
      <w:r>
        <w:t xml:space="preserve"> de dos mil veinticinco, el Particular presentó una solicitud de acceso a la información pública, a través del Sistema de Acceso a la I</w:t>
      </w:r>
      <w:r w:rsidR="009E3DD4">
        <w:t xml:space="preserve">nformación Mexiquense (SAIMEX), </w:t>
      </w:r>
      <w:r>
        <w:t xml:space="preserve">ante el Sujeto Obligado, en los siguientes términos: </w:t>
      </w:r>
    </w:p>
    <w:p w14:paraId="10A54DF1" w14:textId="77777777" w:rsidR="001359FA" w:rsidRDefault="001359FA" w:rsidP="004C29B5">
      <w:pPr>
        <w:spacing w:after="0" w:line="360" w:lineRule="auto"/>
      </w:pPr>
    </w:p>
    <w:p w14:paraId="30ABD411" w14:textId="77777777" w:rsidR="001359FA" w:rsidRDefault="00924A65" w:rsidP="004C29B5">
      <w:pPr>
        <w:tabs>
          <w:tab w:val="left" w:pos="4667"/>
        </w:tabs>
        <w:spacing w:after="0" w:line="360" w:lineRule="auto"/>
        <w:ind w:left="567" w:right="567"/>
        <w:rPr>
          <w:b/>
          <w:i/>
          <w:sz w:val="20"/>
          <w:szCs w:val="20"/>
        </w:rPr>
      </w:pPr>
      <w:r>
        <w:rPr>
          <w:b/>
          <w:i/>
          <w:sz w:val="20"/>
          <w:szCs w:val="20"/>
        </w:rPr>
        <w:t>“DESCRIPCIÓN CLARA Y PRECISA DE LA INFORMACIÓN SOLICITADA.</w:t>
      </w:r>
    </w:p>
    <w:p w14:paraId="4AF36EE3" w14:textId="77777777" w:rsidR="001359FA" w:rsidRDefault="00557355" w:rsidP="004C29B5">
      <w:pPr>
        <w:tabs>
          <w:tab w:val="left" w:pos="4667"/>
        </w:tabs>
        <w:spacing w:after="0" w:line="360" w:lineRule="auto"/>
        <w:ind w:left="567" w:right="567"/>
        <w:rPr>
          <w:i/>
          <w:sz w:val="20"/>
          <w:szCs w:val="20"/>
        </w:rPr>
      </w:pPr>
      <w:r w:rsidRPr="00557355">
        <w:rPr>
          <w:i/>
          <w:sz w:val="20"/>
          <w:szCs w:val="20"/>
        </w:rPr>
        <w:t>Solicito los recibos de pago de la parte proporcional de aguinaldo y prima vacacional que recibieron todos los servidores públicos de este ayuntamiento, en este año 2025.</w:t>
      </w:r>
      <w:r>
        <w:rPr>
          <w:i/>
          <w:sz w:val="20"/>
          <w:szCs w:val="20"/>
        </w:rPr>
        <w:t>”</w:t>
      </w:r>
      <w:r w:rsidR="00924A65">
        <w:rPr>
          <w:i/>
          <w:sz w:val="20"/>
          <w:szCs w:val="20"/>
        </w:rPr>
        <w:t xml:space="preserve"> </w:t>
      </w:r>
      <w:r w:rsidR="00924A65">
        <w:rPr>
          <w:i/>
          <w:sz w:val="16"/>
          <w:szCs w:val="16"/>
        </w:rPr>
        <w:t>(</w:t>
      </w:r>
      <w:r w:rsidR="00924A65">
        <w:rPr>
          <w:i/>
          <w:sz w:val="20"/>
          <w:szCs w:val="20"/>
        </w:rPr>
        <w:t xml:space="preserve">Sic) </w:t>
      </w:r>
    </w:p>
    <w:p w14:paraId="77F1C4B7" w14:textId="77777777" w:rsidR="001359FA" w:rsidRDefault="001359FA" w:rsidP="004C29B5">
      <w:pPr>
        <w:tabs>
          <w:tab w:val="left" w:pos="4667"/>
        </w:tabs>
        <w:spacing w:after="0" w:line="360" w:lineRule="auto"/>
        <w:ind w:left="567" w:right="567"/>
        <w:rPr>
          <w:b/>
          <w:i/>
          <w:sz w:val="20"/>
          <w:szCs w:val="20"/>
        </w:rPr>
      </w:pPr>
    </w:p>
    <w:p w14:paraId="1114A0E9" w14:textId="77777777" w:rsidR="001359FA" w:rsidRDefault="00924A65" w:rsidP="004C29B5">
      <w:pPr>
        <w:tabs>
          <w:tab w:val="left" w:pos="4667"/>
        </w:tabs>
        <w:spacing w:after="0" w:line="360" w:lineRule="auto"/>
        <w:ind w:left="567" w:right="567"/>
        <w:rPr>
          <w:b/>
          <w:i/>
          <w:sz w:val="20"/>
          <w:szCs w:val="20"/>
        </w:rPr>
      </w:pPr>
      <w:r>
        <w:rPr>
          <w:b/>
          <w:i/>
          <w:sz w:val="20"/>
          <w:szCs w:val="20"/>
        </w:rPr>
        <w:t>“MODALIDAD DE ENTREGA</w:t>
      </w:r>
    </w:p>
    <w:p w14:paraId="5F6DCB02" w14:textId="77777777" w:rsidR="001359FA" w:rsidRDefault="00924A65" w:rsidP="004C29B5">
      <w:pPr>
        <w:spacing w:after="0" w:line="360" w:lineRule="auto"/>
        <w:ind w:left="567" w:right="567"/>
        <w:rPr>
          <w:i/>
          <w:sz w:val="20"/>
          <w:szCs w:val="20"/>
        </w:rPr>
      </w:pPr>
      <w:r>
        <w:rPr>
          <w:i/>
          <w:sz w:val="20"/>
          <w:szCs w:val="20"/>
        </w:rPr>
        <w:t>A través del SAIMEX”</w:t>
      </w:r>
    </w:p>
    <w:p w14:paraId="1211E6B1" w14:textId="77777777" w:rsidR="001359FA" w:rsidRDefault="001359FA" w:rsidP="004C29B5">
      <w:pPr>
        <w:spacing w:after="0" w:line="360" w:lineRule="auto"/>
        <w:rPr>
          <w:b/>
        </w:rPr>
      </w:pPr>
    </w:p>
    <w:p w14:paraId="53CBDB68" w14:textId="77777777" w:rsidR="009E3DD4" w:rsidRDefault="009E3DD4" w:rsidP="004C29B5">
      <w:pPr>
        <w:spacing w:after="0" w:line="360" w:lineRule="auto"/>
        <w:rPr>
          <w:b/>
        </w:rPr>
      </w:pPr>
    </w:p>
    <w:p w14:paraId="4EAD0D15" w14:textId="77777777" w:rsidR="009E3DD4" w:rsidRDefault="009E3DD4" w:rsidP="004C29B5">
      <w:pPr>
        <w:spacing w:after="0" w:line="360" w:lineRule="auto"/>
        <w:rPr>
          <w:b/>
        </w:rPr>
      </w:pPr>
    </w:p>
    <w:p w14:paraId="5FDBB279" w14:textId="77777777" w:rsidR="009E3DD4" w:rsidRDefault="009E3DD4" w:rsidP="004C29B5">
      <w:pPr>
        <w:spacing w:after="0" w:line="360" w:lineRule="auto"/>
        <w:rPr>
          <w:b/>
        </w:rPr>
      </w:pPr>
    </w:p>
    <w:p w14:paraId="0A5AAF9E" w14:textId="77777777" w:rsidR="009E3DD4" w:rsidRDefault="009E3DD4" w:rsidP="004C29B5">
      <w:pPr>
        <w:spacing w:after="0" w:line="360" w:lineRule="auto"/>
        <w:rPr>
          <w:b/>
        </w:rPr>
      </w:pPr>
    </w:p>
    <w:p w14:paraId="540FE3D7" w14:textId="77777777" w:rsidR="001359FA" w:rsidRDefault="009E3DD4" w:rsidP="004C29B5">
      <w:pPr>
        <w:pStyle w:val="Ttulo2"/>
        <w:spacing w:before="0" w:after="0"/>
      </w:pPr>
      <w:bookmarkStart w:id="6" w:name="_heading=h.bwyqr1s3zvrc" w:colFirst="0" w:colLast="0"/>
      <w:bookmarkStart w:id="7" w:name="_Toc193973748"/>
      <w:bookmarkStart w:id="8" w:name="_Toc223017822"/>
      <w:bookmarkEnd w:id="6"/>
      <w:r>
        <w:t>II</w:t>
      </w:r>
      <w:r w:rsidR="00924A65">
        <w:t>. Respuesta del Sujeto Obligado</w:t>
      </w:r>
      <w:bookmarkEnd w:id="7"/>
      <w:bookmarkEnd w:id="8"/>
    </w:p>
    <w:p w14:paraId="00A485BA" w14:textId="77777777" w:rsidR="001359FA" w:rsidRDefault="001359FA" w:rsidP="004C29B5">
      <w:pPr>
        <w:spacing w:after="0" w:line="360" w:lineRule="auto"/>
        <w:rPr>
          <w:b/>
        </w:rPr>
      </w:pPr>
    </w:p>
    <w:p w14:paraId="42AAE326" w14:textId="77777777" w:rsidR="009E3DD4" w:rsidRDefault="00924A65" w:rsidP="004C29B5">
      <w:pPr>
        <w:spacing w:after="0" w:line="360" w:lineRule="auto"/>
      </w:pPr>
      <w:r>
        <w:t xml:space="preserve">Con fecha </w:t>
      </w:r>
      <w:r w:rsidR="009E3DD4">
        <w:t>veinticuatro de septiembre</w:t>
      </w:r>
      <w:r>
        <w:t xml:space="preserve"> de dos mil veinticinco, el Sujeto Obligado notificó, a través del Sistema de Acceso a la Información Mexiquense (SAIMEX), la respuesta a la solicitud de acceso a la información pública, remitiendo el Oficio</w:t>
      </w:r>
      <w:r w:rsidR="009E3DD4">
        <w:t xml:space="preserve"> número PMT/TM/0599/2025, </w:t>
      </w:r>
      <w:r>
        <w:t xml:space="preserve">del </w:t>
      </w:r>
      <w:r w:rsidR="009E3DD4">
        <w:t xml:space="preserve">Tesorero Municipal, dirigido al Titular de la Unidad de Transparencia, </w:t>
      </w:r>
      <w:r>
        <w:t xml:space="preserve">donde refiere que la información requerida, </w:t>
      </w:r>
      <w:r w:rsidR="009E3DD4">
        <w:t>puede ser solicitada a través del siguiente link.</w:t>
      </w:r>
    </w:p>
    <w:p w14:paraId="30D8F396" w14:textId="77777777" w:rsidR="009E3DD4" w:rsidRDefault="009E3DD4" w:rsidP="004C29B5">
      <w:pPr>
        <w:spacing w:after="0" w:line="360" w:lineRule="auto"/>
      </w:pPr>
    </w:p>
    <w:p w14:paraId="0E058B13" w14:textId="77777777" w:rsidR="009E3DD4" w:rsidRDefault="009E3DD4" w:rsidP="004C29B5">
      <w:pPr>
        <w:pStyle w:val="Prrafodelista"/>
        <w:numPr>
          <w:ilvl w:val="0"/>
          <w:numId w:val="4"/>
        </w:numPr>
        <w:spacing w:line="360" w:lineRule="auto"/>
      </w:pPr>
      <w:hyperlink r:id="rId9" w:anchor="/" w:history="1">
        <w:r w:rsidRPr="00355D17">
          <w:rPr>
            <w:rStyle w:val="Hipervnculo"/>
          </w:rPr>
          <w:t>https://ipomex.org.mx/ipomex/#/</w:t>
        </w:r>
      </w:hyperlink>
      <w:r>
        <w:t xml:space="preserve"> </w:t>
      </w:r>
    </w:p>
    <w:p w14:paraId="05B5199E" w14:textId="77777777" w:rsidR="001359FA" w:rsidRDefault="001359FA" w:rsidP="004C29B5">
      <w:pPr>
        <w:spacing w:after="0" w:line="360" w:lineRule="auto"/>
      </w:pPr>
    </w:p>
    <w:p w14:paraId="0FA48157" w14:textId="77777777" w:rsidR="009E3DD4" w:rsidRDefault="009E3DD4" w:rsidP="004C29B5">
      <w:pPr>
        <w:spacing w:after="0" w:line="360" w:lineRule="auto"/>
      </w:pPr>
    </w:p>
    <w:p w14:paraId="3502B043" w14:textId="77777777" w:rsidR="001359FA" w:rsidRDefault="009E3DD4" w:rsidP="004C29B5">
      <w:pPr>
        <w:pStyle w:val="Ttulo2"/>
        <w:spacing w:before="0" w:after="0"/>
      </w:pPr>
      <w:bookmarkStart w:id="9" w:name="_heading=h.8hxe7ciskix3" w:colFirst="0" w:colLast="0"/>
      <w:bookmarkStart w:id="10" w:name="_Toc193973749"/>
      <w:bookmarkStart w:id="11" w:name="_Toc223017823"/>
      <w:bookmarkEnd w:id="9"/>
      <w:r>
        <w:t>III</w:t>
      </w:r>
      <w:r w:rsidR="00924A65">
        <w:t>. Interposición del Recurso de Revisión</w:t>
      </w:r>
      <w:bookmarkEnd w:id="10"/>
      <w:bookmarkEnd w:id="11"/>
    </w:p>
    <w:p w14:paraId="4330C305" w14:textId="77777777" w:rsidR="001359FA" w:rsidRDefault="001359FA" w:rsidP="004C29B5">
      <w:pPr>
        <w:spacing w:after="0" w:line="360" w:lineRule="auto"/>
        <w:rPr>
          <w:b/>
        </w:rPr>
      </w:pPr>
    </w:p>
    <w:p w14:paraId="40B67800" w14:textId="77777777" w:rsidR="001359FA" w:rsidRDefault="00924A65" w:rsidP="004C29B5">
      <w:pPr>
        <w:spacing w:after="0" w:line="360" w:lineRule="auto"/>
      </w:pPr>
      <w:r>
        <w:t xml:space="preserve">Con fecha </w:t>
      </w:r>
      <w:r w:rsidR="009E3DD4">
        <w:t>tres de octubre</w:t>
      </w:r>
      <w:r>
        <w:t xml:space="preserve"> de dos mil veinticinco,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33266208" w14:textId="77777777" w:rsidR="001359FA" w:rsidRDefault="001359FA" w:rsidP="004C29B5">
      <w:pPr>
        <w:spacing w:after="0" w:line="360" w:lineRule="auto"/>
      </w:pPr>
    </w:p>
    <w:p w14:paraId="628B9210" w14:textId="77777777" w:rsidR="001359FA" w:rsidRDefault="00924A65" w:rsidP="004C29B5">
      <w:pPr>
        <w:spacing w:after="0" w:line="360" w:lineRule="auto"/>
        <w:ind w:left="567" w:right="567"/>
        <w:rPr>
          <w:i/>
          <w:sz w:val="20"/>
          <w:szCs w:val="20"/>
        </w:rPr>
      </w:pPr>
      <w:r>
        <w:rPr>
          <w:b/>
          <w:i/>
          <w:sz w:val="20"/>
          <w:szCs w:val="20"/>
        </w:rPr>
        <w:t>“ACTO IMPUGNADO”</w:t>
      </w:r>
    </w:p>
    <w:p w14:paraId="1F6F62C1" w14:textId="77777777" w:rsidR="001359FA" w:rsidRDefault="009E3DD4" w:rsidP="004C29B5">
      <w:pPr>
        <w:spacing w:after="0" w:line="360" w:lineRule="auto"/>
        <w:ind w:left="567" w:right="567"/>
        <w:rPr>
          <w:i/>
          <w:sz w:val="20"/>
          <w:szCs w:val="20"/>
        </w:rPr>
      </w:pPr>
      <w:r>
        <w:rPr>
          <w:i/>
          <w:color w:val="000000"/>
          <w:sz w:val="20"/>
          <w:szCs w:val="20"/>
        </w:rPr>
        <w:t>l</w:t>
      </w:r>
      <w:r w:rsidRPr="009E3DD4">
        <w:rPr>
          <w:i/>
          <w:color w:val="000000"/>
          <w:sz w:val="20"/>
          <w:szCs w:val="20"/>
        </w:rPr>
        <w:t>a negativa de la informacion</w:t>
      </w:r>
      <w:r w:rsidR="00924A65">
        <w:rPr>
          <w:i/>
          <w:color w:val="000000"/>
          <w:sz w:val="20"/>
          <w:szCs w:val="20"/>
        </w:rPr>
        <w:t>.</w:t>
      </w:r>
      <w:r w:rsidR="00924A65">
        <w:rPr>
          <w:i/>
          <w:sz w:val="20"/>
          <w:szCs w:val="20"/>
        </w:rPr>
        <w:t>” (Sic.)</w:t>
      </w:r>
    </w:p>
    <w:p w14:paraId="0F2C5205" w14:textId="77777777" w:rsidR="001359FA" w:rsidRDefault="001359FA" w:rsidP="004C29B5">
      <w:pPr>
        <w:spacing w:after="0" w:line="360" w:lineRule="auto"/>
        <w:ind w:left="567" w:right="567"/>
        <w:rPr>
          <w:i/>
          <w:sz w:val="20"/>
          <w:szCs w:val="20"/>
        </w:rPr>
      </w:pPr>
    </w:p>
    <w:p w14:paraId="32533D5E" w14:textId="77777777" w:rsidR="001359FA" w:rsidRDefault="00924A65" w:rsidP="004C29B5">
      <w:pPr>
        <w:spacing w:after="0" w:line="360" w:lineRule="auto"/>
        <w:ind w:left="567" w:right="567"/>
        <w:rPr>
          <w:b/>
          <w:i/>
          <w:sz w:val="20"/>
          <w:szCs w:val="20"/>
        </w:rPr>
      </w:pPr>
      <w:r>
        <w:rPr>
          <w:b/>
          <w:i/>
          <w:sz w:val="20"/>
          <w:szCs w:val="20"/>
        </w:rPr>
        <w:t>“RAZONES O MOTIVOS DE LA INCONFORMIDAD”</w:t>
      </w:r>
    </w:p>
    <w:p w14:paraId="3E6617CA" w14:textId="77777777" w:rsidR="001359FA" w:rsidRDefault="009E3DD4" w:rsidP="004C29B5">
      <w:pPr>
        <w:spacing w:after="0" w:line="360" w:lineRule="auto"/>
        <w:ind w:left="567" w:right="567"/>
        <w:rPr>
          <w:i/>
          <w:sz w:val="20"/>
          <w:szCs w:val="20"/>
        </w:rPr>
      </w:pPr>
      <w:r w:rsidRPr="009E3DD4">
        <w:rPr>
          <w:i/>
          <w:color w:val="000000"/>
          <w:sz w:val="20"/>
          <w:szCs w:val="20"/>
        </w:rPr>
        <w:t>no me proporcionan nada de lo que pido, solicito al INFOEM se sancione a los servidores publicos que niegan la informacion que estoy pidiendo.</w:t>
      </w:r>
      <w:r w:rsidR="00924A65">
        <w:rPr>
          <w:i/>
          <w:color w:val="000000"/>
          <w:sz w:val="20"/>
          <w:szCs w:val="20"/>
        </w:rPr>
        <w:t>.</w:t>
      </w:r>
      <w:r w:rsidR="00924A65">
        <w:rPr>
          <w:i/>
          <w:sz w:val="20"/>
          <w:szCs w:val="20"/>
        </w:rPr>
        <w:t>” (Sic.)</w:t>
      </w:r>
    </w:p>
    <w:p w14:paraId="6DAB75A6" w14:textId="77777777" w:rsidR="001359FA" w:rsidRDefault="001359FA" w:rsidP="004C29B5">
      <w:pPr>
        <w:spacing w:after="0" w:line="360" w:lineRule="auto"/>
      </w:pPr>
    </w:p>
    <w:p w14:paraId="65CD5644" w14:textId="77777777" w:rsidR="009E3DD4" w:rsidRDefault="009E3DD4" w:rsidP="004C29B5">
      <w:pPr>
        <w:spacing w:after="0" w:line="360" w:lineRule="auto"/>
      </w:pPr>
    </w:p>
    <w:p w14:paraId="11735D60" w14:textId="77777777" w:rsidR="009E3DD4" w:rsidRDefault="009E3DD4" w:rsidP="004C29B5">
      <w:pPr>
        <w:spacing w:after="0" w:line="360" w:lineRule="auto"/>
      </w:pPr>
    </w:p>
    <w:p w14:paraId="11D1EA38" w14:textId="77777777" w:rsidR="009E3DD4" w:rsidRDefault="009E3DD4" w:rsidP="004C29B5">
      <w:pPr>
        <w:spacing w:after="0" w:line="360" w:lineRule="auto"/>
      </w:pPr>
    </w:p>
    <w:p w14:paraId="3D131E9E" w14:textId="77777777" w:rsidR="001359FA" w:rsidRDefault="009E3DD4" w:rsidP="004C29B5">
      <w:pPr>
        <w:pStyle w:val="Ttulo2"/>
        <w:spacing w:before="0" w:after="0"/>
      </w:pPr>
      <w:bookmarkStart w:id="12" w:name="_heading=h.kyj0i0k1t07r" w:colFirst="0" w:colLast="0"/>
      <w:bookmarkStart w:id="13" w:name="_Toc193973750"/>
      <w:bookmarkStart w:id="14" w:name="_Toc223017824"/>
      <w:bookmarkEnd w:id="12"/>
      <w:r>
        <w:t>I</w:t>
      </w:r>
      <w:r w:rsidR="00924A65">
        <w:t>V. Trámite del Recurso de Revisión ante este Instituto</w:t>
      </w:r>
      <w:bookmarkEnd w:id="13"/>
      <w:bookmarkEnd w:id="14"/>
    </w:p>
    <w:p w14:paraId="218A56B0" w14:textId="77777777" w:rsidR="001359FA" w:rsidRDefault="001359FA" w:rsidP="004C29B5">
      <w:pPr>
        <w:spacing w:after="0" w:line="360" w:lineRule="auto"/>
        <w:rPr>
          <w:b/>
        </w:rPr>
      </w:pPr>
    </w:p>
    <w:p w14:paraId="532C55C2" w14:textId="77777777" w:rsidR="001359FA" w:rsidRDefault="00924A65" w:rsidP="004C29B5">
      <w:pPr>
        <w:spacing w:after="0" w:line="360" w:lineRule="auto"/>
        <w:rPr>
          <w:b/>
        </w:rPr>
      </w:pPr>
      <w:r>
        <w:rPr>
          <w:b/>
        </w:rPr>
        <w:t>a) Turno del Medio de Impugnación.</w:t>
      </w:r>
      <w:r>
        <w:t xml:space="preserve"> El </w:t>
      </w:r>
      <w:r w:rsidR="009E3DD4">
        <w:t>tres de octubre</w:t>
      </w:r>
      <w:r>
        <w:t xml:space="preserve"> de dos mil veinticinco, el Sistema de Acceso a la Información Mexiquense (SAIMEX), asignó el número de expediente </w:t>
      </w:r>
      <w:r w:rsidR="009E3DD4">
        <w:rPr>
          <w:b/>
        </w:rPr>
        <w:t>11371</w:t>
      </w:r>
      <w:r>
        <w:rPr>
          <w:b/>
        </w:rPr>
        <w:t>/INFOEM/IP/RR/2025</w:t>
      </w:r>
      <w: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6E2D9AD" w14:textId="77777777" w:rsidR="001359FA" w:rsidRDefault="001359FA" w:rsidP="004C29B5">
      <w:pPr>
        <w:spacing w:after="0" w:line="360" w:lineRule="auto"/>
      </w:pPr>
    </w:p>
    <w:p w14:paraId="27C5B8C3" w14:textId="77777777" w:rsidR="001359FA" w:rsidRDefault="00924A65" w:rsidP="004C29B5">
      <w:pPr>
        <w:spacing w:after="0" w:line="360" w:lineRule="auto"/>
      </w:pPr>
      <w:r>
        <w:rPr>
          <w:b/>
        </w:rPr>
        <w:t>b) Admisión del Recurso de Revisión.</w:t>
      </w:r>
      <w:r>
        <w:t xml:space="preserve"> El </w:t>
      </w:r>
      <w:r w:rsidR="00195564">
        <w:t>ocho de octubre</w:t>
      </w:r>
      <w:r>
        <w:t xml:space="preserve">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once de dicho mes y año, a través del Sistema de Acceso a la Información Mexiquense (SAIMEX), en el que se les otorgó un plazo de siete días hábiles posteriores a la misma, para que manifestaran lo que a su derecho conviniera y formularan alegatos.</w:t>
      </w:r>
    </w:p>
    <w:p w14:paraId="674DCE6E" w14:textId="77777777" w:rsidR="001359FA" w:rsidRDefault="001359FA" w:rsidP="004C29B5">
      <w:pPr>
        <w:spacing w:after="0" w:line="360" w:lineRule="auto"/>
        <w:rPr>
          <w:b/>
        </w:rPr>
      </w:pPr>
    </w:p>
    <w:p w14:paraId="2EF537A4" w14:textId="77777777" w:rsidR="00D836A1" w:rsidRDefault="00924A65" w:rsidP="004C29B5">
      <w:pPr>
        <w:spacing w:after="0" w:line="360" w:lineRule="auto"/>
      </w:pPr>
      <w:r>
        <w:rPr>
          <w:b/>
          <w:color w:val="000000"/>
        </w:rPr>
        <w:t xml:space="preserve">c) </w:t>
      </w:r>
      <w:r w:rsidR="00D836A1" w:rsidRPr="00D836A1">
        <w:rPr>
          <w:b/>
        </w:rPr>
        <w:t>Ampliación de Plazo para resolver.</w:t>
      </w:r>
      <w:r w:rsidR="00D836A1" w:rsidRPr="002214F8">
        <w:t xml:space="preserve"> </w:t>
      </w:r>
      <w:r w:rsidR="00D836A1" w:rsidRPr="00D836A1">
        <w:t xml:space="preserve">El  </w:t>
      </w:r>
      <w:r w:rsidR="00D836A1">
        <w:t>diecinueve de febrero</w:t>
      </w:r>
      <w:r w:rsidR="00D836A1" w:rsidRPr="00D836A1">
        <w:t xml:space="preserve"> de dos mil veintiséis,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106454B7" w14:textId="77777777" w:rsidR="00D836A1" w:rsidRDefault="00D836A1" w:rsidP="004C29B5">
      <w:pPr>
        <w:spacing w:after="0" w:line="360" w:lineRule="auto"/>
      </w:pPr>
    </w:p>
    <w:p w14:paraId="7412A48E" w14:textId="77777777" w:rsidR="00D836A1" w:rsidRDefault="001C7A49" w:rsidP="004C29B5">
      <w:pPr>
        <w:spacing w:after="0" w:line="360" w:lineRule="auto"/>
      </w:pPr>
      <w:bookmarkStart w:id="15" w:name="_Toc193973318"/>
      <w:bookmarkStart w:id="16" w:name="_Toc193973751"/>
      <w:r w:rsidRPr="002214F8">
        <w:t xml:space="preserve">d) </w:t>
      </w:r>
      <w:bookmarkEnd w:id="15"/>
      <w:bookmarkEnd w:id="16"/>
      <w:r w:rsidR="00D836A1">
        <w:rPr>
          <w:b/>
        </w:rPr>
        <w:t xml:space="preserve">Informe Justificado o Manifestaciones. </w:t>
      </w:r>
      <w:r w:rsidR="00D836A1">
        <w:t>Las partes fueron omisas en emitir alguna manifestación o alegato.</w:t>
      </w:r>
    </w:p>
    <w:p w14:paraId="0A3FBEA5" w14:textId="77777777" w:rsidR="001359FA" w:rsidRDefault="001359FA" w:rsidP="004C29B5">
      <w:pPr>
        <w:pStyle w:val="Ttulo2"/>
        <w:spacing w:before="0" w:after="0"/>
        <w:jc w:val="both"/>
        <w:rPr>
          <w:b w:val="0"/>
        </w:rPr>
      </w:pPr>
    </w:p>
    <w:p w14:paraId="4A817883" w14:textId="77777777" w:rsidR="00D836A1" w:rsidRPr="00D836A1" w:rsidRDefault="00D836A1" w:rsidP="004C29B5">
      <w:pPr>
        <w:spacing w:after="0" w:line="360" w:lineRule="auto"/>
      </w:pPr>
    </w:p>
    <w:p w14:paraId="63F918BF" w14:textId="77777777" w:rsidR="001359FA" w:rsidRDefault="00924A65" w:rsidP="004C29B5">
      <w:pPr>
        <w:spacing w:after="0" w:line="360" w:lineRule="auto"/>
        <w:rPr>
          <w:b/>
        </w:rPr>
      </w:pPr>
      <w:r>
        <w:rPr>
          <w:b/>
        </w:rPr>
        <w:t>e) Cierre de instrucción.</w:t>
      </w:r>
      <w:r>
        <w:t xml:space="preserve"> </w:t>
      </w:r>
      <w:r w:rsidR="00D836A1" w:rsidRPr="00D836A1">
        <w:t xml:space="preserve">El  </w:t>
      </w:r>
      <w:r w:rsidR="00D836A1">
        <w:t>diecinueve de febrero</w:t>
      </w:r>
      <w:r w:rsidR="00D836A1" w:rsidRPr="00D836A1">
        <w:t xml:space="preserve"> de dos mil veintiséis</w:t>
      </w:r>
      <w: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6374B73" w14:textId="77777777" w:rsidR="001359FA" w:rsidRDefault="001359FA" w:rsidP="004C29B5">
      <w:pPr>
        <w:spacing w:after="0" w:line="360" w:lineRule="auto"/>
      </w:pPr>
    </w:p>
    <w:p w14:paraId="7256627A" w14:textId="77777777" w:rsidR="001359FA" w:rsidRDefault="00924A65" w:rsidP="004C29B5">
      <w:pPr>
        <w:spacing w:after="0" w:line="360" w:lineRule="auto"/>
      </w:pPr>
      <w:r>
        <w:t xml:space="preserve">En razón de que fue debidamente sustanciado e integrado el expediente electrónico y no existe diligencia pendiente de desahogo, se emite la resolución que conforme a Derecho proceda, de acuerdo a los siguientes: </w:t>
      </w:r>
    </w:p>
    <w:p w14:paraId="770CCB24" w14:textId="77777777" w:rsidR="001359FA" w:rsidRDefault="001359FA" w:rsidP="004C29B5">
      <w:pPr>
        <w:spacing w:after="0" w:line="360" w:lineRule="auto"/>
      </w:pPr>
    </w:p>
    <w:p w14:paraId="40DA28C7" w14:textId="77777777" w:rsidR="001359FA" w:rsidRDefault="00924A65" w:rsidP="004C29B5">
      <w:pPr>
        <w:pStyle w:val="Ttulo1"/>
        <w:spacing w:before="0" w:after="0"/>
      </w:pPr>
      <w:bookmarkStart w:id="17" w:name="_heading=h.sgj3yl1m6uw0" w:colFirst="0" w:colLast="0"/>
      <w:bookmarkStart w:id="18" w:name="_Toc193973752"/>
      <w:bookmarkStart w:id="19" w:name="_Toc223017825"/>
      <w:bookmarkEnd w:id="17"/>
      <w:r>
        <w:t>C O N S I D E R A N D O S</w:t>
      </w:r>
      <w:bookmarkEnd w:id="18"/>
      <w:bookmarkEnd w:id="19"/>
    </w:p>
    <w:p w14:paraId="0C5B2826" w14:textId="77777777" w:rsidR="001359FA" w:rsidRDefault="001359FA" w:rsidP="004C29B5">
      <w:pPr>
        <w:spacing w:after="0" w:line="360" w:lineRule="auto"/>
        <w:rPr>
          <w:b/>
        </w:rPr>
      </w:pPr>
    </w:p>
    <w:p w14:paraId="201FE2B8" w14:textId="77777777" w:rsidR="001359FA" w:rsidRDefault="00924A65" w:rsidP="004C29B5">
      <w:pPr>
        <w:pStyle w:val="Ttulo2"/>
        <w:spacing w:before="0" w:after="0"/>
      </w:pPr>
      <w:bookmarkStart w:id="20" w:name="_heading=h.b3bq785jdn4" w:colFirst="0" w:colLast="0"/>
      <w:bookmarkStart w:id="21" w:name="_Toc193973753"/>
      <w:bookmarkStart w:id="22" w:name="_Toc223017826"/>
      <w:bookmarkEnd w:id="20"/>
      <w:r>
        <w:t>PRIMERO. Competencia</w:t>
      </w:r>
      <w:bookmarkEnd w:id="21"/>
      <w:bookmarkEnd w:id="22"/>
    </w:p>
    <w:p w14:paraId="02496711" w14:textId="77777777" w:rsidR="001359FA" w:rsidRDefault="001359FA" w:rsidP="004C29B5">
      <w:pPr>
        <w:spacing w:after="0" w:line="360" w:lineRule="auto"/>
        <w:rPr>
          <w:b/>
        </w:rPr>
      </w:pPr>
    </w:p>
    <w:p w14:paraId="5503AFD2" w14:textId="77777777" w:rsidR="001359FA" w:rsidRDefault="00D836A1" w:rsidP="004C29B5">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97CF16C" w14:textId="77777777" w:rsidR="00D836A1" w:rsidRDefault="00D836A1" w:rsidP="004C29B5">
      <w:pPr>
        <w:spacing w:after="0" w:line="360" w:lineRule="auto"/>
      </w:pPr>
    </w:p>
    <w:p w14:paraId="19467675" w14:textId="77777777" w:rsidR="001359FA" w:rsidRDefault="001359FA" w:rsidP="004C29B5">
      <w:pPr>
        <w:spacing w:after="0" w:line="360" w:lineRule="auto"/>
      </w:pPr>
    </w:p>
    <w:p w14:paraId="3F3B1F26" w14:textId="77777777" w:rsidR="001359FA" w:rsidRDefault="00924A65" w:rsidP="004C29B5">
      <w:pPr>
        <w:pStyle w:val="Ttulo2"/>
        <w:spacing w:before="0" w:after="0"/>
      </w:pPr>
      <w:bookmarkStart w:id="23" w:name="_heading=h.3hg10qix8fwd" w:colFirst="0" w:colLast="0"/>
      <w:bookmarkStart w:id="24" w:name="_Toc193973754"/>
      <w:bookmarkStart w:id="25" w:name="_Toc223017827"/>
      <w:bookmarkEnd w:id="23"/>
      <w:r>
        <w:t>SEGUNDO. Causales de improcedencia y sobreseimiento</w:t>
      </w:r>
      <w:bookmarkEnd w:id="24"/>
      <w:bookmarkEnd w:id="25"/>
    </w:p>
    <w:p w14:paraId="5A26DAEE" w14:textId="77777777" w:rsidR="001359FA" w:rsidRDefault="001359FA" w:rsidP="004C29B5">
      <w:pPr>
        <w:spacing w:after="0" w:line="360" w:lineRule="auto"/>
      </w:pPr>
    </w:p>
    <w:p w14:paraId="1FA9CC68" w14:textId="77777777" w:rsidR="001359FA" w:rsidRDefault="00924A65" w:rsidP="004C29B5">
      <w:pPr>
        <w:spacing w:after="0" w:line="360" w:lineRule="auto"/>
      </w:pPr>
      <w:r>
        <w:t xml:space="preserve">De las constancias que forma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5013737E" w14:textId="77777777" w:rsidR="001359FA" w:rsidRDefault="001359FA" w:rsidP="004C29B5">
      <w:pPr>
        <w:spacing w:after="0" w:line="360" w:lineRule="auto"/>
        <w:rPr>
          <w:b/>
        </w:rPr>
      </w:pPr>
    </w:p>
    <w:p w14:paraId="15428E14" w14:textId="77777777" w:rsidR="001359FA" w:rsidRDefault="00924A65" w:rsidP="004C29B5">
      <w:pPr>
        <w:spacing w:after="0" w:line="360" w:lineRule="auto"/>
        <w:rPr>
          <w:b/>
        </w:rPr>
      </w:pPr>
      <w:r>
        <w:rPr>
          <w:b/>
        </w:rPr>
        <w:t>Causales de improcedencia</w:t>
      </w:r>
    </w:p>
    <w:p w14:paraId="35515EEC" w14:textId="77777777" w:rsidR="001359FA" w:rsidRDefault="001359FA" w:rsidP="004C29B5">
      <w:pPr>
        <w:spacing w:after="0" w:line="360" w:lineRule="auto"/>
      </w:pPr>
    </w:p>
    <w:p w14:paraId="0DB34C6B" w14:textId="77777777" w:rsidR="001359FA" w:rsidRDefault="00924A65" w:rsidP="004C29B5">
      <w:pPr>
        <w:spacing w:after="0" w:line="360" w:lineRule="auto"/>
      </w:pPr>
      <w: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32875FB1" w14:textId="77777777" w:rsidR="001359FA" w:rsidRDefault="001359FA" w:rsidP="004C29B5">
      <w:pPr>
        <w:spacing w:after="0" w:line="360" w:lineRule="auto"/>
      </w:pPr>
    </w:p>
    <w:p w14:paraId="0E6ED355" w14:textId="77777777" w:rsidR="001359FA" w:rsidRDefault="00924A65" w:rsidP="004C29B5">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CAE290A" w14:textId="77777777" w:rsidR="001359FA" w:rsidRDefault="001359FA" w:rsidP="004C29B5">
      <w:pPr>
        <w:spacing w:after="0" w:line="360" w:lineRule="auto"/>
        <w:rPr>
          <w:b/>
        </w:rPr>
      </w:pPr>
    </w:p>
    <w:p w14:paraId="50693135" w14:textId="77777777" w:rsidR="001359FA" w:rsidRDefault="00924A65" w:rsidP="004C29B5">
      <w:pPr>
        <w:spacing w:after="0" w:line="360" w:lineRule="auto"/>
      </w:pPr>
      <w:r>
        <w:lastRenderedPageBreak/>
        <w:t>Asimismo, se actualiza la causal de procedencia del Recurso de Revisión señalad</w:t>
      </w:r>
      <w:r w:rsidR="00D836A1">
        <w:t xml:space="preserve">a en el artículo 179, fracción </w:t>
      </w:r>
      <w:r>
        <w:t>I, de la Ley en cita, pues la Recurrente se inconformó de la negativa de la información.</w:t>
      </w:r>
    </w:p>
    <w:p w14:paraId="6E91B084" w14:textId="77777777" w:rsidR="001359FA" w:rsidRDefault="001359FA" w:rsidP="004C29B5">
      <w:pPr>
        <w:spacing w:after="0" w:line="360" w:lineRule="auto"/>
        <w:rPr>
          <w:b/>
        </w:rPr>
      </w:pPr>
    </w:p>
    <w:p w14:paraId="662DB83A" w14:textId="77777777" w:rsidR="001359FA" w:rsidRDefault="00924A65" w:rsidP="004C29B5">
      <w:pPr>
        <w:spacing w:after="0" w:line="360" w:lineRule="auto"/>
        <w:ind w:right="-28"/>
        <w:rPr>
          <w:b/>
          <w:color w:val="000000"/>
        </w:rPr>
      </w:pPr>
      <w:r>
        <w:rPr>
          <w:b/>
          <w:color w:val="000000"/>
        </w:rPr>
        <w:t>Causales de sobreseimiento.</w:t>
      </w:r>
    </w:p>
    <w:p w14:paraId="03018814" w14:textId="77777777" w:rsidR="001359FA" w:rsidRDefault="001359FA" w:rsidP="004C29B5">
      <w:pPr>
        <w:spacing w:after="0" w:line="360" w:lineRule="auto"/>
        <w:ind w:right="-28"/>
        <w:rPr>
          <w:b/>
          <w:color w:val="000000"/>
        </w:rPr>
      </w:pPr>
    </w:p>
    <w:p w14:paraId="6CCE162B" w14:textId="77777777" w:rsidR="001359FA" w:rsidRDefault="00924A65" w:rsidP="004C29B5">
      <w:pPr>
        <w:spacing w:after="0" w:line="360" w:lineRule="auto"/>
        <w:rPr>
          <w:color w:val="000000"/>
        </w:rPr>
      </w:pPr>
      <w:r>
        <w:rPr>
          <w:color w:val="000000"/>
        </w:rPr>
        <w:t>Por ser de previo y especial pronunciamiento, este Instituto analiza si se actualiza alguna causal de sobreseimiento.</w:t>
      </w:r>
    </w:p>
    <w:p w14:paraId="39356496" w14:textId="77777777" w:rsidR="001359FA" w:rsidRDefault="001359FA" w:rsidP="004C29B5">
      <w:pPr>
        <w:spacing w:after="0" w:line="360" w:lineRule="auto"/>
        <w:rPr>
          <w:color w:val="000000"/>
        </w:rPr>
      </w:pPr>
    </w:p>
    <w:p w14:paraId="5060ADBA" w14:textId="77777777" w:rsidR="001359FA" w:rsidRDefault="00924A65" w:rsidP="004C29B5">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7F58D3E" w14:textId="77777777" w:rsidR="001359FA" w:rsidRDefault="001359FA" w:rsidP="004C29B5">
      <w:pPr>
        <w:spacing w:after="0" w:line="360" w:lineRule="auto"/>
        <w:rPr>
          <w:color w:val="0D0D0D"/>
        </w:rPr>
      </w:pPr>
    </w:p>
    <w:p w14:paraId="123840BE" w14:textId="77777777" w:rsidR="001359FA" w:rsidRDefault="00924A65" w:rsidP="004C29B5">
      <w:pPr>
        <w:spacing w:after="0" w:line="360" w:lineRule="auto"/>
        <w:rPr>
          <w:color w:val="0D0D0D"/>
        </w:rPr>
      </w:pPr>
      <w:r>
        <w:rPr>
          <w:color w:val="0D0D0D"/>
        </w:rPr>
        <w:t>Por tales motivos, se considera procedente entrar al fondo del presente asunto.</w:t>
      </w:r>
    </w:p>
    <w:p w14:paraId="13187BDD" w14:textId="77777777" w:rsidR="001359FA" w:rsidRDefault="001359FA" w:rsidP="004C29B5">
      <w:pPr>
        <w:spacing w:after="0" w:line="360" w:lineRule="auto"/>
        <w:rPr>
          <w:color w:val="000000"/>
        </w:rPr>
      </w:pPr>
    </w:p>
    <w:p w14:paraId="2D5481A9" w14:textId="77777777" w:rsidR="001359FA" w:rsidRDefault="00924A65" w:rsidP="004C29B5">
      <w:pPr>
        <w:pStyle w:val="Ttulo2"/>
        <w:spacing w:before="0" w:after="0"/>
      </w:pPr>
      <w:bookmarkStart w:id="26" w:name="_heading=h.r6op9ihf9307" w:colFirst="0" w:colLast="0"/>
      <w:bookmarkStart w:id="27" w:name="_Toc193973755"/>
      <w:bookmarkStart w:id="28" w:name="_Toc223017828"/>
      <w:bookmarkEnd w:id="26"/>
      <w:r>
        <w:t>TERCERO. Determinación de la Controversia.</w:t>
      </w:r>
      <w:bookmarkEnd w:id="27"/>
      <w:bookmarkEnd w:id="28"/>
      <w:r>
        <w:t xml:space="preserve"> </w:t>
      </w:r>
    </w:p>
    <w:p w14:paraId="1DFF08F6" w14:textId="77777777" w:rsidR="001359FA" w:rsidRDefault="001359FA" w:rsidP="004C29B5">
      <w:pPr>
        <w:spacing w:after="0" w:line="360" w:lineRule="auto"/>
        <w:rPr>
          <w:b/>
        </w:rPr>
      </w:pPr>
    </w:p>
    <w:p w14:paraId="5C0793AA" w14:textId="77777777" w:rsidR="001359FA" w:rsidRDefault="00924A65" w:rsidP="004C29B5">
      <w:pPr>
        <w:widowControl w:val="0"/>
        <w:spacing w:after="0" w:line="360" w:lineRule="auto"/>
      </w:pPr>
      <w:r>
        <w:t xml:space="preserve">Una vez realizado el estudio de las constancias que integran el expediente en que se actúa, se desprende que el Recurrente requirió </w:t>
      </w:r>
      <w:r w:rsidR="00D836A1">
        <w:t xml:space="preserve">de los servidores adscritos al Ayuntamiento de Tianguistenco, los recibos de pago de la parte proporcional de aguinaldo y prima vacacional correspondientes </w:t>
      </w:r>
      <w:r w:rsidR="00953BCA">
        <w:t>al ejercicio fiscal dos mil veinticinco.</w:t>
      </w:r>
    </w:p>
    <w:p w14:paraId="29B8D9D8" w14:textId="77777777" w:rsidR="001359FA" w:rsidRDefault="001359FA" w:rsidP="004C29B5">
      <w:pPr>
        <w:widowControl w:val="0"/>
        <w:spacing w:after="0" w:line="360" w:lineRule="auto"/>
      </w:pPr>
    </w:p>
    <w:p w14:paraId="63A54321" w14:textId="77777777" w:rsidR="004C29B5" w:rsidRDefault="004C29B5" w:rsidP="004C29B5">
      <w:pPr>
        <w:widowControl w:val="0"/>
        <w:spacing w:after="0" w:line="360" w:lineRule="auto"/>
      </w:pPr>
    </w:p>
    <w:p w14:paraId="3389FB53" w14:textId="77777777" w:rsidR="001359FA" w:rsidRDefault="00924A65" w:rsidP="004C29B5">
      <w:pPr>
        <w:widowControl w:val="0"/>
        <w:spacing w:after="0" w:line="360" w:lineRule="auto"/>
        <w:rPr>
          <w:color w:val="000000"/>
        </w:rPr>
      </w:pPr>
      <w:r>
        <w:rPr>
          <w:color w:val="000000"/>
        </w:rPr>
        <w:lastRenderedPageBreak/>
        <w:t xml:space="preserve">En respuesta, el Sujeto Obligado, remitió </w:t>
      </w:r>
      <w:r w:rsidR="008B1212">
        <w:rPr>
          <w:color w:val="000000"/>
        </w:rPr>
        <w:t>a través de la Tesorería Municipal, un link en formato cerrado para acceder a la información solicitada</w:t>
      </w:r>
      <w:r>
        <w:rPr>
          <w:color w:val="000000"/>
        </w:rPr>
        <w:t xml:space="preserve">; ante dicha respuesta, el Particular se inconformó de la negativa de la información, lo cual actualiza el supuesto de procedencia establecido en el artículo 179, fracción I, de la Ley de </w:t>
      </w:r>
      <w:r>
        <w:t>transparencia</w:t>
      </w:r>
      <w:r>
        <w:rPr>
          <w:color w:val="000000"/>
        </w:rPr>
        <w:t xml:space="preserve"> local. Así las cosas, una vez admitido y notificado el Recurso de Revisión a las partes, el Sujeto Obligado </w:t>
      </w:r>
      <w:r w:rsidR="008B1212">
        <w:rPr>
          <w:color w:val="000000"/>
        </w:rPr>
        <w:t>fue</w:t>
      </w:r>
      <w:r>
        <w:rPr>
          <w:color w:val="000000"/>
        </w:rPr>
        <w:t xml:space="preserve"> </w:t>
      </w:r>
      <w:r w:rsidR="008B1212">
        <w:rPr>
          <w:color w:val="000000"/>
        </w:rPr>
        <w:t>omiso en realizar alguna</w:t>
      </w:r>
      <w:r>
        <w:rPr>
          <w:color w:val="000000"/>
        </w:rPr>
        <w:t xml:space="preserve"> manifestación alguna vía alegatos.</w:t>
      </w:r>
    </w:p>
    <w:p w14:paraId="4F7B8069" w14:textId="77777777" w:rsidR="001359FA" w:rsidRDefault="001359FA" w:rsidP="004C29B5">
      <w:pPr>
        <w:widowControl w:val="0"/>
        <w:spacing w:after="0" w:line="360" w:lineRule="auto"/>
      </w:pPr>
    </w:p>
    <w:p w14:paraId="4FFA0D24" w14:textId="77777777" w:rsidR="001359FA" w:rsidRDefault="00924A65" w:rsidP="004C29B5">
      <w:pPr>
        <w:tabs>
          <w:tab w:val="left" w:pos="5812"/>
        </w:tabs>
        <w:spacing w:after="0" w:line="360" w:lineRule="auto"/>
      </w:pPr>
      <w:r>
        <w:t>Lo anterior, se desprende de las documentales que obran en los expedientes de referencia, materia de la presente resolución, consistente en: la solicitud de acceso a la información; la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46D7057B" w14:textId="77777777" w:rsidR="001359FA" w:rsidRDefault="001359FA" w:rsidP="004C29B5">
      <w:pPr>
        <w:tabs>
          <w:tab w:val="left" w:pos="5812"/>
        </w:tabs>
        <w:spacing w:after="0" w:line="360" w:lineRule="auto"/>
      </w:pPr>
    </w:p>
    <w:p w14:paraId="41FA0CA3" w14:textId="77777777" w:rsidR="001359FA" w:rsidRDefault="00924A65" w:rsidP="004C29B5">
      <w:pPr>
        <w:pStyle w:val="Ttulo2"/>
        <w:spacing w:before="0" w:after="0"/>
      </w:pPr>
      <w:bookmarkStart w:id="29" w:name="_heading=h.myttouep8sfz" w:colFirst="0" w:colLast="0"/>
      <w:bookmarkStart w:id="30" w:name="_Toc193973756"/>
      <w:bookmarkStart w:id="31" w:name="_Toc223017829"/>
      <w:bookmarkEnd w:id="29"/>
      <w:r>
        <w:t>CUARTO. Marco normativo aplicable en materia de transparencia y acceso a la información pública</w:t>
      </w:r>
      <w:bookmarkEnd w:id="30"/>
      <w:bookmarkEnd w:id="31"/>
    </w:p>
    <w:p w14:paraId="30C39199" w14:textId="77777777" w:rsidR="001359FA" w:rsidRDefault="001359FA" w:rsidP="004C29B5">
      <w:pPr>
        <w:spacing w:after="0" w:line="360" w:lineRule="auto"/>
        <w:rPr>
          <w:color w:val="000000"/>
        </w:rPr>
      </w:pPr>
    </w:p>
    <w:p w14:paraId="59B55FE4" w14:textId="77777777" w:rsidR="001359FA" w:rsidRDefault="00924A65" w:rsidP="004C29B5">
      <w:pPr>
        <w:spacing w:after="0" w:line="360" w:lineRule="auto"/>
      </w:pPr>
      <w: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E2C8858" w14:textId="77777777" w:rsidR="001359FA" w:rsidRDefault="00924A65" w:rsidP="004C29B5">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D775BA1" w14:textId="77777777" w:rsidR="001359FA" w:rsidRDefault="00924A65" w:rsidP="004C29B5">
      <w:pPr>
        <w:spacing w:after="0" w:line="360" w:lineRule="auto"/>
      </w:pPr>
      <w:r>
        <w:t>Por su parte, la Ley de Transparencia y Acceso a la Información Pública del Estado de México y Municipios (Reglamentaria del artículo 5° de la Constitución Local), establece lo siguiente:</w:t>
      </w:r>
    </w:p>
    <w:p w14:paraId="57030A27" w14:textId="77777777" w:rsidR="001359FA" w:rsidRDefault="00924A65" w:rsidP="004C29B5">
      <w:pPr>
        <w:spacing w:after="0" w:line="360" w:lineRule="auto"/>
      </w:pPr>
      <w:r>
        <w:lastRenderedPageBreak/>
        <w:t>El artículo 12, que, quienes generen, recopilen, administren, manejen, procesen, archiven o conserven información pública serán responsables de la misma.</w:t>
      </w:r>
    </w:p>
    <w:p w14:paraId="2AA94BC4" w14:textId="77777777" w:rsidR="001359FA" w:rsidRDefault="00924A65" w:rsidP="004C29B5">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78CAE8EA" w14:textId="77777777" w:rsidR="004C29B5" w:rsidRDefault="004C29B5" w:rsidP="004C29B5">
      <w:pPr>
        <w:spacing w:after="0" w:line="360" w:lineRule="auto"/>
      </w:pPr>
    </w:p>
    <w:p w14:paraId="3BCC70A0" w14:textId="77777777" w:rsidR="001359FA" w:rsidRDefault="00924A65" w:rsidP="004C29B5">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A8C7FA8" w14:textId="77777777" w:rsidR="004C29B5" w:rsidRDefault="004C29B5" w:rsidP="004C29B5">
      <w:pPr>
        <w:spacing w:after="0" w:line="360" w:lineRule="auto"/>
      </w:pPr>
    </w:p>
    <w:p w14:paraId="5FF8F955" w14:textId="77777777" w:rsidR="001359FA" w:rsidRDefault="00924A65" w:rsidP="004C29B5">
      <w:pPr>
        <w:pStyle w:val="Ttulo2"/>
        <w:spacing w:before="0" w:after="0"/>
      </w:pPr>
      <w:bookmarkStart w:id="32" w:name="_heading=h.vga79l3g1qf6" w:colFirst="0" w:colLast="0"/>
      <w:bookmarkStart w:id="33" w:name="_Toc193973757"/>
      <w:bookmarkStart w:id="34" w:name="_Toc223017830"/>
      <w:bookmarkEnd w:id="32"/>
      <w:r>
        <w:rPr>
          <w:smallCaps/>
        </w:rPr>
        <w:t>QUINTO.</w:t>
      </w:r>
      <w:r>
        <w:t xml:space="preserve"> Estudio de Fondo</w:t>
      </w:r>
      <w:bookmarkEnd w:id="33"/>
      <w:bookmarkEnd w:id="34"/>
    </w:p>
    <w:p w14:paraId="6D8227BD" w14:textId="77777777" w:rsidR="001359FA" w:rsidRDefault="001359FA" w:rsidP="004C29B5">
      <w:pPr>
        <w:widowControl w:val="0"/>
        <w:spacing w:after="0" w:line="360" w:lineRule="auto"/>
        <w:rPr>
          <w:color w:val="000000"/>
        </w:rPr>
      </w:pPr>
    </w:p>
    <w:p w14:paraId="353B7326" w14:textId="77777777" w:rsidR="001359FA" w:rsidRDefault="00924A65" w:rsidP="004C29B5">
      <w:pPr>
        <w:widowControl w:val="0"/>
        <w:spacing w:after="0" w:line="360" w:lineRule="auto"/>
        <w:rPr>
          <w:color w:val="000000"/>
        </w:rPr>
      </w:pPr>
      <w:r>
        <w:rPr>
          <w:color w:val="000000"/>
        </w:rPr>
        <w:t>Expuestas las posturas de las partes, se procede al análisis del agravio hecho valer por el Recurrente, concerniente a la negativa de la información</w:t>
      </w:r>
      <w:r>
        <w:t xml:space="preserve">, </w:t>
      </w:r>
      <w:r>
        <w:rPr>
          <w:color w:val="000000"/>
        </w:rPr>
        <w:t>para lo cual, en principio es necesario contextualizar la solicitud.</w:t>
      </w:r>
    </w:p>
    <w:p w14:paraId="44BD4B73" w14:textId="77777777" w:rsidR="00557355" w:rsidRPr="00557355" w:rsidRDefault="00557355" w:rsidP="004C29B5">
      <w:pPr>
        <w:widowControl w:val="0"/>
        <w:spacing w:after="0" w:line="360" w:lineRule="auto"/>
        <w:rPr>
          <w:b/>
          <w:color w:val="000000"/>
        </w:rPr>
      </w:pPr>
    </w:p>
    <w:p w14:paraId="2D046208" w14:textId="77777777" w:rsidR="001359FA" w:rsidRPr="00557355" w:rsidRDefault="00557355" w:rsidP="004C29B5">
      <w:pPr>
        <w:pStyle w:val="Prrafodelista"/>
        <w:widowControl w:val="0"/>
        <w:numPr>
          <w:ilvl w:val="0"/>
          <w:numId w:val="3"/>
        </w:numPr>
        <w:spacing w:line="360" w:lineRule="auto"/>
        <w:rPr>
          <w:b/>
          <w:color w:val="000000"/>
        </w:rPr>
      </w:pPr>
      <w:r w:rsidRPr="00557355">
        <w:rPr>
          <w:b/>
          <w:color w:val="000000"/>
        </w:rPr>
        <w:t>Recibo de Pago</w:t>
      </w:r>
    </w:p>
    <w:p w14:paraId="1C318BEC" w14:textId="77777777" w:rsidR="00B02A11" w:rsidRDefault="00B02A11" w:rsidP="004C29B5">
      <w:pPr>
        <w:spacing w:after="0" w:line="360" w:lineRule="auto"/>
        <w:rPr>
          <w:color w:val="000000"/>
        </w:rPr>
      </w:pPr>
    </w:p>
    <w:p w14:paraId="33D1AD5C" w14:textId="77777777" w:rsidR="00B02A11" w:rsidRPr="00B02A11" w:rsidRDefault="00B02A11" w:rsidP="004C29B5">
      <w:pPr>
        <w:spacing w:after="0" w:line="360" w:lineRule="auto"/>
        <w:rPr>
          <w:color w:val="000000"/>
        </w:rPr>
      </w:pPr>
      <w:r w:rsidRPr="00B02A11">
        <w:rPr>
          <w:color w:val="000000"/>
        </w:rPr>
        <w:t xml:space="preserve">Ahora bien, el artículo 147 de la Constitución Política del Estado Libre y Soberano de México, que establece que los trabajadores al servicio del Estado, como los miembros de los ayuntamientos y demás servidores públicos municipales recibirán una retribución adecuada e irrenunciable por el desempeño de su empleo, cargo o comisión, </w:t>
      </w:r>
      <w:r w:rsidRPr="00B02A11">
        <w:rPr>
          <w:b/>
          <w:color w:val="000000"/>
        </w:rPr>
        <w:t xml:space="preserve">que será determinada en el presupuesto de egresos que corresponda. </w:t>
      </w:r>
    </w:p>
    <w:p w14:paraId="0DF466FC" w14:textId="77777777" w:rsidR="00B02A11" w:rsidRPr="00B02A11" w:rsidRDefault="00B02A11" w:rsidP="004C29B5">
      <w:pPr>
        <w:spacing w:after="0" w:line="360" w:lineRule="auto"/>
        <w:ind w:right="-28"/>
        <w:rPr>
          <w:color w:val="000000"/>
        </w:rPr>
      </w:pPr>
    </w:p>
    <w:p w14:paraId="741F8CBD" w14:textId="77777777" w:rsidR="00B02A11" w:rsidRDefault="00B02A11" w:rsidP="004C29B5">
      <w:pPr>
        <w:spacing w:after="0" w:line="360" w:lineRule="auto"/>
        <w:ind w:right="-28"/>
        <w:rPr>
          <w:color w:val="000000"/>
        </w:rPr>
      </w:pPr>
      <w:r w:rsidRPr="00B02A11">
        <w:rPr>
          <w:color w:val="000000"/>
        </w:rPr>
        <w:t xml:space="preserve">En ese contexto, el artículo 3°, fracción XXXII, del Código Financiero del Estado de México y Municipios establece que la remuneración consiste en los pagos hechos por concepto de sueldo, </w:t>
      </w:r>
      <w:r w:rsidRPr="00B02A11">
        <w:rPr>
          <w:color w:val="000000"/>
        </w:rPr>
        <w:lastRenderedPageBreak/>
        <w:t>compensaciones, gratificaciones, habitación, primas, comisiones, prestaciones, en especie y cualquier otra percepción o prestación que se entregue al servidor por su trabajo.</w:t>
      </w:r>
    </w:p>
    <w:p w14:paraId="315C7185" w14:textId="77777777" w:rsidR="004C29B5" w:rsidRDefault="004C29B5" w:rsidP="004C29B5">
      <w:pPr>
        <w:spacing w:after="0" w:line="360" w:lineRule="auto"/>
        <w:ind w:right="-28"/>
        <w:rPr>
          <w:color w:val="000000"/>
        </w:rPr>
      </w:pPr>
    </w:p>
    <w:p w14:paraId="79671B87" w14:textId="77777777" w:rsidR="005E0964" w:rsidRDefault="005E0964" w:rsidP="004C29B5">
      <w:pPr>
        <w:tabs>
          <w:tab w:val="left" w:pos="4962"/>
        </w:tabs>
        <w:spacing w:after="0" w:line="360" w:lineRule="auto"/>
      </w:pPr>
      <w:r>
        <w:t xml:space="preserve">Ahora bien,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03980767" w14:textId="77777777" w:rsidR="005E0964" w:rsidRDefault="005E0964" w:rsidP="004C29B5">
      <w:pPr>
        <w:tabs>
          <w:tab w:val="left" w:pos="4962"/>
        </w:tabs>
        <w:spacing w:after="0" w:line="360" w:lineRule="auto"/>
      </w:pPr>
    </w:p>
    <w:p w14:paraId="7A60A98B" w14:textId="77777777" w:rsidR="005E0964" w:rsidRDefault="005E0964" w:rsidP="004C29B5">
      <w:pPr>
        <w:tabs>
          <w:tab w:val="left" w:pos="4962"/>
        </w:tabs>
        <w:spacing w:after="0" w:line="360" w:lineRule="auto"/>
      </w:pPr>
      <w: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955435D" w14:textId="77777777" w:rsidR="005E0964" w:rsidRPr="00822079" w:rsidRDefault="005E0964" w:rsidP="004C29B5">
      <w:pPr>
        <w:tabs>
          <w:tab w:val="left" w:pos="4962"/>
        </w:tabs>
        <w:spacing w:after="0" w:line="360" w:lineRule="auto"/>
        <w:rPr>
          <w:sz w:val="20"/>
          <w:szCs w:val="20"/>
        </w:rPr>
      </w:pPr>
    </w:p>
    <w:p w14:paraId="07062905" w14:textId="77777777" w:rsidR="005E0964" w:rsidRPr="00822079" w:rsidRDefault="005E0964" w:rsidP="004C29B5">
      <w:pPr>
        <w:tabs>
          <w:tab w:val="left" w:pos="4962"/>
        </w:tabs>
        <w:spacing w:after="0" w:line="360" w:lineRule="auto"/>
        <w:ind w:left="567" w:right="567"/>
        <w:rPr>
          <w:i/>
          <w:sz w:val="20"/>
          <w:szCs w:val="20"/>
        </w:rPr>
      </w:pPr>
      <w:r w:rsidRPr="00822079">
        <w:rPr>
          <w:i/>
          <w:sz w:val="20"/>
          <w:szCs w:val="20"/>
        </w:rPr>
        <w:t>“</w:t>
      </w:r>
      <w:r w:rsidRPr="00822079">
        <w:rPr>
          <w:b/>
          <w:i/>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822079">
        <w:rPr>
          <w:i/>
          <w:sz w:val="20"/>
          <w:szCs w:val="20"/>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w:t>
      </w:r>
      <w:r w:rsidRPr="00822079">
        <w:rPr>
          <w:i/>
          <w:sz w:val="20"/>
          <w:szCs w:val="20"/>
        </w:rPr>
        <w:lastRenderedPageBreak/>
        <w:t>adminicularse con otras pruebas; resolver en contrario, implicaría desatender el artículo 137 de la referida Ley Federal de los Trabajadores al Servicio del Estado.”</w:t>
      </w:r>
    </w:p>
    <w:p w14:paraId="12605D51" w14:textId="77777777" w:rsidR="005E0964" w:rsidRDefault="005E0964" w:rsidP="004C29B5">
      <w:pPr>
        <w:tabs>
          <w:tab w:val="left" w:pos="4962"/>
        </w:tabs>
        <w:spacing w:after="0" w:line="360" w:lineRule="auto"/>
      </w:pPr>
    </w:p>
    <w:p w14:paraId="15E89E42" w14:textId="77777777" w:rsidR="005E0964" w:rsidRDefault="005E0964" w:rsidP="004C29B5">
      <w:pPr>
        <w:tabs>
          <w:tab w:val="left" w:pos="4962"/>
        </w:tabs>
        <w:spacing w:after="0" w:line="360" w:lineRule="auto"/>
      </w:pPr>
      <w:r>
        <w:t>De la tesis transcrita, se desprende que en materia burocrática los recibos de pago acreditan los conceptos y montos que en ellos se insertan, y constituyen prueba para demostrar las percepciones y montos que reciben los servidores públicos.</w:t>
      </w:r>
    </w:p>
    <w:p w14:paraId="180BF570" w14:textId="77777777" w:rsidR="005E0964" w:rsidRPr="005E0964" w:rsidRDefault="005E0964" w:rsidP="004C29B5">
      <w:pPr>
        <w:tabs>
          <w:tab w:val="left" w:pos="4962"/>
        </w:tabs>
        <w:spacing w:after="0" w:line="360" w:lineRule="auto"/>
      </w:pPr>
    </w:p>
    <w:p w14:paraId="1DD38AA7" w14:textId="77777777" w:rsidR="00B02A11" w:rsidRPr="00B02A11" w:rsidRDefault="00B02A11" w:rsidP="004C29B5">
      <w:pPr>
        <w:spacing w:after="0" w:line="360" w:lineRule="auto"/>
        <w:rPr>
          <w:color w:val="000000"/>
        </w:rPr>
      </w:pPr>
      <w:r w:rsidRPr="00B02A11">
        <w:rPr>
          <w:color w:val="000000"/>
        </w:rPr>
        <w:t>Da la misma manera, el Glosario de Términos, del Manual para la Planeación, Programación y Presupuesto de Egresos Municipal para el ejerc</w:t>
      </w:r>
      <w:r w:rsidR="005E0964">
        <w:rPr>
          <w:color w:val="000000"/>
        </w:rPr>
        <w:t>icio fiscal dos mil veinticinco</w:t>
      </w:r>
      <w:r w:rsidRPr="00B02A11">
        <w:rPr>
          <w:color w:val="000000"/>
        </w:rPr>
        <w:t>, establece que la remuneración es la percepción de un trabajador o retribución monetaria que se da en pago por su servicio o actividad desarrollada.</w:t>
      </w:r>
    </w:p>
    <w:p w14:paraId="577AEEA6" w14:textId="77777777" w:rsidR="00557355" w:rsidRPr="00B02A11" w:rsidRDefault="00557355" w:rsidP="004C29B5">
      <w:pPr>
        <w:widowControl w:val="0"/>
        <w:spacing w:after="0" w:line="360" w:lineRule="auto"/>
        <w:rPr>
          <w:color w:val="000000"/>
        </w:rPr>
      </w:pPr>
    </w:p>
    <w:p w14:paraId="64B0D267" w14:textId="74709326" w:rsidR="001359FA" w:rsidRDefault="004C29B5" w:rsidP="004C29B5">
      <w:pPr>
        <w:spacing w:after="0" w:line="360" w:lineRule="auto"/>
        <w:rPr>
          <w:color w:val="000000"/>
        </w:rPr>
      </w:pPr>
      <w:r>
        <w:rPr>
          <w:color w:val="000000"/>
        </w:rPr>
        <w:t>Ahora bien, respecto a las prestaciones señaladas en la solicitud</w:t>
      </w:r>
      <w:r w:rsidR="00924A65">
        <w:rPr>
          <w:color w:val="000000"/>
        </w:rPr>
        <w:t xml:space="preserve">, los artículos 41 y 78 de la Ley del Trabajo de los Servidores Públicos del Estado y Municipios, establece que los trabajadores </w:t>
      </w:r>
      <w:r w:rsidR="00924A65">
        <w:rPr>
          <w:b/>
          <w:color w:val="000000"/>
        </w:rPr>
        <w:t xml:space="preserve">tendrán derecho a un aguilando, equivalente </w:t>
      </w:r>
      <w:r w:rsidR="00924A65">
        <w:rPr>
          <w:color w:val="000000"/>
        </w:rPr>
        <w:t>a cuarenta días de sueldo base, cuando menos, sin deducción alguna, y estará comprendido en el presupuesto de egresos correspondiente.</w:t>
      </w:r>
    </w:p>
    <w:p w14:paraId="6E84B80B" w14:textId="77777777" w:rsidR="001359FA" w:rsidRDefault="001359FA" w:rsidP="004C29B5">
      <w:pPr>
        <w:spacing w:after="0" w:line="360" w:lineRule="auto"/>
        <w:rPr>
          <w:color w:val="000000"/>
        </w:rPr>
      </w:pPr>
    </w:p>
    <w:p w14:paraId="74957D26" w14:textId="77777777" w:rsidR="001359FA" w:rsidRDefault="00924A65" w:rsidP="004C29B5">
      <w:pPr>
        <w:spacing w:after="0" w:line="360" w:lineRule="auto"/>
        <w:rPr>
          <w:b/>
          <w:color w:val="000000"/>
        </w:rPr>
      </w:pPr>
      <w:r>
        <w:rPr>
          <w:color w:val="000000"/>
        </w:rPr>
        <w:t>Además, respecto a la prima vacacional, es necesario traer a colación los artículos 66, 68 y 81 de la Ley del Trabajo de los Servidores Públicos del Estado y Municipios, establecen respecto a la prima vacacional, que los trabajadores gubernamentales contarán con dos períodos anuales de vacaciones, de diez días laborales cada uno;</w:t>
      </w:r>
      <w:r>
        <w:rPr>
          <w:b/>
          <w:color w:val="000000"/>
        </w:rPr>
        <w:t xml:space="preserve"> </w:t>
      </w:r>
      <w:r>
        <w:rPr>
          <w:color w:val="000000"/>
        </w:rPr>
        <w:t>para lo cual percibirán una prima vacacional del veinticinco por ciento del sueldo base, como mínimo, en cada periodo.</w:t>
      </w:r>
    </w:p>
    <w:p w14:paraId="25EEFE16" w14:textId="77777777" w:rsidR="001359FA" w:rsidRDefault="001359FA" w:rsidP="004C29B5">
      <w:pPr>
        <w:spacing w:after="0" w:line="360" w:lineRule="auto"/>
        <w:rPr>
          <w:color w:val="000000"/>
        </w:rPr>
      </w:pPr>
    </w:p>
    <w:p w14:paraId="5C965F64" w14:textId="77777777" w:rsidR="001359FA" w:rsidRDefault="00924A65" w:rsidP="004C29B5">
      <w:pPr>
        <w:spacing w:after="0" w:line="360" w:lineRule="auto"/>
        <w:rPr>
          <w:color w:val="000000"/>
        </w:rPr>
      </w:pPr>
      <w:r>
        <w:rPr>
          <w:color w:val="000000"/>
        </w:rPr>
        <w:t xml:space="preserve">Ahora bien, el Anexo Clasificación por objeto del gasto, del Manual para la Planeación, Programación y Presupuesto de Egresos Municipal para el ejercicio fiscal dos mil veinticuatro, establece que los Presupuestos de Egresos Municipales, se tendrán que generar, conforme al “Clasificador por Objeto del Gasto”, el cual se conforma de diversos capítulos, entre los cuales, </w:t>
      </w:r>
      <w:r>
        <w:rPr>
          <w:color w:val="000000"/>
        </w:rPr>
        <w:lastRenderedPageBreak/>
        <w:t>se encuentra el 1000 Servicios Personales, que agrupa las remuneraciones del personal al servicio de los entes públicos, tales como el sueldo, salarios, dietas, honorarios, prestaciones</w:t>
      </w:r>
      <w:r>
        <w:rPr>
          <w:b/>
          <w:color w:val="000000"/>
        </w:rPr>
        <w:t>, aguinaldo</w:t>
      </w:r>
      <w:r>
        <w:rPr>
          <w:color w:val="000000"/>
        </w:rPr>
        <w:t>, obligaciones laborales, primas, entre otras.</w:t>
      </w:r>
    </w:p>
    <w:p w14:paraId="0FD67186" w14:textId="77777777" w:rsidR="001359FA" w:rsidRDefault="001359FA" w:rsidP="004C29B5">
      <w:pPr>
        <w:widowControl w:val="0"/>
        <w:spacing w:after="0" w:line="360" w:lineRule="auto"/>
        <w:rPr>
          <w:color w:val="000000"/>
        </w:rPr>
      </w:pPr>
    </w:p>
    <w:p w14:paraId="30CDCE43" w14:textId="77777777" w:rsidR="001359FA" w:rsidRDefault="00924A65" w:rsidP="004C29B5">
      <w:pPr>
        <w:widowControl w:val="0"/>
        <w:spacing w:after="0" w:line="360" w:lineRule="auto"/>
      </w:pPr>
      <w:r>
        <w:rPr>
          <w:color w:val="000000"/>
        </w:rPr>
        <w:t>En ese orden de ideas, dicho Manual establece el subcapítulo 1300</w:t>
      </w:r>
      <w:r>
        <w:t xml:space="preserve"> Remuneraciones Adicionales y Especiales, que contienen las asignaciones destinadas a cubrir percepciones adicionales y especiales, así como las gratificaciones que se otorgan tanto al personal de carácter permanente como transitorios; misma que contiene las partidas específicas para el pago de primas vacacionales y aguinaldo, a saber, las número 1321, 1322 y 1323, tal como se muestra a continuación:</w:t>
      </w:r>
    </w:p>
    <w:p w14:paraId="626EBD19" w14:textId="77777777" w:rsidR="001359FA" w:rsidRDefault="001359FA" w:rsidP="004C29B5">
      <w:pPr>
        <w:widowControl w:val="0"/>
        <w:spacing w:after="0" w:line="360" w:lineRule="auto"/>
      </w:pPr>
    </w:p>
    <w:p w14:paraId="4D596357" w14:textId="77777777" w:rsidR="001359FA" w:rsidRDefault="00924A65" w:rsidP="004C29B5">
      <w:pPr>
        <w:widowControl w:val="0"/>
        <w:spacing w:after="0" w:line="360" w:lineRule="auto"/>
      </w:pPr>
      <w:r>
        <w:rPr>
          <w:noProof/>
        </w:rPr>
        <w:drawing>
          <wp:inline distT="0" distB="0" distL="0" distR="0" wp14:anchorId="3D14FDA1" wp14:editId="6952EC17">
            <wp:extent cx="5850890" cy="1744345"/>
            <wp:effectExtent l="0" t="0" r="0" b="0"/>
            <wp:docPr id="10178604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850890" cy="1744345"/>
                    </a:xfrm>
                    <a:prstGeom prst="rect">
                      <a:avLst/>
                    </a:prstGeom>
                    <a:ln/>
                  </pic:spPr>
                </pic:pic>
              </a:graphicData>
            </a:graphic>
          </wp:inline>
        </w:drawing>
      </w:r>
    </w:p>
    <w:p w14:paraId="7944D2B9" w14:textId="77777777" w:rsidR="001359FA" w:rsidRDefault="001359FA" w:rsidP="004C29B5">
      <w:pPr>
        <w:widowControl w:val="0"/>
        <w:spacing w:after="0" w:line="360" w:lineRule="auto"/>
      </w:pPr>
    </w:p>
    <w:p w14:paraId="60550668" w14:textId="77777777" w:rsidR="001359FA" w:rsidRDefault="00924A65" w:rsidP="004C29B5">
      <w:pPr>
        <w:spacing w:after="0" w:line="360" w:lineRule="auto"/>
        <w:ind w:right="-28"/>
      </w:pPr>
      <w:r>
        <w:t>En ese contexto, el Manual para la Planeación, Programación y Presupuesto de Egresos Municipal para el ejercicio fiscal dos mil veinticuatro,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38E39FB8" w14:textId="77777777" w:rsidR="001359FA" w:rsidRDefault="00924A65" w:rsidP="004C29B5">
      <w:pPr>
        <w:spacing w:after="0" w:line="360" w:lineRule="auto"/>
        <w:ind w:right="-28"/>
      </w:pPr>
      <w:r>
        <w:t xml:space="preserve"> </w:t>
      </w:r>
    </w:p>
    <w:p w14:paraId="5FD32254" w14:textId="77777777" w:rsidR="004C29B5" w:rsidRDefault="004C29B5" w:rsidP="004C29B5">
      <w:pPr>
        <w:spacing w:after="0" w:line="360" w:lineRule="auto"/>
        <w:ind w:right="-28"/>
      </w:pPr>
    </w:p>
    <w:p w14:paraId="0F732AD1" w14:textId="77777777" w:rsidR="00F97F1F" w:rsidRDefault="00F97F1F" w:rsidP="004C29B5">
      <w:pPr>
        <w:pStyle w:val="Prrafodelista"/>
        <w:spacing w:line="360" w:lineRule="auto"/>
      </w:pPr>
    </w:p>
    <w:p w14:paraId="503E46A7" w14:textId="77777777" w:rsidR="00F97F1F" w:rsidRDefault="00F97F1F" w:rsidP="004C29B5">
      <w:pPr>
        <w:spacing w:after="0" w:line="360" w:lineRule="auto"/>
        <w:ind w:right="-28"/>
      </w:pPr>
      <w:r>
        <w:lastRenderedPageBreak/>
        <w:t xml:space="preserve">Ahora bien dentro del Bando Municipal de Tianguistenco dos mil veinticinco, en su artículo 62 refiere que </w:t>
      </w:r>
      <w:r w:rsidR="0071002F">
        <w:t>la Tesorería Municipal</w:t>
      </w:r>
      <w:r>
        <w:t xml:space="preserve"> es la encargada de la recaudación de los ingresos municipales y responsable de realizar las erogaciones que haga el Ayuntamiento</w:t>
      </w:r>
      <w:r w:rsidR="0071002F">
        <w:t xml:space="preserve"> además de llevar los registros contables, financieros y administrativos de los ingresos, egresos, e inventarios;</w:t>
      </w:r>
    </w:p>
    <w:p w14:paraId="00294D63" w14:textId="77777777" w:rsidR="001359FA" w:rsidRDefault="001359FA" w:rsidP="004C29B5">
      <w:pPr>
        <w:tabs>
          <w:tab w:val="left" w:pos="4962"/>
        </w:tabs>
        <w:spacing w:after="0" w:line="360" w:lineRule="auto"/>
      </w:pPr>
    </w:p>
    <w:p w14:paraId="4B8A84D7" w14:textId="1BA0FCE3" w:rsidR="001359FA" w:rsidRDefault="00924A65" w:rsidP="004C29B5">
      <w:pPr>
        <w:tabs>
          <w:tab w:val="left" w:pos="4962"/>
        </w:tabs>
        <w:spacing w:after="0" w:line="360" w:lineRule="auto"/>
      </w:pPr>
      <w:r>
        <w:t>Conforme a lo anterior, se logra vislumbrar que la pretensión de la persona Recurrente, es obtener el documento donde conste</w:t>
      </w:r>
      <w:r w:rsidR="00957E4D">
        <w:t xml:space="preserve"> el</w:t>
      </w:r>
      <w:r>
        <w:t xml:space="preserve"> </w:t>
      </w:r>
      <w:r w:rsidR="004C29B5">
        <w:t>pago realizado por concepto de</w:t>
      </w:r>
      <w:r w:rsidR="00957E4D">
        <w:t xml:space="preserve"> aguinaldo y prima vacacional de los servidores adscritos al Ayuntamiento de Tianguistenco,</w:t>
      </w:r>
      <w:r w:rsidR="004C29B5">
        <w:t xml:space="preserve"> del primero de enero al dos de septiembre de dos mil veinticinco.</w:t>
      </w:r>
    </w:p>
    <w:p w14:paraId="1C16F697" w14:textId="77777777" w:rsidR="00957E4D" w:rsidRPr="00957E4D" w:rsidRDefault="00957E4D" w:rsidP="004C29B5">
      <w:pPr>
        <w:tabs>
          <w:tab w:val="left" w:pos="4962"/>
        </w:tabs>
        <w:spacing w:after="0" w:line="360" w:lineRule="auto"/>
      </w:pPr>
    </w:p>
    <w:p w14:paraId="37FEAF7C" w14:textId="77777777" w:rsidR="001359FA" w:rsidRDefault="00924A65" w:rsidP="004C29B5">
      <w:pPr>
        <w:spacing w:after="0" w:line="360" w:lineRule="auto"/>
        <w:rPr>
          <w:color w:val="000000"/>
        </w:rPr>
      </w:pPr>
      <w:r>
        <w:rPr>
          <w:color w:val="000000"/>
        </w:rPr>
        <w:t>Establecido lo anterior</w:t>
      </w:r>
      <w:r>
        <w:t>, es necesario precisar que de las constancias que obran en el expediente se logra vislumbrar que el Sujeto Obligado, turnó la</w:t>
      </w:r>
      <w:r w:rsidR="00957E4D">
        <w:t xml:space="preserve"> solicitud de información a la Tesorería Municipal</w:t>
      </w:r>
      <w:r>
        <w:t>, por lo que, resulta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w:t>
      </w:r>
      <w:r>
        <w:rPr>
          <w:color w:val="000000"/>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409EFD77" w14:textId="77777777" w:rsidR="001359FA" w:rsidRDefault="001359FA" w:rsidP="004C29B5">
      <w:pPr>
        <w:spacing w:after="0" w:line="360" w:lineRule="auto"/>
        <w:ind w:left="360"/>
        <w:rPr>
          <w:color w:val="000000"/>
        </w:rPr>
      </w:pPr>
    </w:p>
    <w:p w14:paraId="2E6E9AC5" w14:textId="77777777" w:rsidR="001359FA" w:rsidRPr="00451F8E" w:rsidRDefault="00924A65" w:rsidP="004C29B5">
      <w:pPr>
        <w:spacing w:after="0" w:line="360" w:lineRule="auto"/>
        <w:ind w:right="-28"/>
        <w:rPr>
          <w:color w:val="000000"/>
        </w:rPr>
      </w:pPr>
      <w:r>
        <w:rPr>
          <w:color w:val="000000"/>
        </w:rPr>
        <w:t xml:space="preserve">Así, a efecto de verificar que el Sujeto Obligado cumplió con el procedimiento de búsqueda </w:t>
      </w:r>
      <w:r w:rsidRPr="00451F8E">
        <w:rPr>
          <w:color w:val="000000"/>
        </w:rPr>
        <w:t xml:space="preserve">señalado, es necesario traer a colación </w:t>
      </w:r>
      <w:r w:rsidR="005E0964" w:rsidRPr="00451F8E">
        <w:rPr>
          <w:color w:val="000000"/>
        </w:rPr>
        <w:t>el Reglamento Orgánico de la Administración Publica de Tianguistenco</w:t>
      </w:r>
      <w:r w:rsidRPr="00451F8E">
        <w:rPr>
          <w:color w:val="000000"/>
        </w:rPr>
        <w:t xml:space="preserve">, Estado de México en su artículo </w:t>
      </w:r>
      <w:r w:rsidR="005E0964" w:rsidRPr="00451F8E">
        <w:rPr>
          <w:color w:val="000000"/>
        </w:rPr>
        <w:t xml:space="preserve">70, </w:t>
      </w:r>
      <w:r w:rsidRPr="00451F8E">
        <w:rPr>
          <w:color w:val="000000"/>
        </w:rPr>
        <w:t xml:space="preserve">mismo que establece que la </w:t>
      </w:r>
      <w:r w:rsidR="00451F8E" w:rsidRPr="00451F8E">
        <w:rPr>
          <w:color w:val="000000"/>
        </w:rPr>
        <w:t xml:space="preserve">Coordinación e Recursos Humanos dependiente de la </w:t>
      </w:r>
      <w:r w:rsidR="00451F8E" w:rsidRPr="00451F8E">
        <w:rPr>
          <w:b/>
          <w:color w:val="000000"/>
        </w:rPr>
        <w:t>Dirección de Administración</w:t>
      </w:r>
      <w:r w:rsidR="00451F8E" w:rsidRPr="00451F8E">
        <w:rPr>
          <w:color w:val="000000"/>
        </w:rPr>
        <w:t xml:space="preserve"> </w:t>
      </w:r>
      <w:r w:rsidRPr="00451F8E">
        <w:rPr>
          <w:color w:val="000000"/>
        </w:rPr>
        <w:t>tiene dentro de sus atribuciones</w:t>
      </w:r>
      <w:r w:rsidRPr="00451F8E">
        <w:t xml:space="preserve"> </w:t>
      </w:r>
      <w:r w:rsidR="00451F8E" w:rsidRPr="00451F8E">
        <w:t xml:space="preserve">en conjunción con la </w:t>
      </w:r>
      <w:r w:rsidR="00451F8E" w:rsidRPr="00451F8E">
        <w:rPr>
          <w:b/>
        </w:rPr>
        <w:t>Dirección Jurídica y Consultiva</w:t>
      </w:r>
      <w:r w:rsidR="00451F8E" w:rsidRPr="00451F8E">
        <w:t xml:space="preserve">, supervisar y verificar los </w:t>
      </w:r>
      <w:r w:rsidR="00451F8E" w:rsidRPr="00451F8E">
        <w:lastRenderedPageBreak/>
        <w:t xml:space="preserve">montos resultantes de los estudios de liquidación, </w:t>
      </w:r>
      <w:r w:rsidR="00451F8E" w:rsidRPr="00451F8E">
        <w:rPr>
          <w:b/>
          <w:u w:val="single"/>
        </w:rPr>
        <w:t>prima de antigüedad, renuncia voluntaria, parte proporcional de aguinaldo y prima vacacional solicitados por los servidores públicos;</w:t>
      </w:r>
    </w:p>
    <w:p w14:paraId="6434378E" w14:textId="77777777" w:rsidR="001359FA" w:rsidRPr="00451F8E" w:rsidRDefault="001359FA" w:rsidP="004C29B5">
      <w:pPr>
        <w:spacing w:after="0" w:line="360" w:lineRule="auto"/>
        <w:ind w:right="-28"/>
        <w:rPr>
          <w:color w:val="000000"/>
        </w:rPr>
      </w:pPr>
    </w:p>
    <w:p w14:paraId="42442112" w14:textId="77777777" w:rsidR="001359FA" w:rsidRDefault="00924A65" w:rsidP="004C29B5">
      <w:pPr>
        <w:spacing w:after="0" w:line="360" w:lineRule="auto"/>
        <w:ind w:right="-28"/>
        <w:rPr>
          <w:color w:val="000000"/>
        </w:rPr>
      </w:pPr>
      <w:r w:rsidRPr="00451F8E">
        <w:rPr>
          <w:color w:val="000000"/>
        </w:rPr>
        <w:t>De tal circunstancia, se advierte que el Sujeto Obligado no cumplió con</w:t>
      </w:r>
      <w:r w:rsidRPr="0071002F">
        <w:rPr>
          <w:color w:val="000000"/>
        </w:rPr>
        <w:t xml:space="preserve"> el procedimiento de búsqueda establecido en el artículo 162 de la Ley de Transparencia y Acceso a la Información Pública del Estado de México y Municipios, al omitir gestionar el requerimiento de información </w:t>
      </w:r>
      <w:r w:rsidR="00451F8E">
        <w:rPr>
          <w:color w:val="000000"/>
        </w:rPr>
        <w:t xml:space="preserve">a las </w:t>
      </w:r>
      <w:r w:rsidRPr="0071002F">
        <w:rPr>
          <w:color w:val="000000"/>
        </w:rPr>
        <w:t>área</w:t>
      </w:r>
      <w:r w:rsidR="00451F8E">
        <w:rPr>
          <w:color w:val="000000"/>
        </w:rPr>
        <w:t xml:space="preserve">s encargadas </w:t>
      </w:r>
      <w:r w:rsidRPr="0071002F">
        <w:rPr>
          <w:color w:val="000000"/>
        </w:rPr>
        <w:t xml:space="preserve">de ver las cuestiones relacionadas </w:t>
      </w:r>
      <w:r w:rsidR="00451F8E">
        <w:rPr>
          <w:color w:val="000000"/>
        </w:rPr>
        <w:t>con el pago de contribuciones a los servidores públicos.</w:t>
      </w:r>
    </w:p>
    <w:p w14:paraId="4AB58B40" w14:textId="77777777" w:rsidR="001359FA" w:rsidRDefault="001359FA" w:rsidP="004C29B5">
      <w:pPr>
        <w:spacing w:after="0" w:line="360" w:lineRule="auto"/>
        <w:ind w:right="-28"/>
        <w:rPr>
          <w:color w:val="000000"/>
        </w:rPr>
      </w:pPr>
    </w:p>
    <w:p w14:paraId="31ABFCAE" w14:textId="77777777" w:rsidR="0071002F" w:rsidRDefault="0071002F" w:rsidP="004C29B5">
      <w:pPr>
        <w:spacing w:after="0" w:line="360" w:lineRule="auto"/>
        <w:contextualSpacing/>
        <w:rPr>
          <w:color w:val="000000"/>
        </w:rPr>
      </w:pPr>
      <w:r w:rsidRPr="00372355">
        <w:rPr>
          <w:rFonts w:eastAsia="Times New Roman" w:cs="Tahoma"/>
          <w:bCs/>
          <w:iCs/>
          <w:lang w:eastAsia="es-ES"/>
        </w:rPr>
        <w:t>Ahora bien, en respuesta, la</w:t>
      </w:r>
      <w:r>
        <w:rPr>
          <w:rFonts w:eastAsia="Times New Roman" w:cs="Tahoma"/>
          <w:bCs/>
          <w:iCs/>
          <w:lang w:eastAsia="es-ES"/>
        </w:rPr>
        <w:t xml:space="preserve"> Tesorería Municipal, </w:t>
      </w:r>
      <w:r>
        <w:rPr>
          <w:color w:val="000000"/>
        </w:rPr>
        <w:t xml:space="preserve">remitió una liga en formato cerrado, para acceder a la información solicitada. </w:t>
      </w:r>
    </w:p>
    <w:p w14:paraId="2E095E4D" w14:textId="77777777" w:rsidR="0071002F" w:rsidRDefault="0071002F" w:rsidP="004C29B5">
      <w:pPr>
        <w:spacing w:after="0" w:line="360" w:lineRule="auto"/>
        <w:contextualSpacing/>
      </w:pPr>
    </w:p>
    <w:p w14:paraId="38738791" w14:textId="77777777" w:rsidR="0071002F" w:rsidRPr="00144FF8" w:rsidRDefault="0071002F" w:rsidP="004C29B5">
      <w:pPr>
        <w:spacing w:after="0" w:line="360" w:lineRule="auto"/>
        <w:contextualSpacing/>
      </w:pPr>
      <w:r w:rsidRPr="00144FF8">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324861D" w14:textId="77777777" w:rsidR="0071002F" w:rsidRPr="00144FF8" w:rsidRDefault="0071002F" w:rsidP="004C29B5">
      <w:pPr>
        <w:spacing w:after="0" w:line="360" w:lineRule="auto"/>
        <w:contextualSpacing/>
      </w:pPr>
      <w:r w:rsidRPr="00144FF8">
        <w:t> </w:t>
      </w:r>
    </w:p>
    <w:p w14:paraId="6B39E877" w14:textId="77777777" w:rsidR="0071002F" w:rsidRPr="00144FF8" w:rsidRDefault="0071002F" w:rsidP="004C29B5">
      <w:pPr>
        <w:numPr>
          <w:ilvl w:val="0"/>
          <w:numId w:val="5"/>
        </w:numPr>
        <w:spacing w:after="0" w:line="360" w:lineRule="auto"/>
        <w:contextualSpacing/>
      </w:pPr>
      <w:r w:rsidRPr="00144FF8">
        <w:rPr>
          <w:b/>
        </w:rPr>
        <w:t>Dato abierto:</w:t>
      </w:r>
      <w:r w:rsidRPr="00144FF8">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7980695" w14:textId="77777777" w:rsidR="0071002F" w:rsidRPr="00144FF8" w:rsidRDefault="0071002F" w:rsidP="004C29B5">
      <w:pPr>
        <w:spacing w:after="0" w:line="360" w:lineRule="auto"/>
        <w:contextualSpacing/>
      </w:pPr>
      <w:r w:rsidRPr="00144FF8">
        <w:t> </w:t>
      </w:r>
    </w:p>
    <w:p w14:paraId="0E414498" w14:textId="77777777" w:rsidR="0071002F" w:rsidRPr="00144FF8" w:rsidRDefault="0071002F" w:rsidP="004C29B5">
      <w:pPr>
        <w:numPr>
          <w:ilvl w:val="0"/>
          <w:numId w:val="5"/>
        </w:numPr>
        <w:spacing w:after="0" w:line="360" w:lineRule="auto"/>
        <w:contextualSpacing/>
      </w:pPr>
      <w:r w:rsidRPr="00144FF8">
        <w:rPr>
          <w:b/>
        </w:rPr>
        <w:t>Formato accesible:</w:t>
      </w:r>
      <w:r w:rsidRPr="00144FF8">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8F1331D" w14:textId="77777777" w:rsidR="0071002F" w:rsidRPr="00144FF8" w:rsidRDefault="0071002F" w:rsidP="004C29B5">
      <w:pPr>
        <w:spacing w:after="0" w:line="360" w:lineRule="auto"/>
        <w:contextualSpacing/>
      </w:pPr>
      <w:r w:rsidRPr="00144FF8">
        <w:t> </w:t>
      </w:r>
    </w:p>
    <w:p w14:paraId="5842CCB4" w14:textId="77777777" w:rsidR="0071002F" w:rsidRPr="00144FF8" w:rsidRDefault="0071002F" w:rsidP="004C29B5">
      <w:pPr>
        <w:spacing w:after="0" w:line="360" w:lineRule="auto"/>
        <w:contextualSpacing/>
      </w:pPr>
      <w:r w:rsidRPr="00144FF8">
        <w:lastRenderedPageBreak/>
        <w:t>Conforme a lo anterior, se considera que en el caso de que la información peticionada obre en ligas electrónicas, el Sujeto Obligado deberá privilegiar la entrega de estas, en datos abiertos, es decir, en un formato que permita la accesibilidad y facilidad a las personas Particulares, para obtener la información contenida estas.</w:t>
      </w:r>
    </w:p>
    <w:p w14:paraId="15B40842" w14:textId="77777777" w:rsidR="0071002F" w:rsidRPr="00144FF8" w:rsidRDefault="0071002F" w:rsidP="004C29B5">
      <w:pPr>
        <w:spacing w:after="0" w:line="360" w:lineRule="auto"/>
        <w:contextualSpacing/>
      </w:pPr>
      <w:r w:rsidRPr="00144FF8">
        <w:t> </w:t>
      </w:r>
    </w:p>
    <w:p w14:paraId="36AD90E9" w14:textId="77777777" w:rsidR="0071002F" w:rsidRPr="00144FF8" w:rsidRDefault="0071002F" w:rsidP="004C29B5">
      <w:pPr>
        <w:spacing w:after="0" w:line="360" w:lineRule="auto"/>
        <w:contextualSpacing/>
      </w:pPr>
      <w:r w:rsidRPr="00144FF8">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3B9D18AE" w14:textId="77777777" w:rsidR="0071002F" w:rsidRPr="00144FF8" w:rsidRDefault="0071002F" w:rsidP="004C29B5">
      <w:pPr>
        <w:spacing w:after="0" w:line="360" w:lineRule="auto"/>
        <w:contextualSpacing/>
      </w:pPr>
    </w:p>
    <w:p w14:paraId="14C8A37B" w14:textId="77777777" w:rsidR="0071002F" w:rsidRPr="00144FF8" w:rsidRDefault="0071002F" w:rsidP="004C29B5">
      <w:pPr>
        <w:spacing w:after="0" w:line="360" w:lineRule="auto"/>
        <w:contextualSpacing/>
      </w:pPr>
      <w:r w:rsidRPr="00144FF8">
        <w:t>Cómo se logra observar, el Sujeto Obligado si bien señaló una página electrónica y que la información se encontraba en ella, omitió proporcionar en formato abierto, lo cual implica la dificultad de acceder a la misma, pues se traduce al hecho de que la Particular tendría que colocar cada dígito alfanumérico, y cuya equivocación implicaría no acceder a la información contenida en las mismas; de igual forma omitió y señalar el paso a paso para localizar la información</w:t>
      </w:r>
      <w:r>
        <w:t xml:space="preserve">, lo cual da como resultado que el agravio sea </w:t>
      </w:r>
      <w:r w:rsidRPr="007E25B8">
        <w:rPr>
          <w:b/>
        </w:rPr>
        <w:t>FUNDADO.</w:t>
      </w:r>
    </w:p>
    <w:p w14:paraId="7034581C" w14:textId="77777777" w:rsidR="0071002F" w:rsidRDefault="0071002F" w:rsidP="004C29B5">
      <w:pPr>
        <w:spacing w:after="0" w:line="360" w:lineRule="auto"/>
        <w:contextualSpacing/>
      </w:pPr>
    </w:p>
    <w:p w14:paraId="23250D61" w14:textId="77777777" w:rsidR="0071002F" w:rsidRDefault="0071002F" w:rsidP="004C29B5">
      <w:pPr>
        <w:spacing w:after="0" w:line="360" w:lineRule="auto"/>
        <w:contextualSpacing/>
      </w:pPr>
      <w:r w:rsidRPr="00144FF8">
        <w:t xml:space="preserve">Sin menoscabar lo anterior, este Organismo Garante revisó la liga electrónica remitida </w:t>
      </w:r>
      <w:r>
        <w:t>y</w:t>
      </w:r>
      <w:r w:rsidRPr="00144FF8">
        <w:t xml:space="preserve"> direcciona a</w:t>
      </w:r>
      <w:r>
        <w:t>l portal de Información Publica de Oficio Mexiquense</w:t>
      </w:r>
      <w:r>
        <w:rPr>
          <w:i/>
        </w:rPr>
        <w:t>,</w:t>
      </w:r>
      <w:r w:rsidRPr="00144FF8">
        <w:t xml:space="preserve"> sin embargo, </w:t>
      </w:r>
      <w:r>
        <w:t xml:space="preserve">dicho sitio </w:t>
      </w:r>
      <w:r w:rsidRPr="00144FF8">
        <w:t xml:space="preserve">no </w:t>
      </w:r>
      <w:r>
        <w:t>arroja</w:t>
      </w:r>
      <w:r w:rsidRPr="00144FF8">
        <w:t xml:space="preserve"> información alguna</w:t>
      </w:r>
      <w:r>
        <w:t xml:space="preserve"> sobre lo solicitado</w:t>
      </w:r>
      <w:r w:rsidRPr="00144FF8">
        <w:t xml:space="preserve">, por tanto, </w:t>
      </w:r>
      <w:r>
        <w:t>no satisface la solicitud.</w:t>
      </w:r>
      <w:r w:rsidRPr="00144FF8">
        <w:t xml:space="preserve"> </w:t>
      </w:r>
    </w:p>
    <w:p w14:paraId="5F7F0898" w14:textId="77777777" w:rsidR="0071002F" w:rsidRDefault="0071002F" w:rsidP="004C29B5">
      <w:pPr>
        <w:spacing w:after="0" w:line="360" w:lineRule="auto"/>
        <w:contextualSpacing/>
      </w:pPr>
    </w:p>
    <w:p w14:paraId="27799E90" w14:textId="77777777" w:rsidR="0071002F" w:rsidRDefault="0071002F" w:rsidP="004C29B5">
      <w:pPr>
        <w:spacing w:after="0" w:line="360" w:lineRule="auto"/>
        <w:contextualSpacing/>
        <w:jc w:val="center"/>
      </w:pPr>
      <w:r w:rsidRPr="0071002F">
        <w:rPr>
          <w:noProof/>
        </w:rPr>
        <w:drawing>
          <wp:inline distT="0" distB="0" distL="0" distR="0" wp14:anchorId="2D38300F" wp14:editId="5F987308">
            <wp:extent cx="4156363" cy="1062773"/>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6649" cy="1070517"/>
                    </a:xfrm>
                    <a:prstGeom prst="rect">
                      <a:avLst/>
                    </a:prstGeom>
                  </pic:spPr>
                </pic:pic>
              </a:graphicData>
            </a:graphic>
          </wp:inline>
        </w:drawing>
      </w:r>
    </w:p>
    <w:p w14:paraId="7FC4D100" w14:textId="77777777" w:rsidR="001359FA" w:rsidRDefault="001359FA" w:rsidP="004C29B5">
      <w:pPr>
        <w:spacing w:after="0" w:line="360" w:lineRule="auto"/>
        <w:rPr>
          <w:color w:val="000000"/>
        </w:rPr>
      </w:pPr>
    </w:p>
    <w:p w14:paraId="3C92F346" w14:textId="78AF072B" w:rsidR="001359FA" w:rsidRDefault="00924A65" w:rsidP="004C29B5">
      <w:pPr>
        <w:spacing w:after="0" w:line="360" w:lineRule="auto"/>
        <w:rPr>
          <w:b/>
          <w:color w:val="000000"/>
        </w:rPr>
      </w:pPr>
      <w:r w:rsidRPr="00451F8E">
        <w:rPr>
          <w:color w:val="000000"/>
        </w:rPr>
        <w:t>En tal sentido este Instituto puede</w:t>
      </w:r>
      <w:r>
        <w:rPr>
          <w:color w:val="000000"/>
        </w:rPr>
        <w:t xml:space="preserve"> apreciar que la respuesta otorgada no satisface el derecho de acceso a la información del Particular, al proporcionarse la respuesta por parte de un área incompetente para conocer el requerimiento informativo y omitirse gestionar la solicitud a la </w:t>
      </w:r>
      <w:r w:rsidR="00451F8E">
        <w:rPr>
          <w:color w:val="000000"/>
        </w:rPr>
        <w:t>Coordinación de Recursos Humanos</w:t>
      </w:r>
      <w:r w:rsidR="00451F8E" w:rsidRPr="00451F8E">
        <w:rPr>
          <w:color w:val="000000"/>
        </w:rPr>
        <w:t xml:space="preserve">, y </w:t>
      </w:r>
      <w:r w:rsidR="00451F8E" w:rsidRPr="00451F8E">
        <w:t>Dirección Jurídica y Consultiva</w:t>
      </w:r>
      <w:r w:rsidRPr="00451F8E">
        <w:rPr>
          <w:color w:val="000000"/>
        </w:rPr>
        <w:t>,</w:t>
      </w:r>
      <w:r>
        <w:rPr>
          <w:color w:val="000000"/>
        </w:rPr>
        <w:t xml:space="preserve"> que si cuenta con atribuciones para poseer en sus archivos la información relativa </w:t>
      </w:r>
      <w:r w:rsidR="00451F8E">
        <w:rPr>
          <w:color w:val="000000"/>
        </w:rPr>
        <w:t>pago</w:t>
      </w:r>
      <w:r>
        <w:rPr>
          <w:color w:val="000000"/>
        </w:rPr>
        <w:t xml:space="preserve"> por concepto de aguinaldos y primas vacacionales</w:t>
      </w:r>
      <w:r w:rsidR="002D59CE">
        <w:rPr>
          <w:color w:val="000000"/>
        </w:rPr>
        <w:t>.</w:t>
      </w:r>
    </w:p>
    <w:p w14:paraId="6C8B8B16" w14:textId="77777777" w:rsidR="001359FA" w:rsidRDefault="001359FA" w:rsidP="004C29B5">
      <w:pPr>
        <w:spacing w:after="0" w:line="360" w:lineRule="auto"/>
        <w:ind w:right="-93"/>
      </w:pPr>
    </w:p>
    <w:p w14:paraId="4063AFD9" w14:textId="77777777" w:rsidR="001359FA" w:rsidRDefault="00924A65" w:rsidP="004C29B5">
      <w:pPr>
        <w:spacing w:after="0" w:line="360" w:lineRule="auto"/>
      </w:pPr>
      <w:r>
        <w:rPr>
          <w:color w:val="000000"/>
        </w:rPr>
        <w:t xml:space="preserve">Así, para atender el requerimiento de información, el Sujeto Obligado deberá realizar una indagación en los archivos de la </w:t>
      </w:r>
      <w:r w:rsidR="00451F8E">
        <w:rPr>
          <w:color w:val="000000"/>
        </w:rPr>
        <w:t>Coordinación de Recursos Humanos  y Jurídico</w:t>
      </w:r>
      <w:r>
        <w:t xml:space="preserve">, a efecto de que proporcione </w:t>
      </w:r>
      <w:r w:rsidR="00242C54">
        <w:t>los recibos</w:t>
      </w:r>
      <w:r>
        <w:t xml:space="preserve"> </w:t>
      </w:r>
      <w:r w:rsidR="00451F8E">
        <w:t>relativos al pago de aguinaldo y prima vacacional de los servidores públicos</w:t>
      </w:r>
      <w:r>
        <w:t>, para el ejerc</w:t>
      </w:r>
      <w:r w:rsidR="00451F8E">
        <w:t xml:space="preserve">icio fiscal dos mil veinticinco; </w:t>
      </w:r>
      <w: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B5DDE30" w14:textId="77777777" w:rsidR="001359FA" w:rsidRDefault="001359FA" w:rsidP="004C29B5">
      <w:pPr>
        <w:tabs>
          <w:tab w:val="left" w:pos="4962"/>
        </w:tabs>
        <w:spacing w:after="0" w:line="360" w:lineRule="auto"/>
      </w:pPr>
    </w:p>
    <w:p w14:paraId="6B21C6C7" w14:textId="77777777" w:rsidR="001359FA" w:rsidRDefault="00924A65" w:rsidP="004C29B5">
      <w:pPr>
        <w:tabs>
          <w:tab w:val="left" w:pos="4962"/>
        </w:tabs>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9D3BD5A" w14:textId="77777777" w:rsidR="001359FA" w:rsidRDefault="001359FA" w:rsidP="004C29B5">
      <w:pPr>
        <w:tabs>
          <w:tab w:val="center" w:pos="4522"/>
        </w:tabs>
        <w:spacing w:after="0" w:line="360" w:lineRule="auto"/>
      </w:pPr>
    </w:p>
    <w:p w14:paraId="1B13DF51" w14:textId="77777777" w:rsidR="001359FA" w:rsidRDefault="00924A65" w:rsidP="004C29B5">
      <w:pPr>
        <w:tabs>
          <w:tab w:val="center" w:pos="4522"/>
        </w:tabs>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 la persona Recurrente; por </w:t>
      </w:r>
      <w:r>
        <w:lastRenderedPageBreak/>
        <w:t xml:space="preserve">lo que, en el presente caso, deberá proporcionar los documentos que contengan la información </w:t>
      </w:r>
      <w:r w:rsidRPr="00242C54">
        <w:t>requerida.</w:t>
      </w:r>
    </w:p>
    <w:p w14:paraId="646AF40D" w14:textId="77777777" w:rsidR="001359FA" w:rsidRDefault="001359FA" w:rsidP="004C29B5">
      <w:pPr>
        <w:tabs>
          <w:tab w:val="center" w:pos="4522"/>
        </w:tabs>
        <w:spacing w:after="0" w:line="360" w:lineRule="auto"/>
      </w:pPr>
    </w:p>
    <w:p w14:paraId="76217774" w14:textId="77777777" w:rsidR="00242C54" w:rsidRDefault="00242C54" w:rsidP="004C29B5">
      <w:pPr>
        <w:spacing w:after="0" w:line="360" w:lineRule="auto"/>
        <w:rPr>
          <w:color w:val="000000"/>
        </w:rPr>
      </w:pPr>
      <w:r>
        <w:t>A</w:t>
      </w:r>
      <w:r>
        <w:rPr>
          <w:color w:val="000000"/>
        </w:rPr>
        <w:t>hora bien, no pasa desapercibido que los documentos que den cuenta de lo solicitado pudieran contener de manera enunciativa más no limitativa los siguientes datos:</w:t>
      </w:r>
    </w:p>
    <w:p w14:paraId="7CF08A15" w14:textId="77777777" w:rsidR="00242C54" w:rsidRDefault="00242C54" w:rsidP="004C29B5">
      <w:pPr>
        <w:spacing w:after="0" w:line="360" w:lineRule="auto"/>
        <w:rPr>
          <w:color w:val="000000"/>
        </w:rPr>
      </w:pPr>
    </w:p>
    <w:p w14:paraId="32EE4C07" w14:textId="77777777" w:rsidR="00242C54" w:rsidRDefault="00242C54" w:rsidP="004C29B5">
      <w:pPr>
        <w:numPr>
          <w:ilvl w:val="0"/>
          <w:numId w:val="9"/>
        </w:numPr>
        <w:spacing w:after="0" w:line="360" w:lineRule="auto"/>
        <w:rPr>
          <w:color w:val="000000"/>
        </w:rPr>
      </w:pPr>
      <w:bookmarkStart w:id="35" w:name="_heading=h.htxo5f8qb84d" w:colFirst="0" w:colLast="0"/>
      <w:bookmarkEnd w:id="35"/>
      <w:r>
        <w:rPr>
          <w:color w:val="000000"/>
        </w:rPr>
        <w:t>Clave Única de Registro de Población (CURP);</w:t>
      </w:r>
    </w:p>
    <w:p w14:paraId="7AE780E1" w14:textId="77777777" w:rsidR="00242C54" w:rsidRDefault="00242C54" w:rsidP="004C29B5">
      <w:pPr>
        <w:numPr>
          <w:ilvl w:val="0"/>
          <w:numId w:val="9"/>
        </w:numPr>
        <w:spacing w:after="0" w:line="360" w:lineRule="auto"/>
        <w:rPr>
          <w:color w:val="000000"/>
        </w:rPr>
      </w:pPr>
      <w:r>
        <w:rPr>
          <w:color w:val="000000"/>
        </w:rPr>
        <w:t>Registro Federal de Contribuyentes del servidor público (RFC);</w:t>
      </w:r>
    </w:p>
    <w:p w14:paraId="1E483DDD" w14:textId="77777777" w:rsidR="00242C54" w:rsidRDefault="00242C54" w:rsidP="004C29B5">
      <w:pPr>
        <w:numPr>
          <w:ilvl w:val="0"/>
          <w:numId w:val="9"/>
        </w:numPr>
        <w:spacing w:after="0" w:line="360" w:lineRule="auto"/>
        <w:rPr>
          <w:color w:val="000000"/>
        </w:rPr>
      </w:pPr>
      <w:r w:rsidRPr="001E0DCE">
        <w:rPr>
          <w:color w:val="000000"/>
        </w:rPr>
        <w:t>Código QR</w:t>
      </w:r>
      <w:r>
        <w:rPr>
          <w:color w:val="000000"/>
        </w:rPr>
        <w:t>;</w:t>
      </w:r>
    </w:p>
    <w:p w14:paraId="547A0028" w14:textId="77777777" w:rsidR="00242C54" w:rsidRDefault="00242C54" w:rsidP="004C29B5">
      <w:pPr>
        <w:numPr>
          <w:ilvl w:val="0"/>
          <w:numId w:val="9"/>
        </w:numPr>
        <w:spacing w:after="0" w:line="360" w:lineRule="auto"/>
        <w:rPr>
          <w:color w:val="000000"/>
        </w:rPr>
      </w:pPr>
      <w:r>
        <w:rPr>
          <w:color w:val="000000"/>
        </w:rPr>
        <w:t>Número de seguridad social del Instituto de Seguridad Social del Estado de México y Municipios;</w:t>
      </w:r>
    </w:p>
    <w:p w14:paraId="6764D333" w14:textId="77777777" w:rsidR="00242C54" w:rsidRDefault="00242C54" w:rsidP="004C29B5">
      <w:pPr>
        <w:numPr>
          <w:ilvl w:val="0"/>
          <w:numId w:val="9"/>
        </w:numPr>
        <w:spacing w:after="0" w:line="360" w:lineRule="auto"/>
        <w:rPr>
          <w:color w:val="000000"/>
        </w:rPr>
      </w:pPr>
      <w:r>
        <w:rPr>
          <w:color w:val="000000"/>
        </w:rPr>
        <w:t>Deducciones personales;</w:t>
      </w:r>
    </w:p>
    <w:p w14:paraId="22072F1C" w14:textId="77777777" w:rsidR="00242C54" w:rsidRDefault="00242C54" w:rsidP="004C29B5">
      <w:pPr>
        <w:numPr>
          <w:ilvl w:val="0"/>
          <w:numId w:val="9"/>
        </w:numPr>
        <w:spacing w:after="0" w:line="360" w:lineRule="auto"/>
        <w:rPr>
          <w:color w:val="000000"/>
        </w:rPr>
      </w:pPr>
      <w:r>
        <w:rPr>
          <w:color w:val="000000"/>
        </w:rPr>
        <w:t>Cuenta Bancaria, y</w:t>
      </w:r>
    </w:p>
    <w:p w14:paraId="08A70803" w14:textId="77777777" w:rsidR="00242C54" w:rsidRPr="008A39D5" w:rsidRDefault="00242C54" w:rsidP="004C29B5">
      <w:pPr>
        <w:numPr>
          <w:ilvl w:val="0"/>
          <w:numId w:val="9"/>
        </w:numPr>
        <w:spacing w:after="0" w:line="360" w:lineRule="auto"/>
        <w:rPr>
          <w:bCs/>
          <w:color w:val="000000"/>
        </w:rPr>
      </w:pPr>
      <w:r w:rsidRPr="008A39D5">
        <w:rPr>
          <w:bCs/>
          <w:color w:val="000000"/>
        </w:rPr>
        <w:t>Sellos digitales del emisor y del Servicio de Administración Tributaria y cadena original del complemento de certificación digital del órgano previamente señalado</w:t>
      </w:r>
      <w:r>
        <w:rPr>
          <w:bCs/>
          <w:color w:val="000000"/>
        </w:rPr>
        <w:t>.</w:t>
      </w:r>
    </w:p>
    <w:p w14:paraId="0AEB0F78" w14:textId="77777777" w:rsidR="00242C54" w:rsidRDefault="00242C54" w:rsidP="004C29B5">
      <w:pPr>
        <w:spacing w:after="0" w:line="360" w:lineRule="auto"/>
        <w:ind w:right="-93"/>
        <w:rPr>
          <w:color w:val="000000"/>
        </w:rPr>
      </w:pPr>
    </w:p>
    <w:p w14:paraId="76BD20CB" w14:textId="77777777" w:rsidR="00242C54" w:rsidRDefault="00242C54" w:rsidP="004C29B5">
      <w:pPr>
        <w:spacing w:after="0" w:line="360" w:lineRule="auto"/>
        <w:ind w:right="-28"/>
        <w:rPr>
          <w:color w:val="000000"/>
        </w:rPr>
      </w:pPr>
      <w:r>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50A00069" w14:textId="77777777" w:rsidR="00242C54" w:rsidRDefault="00242C54" w:rsidP="004C29B5">
      <w:pPr>
        <w:spacing w:after="0" w:line="360" w:lineRule="auto"/>
        <w:rPr>
          <w:color w:val="000000"/>
        </w:rPr>
      </w:pPr>
    </w:p>
    <w:p w14:paraId="253C8EF1" w14:textId="77777777" w:rsidR="00242C54" w:rsidRDefault="00242C54" w:rsidP="004C29B5">
      <w:pPr>
        <w:spacing w:after="0" w:line="360" w:lineRule="auto"/>
        <w:rPr>
          <w:color w:val="000000"/>
        </w:rPr>
      </w:pPr>
      <w:r>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Pr>
          <w:color w:val="000000"/>
        </w:rPr>
        <w:lastRenderedPageBreak/>
        <w:t xml:space="preserve">terceros o cuando se </w:t>
      </w:r>
      <w:r>
        <w:t>transmitan</w:t>
      </w:r>
      <w:r>
        <w:rPr>
          <w:color w:val="000000"/>
        </w:rPr>
        <w:t xml:space="preserve"> entre sujetos obligados en términos de los tratados y los acuerdos interinstitucionales.</w:t>
      </w:r>
    </w:p>
    <w:p w14:paraId="1F448261" w14:textId="77777777" w:rsidR="00242C54" w:rsidRDefault="00242C54" w:rsidP="004C29B5">
      <w:pPr>
        <w:spacing w:after="0" w:line="360" w:lineRule="auto"/>
        <w:rPr>
          <w:color w:val="000000"/>
        </w:rPr>
      </w:pPr>
    </w:p>
    <w:p w14:paraId="224A7A03" w14:textId="77777777" w:rsidR="00242C54" w:rsidRDefault="00242C54" w:rsidP="004C29B5">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1E379677" w14:textId="77777777" w:rsidR="00242C54" w:rsidRDefault="00242C54" w:rsidP="004C29B5">
      <w:pPr>
        <w:spacing w:after="0" w:line="360" w:lineRule="auto"/>
        <w:rPr>
          <w:color w:val="000000"/>
        </w:rPr>
      </w:pPr>
    </w:p>
    <w:p w14:paraId="559410BF" w14:textId="77777777" w:rsidR="00242C54" w:rsidRDefault="00242C54" w:rsidP="004C29B5">
      <w:pPr>
        <w:numPr>
          <w:ilvl w:val="0"/>
          <w:numId w:val="10"/>
        </w:numPr>
        <w:spacing w:after="0" w:line="360" w:lineRule="auto"/>
        <w:rPr>
          <w:color w:val="000000"/>
        </w:rPr>
      </w:pPr>
      <w:r>
        <w:rPr>
          <w:color w:val="000000"/>
        </w:rPr>
        <w:t xml:space="preserve">Se trate de datos personales o información privada; esto es, información concerniente a una persona física o </w:t>
      </w:r>
      <w:r>
        <w:t>jurídica</w:t>
      </w:r>
      <w:r>
        <w:rPr>
          <w:color w:val="000000"/>
        </w:rPr>
        <w:t xml:space="preserve"> colectiva y que esta sea identificada o identificable. </w:t>
      </w:r>
    </w:p>
    <w:p w14:paraId="2C534E19" w14:textId="77777777" w:rsidR="00242C54" w:rsidRDefault="00242C54" w:rsidP="004C29B5">
      <w:pPr>
        <w:spacing w:after="0" w:line="360" w:lineRule="auto"/>
        <w:ind w:left="360"/>
        <w:rPr>
          <w:color w:val="000000"/>
        </w:rPr>
      </w:pPr>
    </w:p>
    <w:p w14:paraId="12E7DF57" w14:textId="77777777" w:rsidR="00242C54" w:rsidRDefault="00242C54" w:rsidP="004C29B5">
      <w:pPr>
        <w:numPr>
          <w:ilvl w:val="0"/>
          <w:numId w:val="10"/>
        </w:numPr>
        <w:spacing w:after="0" w:line="360" w:lineRule="auto"/>
        <w:rPr>
          <w:color w:val="000000"/>
        </w:rPr>
      </w:pPr>
      <w:r>
        <w:rPr>
          <w:color w:val="000000"/>
        </w:rPr>
        <w:t xml:space="preserve">Para la difusión de los datos, se </w:t>
      </w:r>
      <w:r>
        <w:t>requiere</w:t>
      </w:r>
      <w:r>
        <w:rPr>
          <w:color w:val="000000"/>
        </w:rPr>
        <w:t xml:space="preserve"> el consentimiento del titular. </w:t>
      </w:r>
    </w:p>
    <w:p w14:paraId="646FC04E" w14:textId="77777777" w:rsidR="00242C54" w:rsidRDefault="00242C54" w:rsidP="004C29B5">
      <w:pPr>
        <w:spacing w:after="0" w:line="360" w:lineRule="auto"/>
        <w:rPr>
          <w:color w:val="000000"/>
        </w:rPr>
      </w:pPr>
    </w:p>
    <w:p w14:paraId="2E3156EA" w14:textId="77777777" w:rsidR="00242C54" w:rsidRDefault="00242C54" w:rsidP="004C29B5">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5E01C09" w14:textId="77777777" w:rsidR="00242C54" w:rsidRDefault="00242C54" w:rsidP="004C29B5">
      <w:pPr>
        <w:spacing w:after="0" w:line="360" w:lineRule="auto"/>
        <w:rPr>
          <w:color w:val="000000"/>
        </w:rPr>
      </w:pPr>
    </w:p>
    <w:p w14:paraId="71A0549E" w14:textId="77777777" w:rsidR="00242C54" w:rsidRDefault="00242C54" w:rsidP="004C29B5">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EDB18F3" w14:textId="77777777" w:rsidR="00242C54" w:rsidRDefault="00242C54" w:rsidP="004C29B5">
      <w:pPr>
        <w:spacing w:after="0" w:line="360" w:lineRule="auto"/>
        <w:ind w:right="-28"/>
        <w:rPr>
          <w:color w:val="000000"/>
        </w:rPr>
      </w:pPr>
    </w:p>
    <w:p w14:paraId="2658FD51" w14:textId="77777777" w:rsidR="00242C54" w:rsidRDefault="00242C54" w:rsidP="004C29B5">
      <w:pPr>
        <w:numPr>
          <w:ilvl w:val="0"/>
          <w:numId w:val="11"/>
        </w:numPr>
        <w:spacing w:after="0" w:line="360" w:lineRule="auto"/>
        <w:rPr>
          <w:b/>
          <w:color w:val="000000"/>
        </w:rPr>
      </w:pPr>
      <w:r>
        <w:rPr>
          <w:b/>
          <w:color w:val="000000"/>
        </w:rPr>
        <w:t>Clave Única de Registro de Población (CURP)</w:t>
      </w:r>
    </w:p>
    <w:p w14:paraId="3EFADA80" w14:textId="77777777" w:rsidR="00242C54" w:rsidRDefault="00242C54" w:rsidP="004C29B5">
      <w:pPr>
        <w:spacing w:after="0" w:line="360" w:lineRule="auto"/>
        <w:rPr>
          <w:color w:val="000000"/>
        </w:rPr>
      </w:pPr>
    </w:p>
    <w:p w14:paraId="389D44AE" w14:textId="77777777" w:rsidR="00242C54" w:rsidRDefault="00242C54" w:rsidP="004C29B5">
      <w:pPr>
        <w:spacing w:after="0" w:line="360" w:lineRule="auto"/>
        <w:rPr>
          <w:color w:val="000000"/>
        </w:rPr>
      </w:pPr>
      <w:r>
        <w:rPr>
          <w:color w:val="000000"/>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4609B6F" w14:textId="77777777" w:rsidR="00242C54" w:rsidRDefault="00242C54" w:rsidP="004C29B5">
      <w:pPr>
        <w:spacing w:after="0" w:line="360" w:lineRule="auto"/>
        <w:rPr>
          <w:color w:val="000000"/>
        </w:rPr>
      </w:pPr>
    </w:p>
    <w:p w14:paraId="0937AB19" w14:textId="77777777" w:rsidR="00242C54" w:rsidRDefault="00242C54" w:rsidP="004C29B5">
      <w:pPr>
        <w:spacing w:after="0" w:line="360" w:lineRule="auto"/>
        <w:rPr>
          <w:color w:val="000000"/>
        </w:rPr>
      </w:pPr>
      <w:r>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7AB9348" w14:textId="77777777" w:rsidR="00242C54" w:rsidRDefault="00242C54" w:rsidP="004C29B5">
      <w:pPr>
        <w:spacing w:after="0" w:line="360" w:lineRule="auto"/>
        <w:rPr>
          <w:color w:val="000000"/>
        </w:rPr>
      </w:pPr>
    </w:p>
    <w:p w14:paraId="4C3E09A5" w14:textId="77777777" w:rsidR="00242C54" w:rsidRDefault="00242C54" w:rsidP="004C29B5">
      <w:pPr>
        <w:spacing w:after="0" w:line="360" w:lineRule="auto"/>
        <w:rPr>
          <w:color w:val="000000"/>
        </w:rPr>
      </w:pPr>
      <w:r>
        <w:rPr>
          <w:color w:val="000000"/>
        </w:rPr>
        <w:t xml:space="preserve">En ese orden de ideas, la Secretaría de Gobernación en las direcciones </w:t>
      </w:r>
      <w:hyperlink r:id="rId12">
        <w:r>
          <w:rPr>
            <w:color w:val="000000"/>
            <w:u w:val="single"/>
          </w:rPr>
          <w:t>https://consultas.curp.gob.mx/CurpSP/html/informacionecurpPS.html</w:t>
        </w:r>
      </w:hyperlink>
      <w:r>
        <w:rPr>
          <w:color w:val="000000"/>
        </w:rPr>
        <w:t xml:space="preserve"> y </w:t>
      </w:r>
      <w:hyperlink r:id="rId13">
        <w:r>
          <w:rPr>
            <w:color w:val="000000"/>
            <w:u w:val="single"/>
          </w:rPr>
          <w:t>https://www.gob.mx/segob/renapo/acciones-y-programas/clave-unica-de-registro-de-poblacion-curp-142226</w:t>
        </w:r>
      </w:hyperlink>
      <w:r>
        <w:rPr>
          <w:color w:val="000000"/>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color w:val="000000"/>
        </w:rPr>
        <w:t>se 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0304ECA4" w14:textId="77777777" w:rsidR="00242C54" w:rsidRDefault="00242C54" w:rsidP="004C29B5">
      <w:pPr>
        <w:spacing w:after="0" w:line="360" w:lineRule="auto"/>
        <w:rPr>
          <w:color w:val="000000"/>
        </w:rPr>
      </w:pPr>
    </w:p>
    <w:p w14:paraId="6EF7000E" w14:textId="77777777" w:rsidR="00242C54" w:rsidRDefault="00242C54" w:rsidP="004C29B5">
      <w:pPr>
        <w:numPr>
          <w:ilvl w:val="0"/>
          <w:numId w:val="8"/>
        </w:numPr>
        <w:spacing w:after="0" w:line="360" w:lineRule="auto"/>
        <w:rPr>
          <w:color w:val="000000"/>
        </w:rPr>
      </w:pPr>
      <w:r>
        <w:rPr>
          <w:color w:val="000000"/>
        </w:rPr>
        <w:t>El primero y segundo apellidos, así como al nombre de pila;</w:t>
      </w:r>
    </w:p>
    <w:p w14:paraId="14CA06F0" w14:textId="77777777" w:rsidR="00242C54" w:rsidRDefault="00242C54" w:rsidP="004C29B5">
      <w:pPr>
        <w:numPr>
          <w:ilvl w:val="0"/>
          <w:numId w:val="8"/>
        </w:numPr>
        <w:spacing w:after="0" w:line="360" w:lineRule="auto"/>
        <w:rPr>
          <w:color w:val="000000"/>
        </w:rPr>
      </w:pPr>
      <w:r>
        <w:rPr>
          <w:color w:val="000000"/>
        </w:rPr>
        <w:t>La fecha de nacimiento;</w:t>
      </w:r>
    </w:p>
    <w:p w14:paraId="2578D452" w14:textId="77777777" w:rsidR="00242C54" w:rsidRDefault="00242C54" w:rsidP="004C29B5">
      <w:pPr>
        <w:numPr>
          <w:ilvl w:val="0"/>
          <w:numId w:val="8"/>
        </w:numPr>
        <w:spacing w:after="0" w:line="360" w:lineRule="auto"/>
        <w:rPr>
          <w:color w:val="000000"/>
        </w:rPr>
      </w:pPr>
      <w:r>
        <w:rPr>
          <w:color w:val="000000"/>
        </w:rPr>
        <w:t>El sexo, y</w:t>
      </w:r>
    </w:p>
    <w:p w14:paraId="27760AEF" w14:textId="77777777" w:rsidR="00242C54" w:rsidRDefault="00242C54" w:rsidP="004C29B5">
      <w:pPr>
        <w:numPr>
          <w:ilvl w:val="0"/>
          <w:numId w:val="8"/>
        </w:numPr>
        <w:spacing w:after="0" w:line="360" w:lineRule="auto"/>
        <w:rPr>
          <w:color w:val="000000"/>
        </w:rPr>
      </w:pPr>
      <w:r>
        <w:rPr>
          <w:color w:val="000000"/>
        </w:rPr>
        <w:t>La entidad federativa de nacimiento.</w:t>
      </w:r>
    </w:p>
    <w:p w14:paraId="768E2EB0" w14:textId="77777777" w:rsidR="00242C54" w:rsidRDefault="00242C54" w:rsidP="004C29B5">
      <w:pPr>
        <w:spacing w:after="0" w:line="360" w:lineRule="auto"/>
        <w:rPr>
          <w:color w:val="000000"/>
        </w:rPr>
      </w:pPr>
    </w:p>
    <w:p w14:paraId="47A21B29" w14:textId="77777777" w:rsidR="00242C54" w:rsidRDefault="00242C54" w:rsidP="004C29B5">
      <w:pPr>
        <w:spacing w:after="0" w:line="360" w:lineRule="auto"/>
        <w:rPr>
          <w:color w:val="000000"/>
        </w:rPr>
      </w:pPr>
      <w:r>
        <w:rPr>
          <w:color w:val="000000"/>
        </w:rPr>
        <w:lastRenderedPageBreak/>
        <w:t>Los dos últimos elementos de la Clave Única de Registro de Población evitan la duplicidad de la Clave y garantizan su correcta integración.</w:t>
      </w:r>
    </w:p>
    <w:p w14:paraId="30F8CC3C" w14:textId="77777777" w:rsidR="00242C54" w:rsidRDefault="00242C54" w:rsidP="004C29B5">
      <w:pPr>
        <w:spacing w:after="0" w:line="360" w:lineRule="auto"/>
        <w:rPr>
          <w:color w:val="000000"/>
        </w:rPr>
      </w:pPr>
    </w:p>
    <w:p w14:paraId="53BFF98E" w14:textId="77777777" w:rsidR="00242C54" w:rsidRDefault="00242C54" w:rsidP="004C29B5">
      <w:pPr>
        <w:spacing w:after="0" w:line="360" w:lineRule="auto"/>
        <w:rPr>
          <w:color w:val="000000"/>
        </w:rPr>
      </w:pPr>
      <w:r>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6D59BAC" w14:textId="77777777" w:rsidR="00242C54" w:rsidRDefault="00242C54" w:rsidP="004C29B5">
      <w:pPr>
        <w:spacing w:after="0" w:line="360" w:lineRule="auto"/>
        <w:rPr>
          <w:color w:val="000000"/>
        </w:rPr>
      </w:pPr>
    </w:p>
    <w:p w14:paraId="4BC1DC37" w14:textId="77777777" w:rsidR="00242C54" w:rsidRDefault="00242C54" w:rsidP="004C29B5">
      <w:pPr>
        <w:spacing w:after="0" w:line="360" w:lineRule="auto"/>
        <w:rPr>
          <w:color w:val="000000"/>
        </w:rPr>
      </w:pPr>
      <w:r>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672A15CD" w14:textId="77777777" w:rsidR="00242C54" w:rsidRDefault="00242C54" w:rsidP="004C29B5">
      <w:pPr>
        <w:spacing w:after="0" w:line="360" w:lineRule="auto"/>
        <w:ind w:left="567" w:right="567"/>
        <w:rPr>
          <w:color w:val="000000"/>
        </w:rPr>
      </w:pPr>
    </w:p>
    <w:p w14:paraId="549341EC" w14:textId="77777777" w:rsidR="00242C54" w:rsidRPr="001E0DCE" w:rsidRDefault="00242C54" w:rsidP="004C29B5">
      <w:pPr>
        <w:spacing w:after="0" w:line="360" w:lineRule="auto"/>
        <w:ind w:left="567" w:right="567"/>
        <w:rPr>
          <w:i/>
          <w:color w:val="000000"/>
          <w:sz w:val="20"/>
          <w:szCs w:val="20"/>
        </w:rPr>
      </w:pPr>
      <w:r w:rsidRPr="001E0DCE">
        <w:rPr>
          <w:b/>
          <w:i/>
          <w:color w:val="000000"/>
          <w:sz w:val="20"/>
          <w:szCs w:val="20"/>
        </w:rPr>
        <w:t xml:space="preserve">“Clave Única de Registro de Población (CURP). </w:t>
      </w:r>
      <w:r w:rsidRPr="001E0DCE">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054DC84" w14:textId="77777777" w:rsidR="00242C54" w:rsidRDefault="00242C54" w:rsidP="004C29B5">
      <w:pPr>
        <w:spacing w:after="0" w:line="360" w:lineRule="auto"/>
        <w:rPr>
          <w:color w:val="000000"/>
        </w:rPr>
      </w:pPr>
    </w:p>
    <w:p w14:paraId="429C8F5E" w14:textId="77777777" w:rsidR="00242C54" w:rsidRDefault="00242C54" w:rsidP="004C29B5">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B34D3B5" w14:textId="77777777" w:rsidR="00242C54" w:rsidRDefault="00242C54" w:rsidP="004C29B5">
      <w:pPr>
        <w:spacing w:after="0" w:line="360" w:lineRule="auto"/>
        <w:rPr>
          <w:color w:val="000000"/>
        </w:rPr>
      </w:pPr>
    </w:p>
    <w:p w14:paraId="04AA6FF8" w14:textId="77777777" w:rsidR="00242C54" w:rsidRDefault="00242C54" w:rsidP="004C29B5">
      <w:pPr>
        <w:numPr>
          <w:ilvl w:val="0"/>
          <w:numId w:val="11"/>
        </w:numPr>
        <w:spacing w:after="0" w:line="360" w:lineRule="auto"/>
        <w:rPr>
          <w:b/>
          <w:color w:val="000000"/>
        </w:rPr>
      </w:pPr>
      <w:r>
        <w:rPr>
          <w:b/>
          <w:color w:val="000000"/>
        </w:rPr>
        <w:t>Registro Federal de Contribuyentes (RFC)</w:t>
      </w:r>
    </w:p>
    <w:p w14:paraId="19962CD3" w14:textId="77777777" w:rsidR="00242C54" w:rsidRDefault="00242C54" w:rsidP="004C29B5">
      <w:pPr>
        <w:spacing w:after="0" w:line="360" w:lineRule="auto"/>
        <w:rPr>
          <w:color w:val="000000"/>
        </w:rPr>
      </w:pPr>
    </w:p>
    <w:p w14:paraId="3142692E" w14:textId="77777777" w:rsidR="00242C54" w:rsidRDefault="00242C54" w:rsidP="004C29B5">
      <w:pPr>
        <w:spacing w:after="0" w:line="360" w:lineRule="auto"/>
        <w:rPr>
          <w:color w:val="000000"/>
        </w:rPr>
      </w:pPr>
      <w:r>
        <w:rPr>
          <w:color w:val="000000"/>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BC9CAF9" w14:textId="77777777" w:rsidR="00242C54" w:rsidRDefault="00242C54" w:rsidP="004C29B5">
      <w:pPr>
        <w:spacing w:after="0" w:line="360" w:lineRule="auto"/>
        <w:rPr>
          <w:color w:val="000000"/>
        </w:rPr>
      </w:pPr>
    </w:p>
    <w:p w14:paraId="677C9450" w14:textId="77777777" w:rsidR="00242C54" w:rsidRDefault="00242C54" w:rsidP="004C29B5">
      <w:pPr>
        <w:spacing w:after="0" w:line="360" w:lineRule="auto"/>
        <w:rPr>
          <w:color w:val="000000"/>
        </w:rPr>
      </w:pPr>
      <w:r>
        <w:rPr>
          <w:color w:val="000000"/>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152A372" w14:textId="77777777" w:rsidR="00242C54" w:rsidRDefault="00242C54" w:rsidP="004C29B5">
      <w:pPr>
        <w:spacing w:after="0" w:line="360" w:lineRule="auto"/>
        <w:rPr>
          <w:color w:val="000000"/>
        </w:rPr>
      </w:pPr>
    </w:p>
    <w:p w14:paraId="4A5512D9" w14:textId="77777777" w:rsidR="00242C54" w:rsidRDefault="00242C54" w:rsidP="004C29B5">
      <w:pPr>
        <w:spacing w:after="0" w:line="360" w:lineRule="auto"/>
        <w:rPr>
          <w:color w:val="000000"/>
        </w:rPr>
      </w:pPr>
      <w:r>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CC0DEC8" w14:textId="77777777" w:rsidR="00242C54" w:rsidRDefault="00242C54" w:rsidP="004C29B5">
      <w:pPr>
        <w:spacing w:after="0" w:line="360" w:lineRule="auto"/>
        <w:rPr>
          <w:color w:val="000000"/>
        </w:rPr>
      </w:pPr>
    </w:p>
    <w:p w14:paraId="4E2F713A" w14:textId="77777777" w:rsidR="00242C54" w:rsidRDefault="00242C54" w:rsidP="004C29B5">
      <w:pPr>
        <w:spacing w:after="0" w:line="360" w:lineRule="auto"/>
        <w:rPr>
          <w:color w:val="000000"/>
        </w:rPr>
      </w:pPr>
      <w:r>
        <w:rPr>
          <w:color w:val="000000"/>
        </w:rPr>
        <w:t xml:space="preserve">Así, el Registro Federal de Contribuyentes, es un dato personal, ya que hace a las personas físicas </w:t>
      </w:r>
      <w:r>
        <w:t>identificadas</w:t>
      </w:r>
      <w:r>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t>involucradas</w:t>
      </w:r>
      <w:r>
        <w:rPr>
          <w:color w:val="000000"/>
        </w:rPr>
        <w:t xml:space="preserve">, en el pago de estos, en el presente caso, del pago del Impuesto Sobre el Producto del Trabajo. </w:t>
      </w:r>
    </w:p>
    <w:p w14:paraId="0D179E5B" w14:textId="77777777" w:rsidR="00242C54" w:rsidRDefault="00242C54" w:rsidP="004C29B5">
      <w:pPr>
        <w:spacing w:after="0" w:line="360" w:lineRule="auto"/>
        <w:rPr>
          <w:color w:val="000000"/>
        </w:rPr>
      </w:pPr>
    </w:p>
    <w:p w14:paraId="5E22CC31" w14:textId="77777777" w:rsidR="00242C54" w:rsidRDefault="00242C54" w:rsidP="004C29B5">
      <w:pPr>
        <w:spacing w:after="0" w:line="360" w:lineRule="auto"/>
        <w:rPr>
          <w:color w:val="000000"/>
        </w:rPr>
      </w:pPr>
      <w:r>
        <w:rPr>
          <w:color w:val="000000"/>
        </w:rPr>
        <w:t xml:space="preserve">Lo anterior, resulta congruente con el Criterio Orientador, de la Segunda Época, con número de registro SO/019/2017, emitido por el entonces Instituto Nacional de Transparencia, Acceso a la </w:t>
      </w:r>
      <w:r>
        <w:rPr>
          <w:color w:val="000000"/>
        </w:rPr>
        <w:lastRenderedPageBreak/>
        <w:t>Información y Protección de Datos Personales, vigente a la fecha de la solicitud, en el cual se señala lo siguiente:</w:t>
      </w:r>
    </w:p>
    <w:p w14:paraId="78006A69" w14:textId="77777777" w:rsidR="00242C54" w:rsidRDefault="00242C54" w:rsidP="004C29B5">
      <w:pPr>
        <w:spacing w:after="0" w:line="360" w:lineRule="auto"/>
        <w:rPr>
          <w:color w:val="000000"/>
        </w:rPr>
      </w:pPr>
    </w:p>
    <w:p w14:paraId="42FF2C97" w14:textId="77777777" w:rsidR="00242C54" w:rsidRPr="001E0DCE" w:rsidRDefault="00242C54" w:rsidP="004C29B5">
      <w:pPr>
        <w:spacing w:after="0" w:line="360" w:lineRule="auto"/>
        <w:ind w:left="567" w:right="567"/>
        <w:rPr>
          <w:i/>
          <w:color w:val="000000"/>
          <w:sz w:val="20"/>
          <w:szCs w:val="20"/>
        </w:rPr>
      </w:pPr>
      <w:r w:rsidRPr="001E0DCE">
        <w:rPr>
          <w:b/>
          <w:i/>
          <w:color w:val="000000"/>
          <w:sz w:val="20"/>
          <w:szCs w:val="20"/>
        </w:rPr>
        <w:t>“Registro Federal de Contribuyentes (RFC) de personas físicas.</w:t>
      </w:r>
      <w:r w:rsidRPr="001E0DCE">
        <w:rPr>
          <w:i/>
          <w:color w:val="000000"/>
          <w:sz w:val="20"/>
          <w:szCs w:val="20"/>
        </w:rPr>
        <w:t xml:space="preserve"> El RFC es una clave de carácter fiscal, única e irrepetible, que permite identificar al titular, su edad y fecha de nacimiento, por lo que es un dato personal de carácter confidencial.”</w:t>
      </w:r>
    </w:p>
    <w:p w14:paraId="525E6CCE" w14:textId="77777777" w:rsidR="00242C54" w:rsidRDefault="00242C54" w:rsidP="004C29B5">
      <w:pPr>
        <w:spacing w:after="0" w:line="360" w:lineRule="auto"/>
        <w:ind w:left="567" w:right="567"/>
        <w:rPr>
          <w:i/>
          <w:color w:val="000000"/>
        </w:rPr>
      </w:pPr>
    </w:p>
    <w:p w14:paraId="0B80ED69" w14:textId="77777777" w:rsidR="00242C54" w:rsidRDefault="00242C54" w:rsidP="004C29B5">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C208F10" w14:textId="77777777" w:rsidR="00242C54" w:rsidRDefault="00242C54" w:rsidP="004C29B5">
      <w:pPr>
        <w:tabs>
          <w:tab w:val="center" w:pos="4522"/>
        </w:tabs>
        <w:spacing w:after="0" w:line="360" w:lineRule="auto"/>
        <w:rPr>
          <w:color w:val="000000"/>
        </w:rPr>
      </w:pPr>
    </w:p>
    <w:p w14:paraId="381D4250" w14:textId="77777777" w:rsidR="00242C54" w:rsidRDefault="00242C54" w:rsidP="004C29B5">
      <w:pPr>
        <w:numPr>
          <w:ilvl w:val="0"/>
          <w:numId w:val="13"/>
        </w:numPr>
        <w:spacing w:after="0" w:line="360" w:lineRule="auto"/>
        <w:jc w:val="left"/>
        <w:rPr>
          <w:b/>
          <w:color w:val="000000"/>
        </w:rPr>
      </w:pPr>
      <w:r>
        <w:rPr>
          <w:b/>
          <w:color w:val="000000"/>
        </w:rPr>
        <w:t>Código bidimensional o Qr</w:t>
      </w:r>
    </w:p>
    <w:p w14:paraId="5585C74F" w14:textId="77777777" w:rsidR="00242C54" w:rsidRDefault="00242C54" w:rsidP="004C29B5">
      <w:pPr>
        <w:spacing w:after="0" w:line="360" w:lineRule="auto"/>
        <w:rPr>
          <w:b/>
          <w:color w:val="000000"/>
        </w:rPr>
      </w:pPr>
    </w:p>
    <w:p w14:paraId="083C1026" w14:textId="77777777" w:rsidR="00242C54" w:rsidRDefault="00242C54" w:rsidP="004C29B5">
      <w:pPr>
        <w:spacing w:after="0" w:line="360" w:lineRule="auto"/>
        <w:rPr>
          <w:color w:val="000000"/>
        </w:rPr>
      </w:pPr>
      <w:r>
        <w:rPr>
          <w:color w:val="000000"/>
        </w:rPr>
        <w:t xml:space="preserve">En principio, resulta necesario señalar que los comprobantes fiscales digitales por Internet, deben de incluir un código bidimensional conforme al formato </w:t>
      </w:r>
      <w:r>
        <w:rPr>
          <w:i/>
          <w:color w:val="000000"/>
        </w:rPr>
        <w:t>QR Code (Quick Response Code)</w:t>
      </w:r>
      <w:r>
        <w:rPr>
          <w:color w:val="000000"/>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03442B3E" w14:textId="77777777" w:rsidR="00242C54" w:rsidRDefault="00242C54" w:rsidP="004C29B5">
      <w:pPr>
        <w:spacing w:after="0" w:line="360" w:lineRule="auto"/>
        <w:rPr>
          <w:color w:val="000000"/>
        </w:rPr>
      </w:pPr>
    </w:p>
    <w:p w14:paraId="693BAE28" w14:textId="77777777" w:rsidR="00242C54" w:rsidRDefault="00242C54" w:rsidP="004C29B5">
      <w:pPr>
        <w:spacing w:after="0" w:line="360" w:lineRule="auto"/>
        <w:rPr>
          <w:color w:val="000000"/>
        </w:rPr>
      </w:pPr>
      <w:r>
        <w:rPr>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1951D0F" w14:textId="77777777" w:rsidR="00242C54" w:rsidRDefault="00242C54" w:rsidP="004C29B5">
      <w:pPr>
        <w:tabs>
          <w:tab w:val="center" w:pos="4522"/>
        </w:tabs>
        <w:spacing w:after="0" w:line="360" w:lineRule="auto"/>
        <w:rPr>
          <w:color w:val="000000"/>
        </w:rPr>
      </w:pPr>
    </w:p>
    <w:p w14:paraId="4088A1D7" w14:textId="77777777" w:rsidR="00242C54" w:rsidRDefault="00242C54" w:rsidP="004C29B5">
      <w:pPr>
        <w:numPr>
          <w:ilvl w:val="0"/>
          <w:numId w:val="11"/>
        </w:numPr>
        <w:spacing w:after="0" w:line="360" w:lineRule="auto"/>
        <w:rPr>
          <w:b/>
          <w:color w:val="000000"/>
        </w:rPr>
      </w:pPr>
      <w:r>
        <w:rPr>
          <w:b/>
          <w:color w:val="000000"/>
        </w:rPr>
        <w:lastRenderedPageBreak/>
        <w:t>Número de seguridad social del Instituto de Seguridad Social del Estado de México y Municipios</w:t>
      </w:r>
    </w:p>
    <w:p w14:paraId="54B58354" w14:textId="77777777" w:rsidR="00242C54" w:rsidRDefault="00242C54" w:rsidP="004C29B5">
      <w:pPr>
        <w:spacing w:after="0" w:line="360" w:lineRule="auto"/>
        <w:rPr>
          <w:b/>
          <w:color w:val="000000"/>
        </w:rPr>
      </w:pPr>
    </w:p>
    <w:p w14:paraId="527C1FA1" w14:textId="77777777" w:rsidR="00242C54" w:rsidRDefault="00242C54" w:rsidP="004C29B5">
      <w:pPr>
        <w:spacing w:after="0" w:line="360" w:lineRule="auto"/>
        <w:rPr>
          <w:color w:val="000000"/>
        </w:rPr>
      </w:pPr>
      <w:r>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ED655D3" w14:textId="77777777" w:rsidR="00242C54" w:rsidRDefault="00242C54" w:rsidP="004C29B5">
      <w:pPr>
        <w:spacing w:after="0" w:line="360" w:lineRule="auto"/>
        <w:rPr>
          <w:color w:val="000000"/>
        </w:rPr>
      </w:pPr>
    </w:p>
    <w:p w14:paraId="7FA786E5" w14:textId="77777777" w:rsidR="00242C54" w:rsidRDefault="00242C54" w:rsidP="004C29B5">
      <w:pPr>
        <w:spacing w:after="0" w:line="360" w:lineRule="auto"/>
        <w:rPr>
          <w:color w:val="000000"/>
        </w:rPr>
      </w:pPr>
      <w:r>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8EEFA26" w14:textId="77777777" w:rsidR="00242C54" w:rsidRDefault="00242C54" w:rsidP="004C29B5">
      <w:pPr>
        <w:spacing w:after="0" w:line="360" w:lineRule="auto"/>
        <w:rPr>
          <w:color w:val="000000"/>
        </w:rPr>
      </w:pPr>
    </w:p>
    <w:p w14:paraId="62FF607D" w14:textId="77777777" w:rsidR="00242C54" w:rsidRDefault="00242C54" w:rsidP="004C29B5">
      <w:pPr>
        <w:spacing w:after="0" w:line="360" w:lineRule="auto"/>
        <w:rPr>
          <w:color w:val="000000"/>
        </w:rPr>
      </w:pPr>
      <w:r>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A258FB2" w14:textId="77777777" w:rsidR="00242C54" w:rsidRDefault="00242C54" w:rsidP="004C29B5">
      <w:pPr>
        <w:spacing w:after="0" w:line="360" w:lineRule="auto"/>
        <w:rPr>
          <w:color w:val="000000"/>
        </w:rPr>
      </w:pPr>
    </w:p>
    <w:p w14:paraId="0E069C46" w14:textId="77777777" w:rsidR="00242C54" w:rsidRDefault="00242C54" w:rsidP="004C29B5">
      <w:pPr>
        <w:spacing w:after="0" w:line="360" w:lineRule="auto"/>
        <w:rPr>
          <w:color w:val="000000"/>
        </w:rPr>
      </w:pPr>
      <w:r>
        <w:rPr>
          <w:color w:val="000000"/>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EA5DF9B" w14:textId="77777777" w:rsidR="00242C54" w:rsidRDefault="00242C54" w:rsidP="004C29B5">
      <w:pPr>
        <w:spacing w:after="0" w:line="360" w:lineRule="auto"/>
        <w:rPr>
          <w:color w:val="000000"/>
        </w:rPr>
      </w:pPr>
    </w:p>
    <w:p w14:paraId="2C7FFD4D" w14:textId="77777777" w:rsidR="00242C54" w:rsidRDefault="00242C54" w:rsidP="004C29B5">
      <w:pPr>
        <w:numPr>
          <w:ilvl w:val="0"/>
          <w:numId w:val="12"/>
        </w:numPr>
        <w:spacing w:after="0" w:line="360" w:lineRule="auto"/>
        <w:jc w:val="left"/>
        <w:rPr>
          <w:b/>
          <w:color w:val="000000"/>
        </w:rPr>
      </w:pPr>
      <w:r>
        <w:rPr>
          <w:b/>
          <w:color w:val="000000"/>
        </w:rPr>
        <w:t>Deducciones personales</w:t>
      </w:r>
    </w:p>
    <w:p w14:paraId="45252B18" w14:textId="77777777" w:rsidR="00242C54" w:rsidRDefault="00242C54" w:rsidP="004C29B5">
      <w:pPr>
        <w:spacing w:after="0" w:line="360" w:lineRule="auto"/>
        <w:ind w:left="720"/>
        <w:rPr>
          <w:b/>
          <w:color w:val="000000"/>
        </w:rPr>
      </w:pPr>
    </w:p>
    <w:p w14:paraId="3DF3136E" w14:textId="77777777" w:rsidR="00242C54" w:rsidRDefault="00242C54" w:rsidP="004C29B5">
      <w:pPr>
        <w:spacing w:after="0" w:line="360" w:lineRule="auto"/>
        <w:rPr>
          <w:color w:val="000000"/>
        </w:rPr>
      </w:pPr>
      <w:r>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13D4964" w14:textId="77777777" w:rsidR="00242C54" w:rsidRDefault="00242C54" w:rsidP="004C29B5">
      <w:pPr>
        <w:spacing w:after="0" w:line="360" w:lineRule="auto"/>
        <w:rPr>
          <w:color w:val="000000"/>
        </w:rPr>
      </w:pPr>
    </w:p>
    <w:p w14:paraId="1735406C" w14:textId="77777777" w:rsidR="00242C54" w:rsidRDefault="00242C54" w:rsidP="004C29B5">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70F52076" w14:textId="77777777" w:rsidR="00242C54" w:rsidRDefault="00242C54" w:rsidP="004C29B5">
      <w:pPr>
        <w:spacing w:after="0" w:line="360" w:lineRule="auto"/>
        <w:rPr>
          <w:color w:val="000000"/>
        </w:rPr>
      </w:pPr>
    </w:p>
    <w:p w14:paraId="06EB35AC" w14:textId="77777777" w:rsidR="00242C54" w:rsidRDefault="00242C54" w:rsidP="004C29B5">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876C30E" w14:textId="77777777" w:rsidR="00242C54" w:rsidRDefault="00242C54" w:rsidP="004C29B5">
      <w:pPr>
        <w:spacing w:after="0" w:line="360" w:lineRule="auto"/>
        <w:rPr>
          <w:color w:val="000000"/>
        </w:rPr>
      </w:pPr>
    </w:p>
    <w:p w14:paraId="4F25B312" w14:textId="77777777" w:rsidR="00242C54" w:rsidRDefault="00242C54" w:rsidP="004C29B5">
      <w:pPr>
        <w:spacing w:after="0" w:line="360" w:lineRule="auto"/>
        <w:rPr>
          <w:color w:val="000000"/>
        </w:rPr>
      </w:pPr>
      <w:r>
        <w:rPr>
          <w:color w:val="000000"/>
        </w:rPr>
        <w:t xml:space="preserve">Así, dichas deducciones reflejan el destino que un servidor público da a su patrimonio y, por lo tanto, resulta procedente clasificar dichos datos, en el caso, que obren, en los documentos que </w:t>
      </w:r>
      <w:r>
        <w:rPr>
          <w:color w:val="000000"/>
        </w:rPr>
        <w:lastRenderedPageBreak/>
        <w:t xml:space="preserve">dan cuenta de lo requerido, en términos del artículo 143, fracción I de la Ley de Transparencia y Acceso a la Información Pública del Estado de México y Municipios. </w:t>
      </w:r>
    </w:p>
    <w:p w14:paraId="7453A236" w14:textId="77777777" w:rsidR="00242C54" w:rsidRDefault="00242C54" w:rsidP="004C29B5">
      <w:pPr>
        <w:spacing w:after="0" w:line="360" w:lineRule="auto"/>
        <w:rPr>
          <w:b/>
          <w:color w:val="000000"/>
        </w:rPr>
      </w:pPr>
    </w:p>
    <w:p w14:paraId="4782E84E" w14:textId="77777777" w:rsidR="00242C54" w:rsidRDefault="00242C54" w:rsidP="004C29B5">
      <w:pPr>
        <w:numPr>
          <w:ilvl w:val="0"/>
          <w:numId w:val="12"/>
        </w:numPr>
        <w:spacing w:after="0" w:line="360" w:lineRule="auto"/>
        <w:jc w:val="left"/>
        <w:rPr>
          <w:b/>
          <w:color w:val="000000"/>
        </w:rPr>
      </w:pPr>
      <w:r>
        <w:rPr>
          <w:b/>
          <w:color w:val="000000"/>
        </w:rPr>
        <w:t>Cuenta bancaria de servidores públicos</w:t>
      </w:r>
    </w:p>
    <w:p w14:paraId="0416C764" w14:textId="77777777" w:rsidR="00242C54" w:rsidRDefault="00242C54" w:rsidP="004C29B5">
      <w:pPr>
        <w:spacing w:after="0" w:line="360" w:lineRule="auto"/>
        <w:ind w:left="720"/>
        <w:rPr>
          <w:b/>
          <w:color w:val="000000"/>
        </w:rPr>
      </w:pPr>
    </w:p>
    <w:p w14:paraId="78EBECA4" w14:textId="77777777" w:rsidR="00242C54" w:rsidRDefault="00242C54" w:rsidP="004C29B5">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t>de fondos</w:t>
      </w:r>
      <w:r>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0DE23AF4" w14:textId="77777777" w:rsidR="00242C54" w:rsidRDefault="00242C54" w:rsidP="004C29B5">
      <w:pPr>
        <w:spacing w:after="0" w:line="360" w:lineRule="auto"/>
        <w:rPr>
          <w:color w:val="000000"/>
        </w:rPr>
      </w:pPr>
      <w:r>
        <w:rPr>
          <w:color w:val="000000"/>
        </w:rPr>
        <w:t> </w:t>
      </w:r>
    </w:p>
    <w:p w14:paraId="3AFC615B" w14:textId="77777777" w:rsidR="00242C54" w:rsidRDefault="00242C54" w:rsidP="004C29B5">
      <w:pPr>
        <w:spacing w:after="0" w:line="360" w:lineRule="auto"/>
        <w:rPr>
          <w:color w:val="000000"/>
        </w:rPr>
      </w:pPr>
      <w:r>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7F2FBB2B" w14:textId="77777777" w:rsidR="00242C54" w:rsidRDefault="00242C54" w:rsidP="004C29B5">
      <w:pPr>
        <w:spacing w:after="0" w:line="360" w:lineRule="auto"/>
        <w:rPr>
          <w:color w:val="000000"/>
        </w:rPr>
      </w:pPr>
    </w:p>
    <w:p w14:paraId="652C5C07" w14:textId="77777777" w:rsidR="00242C54" w:rsidRPr="008A39D5" w:rsidRDefault="00242C54" w:rsidP="004C29B5">
      <w:pPr>
        <w:spacing w:after="0" w:line="360" w:lineRule="auto"/>
        <w:ind w:left="567" w:right="567"/>
        <w:rPr>
          <w:i/>
          <w:color w:val="000000"/>
          <w:sz w:val="20"/>
          <w:szCs w:val="20"/>
        </w:rPr>
      </w:pPr>
      <w:r w:rsidRPr="008A39D5">
        <w:rPr>
          <w:i/>
          <w:color w:val="000000"/>
          <w:sz w:val="20"/>
          <w:szCs w:val="20"/>
        </w:rPr>
        <w:t>“</w:t>
      </w:r>
      <w:r w:rsidRPr="008A39D5">
        <w:rPr>
          <w:b/>
          <w:i/>
          <w:color w:val="000000"/>
          <w:sz w:val="20"/>
          <w:szCs w:val="20"/>
        </w:rPr>
        <w:t>Cuentas bancarias y/o CLABE interbancaria de personas físicas y morales privadas.</w:t>
      </w:r>
      <w:r w:rsidRPr="008A39D5">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1D358AC" w14:textId="77777777" w:rsidR="00242C54" w:rsidRDefault="00242C54" w:rsidP="004C29B5">
      <w:pPr>
        <w:spacing w:after="0" w:line="360" w:lineRule="auto"/>
        <w:rPr>
          <w:color w:val="000000"/>
        </w:rPr>
      </w:pPr>
    </w:p>
    <w:p w14:paraId="53FDC069" w14:textId="77777777" w:rsidR="00242C54" w:rsidRDefault="00242C54" w:rsidP="004C29B5">
      <w:pPr>
        <w:spacing w:after="0" w:line="360" w:lineRule="auto"/>
        <w:rPr>
          <w:color w:val="000000"/>
        </w:rPr>
      </w:pPr>
      <w:r>
        <w:rPr>
          <w:color w:val="000000"/>
        </w:rPr>
        <w:lastRenderedPageBreak/>
        <w:t xml:space="preserve">Por lo cual, se puede colegir que dichos datos no guardan relación con el servicio público ni con los recursos públicos, pues </w:t>
      </w:r>
      <w:r>
        <w:t>sólo</w:t>
      </w:r>
      <w:r>
        <w:rPr>
          <w:color w:val="000000"/>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8CB54C9" w14:textId="77777777" w:rsidR="00242C54" w:rsidRDefault="00242C54" w:rsidP="004C29B5">
      <w:pPr>
        <w:spacing w:after="0" w:line="360" w:lineRule="auto"/>
        <w:rPr>
          <w:color w:val="000000"/>
        </w:rPr>
      </w:pPr>
    </w:p>
    <w:p w14:paraId="3B80784A" w14:textId="77777777" w:rsidR="00242C54" w:rsidRDefault="00242C54" w:rsidP="004C29B5">
      <w:pPr>
        <w:numPr>
          <w:ilvl w:val="0"/>
          <w:numId w:val="12"/>
        </w:numPr>
        <w:spacing w:after="0" w:line="360" w:lineRule="auto"/>
        <w:rPr>
          <w:color w:val="000000"/>
        </w:rPr>
      </w:pPr>
      <w:r>
        <w:rPr>
          <w:b/>
          <w:color w:val="000000"/>
        </w:rPr>
        <w:t>Sellos digitales del emisor y del Servicio de Administración Tributaria y cadena original del complemento de certificación digital del órgano previamente señalado</w:t>
      </w:r>
    </w:p>
    <w:p w14:paraId="4A937D7B" w14:textId="77777777" w:rsidR="00242C54" w:rsidRDefault="00242C54" w:rsidP="004C29B5">
      <w:pPr>
        <w:spacing w:after="0" w:line="360" w:lineRule="auto"/>
        <w:rPr>
          <w:color w:val="000000"/>
        </w:rPr>
      </w:pPr>
    </w:p>
    <w:p w14:paraId="1741C648" w14:textId="77777777" w:rsidR="00242C54" w:rsidRDefault="00242C54" w:rsidP="004C29B5">
      <w:pPr>
        <w:spacing w:after="0" w:line="360" w:lineRule="auto"/>
        <w:rPr>
          <w:color w:val="000000"/>
        </w:rPr>
      </w:pPr>
      <w:r>
        <w:rPr>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1606F87" w14:textId="77777777" w:rsidR="00242C54" w:rsidRDefault="00242C54" w:rsidP="004C29B5">
      <w:pPr>
        <w:spacing w:after="0" w:line="360" w:lineRule="auto"/>
        <w:rPr>
          <w:color w:val="000000"/>
        </w:rPr>
      </w:pPr>
      <w:r>
        <w:rPr>
          <w:color w:val="000000"/>
        </w:rPr>
        <w:t> </w:t>
      </w:r>
    </w:p>
    <w:p w14:paraId="7BA370CC" w14:textId="77777777" w:rsidR="00242C54" w:rsidRDefault="00242C54" w:rsidP="004C29B5">
      <w:pPr>
        <w:spacing w:after="0" w:line="360" w:lineRule="auto"/>
        <w:rPr>
          <w:color w:val="000000"/>
        </w:rPr>
      </w:pPr>
      <w:r>
        <w:rPr>
          <w:color w:val="000000"/>
        </w:rPr>
        <w:t>Las cadenas originales y sellos que se agregan a las facturas</w:t>
      </w:r>
      <w:r>
        <w:rPr>
          <w:b/>
          <w:color w:val="000000"/>
        </w:rPr>
        <w:t>,</w:t>
      </w:r>
      <w:r>
        <w:rPr>
          <w:color w:val="000000"/>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482B2B62" w14:textId="77777777" w:rsidR="00242C54" w:rsidRDefault="00242C54" w:rsidP="004C29B5">
      <w:pPr>
        <w:spacing w:after="0" w:line="360" w:lineRule="auto"/>
        <w:rPr>
          <w:color w:val="000000"/>
        </w:rPr>
      </w:pPr>
      <w:r>
        <w:rPr>
          <w:color w:val="000000"/>
        </w:rPr>
        <w:t> </w:t>
      </w:r>
    </w:p>
    <w:p w14:paraId="3B2C3062" w14:textId="77777777" w:rsidR="00242C54" w:rsidRDefault="00242C54" w:rsidP="004C29B5">
      <w:pPr>
        <w:spacing w:after="0" w:line="360" w:lineRule="auto"/>
        <w:ind w:left="567" w:right="539"/>
        <w:rPr>
          <w:i/>
          <w:color w:val="000000"/>
          <w:sz w:val="20"/>
          <w:szCs w:val="20"/>
        </w:rPr>
      </w:pPr>
      <w:r>
        <w:rPr>
          <w:i/>
          <w:color w:val="000000"/>
          <w:sz w:val="20"/>
          <w:szCs w:val="20"/>
        </w:rPr>
        <w:lastRenderedPageBreak/>
        <w:t>“…</w:t>
      </w:r>
    </w:p>
    <w:p w14:paraId="2948FB04" w14:textId="77777777" w:rsidR="00242C54" w:rsidRDefault="00242C54" w:rsidP="004C29B5">
      <w:pPr>
        <w:spacing w:after="0" w:line="360" w:lineRule="auto"/>
        <w:ind w:left="567" w:right="539"/>
        <w:rPr>
          <w:i/>
          <w:color w:val="000000"/>
          <w:sz w:val="20"/>
          <w:szCs w:val="20"/>
        </w:rPr>
      </w:pPr>
      <w:r>
        <w:rPr>
          <w:i/>
          <w:color w:val="000000"/>
          <w:sz w:val="20"/>
          <w:szCs w:val="20"/>
        </w:rPr>
        <w:t>Elementos utilizados en la generación de Sellos Digitales:</w:t>
      </w:r>
    </w:p>
    <w:p w14:paraId="6FD29301" w14:textId="77777777" w:rsidR="00242C54" w:rsidRDefault="00242C54" w:rsidP="004C29B5">
      <w:pPr>
        <w:spacing w:after="0" w:line="360" w:lineRule="auto"/>
        <w:ind w:left="567" w:right="539"/>
        <w:rPr>
          <w:i/>
          <w:color w:val="000000"/>
          <w:sz w:val="20"/>
          <w:szCs w:val="20"/>
        </w:rPr>
      </w:pPr>
      <w:r>
        <w:rPr>
          <w:i/>
          <w:color w:val="000000"/>
          <w:sz w:val="20"/>
          <w:szCs w:val="20"/>
        </w:rPr>
        <w:t>•</w:t>
      </w:r>
      <w:r>
        <w:rPr>
          <w:i/>
          <w:color w:val="000000"/>
          <w:sz w:val="20"/>
          <w:szCs w:val="20"/>
        </w:rPr>
        <w:tab/>
        <w:t>Cadena Original, el elemento a sellar, en este caso de un comprobante fiscal digital a través de Internet.</w:t>
      </w:r>
    </w:p>
    <w:p w14:paraId="7C5E834C" w14:textId="77777777" w:rsidR="00242C54" w:rsidRDefault="00242C54" w:rsidP="004C29B5">
      <w:pPr>
        <w:spacing w:after="0" w:line="360" w:lineRule="auto"/>
        <w:ind w:left="567" w:right="539"/>
        <w:rPr>
          <w:i/>
          <w:color w:val="000000"/>
          <w:sz w:val="20"/>
          <w:szCs w:val="20"/>
        </w:rPr>
      </w:pPr>
      <w:r>
        <w:rPr>
          <w:i/>
          <w:color w:val="000000"/>
          <w:sz w:val="20"/>
          <w:szCs w:val="20"/>
        </w:rPr>
        <w:t>•</w:t>
      </w:r>
      <w:r>
        <w:rPr>
          <w:i/>
          <w:color w:val="000000"/>
          <w:sz w:val="20"/>
          <w:szCs w:val="20"/>
        </w:rPr>
        <w:tab/>
        <w:t>Certificado de Sello Digital y su correspondiente clave privada.</w:t>
      </w:r>
    </w:p>
    <w:p w14:paraId="50DFF737" w14:textId="77777777" w:rsidR="00242C54" w:rsidRDefault="00242C54" w:rsidP="004C29B5">
      <w:pPr>
        <w:spacing w:after="0" w:line="360" w:lineRule="auto"/>
        <w:ind w:left="567" w:right="539"/>
        <w:rPr>
          <w:i/>
          <w:color w:val="000000"/>
          <w:sz w:val="20"/>
          <w:szCs w:val="20"/>
        </w:rPr>
      </w:pPr>
      <w:r>
        <w:rPr>
          <w:i/>
          <w:color w:val="000000"/>
          <w:sz w:val="20"/>
          <w:szCs w:val="20"/>
        </w:rPr>
        <w:t>•</w:t>
      </w:r>
      <w:r>
        <w:rPr>
          <w:i/>
          <w:color w:val="000000"/>
          <w:sz w:val="20"/>
          <w:szCs w:val="20"/>
        </w:rPr>
        <w:tab/>
        <w:t>Algoritmos de criptografía de clave pública para firma electrónica avanzada.</w:t>
      </w:r>
    </w:p>
    <w:p w14:paraId="3B1BD584" w14:textId="77777777" w:rsidR="00242C54" w:rsidRDefault="00242C54" w:rsidP="004C29B5">
      <w:pPr>
        <w:spacing w:after="0" w:line="360" w:lineRule="auto"/>
        <w:ind w:left="567" w:right="539"/>
        <w:rPr>
          <w:i/>
          <w:color w:val="000000"/>
          <w:sz w:val="20"/>
          <w:szCs w:val="20"/>
        </w:rPr>
      </w:pPr>
      <w:r>
        <w:rPr>
          <w:i/>
          <w:color w:val="000000"/>
          <w:sz w:val="20"/>
          <w:szCs w:val="20"/>
        </w:rPr>
        <w:t>•</w:t>
      </w:r>
      <w:r>
        <w:rPr>
          <w:i/>
          <w:color w:val="000000"/>
          <w:sz w:val="20"/>
          <w:szCs w:val="20"/>
        </w:rPr>
        <w:tab/>
        <w:t>Especificaciones de conversión de la firma electrónica avanzada a Base 64.</w:t>
      </w:r>
    </w:p>
    <w:p w14:paraId="35DB0F4E" w14:textId="77777777" w:rsidR="00242C54" w:rsidRDefault="00242C54" w:rsidP="004C29B5">
      <w:pPr>
        <w:spacing w:after="0" w:line="360" w:lineRule="auto"/>
        <w:ind w:left="567" w:right="539"/>
        <w:rPr>
          <w:i/>
          <w:color w:val="000000"/>
          <w:sz w:val="20"/>
          <w:szCs w:val="20"/>
        </w:rPr>
      </w:pPr>
      <w:r>
        <w:rPr>
          <w:i/>
          <w:color w:val="000000"/>
          <w:sz w:val="20"/>
          <w:szCs w:val="20"/>
        </w:rPr>
        <w:t>Para la generación de sellos digitales se utiliza criptografía de clave pública aplicada a una cadena original.</w:t>
      </w:r>
    </w:p>
    <w:p w14:paraId="2FE701D2" w14:textId="77777777" w:rsidR="00242C54" w:rsidRDefault="00242C54" w:rsidP="004C29B5">
      <w:pPr>
        <w:spacing w:after="0" w:line="360" w:lineRule="auto"/>
        <w:ind w:left="567" w:right="539"/>
        <w:rPr>
          <w:i/>
          <w:color w:val="000000"/>
          <w:sz w:val="20"/>
          <w:szCs w:val="20"/>
        </w:rPr>
      </w:pPr>
      <w:r>
        <w:rPr>
          <w:i/>
          <w:color w:val="000000"/>
          <w:sz w:val="20"/>
          <w:szCs w:val="20"/>
        </w:rPr>
        <w:t>Criptografía de la Clave Pública</w:t>
      </w:r>
    </w:p>
    <w:p w14:paraId="4C3DB100" w14:textId="77777777" w:rsidR="00242C54" w:rsidRDefault="00242C54" w:rsidP="004C29B5">
      <w:pPr>
        <w:spacing w:after="0" w:line="360" w:lineRule="auto"/>
        <w:ind w:left="567" w:right="539"/>
        <w:rPr>
          <w:i/>
          <w:color w:val="000000"/>
          <w:sz w:val="20"/>
          <w:szCs w:val="20"/>
        </w:rPr>
      </w:pPr>
      <w:r>
        <w:rPr>
          <w:i/>
          <w:color w:val="000000"/>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5BC336D" w14:textId="77777777" w:rsidR="00242C54" w:rsidRDefault="00242C54" w:rsidP="004C29B5">
      <w:pPr>
        <w:spacing w:after="0" w:line="360" w:lineRule="auto"/>
        <w:ind w:left="567" w:right="539"/>
        <w:rPr>
          <w:i/>
          <w:color w:val="000000"/>
          <w:sz w:val="20"/>
          <w:szCs w:val="20"/>
        </w:rPr>
      </w:pPr>
      <w:r>
        <w:rPr>
          <w:i/>
          <w:color w:val="000000"/>
          <w:sz w:val="20"/>
          <w:szCs w:val="20"/>
        </w:rPr>
        <w:t>…”</w:t>
      </w:r>
    </w:p>
    <w:p w14:paraId="500DC20D" w14:textId="77777777" w:rsidR="00242C54" w:rsidRDefault="00242C54" w:rsidP="004C29B5">
      <w:pPr>
        <w:spacing w:after="0" w:line="360" w:lineRule="auto"/>
        <w:rPr>
          <w:color w:val="000000"/>
        </w:rPr>
      </w:pPr>
      <w:r>
        <w:rPr>
          <w:color w:val="000000"/>
        </w:rPr>
        <w:t> </w:t>
      </w:r>
    </w:p>
    <w:p w14:paraId="3ADA4477" w14:textId="77777777" w:rsidR="00242C54" w:rsidRDefault="00242C54" w:rsidP="004C29B5">
      <w:pPr>
        <w:spacing w:after="0" w:line="360" w:lineRule="auto"/>
        <w:rPr>
          <w:color w:val="000000"/>
        </w:rPr>
      </w:pPr>
      <w:r>
        <w:rPr>
          <w:color w:val="000000"/>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6281579B" w14:textId="77777777" w:rsidR="00242C54" w:rsidRDefault="00242C54" w:rsidP="004C29B5">
      <w:pPr>
        <w:spacing w:after="0" w:line="360" w:lineRule="auto"/>
        <w:rPr>
          <w:color w:val="000000"/>
        </w:rPr>
      </w:pPr>
    </w:p>
    <w:p w14:paraId="170AAF00" w14:textId="77777777" w:rsidR="00242C54" w:rsidRDefault="00242C54" w:rsidP="004C29B5">
      <w:pPr>
        <w:spacing w:after="0" w:line="360" w:lineRule="auto"/>
        <w:rPr>
          <w:color w:val="000000"/>
        </w:rPr>
      </w:pPr>
      <w:r>
        <w:rPr>
          <w:color w:val="000000"/>
        </w:rPr>
        <w:t>Cabe precisar que existen ocasiones que los datos en análisis se conforman de datos personales, como el CURP, RFC, número de seguridad social, entre otros, por lo que, únicamente podrá clasificar las cadenas y sellos digitales, en el caso que se conformen de datos personales confidenciles, en términos del artículo 143, fracción I, de la Ley de Transparencia y Acceso a la Información Pública del Estado de México y Municipios.</w:t>
      </w:r>
    </w:p>
    <w:p w14:paraId="0FE856BD" w14:textId="77777777" w:rsidR="00242C54" w:rsidRDefault="00242C54" w:rsidP="004C29B5">
      <w:pPr>
        <w:spacing w:after="0" w:line="360" w:lineRule="auto"/>
        <w:rPr>
          <w:color w:val="000000"/>
        </w:rPr>
      </w:pPr>
    </w:p>
    <w:p w14:paraId="5F544BED" w14:textId="77777777" w:rsidR="00242C54" w:rsidRDefault="00242C54" w:rsidP="004C29B5">
      <w:pPr>
        <w:tabs>
          <w:tab w:val="left" w:pos="4962"/>
        </w:tabs>
        <w:spacing w:after="0" w:line="360" w:lineRule="auto"/>
      </w:pPr>
      <w:r>
        <w:lastRenderedPageBreak/>
        <w:t>De tal circunstancia, el Sujeto Obligado al entregar la información, deberá tomar en cuenta lo establecido en párrafos anteriores, para que únicamente clasifique aquellos datos que sean confidenciales.</w:t>
      </w:r>
    </w:p>
    <w:p w14:paraId="3FF1B6F0" w14:textId="77777777" w:rsidR="00242C54" w:rsidRDefault="00242C54" w:rsidP="004C29B5">
      <w:pPr>
        <w:pBdr>
          <w:top w:val="nil"/>
          <w:left w:val="nil"/>
          <w:bottom w:val="nil"/>
          <w:right w:val="nil"/>
          <w:between w:val="nil"/>
        </w:pBdr>
        <w:spacing w:after="0" w:line="360" w:lineRule="auto"/>
        <w:ind w:right="-93"/>
        <w:rPr>
          <w:color w:val="000000"/>
          <w:u w:val="single"/>
        </w:rPr>
      </w:pPr>
    </w:p>
    <w:p w14:paraId="3703E7FC" w14:textId="77777777" w:rsidR="00242C54" w:rsidRDefault="00242C54" w:rsidP="004C29B5">
      <w:pPr>
        <w:spacing w:after="0" w:line="360" w:lineRule="auto"/>
      </w:pPr>
      <w:r>
        <w:t>Por otra parte, respecto a la información de la Dirección de Seguridad Pública el Sujeto Obligado se deberá atender lo siguiente:</w:t>
      </w:r>
    </w:p>
    <w:p w14:paraId="2BE77D5F" w14:textId="77777777" w:rsidR="00242C54" w:rsidRDefault="00242C54" w:rsidP="004C29B5">
      <w:pPr>
        <w:spacing w:after="0" w:line="360" w:lineRule="auto"/>
        <w:rPr>
          <w:color w:val="000000"/>
        </w:rPr>
      </w:pPr>
      <w:r>
        <w:br/>
        <w:t>Al respecto, de nombre de las personas servidores públicos la Dirección de Seguridad Pública, el artículo 140, fracción IV, de la Ley de Transparencia y Acceso a la Información Pública del Estado de México y Municipios, homólogo a parte del artículo 113, fracción V de la Ley General de Transparencia y Acceso a la Información Pública, vigente a la fecha de la solicitud, prevé lo siguiente:</w:t>
      </w:r>
    </w:p>
    <w:p w14:paraId="6AC182A5" w14:textId="77777777" w:rsidR="00242C54" w:rsidRDefault="00242C54" w:rsidP="004C29B5">
      <w:pPr>
        <w:tabs>
          <w:tab w:val="left" w:pos="4962"/>
        </w:tabs>
        <w:spacing w:after="0" w:line="360" w:lineRule="auto"/>
        <w:ind w:left="567" w:right="567"/>
        <w:rPr>
          <w:i/>
        </w:rPr>
      </w:pPr>
    </w:p>
    <w:p w14:paraId="1CBDEBAE" w14:textId="77777777" w:rsidR="00242C54" w:rsidRDefault="00242C54" w:rsidP="004C29B5">
      <w:pPr>
        <w:tabs>
          <w:tab w:val="left" w:pos="4962"/>
        </w:tabs>
        <w:spacing w:after="0" w:line="360" w:lineRule="auto"/>
        <w:ind w:left="567" w:right="567"/>
        <w:rPr>
          <w:i/>
          <w:sz w:val="20"/>
          <w:szCs w:val="20"/>
        </w:rPr>
      </w:pPr>
      <w:r>
        <w:rPr>
          <w:i/>
          <w:sz w:val="20"/>
          <w:szCs w:val="20"/>
        </w:rPr>
        <w:t xml:space="preserve"> “</w:t>
      </w: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14:paraId="3D072FBA" w14:textId="77777777" w:rsidR="00242C54" w:rsidRDefault="00242C54" w:rsidP="004C29B5">
      <w:pPr>
        <w:tabs>
          <w:tab w:val="left" w:pos="4962"/>
        </w:tabs>
        <w:spacing w:after="0" w:line="360" w:lineRule="auto"/>
        <w:ind w:left="567" w:right="567"/>
        <w:rPr>
          <w:i/>
          <w:sz w:val="20"/>
          <w:szCs w:val="20"/>
        </w:rPr>
      </w:pPr>
      <w:r>
        <w:rPr>
          <w:i/>
          <w:sz w:val="20"/>
          <w:szCs w:val="20"/>
        </w:rPr>
        <w:t>…</w:t>
      </w:r>
    </w:p>
    <w:p w14:paraId="57BED147" w14:textId="77777777" w:rsidR="00242C54" w:rsidRDefault="00242C54" w:rsidP="004C29B5">
      <w:pPr>
        <w:tabs>
          <w:tab w:val="left" w:pos="4962"/>
        </w:tabs>
        <w:spacing w:after="0" w:line="360" w:lineRule="auto"/>
        <w:ind w:left="567" w:right="567"/>
        <w:rPr>
          <w:i/>
          <w:sz w:val="20"/>
          <w:szCs w:val="20"/>
        </w:rPr>
      </w:pPr>
      <w:r>
        <w:rPr>
          <w:i/>
          <w:sz w:val="20"/>
          <w:szCs w:val="20"/>
        </w:rPr>
        <w:t>IV. Ponga en riesgo la vida, la seguridad o la salud de una persona física;</w:t>
      </w:r>
    </w:p>
    <w:p w14:paraId="4E6F8169" w14:textId="77777777" w:rsidR="00242C54" w:rsidRDefault="00242C54" w:rsidP="004C29B5">
      <w:pPr>
        <w:tabs>
          <w:tab w:val="left" w:pos="4962"/>
        </w:tabs>
        <w:spacing w:after="0" w:line="360" w:lineRule="auto"/>
        <w:ind w:left="567" w:right="567"/>
        <w:rPr>
          <w:i/>
          <w:sz w:val="20"/>
          <w:szCs w:val="20"/>
        </w:rPr>
      </w:pPr>
      <w:r>
        <w:rPr>
          <w:i/>
          <w:sz w:val="20"/>
          <w:szCs w:val="20"/>
        </w:rPr>
        <w:t xml:space="preserve">…” </w:t>
      </w:r>
    </w:p>
    <w:p w14:paraId="26C47336" w14:textId="77777777" w:rsidR="00242C54" w:rsidRDefault="00242C54" w:rsidP="004C29B5">
      <w:pPr>
        <w:spacing w:after="0" w:line="360" w:lineRule="auto"/>
      </w:pPr>
    </w:p>
    <w:p w14:paraId="59849ED4" w14:textId="77777777" w:rsidR="00242C54" w:rsidRDefault="00242C54" w:rsidP="004C29B5">
      <w:pPr>
        <w:spacing w:after="0" w:line="360" w:lineRule="auto"/>
      </w:pPr>
      <w: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4FCE1E68" w14:textId="77777777" w:rsidR="00242C54" w:rsidRDefault="00242C54" w:rsidP="004C29B5">
      <w:pPr>
        <w:spacing w:after="0" w:line="360" w:lineRule="auto"/>
      </w:pPr>
    </w:p>
    <w:p w14:paraId="31714B22" w14:textId="77777777" w:rsidR="00242C54" w:rsidRDefault="00242C54" w:rsidP="004C29B5">
      <w:pPr>
        <w:spacing w:after="0" w:line="360" w:lineRule="auto"/>
        <w:ind w:left="567" w:right="567"/>
        <w:rPr>
          <w:i/>
          <w:sz w:val="20"/>
          <w:szCs w:val="20"/>
        </w:rPr>
      </w:pPr>
      <w:r>
        <w:rPr>
          <w:b/>
          <w:i/>
          <w:sz w:val="20"/>
          <w:szCs w:val="20"/>
        </w:rPr>
        <w:t xml:space="preserve">“Vigésimo tercero. </w:t>
      </w:r>
      <w:r>
        <w:rPr>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625C188A" w14:textId="77777777" w:rsidR="00242C54" w:rsidRDefault="00242C54" w:rsidP="004C29B5">
      <w:pPr>
        <w:spacing w:after="0" w:line="360" w:lineRule="auto"/>
        <w:ind w:left="567" w:right="567"/>
        <w:rPr>
          <w:i/>
        </w:rPr>
      </w:pPr>
    </w:p>
    <w:p w14:paraId="02264106" w14:textId="77777777" w:rsidR="00242C54" w:rsidRDefault="00242C54" w:rsidP="004C29B5">
      <w:pPr>
        <w:spacing w:after="0" w:line="360" w:lineRule="auto"/>
        <w:rPr>
          <w:b/>
        </w:rPr>
      </w:pPr>
      <w: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10994352" w14:textId="77777777" w:rsidR="00242C54" w:rsidRDefault="00242C54" w:rsidP="004C29B5">
      <w:pPr>
        <w:spacing w:after="0" w:line="360" w:lineRule="auto"/>
      </w:pPr>
    </w:p>
    <w:p w14:paraId="62B866D9" w14:textId="77777777" w:rsidR="00242C54" w:rsidRDefault="00242C54" w:rsidP="004C29B5">
      <w:pPr>
        <w:spacing w:after="0" w:line="360" w:lineRule="auto"/>
      </w:pPr>
      <w:r>
        <w:t>Además, el artículo 81, fracción III, de la Ley de Seguridad del Estado de México, establece lo siguiente:</w:t>
      </w:r>
    </w:p>
    <w:p w14:paraId="574E7D4E" w14:textId="77777777" w:rsidR="00242C54" w:rsidRDefault="00242C54" w:rsidP="004C29B5">
      <w:pPr>
        <w:spacing w:after="0" w:line="360" w:lineRule="auto"/>
      </w:pPr>
    </w:p>
    <w:p w14:paraId="7929F771" w14:textId="77777777" w:rsidR="00242C54" w:rsidRDefault="00242C54" w:rsidP="004C29B5">
      <w:pPr>
        <w:spacing w:after="0" w:line="360" w:lineRule="auto"/>
        <w:ind w:left="567" w:right="567"/>
        <w:rPr>
          <w:i/>
          <w:sz w:val="20"/>
          <w:szCs w:val="20"/>
        </w:rPr>
      </w:pPr>
      <w:r>
        <w:rPr>
          <w:b/>
          <w:i/>
          <w:sz w:val="20"/>
          <w:szCs w:val="20"/>
        </w:rPr>
        <w:t>“Artículo 81.-</w:t>
      </w:r>
      <w:r>
        <w:rPr>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A06AFA6" w14:textId="77777777" w:rsidR="00242C54" w:rsidRDefault="00242C54" w:rsidP="004C29B5">
      <w:pPr>
        <w:spacing w:after="0" w:line="360" w:lineRule="auto"/>
        <w:ind w:left="567" w:right="567"/>
        <w:rPr>
          <w:i/>
          <w:sz w:val="20"/>
          <w:szCs w:val="20"/>
        </w:rPr>
      </w:pPr>
      <w:r>
        <w:rPr>
          <w:i/>
          <w:sz w:val="20"/>
          <w:szCs w:val="20"/>
        </w:rPr>
        <w:t>…</w:t>
      </w:r>
    </w:p>
    <w:p w14:paraId="4D8D480C" w14:textId="77777777" w:rsidR="00242C54" w:rsidRDefault="00242C54" w:rsidP="004C29B5">
      <w:pPr>
        <w:spacing w:after="0" w:line="360" w:lineRule="auto"/>
        <w:ind w:left="567" w:right="567"/>
        <w:rPr>
          <w:i/>
          <w:sz w:val="20"/>
          <w:szCs w:val="20"/>
        </w:rPr>
      </w:pPr>
      <w:r>
        <w:rPr>
          <w:i/>
          <w:sz w:val="20"/>
          <w:szCs w:val="20"/>
        </w:rPr>
        <w:t>III. La relativa a los servidores públicos integrantes de las instituciones de seguridad pública, cuya revelación pueda poner en riesgo su vida e integridad física con motivo de sus funciones;</w:t>
      </w:r>
    </w:p>
    <w:p w14:paraId="4011DEE8" w14:textId="77777777" w:rsidR="00242C54" w:rsidRDefault="00242C54" w:rsidP="004C29B5">
      <w:pPr>
        <w:spacing w:after="0" w:line="360" w:lineRule="auto"/>
        <w:ind w:left="567" w:right="567"/>
        <w:rPr>
          <w:i/>
          <w:sz w:val="20"/>
          <w:szCs w:val="20"/>
        </w:rPr>
      </w:pPr>
      <w:r>
        <w:rPr>
          <w:i/>
          <w:sz w:val="20"/>
          <w:szCs w:val="20"/>
        </w:rPr>
        <w:t>…”</w:t>
      </w:r>
    </w:p>
    <w:p w14:paraId="08A14F5D" w14:textId="77777777" w:rsidR="00242C54" w:rsidRDefault="00242C54" w:rsidP="004C29B5">
      <w:pPr>
        <w:spacing w:after="0" w:line="360" w:lineRule="auto"/>
      </w:pPr>
    </w:p>
    <w:p w14:paraId="2F6E5789" w14:textId="77777777" w:rsidR="00242C54" w:rsidRDefault="00242C54" w:rsidP="004C29B5">
      <w:pPr>
        <w:spacing w:after="0" w:line="360" w:lineRule="auto"/>
      </w:pPr>
      <w: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3720F7D0" w14:textId="77777777" w:rsidR="00242C54" w:rsidRDefault="00242C54" w:rsidP="004C29B5">
      <w:pPr>
        <w:spacing w:after="0" w:line="360" w:lineRule="auto"/>
        <w:rPr>
          <w:color w:val="000000"/>
        </w:rPr>
      </w:pPr>
    </w:p>
    <w:p w14:paraId="06CFC6A0" w14:textId="77777777" w:rsidR="00242C54" w:rsidRDefault="00242C54" w:rsidP="004C29B5">
      <w:pPr>
        <w:spacing w:after="0" w:line="360" w:lineRule="auto"/>
      </w:pPr>
      <w: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6C03965A" w14:textId="77777777" w:rsidR="00242C54" w:rsidRDefault="00242C54" w:rsidP="004C29B5">
      <w:pPr>
        <w:spacing w:after="0" w:line="360" w:lineRule="auto"/>
      </w:pPr>
    </w:p>
    <w:p w14:paraId="60ABFDAB" w14:textId="77777777" w:rsidR="00242C54" w:rsidRDefault="00242C54" w:rsidP="004C29B5">
      <w:pPr>
        <w:spacing w:after="0" w:line="360" w:lineRule="auto"/>
      </w:pPr>
      <w:r>
        <w:lastRenderedPageBreak/>
        <w:t xml:space="preserve">No obstante, resulta necesario traer a colación por analogía, el </w:t>
      </w:r>
      <w:r>
        <w:rPr>
          <w:color w:val="000000"/>
        </w:rPr>
        <w:t xml:space="preserve">Criterio Orientador, con número de registro SO/006/2009, de la Primera Época, </w:t>
      </w:r>
      <w:r>
        <w:t>emitido por el entonces Instituto Federal de Acceso a la Información y Protección de Datos ahora Instituto Nacional de Transparencia, Acceso a la Información y Protección de Datos Personales, vigente a la fecha de la solicitud, que establece lo siguiente:</w:t>
      </w:r>
    </w:p>
    <w:p w14:paraId="412F7671" w14:textId="77777777" w:rsidR="00242C54" w:rsidRDefault="00242C54" w:rsidP="004C29B5">
      <w:pPr>
        <w:spacing w:after="0" w:line="360" w:lineRule="auto"/>
      </w:pPr>
    </w:p>
    <w:p w14:paraId="54DFA76A" w14:textId="77777777" w:rsidR="00242C54" w:rsidRDefault="00242C54" w:rsidP="004C29B5">
      <w:pPr>
        <w:tabs>
          <w:tab w:val="left" w:pos="4962"/>
        </w:tabs>
        <w:spacing w:after="0" w:line="360" w:lineRule="auto"/>
        <w:ind w:left="567" w:right="709"/>
        <w:rPr>
          <w:i/>
          <w:sz w:val="20"/>
          <w:szCs w:val="20"/>
        </w:rPr>
      </w:pPr>
      <w:r>
        <w:rPr>
          <w:b/>
          <w:i/>
          <w:sz w:val="20"/>
          <w:szCs w:val="20"/>
        </w:rPr>
        <w:t>“Nombres de servidores públicos dedicados a actividades en materia de seguridad, por excepción pueden considerarse información reservada.</w:t>
      </w:r>
      <w:r>
        <w:rPr>
          <w:i/>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3266999" w14:textId="77777777" w:rsidR="00242C54" w:rsidRDefault="00242C54" w:rsidP="004C29B5">
      <w:pPr>
        <w:spacing w:after="0" w:line="360" w:lineRule="auto"/>
      </w:pPr>
    </w:p>
    <w:p w14:paraId="13ADCF21" w14:textId="77777777" w:rsidR="00242C54" w:rsidRDefault="00242C54" w:rsidP="004C29B5">
      <w:pPr>
        <w:spacing w:after="0" w:line="360" w:lineRule="auto"/>
      </w:pPr>
      <w: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w:t>
      </w:r>
      <w:r>
        <w:lastRenderedPageBreak/>
        <w:t>que, una forma en que la delincuencia puede llegar a poner en riesgo la seguridad del País, Estado y Municipio, anulando, impidiendo u obstaculizando la actuación de los servidores públicos que realizan funciones de carácter operativo.</w:t>
      </w:r>
    </w:p>
    <w:p w14:paraId="0DEFCF7A" w14:textId="77777777" w:rsidR="00242C54" w:rsidRDefault="00242C54" w:rsidP="004C29B5">
      <w:pPr>
        <w:spacing w:after="0" w:line="360" w:lineRule="auto"/>
      </w:pPr>
    </w:p>
    <w:p w14:paraId="43F72E6C" w14:textId="77777777" w:rsidR="00242C54" w:rsidRDefault="00242C54" w:rsidP="004C29B5">
      <w:pPr>
        <w:spacing w:after="0" w:line="360" w:lineRule="auto"/>
        <w:rPr>
          <w:color w:val="000000"/>
        </w:rPr>
      </w:pPr>
      <w:r>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7CBCBA6D" w14:textId="77777777" w:rsidR="00242C54" w:rsidRDefault="00242C54" w:rsidP="004C29B5">
      <w:pPr>
        <w:spacing w:after="0" w:line="360" w:lineRule="auto"/>
      </w:pPr>
    </w:p>
    <w:p w14:paraId="6F48D597" w14:textId="77777777" w:rsidR="00242C54" w:rsidRDefault="00242C54" w:rsidP="004C29B5">
      <w:pPr>
        <w:spacing w:after="0" w:line="360" w:lineRule="auto"/>
      </w:pPr>
      <w:r>
        <w:t xml:space="preserve">En ese orden de ideas, si bien por regla general los nombres de los trabajadores gubernamentales son información pública de oficio, existe una excepción relativa a </w:t>
      </w:r>
      <w:r>
        <w:rPr>
          <w:b/>
        </w:rPr>
        <w:t>aquellos que realicen actividades operativas en materia de seguridad,</w:t>
      </w:r>
      <w:r>
        <w:t xml:space="preserve"> como es el caso de los elementos operativos y la policía municipal.</w:t>
      </w:r>
    </w:p>
    <w:p w14:paraId="5836F492" w14:textId="77777777" w:rsidR="00242C54" w:rsidRDefault="00242C54" w:rsidP="004C29B5">
      <w:pPr>
        <w:spacing w:after="0" w:line="360" w:lineRule="auto"/>
      </w:pPr>
    </w:p>
    <w:p w14:paraId="4F516279" w14:textId="77777777" w:rsidR="00242C54" w:rsidRDefault="00242C54" w:rsidP="004C29B5">
      <w:pPr>
        <w:spacing w:after="0" w:line="360" w:lineRule="auto"/>
      </w:pPr>
      <w: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03BA935" w14:textId="77777777" w:rsidR="00242C54" w:rsidRDefault="00242C54" w:rsidP="004C29B5">
      <w:pPr>
        <w:spacing w:after="0" w:line="360" w:lineRule="auto"/>
      </w:pPr>
    </w:p>
    <w:p w14:paraId="0BD7034A" w14:textId="77777777" w:rsidR="00242C54" w:rsidRDefault="00242C54" w:rsidP="004C29B5">
      <w:pPr>
        <w:spacing w:after="0" w:line="360" w:lineRule="auto"/>
      </w:pPr>
      <w:r>
        <w:t>En ese contexto, el artículo 6°, fracciones XI y XII de dicho ordenamiento jurídico, establece los siguientes conceptos:</w:t>
      </w:r>
    </w:p>
    <w:p w14:paraId="52A5E7BA" w14:textId="77777777" w:rsidR="00242C54" w:rsidRDefault="00242C54" w:rsidP="004C29B5">
      <w:pPr>
        <w:spacing w:after="0" w:line="360" w:lineRule="auto"/>
      </w:pPr>
    </w:p>
    <w:p w14:paraId="41B7BB7A" w14:textId="77777777" w:rsidR="00242C54" w:rsidRDefault="00242C54" w:rsidP="004C29B5">
      <w:pPr>
        <w:numPr>
          <w:ilvl w:val="0"/>
          <w:numId w:val="7"/>
        </w:numPr>
        <w:spacing w:after="0" w:line="360" w:lineRule="auto"/>
        <w:jc w:val="left"/>
        <w:rPr>
          <w:b/>
        </w:rPr>
      </w:pPr>
      <w:r>
        <w:rPr>
          <w:b/>
        </w:rPr>
        <w:t xml:space="preserve">Instituciones Policiales: </w:t>
      </w:r>
      <w:r>
        <w:t xml:space="preserve">Son los cuerpos de policía, de vigilancia y custodia de los establecimientos penitenciarios, detención preventiva, centros de arraigo y en general, </w:t>
      </w:r>
      <w:r>
        <w:rPr>
          <w:b/>
        </w:rPr>
        <w:lastRenderedPageBreak/>
        <w:t>todas las dependencias encargadas de la seguridad pública a nivel</w:t>
      </w:r>
      <w:r>
        <w:t xml:space="preserve"> estatal y </w:t>
      </w:r>
      <w:r>
        <w:rPr>
          <w:b/>
        </w:rPr>
        <w:t>municipal.</w:t>
      </w:r>
    </w:p>
    <w:p w14:paraId="40A01DF9" w14:textId="77777777" w:rsidR="00242C54" w:rsidRDefault="00242C54" w:rsidP="004C29B5">
      <w:pPr>
        <w:spacing w:after="0" w:line="360" w:lineRule="auto"/>
        <w:ind w:left="720"/>
      </w:pPr>
    </w:p>
    <w:p w14:paraId="59AAAD73" w14:textId="77777777" w:rsidR="00242C54" w:rsidRDefault="00242C54" w:rsidP="004C29B5">
      <w:pPr>
        <w:numPr>
          <w:ilvl w:val="0"/>
          <w:numId w:val="7"/>
        </w:numPr>
        <w:spacing w:after="0" w:line="360" w:lineRule="auto"/>
        <w:jc w:val="left"/>
        <w:rPr>
          <w:b/>
        </w:rPr>
      </w:pPr>
      <w:r>
        <w:rPr>
          <w:b/>
        </w:rPr>
        <w:t xml:space="preserve">Instituciones de Seguridad Pública: </w:t>
      </w:r>
      <w:r>
        <w:t xml:space="preserve">Instituciones Policiales, Procuración de Justicia, Sistema Penitenciario y </w:t>
      </w:r>
      <w:r>
        <w:rPr>
          <w:b/>
        </w:rPr>
        <w:t xml:space="preserve">dependencias encargadas de la seguridad pública a nivel </w:t>
      </w:r>
      <w:r>
        <w:t xml:space="preserve">estatal y </w:t>
      </w:r>
      <w:r>
        <w:rPr>
          <w:b/>
        </w:rPr>
        <w:t>municipal.</w:t>
      </w:r>
    </w:p>
    <w:p w14:paraId="03CD065F" w14:textId="77777777" w:rsidR="00242C54" w:rsidRDefault="00242C54" w:rsidP="004C29B5">
      <w:pPr>
        <w:spacing w:after="0" w:line="360" w:lineRule="auto"/>
        <w:rPr>
          <w:b/>
        </w:rPr>
      </w:pPr>
    </w:p>
    <w:p w14:paraId="6B7A2C12" w14:textId="77777777" w:rsidR="00242C54" w:rsidRDefault="00242C54" w:rsidP="004C29B5">
      <w:pPr>
        <w:spacing w:after="0" w:line="360" w:lineRule="auto"/>
      </w:pPr>
      <w:r>
        <w:t>Conforme a lo anterior, se puede deducir que la</w:t>
      </w:r>
      <w:r>
        <w:rPr>
          <w:color w:val="000000"/>
        </w:rPr>
        <w:t xml:space="preserve"> Dirección de Seguridad Pública</w:t>
      </w:r>
      <w:r>
        <w:t>, es una institución de seguridad pública, pues tiene como atribución principal, la prevención de delitos y proteger a las personas, sus propiedades, posesiones y derechos.</w:t>
      </w:r>
    </w:p>
    <w:p w14:paraId="48F9AC45" w14:textId="77777777" w:rsidR="00242C54" w:rsidRDefault="00242C54" w:rsidP="004C29B5">
      <w:pPr>
        <w:spacing w:after="0" w:line="360" w:lineRule="auto"/>
      </w:pPr>
    </w:p>
    <w:p w14:paraId="2D52A51D" w14:textId="77777777" w:rsidR="00242C54" w:rsidRDefault="00242C54" w:rsidP="004C29B5">
      <w:pPr>
        <w:tabs>
          <w:tab w:val="left" w:pos="4962"/>
        </w:tabs>
        <w:spacing w:after="0" w:line="360" w:lineRule="auto"/>
        <w:ind w:right="-28"/>
      </w:pPr>
      <w: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(policiales, especializadas o equivalentes y que no </w:t>
      </w:r>
      <w:r>
        <w:rPr>
          <w:b/>
        </w:rPr>
        <w:t>desempeña funciones de mando</w:t>
      </w:r>
      <w:r>
        <w:t xml:space="preserve">), entre los cuales, se encuentra </w:t>
      </w:r>
      <w:r>
        <w:rPr>
          <w:b/>
        </w:rPr>
        <w:t>la Policía Municipal</w:t>
      </w:r>
      <w:r>
        <w:t>.</w:t>
      </w:r>
    </w:p>
    <w:p w14:paraId="56951F67" w14:textId="77777777" w:rsidR="00242C54" w:rsidRDefault="00242C54" w:rsidP="004C29B5">
      <w:pPr>
        <w:tabs>
          <w:tab w:val="left" w:pos="4962"/>
        </w:tabs>
        <w:spacing w:after="0" w:line="360" w:lineRule="auto"/>
        <w:ind w:right="-28"/>
      </w:pPr>
    </w:p>
    <w:p w14:paraId="31E29267" w14:textId="77777777" w:rsidR="00242C54" w:rsidRDefault="00242C54" w:rsidP="004C29B5">
      <w:pPr>
        <w:tabs>
          <w:tab w:val="left" w:pos="4962"/>
        </w:tabs>
        <w:spacing w:after="0" w:line="360" w:lineRule="auto"/>
        <w:ind w:right="-28"/>
      </w:pPr>
      <w:r>
        <w:t xml:space="preserve">Asimismo, se advierte que las Instituciones Policiales, se conforman del personal </w:t>
      </w:r>
      <w:r>
        <w:rPr>
          <w:b/>
        </w:rPr>
        <w:t>administrativo,</w:t>
      </w:r>
      <w:r>
        <w:t xml:space="preserve"> que son los trabajadores de apoyo (chofer, personal de mantenimiento, servicios generales y área secretaría); </w:t>
      </w:r>
      <w:r>
        <w:rPr>
          <w:b/>
        </w:rPr>
        <w:t>así como, el personal de mando</w:t>
      </w:r>
      <w:r>
        <w:t xml:space="preserve"> (alto, medio y superior), que es aquel que realiza funciones de dirección, coordinación y supervisión, por lo cual, corresponde a aquel que tenga trabajadores a su cargo.</w:t>
      </w:r>
    </w:p>
    <w:p w14:paraId="5C17470B" w14:textId="77777777" w:rsidR="00242C54" w:rsidRDefault="00242C54" w:rsidP="004C29B5">
      <w:pPr>
        <w:spacing w:after="0" w:line="360" w:lineRule="auto"/>
      </w:pPr>
    </w:p>
    <w:p w14:paraId="040D51BC" w14:textId="77777777" w:rsidR="00242C54" w:rsidRDefault="00242C54" w:rsidP="004C29B5">
      <w:pPr>
        <w:spacing w:after="0" w:line="360" w:lineRule="auto"/>
      </w:pPr>
      <w: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w:t>
      </w:r>
      <w:r>
        <w:lastRenderedPageBreak/>
        <w:t>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E053985" w14:textId="77777777" w:rsidR="00242C54" w:rsidRDefault="00242C54" w:rsidP="004C29B5">
      <w:pPr>
        <w:spacing w:after="0" w:line="360" w:lineRule="auto"/>
      </w:pPr>
    </w:p>
    <w:p w14:paraId="797C5AD6" w14:textId="77777777" w:rsidR="00242C54" w:rsidRDefault="00242C54" w:rsidP="004C29B5">
      <w:pPr>
        <w:spacing w:after="0" w:line="360" w:lineRule="auto"/>
      </w:pPr>
      <w:r>
        <w:t xml:space="preserve">Sin embargo, por lo que hace al </w:t>
      </w:r>
      <w:r>
        <w:rPr>
          <w:b/>
        </w:rPr>
        <w:t>personal administrativo y los mandos medios y superiores</w:t>
      </w:r>
      <w: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32B5B46F" w14:textId="77777777" w:rsidR="00242C54" w:rsidRDefault="00242C54" w:rsidP="004C29B5">
      <w:pPr>
        <w:spacing w:after="0" w:line="360" w:lineRule="auto"/>
      </w:pPr>
    </w:p>
    <w:p w14:paraId="7FD7E75A" w14:textId="77777777" w:rsidR="00242C54" w:rsidRDefault="00242C54" w:rsidP="004C29B5">
      <w:pPr>
        <w:spacing w:after="0" w:line="360" w:lineRule="auto"/>
      </w:pPr>
      <w: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8D37084" w14:textId="77777777" w:rsidR="00242C54" w:rsidRDefault="00242C54" w:rsidP="004C29B5">
      <w:pPr>
        <w:spacing w:after="0" w:line="360" w:lineRule="auto"/>
      </w:pPr>
    </w:p>
    <w:p w14:paraId="02904582" w14:textId="77777777" w:rsidR="00242C54" w:rsidRDefault="00242C54" w:rsidP="004C29B5">
      <w:pPr>
        <w:spacing w:after="0" w:line="360" w:lineRule="auto"/>
      </w:pPr>
      <w: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73C73FA0" w14:textId="77777777" w:rsidR="00242C54" w:rsidRDefault="00242C54" w:rsidP="004C29B5">
      <w:pPr>
        <w:spacing w:after="0" w:line="360" w:lineRule="auto"/>
      </w:pPr>
    </w:p>
    <w:p w14:paraId="3DE0CE32" w14:textId="77777777" w:rsidR="00242C54" w:rsidRDefault="00242C54" w:rsidP="004C29B5">
      <w:pPr>
        <w:spacing w:after="0" w:line="360" w:lineRule="auto"/>
      </w:pPr>
      <w:r>
        <w:lastRenderedPageBreak/>
        <w:t xml:space="preserve">Por tales consideraciones, </w:t>
      </w:r>
      <w:r>
        <w:rPr>
          <w:b/>
        </w:rPr>
        <w:t>resulta procedente la reserva del nombre de los elementos operativos adscritos a la</w:t>
      </w:r>
      <w:r>
        <w:rPr>
          <w:b/>
          <w:color w:val="000000"/>
        </w:rPr>
        <w:t xml:space="preserve"> Dirección de Seguridad Pública</w:t>
      </w:r>
      <w:r>
        <w:rPr>
          <w:b/>
        </w:rPr>
        <w:t>, en términos del artículo 140, fracción IV, de la Ley de Transparencia y Acceso a la Información Pública del Estado de México y Municipios. No obstante, no podrá clasificar al personal administrativo, ni los mandos medios o superiores de dicha área.</w:t>
      </w:r>
    </w:p>
    <w:p w14:paraId="74532250" w14:textId="77777777" w:rsidR="00242C54" w:rsidRDefault="00242C54" w:rsidP="004C29B5">
      <w:pPr>
        <w:spacing w:after="0" w:line="360" w:lineRule="auto"/>
        <w:rPr>
          <w:b/>
        </w:rPr>
      </w:pPr>
    </w:p>
    <w:p w14:paraId="34584236" w14:textId="77777777" w:rsidR="00242C54" w:rsidRDefault="00242C54" w:rsidP="004C29B5">
      <w:pPr>
        <w:tabs>
          <w:tab w:val="left" w:pos="4962"/>
        </w:tabs>
        <w:spacing w:after="0" w:line="360" w:lineRule="auto"/>
      </w:pPr>
      <w: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8F0E1DE" w14:textId="77777777" w:rsidR="00242C54" w:rsidRDefault="00242C54" w:rsidP="004C29B5">
      <w:pPr>
        <w:tabs>
          <w:tab w:val="left" w:pos="4962"/>
        </w:tabs>
        <w:spacing w:after="0" w:line="360" w:lineRule="auto"/>
      </w:pPr>
    </w:p>
    <w:p w14:paraId="0C15C9BC" w14:textId="77777777" w:rsidR="00242C54" w:rsidRDefault="00242C54" w:rsidP="004C29B5">
      <w:pPr>
        <w:numPr>
          <w:ilvl w:val="0"/>
          <w:numId w:val="6"/>
        </w:numPr>
        <w:tabs>
          <w:tab w:val="left" w:pos="4962"/>
        </w:tabs>
        <w:spacing w:after="0" w:line="360" w:lineRule="auto"/>
        <w:ind w:left="709" w:hanging="436"/>
      </w:pPr>
      <w:r>
        <w:t>La divulgación de la información representa un riesgo real, demostrable e identificable de perjuicio significativo al interés público o a la seguridad nacional.</w:t>
      </w:r>
    </w:p>
    <w:p w14:paraId="3AE8DABC" w14:textId="77777777" w:rsidR="00242C54" w:rsidRDefault="00242C54" w:rsidP="004C29B5">
      <w:pPr>
        <w:tabs>
          <w:tab w:val="left" w:pos="4962"/>
        </w:tabs>
        <w:spacing w:after="0" w:line="360" w:lineRule="auto"/>
        <w:ind w:left="709"/>
      </w:pPr>
    </w:p>
    <w:p w14:paraId="121C22EF" w14:textId="77777777" w:rsidR="00242C54" w:rsidRDefault="00242C54" w:rsidP="004C29B5">
      <w:pPr>
        <w:numPr>
          <w:ilvl w:val="0"/>
          <w:numId w:val="6"/>
        </w:numPr>
        <w:tabs>
          <w:tab w:val="left" w:pos="4962"/>
        </w:tabs>
        <w:spacing w:after="0" w:line="360" w:lineRule="auto"/>
        <w:ind w:left="709" w:hanging="436"/>
        <w:jc w:val="left"/>
      </w:pPr>
      <w:r>
        <w:t>El riesgo de perjuicio supera el interés público general de que se difunda.</w:t>
      </w:r>
    </w:p>
    <w:p w14:paraId="5C74ECFC" w14:textId="77777777" w:rsidR="00242C54" w:rsidRDefault="00242C54" w:rsidP="004C29B5">
      <w:pPr>
        <w:pBdr>
          <w:top w:val="nil"/>
          <w:left w:val="nil"/>
          <w:bottom w:val="nil"/>
          <w:right w:val="nil"/>
          <w:between w:val="nil"/>
        </w:pBdr>
        <w:spacing w:after="0" w:line="360" w:lineRule="auto"/>
        <w:ind w:left="720"/>
        <w:rPr>
          <w:color w:val="000000"/>
        </w:rPr>
      </w:pPr>
    </w:p>
    <w:p w14:paraId="0CB4684D" w14:textId="77777777" w:rsidR="00242C54" w:rsidRDefault="00242C54" w:rsidP="004C29B5">
      <w:pPr>
        <w:numPr>
          <w:ilvl w:val="0"/>
          <w:numId w:val="6"/>
        </w:numPr>
        <w:tabs>
          <w:tab w:val="left" w:pos="4962"/>
        </w:tabs>
        <w:spacing w:after="0" w:line="360" w:lineRule="auto"/>
        <w:ind w:left="709" w:hanging="436"/>
        <w:jc w:val="left"/>
      </w:pPr>
      <w:r>
        <w:t>Que la limitación se adecua al principio de proporcionalidad y representa el medio menos restrictivo disponible para evitar el perjuicio.</w:t>
      </w:r>
    </w:p>
    <w:p w14:paraId="001202E8" w14:textId="77777777" w:rsidR="00242C54" w:rsidRDefault="00242C54" w:rsidP="004C29B5">
      <w:pPr>
        <w:spacing w:after="0" w:line="360" w:lineRule="auto"/>
        <w:jc w:val="left"/>
      </w:pPr>
    </w:p>
    <w:p w14:paraId="4E0622D9" w14:textId="77777777" w:rsidR="00242C54" w:rsidRDefault="00242C54" w:rsidP="004C29B5">
      <w:pPr>
        <w:spacing w:after="0" w:line="360" w:lineRule="auto"/>
      </w:pPr>
      <w:r>
        <w:t>Además, el artículo 125 de la Ley de la materia, establece que la información clasificada como reservada según el artículo 140 de la Ley de Transparencia y Acceso a la Información Pública del Estado de México y Municipios, podrá permanecer con tal carácter hasta</w:t>
      </w:r>
      <w:r w:rsidR="000E4DD6">
        <w:t xml:space="preserve"> por un periodo de cinco años; P</w:t>
      </w:r>
      <w:r>
        <w:t>or lo que, en las versiones públicas, deberá clasificar el nombre de los elementos operativos de la</w:t>
      </w:r>
      <w:r>
        <w:rPr>
          <w:color w:val="000000"/>
        </w:rPr>
        <w:t xml:space="preserve"> Dirección de Seguridad Pública</w:t>
      </w:r>
      <w:r>
        <w:t>, de manera fundada y motivada, mediante la respectiva prueba de daño, y deberá proporcionar la información del personal administrativo y mandos medios y superiores de dicha área.</w:t>
      </w:r>
    </w:p>
    <w:p w14:paraId="5C73AAE2" w14:textId="77777777" w:rsidR="00242C54" w:rsidRDefault="00242C54" w:rsidP="004C29B5">
      <w:pPr>
        <w:tabs>
          <w:tab w:val="center" w:pos="4522"/>
        </w:tabs>
        <w:spacing w:after="0" w:line="360" w:lineRule="auto"/>
        <w:rPr>
          <w:color w:val="000000"/>
        </w:rPr>
      </w:pPr>
    </w:p>
    <w:p w14:paraId="5C6F9596" w14:textId="77777777" w:rsidR="00242C54" w:rsidRDefault="00242C54" w:rsidP="004C29B5">
      <w:pPr>
        <w:spacing w:after="0" w:line="360" w:lineRule="auto"/>
        <w:ind w:right="-28"/>
        <w:rPr>
          <w:color w:val="000000"/>
        </w:rPr>
      </w:pPr>
      <w:r>
        <w:lastRenderedPageBreak/>
        <w:t>Por lo que, para atender el requerimiento deberá proporcionar los documentos solicitados en versión pública; p</w:t>
      </w:r>
      <w:r>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3FCA9480" w14:textId="77777777" w:rsidR="0055733F" w:rsidRDefault="0055733F" w:rsidP="004C29B5">
      <w:pPr>
        <w:tabs>
          <w:tab w:val="center" w:pos="4522"/>
        </w:tabs>
        <w:spacing w:after="0" w:line="360" w:lineRule="auto"/>
      </w:pPr>
    </w:p>
    <w:p w14:paraId="59AFD9C0" w14:textId="77777777" w:rsidR="00242C54" w:rsidRDefault="00242C54" w:rsidP="004C29B5">
      <w:pPr>
        <w:tabs>
          <w:tab w:val="center" w:pos="4522"/>
        </w:tabs>
        <w:spacing w:after="0" w:line="360" w:lineRule="auto"/>
      </w:pPr>
    </w:p>
    <w:p w14:paraId="4A418021" w14:textId="77777777" w:rsidR="001359FA" w:rsidRDefault="00924A65" w:rsidP="004C29B5">
      <w:pPr>
        <w:pStyle w:val="Ttulo2"/>
        <w:spacing w:before="0" w:after="0"/>
      </w:pPr>
      <w:bookmarkStart w:id="36" w:name="_heading=h.c4hx8tiqv7ih" w:colFirst="0" w:colLast="0"/>
      <w:bookmarkStart w:id="37" w:name="_Toc193973758"/>
      <w:bookmarkStart w:id="38" w:name="_Toc223017831"/>
      <w:bookmarkEnd w:id="36"/>
      <w:r>
        <w:t>SEXTO. Decisión</w:t>
      </w:r>
      <w:bookmarkEnd w:id="37"/>
      <w:bookmarkEnd w:id="38"/>
    </w:p>
    <w:p w14:paraId="4DDD429C" w14:textId="77777777" w:rsidR="001359FA" w:rsidRDefault="001359FA" w:rsidP="004C29B5">
      <w:pPr>
        <w:spacing w:after="0" w:line="360" w:lineRule="auto"/>
        <w:rPr>
          <w:b/>
        </w:rPr>
      </w:pPr>
    </w:p>
    <w:p w14:paraId="3C514598" w14:textId="77777777" w:rsidR="001359FA" w:rsidRDefault="00924A65" w:rsidP="004C29B5">
      <w:pPr>
        <w:spacing w:after="0" w:line="360" w:lineRule="auto"/>
        <w:ind w:right="-28"/>
      </w:pPr>
      <w:r>
        <w:t xml:space="preserve">Con fundamento en el artículo 186, fracción III, de la Ley de Transparencia y Acceso a la Información </w:t>
      </w:r>
      <w:r>
        <w:rPr>
          <w:b/>
        </w:rPr>
        <w:t xml:space="preserve">REVOCAR </w:t>
      </w:r>
      <w:r>
        <w:t xml:space="preserve">la respuesta otorgada por el Ayuntamiento de </w:t>
      </w:r>
      <w:r w:rsidR="0071002F">
        <w:t>Tianguistenco</w:t>
      </w:r>
      <w:r>
        <w:t>, a efecto de que, previa búsqueda exhaustiva y razonable en todas las áreas que en razón de sus atribuciones pudieran generar o poseer la información, se entregue vía Sistema de Acceso a la Información Mexiquense.</w:t>
      </w:r>
    </w:p>
    <w:p w14:paraId="14E7B9C7" w14:textId="77777777" w:rsidR="0055733F" w:rsidRDefault="0055733F" w:rsidP="004C29B5">
      <w:pPr>
        <w:spacing w:after="0" w:line="360" w:lineRule="auto"/>
        <w:ind w:right="-28"/>
      </w:pPr>
    </w:p>
    <w:p w14:paraId="18CECDCE" w14:textId="77777777" w:rsidR="000E4DD6" w:rsidRDefault="000E4DD6" w:rsidP="004C29B5">
      <w:pPr>
        <w:spacing w:after="0" w:line="360" w:lineRule="auto"/>
        <w:ind w:right="-28"/>
      </w:pPr>
    </w:p>
    <w:p w14:paraId="50BA0864" w14:textId="77777777" w:rsidR="001359FA" w:rsidRDefault="00924A65" w:rsidP="004C29B5">
      <w:pPr>
        <w:spacing w:after="0" w:line="360" w:lineRule="auto"/>
        <w:ind w:right="-28"/>
        <w:rPr>
          <w:b/>
          <w:color w:val="000000"/>
        </w:rPr>
      </w:pPr>
      <w:r>
        <w:rPr>
          <w:b/>
          <w:color w:val="000000"/>
        </w:rPr>
        <w:t>Términos de la Resolución para conocimiento del Particular</w:t>
      </w:r>
    </w:p>
    <w:p w14:paraId="0BE0B2C8" w14:textId="77777777" w:rsidR="001359FA" w:rsidRDefault="001359FA" w:rsidP="004C29B5">
      <w:pPr>
        <w:spacing w:after="0" w:line="360" w:lineRule="auto"/>
        <w:ind w:right="-28"/>
        <w:rPr>
          <w:b/>
          <w:color w:val="000000"/>
        </w:rPr>
      </w:pPr>
    </w:p>
    <w:p w14:paraId="46375CF3" w14:textId="77777777" w:rsidR="001359FA" w:rsidRDefault="00924A65" w:rsidP="004C29B5">
      <w:pPr>
        <w:spacing w:after="0" w:line="360" w:lineRule="auto"/>
        <w:ind w:right="-28"/>
      </w:pPr>
      <w:r>
        <w:t>Se le hace del conocimiento al Particular, que, en el presente caso, se le concede la razón, pues el Sujeto Obligado no re</w:t>
      </w:r>
      <w:r w:rsidR="0071002F">
        <w:t xml:space="preserve">mitió la información solicitada </w:t>
      </w:r>
      <w:r>
        <w:t xml:space="preserve">y no turnar la solicitud </w:t>
      </w:r>
      <w:r w:rsidR="0071002F">
        <w:t>al área competente</w:t>
      </w:r>
      <w:r>
        <w:t>, por lo que se ha ordenado se realice nueva búsqueda de la información y se remita vía SAIMEX.</w:t>
      </w:r>
    </w:p>
    <w:p w14:paraId="54F5BC41" w14:textId="77777777" w:rsidR="001359FA" w:rsidRDefault="001359FA" w:rsidP="004C29B5">
      <w:pPr>
        <w:spacing w:after="0" w:line="360" w:lineRule="auto"/>
        <w:ind w:right="-28"/>
      </w:pPr>
    </w:p>
    <w:p w14:paraId="7243EB9E" w14:textId="77777777" w:rsidR="001359FA" w:rsidRDefault="00924A65" w:rsidP="004C29B5">
      <w:pPr>
        <w:spacing w:after="0" w:line="360" w:lineRule="auto"/>
        <w:ind w:right="-28"/>
      </w:pPr>
      <w:r>
        <w:rPr>
          <w:color w:val="000000"/>
        </w:rPr>
        <w:t>Finalmente, la labor del Instituto, es apoyar a la población a acceder a la información pública y garantizar la protección de los datos personales.</w:t>
      </w:r>
    </w:p>
    <w:p w14:paraId="32B2FCB8" w14:textId="77777777" w:rsidR="001359FA" w:rsidRDefault="001359FA" w:rsidP="004C29B5">
      <w:pPr>
        <w:spacing w:after="0" w:line="360" w:lineRule="auto"/>
      </w:pPr>
    </w:p>
    <w:p w14:paraId="1795DD1D" w14:textId="77777777" w:rsidR="001359FA" w:rsidRDefault="00924A65" w:rsidP="004C29B5">
      <w:pPr>
        <w:spacing w:after="0" w:line="360" w:lineRule="auto"/>
        <w:rPr>
          <w:color w:val="000000"/>
        </w:rPr>
      </w:pPr>
      <w:r>
        <w:lastRenderedPageBreak/>
        <w:t>Por</w:t>
      </w:r>
      <w:r>
        <w:rPr>
          <w:color w:val="000000"/>
        </w:rPr>
        <w:t xml:space="preserve"> lo expuesto y fundado, este Pleno:</w:t>
      </w:r>
    </w:p>
    <w:p w14:paraId="6B5052D6" w14:textId="77777777" w:rsidR="001359FA" w:rsidRDefault="001359FA" w:rsidP="004C29B5">
      <w:pPr>
        <w:spacing w:after="0" w:line="360" w:lineRule="auto"/>
        <w:rPr>
          <w:color w:val="000000"/>
        </w:rPr>
      </w:pPr>
    </w:p>
    <w:p w14:paraId="0386C984" w14:textId="77777777" w:rsidR="0055733F" w:rsidRDefault="0055733F" w:rsidP="004C29B5">
      <w:pPr>
        <w:spacing w:after="0" w:line="360" w:lineRule="auto"/>
        <w:rPr>
          <w:color w:val="000000"/>
        </w:rPr>
      </w:pPr>
    </w:p>
    <w:p w14:paraId="64ED8479" w14:textId="77777777" w:rsidR="001359FA" w:rsidRDefault="00924A65" w:rsidP="004C29B5">
      <w:pPr>
        <w:pStyle w:val="Ttulo1"/>
        <w:spacing w:before="0" w:after="0"/>
        <w:rPr>
          <w:sz w:val="22"/>
          <w:szCs w:val="22"/>
        </w:rPr>
      </w:pPr>
      <w:bookmarkStart w:id="39" w:name="_heading=h.mlq8s8htx04a" w:colFirst="0" w:colLast="0"/>
      <w:bookmarkStart w:id="40" w:name="_Toc193973759"/>
      <w:bookmarkStart w:id="41" w:name="_Toc223017832"/>
      <w:bookmarkEnd w:id="39"/>
      <w:r>
        <w:rPr>
          <w:sz w:val="22"/>
          <w:szCs w:val="22"/>
        </w:rPr>
        <w:t>R E S U E L V E</w:t>
      </w:r>
      <w:bookmarkEnd w:id="40"/>
      <w:bookmarkEnd w:id="41"/>
    </w:p>
    <w:p w14:paraId="070006A7" w14:textId="77777777" w:rsidR="001359FA" w:rsidRDefault="001359FA" w:rsidP="004C29B5">
      <w:pPr>
        <w:spacing w:after="0" w:line="360" w:lineRule="auto"/>
        <w:rPr>
          <w:b/>
          <w:color w:val="000000"/>
        </w:rPr>
      </w:pPr>
    </w:p>
    <w:p w14:paraId="270BEF57" w14:textId="77777777" w:rsidR="001359FA" w:rsidRDefault="00924A65" w:rsidP="004C29B5">
      <w:pPr>
        <w:spacing w:after="0" w:line="360" w:lineRule="auto"/>
      </w:pPr>
      <w:r>
        <w:rPr>
          <w:b/>
        </w:rPr>
        <w:t xml:space="preserve">PRIMERO. </w:t>
      </w:r>
      <w:r>
        <w:t xml:space="preserve">Se </w:t>
      </w:r>
      <w:r>
        <w:rPr>
          <w:b/>
        </w:rPr>
        <w:t>REVOCA</w:t>
      </w:r>
      <w:r>
        <w:t xml:space="preserve"> la respuesta entregada por el Ayuntamiento de </w:t>
      </w:r>
      <w:r w:rsidR="0071002F">
        <w:t>Tianguistenco</w:t>
      </w:r>
      <w:r>
        <w:t xml:space="preserve"> a la solicitud de información </w:t>
      </w:r>
      <w:r w:rsidR="0071002F" w:rsidRPr="0071002F">
        <w:t>00160/TIANGUIS/IP/2025</w:t>
      </w:r>
      <w:r>
        <w:t xml:space="preserve">, por resultar </w:t>
      </w:r>
      <w:r>
        <w:rPr>
          <w:b/>
        </w:rPr>
        <w:t>FUNDADAS</w:t>
      </w:r>
      <w:r>
        <w:t xml:space="preserve"> las razones o motivos de inconformidad hechos valer por el Particular, en términos de los considerandos QUINTO y SEXTO de la presente Resolución.</w:t>
      </w:r>
    </w:p>
    <w:p w14:paraId="0FE998B4" w14:textId="77777777" w:rsidR="001359FA" w:rsidRDefault="001359FA" w:rsidP="004C29B5">
      <w:pPr>
        <w:spacing w:after="0" w:line="360" w:lineRule="auto"/>
        <w:rPr>
          <w:b/>
        </w:rPr>
      </w:pPr>
    </w:p>
    <w:p w14:paraId="0F93D86E" w14:textId="58B0345D" w:rsidR="001359FA" w:rsidRDefault="00924A65" w:rsidP="004C29B5">
      <w:pPr>
        <w:spacing w:after="0" w:line="360" w:lineRule="auto"/>
        <w:rPr>
          <w:color w:val="000000"/>
        </w:rPr>
      </w:pPr>
      <w:r>
        <w:rPr>
          <w:b/>
        </w:rPr>
        <w:t xml:space="preserve">SEGUNDO. </w:t>
      </w:r>
      <w:r>
        <w:t xml:space="preserve">Se </w:t>
      </w:r>
      <w:r>
        <w:rPr>
          <w:b/>
        </w:rPr>
        <w:t xml:space="preserve">ORDENA </w:t>
      </w:r>
      <w:r>
        <w:t xml:space="preserve">al Ente Recurrido, a efecto de que previa búsqueda exhaustiva y razonable en los archivos de las unidades administrativas competentes, entregue a través del Sistema de Acceso a la Información Mexiquense (SAIMEX), en su caso, </w:t>
      </w:r>
      <w:r w:rsidRPr="0055733F">
        <w:t xml:space="preserve">en versión </w:t>
      </w:r>
      <w:r w:rsidR="0071002F" w:rsidRPr="0055733F">
        <w:t>publica</w:t>
      </w:r>
      <w:r w:rsidR="002D59CE">
        <w:t xml:space="preserve">, </w:t>
      </w:r>
      <w:r w:rsidRPr="0055733F">
        <w:t xml:space="preserve">los documentos donde conste </w:t>
      </w:r>
      <w:r w:rsidRPr="0055733F">
        <w:rPr>
          <w:color w:val="000000"/>
        </w:rPr>
        <w:t>lo siguiente:</w:t>
      </w:r>
    </w:p>
    <w:p w14:paraId="35E2BFCA" w14:textId="77777777" w:rsidR="001359FA" w:rsidRDefault="001359FA" w:rsidP="004C29B5">
      <w:pPr>
        <w:spacing w:after="0" w:line="360" w:lineRule="auto"/>
        <w:rPr>
          <w:color w:val="000000"/>
        </w:rPr>
      </w:pPr>
    </w:p>
    <w:p w14:paraId="718CBD00" w14:textId="3AC24671" w:rsidR="002D59CE" w:rsidRPr="002D59CE" w:rsidRDefault="005E0964" w:rsidP="004C29B5">
      <w:pPr>
        <w:numPr>
          <w:ilvl w:val="0"/>
          <w:numId w:val="1"/>
        </w:numPr>
        <w:pBdr>
          <w:top w:val="nil"/>
          <w:left w:val="nil"/>
          <w:bottom w:val="nil"/>
          <w:right w:val="nil"/>
          <w:between w:val="nil"/>
        </w:pBdr>
        <w:spacing w:after="0" w:line="360" w:lineRule="auto"/>
        <w:ind w:left="426"/>
      </w:pPr>
      <w:r>
        <w:rPr>
          <w:color w:val="000000"/>
        </w:rPr>
        <w:t>Los</w:t>
      </w:r>
      <w:r w:rsidR="00924A65">
        <w:rPr>
          <w:color w:val="000000"/>
        </w:rPr>
        <w:t xml:space="preserve"> </w:t>
      </w:r>
      <w:r w:rsidR="0071002F">
        <w:rPr>
          <w:color w:val="000000"/>
        </w:rPr>
        <w:t>Recibo</w:t>
      </w:r>
      <w:r>
        <w:rPr>
          <w:color w:val="000000"/>
        </w:rPr>
        <w:t>s</w:t>
      </w:r>
      <w:r w:rsidR="0071002F">
        <w:rPr>
          <w:color w:val="000000"/>
        </w:rPr>
        <w:t xml:space="preserve"> de </w:t>
      </w:r>
      <w:r>
        <w:rPr>
          <w:color w:val="000000"/>
        </w:rPr>
        <w:t>p</w:t>
      </w:r>
      <w:r w:rsidR="0071002F">
        <w:rPr>
          <w:color w:val="000000"/>
        </w:rPr>
        <w:t xml:space="preserve">ago </w:t>
      </w:r>
      <w:r w:rsidR="002D59CE">
        <w:rPr>
          <w:color w:val="000000"/>
        </w:rPr>
        <w:t>por concepto de aguinaldo y prima vacacional de todos los servidores públicos adscritos al Ayuntamiento de Tianguistenco, emitidos del primero de enero al dos de septiembre de dos mil veinticinco.</w:t>
      </w:r>
    </w:p>
    <w:p w14:paraId="5A3E068E" w14:textId="77777777" w:rsidR="002D59CE" w:rsidRDefault="002D59CE" w:rsidP="002D59CE">
      <w:pPr>
        <w:pBdr>
          <w:top w:val="nil"/>
          <w:left w:val="nil"/>
          <w:bottom w:val="nil"/>
          <w:right w:val="nil"/>
          <w:between w:val="nil"/>
        </w:pBdr>
        <w:spacing w:after="0" w:line="360" w:lineRule="auto"/>
        <w:rPr>
          <w:color w:val="000000"/>
        </w:rPr>
      </w:pPr>
    </w:p>
    <w:p w14:paraId="1055E476" w14:textId="77777777" w:rsidR="002D59CE" w:rsidRPr="002D59CE" w:rsidRDefault="002D59CE" w:rsidP="002D59CE">
      <w:pPr>
        <w:spacing w:after="0" w:line="360" w:lineRule="auto"/>
        <w:rPr>
          <w:rFonts w:eastAsia="Times New Roman" w:cs="Tahoma"/>
          <w:bCs/>
          <w:iCs/>
          <w:color w:val="auto"/>
          <w:lang w:eastAsia="es-ES"/>
        </w:rPr>
      </w:pPr>
      <w:r w:rsidRPr="002D59CE">
        <w:rPr>
          <w:rFonts w:eastAsia="Times New Roman" w:cs="Tahoma"/>
          <w:bCs/>
          <w:iCs/>
          <w:color w:val="auto"/>
          <w:lang w:eastAsia="es-ES"/>
        </w:rPr>
        <w:t>Además, deberá proporcionar el Acuerdo de Clasificación donde el Comité de Transparencia, confirme la eliminación de los datos o información, en la versión pública, tomando en Consideración lo establecido en el Considerando QUINTO, de conformidad con los artículos 49, fracciones II y VIII y 132, fracción II de la Ley de Transparencia y Acceso a la Información Pública del Estado de México y Municipios.</w:t>
      </w:r>
    </w:p>
    <w:p w14:paraId="28F3DE77" w14:textId="77777777" w:rsidR="002D59CE" w:rsidRDefault="002D59CE" w:rsidP="002D59CE">
      <w:pPr>
        <w:pBdr>
          <w:top w:val="nil"/>
          <w:left w:val="nil"/>
          <w:bottom w:val="nil"/>
          <w:right w:val="nil"/>
          <w:between w:val="nil"/>
        </w:pBdr>
        <w:spacing w:after="0" w:line="360" w:lineRule="auto"/>
        <w:rPr>
          <w:color w:val="000000"/>
        </w:rPr>
      </w:pPr>
    </w:p>
    <w:p w14:paraId="56F04C53" w14:textId="77777777" w:rsidR="002D59CE" w:rsidRDefault="002D59CE" w:rsidP="002D59CE">
      <w:pPr>
        <w:pBdr>
          <w:top w:val="nil"/>
          <w:left w:val="nil"/>
          <w:bottom w:val="nil"/>
          <w:right w:val="nil"/>
          <w:between w:val="nil"/>
        </w:pBdr>
        <w:spacing w:after="0" w:line="360" w:lineRule="auto"/>
        <w:rPr>
          <w:color w:val="000000"/>
        </w:rPr>
      </w:pPr>
    </w:p>
    <w:p w14:paraId="679BD2AF" w14:textId="77777777" w:rsidR="001359FA" w:rsidRDefault="00924A65" w:rsidP="004C29B5">
      <w:pPr>
        <w:spacing w:after="0" w:line="360" w:lineRule="auto"/>
      </w:pPr>
      <w:r>
        <w:rPr>
          <w:b/>
          <w:color w:val="000000"/>
        </w:rPr>
        <w:lastRenderedPageBreak/>
        <w:t xml:space="preserve">TERCERO. NOTIFÍQUESE VÍA SAIMEX </w:t>
      </w:r>
      <w:r>
        <w:rPr>
          <w:color w:val="000000"/>
        </w:rPr>
        <w:t xml:space="preserve">la presente Resolución </w:t>
      </w:r>
      <w:r>
        <w:t>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FEE7C0F" w14:textId="77777777" w:rsidR="001359FA" w:rsidRDefault="001359FA" w:rsidP="004C29B5">
      <w:pPr>
        <w:spacing w:after="0" w:line="360" w:lineRule="auto"/>
        <w:ind w:right="-28"/>
        <w:rPr>
          <w:i/>
          <w:color w:val="000000"/>
        </w:rPr>
      </w:pPr>
    </w:p>
    <w:p w14:paraId="5B1A2849" w14:textId="77777777" w:rsidR="001359FA" w:rsidRDefault="00924A65" w:rsidP="004C29B5">
      <w:pPr>
        <w:spacing w:after="0" w:line="360" w:lineRule="auto"/>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14:paraId="15885462" w14:textId="77777777" w:rsidR="001359FA" w:rsidRDefault="001359FA" w:rsidP="004C29B5">
      <w:pPr>
        <w:spacing w:after="0" w:line="360" w:lineRule="auto"/>
        <w:rPr>
          <w:b/>
          <w:i/>
          <w:color w:val="000000"/>
        </w:rPr>
      </w:pPr>
    </w:p>
    <w:p w14:paraId="2A1A019B" w14:textId="77777777" w:rsidR="001359FA" w:rsidRDefault="00924A65" w:rsidP="004C29B5">
      <w:pPr>
        <w:spacing w:after="0" w:line="360" w:lineRule="auto"/>
        <w:rPr>
          <w:color w:val="000000"/>
        </w:rPr>
      </w:pPr>
      <w:r>
        <w:rPr>
          <w:b/>
          <w:color w:val="000000"/>
        </w:rPr>
        <w:t xml:space="preserve">CUARTO. NOTIFÍQUESE VÍA SAIMEX </w:t>
      </w:r>
      <w:r>
        <w:rPr>
          <w:color w:val="000000"/>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BC4E28" w14:textId="77777777" w:rsidR="001359FA" w:rsidRDefault="001359FA" w:rsidP="004C29B5">
      <w:pPr>
        <w:spacing w:after="0" w:line="360" w:lineRule="auto"/>
        <w:rPr>
          <w:color w:val="000000"/>
        </w:rPr>
      </w:pPr>
    </w:p>
    <w:p w14:paraId="4D0F2CDF" w14:textId="113D4575" w:rsidR="001359FA" w:rsidRDefault="00924A65" w:rsidP="004C29B5">
      <w:pPr>
        <w:spacing w:after="0" w:line="360" w:lineRule="auto"/>
      </w:pPr>
      <w:r>
        <w:t xml:space="preserve">ASÍ LO RESUELVE, POR </w:t>
      </w:r>
      <w:r w:rsidRPr="00AD5306">
        <w:rPr>
          <w:b/>
          <w:bCs/>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C5F4A">
        <w:t xml:space="preserve"> CON VOTO PARTICULAR</w:t>
      </w:r>
      <w:r>
        <w:t xml:space="preserve"> Y GUADALUPE RAMÍREZ PEÑA</w:t>
      </w:r>
      <w:r w:rsidR="007C5F4A">
        <w:t xml:space="preserve"> CON VOTO PARTICULAR</w:t>
      </w:r>
      <w:r>
        <w:t xml:space="preserve">, EN LA </w:t>
      </w:r>
      <w:r w:rsidR="009457B9">
        <w:t>S</w:t>
      </w:r>
      <w:r w:rsidR="00000FC9">
        <w:t>É</w:t>
      </w:r>
      <w:r w:rsidR="009457B9">
        <w:t>PTIMA</w:t>
      </w:r>
      <w:r>
        <w:t xml:space="preserve"> SESIÓN ORDINARIA, CELEBRADA EL </w:t>
      </w:r>
      <w:r w:rsidR="000E4DD6">
        <w:t>VEINTICINCO DE FEBRERO DE DOS MIL VEINTIS</w:t>
      </w:r>
      <w:r w:rsidR="00000FC9">
        <w:t>É</w:t>
      </w:r>
      <w:r w:rsidR="000E4DD6">
        <w:t>IS</w:t>
      </w:r>
      <w:r>
        <w:t>, ANTE EL SECRETARIO TÉCNICO DEL PLENO, ALEXIS TAPIA RAMÍREZ.</w:t>
      </w:r>
    </w:p>
    <w:p w14:paraId="5A3946C5" w14:textId="77777777" w:rsidR="001359FA" w:rsidRDefault="001359FA" w:rsidP="004C29B5">
      <w:pPr>
        <w:spacing w:after="0" w:line="360" w:lineRule="auto"/>
      </w:pPr>
    </w:p>
    <w:p w14:paraId="625CD2A6" w14:textId="77777777" w:rsidR="001359FA" w:rsidRDefault="001359FA" w:rsidP="004C29B5">
      <w:pPr>
        <w:spacing w:after="0" w:line="360" w:lineRule="auto"/>
      </w:pPr>
    </w:p>
    <w:p w14:paraId="1E0A1767" w14:textId="77777777" w:rsidR="001359FA" w:rsidRDefault="001359FA" w:rsidP="004C29B5">
      <w:pPr>
        <w:spacing w:after="0" w:line="360" w:lineRule="auto"/>
      </w:pPr>
    </w:p>
    <w:p w14:paraId="04308FE1" w14:textId="77777777" w:rsidR="001359FA" w:rsidRDefault="001359FA" w:rsidP="004C29B5">
      <w:pPr>
        <w:spacing w:after="0" w:line="360" w:lineRule="auto"/>
      </w:pPr>
    </w:p>
    <w:p w14:paraId="560C6CD3" w14:textId="77777777" w:rsidR="001359FA" w:rsidRDefault="001359FA" w:rsidP="004C29B5">
      <w:pPr>
        <w:spacing w:after="0" w:line="360" w:lineRule="auto"/>
      </w:pPr>
    </w:p>
    <w:p w14:paraId="35B7BC6F" w14:textId="77777777" w:rsidR="001359FA" w:rsidRDefault="001359FA" w:rsidP="004C29B5">
      <w:pPr>
        <w:spacing w:after="0" w:line="360" w:lineRule="auto"/>
      </w:pPr>
    </w:p>
    <w:p w14:paraId="64C4C9BC" w14:textId="77777777" w:rsidR="001359FA" w:rsidRDefault="001359FA" w:rsidP="004C29B5">
      <w:pPr>
        <w:spacing w:after="0" w:line="360" w:lineRule="auto"/>
      </w:pPr>
    </w:p>
    <w:p w14:paraId="6C7C2236" w14:textId="77777777" w:rsidR="001359FA" w:rsidRDefault="001359FA" w:rsidP="004C29B5">
      <w:pPr>
        <w:spacing w:after="0" w:line="360" w:lineRule="auto"/>
      </w:pPr>
    </w:p>
    <w:p w14:paraId="7139678D" w14:textId="77777777" w:rsidR="001359FA" w:rsidRDefault="001359FA" w:rsidP="004C29B5">
      <w:pPr>
        <w:spacing w:after="0" w:line="360" w:lineRule="auto"/>
      </w:pPr>
    </w:p>
    <w:p w14:paraId="424688D4" w14:textId="77777777" w:rsidR="001359FA" w:rsidRDefault="001359FA" w:rsidP="004C29B5">
      <w:pPr>
        <w:spacing w:after="0" w:line="360" w:lineRule="auto"/>
      </w:pPr>
    </w:p>
    <w:p w14:paraId="26FC098E" w14:textId="77777777" w:rsidR="001359FA" w:rsidRDefault="001359FA" w:rsidP="004C29B5">
      <w:pPr>
        <w:spacing w:after="0" w:line="360" w:lineRule="auto"/>
      </w:pPr>
    </w:p>
    <w:p w14:paraId="2E074C93" w14:textId="77777777" w:rsidR="001359FA" w:rsidRDefault="001359FA" w:rsidP="004C29B5">
      <w:pPr>
        <w:spacing w:after="0" w:line="360" w:lineRule="auto"/>
      </w:pPr>
    </w:p>
    <w:p w14:paraId="691181E2" w14:textId="77777777" w:rsidR="001359FA" w:rsidRDefault="001359FA" w:rsidP="004C29B5">
      <w:pPr>
        <w:spacing w:after="0" w:line="360" w:lineRule="auto"/>
      </w:pPr>
    </w:p>
    <w:p w14:paraId="5FB0BD2D" w14:textId="77777777" w:rsidR="001359FA" w:rsidRDefault="001359FA" w:rsidP="004C29B5">
      <w:pPr>
        <w:spacing w:after="0" w:line="360" w:lineRule="auto"/>
      </w:pPr>
    </w:p>
    <w:p w14:paraId="1A564DC7" w14:textId="77777777" w:rsidR="001359FA" w:rsidRDefault="001359FA" w:rsidP="004C29B5">
      <w:pPr>
        <w:spacing w:after="0" w:line="360" w:lineRule="auto"/>
      </w:pPr>
    </w:p>
    <w:p w14:paraId="7BF28A61" w14:textId="77777777" w:rsidR="001359FA" w:rsidRDefault="001359FA" w:rsidP="004C29B5">
      <w:pPr>
        <w:spacing w:after="0" w:line="360" w:lineRule="auto"/>
      </w:pPr>
    </w:p>
    <w:p w14:paraId="22B3A932" w14:textId="77777777" w:rsidR="001359FA" w:rsidRDefault="001359FA" w:rsidP="004C29B5">
      <w:pPr>
        <w:spacing w:after="0" w:line="360" w:lineRule="auto"/>
      </w:pPr>
    </w:p>
    <w:p w14:paraId="616EA3AD" w14:textId="77777777" w:rsidR="001359FA" w:rsidRDefault="001359FA" w:rsidP="004C29B5">
      <w:pPr>
        <w:spacing w:after="0" w:line="360" w:lineRule="auto"/>
      </w:pPr>
    </w:p>
    <w:p w14:paraId="6C8A0CBF" w14:textId="77777777" w:rsidR="001359FA" w:rsidRDefault="001359FA" w:rsidP="004C29B5">
      <w:pPr>
        <w:spacing w:after="0" w:line="360" w:lineRule="auto"/>
        <w:rPr>
          <w:b/>
        </w:rPr>
      </w:pPr>
    </w:p>
    <w:p w14:paraId="0717E09E" w14:textId="77777777" w:rsidR="001359FA" w:rsidRDefault="001359FA" w:rsidP="004C29B5">
      <w:pPr>
        <w:spacing w:after="0" w:line="360" w:lineRule="auto"/>
        <w:rPr>
          <w:color w:val="000000"/>
        </w:rPr>
      </w:pPr>
    </w:p>
    <w:p w14:paraId="3A10D029" w14:textId="77777777" w:rsidR="005E0964" w:rsidRDefault="005E0964" w:rsidP="004C29B5">
      <w:pPr>
        <w:spacing w:after="0" w:line="360" w:lineRule="auto"/>
        <w:rPr>
          <w:color w:val="000000"/>
        </w:rPr>
      </w:pPr>
    </w:p>
    <w:p w14:paraId="320E88AA" w14:textId="77777777" w:rsidR="005E0964" w:rsidRDefault="005E0964" w:rsidP="004C29B5">
      <w:pPr>
        <w:spacing w:after="0" w:line="360" w:lineRule="auto"/>
        <w:rPr>
          <w:color w:val="000000"/>
        </w:rPr>
      </w:pPr>
    </w:p>
    <w:p w14:paraId="729DBE71" w14:textId="77777777" w:rsidR="005E0964" w:rsidRDefault="005E0964" w:rsidP="004C29B5">
      <w:pPr>
        <w:spacing w:after="0" w:line="360" w:lineRule="auto"/>
        <w:rPr>
          <w:color w:val="000000"/>
        </w:rPr>
      </w:pPr>
    </w:p>
    <w:p w14:paraId="289FE957" w14:textId="77777777" w:rsidR="005E0964" w:rsidRDefault="005E0964" w:rsidP="004C29B5">
      <w:pPr>
        <w:spacing w:after="0" w:line="360" w:lineRule="auto"/>
        <w:rPr>
          <w:color w:val="000000"/>
        </w:rPr>
      </w:pPr>
    </w:p>
    <w:p w14:paraId="19C784DA" w14:textId="77777777" w:rsidR="005E0964" w:rsidRDefault="005E0964" w:rsidP="004C29B5">
      <w:pPr>
        <w:spacing w:after="0" w:line="360" w:lineRule="auto"/>
        <w:rPr>
          <w:color w:val="000000"/>
        </w:rPr>
      </w:pPr>
    </w:p>
    <w:p w14:paraId="1640554C" w14:textId="77777777" w:rsidR="005E0964" w:rsidRDefault="005E0964" w:rsidP="004C29B5">
      <w:pPr>
        <w:spacing w:after="0" w:line="360" w:lineRule="auto"/>
        <w:rPr>
          <w:color w:val="000000"/>
        </w:rPr>
      </w:pPr>
    </w:p>
    <w:sectPr w:rsidR="005E0964">
      <w:headerReference w:type="even" r:id="rId14"/>
      <w:headerReference w:type="default" r:id="rId15"/>
      <w:footerReference w:type="even" r:id="rId16"/>
      <w:footerReference w:type="default" r:id="rId17"/>
      <w:headerReference w:type="first" r:id="rId18"/>
      <w:footerReference w:type="first" r:id="rId19"/>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BD93" w14:textId="77777777" w:rsidR="005F3AB8" w:rsidRDefault="005F3AB8">
      <w:pPr>
        <w:spacing w:after="0" w:line="240" w:lineRule="auto"/>
      </w:pPr>
      <w:r>
        <w:separator/>
      </w:r>
    </w:p>
  </w:endnote>
  <w:endnote w:type="continuationSeparator" w:id="0">
    <w:p w14:paraId="36275E28" w14:textId="77777777" w:rsidR="005F3AB8" w:rsidRDefault="005F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FBA5" w14:textId="77777777" w:rsidR="00242C54" w:rsidRDefault="00242C5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3A79F283" w14:textId="77777777" w:rsidR="00242C54" w:rsidRDefault="00242C5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A042" w14:textId="77777777" w:rsidR="00242C54" w:rsidRDefault="00242C5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49A4">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49A4">
      <w:rPr>
        <w:b/>
        <w:noProof/>
        <w:color w:val="000000"/>
        <w:sz w:val="24"/>
        <w:szCs w:val="24"/>
      </w:rPr>
      <w:t>38</w:t>
    </w:r>
    <w:r>
      <w:rPr>
        <w:b/>
        <w:color w:val="000000"/>
        <w:sz w:val="24"/>
        <w:szCs w:val="24"/>
      </w:rPr>
      <w:fldChar w:fldCharType="end"/>
    </w:r>
  </w:p>
  <w:p w14:paraId="3A75DAD2" w14:textId="77777777" w:rsidR="00242C54" w:rsidRDefault="00242C5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F47C" w14:textId="77777777" w:rsidR="00242C54" w:rsidRDefault="00242C5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49A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49A4">
      <w:rPr>
        <w:b/>
        <w:noProof/>
        <w:color w:val="000000"/>
        <w:sz w:val="24"/>
        <w:szCs w:val="24"/>
      </w:rPr>
      <w:t>38</w:t>
    </w:r>
    <w:r>
      <w:rPr>
        <w:b/>
        <w:color w:val="000000"/>
        <w:sz w:val="24"/>
        <w:szCs w:val="24"/>
      </w:rPr>
      <w:fldChar w:fldCharType="end"/>
    </w:r>
  </w:p>
  <w:p w14:paraId="04E8004F" w14:textId="77777777" w:rsidR="00242C54" w:rsidRDefault="00242C5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FD0C" w14:textId="77777777" w:rsidR="005F3AB8" w:rsidRDefault="005F3AB8">
      <w:pPr>
        <w:spacing w:after="0" w:line="240" w:lineRule="auto"/>
      </w:pPr>
      <w:r>
        <w:separator/>
      </w:r>
    </w:p>
  </w:footnote>
  <w:footnote w:type="continuationSeparator" w:id="0">
    <w:p w14:paraId="6337AA7E" w14:textId="77777777" w:rsidR="005F3AB8" w:rsidRDefault="005F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5B9" w14:textId="77777777" w:rsidR="00242C54" w:rsidRDefault="00242C54">
    <w:pPr>
      <w:widowControl w:val="0"/>
      <w:pBdr>
        <w:top w:val="nil"/>
        <w:left w:val="nil"/>
        <w:bottom w:val="nil"/>
        <w:right w:val="nil"/>
        <w:between w:val="nil"/>
      </w:pBdr>
      <w:spacing w:after="0" w:line="276" w:lineRule="auto"/>
      <w:jc w:val="left"/>
      <w:rPr>
        <w:color w:val="000000"/>
      </w:rPr>
    </w:pPr>
  </w:p>
  <w:tbl>
    <w:tblPr>
      <w:tblStyle w:val="a3"/>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242C54" w14:paraId="3B4526A2" w14:textId="77777777">
      <w:trPr>
        <w:trHeight w:val="141"/>
      </w:trPr>
      <w:tc>
        <w:tcPr>
          <w:tcW w:w="2404" w:type="dxa"/>
        </w:tcPr>
        <w:p w14:paraId="2039761D" w14:textId="77777777" w:rsidR="00242C54" w:rsidRDefault="00242C54">
          <w:pPr>
            <w:tabs>
              <w:tab w:val="right" w:pos="8838"/>
            </w:tabs>
            <w:ind w:right="-105"/>
            <w:rPr>
              <w:b/>
            </w:rPr>
          </w:pPr>
          <w:r>
            <w:rPr>
              <w:b/>
            </w:rPr>
            <w:t>Recurso de Revisión:</w:t>
          </w:r>
        </w:p>
      </w:tc>
      <w:tc>
        <w:tcPr>
          <w:tcW w:w="3587" w:type="dxa"/>
        </w:tcPr>
        <w:p w14:paraId="5774EA16" w14:textId="77777777" w:rsidR="00242C54" w:rsidRDefault="00242C54">
          <w:pPr>
            <w:tabs>
              <w:tab w:val="right" w:pos="8838"/>
            </w:tabs>
            <w:ind w:left="-28" w:right="683"/>
          </w:pPr>
          <w:r>
            <w:t>04196/INFOEM/IP/RR/2020</w:t>
          </w:r>
        </w:p>
      </w:tc>
    </w:tr>
    <w:tr w:rsidR="00242C54" w14:paraId="216F6785" w14:textId="77777777">
      <w:trPr>
        <w:trHeight w:val="276"/>
      </w:trPr>
      <w:tc>
        <w:tcPr>
          <w:tcW w:w="2404" w:type="dxa"/>
        </w:tcPr>
        <w:p w14:paraId="66E7EA1E" w14:textId="77777777" w:rsidR="00242C54" w:rsidRDefault="00242C54">
          <w:pPr>
            <w:tabs>
              <w:tab w:val="right" w:pos="8838"/>
            </w:tabs>
            <w:ind w:right="-105"/>
            <w:rPr>
              <w:b/>
            </w:rPr>
          </w:pPr>
          <w:r>
            <w:rPr>
              <w:b/>
            </w:rPr>
            <w:t>Sujeto Obligado:</w:t>
          </w:r>
        </w:p>
      </w:tc>
      <w:tc>
        <w:tcPr>
          <w:tcW w:w="3587" w:type="dxa"/>
        </w:tcPr>
        <w:p w14:paraId="6A0D75DC" w14:textId="77777777" w:rsidR="00242C54" w:rsidRDefault="00242C54">
          <w:pPr>
            <w:tabs>
              <w:tab w:val="right" w:pos="8838"/>
            </w:tabs>
            <w:ind w:right="116"/>
          </w:pPr>
          <w:r>
            <w:t>Ayuntamiento de Chapultepec</w:t>
          </w:r>
        </w:p>
      </w:tc>
    </w:tr>
    <w:tr w:rsidR="00242C54" w14:paraId="624DF993" w14:textId="77777777">
      <w:trPr>
        <w:trHeight w:val="276"/>
      </w:trPr>
      <w:tc>
        <w:tcPr>
          <w:tcW w:w="2404" w:type="dxa"/>
        </w:tcPr>
        <w:p w14:paraId="49E310B0" w14:textId="77777777" w:rsidR="00242C54" w:rsidRDefault="00242C54">
          <w:pPr>
            <w:tabs>
              <w:tab w:val="right" w:pos="8838"/>
            </w:tabs>
            <w:ind w:right="-105"/>
            <w:rPr>
              <w:b/>
            </w:rPr>
          </w:pPr>
          <w:r>
            <w:rPr>
              <w:b/>
            </w:rPr>
            <w:t>Comisionado Ponente:</w:t>
          </w:r>
        </w:p>
      </w:tc>
      <w:tc>
        <w:tcPr>
          <w:tcW w:w="3587" w:type="dxa"/>
        </w:tcPr>
        <w:p w14:paraId="270412B2" w14:textId="77777777" w:rsidR="00242C54" w:rsidRDefault="00242C54">
          <w:pPr>
            <w:tabs>
              <w:tab w:val="right" w:pos="8838"/>
            </w:tabs>
            <w:ind w:right="-32"/>
          </w:pPr>
          <w:r>
            <w:t>Luis Gustavo Parra Noriega</w:t>
          </w:r>
        </w:p>
      </w:tc>
    </w:tr>
  </w:tbl>
  <w:p w14:paraId="646C5E1B" w14:textId="77777777" w:rsidR="00242C5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7F133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8752;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7812" w14:textId="77777777" w:rsidR="00242C54" w:rsidRDefault="00000000">
    <w:pPr>
      <w:rPr>
        <w:sz w:val="16"/>
        <w:szCs w:val="16"/>
      </w:rPr>
    </w:pPr>
    <w:r>
      <w:rPr>
        <w:color w:val="000000"/>
      </w:rPr>
      <w:pict w14:anchorId="1FF89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96.05pt;margin-top:-121.7pt;width:663.5pt;height:12in;z-index:-251659776;mso-position-horizontal:absolute;mso-position-horizontal-relative:margin;mso-position-vertical:absolute;mso-position-vertical-relative:margin">
          <v:imagedata r:id="rId1" o:title="image2"/>
          <w10:wrap anchorx="margin" anchory="margin"/>
        </v:shape>
      </w:pict>
    </w:r>
  </w:p>
  <w:tbl>
    <w:tblPr>
      <w:tblStyle w:val="a4"/>
      <w:tblW w:w="708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242C54" w14:paraId="7315A572" w14:textId="77777777">
      <w:trPr>
        <w:trHeight w:val="141"/>
      </w:trPr>
      <w:tc>
        <w:tcPr>
          <w:tcW w:w="2404" w:type="dxa"/>
        </w:tcPr>
        <w:p w14:paraId="4712401A" w14:textId="77777777" w:rsidR="00242C54" w:rsidRDefault="00242C54">
          <w:pPr>
            <w:tabs>
              <w:tab w:val="right" w:pos="8838"/>
            </w:tabs>
            <w:ind w:left="-395" w:right="-105" w:firstLine="395"/>
            <w:rPr>
              <w:b/>
            </w:rPr>
          </w:pPr>
          <w:r>
            <w:rPr>
              <w:b/>
            </w:rPr>
            <w:t>Recurso de Revisión:</w:t>
          </w:r>
        </w:p>
      </w:tc>
      <w:tc>
        <w:tcPr>
          <w:tcW w:w="4684" w:type="dxa"/>
        </w:tcPr>
        <w:p w14:paraId="2231FF23" w14:textId="77777777" w:rsidR="00242C54" w:rsidRDefault="00242C54">
          <w:pPr>
            <w:tabs>
              <w:tab w:val="right" w:pos="8838"/>
            </w:tabs>
            <w:ind w:left="-28" w:right="454"/>
          </w:pPr>
          <w:r>
            <w:t>11371/INFOEM/IP/RR/2025</w:t>
          </w:r>
        </w:p>
      </w:tc>
    </w:tr>
    <w:tr w:rsidR="00242C54" w14:paraId="013D496F" w14:textId="77777777">
      <w:trPr>
        <w:trHeight w:val="276"/>
      </w:trPr>
      <w:tc>
        <w:tcPr>
          <w:tcW w:w="2404" w:type="dxa"/>
        </w:tcPr>
        <w:p w14:paraId="20790E69" w14:textId="77777777" w:rsidR="00242C54" w:rsidRDefault="00242C54">
          <w:pPr>
            <w:tabs>
              <w:tab w:val="right" w:pos="8838"/>
            </w:tabs>
            <w:ind w:right="-105"/>
            <w:rPr>
              <w:b/>
            </w:rPr>
          </w:pPr>
          <w:r>
            <w:rPr>
              <w:b/>
            </w:rPr>
            <w:t>Sujeto Obligado:</w:t>
          </w:r>
        </w:p>
      </w:tc>
      <w:tc>
        <w:tcPr>
          <w:tcW w:w="4684" w:type="dxa"/>
        </w:tcPr>
        <w:p w14:paraId="5F2A9FB2" w14:textId="77777777" w:rsidR="00242C54" w:rsidRDefault="00242C54" w:rsidP="009E3DD4">
          <w:pPr>
            <w:tabs>
              <w:tab w:val="left" w:pos="3158"/>
              <w:tab w:val="left" w:pos="4292"/>
              <w:tab w:val="right" w:pos="8838"/>
            </w:tabs>
            <w:ind w:right="601"/>
          </w:pPr>
          <w:r>
            <w:t>Ayuntamiento de Tianguistenco</w:t>
          </w:r>
        </w:p>
      </w:tc>
    </w:tr>
    <w:tr w:rsidR="00242C54" w14:paraId="5BD32E6B" w14:textId="77777777">
      <w:trPr>
        <w:trHeight w:val="276"/>
      </w:trPr>
      <w:tc>
        <w:tcPr>
          <w:tcW w:w="2404" w:type="dxa"/>
        </w:tcPr>
        <w:p w14:paraId="2736CBAB" w14:textId="77777777" w:rsidR="00242C54" w:rsidRDefault="00242C54">
          <w:pPr>
            <w:tabs>
              <w:tab w:val="right" w:pos="8838"/>
            </w:tabs>
            <w:ind w:right="-105"/>
            <w:rPr>
              <w:b/>
            </w:rPr>
          </w:pPr>
          <w:r>
            <w:rPr>
              <w:b/>
            </w:rPr>
            <w:t>Comisionado Ponente:</w:t>
          </w:r>
        </w:p>
      </w:tc>
      <w:tc>
        <w:tcPr>
          <w:tcW w:w="4684" w:type="dxa"/>
        </w:tcPr>
        <w:p w14:paraId="7C301644" w14:textId="77777777" w:rsidR="00242C54" w:rsidRDefault="00242C54">
          <w:pPr>
            <w:tabs>
              <w:tab w:val="right" w:pos="8838"/>
            </w:tabs>
            <w:ind w:right="454"/>
          </w:pPr>
          <w:r>
            <w:t>Luis Gustavo Parra Noriega</w:t>
          </w:r>
        </w:p>
      </w:tc>
    </w:tr>
  </w:tbl>
  <w:p w14:paraId="4FA89CE8" w14:textId="77777777" w:rsidR="00242C54" w:rsidRDefault="00242C5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7759" w14:textId="77777777" w:rsidR="00242C54" w:rsidRDefault="00242C54">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drawing>
        <wp:anchor distT="0" distB="0" distL="114300" distR="114300" simplePos="0" relativeHeight="251658752" behindDoc="1" locked="0" layoutInCell="1" allowOverlap="1" wp14:anchorId="1F2F9ACB" wp14:editId="00522622">
          <wp:simplePos x="0" y="0"/>
          <wp:positionH relativeFrom="margin">
            <wp:posOffset>-1067435</wp:posOffset>
          </wp:positionH>
          <wp:positionV relativeFrom="margin">
            <wp:posOffset>-1776730</wp:posOffset>
          </wp:positionV>
          <wp:extent cx="8426450" cy="10972800"/>
          <wp:effectExtent l="0" t="0" r="0" b="0"/>
          <wp:wrapNone/>
          <wp:docPr id="1" name="Imagen 1"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5"/>
      <w:tblW w:w="9214" w:type="dxa"/>
      <w:tblInd w:w="0" w:type="dxa"/>
      <w:tblLayout w:type="fixed"/>
      <w:tblLook w:val="0400" w:firstRow="0" w:lastRow="0" w:firstColumn="0" w:lastColumn="0" w:noHBand="0" w:noVBand="1"/>
    </w:tblPr>
    <w:tblGrid>
      <w:gridCol w:w="2127"/>
      <w:gridCol w:w="7087"/>
    </w:tblGrid>
    <w:tr w:rsidR="00242C54" w14:paraId="35625FEA" w14:textId="77777777">
      <w:trPr>
        <w:trHeight w:val="1546"/>
      </w:trPr>
      <w:tc>
        <w:tcPr>
          <w:tcW w:w="2127" w:type="dxa"/>
        </w:tcPr>
        <w:p w14:paraId="2B1C5093" w14:textId="77777777" w:rsidR="00242C54" w:rsidRDefault="00242C54">
          <w:pPr>
            <w:tabs>
              <w:tab w:val="right" w:pos="4273"/>
            </w:tabs>
            <w:rPr>
              <w:rFonts w:ascii="Garamond" w:eastAsia="Garamond" w:hAnsi="Garamond" w:cs="Garamond"/>
              <w:sz w:val="16"/>
              <w:szCs w:val="16"/>
            </w:rPr>
          </w:pPr>
        </w:p>
      </w:tc>
      <w:tc>
        <w:tcPr>
          <w:tcW w:w="7087" w:type="dxa"/>
        </w:tcPr>
        <w:p w14:paraId="784BD690" w14:textId="77777777" w:rsidR="00242C54" w:rsidRDefault="00242C54">
          <w:pPr>
            <w:widowControl w:val="0"/>
            <w:pBdr>
              <w:top w:val="nil"/>
              <w:left w:val="nil"/>
              <w:bottom w:val="nil"/>
              <w:right w:val="nil"/>
              <w:between w:val="nil"/>
            </w:pBdr>
            <w:spacing w:after="0" w:line="276" w:lineRule="auto"/>
            <w:jc w:val="left"/>
            <w:rPr>
              <w:rFonts w:ascii="Garamond" w:eastAsia="Garamond" w:hAnsi="Garamond" w:cs="Garamond"/>
              <w:sz w:val="16"/>
              <w:szCs w:val="16"/>
            </w:rPr>
          </w:pPr>
        </w:p>
        <w:tbl>
          <w:tblPr>
            <w:tblStyle w:val="a6"/>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242C54" w14:paraId="2C21995E" w14:textId="77777777">
            <w:trPr>
              <w:trHeight w:val="141"/>
            </w:trPr>
            <w:tc>
              <w:tcPr>
                <w:tcW w:w="2404" w:type="dxa"/>
                <w:vAlign w:val="bottom"/>
              </w:tcPr>
              <w:p w14:paraId="1073573D" w14:textId="77777777" w:rsidR="00242C54" w:rsidRDefault="00242C54">
                <w:pPr>
                  <w:tabs>
                    <w:tab w:val="right" w:pos="8838"/>
                  </w:tabs>
                  <w:ind w:right="-105"/>
                  <w:rPr>
                    <w:b/>
                  </w:rPr>
                </w:pPr>
                <w:r>
                  <w:rPr>
                    <w:b/>
                  </w:rPr>
                  <w:t>Recurso de Revisión:</w:t>
                </w:r>
              </w:p>
            </w:tc>
            <w:tc>
              <w:tcPr>
                <w:tcW w:w="3975" w:type="dxa"/>
              </w:tcPr>
              <w:p w14:paraId="33E67BA1" w14:textId="77777777" w:rsidR="00242C54" w:rsidRDefault="00242C54">
                <w:pPr>
                  <w:tabs>
                    <w:tab w:val="right" w:pos="8838"/>
                  </w:tabs>
                  <w:ind w:left="-28" w:right="-107"/>
                </w:pPr>
                <w:r>
                  <w:t>11371/INFOEM/IP/RR/2025</w:t>
                </w:r>
              </w:p>
            </w:tc>
          </w:tr>
          <w:tr w:rsidR="00242C54" w14:paraId="40DC6F0D" w14:textId="77777777">
            <w:trPr>
              <w:trHeight w:val="141"/>
            </w:trPr>
            <w:tc>
              <w:tcPr>
                <w:tcW w:w="2404" w:type="dxa"/>
              </w:tcPr>
              <w:p w14:paraId="200588BC" w14:textId="77777777" w:rsidR="00242C54" w:rsidRDefault="00242C54">
                <w:pPr>
                  <w:tabs>
                    <w:tab w:val="right" w:pos="8838"/>
                  </w:tabs>
                  <w:ind w:right="-105"/>
                  <w:rPr>
                    <w:b/>
                  </w:rPr>
                </w:pPr>
                <w:r>
                  <w:rPr>
                    <w:b/>
                  </w:rPr>
                  <w:t>Recurrente:</w:t>
                </w:r>
              </w:p>
            </w:tc>
            <w:tc>
              <w:tcPr>
                <w:tcW w:w="3975" w:type="dxa"/>
              </w:tcPr>
              <w:p w14:paraId="0F5B691E" w14:textId="77777777" w:rsidR="00242C54" w:rsidRDefault="00242C54">
                <w:pPr>
                  <w:tabs>
                    <w:tab w:val="right" w:pos="8838"/>
                  </w:tabs>
                  <w:ind w:right="-107"/>
                </w:pPr>
              </w:p>
            </w:tc>
          </w:tr>
          <w:tr w:rsidR="00242C54" w14:paraId="5510F08C" w14:textId="77777777">
            <w:trPr>
              <w:trHeight w:val="276"/>
            </w:trPr>
            <w:tc>
              <w:tcPr>
                <w:tcW w:w="2404" w:type="dxa"/>
              </w:tcPr>
              <w:p w14:paraId="639D26AE" w14:textId="77777777" w:rsidR="00242C54" w:rsidRDefault="00242C54">
                <w:pPr>
                  <w:tabs>
                    <w:tab w:val="right" w:pos="8838"/>
                  </w:tabs>
                  <w:ind w:right="-105"/>
                  <w:rPr>
                    <w:b/>
                  </w:rPr>
                </w:pPr>
                <w:r>
                  <w:rPr>
                    <w:b/>
                  </w:rPr>
                  <w:t>Sujeto Obligado:</w:t>
                </w:r>
              </w:p>
            </w:tc>
            <w:tc>
              <w:tcPr>
                <w:tcW w:w="3975" w:type="dxa"/>
              </w:tcPr>
              <w:p w14:paraId="1EE1BCB3" w14:textId="77777777" w:rsidR="00242C54" w:rsidRDefault="00242C54" w:rsidP="009E3DD4">
                <w:pPr>
                  <w:tabs>
                    <w:tab w:val="right" w:pos="8838"/>
                  </w:tabs>
                  <w:ind w:right="33"/>
                </w:pPr>
                <w:r>
                  <w:t>Ayuntamiento de Tianguistenco</w:t>
                </w:r>
              </w:p>
            </w:tc>
          </w:tr>
          <w:tr w:rsidR="00242C54" w14:paraId="5AD2C16D" w14:textId="77777777">
            <w:trPr>
              <w:trHeight w:val="276"/>
            </w:trPr>
            <w:tc>
              <w:tcPr>
                <w:tcW w:w="2404" w:type="dxa"/>
              </w:tcPr>
              <w:p w14:paraId="05E91CAE" w14:textId="77777777" w:rsidR="00242C54" w:rsidRDefault="00242C54">
                <w:pPr>
                  <w:tabs>
                    <w:tab w:val="right" w:pos="8838"/>
                  </w:tabs>
                  <w:ind w:right="-105"/>
                  <w:rPr>
                    <w:b/>
                  </w:rPr>
                </w:pPr>
                <w:r>
                  <w:rPr>
                    <w:b/>
                  </w:rPr>
                  <w:t>Comisionado Ponente:</w:t>
                </w:r>
              </w:p>
            </w:tc>
            <w:tc>
              <w:tcPr>
                <w:tcW w:w="3975" w:type="dxa"/>
              </w:tcPr>
              <w:p w14:paraId="5AFDEF50" w14:textId="77777777" w:rsidR="00242C54" w:rsidRDefault="00242C54">
                <w:pPr>
                  <w:tabs>
                    <w:tab w:val="right" w:pos="8838"/>
                  </w:tabs>
                  <w:ind w:right="-107"/>
                </w:pPr>
                <w:r>
                  <w:t>Luis Gustavo Parra Noriega</w:t>
                </w:r>
              </w:p>
            </w:tc>
          </w:tr>
        </w:tbl>
        <w:p w14:paraId="62536BFB" w14:textId="77777777" w:rsidR="00242C54" w:rsidRDefault="00242C54">
          <w:pPr>
            <w:tabs>
              <w:tab w:val="right" w:pos="8838"/>
            </w:tabs>
            <w:ind w:left="-28"/>
            <w:rPr>
              <w:rFonts w:ascii="Arial" w:eastAsia="Arial" w:hAnsi="Arial" w:cs="Arial"/>
              <w:b/>
            </w:rPr>
          </w:pPr>
        </w:p>
      </w:tc>
    </w:tr>
  </w:tbl>
  <w:p w14:paraId="1A0664C8" w14:textId="77777777" w:rsidR="00242C54" w:rsidRDefault="00242C5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3894"/>
    <w:multiLevelType w:val="multilevel"/>
    <w:tmpl w:val="AFACD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907F47"/>
    <w:multiLevelType w:val="multilevel"/>
    <w:tmpl w:val="1DA49B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FF6448"/>
    <w:multiLevelType w:val="hybridMultilevel"/>
    <w:tmpl w:val="548879D2"/>
    <w:lvl w:ilvl="0" w:tplc="C0ECC774">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633929"/>
    <w:multiLevelType w:val="multilevel"/>
    <w:tmpl w:val="40487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433CEF"/>
    <w:multiLevelType w:val="multilevel"/>
    <w:tmpl w:val="D2242AB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14B3DEA"/>
    <w:multiLevelType w:val="multilevel"/>
    <w:tmpl w:val="FF5C09E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F57479"/>
    <w:multiLevelType w:val="hybridMultilevel"/>
    <w:tmpl w:val="27323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953AD0"/>
    <w:multiLevelType w:val="multilevel"/>
    <w:tmpl w:val="13400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0C24FA"/>
    <w:multiLevelType w:val="multilevel"/>
    <w:tmpl w:val="83D2740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D715D0"/>
    <w:multiLevelType w:val="multilevel"/>
    <w:tmpl w:val="1B46A8E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3C6D47"/>
    <w:multiLevelType w:val="multilevel"/>
    <w:tmpl w:val="FE8A8C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BC44C0"/>
    <w:multiLevelType w:val="multilevel"/>
    <w:tmpl w:val="5C9C3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1B3CA3"/>
    <w:multiLevelType w:val="multilevel"/>
    <w:tmpl w:val="16F897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6023034">
    <w:abstractNumId w:val="4"/>
  </w:num>
  <w:num w:numId="2" w16cid:durableId="1251961466">
    <w:abstractNumId w:val="3"/>
  </w:num>
  <w:num w:numId="3" w16cid:durableId="961691865">
    <w:abstractNumId w:val="6"/>
  </w:num>
  <w:num w:numId="4" w16cid:durableId="1275595009">
    <w:abstractNumId w:val="2"/>
  </w:num>
  <w:num w:numId="5" w16cid:durableId="73089848">
    <w:abstractNumId w:val="0"/>
  </w:num>
  <w:num w:numId="6" w16cid:durableId="952515020">
    <w:abstractNumId w:val="5"/>
  </w:num>
  <w:num w:numId="7" w16cid:durableId="978068993">
    <w:abstractNumId w:val="7"/>
  </w:num>
  <w:num w:numId="8" w16cid:durableId="1371608742">
    <w:abstractNumId w:val="1"/>
  </w:num>
  <w:num w:numId="9" w16cid:durableId="804736813">
    <w:abstractNumId w:val="11"/>
  </w:num>
  <w:num w:numId="10" w16cid:durableId="1216427909">
    <w:abstractNumId w:val="12"/>
  </w:num>
  <w:num w:numId="11" w16cid:durableId="916670792">
    <w:abstractNumId w:val="10"/>
  </w:num>
  <w:num w:numId="12" w16cid:durableId="1268924450">
    <w:abstractNumId w:val="8"/>
  </w:num>
  <w:num w:numId="13" w16cid:durableId="878130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FA"/>
    <w:rsid w:val="00000FC9"/>
    <w:rsid w:val="000324D0"/>
    <w:rsid w:val="000750C9"/>
    <w:rsid w:val="000E4DD6"/>
    <w:rsid w:val="001359FA"/>
    <w:rsid w:val="00195564"/>
    <w:rsid w:val="001C7A49"/>
    <w:rsid w:val="00242C54"/>
    <w:rsid w:val="0029377C"/>
    <w:rsid w:val="002D59CE"/>
    <w:rsid w:val="0033655D"/>
    <w:rsid w:val="00451F8E"/>
    <w:rsid w:val="004C29B5"/>
    <w:rsid w:val="00555932"/>
    <w:rsid w:val="0055733F"/>
    <w:rsid w:val="00557355"/>
    <w:rsid w:val="00580A36"/>
    <w:rsid w:val="005A6491"/>
    <w:rsid w:val="005E0964"/>
    <w:rsid w:val="005F3AB8"/>
    <w:rsid w:val="00697F04"/>
    <w:rsid w:val="0071002F"/>
    <w:rsid w:val="007C5F4A"/>
    <w:rsid w:val="008B1212"/>
    <w:rsid w:val="00924A65"/>
    <w:rsid w:val="009457B9"/>
    <w:rsid w:val="00953BCA"/>
    <w:rsid w:val="00957E4D"/>
    <w:rsid w:val="009D6AC8"/>
    <w:rsid w:val="009E3DD4"/>
    <w:rsid w:val="00A61CB5"/>
    <w:rsid w:val="00AD5306"/>
    <w:rsid w:val="00B02A11"/>
    <w:rsid w:val="00BB20F5"/>
    <w:rsid w:val="00C25BA5"/>
    <w:rsid w:val="00D349A4"/>
    <w:rsid w:val="00D836A1"/>
    <w:rsid w:val="00D97AAC"/>
    <w:rsid w:val="00EE75AF"/>
    <w:rsid w:val="00F07263"/>
    <w:rsid w:val="00F97F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F8F20"/>
  <w15:docId w15:val="{89906233-708B-4B68-AA0F-31E45B05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F840E4"/>
    <w:rPr>
      <w:b/>
      <w:color w:val="000000" w:themeColor="text1"/>
      <w:sz w:val="24"/>
      <w:szCs w:val="48"/>
    </w:rPr>
  </w:style>
  <w:style w:type="character" w:customStyle="1" w:styleId="Ttulo2Car">
    <w:name w:val="Título 2 Car"/>
    <w:basedOn w:val="Fuentedeprrafopredeter"/>
    <w:link w:val="Ttulo2"/>
    <w:uiPriority w:val="9"/>
    <w:rsid w:val="00F840E4"/>
    <w:rPr>
      <w:b/>
      <w:color w:val="000000" w:themeColor="text1"/>
      <w:szCs w:val="36"/>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Bbrvd6XLZn75B7+foc3V0akaw==">CgMxLjAyDmgubW9ibGVwYXRzcnRvMg5oLm5haDF6azMwZGJ3djIOaC5id3lxcjFzM3p2cmMyDmguOGh4ZTdjaXNraXgzMg5oLmt5ajBpMGsxdDA3cjIOaC5zZ2ozeWwxbTZ1dzAyDWguYjNicTc4NWpkbjQyDmguM2hnMTBxaXg4ZndkMg5oLnI2b3A5aWhmOTMwNzIOaC5teXR0b3VlcDhzZnoyDmgudmdhNzlsM2cxcWY2Mg5oLmM0aHg4dGlxdjdpaDIOaC5tbHE4czhodHgwNGE4AHIhMS1RM044ekdXandOTGZvVExMNndnaVF3UGhtMUpfZzJ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D5C5A8-E10C-4B0F-9D9C-EE265227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10039</Words>
  <Characters>53810</Characters>
  <Application>Microsoft Office Word</Application>
  <DocSecurity>0</DocSecurity>
  <Lines>1055</Lines>
  <Paragraphs>263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Office</cp:lastModifiedBy>
  <cp:revision>2</cp:revision>
  <dcterms:created xsi:type="dcterms:W3CDTF">2026-02-27T03:57:00Z</dcterms:created>
  <dcterms:modified xsi:type="dcterms:W3CDTF">2026-02-27T03:57:00Z</dcterms:modified>
</cp:coreProperties>
</file>