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Palatino Linotype" w:cs="Palatino Linotype" w:eastAsia="Palatino Linotype" w:hAnsi="Palatino Linotype"/>
          <w:sz w:val="22"/>
          <w:szCs w:val="22"/>
        </w:rPr>
      </w:pPr>
      <w:bookmarkStart w:colFirst="0" w:colLast="0" w:name="_heading=h.2et92p0" w:id="0"/>
      <w:bookmarkEnd w:id="0"/>
      <w:r w:rsidDel="00000000" w:rsidR="00000000" w:rsidRPr="00000000">
        <w:rPr>
          <w:rFonts w:ascii="Palatino Linotype" w:cs="Palatino Linotype" w:eastAsia="Palatino Linotype" w:hAnsi="Palatino Linotype"/>
          <w:sz w:val="22"/>
          <w:szCs w:val="22"/>
          <w:rtl w:val="0"/>
        </w:rPr>
        <w:t xml:space="preserve">Resolución del Pleno del Instituto de Transparencia, Acceso a la Información Pública y Protección de Datos Personales del Estado de México y Municipios, con domicilio en Metepec, Estado de México, de fecha </w:t>
      </w:r>
      <w:r w:rsidDel="00000000" w:rsidR="00000000" w:rsidRPr="00000000">
        <w:rPr>
          <w:rFonts w:ascii="Palatino Linotype" w:cs="Palatino Linotype" w:eastAsia="Palatino Linotype" w:hAnsi="Palatino Linotype"/>
          <w:b w:val="1"/>
          <w:bCs w:val="1"/>
          <w:sz w:val="22"/>
          <w:szCs w:val="22"/>
          <w:rtl w:val="0"/>
        </w:rPr>
        <w:t xml:space="preserve">diecisiete de septiembre de dos mil veintiséis</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0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Visto</w:t>
      </w:r>
      <w:r w:rsidDel="00000000" w:rsidR="00000000" w:rsidRPr="00000000">
        <w:rPr>
          <w:rFonts w:ascii="Palatino Linotype" w:cs="Palatino Linotype" w:eastAsia="Palatino Linotype" w:hAnsi="Palatino Linotype"/>
          <w:sz w:val="22"/>
          <w:szCs w:val="22"/>
          <w:rtl w:val="0"/>
        </w:rPr>
        <w:t xml:space="preserve"> el expediente relativo al recurso de revisión </w:t>
      </w:r>
      <w:r w:rsidDel="00000000" w:rsidR="00000000" w:rsidRPr="00000000">
        <w:rPr>
          <w:rFonts w:ascii="Palatino Linotype" w:cs="Palatino Linotype" w:eastAsia="Palatino Linotype" w:hAnsi="Palatino Linotype"/>
          <w:b w:val="1"/>
          <w:bCs w:val="1"/>
          <w:sz w:val="22"/>
          <w:szCs w:val="22"/>
          <w:rtl w:val="0"/>
        </w:rPr>
        <w:t xml:space="preserve">05887/INFOEM/IP/RR/2026</w:t>
      </w:r>
      <w:r w:rsidDel="00000000" w:rsidR="00000000" w:rsidRPr="00000000">
        <w:rPr>
          <w:rFonts w:ascii="Palatino Linotype" w:cs="Palatino Linotype" w:eastAsia="Palatino Linotype" w:hAnsi="Palatino Linotype"/>
          <w:sz w:val="22"/>
          <w:szCs w:val="22"/>
          <w:rtl w:val="0"/>
        </w:rPr>
        <w:t xml:space="preserve">, interpuesto por </w:t>
      </w:r>
      <w:r w:rsidDel="00000000" w:rsidR="00000000" w:rsidRPr="00000000">
        <w:rPr>
          <w:rFonts w:ascii="Palatino Linotype" w:cs="Palatino Linotype" w:eastAsia="Palatino Linotype" w:hAnsi="Palatino Linotype"/>
          <w:b w:val="1"/>
          <w:bCs w:val="1"/>
          <w:sz w:val="22"/>
          <w:szCs w:val="22"/>
          <w:rtl w:val="0"/>
        </w:rPr>
        <w:t xml:space="preserve">una persona que no proporcionó nombre o seudónimo, </w:t>
      </w:r>
      <w:r w:rsidDel="00000000" w:rsidR="00000000" w:rsidRPr="00000000">
        <w:rPr>
          <w:rFonts w:ascii="Palatino Linotype" w:cs="Palatino Linotype" w:eastAsia="Palatino Linotype" w:hAnsi="Palatino Linotype"/>
          <w:sz w:val="22"/>
          <w:szCs w:val="22"/>
          <w:rtl w:val="0"/>
        </w:rPr>
        <w:t xml:space="preserve">en lo sucesivo se le denominará la parte</w:t>
      </w:r>
      <w:r w:rsidDel="00000000" w:rsidR="00000000" w:rsidRPr="00000000">
        <w:rPr>
          <w:rFonts w:ascii="Palatino Linotype" w:cs="Palatino Linotype" w:eastAsia="Palatino Linotype" w:hAnsi="Palatino Linotype"/>
          <w:b w:val="1"/>
          <w:bCs w:val="1"/>
          <w:sz w:val="22"/>
          <w:szCs w:val="22"/>
          <w:rtl w:val="0"/>
        </w:rPr>
        <w:t xml:space="preserve"> Recurrente</w:t>
      </w:r>
      <w:r w:rsidDel="00000000" w:rsidR="00000000" w:rsidRPr="00000000">
        <w:rPr>
          <w:rFonts w:ascii="Palatino Linotype" w:cs="Palatino Linotype" w:eastAsia="Palatino Linotype" w:hAnsi="Palatino Linotype"/>
          <w:sz w:val="22"/>
          <w:szCs w:val="22"/>
          <w:rtl w:val="0"/>
        </w:rPr>
        <w:t xml:space="preserve">, en contra de la respuesta a su solicitud de información con número de folio</w:t>
      </w:r>
      <w:r w:rsidDel="00000000" w:rsidR="00000000" w:rsidRPr="00000000">
        <w:rPr>
          <w:rFonts w:ascii="Palatino Linotype" w:cs="Palatino Linotype" w:eastAsia="Palatino Linotype" w:hAnsi="Palatino Linotype"/>
          <w:b w:val="1"/>
          <w:bCs w:val="1"/>
          <w:sz w:val="22"/>
          <w:szCs w:val="22"/>
          <w:rtl w:val="0"/>
        </w:rPr>
        <w:t xml:space="preserve"> 00004/UTVT/IP/2026</w:t>
      </w:r>
      <w:r w:rsidDel="00000000" w:rsidR="00000000" w:rsidRPr="00000000">
        <w:rPr>
          <w:rFonts w:ascii="Palatino Linotype" w:cs="Palatino Linotype" w:eastAsia="Palatino Linotype" w:hAnsi="Palatino Linotype"/>
          <w:sz w:val="22"/>
          <w:szCs w:val="22"/>
          <w:rtl w:val="0"/>
        </w:rPr>
        <w:t xml:space="preserve">, por parte del </w:t>
      </w:r>
      <w:r w:rsidDel="00000000" w:rsidR="00000000" w:rsidRPr="00000000">
        <w:rPr>
          <w:rFonts w:ascii="Palatino Linotype" w:cs="Palatino Linotype" w:eastAsia="Palatino Linotype" w:hAnsi="Palatino Linotype"/>
          <w:b w:val="1"/>
          <w:bCs w:val="1"/>
          <w:sz w:val="22"/>
          <w:szCs w:val="22"/>
          <w:rtl w:val="0"/>
        </w:rPr>
        <w:t xml:space="preserve">Universidad Tecnológica del Valle de Toluca, </w:t>
      </w:r>
      <w:r w:rsidDel="00000000" w:rsidR="00000000" w:rsidRPr="00000000">
        <w:rPr>
          <w:rFonts w:ascii="Palatino Linotype" w:cs="Palatino Linotype" w:eastAsia="Palatino Linotype" w:hAnsi="Palatino Linotype"/>
          <w:sz w:val="22"/>
          <w:szCs w:val="22"/>
          <w:rtl w:val="0"/>
        </w:rPr>
        <w:t xml:space="preserve">en lo sucesivo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se procede a dictar la presente resolución, con base en los siguientes:</w:t>
      </w:r>
    </w:p>
    <w:p w:rsidR="00000000" w:rsidDel="00000000" w:rsidP="00000000" w:rsidRDefault="00000000" w:rsidRPr="00000000" w14:paraId="00000004">
      <w:pPr>
        <w:numPr>
          <w:ilvl w:val="0"/>
          <w:numId w:val="4"/>
        </w:numPr>
        <w:pBdr>
          <w:top w:space="0" w:sz="0" w:val="nil"/>
          <w:left w:space="0" w:sz="0" w:val="nil"/>
          <w:bottom w:space="0" w:sz="0" w:val="nil"/>
          <w:right w:space="0" w:sz="0" w:val="nil"/>
          <w:between w:space="0" w:sz="0" w:val="nil"/>
        </w:pBdr>
        <w:spacing w:line="360" w:lineRule="auto"/>
        <w:ind w:left="993" w:hanging="276.0000000000001"/>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 N T E C E D E N T E S:</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360" w:lineRule="auto"/>
        <w:ind w:left="1077" w:firstLine="0"/>
        <w:jc w:val="center"/>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06">
      <w:pPr>
        <w:numPr>
          <w:ilvl w:val="1"/>
          <w:numId w:val="5"/>
        </w:numPr>
        <w:pBdr>
          <w:top w:space="0" w:sz="0" w:val="nil"/>
          <w:left w:space="0" w:sz="0" w:val="nil"/>
          <w:bottom w:space="0" w:sz="0" w:val="nil"/>
          <w:right w:space="0" w:sz="0" w:val="nil"/>
          <w:between w:space="0" w:sz="0" w:val="nil"/>
        </w:pBdr>
        <w:spacing w:line="360" w:lineRule="auto"/>
        <w:ind w:left="0"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Solicitud de acceso a la información. </w:t>
      </w:r>
      <w:r w:rsidDel="00000000" w:rsidR="00000000" w:rsidRPr="00000000">
        <w:rPr>
          <w:rFonts w:ascii="Palatino Linotype" w:cs="Palatino Linotype" w:eastAsia="Palatino Linotype" w:hAnsi="Palatino Linotype"/>
          <w:sz w:val="22"/>
          <w:szCs w:val="22"/>
          <w:rtl w:val="0"/>
        </w:rPr>
        <w:t xml:space="preserve">Con fecha </w:t>
      </w:r>
      <w:r w:rsidDel="00000000" w:rsidR="00000000" w:rsidRPr="00000000">
        <w:rPr>
          <w:rFonts w:ascii="Palatino Linotype" w:cs="Palatino Linotype" w:eastAsia="Palatino Linotype" w:hAnsi="Palatino Linotype"/>
          <w:b w:val="1"/>
          <w:bCs w:val="1"/>
          <w:sz w:val="22"/>
          <w:szCs w:val="22"/>
          <w:rtl w:val="0"/>
        </w:rPr>
        <w:t xml:space="preserve">veinte de abril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formuló solicitud de acceso a información pública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través del Sistema de Acceso a la Información Mexiquense, en adelante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requiriéndole lo siguiente:</w:t>
      </w:r>
      <w:r w:rsidDel="00000000" w:rsidR="00000000" w:rsidRPr="00000000">
        <w:rPr>
          <w:rtl w:val="0"/>
        </w:rPr>
      </w:r>
    </w:p>
    <w:p w:rsidR="00000000" w:rsidDel="00000000" w:rsidP="00000000" w:rsidRDefault="00000000" w:rsidRPr="00000000" w14:paraId="00000007">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08">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“Solicito el currículum vitae de la nueva rectora y oficial de nombramiento o designación”</w:t>
      </w:r>
    </w:p>
    <w:p w:rsidR="00000000" w:rsidDel="00000000" w:rsidP="00000000" w:rsidRDefault="00000000" w:rsidRPr="00000000" w14:paraId="00000009">
      <w:pPr>
        <w:spacing w:line="360" w:lineRule="auto"/>
        <w:ind w:left="709" w:right="900"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0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Modalidad elegida para la entrega de la información: </w:t>
      </w:r>
      <w:r w:rsidDel="00000000" w:rsidR="00000000" w:rsidRPr="00000000">
        <w:rPr>
          <w:rFonts w:ascii="Palatino Linotype" w:cs="Palatino Linotype" w:eastAsia="Palatino Linotype" w:hAnsi="Palatino Linotype"/>
          <w:sz w:val="22"/>
          <w:szCs w:val="22"/>
          <w:rtl w:val="0"/>
        </w:rPr>
        <w:t xml:space="preserve">a través del Sistema de Acceso a la Información Mexiquense. </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C">
      <w:pPr>
        <w:numPr>
          <w:ilvl w:val="0"/>
          <w:numId w:val="5"/>
        </w:numPr>
        <w:pBdr>
          <w:top w:space="0" w:sz="0" w:val="nil"/>
          <w:left w:space="0" w:sz="0" w:val="nil"/>
          <w:bottom w:space="0" w:sz="0" w:val="nil"/>
          <w:right w:space="0" w:sz="0" w:val="nil"/>
          <w:between w:space="0" w:sz="0" w:val="nil"/>
        </w:pBdr>
        <w:spacing w:line="360" w:lineRule="auto"/>
        <w:ind w:left="0"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Solicitud de aclaración: </w:t>
      </w:r>
      <w:r w:rsidDel="00000000" w:rsidR="00000000" w:rsidRPr="00000000">
        <w:rPr>
          <w:rFonts w:ascii="Palatino Linotype" w:cs="Palatino Linotype" w:eastAsia="Palatino Linotype" w:hAnsi="Palatino Linotype"/>
          <w:sz w:val="22"/>
          <w:szCs w:val="22"/>
          <w:rtl w:val="0"/>
        </w:rPr>
        <w:t xml:space="preserve">En fecha </w:t>
      </w:r>
      <w:r w:rsidDel="00000000" w:rsidR="00000000" w:rsidRPr="00000000">
        <w:rPr>
          <w:rFonts w:ascii="Palatino Linotype" w:cs="Palatino Linotype" w:eastAsia="Palatino Linotype" w:hAnsi="Palatino Linotype"/>
          <w:b w:val="1"/>
          <w:bCs w:val="1"/>
          <w:sz w:val="22"/>
          <w:szCs w:val="22"/>
          <w:rtl w:val="0"/>
        </w:rPr>
        <w:t xml:space="preserve">veintisiete de abril de dos mil veintiséis</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formuló solicitud de aclaración a la persona solicitante, en los siguientes términos:</w:t>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142"/>
          <w:tab w:val="left" w:leader="none" w:pos="284"/>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“Me refiero al oficio número 228C2501000100S/170/2026 de fecha veintiuno de abril (adjunto), mediante el cual solicita brindar atención a la Solicitud de Acceso a la Información Pública con número de folio 00004/UTVT/IP/2026 que a la letra dice: “Solicito el currículum vitae de la nueva rectora y oficial de nombramiento o designación". Al respecto y, con fundamento en el Artículo 159 de la Ley de Transparencia y Acceso a la Información Pública del Estado de México y Municipios que a la letra dice “Artículo 159. Cuando los detalles proporcionados para localizar los documentos resulten insuficientes, incompletos o sean erróneos, la Unidad de Transparencia podrá requerir al solicitante, por una sola vez y dentro de un plazo que no podrá exceder de cinco días hábiles contados a partir de la presentación de la solicitud, para que, en un término de hasta diez días hábiles, indique otros elementos que complementen, corrijan o amplíen los datos proporcionados o bien, precise uno o varios requerimientos de información. En este requerimiento interrumpirá el plazo de respuesta establecido en el artículo 163 de la presente Ley, por lo que comenzará a computarse nuevamente al día siguiente del desahogo por parte del particular. En este caso, el sujeto obligado atenderá la solicitud en los términos en que fue desahogado el requerimiento de información adicional. La solicitud se tendrá por no presentada cuando los solicitantes no atiendan el requerimiento de información adicional, salvo que en la solicitud inicial se aprecien elementos que permitan identificar la información requerida, quedando a salvo los derechos del particular para volver a presentar su solicitud. En el caso de requerimientos parciales no desahogados, se tendrá por presentada la solicitud por lo que respecta a los contenidos de información que no formaron parte del requerimiento”. Por lo anterior, </w:t>
      </w:r>
      <w:r w:rsidDel="00000000" w:rsidR="00000000" w:rsidRPr="00000000">
        <w:rPr>
          <w:rFonts w:ascii="Palatino Linotype" w:cs="Palatino Linotype" w:eastAsia="Palatino Linotype" w:hAnsi="Palatino Linotype"/>
          <w:b w:val="1"/>
          <w:bCs w:val="1"/>
          <w:i w:val="1"/>
          <w:iCs w:val="1"/>
          <w:sz w:val="22"/>
          <w:szCs w:val="22"/>
          <w:rtl w:val="0"/>
        </w:rPr>
        <w:t xml:space="preserve">solicitó corregir, ampliar los datos solicitados o bien precisar si la solicitud corresponde a un curriculum vitae oficial o un nombramiento oficial. </w:t>
      </w:r>
      <w:r w:rsidDel="00000000" w:rsidR="00000000" w:rsidRPr="00000000">
        <w:rPr>
          <w:rFonts w:ascii="Palatino Linotype" w:cs="Palatino Linotype" w:eastAsia="Palatino Linotype" w:hAnsi="Palatino Linotype"/>
          <w:i w:val="1"/>
          <w:iCs w:val="1"/>
          <w:sz w:val="22"/>
          <w:szCs w:val="22"/>
          <w:rtl w:val="0"/>
        </w:rPr>
        <w:t xml:space="preserve">Sin más por el momento, reciba un cordial saludo.” (Sic)</w:t>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142"/>
          <w:tab w:val="left" w:leader="none" w:pos="284"/>
        </w:tabs>
        <w:ind w:right="616"/>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142"/>
          <w:tab w:val="left" w:leader="none" w:pos="284"/>
        </w:tabs>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Adjuntado el archivo electrónico denominado </w:t>
      </w:r>
      <w:r w:rsidDel="00000000" w:rsidR="00000000" w:rsidRPr="00000000">
        <w:rPr>
          <w:rFonts w:ascii="Palatino Linotype" w:cs="Palatino Linotype" w:eastAsia="Palatino Linotype" w:hAnsi="Palatino Linotype"/>
          <w:b w:val="1"/>
          <w:bCs w:val="1"/>
          <w:i w:val="1"/>
          <w:iCs w:val="1"/>
          <w:sz w:val="22"/>
          <w:szCs w:val="22"/>
          <w:rtl w:val="0"/>
        </w:rPr>
        <w:t xml:space="preserve">“ofc460-26.PDF”</w:t>
      </w:r>
      <w:r w:rsidDel="00000000" w:rsidR="00000000" w:rsidRPr="00000000">
        <w:rPr>
          <w:rFonts w:ascii="Palatino Linotype" w:cs="Palatino Linotype" w:eastAsia="Palatino Linotype" w:hAnsi="Palatino Linotype"/>
          <w:sz w:val="22"/>
          <w:szCs w:val="22"/>
          <w:rtl w:val="0"/>
        </w:rPr>
        <w:t xml:space="preserve">, que contiene el oficio número 228C2501010000L/460/2026 suscrito por la Directora de Administración y Finanzas, en el que solicitó al particular, corregir, ampliar los datos solicitados o bien precisar si la solicitud corresponde a un currículum vitae oficial o un nombramiento oficial.</w:t>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142"/>
          <w:tab w:val="left" w:leader="none" w:pos="284"/>
        </w:tabs>
        <w:ind w:right="616"/>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1">
      <w:pPr>
        <w:numPr>
          <w:ilvl w:val="0"/>
          <w:numId w:val="7"/>
        </w:numPr>
        <w:pBdr>
          <w:top w:space="0" w:sz="0" w:val="nil"/>
          <w:left w:space="0" w:sz="0" w:val="nil"/>
          <w:bottom w:space="0" w:sz="0" w:val="nil"/>
          <w:right w:space="0" w:sz="0" w:val="nil"/>
          <w:between w:space="0" w:sz="0" w:val="nil"/>
        </w:pBdr>
        <w:tabs>
          <w:tab w:val="left" w:leader="none" w:pos="142"/>
          <w:tab w:val="left" w:leader="none" w:pos="284"/>
        </w:tabs>
        <w:spacing w:line="360" w:lineRule="auto"/>
        <w:ind w:left="0"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Aclaración: </w:t>
      </w: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veintiocho de abril de dos mil veintiséis</w:t>
      </w:r>
      <w:r w:rsidDel="00000000" w:rsidR="00000000" w:rsidRPr="00000000">
        <w:rPr>
          <w:rFonts w:ascii="Palatino Linotype" w:cs="Palatino Linotype" w:eastAsia="Palatino Linotype" w:hAnsi="Palatino Linotype"/>
          <w:sz w:val="22"/>
          <w:szCs w:val="22"/>
          <w:rtl w:val="0"/>
        </w:rPr>
        <w:t xml:space="preserve">, la persona Solicitante desahogo la aclaración formulada por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en los siguientes términos:</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142"/>
          <w:tab w:val="left" w:leader="none" w:pos="284"/>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142"/>
          <w:tab w:val="left" w:leader="none" w:pos="284"/>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“Buenas tardes Requiero currículum vitae de la rectora Oficio de nombramiento o designación como rectora Y se me olvidó pedir recibo de nómina de la primera quincena de la rectora Pero no sé si me atiendan esta nueva petición, por lo tanto les haré otra solicitud Gracias” (Sic)</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5">
      <w:pPr>
        <w:numPr>
          <w:ilvl w:val="0"/>
          <w:numId w:val="8"/>
        </w:numPr>
        <w:pBdr>
          <w:top w:space="0" w:sz="0" w:val="nil"/>
          <w:left w:space="0" w:sz="0" w:val="nil"/>
          <w:bottom w:space="0" w:sz="0" w:val="nil"/>
          <w:right w:space="0" w:sz="0" w:val="nil"/>
          <w:between w:space="0" w:sz="0" w:val="nil"/>
        </w:pBdr>
        <w:spacing w:line="360" w:lineRule="auto"/>
        <w:ind w:left="0"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Prórroga. </w:t>
      </w: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veintiuno de mayo de dos mil veintiséis, </w:t>
      </w: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notificó a la persona solicitante la prórroga para dar respuesta a la solicitud</w:t>
      </w:r>
      <w:r w:rsidDel="00000000" w:rsidR="00000000" w:rsidRPr="00000000">
        <w:rPr>
          <w:rFonts w:ascii="Palatino Linotype" w:cs="Palatino Linotype" w:eastAsia="Palatino Linotype" w:hAnsi="Palatino Linotype"/>
          <w:b w:val="1"/>
          <w:bCs w:val="1"/>
          <w:sz w:val="22"/>
          <w:szCs w:val="22"/>
          <w:rtl w:val="0"/>
        </w:rPr>
        <w:t xml:space="preserve">,</w:t>
      </w:r>
      <w:r w:rsidDel="00000000" w:rsidR="00000000" w:rsidRPr="00000000">
        <w:rPr>
          <w:rFonts w:ascii="Palatino Linotype" w:cs="Palatino Linotype" w:eastAsia="Palatino Linotype" w:hAnsi="Palatino Linotype"/>
          <w:sz w:val="22"/>
          <w:szCs w:val="22"/>
          <w:rtl w:val="0"/>
        </w:rPr>
        <w:t xml:space="preserve"> medularmente en los siguientes términos:</w:t>
      </w:r>
    </w:p>
    <w:p w:rsidR="00000000" w:rsidDel="00000000" w:rsidP="00000000" w:rsidRDefault="00000000" w:rsidRPr="00000000" w14:paraId="00000016">
      <w:pPr>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7">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“Con fundamento en el artículo 163 de la Ley de Transparencia y Acceso a la Información Pública del Estado de México y Municipios, se le hace de su conocimiento que el plazo de 15 días hábiles para atender su solicitud de información ha sido prorrogado por 7 días en virtud de las siguientes razones:</w:t>
      </w:r>
    </w:p>
    <w:p w:rsidR="00000000" w:rsidDel="00000000" w:rsidP="00000000" w:rsidRDefault="00000000" w:rsidRPr="00000000" w14:paraId="00000018">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9">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Debido a la naturaleza procesal de los documentos solicitados, de conformidad con el artículo 77, fracción XIV de la Constitución Política del Estado Libre y Soberano de México y, artículo 13 del Decreto del Ejecutivo del Estado por el que se crea el Organismo Público Descentralizado de Carácter Estatal Denominado Universidad Tecnológica del Valle de Toluca, </w:t>
      </w:r>
      <w:r w:rsidDel="00000000" w:rsidR="00000000" w:rsidRPr="00000000">
        <w:rPr>
          <w:rFonts w:ascii="Palatino Linotype" w:cs="Palatino Linotype" w:eastAsia="Palatino Linotype" w:hAnsi="Palatino Linotype"/>
          <w:b w:val="1"/>
          <w:bCs w:val="1"/>
          <w:i w:val="1"/>
          <w:iCs w:val="1"/>
          <w:sz w:val="22"/>
          <w:szCs w:val="22"/>
          <w:rtl w:val="0"/>
        </w:rPr>
        <w:t xml:space="preserve">la información solicitada se encuentra pendiente y en espera del pronunciamiento de la Dependencia competente</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por lo cual se solicitó la ampliación de plazo por un término de siete días más</w:t>
      </w:r>
      <w:r w:rsidDel="00000000" w:rsidR="00000000" w:rsidRPr="00000000">
        <w:rPr>
          <w:rFonts w:ascii="Palatino Linotype" w:cs="Palatino Linotype" w:eastAsia="Palatino Linotype" w:hAnsi="Palatino Linotype"/>
          <w:i w:val="1"/>
          <w:iCs w:val="1"/>
          <w:sz w:val="22"/>
          <w:szCs w:val="22"/>
          <w:rtl w:val="0"/>
        </w:rPr>
        <w:t xml:space="preserve">; lo anterior con fundamento en el artículo 163, de la Ley de Transparencia Acceso a la Información Pública del Estado de México y Municipios que a letra dice: “Artículo 163. La Unidad de Transparencia deberá notificar la respuesta a la solicitud al interesado en el menor tiempo posible, que no podrá exceder de quince días hábiles, contados a partir del día siguiente a la presentación de aquélla. Excepcionalmente, el plazo referido en el párrafo anterior podrá ampliarse hasta por siete días hábiles más, siempre y cuando existan razones fundadas y motivadas, las cuales deberán ser aprobadas por el Comité de Transparencia, mediante la emisión de una resolución que deberá notificarse al solicitante, antes de su vencimiento. No podrán invocarse como causales de ampliación del plazo motivos que supongan negligencia o descuido del sujeto obligado en el desahogo de la solicitud.”</w:t>
      </w:r>
    </w:p>
    <w:p w:rsidR="00000000" w:rsidDel="00000000" w:rsidP="00000000" w:rsidRDefault="00000000" w:rsidRPr="00000000" w14:paraId="0000001A">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B">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Mtro. Hugo Antonio Espinosa Ramírez</w:t>
      </w:r>
    </w:p>
    <w:p w:rsidR="00000000" w:rsidDel="00000000" w:rsidP="00000000" w:rsidRDefault="00000000" w:rsidRPr="00000000" w14:paraId="0000001C">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Responsable de la Unidad de Transparencia.” (sic)</w:t>
      </w:r>
    </w:p>
    <w:p w:rsidR="00000000" w:rsidDel="00000000" w:rsidP="00000000" w:rsidRDefault="00000000" w:rsidRPr="00000000" w14:paraId="0000001D">
      <w:pPr>
        <w:ind w:left="851" w:right="900"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E">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anexó el Acta de la Trigésima Segunda Sesión Extraordinaria del Comité de Transparencia celebrada el diecinueve de mayo de dos mil veintiséis, mediante la cual se aprobó la solicitud de ampliación del término legal por siete días hábiles adicionales para emitir respuesta a la solicitud de información 00004/UTVT/IP/2026, con fundamento en el artículo 163, segundo párrafo de la Ley de Transparencia y Acceso a la Información Pública del estado de México y Municipios.</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0">
      <w:pPr>
        <w:numPr>
          <w:ilvl w:val="0"/>
          <w:numId w:val="8"/>
        </w:numPr>
        <w:pBdr>
          <w:top w:space="0" w:sz="0" w:val="nil"/>
          <w:left w:space="0" w:sz="0" w:val="nil"/>
          <w:bottom w:space="0" w:sz="0" w:val="nil"/>
          <w:right w:space="0" w:sz="0" w:val="nil"/>
          <w:between w:space="0" w:sz="0" w:val="nil"/>
        </w:pBdr>
        <w:spacing w:line="360" w:lineRule="auto"/>
        <w:ind w:left="0"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Respuesta. </w:t>
      </w:r>
      <w:r w:rsidDel="00000000" w:rsidR="00000000" w:rsidRPr="00000000">
        <w:rPr>
          <w:rFonts w:ascii="Palatino Linotype" w:cs="Palatino Linotype" w:eastAsia="Palatino Linotype" w:hAnsi="Palatino Linotype"/>
          <w:sz w:val="22"/>
          <w:szCs w:val="22"/>
          <w:rtl w:val="0"/>
        </w:rPr>
        <w:t xml:space="preserve">Con fecha </w:t>
      </w:r>
      <w:r w:rsidDel="00000000" w:rsidR="00000000" w:rsidRPr="00000000">
        <w:rPr>
          <w:rFonts w:ascii="Palatino Linotype" w:cs="Palatino Linotype" w:eastAsia="Palatino Linotype" w:hAnsi="Palatino Linotype"/>
          <w:b w:val="1"/>
          <w:bCs w:val="1"/>
          <w:sz w:val="22"/>
          <w:szCs w:val="22"/>
          <w:rtl w:val="0"/>
        </w:rPr>
        <w:t xml:space="preserve">primero de junio de dos mil veintiséis</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envió su respuesta a la solicitud de acceso a la información a través del SAIMEX, la cual versa como sigue: </w:t>
      </w:r>
    </w:p>
    <w:p w:rsidR="00000000" w:rsidDel="00000000" w:rsidP="00000000" w:rsidRDefault="00000000" w:rsidRPr="00000000" w14:paraId="00000021">
      <w:pPr>
        <w:tabs>
          <w:tab w:val="left" w:leader="none" w:pos="7371"/>
        </w:tabs>
        <w:spacing w:line="360" w:lineRule="auto"/>
        <w:ind w:left="567" w:right="616" w:firstLine="0"/>
        <w:jc w:val="both"/>
        <w:rPr>
          <w:rFonts w:ascii="Palatino Linotype" w:cs="Palatino Linotype" w:eastAsia="Palatino Linotype" w:hAnsi="Palatino Linotype"/>
          <w:i w:val="1"/>
          <w:iCs w:val="1"/>
          <w:sz w:val="22"/>
          <w:szCs w:val="22"/>
        </w:rPr>
      </w:pPr>
      <w:bookmarkStart w:colFirst="0" w:colLast="0" w:name="_heading=h.3znysh7" w:id="1"/>
      <w:bookmarkEnd w:id="1"/>
      <w:r w:rsidDel="00000000" w:rsidR="00000000" w:rsidRPr="00000000">
        <w:rPr>
          <w:rtl w:val="0"/>
        </w:rPr>
      </w:r>
    </w:p>
    <w:p w:rsidR="00000000" w:rsidDel="00000000" w:rsidP="00000000" w:rsidRDefault="00000000" w:rsidRPr="00000000" w14:paraId="00000022">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atención al oficio número 228C2500100100S/170/2026, de fecha 21 de abril de 2026, mediante el cual se solicita información relacionada con la Solicitud de Acceso a la Información Pública con número de folio 00004/UTVT/IP/2026, que a la letra dice: “Solicito el currículum vitae de la nueva rectora y oficial de nombramiento o designación”. Por lo anterior y derivado de la naturaleza procesal de la información solicitada, este Sujeto Obligado se encuentra recabando la información y en espera de la respuesta de la Dependencia correspondiente, con la finalidad de contar con la información para garantizar que ésta sea accesible, actualizada, congruente, confiable, verificable, veraz, integral, oportuna y expedita. Por lo que una vez que se cuente con la documentación correspondiente, se podrá atender dicha solicitud de información. Sin más por el momento, me reitero a sus órdenes.” (Sic)</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Adjuntando a su respuesta lo siguiente: </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49"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ofc-616-26.pdf</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Oficio número 228C2501010000L/616/2026 suscrito por la Directora de Administración y Finanzas en el que informó que derivado de la naturaleza procesal de la información solicitada, se encuentra recabando la información y en espera de la respuesta de la Dependencia correspondiente, con la finalidad de contar con la información para garantizar que ésta sea accesible, actualizada, congruente, confiable, verificable, veraz, integral, oportuna y expedita, por lo que una vez que se cuente con la documentación correspondiente, se podrá atender dicha solicitud de información.</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49"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RespSIP00004UTVT-IP-2026.pdf</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Oficio suscrito por la Unidad de Transparencia en el que informó que mediante oficio número 228C2501010000L/616/2026 la Directora de Administración y Finanzas informó que derivado de la naturaleza procesal de la información solicitada anteriormente, se encuentra recabando la información y está en espera de la respuesta de la Dependencia competente, con la finalidad de contar con la información completa para garantizar que ésta sea accesible, actualizada, completa, congruente, confiable, verificable, veraz, integral, oportuna y expedita.</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9">
      <w:pPr>
        <w:numPr>
          <w:ilvl w:val="0"/>
          <w:numId w:val="8"/>
        </w:numPr>
        <w:pBdr>
          <w:top w:space="0" w:sz="0" w:val="nil"/>
          <w:left w:space="0" w:sz="0" w:val="nil"/>
          <w:bottom w:space="0" w:sz="0" w:val="nil"/>
          <w:right w:space="0" w:sz="0" w:val="nil"/>
          <w:between w:space="0" w:sz="0" w:val="nil"/>
        </w:pBdr>
        <w:tabs>
          <w:tab w:val="left" w:leader="none" w:pos="426"/>
        </w:tabs>
        <w:spacing w:line="360" w:lineRule="auto"/>
        <w:ind w:left="0" w:right="49"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Interposición del recurso de revisión. </w:t>
      </w:r>
      <w:r w:rsidDel="00000000" w:rsidR="00000000" w:rsidRPr="00000000">
        <w:rPr>
          <w:rFonts w:ascii="Palatino Linotype" w:cs="Palatino Linotype" w:eastAsia="Palatino Linotype" w:hAnsi="Palatino Linotype"/>
          <w:sz w:val="22"/>
          <w:szCs w:val="22"/>
          <w:rtl w:val="0"/>
        </w:rPr>
        <w:t xml:space="preserve">Inconforme con la respuesta del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la parte</w:t>
      </w:r>
      <w:r w:rsidDel="00000000" w:rsidR="00000000" w:rsidRPr="00000000">
        <w:rPr>
          <w:rFonts w:ascii="Palatino Linotype" w:cs="Palatino Linotype" w:eastAsia="Palatino Linotype" w:hAnsi="Palatino Linotype"/>
          <w:b w:val="1"/>
          <w:bCs w:val="1"/>
          <w:sz w:val="22"/>
          <w:szCs w:val="22"/>
          <w:rtl w:val="0"/>
        </w:rPr>
        <w:t xml:space="preserve"> Recurrente</w:t>
      </w:r>
      <w:r w:rsidDel="00000000" w:rsidR="00000000" w:rsidRPr="00000000">
        <w:rPr>
          <w:rFonts w:ascii="Palatino Linotype" w:cs="Palatino Linotype" w:eastAsia="Palatino Linotype" w:hAnsi="Palatino Linotype"/>
          <w:sz w:val="22"/>
          <w:szCs w:val="22"/>
          <w:rtl w:val="0"/>
        </w:rPr>
        <w:t xml:space="preserve"> interpuso el recurso de revisión a través del SAIMEX en fecha </w:t>
      </w:r>
      <w:r w:rsidDel="00000000" w:rsidR="00000000" w:rsidRPr="00000000">
        <w:rPr>
          <w:rFonts w:ascii="Palatino Linotype" w:cs="Palatino Linotype" w:eastAsia="Palatino Linotype" w:hAnsi="Palatino Linotype"/>
          <w:b w:val="1"/>
          <w:bCs w:val="1"/>
          <w:sz w:val="22"/>
          <w:szCs w:val="22"/>
          <w:rtl w:val="0"/>
        </w:rPr>
        <w:t xml:space="preserve">dos de junio de dos mil veintiséis</w:t>
      </w:r>
      <w:r w:rsidDel="00000000" w:rsidR="00000000" w:rsidRPr="00000000">
        <w:rPr>
          <w:rFonts w:ascii="Palatino Linotype" w:cs="Palatino Linotype" w:eastAsia="Palatino Linotype" w:hAnsi="Palatino Linotype"/>
          <w:sz w:val="22"/>
          <w:szCs w:val="22"/>
          <w:rtl w:val="0"/>
        </w:rPr>
        <w:t xml:space="preserve">, a través del cual expresó lo siguiente:</w:t>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426"/>
        </w:tabs>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B">
      <w:pPr>
        <w:spacing w:line="276" w:lineRule="auto"/>
        <w:ind w:left="851" w:right="61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Acto impugnado.</w:t>
      </w:r>
    </w:p>
    <w:p w:rsidR="00000000" w:rsidDel="00000000" w:rsidP="00000000" w:rsidRDefault="00000000" w:rsidRPr="00000000" w14:paraId="0000002C">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“No me entregan la documentación pedida. La respuesta excedió el plazo para atender la solicitud. Cómo es posible que a la fecha no tengan el CV y oficio de nombramiento de la actual rectora Asimismo el oficio firmado por la directora de administración y finanzas en nada abona a la presente solicitud, por el contrario, del contenido de la misma se aprecia que pretende en retrasar los términos procesales para proporcionar la información” (sic)</w:t>
      </w:r>
    </w:p>
    <w:p w:rsidR="00000000" w:rsidDel="00000000" w:rsidP="00000000" w:rsidRDefault="00000000" w:rsidRPr="00000000" w14:paraId="0000002D">
      <w:pPr>
        <w:spacing w:line="276" w:lineRule="auto"/>
        <w:ind w:left="851" w:right="616" w:firstLine="0"/>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Motivos de inconformidad. </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b w:val="1"/>
          <w:bCs w:val="1"/>
          <w:i w:val="1"/>
          <w:iCs w:val="1"/>
          <w:sz w:val="22"/>
          <w:szCs w:val="22"/>
          <w:u w:val="single"/>
        </w:rPr>
      </w:pPr>
      <w:r w:rsidDel="00000000" w:rsidR="00000000" w:rsidRPr="00000000">
        <w:rPr>
          <w:rFonts w:ascii="Palatino Linotype" w:cs="Palatino Linotype" w:eastAsia="Palatino Linotype" w:hAnsi="Palatino Linotype"/>
          <w:i w:val="1"/>
          <w:iCs w:val="1"/>
          <w:sz w:val="22"/>
          <w:szCs w:val="22"/>
          <w:rtl w:val="0"/>
        </w:rPr>
        <w:t xml:space="preserve">“No se agotó la búsqueda de la información” (sic)</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line="360" w:lineRule="auto"/>
        <w:ind w:left="567"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31">
      <w:pPr>
        <w:numPr>
          <w:ilvl w:val="0"/>
          <w:numId w:val="8"/>
        </w:numPr>
        <w:pBdr>
          <w:top w:space="0" w:sz="0" w:val="nil"/>
          <w:left w:space="0" w:sz="0" w:val="nil"/>
          <w:bottom w:space="0" w:sz="0" w:val="nil"/>
          <w:right w:space="0" w:sz="0" w:val="nil"/>
          <w:between w:space="0" w:sz="0" w:val="nil"/>
        </w:pBdr>
        <w:tabs>
          <w:tab w:val="left" w:leader="none" w:pos="284"/>
        </w:tabs>
        <w:spacing w:line="360" w:lineRule="auto"/>
        <w:ind w:left="0"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Turno. </w:t>
      </w:r>
      <w:r w:rsidDel="00000000" w:rsidR="00000000" w:rsidRPr="00000000">
        <w:rPr>
          <w:rFonts w:ascii="Palatino Linotype" w:cs="Palatino Linotype" w:eastAsia="Palatino Linotype" w:hAnsi="Palatino Linotype"/>
          <w:sz w:val="22"/>
          <w:szCs w:val="22"/>
          <w:rtl w:val="0"/>
        </w:rPr>
        <w:t xml:space="preserve">De conformidad con el artículo 185, fracción I de la Ley de Transparencia y Acceso a la Información Pública del Estado de México y Municipios, el recurso de revisión se turnó por el sistema electrónico del Instituto de Transparencia, Acceso a la Información Pública y Protección de Datos Personales del Estado de México y Municipios, a la Comisionada </w:t>
      </w:r>
      <w:r w:rsidDel="00000000" w:rsidR="00000000" w:rsidRPr="00000000">
        <w:rPr>
          <w:rFonts w:ascii="Palatino Linotype" w:cs="Palatino Linotype" w:eastAsia="Palatino Linotype" w:hAnsi="Palatino Linotype"/>
          <w:b w:val="1"/>
          <w:bCs w:val="1"/>
          <w:sz w:val="22"/>
          <w:szCs w:val="22"/>
          <w:rtl w:val="0"/>
        </w:rPr>
        <w:t xml:space="preserve">Guadalupe Ramírez Peña</w:t>
      </w:r>
      <w:r w:rsidDel="00000000" w:rsidR="00000000" w:rsidRPr="00000000">
        <w:rPr>
          <w:rFonts w:ascii="Palatino Linotype" w:cs="Palatino Linotype" w:eastAsia="Palatino Linotype" w:hAnsi="Palatino Linotype"/>
          <w:sz w:val="22"/>
          <w:szCs w:val="22"/>
          <w:rtl w:val="0"/>
        </w:rPr>
        <w:t xml:space="preserve">, para su análisis, estudio, elaboración del proyecto y presentación ante el Pleno de este Instituto.</w:t>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left" w:leader="none" w:pos="284"/>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3">
      <w:pPr>
        <w:numPr>
          <w:ilvl w:val="0"/>
          <w:numId w:val="8"/>
        </w:numPr>
        <w:pBdr>
          <w:top w:space="0" w:sz="0" w:val="nil"/>
          <w:left w:space="0" w:sz="0" w:val="nil"/>
          <w:bottom w:space="0" w:sz="0" w:val="nil"/>
          <w:right w:space="0" w:sz="0" w:val="nil"/>
          <w:between w:space="0" w:sz="0" w:val="nil"/>
        </w:pBdr>
        <w:tabs>
          <w:tab w:val="left" w:leader="none" w:pos="284"/>
        </w:tabs>
        <w:spacing w:line="360" w:lineRule="auto"/>
        <w:ind w:left="0" w:firstLine="0"/>
        <w:jc w:val="both"/>
        <w:rPr>
          <w:rFonts w:ascii="Palatino Linotype" w:cs="Palatino Linotype" w:eastAsia="Palatino Linotype" w:hAnsi="Palatino Linotype"/>
          <w:sz w:val="22"/>
          <w:szCs w:val="22"/>
        </w:rPr>
      </w:pPr>
      <w:bookmarkStart w:colFirst="0" w:colLast="0" w:name="_heading=h.gjdgxs" w:id="2"/>
      <w:bookmarkEnd w:id="2"/>
      <w:r w:rsidDel="00000000" w:rsidR="00000000" w:rsidRPr="00000000">
        <w:rPr>
          <w:rFonts w:ascii="Palatino Linotype" w:cs="Palatino Linotype" w:eastAsia="Palatino Linotype" w:hAnsi="Palatino Linotype"/>
          <w:b w:val="1"/>
          <w:bCs w:val="1"/>
          <w:sz w:val="22"/>
          <w:szCs w:val="22"/>
          <w:rtl w:val="0"/>
        </w:rPr>
        <w:t xml:space="preserve">Admisión del recurso de revisión: </w:t>
      </w:r>
      <w:r w:rsidDel="00000000" w:rsidR="00000000" w:rsidRPr="00000000">
        <w:rPr>
          <w:rFonts w:ascii="Palatino Linotype" w:cs="Palatino Linotype" w:eastAsia="Palatino Linotype" w:hAnsi="Palatino Linotype"/>
          <w:sz w:val="22"/>
          <w:szCs w:val="22"/>
          <w:rtl w:val="0"/>
        </w:rPr>
        <w:t xml:space="preserve">En fecha </w:t>
      </w:r>
      <w:r w:rsidDel="00000000" w:rsidR="00000000" w:rsidRPr="00000000">
        <w:rPr>
          <w:rFonts w:ascii="Palatino Linotype" w:cs="Palatino Linotype" w:eastAsia="Palatino Linotype" w:hAnsi="Palatino Linotype"/>
          <w:b w:val="1"/>
          <w:bCs w:val="1"/>
          <w:sz w:val="22"/>
          <w:szCs w:val="22"/>
          <w:rtl w:val="0"/>
        </w:rPr>
        <w:t xml:space="preserve">tres de junio de dos mil veintiséis, </w:t>
      </w:r>
      <w:r w:rsidDel="00000000" w:rsidR="00000000" w:rsidRPr="00000000">
        <w:rPr>
          <w:rFonts w:ascii="Palatino Linotype" w:cs="Palatino Linotype" w:eastAsia="Palatino Linotype" w:hAnsi="Palatino Linotype"/>
          <w:sz w:val="22"/>
          <w:szCs w:val="22"/>
          <w:rtl w:val="0"/>
        </w:rPr>
        <w:t xml:space="preserve">la Comisionada Ponente admitió a trámite el recurso de revisión que ahora se resuelve, dando un plazo máximo de siete días hábiles para que las partes manifestaran lo que a su derecho resultara conveniente, ofrecieran pruebas, formularan alegatos y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presentara su informe justificado.</w:t>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284"/>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5">
      <w:pPr>
        <w:numPr>
          <w:ilvl w:val="0"/>
          <w:numId w:val="8"/>
        </w:numPr>
        <w:pBdr>
          <w:top w:space="0" w:sz="0" w:val="nil"/>
          <w:left w:space="0" w:sz="0" w:val="nil"/>
          <w:bottom w:space="0" w:sz="0" w:val="nil"/>
          <w:right w:space="0" w:sz="0" w:val="nil"/>
          <w:between w:space="0" w:sz="0" w:val="nil"/>
        </w:pBdr>
        <w:tabs>
          <w:tab w:val="left" w:leader="none" w:pos="284"/>
        </w:tabs>
        <w:spacing w:line="360" w:lineRule="auto"/>
        <w:ind w:left="0"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Manifestaciones</w:t>
      </w:r>
      <w:r w:rsidDel="00000000" w:rsidR="00000000" w:rsidRPr="00000000">
        <w:rPr>
          <w:rFonts w:ascii="Palatino Linotype" w:cs="Palatino Linotype" w:eastAsia="Palatino Linotype" w:hAnsi="Palatino Linotype"/>
          <w:sz w:val="22"/>
          <w:szCs w:val="22"/>
          <w:rtl w:val="0"/>
        </w:rPr>
        <w:t xml:space="preserve">: De las constancias que obran en el expediente electrónico del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se desprende que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omitió realizar manifestaciones, mientras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en fecha </w:t>
      </w:r>
      <w:r w:rsidDel="00000000" w:rsidR="00000000" w:rsidRPr="00000000">
        <w:rPr>
          <w:rFonts w:ascii="Palatino Linotype" w:cs="Palatino Linotype" w:eastAsia="Palatino Linotype" w:hAnsi="Palatino Linotype"/>
          <w:b w:val="1"/>
          <w:bCs w:val="1"/>
          <w:sz w:val="22"/>
          <w:szCs w:val="22"/>
          <w:rtl w:val="0"/>
        </w:rPr>
        <w:t xml:space="preserve">doce de junio de dos mil veintiséis</w:t>
      </w:r>
      <w:r w:rsidDel="00000000" w:rsidR="00000000" w:rsidRPr="00000000">
        <w:rPr>
          <w:rFonts w:ascii="Palatino Linotype" w:cs="Palatino Linotype" w:eastAsia="Palatino Linotype" w:hAnsi="Palatino Linotype"/>
          <w:sz w:val="22"/>
          <w:szCs w:val="22"/>
          <w:rtl w:val="0"/>
        </w:rPr>
        <w:t xml:space="preserve"> rindió su informe justificado, a través de los siguientes documentos: </w:t>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284"/>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Oficio suscrito por el Titular de la Unidad de Transparencia, en el que informó la respuesta emitida por la servidora pública habilitada. </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Oficio número 228C25010001005/248/2026 suscrito por el Titular de la Unidad de Transparencia, en el que solicitó a la Directora de Administración y Finanzas la entrega de la información solicitada.</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Oficio número 228C2501010000L/656/2026 suscrito por la Directora de Administración y Finanzas en el que informó la respuesta emitida por el departamento de Recursos Humanos.</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Oficio número 228C2501010001L/275/2026 suscrito por el Jefe de departamento de Recursos Humanos quien hizo del conocimiento que dicho instrumento deriva de acto administrativo cuya emisión corresponde a una instancia gubernamental externa a esta Universidad, por lo que su expedición no depende de esta Institución.</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360" w:lineRule="auto"/>
        <w:ind w:left="72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este sentido, a la fecha, la Universidad Tecnológica del Valle de Toluca se encuentra en espera de notificación y recepción de la documentación correspondiente por parte de la autoridad competente, razón por la cual dicho documento no obra en los archivos de esta Casa de Estudios. Una vez que la documentación sea notificada y remitida a esta Universidad, se estará en posibilidad de atender cualquier solicitud de información conforme a la normatividad aplicable en materia de transparencia y acceso a la información pública.</w:t>
      </w:r>
    </w:p>
    <w:p w:rsidR="00000000" w:rsidDel="00000000" w:rsidP="00000000" w:rsidRDefault="00000000" w:rsidRPr="00000000" w14:paraId="0000003C">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leader="none" w:pos="284"/>
        </w:tabs>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Documentos que fueron hechos del conocimiento de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fecha </w:t>
      </w:r>
      <w:r w:rsidDel="00000000" w:rsidR="00000000" w:rsidRPr="00000000">
        <w:rPr>
          <w:rFonts w:ascii="Palatino Linotype" w:cs="Palatino Linotype" w:eastAsia="Palatino Linotype" w:hAnsi="Palatino Linotype"/>
          <w:b w:val="1"/>
          <w:bCs w:val="1"/>
          <w:sz w:val="22"/>
          <w:szCs w:val="22"/>
          <w:rtl w:val="0"/>
        </w:rPr>
        <w:t xml:space="preserve">dieciocho de agosto de dos mil veintiséis </w:t>
      </w:r>
      <w:r w:rsidDel="00000000" w:rsidR="00000000" w:rsidRPr="00000000">
        <w:rPr>
          <w:rFonts w:ascii="Palatino Linotype" w:cs="Palatino Linotype" w:eastAsia="Palatino Linotype" w:hAnsi="Palatino Linotype"/>
          <w:sz w:val="22"/>
          <w:szCs w:val="22"/>
          <w:rtl w:val="0"/>
        </w:rPr>
        <w:t xml:space="preserve">para que manifestara lo que a su derecho resultara conveniente, misma que fue omisa en emitir alguna manifestación. </w:t>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left" w:leader="none" w:pos="426"/>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F">
      <w:pPr>
        <w:numPr>
          <w:ilvl w:val="0"/>
          <w:numId w:val="8"/>
        </w:numPr>
        <w:pBdr>
          <w:top w:space="0" w:sz="0" w:val="nil"/>
          <w:left w:space="0" w:sz="0" w:val="nil"/>
          <w:bottom w:space="0" w:sz="0" w:val="nil"/>
          <w:right w:space="0" w:sz="0" w:val="nil"/>
          <w:between w:space="0" w:sz="0" w:val="nil"/>
        </w:pBdr>
        <w:tabs>
          <w:tab w:val="left" w:leader="none" w:pos="426"/>
        </w:tabs>
        <w:spacing w:line="360" w:lineRule="auto"/>
        <w:ind w:left="0"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Ampliación del término para resolver. </w:t>
      </w:r>
      <w:r w:rsidDel="00000000" w:rsidR="00000000" w:rsidRPr="00000000">
        <w:rPr>
          <w:rFonts w:ascii="Palatino Linotype" w:cs="Palatino Linotype" w:eastAsia="Palatino Linotype" w:hAnsi="Palatino Linotype"/>
          <w:sz w:val="22"/>
          <w:szCs w:val="22"/>
          <w:rtl w:val="0"/>
        </w:rPr>
        <w:t xml:space="preserve">Mediante acuerdo del </w:t>
      </w:r>
      <w:r w:rsidDel="00000000" w:rsidR="00000000" w:rsidRPr="00000000">
        <w:rPr>
          <w:rFonts w:ascii="Palatino Linotype" w:cs="Palatino Linotype" w:eastAsia="Palatino Linotype" w:hAnsi="Palatino Linotype"/>
          <w:b w:val="1"/>
          <w:bCs w:val="1"/>
          <w:sz w:val="22"/>
          <w:szCs w:val="22"/>
          <w:rtl w:val="0"/>
        </w:rPr>
        <w:t xml:space="preserve">tres de agosto de dos mil veintiséis</w:t>
      </w:r>
      <w:r w:rsidDel="00000000" w:rsidR="00000000" w:rsidRPr="00000000">
        <w:rPr>
          <w:rFonts w:ascii="Palatino Linotype" w:cs="Palatino Linotype" w:eastAsia="Palatino Linotype" w:hAnsi="Palatino Linotype"/>
          <w:sz w:val="22"/>
          <w:szCs w:val="22"/>
          <w:rtl w:val="0"/>
        </w:rPr>
        <w:t xml:space="preserve">, se amplió el término para resolver el recurso de revisión en términos del artículo 181 párrafo tercero de la Ley de Transparencia y Acceso a la Información Pública del Estado de México y Municipios. </w:t>
      </w:r>
    </w:p>
    <w:p w:rsidR="00000000" w:rsidDel="00000000" w:rsidP="00000000" w:rsidRDefault="00000000" w:rsidRPr="00000000" w14:paraId="00000040">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1">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Este organismo garante no pasa por alto justificar, que el plazo para emitir la resolución en el presente asunto encuentra justificación en el alto número de recursos de revisión recibidos, circunstancia atípica que ha rebasado las capacidades técnicas y humanas del personal encargado de la proyección de las resoluciones a dichos medios de impugnación.</w:t>
      </w:r>
    </w:p>
    <w:p w:rsidR="00000000" w:rsidDel="00000000" w:rsidP="00000000" w:rsidRDefault="00000000" w:rsidRPr="00000000" w14:paraId="0000004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ello, es menester precisar que, si bien se ha excedido el plazo para resolver el presente medio de impugnación, de conformidad con la ley de la materia, el plazo para emitir la resolución se encuentra justificado en los elementos para medir la razonabilidad de asuntos conforme a los parámetros establecidos por diversos órganos jurisdiccionales federales, aplicables también en procedimientos análogos, como el que nos ocupa.</w:t>
      </w:r>
    </w:p>
    <w:p w:rsidR="00000000" w:rsidDel="00000000" w:rsidP="00000000" w:rsidRDefault="00000000" w:rsidRPr="00000000" w14:paraId="0000004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5">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en términos de lo que establecen los artículos 8.1 y 25 de la Convención Americana sobre Derechos Humanos, los recursos deben ser sencillos y resolverse en el menor tiempo posible, tomando en consideración la dilación total del procedimiento; esto es, en un plazo razonable.</w:t>
      </w:r>
    </w:p>
    <w:p w:rsidR="00000000" w:rsidDel="00000000" w:rsidP="00000000" w:rsidRDefault="00000000" w:rsidRPr="00000000" w14:paraId="0000004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ese sentido, el legislador fijó los términos procesales en las leyes, de manera general, sin que pudiera prever la variada gama de casos que son resueltos por los órganos jurisdiccionales o cuasi jurisdiccionales, tanto por la complejidad de los hechos, como por el número de casos que conocen. </w:t>
      </w:r>
    </w:p>
    <w:p w:rsidR="00000000" w:rsidDel="00000000" w:rsidP="00000000" w:rsidRDefault="00000000" w:rsidRPr="00000000" w14:paraId="0000004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9">
      <w:pPr>
        <w:spacing w:line="360" w:lineRule="auto"/>
        <w:jc w:val="both"/>
        <w:rPr>
          <w:rFonts w:ascii="Palatino Linotype" w:cs="Palatino Linotype" w:eastAsia="Palatino Linotype" w:hAnsi="Palatino Linotype"/>
          <w:strike w:val="1"/>
          <w:sz w:val="22"/>
          <w:szCs w:val="22"/>
        </w:rPr>
      </w:pPr>
      <w:r w:rsidDel="00000000" w:rsidR="00000000" w:rsidRPr="00000000">
        <w:rPr>
          <w:rFonts w:ascii="Palatino Linotype" w:cs="Palatino Linotype" w:eastAsia="Palatino Linotype" w:hAnsi="Palatino Linotype"/>
          <w:sz w:val="22"/>
          <w:szCs w:val="22"/>
          <w:rtl w:val="0"/>
        </w:rPr>
        <w:t xml:space="preserve">Por ello, excepcionalmente, si un asunto es resuelto con posterioridad a los plazos señalados por la norma debe analizarse la razonabilidad del tiempo necesario para su resolución, atentos a los siguientes criterios: </w:t>
      </w:r>
      <w:r w:rsidDel="00000000" w:rsidR="00000000" w:rsidRPr="00000000">
        <w:rPr>
          <w:rtl w:val="0"/>
        </w:rPr>
      </w:r>
    </w:p>
    <w:p w:rsidR="00000000" w:rsidDel="00000000" w:rsidP="00000000" w:rsidRDefault="00000000" w:rsidRPr="00000000" w14:paraId="0000004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B">
      <w:pPr>
        <w:numPr>
          <w:ilvl w:val="0"/>
          <w:numId w:val="3"/>
        </w:numPr>
        <w:spacing w:line="360" w:lineRule="auto"/>
        <w:ind w:left="927"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Complejidad del Asunto:</w:t>
      </w:r>
      <w:r w:rsidDel="00000000" w:rsidR="00000000" w:rsidRPr="00000000">
        <w:rPr>
          <w:rFonts w:ascii="Palatino Linotype" w:cs="Palatino Linotype" w:eastAsia="Palatino Linotype" w:hAnsi="Palatino Linotype"/>
          <w:sz w:val="22"/>
          <w:szCs w:val="22"/>
          <w:rtl w:val="0"/>
        </w:rPr>
        <w:t xml:space="preserve"> La complejidad de la prueba, la pluralidad de sujetos procesales, el tiempo transcurrido, las características y contexto del recurso. </w:t>
      </w:r>
    </w:p>
    <w:p w:rsidR="00000000" w:rsidDel="00000000" w:rsidP="00000000" w:rsidRDefault="00000000" w:rsidRPr="00000000" w14:paraId="0000004C">
      <w:pPr>
        <w:spacing w:line="360" w:lineRule="auto"/>
        <w:ind w:left="927"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D">
      <w:pPr>
        <w:numPr>
          <w:ilvl w:val="0"/>
          <w:numId w:val="3"/>
        </w:numPr>
        <w:spacing w:line="360" w:lineRule="auto"/>
        <w:ind w:left="927"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Actividad Procesal del interesado.</w:t>
      </w:r>
      <w:r w:rsidDel="00000000" w:rsidR="00000000" w:rsidRPr="00000000">
        <w:rPr>
          <w:rFonts w:ascii="Palatino Linotype" w:cs="Palatino Linotype" w:eastAsia="Palatino Linotype" w:hAnsi="Palatino Linotype"/>
          <w:sz w:val="22"/>
          <w:szCs w:val="22"/>
          <w:rtl w:val="0"/>
        </w:rPr>
        <w:t xml:space="preserve"> Acciones u omisiones del interesado.</w:t>
      </w:r>
    </w:p>
    <w:p w:rsidR="00000000" w:rsidDel="00000000" w:rsidP="00000000" w:rsidRDefault="00000000" w:rsidRPr="00000000" w14:paraId="0000004E">
      <w:pPr>
        <w:spacing w:line="360" w:lineRule="auto"/>
        <w:ind w:left="927"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F">
      <w:pPr>
        <w:numPr>
          <w:ilvl w:val="0"/>
          <w:numId w:val="3"/>
        </w:numPr>
        <w:spacing w:line="360" w:lineRule="auto"/>
        <w:ind w:left="927"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Conducta de la Autoridad:</w:t>
      </w:r>
      <w:r w:rsidDel="00000000" w:rsidR="00000000" w:rsidRPr="00000000">
        <w:rPr>
          <w:rFonts w:ascii="Palatino Linotype" w:cs="Palatino Linotype" w:eastAsia="Palatino Linotype" w:hAnsi="Palatino Linotype"/>
          <w:sz w:val="22"/>
          <w:szCs w:val="22"/>
          <w:rtl w:val="0"/>
        </w:rPr>
        <w:t xml:space="preserve"> Las Acciones u omisiones realizadas en el procedimiento. Así como si la autoridad actuó con la debida diligencia.</w:t>
      </w:r>
    </w:p>
    <w:p w:rsidR="00000000" w:rsidDel="00000000" w:rsidP="00000000" w:rsidRDefault="00000000" w:rsidRPr="00000000" w14:paraId="00000050">
      <w:pPr>
        <w:spacing w:line="360" w:lineRule="auto"/>
        <w:ind w:left="927"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1">
      <w:pPr>
        <w:numPr>
          <w:ilvl w:val="0"/>
          <w:numId w:val="3"/>
        </w:numPr>
        <w:spacing w:line="360" w:lineRule="auto"/>
        <w:ind w:left="927"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La afectación generada en la situación jurídica de la persona involucrada en el proceso: </w:t>
      </w:r>
      <w:r w:rsidDel="00000000" w:rsidR="00000000" w:rsidRPr="00000000">
        <w:rPr>
          <w:rFonts w:ascii="Palatino Linotype" w:cs="Palatino Linotype" w:eastAsia="Palatino Linotype" w:hAnsi="Palatino Linotype"/>
          <w:sz w:val="22"/>
          <w:szCs w:val="22"/>
          <w:rtl w:val="0"/>
        </w:rPr>
        <w:t xml:space="preserve">Violación a sus derechos humanos.</w:t>
      </w:r>
    </w:p>
    <w:p w:rsidR="00000000" w:rsidDel="00000000" w:rsidP="00000000" w:rsidRDefault="00000000" w:rsidRPr="00000000" w14:paraId="0000005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modo que, cuando se trate de un asunto excepcional, por alguna o todas las características mencionadas; o bien, cuando el ingreso de asuntos al órgano jurisdiccional o cuasi jurisdiccional respectivo supere notoriamente al que podría considerarse normal, debe concluirse que es una excluyente de responsabilidad en relación con la actuación del funcionario, como ha acontecido en el caso que nos ocupa.</w:t>
      </w:r>
    </w:p>
    <w:p w:rsidR="00000000" w:rsidDel="00000000" w:rsidP="00000000" w:rsidRDefault="00000000" w:rsidRPr="00000000" w14:paraId="0000005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5">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Argumento que encuentra sustento en la jurisprudencia P./J. 32/92 emitida por el Pleno de la Suprema Corte de Justicia de la Nación de rubro </w:t>
      </w:r>
      <w:r w:rsidDel="00000000" w:rsidR="00000000" w:rsidRPr="00000000">
        <w:rPr>
          <w:rFonts w:ascii="Palatino Linotype" w:cs="Palatino Linotype" w:eastAsia="Palatino Linotype" w:hAnsi="Palatino Linotype"/>
          <w:i w:val="1"/>
          <w:iCs w:val="1"/>
          <w:sz w:val="22"/>
          <w:szCs w:val="22"/>
          <w:rtl w:val="0"/>
        </w:rPr>
        <w:t xml:space="preserve">“TÉRMINOS PROCESALES. PARA DETERMINAR SI UN FUNCIONARIO JUDICIAL ACTUÓ INDEBIDAMENTE POR NO RESPETARLOS SE DEBE ATENDER AL PRESUPUESTO QUE CONSIDERÓ EL LEGISLADOR AL FIJARLOS Y LAS CARACTERÍSTICAS DEL CASO.”</w:t>
      </w:r>
      <w:r w:rsidDel="00000000" w:rsidR="00000000" w:rsidRPr="00000000">
        <w:rPr>
          <w:rFonts w:ascii="Palatino Linotype" w:cs="Palatino Linotype" w:eastAsia="Palatino Linotype" w:hAnsi="Palatino Linotype"/>
          <w:sz w:val="22"/>
          <w:szCs w:val="22"/>
          <w:rtl w:val="0"/>
        </w:rPr>
        <w:t xml:space="preserve">, visible en la Gaceta del Seminario Judicial de la Federación con el registro digital 205635.</w:t>
      </w:r>
      <w:r w:rsidDel="00000000" w:rsidR="00000000" w:rsidRPr="00000000">
        <w:rPr>
          <w:rtl w:val="0"/>
        </w:rPr>
      </w:r>
    </w:p>
    <w:p w:rsidR="00000000" w:rsidDel="00000000" w:rsidP="00000000" w:rsidRDefault="00000000" w:rsidRPr="00000000" w14:paraId="0000005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Razones por las cuales cabe concluir que, la resolución al recurso de revisión se solventa hasta esta fecha, debido a que existe una excesiva carga de trabajo en desproporción a la capacidad de los recursos materiales y humanos con que cuenta este Instituto para atender la enorme demanda de usuarios que acuden para que se les garantice su Derecho de acceso a la información Pública y Protección de Datos Personales, aunado a la complejidad de los hechos a los que se refieren, así como al volumen del expediente, la extensión de los escritos y pruebas aportadas y desahogadas por las partes; lo que impide la tramitación de los recursos dentro de los términos legales previamente establecidos por la Ley, por tratarse de causas de fuerza mayor.</w:t>
      </w:r>
    </w:p>
    <w:p w:rsidR="00000000" w:rsidDel="00000000" w:rsidP="00000000" w:rsidRDefault="00000000" w:rsidRPr="00000000" w14:paraId="0000005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9">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respecto, también son de considerar los criterios sostenidos por el Cuarto Tribunal Colegiado en Materia Administrativa del Primer Circuito, cuyos rubros y datos de identificación son los siguientes:</w:t>
      </w:r>
    </w:p>
    <w:p w:rsidR="00000000" w:rsidDel="00000000" w:rsidP="00000000" w:rsidRDefault="00000000" w:rsidRPr="00000000" w14:paraId="0000005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B">
      <w:pPr>
        <w:spacing w:line="360" w:lineRule="auto"/>
        <w:ind w:left="567"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“PLAZO RAZONABLE PARA RESOLVER. DIMENSIÓN Y EFECTOS DE ESTE CONCEPTO CUANDO SE ADUCE EXCESIVA CARGA DE TRABAJO.”</w:t>
      </w:r>
      <w:r w:rsidDel="00000000" w:rsidR="00000000" w:rsidRPr="00000000">
        <w:rPr>
          <w:rFonts w:ascii="Palatino Linotype" w:cs="Palatino Linotype" w:eastAsia="Palatino Linotype" w:hAnsi="Palatino Linotype"/>
          <w:sz w:val="22"/>
          <w:szCs w:val="22"/>
          <w:rtl w:val="0"/>
        </w:rPr>
        <w:t xml:space="preserve"> consultable en el Seminario Judicial de la Federación y su gaceta, con el registro digital 2002351.</w:t>
      </w:r>
    </w:p>
    <w:p w:rsidR="00000000" w:rsidDel="00000000" w:rsidP="00000000" w:rsidRDefault="00000000" w:rsidRPr="00000000" w14:paraId="0000005C">
      <w:pPr>
        <w:spacing w:line="360" w:lineRule="auto"/>
        <w:ind w:left="567" w:right="616" w:firstLine="0"/>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5D">
      <w:pPr>
        <w:spacing w:line="360" w:lineRule="auto"/>
        <w:ind w:left="567"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“PLAZO RAZONABLE PARA RESOLVER. CONCEPTO Y ELEMENTOS QUE LO INTEGRAN A LA LUZ DEL DERECHO INTERNACIONAL DE LOS DERECHOS HUMANOS.”</w:t>
      </w:r>
      <w:r w:rsidDel="00000000" w:rsidR="00000000" w:rsidRPr="00000000">
        <w:rPr>
          <w:rFonts w:ascii="Palatino Linotype" w:cs="Palatino Linotype" w:eastAsia="Palatino Linotype" w:hAnsi="Palatino Linotype"/>
          <w:sz w:val="22"/>
          <w:szCs w:val="22"/>
          <w:rtl w:val="0"/>
        </w:rPr>
        <w:t xml:space="preserve">, visible en el Seminario Judicial de la Federación y su gaceta, con el registro digital 2002350.</w:t>
      </w:r>
    </w:p>
    <w:p w:rsidR="00000000" w:rsidDel="00000000" w:rsidP="00000000" w:rsidRDefault="00000000" w:rsidRPr="00000000" w14:paraId="0000005E">
      <w:pPr>
        <w:spacing w:line="360" w:lineRule="auto"/>
        <w:ind w:left="567" w:right="616"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left" w:leader="none" w:pos="426"/>
        </w:tabs>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ello, este organismo garante comprometido con la tutela de los derechos humanos confiados, señala que este exceso de plazo legal para resolver el presente asunto, resulta de carácter excepcional.</w:t>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left" w:leader="none" w:pos="426"/>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1">
      <w:pPr>
        <w:numPr>
          <w:ilvl w:val="0"/>
          <w:numId w:val="8"/>
        </w:numPr>
        <w:pBdr>
          <w:top w:space="0" w:sz="0" w:val="nil"/>
          <w:left w:space="0" w:sz="0" w:val="nil"/>
          <w:bottom w:space="0" w:sz="0" w:val="nil"/>
          <w:right w:space="0" w:sz="0" w:val="nil"/>
          <w:between w:space="0" w:sz="0" w:val="nil"/>
        </w:pBdr>
        <w:tabs>
          <w:tab w:val="left" w:leader="none" w:pos="426"/>
        </w:tabs>
        <w:spacing w:line="360" w:lineRule="auto"/>
        <w:ind w:left="0"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Returno. </w:t>
      </w:r>
      <w:r w:rsidDel="00000000" w:rsidR="00000000" w:rsidRPr="00000000">
        <w:rPr>
          <w:rFonts w:ascii="Palatino Linotype" w:cs="Palatino Linotype" w:eastAsia="Palatino Linotype" w:hAnsi="Palatino Linotype"/>
          <w:sz w:val="22"/>
          <w:szCs w:val="22"/>
          <w:rtl w:val="0"/>
        </w:rPr>
        <w:t xml:space="preserve">Mediante acuerdo de fecha diecinueve de agosto de dos mil veintiséis, el Pleno de este Organismo Garante, aprobó returnar el recurso de revisión a la </w:t>
      </w:r>
      <w:r w:rsidDel="00000000" w:rsidR="00000000" w:rsidRPr="00000000">
        <w:rPr>
          <w:rFonts w:ascii="Palatino Linotype" w:cs="Palatino Linotype" w:eastAsia="Palatino Linotype" w:hAnsi="Palatino Linotype"/>
          <w:b w:val="1"/>
          <w:bCs w:val="1"/>
          <w:sz w:val="22"/>
          <w:szCs w:val="22"/>
          <w:rtl w:val="0"/>
        </w:rPr>
        <w:t xml:space="preserve">Comisionada Guadalupe Ramírez Peña</w:t>
      </w:r>
      <w:r w:rsidDel="00000000" w:rsidR="00000000" w:rsidRPr="00000000">
        <w:rPr>
          <w:rFonts w:ascii="Palatino Linotype" w:cs="Palatino Linotype" w:eastAsia="Palatino Linotype" w:hAnsi="Palatino Linotype"/>
          <w:sz w:val="22"/>
          <w:szCs w:val="22"/>
          <w:rtl w:val="0"/>
        </w:rPr>
        <w:t xml:space="preserve">, a efecto de que formulara y presentara el proyecto de resolución correspondiente.</w:t>
      </w:r>
    </w:p>
    <w:p w:rsidR="00000000" w:rsidDel="00000000" w:rsidP="00000000" w:rsidRDefault="00000000" w:rsidRPr="00000000" w14:paraId="00000062">
      <w:pPr>
        <w:pBdr>
          <w:top w:space="0" w:sz="0" w:val="nil"/>
          <w:left w:space="0" w:sz="0" w:val="nil"/>
          <w:bottom w:space="0" w:sz="0" w:val="nil"/>
          <w:right w:space="0" w:sz="0" w:val="nil"/>
          <w:between w:space="0" w:sz="0" w:val="nil"/>
        </w:pBdr>
        <w:tabs>
          <w:tab w:val="left" w:leader="none" w:pos="426"/>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3">
      <w:pPr>
        <w:numPr>
          <w:ilvl w:val="0"/>
          <w:numId w:val="8"/>
        </w:numPr>
        <w:pBdr>
          <w:top w:space="0" w:sz="0" w:val="nil"/>
          <w:left w:space="0" w:sz="0" w:val="nil"/>
          <w:bottom w:space="0" w:sz="0" w:val="nil"/>
          <w:right w:space="0" w:sz="0" w:val="nil"/>
          <w:between w:space="0" w:sz="0" w:val="nil"/>
        </w:pBdr>
        <w:tabs>
          <w:tab w:val="left" w:leader="none" w:pos="426"/>
        </w:tabs>
        <w:spacing w:line="360" w:lineRule="auto"/>
        <w:ind w:left="0"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Cierre de instrucción. </w:t>
      </w: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nueve de septiembre de dos mil veintiséis</w:t>
      </w:r>
      <w:r w:rsidDel="00000000" w:rsidR="00000000" w:rsidRPr="00000000">
        <w:rPr>
          <w:rFonts w:ascii="Palatino Linotype" w:cs="Palatino Linotype" w:eastAsia="Palatino Linotype" w:hAnsi="Palatino Linotype"/>
          <w:sz w:val="22"/>
          <w:szCs w:val="22"/>
          <w:rtl w:val="0"/>
        </w:rPr>
        <w:t xml:space="preserve">, la Comisionada Ponente determinó el cierre de instrucción en términos de la fracción VI del artículo 185 de la Ley de Transparencia y Acceso a la Información Pública del Estado de México y Municipios.</w:t>
      </w:r>
    </w:p>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left" w:leader="none" w:pos="426"/>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5">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razón de que fue debidamente sustanciado el expediente electrónico y no existe diligencia pendiente de desahogo, se emite la Resolución que conforme a Derecho proceda, de acuerdo con los siguientes: </w:t>
      </w:r>
    </w:p>
    <w:p w:rsidR="00000000" w:rsidDel="00000000" w:rsidP="00000000" w:rsidRDefault="00000000" w:rsidRPr="00000000" w14:paraId="0000006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7">
      <w:pPr>
        <w:numPr>
          <w:ilvl w:val="0"/>
          <w:numId w:val="4"/>
        </w:numPr>
        <w:pBdr>
          <w:top w:space="0" w:sz="0" w:val="nil"/>
          <w:left w:space="0" w:sz="0" w:val="nil"/>
          <w:bottom w:space="0" w:sz="0" w:val="nil"/>
          <w:right w:space="0" w:sz="0" w:val="nil"/>
          <w:between w:space="0" w:sz="0" w:val="nil"/>
        </w:pBdr>
        <w:spacing w:line="360" w:lineRule="auto"/>
        <w:ind w:left="1077" w:hanging="360"/>
        <w:jc w:val="center"/>
        <w:rPr>
          <w:rFonts w:ascii="Palatino Linotype" w:cs="Palatino Linotype" w:eastAsia="Palatino Linotype" w:hAnsi="Palatino Linotype"/>
          <w:b w:val="1"/>
          <w:bCs w:val="1"/>
          <w:sz w:val="22"/>
          <w:szCs w:val="22"/>
        </w:rPr>
      </w:pPr>
      <w:bookmarkStart w:colFirst="0" w:colLast="0" w:name="_heading=h.30j0zll" w:id="3"/>
      <w:bookmarkEnd w:id="3"/>
      <w:r w:rsidDel="00000000" w:rsidR="00000000" w:rsidRPr="00000000">
        <w:rPr>
          <w:rFonts w:ascii="Palatino Linotype" w:cs="Palatino Linotype" w:eastAsia="Palatino Linotype" w:hAnsi="Palatino Linotype"/>
          <w:b w:val="1"/>
          <w:bCs w:val="1"/>
          <w:sz w:val="22"/>
          <w:szCs w:val="22"/>
          <w:rtl w:val="0"/>
        </w:rPr>
        <w:t xml:space="preserve">C O N S I D E R A N D O:</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line="360" w:lineRule="auto"/>
        <w:ind w:left="1077" w:firstLine="0"/>
        <w:jc w:val="center"/>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69">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Competencia. </w:t>
      </w:r>
      <w:r w:rsidDel="00000000" w:rsidR="00000000" w:rsidRPr="00000000">
        <w:rPr>
          <w:rFonts w:ascii="Palatino Linotype" w:cs="Palatino Linotype" w:eastAsia="Palatino Linotype" w:hAnsi="Palatino Linotype"/>
          <w:sz w:val="22"/>
          <w:szCs w:val="22"/>
          <w:rtl w:val="0"/>
        </w:rPr>
        <w:t xml:space="preserve">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y cuadragésimo sexto, fracciones IV y V de la Constitución Política del Estado Libre y Soberano de México; Transitorio Cuarto, párrafo segundo del Decreto número 198 de la “LXII” Legislatura del Estado de México; 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rsidR="00000000" w:rsidDel="00000000" w:rsidP="00000000" w:rsidRDefault="00000000" w:rsidRPr="00000000" w14:paraId="0000006A">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6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Segundo. Oportunidad y Procedibilidad del Recurso de Revisión</w:t>
      </w:r>
      <w:r w:rsidDel="00000000" w:rsidR="00000000" w:rsidRPr="00000000">
        <w:rPr>
          <w:rFonts w:ascii="Palatino Linotype" w:cs="Palatino Linotype" w:eastAsia="Palatino Linotype" w:hAnsi="Palatino Linotype"/>
          <w:sz w:val="22"/>
          <w:szCs w:val="22"/>
          <w:rtl w:val="0"/>
        </w:rPr>
        <w:t xml:space="preserve">.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rsidR="00000000" w:rsidDel="00000000" w:rsidP="00000000" w:rsidRDefault="00000000" w:rsidRPr="00000000" w14:paraId="0000006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D">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recurso de revisión fue interpuesto dentro del plazo de quince días hábiles, previsto en el artículo 178 de la Ley de Transparencia y Acceso a la Información Pública del Estado de México y Municipios, ya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proporcionó su respuesta a la solicitud de información el </w:t>
      </w:r>
      <w:r w:rsidDel="00000000" w:rsidR="00000000" w:rsidRPr="00000000">
        <w:rPr>
          <w:rFonts w:ascii="Palatino Linotype" w:cs="Palatino Linotype" w:eastAsia="Palatino Linotype" w:hAnsi="Palatino Linotype"/>
          <w:b w:val="1"/>
          <w:bCs w:val="1"/>
          <w:sz w:val="22"/>
          <w:szCs w:val="22"/>
          <w:rtl w:val="0"/>
        </w:rPr>
        <w:t xml:space="preserve">primero de junio de dos mil veintiséis</w:t>
      </w:r>
      <w:r w:rsidDel="00000000" w:rsidR="00000000" w:rsidRPr="00000000">
        <w:rPr>
          <w:rFonts w:ascii="Palatino Linotype" w:cs="Palatino Linotype" w:eastAsia="Palatino Linotype" w:hAnsi="Palatino Linotype"/>
          <w:sz w:val="22"/>
          <w:szCs w:val="22"/>
          <w:rtl w:val="0"/>
        </w:rPr>
        <w:t xml:space="preserve">, y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presentó su recurso de revisión el </w:t>
      </w:r>
      <w:r w:rsidDel="00000000" w:rsidR="00000000" w:rsidRPr="00000000">
        <w:rPr>
          <w:rFonts w:ascii="Palatino Linotype" w:cs="Palatino Linotype" w:eastAsia="Palatino Linotype" w:hAnsi="Palatino Linotype"/>
          <w:b w:val="1"/>
          <w:bCs w:val="1"/>
          <w:sz w:val="22"/>
          <w:szCs w:val="22"/>
          <w:rtl w:val="0"/>
        </w:rPr>
        <w:t xml:space="preserve">dos de junio de dos mil veintiséis</w:t>
      </w:r>
      <w:r w:rsidDel="00000000" w:rsidR="00000000" w:rsidRPr="00000000">
        <w:rPr>
          <w:rFonts w:ascii="Palatino Linotype" w:cs="Palatino Linotype" w:eastAsia="Palatino Linotype" w:hAnsi="Palatino Linotype"/>
          <w:sz w:val="22"/>
          <w:szCs w:val="22"/>
          <w:rtl w:val="0"/>
        </w:rPr>
        <w:t xml:space="preserve">;</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esto es al primer día hábil en que tuvo conocimiento de la respuesta. </w:t>
      </w:r>
    </w:p>
    <w:p w:rsidR="00000000" w:rsidDel="00000000" w:rsidP="00000000" w:rsidRDefault="00000000" w:rsidRPr="00000000" w14:paraId="0000006E">
      <w:pPr>
        <w:spacing w:line="360" w:lineRule="auto"/>
        <w:ind w:right="843"/>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6F">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Además, por cuanto hace a la procedibilidad del recurso de revisión, es de suma importancia señalar que la parte</w:t>
      </w:r>
      <w:r w:rsidDel="00000000" w:rsidR="00000000" w:rsidRPr="00000000">
        <w:rPr>
          <w:rFonts w:ascii="Palatino Linotype" w:cs="Palatino Linotype" w:eastAsia="Palatino Linotype" w:hAnsi="Palatino Linotype"/>
          <w:b w:val="1"/>
          <w:bCs w:val="1"/>
          <w:sz w:val="22"/>
          <w:szCs w:val="22"/>
          <w:rtl w:val="0"/>
        </w:rPr>
        <w:t xml:space="preserve"> Recurrente</w:t>
      </w:r>
      <w:r w:rsidDel="00000000" w:rsidR="00000000" w:rsidRPr="00000000">
        <w:rPr>
          <w:rFonts w:ascii="Palatino Linotype" w:cs="Palatino Linotype" w:eastAsia="Palatino Linotype" w:hAnsi="Palatino Linotype"/>
          <w:sz w:val="22"/>
          <w:szCs w:val="22"/>
          <w:rtl w:val="0"/>
        </w:rPr>
        <w:t xml:space="preserve">, no señaló un </w:t>
      </w:r>
      <w:r w:rsidDel="00000000" w:rsidR="00000000" w:rsidRPr="00000000">
        <w:rPr>
          <w:rFonts w:ascii="Palatino Linotype" w:cs="Palatino Linotype" w:eastAsia="Palatino Linotype" w:hAnsi="Palatino Linotype"/>
          <w:b w:val="1"/>
          <w:bCs w:val="1"/>
          <w:sz w:val="22"/>
          <w:szCs w:val="22"/>
          <w:rtl w:val="0"/>
        </w:rPr>
        <w:t xml:space="preserve">nombre o seudónimo</w:t>
      </w:r>
      <w:r w:rsidDel="00000000" w:rsidR="00000000" w:rsidRPr="00000000">
        <w:rPr>
          <w:rFonts w:ascii="Palatino Linotype" w:cs="Palatino Linotype" w:eastAsia="Palatino Linotype" w:hAnsi="Palatino Linotype"/>
          <w:sz w:val="22"/>
          <w:szCs w:val="22"/>
          <w:rtl w:val="0"/>
        </w:rPr>
        <w:t xml:space="preserve"> con el cual desea ser identificado, como se advierte en el detalle de seguimiento del SAIMEX, no obstante no proporcionar un nombre o seudónimo no es motivo para archivar la solicitud de acceso a la información pública como concluida, conforme a lo previsto en el artículo 155, penúltimo párrafo de la Ley de Transparencia y Acceso a la Información Pública del Estado de México y Municipios que establece lo siguiente:</w:t>
      </w:r>
    </w:p>
    <w:p w:rsidR="00000000" w:rsidDel="00000000" w:rsidP="00000000" w:rsidRDefault="00000000" w:rsidRPr="00000000" w14:paraId="00000070">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71">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Las solicitudes anónimas</w:t>
      </w:r>
      <w:r w:rsidDel="00000000" w:rsidR="00000000" w:rsidRPr="00000000">
        <w:rPr>
          <w:rFonts w:ascii="Palatino Linotype" w:cs="Palatino Linotype" w:eastAsia="Palatino Linotype" w:hAnsi="Palatino Linotype"/>
          <w:i w:val="1"/>
          <w:iCs w:val="1"/>
          <w:sz w:val="22"/>
          <w:szCs w:val="22"/>
          <w:rtl w:val="0"/>
        </w:rPr>
        <w:t xml:space="preserve">, con nombre incompleto o </w:t>
      </w:r>
      <w:r w:rsidDel="00000000" w:rsidR="00000000" w:rsidRPr="00000000">
        <w:rPr>
          <w:rFonts w:ascii="Palatino Linotype" w:cs="Palatino Linotype" w:eastAsia="Palatino Linotype" w:hAnsi="Palatino Linotype"/>
          <w:b w:val="1"/>
          <w:bCs w:val="1"/>
          <w:i w:val="1"/>
          <w:iCs w:val="1"/>
          <w:sz w:val="22"/>
          <w:szCs w:val="22"/>
          <w:rtl w:val="0"/>
        </w:rPr>
        <w:t xml:space="preserve">seudónimo</w:t>
      </w:r>
      <w:r w:rsidDel="00000000" w:rsidR="00000000" w:rsidRPr="00000000">
        <w:rPr>
          <w:rFonts w:ascii="Palatino Linotype" w:cs="Palatino Linotype" w:eastAsia="Palatino Linotype" w:hAnsi="Palatino Linotype"/>
          <w:i w:val="1"/>
          <w:iCs w:val="1"/>
          <w:sz w:val="22"/>
          <w:szCs w:val="22"/>
          <w:rtl w:val="0"/>
        </w:rPr>
        <w:t xml:space="preserve"> serán procedentes para su trámite por parte del sujeto obligado ante quien se presente. No podrá requerirse información adicional con motivo del nombre proporcionado por el solicitante."</w:t>
      </w:r>
    </w:p>
    <w:p w:rsidR="00000000" w:rsidDel="00000000" w:rsidP="00000000" w:rsidRDefault="00000000" w:rsidRPr="00000000" w14:paraId="00000072">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De acuerdo al análisis efectuado se advierte que resulta procedente la interposición del recurso y se concluye la acreditación plena de todos y cada uno de los elementos formales exigidos por el artículo 180 de la Ley de Transparencia y Acceso a la Información Pública del Estado de México y Municipios en vigor, en atención a que fue presentado mediante el formato visible en el</w:t>
      </w:r>
      <w:r w:rsidDel="00000000" w:rsidR="00000000" w:rsidRPr="00000000">
        <w:rPr>
          <w:rFonts w:ascii="Palatino Linotype" w:cs="Palatino Linotype" w:eastAsia="Palatino Linotype" w:hAnsi="Palatino Linotype"/>
          <w:b w:val="1"/>
          <w:bCs w:val="1"/>
          <w:sz w:val="22"/>
          <w:szCs w:val="22"/>
          <w:rtl w:val="0"/>
        </w:rPr>
        <w:t xml:space="preserve"> SAIMEX.</w:t>
      </w:r>
    </w:p>
    <w:p w:rsidR="00000000" w:rsidDel="00000000" w:rsidP="00000000" w:rsidRDefault="00000000" w:rsidRPr="00000000" w14:paraId="00000073">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Asimismo, resulta procedente la interposición del recurso de revisión al rubro anotado, toda vez que se actualiza la hipótesis prevista en el artículo 179, fracción I de la ley de la materia, que a la letra dice:</w:t>
      </w:r>
    </w:p>
    <w:p w:rsidR="00000000" w:rsidDel="00000000" w:rsidP="00000000" w:rsidRDefault="00000000" w:rsidRPr="00000000" w14:paraId="0000007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6">
      <w:pPr>
        <w:tabs>
          <w:tab w:val="left" w:leader="none" w:pos="851"/>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179. </w:t>
      </w:r>
      <w:r w:rsidDel="00000000" w:rsidR="00000000" w:rsidRPr="00000000">
        <w:rPr>
          <w:rFonts w:ascii="Palatino Linotype" w:cs="Palatino Linotype" w:eastAsia="Palatino Linotype" w:hAnsi="Palatino Linotype"/>
          <w:i w:val="1"/>
          <w:iCs w:val="1"/>
          <w:sz w:val="22"/>
          <w:szCs w:val="22"/>
          <w:rtl w:val="0"/>
        </w:rPr>
        <w:t xml:space="preserve">El recurso de revisión es un medio de protección que la Ley otorga a los particulares, para hacer valer su derecho de acceso a la información pública, y procederá en contra de las siguientes causas:</w:t>
      </w:r>
    </w:p>
    <w:p w:rsidR="00000000" w:rsidDel="00000000" w:rsidP="00000000" w:rsidRDefault="00000000" w:rsidRPr="00000000" w14:paraId="00000077">
      <w:pPr>
        <w:tabs>
          <w:tab w:val="left" w:leader="none" w:pos="851"/>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78">
      <w:pPr>
        <w:tabs>
          <w:tab w:val="left" w:leader="none" w:pos="851"/>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 La negativa a la información solicitada;</w:t>
        <w:br w:type="textWrapping"/>
        <w:t xml:space="preserve">…” </w:t>
      </w:r>
    </w:p>
    <w:p w:rsidR="00000000" w:rsidDel="00000000" w:rsidP="00000000" w:rsidRDefault="00000000" w:rsidRPr="00000000" w14:paraId="0000007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Materia de Revisión</w:t>
      </w:r>
      <w:r w:rsidDel="00000000" w:rsidR="00000000" w:rsidRPr="00000000">
        <w:rPr>
          <w:rFonts w:ascii="Palatino Linotype" w:cs="Palatino Linotype" w:eastAsia="Palatino Linotype" w:hAnsi="Palatino Linotype"/>
          <w:sz w:val="22"/>
          <w:szCs w:val="22"/>
          <w:rtl w:val="0"/>
        </w:rPr>
        <w:t xml:space="preserve">: De las constancias que integran el expediente electrónico se advierte que el tema sobre el que este Instituto se pronunciará será en determinar si se actualiza la fracción I del artículo 179 de la Ley de Transparencia y Acceso a la Información Pública del Estado de México y Municipios.  </w:t>
      </w:r>
    </w:p>
    <w:p w:rsidR="00000000" w:rsidDel="00000000" w:rsidP="00000000" w:rsidRDefault="00000000" w:rsidRPr="00000000" w14:paraId="0000007B">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C">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Cuarto.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Estudio de fondo del asunto.</w:t>
      </w:r>
      <w:r w:rsidDel="00000000" w:rsidR="00000000" w:rsidRPr="00000000">
        <w:rPr>
          <w:rFonts w:ascii="Palatino Linotype" w:cs="Palatino Linotype" w:eastAsia="Palatino Linotype" w:hAnsi="Palatino Linotype"/>
          <w:sz w:val="22"/>
          <w:szCs w:val="22"/>
          <w:rtl w:val="0"/>
        </w:rPr>
        <w:t xml:space="preserve">  Antes de entrar al análisis de los pronunciamientos del Sujeto Obligado en la respuesta proporcionada, es necesario mencionar que el derecho de acceso a la información está consagrado en instrumentos internacionales de los cuales el Estado Mexicano se ha adherido, sin oponer reserva alguna sobre lo que nos interesa, adoptando dichas disposiciones al Derecho Interno, específicamente a nivel Constitucional, tal y como lo prevén los arábigos 1 párrafos primero, segundo y tercero y 6 apartado A fracciones I, II, III, IV, V, VI y VII que a la letra señalan:</w:t>
      </w:r>
    </w:p>
    <w:p w:rsidR="00000000" w:rsidDel="00000000" w:rsidP="00000000" w:rsidRDefault="00000000" w:rsidRPr="00000000" w14:paraId="0000007D">
      <w:pPr>
        <w:ind w:left="567" w:right="560"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7E">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1o.</w:t>
      </w:r>
      <w:r w:rsidDel="00000000" w:rsidR="00000000" w:rsidRPr="00000000">
        <w:rPr>
          <w:rFonts w:ascii="Palatino Linotype" w:cs="Palatino Linotype" w:eastAsia="Palatino Linotype" w:hAnsi="Palatino Linotype"/>
          <w:i w:val="1"/>
          <w:iCs w:val="1"/>
          <w:sz w:val="22"/>
          <w:szCs w:val="22"/>
          <w:rtl w:val="0"/>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000000" w:rsidDel="00000000" w:rsidP="00000000" w:rsidRDefault="00000000" w:rsidRPr="00000000" w14:paraId="0000007F">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Las normas relativas a los derechos humanos se interpretarán de conformidad con esta Constitución y con los tratados internacionales de la materia favoreciendo en todo tiempo a las personas la protección más amplia.</w:t>
      </w:r>
    </w:p>
    <w:p w:rsidR="00000000" w:rsidDel="00000000" w:rsidP="00000000" w:rsidRDefault="00000000" w:rsidRPr="00000000" w14:paraId="00000080">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000000" w:rsidDel="00000000" w:rsidP="00000000" w:rsidRDefault="00000000" w:rsidRPr="00000000" w14:paraId="00000081">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82">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6o.</w:t>
      </w:r>
    </w:p>
    <w:p w:rsidR="00000000" w:rsidDel="00000000" w:rsidP="00000000" w:rsidRDefault="00000000" w:rsidRPr="00000000" w14:paraId="00000083">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84">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A. Para el ejercicio del derecho de acceso a la información, la Federación y las entidades federativas, en el ámbito de sus respectivas competencias, se regirán por los siguientes principios y bases:</w:t>
      </w:r>
    </w:p>
    <w:p w:rsidR="00000000" w:rsidDel="00000000" w:rsidP="00000000" w:rsidRDefault="00000000" w:rsidRPr="00000000" w14:paraId="00000085">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I. Toda la información en posesión de cualquier autoridad, entidad, órgano y organismo de los Poderes Ejecutivo, Legislativo y Judicial, órganos autónomos, partidos políticos, fideicomisos y fondos públicos, así como de cualquier persona física, moral o sindicato que reciba y ejerza recursos públicos o realice actos de autoridad en el ámbito federal, estatal y municipal, es pública y sólo podrá ser reservada temporalmente por razones de interés público y seguridad nacional,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rsidR="00000000" w:rsidDel="00000000" w:rsidP="00000000" w:rsidRDefault="00000000" w:rsidRPr="00000000" w14:paraId="00000086">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II. La información que se refiere a la vida privada y los datos personales será protegida en los términos y con las excepciones que fijen las leyes. Para tal efecto, los sujetos obligados contarán con las facultades suficientes para su atención. </w:t>
      </w:r>
    </w:p>
    <w:p w:rsidR="00000000" w:rsidDel="00000000" w:rsidP="00000000" w:rsidRDefault="00000000" w:rsidRPr="00000000" w14:paraId="00000087">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Por lo que hace a la información relacionada con los datos personales en posesión de particulares, la ley a la que se refiere el artículo 90 de esta Constitución determinará la competencia para conocer de los procedimientos relativos a su protección, verificación e imposición de sanciones.</w:t>
      </w:r>
    </w:p>
    <w:p w:rsidR="00000000" w:rsidDel="00000000" w:rsidP="00000000" w:rsidRDefault="00000000" w:rsidRPr="00000000" w14:paraId="00000088">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III. Toda persona, sin necesidad de acreditar interés alguno o justificar su utilización, tendrá acceso gratuito a la información pública, a sus datos personales o a la rectificación de éstos.</w:t>
      </w:r>
    </w:p>
    <w:p w:rsidR="00000000" w:rsidDel="00000000" w:rsidP="00000000" w:rsidRDefault="00000000" w:rsidRPr="00000000" w14:paraId="00000089">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IV. Se establecerán mecanismos de acceso a la información pública y procedimientos de revisión expeditos que se sustanciarán ante las instancias competentes en los términos que fija esta Constitución y las leyes.</w:t>
      </w:r>
    </w:p>
    <w:p w:rsidR="00000000" w:rsidDel="00000000" w:rsidP="00000000" w:rsidRDefault="00000000" w:rsidRPr="00000000" w14:paraId="0000008A">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 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p w:rsidR="00000000" w:rsidDel="00000000" w:rsidP="00000000" w:rsidRDefault="00000000" w:rsidRPr="00000000" w14:paraId="0000008B">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VI. Las leyes determinarán la manera en que los sujetos obligados deberán hacer pública la información relativa a los recursos públicos que entreguen a personas físicas o morales.</w:t>
      </w:r>
    </w:p>
    <w:p w:rsidR="00000000" w:rsidDel="00000000" w:rsidP="00000000" w:rsidRDefault="00000000" w:rsidRPr="00000000" w14:paraId="0000008C">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VII. La inobservancia a las disposiciones en materia de acceso a la información pública será sancionada en los términos que dispongan las leyes. [...]</w:t>
      </w:r>
    </w:p>
    <w:p w:rsidR="00000000" w:rsidDel="00000000" w:rsidP="00000000" w:rsidRDefault="00000000" w:rsidRPr="00000000" w14:paraId="0000008D">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E">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Esto es, que cualquier persona tiene el derecho al acceso de la información pública, información que consiste en aquella que sea generada, obtenida, adquirida, transformada, administrada o en posesión de los Sujetos Obligados, como así también lo señala la Ley de Transparencia y Acceso a la Información Pública del Estado de México y Municipios en su artículo 4, que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rsidR="00000000" w:rsidDel="00000000" w:rsidP="00000000" w:rsidRDefault="00000000" w:rsidRPr="00000000" w14:paraId="0000008F">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90">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4.</w:t>
      </w:r>
      <w:r w:rsidDel="00000000" w:rsidR="00000000" w:rsidRPr="00000000">
        <w:rPr>
          <w:rFonts w:ascii="Palatino Linotype" w:cs="Palatino Linotype" w:eastAsia="Palatino Linotype" w:hAnsi="Palatino Linotype"/>
          <w:i w:val="1"/>
          <w:iCs w:val="1"/>
          <w:sz w:val="22"/>
          <w:szCs w:val="22"/>
          <w:rtl w:val="0"/>
        </w:rPr>
        <w:t xml:space="preserve"> El derecho humano de acceso a la información pública es la prerrogativa de las personas para buscar, difundir, investigar, recabar, recibir y solicitar información pública, sin necesidad de acreditar personalidad ni interés jurídico. </w:t>
      </w:r>
    </w:p>
    <w:p w:rsidR="00000000" w:rsidDel="00000000" w:rsidP="00000000" w:rsidRDefault="00000000" w:rsidRPr="00000000" w14:paraId="00000091">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Toda la información generada, obtenida, adquirida, transformada, administrada o en posesión de los sujetos obligados es pública y accesible de manera permanente a cualquier persona,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rsidR="00000000" w:rsidDel="00000000" w:rsidP="00000000" w:rsidRDefault="00000000" w:rsidRPr="00000000" w14:paraId="00000092">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Los sujetos obligados deben poner en práctica, políticas y programas de acceso a la información que se apeguen a criterios de publicidad, veracidad, oportunidad, precisión y suficiencia en beneficio de los solicitantes.”</w:t>
      </w:r>
    </w:p>
    <w:p w:rsidR="00000000" w:rsidDel="00000000" w:rsidP="00000000" w:rsidRDefault="00000000" w:rsidRPr="00000000" w14:paraId="00000093">
      <w:pPr>
        <w:spacing w:line="360" w:lineRule="auto"/>
        <w:ind w:left="567" w:right="560"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94">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lo precedente, se desprende que los Sujetos Obligados tienen la obligación o deber de atender las solicitudes de acceso a la información pública que se les hagan de su conocimiento y proporcionar la información pública que obren en su poder como así lo establece el artículo 12 de la Ley de Transparencia y Acceso a la Información Pública del Estado de México y Municipios, el cual a la letra dice:</w:t>
      </w:r>
    </w:p>
    <w:p w:rsidR="00000000" w:rsidDel="00000000" w:rsidP="00000000" w:rsidRDefault="00000000" w:rsidRPr="00000000" w14:paraId="00000095">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96">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12.</w:t>
      </w:r>
      <w:r w:rsidDel="00000000" w:rsidR="00000000" w:rsidRPr="00000000">
        <w:rPr>
          <w:rFonts w:ascii="Palatino Linotype" w:cs="Palatino Linotype" w:eastAsia="Palatino Linotype" w:hAnsi="Palatino Linotype"/>
          <w:i w:val="1"/>
          <w:iCs w:val="1"/>
          <w:sz w:val="22"/>
          <w:szCs w:val="22"/>
          <w:rtl w:val="0"/>
        </w:rPr>
        <w:t xml:space="preserve"> Quienes generen, recopilen, administren, manejen, procesen, archiven o conserven información pública serán responsables de la misma en los términos de las disposiciones jurídicas aplicables. </w:t>
      </w:r>
    </w:p>
    <w:p w:rsidR="00000000" w:rsidDel="00000000" w:rsidP="00000000" w:rsidRDefault="00000000" w:rsidRPr="00000000" w14:paraId="00000097">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Los sujetos obligados sólo proporcionarán la información pública que se les requiera y que obre en sus archivos y en el estado en que ésta se encuentre. La obligación de proporcionar información no comprende el procesamiento de la misma, ni el presentarla conforme al interés del solicitante; no estarán obligados a generarla, resumirla, efectuar cálculos o practicar investigaciones.” </w:t>
      </w:r>
    </w:p>
    <w:p w:rsidR="00000000" w:rsidDel="00000000" w:rsidP="00000000" w:rsidRDefault="00000000" w:rsidRPr="00000000" w14:paraId="00000098">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9">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decir, que el derecho de acceso a la información pública se satisface en aquellos casos en que se entregue documento en que conste la información requerida, toda vez que, los Sujetos Obligados no tienen el deber de generar, poseer o administrar la información pública con el grado de detalle solicitado; esto es, que no tienen el deber de generar un documento ad hoc, para satisfacer el derecho de acceso a la información pública, como así lo establece el Criterio  Orientador 03/17 emitido por el entonces Instituto Nacional de Transparencia, Acceso a la Información Pública y Protección de Datos Personales, el cual señala lo siguiente:</w:t>
      </w:r>
    </w:p>
    <w:p w:rsidR="00000000" w:rsidDel="00000000" w:rsidP="00000000" w:rsidRDefault="00000000" w:rsidRPr="00000000" w14:paraId="0000009A">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B">
      <w:pPr>
        <w:spacing w:line="276" w:lineRule="auto"/>
        <w:ind w:left="851" w:right="560"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Criterio 03/17</w:t>
      </w:r>
    </w:p>
    <w:p w:rsidR="00000000" w:rsidDel="00000000" w:rsidP="00000000" w:rsidRDefault="00000000" w:rsidRPr="00000000" w14:paraId="0000009C">
      <w:pPr>
        <w:spacing w:line="276" w:lineRule="auto"/>
        <w:ind w:left="851" w:right="56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“NO EXISTE OBLIGACIÓN DE ELABORAR DOCUMENTOS AD HOC PARA ATENDER LAS SOLICITUDES DE ACCESO A LA INFORMACIÓN. </w:t>
      </w:r>
      <w:r w:rsidDel="00000000" w:rsidR="00000000" w:rsidRPr="00000000">
        <w:rPr>
          <w:rFonts w:ascii="Palatino Linotype" w:cs="Palatino Linotype" w:eastAsia="Palatino Linotype" w:hAnsi="Palatino Linotype"/>
          <w:i w:val="1"/>
          <w:iCs w:val="1"/>
          <w:sz w:val="22"/>
          <w:szCs w:val="22"/>
          <w:rtl w:val="0"/>
        </w:rPr>
        <w:t xml:space="preserve">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p>
    <w:p w:rsidR="00000000" w:rsidDel="00000000" w:rsidP="00000000" w:rsidRDefault="00000000" w:rsidRPr="00000000" w14:paraId="0000009D">
      <w:pPr>
        <w:spacing w:line="360" w:lineRule="auto"/>
        <w:ind w:left="567" w:right="560"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9E">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otra parte, y aunado a lo antepuesto, el último párrafo del artículo 24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rsidR="00000000" w:rsidDel="00000000" w:rsidP="00000000" w:rsidRDefault="00000000" w:rsidRPr="00000000" w14:paraId="0000009F">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0">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Siempre y cuando no se trate de información reservada o clasificada, que difundirla pondría en riesgo la seguridad jurídica y física del titular de la información,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rsidR="00000000" w:rsidDel="00000000" w:rsidP="00000000" w:rsidRDefault="00000000" w:rsidRPr="00000000" w14:paraId="000000A1">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2">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rsidR="00000000" w:rsidDel="00000000" w:rsidP="00000000" w:rsidRDefault="00000000" w:rsidRPr="00000000" w14:paraId="000000A3">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4">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3.</w:t>
      </w:r>
      <w:r w:rsidDel="00000000" w:rsidR="00000000" w:rsidRPr="00000000">
        <w:rPr>
          <w:rFonts w:ascii="Palatino Linotype" w:cs="Palatino Linotype" w:eastAsia="Palatino Linotype" w:hAnsi="Palatino Linotype"/>
          <w:i w:val="1"/>
          <w:iCs w:val="1"/>
          <w:sz w:val="22"/>
          <w:szCs w:val="22"/>
          <w:rtl w:val="0"/>
        </w:rPr>
        <w:t xml:space="preserve"> Para los efectos de la presente Ley se entenderá por:</w:t>
      </w:r>
    </w:p>
    <w:p w:rsidR="00000000" w:rsidDel="00000000" w:rsidP="00000000" w:rsidRDefault="00000000" w:rsidRPr="00000000" w14:paraId="000000A5">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A6">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XI. Documento:</w:t>
      </w:r>
      <w:r w:rsidDel="00000000" w:rsidR="00000000" w:rsidRPr="00000000">
        <w:rPr>
          <w:rFonts w:ascii="Palatino Linotype" w:cs="Palatino Linotype" w:eastAsia="Palatino Linotype" w:hAnsi="Palatino Linotype"/>
          <w:i w:val="1"/>
          <w:iCs w:val="1"/>
          <w:sz w:val="22"/>
          <w:szCs w:val="22"/>
          <w:rtl w:val="0"/>
        </w:rPr>
        <w:t xml:space="preserve"> Los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rsidR="00000000" w:rsidDel="00000000" w:rsidP="00000000" w:rsidRDefault="00000000" w:rsidRPr="00000000" w14:paraId="000000A7">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8">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Siendo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rsidR="00000000" w:rsidDel="00000000" w:rsidP="00000000" w:rsidRDefault="00000000" w:rsidRPr="00000000" w14:paraId="000000A9">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A">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CRITERIO 0002-11</w:t>
      </w:r>
    </w:p>
    <w:p w:rsidR="00000000" w:rsidDel="00000000" w:rsidP="00000000" w:rsidRDefault="00000000" w:rsidRPr="00000000" w14:paraId="000000AB">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INFORMACIÓN PÚBLICA, CONCEPTO DE, EN MATERIA DE TRANSPARENCIA. INTERPRETACIÓN SISTEMÁTICA DE LOS ARTÍCULOS 2°, FRACCIÓN V, XV, Y XVI, 3°, 4°, 11 Y 41.</w:t>
      </w:r>
      <w:r w:rsidDel="00000000" w:rsidR="00000000" w:rsidRPr="00000000">
        <w:rPr>
          <w:rFonts w:ascii="Palatino Linotype" w:cs="Palatino Linotype" w:eastAsia="Palatino Linotype" w:hAnsi="Palatino Linotype"/>
          <w:i w:val="1"/>
          <w:iCs w:val="1"/>
          <w:sz w:val="22"/>
          <w:szCs w:val="22"/>
          <w:rtl w:val="0"/>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rsidR="00000000" w:rsidDel="00000000" w:rsidP="00000000" w:rsidRDefault="00000000" w:rsidRPr="00000000" w14:paraId="000000AC">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consecuencia el acceso a la información se refiere a que se cumplan cualquiera de los siguientes tres supuestos:</w:t>
      </w:r>
    </w:p>
    <w:p w:rsidR="00000000" w:rsidDel="00000000" w:rsidP="00000000" w:rsidRDefault="00000000" w:rsidRPr="00000000" w14:paraId="000000AD">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1)</w:t>
        <w:tab/>
        <w:t xml:space="preserve">Que se trate de información registrada en cualquier soporte documental, que en ejercicio de las atribuciones conferidas, sea generada por los Sujetos Obligados;</w:t>
      </w:r>
    </w:p>
    <w:p w:rsidR="00000000" w:rsidDel="00000000" w:rsidP="00000000" w:rsidRDefault="00000000" w:rsidRPr="00000000" w14:paraId="000000AE">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2)</w:t>
        <w:tab/>
        <w:t xml:space="preserve">Que se trate de información registrada en cualquier soporte documental, que en ejercicio de las atribuciones conferidas, sea administrada por los Sujetos Obligados, y</w:t>
      </w:r>
    </w:p>
    <w:p w:rsidR="00000000" w:rsidDel="00000000" w:rsidP="00000000" w:rsidRDefault="00000000" w:rsidRPr="00000000" w14:paraId="000000AF">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3) Que se trate de información registrada en cualquier soporte documental, que en ejercicio de las atribuciones conferidas, se encuentre en posesión de los Sujetos Obligados.” </w:t>
      </w:r>
    </w:p>
    <w:p w:rsidR="00000000" w:rsidDel="00000000" w:rsidP="00000000" w:rsidRDefault="00000000" w:rsidRPr="00000000" w14:paraId="000000B0">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1">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ahí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cuenta con el deber de satisfacer las solicitudes de acceso a la información que le sean formuladas y entregar la información pública que obre en sus archivos; más aún si la misma se trata de información pública de oficio la cual se relaciona con aquella que se genere de acuerdo con sus facultades, atribuciones señaladas por la Ley en la materia, así como de interés público, es decir, aquella que resulta relevante o beneficiosa para la sociedad y no simplemente de interés individual y cuya divulgación resulta útil para que el público comprenda las actividades que llevan a cabo los Sujetos Obligados.</w:t>
      </w:r>
    </w:p>
    <w:p w:rsidR="00000000" w:rsidDel="00000000" w:rsidP="00000000" w:rsidRDefault="00000000" w:rsidRPr="00000000" w14:paraId="000000B2">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3">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las actuaciones que integran el expediente electrónico, se procede al análisis de los agravios hechos valer por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relativos a la negativa a la información solicitada, contemplada en la fracción I del artículo 179 de la Ley de Transparencia y Acceso a la Información Pública del Estado de México y Municipios.</w:t>
      </w:r>
    </w:p>
    <w:p w:rsidR="00000000" w:rsidDel="00000000" w:rsidP="00000000" w:rsidRDefault="00000000" w:rsidRPr="00000000" w14:paraId="000000B4">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B5">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Dicho lo anterior, es conveniente recordar que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solicitó de la nueva rectora, el</w:t>
      </w:r>
      <w:r w:rsidDel="00000000" w:rsidR="00000000" w:rsidRPr="00000000">
        <w:rPr>
          <w:rFonts w:ascii="Palatino Linotype" w:cs="Palatino Linotype" w:eastAsia="Palatino Linotype" w:hAnsi="Palatino Linotype"/>
          <w:b w:val="1"/>
          <w:bCs w:val="1"/>
          <w:sz w:val="22"/>
          <w:szCs w:val="22"/>
          <w:rtl w:val="0"/>
        </w:rPr>
        <w:t xml:space="preserve"> Currículum vitae y nombramiento o designación oficial. </w:t>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respuesta,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través de la Dirección de Administración y Finanzas, informó que derivado de la naturaleza procesal de la información solicitada, se encuentra recabando la información y en espera de la respuesta de la dependencia correspondiente, con la finalidad de contar con la información para garantizar que ésta sea accesible, actualizada, congruente, confiable, verificable, veraz, integral, oportuna y expedita, por lo que una vez que se cuente con la documentación correspondiente, se podrá atender dicha solicitud de información..</w:t>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9">
      <w:pPr>
        <w:spacing w:line="360" w:lineRule="auto"/>
        <w:ind w:right="51"/>
        <w:jc w:val="both"/>
        <w:rPr>
          <w:rFonts w:ascii="Palatino Linotype" w:cs="Palatino Linotype" w:eastAsia="Palatino Linotype" w:hAnsi="Palatino Linotype"/>
          <w:sz w:val="22"/>
          <w:szCs w:val="22"/>
        </w:rPr>
      </w:pPr>
      <w:bookmarkStart w:colFirst="0" w:colLast="0" w:name="_heading=h.aupwiyqiwm2q" w:id="4"/>
      <w:bookmarkEnd w:id="4"/>
      <w:r w:rsidDel="00000000" w:rsidR="00000000" w:rsidRPr="00000000">
        <w:rPr>
          <w:rFonts w:ascii="Palatino Linotype" w:cs="Palatino Linotype" w:eastAsia="Palatino Linotype" w:hAnsi="Palatino Linotype"/>
          <w:sz w:val="22"/>
          <w:szCs w:val="22"/>
          <w:rtl w:val="0"/>
        </w:rPr>
        <w:t xml:space="preserve">Inconforme con la respuesta,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procedió a interponer el presente recurso de revisión, inconformándose medularmente por la negativa a la información solicitada, al considerar que no se agotó la búsqueda de la información. </w:t>
      </w:r>
    </w:p>
    <w:p w:rsidR="00000000" w:rsidDel="00000000" w:rsidP="00000000" w:rsidRDefault="00000000" w:rsidRPr="00000000" w14:paraId="000000BA">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B">
      <w:pPr>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otra parte, de las constancias que obran en el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se advierte que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no realizó manifestaciones, alegatos o pruebas que a su derecho convinieran y por su parte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rindió su informe justificado en el que el Jefe de departamento de Recursos Humanos hizo del conocimiento que dicho instrumento deriva de acto administrativo cuya emisión corresponde a una instancia gubernamental externa a esta Universidad, por lo que su expedición no depende de esta Institución.</w:t>
      </w:r>
    </w:p>
    <w:p w:rsidR="00000000" w:rsidDel="00000000" w:rsidP="00000000" w:rsidRDefault="00000000" w:rsidRPr="00000000" w14:paraId="000000BC">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D">
      <w:pPr>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Aunado a ello señaló que, a la fecha la Universidad Tecnológica del Valle de Toluca se encuentra en espera de notificación y recepción de la documentación correspondiente por parte de la autoridad competente, razón por la cual dicho documento no obra en los archivos de esta Casa de Estudios y que una vez que la documentación sea notificada y remitida a la Universidad, se estará en posibilidad de atender cualquier solicitud de información conforme a la normatividad aplicable en materia de transparencia y acceso a la información pública.</w:t>
      </w:r>
    </w:p>
    <w:p w:rsidR="00000000" w:rsidDel="00000000" w:rsidP="00000000" w:rsidRDefault="00000000" w:rsidRPr="00000000" w14:paraId="000000BE">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line="360" w:lineRule="auto"/>
        <w:ind w:right="-1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Una vez establecidas las posturas de las partes, se procede al análisis del requerimiento de información, así como la información proporcionada por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en contraposición con el motivo de inconformidad alegado por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con la finalidad de determinar si el Derecho de acceso de esta se satisfizo, o en su defecto, señalar los documentos que en el ejercicio de sus atribuciones pudo haber generado, y que, de manera enunciativa más no limitativa, pudieran colmar dicho derecho, en caso de ser procedente.</w:t>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line="360" w:lineRule="auto"/>
        <w:ind w:right="-15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line="360" w:lineRule="auto"/>
        <w:ind w:right="-1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este tenor, es necesario resaltar que, quien dio respuesta a los requerimientos del particular fue la Dirección de Administración y el Departamento de Recursos Humanos, por tal razón, es necesario traer a contexto el Manual de Organización de la Universidad Tecnológica del Valle de Toluca, cuyo contenido es el siguiente:</w:t>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210C2501010000L DIRECCIÓN DE ADMINISTRACIÓN Y FINANZAS</w:t>
      </w:r>
      <w:r w:rsidDel="00000000" w:rsidR="00000000" w:rsidRPr="00000000">
        <w:rPr>
          <w:rFonts w:ascii="Palatino Linotype" w:cs="Palatino Linotype" w:eastAsia="Palatino Linotype" w:hAnsi="Palatino Linotype"/>
          <w:i w:val="1"/>
          <w:iCs w:val="1"/>
          <w:sz w:val="22"/>
          <w:szCs w:val="22"/>
          <w:rtl w:val="0"/>
        </w:rPr>
        <w:t xml:space="preserve"> </w:t>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OBJETIVO: </w:t>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Planear, organizar, dirigir, controlar y evaluar el desempeño de las actividades relacionadas con la administración y aprovechamiento de los recursos humanos,</w:t>
      </w:r>
      <w:r w:rsidDel="00000000" w:rsidR="00000000" w:rsidRPr="00000000">
        <w:rPr>
          <w:rFonts w:ascii="Palatino Linotype" w:cs="Palatino Linotype" w:eastAsia="Palatino Linotype" w:hAnsi="Palatino Linotype"/>
          <w:i w:val="1"/>
          <w:iCs w:val="1"/>
          <w:sz w:val="22"/>
          <w:szCs w:val="22"/>
          <w:rtl w:val="0"/>
        </w:rPr>
        <w:t xml:space="preserve"> materiales, financieros y técnicos, así como la prestación de los servicios generales necesarios para el desarrollo de las actividades de la Universidad, conforme a las normas y disposiciones legales vigentes. </w:t>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FUNCIONES: </w:t>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 Implantar y ejecutar los procesos relacionados con la administración de personal,</w:t>
      </w:r>
      <w:r w:rsidDel="00000000" w:rsidR="00000000" w:rsidRPr="00000000">
        <w:rPr>
          <w:rFonts w:ascii="Palatino Linotype" w:cs="Palatino Linotype" w:eastAsia="Palatino Linotype" w:hAnsi="Palatino Linotype"/>
          <w:i w:val="1"/>
          <w:iCs w:val="1"/>
          <w:sz w:val="22"/>
          <w:szCs w:val="22"/>
          <w:rtl w:val="0"/>
        </w:rPr>
        <w:t xml:space="preserve"> atendiendo a los lineamientos y normas establecidos para los diversos movimientos y pagos por servicios personales. </w:t>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Realizar programas tendientes a la profesionalización de las personas servidoras públicas, así como participar con las Direcciones de Carrera y de Área en la elaboración de programas de actualización para el personal técnico, docente, administrativo y de apoyo, con el propósito de elevar la productividad del organismo en todas sus funciones y niveles jerárquicos. </w:t>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Revisar y proponer las adecuaciones a la estructura de organización, tendientes a eficientar y racionalizar los procesos de trabajo.</w:t>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210C2501010001L DEPARTAMENTO DE RECURSOS HUMANOS </w:t>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OBJETIVO: </w:t>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u w:val="single"/>
          <w:rtl w:val="0"/>
        </w:rPr>
        <w:t xml:space="preserve">Llevar a cabo las acciones de</w:t>
      </w:r>
      <w:r w:rsidDel="00000000" w:rsidR="00000000" w:rsidRPr="00000000">
        <w:rPr>
          <w:rFonts w:ascii="Palatino Linotype" w:cs="Palatino Linotype" w:eastAsia="Palatino Linotype" w:hAnsi="Palatino Linotype"/>
          <w:b w:val="1"/>
          <w:bCs w:val="1"/>
          <w:i w:val="1"/>
          <w:iCs w:val="1"/>
          <w:sz w:val="22"/>
          <w:szCs w:val="22"/>
          <w:rtl w:val="0"/>
        </w:rPr>
        <w:t xml:space="preserve"> selección, ingreso</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 contratación</w:t>
      </w:r>
      <w:r w:rsidDel="00000000" w:rsidR="00000000" w:rsidRPr="00000000">
        <w:rPr>
          <w:rFonts w:ascii="Palatino Linotype" w:cs="Palatino Linotype" w:eastAsia="Palatino Linotype" w:hAnsi="Palatino Linotype"/>
          <w:b w:val="1"/>
          <w:bCs w:val="1"/>
          <w:i w:val="1"/>
          <w:iCs w:val="1"/>
          <w:sz w:val="22"/>
          <w:szCs w:val="22"/>
          <w:rtl w:val="0"/>
        </w:rPr>
        <w:t xml:space="preserve">, inducción,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registro, control</w:t>
      </w:r>
      <w:r w:rsidDel="00000000" w:rsidR="00000000" w:rsidRPr="00000000">
        <w:rPr>
          <w:rFonts w:ascii="Palatino Linotype" w:cs="Palatino Linotype" w:eastAsia="Palatino Linotype" w:hAnsi="Palatino Linotype"/>
          <w:b w:val="1"/>
          <w:bCs w:val="1"/>
          <w:i w:val="1"/>
          <w:iCs w:val="1"/>
          <w:sz w:val="22"/>
          <w:szCs w:val="22"/>
          <w:rtl w:val="0"/>
        </w:rPr>
        <w:t xml:space="preserve">, capacitación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y desarrollo del personal</w:t>
      </w:r>
      <w:r w:rsidDel="00000000" w:rsidR="00000000" w:rsidRPr="00000000">
        <w:rPr>
          <w:rFonts w:ascii="Palatino Linotype" w:cs="Palatino Linotype" w:eastAsia="Palatino Linotype" w:hAnsi="Palatino Linotype"/>
          <w:i w:val="1"/>
          <w:iCs w:val="1"/>
          <w:sz w:val="22"/>
          <w:szCs w:val="22"/>
          <w:rtl w:val="0"/>
        </w:rPr>
        <w:t xml:space="preserve"> e informarle sobre sus derechos y obligaciones, así como establecer los mecanismos necesarios para el pago oportuno de sus remuneraciones, con base en los lineamientos establecidos en la materia. </w:t>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FUNCIONES: </w:t>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Elaborar, coordinar y ejecutar los programas de capacitación tendientes a mejorar el desempeño de las personas servidoras públicas de la Universidad. </w:t>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Proveer a la Universidad Tecnológica de los elementos necesarios para el cumplimiento de los objetivos establecidos, así como optimizar los recursos humanos. </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Llevar a cabo la selección del personal administrativo, así como el ingreso, contratación, inducción, registro, control, capacitación y desarrollo del personal docente con el perfil idóneo que requiere la Universidad. </w:t>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Elaborar las nóminas y pagar oportunamente las remuneraciones ordinarias y extraordinarias al personal, así como aplicar los descuentos correspondientes que procedan de conformidad con lo que establezca la ley a las personas servidoras públicas que se hagan acreedoras. </w:t>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Registrar y atender los nombramientos</w:t>
      </w:r>
      <w:r w:rsidDel="00000000" w:rsidR="00000000" w:rsidRPr="00000000">
        <w:rPr>
          <w:rFonts w:ascii="Palatino Linotype" w:cs="Palatino Linotype" w:eastAsia="Palatino Linotype" w:hAnsi="Palatino Linotype"/>
          <w:b w:val="1"/>
          <w:bCs w:val="1"/>
          <w:i w:val="1"/>
          <w:iCs w:val="1"/>
          <w:sz w:val="22"/>
          <w:szCs w:val="22"/>
          <w:rtl w:val="0"/>
        </w:rPr>
        <w:t xml:space="preserve">, altas, bajas, jubilaciones, cambios de adscripción, licencias con goce y sin goce de sueldo,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actualización de registros, expedientes y movimientos</w:t>
      </w:r>
      <w:r w:rsidDel="00000000" w:rsidR="00000000" w:rsidRPr="00000000">
        <w:rPr>
          <w:rFonts w:ascii="Palatino Linotype" w:cs="Palatino Linotype" w:eastAsia="Palatino Linotype" w:hAnsi="Palatino Linotype"/>
          <w:b w:val="1"/>
          <w:bCs w:val="1"/>
          <w:i w:val="1"/>
          <w:iCs w:val="1"/>
          <w:sz w:val="22"/>
          <w:szCs w:val="22"/>
          <w:rtl w:val="0"/>
        </w:rPr>
        <w:t xml:space="preserve">, control de asistencia, vacaciones, justificantes; días económicos, promociones y demás incidencias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del personal adscrito a la Universidad.</w:t>
      </w:r>
      <w:r w:rsidDel="00000000" w:rsidR="00000000" w:rsidRPr="00000000">
        <w:rPr>
          <w:rFonts w:ascii="Palatino Linotype" w:cs="Palatino Linotype" w:eastAsia="Palatino Linotype" w:hAnsi="Palatino Linotype"/>
          <w:i w:val="1"/>
          <w:iCs w:val="1"/>
          <w:sz w:val="22"/>
          <w:szCs w:val="22"/>
          <w:rtl w:val="0"/>
        </w:rPr>
        <w:t xml:space="preserve"> </w:t>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Expedir y tramitar las credenciales, gafetes de identificación, afiliaciones y registros ante el ISSEMYM, y demás prestaciones a que tenga derecho el personal. </w:t>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Elaborar, en coordinación con las unidades administrativas de la Universidad, los manuales administrativos necesarios para el mejor desempeño de las actividades de la Institución. </w:t>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Participar, brindando la información necesaria, en el proceso de autoevaluación de la estadística básica de la Universidad, así como en el sistema de información.”</w:t>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(Énfasis Añadido)</w:t>
      </w: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line="360" w:lineRule="auto"/>
        <w:ind w:right="-15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line="360" w:lineRule="auto"/>
        <w:ind w:right="-1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así que, el Departamento de Recursos Humanos adscrito a la Dirección de Administración y Finanzas tiene entre sus atribuciones de registrar y atender los nombramientos, altas, cambios de adscripción y actualización de registros, expedientes y movimientos del personal de la Universidad, por lo que la información del personal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estará a cargo de dicha coordinación.</w:t>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line="360" w:lineRule="auto"/>
        <w:ind w:right="-15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line="360" w:lineRule="auto"/>
        <w:ind w:right="-1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Dicho lo anterior, se precisa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turnó la solicitud a la Dirección de Administración y Finanzas y a su vez, al Departamento de Recursos Humanos, siguiendo con ello el procedimiento para la atención a las solicitudes de acceso a la información, establecido en los artículos 151, 160, 162, 163, 164, 165 y 166, de la Ley de Transparencia y Acceso a la Información Pública del Estado de México y Municipios: </w:t>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line="360" w:lineRule="auto"/>
        <w:ind w:right="-15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D">
      <w:pPr>
        <w:spacing w:line="360" w:lineRule="auto"/>
        <w:ind w:left="284"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Las Unidades de Transparencia de los sujetos obligados deben garantizar las medidas y condiciones de accesibilidad para que toda persona pueda ejercer el derecho de acceso a la información; por lo que, son las responsables de hacer las notificaciones correspondientes, además de llevar a cabo todas las gestiones necesarias para facilitar el acceso de la información; </w:t>
      </w:r>
    </w:p>
    <w:p w:rsidR="00000000" w:rsidDel="00000000" w:rsidP="00000000" w:rsidRDefault="00000000" w:rsidRPr="00000000" w14:paraId="000000DE">
      <w:pPr>
        <w:spacing w:line="360" w:lineRule="auto"/>
        <w:ind w:left="284"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La respuesta a los requerimientos informativos, deberá notificarse al interesado en el menor tiempo posible, que no podrá exceder de quince días hábiles, contados a partir del día siguiente a la presentación de esta.  </w:t>
      </w:r>
    </w:p>
    <w:p w:rsidR="00000000" w:rsidDel="00000000" w:rsidP="00000000" w:rsidRDefault="00000000" w:rsidRPr="00000000" w14:paraId="000000DF">
      <w:pPr>
        <w:spacing w:line="360" w:lineRule="auto"/>
        <w:ind w:left="284"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Excepcionalmente, el plazo referido podrá ampliarse por siete días hábiles más, cuando existan razones fundadas y motivadas, a través del Comité de Transparencia; </w:t>
      </w:r>
    </w:p>
    <w:p w:rsidR="00000000" w:rsidDel="00000000" w:rsidP="00000000" w:rsidRDefault="00000000" w:rsidRPr="00000000" w14:paraId="000000E0">
      <w:pPr>
        <w:spacing w:line="360" w:lineRule="auto"/>
        <w:ind w:left="284"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Las Unidades de Transparencia garantizarán que las solicitudes se turnen a todas las áreas competentes que cuenten con la información o deban tenerla de acuerdo a sus facultades, funciones y atribuciones, para que realicen una búsqueda exhaustiva y razonable de la documentación solicitada, con el fin de que proporcionen las expresiones documentales que se encuentren en sus archivos o que estén constreñidos a elaborar; </w:t>
      </w:r>
    </w:p>
    <w:p w:rsidR="00000000" w:rsidDel="00000000" w:rsidP="00000000" w:rsidRDefault="00000000" w:rsidRPr="00000000" w14:paraId="000000E1">
      <w:pPr>
        <w:spacing w:line="360" w:lineRule="auto"/>
        <w:ind w:left="284"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El acceso se dará en la modalidad de entrega y en su caso, de envío elegido por la solicitante, cuando no pueda entregarse en dicha modalidad, el Sujeto Obligado deberá ofrecer otras; por lo cual, deberá fundar y motivar la necesidad de modificar el medio de entrega; y </w:t>
      </w:r>
    </w:p>
    <w:p w:rsidR="00000000" w:rsidDel="00000000" w:rsidP="00000000" w:rsidRDefault="00000000" w:rsidRPr="00000000" w14:paraId="000000E2">
      <w:pPr>
        <w:spacing w:line="360" w:lineRule="auto"/>
        <w:ind w:left="284"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Las Unidades de Transparencia, tendrán disponible la información requerida durante un plazo mínimo de sesenta días hábiles, contados a partir de que la solicitante hubiere realizado, en su caso, el pago respectivo, el cual deberá efectuarse en un plazo no mayor a treinta días hábiles; por lo que, una vez transcurrida dicha temporalidad, los Sujetos Obligados darán por concluida la solicitud y procederán de ser el caso, a la destrucción del material; </w:t>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este orden de ideas, se reitera que la Unidad de Transparencia turnó la solicitud de información a la unidad administrativa competente, conforme al Manual de Organización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con lo que se acreditó que se realizó una correcta búsqueda exhaustiva y razonable de la información.</w:t>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Dicho lo anterior, es necesario referir que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solicitó conocer información de la</w:t>
      </w:r>
      <w:r w:rsidDel="00000000" w:rsidR="00000000" w:rsidRPr="00000000">
        <w:rPr>
          <w:rFonts w:ascii="Palatino Linotype" w:cs="Palatino Linotype" w:eastAsia="Palatino Linotype" w:hAnsi="Palatino Linotype"/>
          <w:b w:val="1"/>
          <w:bCs w:val="1"/>
          <w:sz w:val="22"/>
          <w:szCs w:val="22"/>
          <w:u w:val="single"/>
          <w:rtl w:val="0"/>
        </w:rPr>
        <w:t xml:space="preserve"> nueva rectora</w:t>
      </w:r>
      <w:r w:rsidDel="00000000" w:rsidR="00000000" w:rsidRPr="00000000">
        <w:rPr>
          <w:rFonts w:ascii="Palatino Linotype" w:cs="Palatino Linotype" w:eastAsia="Palatino Linotype" w:hAnsi="Palatino Linotype"/>
          <w:sz w:val="22"/>
          <w:szCs w:val="22"/>
          <w:rtl w:val="0"/>
        </w:rPr>
        <w:t xml:space="preserve">, por lo que este Organismo Garante localizo dentro de la página oficial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que la actual Titular de la Universidad Tecnológica del Valle de Toluca es la Lcda. Sofía Fernández Peña, tal y como se muestra a continuación: </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612130" cy="3143250"/>
            <wp:effectExtent b="0" l="0" r="0" t="0"/>
            <wp:docPr id="1747070190"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612130" cy="3143250"/>
                    </a:xfrm>
                    <a:prstGeom prst="rect"/>
                    <a:ln/>
                  </pic:spPr>
                </pic:pic>
              </a:graphicData>
            </a:graphic>
          </wp:inline>
        </w:drawing>
      </w: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este tenor, recordemos que en atención a la solicitud de información, la Dirección de Administración y Finanzas informó que derivado de la naturaleza procesal de la información solicitada, se encontraba recabando la información y en espera de la respuesta de la dependencia correspondiente, por lo que una vez que se contara con la documentación se podía atender dicha solicitud de información; no obstante en la presentación de su informe justificado el Departamento de Recursos Humanos informó que dicho instrumento deriva de acto administrativo cuya emisión corresponde a una instancia gubernamental externa a la Universidad, por lo que su expedición no depende de esta Institución, y que se encuentra en espera de la notificación y recepción de la documentación correspondiente, razón por la cual dicho documento no obra en sus archivos y una vez que la documentación sea notificada y remitida a la Universidad, estará en posibilidad de atender cualquier solicitud de información conforme a la normatividad aplicable en materia de transparencia y acceso a la información pública.</w:t>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No obstante, de la consulta realizada en el portal de Información Pública de Oficio Mexiquense (Ipomex), se advirtió que la servidora pública fue dada de alta a partir del </w:t>
      </w:r>
      <w:r w:rsidDel="00000000" w:rsidR="00000000" w:rsidRPr="00000000">
        <w:rPr>
          <w:rFonts w:ascii="Palatino Linotype" w:cs="Palatino Linotype" w:eastAsia="Palatino Linotype" w:hAnsi="Palatino Linotype"/>
          <w:b w:val="1"/>
          <w:bCs w:val="1"/>
          <w:sz w:val="22"/>
          <w:szCs w:val="22"/>
          <w:u w:val="single"/>
          <w:rtl w:val="0"/>
        </w:rPr>
        <w:t xml:space="preserve">primero de abril de dos mil veintiséis</w:t>
      </w:r>
      <w:r w:rsidDel="00000000" w:rsidR="00000000" w:rsidRPr="00000000">
        <w:rPr>
          <w:rFonts w:ascii="Palatino Linotype" w:cs="Palatino Linotype" w:eastAsia="Palatino Linotype" w:hAnsi="Palatino Linotype"/>
          <w:sz w:val="22"/>
          <w:szCs w:val="22"/>
          <w:rtl w:val="0"/>
        </w:rPr>
        <w:t xml:space="preserve">, como se desprende de la información publicada por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en cumplimiento a la obligación de transparencia prevista en el artículo 92, fracción VII de la Ley de Transparencia y Acceso a la Información Pública del Estado de México y Municipios: </w:t>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612130" cy="1991995"/>
            <wp:effectExtent b="0" l="0" r="0" t="0"/>
            <wp:docPr id="1747070192"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612130" cy="199199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1685289</wp:posOffset>
                </wp:positionH>
                <wp:positionV relativeFrom="paragraph">
                  <wp:posOffset>1856105</wp:posOffset>
                </wp:positionV>
                <wp:extent cx="1736725" cy="137795"/>
                <wp:effectExtent b="0" l="0" r="0" t="0"/>
                <wp:wrapNone/>
                <wp:docPr id="1747070187" name=""/>
                <a:graphic>
                  <a:graphicData uri="http://schemas.microsoft.com/office/word/2010/wordprocessingShape">
                    <wps:wsp>
                      <wps:cNvSpPr/>
                      <wps:cNvPr id="2" name="Shape 2"/>
                      <wps:spPr>
                        <a:xfrm>
                          <a:off x="4483988" y="3717453"/>
                          <a:ext cx="1724025" cy="125095"/>
                        </a:xfrm>
                        <a:prstGeom prst="rect">
                          <a:avLst/>
                        </a:prstGeom>
                        <a:noFill/>
                        <a:ln cap="flat" cmpd="sng" w="12700">
                          <a:solidFill>
                            <a:srgbClr val="EE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1685289</wp:posOffset>
                </wp:positionH>
                <wp:positionV relativeFrom="paragraph">
                  <wp:posOffset>1856105</wp:posOffset>
                </wp:positionV>
                <wp:extent cx="1736725" cy="137795"/>
                <wp:effectExtent b="0" l="0" r="0" t="0"/>
                <wp:wrapNone/>
                <wp:docPr id="1747070187"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1736725" cy="137795"/>
                        </a:xfrm>
                        <a:prstGeom prst="rect"/>
                        <a:ln/>
                      </pic:spPr>
                    </pic:pic>
                  </a:graphicData>
                </a:graphic>
              </wp:anchor>
            </w:drawing>
          </mc:Fallback>
        </mc:AlternateContent>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anteriormente expuesto se advierte que si bien el Departamento de Recursos Humanos informó que el nombramiento es un acto administrativo cuya emisión corresponde a una instancia gubernamental externa a la Universidad, lo cierto es que, para que se iniciara la prestación del servicio debió contar con el nombramiento independientemente de que este sea emitido o no por el Sujeto Obligado, pues como se puede constatar el alta laboral fue a partir del primero de abril de dos mil veintiséis, por lo que a la fecha de la solicitud de información, la Universidad Tecnológica del Valle de Toluca tenía la obligación de integrar el expediente o registro laboral iniciado a nombre de la servidora pública, pues se insiste que para que se iniciara la prestación del servicio debió contar con el nombramiento; ello en atención a lo establecido en la Ley del Trabajo de los Servidores Públicos del Estado y Municipios, que en su cuerpo normativo precisa que: </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5.-</w:t>
      </w:r>
      <w:r w:rsidDel="00000000" w:rsidR="00000000" w:rsidRPr="00000000">
        <w:rPr>
          <w:rFonts w:ascii="Palatino Linotype" w:cs="Palatino Linotype" w:eastAsia="Palatino Linotype" w:hAnsi="Palatino Linotype"/>
          <w:i w:val="1"/>
          <w:iCs w:val="1"/>
          <w:sz w:val="22"/>
          <w:szCs w:val="22"/>
          <w:rtl w:val="0"/>
        </w:rPr>
        <w:t xml:space="preserve"> La relación de trabajo entre las instituciones públicas y sus servidores públicos se entiende establecida mediante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nombramiento</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formato único de movimiento de personal, contrato o por cualquier otro acto que tenga como consecuencia la prestación personal subordinada del servicio</w:t>
      </w:r>
      <w:r w:rsidDel="00000000" w:rsidR="00000000" w:rsidRPr="00000000">
        <w:rPr>
          <w:rFonts w:ascii="Palatino Linotype" w:cs="Palatino Linotype" w:eastAsia="Palatino Linotype" w:hAnsi="Palatino Linotype"/>
          <w:i w:val="1"/>
          <w:iCs w:val="1"/>
          <w:sz w:val="22"/>
          <w:szCs w:val="22"/>
          <w:rtl w:val="0"/>
        </w:rPr>
        <w:t xml:space="preserve"> y la percepción de un sueldo. Para los efectos de esta ley, las instituciones públicas estarán representadas por sus titulares.</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ARTÍCULO 45.- </w:t>
      </w:r>
      <w:r w:rsidDel="00000000" w:rsidR="00000000" w:rsidRPr="00000000">
        <w:rPr>
          <w:rFonts w:ascii="Palatino Linotype" w:cs="Palatino Linotype" w:eastAsia="Palatino Linotype" w:hAnsi="Palatino Linotype"/>
          <w:b w:val="1"/>
          <w:bCs w:val="1"/>
          <w:i w:val="1"/>
          <w:iCs w:val="1"/>
          <w:sz w:val="22"/>
          <w:szCs w:val="22"/>
          <w:rtl w:val="0"/>
        </w:rPr>
        <w:t xml:space="preserve">Los servidores públicos prestarán sus servicios mediante nombramiento</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contrato o formato único de Movimientos de Personal</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expedidos por quien estuviere facultado legalmente para extenderlo.</w:t>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b w:val="1"/>
          <w:bCs w:val="1"/>
          <w:i w:val="1"/>
          <w:iCs w:val="1"/>
          <w:sz w:val="22"/>
          <w:szCs w:val="22"/>
          <w:u w:val="single"/>
        </w:rPr>
      </w:pPr>
      <w:r w:rsidDel="00000000" w:rsidR="00000000" w:rsidRPr="00000000">
        <w:rPr>
          <w:rFonts w:ascii="Palatino Linotype" w:cs="Palatino Linotype" w:eastAsia="Palatino Linotype" w:hAnsi="Palatino Linotype"/>
          <w:b w:val="1"/>
          <w:bCs w:val="1"/>
          <w:i w:val="1"/>
          <w:iCs w:val="1"/>
          <w:sz w:val="22"/>
          <w:szCs w:val="22"/>
          <w:u w:val="single"/>
          <w:rtl w:val="0"/>
        </w:rPr>
        <w:t xml:space="preserve">ARTÍCULO 48. Para iniciar la prestación de los servicios se requiere: </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u w:val="single"/>
          <w:rtl w:val="0"/>
        </w:rPr>
        <w:t xml:space="preserve">.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Tener conferido el nombramiento</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contrato respectivo o formato único de Movimientos de Personal; </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 Rendir la protesta de ley en caso de nombramiento; y </w:t>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 Tomar posesión del cargo.</w:t>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49.-</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Los nombramientos</w:t>
      </w:r>
      <w:r w:rsidDel="00000000" w:rsidR="00000000" w:rsidRPr="00000000">
        <w:rPr>
          <w:rFonts w:ascii="Palatino Linotype" w:cs="Palatino Linotype" w:eastAsia="Palatino Linotype" w:hAnsi="Palatino Linotype"/>
          <w:i w:val="1"/>
          <w:iCs w:val="1"/>
          <w:sz w:val="22"/>
          <w:szCs w:val="22"/>
          <w:rtl w:val="0"/>
        </w:rPr>
        <w:t xml:space="preserve">, contratos o formato único de Movimientos de Personal de los servidores públicos </w:t>
      </w:r>
      <w:r w:rsidDel="00000000" w:rsidR="00000000" w:rsidRPr="00000000">
        <w:rPr>
          <w:rFonts w:ascii="Palatino Linotype" w:cs="Palatino Linotype" w:eastAsia="Palatino Linotype" w:hAnsi="Palatino Linotype"/>
          <w:b w:val="1"/>
          <w:bCs w:val="1"/>
          <w:i w:val="1"/>
          <w:iCs w:val="1"/>
          <w:sz w:val="22"/>
          <w:szCs w:val="22"/>
          <w:rtl w:val="0"/>
        </w:rPr>
        <w:t xml:space="preserve">deberán contener</w:t>
      </w: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tl w:val="0"/>
        </w:rPr>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w:t>
      </w:r>
      <w:r w:rsidDel="00000000" w:rsidR="00000000" w:rsidRPr="00000000">
        <w:rPr>
          <w:rFonts w:ascii="Palatino Linotype" w:cs="Palatino Linotype" w:eastAsia="Palatino Linotype" w:hAnsi="Palatino Linotype"/>
          <w:b w:val="1"/>
          <w:bCs w:val="1"/>
          <w:i w:val="1"/>
          <w:iCs w:val="1"/>
          <w:sz w:val="22"/>
          <w:szCs w:val="22"/>
          <w:rtl w:val="0"/>
        </w:rPr>
        <w:t xml:space="preserve">. Nombre completo del servidor público;</w:t>
      </w: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 Cargo para el que es designado</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fecha de inicio de sus servicios</w:t>
      </w:r>
      <w:r w:rsidDel="00000000" w:rsidR="00000000" w:rsidRPr="00000000">
        <w:rPr>
          <w:rFonts w:ascii="Palatino Linotype" w:cs="Palatino Linotype" w:eastAsia="Palatino Linotype" w:hAnsi="Palatino Linotype"/>
          <w:i w:val="1"/>
          <w:iCs w:val="1"/>
          <w:sz w:val="22"/>
          <w:szCs w:val="22"/>
          <w:rtl w:val="0"/>
        </w:rPr>
        <w:t xml:space="preserve"> y lugar de adscripción; </w:t>
      </w: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III. Carácter del nombramiento, ya sea de servidores públicos generales o de confianza, así como la temporalidad del mismo; </w:t>
      </w: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IV. Remuneración correspondiente al puesto; </w:t>
      </w: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V. Jornada de trabajo; </w:t>
      </w: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VI. Derogada; </w:t>
      </w: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VII. Firma del servidor público autorizado para emitir el nombramiento, contrato o formato único de Movimientos de Personal, así como el fundamento legal de esa atribución.” </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(Énfasis añadido)</w:t>
      </w: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este modo, se estima que la relación laboral entre los servidores públicos y las entidades públicas se tiene por establecida mediante el nombramiento, formato único de movimientos o contrato, por lo que es información que debe generar, administrar o poseer la autoridad correspondiente, ya que de conformidad con el artículo 98, fracción XVII del citado ordenamiento legal, la institución pública tiene la atribución de integrar los expedientes de los servidores públicos; por lo que se concluye que es información que debe obrar en los archivos </w:t>
      </w:r>
      <w:r w:rsidDel="00000000" w:rsidR="00000000" w:rsidRPr="00000000">
        <w:rPr>
          <w:rFonts w:ascii="Palatino Linotype" w:cs="Palatino Linotype" w:eastAsia="Palatino Linotype" w:hAnsi="Palatino Linotype"/>
          <w:b w:val="1"/>
          <w:bCs w:val="1"/>
          <w:sz w:val="22"/>
          <w:szCs w:val="22"/>
          <w:rtl w:val="0"/>
        </w:rPr>
        <w:t xml:space="preserve">del Sujeto Obligado</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respecto al Currículum vitae, es de destacar que el concepto </w:t>
      </w:r>
      <w:r w:rsidDel="00000000" w:rsidR="00000000" w:rsidRPr="00000000">
        <w:rPr>
          <w:rFonts w:ascii="Palatino Linotype" w:cs="Palatino Linotype" w:eastAsia="Palatino Linotype" w:hAnsi="Palatino Linotype"/>
          <w:i w:val="1"/>
          <w:iCs w:val="1"/>
          <w:sz w:val="22"/>
          <w:szCs w:val="22"/>
          <w:rtl w:val="0"/>
        </w:rPr>
        <w:t xml:space="preserve">“Currículum” </w:t>
      </w:r>
      <w:r w:rsidDel="00000000" w:rsidR="00000000" w:rsidRPr="00000000">
        <w:rPr>
          <w:rFonts w:ascii="Palatino Linotype" w:cs="Palatino Linotype" w:eastAsia="Palatino Linotype" w:hAnsi="Palatino Linotype"/>
          <w:sz w:val="22"/>
          <w:szCs w:val="22"/>
          <w:rtl w:val="0"/>
        </w:rPr>
        <w:t xml:space="preserve">corresponde a una locución latina cuyo significado es </w:t>
      </w:r>
      <w:r w:rsidDel="00000000" w:rsidR="00000000" w:rsidRPr="00000000">
        <w:rPr>
          <w:rFonts w:ascii="Palatino Linotype" w:cs="Palatino Linotype" w:eastAsia="Palatino Linotype" w:hAnsi="Palatino Linotype"/>
          <w:i w:val="1"/>
          <w:iCs w:val="1"/>
          <w:sz w:val="22"/>
          <w:szCs w:val="22"/>
          <w:rtl w:val="0"/>
        </w:rPr>
        <w:t xml:space="preserve">“carrera de vida”, Se usa como locución nominal masculina para designar la relación de los datos personales, formación académica, actividad laboral y méritos de una persona.” </w:t>
      </w:r>
      <w:r w:rsidDel="00000000" w:rsidR="00000000" w:rsidRPr="00000000">
        <w:rPr>
          <w:rtl w:val="0"/>
        </w:rPr>
      </w:r>
    </w:p>
    <w:p w:rsidR="00000000" w:rsidDel="00000000" w:rsidP="00000000" w:rsidRDefault="00000000" w:rsidRPr="00000000" w14:paraId="00000108">
      <w:pPr>
        <w:spacing w:line="360" w:lineRule="auto"/>
        <w:ind w:right="-7"/>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109">
      <w:pPr>
        <w:spacing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la interpretación a esta definición se desprende que el </w:t>
      </w:r>
      <w:r w:rsidDel="00000000" w:rsidR="00000000" w:rsidRPr="00000000">
        <w:rPr>
          <w:rFonts w:ascii="Palatino Linotype" w:cs="Palatino Linotype" w:eastAsia="Palatino Linotype" w:hAnsi="Palatino Linotype"/>
          <w:b w:val="1"/>
          <w:bCs w:val="1"/>
          <w:sz w:val="22"/>
          <w:szCs w:val="22"/>
          <w:u w:val="single"/>
          <w:rtl w:val="0"/>
        </w:rPr>
        <w:t xml:space="preserve">currículum vitae o ficha curricular</w:t>
      </w:r>
      <w:r w:rsidDel="00000000" w:rsidR="00000000" w:rsidRPr="00000000">
        <w:rPr>
          <w:rFonts w:ascii="Palatino Linotype" w:cs="Palatino Linotype" w:eastAsia="Palatino Linotype" w:hAnsi="Palatino Linotype"/>
          <w:sz w:val="22"/>
          <w:szCs w:val="22"/>
          <w:rtl w:val="0"/>
        </w:rPr>
        <w:t xml:space="preserve"> está relacionado con la hoja de vida o carrera de vida de una persona, donde se podría apreciar la preparación académica y laboral que tiene, además de los méritos obtenidos tal y como podrían ser cursos, certificaciones o capacitaciones.</w:t>
      </w:r>
    </w:p>
    <w:p w:rsidR="00000000" w:rsidDel="00000000" w:rsidP="00000000" w:rsidRDefault="00000000" w:rsidRPr="00000000" w14:paraId="0000010A">
      <w:pPr>
        <w:spacing w:line="360" w:lineRule="auto"/>
        <w:ind w:right="-7"/>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B">
      <w:pPr>
        <w:spacing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su lado, la Real Academia Española, lo define como a continuación se cita: </w:t>
      </w:r>
      <w:r w:rsidDel="00000000" w:rsidR="00000000" w:rsidRPr="00000000">
        <w:rPr>
          <w:rFonts w:ascii="Palatino Linotype" w:cs="Palatino Linotype" w:eastAsia="Palatino Linotype" w:hAnsi="Palatino Linotype"/>
          <w:i w:val="1"/>
          <w:iCs w:val="1"/>
          <w:sz w:val="22"/>
          <w:szCs w:val="22"/>
          <w:rtl w:val="0"/>
        </w:rPr>
        <w:t xml:space="preserve">“Relación de los títulos, honores, cargos, trabajos realizados, datos biográficos, etc, que califican a una persona” </w:t>
      </w:r>
      <w:r w:rsidDel="00000000" w:rsidR="00000000" w:rsidRPr="00000000">
        <w:rPr>
          <w:rtl w:val="0"/>
        </w:rPr>
      </w:r>
    </w:p>
    <w:p w:rsidR="00000000" w:rsidDel="00000000" w:rsidP="00000000" w:rsidRDefault="00000000" w:rsidRPr="00000000" w14:paraId="0000010C">
      <w:pPr>
        <w:spacing w:line="360" w:lineRule="auto"/>
        <w:ind w:right="-7"/>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D">
      <w:pPr>
        <w:spacing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Desde esta perspectiva, a través del </w:t>
      </w:r>
      <w:r w:rsidDel="00000000" w:rsidR="00000000" w:rsidRPr="00000000">
        <w:rPr>
          <w:rFonts w:ascii="Palatino Linotype" w:cs="Palatino Linotype" w:eastAsia="Palatino Linotype" w:hAnsi="Palatino Linotype"/>
          <w:b w:val="1"/>
          <w:bCs w:val="1"/>
          <w:sz w:val="22"/>
          <w:szCs w:val="22"/>
          <w:u w:val="single"/>
          <w:rtl w:val="0"/>
        </w:rPr>
        <w:t xml:space="preserve">currículum vitae o ficha curricular</w:t>
      </w:r>
      <w:r w:rsidDel="00000000" w:rsidR="00000000" w:rsidRPr="00000000">
        <w:rPr>
          <w:rFonts w:ascii="Palatino Linotype" w:cs="Palatino Linotype" w:eastAsia="Palatino Linotype" w:hAnsi="Palatino Linotype"/>
          <w:sz w:val="22"/>
          <w:szCs w:val="22"/>
          <w:rtl w:val="0"/>
        </w:rPr>
        <w:t xml:space="preserve"> la persona solicitante puede advertir los estudios realizados o bien el nivel académico, así como la experiencia laboral de los servidores públicos que se encuentran adscritos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información que es de carácter público de conformidad con el criterio orientador 03/2009, emitido por el entonces Instituto Nacional de Transparencia Acceso a la Información Pública y Protección de Datos Personales (INAI), que establece que una de las formas en que los ciudadanos puedan evaluar las aptitudes de los servidores públicos para desempeñar el cargo público que les ha sido encomendado, es mediante la publicidad de ciertos datos contenidos en los currículos, o bien en las solicitudes de empleo, el cual, para mayor ilustración se transcribe a continuación:</w:t>
      </w:r>
    </w:p>
    <w:p w:rsidR="00000000" w:rsidDel="00000000" w:rsidP="00000000" w:rsidRDefault="00000000" w:rsidRPr="00000000" w14:paraId="0000010E">
      <w:pPr>
        <w:spacing w:line="360" w:lineRule="auto"/>
        <w:ind w:right="-7"/>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F">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Curriculum Vitae de servidores públicos.</w:t>
      </w:r>
      <w:r w:rsidDel="00000000" w:rsidR="00000000" w:rsidRPr="00000000">
        <w:rPr>
          <w:rFonts w:ascii="Palatino Linotype" w:cs="Palatino Linotype" w:eastAsia="Palatino Linotype" w:hAnsi="Palatino Linotype"/>
          <w:i w:val="1"/>
          <w:iCs w:val="1"/>
          <w:sz w:val="22"/>
          <w:szCs w:val="22"/>
          <w:rtl w:val="0"/>
        </w:rPr>
        <w:t xml:space="preserve"> Es obligación de los sujetos obligados otorgar acceso a versiones públicas de los mismos ante una solicitud de acceso. Uno de los objetivos de la Ley Federal de Transparencia y Acceso a la Información Pública Gubernamental, de acuerdo con su artículo 4, fracción IV, es favorecer la rendición de cuentas a las personas, de manera que puedan valorar el desempeño de los sujetos obligados. Si bien en el curriculum vitae se describe información de una persona relacionada con su formación académica, trayectoria profesional, datos de contacto, datos biográficos, entre otros, los cuales constituyen datos personales, de acuerdo con lo previsto en el artículo 3, fracción II de la Ley Federal de Transparencia y Acceso a la Información Pública Gubernamental, y en consecuencia, representan información confidencial, en términos de lo establecido en el artículo 18, fracción II de la Ley Federal de Transparencia y Acceso a la Información Pública Gubernamental, tratándose del curriculum vitae de un servidor público, una de las formas en que los ciudadanos pueden evaluar sus aptitudes para desempeñar el cargo público que le ha sido encomendado, es mediante la publicidad de ciertos datos de los ahí contenidos. En esa tesitura, entre los datos personales del curriculum vitae de un servidor público susceptibles de hacerse del conocimiento público, ante una solicitud de acceso, se encuentran los relativos a su trayectoria académica, profesional, laboral, así como todos aquellos que acrediten su capacidad, habilidades o pericia para ocupar el cargo público.” </w:t>
      </w:r>
    </w:p>
    <w:p w:rsidR="00000000" w:rsidDel="00000000" w:rsidP="00000000" w:rsidRDefault="00000000" w:rsidRPr="00000000" w14:paraId="00000110">
      <w:pPr>
        <w:spacing w:line="360" w:lineRule="auto"/>
        <w:ind w:left="567" w:right="560"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111">
      <w:pPr>
        <w:spacing w:line="360" w:lineRule="auto"/>
        <w:ind w:right="-7"/>
        <w:jc w:val="both"/>
        <w:rPr>
          <w:rFonts w:ascii="Palatino Linotype" w:cs="Palatino Linotype" w:eastAsia="Palatino Linotype" w:hAnsi="Palatino Linotype"/>
          <w:sz w:val="22"/>
          <w:szCs w:val="22"/>
          <w:u w:val="single"/>
        </w:rPr>
      </w:pPr>
      <w:r w:rsidDel="00000000" w:rsidR="00000000" w:rsidRPr="00000000">
        <w:rPr>
          <w:rFonts w:ascii="Palatino Linotype" w:cs="Palatino Linotype" w:eastAsia="Palatino Linotype" w:hAnsi="Palatino Linotype"/>
          <w:sz w:val="22"/>
          <w:szCs w:val="22"/>
          <w:rtl w:val="0"/>
        </w:rPr>
        <w:t xml:space="preserve">Del cual se advierte que si bien en el currículum vitae se describe información de una persona relacionada con su formación académica, trayectoria profesional y datos de contacto entre otros que pudieran constituir datos personales; tratándose de servidores públicos, el conocimiento de los mismos por los gobernados contribuye a la evaluación de sus aptitudes de acuerdo a su nivel profesional y laboral, para el desempeño de sus funciones en el cargo que ostenten, razón que resulta suficiente para que sean de conocimiento público y si bien es cierto que no existe disposición legal que ordene de manera expresa que el sujeto obligado, deba contar en sus archivos con un documento denominado “currículum vitae” de sus servidores públicos, también lo es que </w:t>
      </w:r>
      <w:r w:rsidDel="00000000" w:rsidR="00000000" w:rsidRPr="00000000">
        <w:rPr>
          <w:rFonts w:ascii="Palatino Linotype" w:cs="Palatino Linotype" w:eastAsia="Palatino Linotype" w:hAnsi="Palatino Linotype"/>
          <w:sz w:val="22"/>
          <w:szCs w:val="22"/>
          <w:u w:val="single"/>
          <w:rtl w:val="0"/>
        </w:rPr>
        <w:t xml:space="preserve">para el desempeño de un empleo, cargo o comisión en el servicio público sí es requisito, entre otros, presentar una solicitud del empleo, como se desprende del artículo 47 fracción I de la Ley del Trabajo para los Servidores Públicos del Estado y Municipios.</w:t>
      </w:r>
    </w:p>
    <w:p w:rsidR="00000000" w:rsidDel="00000000" w:rsidP="00000000" w:rsidRDefault="00000000" w:rsidRPr="00000000" w14:paraId="00000112">
      <w:pPr>
        <w:spacing w:line="360" w:lineRule="auto"/>
        <w:ind w:right="-7"/>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13">
      <w:pPr>
        <w:spacing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que es posible determinar que, el currículum vítae o la ficha curricular</w:t>
      </w:r>
      <w:r w:rsidDel="00000000" w:rsidR="00000000" w:rsidRPr="00000000">
        <w:rPr>
          <w:rFonts w:ascii="Palatino Linotype" w:cs="Palatino Linotype" w:eastAsia="Palatino Linotype" w:hAnsi="Palatino Linotype"/>
          <w:b w:val="1"/>
          <w:bCs w:val="1"/>
          <w:sz w:val="22"/>
          <w:szCs w:val="22"/>
          <w:u w:val="single"/>
          <w:rtl w:val="0"/>
        </w:rPr>
        <w:t xml:space="preserve"> </w:t>
      </w:r>
      <w:r w:rsidDel="00000000" w:rsidR="00000000" w:rsidRPr="00000000">
        <w:rPr>
          <w:rFonts w:ascii="Palatino Linotype" w:cs="Palatino Linotype" w:eastAsia="Palatino Linotype" w:hAnsi="Palatino Linotype"/>
          <w:sz w:val="22"/>
          <w:szCs w:val="22"/>
          <w:rtl w:val="0"/>
        </w:rPr>
        <w:t xml:space="preserve">contiene información relacionada con la trayectoria académica, profesional y laboral, por medio del cual se acredita la capacidad, habilidades, experiencia o pericia de una persona para ocupar un cargo, puesto o comisión, que permitan realizar una comparación de las actividades que ha realizado con las que habrá de desarrollar, y determinar si cumple con el perfil del cargo a ocupar.</w:t>
      </w:r>
    </w:p>
    <w:p w:rsidR="00000000" w:rsidDel="00000000" w:rsidP="00000000" w:rsidRDefault="00000000" w:rsidRPr="00000000" w14:paraId="00000114">
      <w:pPr>
        <w:spacing w:line="360" w:lineRule="auto"/>
        <w:ind w:right="-7"/>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15">
      <w:pPr>
        <w:spacing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esa tesitura, debe apuntarse que la información curricular constituye una obligación de transparencia, pues </w:t>
      </w:r>
      <w:r w:rsidDel="00000000" w:rsidR="00000000" w:rsidRPr="00000000">
        <w:rPr>
          <w:rFonts w:ascii="Palatino Linotype" w:cs="Palatino Linotype" w:eastAsia="Palatino Linotype" w:hAnsi="Palatino Linotype"/>
          <w:b w:val="1"/>
          <w:bCs w:val="1"/>
          <w:sz w:val="22"/>
          <w:szCs w:val="22"/>
          <w:rtl w:val="0"/>
        </w:rPr>
        <w:t xml:space="preserve">el Sujeto Obligado</w:t>
      </w:r>
      <w:r w:rsidDel="00000000" w:rsidR="00000000" w:rsidRPr="00000000">
        <w:rPr>
          <w:rFonts w:ascii="Palatino Linotype" w:cs="Palatino Linotype" w:eastAsia="Palatino Linotype" w:hAnsi="Palatino Linotype"/>
          <w:sz w:val="22"/>
          <w:szCs w:val="22"/>
          <w:rtl w:val="0"/>
        </w:rPr>
        <w:t xml:space="preserve"> se encuentra constreñido a poner a disposición del público en su portal de Información Pública de Oficio Mexiquense (IPOMEX), la información curricular de sus servidores públicos, ello con la finalidad de enaltecer los principios de máxima publicidad, transparencia y certeza, como lo estipula  el artículo 92, fracción XXI de la ley aplicable a la materia, que es del tenor literal siguiente: </w:t>
      </w:r>
    </w:p>
    <w:p w:rsidR="00000000" w:rsidDel="00000000" w:rsidP="00000000" w:rsidRDefault="00000000" w:rsidRPr="00000000" w14:paraId="00000116">
      <w:pPr>
        <w:spacing w:line="360" w:lineRule="auto"/>
        <w:ind w:right="-7"/>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17">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Artículo 92.</w:t>
      </w:r>
      <w:r w:rsidDel="00000000" w:rsidR="00000000" w:rsidRPr="00000000">
        <w:rPr>
          <w:rFonts w:ascii="Palatino Linotype" w:cs="Palatino Linotype" w:eastAsia="Palatino Linotype" w:hAnsi="Palatino Linotype"/>
          <w:i w:val="1"/>
          <w:iCs w:val="1"/>
          <w:sz w:val="22"/>
          <w:szCs w:val="22"/>
          <w:rtl w:val="0"/>
        </w:rPr>
        <w:t xml:space="preserve">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w:t>
      </w:r>
    </w:p>
    <w:p w:rsidR="00000000" w:rsidDel="00000000" w:rsidP="00000000" w:rsidRDefault="00000000" w:rsidRPr="00000000" w14:paraId="00000118">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19">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XXI. La información curricular, desde el nivel de jefe de departamento o equivalente, hasta el titular del sujeto obligado, así como, en su caso, las sanciones administrativas de que haya sido objeto;</w:t>
      </w:r>
    </w:p>
    <w:p w:rsidR="00000000" w:rsidDel="00000000" w:rsidP="00000000" w:rsidRDefault="00000000" w:rsidRPr="00000000" w14:paraId="0000011A">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p>
    <w:p w:rsidR="00000000" w:rsidDel="00000000" w:rsidP="00000000" w:rsidRDefault="00000000" w:rsidRPr="00000000" w14:paraId="0000011B">
      <w:pPr>
        <w:spacing w:line="360" w:lineRule="auto"/>
        <w:ind w:left="567" w:right="-7"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1C">
      <w:pPr>
        <w:spacing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guarda relación con lo publicado por el propio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en su Portal de Información Pública de Oficio Mexiquense, del que se advierte el registro de la información curricular de la actual rectora, como se muestra a continuación: </w:t>
      </w:r>
    </w:p>
    <w:p w:rsidR="00000000" w:rsidDel="00000000" w:rsidP="00000000" w:rsidRDefault="00000000" w:rsidRPr="00000000" w14:paraId="0000011D">
      <w:pPr>
        <w:spacing w:line="360" w:lineRule="auto"/>
        <w:ind w:right="-7"/>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1E">
      <w:pPr>
        <w:spacing w:line="360" w:lineRule="auto"/>
        <w:ind w:right="-7"/>
        <w:jc w:val="center"/>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413626" cy="2407281"/>
            <wp:effectExtent b="0" l="0" r="0" t="0"/>
            <wp:docPr id="1747070191" name="image3.png"/>
            <a:graphic>
              <a:graphicData uri="http://schemas.openxmlformats.org/drawingml/2006/picture">
                <pic:pic>
                  <pic:nvPicPr>
                    <pic:cNvPr id="0" name="image3.png"/>
                    <pic:cNvPicPr preferRelativeResize="0"/>
                  </pic:nvPicPr>
                  <pic:blipFill>
                    <a:blip r:embed="rId11"/>
                    <a:srcRect b="17696" l="0" r="0" t="1"/>
                    <a:stretch>
                      <a:fillRect/>
                    </a:stretch>
                  </pic:blipFill>
                  <pic:spPr>
                    <a:xfrm>
                      <a:off x="0" y="0"/>
                      <a:ext cx="5413626" cy="2407281"/>
                    </a:xfrm>
                    <a:prstGeom prst="rect"/>
                    <a:ln/>
                  </pic:spPr>
                </pic:pic>
              </a:graphicData>
            </a:graphic>
          </wp:inline>
        </w:drawing>
      </w:r>
      <w:r w:rsidDel="00000000" w:rsidR="00000000" w:rsidRPr="00000000">
        <w:rPr>
          <w:rtl w:val="0"/>
        </w:rPr>
      </w:r>
    </w:p>
    <w:p w:rsidR="00000000" w:rsidDel="00000000" w:rsidP="00000000" w:rsidRDefault="00000000" w:rsidRPr="00000000" w14:paraId="0000011F">
      <w:pPr>
        <w:spacing w:line="360" w:lineRule="auto"/>
        <w:ind w:right="-7"/>
        <w:jc w:val="cente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20">
      <w:pPr>
        <w:spacing w:line="360" w:lineRule="auto"/>
        <w:ind w:right="-7"/>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este modo, lo sujetos obligados deben publicar la información curricular desde el nivel del jefe de departamento o equivalente hasta el titular del Sujeto Obligado, información que es del interés del particular y que como ya quedo establecido obra en los archivos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sin embargo, del análisis a las documentales que integran el expediente electrónico, se advierte que, a pesar de que en el caso se pronunció el servidor público habilitado competente, a consideración de este Órgano Garante no se realizó adecuadamente el proceso de búsqueda de la información, ya que no se aportaron los medios de convicción que permitan advertir que en efecto se llevó a cabo la búsqueda de la misma. </w:t>
      </w:r>
    </w:p>
    <w:p w:rsidR="00000000" w:rsidDel="00000000" w:rsidP="00000000" w:rsidRDefault="00000000" w:rsidRPr="00000000" w14:paraId="0000012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2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ya que es de recordar que la búsqueda exhaustiva de la información es considerada una actividad necesaria e indispensable para la correcta atención de las solicitudes de información que permite la localización de aquella documentación requerida por el solicitante; por lo que, </w:t>
      </w:r>
      <w:r w:rsidDel="00000000" w:rsidR="00000000" w:rsidRPr="00000000">
        <w:rPr>
          <w:rFonts w:ascii="Palatino Linotype" w:cs="Palatino Linotype" w:eastAsia="Palatino Linotype" w:hAnsi="Palatino Linotype"/>
          <w:b w:val="1"/>
          <w:bCs w:val="1"/>
          <w:sz w:val="22"/>
          <w:szCs w:val="22"/>
          <w:rtl w:val="0"/>
        </w:rPr>
        <w:t xml:space="preserve">el indicar los archivos en donde se efectuó la búsqueda constituye un elemento necesario que permite a este Instituto tener la certeza de que la información se trató de localizar</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12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2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ocasiona que en el caso no se cumpliera con el principio de búsqueda exhaustiva de la información requerida, cuyo alcance se encuentra establecido en el Criterio Reiterado 02/19 emitido por el Pleno de este Organismo Garante, a saber:</w:t>
      </w:r>
    </w:p>
    <w:p w:rsidR="00000000" w:rsidDel="00000000" w:rsidP="00000000" w:rsidRDefault="00000000" w:rsidRPr="00000000" w14:paraId="00000125">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126">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“BÚSQUEDA EXHAUSTIVA. SU EJERCICIO PARA LOCALIZAR LA INFORMACIÓN SOLICITADA, NO CONSTITUYE UNA INVESTIGACIÓN A LA CUAL SE REFIERE EL ARTÍCULO 12 DE LA LEY DE TRANSPARENCIA Y ACCESO A LA INFORMACIÓN PÚBLICA DEL ESTADO DE MÉXICO Y MUNICIPIOS. </w:t>
      </w:r>
      <w:r w:rsidDel="00000000" w:rsidR="00000000" w:rsidRPr="00000000">
        <w:rPr>
          <w:rFonts w:ascii="Palatino Linotype" w:cs="Palatino Linotype" w:eastAsia="Palatino Linotype" w:hAnsi="Palatino Linotype"/>
          <w:i w:val="1"/>
          <w:iCs w:val="1"/>
          <w:sz w:val="22"/>
          <w:szCs w:val="22"/>
          <w:rtl w:val="0"/>
        </w:rPr>
        <w:t xml:space="preserve">De conformidad con lo establecido en el artículo 162 de la Ley de Transparencia vigente en la entidad, para atender una solicitud de acceso a la información pública, la Unidad de Transparencia del Sujeto Obligado debe turnar el requerimiento a todas las áreas competentes que pudieran haber generado, poseído o administrado la información solicitada de acuerdo a sus facultades, competencias y funciones, con la finalidad de realizar una búsqueda exhaustiva y razonable en sus archivos que lleve a la localización de los documentos donde conste la información solicitada; por tanto, esta búsqueda es una actividad necesaria e indispensable para la correcta atención de las solicitudes de información que permite la localización de aquella documentación requerida por el solicitante, sin que ello deba entenderse como una investigación de la señalada en el artículo 12, segundo párrafo de la Ley de Transparencia Local; lo anterior es así, toda vez que de acuerdo al Diccionario de la Real Academia Española, la palabra investigar hace referencia, entre otras cosas, a la realización de actividades intelectuales y experimentales de modo sistemático cuyo propósito es aumentar los conocimientos sobre una determinada materia, lo que conlleva a concluir que la investigación inmersa en el artículo 12 de la Ley de la materia se refiere a que los sujetos obligados no están constreñidos a realizar un análisis, extracción y generación de nueva información. Bajo ese tenor, la búsqueda y localización de la información que refiere el numeral 162 de la Ley de Transparencia, no implica una investigación de la señalada en el artículo 12 del mismo ordenamiento legal y, por tanto, los sujetos obligados no podrán excusarse de su ejercicio bajo el argumento de que ello conlleva una investigación.”</w:t>
      </w:r>
    </w:p>
    <w:p w:rsidR="00000000" w:rsidDel="00000000" w:rsidP="00000000" w:rsidRDefault="00000000" w:rsidRPr="00000000" w14:paraId="0000012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2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Asimismo, se considera que el pronunciamiento del servidor público habilitado competente, tampoco cumplió con los principios de congruencia y exhaustividad, en virtud de que la respuesta no fue clara, pues el servidor público habilitado competente además de que no indicó los archivos en donde procedió a realizar la búsqueda de la información, únicamente se limitó a señalar que no se contaba con información de la servidora pública referida, al encontrarse en espera de notificación y recepción de la documentación correspondiente, sin precisar de manera clara las razones por las que arribó a esa conclusión, aunado a que como ya fue referido, para que se formalizara la relación laborar se debió contar con el nombramiento.</w:t>
      </w:r>
    </w:p>
    <w:p w:rsidR="00000000" w:rsidDel="00000000" w:rsidP="00000000" w:rsidRDefault="00000000" w:rsidRPr="00000000" w14:paraId="0000012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2A">
      <w:pPr>
        <w:spacing w:line="360" w:lineRule="auto"/>
        <w:jc w:val="both"/>
        <w:rPr>
          <w:rFonts w:ascii="Palatino Linotype" w:cs="Palatino Linotype" w:eastAsia="Palatino Linotype" w:hAnsi="Palatino Linotype"/>
          <w:sz w:val="22"/>
          <w:szCs w:val="22"/>
        </w:rPr>
      </w:pPr>
      <w:bookmarkStart w:colFirst="0" w:colLast="0" w:name="_heading=h.xmx4g4f0miho" w:id="5"/>
      <w:bookmarkEnd w:id="5"/>
      <w:r w:rsidDel="00000000" w:rsidR="00000000" w:rsidRPr="00000000">
        <w:rPr>
          <w:rFonts w:ascii="Palatino Linotype" w:cs="Palatino Linotype" w:eastAsia="Palatino Linotype" w:hAnsi="Palatino Linotype"/>
          <w:sz w:val="22"/>
          <w:szCs w:val="22"/>
          <w:rtl w:val="0"/>
        </w:rPr>
        <w:t xml:space="preserve">Lo anterior, ya que el ente público no indicó específicamente las razones por las que no se cuenta con el nombramiento o contrato y el currículo vitae o ficha curricular de la servidora pública solicita, o bien, si la relación laboral se estableció por medio de un formato único de movimiento de personal, o documento análogo,</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generando incertidumbre al particular por desconocer la causa por la cual no se cuenta con la misma. </w:t>
      </w:r>
    </w:p>
    <w:p w:rsidR="00000000" w:rsidDel="00000000" w:rsidP="00000000" w:rsidRDefault="00000000" w:rsidRPr="00000000" w14:paraId="0000012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2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tal sentido, resulta aplicable el Criterio orientador 02/17 emitido por el Peno del entonces Instituto Nacional de Transparencia y Acceso a la Información y Protección de Datos Personales, de título y texto siguientes:</w:t>
      </w:r>
    </w:p>
    <w:p w:rsidR="00000000" w:rsidDel="00000000" w:rsidP="00000000" w:rsidRDefault="00000000" w:rsidRPr="00000000" w14:paraId="0000012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2E">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Congruencia y exhaustividad. Sus alcances para garantizar el derecho de acceso a la información. </w:t>
      </w:r>
      <w:r w:rsidDel="00000000" w:rsidR="00000000" w:rsidRPr="00000000">
        <w:rPr>
          <w:rFonts w:ascii="Palatino Linotype" w:cs="Palatino Linotype" w:eastAsia="Palatino Linotype" w:hAnsi="Palatino Linotype"/>
          <w:i w:val="1"/>
          <w:iCs w:val="1"/>
          <w:sz w:val="22"/>
          <w:szCs w:val="22"/>
          <w:rtl w:val="0"/>
        </w:rPr>
        <w:t xml:space="preserve">De conformidad con el artículo 3 de la Ley Federal de Procedimiento Administrativo, de aplicación supletoria a la Ley Federal de Transparencia y Acceso a la Información Pública, en términos de su artículo 7; todo acto administrativo debe cumplir con los principios de congruencia y exhaustividad. Para el efectivo ejercicio del derecho de acceso a la información, </w:t>
      </w:r>
      <w:r w:rsidDel="00000000" w:rsidR="00000000" w:rsidRPr="00000000">
        <w:rPr>
          <w:rFonts w:ascii="Palatino Linotype" w:cs="Palatino Linotype" w:eastAsia="Palatino Linotype" w:hAnsi="Palatino Linotype"/>
          <w:b w:val="1"/>
          <w:bCs w:val="1"/>
          <w:i w:val="1"/>
          <w:iCs w:val="1"/>
          <w:sz w:val="22"/>
          <w:szCs w:val="22"/>
          <w:rtl w:val="0"/>
        </w:rPr>
        <w:t xml:space="preserve">la congruencia implica que exista concordancia entre el requerimiento formulado por el particular y la respuesta proporcionada por el sujeto obligado</w:t>
      </w:r>
      <w:r w:rsidDel="00000000" w:rsidR="00000000" w:rsidRPr="00000000">
        <w:rPr>
          <w:rFonts w:ascii="Palatino Linotype" w:cs="Palatino Linotype" w:eastAsia="Palatino Linotype" w:hAnsi="Palatino Linotype"/>
          <w:i w:val="1"/>
          <w:iCs w:val="1"/>
          <w:sz w:val="22"/>
          <w:szCs w:val="22"/>
          <w:rtl w:val="0"/>
        </w:rPr>
        <w:t xml:space="preserve">; mientras que </w:t>
      </w:r>
      <w:r w:rsidDel="00000000" w:rsidR="00000000" w:rsidRPr="00000000">
        <w:rPr>
          <w:rFonts w:ascii="Palatino Linotype" w:cs="Palatino Linotype" w:eastAsia="Palatino Linotype" w:hAnsi="Palatino Linotype"/>
          <w:b w:val="1"/>
          <w:bCs w:val="1"/>
          <w:i w:val="1"/>
          <w:iCs w:val="1"/>
          <w:sz w:val="22"/>
          <w:szCs w:val="22"/>
          <w:rtl w:val="0"/>
        </w:rPr>
        <w:t xml:space="preserve">la exhaustividad significa que dicha respuesta se refiera expresamente a cada uno de los puntos solicitados</w:t>
      </w:r>
      <w:r w:rsidDel="00000000" w:rsidR="00000000" w:rsidRPr="00000000">
        <w:rPr>
          <w:rFonts w:ascii="Palatino Linotype" w:cs="Palatino Linotype" w:eastAsia="Palatino Linotype" w:hAnsi="Palatino Linotype"/>
          <w:i w:val="1"/>
          <w:iCs w:val="1"/>
          <w:sz w:val="22"/>
          <w:szCs w:val="22"/>
          <w:rtl w:val="0"/>
        </w:rPr>
        <w:t xml:space="preserve">. Por lo anterior, los sujetos obligados cumplirán con los principios de congruencia y exhaustividad, cuando las respuestas que emitan guarden una relación lógica con lo solicitado y atiendan de manera puntual y expresa, cada uno de los contenidos de información.”</w:t>
      </w:r>
    </w:p>
    <w:p w:rsidR="00000000" w:rsidDel="00000000" w:rsidP="00000000" w:rsidRDefault="00000000" w:rsidRPr="00000000" w14:paraId="0000012F">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0">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ahí que, la respuesta proporcionada al requerimiento en análisis no cumple con los principios de búsqueda exhaustiva, congruencia y exhaustividad; por lo que, este Instituto estima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no colmó el derecho de acceso a la información de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toda vez que, como ya fue referido anteriormente, cuenta con atribuciones para poseer la información solicitada; sin embargo, no se realizó la correcta búsqueda de la información dentro de sus archivos, por tanto, los motivos de inconformidad planteados por el particular devienen fundados; resultando procedente ordenar la entrega, de ser procedente en versión pública, del nombramiento y currículum vitae de la Rectora de la Universidad Tecnológica del Valle de Toluca, en funciones al veinte de abril de dos mil veintiséis. </w:t>
      </w:r>
    </w:p>
    <w:p w:rsidR="00000000" w:rsidDel="00000000" w:rsidP="00000000" w:rsidRDefault="00000000" w:rsidRPr="00000000" w14:paraId="0000013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2">
      <w:pPr>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Quinto. Versión Pública. </w:t>
      </w:r>
      <w:r w:rsidDel="00000000" w:rsidR="00000000" w:rsidRPr="00000000">
        <w:rPr>
          <w:rFonts w:ascii="Palatino Linotype" w:cs="Palatino Linotype" w:eastAsia="Palatino Linotype" w:hAnsi="Palatino Linotype"/>
          <w:sz w:val="22"/>
          <w:szCs w:val="22"/>
          <w:rtl w:val="0"/>
        </w:rPr>
        <w:t xml:space="preserve">Como fue debidamente apuntado,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debe satisfacer la solicitud de acceso a la información; sin embargo, dada la naturaleza de la información de la cual se ordena su entrega, deberá hacerse en versión pública, toda vez que en los documentos que se ordenan, existe la posibilidad de que obren datos que son considerados confidenciales, cuyo acceso debe ser restringido que deben testarse al momento de la versión pública, atento a lo siguiente:</w:t>
      </w:r>
    </w:p>
    <w:p w:rsidR="00000000" w:rsidDel="00000000" w:rsidP="00000000" w:rsidRDefault="00000000" w:rsidRPr="00000000" w14:paraId="00000133">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4">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derecho de acceso a la información pública tiene como limitante el respeto a la intimidad y a la vida privada de las personas, es por ello que este Instituto debe cuidar que los datos personales que obren en poder de los Sujetos Obligados sean protegidos y únicamente se den a conocer aquéllos que garanticen la rendición de cuentas y la transparencia en el ejercicio de las atribuciones que tienen conferidas.</w:t>
      </w:r>
    </w:p>
    <w:p w:rsidR="00000000" w:rsidDel="00000000" w:rsidP="00000000" w:rsidRDefault="00000000" w:rsidRPr="00000000" w14:paraId="00000135">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6">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este modo, en armonía entre los principios constitucionales de máxima publicidad y de protección de datos personales, la ley permite la elaboración de versiones públicas en las que se suprima aquella información relacionada con la vida privada de las personas.</w:t>
      </w:r>
    </w:p>
    <w:p w:rsidR="00000000" w:rsidDel="00000000" w:rsidP="00000000" w:rsidRDefault="00000000" w:rsidRPr="00000000" w14:paraId="00000137">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respecto, los artículos 3, fracciones IX, XX, XXI, XXXII, XLV; 6, 91, 132, 137, 143, fracción I, de la Ley de Transparencia y Acceso a la Información Pública del Estado de México y Municipios vigente establecen:</w:t>
      </w:r>
    </w:p>
    <w:p w:rsidR="00000000" w:rsidDel="00000000" w:rsidP="00000000" w:rsidRDefault="00000000" w:rsidRPr="00000000" w14:paraId="00000138">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39">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3.</w:t>
      </w:r>
      <w:r w:rsidDel="00000000" w:rsidR="00000000" w:rsidRPr="00000000">
        <w:rPr>
          <w:rFonts w:ascii="Palatino Linotype" w:cs="Palatino Linotype" w:eastAsia="Palatino Linotype" w:hAnsi="Palatino Linotype"/>
          <w:i w:val="1"/>
          <w:iCs w:val="1"/>
          <w:sz w:val="22"/>
          <w:szCs w:val="22"/>
          <w:rtl w:val="0"/>
        </w:rPr>
        <w:t xml:space="preserve"> Para los efectos de la presente Ley se entenderá por:</w:t>
      </w:r>
    </w:p>
    <w:p w:rsidR="00000000" w:rsidDel="00000000" w:rsidP="00000000" w:rsidRDefault="00000000" w:rsidRPr="00000000" w14:paraId="0000013A">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3B">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IX. Datos personales</w:t>
      </w:r>
      <w:r w:rsidDel="00000000" w:rsidR="00000000" w:rsidRPr="00000000">
        <w:rPr>
          <w:rFonts w:ascii="Palatino Linotype" w:cs="Palatino Linotype" w:eastAsia="Palatino Linotype" w:hAnsi="Palatino Linotype"/>
          <w:i w:val="1"/>
          <w:iCs w:val="1"/>
          <w:sz w:val="22"/>
          <w:szCs w:val="22"/>
          <w:rtl w:val="0"/>
        </w:rPr>
        <w:t xml:space="preserve">: La información concerniente a una persona, identificada o identificable según lo dispuesto por la Ley de Protección de Datos Personales del Estado de México;</w:t>
      </w:r>
    </w:p>
    <w:p w:rsidR="00000000" w:rsidDel="00000000" w:rsidP="00000000" w:rsidRDefault="00000000" w:rsidRPr="00000000" w14:paraId="0000013C">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3D">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XX. Información clasificada</w:t>
      </w:r>
      <w:r w:rsidDel="00000000" w:rsidR="00000000" w:rsidRPr="00000000">
        <w:rPr>
          <w:rFonts w:ascii="Palatino Linotype" w:cs="Palatino Linotype" w:eastAsia="Palatino Linotype" w:hAnsi="Palatino Linotype"/>
          <w:i w:val="1"/>
          <w:iCs w:val="1"/>
          <w:sz w:val="22"/>
          <w:szCs w:val="22"/>
          <w:rtl w:val="0"/>
        </w:rPr>
        <w:t xml:space="preserve">: Aquella considerada por la presente Ley como reservada o confidencial;</w:t>
      </w:r>
    </w:p>
    <w:p w:rsidR="00000000" w:rsidDel="00000000" w:rsidP="00000000" w:rsidRDefault="00000000" w:rsidRPr="00000000" w14:paraId="0000013E">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XXI. Información confidencial</w:t>
      </w:r>
      <w:r w:rsidDel="00000000" w:rsidR="00000000" w:rsidRPr="00000000">
        <w:rPr>
          <w:rFonts w:ascii="Palatino Linotype" w:cs="Palatino Linotype" w:eastAsia="Palatino Linotype" w:hAnsi="Palatino Linotype"/>
          <w:i w:val="1"/>
          <w:iCs w:val="1"/>
          <w:sz w:val="22"/>
          <w:szCs w:val="22"/>
          <w:rtl w:val="0"/>
        </w:rPr>
        <w:t xml:space="preserve">: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rsidR="00000000" w:rsidDel="00000000" w:rsidP="00000000" w:rsidRDefault="00000000" w:rsidRPr="00000000" w14:paraId="0000013F">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40">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XXXII. Protección de Datos Personales</w:t>
      </w:r>
      <w:r w:rsidDel="00000000" w:rsidR="00000000" w:rsidRPr="00000000">
        <w:rPr>
          <w:rFonts w:ascii="Palatino Linotype" w:cs="Palatino Linotype" w:eastAsia="Palatino Linotype" w:hAnsi="Palatino Linotype"/>
          <w:i w:val="1"/>
          <w:iCs w:val="1"/>
          <w:sz w:val="22"/>
          <w:szCs w:val="22"/>
          <w:rtl w:val="0"/>
        </w:rPr>
        <w:t xml:space="preserve">: Derecho humano que tutela la privacidad de datos personales en poder de los sujetos obligados y sujetos particulares;</w:t>
      </w:r>
    </w:p>
    <w:p w:rsidR="00000000" w:rsidDel="00000000" w:rsidP="00000000" w:rsidRDefault="00000000" w:rsidRPr="00000000" w14:paraId="00000141">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42">
      <w:pPr>
        <w:tabs>
          <w:tab w:val="left" w:leader="none" w:pos="1276"/>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XLV. Versión pública</w:t>
      </w:r>
      <w:r w:rsidDel="00000000" w:rsidR="00000000" w:rsidRPr="00000000">
        <w:rPr>
          <w:rFonts w:ascii="Palatino Linotype" w:cs="Palatino Linotype" w:eastAsia="Palatino Linotype" w:hAnsi="Palatino Linotype"/>
          <w:i w:val="1"/>
          <w:iCs w:val="1"/>
          <w:sz w:val="22"/>
          <w:szCs w:val="22"/>
          <w:rtl w:val="0"/>
        </w:rPr>
        <w:t xml:space="preserve">: Documento en el que se elimine, suprime o borra la información clasificada como reservada o confidencial para permitir su acceso.</w:t>
      </w:r>
    </w:p>
    <w:p w:rsidR="00000000" w:rsidDel="00000000" w:rsidP="00000000" w:rsidRDefault="00000000" w:rsidRPr="00000000" w14:paraId="00000143">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 Artículo 6</w:t>
      </w:r>
      <w:r w:rsidDel="00000000" w:rsidR="00000000" w:rsidRPr="00000000">
        <w:rPr>
          <w:rFonts w:ascii="Palatino Linotype" w:cs="Palatino Linotype" w:eastAsia="Palatino Linotype" w:hAnsi="Palatino Linotype"/>
          <w:i w:val="1"/>
          <w:iCs w:val="1"/>
          <w:sz w:val="22"/>
          <w:szCs w:val="22"/>
          <w:rtl w:val="0"/>
        </w:rPr>
        <w:t xml:space="preserve">. Los datos personales son irrenunciables, intransferibles e indelegables, por lo que los sujetos obligados no deberán proporcionar o hacer pública la información que contenga, con excepción de aquellos casos en que deban hacerlo en observancia de las disposiciones aplicables. En el caso de los derechos de acceso, rectificación, cancelación u oposición; los principios, procedimientos, medidas de seguridad en el tratamiento y demás disposiciones en materia de datos personales, se deberá estar a lo dispuesto en las leyes de la materia.</w:t>
      </w:r>
    </w:p>
    <w:p w:rsidR="00000000" w:rsidDel="00000000" w:rsidP="00000000" w:rsidRDefault="00000000" w:rsidRPr="00000000" w14:paraId="00000144">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45">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91.</w:t>
      </w:r>
      <w:r w:rsidDel="00000000" w:rsidR="00000000" w:rsidRPr="00000000">
        <w:rPr>
          <w:rFonts w:ascii="Palatino Linotype" w:cs="Palatino Linotype" w:eastAsia="Palatino Linotype" w:hAnsi="Palatino Linotype"/>
          <w:i w:val="1"/>
          <w:iCs w:val="1"/>
          <w:sz w:val="22"/>
          <w:szCs w:val="22"/>
          <w:rtl w:val="0"/>
        </w:rPr>
        <w:t xml:space="preserve"> El acceso a la información pública será restringido excepcionalmente, cuando ésta sea clasificada como reservada o confidencial.</w:t>
        <w:br w:type="textWrapping"/>
        <w:t xml:space="preserve">…</w:t>
      </w:r>
    </w:p>
    <w:p w:rsidR="00000000" w:rsidDel="00000000" w:rsidP="00000000" w:rsidRDefault="00000000" w:rsidRPr="00000000" w14:paraId="00000146">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132.</w:t>
      </w:r>
      <w:r w:rsidDel="00000000" w:rsidR="00000000" w:rsidRPr="00000000">
        <w:rPr>
          <w:rFonts w:ascii="Palatino Linotype" w:cs="Palatino Linotype" w:eastAsia="Palatino Linotype" w:hAnsi="Palatino Linotype"/>
          <w:i w:val="1"/>
          <w:iCs w:val="1"/>
          <w:sz w:val="22"/>
          <w:szCs w:val="22"/>
          <w:rtl w:val="0"/>
        </w:rPr>
        <w:t xml:space="preserve"> La clasificación de la información se llevará a cabo en el momento en que:</w:t>
      </w:r>
    </w:p>
    <w:p w:rsidR="00000000" w:rsidDel="00000000" w:rsidP="00000000" w:rsidRDefault="00000000" w:rsidRPr="00000000" w14:paraId="00000147">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Se reciba una solicitud de acceso a la información;</w:t>
      </w:r>
    </w:p>
    <w:p w:rsidR="00000000" w:rsidDel="00000000" w:rsidP="00000000" w:rsidRDefault="00000000" w:rsidRPr="00000000" w14:paraId="00000148">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Se determine mediante resolución de autoridad competente; o</w:t>
      </w:r>
    </w:p>
    <w:p w:rsidR="00000000" w:rsidDel="00000000" w:rsidP="00000000" w:rsidRDefault="00000000" w:rsidRPr="00000000" w14:paraId="00000149">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Se generen versiones públicas para dar cumplimiento a las obligaciones de transparencia previstas en esta Ley.</w:t>
      </w:r>
    </w:p>
    <w:p w:rsidR="00000000" w:rsidDel="00000000" w:rsidP="00000000" w:rsidRDefault="00000000" w:rsidRPr="00000000" w14:paraId="0000014A">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tl w:val="0"/>
        </w:rPr>
      </w:r>
    </w:p>
    <w:p w:rsidR="00000000" w:rsidDel="00000000" w:rsidP="00000000" w:rsidRDefault="00000000" w:rsidRPr="00000000" w14:paraId="0000014B">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137.</w:t>
      </w:r>
      <w:r w:rsidDel="00000000" w:rsidR="00000000" w:rsidRPr="00000000">
        <w:rPr>
          <w:rFonts w:ascii="Palatino Linotype" w:cs="Palatino Linotype" w:eastAsia="Palatino Linotype" w:hAnsi="Palatino Linotype"/>
          <w:i w:val="1"/>
          <w:iCs w:val="1"/>
          <w:sz w:val="22"/>
          <w:szCs w:val="22"/>
          <w:rtl w:val="0"/>
        </w:rPr>
        <w:t xml:space="preserve">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p>
    <w:p w:rsidR="00000000" w:rsidDel="00000000" w:rsidP="00000000" w:rsidRDefault="00000000" w:rsidRPr="00000000" w14:paraId="0000014C">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 Artículo 143.</w:t>
      </w:r>
      <w:r w:rsidDel="00000000" w:rsidR="00000000" w:rsidRPr="00000000">
        <w:rPr>
          <w:rFonts w:ascii="Palatino Linotype" w:cs="Palatino Linotype" w:eastAsia="Palatino Linotype" w:hAnsi="Palatino Linotype"/>
          <w:i w:val="1"/>
          <w:iCs w:val="1"/>
          <w:sz w:val="22"/>
          <w:szCs w:val="22"/>
          <w:rtl w:val="0"/>
        </w:rPr>
        <w:t xml:space="preserve"> Para los efectos de esta Ley se considera información confidencial, la clasificada como tal, de manera permanente, por su naturaleza, cuando:</w:t>
      </w:r>
    </w:p>
    <w:p w:rsidR="00000000" w:rsidDel="00000000" w:rsidP="00000000" w:rsidRDefault="00000000" w:rsidRPr="00000000" w14:paraId="0000014D">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Se refiera a la información privada y los datos personales concernientes a una persona física o jurídico colectiva identificada o identificable...”</w:t>
      </w:r>
    </w:p>
    <w:p w:rsidR="00000000" w:rsidDel="00000000" w:rsidP="00000000" w:rsidRDefault="00000000" w:rsidRPr="00000000" w14:paraId="0000014E">
      <w:pPr>
        <w:spacing w:line="360" w:lineRule="auto"/>
        <w:ind w:right="5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4F">
      <w:pPr>
        <w:spacing w:line="360" w:lineRule="auto"/>
        <w:ind w:right="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deberá proceder a testar los datos personales que se encuentre contenidos en los documentos a entregar para satisfacer el derecho de acceso a la información pública de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los que señala la fracción XII del artículo 4 de la Ley de Protección de Datos Personales en posesión de Sujeto Obligados del Estado de México.</w:t>
      </w:r>
    </w:p>
    <w:p w:rsidR="00000000" w:rsidDel="00000000" w:rsidP="00000000" w:rsidRDefault="00000000" w:rsidRPr="00000000" w14:paraId="00000150">
      <w:pPr>
        <w:spacing w:line="360" w:lineRule="auto"/>
        <w:ind w:right="5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51">
      <w:pPr>
        <w:spacing w:line="360" w:lineRule="auto"/>
        <w:ind w:right="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rsidR="00000000" w:rsidDel="00000000" w:rsidP="00000000" w:rsidRDefault="00000000" w:rsidRPr="00000000" w14:paraId="00000152">
      <w:pPr>
        <w:spacing w:line="360" w:lineRule="auto"/>
        <w:ind w:right="5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53">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En el caso específico, la información que se ordena si bien tiene el carácter información pública en razón de que se trata de documentos que se encuentran en posesión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derivado del ejercicio de sus atribuciones, tal como quedo acotado en el cuerpo de la presente Resolución, también contienen los datos personales de servidores públicos, que de hacerse públicos afectarían su intimidad y vida privada; es por ello que es criterio reiterado en las resoluciones de este Pleno que, además de los datos especificados en la Ley de Transparencia y Acceso a la Información Pública del Estado de México y Municipios, se consideran confidenciales y por tanto deben testarse al momento de la elaboración de versiones públicas el </w:t>
      </w:r>
      <w:r w:rsidDel="00000000" w:rsidR="00000000" w:rsidRPr="00000000">
        <w:rPr>
          <w:rFonts w:ascii="Palatino Linotype" w:cs="Palatino Linotype" w:eastAsia="Palatino Linotype" w:hAnsi="Palatino Linotype"/>
          <w:b w:val="1"/>
          <w:bCs w:val="1"/>
          <w:sz w:val="22"/>
          <w:szCs w:val="22"/>
          <w:rtl w:val="0"/>
        </w:rPr>
        <w:t xml:space="preserve">Registro Federal de Contribuyentes</w:t>
      </w:r>
      <w:r w:rsidDel="00000000" w:rsidR="00000000" w:rsidRPr="00000000">
        <w:rPr>
          <w:rFonts w:ascii="Palatino Linotype" w:cs="Palatino Linotype" w:eastAsia="Palatino Linotype" w:hAnsi="Palatino Linotype"/>
          <w:sz w:val="22"/>
          <w:szCs w:val="22"/>
          <w:rtl w:val="0"/>
        </w:rPr>
        <w:t xml:space="preserve"> (RFC), la </w:t>
      </w:r>
      <w:r w:rsidDel="00000000" w:rsidR="00000000" w:rsidRPr="00000000">
        <w:rPr>
          <w:rFonts w:ascii="Palatino Linotype" w:cs="Palatino Linotype" w:eastAsia="Palatino Linotype" w:hAnsi="Palatino Linotype"/>
          <w:b w:val="1"/>
          <w:bCs w:val="1"/>
          <w:sz w:val="22"/>
          <w:szCs w:val="22"/>
          <w:rtl w:val="0"/>
        </w:rPr>
        <w:t xml:space="preserve">Clave Única de Registro de Población</w:t>
      </w:r>
      <w:r w:rsidDel="00000000" w:rsidR="00000000" w:rsidRPr="00000000">
        <w:rPr>
          <w:rFonts w:ascii="Palatino Linotype" w:cs="Palatino Linotype" w:eastAsia="Palatino Linotype" w:hAnsi="Palatino Linotype"/>
          <w:sz w:val="22"/>
          <w:szCs w:val="22"/>
          <w:rtl w:val="0"/>
        </w:rPr>
        <w:t xml:space="preserve"> (CURP), la </w:t>
      </w:r>
      <w:r w:rsidDel="00000000" w:rsidR="00000000" w:rsidRPr="00000000">
        <w:rPr>
          <w:rFonts w:ascii="Palatino Linotype" w:cs="Palatino Linotype" w:eastAsia="Palatino Linotype" w:hAnsi="Palatino Linotype"/>
          <w:b w:val="1"/>
          <w:bCs w:val="1"/>
          <w:sz w:val="22"/>
          <w:szCs w:val="22"/>
          <w:rtl w:val="0"/>
        </w:rPr>
        <w:t xml:space="preserve">Clave de cualquier tipo de seguridad social</w:t>
      </w:r>
      <w:r w:rsidDel="00000000" w:rsidR="00000000" w:rsidRPr="00000000">
        <w:rPr>
          <w:rFonts w:ascii="Palatino Linotype" w:cs="Palatino Linotype" w:eastAsia="Palatino Linotype" w:hAnsi="Palatino Linotype"/>
          <w:sz w:val="22"/>
          <w:szCs w:val="22"/>
          <w:rtl w:val="0"/>
        </w:rPr>
        <w:t xml:space="preserve"> (ISSEMYM, u otros), el</w:t>
      </w:r>
      <w:r w:rsidDel="00000000" w:rsidR="00000000" w:rsidRPr="00000000">
        <w:rPr>
          <w:rFonts w:ascii="Palatino Linotype" w:cs="Palatino Linotype" w:eastAsia="Palatino Linotype" w:hAnsi="Palatino Linotype"/>
          <w:b w:val="1"/>
          <w:bCs w:val="1"/>
          <w:sz w:val="22"/>
          <w:szCs w:val="22"/>
          <w:rtl w:val="0"/>
        </w:rPr>
        <w:t xml:space="preserve"> número de empleado, etc.</w:t>
      </w:r>
    </w:p>
    <w:p w:rsidR="00000000" w:rsidDel="00000000" w:rsidP="00000000" w:rsidRDefault="00000000" w:rsidRPr="00000000" w14:paraId="0000015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55">
      <w:pPr>
        <w:spacing w:line="360" w:lineRule="auto"/>
        <w:ind w:right="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rsidR="00000000" w:rsidDel="00000000" w:rsidP="00000000" w:rsidRDefault="00000000" w:rsidRPr="00000000" w14:paraId="00000156">
      <w:pPr>
        <w:spacing w:line="360" w:lineRule="auto"/>
        <w:ind w:right="5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5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cuanto hace al </w:t>
      </w:r>
      <w:r w:rsidDel="00000000" w:rsidR="00000000" w:rsidRPr="00000000">
        <w:rPr>
          <w:rFonts w:ascii="Palatino Linotype" w:cs="Palatino Linotype" w:eastAsia="Palatino Linotype" w:hAnsi="Palatino Linotype"/>
          <w:b w:val="1"/>
          <w:bCs w:val="1"/>
          <w:sz w:val="22"/>
          <w:szCs w:val="22"/>
          <w:rtl w:val="0"/>
        </w:rPr>
        <w:t xml:space="preserve">Registro Federal de Contribuyentes, RFC,</w:t>
      </w:r>
      <w:r w:rsidDel="00000000" w:rsidR="00000000" w:rsidRPr="00000000">
        <w:rPr>
          <w:rFonts w:ascii="Palatino Linotype" w:cs="Palatino Linotype" w:eastAsia="Palatino Linotype" w:hAnsi="Palatino Linotype"/>
          <w:sz w:val="22"/>
          <w:szCs w:val="22"/>
          <w:rtl w:val="0"/>
        </w:rPr>
        <w:t xml:space="preserve"> de las personas físicas, constituye un dato personal, pues se genera con caracteres alfanuméricos a partir del nombre y la fecha de nacimiento de cada persona, y finalmente la homoclave, por lo que para su obtención es necesario acreditar ante la autoridad fiscal previamente la identidad de la persona, su fecha de nacimiento, entre otros aspectos.</w:t>
      </w:r>
    </w:p>
    <w:p w:rsidR="00000000" w:rsidDel="00000000" w:rsidP="00000000" w:rsidRDefault="00000000" w:rsidRPr="00000000" w14:paraId="0000015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59">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las personas físicas tramitan su inscripción en el registro con el propósito de realizar —mediante esa clave de identificación— operaciones o actividades de naturaleza fiscal, la cual, les permite hacerse identificables respecto de una situación fiscal determinada.</w:t>
      </w:r>
    </w:p>
    <w:p w:rsidR="00000000" w:rsidDel="00000000" w:rsidP="00000000" w:rsidRDefault="00000000" w:rsidRPr="00000000" w14:paraId="0000015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se apoya del criterio orientador con clave de control SO/019/2017, emitido por el entonces Instituto Nacional de Transparencia, Acceso a la Información y Protección de Datos Personales, INAI, el cual es del tenor literal siguiente:</w:t>
      </w:r>
    </w:p>
    <w:p w:rsidR="00000000" w:rsidDel="00000000" w:rsidP="00000000" w:rsidRDefault="00000000" w:rsidRPr="00000000" w14:paraId="0000015B">
      <w:pPr>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15C">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Registro Federal de Contribuyentes (RFC) de personas físicas</w:t>
      </w:r>
      <w:r w:rsidDel="00000000" w:rsidR="00000000" w:rsidRPr="00000000">
        <w:rPr>
          <w:rFonts w:ascii="Palatino Linotype" w:cs="Palatino Linotype" w:eastAsia="Palatino Linotype" w:hAnsi="Palatino Linotype"/>
          <w:i w:val="1"/>
          <w:iCs w:val="1"/>
          <w:sz w:val="22"/>
          <w:szCs w:val="22"/>
          <w:rtl w:val="0"/>
        </w:rPr>
        <w:t xml:space="preserve">. El RFC es una clave de carácter fiscal, única e irrepetible, que permite identificar al titular, su edad y fecha de nacimiento, por lo que es un dato personal de carácter confidencial.”</w:t>
      </w:r>
    </w:p>
    <w:p w:rsidR="00000000" w:rsidDel="00000000" w:rsidP="00000000" w:rsidRDefault="00000000" w:rsidRPr="00000000" w14:paraId="0000015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5E">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el Registro Federal de Contribuyentes, RFC, se vincula al nombre de su titular y permite identificar la edad de la persona, su fecha de nacimiento, así como su homoclave, la cual es única e irrepetible y determina la identificación de dicha persona para efectos fiscales, por lo que constituye un dato personal que concierne a una persona física identificada e identificable en términos de los artículos 3, fracción IX de la Ley de Transparencia y Acceso a la Información Pública del Estado de México y Municipios, y  4 fracciones XI y XII de la Ley de Protección de Datos Personales en Posesión de los Sujetos Obligados del Estado de México y Municipios.</w:t>
      </w:r>
    </w:p>
    <w:p w:rsidR="00000000" w:rsidDel="00000000" w:rsidP="00000000" w:rsidRDefault="00000000" w:rsidRPr="00000000" w14:paraId="0000015F">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60">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igual manera la </w:t>
      </w:r>
      <w:r w:rsidDel="00000000" w:rsidR="00000000" w:rsidRPr="00000000">
        <w:rPr>
          <w:rFonts w:ascii="Palatino Linotype" w:cs="Palatino Linotype" w:eastAsia="Palatino Linotype" w:hAnsi="Palatino Linotype"/>
          <w:b w:val="1"/>
          <w:bCs w:val="1"/>
          <w:sz w:val="22"/>
          <w:szCs w:val="22"/>
          <w:rtl w:val="0"/>
        </w:rPr>
        <w:t xml:space="preserve">Clave Única de Registro de Población</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CURP,</w:t>
      </w:r>
      <w:r w:rsidDel="00000000" w:rsidR="00000000" w:rsidRPr="00000000">
        <w:rPr>
          <w:rFonts w:ascii="Palatino Linotype" w:cs="Palatino Linotype" w:eastAsia="Palatino Linotype" w:hAnsi="Palatino Linotype"/>
          <w:sz w:val="22"/>
          <w:szCs w:val="22"/>
          <w:rtl w:val="0"/>
        </w:rPr>
        <w:t xml:space="preserve"> constituye un dato personal, ya que tiene como finalidad registrar a cada una de las personas que integran la población del país, con datos que permitan certificar y acreditar fehacientemente su identidad, en virtud de que se integra por datos personales que únicamente le conciernen a un particular como son su fecha de nacimiento, su nombre, sus apellidos y su lugar de nacimiento; información que permite distinguirlo del resto de los habitantes, por tal motivo, se considera que es de carácter confidencial.</w:t>
      </w:r>
    </w:p>
    <w:p w:rsidR="00000000" w:rsidDel="00000000" w:rsidP="00000000" w:rsidRDefault="00000000" w:rsidRPr="00000000" w14:paraId="0000016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6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Argumento que se apoya del criterio orientador con Clave de control SO/018/2017, emitido por el entonces Instituto Nacional de Transparencia, Acceso a la Información y Protección de Datos Personales, INAI, el cual refiere:</w:t>
      </w:r>
    </w:p>
    <w:p w:rsidR="00000000" w:rsidDel="00000000" w:rsidP="00000000" w:rsidRDefault="00000000" w:rsidRPr="00000000" w14:paraId="00000163">
      <w:pPr>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164">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Clave Única de Registro de Población (CURP). </w:t>
      </w:r>
      <w:r w:rsidDel="00000000" w:rsidR="00000000" w:rsidRPr="00000000">
        <w:rPr>
          <w:rFonts w:ascii="Palatino Linotype" w:cs="Palatino Linotype" w:eastAsia="Palatino Linotype" w:hAnsi="Palatino Linotype"/>
          <w:i w:val="1"/>
          <w:iCs w:val="1"/>
          <w:sz w:val="22"/>
          <w:szCs w:val="22"/>
          <w:rtl w:val="0"/>
        </w:rPr>
        <w:t xml:space="preserve">La Clave Única de Registro de Población se integra por datos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que la CURP está considerada como información confidencial.”</w:t>
      </w:r>
    </w:p>
    <w:p w:rsidR="00000000" w:rsidDel="00000000" w:rsidP="00000000" w:rsidRDefault="00000000" w:rsidRPr="00000000" w14:paraId="0000016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6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que respecta a la </w:t>
      </w:r>
      <w:r w:rsidDel="00000000" w:rsidR="00000000" w:rsidRPr="00000000">
        <w:rPr>
          <w:rFonts w:ascii="Palatino Linotype" w:cs="Palatino Linotype" w:eastAsia="Palatino Linotype" w:hAnsi="Palatino Linotype"/>
          <w:b w:val="1"/>
          <w:bCs w:val="1"/>
          <w:sz w:val="22"/>
          <w:szCs w:val="22"/>
          <w:rtl w:val="0"/>
        </w:rPr>
        <w:t xml:space="preserve">clave de seguridad social</w:t>
      </w:r>
      <w:r w:rsidDel="00000000" w:rsidR="00000000" w:rsidRPr="00000000">
        <w:rPr>
          <w:rFonts w:ascii="Palatino Linotype" w:cs="Palatino Linotype" w:eastAsia="Palatino Linotype" w:hAnsi="Palatino Linotype"/>
          <w:sz w:val="22"/>
          <w:szCs w:val="22"/>
          <w:rtl w:val="0"/>
        </w:rPr>
        <w:t xml:space="preserve">, en virtud de que su divulgación no aporta a la transparencia o a la rendición de cuentas y sí provoca una transgresión a la vida privada e intimidad de la persona, esta información también resulta ser de carácter confidencial.</w:t>
      </w:r>
    </w:p>
    <w:p w:rsidR="00000000" w:rsidDel="00000000" w:rsidP="00000000" w:rsidRDefault="00000000" w:rsidRPr="00000000" w14:paraId="0000016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Con relación al </w:t>
      </w:r>
      <w:r w:rsidDel="00000000" w:rsidR="00000000" w:rsidRPr="00000000">
        <w:rPr>
          <w:rFonts w:ascii="Palatino Linotype" w:cs="Palatino Linotype" w:eastAsia="Palatino Linotype" w:hAnsi="Palatino Linotype"/>
          <w:b w:val="1"/>
          <w:bCs w:val="1"/>
          <w:sz w:val="22"/>
          <w:szCs w:val="22"/>
          <w:rtl w:val="0"/>
        </w:rPr>
        <w:t xml:space="preserve">número de empleado</w:t>
      </w:r>
      <w:r w:rsidDel="00000000" w:rsidR="00000000" w:rsidRPr="00000000">
        <w:rPr>
          <w:rFonts w:ascii="Palatino Linotype" w:cs="Palatino Linotype" w:eastAsia="Palatino Linotype" w:hAnsi="Palatino Linotype"/>
          <w:sz w:val="22"/>
          <w:szCs w:val="22"/>
          <w:rtl w:val="0"/>
        </w:rPr>
        <w:t xml:space="preserve"> debe precisarse que este constituye un código, en virtud del cual, los trabajadores pueden acceder a un sistema de datos o información de la dependencia o entidad a la que pertenecen, a fin de presentar consultas relacionadas con su situación laboral particular, siendo un número único, permanente e intransferible que se asigna para llevar un registro de los trabajadores</w:t>
      </w:r>
      <w:r w:rsidDel="00000000" w:rsidR="00000000" w:rsidRPr="00000000">
        <w:rPr>
          <w:rFonts w:ascii="Palatino Linotype" w:cs="Palatino Linotype" w:eastAsia="Palatino Linotype" w:hAnsi="Palatino Linotype"/>
          <w:sz w:val="22"/>
          <w:szCs w:val="22"/>
          <w:vertAlign w:val="superscript"/>
        </w:rPr>
        <w:footnoteReference w:customMarkFollows="0" w:id="0"/>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16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69">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Bajo esos argumentos, se entendería que la información relativa al número de empleado constituye información confidencial al tratarse de un número de identificación personal a través del cual se puede consultar la situación laboral personal, empero el entonces Pleno del el Instituto Nacional de Transparencia, Acceso a la Información, y Protección de Datos Personales, INAI  se ha pronunciado sobre su publicidad, a través del Criterio de interpretación con Clave de control SO/006/2019, que indica lo siguiente:</w:t>
      </w:r>
    </w:p>
    <w:p w:rsidR="00000000" w:rsidDel="00000000" w:rsidP="00000000" w:rsidRDefault="00000000" w:rsidRPr="00000000" w14:paraId="0000016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6B">
      <w:pPr>
        <w:tabs>
          <w:tab w:val="left" w:leader="none" w:pos="7655"/>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“Número de empleado. </w:t>
      </w:r>
      <w:r w:rsidDel="00000000" w:rsidR="00000000" w:rsidRPr="00000000">
        <w:rPr>
          <w:rFonts w:ascii="Palatino Linotype" w:cs="Palatino Linotype" w:eastAsia="Palatino Linotype" w:hAnsi="Palatino Linotype"/>
          <w:i w:val="1"/>
          <w:iCs w:val="1"/>
          <w:sz w:val="22"/>
          <w:szCs w:val="22"/>
          <w:rtl w:val="0"/>
        </w:rPr>
        <w:t xml:space="preserve">Cuando el número de empleado o su equivalente, se integra con datos personales de los trabajadores o funciona como una clave de acceso que no requiere adicionalmente de una contraseña para ingresar a sistemas o bases de datos personales, procede su clasificación como información confidencial.”</w:t>
      </w:r>
    </w:p>
    <w:p w:rsidR="00000000" w:rsidDel="00000000" w:rsidP="00000000" w:rsidRDefault="00000000" w:rsidRPr="00000000" w14:paraId="0000016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6D">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atención al criterio de interpretación, se advierten dos supuestos para catalogar la información concerniente al número de empleado o equivalente, el primero es considerar la información como confidencial, siempre y cuando se integre con datos personales o que permita acceder a ellos sin necesidad de alguna contraseña, y el segundo supuesto es considerar que la información es susceptible de entregarse siempre que requiera una contraseña para acceder a los datos personales o cuando su conformación no revele los mismos, por consiguiente, en el caso concreto,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deberá acatar lo establecido y de ser procedente, entregará el número de empleado o equivalente de los servidores públicos materia de la solicitud, o en su caso, los clasificará como información confidencial, a través del Acuerdo emitido por su Comité de Transparencia conforme a la Ley de la Materia.</w:t>
      </w:r>
    </w:p>
    <w:p w:rsidR="00000000" w:rsidDel="00000000" w:rsidP="00000000" w:rsidRDefault="00000000" w:rsidRPr="00000000" w14:paraId="0000016E">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6F">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que hace a las </w:t>
      </w:r>
      <w:r w:rsidDel="00000000" w:rsidR="00000000" w:rsidRPr="00000000">
        <w:rPr>
          <w:rFonts w:ascii="Palatino Linotype" w:cs="Palatino Linotype" w:eastAsia="Palatino Linotype" w:hAnsi="Palatino Linotype"/>
          <w:b w:val="1"/>
          <w:bCs w:val="1"/>
          <w:sz w:val="22"/>
          <w:szCs w:val="22"/>
          <w:rtl w:val="0"/>
        </w:rPr>
        <w:t xml:space="preserve">fotografías,</w:t>
      </w:r>
      <w:r w:rsidDel="00000000" w:rsidR="00000000" w:rsidRPr="00000000">
        <w:rPr>
          <w:rFonts w:ascii="Palatino Linotype" w:cs="Palatino Linotype" w:eastAsia="Palatino Linotype" w:hAnsi="Palatino Linotype"/>
          <w:sz w:val="22"/>
          <w:szCs w:val="22"/>
          <w:rtl w:val="0"/>
        </w:rPr>
        <w:t xml:space="preserve"> es preciso señalar que estas dan cuenta de las características físicas de los servidores públicos; por lo que, no debe perderse de vista que la imagen personal es la apariencia física, la cual puede ser captada en dibujo, pintura, escultura, fotografía, y video; la imagen así captada puede ser reproducida, publicada y divulgada por diversos medios, desde volantes impresos de la forma más rudimentaria, hasta filmaciones y fotografías transmitidas por televisión cine, video, correo electrónico o Internet.</w:t>
      </w:r>
    </w:p>
    <w:p w:rsidR="00000000" w:rsidDel="00000000" w:rsidP="00000000" w:rsidRDefault="00000000" w:rsidRPr="00000000" w14:paraId="00000170">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1">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dichos datos constituyen la reproducción fiel de las características físicas de una persona en un momento determinado, por lo que representan un instrumento de identificación, proyección exterior y factor imprescindible para su propio reconocimiento como sujeto individual; lo que en el presente caso, acreditaría e identificaría a una persona como servidor público, por lo que es posible advertir que existe cierto interés público, cuando la fotografía obra en documentos de servidores públicos vinculados con el cumplimiento de disposiciones legales.</w:t>
      </w:r>
    </w:p>
    <w:p w:rsidR="00000000" w:rsidDel="00000000" w:rsidP="00000000" w:rsidRDefault="00000000" w:rsidRPr="00000000" w14:paraId="00000172">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3">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Además, existen documentos que contienen la fotografía con los cuales se permite identificar que una persona que se acredita como trabajador gubernamental, realmente tiene el cargo con el que se ostenta, otros documentos con los cuales se rinde cuentas a la ciudadanía, por ejemplo cuando se cubre el perfil de puesto; además cuando se brinda servicios a la ciudadanía, es de relevancia conocer e identificar a todos sus trabajadores, no importa el nivel o rango (con excepción del personal operativo en materia de seguridad, respecto del cual el Pleno de este Instituto ya se ha pronunciado en el sentido de que la información que los haga identificados o identificables debe clasificarse como reservada).</w:t>
      </w:r>
    </w:p>
    <w:p w:rsidR="00000000" w:rsidDel="00000000" w:rsidP="00000000" w:rsidRDefault="00000000" w:rsidRPr="00000000" w14:paraId="00000174">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5">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este sentido, resultan aplicables por analogía, los Criterios 15/17 y 1/13 del Instituto Nacional de Transparencia y Acceso a la Información Pública y Protección de Datos Personales, en los cuales se esgrimen argumentos, que, si bien no refieren de manera específica a fotografías de servidores públicos, sí establecen un criterio para que este dato personal pueda ser considerado como público, cuando se pretende acreditar que una persona es servidor público.</w:t>
      </w:r>
    </w:p>
    <w:p w:rsidR="00000000" w:rsidDel="00000000" w:rsidP="00000000" w:rsidRDefault="00000000" w:rsidRPr="00000000" w14:paraId="00000176">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7">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Debe tenerse presente que el actuar de los servidores públicos incide de manera específica en los derechos de los particulares, pues el acto de un servidor público en ejercicio de sus funciones, de manera directa genera derechos y obligaciones pues se considera un acto administrativo o acto de autoridad, por lo que es primordial, que estos trabajadores se identifiquen ante la ciudadanía, por lo que otorgar acceso a los documentos que obran en los archivos de los sujetos obligados y que además están directamente relacionados con el cumplimiento de disposiciones normativas o el ejercicio de funciones revisten un interés público. </w:t>
      </w:r>
    </w:p>
    <w:p w:rsidR="00000000" w:rsidDel="00000000" w:rsidP="00000000" w:rsidRDefault="00000000" w:rsidRPr="00000000" w14:paraId="00000178">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9">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anterior, cuando las fotografías de los servidores públicos obran en documentos que dan cuenta del cumplimiento de funciones, requisitos legales o los acredita como servidores públicos, deben ser consideradas un dato personal, que no puede ser clasificado como confidencial, pues en este caso, es superado por el interés público de conocer si en realidad, la persona que se ostenta en carácter de servidor público, se encuentra en ese encargo, si realiza las funciones o si cumple con los requisitos legales; sin que se considere como factor diferenciador para determinar la publicidad o clasificación el cargo o nivel jerárquico en el que se desempeñe el servidor público.</w:t>
      </w:r>
    </w:p>
    <w:p w:rsidR="00000000" w:rsidDel="00000000" w:rsidP="00000000" w:rsidRDefault="00000000" w:rsidRPr="00000000" w14:paraId="0000017A">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B">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acuerdo con el argumento planteado, la determinación de esta resolución deja sin efectos el criterio adoptado anteriormente por el Pleno de este Instituto, con número 03/2019, en el que solo se consideraban como públicas las fotografías de mandos medios y/o superiores.</w:t>
      </w:r>
    </w:p>
    <w:p w:rsidR="00000000" w:rsidDel="00000000" w:rsidP="00000000" w:rsidRDefault="00000000" w:rsidRPr="00000000" w14:paraId="0000017C">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D">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Conforme a lo anterior, las fotografías de servidores públicos sin importar el nivel o rango guardan la naturaleza de públicas (con excepción del personal operativo en materia de seguridad) y no procede su clasificación, en términos del artículo 143, fracción I, de la Ley de Transparencia y Acceso a la Información Pública del Estado de México y Municipios, por lo que en la versión pública que se ordena, no podrá clasificarse esa información. </w:t>
      </w:r>
    </w:p>
    <w:p w:rsidR="00000000" w:rsidDel="00000000" w:rsidP="00000000" w:rsidRDefault="00000000" w:rsidRPr="00000000" w14:paraId="0000017E">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F">
      <w:pPr>
        <w:spacing w:line="360" w:lineRule="auto"/>
        <w:ind w:right="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tal contexto, es de señalar que la clasificación de la información no opera con la simple supresión de datos que se haga en los documentos de que se trate o con la simple decisión que tome el Servidor Público Habilitado o el Responsable de la Unidad de Transparencia del Sujeto Obligado, sino que ello deberá realizarse en términos de lo que disponen los artículos 49 fracción VIII, 53, fracción X y 59, fracción V, de la Ley en consulta, cuyo sentido literal es el siguiente:</w:t>
      </w:r>
    </w:p>
    <w:p w:rsidR="00000000" w:rsidDel="00000000" w:rsidP="00000000" w:rsidRDefault="00000000" w:rsidRPr="00000000" w14:paraId="00000180">
      <w:pPr>
        <w:spacing w:line="360" w:lineRule="auto"/>
        <w:ind w:right="5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81">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49.</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Los Comités de Transparencia</w:t>
      </w:r>
      <w:r w:rsidDel="00000000" w:rsidR="00000000" w:rsidRPr="00000000">
        <w:rPr>
          <w:rFonts w:ascii="Palatino Linotype" w:cs="Palatino Linotype" w:eastAsia="Palatino Linotype" w:hAnsi="Palatino Linotype"/>
          <w:i w:val="1"/>
          <w:iCs w:val="1"/>
          <w:sz w:val="22"/>
          <w:szCs w:val="22"/>
          <w:rtl w:val="0"/>
        </w:rPr>
        <w:t xml:space="preserve"> tendrán las siguientes atribuciones:</w:t>
      </w:r>
    </w:p>
    <w:p w:rsidR="00000000" w:rsidDel="00000000" w:rsidP="00000000" w:rsidRDefault="00000000" w:rsidRPr="00000000" w14:paraId="00000182">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VIII. Aprobar, modificar o revocar la clasificación de la información</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83">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53.</w:t>
      </w:r>
      <w:r w:rsidDel="00000000" w:rsidR="00000000" w:rsidRPr="00000000">
        <w:rPr>
          <w:rFonts w:ascii="Palatino Linotype" w:cs="Palatino Linotype" w:eastAsia="Palatino Linotype" w:hAnsi="Palatino Linotype"/>
          <w:i w:val="1"/>
          <w:iCs w:val="1"/>
          <w:sz w:val="22"/>
          <w:szCs w:val="22"/>
          <w:rtl w:val="0"/>
        </w:rPr>
        <w:t xml:space="preserve"> Las </w:t>
      </w:r>
      <w:r w:rsidDel="00000000" w:rsidR="00000000" w:rsidRPr="00000000">
        <w:rPr>
          <w:rFonts w:ascii="Palatino Linotype" w:cs="Palatino Linotype" w:eastAsia="Palatino Linotype" w:hAnsi="Palatino Linotype"/>
          <w:b w:val="1"/>
          <w:bCs w:val="1"/>
          <w:i w:val="1"/>
          <w:iCs w:val="1"/>
          <w:sz w:val="22"/>
          <w:szCs w:val="22"/>
          <w:rtl w:val="0"/>
        </w:rPr>
        <w:t xml:space="preserve">Unidades de Transparencia</w:t>
      </w:r>
      <w:r w:rsidDel="00000000" w:rsidR="00000000" w:rsidRPr="00000000">
        <w:rPr>
          <w:rFonts w:ascii="Palatino Linotype" w:cs="Palatino Linotype" w:eastAsia="Palatino Linotype" w:hAnsi="Palatino Linotype"/>
          <w:i w:val="1"/>
          <w:iCs w:val="1"/>
          <w:sz w:val="22"/>
          <w:szCs w:val="22"/>
          <w:rtl w:val="0"/>
        </w:rPr>
        <w:t xml:space="preserve"> tendrán las siguientes </w:t>
      </w:r>
      <w:r w:rsidDel="00000000" w:rsidR="00000000" w:rsidRPr="00000000">
        <w:rPr>
          <w:rFonts w:ascii="Palatino Linotype" w:cs="Palatino Linotype" w:eastAsia="Palatino Linotype" w:hAnsi="Palatino Linotype"/>
          <w:b w:val="1"/>
          <w:bCs w:val="1"/>
          <w:i w:val="1"/>
          <w:iCs w:val="1"/>
          <w:sz w:val="22"/>
          <w:szCs w:val="22"/>
          <w:rtl w:val="0"/>
        </w:rPr>
        <w:t xml:space="preserve">funciones</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84">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 Presentar ante el Comité, el proyecto de clasificación de información</w:t>
      </w:r>
      <w:r w:rsidDel="00000000" w:rsidR="00000000" w:rsidRPr="00000000">
        <w:rPr>
          <w:rFonts w:ascii="Palatino Linotype" w:cs="Palatino Linotype" w:eastAsia="Palatino Linotype" w:hAnsi="Palatino Linotype"/>
          <w:i w:val="1"/>
          <w:iCs w:val="1"/>
          <w:sz w:val="22"/>
          <w:szCs w:val="22"/>
          <w:rtl w:val="0"/>
        </w:rPr>
        <w:t xml:space="preserve">…” </w:t>
      </w:r>
    </w:p>
    <w:p w:rsidR="00000000" w:rsidDel="00000000" w:rsidP="00000000" w:rsidRDefault="00000000" w:rsidRPr="00000000" w14:paraId="00000185">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59.</w:t>
      </w:r>
      <w:r w:rsidDel="00000000" w:rsidR="00000000" w:rsidRPr="00000000">
        <w:rPr>
          <w:rFonts w:ascii="Palatino Linotype" w:cs="Palatino Linotype" w:eastAsia="Palatino Linotype" w:hAnsi="Palatino Linotype"/>
          <w:i w:val="1"/>
          <w:iCs w:val="1"/>
          <w:sz w:val="22"/>
          <w:szCs w:val="22"/>
          <w:rtl w:val="0"/>
        </w:rPr>
        <w:t xml:space="preserve"> Los </w:t>
      </w:r>
      <w:r w:rsidDel="00000000" w:rsidR="00000000" w:rsidRPr="00000000">
        <w:rPr>
          <w:rFonts w:ascii="Palatino Linotype" w:cs="Palatino Linotype" w:eastAsia="Palatino Linotype" w:hAnsi="Palatino Linotype"/>
          <w:b w:val="1"/>
          <w:bCs w:val="1"/>
          <w:i w:val="1"/>
          <w:iCs w:val="1"/>
          <w:sz w:val="22"/>
          <w:szCs w:val="22"/>
          <w:rtl w:val="0"/>
        </w:rPr>
        <w:t xml:space="preserve">servidores públicos habilitados</w:t>
      </w:r>
      <w:r w:rsidDel="00000000" w:rsidR="00000000" w:rsidRPr="00000000">
        <w:rPr>
          <w:rFonts w:ascii="Palatino Linotype" w:cs="Palatino Linotype" w:eastAsia="Palatino Linotype" w:hAnsi="Palatino Linotype"/>
          <w:i w:val="1"/>
          <w:iCs w:val="1"/>
          <w:sz w:val="22"/>
          <w:szCs w:val="22"/>
          <w:rtl w:val="0"/>
        </w:rPr>
        <w:t xml:space="preserve"> tendrán las </w:t>
      </w:r>
      <w:r w:rsidDel="00000000" w:rsidR="00000000" w:rsidRPr="00000000">
        <w:rPr>
          <w:rFonts w:ascii="Palatino Linotype" w:cs="Palatino Linotype" w:eastAsia="Palatino Linotype" w:hAnsi="Palatino Linotype"/>
          <w:b w:val="1"/>
          <w:bCs w:val="1"/>
          <w:i w:val="1"/>
          <w:iCs w:val="1"/>
          <w:sz w:val="22"/>
          <w:szCs w:val="22"/>
          <w:rtl w:val="0"/>
        </w:rPr>
        <w:t xml:space="preserve">funciones</w:t>
      </w:r>
      <w:r w:rsidDel="00000000" w:rsidR="00000000" w:rsidRPr="00000000">
        <w:rPr>
          <w:rFonts w:ascii="Palatino Linotype" w:cs="Palatino Linotype" w:eastAsia="Palatino Linotype" w:hAnsi="Palatino Linotype"/>
          <w:i w:val="1"/>
          <w:iCs w:val="1"/>
          <w:sz w:val="22"/>
          <w:szCs w:val="22"/>
          <w:rtl w:val="0"/>
        </w:rPr>
        <w:t xml:space="preserve"> siguientes:</w:t>
      </w:r>
    </w:p>
    <w:p w:rsidR="00000000" w:rsidDel="00000000" w:rsidP="00000000" w:rsidRDefault="00000000" w:rsidRPr="00000000" w14:paraId="00000186">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 Integrar y presentar al responsable de la Unidad de Transparencia la propuesta de clasificación de información</w:t>
      </w:r>
      <w:r w:rsidDel="00000000" w:rsidR="00000000" w:rsidRPr="00000000">
        <w:rPr>
          <w:rFonts w:ascii="Palatino Linotype" w:cs="Palatino Linotype" w:eastAsia="Palatino Linotype" w:hAnsi="Palatino Linotype"/>
          <w:i w:val="1"/>
          <w:iCs w:val="1"/>
          <w:sz w:val="22"/>
          <w:szCs w:val="22"/>
          <w:rtl w:val="0"/>
        </w:rPr>
        <w:t xml:space="preserve">, la cual tendrá los fundamentos y argumentos en que se basa dicha propuesta…”</w:t>
      </w:r>
    </w:p>
    <w:p w:rsidR="00000000" w:rsidDel="00000000" w:rsidP="00000000" w:rsidRDefault="00000000" w:rsidRPr="00000000" w14:paraId="0000018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8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Denotándose de dichos elementos normativos que el determinar la clasificación de la información es un trabajo en conjunto tanto de los Servidores Públicos Habilitados, de las Unidades de Transparencia y del Comité de Transparencia del Sujeto Obligado, teniendo el deber los primeros de ellos de presentar ante la Unidad de Transparencia la propuesta de la clasificación de la información, para que luego ésta presente ante al Comité de Transparencia de así resultar procedente el proyecto de clasificación de la información y finalmente sea éste último quien apruebe, modifique o revoque la clasificación de la información solicitada.</w:t>
      </w:r>
    </w:p>
    <w:p w:rsidR="00000000" w:rsidDel="00000000" w:rsidP="00000000" w:rsidRDefault="00000000" w:rsidRPr="00000000" w14:paraId="0000018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8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Para lo cual, a su vez en el caso de información de carácter confidencial, se debe atender a lo que señala el artículo 149 de la Ley de Transparencia Local vigente, que se lee como sigue:</w:t>
      </w:r>
    </w:p>
    <w:p w:rsidR="00000000" w:rsidDel="00000000" w:rsidP="00000000" w:rsidRDefault="00000000" w:rsidRPr="00000000" w14:paraId="0000018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8C">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149.</w:t>
      </w:r>
      <w:r w:rsidDel="00000000" w:rsidR="00000000" w:rsidRPr="00000000">
        <w:rPr>
          <w:rFonts w:ascii="Palatino Linotype" w:cs="Palatino Linotype" w:eastAsia="Palatino Linotype" w:hAnsi="Palatino Linotype"/>
          <w:i w:val="1"/>
          <w:iCs w:val="1"/>
          <w:sz w:val="22"/>
          <w:szCs w:val="22"/>
          <w:rtl w:val="0"/>
        </w:rPr>
        <w:t xml:space="preserve"> El </w:t>
      </w:r>
      <w:r w:rsidDel="00000000" w:rsidR="00000000" w:rsidRPr="00000000">
        <w:rPr>
          <w:rFonts w:ascii="Palatino Linotype" w:cs="Palatino Linotype" w:eastAsia="Palatino Linotype" w:hAnsi="Palatino Linotype"/>
          <w:b w:val="1"/>
          <w:bCs w:val="1"/>
          <w:i w:val="1"/>
          <w:iCs w:val="1"/>
          <w:sz w:val="22"/>
          <w:szCs w:val="22"/>
          <w:rtl w:val="0"/>
        </w:rPr>
        <w:t xml:space="preserve">acuerdo que clasifique la información como confidencial</w:t>
      </w:r>
      <w:r w:rsidDel="00000000" w:rsidR="00000000" w:rsidRPr="00000000">
        <w:rPr>
          <w:rFonts w:ascii="Palatino Linotype" w:cs="Palatino Linotype" w:eastAsia="Palatino Linotype" w:hAnsi="Palatino Linotype"/>
          <w:i w:val="1"/>
          <w:iCs w:val="1"/>
          <w:sz w:val="22"/>
          <w:szCs w:val="22"/>
          <w:rtl w:val="0"/>
        </w:rPr>
        <w:t xml:space="preserve"> deberá contener un razonamiento lógico en el que demuestre que la información se encuentra en alguna o algunas de las hipótesis previstas en la presente Ley.” </w:t>
      </w:r>
    </w:p>
    <w:p w:rsidR="00000000" w:rsidDel="00000000" w:rsidP="00000000" w:rsidRDefault="00000000" w:rsidRPr="00000000" w14:paraId="0000018D">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8E">
      <w:pPr>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decir,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través de su Comité de Transparencia, deberá elaborar acuerdo que contenga un razonamiento lógico con el que se demuestre que la información que se testa de las versiones públicas que se sirva elaborar, encuadra en alguna de las hipótesis que contempla la Ley de la Materia en su artículo 143; ya que de lo contrario, se crearía la incertidumbre jurídica en relación a si lo entregado es formalmente una versión pública, o un documento ilegible, incompleto o tachado; en otras palabras si no se exponen de manera puntual las razones de la versión pública de la documentación entregada se estaría violentando el derecho de acceso a la información de la persona solicitante.</w:t>
      </w:r>
    </w:p>
    <w:p w:rsidR="00000000" w:rsidDel="00000000" w:rsidP="00000000" w:rsidRDefault="00000000" w:rsidRPr="00000000" w14:paraId="0000018F">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90">
      <w:pPr>
        <w:pBdr>
          <w:top w:space="0" w:sz="0" w:val="nil"/>
          <w:left w:space="0" w:sz="0" w:val="nil"/>
          <w:bottom w:space="0" w:sz="0" w:val="nil"/>
          <w:right w:space="0" w:sz="0" w:val="nil"/>
          <w:between w:space="0" w:sz="0" w:val="nil"/>
        </w:pBdr>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Asimismo, respecto a las formalidades que deberá llevar el acuerdo de clasificación que deberá emitir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través de su Comité de Transparencia, los Lineamientos Quincuagésimo y Quincuagésimo primero de los Lineamientos Generales en Materia de Clasificación y Desclasificación de la Información, así como para la Elaboración de Versiones Públicas, vigentes a la fecha de presentación de la solicitud, señalan lo siguiente:</w:t>
      </w:r>
    </w:p>
    <w:p w:rsidR="00000000" w:rsidDel="00000000" w:rsidP="00000000" w:rsidRDefault="00000000" w:rsidRPr="00000000" w14:paraId="00000191">
      <w:pPr>
        <w:pBdr>
          <w:top w:space="0" w:sz="0" w:val="nil"/>
          <w:left w:space="0" w:sz="0" w:val="nil"/>
          <w:bottom w:space="0" w:sz="0" w:val="nil"/>
          <w:right w:space="0" w:sz="0" w:val="nil"/>
          <w:between w:space="0" w:sz="0" w:val="nil"/>
        </w:pBd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92">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 “Quincuagésimo. </w:t>
      </w:r>
      <w:r w:rsidDel="00000000" w:rsidR="00000000" w:rsidRPr="00000000">
        <w:rPr>
          <w:rFonts w:ascii="Palatino Linotype" w:cs="Palatino Linotype" w:eastAsia="Palatino Linotype" w:hAnsi="Palatino Linotype"/>
          <w:i w:val="1"/>
          <w:iCs w:val="1"/>
          <w:sz w:val="22"/>
          <w:szCs w:val="22"/>
          <w:rtl w:val="0"/>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rsidR="00000000" w:rsidDel="00000000" w:rsidP="00000000" w:rsidRDefault="00000000" w:rsidRPr="00000000" w14:paraId="00000193">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primero. </w:t>
      </w:r>
      <w:r w:rsidDel="00000000" w:rsidR="00000000" w:rsidRPr="00000000">
        <w:rPr>
          <w:rFonts w:ascii="Palatino Linotype" w:cs="Palatino Linotype" w:eastAsia="Palatino Linotype" w:hAnsi="Palatino Linotype"/>
          <w:i w:val="1"/>
          <w:iCs w:val="1"/>
          <w:sz w:val="22"/>
          <w:szCs w:val="22"/>
          <w:rtl w:val="0"/>
        </w:rPr>
        <w:t xml:space="preserve">Toda acta del Comité de Transparencia deberá contener: </w:t>
      </w:r>
    </w:p>
    <w:p w:rsidR="00000000" w:rsidDel="00000000" w:rsidP="00000000" w:rsidRDefault="00000000" w:rsidRPr="00000000" w14:paraId="00000194">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El número de sesión y fecha; </w:t>
      </w:r>
    </w:p>
    <w:p w:rsidR="00000000" w:rsidDel="00000000" w:rsidP="00000000" w:rsidRDefault="00000000" w:rsidRPr="00000000" w14:paraId="00000195">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El nombre del área que solicitó la clasificación de información; </w:t>
      </w:r>
    </w:p>
    <w:p w:rsidR="00000000" w:rsidDel="00000000" w:rsidP="00000000" w:rsidRDefault="00000000" w:rsidRPr="00000000" w14:paraId="00000196">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La fundamentación legal y motivación correspondiente; </w:t>
      </w:r>
    </w:p>
    <w:p w:rsidR="00000000" w:rsidDel="00000000" w:rsidP="00000000" w:rsidRDefault="00000000" w:rsidRPr="00000000" w14:paraId="00000197">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IV</w:t>
      </w:r>
      <w:r w:rsidDel="00000000" w:rsidR="00000000" w:rsidRPr="00000000">
        <w:rPr>
          <w:rFonts w:ascii="Palatino Linotype" w:cs="Palatino Linotype" w:eastAsia="Palatino Linotype" w:hAnsi="Palatino Linotype"/>
          <w:i w:val="1"/>
          <w:iCs w:val="1"/>
          <w:sz w:val="22"/>
          <w:szCs w:val="22"/>
          <w:rtl w:val="0"/>
        </w:rPr>
        <w:t xml:space="preserve">. La resolución o resoluciones aprobadas; y </w:t>
      </w:r>
    </w:p>
    <w:p w:rsidR="00000000" w:rsidDel="00000000" w:rsidP="00000000" w:rsidRDefault="00000000" w:rsidRPr="00000000" w14:paraId="00000198">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w:t>
      </w:r>
      <w:r w:rsidDel="00000000" w:rsidR="00000000" w:rsidRPr="00000000">
        <w:rPr>
          <w:rFonts w:ascii="Palatino Linotype" w:cs="Palatino Linotype" w:eastAsia="Palatino Linotype" w:hAnsi="Palatino Linotype"/>
          <w:i w:val="1"/>
          <w:iCs w:val="1"/>
          <w:sz w:val="22"/>
          <w:szCs w:val="22"/>
          <w:rtl w:val="0"/>
        </w:rPr>
        <w:t xml:space="preserve">. La rúbrica o firma digital de cada integrante del Comité de Transparencia. </w:t>
      </w:r>
    </w:p>
    <w:p w:rsidR="00000000" w:rsidDel="00000000" w:rsidP="00000000" w:rsidRDefault="00000000" w:rsidRPr="00000000" w14:paraId="00000199">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Las resoluciones del Comité en las que se haya determinado confirmar o modificar la clasificación de información pública como reservada, deberán incluir, cuando menos: </w:t>
      </w:r>
    </w:p>
    <w:p w:rsidR="00000000" w:rsidDel="00000000" w:rsidP="00000000" w:rsidRDefault="00000000" w:rsidRPr="00000000" w14:paraId="0000019A">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Los motivos y razonamientos que sustenten la confirmación o modificación de la prueba de daño;</w:t>
      </w:r>
    </w:p>
    <w:p w:rsidR="00000000" w:rsidDel="00000000" w:rsidP="00000000" w:rsidRDefault="00000000" w:rsidRPr="00000000" w14:paraId="0000019B">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Descripción de las partes o secciones reservadas, en caso de clasificación parcial</w:t>
      </w:r>
      <w:r w:rsidDel="00000000" w:rsidR="00000000" w:rsidRPr="00000000">
        <w:rPr>
          <w:rFonts w:ascii="Palatino Linotype" w:cs="Palatino Linotype" w:eastAsia="Palatino Linotype" w:hAnsi="Palatino Linotype"/>
          <w:b w:val="1"/>
          <w:bCs w:val="1"/>
          <w:i w:val="1"/>
          <w:iCs w:val="1"/>
          <w:sz w:val="22"/>
          <w:szCs w:val="22"/>
          <w:rtl w:val="0"/>
        </w:rPr>
        <w:t xml:space="preserve">; </w:t>
      </w:r>
    </w:p>
    <w:p w:rsidR="00000000" w:rsidDel="00000000" w:rsidP="00000000" w:rsidRDefault="00000000" w:rsidRPr="00000000" w14:paraId="0000019C">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El periodo por el que mantendrá su clasificación y fecha de expiración; y </w:t>
      </w:r>
    </w:p>
    <w:p w:rsidR="00000000" w:rsidDel="00000000" w:rsidP="00000000" w:rsidRDefault="00000000" w:rsidRPr="00000000" w14:paraId="0000019D">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IV.</w:t>
      </w:r>
      <w:r w:rsidDel="00000000" w:rsidR="00000000" w:rsidRPr="00000000">
        <w:rPr>
          <w:rFonts w:ascii="Palatino Linotype" w:cs="Palatino Linotype" w:eastAsia="Palatino Linotype" w:hAnsi="Palatino Linotype"/>
          <w:i w:val="1"/>
          <w:iCs w:val="1"/>
          <w:sz w:val="22"/>
          <w:szCs w:val="22"/>
          <w:rtl w:val="0"/>
        </w:rPr>
        <w:t xml:space="preserve"> El nombre del titular y área encargada de realizar la versión pública del documento, en su caso. </w:t>
      </w:r>
    </w:p>
    <w:p w:rsidR="00000000" w:rsidDel="00000000" w:rsidP="00000000" w:rsidRDefault="00000000" w:rsidRPr="00000000" w14:paraId="0000019E">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los casos en que se clasifique la información como reservada siempre se entregará o anexará la prueba de daño con la respuesta al solicitante. </w:t>
      </w:r>
    </w:p>
    <w:p w:rsidR="00000000" w:rsidDel="00000000" w:rsidP="00000000" w:rsidRDefault="00000000" w:rsidRPr="00000000" w14:paraId="0000019F">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los casos de resoluciones del Comité de Transparencia en las que se confirme la clasificación de información confidencial solo se deberán de identificar los tipos de datos protegidos, de conformidad con el lineamiento trigésimo octavo.</w:t>
      </w:r>
    </w:p>
    <w:p w:rsidR="00000000" w:rsidDel="00000000" w:rsidP="00000000" w:rsidRDefault="00000000" w:rsidRPr="00000000" w14:paraId="000001A0">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A1">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Para la elaboración de las versiones públicas, además, se deberán observar las formalidades establecidas en los Lineamientos Quincuagésimo segundo, Quincuagésimo cuarto, Quincuagésimo quinto, Quincuagésimo séptimo y Quincuagésimo octavo, que establecen lo siguiente:</w:t>
      </w:r>
    </w:p>
    <w:p w:rsidR="00000000" w:rsidDel="00000000" w:rsidP="00000000" w:rsidRDefault="00000000" w:rsidRPr="00000000" w14:paraId="000001A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A3">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Quincuagésimo segundo</w:t>
      </w:r>
      <w:r w:rsidDel="00000000" w:rsidR="00000000" w:rsidRPr="00000000">
        <w:rPr>
          <w:rFonts w:ascii="Palatino Linotype" w:cs="Palatino Linotype" w:eastAsia="Palatino Linotype" w:hAnsi="Palatino Linotype"/>
          <w:i w:val="1"/>
          <w:iCs w:val="1"/>
          <w:sz w:val="22"/>
          <w:szCs w:val="22"/>
          <w:rtl w:val="0"/>
        </w:rPr>
        <w:t xml:space="preserve">.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rsidR="00000000" w:rsidDel="00000000" w:rsidP="00000000" w:rsidRDefault="00000000" w:rsidRPr="00000000" w14:paraId="000001A4">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el caso específico de la clasificación y elaboración de versiones públicas de documentos que contengan información confidencial, las áreas de los sujetos obligados deberán: </w:t>
      </w:r>
    </w:p>
    <w:p w:rsidR="00000000" w:rsidDel="00000000" w:rsidP="00000000" w:rsidRDefault="00000000" w:rsidRPr="00000000" w14:paraId="000001A5">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Fijar la fecha en que se elaboró la versión pública y la fecha en la cual el Comité de Transparencia confirmó dicha versión;</w:t>
      </w:r>
    </w:p>
    <w:p w:rsidR="00000000" w:rsidDel="00000000" w:rsidP="00000000" w:rsidRDefault="00000000" w:rsidRPr="00000000" w14:paraId="000001A6">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Señalar dentro del documento el tipo de información confidencial que fue testada en cada caso específico, de conformidad con el lineamiento trigésimo octavo; y</w:t>
      </w:r>
    </w:p>
    <w:p w:rsidR="00000000" w:rsidDel="00000000" w:rsidP="00000000" w:rsidRDefault="00000000" w:rsidRPr="00000000" w14:paraId="000001A7">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Señalar las personas o instancias autorizadas a acceder a la información clasificada.</w:t>
      </w:r>
    </w:p>
    <w:p w:rsidR="00000000" w:rsidDel="00000000" w:rsidP="00000000" w:rsidRDefault="00000000" w:rsidRPr="00000000" w14:paraId="000001A8">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los documentos de difusión electrónica, señalar en la primera hoja y en el nombre del archivo, que la versión pública corresponde a un documento que contiene información confidencial.”</w:t>
      </w:r>
    </w:p>
    <w:p w:rsidR="00000000" w:rsidDel="00000000" w:rsidP="00000000" w:rsidRDefault="00000000" w:rsidRPr="00000000" w14:paraId="000001A9">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AA">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cuarto. </w:t>
      </w:r>
      <w:r w:rsidDel="00000000" w:rsidR="00000000" w:rsidRPr="00000000">
        <w:rPr>
          <w:rFonts w:ascii="Palatino Linotype" w:cs="Palatino Linotype" w:eastAsia="Palatino Linotype" w:hAnsi="Palatino Linotype"/>
          <w:i w:val="1"/>
          <w:iCs w:val="1"/>
          <w:sz w:val="22"/>
          <w:szCs w:val="22"/>
          <w:rtl w:val="0"/>
        </w:rPr>
        <w:t xml:space="preserve">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Del="00000000" w:rsidR="00000000" w:rsidRPr="00000000">
        <w:rPr>
          <w:rFonts w:ascii="Palatino Linotype" w:cs="Palatino Linotype" w:eastAsia="Palatino Linotype" w:hAnsi="Palatino Linotype"/>
          <w:b w:val="1"/>
          <w:bCs w:val="1"/>
          <w:i w:val="1"/>
          <w:iCs w:val="1"/>
          <w:sz w:val="22"/>
          <w:szCs w:val="22"/>
          <w:rtl w:val="0"/>
        </w:rPr>
        <w:t xml:space="preserve"> </w:t>
      </w:r>
    </w:p>
    <w:p w:rsidR="00000000" w:rsidDel="00000000" w:rsidP="00000000" w:rsidRDefault="00000000" w:rsidRPr="00000000" w14:paraId="000001AB">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quinto. </w:t>
      </w:r>
      <w:r w:rsidDel="00000000" w:rsidR="00000000" w:rsidRPr="00000000">
        <w:rPr>
          <w:rFonts w:ascii="Palatino Linotype" w:cs="Palatino Linotype" w:eastAsia="Palatino Linotype" w:hAnsi="Palatino Linotype"/>
          <w:i w:val="1"/>
          <w:iCs w:val="1"/>
          <w:sz w:val="22"/>
          <w:szCs w:val="22"/>
          <w:rtl w:val="0"/>
        </w:rPr>
        <w:t xml:space="preserve">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rsidR="00000000" w:rsidDel="00000000" w:rsidP="00000000" w:rsidRDefault="00000000" w:rsidRPr="00000000" w14:paraId="000001AC">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p>
    <w:p w:rsidR="00000000" w:rsidDel="00000000" w:rsidP="00000000" w:rsidRDefault="00000000" w:rsidRPr="00000000" w14:paraId="000001AD">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séptimo</w:t>
      </w:r>
      <w:r w:rsidDel="00000000" w:rsidR="00000000" w:rsidRPr="00000000">
        <w:rPr>
          <w:rFonts w:ascii="Palatino Linotype" w:cs="Palatino Linotype" w:eastAsia="Palatino Linotype" w:hAnsi="Palatino Linotype"/>
          <w:i w:val="1"/>
          <w:iCs w:val="1"/>
          <w:sz w:val="22"/>
          <w:szCs w:val="22"/>
          <w:rtl w:val="0"/>
        </w:rPr>
        <w:t xml:space="preserve">. Se considera, en principio, como información pública y no podrá omitirse de las versiones públicas la siguiente: </w:t>
      </w:r>
    </w:p>
    <w:p w:rsidR="00000000" w:rsidDel="00000000" w:rsidP="00000000" w:rsidRDefault="00000000" w:rsidRPr="00000000" w14:paraId="000001AE">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La relativa a las Obligaciones de Transparencia que contempla el Título V de la Ley General y las demás disposiciones legales aplicables; </w:t>
      </w:r>
    </w:p>
    <w:p w:rsidR="00000000" w:rsidDel="00000000" w:rsidP="00000000" w:rsidRDefault="00000000" w:rsidRPr="00000000" w14:paraId="000001AF">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El nombre de los integrantes de los sujetos obligados en los documentos, y sus firmas autógrafas o digitales, cuando sean utilizados en el ejercicio de las facultades conferidas para el desempeño del servicio público, y</w:t>
      </w:r>
    </w:p>
    <w:p w:rsidR="00000000" w:rsidDel="00000000" w:rsidP="00000000" w:rsidRDefault="00000000" w:rsidRPr="00000000" w14:paraId="000001B0">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La información que documente decisiones y los actos de autoridad concluidos de los sujetos obligados, así como el ejercicio de las facultades o actividades de los servidores públicos, de manera que se pueda valorar el desempeño de los mismos. </w:t>
      </w:r>
    </w:p>
    <w:p w:rsidR="00000000" w:rsidDel="00000000" w:rsidP="00000000" w:rsidRDefault="00000000" w:rsidRPr="00000000" w14:paraId="000001B1">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Lo anterior, siempre y cuando no se acredite alguna causal de clasificación, prevista en las leyes o en los tratados internacionales suscritas por el Estado mexicano.  </w:t>
      </w:r>
    </w:p>
    <w:p w:rsidR="00000000" w:rsidDel="00000000" w:rsidP="00000000" w:rsidRDefault="00000000" w:rsidRPr="00000000" w14:paraId="000001B2">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octavo</w:t>
      </w:r>
      <w:r w:rsidDel="00000000" w:rsidR="00000000" w:rsidRPr="00000000">
        <w:rPr>
          <w:rFonts w:ascii="Palatino Linotype" w:cs="Palatino Linotype" w:eastAsia="Palatino Linotype" w:hAnsi="Palatino Linotype"/>
          <w:i w:val="1"/>
          <w:iCs w:val="1"/>
          <w:sz w:val="22"/>
          <w:szCs w:val="22"/>
          <w:rtl w:val="0"/>
        </w:rPr>
        <w:t xml:space="preserve">. Los sujetos obligados garantizarán que los sistemas o medios empleados para eliminar la información en las versiones públicas sean irreversibles, de tal forma que no permitan su recuperación o la visualización de la misma.”</w:t>
      </w:r>
    </w:p>
    <w:p w:rsidR="00000000" w:rsidDel="00000000" w:rsidP="00000000" w:rsidRDefault="00000000" w:rsidRPr="00000000" w14:paraId="000001B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B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tanto, la entrega de documentos en su versión pública debe acompañarse necesariamente del Acuerdo del Comité de Transparencia que la sustente el cual debe estar debidamente fundado y motivado, en el que se expongan los fundamentos y razonamientos que llevaron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testar, suprimir o eliminar datos de dicho soporte documental, ya que no hacerlo, se reitera que lo entregado no tendría un sustento jurídico ni resultaría ser una versión pública, sino más bien una documentación ilegible, incompleta o tachada; ya que el no justificar las causas o motivos por las que no se aprecian determinados datos -ya sea porque se testan o suprimen- deja al solicitante en estado de incertidumbre, al no conocer o comprender porque no aparecen en la documentación respectiva.</w:t>
      </w:r>
    </w:p>
    <w:p w:rsidR="00000000" w:rsidDel="00000000" w:rsidP="00000000" w:rsidRDefault="00000000" w:rsidRPr="00000000" w14:paraId="000001B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B6">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bookmarkStart w:colFirst="0" w:colLast="0" w:name="_heading=h.3dy6vkm" w:id="6"/>
      <w:bookmarkEnd w:id="6"/>
      <w:r w:rsidDel="00000000" w:rsidR="00000000" w:rsidRPr="00000000">
        <w:rPr>
          <w:rFonts w:ascii="Palatino Linotype" w:cs="Palatino Linotype" w:eastAsia="Palatino Linotype" w:hAnsi="Palatino Linotype"/>
          <w:sz w:val="22"/>
          <w:szCs w:val="22"/>
          <w:rtl w:val="0"/>
        </w:rPr>
        <w:t xml:space="preserve">Así, con fundamento en lo prescrito en los artículos 5 párrafos cuadragésimo cuarto, cuadragésimo quinto y cuadragésimo sexto, fracciones IV y V de la Constitución Política del Estado Libre y Soberano de México; Transitorio Cuarto, párrafo segundo del Decreto número 198 de la “LXII” Legislatura del Estado de México; 2, fracción II; 29, 36 fracciones I y II; 176, 178, 181, 185 y 186 fracción II de la Ley de Transparencia y Acceso a la Información Pública del Estado de México y Municipios, este Pleno:</w:t>
      </w:r>
    </w:p>
    <w:p w:rsidR="00000000" w:rsidDel="00000000" w:rsidP="00000000" w:rsidRDefault="00000000" w:rsidRPr="00000000" w14:paraId="000001B7">
      <w:pPr>
        <w:spacing w:line="360" w:lineRule="auto"/>
        <w:ind w:left="567" w:firstLine="0"/>
        <w:jc w:val="center"/>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1B8">
      <w:pPr>
        <w:spacing w:line="360" w:lineRule="auto"/>
        <w:ind w:left="567" w:firstLine="0"/>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 E S U E L V E</w:t>
      </w:r>
    </w:p>
    <w:p w:rsidR="00000000" w:rsidDel="00000000" w:rsidP="00000000" w:rsidRDefault="00000000" w:rsidRPr="00000000" w14:paraId="000001B9">
      <w:pPr>
        <w:spacing w:line="360" w:lineRule="auto"/>
        <w:ind w:left="567" w:firstLine="0"/>
        <w:jc w:val="center"/>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1BA">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w:t>
      </w:r>
      <w:r w:rsidDel="00000000" w:rsidR="00000000" w:rsidRPr="00000000">
        <w:rPr>
          <w:rFonts w:ascii="Palatino Linotype" w:cs="Palatino Linotype" w:eastAsia="Palatino Linotype" w:hAnsi="Palatino Linotype"/>
          <w:sz w:val="22"/>
          <w:szCs w:val="22"/>
          <w:rtl w:val="0"/>
        </w:rPr>
        <w:t xml:space="preserve"> Resultan </w:t>
      </w:r>
      <w:r w:rsidDel="00000000" w:rsidR="00000000" w:rsidRPr="00000000">
        <w:rPr>
          <w:rFonts w:ascii="Palatino Linotype" w:cs="Palatino Linotype" w:eastAsia="Palatino Linotype" w:hAnsi="Palatino Linotype"/>
          <w:b w:val="1"/>
          <w:bCs w:val="1"/>
          <w:sz w:val="22"/>
          <w:szCs w:val="22"/>
          <w:rtl w:val="0"/>
        </w:rPr>
        <w:t xml:space="preserve">fundados</w:t>
      </w:r>
      <w:r w:rsidDel="00000000" w:rsidR="00000000" w:rsidRPr="00000000">
        <w:rPr>
          <w:rFonts w:ascii="Palatino Linotype" w:cs="Palatino Linotype" w:eastAsia="Palatino Linotype" w:hAnsi="Palatino Linotype"/>
          <w:sz w:val="22"/>
          <w:szCs w:val="22"/>
          <w:rtl w:val="0"/>
        </w:rPr>
        <w:t xml:space="preserve"> los motivos de inconformidad hechos valer por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el Recurso de Revisión </w:t>
      </w:r>
      <w:r w:rsidDel="00000000" w:rsidR="00000000" w:rsidRPr="00000000">
        <w:rPr>
          <w:rFonts w:ascii="Palatino Linotype" w:cs="Palatino Linotype" w:eastAsia="Palatino Linotype" w:hAnsi="Palatino Linotype"/>
          <w:b w:val="1"/>
          <w:bCs w:val="1"/>
          <w:sz w:val="22"/>
          <w:szCs w:val="22"/>
          <w:rtl w:val="0"/>
        </w:rPr>
        <w:t xml:space="preserve">05887/INFOEM/IP/RR/2026</w:t>
      </w:r>
      <w:r w:rsidDel="00000000" w:rsidR="00000000" w:rsidRPr="00000000">
        <w:rPr>
          <w:rFonts w:ascii="Palatino Linotype" w:cs="Palatino Linotype" w:eastAsia="Palatino Linotype" w:hAnsi="Palatino Linotype"/>
          <w:sz w:val="22"/>
          <w:szCs w:val="22"/>
          <w:rtl w:val="0"/>
        </w:rPr>
        <w:t xml:space="preserve">, por lo que, en términos del </w:t>
      </w:r>
      <w:r w:rsidDel="00000000" w:rsidR="00000000" w:rsidRPr="00000000">
        <w:rPr>
          <w:rFonts w:ascii="Palatino Linotype" w:cs="Palatino Linotype" w:eastAsia="Palatino Linotype" w:hAnsi="Palatino Linotype"/>
          <w:b w:val="1"/>
          <w:bCs w:val="1"/>
          <w:sz w:val="22"/>
          <w:szCs w:val="22"/>
          <w:rtl w:val="0"/>
        </w:rPr>
        <w:t xml:space="preserve">Considerando Cuarto </w:t>
      </w:r>
      <w:r w:rsidDel="00000000" w:rsidR="00000000" w:rsidRPr="00000000">
        <w:rPr>
          <w:rFonts w:ascii="Palatino Linotype" w:cs="Palatino Linotype" w:eastAsia="Palatino Linotype" w:hAnsi="Palatino Linotype"/>
          <w:sz w:val="22"/>
          <w:szCs w:val="22"/>
          <w:rtl w:val="0"/>
        </w:rPr>
        <w:t xml:space="preserve">de esta resolución, se </w:t>
      </w:r>
      <w:r w:rsidDel="00000000" w:rsidR="00000000" w:rsidRPr="00000000">
        <w:rPr>
          <w:rFonts w:ascii="Palatino Linotype" w:cs="Palatino Linotype" w:eastAsia="Palatino Linotype" w:hAnsi="Palatino Linotype"/>
          <w:b w:val="1"/>
          <w:bCs w:val="1"/>
          <w:sz w:val="22"/>
          <w:szCs w:val="22"/>
          <w:rtl w:val="0"/>
        </w:rPr>
        <w:t xml:space="preserve">Revoca </w:t>
      </w:r>
      <w:r w:rsidDel="00000000" w:rsidR="00000000" w:rsidRPr="00000000">
        <w:rPr>
          <w:rFonts w:ascii="Palatino Linotype" w:cs="Palatino Linotype" w:eastAsia="Palatino Linotype" w:hAnsi="Palatino Linotype"/>
          <w:sz w:val="22"/>
          <w:szCs w:val="22"/>
          <w:rtl w:val="0"/>
        </w:rPr>
        <w:t xml:space="preserve">la respuesta emitida por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1BB">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BC">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Segundo</w:t>
      </w:r>
      <w:r w:rsidDel="00000000" w:rsidR="00000000" w:rsidRPr="00000000">
        <w:rPr>
          <w:rFonts w:ascii="Palatino Linotype" w:cs="Palatino Linotype" w:eastAsia="Palatino Linotype" w:hAnsi="Palatino Linotype"/>
          <w:sz w:val="22"/>
          <w:szCs w:val="22"/>
          <w:rtl w:val="0"/>
        </w:rPr>
        <w:t xml:space="preserve">. Se </w:t>
      </w:r>
      <w:r w:rsidDel="00000000" w:rsidR="00000000" w:rsidRPr="00000000">
        <w:rPr>
          <w:rFonts w:ascii="Palatino Linotype" w:cs="Palatino Linotype" w:eastAsia="Palatino Linotype" w:hAnsi="Palatino Linotype"/>
          <w:b w:val="1"/>
          <w:bCs w:val="1"/>
          <w:sz w:val="22"/>
          <w:szCs w:val="22"/>
          <w:rtl w:val="0"/>
        </w:rPr>
        <w:t xml:space="preserve">ordena</w:t>
      </w:r>
      <w:r w:rsidDel="00000000" w:rsidR="00000000" w:rsidRPr="00000000">
        <w:rPr>
          <w:rFonts w:ascii="Palatino Linotype" w:cs="Palatino Linotype" w:eastAsia="Palatino Linotype" w:hAnsi="Palatino Linotype"/>
          <w:sz w:val="22"/>
          <w:szCs w:val="22"/>
          <w:rtl w:val="0"/>
        </w:rPr>
        <w:t xml:space="preserve">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que, en términos de los </w:t>
      </w:r>
      <w:r w:rsidDel="00000000" w:rsidR="00000000" w:rsidRPr="00000000">
        <w:rPr>
          <w:rFonts w:ascii="Palatino Linotype" w:cs="Palatino Linotype" w:eastAsia="Palatino Linotype" w:hAnsi="Palatino Linotype"/>
          <w:b w:val="1"/>
          <w:bCs w:val="1"/>
          <w:sz w:val="22"/>
          <w:szCs w:val="22"/>
          <w:rtl w:val="0"/>
        </w:rPr>
        <w:t xml:space="preserve">Considerandos Cuarto </w:t>
      </w:r>
      <w:r w:rsidDel="00000000" w:rsidR="00000000" w:rsidRPr="00000000">
        <w:rPr>
          <w:rFonts w:ascii="Palatino Linotype" w:cs="Palatino Linotype" w:eastAsia="Palatino Linotype" w:hAnsi="Palatino Linotype"/>
          <w:sz w:val="22"/>
          <w:szCs w:val="22"/>
          <w:rtl w:val="0"/>
        </w:rPr>
        <w:t xml:space="preserve">y</w:t>
      </w:r>
      <w:r w:rsidDel="00000000" w:rsidR="00000000" w:rsidRPr="00000000">
        <w:rPr>
          <w:rFonts w:ascii="Palatino Linotype" w:cs="Palatino Linotype" w:eastAsia="Palatino Linotype" w:hAnsi="Palatino Linotype"/>
          <w:b w:val="1"/>
          <w:bCs w:val="1"/>
          <w:sz w:val="22"/>
          <w:szCs w:val="22"/>
          <w:rtl w:val="0"/>
        </w:rPr>
        <w:t xml:space="preserve"> Quinto</w:t>
      </w:r>
      <w:r w:rsidDel="00000000" w:rsidR="00000000" w:rsidRPr="00000000">
        <w:rPr>
          <w:rFonts w:ascii="Palatino Linotype" w:cs="Palatino Linotype" w:eastAsia="Palatino Linotype" w:hAnsi="Palatino Linotype"/>
          <w:sz w:val="22"/>
          <w:szCs w:val="22"/>
          <w:rtl w:val="0"/>
        </w:rPr>
        <w:t xml:space="preserve">, haga entrega vía Sistema de Acceso a la Información Mexiquense, previa búsqueda exhaustiva y razonable, de ser procedente en versión pública, de lo siguiente: </w:t>
      </w:r>
    </w:p>
    <w:p w:rsidR="00000000" w:rsidDel="00000000" w:rsidP="00000000" w:rsidRDefault="00000000" w:rsidRPr="00000000" w14:paraId="000001BD">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BE">
      <w:pPr>
        <w:numPr>
          <w:ilvl w:val="0"/>
          <w:numId w:val="6"/>
        </w:numPr>
        <w:pBdr>
          <w:top w:space="0" w:sz="0" w:val="nil"/>
          <w:left w:space="0" w:sz="0" w:val="nil"/>
          <w:bottom w:space="0" w:sz="0" w:val="nil"/>
          <w:right w:space="0" w:sz="0" w:val="nil"/>
          <w:between w:space="0" w:sz="0" w:val="nil"/>
        </w:pBdr>
        <w:tabs>
          <w:tab w:val="left" w:leader="none" w:pos="567"/>
          <w:tab w:val="left" w:leader="none" w:pos="993"/>
        </w:tabs>
        <w:spacing w:line="360" w:lineRule="auto"/>
        <w:ind w:left="851" w:right="616" w:firstLine="0"/>
        <w:jc w:val="both"/>
        <w:rPr>
          <w:rFonts w:ascii="Palatino Linotype" w:cs="Palatino Linotype" w:eastAsia="Palatino Linotype" w:hAnsi="Palatino Linotype"/>
          <w:i w:val="1"/>
          <w:iCs w:val="1"/>
          <w:sz w:val="22"/>
          <w:szCs w:val="22"/>
        </w:rPr>
      </w:pPr>
      <w:bookmarkStart w:colFirst="0" w:colLast="0" w:name="_heading=h.1fob9te" w:id="7"/>
      <w:bookmarkEnd w:id="7"/>
      <w:r w:rsidDel="00000000" w:rsidR="00000000" w:rsidRPr="00000000">
        <w:rPr>
          <w:rFonts w:ascii="Palatino Linotype" w:cs="Palatino Linotype" w:eastAsia="Palatino Linotype" w:hAnsi="Palatino Linotype"/>
          <w:b w:val="1"/>
          <w:bCs w:val="1"/>
          <w:sz w:val="22"/>
          <w:szCs w:val="22"/>
          <w:rtl w:val="0"/>
        </w:rPr>
        <w:t xml:space="preserve">Nombramiento y currículum vitae de la Rectora de la Universidad Tecnológica del Valle de Toluca, en funciones al veinte de abril de dos mil veintiséis. </w:t>
      </w:r>
      <w:r w:rsidDel="00000000" w:rsidR="00000000" w:rsidRPr="00000000">
        <w:rPr>
          <w:rtl w:val="0"/>
        </w:rPr>
      </w:r>
    </w:p>
    <w:p w:rsidR="00000000" w:rsidDel="00000000" w:rsidP="00000000" w:rsidRDefault="00000000" w:rsidRPr="00000000" w14:paraId="000001BF">
      <w:pPr>
        <w:pBdr>
          <w:top w:space="0" w:sz="0" w:val="nil"/>
          <w:left w:space="0" w:sz="0" w:val="nil"/>
          <w:bottom w:space="0" w:sz="0" w:val="nil"/>
          <w:right w:space="0" w:sz="0" w:val="nil"/>
          <w:between w:space="0" w:sz="0" w:val="nil"/>
        </w:pBdr>
        <w:tabs>
          <w:tab w:val="left" w:leader="none" w:pos="567"/>
          <w:tab w:val="left" w:leader="none" w:pos="993"/>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1C0">
      <w:pPr>
        <w:pBdr>
          <w:top w:space="0" w:sz="0" w:val="nil"/>
          <w:left w:space="0" w:sz="0" w:val="nil"/>
          <w:bottom w:space="0" w:sz="0" w:val="nil"/>
          <w:right w:space="0" w:sz="0" w:val="nil"/>
          <w:between w:space="0" w:sz="0" w:val="nil"/>
        </w:pBdr>
        <w:tabs>
          <w:tab w:val="left" w:leader="none" w:pos="567"/>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su caso, deberá emitir el Acuerdo del Comité de Transparencia en términos de la Ley de Transparencia y Acceso a la Información Pública del Estado de México y Municipios, en el que funde y motive las razones sobre los datos que se supriman o eliminen y se ponga a disposición de la parte </w:t>
      </w:r>
      <w:r w:rsidDel="00000000" w:rsidR="00000000" w:rsidRPr="00000000">
        <w:rPr>
          <w:rFonts w:ascii="Palatino Linotype" w:cs="Palatino Linotype" w:eastAsia="Palatino Linotype" w:hAnsi="Palatino Linotype"/>
          <w:b w:val="1"/>
          <w:bCs w:val="1"/>
          <w:i w:val="1"/>
          <w:iCs w:val="1"/>
          <w:sz w:val="22"/>
          <w:szCs w:val="22"/>
          <w:rtl w:val="0"/>
        </w:rPr>
        <w:t xml:space="preserve">Recurrente.</w:t>
      </w:r>
      <w:r w:rsidDel="00000000" w:rsidR="00000000" w:rsidRPr="00000000">
        <w:rPr>
          <w:rtl w:val="0"/>
        </w:rPr>
      </w:r>
    </w:p>
    <w:p w:rsidR="00000000" w:rsidDel="00000000" w:rsidP="00000000" w:rsidRDefault="00000000" w:rsidRPr="00000000" w14:paraId="000001C1">
      <w:pPr>
        <w:pBdr>
          <w:top w:space="0" w:sz="0" w:val="nil"/>
          <w:left w:space="0" w:sz="0" w:val="nil"/>
          <w:bottom w:space="0" w:sz="0" w:val="nil"/>
          <w:right w:space="0" w:sz="0" w:val="nil"/>
          <w:between w:space="0" w:sz="0" w:val="nil"/>
        </w:pBdr>
        <w:spacing w:line="276" w:lineRule="auto"/>
        <w:ind w:left="1080"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1C2">
      <w:pPr>
        <w:spacing w:line="360" w:lineRule="auto"/>
        <w:ind w:right="49"/>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Notifíquese, </w:t>
      </w:r>
      <w:r w:rsidDel="00000000" w:rsidR="00000000" w:rsidRPr="00000000">
        <w:rPr>
          <w:rFonts w:ascii="Palatino Linotype" w:cs="Palatino Linotype" w:eastAsia="Palatino Linotype" w:hAnsi="Palatino Linotype"/>
          <w:sz w:val="22"/>
          <w:szCs w:val="22"/>
          <w:rtl w:val="0"/>
        </w:rPr>
        <w:t xml:space="preserve">vía </w:t>
      </w:r>
      <w:r w:rsidDel="00000000" w:rsidR="00000000" w:rsidRPr="00000000">
        <w:rPr>
          <w:rFonts w:ascii="Palatino Linotype" w:cs="Palatino Linotype" w:eastAsia="Palatino Linotype" w:hAnsi="Palatino Linotype"/>
          <w:b w:val="1"/>
          <w:bCs w:val="1"/>
          <w:sz w:val="22"/>
          <w:szCs w:val="22"/>
          <w:rtl w:val="0"/>
        </w:rPr>
        <w:t xml:space="preserve">SAIMEX </w:t>
      </w:r>
      <w:r w:rsidDel="00000000" w:rsidR="00000000" w:rsidRPr="00000000">
        <w:rPr>
          <w:rFonts w:ascii="Palatino Linotype" w:cs="Palatino Linotype" w:eastAsia="Palatino Linotype" w:hAnsi="Palatino Linotype"/>
          <w:sz w:val="22"/>
          <w:szCs w:val="22"/>
          <w:rtl w:val="0"/>
        </w:rPr>
        <w:t xml:space="preserve">la presente resolución a la </w:t>
      </w:r>
      <w:r w:rsidDel="00000000" w:rsidR="00000000" w:rsidRPr="00000000">
        <w:rPr>
          <w:rFonts w:ascii="Palatino Linotype" w:cs="Palatino Linotype" w:eastAsia="Palatino Linotype" w:hAnsi="Palatino Linotype"/>
          <w:b w:val="1"/>
          <w:bCs w:val="1"/>
          <w:sz w:val="22"/>
          <w:szCs w:val="22"/>
          <w:rtl w:val="0"/>
        </w:rPr>
        <w:t xml:space="preserve">Titular de la Unidad de Transparencia </w:t>
      </w:r>
      <w:r w:rsidDel="00000000" w:rsidR="00000000" w:rsidRPr="00000000">
        <w:rPr>
          <w:rFonts w:ascii="Palatino Linotype" w:cs="Palatino Linotype" w:eastAsia="Palatino Linotype" w:hAnsi="Palatino Linotype"/>
          <w:sz w:val="22"/>
          <w:szCs w:val="22"/>
          <w:rtl w:val="0"/>
        </w:rPr>
        <w:t xml:space="preserve">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216de la Ley  de Transparencia y Acceso a la Información Pública del Estado de México y Municipios.</w:t>
      </w:r>
      <w:r w:rsidDel="00000000" w:rsidR="00000000" w:rsidRPr="00000000">
        <w:rPr>
          <w:rtl w:val="0"/>
        </w:rPr>
      </w:r>
    </w:p>
    <w:p w:rsidR="00000000" w:rsidDel="00000000" w:rsidP="00000000" w:rsidRDefault="00000000" w:rsidRPr="00000000" w14:paraId="000001C3">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C4">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Cuarto.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Notifíquese </w:t>
      </w:r>
      <w:r w:rsidDel="00000000" w:rsidR="00000000" w:rsidRPr="00000000">
        <w:rPr>
          <w:rFonts w:ascii="Palatino Linotype" w:cs="Palatino Linotype" w:eastAsia="Palatino Linotype" w:hAnsi="Palatino Linotype"/>
          <w:sz w:val="22"/>
          <w:szCs w:val="22"/>
          <w:rtl w:val="0"/>
        </w:rPr>
        <w:t xml:space="preserve">vía</w:t>
      </w:r>
      <w:r w:rsidDel="00000000" w:rsidR="00000000" w:rsidRPr="00000000">
        <w:rPr>
          <w:rFonts w:ascii="Palatino Linotype" w:cs="Palatino Linotype" w:eastAsia="Palatino Linotype" w:hAnsi="Palatino Linotype"/>
          <w:b w:val="1"/>
          <w:bCs w:val="1"/>
          <w:sz w:val="22"/>
          <w:szCs w:val="22"/>
          <w:rtl w:val="0"/>
        </w:rPr>
        <w:t xml:space="preserve"> SAIMEX </w:t>
      </w:r>
      <w:r w:rsidDel="00000000" w:rsidR="00000000" w:rsidRPr="00000000">
        <w:rPr>
          <w:rFonts w:ascii="Palatino Linotype" w:cs="Palatino Linotype" w:eastAsia="Palatino Linotype" w:hAnsi="Palatino Linotype"/>
          <w:sz w:val="22"/>
          <w:szCs w:val="22"/>
          <w:rtl w:val="0"/>
        </w:rPr>
        <w:t xml:space="preserve">a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la presente resolución, así como, que de conformidad con lo establecido en el artículo 196 de la Ley de Transparencia y Acceso a la Información Pública del Estado de México y Municipios, podrá impugnar la presente resolución vía Juicio de Amparo en los términos de las leyes aplicables. </w:t>
      </w:r>
    </w:p>
    <w:p w:rsidR="00000000" w:rsidDel="00000000" w:rsidP="00000000" w:rsidRDefault="00000000" w:rsidRPr="00000000" w14:paraId="000001C5">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C6">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Quinto.</w:t>
      </w:r>
      <w:r w:rsidDel="00000000" w:rsidR="00000000" w:rsidRPr="00000000">
        <w:rPr>
          <w:rFonts w:ascii="Palatino Linotype" w:cs="Palatino Linotype" w:eastAsia="Palatino Linotype" w:hAnsi="Palatino Linotype"/>
          <w:sz w:val="22"/>
          <w:szCs w:val="22"/>
          <w:rtl w:val="0"/>
        </w:rPr>
        <w:t xml:space="preserve"> De conformidad con el artículo 198 de la Ley de Transparencia y Acceso a la Información Pública del Estado de México y Municipios, de considerarlo procedente,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 manera fundada y motivada, podrá solicitar una ampliación de plazo para el cumplimiento de la presente resolución.</w:t>
      </w:r>
    </w:p>
    <w:p w:rsidR="00000000" w:rsidDel="00000000" w:rsidP="00000000" w:rsidRDefault="00000000" w:rsidRPr="00000000" w14:paraId="000001C7">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C8">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C9">
      <w:pPr>
        <w:spacing w:line="360" w:lineRule="auto"/>
        <w:jc w:val="both"/>
        <w:rPr>
          <w:rFonts w:ascii="Palatino Linotype" w:cs="Palatino Linotype" w:eastAsia="Palatino Linotype" w:hAnsi="Palatino Linotype"/>
          <w:sz w:val="22"/>
          <w:szCs w:val="22"/>
        </w:rPr>
        <w:sectPr>
          <w:headerReference r:id="rId12" w:type="default"/>
          <w:headerReference r:id="rId13" w:type="first"/>
          <w:footerReference r:id="rId14" w:type="default"/>
          <w:footerReference r:id="rId15" w:type="first"/>
          <w:pgSz w:h="15840" w:w="12240" w:orient="portrait"/>
          <w:pgMar w:bottom="1701" w:top="2041" w:left="1701" w:right="1701" w:header="709" w:footer="709"/>
          <w:pgNumType w:start="1"/>
          <w:titlePg w:val="1"/>
        </w:sectPr>
      </w:pPr>
      <w:r w:rsidDel="00000000" w:rsidR="00000000" w:rsidRPr="00000000">
        <w:rPr>
          <w:rFonts w:ascii="Palatino Linotype" w:cs="Palatino Linotype" w:eastAsia="Palatino Linotype" w:hAnsi="Palatino Linotype"/>
          <w:sz w:val="22"/>
          <w:szCs w:val="22"/>
          <w:rtl w:val="0"/>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PEÑA; EN LA TRIGÉSIMA TERCERA SESIÓN ORDINARIA CELEBRADA EL DIECISIETE DE SEPTIEMBRE DE DOS MIL VEINTISÉIS, ANTE EL SECRETARIO TÉCNICO DEL PLENO ALEXIS TAPIA RAMÍREZ.                              </w:t>
      </w:r>
    </w:p>
    <w:p w:rsidR="00000000" w:rsidDel="00000000" w:rsidP="00000000" w:rsidRDefault="00000000" w:rsidRPr="00000000" w14:paraId="000001CA">
      <w:pPr>
        <w:spacing w:line="360" w:lineRule="auto"/>
        <w:jc w:val="both"/>
        <w:rPr>
          <w:rFonts w:ascii="Palatino Linotype" w:cs="Palatino Linotype" w:eastAsia="Palatino Linotype" w:hAnsi="Palatino Linotype"/>
          <w:sz w:val="22"/>
          <w:szCs w:val="22"/>
        </w:rPr>
      </w:pPr>
      <w:r w:rsidDel="00000000" w:rsidR="00000000" w:rsidRPr="00000000">
        <w:rPr>
          <w:rtl w:val="0"/>
        </w:rPr>
      </w:r>
    </w:p>
    <w:sectPr>
      <w:headerReference r:id="rId16" w:type="first"/>
      <w:type w:val="nextPage"/>
      <w:pgSz w:h="15840" w:w="12240" w:orient="portrait"/>
      <w:pgMar w:bottom="1701" w:top="2041" w:left="1701" w:right="1701" w:header="709" w:footer="709"/>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Courier New"/>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0">
    <w:pPr>
      <w:pBdr>
        <w:top w:space="0" w:sz="0" w:val="nil"/>
        <w:left w:space="0" w:sz="0" w:val="nil"/>
        <w:bottom w:space="0" w:sz="0" w:val="nil"/>
        <w:right w:space="0" w:sz="0" w:val="nil"/>
        <w:between w:space="0" w:sz="0" w:val="nil"/>
      </w:pBdr>
      <w:tabs>
        <w:tab w:val="center" w:leader="none" w:pos="4252"/>
        <w:tab w:val="right" w:leader="none" w:pos="8504"/>
      </w:tabs>
      <w:jc w:val="right"/>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Página </w:t>
    </w:r>
    <w:r w:rsidDel="00000000" w:rsidR="00000000" w:rsidRPr="00000000">
      <w:rPr>
        <w:rFonts w:ascii="Arial" w:cs="Arial" w:eastAsia="Arial" w:hAnsi="Arial"/>
        <w:b w:val="1"/>
        <w:bCs w:val="1"/>
        <w:color w:val="000000"/>
        <w:sz w:val="20"/>
        <w:szCs w:val="20"/>
      </w:rPr>
      <w:fldChar w:fldCharType="begin"/>
      <w:instrText xml:space="preserve">PAGE</w:instrText>
      <w:fldChar w:fldCharType="separate"/>
      <w:fldChar w:fldCharType="end"/>
    </w:r>
    <w:r w:rsidDel="00000000" w:rsidR="00000000" w:rsidRPr="00000000">
      <w:rPr>
        <w:rFonts w:ascii="Arial" w:cs="Arial" w:eastAsia="Arial" w:hAnsi="Arial"/>
        <w:color w:val="000000"/>
        <w:sz w:val="20"/>
        <w:szCs w:val="20"/>
        <w:rtl w:val="0"/>
      </w:rPr>
      <w:t xml:space="preserve"> de </w:t>
    </w:r>
    <w:r w:rsidDel="00000000" w:rsidR="00000000" w:rsidRPr="00000000">
      <w:rPr>
        <w:rFonts w:ascii="Arial" w:cs="Arial" w:eastAsia="Arial" w:hAnsi="Arial"/>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E1">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p w:rsidR="00000000" w:rsidDel="00000000" w:rsidP="00000000" w:rsidRDefault="00000000" w:rsidRPr="00000000" w14:paraId="000001E2">
    <w:pPr>
      <w:pBdr>
        <w:top w:space="0" w:sz="0" w:val="nil"/>
        <w:left w:space="0" w:sz="0" w:val="nil"/>
        <w:bottom w:space="0" w:sz="0" w:val="nil"/>
        <w:right w:space="0" w:sz="0" w:val="nil"/>
        <w:between w:space="0" w:sz="0" w:val="nil"/>
      </w:pBdr>
      <w:tabs>
        <w:tab w:val="center" w:leader="none" w:pos="4252"/>
        <w:tab w:val="right" w:leader="none" w:pos="8504"/>
      </w:tabs>
      <w:ind w:firstLine="708"/>
      <w:rPr>
        <w:rFonts w:ascii="Calibri" w:cs="Calibri" w:eastAsia="Calibri" w:hAnsi="Calibri"/>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3">
    <w:pPr>
      <w:pBdr>
        <w:top w:space="0" w:sz="0" w:val="nil"/>
        <w:left w:space="0" w:sz="0" w:val="nil"/>
        <w:bottom w:space="0" w:sz="0" w:val="nil"/>
        <w:right w:space="0" w:sz="0" w:val="nil"/>
        <w:between w:space="0" w:sz="0" w:val="nil"/>
      </w:pBdr>
      <w:tabs>
        <w:tab w:val="center" w:leader="none" w:pos="4252"/>
        <w:tab w:val="right" w:leader="none" w:pos="8504"/>
      </w:tabs>
      <w:jc w:val="right"/>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Página </w:t>
    </w:r>
    <w:r w:rsidDel="00000000" w:rsidR="00000000" w:rsidRPr="00000000">
      <w:rPr>
        <w:rFonts w:ascii="Arial" w:cs="Arial" w:eastAsia="Arial" w:hAnsi="Arial"/>
        <w:b w:val="1"/>
        <w:bCs w:val="1"/>
        <w:color w:val="000000"/>
        <w:sz w:val="20"/>
        <w:szCs w:val="20"/>
      </w:rPr>
      <w:fldChar w:fldCharType="begin"/>
      <w:instrText xml:space="preserve">PAGE</w:instrText>
      <w:fldChar w:fldCharType="separate"/>
      <w:fldChar w:fldCharType="end"/>
    </w:r>
    <w:r w:rsidDel="00000000" w:rsidR="00000000" w:rsidRPr="00000000">
      <w:rPr>
        <w:rFonts w:ascii="Arial" w:cs="Arial" w:eastAsia="Arial" w:hAnsi="Arial"/>
        <w:color w:val="000000"/>
        <w:sz w:val="20"/>
        <w:szCs w:val="20"/>
        <w:rtl w:val="0"/>
      </w:rPr>
      <w:t xml:space="preserve"> de </w:t>
    </w:r>
    <w:r w:rsidDel="00000000" w:rsidR="00000000" w:rsidRPr="00000000">
      <w:rPr>
        <w:rFonts w:ascii="Arial" w:cs="Arial" w:eastAsia="Arial" w:hAnsi="Arial"/>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E4">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CB">
      <w:pPr>
        <w:pBdr>
          <w:top w:space="0" w:sz="0" w:val="nil"/>
          <w:left w:space="0" w:sz="0" w:val="nil"/>
          <w:bottom w:space="0" w:sz="0" w:val="nil"/>
          <w:right w:space="0" w:sz="0" w:val="nil"/>
          <w:between w:space="0" w:sz="0" w:val="nil"/>
        </w:pBdr>
        <w:tabs>
          <w:tab w:val="right" w:leader="none" w:pos="0"/>
        </w:tabs>
        <w:jc w:val="both"/>
        <w:rPr>
          <w:rFonts w:ascii="Palatino Linotype" w:cs="Palatino Linotype" w:eastAsia="Palatino Linotype" w:hAnsi="Palatino Linotype"/>
          <w:color w:val="000000"/>
          <w:sz w:val="16"/>
          <w:szCs w:val="16"/>
        </w:rPr>
      </w:pPr>
      <w:r w:rsidDel="00000000" w:rsidR="00000000" w:rsidRPr="00000000">
        <w:rPr>
          <w:rStyle w:val="FootnoteReference"/>
          <w:vertAlign w:val="superscript"/>
        </w:rPr>
        <w:footnoteRef/>
      </w:r>
      <w:r w:rsidDel="00000000" w:rsidR="00000000" w:rsidRPr="00000000">
        <w:rPr>
          <w:rFonts w:ascii="Palatino Linotype" w:cs="Palatino Linotype" w:eastAsia="Palatino Linotype" w:hAnsi="Palatino Linotype"/>
          <w:color w:val="000000"/>
          <w:sz w:val="16"/>
          <w:szCs w:val="16"/>
          <w:rtl w:val="0"/>
        </w:rPr>
        <w:t xml:space="preserve"> Resolución RRA2431/17 del Instituto Nacional de Transparencia, Acceso a la Información Pública y Protección de Datos Personales.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C">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-638171</wp:posOffset>
          </wp:positionH>
          <wp:positionV relativeFrom="paragraph">
            <wp:posOffset>-450210</wp:posOffset>
          </wp:positionV>
          <wp:extent cx="7809876" cy="10165823"/>
          <wp:effectExtent b="0" l="0" r="0" t="0"/>
          <wp:wrapNone/>
          <wp:docPr id="174707018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76" cy="10165823"/>
                  </a:xfrm>
                  <a:prstGeom prst="rect"/>
                  <a:ln/>
                </pic:spPr>
              </pic:pic>
            </a:graphicData>
          </a:graphic>
        </wp:anchor>
      </w:drawing>
    </w:r>
  </w:p>
  <w:tbl>
    <w:tblPr>
      <w:tblStyle w:val="Table1"/>
      <w:tblW w:w="5528.0" w:type="dxa"/>
      <w:jc w:val="left"/>
      <w:tblInd w:w="3261.0" w:type="dxa"/>
      <w:tblLayout w:type="fixed"/>
      <w:tblLook w:val="0400"/>
    </w:tblPr>
    <w:tblGrid>
      <w:gridCol w:w="2551"/>
      <w:gridCol w:w="2977"/>
      <w:tblGridChange w:id="0">
        <w:tblGrid>
          <w:gridCol w:w="2551"/>
          <w:gridCol w:w="2977"/>
        </w:tblGrid>
      </w:tblGridChange>
    </w:tblGrid>
    <w:tr>
      <w:trPr>
        <w:cantSplit w:val="0"/>
        <w:tblHeader w:val="0"/>
      </w:trPr>
      <w:tc>
        <w:tcPr>
          <w:vAlign w:val="center"/>
        </w:tcPr>
        <w:p w:rsidR="00000000" w:rsidDel="00000000" w:rsidP="00000000" w:rsidRDefault="00000000" w:rsidRPr="00000000" w14:paraId="000001CD">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vAlign w:val="center"/>
        </w:tcPr>
        <w:p w:rsidR="00000000" w:rsidDel="00000000" w:rsidP="00000000" w:rsidRDefault="00000000" w:rsidRPr="00000000" w14:paraId="000001CE">
          <w:pPr>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05887/INFOEM/IP/RR/2026</w:t>
          </w:r>
        </w:p>
      </w:tc>
    </w:tr>
    <w:tr>
      <w:trPr>
        <w:cantSplit w:val="0"/>
        <w:trHeight w:val="228" w:hRule="atLeast"/>
        <w:tblHeader w:val="0"/>
      </w:trPr>
      <w:tc>
        <w:tcPr>
          <w:vAlign w:val="center"/>
        </w:tcPr>
        <w:p w:rsidR="00000000" w:rsidDel="00000000" w:rsidP="00000000" w:rsidRDefault="00000000" w:rsidRPr="00000000" w14:paraId="000001CF">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vAlign w:val="center"/>
        </w:tcPr>
        <w:p w:rsidR="00000000" w:rsidDel="00000000" w:rsidP="00000000" w:rsidRDefault="00000000" w:rsidRPr="00000000" w14:paraId="000001D0">
          <w:pPr>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Universidad Tecnológica del Valle de Toluca</w:t>
          </w:r>
        </w:p>
      </w:tc>
    </w:tr>
    <w:tr>
      <w:trPr>
        <w:cantSplit w:val="0"/>
        <w:tblHeader w:val="0"/>
      </w:trPr>
      <w:tc>
        <w:tcPr>
          <w:vAlign w:val="center"/>
        </w:tcPr>
        <w:p w:rsidR="00000000" w:rsidDel="00000000" w:rsidP="00000000" w:rsidRDefault="00000000" w:rsidRPr="00000000" w14:paraId="000001D1">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vAlign w:val="center"/>
        </w:tcPr>
        <w:p w:rsidR="00000000" w:rsidDel="00000000" w:rsidP="00000000" w:rsidRDefault="00000000" w:rsidRPr="00000000" w14:paraId="000001D2">
          <w:pPr>
            <w:ind w:right="-533"/>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1D3">
    <w:pPr>
      <w:rPr>
        <w:rFonts w:ascii="Calibri" w:cs="Calibri" w:eastAsia="Calibri" w:hAnsi="Calibri"/>
        <w:color w:val="000000"/>
      </w:rPr>
    </w:pPr>
    <w:r w:rsidDel="00000000" w:rsidR="00000000" w:rsidRPr="00000000">
      <w:rPr>
        <w:rFonts w:ascii="Calibri" w:cs="Calibri" w:eastAsia="Calibri" w:hAnsi="Calibri"/>
        <w:color w:val="000000"/>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4">
    <w:pPr>
      <w:pBdr>
        <w:top w:space="0" w:sz="0" w:val="nil"/>
        <w:left w:space="0" w:sz="0" w:val="nil"/>
        <w:bottom w:space="0" w:sz="0" w:val="nil"/>
        <w:right w:space="0" w:sz="0" w:val="nil"/>
        <w:between w:space="0" w:sz="0" w:val="nil"/>
      </w:pBdr>
      <w:tabs>
        <w:tab w:val="center" w:leader="none" w:pos="4252"/>
        <w:tab w:val="right" w:leader="none" w:pos="8504"/>
      </w:tabs>
      <w:jc w:val="both"/>
      <w:rPr>
        <w:rFonts w:ascii="Calibri" w:cs="Calibri" w:eastAsia="Calibri" w:hAnsi="Calibri"/>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-798188</wp:posOffset>
          </wp:positionH>
          <wp:positionV relativeFrom="paragraph">
            <wp:posOffset>-399409</wp:posOffset>
          </wp:positionV>
          <wp:extent cx="7809876" cy="10165823"/>
          <wp:effectExtent b="0" l="0" r="0" t="0"/>
          <wp:wrapNone/>
          <wp:docPr id="174707018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76" cy="10165823"/>
                  </a:xfrm>
                  <a:prstGeom prst="rect"/>
                  <a:ln/>
                </pic:spPr>
              </pic:pic>
            </a:graphicData>
          </a:graphic>
        </wp:anchor>
      </w:drawing>
    </w:r>
  </w:p>
  <w:tbl>
    <w:tblPr>
      <w:tblStyle w:val="Table2"/>
      <w:tblW w:w="6095.0" w:type="dxa"/>
      <w:jc w:val="left"/>
      <w:tblInd w:w="2977.0" w:type="dxa"/>
      <w:tblLayout w:type="fixed"/>
      <w:tblLook w:val="0400"/>
    </w:tblPr>
    <w:tblGrid>
      <w:gridCol w:w="2551"/>
      <w:gridCol w:w="3544"/>
      <w:tblGridChange w:id="0">
        <w:tblGrid>
          <w:gridCol w:w="2551"/>
          <w:gridCol w:w="3544"/>
        </w:tblGrid>
      </w:tblGridChange>
    </w:tblGrid>
    <w:tr>
      <w:trPr>
        <w:cantSplit w:val="0"/>
        <w:tblHeader w:val="0"/>
      </w:trPr>
      <w:tc>
        <w:tcPr>
          <w:vAlign w:val="center"/>
        </w:tcPr>
        <w:p w:rsidR="00000000" w:rsidDel="00000000" w:rsidP="00000000" w:rsidRDefault="00000000" w:rsidRPr="00000000" w14:paraId="000001D5">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vAlign w:val="center"/>
        </w:tcPr>
        <w:p w:rsidR="00000000" w:rsidDel="00000000" w:rsidP="00000000" w:rsidRDefault="00000000" w:rsidRPr="00000000" w14:paraId="000001D6">
          <w:pPr>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05887/INFOEM/IP/RR/2026</w:t>
          </w:r>
        </w:p>
      </w:tc>
    </w:tr>
    <w:tr>
      <w:trPr>
        <w:cantSplit w:val="0"/>
        <w:tblHeader w:val="0"/>
      </w:trPr>
      <w:tc>
        <w:tcPr>
          <w:vAlign w:val="center"/>
        </w:tcPr>
        <w:p w:rsidR="00000000" w:rsidDel="00000000" w:rsidP="00000000" w:rsidRDefault="00000000" w:rsidRPr="00000000" w14:paraId="000001D7">
          <w:pPr>
            <w:ind w:left="35" w:hanging="35"/>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Recurrente:</w:t>
          </w:r>
        </w:p>
      </w:tc>
      <w:tc>
        <w:tcPr>
          <w:vAlign w:val="center"/>
        </w:tcPr>
        <w:p w:rsidR="00000000" w:rsidDel="00000000" w:rsidP="00000000" w:rsidRDefault="00000000" w:rsidRPr="00000000" w14:paraId="000001D8">
          <w:pPr>
            <w:ind w:right="-115"/>
            <w:jc w:val="both"/>
            <w:rPr>
              <w:rFonts w:ascii="Palatino Linotype" w:cs="Palatino Linotype" w:eastAsia="Palatino Linotype" w:hAnsi="Palatino Linotype"/>
              <w:b w:val="1"/>
              <w:bCs w:val="1"/>
              <w:sz w:val="22"/>
              <w:szCs w:val="22"/>
            </w:rPr>
          </w:pPr>
          <w:r w:rsidDel="00000000" w:rsidR="00000000" w:rsidRPr="00000000">
            <w:rPr>
              <w:rtl w:val="0"/>
            </w:rPr>
          </w:r>
        </w:p>
      </w:tc>
    </w:tr>
    <w:tr>
      <w:trPr>
        <w:cantSplit w:val="0"/>
        <w:trHeight w:val="228" w:hRule="atLeast"/>
        <w:tblHeader w:val="0"/>
      </w:trPr>
      <w:tc>
        <w:tcPr>
          <w:vAlign w:val="center"/>
        </w:tcPr>
        <w:p w:rsidR="00000000" w:rsidDel="00000000" w:rsidP="00000000" w:rsidRDefault="00000000" w:rsidRPr="00000000" w14:paraId="000001D9">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vAlign w:val="center"/>
        </w:tcPr>
        <w:p w:rsidR="00000000" w:rsidDel="00000000" w:rsidP="00000000" w:rsidRDefault="00000000" w:rsidRPr="00000000" w14:paraId="000001DA">
          <w:pPr>
            <w:ind w:right="27"/>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Universidad Tecnológica del Valle de Toluca</w:t>
          </w:r>
        </w:p>
      </w:tc>
    </w:tr>
    <w:tr>
      <w:trPr>
        <w:cantSplit w:val="0"/>
        <w:tblHeader w:val="0"/>
      </w:trPr>
      <w:tc>
        <w:tcPr>
          <w:vAlign w:val="center"/>
        </w:tcPr>
        <w:p w:rsidR="00000000" w:rsidDel="00000000" w:rsidP="00000000" w:rsidRDefault="00000000" w:rsidRPr="00000000" w14:paraId="000001DB">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vAlign w:val="center"/>
        </w:tcPr>
        <w:p w:rsidR="00000000" w:rsidDel="00000000" w:rsidP="00000000" w:rsidRDefault="00000000" w:rsidRPr="00000000" w14:paraId="000001DC">
          <w:pPr>
            <w:ind w:right="-533"/>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1DD">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E">
    <w:pPr>
      <w:pBdr>
        <w:top w:space="0" w:sz="0" w:val="nil"/>
        <w:left w:space="0" w:sz="0" w:val="nil"/>
        <w:bottom w:space="0" w:sz="0" w:val="nil"/>
        <w:right w:space="0" w:sz="0" w:val="nil"/>
        <w:between w:space="0" w:sz="0" w:val="nil"/>
      </w:pBdr>
      <w:tabs>
        <w:tab w:val="center" w:leader="none" w:pos="4252"/>
        <w:tab w:val="right" w:leader="none" w:pos="8504"/>
      </w:tabs>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DF">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lowerLetter"/>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4">
    <w:lvl w:ilvl="0">
      <w:start w:val="1"/>
      <w:numFmt w:val="upperRoman"/>
      <w:lvlText w:val="%1."/>
      <w:lvlJc w:val="right"/>
      <w:pPr>
        <w:ind w:left="1077" w:hanging="360"/>
      </w:pPr>
      <w:rPr/>
    </w:lvl>
    <w:lvl w:ilvl="1">
      <w:start w:val="1"/>
      <w:numFmt w:val="decimal"/>
      <w:lvlText w:val="%2."/>
      <w:lvlJc w:val="left"/>
      <w:pPr>
        <w:ind w:left="1797" w:hanging="360"/>
      </w:pPr>
      <w:rPr/>
    </w:lvl>
    <w:lvl w:ilvl="2">
      <w:start w:val="1"/>
      <w:numFmt w:val="lowerRoman"/>
      <w:lvlText w:val="%3."/>
      <w:lvlJc w:val="right"/>
      <w:pPr>
        <w:ind w:left="2517" w:hanging="180"/>
      </w:pPr>
      <w:rPr/>
    </w:lvl>
    <w:lvl w:ilvl="3">
      <w:start w:val="1"/>
      <w:numFmt w:val="decimal"/>
      <w:lvlText w:val="%4."/>
      <w:lvlJc w:val="left"/>
      <w:pPr>
        <w:ind w:left="3237" w:hanging="360"/>
      </w:pPr>
      <w:rPr/>
    </w:lvl>
    <w:lvl w:ilvl="4">
      <w:start w:val="1"/>
      <w:numFmt w:val="lowerLetter"/>
      <w:lvlText w:val="%5."/>
      <w:lvlJc w:val="left"/>
      <w:pPr>
        <w:ind w:left="3957" w:hanging="360"/>
      </w:pPr>
      <w:rPr/>
    </w:lvl>
    <w:lvl w:ilvl="5">
      <w:start w:val="1"/>
      <w:numFmt w:val="lowerRoman"/>
      <w:lvlText w:val="%6."/>
      <w:lvlJc w:val="right"/>
      <w:pPr>
        <w:ind w:left="4677" w:hanging="180"/>
      </w:pPr>
      <w:rPr/>
    </w:lvl>
    <w:lvl w:ilvl="6">
      <w:start w:val="1"/>
      <w:numFmt w:val="decimal"/>
      <w:lvlText w:val="%7."/>
      <w:lvlJc w:val="left"/>
      <w:pPr>
        <w:ind w:left="5397" w:hanging="360"/>
      </w:pPr>
      <w:rPr/>
    </w:lvl>
    <w:lvl w:ilvl="7">
      <w:start w:val="1"/>
      <w:numFmt w:val="lowerLetter"/>
      <w:lvlText w:val="%8."/>
      <w:lvlJc w:val="left"/>
      <w:pPr>
        <w:ind w:left="6117" w:hanging="360"/>
      </w:pPr>
      <w:rPr/>
    </w:lvl>
    <w:lvl w:ilvl="8">
      <w:start w:val="1"/>
      <w:numFmt w:val="lowerRoman"/>
      <w:lvlText w:val="%9."/>
      <w:lvlJc w:val="right"/>
      <w:pPr>
        <w:ind w:left="6837" w:hanging="180"/>
      </w:pPr>
      <w:rPr/>
    </w:lvl>
  </w:abstractNum>
  <w:abstractNum w:abstractNumId="5">
    <w:lvl w:ilvl="0">
      <w:start w:val="1"/>
      <w:numFmt w:val="decimal"/>
      <w:lvlText w:val="%1."/>
      <w:lvlJc w:val="left"/>
      <w:pPr>
        <w:ind w:left="720" w:hanging="360"/>
      </w:pPr>
      <w:rPr>
        <w:b w:val="1"/>
        <w:bCs w:val="1"/>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1571" w:hanging="360"/>
      </w:pPr>
      <w:rPr/>
    </w:lvl>
    <w:lvl w:ilvl="1">
      <w:start w:val="1"/>
      <w:numFmt w:val="lowerLetter"/>
      <w:lvlText w:val="%2."/>
      <w:lvlJc w:val="left"/>
      <w:pPr>
        <w:ind w:left="2291" w:hanging="360"/>
      </w:pPr>
      <w:rPr/>
    </w:lvl>
    <w:lvl w:ilvl="2">
      <w:start w:val="1"/>
      <w:numFmt w:val="lowerRoman"/>
      <w:lvlText w:val="%3."/>
      <w:lvlJc w:val="right"/>
      <w:pPr>
        <w:ind w:left="3011" w:hanging="180"/>
      </w:pPr>
      <w:rPr/>
    </w:lvl>
    <w:lvl w:ilvl="3">
      <w:start w:val="1"/>
      <w:numFmt w:val="decimal"/>
      <w:lvlText w:val="%4."/>
      <w:lvlJc w:val="left"/>
      <w:pPr>
        <w:ind w:left="3731" w:hanging="360"/>
      </w:pPr>
      <w:rPr/>
    </w:lvl>
    <w:lvl w:ilvl="4">
      <w:start w:val="1"/>
      <w:numFmt w:val="lowerLetter"/>
      <w:lvlText w:val="%5."/>
      <w:lvlJc w:val="left"/>
      <w:pPr>
        <w:ind w:left="4451" w:hanging="360"/>
      </w:pPr>
      <w:rPr/>
    </w:lvl>
    <w:lvl w:ilvl="5">
      <w:start w:val="1"/>
      <w:numFmt w:val="lowerRoman"/>
      <w:lvlText w:val="%6."/>
      <w:lvlJc w:val="right"/>
      <w:pPr>
        <w:ind w:left="5171" w:hanging="180"/>
      </w:pPr>
      <w:rPr/>
    </w:lvl>
    <w:lvl w:ilvl="6">
      <w:start w:val="1"/>
      <w:numFmt w:val="decimal"/>
      <w:lvlText w:val="%7."/>
      <w:lvlJc w:val="left"/>
      <w:pPr>
        <w:ind w:left="5891" w:hanging="360"/>
      </w:pPr>
      <w:rPr/>
    </w:lvl>
    <w:lvl w:ilvl="7">
      <w:start w:val="1"/>
      <w:numFmt w:val="lowerLetter"/>
      <w:lvlText w:val="%8."/>
      <w:lvlJc w:val="left"/>
      <w:pPr>
        <w:ind w:left="6611" w:hanging="360"/>
      </w:pPr>
      <w:rPr/>
    </w:lvl>
    <w:lvl w:ilvl="8">
      <w:start w:val="1"/>
      <w:numFmt w:val="lowerRoman"/>
      <w:lvlText w:val="%9."/>
      <w:lvlJc w:val="right"/>
      <w:pPr>
        <w:ind w:left="7331" w:hanging="180"/>
      </w:pPr>
      <w:rPr/>
    </w:lvl>
  </w:abstractNum>
  <w:abstractNum w:abstractNumId="7">
    <w:lvl w:ilvl="0">
      <w:start w:val="3"/>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4"/>
      <w:numFmt w:val="decimal"/>
      <w:lvlText w:val="%1."/>
      <w:lvlJc w:val="left"/>
      <w:pPr>
        <w:ind w:left="720" w:hanging="360"/>
      </w:pPr>
      <w:rPr>
        <w:b w:val="1"/>
        <w:bCs w:val="1"/>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rPr>
      <w:b w:val="1"/>
      <w:bCs w:val="1"/>
      <w:sz w:val="27"/>
      <w:szCs w:val="27"/>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5" w:customStyle="1">
    <w:name w:val="Table Normal5"/>
    <w:tblPr>
      <w:tblCellMar>
        <w:top w:w="0.0" w:type="dxa"/>
        <w:left w:w="0.0" w:type="dxa"/>
        <w:bottom w:w="0.0" w:type="dxa"/>
        <w:right w:w="0.0" w:type="dxa"/>
      </w:tblCellMar>
    </w:tblPr>
  </w:style>
  <w:style w:type="table" w:styleId="TableNormal4" w:customStyle="1">
    <w:name w:val="Table Normal4"/>
    <w:tblPr>
      <w:tblCellMar>
        <w:top w:w="0.0" w:type="dxa"/>
        <w:left w:w="0.0" w:type="dxa"/>
        <w:bottom w:w="0.0" w:type="dxa"/>
        <w:right w:w="0.0" w:type="dxa"/>
      </w:tblCellMar>
    </w:tblPr>
  </w:style>
  <w:style w:type="table" w:styleId="TableNormal3" w:customStyle="1">
    <w:name w:val="Table Normal3"/>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table" w:styleId="TableNormal1" w:customStyle="1">
    <w:name w:val="Table Normal1"/>
    <w:tblPr>
      <w:tblCellMar>
        <w:top w:w="0.0" w:type="dxa"/>
        <w:left w:w="0.0" w:type="dxa"/>
        <w:bottom w:w="0.0" w:type="dxa"/>
        <w:right w:w="0.0" w:type="dxa"/>
      </w:tblCellMar>
    </w:tblPr>
  </w:style>
  <w:style w:type="paragraph" w:styleId="Encabezado">
    <w:name w:val="header"/>
    <w:basedOn w:val="Normal"/>
    <w:link w:val="EncabezadoCar"/>
    <w:uiPriority w:val="99"/>
    <w:unhideWhenUsed w:val="1"/>
    <w:rsid w:val="00AC3C64"/>
    <w:pPr>
      <w:tabs>
        <w:tab w:val="center" w:pos="4252"/>
        <w:tab w:val="right" w:pos="8504"/>
      </w:tabs>
    </w:pPr>
    <w:rPr>
      <w:rFonts w:asciiTheme="minorHAnsi" w:cstheme="minorBidi" w:eastAsiaTheme="minorEastAsia" w:hAnsiTheme="minorHAnsi"/>
      <w:lang w:val="es-ES_tradnl"/>
    </w:rPr>
  </w:style>
  <w:style w:type="character" w:styleId="EncabezadoCar" w:customStyle="1">
    <w:name w:val="Encabezado Car"/>
    <w:basedOn w:val="Fuentedeprrafopredeter"/>
    <w:link w:val="Encabezado"/>
    <w:uiPriority w:val="99"/>
    <w:rsid w:val="00AC3C64"/>
    <w:rPr>
      <w:rFonts w:eastAsiaTheme="minorEastAsia"/>
      <w:sz w:val="24"/>
      <w:szCs w:val="24"/>
      <w:lang w:eastAsia="es-ES" w:val="es-ES_tradnl"/>
    </w:rPr>
  </w:style>
  <w:style w:type="paragraph" w:styleId="Piedepgina">
    <w:name w:val="footer"/>
    <w:basedOn w:val="Normal"/>
    <w:link w:val="PiedepginaCar"/>
    <w:uiPriority w:val="99"/>
    <w:unhideWhenUsed w:val="1"/>
    <w:rsid w:val="00AC3C64"/>
    <w:pPr>
      <w:tabs>
        <w:tab w:val="center" w:pos="4252"/>
        <w:tab w:val="right" w:pos="8504"/>
      </w:tabs>
    </w:pPr>
    <w:rPr>
      <w:rFonts w:asciiTheme="minorHAnsi" w:cstheme="minorBidi" w:eastAsiaTheme="minorEastAsia" w:hAnsiTheme="minorHAnsi"/>
      <w:lang w:val="es-ES_tradnl"/>
    </w:rPr>
  </w:style>
  <w:style w:type="character" w:styleId="PiedepginaCar" w:customStyle="1">
    <w:name w:val="Pie de página Car"/>
    <w:basedOn w:val="Fuentedeprrafopredeter"/>
    <w:link w:val="Piedepgina"/>
    <w:uiPriority w:val="99"/>
    <w:rsid w:val="00AC3C64"/>
    <w:rPr>
      <w:rFonts w:eastAsiaTheme="minorEastAsia"/>
      <w:sz w:val="24"/>
      <w:szCs w:val="24"/>
      <w:lang w:eastAsia="es-ES" w:val="es-ES_tradnl"/>
    </w:rPr>
  </w:style>
  <w:style w:type="character" w:styleId="PrrafodelistaCar" w:customStyle="1">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val="1"/>
    <w:locked w:val="1"/>
    <w:rsid w:val="00AC3C64"/>
    <w:rPr>
      <w:rFonts w:ascii="Times New Roman" w:cs="Times New Roman" w:eastAsia="Times New Roman" w:hAnsi="Times New Roman"/>
      <w:lang w:val="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val="1"/>
    <w:rsid w:val="00AC3C64"/>
    <w:pPr>
      <w:ind w:left="708"/>
    </w:pPr>
    <w:rPr>
      <w:sz w:val="22"/>
      <w:szCs w:val="22"/>
      <w:lang w:eastAsia="en-US"/>
    </w:rPr>
  </w:style>
  <w:style w:type="table" w:styleId="Tablaconcuadrcula">
    <w:name w:val="Table Grid"/>
    <w:basedOn w:val="Tablanormal"/>
    <w:uiPriority w:val="39"/>
    <w:rsid w:val="00AC3C64"/>
    <w:rPr>
      <w:rFonts w:eastAsiaTheme="minorEastAsia"/>
      <w:lang w:eastAsia="es-ES" w:val="es-ES_tradnl"/>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normaltextrun" w:customStyle="1">
    <w:name w:val="normaltextrun"/>
    <w:basedOn w:val="Fuentedeprrafopredeter"/>
    <w:rsid w:val="00AC3C64"/>
  </w:style>
  <w:style w:type="character" w:styleId="apple-converted-space" w:customStyle="1">
    <w:name w:val="apple-converted-space"/>
    <w:basedOn w:val="Fuentedeprrafopredeter"/>
    <w:rsid w:val="00AC3C64"/>
  </w:style>
  <w:style w:type="paragraph" w:styleId="paragraph" w:customStyle="1">
    <w:name w:val="paragraph"/>
    <w:basedOn w:val="Normal"/>
    <w:rsid w:val="00AC3C64"/>
    <w:pPr>
      <w:spacing w:after="100" w:afterAutospacing="1" w:before="100" w:beforeAutospacing="1"/>
    </w:pPr>
    <w:rPr>
      <w:lang w:eastAsia="es-MX" w:val="es-MX"/>
    </w:rPr>
  </w:style>
  <w:style w:type="character" w:styleId="eop" w:customStyle="1">
    <w:name w:val="eop"/>
    <w:basedOn w:val="Fuentedeprrafopredeter"/>
    <w:rsid w:val="00AC3C64"/>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val="1"/>
    <w:qFormat w:val="1"/>
    <w:rsid w:val="00AC3C64"/>
    <w:rPr>
      <w:rFonts w:asciiTheme="minorHAnsi" w:cstheme="minorBidi" w:eastAsiaTheme="minorHAnsi" w:hAnsiTheme="minorHAnsi"/>
      <w:sz w:val="20"/>
      <w:szCs w:val="20"/>
      <w:lang w:eastAsia="en-US" w:val="es-MX"/>
    </w:rPr>
  </w:style>
  <w:style w:type="character" w:styleId="TextonotapieCar" w:customStyle="1">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val="1"/>
    <w:rsid w:val="00AC3C64"/>
    <w:rPr>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iPriority w:val="99"/>
    <w:unhideWhenUsed w:val="1"/>
    <w:qFormat w:val="1"/>
    <w:rsid w:val="00AC3C64"/>
    <w:rPr>
      <w:vertAlign w:val="superscript"/>
    </w:rPr>
  </w:style>
  <w:style w:type="character" w:styleId="Hipervnculo">
    <w:name w:val="Hyperlink"/>
    <w:basedOn w:val="Fuentedeprrafopredeter"/>
    <w:uiPriority w:val="99"/>
    <w:unhideWhenUsed w:val="1"/>
    <w:rsid w:val="00AC3C64"/>
    <w:rPr>
      <w:color w:val="0563c1" w:themeColor="hyperlink"/>
      <w:u w:val="single"/>
    </w:rPr>
  </w:style>
  <w:style w:type="paragraph" w:styleId="NormalWeb">
    <w:name w:val="Normal (Web)"/>
    <w:basedOn w:val="Normal"/>
    <w:uiPriority w:val="99"/>
    <w:unhideWhenUsed w:val="1"/>
    <w:rsid w:val="00AC3C64"/>
    <w:pPr>
      <w:spacing w:after="100" w:afterAutospacing="1" w:before="100" w:beforeAutospacing="1"/>
    </w:pPr>
    <w:rPr>
      <w:lang w:eastAsia="es-MX" w:val="es-MX"/>
    </w:rPr>
  </w:style>
  <w:style w:type="character" w:styleId="Ttulo3Car" w:customStyle="1">
    <w:name w:val="Título 3 Car"/>
    <w:basedOn w:val="Fuentedeprrafopredeter"/>
    <w:link w:val="Ttulo3"/>
    <w:uiPriority w:val="9"/>
    <w:rsid w:val="002D2EAC"/>
    <w:rPr>
      <w:rFonts w:ascii="Times New Roman" w:cs="Times New Roman" w:eastAsia="Times New Roman" w:hAnsi="Times New Roman"/>
      <w:b w:val="1"/>
      <w:bCs w:val="1"/>
      <w:sz w:val="27"/>
      <w:szCs w:val="27"/>
      <w:lang w:eastAsia="es-MX"/>
    </w:rPr>
  </w:style>
  <w:style w:type="character" w:styleId="titulorubro" w:customStyle="1">
    <w:name w:val="titulorubro"/>
    <w:basedOn w:val="Fuentedeprrafopredeter"/>
    <w:rsid w:val="002D2EAC"/>
  </w:style>
  <w:style w:type="paragraph" w:styleId="Textoindependiente">
    <w:name w:val="Body Text"/>
    <w:basedOn w:val="Normal"/>
    <w:link w:val="TextoindependienteCar"/>
    <w:uiPriority w:val="1"/>
    <w:qFormat w:val="1"/>
    <w:rsid w:val="006F3C93"/>
    <w:pPr>
      <w:autoSpaceDE w:val="0"/>
      <w:autoSpaceDN w:val="0"/>
      <w:adjustRightInd w:val="0"/>
      <w:ind w:left="93"/>
    </w:pPr>
    <w:rPr>
      <w:rFonts w:eastAsiaTheme="minorHAnsi"/>
      <w:sz w:val="23"/>
      <w:szCs w:val="23"/>
      <w:lang w:eastAsia="en-US" w:val="es-MX"/>
    </w:rPr>
  </w:style>
  <w:style w:type="character" w:styleId="TextoindependienteCar" w:customStyle="1">
    <w:name w:val="Texto independiente Car"/>
    <w:basedOn w:val="Fuentedeprrafopredeter"/>
    <w:link w:val="Textoindependiente"/>
    <w:uiPriority w:val="1"/>
    <w:rsid w:val="006F3C93"/>
    <w:rPr>
      <w:rFonts w:ascii="Times New Roman" w:cs="Times New Roman" w:hAnsi="Times New Roman"/>
      <w:sz w:val="23"/>
      <w:szCs w:val="23"/>
    </w:rPr>
  </w:style>
  <w:style w:type="paragraph" w:styleId="Textodeglobo">
    <w:name w:val="Balloon Text"/>
    <w:basedOn w:val="Normal"/>
    <w:link w:val="TextodegloboCar"/>
    <w:uiPriority w:val="99"/>
    <w:semiHidden w:val="1"/>
    <w:unhideWhenUsed w:val="1"/>
    <w:rsid w:val="00A037B6"/>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A037B6"/>
    <w:rPr>
      <w:rFonts w:ascii="Segoe UI" w:cs="Segoe UI" w:eastAsia="Times New Roman" w:hAnsi="Segoe UI"/>
      <w:sz w:val="18"/>
      <w:szCs w:val="18"/>
      <w:lang w:eastAsia="es-ES" w:val="es-ES"/>
    </w:rPr>
  </w:style>
  <w:style w:type="paragraph" w:styleId="Pa1" w:customStyle="1">
    <w:name w:val="Pa1"/>
    <w:basedOn w:val="Normal"/>
    <w:next w:val="Normal"/>
    <w:uiPriority w:val="99"/>
    <w:rsid w:val="0074718F"/>
    <w:pPr>
      <w:autoSpaceDE w:val="0"/>
      <w:autoSpaceDN w:val="0"/>
      <w:adjustRightInd w:val="0"/>
      <w:spacing w:line="191" w:lineRule="atLeast"/>
    </w:pPr>
    <w:rPr>
      <w:rFonts w:ascii="Helvetica" w:cs="Helvetica" w:hAnsi="Helvetica" w:eastAsiaTheme="minorHAnsi"/>
      <w:lang w:eastAsia="en-US" w:val="es-MX"/>
    </w:rPr>
  </w:style>
  <w:style w:type="paragraph" w:styleId="Pa2" w:customStyle="1">
    <w:name w:val="Pa2"/>
    <w:basedOn w:val="Normal"/>
    <w:next w:val="Normal"/>
    <w:uiPriority w:val="99"/>
    <w:rsid w:val="0074718F"/>
    <w:pPr>
      <w:autoSpaceDE w:val="0"/>
      <w:autoSpaceDN w:val="0"/>
      <w:adjustRightInd w:val="0"/>
      <w:spacing w:line="191" w:lineRule="atLeast"/>
    </w:pPr>
    <w:rPr>
      <w:rFonts w:ascii="Helvetica" w:cs="Helvetica" w:hAnsi="Helvetica" w:eastAsiaTheme="minorHAnsi"/>
      <w:lang w:eastAsia="en-US" w:val="es-MX"/>
    </w:rPr>
  </w:style>
  <w:style w:type="paragraph" w:styleId="Pa3" w:customStyle="1">
    <w:name w:val="Pa3"/>
    <w:basedOn w:val="Normal"/>
    <w:next w:val="Normal"/>
    <w:uiPriority w:val="99"/>
    <w:rsid w:val="0074718F"/>
    <w:pPr>
      <w:autoSpaceDE w:val="0"/>
      <w:autoSpaceDN w:val="0"/>
      <w:adjustRightInd w:val="0"/>
      <w:spacing w:line="191" w:lineRule="atLeast"/>
    </w:pPr>
    <w:rPr>
      <w:rFonts w:ascii="Helvetica" w:cs="Helvetica" w:hAnsi="Helvetica" w:eastAsiaTheme="minorHAnsi"/>
      <w:lang w:eastAsia="en-US" w:val="es-MX"/>
    </w:rPr>
  </w:style>
  <w:style w:type="paragraph" w:styleId="Sinespaciado">
    <w:name w:val="No Spacing"/>
    <w:aliases w:val="Francesa,INAI"/>
    <w:link w:val="SinespaciadoCar"/>
    <w:uiPriority w:val="1"/>
    <w:qFormat w:val="1"/>
    <w:rsid w:val="00CE2CFE"/>
  </w:style>
  <w:style w:type="character" w:styleId="SinespaciadoCar" w:customStyle="1">
    <w:name w:val="Sin espaciado Car"/>
    <w:aliases w:val="Francesa Car,INAI Car"/>
    <w:link w:val="Sinespaciado"/>
    <w:uiPriority w:val="1"/>
    <w:locked w:val="1"/>
    <w:rsid w:val="00CE2CFE"/>
  </w:style>
  <w:style w:type="table" w:styleId="Tabladelista1clara-nfasis1">
    <w:name w:val="List Table 1 Light Accent 1"/>
    <w:basedOn w:val="Tablanormal"/>
    <w:uiPriority w:val="46"/>
    <w:rsid w:val="00D30935"/>
    <w:rPr>
      <w:rFonts w:eastAsiaTheme="minorEastAsia"/>
      <w:lang w:eastAsia="es-ES" w:val="es-ES_tradnl"/>
    </w:rPr>
    <w:tblPr>
      <w:tblStyleRowBandSize w:val="1"/>
      <w:tblStyleColBandSize w:val="1"/>
    </w:tblPr>
    <w:tblStylePr w:type="firstRow">
      <w:rPr>
        <w:b w:val="1"/>
        <w:bCs w:val="1"/>
      </w:rPr>
      <w:tblPr/>
      <w:tcPr>
        <w:tcBorders>
          <w:bottom w:color="9cc2e5" w:space="0" w:sz="4" w:themeColor="accent1" w:themeTint="000099" w:val="single"/>
        </w:tcBorders>
      </w:tcPr>
    </w:tblStylePr>
    <w:tblStylePr w:type="lastRow">
      <w:rPr>
        <w:b w:val="1"/>
        <w:bCs w:val="1"/>
      </w:rPr>
      <w:tblPr/>
      <w:tcPr>
        <w:tcBorders>
          <w:top w:color="9cc2e5" w:space="0" w:sz="4" w:themeColor="accent1" w:themeTint="000099" w:val="single"/>
        </w:tcBorders>
      </w:tcPr>
    </w:tblStylePr>
    <w:tblStylePr w:type="firstCol">
      <w:rPr>
        <w:b w:val="1"/>
        <w:bCs w:val="1"/>
      </w:rPr>
    </w:tblStylePr>
    <w:tblStylePr w:type="lastCol">
      <w:rPr>
        <w:b w:val="1"/>
        <w:bCs w:val="1"/>
      </w:rPr>
    </w:tblStylePr>
    <w:tblStylePr w:type="band1Vert">
      <w:tblPr/>
      <w:tcPr>
        <w:shd w:color="auto" w:fill="deeaf6" w:themeFill="accent1" w:themeFillTint="000033" w:val="clear"/>
      </w:tcPr>
    </w:tblStylePr>
    <w:tblStylePr w:type="band1Horz">
      <w:tblPr/>
      <w:tcPr>
        <w:shd w:color="auto" w:fill="deeaf6" w:themeFill="accent1" w:themeFillTint="000033" w:val="clear"/>
      </w:tcPr>
    </w:tblStylePr>
  </w:style>
  <w:style w:type="table" w:styleId="22" w:customStyle="1">
    <w:name w:val="22"/>
    <w:basedOn w:val="TableNormal1"/>
    <w:tblPr>
      <w:tblStyleRowBandSize w:val="1"/>
      <w:tblStyleColBandSize w:val="1"/>
      <w:tblCellMar>
        <w:left w:w="108.0" w:type="dxa"/>
        <w:right w:w="108.0" w:type="dxa"/>
      </w:tblCellMar>
    </w:tblPr>
  </w:style>
  <w:style w:type="table" w:styleId="21" w:customStyle="1">
    <w:name w:val="21"/>
    <w:basedOn w:val="TableNormal1"/>
    <w:tblPr>
      <w:tblStyleRowBandSize w:val="1"/>
      <w:tblStyleColBandSize w:val="1"/>
      <w:tblCellMar>
        <w:left w:w="115.0" w:type="dxa"/>
        <w:right w:w="115.0" w:type="dxa"/>
      </w:tblCellMar>
    </w:tblPr>
  </w:style>
  <w:style w:type="table" w:styleId="20" w:customStyle="1">
    <w:name w:val="20"/>
    <w:basedOn w:val="TableNormal1"/>
    <w:tblPr>
      <w:tblStyleRowBandSize w:val="1"/>
      <w:tblStyleColBandSize w:val="1"/>
      <w:tblCellMar>
        <w:left w:w="115.0" w:type="dxa"/>
        <w:right w:w="115.0" w:type="dxa"/>
      </w:tblCellMar>
    </w:tblPr>
  </w:style>
  <w:style w:type="character" w:styleId="Hipervnculovisitado">
    <w:name w:val="FollowedHyperlink"/>
    <w:basedOn w:val="Fuentedeprrafopredeter"/>
    <w:uiPriority w:val="99"/>
    <w:semiHidden w:val="1"/>
    <w:unhideWhenUsed w:val="1"/>
    <w:rsid w:val="00B93218"/>
    <w:rPr>
      <w:color w:val="954f72" w:themeColor="followedHyperlink"/>
      <w:u w:val="single"/>
    </w:rPr>
  </w:style>
  <w:style w:type="table" w:styleId="19" w:customStyle="1">
    <w:name w:val="19"/>
    <w:basedOn w:val="TableNormal1"/>
    <w:tblPr>
      <w:tblStyleRowBandSize w:val="1"/>
      <w:tblStyleColBandSize w:val="1"/>
      <w:tblCellMar>
        <w:left w:w="108.0" w:type="dxa"/>
        <w:right w:w="108.0" w:type="dxa"/>
      </w:tblCellMar>
    </w:tblPr>
  </w:style>
  <w:style w:type="table" w:styleId="18" w:customStyle="1">
    <w:name w:val="18"/>
    <w:basedOn w:val="TableNormal1"/>
    <w:tblPr>
      <w:tblStyleRowBandSize w:val="1"/>
      <w:tblStyleColBandSize w:val="1"/>
      <w:tblCellMar>
        <w:left w:w="108.0" w:type="dxa"/>
        <w:right w:w="108.0" w:type="dxa"/>
      </w:tblCellMar>
    </w:tblPr>
  </w:style>
  <w:style w:type="table" w:styleId="17" w:customStyle="1">
    <w:name w:val="17"/>
    <w:basedOn w:val="TableNormal1"/>
    <w:tblPr>
      <w:tblStyleRowBandSize w:val="1"/>
      <w:tblStyleColBandSize w:val="1"/>
      <w:tblCellMar>
        <w:left w:w="108.0" w:type="dxa"/>
        <w:right w:w="108.0" w:type="dxa"/>
      </w:tblCellMar>
    </w:tblPr>
  </w:style>
  <w:style w:type="table" w:styleId="16" w:customStyle="1">
    <w:name w:val="16"/>
    <w:basedOn w:val="TableNormal1"/>
    <w:tblPr>
      <w:tblStyleRowBandSize w:val="1"/>
      <w:tblStyleColBandSize w:val="1"/>
      <w:tblCellMar>
        <w:left w:w="108.0" w:type="dxa"/>
        <w:right w:w="108.0" w:type="dxa"/>
      </w:tblCellMar>
    </w:tblPr>
  </w:style>
  <w:style w:type="table" w:styleId="15" w:customStyle="1">
    <w:name w:val="15"/>
    <w:basedOn w:val="TableNormal1"/>
    <w:tblPr>
      <w:tblStyleRowBandSize w:val="1"/>
      <w:tblStyleColBandSize w:val="1"/>
      <w:tblCellMar>
        <w:left w:w="108.0" w:type="dxa"/>
        <w:right w:w="108.0" w:type="dxa"/>
      </w:tblCellMar>
    </w:tblPr>
  </w:style>
  <w:style w:type="table" w:styleId="14" w:customStyle="1">
    <w:name w:val="14"/>
    <w:basedOn w:val="TableNormal1"/>
    <w:tblPr>
      <w:tblStyleRowBandSize w:val="1"/>
      <w:tblStyleColBandSize w:val="1"/>
      <w:tblCellMar>
        <w:left w:w="108.0" w:type="dxa"/>
        <w:right w:w="108.0" w:type="dxa"/>
      </w:tblCellMar>
    </w:tblPr>
  </w:style>
  <w:style w:type="table" w:styleId="13" w:customStyle="1">
    <w:name w:val="13"/>
    <w:basedOn w:val="TableNormal1"/>
    <w:tblPr>
      <w:tblStyleRowBandSize w:val="1"/>
      <w:tblStyleColBandSize w:val="1"/>
      <w:tblCellMar>
        <w:left w:w="108.0" w:type="dxa"/>
        <w:right w:w="108.0" w:type="dxa"/>
      </w:tblCellMar>
    </w:tblPr>
  </w:style>
  <w:style w:type="table" w:styleId="12" w:customStyle="1">
    <w:name w:val="12"/>
    <w:basedOn w:val="TableNormal1"/>
    <w:tblPr>
      <w:tblStyleRowBandSize w:val="1"/>
      <w:tblStyleColBandSize w:val="1"/>
      <w:tblCellMar>
        <w:left w:w="115.0" w:type="dxa"/>
        <w:right w:w="115.0" w:type="dxa"/>
      </w:tblCellMar>
    </w:tblPr>
  </w:style>
  <w:style w:type="table" w:styleId="11" w:customStyle="1">
    <w:name w:val="11"/>
    <w:basedOn w:val="TableNormal1"/>
    <w:tblPr>
      <w:tblStyleRowBandSize w:val="1"/>
      <w:tblStyleColBandSize w:val="1"/>
      <w:tblCellMar>
        <w:left w:w="115.0" w:type="dxa"/>
        <w:right w:w="115.0" w:type="dxa"/>
      </w:tblCellMar>
    </w:tblPr>
  </w:style>
  <w:style w:type="table" w:styleId="10" w:customStyle="1">
    <w:name w:val="10"/>
    <w:basedOn w:val="TableNormal1"/>
    <w:tblPr>
      <w:tblStyleRowBandSize w:val="1"/>
      <w:tblStyleColBandSize w:val="1"/>
      <w:tblCellMar>
        <w:left w:w="115.0" w:type="dxa"/>
        <w:right w:w="115.0" w:type="dxa"/>
      </w:tblCellMar>
    </w:tblPr>
  </w:style>
  <w:style w:type="table" w:styleId="9" w:customStyle="1">
    <w:name w:val="9"/>
    <w:basedOn w:val="TableNormal2"/>
    <w:tblPr>
      <w:tblStyleRowBandSize w:val="1"/>
      <w:tblStyleColBandSize w:val="1"/>
      <w:tblCellMar>
        <w:left w:w="115.0" w:type="dxa"/>
        <w:right w:w="115.0" w:type="dxa"/>
      </w:tblCellMar>
    </w:tblPr>
  </w:style>
  <w:style w:type="table" w:styleId="8" w:customStyle="1">
    <w:name w:val="8"/>
    <w:basedOn w:val="TableNormal2"/>
    <w:tblPr>
      <w:tblStyleRowBandSize w:val="1"/>
      <w:tblStyleColBandSize w:val="1"/>
      <w:tblCellMar>
        <w:left w:w="115.0" w:type="dxa"/>
        <w:right w:w="115.0" w:type="dxa"/>
      </w:tblCellMar>
    </w:tblPr>
  </w:style>
  <w:style w:type="table" w:styleId="7" w:customStyle="1">
    <w:name w:val="7"/>
    <w:basedOn w:val="TableNormal2"/>
    <w:tblPr>
      <w:tblStyleRowBandSize w:val="1"/>
      <w:tblStyleColBandSize w:val="1"/>
      <w:tblCellMar>
        <w:left w:w="115.0" w:type="dxa"/>
        <w:right w:w="115.0" w:type="dxa"/>
      </w:tblCellMar>
    </w:tblPr>
  </w:style>
  <w:style w:type="character" w:styleId="Textoennegrita">
    <w:name w:val="Strong"/>
    <w:uiPriority w:val="22"/>
    <w:qFormat w:val="1"/>
    <w:rsid w:val="002B3D0A"/>
    <w:rPr>
      <w:b w:val="1"/>
      <w:bCs w:val="1"/>
    </w:rPr>
  </w:style>
  <w:style w:type="paragraph" w:styleId="Texto" w:customStyle="1">
    <w:name w:val="Texto"/>
    <w:basedOn w:val="Normal"/>
    <w:link w:val="TextoCar"/>
    <w:qFormat w:val="1"/>
    <w:rsid w:val="002B3D0A"/>
    <w:pPr>
      <w:spacing w:after="101" w:line="216" w:lineRule="exact"/>
      <w:ind w:firstLine="288"/>
      <w:jc w:val="both"/>
    </w:pPr>
    <w:rPr>
      <w:rFonts w:ascii="Arial" w:cs="Arial" w:hAnsi="Arial"/>
      <w:sz w:val="18"/>
      <w:szCs w:val="18"/>
      <w:lang w:val="es-MX"/>
    </w:rPr>
  </w:style>
  <w:style w:type="character" w:styleId="apple-style-span" w:customStyle="1">
    <w:name w:val="apple-style-span"/>
    <w:qFormat w:val="1"/>
    <w:rsid w:val="002B3D0A"/>
  </w:style>
  <w:style w:type="character" w:styleId="TextoCar" w:customStyle="1">
    <w:name w:val="Texto Car"/>
    <w:link w:val="Texto"/>
    <w:locked w:val="1"/>
    <w:rsid w:val="002B3D0A"/>
    <w:rPr>
      <w:rFonts w:ascii="Arial" w:cs="Arial" w:hAnsi="Arial"/>
      <w:sz w:val="18"/>
      <w:szCs w:val="18"/>
      <w:lang w:eastAsia="es-ES" w:val="es-MX"/>
    </w:rPr>
  </w:style>
  <w:style w:type="paragraph" w:styleId="Citas" w:customStyle="1">
    <w:name w:val="Citas"/>
    <w:basedOn w:val="Normal"/>
    <w:qFormat w:val="1"/>
    <w:rsid w:val="009D3D69"/>
    <w:pPr>
      <w:spacing w:after="160" w:before="240" w:line="360" w:lineRule="auto"/>
      <w:ind w:left="851" w:right="851"/>
      <w:jc w:val="both"/>
    </w:pPr>
    <w:rPr>
      <w:rFonts w:ascii="Palatino Linotype" w:cs="Arial" w:hAnsi="Palatino Linotype" w:eastAsiaTheme="minorHAnsi"/>
      <w:i w:val="1"/>
      <w:sz w:val="22"/>
      <w:szCs w:val="22"/>
      <w:lang w:eastAsia="en-US" w:val="es-MX"/>
    </w:rPr>
  </w:style>
  <w:style w:type="paragraph" w:styleId="Listaconvietas3">
    <w:name w:val="List Bullet 3"/>
    <w:basedOn w:val="Normal"/>
    <w:uiPriority w:val="99"/>
    <w:unhideWhenUsed w:val="1"/>
    <w:rsid w:val="009E0405"/>
    <w:pPr>
      <w:numPr>
        <w:numId w:val="5"/>
      </w:numPr>
      <w:contextualSpacing w:val="1"/>
    </w:pPr>
    <w:rPr>
      <w:lang w:eastAsia="es-MX" w:val="es-MX"/>
    </w:rPr>
  </w:style>
  <w:style w:type="paragraph" w:styleId="Listaconvietas">
    <w:name w:val="List Bullet"/>
    <w:basedOn w:val="Normal"/>
    <w:uiPriority w:val="99"/>
    <w:unhideWhenUsed w:val="1"/>
    <w:rsid w:val="00E6231A"/>
    <w:pPr>
      <w:tabs>
        <w:tab w:val="num" w:pos="720"/>
      </w:tabs>
      <w:ind w:left="720" w:hanging="720"/>
      <w:contextualSpacing w:val="1"/>
    </w:pPr>
    <w:rPr>
      <w:lang w:eastAsia="es-MX" w:val="es-MX"/>
    </w:rPr>
  </w:style>
  <w:style w:type="character" w:styleId="Mencinsinresolver1" w:customStyle="1">
    <w:name w:val="Mención sin resolver1"/>
    <w:basedOn w:val="Fuentedeprrafopredeter"/>
    <w:uiPriority w:val="99"/>
    <w:semiHidden w:val="1"/>
    <w:unhideWhenUsed w:val="1"/>
    <w:rsid w:val="00582A33"/>
    <w:rPr>
      <w:color w:val="605e5c"/>
      <w:shd w:color="auto" w:fill="e1dfdd" w:val="clear"/>
    </w:rPr>
  </w:style>
  <w:style w:type="table" w:styleId="6" w:customStyle="1">
    <w:name w:val="6"/>
    <w:basedOn w:val="TableNormal3"/>
    <w:tblPr>
      <w:tblStyleRowBandSize w:val="1"/>
      <w:tblStyleColBandSize w:val="1"/>
      <w:tblCellMar>
        <w:left w:w="115.0" w:type="dxa"/>
        <w:right w:w="115.0" w:type="dxa"/>
      </w:tblCellMar>
    </w:tblPr>
  </w:style>
  <w:style w:type="table" w:styleId="5" w:customStyle="1">
    <w:name w:val="5"/>
    <w:basedOn w:val="TableNormal3"/>
    <w:tblPr>
      <w:tblStyleRowBandSize w:val="1"/>
      <w:tblStyleColBandSize w:val="1"/>
      <w:tblCellMar>
        <w:left w:w="115.0" w:type="dxa"/>
        <w:right w:w="115.0" w:type="dxa"/>
      </w:tblCellMar>
    </w:tblPr>
  </w:style>
  <w:style w:type="character" w:styleId="Mencinsinresolver2" w:customStyle="1">
    <w:name w:val="Mención sin resolver2"/>
    <w:basedOn w:val="Fuentedeprrafopredeter"/>
    <w:uiPriority w:val="99"/>
    <w:semiHidden w:val="1"/>
    <w:unhideWhenUsed w:val="1"/>
    <w:rsid w:val="00836A8D"/>
    <w:rPr>
      <w:color w:val="605e5c"/>
      <w:shd w:color="auto" w:fill="e1dfdd" w:val="clear"/>
    </w:rPr>
  </w:style>
  <w:style w:type="table" w:styleId="4" w:customStyle="1">
    <w:name w:val="4"/>
    <w:basedOn w:val="TableNormal4"/>
    <w:tblPr>
      <w:tblStyleRowBandSize w:val="1"/>
      <w:tblStyleColBandSize w:val="1"/>
      <w:tblCellMar>
        <w:left w:w="115.0" w:type="dxa"/>
        <w:right w:w="115.0" w:type="dxa"/>
      </w:tblCellMar>
    </w:tblPr>
  </w:style>
  <w:style w:type="table" w:styleId="3" w:customStyle="1">
    <w:name w:val="3"/>
    <w:basedOn w:val="TableNormal4"/>
    <w:tblPr>
      <w:tblStyleRowBandSize w:val="1"/>
      <w:tblStyleColBandSize w:val="1"/>
      <w:tblCellMar>
        <w:left w:w="115.0" w:type="dxa"/>
        <w:right w:w="115.0" w:type="dxa"/>
      </w:tblCellMar>
    </w:tblPr>
  </w:style>
  <w:style w:type="table" w:styleId="2" w:customStyle="1">
    <w:name w:val="2"/>
    <w:basedOn w:val="TableNormal5"/>
    <w:tblPr>
      <w:tblStyleRowBandSize w:val="1"/>
      <w:tblStyleColBandSize w:val="1"/>
      <w:tblCellMar>
        <w:left w:w="115.0" w:type="dxa"/>
        <w:right w:w="115.0" w:type="dxa"/>
      </w:tblCellMar>
    </w:tblPr>
  </w:style>
  <w:style w:type="table" w:styleId="1" w:customStyle="1">
    <w:name w:val="1"/>
    <w:basedOn w:val="TableNormal5"/>
    <w:tblPr>
      <w:tblStyleRowBandSize w:val="1"/>
      <w:tblStyleColBandSize w:val="1"/>
      <w:tblCellMar>
        <w:left w:w="115.0" w:type="dxa"/>
        <w:right w:w="115.0" w:type="dxa"/>
      </w:tblCellMar>
    </w:tblPr>
  </w:style>
  <w:style w:type="table" w:styleId="a" w:customStyle="1">
    <w:basedOn w:val="TableNormal0"/>
    <w:tblPr>
      <w:tblStyleRowBandSize w:val="1"/>
      <w:tblStyleColBandSize w:val="1"/>
      <w:tblCellMar>
        <w:left w:w="115.0" w:type="dxa"/>
        <w:right w:w="115.0" w:type="dxa"/>
      </w:tblCellMar>
    </w:tblPr>
  </w:style>
  <w:style w:type="table" w:styleId="a0"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5.png"/><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5" Type="http://schemas.openxmlformats.org/officeDocument/2006/relationships/footer" Target="footer2.xml"/><Relationship Id="rId14" Type="http://schemas.openxmlformats.org/officeDocument/2006/relationships/footer" Target="footer1.xml"/><Relationship Id="rId16"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QJXDBywS6AptB3Eh1/TxwVS2VQ==">CgMxLjAyCWguMmV0OTJwMDIJaC4zem55c2g3MghoLmdqZGd4czIJaC4zMGowemxsMg5oLmF1cHdpeXFpd20ycTIOaC54bXg0ZzRmMG1paG8yCWguM2R5NnZrbTIJaC4xZm9iOXRlOAByITFpREJYMHZNaXh4UUM4YXh0bnJ6WHZEV25RejR2dURjcg==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2026-09-22T22:05:00Z</dcterms:created>
  <dc:creator>USER</dc:creator>
</cp:coreProperties>
</file>