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095" w:rsidRPr="009C7EB0" w:rsidRDefault="00196095" w:rsidP="00196095">
      <w:pPr>
        <w:spacing w:line="360" w:lineRule="auto"/>
        <w:jc w:val="both"/>
        <w:rPr>
          <w:rFonts w:ascii="Palatino Linotype" w:hAnsi="Palatino Linotype"/>
        </w:rPr>
      </w:pPr>
      <w:r w:rsidRPr="009C7EB0">
        <w:rPr>
          <w:rFonts w:ascii="Palatino Linotype" w:hAnsi="Palatino Linotype"/>
        </w:rPr>
        <w:t>Resolución del Pleno del Instituto de Transparencia, Acceso a la Información Pública y Protección de Datos Personales del Estado de México y Municipios, con domicilio en Metepec, Estado de México, a tres de junio de dos mil veintiséis.</w:t>
      </w:r>
    </w:p>
    <w:p w:rsidR="00196095" w:rsidRPr="009C7EB0" w:rsidRDefault="00196095" w:rsidP="00196095">
      <w:pPr>
        <w:spacing w:line="360" w:lineRule="auto"/>
        <w:jc w:val="both"/>
        <w:rPr>
          <w:rFonts w:ascii="Palatino Linotype" w:hAnsi="Palatino Linotype"/>
        </w:rPr>
      </w:pPr>
    </w:p>
    <w:p w:rsidR="00196095" w:rsidRPr="009C7EB0" w:rsidRDefault="00196095" w:rsidP="00196095">
      <w:pPr>
        <w:tabs>
          <w:tab w:val="left" w:pos="1701"/>
        </w:tabs>
        <w:spacing w:before="240" w:line="360" w:lineRule="auto"/>
        <w:jc w:val="both"/>
        <w:rPr>
          <w:rFonts w:ascii="Palatino Linotype" w:hAnsi="Palatino Linotype" w:cs="Arial"/>
          <w:sz w:val="28"/>
        </w:rPr>
      </w:pPr>
      <w:r w:rsidRPr="009C7EB0">
        <w:rPr>
          <w:rFonts w:ascii="Palatino Linotype" w:hAnsi="Palatino Linotype" w:cs="Arial"/>
          <w:b/>
        </w:rPr>
        <w:t>VISTO</w:t>
      </w:r>
      <w:r w:rsidRPr="009C7EB0">
        <w:rPr>
          <w:rFonts w:ascii="Palatino Linotype" w:hAnsi="Palatino Linotype" w:cs="Arial"/>
        </w:rPr>
        <w:t xml:space="preserve"> el expediente electrónico formado con motivo del recurso de revisión número</w:t>
      </w:r>
      <w:r w:rsidRPr="009C7EB0">
        <w:rPr>
          <w:rFonts w:ascii="Palatino Linotype" w:hAnsi="Palatino Linotype" w:cs="Arial"/>
          <w:b/>
        </w:rPr>
        <w:t xml:space="preserve"> </w:t>
      </w:r>
      <w:bookmarkStart w:id="0" w:name="_GoBack"/>
      <w:r w:rsidRPr="009C7EB0">
        <w:rPr>
          <w:rFonts w:ascii="Palatino Linotype" w:hAnsi="Palatino Linotype" w:cs="Arial"/>
          <w:b/>
          <w:bCs/>
          <w:lang w:eastAsia="es-MX"/>
        </w:rPr>
        <w:t>013150/INFOEM/IP/RR/2025</w:t>
      </w:r>
      <w:bookmarkEnd w:id="0"/>
      <w:r w:rsidRPr="009C7EB0">
        <w:rPr>
          <w:rFonts w:ascii="Palatino Linotype" w:hAnsi="Palatino Linotype" w:cs="Arial"/>
          <w:b/>
          <w:bCs/>
          <w:lang w:eastAsia="es-MX"/>
        </w:rPr>
        <w:t xml:space="preserve">, </w:t>
      </w:r>
      <w:r w:rsidRPr="009C7EB0">
        <w:rPr>
          <w:rFonts w:ascii="Palatino Linotype" w:hAnsi="Palatino Linotype"/>
        </w:rPr>
        <w:t>interpuesto por “</w:t>
      </w:r>
      <w:r w:rsidR="00A76460">
        <w:rPr>
          <w:rFonts w:ascii="Palatino Linotype" w:hAnsi="Palatino Linotype"/>
          <w:b/>
        </w:rPr>
        <w:t>XXXXXXXXXXXXXXXXXXX</w:t>
      </w:r>
      <w:r w:rsidRPr="009C7EB0">
        <w:rPr>
          <w:rFonts w:ascii="Palatino Linotype" w:hAnsi="Palatino Linotype"/>
        </w:rPr>
        <w:t xml:space="preserve">”, en lo sucesivo la parte </w:t>
      </w:r>
      <w:r w:rsidRPr="009C7EB0">
        <w:rPr>
          <w:rFonts w:ascii="Palatino Linotype" w:hAnsi="Palatino Linotype"/>
          <w:b/>
        </w:rPr>
        <w:t>Recurrente</w:t>
      </w:r>
      <w:r w:rsidRPr="009C7EB0">
        <w:rPr>
          <w:rFonts w:ascii="Palatino Linotype" w:hAnsi="Palatino Linotype"/>
        </w:rPr>
        <w:t xml:space="preserve">, en contra de la respuesta del </w:t>
      </w:r>
      <w:r w:rsidRPr="009C7EB0">
        <w:rPr>
          <w:rFonts w:ascii="Palatino Linotype" w:hAnsi="Palatino Linotype"/>
          <w:b/>
        </w:rPr>
        <w:t>Ayuntamiento de Toluca</w:t>
      </w:r>
      <w:r w:rsidRPr="009C7EB0">
        <w:rPr>
          <w:rFonts w:ascii="Palatino Linotype" w:hAnsi="Palatino Linotype"/>
        </w:rPr>
        <w:t xml:space="preserve">, en lo subsecuente el </w:t>
      </w:r>
      <w:r w:rsidRPr="009C7EB0">
        <w:rPr>
          <w:rFonts w:ascii="Palatino Linotype" w:hAnsi="Palatino Linotype"/>
          <w:b/>
        </w:rPr>
        <w:t>Sujeto Obligado</w:t>
      </w:r>
      <w:r w:rsidRPr="009C7EB0">
        <w:rPr>
          <w:rFonts w:ascii="Palatino Linotype" w:hAnsi="Palatino Linotype"/>
        </w:rPr>
        <w:t>, se procede a dictar la presente resolución.</w:t>
      </w:r>
    </w:p>
    <w:p w:rsidR="00196095" w:rsidRPr="009C7EB0" w:rsidRDefault="00196095" w:rsidP="00196095">
      <w:pPr>
        <w:pStyle w:val="infoemcitas"/>
        <w:jc w:val="center"/>
        <w:rPr>
          <w:b/>
          <w:bCs/>
          <w:i w:val="0"/>
          <w:iCs/>
          <w:sz w:val="28"/>
          <w:szCs w:val="28"/>
        </w:rPr>
      </w:pPr>
    </w:p>
    <w:p w:rsidR="00196095" w:rsidRPr="009C7EB0" w:rsidRDefault="00196095" w:rsidP="00196095">
      <w:pPr>
        <w:pStyle w:val="infoemcitas"/>
        <w:jc w:val="center"/>
        <w:rPr>
          <w:b/>
          <w:bCs/>
          <w:i w:val="0"/>
          <w:iCs/>
          <w:sz w:val="28"/>
          <w:szCs w:val="28"/>
        </w:rPr>
      </w:pPr>
      <w:r w:rsidRPr="009C7EB0">
        <w:rPr>
          <w:b/>
          <w:bCs/>
          <w:i w:val="0"/>
          <w:iCs/>
          <w:sz w:val="28"/>
          <w:szCs w:val="28"/>
        </w:rPr>
        <w:t>A N T E C E D E N T E S   D E L   A S U N T O</w:t>
      </w:r>
    </w:p>
    <w:p w:rsidR="00196095" w:rsidRPr="009C7EB0" w:rsidRDefault="00196095" w:rsidP="00196095">
      <w:pPr>
        <w:spacing w:before="240" w:after="240" w:line="360" w:lineRule="auto"/>
        <w:jc w:val="both"/>
        <w:rPr>
          <w:rFonts w:ascii="Palatino Linotype" w:hAnsi="Palatino Linotype"/>
        </w:rPr>
      </w:pPr>
      <w:r w:rsidRPr="009C7EB0">
        <w:rPr>
          <w:rFonts w:ascii="Palatino Linotype" w:hAnsi="Palatino Linotype" w:cs="Arial"/>
          <w:b/>
          <w:sz w:val="28"/>
        </w:rPr>
        <w:t>PRIMERO.</w:t>
      </w:r>
      <w:r w:rsidRPr="009C7EB0">
        <w:rPr>
          <w:rFonts w:ascii="Palatino Linotype" w:hAnsi="Palatino Linotype" w:cs="Arial"/>
        </w:rPr>
        <w:t xml:space="preserve"> </w:t>
      </w:r>
      <w:r w:rsidRPr="009C7EB0">
        <w:rPr>
          <w:rFonts w:ascii="Palatino Linotype" w:hAnsi="Palatino Linotype"/>
          <w:b/>
          <w:sz w:val="28"/>
          <w:szCs w:val="28"/>
        </w:rPr>
        <w:t>De la Solicitud de Información.</w:t>
      </w:r>
    </w:p>
    <w:p w:rsidR="00196095" w:rsidRPr="009C7EB0" w:rsidRDefault="00196095" w:rsidP="00196095">
      <w:pPr>
        <w:spacing w:before="240" w:line="360" w:lineRule="auto"/>
        <w:jc w:val="both"/>
        <w:rPr>
          <w:rFonts w:ascii="Palatino Linotype" w:hAnsi="Palatino Linotype" w:cs="Arial"/>
        </w:rPr>
      </w:pPr>
      <w:r w:rsidRPr="009C7EB0">
        <w:rPr>
          <w:rFonts w:ascii="Palatino Linotype" w:hAnsi="Palatino Linotype" w:cs="Arial"/>
        </w:rPr>
        <w:t xml:space="preserve">Con fecha </w:t>
      </w:r>
      <w:r w:rsidRPr="009C7EB0">
        <w:rPr>
          <w:rFonts w:ascii="Palatino Linotype" w:hAnsi="Palatino Linotype" w:cs="Arial"/>
          <w:b/>
        </w:rPr>
        <w:t>veintisiete de octubre de dos mil veinticinco</w:t>
      </w:r>
      <w:r w:rsidRPr="009C7EB0">
        <w:rPr>
          <w:rFonts w:ascii="Palatino Linotype" w:hAnsi="Palatino Linotype" w:cs="Arial"/>
        </w:rPr>
        <w:t>, la parte</w:t>
      </w:r>
      <w:r w:rsidRPr="009C7EB0">
        <w:rPr>
          <w:rFonts w:ascii="Palatino Linotype" w:hAnsi="Palatino Linotype" w:cs="Arial"/>
          <w:b/>
        </w:rPr>
        <w:t xml:space="preserve"> Recurrente </w:t>
      </w:r>
      <w:r w:rsidRPr="009C7EB0">
        <w:rPr>
          <w:rFonts w:ascii="Palatino Linotype" w:hAnsi="Palatino Linotype" w:cs="Arial"/>
        </w:rPr>
        <w:t>presentó a través del Sistema de Acceso a la Información Mexiquense (</w:t>
      </w:r>
      <w:r w:rsidRPr="009C7EB0">
        <w:rPr>
          <w:rFonts w:ascii="Palatino Linotype" w:hAnsi="Palatino Linotype" w:cs="Arial"/>
          <w:b/>
        </w:rPr>
        <w:t>SAIMEX)</w:t>
      </w:r>
      <w:r w:rsidRPr="009C7EB0">
        <w:rPr>
          <w:rFonts w:ascii="Palatino Linotype" w:hAnsi="Palatino Linotype" w:cs="Arial"/>
        </w:rPr>
        <w:t xml:space="preserve"> ante </w:t>
      </w:r>
      <w:r w:rsidRPr="009C7EB0">
        <w:rPr>
          <w:rFonts w:ascii="Palatino Linotype" w:hAnsi="Palatino Linotype" w:cs="Arial"/>
          <w:b/>
        </w:rPr>
        <w:t>El Sujeto Obligado</w:t>
      </w:r>
      <w:r w:rsidRPr="009C7EB0">
        <w:rPr>
          <w:rFonts w:ascii="Palatino Linotype" w:hAnsi="Palatino Linotype" w:cs="Arial"/>
        </w:rPr>
        <w:t xml:space="preserve">, solicitud de acceso a la información pública, registrada bajo el número de expediente </w:t>
      </w:r>
      <w:r w:rsidRPr="009C7EB0">
        <w:rPr>
          <w:rFonts w:ascii="Palatino Linotype" w:hAnsi="Palatino Linotype" w:cs="Arial"/>
          <w:b/>
        </w:rPr>
        <w:t xml:space="preserve">05368/TOLUCA/IP/2025, </w:t>
      </w:r>
      <w:r w:rsidRPr="009C7EB0">
        <w:rPr>
          <w:rFonts w:ascii="Palatino Linotype" w:hAnsi="Palatino Linotype" w:cs="Arial"/>
        </w:rPr>
        <w:t>mediante la cual solicitó información en el tenor siguiente:</w:t>
      </w:r>
    </w:p>
    <w:p w:rsidR="00196095" w:rsidRPr="009C7EB0" w:rsidRDefault="00196095" w:rsidP="00196095">
      <w:pPr>
        <w:pStyle w:val="INFOEM"/>
        <w:rPr>
          <w:lang w:val="es-ES_tradnl" w:eastAsia="es-ES"/>
        </w:rPr>
      </w:pPr>
      <w:r w:rsidRPr="009C7EB0">
        <w:rPr>
          <w:lang w:val="es-ES_tradnl" w:eastAsia="es-ES"/>
        </w:rPr>
        <w:t>“</w:t>
      </w:r>
      <w:r w:rsidRPr="009C7EB0">
        <w:rPr>
          <w:lang w:val="es-ES" w:eastAsia="es-ES"/>
        </w:rPr>
        <w:t xml:space="preserve">Solicito copia simple o versión pública de los documentos que acrediten los ingresos, aportaciones, donativos o patrocinios que el Ayuntamiento de Toluca haya recibido o gestionado con motivo de la Feria y Festival del Alfeñique 2025, con base en los registros que obren en las áreas de Tesorería, Cultura, Turismo, Administración o cualquier otra dependencia involucrada. En particular, solicito: Relación de </w:t>
      </w:r>
      <w:r w:rsidRPr="009C7EB0">
        <w:rPr>
          <w:lang w:val="es-ES" w:eastAsia="es-ES"/>
        </w:rPr>
        <w:lastRenderedPageBreak/>
        <w:t>patrocinadores o empresas colaboradoras, indicando monto o tipo de aportación (económica, en especie o de servicios). Monto total de ingresos obtenidos por cobro de permisos, uso de espacios o cuotas a expositores, comerciantes o prestadores de servicios. Copia de los convenios o contratos celebrados con patrocinadores o empresas participantes. Detalle de las cuentas o partidas presupuestales donde fueron registrados dichos ingresos. Solicito que, en caso de que la información no obre concentrada en un área específica, se realice búsqueda en todas las unidades administrativas competentes. La información debe atender el principio de máxima publicidad y el deber de documentar actos derivados del manejo de recursos públicos, conforme a los artículos 5, 6, 11 y 94 de la Ley de Transparencia y Acceso a la Información Pública del Estado de México y Municipios.” (</w:t>
      </w:r>
      <w:r w:rsidRPr="009C7EB0">
        <w:rPr>
          <w:lang w:val="es-ES_tradnl" w:eastAsia="es-ES"/>
        </w:rPr>
        <w:t>Sic)</w:t>
      </w:r>
    </w:p>
    <w:p w:rsidR="00196095" w:rsidRPr="009C7EB0" w:rsidRDefault="00196095" w:rsidP="00196095">
      <w:pPr>
        <w:spacing w:before="240" w:line="360" w:lineRule="auto"/>
        <w:jc w:val="both"/>
        <w:rPr>
          <w:rFonts w:ascii="Palatino Linotype" w:hAnsi="Palatino Linotype"/>
          <w:lang w:val="es-ES_tradnl"/>
        </w:rPr>
      </w:pPr>
      <w:r w:rsidRPr="009C7EB0">
        <w:rPr>
          <w:rFonts w:ascii="Palatino Linotype" w:hAnsi="Palatino Linotype"/>
          <w:b/>
          <w:lang w:val="es-ES_tradnl"/>
        </w:rPr>
        <w:t>Modalidad de entrega:</w:t>
      </w:r>
      <w:r w:rsidRPr="009C7EB0">
        <w:rPr>
          <w:rFonts w:ascii="Palatino Linotype" w:hAnsi="Palatino Linotype"/>
          <w:lang w:val="es-ES_tradnl"/>
        </w:rPr>
        <w:t xml:space="preserve"> A través del SAIMEX.</w:t>
      </w:r>
    </w:p>
    <w:p w:rsidR="00196095" w:rsidRPr="009C7EB0" w:rsidRDefault="00196095" w:rsidP="00196095">
      <w:pPr>
        <w:spacing w:before="240" w:line="360" w:lineRule="auto"/>
        <w:jc w:val="both"/>
        <w:rPr>
          <w:rFonts w:ascii="Palatino Linotype" w:hAnsi="Palatino Linotype" w:cs="Arial"/>
        </w:rPr>
      </w:pPr>
    </w:p>
    <w:p w:rsidR="00196095" w:rsidRPr="009C7EB0" w:rsidRDefault="00196095" w:rsidP="00196095">
      <w:pPr>
        <w:spacing w:before="240" w:line="360" w:lineRule="auto"/>
        <w:jc w:val="both"/>
        <w:rPr>
          <w:rFonts w:ascii="Palatino Linotype" w:hAnsi="Palatino Linotype"/>
        </w:rPr>
      </w:pPr>
      <w:r w:rsidRPr="009C7EB0">
        <w:rPr>
          <w:rFonts w:ascii="Palatino Linotype" w:hAnsi="Palatino Linotype" w:cs="Arial"/>
          <w:b/>
          <w:sz w:val="28"/>
        </w:rPr>
        <w:t xml:space="preserve">SEGUNDO. De la </w:t>
      </w:r>
      <w:r w:rsidRPr="009C7EB0">
        <w:rPr>
          <w:rFonts w:ascii="Palatino Linotype" w:hAnsi="Palatino Linotype" w:cs="Arial"/>
          <w:b/>
          <w:sz w:val="28"/>
          <w:szCs w:val="20"/>
        </w:rPr>
        <w:t>respuesta o entrega de la información.</w:t>
      </w:r>
    </w:p>
    <w:p w:rsidR="00196095" w:rsidRPr="009C7EB0" w:rsidRDefault="00196095" w:rsidP="00196095">
      <w:pPr>
        <w:pStyle w:val="Sinespaciado"/>
        <w:spacing w:line="360" w:lineRule="auto"/>
        <w:jc w:val="both"/>
        <w:rPr>
          <w:rFonts w:ascii="Palatino Linotype" w:hAnsi="Palatino Linotype" w:cs="Arial"/>
          <w:b/>
          <w:sz w:val="24"/>
        </w:rPr>
      </w:pPr>
      <w:r w:rsidRPr="009C7EB0">
        <w:rPr>
          <w:rFonts w:ascii="Palatino Linotype" w:hAnsi="Palatino Linotype"/>
          <w:sz w:val="24"/>
        </w:rPr>
        <w:t xml:space="preserve">De las constancias que obran en el expediente electrónico, se advierte que el </w:t>
      </w:r>
      <w:r w:rsidRPr="009C7EB0">
        <w:rPr>
          <w:rFonts w:ascii="Palatino Linotype" w:hAnsi="Palatino Linotype" w:cs="Arial"/>
          <w:sz w:val="24"/>
        </w:rPr>
        <w:t xml:space="preserve">día </w:t>
      </w:r>
      <w:r w:rsidRPr="009C7EB0">
        <w:rPr>
          <w:rFonts w:ascii="Palatino Linotype" w:hAnsi="Palatino Linotype" w:cs="Arial"/>
          <w:b/>
          <w:sz w:val="24"/>
        </w:rPr>
        <w:t>dieciocho de noviembre de dos mil veinticinco</w:t>
      </w:r>
      <w:r w:rsidRPr="009C7EB0">
        <w:rPr>
          <w:rFonts w:ascii="Palatino Linotype" w:hAnsi="Palatino Linotype" w:cs="Arial"/>
          <w:sz w:val="24"/>
        </w:rPr>
        <w:t xml:space="preserve">, el </w:t>
      </w:r>
      <w:r w:rsidRPr="009C7EB0">
        <w:rPr>
          <w:rFonts w:ascii="Palatino Linotype" w:hAnsi="Palatino Linotype" w:cs="Arial"/>
          <w:b/>
          <w:sz w:val="24"/>
        </w:rPr>
        <w:t>Sujeto Obligado</w:t>
      </w:r>
      <w:r w:rsidRPr="009C7EB0">
        <w:rPr>
          <w:rFonts w:ascii="Palatino Linotype" w:hAnsi="Palatino Linotype" w:cs="Arial"/>
          <w:sz w:val="24"/>
        </w:rPr>
        <w:t xml:space="preserve"> dio respuesta a la solicitud de información en los siguientes términos: </w:t>
      </w:r>
    </w:p>
    <w:p w:rsidR="00196095" w:rsidRPr="009C7EB0" w:rsidRDefault="00196095" w:rsidP="00196095">
      <w:pPr>
        <w:spacing w:line="360" w:lineRule="auto"/>
        <w:jc w:val="both"/>
        <w:rPr>
          <w:rFonts w:ascii="Palatino Linotype" w:hAnsi="Palatino Linotype" w:cs="Arial"/>
        </w:rPr>
      </w:pPr>
    </w:p>
    <w:p w:rsidR="00196095" w:rsidRPr="009C7EB0" w:rsidRDefault="00196095" w:rsidP="00196095">
      <w:pPr>
        <w:ind w:left="567" w:right="567"/>
        <w:jc w:val="both"/>
        <w:rPr>
          <w:rFonts w:ascii="Palatino Linotype" w:hAnsi="Palatino Linotype" w:cs="Arial"/>
          <w:i/>
        </w:rPr>
      </w:pPr>
      <w:r w:rsidRPr="009C7EB0">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196095" w:rsidRPr="009C7EB0" w:rsidRDefault="00196095" w:rsidP="00196095">
      <w:pPr>
        <w:ind w:left="567" w:right="567"/>
        <w:jc w:val="both"/>
        <w:rPr>
          <w:rFonts w:ascii="Palatino Linotype" w:hAnsi="Palatino Linotype" w:cs="Arial"/>
          <w:i/>
        </w:rPr>
      </w:pPr>
      <w:r w:rsidRPr="009C7EB0">
        <w:rPr>
          <w:rFonts w:ascii="Palatino Linotype" w:hAnsi="Palatino Linotype" w:cs="Arial"/>
          <w:i/>
        </w:rPr>
        <w:t>En atención a la solicitud con folio 05368/TOLUCA/IP/2025, me permito adjuntar al presente la respuesta correspondiente, Sin más por el momento, reciba un saludo. “(Sic).</w:t>
      </w:r>
    </w:p>
    <w:p w:rsidR="00196095" w:rsidRPr="009C7EB0" w:rsidRDefault="00196095" w:rsidP="00196095">
      <w:pPr>
        <w:spacing w:line="360" w:lineRule="auto"/>
        <w:ind w:right="567"/>
        <w:jc w:val="both"/>
        <w:rPr>
          <w:rFonts w:ascii="Palatino Linotype" w:hAnsi="Palatino Linotype" w:cs="Arial"/>
        </w:rPr>
      </w:pPr>
    </w:p>
    <w:p w:rsidR="00196095" w:rsidRPr="009C7EB0" w:rsidRDefault="00196095" w:rsidP="00196095">
      <w:pPr>
        <w:spacing w:line="360" w:lineRule="auto"/>
        <w:jc w:val="both"/>
        <w:rPr>
          <w:rFonts w:ascii="Palatino Linotype" w:hAnsi="Palatino Linotype" w:cs="Arial"/>
        </w:rPr>
      </w:pPr>
      <w:r w:rsidRPr="009C7EB0">
        <w:rPr>
          <w:rFonts w:ascii="Palatino Linotype" w:hAnsi="Palatino Linotype" w:cs="Arial"/>
        </w:rPr>
        <w:lastRenderedPageBreak/>
        <w:t xml:space="preserve">Adicionalmente, el </w:t>
      </w:r>
      <w:r w:rsidRPr="009C7EB0">
        <w:rPr>
          <w:rFonts w:ascii="Palatino Linotype" w:hAnsi="Palatino Linotype" w:cs="Arial"/>
          <w:b/>
        </w:rPr>
        <w:t>Sujeto Obligado</w:t>
      </w:r>
      <w:r w:rsidRPr="009C7EB0">
        <w:rPr>
          <w:rFonts w:ascii="Palatino Linotype" w:hAnsi="Palatino Linotype" w:cs="Arial"/>
        </w:rPr>
        <w:t xml:space="preserve"> adjuntó de los archivos electrónicos denominados “</w:t>
      </w:r>
      <w:r w:rsidRPr="009C7EB0">
        <w:rPr>
          <w:rFonts w:ascii="Palatino Linotype" w:hAnsi="Palatino Linotype" w:cs="Arial"/>
          <w:b/>
          <w:i/>
        </w:rPr>
        <w:t xml:space="preserve">05368.pdf”, “5368_2.pdf”, “5368.pdf” y “NOTIF. CIUDADANO S. 5368.pdf”, </w:t>
      </w:r>
      <w:r w:rsidRPr="009C7EB0">
        <w:rPr>
          <w:rFonts w:ascii="Palatino Linotype" w:hAnsi="Palatino Linotype" w:cs="Arial"/>
        </w:rPr>
        <w:t xml:space="preserve">mismos que no se reproducen por ser del conocimiento de las partes, sin embargo, serán materia de estudio en el considerando respectivo. </w:t>
      </w:r>
    </w:p>
    <w:p w:rsidR="00196095" w:rsidRPr="009C7EB0" w:rsidRDefault="00196095" w:rsidP="00196095">
      <w:pPr>
        <w:spacing w:line="360" w:lineRule="auto"/>
        <w:jc w:val="both"/>
        <w:rPr>
          <w:rFonts w:ascii="Palatino Linotype" w:hAnsi="Palatino Linotype" w:cs="Arial"/>
        </w:rPr>
      </w:pPr>
    </w:p>
    <w:p w:rsidR="00196095" w:rsidRPr="009C7EB0" w:rsidRDefault="00196095" w:rsidP="00196095">
      <w:pPr>
        <w:spacing w:before="240" w:line="360" w:lineRule="auto"/>
        <w:jc w:val="both"/>
        <w:rPr>
          <w:rFonts w:ascii="Palatino Linotype" w:hAnsi="Palatino Linotype" w:cs="Arial"/>
          <w:b/>
          <w:sz w:val="28"/>
        </w:rPr>
      </w:pPr>
      <w:r w:rsidRPr="009C7EB0">
        <w:rPr>
          <w:rFonts w:ascii="Palatino Linotype" w:hAnsi="Palatino Linotype" w:cs="Arial"/>
          <w:b/>
          <w:sz w:val="28"/>
        </w:rPr>
        <w:t xml:space="preserve">TERCERO. </w:t>
      </w:r>
      <w:r w:rsidRPr="009C7EB0">
        <w:rPr>
          <w:rFonts w:ascii="Palatino Linotype" w:hAnsi="Palatino Linotype"/>
          <w:b/>
          <w:sz w:val="28"/>
        </w:rPr>
        <w:t>Del recurso de revisión.</w:t>
      </w:r>
    </w:p>
    <w:p w:rsidR="00196095" w:rsidRPr="009C7EB0" w:rsidRDefault="00196095" w:rsidP="00196095">
      <w:pPr>
        <w:spacing w:before="240" w:line="360" w:lineRule="auto"/>
        <w:jc w:val="both"/>
        <w:rPr>
          <w:rFonts w:ascii="Palatino Linotype" w:hAnsi="Palatino Linotype" w:cs="Arial"/>
        </w:rPr>
      </w:pPr>
      <w:r w:rsidRPr="009C7EB0">
        <w:rPr>
          <w:rFonts w:ascii="Palatino Linotype" w:hAnsi="Palatino Linotype" w:cs="Arial"/>
        </w:rPr>
        <w:t xml:space="preserve">Inconforme con la respuesta notificada por </w:t>
      </w:r>
      <w:r w:rsidRPr="009C7EB0">
        <w:rPr>
          <w:rFonts w:ascii="Palatino Linotype" w:hAnsi="Palatino Linotype" w:cs="Arial"/>
          <w:b/>
        </w:rPr>
        <w:t xml:space="preserve">El Sujeto Obligado, </w:t>
      </w:r>
      <w:r w:rsidRPr="009C7EB0">
        <w:rPr>
          <w:rFonts w:ascii="Palatino Linotype" w:hAnsi="Palatino Linotype" w:cs="Arial"/>
        </w:rPr>
        <w:t>el</w:t>
      </w:r>
      <w:r w:rsidRPr="009C7EB0">
        <w:rPr>
          <w:rFonts w:ascii="Palatino Linotype" w:hAnsi="Palatino Linotype" w:cs="Arial"/>
          <w:b/>
        </w:rPr>
        <w:t xml:space="preserve"> Recurrente </w:t>
      </w:r>
      <w:r w:rsidRPr="009C7EB0">
        <w:rPr>
          <w:rFonts w:ascii="Palatino Linotype" w:hAnsi="Palatino Linotype" w:cs="Arial"/>
        </w:rPr>
        <w:t xml:space="preserve">interpuso recurso de revisión, en fecha </w:t>
      </w:r>
      <w:r w:rsidRPr="009C7EB0">
        <w:rPr>
          <w:rFonts w:ascii="Palatino Linotype" w:hAnsi="Palatino Linotype" w:cs="Arial"/>
          <w:b/>
        </w:rPr>
        <w:t>veint</w:t>
      </w:r>
      <w:r w:rsidR="00BF2335" w:rsidRPr="009C7EB0">
        <w:rPr>
          <w:rFonts w:ascii="Palatino Linotype" w:hAnsi="Palatino Linotype" w:cs="Arial"/>
          <w:b/>
        </w:rPr>
        <w:t>e</w:t>
      </w:r>
      <w:r w:rsidRPr="009C7EB0">
        <w:rPr>
          <w:rFonts w:ascii="Palatino Linotype" w:hAnsi="Palatino Linotype" w:cs="Arial"/>
          <w:b/>
        </w:rPr>
        <w:t xml:space="preserve"> de noviembre de dos mil veinticinco</w:t>
      </w:r>
      <w:r w:rsidRPr="009C7EB0">
        <w:rPr>
          <w:rFonts w:ascii="Palatino Linotype" w:hAnsi="Palatino Linotype" w:cs="Arial"/>
        </w:rPr>
        <w:t xml:space="preserve">, el cual fue registrado en el sistema electrónico con el expediente número </w:t>
      </w:r>
      <w:r w:rsidRPr="009C7EB0">
        <w:rPr>
          <w:rFonts w:ascii="Palatino Linotype" w:hAnsi="Palatino Linotype" w:cs="Arial"/>
          <w:b/>
        </w:rPr>
        <w:t xml:space="preserve">013150/INFOEM/IP/RR/2025; </w:t>
      </w:r>
      <w:r w:rsidRPr="009C7EB0">
        <w:rPr>
          <w:rFonts w:ascii="Palatino Linotype" w:hAnsi="Palatino Linotype" w:cs="Arial"/>
        </w:rPr>
        <w:t>en los cuales arguye las siguientes manifestaciones:</w:t>
      </w:r>
    </w:p>
    <w:p w:rsidR="00196095" w:rsidRPr="009C7EB0" w:rsidRDefault="00196095" w:rsidP="00196095">
      <w:pPr>
        <w:pStyle w:val="Prrafodelista"/>
        <w:numPr>
          <w:ilvl w:val="0"/>
          <w:numId w:val="2"/>
        </w:numPr>
        <w:spacing w:before="240" w:line="360" w:lineRule="auto"/>
        <w:ind w:left="142" w:firstLine="0"/>
        <w:jc w:val="both"/>
        <w:rPr>
          <w:rFonts w:ascii="Palatino Linotype" w:hAnsi="Palatino Linotype" w:cs="Arial"/>
          <w:b/>
          <w:i/>
        </w:rPr>
      </w:pPr>
      <w:r w:rsidRPr="009C7EB0">
        <w:rPr>
          <w:rFonts w:ascii="Palatino Linotype" w:hAnsi="Palatino Linotype" w:cs="Arial"/>
          <w:b/>
          <w:i/>
        </w:rPr>
        <w:t xml:space="preserve">Acto impugnado </w:t>
      </w:r>
    </w:p>
    <w:p w:rsidR="00196095" w:rsidRPr="009C7EB0" w:rsidRDefault="00196095" w:rsidP="00196095">
      <w:pPr>
        <w:pStyle w:val="INFOEM"/>
        <w:ind w:left="720"/>
      </w:pPr>
      <w:r w:rsidRPr="009C7EB0">
        <w:t>“</w:t>
      </w:r>
      <w:r w:rsidR="00BF2335" w:rsidRPr="009C7EB0">
        <w:t xml:space="preserve">Se impugna la respuesta insatisfactoria, incompleta y negatoria a la solicitud de información pública con folio 05368/TOLUCA/IP/2025, proporcionada por el H. Ayuntamiento de Toluca a través de las siguientes unidades administrativas: Oficio 202010000/03619/2025 de la Tesorería Municipal, que se limitó a señalar que la información forma parte de los informes trimestrales y remitió a lineamientos del OSFEM, sin proporcionar la información específica sobre ingresos, patrocinios y partidas presupuestales solicitada. Oficio 206010000/6672/2025 de la Dirección General de Administración y su anexo (Nota Informativa 343/2025 de la Dirección de Recursos Materiales), que se declaró incompetente para la información sobre patrocinadores, ingresos por permisos y partidas presupuestales, remitiendo únicamente al portal IPOMEX. Oficio 213010000/2277/2025 de la Dirección General de Educación, Cultura y Turismo, que si bien identificó detalladamente las unidades </w:t>
      </w:r>
      <w:r w:rsidR="00BF2335" w:rsidRPr="009C7EB0">
        <w:lastRenderedPageBreak/>
        <w:t>responsables de cada tipo de información, se declaró incompetente sin integrar la respuesta solicitada.</w:t>
      </w:r>
      <w:r w:rsidRPr="009C7EB0">
        <w:t>” (sic)</w:t>
      </w:r>
    </w:p>
    <w:p w:rsidR="00196095" w:rsidRPr="009C7EB0" w:rsidRDefault="00196095" w:rsidP="00196095">
      <w:pPr>
        <w:pStyle w:val="Prrafodelista"/>
        <w:numPr>
          <w:ilvl w:val="0"/>
          <w:numId w:val="2"/>
        </w:numPr>
        <w:spacing w:before="240" w:line="360" w:lineRule="auto"/>
        <w:ind w:left="142" w:firstLine="0"/>
        <w:jc w:val="both"/>
        <w:rPr>
          <w:rFonts w:ascii="Palatino Linotype" w:hAnsi="Palatino Linotype" w:cs="Arial"/>
          <w:b/>
          <w:i/>
        </w:rPr>
      </w:pPr>
      <w:r w:rsidRPr="009C7EB0">
        <w:rPr>
          <w:rFonts w:ascii="Palatino Linotype" w:hAnsi="Palatino Linotype" w:cs="Arial"/>
          <w:b/>
          <w:i/>
        </w:rPr>
        <w:t>Razones o motivos de inconformidad</w:t>
      </w:r>
    </w:p>
    <w:p w:rsidR="00196095" w:rsidRPr="009C7EB0" w:rsidRDefault="00196095" w:rsidP="00196095">
      <w:pPr>
        <w:pStyle w:val="INFOEM"/>
        <w:ind w:left="709"/>
      </w:pPr>
      <w:r w:rsidRPr="009C7EB0">
        <w:t>“</w:t>
      </w:r>
      <w:r w:rsidR="00BF2335" w:rsidRPr="009C7EB0">
        <w:rPr>
          <w:lang w:val="es-ES"/>
        </w:rPr>
        <w:t xml:space="preserve">El presente recurso se interpone por las siguientes causas, previstas en la Ley de Transparencia y Acceso a la Información Pública del Estado de México y Municipios: Negativa Ficta: Ninguna de las unidades administrativas proporcionó la información específica solicitada sobre ingresos, patrocinios, donativos y partidas presupuestales de la Feria del Alfeñique 2025. Respuesta Incompleta: Las remisiones a portales genéricos (IPOMEX, OSFEM) no satisfacen la obligación de entregar el desglose documentado de patrocinadores, montos de aportación, convenios y partidas presupuestales. Incumplimiento al Deber de Buscar: No se realizó una búsqueda exhaustiva y coordinada entre todas las unidades administrativas competentes, como expresamente se solicitó. Violación al Principio de Máxima Publicidad: Las respuestas fueron evasivas y no facilitaron la información de manera clara, veraz y completa. RAZONES O MOTIVOS POR LOS QUE CONSIDERO INDEBIDA LA RESPUESTA Las respuestas recibidas son indebidas por los siguientes motivos: La Dirección de Cultura y Turismo identificó con precisión las unidades poseedoras pero no integró la respuesta. En su oficio anexo, esta unidad detalló exhaustivamente que: Tesorería Municipal es competente para ingresos, cuentas presupuestales y registros contables Dirección General de Administración es competente para convenios, contratos y patrocinadores Dirección de Desarrollo Económico/Gobierno es competente para permisos y cuotas Sin embargo, en lugar de integrar la respuesta, se limitó a declararse incompetente. La Tesorería Municipal incumplió con su obligación de proporcionar información sobre ingresos y partidas presupuestales. Siendo la unidad naturalmente poseedora de esta información, se limitó a remitir a informes trimestrales sin proporcionar el desglose específico solicitado. La Dirección de Recursos Materiales evadió su responsabilidad de </w:t>
      </w:r>
      <w:r w:rsidR="00BF2335" w:rsidRPr="009C7EB0">
        <w:rPr>
          <w:lang w:val="es-ES"/>
        </w:rPr>
        <w:lastRenderedPageBreak/>
        <w:t>manera injustificada. Se declaró incompetente para toda la información solicitada, a pesar de que la Dirección de Cultura identificó a la Dirección General de Administración como competente para convenios y patrocinadores. No se realizó una búsqueda exhaustiva en todas las áreas competentes. A pesar de que la Dirección de Cultura identificó claramente a las unidades responsables, no hubo coordinación para integrar la información solicitada. Se violó el principio de máxima publicidad (Art. 5 LTAIPHEM) y el deber de documentar el manejo de recursos públicos (Art. 11 LTAIPHEM). Las unidades administrativas actuaron de forma restrictiva, omitiendo proporcionar información crucial sobre ingresos y patrocinios de un evento de gran magnitud.</w:t>
      </w:r>
      <w:r w:rsidRPr="009C7EB0">
        <w:t>” (Sic)</w:t>
      </w:r>
    </w:p>
    <w:p w:rsidR="00196095" w:rsidRPr="009C7EB0" w:rsidRDefault="00196095" w:rsidP="00196095">
      <w:pPr>
        <w:spacing w:before="240" w:line="360" w:lineRule="auto"/>
        <w:jc w:val="both"/>
        <w:rPr>
          <w:rFonts w:ascii="Palatino Linotype" w:hAnsi="Palatino Linotype" w:cs="Arial"/>
        </w:rPr>
      </w:pPr>
    </w:p>
    <w:p w:rsidR="00196095" w:rsidRPr="009C7EB0" w:rsidRDefault="00196095" w:rsidP="00196095">
      <w:pPr>
        <w:spacing w:before="240" w:line="360" w:lineRule="auto"/>
        <w:jc w:val="both"/>
        <w:rPr>
          <w:rFonts w:ascii="Palatino Linotype" w:hAnsi="Palatino Linotype" w:cs="Arial"/>
          <w:b/>
        </w:rPr>
      </w:pPr>
      <w:r w:rsidRPr="009C7EB0">
        <w:rPr>
          <w:rFonts w:ascii="Palatino Linotype" w:hAnsi="Palatino Linotype" w:cs="Arial"/>
          <w:b/>
          <w:sz w:val="28"/>
        </w:rPr>
        <w:t>CUARTO</w:t>
      </w:r>
      <w:r w:rsidRPr="009C7EB0">
        <w:rPr>
          <w:rFonts w:ascii="Palatino Linotype" w:hAnsi="Palatino Linotype" w:cs="Arial"/>
          <w:b/>
        </w:rPr>
        <w:t xml:space="preserve">. </w:t>
      </w:r>
      <w:r w:rsidRPr="009C7EB0">
        <w:rPr>
          <w:rFonts w:ascii="Palatino Linotype" w:hAnsi="Palatino Linotype" w:cs="Arial"/>
          <w:b/>
          <w:sz w:val="28"/>
          <w:szCs w:val="28"/>
        </w:rPr>
        <w:t>Del turno y admisión del recurso de revisión.</w:t>
      </w:r>
    </w:p>
    <w:p w:rsidR="00196095" w:rsidRPr="009C7EB0" w:rsidRDefault="00196095" w:rsidP="00196095">
      <w:pPr>
        <w:spacing w:before="240" w:line="360" w:lineRule="auto"/>
        <w:jc w:val="both"/>
        <w:rPr>
          <w:rFonts w:ascii="Palatino Linotype" w:hAnsi="Palatino Linotype" w:cs="Arial"/>
          <w:sz w:val="28"/>
        </w:rPr>
      </w:pPr>
      <w:r w:rsidRPr="009C7EB0">
        <w:rPr>
          <w:rFonts w:ascii="Palatino Linotype" w:hAnsi="Palatino Linotype"/>
        </w:rPr>
        <w:t xml:space="preserve">El medio de impugnación fue turnado al Comisionado Presidente </w:t>
      </w:r>
      <w:r w:rsidRPr="009C7EB0">
        <w:rPr>
          <w:rFonts w:ascii="Palatino Linotype" w:hAnsi="Palatino Linotype"/>
          <w:b/>
        </w:rPr>
        <w:t>José Martínez Vilchis,</w:t>
      </w:r>
      <w:r w:rsidRPr="009C7EB0">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C7EB0">
        <w:rPr>
          <w:rFonts w:ascii="Palatino Linotype" w:hAnsi="Palatino Linotype"/>
          <w:b/>
        </w:rPr>
        <w:t>admisión</w:t>
      </w:r>
      <w:r w:rsidRPr="009C7EB0">
        <w:rPr>
          <w:rFonts w:ascii="Palatino Linotype" w:hAnsi="Palatino Linotype"/>
        </w:rPr>
        <w:t xml:space="preserve"> en fecha </w:t>
      </w:r>
      <w:r w:rsidR="00BF2335" w:rsidRPr="009C7EB0">
        <w:rPr>
          <w:rFonts w:ascii="Palatino Linotype" w:hAnsi="Palatino Linotype"/>
          <w:b/>
        </w:rPr>
        <w:t>veinticinco de noviembre</w:t>
      </w:r>
      <w:r w:rsidRPr="009C7EB0">
        <w:rPr>
          <w:rFonts w:ascii="Palatino Linotype" w:hAnsi="Palatino Linotype"/>
          <w:b/>
        </w:rPr>
        <w:t xml:space="preserve"> de dos mil veinticinco</w:t>
      </w:r>
      <w:r w:rsidRPr="009C7EB0">
        <w:rPr>
          <w:rFonts w:ascii="Palatino Linotype" w:hAnsi="Palatino Linotype"/>
        </w:rPr>
        <w:t>, determinándose en ellos, un plazo de siete días para que las partes manifestaran lo que a su derecho corresponda en términos del numeral ya citado.</w:t>
      </w:r>
    </w:p>
    <w:p w:rsidR="00196095" w:rsidRPr="009C7EB0" w:rsidRDefault="00196095" w:rsidP="00196095">
      <w:pPr>
        <w:spacing w:before="240" w:line="360" w:lineRule="auto"/>
        <w:jc w:val="both"/>
        <w:rPr>
          <w:rFonts w:ascii="Palatino Linotype" w:hAnsi="Palatino Linotype" w:cs="Arial"/>
          <w:sz w:val="28"/>
        </w:rPr>
      </w:pPr>
    </w:p>
    <w:p w:rsidR="00196095" w:rsidRPr="009C7EB0" w:rsidRDefault="00196095" w:rsidP="00196095">
      <w:pPr>
        <w:pStyle w:val="Prrafodelista"/>
        <w:spacing w:line="360" w:lineRule="auto"/>
        <w:ind w:left="0"/>
        <w:jc w:val="both"/>
        <w:rPr>
          <w:rFonts w:ascii="Palatino Linotype" w:hAnsi="Palatino Linotype" w:cs="Arial"/>
          <w:b/>
          <w:sz w:val="28"/>
          <w:szCs w:val="28"/>
        </w:rPr>
      </w:pPr>
      <w:r w:rsidRPr="009C7EB0">
        <w:rPr>
          <w:rFonts w:ascii="Palatino Linotype" w:hAnsi="Palatino Linotype" w:cs="Arial"/>
          <w:b/>
          <w:sz w:val="28"/>
        </w:rPr>
        <w:t>QUINTO</w:t>
      </w:r>
      <w:r w:rsidRPr="009C7EB0">
        <w:rPr>
          <w:rFonts w:ascii="Palatino Linotype" w:hAnsi="Palatino Linotype" w:cs="Arial"/>
          <w:b/>
          <w:sz w:val="28"/>
          <w:szCs w:val="28"/>
        </w:rPr>
        <w:t>. De la etapa de instrucción.</w:t>
      </w:r>
    </w:p>
    <w:p w:rsidR="00BF2335" w:rsidRPr="009C7EB0" w:rsidRDefault="00BF2335" w:rsidP="00BF2335">
      <w:pPr>
        <w:spacing w:line="360" w:lineRule="auto"/>
        <w:jc w:val="both"/>
        <w:rPr>
          <w:rFonts w:ascii="Palatino Linotype" w:hAnsi="Palatino Linotype"/>
        </w:rPr>
      </w:pPr>
      <w:r w:rsidRPr="009C7EB0">
        <w:rPr>
          <w:rFonts w:ascii="Palatino Linotype" w:hAnsi="Palatino Linotype" w:cs="Arial"/>
        </w:rPr>
        <w:t xml:space="preserve">De las constancias que obran en el expediente electrónico del SAIMEX, se advierte que el </w:t>
      </w:r>
      <w:r w:rsidRPr="009C7EB0">
        <w:rPr>
          <w:rFonts w:ascii="Palatino Linotype" w:hAnsi="Palatino Linotype" w:cs="Arial"/>
          <w:b/>
        </w:rPr>
        <w:t>Sujeto Obligado</w:t>
      </w:r>
      <w:r w:rsidRPr="009C7EB0">
        <w:rPr>
          <w:rFonts w:ascii="Palatino Linotype" w:hAnsi="Palatino Linotype" w:cs="Arial"/>
        </w:rPr>
        <w:t xml:space="preserve"> rindió su informe justificado en fecha cuatro de diciembre de dos </w:t>
      </w:r>
      <w:r w:rsidRPr="009C7EB0">
        <w:rPr>
          <w:rFonts w:ascii="Palatino Linotype" w:hAnsi="Palatino Linotype" w:cs="Arial"/>
        </w:rPr>
        <w:lastRenderedPageBreak/>
        <w:t>mil veinticinco, por medio de los archivos electrónicos “</w:t>
      </w:r>
      <w:r w:rsidRPr="009C7EB0">
        <w:rPr>
          <w:rFonts w:ascii="Palatino Linotype" w:hAnsi="Palatino Linotype" w:cs="Arial"/>
          <w:b/>
          <w:i/>
        </w:rPr>
        <w:t xml:space="preserve">13150-2025-ANEXOS.pdf”, “13150-2025-ANEXOS_DGA.pdf”, “13150-2025-ANEXOS_TESORERIA.pdf” y “Ratificación 13150.pdf”, </w:t>
      </w:r>
      <w:r w:rsidRPr="009C7EB0">
        <w:rPr>
          <w:rFonts w:ascii="Palatino Linotype" w:hAnsi="Palatino Linotype" w:cs="Arial"/>
        </w:rPr>
        <w:t>mismos que fueron puestos a la vista del Recurrente.</w:t>
      </w:r>
    </w:p>
    <w:p w:rsidR="00BF2335" w:rsidRPr="009C7EB0" w:rsidRDefault="00BF2335" w:rsidP="00BF2335">
      <w:pPr>
        <w:spacing w:line="360" w:lineRule="auto"/>
        <w:jc w:val="both"/>
        <w:rPr>
          <w:rFonts w:ascii="Palatino Linotype" w:hAnsi="Palatino Linotype"/>
        </w:rPr>
      </w:pPr>
    </w:p>
    <w:p w:rsidR="00BF2335" w:rsidRPr="009C7EB0" w:rsidRDefault="00BF2335" w:rsidP="00BF2335">
      <w:pPr>
        <w:spacing w:line="360" w:lineRule="auto"/>
        <w:jc w:val="both"/>
        <w:rPr>
          <w:rFonts w:ascii="Palatino Linotype" w:hAnsi="Palatino Linotype" w:cs="Arial"/>
        </w:rPr>
      </w:pPr>
      <w:r w:rsidRPr="009C7EB0">
        <w:rPr>
          <w:rFonts w:ascii="Palatino Linotype" w:hAnsi="Palatino Linotype" w:cs="Arial"/>
        </w:rPr>
        <w:t xml:space="preserve">Así mismo, se aprecia que no se llevaron a cabo audiencias durante la sustanciación del recurso de revisión, ni se ofrecieron pruebas por parte del </w:t>
      </w:r>
      <w:r w:rsidRPr="009C7EB0">
        <w:rPr>
          <w:rFonts w:ascii="Palatino Linotype" w:hAnsi="Palatino Linotype" w:cs="Arial"/>
          <w:b/>
        </w:rPr>
        <w:t>Recurrente</w:t>
      </w:r>
      <w:r w:rsidRPr="009C7EB0">
        <w:rPr>
          <w:rFonts w:ascii="Palatino Linotype" w:hAnsi="Palatino Linotype" w:cs="Arial"/>
        </w:rPr>
        <w:t>; todo lo anterior en términos de los artículos 185 fracciones II y IV, y 195 de la Ley de Transparencia y Acceso a la Información Pública del Estado de México y Municipios.</w:t>
      </w:r>
    </w:p>
    <w:p w:rsidR="00196095" w:rsidRPr="009C7EB0" w:rsidRDefault="00196095" w:rsidP="00196095">
      <w:pPr>
        <w:spacing w:line="360" w:lineRule="auto"/>
        <w:jc w:val="both"/>
        <w:rPr>
          <w:rFonts w:ascii="Palatino Linotype" w:hAnsi="Palatino Linotype" w:cs="Arial"/>
          <w:b/>
          <w:sz w:val="28"/>
          <w:szCs w:val="28"/>
        </w:rPr>
      </w:pPr>
    </w:p>
    <w:p w:rsidR="00196095" w:rsidRPr="009C7EB0" w:rsidRDefault="00196095" w:rsidP="00196095">
      <w:pPr>
        <w:spacing w:line="360" w:lineRule="auto"/>
        <w:jc w:val="both"/>
        <w:rPr>
          <w:rFonts w:ascii="Palatino Linotype" w:eastAsia="Calibri" w:hAnsi="Palatino Linotype" w:cs="Arial"/>
          <w:b/>
          <w:sz w:val="28"/>
          <w:lang w:val="es-ES_tradnl"/>
        </w:rPr>
      </w:pPr>
      <w:r w:rsidRPr="009C7EB0">
        <w:rPr>
          <w:rFonts w:ascii="Palatino Linotype" w:eastAsia="Calibri" w:hAnsi="Palatino Linotype" w:cs="Arial"/>
          <w:b/>
          <w:sz w:val="28"/>
          <w:szCs w:val="28"/>
          <w:lang w:val="es-MX" w:eastAsia="en-US"/>
        </w:rPr>
        <w:t xml:space="preserve">SEXTO. </w:t>
      </w:r>
      <w:r w:rsidRPr="009C7EB0">
        <w:rPr>
          <w:rFonts w:ascii="Palatino Linotype" w:eastAsia="Calibri" w:hAnsi="Palatino Linotype" w:cs="Arial"/>
          <w:b/>
          <w:sz w:val="28"/>
          <w:lang w:val="es-ES_tradnl"/>
        </w:rPr>
        <w:t>De la ampliación del término para resolver.</w:t>
      </w:r>
    </w:p>
    <w:p w:rsidR="00196095" w:rsidRPr="009C7EB0" w:rsidRDefault="00196095" w:rsidP="00196095">
      <w:pPr>
        <w:spacing w:line="360" w:lineRule="auto"/>
        <w:jc w:val="both"/>
        <w:rPr>
          <w:rFonts w:ascii="Palatino Linotype" w:hAnsi="Palatino Linotype" w:cs="Arial"/>
        </w:rPr>
      </w:pPr>
      <w:r w:rsidRPr="009C7EB0">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BF2335" w:rsidRPr="009C7EB0">
        <w:rPr>
          <w:rFonts w:ascii="Palatino Linotype" w:hAnsi="Palatino Linotype" w:cs="Arial"/>
          <w:b/>
        </w:rPr>
        <w:t xml:space="preserve">veintidós </w:t>
      </w:r>
      <w:r w:rsidRPr="009C7EB0">
        <w:rPr>
          <w:rFonts w:ascii="Palatino Linotype" w:hAnsi="Palatino Linotype" w:cs="Arial"/>
          <w:b/>
        </w:rPr>
        <w:t>de mayo de dos mil veintiséis</w:t>
      </w:r>
      <w:r w:rsidRPr="009C7EB0">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196095" w:rsidRPr="009C7EB0" w:rsidRDefault="00196095" w:rsidP="00196095">
      <w:pPr>
        <w:spacing w:line="360" w:lineRule="auto"/>
        <w:jc w:val="both"/>
        <w:rPr>
          <w:rFonts w:ascii="Palatino Linotype" w:eastAsia="Calibri" w:hAnsi="Palatino Linotype" w:cs="Arial"/>
          <w:b/>
          <w:sz w:val="28"/>
          <w:szCs w:val="28"/>
        </w:rPr>
      </w:pPr>
    </w:p>
    <w:p w:rsidR="00196095" w:rsidRPr="009C7EB0" w:rsidRDefault="00196095" w:rsidP="00196095">
      <w:pPr>
        <w:spacing w:line="360" w:lineRule="auto"/>
        <w:jc w:val="both"/>
        <w:rPr>
          <w:rFonts w:ascii="Palatino Linotype" w:hAnsi="Palatino Linotype" w:cs="Arial"/>
          <w:b/>
          <w:sz w:val="28"/>
          <w:szCs w:val="28"/>
        </w:rPr>
      </w:pPr>
      <w:r w:rsidRPr="009C7EB0">
        <w:rPr>
          <w:rFonts w:ascii="Palatino Linotype" w:hAnsi="Palatino Linotype" w:cs="Arial"/>
          <w:b/>
          <w:sz w:val="28"/>
          <w:szCs w:val="28"/>
        </w:rPr>
        <w:t>SÉPTIMO.  Del Cierre de Instrucción.</w:t>
      </w:r>
    </w:p>
    <w:p w:rsidR="00196095" w:rsidRPr="009C7EB0" w:rsidRDefault="00196095" w:rsidP="00196095">
      <w:pPr>
        <w:spacing w:line="360" w:lineRule="auto"/>
        <w:jc w:val="both"/>
        <w:rPr>
          <w:rFonts w:ascii="Palatino Linotype" w:hAnsi="Palatino Linotype" w:cs="Arial"/>
          <w:b/>
        </w:rPr>
      </w:pPr>
      <w:r w:rsidRPr="009C7EB0">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F2335" w:rsidRPr="009C7EB0">
        <w:rPr>
          <w:rFonts w:ascii="Palatino Linotype" w:hAnsi="Palatino Linotype" w:cs="Arial"/>
          <w:b/>
        </w:rPr>
        <w:t>veintinueve</w:t>
      </w:r>
      <w:r w:rsidRPr="009C7EB0">
        <w:rPr>
          <w:rFonts w:ascii="Palatino Linotype" w:hAnsi="Palatino Linotype" w:cs="Arial"/>
          <w:b/>
        </w:rPr>
        <w:t xml:space="preserve"> de mayo de dos mil veintiséis</w:t>
      </w:r>
      <w:r w:rsidRPr="009C7EB0">
        <w:rPr>
          <w:rFonts w:ascii="Palatino Linotype" w:hAnsi="Palatino Linotype" w:cs="Arial"/>
        </w:rPr>
        <w:t xml:space="preserve">, en términos del artículo 185 fracción VI de la Ley de Transparencia y Acceso a la </w:t>
      </w:r>
      <w:r w:rsidRPr="009C7EB0">
        <w:rPr>
          <w:rFonts w:ascii="Palatino Linotype" w:hAnsi="Palatino Linotype" w:cs="Arial"/>
        </w:rPr>
        <w:lastRenderedPageBreak/>
        <w:t>Información Pública del Estado de México y Municipios, ordenándose turnar el expediente a la resolución que en derecho proceda.</w:t>
      </w:r>
    </w:p>
    <w:p w:rsidR="00196095" w:rsidRPr="009C7EB0" w:rsidRDefault="00196095" w:rsidP="00196095">
      <w:pPr>
        <w:spacing w:line="360" w:lineRule="auto"/>
        <w:jc w:val="both"/>
        <w:rPr>
          <w:rFonts w:ascii="Palatino Linotype" w:hAnsi="Palatino Linotype" w:cs="Arial"/>
          <w:b/>
          <w:sz w:val="28"/>
          <w:szCs w:val="28"/>
        </w:rPr>
      </w:pPr>
    </w:p>
    <w:p w:rsidR="00196095" w:rsidRPr="009C7EB0" w:rsidRDefault="00196095" w:rsidP="00196095">
      <w:pPr>
        <w:spacing w:line="360" w:lineRule="auto"/>
        <w:jc w:val="center"/>
        <w:rPr>
          <w:rFonts w:ascii="Palatino Linotype" w:hAnsi="Palatino Linotype"/>
          <w:b/>
          <w:bCs/>
          <w:spacing w:val="60"/>
          <w:sz w:val="28"/>
          <w:lang w:val="es-ES_tradnl"/>
        </w:rPr>
      </w:pPr>
      <w:r w:rsidRPr="009C7EB0">
        <w:rPr>
          <w:rFonts w:ascii="Palatino Linotype" w:hAnsi="Palatino Linotype"/>
          <w:b/>
          <w:bCs/>
          <w:spacing w:val="60"/>
          <w:sz w:val="28"/>
          <w:lang w:val="es-ES_tradnl"/>
        </w:rPr>
        <w:t>CONSIDERANDO</w:t>
      </w:r>
    </w:p>
    <w:p w:rsidR="00196095" w:rsidRPr="009C7EB0" w:rsidRDefault="00196095" w:rsidP="00196095">
      <w:pPr>
        <w:spacing w:before="240" w:line="360" w:lineRule="auto"/>
        <w:jc w:val="both"/>
        <w:rPr>
          <w:rFonts w:ascii="Palatino Linotype" w:hAnsi="Palatino Linotype" w:cs="Arial"/>
          <w:sz w:val="28"/>
          <w:szCs w:val="28"/>
        </w:rPr>
      </w:pPr>
      <w:r w:rsidRPr="009C7EB0">
        <w:rPr>
          <w:rFonts w:ascii="Palatino Linotype" w:hAnsi="Palatino Linotype" w:cs="Arial"/>
          <w:b/>
          <w:sz w:val="28"/>
        </w:rPr>
        <w:t>PRIMERO.</w:t>
      </w:r>
      <w:r w:rsidRPr="009C7EB0">
        <w:rPr>
          <w:rFonts w:ascii="Palatino Linotype" w:hAnsi="Palatino Linotype" w:cs="Arial"/>
          <w:b/>
        </w:rPr>
        <w:t xml:space="preserve"> </w:t>
      </w:r>
      <w:r w:rsidRPr="009C7EB0">
        <w:rPr>
          <w:rFonts w:ascii="Palatino Linotype" w:hAnsi="Palatino Linotype" w:cs="Arial"/>
          <w:b/>
          <w:sz w:val="28"/>
          <w:szCs w:val="28"/>
        </w:rPr>
        <w:t>De la competencia</w:t>
      </w:r>
      <w:r w:rsidRPr="009C7EB0">
        <w:rPr>
          <w:rFonts w:ascii="Palatino Linotype" w:hAnsi="Palatino Linotype" w:cs="Arial"/>
          <w:sz w:val="28"/>
          <w:szCs w:val="28"/>
        </w:rPr>
        <w:t>.</w:t>
      </w:r>
    </w:p>
    <w:p w:rsidR="00196095" w:rsidRPr="009C7EB0" w:rsidRDefault="00196095" w:rsidP="00196095">
      <w:pPr>
        <w:tabs>
          <w:tab w:val="left" w:pos="3402"/>
        </w:tabs>
        <w:spacing w:line="360" w:lineRule="auto"/>
        <w:jc w:val="both"/>
        <w:rPr>
          <w:rFonts w:ascii="Palatino Linotype" w:hAnsi="Palatino Linotype"/>
        </w:rPr>
      </w:pPr>
      <w:r w:rsidRPr="009C7EB0">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96095" w:rsidRPr="009C7EB0" w:rsidRDefault="00196095" w:rsidP="00196095">
      <w:pPr>
        <w:spacing w:before="240" w:line="360" w:lineRule="auto"/>
        <w:jc w:val="both"/>
        <w:rPr>
          <w:rFonts w:ascii="Palatino Linotype" w:eastAsia="Calibri" w:hAnsi="Palatino Linotype"/>
          <w:b/>
          <w:color w:val="000000" w:themeColor="text1"/>
        </w:rPr>
      </w:pPr>
    </w:p>
    <w:p w:rsidR="00196095" w:rsidRPr="009C7EB0" w:rsidRDefault="00196095" w:rsidP="00196095">
      <w:pPr>
        <w:pStyle w:val="Prrafodelista"/>
        <w:autoSpaceDE w:val="0"/>
        <w:autoSpaceDN w:val="0"/>
        <w:adjustRightInd w:val="0"/>
        <w:spacing w:before="240" w:after="160" w:line="360" w:lineRule="auto"/>
        <w:ind w:left="0"/>
        <w:jc w:val="both"/>
        <w:rPr>
          <w:rFonts w:ascii="Palatino Linotype" w:hAnsi="Palatino Linotype" w:cs="Arial"/>
          <w:b/>
        </w:rPr>
      </w:pPr>
      <w:r w:rsidRPr="009C7EB0">
        <w:rPr>
          <w:rFonts w:ascii="Palatino Linotype" w:hAnsi="Palatino Linotype" w:cs="Arial"/>
          <w:b/>
          <w:sz w:val="28"/>
        </w:rPr>
        <w:t>SEGUNDO</w:t>
      </w:r>
      <w:r w:rsidRPr="009C7EB0">
        <w:rPr>
          <w:rFonts w:ascii="Palatino Linotype" w:hAnsi="Palatino Linotype" w:cs="Arial"/>
          <w:b/>
        </w:rPr>
        <w:t xml:space="preserve">. </w:t>
      </w:r>
      <w:r w:rsidRPr="009C7EB0">
        <w:rPr>
          <w:rFonts w:ascii="Palatino Linotype" w:hAnsi="Palatino Linotype" w:cs="Arial"/>
          <w:b/>
          <w:sz w:val="28"/>
          <w:szCs w:val="28"/>
        </w:rPr>
        <w:t>Sobre los alcances del recurso de revisión.</w:t>
      </w:r>
      <w:r w:rsidRPr="009C7EB0">
        <w:rPr>
          <w:rFonts w:ascii="Palatino Linotype" w:hAnsi="Palatino Linotype" w:cs="Arial"/>
          <w:b/>
        </w:rPr>
        <w:t xml:space="preserve"> </w:t>
      </w:r>
    </w:p>
    <w:p w:rsidR="00196095" w:rsidRPr="009C7EB0" w:rsidRDefault="00196095" w:rsidP="00196095">
      <w:pPr>
        <w:pStyle w:val="Prrafodelista"/>
        <w:autoSpaceDE w:val="0"/>
        <w:autoSpaceDN w:val="0"/>
        <w:adjustRightInd w:val="0"/>
        <w:spacing w:before="240" w:after="160" w:line="360" w:lineRule="auto"/>
        <w:ind w:left="0"/>
        <w:jc w:val="both"/>
        <w:rPr>
          <w:rFonts w:ascii="Palatino Linotype" w:hAnsi="Palatino Linotype" w:cs="Arial"/>
        </w:rPr>
      </w:pPr>
      <w:r w:rsidRPr="009C7EB0">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9C7EB0">
        <w:rPr>
          <w:rFonts w:ascii="Palatino Linotype" w:hAnsi="Palatino Linotype" w:cs="Arial"/>
        </w:rPr>
        <w:lastRenderedPageBreak/>
        <w:t>obren en el expediente electrónico, con la finalidad de reparar cualquier posible afectación al derecho de acceso a la información pública y garantizando el principio rector de máxima publicidad.</w:t>
      </w:r>
    </w:p>
    <w:p w:rsidR="00196095" w:rsidRPr="009C7EB0" w:rsidRDefault="00196095" w:rsidP="00196095">
      <w:pPr>
        <w:autoSpaceDE w:val="0"/>
        <w:autoSpaceDN w:val="0"/>
        <w:adjustRightInd w:val="0"/>
        <w:spacing w:before="240" w:line="360" w:lineRule="auto"/>
        <w:jc w:val="both"/>
        <w:rPr>
          <w:rFonts w:ascii="Palatino Linotype" w:hAnsi="Palatino Linotype" w:cs="Arial"/>
        </w:rPr>
      </w:pPr>
      <w:r w:rsidRPr="009C7EB0">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196095" w:rsidRPr="009C7EB0" w:rsidRDefault="00196095" w:rsidP="00196095">
      <w:pPr>
        <w:autoSpaceDE w:val="0"/>
        <w:autoSpaceDN w:val="0"/>
        <w:adjustRightInd w:val="0"/>
        <w:spacing w:before="240" w:line="360" w:lineRule="auto"/>
        <w:ind w:left="1134"/>
        <w:jc w:val="both"/>
        <w:rPr>
          <w:rFonts w:ascii="Palatino Linotype" w:hAnsi="Palatino Linotype" w:cs="Arial"/>
          <w:i/>
        </w:rPr>
      </w:pPr>
      <w:r w:rsidRPr="009C7EB0">
        <w:rPr>
          <w:rFonts w:ascii="Palatino Linotype" w:hAnsi="Palatino Linotype" w:cs="Arial"/>
          <w:i/>
        </w:rPr>
        <w:t xml:space="preserve">“Artículo 180. El recurso de revisión contendrá: </w:t>
      </w:r>
    </w:p>
    <w:p w:rsidR="00196095" w:rsidRPr="009C7EB0" w:rsidRDefault="00196095" w:rsidP="00196095">
      <w:pPr>
        <w:autoSpaceDE w:val="0"/>
        <w:autoSpaceDN w:val="0"/>
        <w:adjustRightInd w:val="0"/>
        <w:ind w:left="1134"/>
        <w:jc w:val="both"/>
        <w:rPr>
          <w:rFonts w:ascii="Palatino Linotype" w:hAnsi="Palatino Linotype" w:cs="Arial"/>
          <w:i/>
          <w:lang w:val="es-ES_tradnl"/>
        </w:rPr>
      </w:pPr>
      <w:r w:rsidRPr="009C7EB0">
        <w:rPr>
          <w:rFonts w:ascii="Palatino Linotype" w:hAnsi="Palatino Linotype" w:cs="Arial"/>
          <w:i/>
          <w:lang w:val="es-ES_tradnl"/>
        </w:rPr>
        <w:t xml:space="preserve">I. El sujeto obligado ante la cual se presentó la solicitud; </w:t>
      </w:r>
    </w:p>
    <w:p w:rsidR="00196095" w:rsidRPr="009C7EB0" w:rsidRDefault="00196095" w:rsidP="00196095">
      <w:pPr>
        <w:autoSpaceDE w:val="0"/>
        <w:autoSpaceDN w:val="0"/>
        <w:adjustRightInd w:val="0"/>
        <w:ind w:left="1134" w:right="567"/>
        <w:jc w:val="both"/>
        <w:rPr>
          <w:rFonts w:ascii="Palatino Linotype" w:hAnsi="Palatino Linotype" w:cs="Arial"/>
          <w:i/>
          <w:lang w:val="es-ES_tradnl"/>
        </w:rPr>
      </w:pPr>
      <w:r w:rsidRPr="009C7EB0">
        <w:rPr>
          <w:rFonts w:ascii="Palatino Linotype" w:hAnsi="Palatino Linotype" w:cs="Arial"/>
          <w:b/>
          <w:i/>
          <w:lang w:val="es-ES_tradnl"/>
        </w:rPr>
        <w:t>II. El nombre del solicitante que recurre</w:t>
      </w:r>
      <w:r w:rsidRPr="009C7EB0">
        <w:rPr>
          <w:rFonts w:ascii="Palatino Linotype" w:hAnsi="Palatino Linotype" w:cs="Arial"/>
          <w:i/>
          <w:lang w:val="es-ES_tradnl"/>
        </w:rPr>
        <w:t xml:space="preserve"> o de su representante y, en su caso, del tercero interesado, así como la dirección o medio que señale para recibir notificaciones;</w:t>
      </w:r>
    </w:p>
    <w:p w:rsidR="00196095" w:rsidRPr="009C7EB0" w:rsidRDefault="00196095" w:rsidP="00196095">
      <w:pPr>
        <w:autoSpaceDE w:val="0"/>
        <w:autoSpaceDN w:val="0"/>
        <w:adjustRightInd w:val="0"/>
        <w:ind w:left="1134"/>
        <w:jc w:val="both"/>
        <w:rPr>
          <w:rFonts w:ascii="Palatino Linotype" w:hAnsi="Palatino Linotype" w:cs="Arial"/>
          <w:i/>
          <w:lang w:val="es-ES_tradnl"/>
        </w:rPr>
      </w:pPr>
      <w:r w:rsidRPr="009C7EB0">
        <w:rPr>
          <w:rFonts w:ascii="Palatino Linotype" w:hAnsi="Palatino Linotype" w:cs="Arial"/>
          <w:i/>
          <w:lang w:val="es-ES_tradnl"/>
        </w:rPr>
        <w:t>III. El número de folio de respuesta de la solicitud de acceso;</w:t>
      </w:r>
    </w:p>
    <w:p w:rsidR="00196095" w:rsidRPr="009C7EB0" w:rsidRDefault="00196095" w:rsidP="00196095">
      <w:pPr>
        <w:autoSpaceDE w:val="0"/>
        <w:autoSpaceDN w:val="0"/>
        <w:adjustRightInd w:val="0"/>
        <w:ind w:left="1134" w:right="567"/>
        <w:jc w:val="both"/>
        <w:rPr>
          <w:rFonts w:ascii="Palatino Linotype" w:hAnsi="Palatino Linotype" w:cs="Arial"/>
          <w:i/>
          <w:lang w:val="es-ES_tradnl"/>
        </w:rPr>
      </w:pPr>
      <w:r w:rsidRPr="009C7EB0">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196095" w:rsidRPr="009C7EB0" w:rsidRDefault="00196095" w:rsidP="00196095">
      <w:pPr>
        <w:autoSpaceDE w:val="0"/>
        <w:autoSpaceDN w:val="0"/>
        <w:adjustRightInd w:val="0"/>
        <w:ind w:left="1134" w:right="567"/>
        <w:jc w:val="both"/>
        <w:rPr>
          <w:rFonts w:ascii="Palatino Linotype" w:hAnsi="Palatino Linotype" w:cs="Arial"/>
          <w:i/>
          <w:lang w:val="es-ES_tradnl"/>
        </w:rPr>
      </w:pPr>
      <w:r w:rsidRPr="009C7EB0">
        <w:rPr>
          <w:rFonts w:ascii="Palatino Linotype" w:hAnsi="Palatino Linotype" w:cs="Arial"/>
          <w:i/>
          <w:lang w:val="es-ES_tradnl"/>
        </w:rPr>
        <w:t>V. El acto que se recurre;</w:t>
      </w:r>
    </w:p>
    <w:p w:rsidR="00196095" w:rsidRPr="009C7EB0" w:rsidRDefault="00196095" w:rsidP="00196095">
      <w:pPr>
        <w:autoSpaceDE w:val="0"/>
        <w:autoSpaceDN w:val="0"/>
        <w:adjustRightInd w:val="0"/>
        <w:ind w:left="1134"/>
        <w:jc w:val="both"/>
        <w:rPr>
          <w:rFonts w:ascii="Palatino Linotype" w:hAnsi="Palatino Linotype" w:cs="Arial"/>
          <w:i/>
          <w:lang w:val="es-ES_tradnl"/>
        </w:rPr>
      </w:pPr>
      <w:r w:rsidRPr="009C7EB0">
        <w:rPr>
          <w:rFonts w:ascii="Palatino Linotype" w:hAnsi="Palatino Linotype" w:cs="Arial"/>
          <w:i/>
          <w:lang w:val="es-ES_tradnl"/>
        </w:rPr>
        <w:t>VI. Las razones o motivos de inconformidad;</w:t>
      </w:r>
    </w:p>
    <w:p w:rsidR="00196095" w:rsidRPr="009C7EB0" w:rsidRDefault="00196095" w:rsidP="00196095">
      <w:pPr>
        <w:autoSpaceDE w:val="0"/>
        <w:autoSpaceDN w:val="0"/>
        <w:adjustRightInd w:val="0"/>
        <w:ind w:left="1134" w:right="567"/>
        <w:jc w:val="both"/>
        <w:rPr>
          <w:rFonts w:ascii="Palatino Linotype" w:hAnsi="Palatino Linotype" w:cs="Arial"/>
          <w:i/>
          <w:lang w:val="es-ES_tradnl"/>
        </w:rPr>
      </w:pPr>
      <w:r w:rsidRPr="009C7EB0">
        <w:rPr>
          <w:rFonts w:ascii="Palatino Linotype" w:hAnsi="Palatino Linotype" w:cs="Arial"/>
          <w:i/>
          <w:lang w:val="es-ES_tradnl"/>
        </w:rPr>
        <w:t xml:space="preserve">VII. La copia de la respuesta que se impugna y, en su caso, de la notificación correspondiente, en el caso de respuesta de la solicitud; y </w:t>
      </w:r>
    </w:p>
    <w:p w:rsidR="00196095" w:rsidRPr="009C7EB0" w:rsidRDefault="00196095" w:rsidP="00196095">
      <w:pPr>
        <w:autoSpaceDE w:val="0"/>
        <w:autoSpaceDN w:val="0"/>
        <w:adjustRightInd w:val="0"/>
        <w:ind w:left="1134" w:right="567"/>
        <w:jc w:val="both"/>
        <w:rPr>
          <w:rFonts w:ascii="Palatino Linotype" w:hAnsi="Palatino Linotype" w:cs="Arial"/>
          <w:i/>
          <w:lang w:val="es-ES_tradnl"/>
        </w:rPr>
      </w:pPr>
      <w:r w:rsidRPr="009C7EB0">
        <w:rPr>
          <w:rFonts w:ascii="Palatino Linotype" w:hAnsi="Palatino Linotype" w:cs="Arial"/>
          <w:i/>
          <w:lang w:val="es-ES_tradnl"/>
        </w:rPr>
        <w:t xml:space="preserve">VIII. Firma del recurrente, en su caso, cuando se presente por escrito, requisito sin el cual se dará trámite al recurso. </w:t>
      </w:r>
    </w:p>
    <w:p w:rsidR="00196095" w:rsidRPr="009C7EB0" w:rsidRDefault="00196095" w:rsidP="00196095">
      <w:pPr>
        <w:autoSpaceDE w:val="0"/>
        <w:autoSpaceDN w:val="0"/>
        <w:adjustRightInd w:val="0"/>
        <w:spacing w:before="240" w:line="276" w:lineRule="auto"/>
        <w:ind w:left="1134" w:right="567"/>
        <w:jc w:val="both"/>
        <w:rPr>
          <w:rFonts w:ascii="Palatino Linotype" w:hAnsi="Palatino Linotype" w:cs="Arial"/>
          <w:i/>
          <w:lang w:val="es-ES_tradnl"/>
        </w:rPr>
      </w:pPr>
      <w:r w:rsidRPr="009C7EB0">
        <w:rPr>
          <w:rFonts w:ascii="Palatino Linotype" w:hAnsi="Palatino Linotype" w:cs="Arial"/>
          <w:i/>
          <w:lang w:val="es-ES_tradnl"/>
        </w:rPr>
        <w:t xml:space="preserve">Adicionalmente, se podrán anexar las pruebas y demás elementos que considere procedentes someter a juicio del Instituto. </w:t>
      </w:r>
    </w:p>
    <w:p w:rsidR="00196095" w:rsidRPr="009C7EB0" w:rsidRDefault="00196095" w:rsidP="00196095">
      <w:pPr>
        <w:autoSpaceDE w:val="0"/>
        <w:autoSpaceDN w:val="0"/>
        <w:adjustRightInd w:val="0"/>
        <w:spacing w:before="240" w:line="276" w:lineRule="auto"/>
        <w:ind w:left="1134" w:right="567"/>
        <w:jc w:val="both"/>
        <w:rPr>
          <w:rFonts w:ascii="Palatino Linotype" w:hAnsi="Palatino Linotype" w:cs="Arial"/>
          <w:i/>
          <w:lang w:val="es-ES_tradnl"/>
        </w:rPr>
      </w:pPr>
      <w:r w:rsidRPr="009C7EB0">
        <w:rPr>
          <w:rFonts w:ascii="Palatino Linotype" w:hAnsi="Palatino Linotype" w:cs="Arial"/>
          <w:i/>
          <w:lang w:val="es-ES_tradnl"/>
        </w:rPr>
        <w:t xml:space="preserve">En ningún caso será necesario que el particular ratifique el recurso de revisión interpuesto. </w:t>
      </w:r>
    </w:p>
    <w:p w:rsidR="00196095" w:rsidRPr="009C7EB0" w:rsidRDefault="00196095" w:rsidP="00196095">
      <w:pPr>
        <w:autoSpaceDE w:val="0"/>
        <w:autoSpaceDN w:val="0"/>
        <w:adjustRightInd w:val="0"/>
        <w:spacing w:before="240" w:line="360" w:lineRule="auto"/>
        <w:ind w:left="1134" w:right="567"/>
        <w:jc w:val="both"/>
        <w:rPr>
          <w:rFonts w:ascii="Palatino Linotype" w:hAnsi="Palatino Linotype" w:cs="Arial"/>
        </w:rPr>
      </w:pPr>
      <w:r w:rsidRPr="009C7EB0">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196095" w:rsidRPr="009C7EB0" w:rsidRDefault="00196095" w:rsidP="00196095">
      <w:pPr>
        <w:autoSpaceDE w:val="0"/>
        <w:autoSpaceDN w:val="0"/>
        <w:adjustRightInd w:val="0"/>
        <w:spacing w:before="240" w:line="360" w:lineRule="auto"/>
        <w:jc w:val="both"/>
        <w:rPr>
          <w:rFonts w:ascii="Palatino Linotype" w:hAnsi="Palatino Linotype"/>
        </w:rPr>
      </w:pPr>
    </w:p>
    <w:p w:rsidR="00196095" w:rsidRPr="009C7EB0" w:rsidRDefault="00196095" w:rsidP="00196095">
      <w:pPr>
        <w:autoSpaceDE w:val="0"/>
        <w:autoSpaceDN w:val="0"/>
        <w:adjustRightInd w:val="0"/>
        <w:spacing w:before="240" w:line="360" w:lineRule="auto"/>
        <w:jc w:val="both"/>
        <w:rPr>
          <w:rFonts w:ascii="Palatino Linotype" w:hAnsi="Palatino Linotype"/>
        </w:rPr>
      </w:pPr>
      <w:r w:rsidRPr="009C7EB0">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96095" w:rsidRPr="009C7EB0" w:rsidTr="00BF2335">
        <w:trPr>
          <w:trHeight w:val="1360"/>
        </w:trPr>
        <w:tc>
          <w:tcPr>
            <w:tcW w:w="7982" w:type="dxa"/>
          </w:tcPr>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196095" w:rsidRPr="009C7EB0" w:rsidRDefault="00196095" w:rsidP="00196095">
      <w:pPr>
        <w:autoSpaceDE w:val="0"/>
        <w:autoSpaceDN w:val="0"/>
        <w:adjustRightInd w:val="0"/>
        <w:spacing w:before="240" w:line="360" w:lineRule="auto"/>
        <w:jc w:val="both"/>
        <w:rPr>
          <w:rFonts w:ascii="Palatino Linotype" w:hAnsi="Palatino Linotype"/>
        </w:rPr>
      </w:pPr>
      <w:r w:rsidRPr="009C7EB0">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96095" w:rsidRPr="009C7EB0" w:rsidTr="00BF2335">
        <w:trPr>
          <w:jc w:val="center"/>
        </w:trPr>
        <w:tc>
          <w:tcPr>
            <w:tcW w:w="8075" w:type="dxa"/>
          </w:tcPr>
          <w:p w:rsidR="00196095" w:rsidRPr="009C7EB0" w:rsidRDefault="00196095" w:rsidP="00BF2335">
            <w:pPr>
              <w:autoSpaceDE w:val="0"/>
              <w:autoSpaceDN w:val="0"/>
              <w:adjustRightInd w:val="0"/>
              <w:spacing w:before="240" w:line="360" w:lineRule="auto"/>
              <w:jc w:val="center"/>
              <w:rPr>
                <w:rFonts w:ascii="Palatino Linotype" w:hAnsi="Palatino Linotype"/>
                <w:b/>
                <w:i/>
              </w:rPr>
            </w:pPr>
            <w:r w:rsidRPr="009C7EB0">
              <w:rPr>
                <w:rFonts w:ascii="Palatino Linotype" w:hAnsi="Palatino Linotype"/>
                <w:b/>
                <w:i/>
              </w:rPr>
              <w:t xml:space="preserve">Constitución Política de los Estados Unidos Mexicanos </w:t>
            </w:r>
          </w:p>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t xml:space="preserve">(…) </w:t>
            </w:r>
          </w:p>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t xml:space="preserve"> (…) </w:t>
            </w:r>
          </w:p>
          <w:p w:rsidR="00196095" w:rsidRPr="009C7EB0" w:rsidRDefault="00196095" w:rsidP="00BF2335">
            <w:pPr>
              <w:autoSpaceDE w:val="0"/>
              <w:autoSpaceDN w:val="0"/>
              <w:adjustRightInd w:val="0"/>
              <w:spacing w:before="240" w:line="360" w:lineRule="auto"/>
              <w:jc w:val="both"/>
              <w:rPr>
                <w:rFonts w:ascii="Palatino Linotype" w:hAnsi="Palatino Linotype"/>
                <w:i/>
              </w:rPr>
            </w:pPr>
            <w:r w:rsidRPr="009C7EB0">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196095" w:rsidRPr="009C7EB0" w:rsidRDefault="00196095" w:rsidP="00BF2335">
            <w:pPr>
              <w:autoSpaceDE w:val="0"/>
              <w:autoSpaceDN w:val="0"/>
              <w:adjustRightInd w:val="0"/>
              <w:spacing w:before="240" w:line="360" w:lineRule="auto"/>
              <w:jc w:val="both"/>
              <w:rPr>
                <w:rFonts w:ascii="Palatino Linotype" w:hAnsi="Palatino Linotype" w:cs="Arial"/>
                <w:i/>
              </w:rPr>
            </w:pPr>
            <w:r w:rsidRPr="009C7EB0">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196095" w:rsidRPr="009C7EB0" w:rsidRDefault="00196095" w:rsidP="00BF2335">
            <w:pPr>
              <w:autoSpaceDE w:val="0"/>
              <w:autoSpaceDN w:val="0"/>
              <w:adjustRightInd w:val="0"/>
              <w:spacing w:before="240" w:line="360" w:lineRule="auto"/>
              <w:jc w:val="both"/>
              <w:rPr>
                <w:rFonts w:ascii="Palatino Linotype" w:hAnsi="Palatino Linotype" w:cs="Arial"/>
                <w:b/>
                <w:i/>
              </w:rPr>
            </w:pPr>
            <w:r w:rsidRPr="009C7EB0">
              <w:rPr>
                <w:rFonts w:ascii="Palatino Linotype" w:hAnsi="Palatino Linotype" w:cs="Arial"/>
                <w:b/>
                <w:i/>
              </w:rPr>
              <w:t>Constitución Política del Estado Libre y Soberano de México</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196095" w:rsidRPr="009C7EB0" w:rsidRDefault="00196095" w:rsidP="00BF2335">
            <w:pPr>
              <w:autoSpaceDE w:val="0"/>
              <w:autoSpaceDN w:val="0"/>
              <w:adjustRightInd w:val="0"/>
              <w:spacing w:before="240" w:line="360" w:lineRule="auto"/>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196095" w:rsidRPr="009C7EB0" w:rsidRDefault="00196095" w:rsidP="00BF2335">
            <w:pPr>
              <w:autoSpaceDE w:val="0"/>
              <w:autoSpaceDN w:val="0"/>
              <w:adjustRightInd w:val="0"/>
              <w:spacing w:before="240" w:line="360" w:lineRule="auto"/>
              <w:jc w:val="both"/>
              <w:rPr>
                <w:rFonts w:ascii="Palatino Linotype" w:hAnsi="Palatino Linotype" w:cs="Arial"/>
                <w:i/>
              </w:rPr>
            </w:pPr>
            <w:r w:rsidRPr="009C7EB0">
              <w:rPr>
                <w:rFonts w:ascii="Palatino Linotype" w:hAnsi="Palatino Linotype" w:cs="Arial"/>
                <w:i/>
              </w:rPr>
              <w:t>(…)</w:t>
            </w:r>
          </w:p>
          <w:p w:rsidR="00196095" w:rsidRPr="009C7EB0" w:rsidRDefault="00196095" w:rsidP="00BF2335">
            <w:pPr>
              <w:autoSpaceDE w:val="0"/>
              <w:autoSpaceDN w:val="0"/>
              <w:adjustRightInd w:val="0"/>
              <w:spacing w:before="240" w:line="360" w:lineRule="auto"/>
              <w:jc w:val="both"/>
              <w:rPr>
                <w:rFonts w:ascii="Palatino Linotype" w:hAnsi="Palatino Linotype" w:cs="Arial"/>
                <w:i/>
              </w:rPr>
            </w:pPr>
            <w:r w:rsidRPr="009C7EB0">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196095" w:rsidRPr="009C7EB0" w:rsidRDefault="00196095" w:rsidP="00196095">
      <w:pPr>
        <w:autoSpaceDE w:val="0"/>
        <w:autoSpaceDN w:val="0"/>
        <w:adjustRightInd w:val="0"/>
        <w:spacing w:before="240" w:line="360" w:lineRule="auto"/>
        <w:jc w:val="both"/>
        <w:rPr>
          <w:rFonts w:ascii="Palatino Linotype" w:hAnsi="Palatino Linotype"/>
        </w:rPr>
      </w:pPr>
      <w:r w:rsidRPr="009C7EB0">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C7EB0">
        <w:rPr>
          <w:rFonts w:ascii="Palatino Linotype" w:hAnsi="Palatino Linotype"/>
          <w:b/>
          <w:u w:val="single"/>
        </w:rPr>
        <w:t>incluso, la solicitud de acceso a la información pueda ser anónima o no contener un nombre que identifique al solicitante o que permita tener certeza sobre su identidad</w:t>
      </w:r>
      <w:r w:rsidRPr="009C7EB0">
        <w:rPr>
          <w:rFonts w:ascii="Palatino Linotype" w:hAnsi="Palatino Linotype"/>
        </w:rPr>
        <w:t xml:space="preserve">. </w:t>
      </w:r>
    </w:p>
    <w:p w:rsidR="00196095" w:rsidRPr="009C7EB0" w:rsidRDefault="00196095" w:rsidP="00196095">
      <w:pPr>
        <w:autoSpaceDE w:val="0"/>
        <w:autoSpaceDN w:val="0"/>
        <w:adjustRightInd w:val="0"/>
        <w:spacing w:before="240" w:line="360" w:lineRule="auto"/>
        <w:jc w:val="both"/>
        <w:rPr>
          <w:rFonts w:ascii="Palatino Linotype" w:hAnsi="Palatino Linotype"/>
        </w:rPr>
      </w:pPr>
      <w:r w:rsidRPr="009C7EB0">
        <w:rPr>
          <w:rFonts w:ascii="Palatino Linotype" w:hAnsi="Palatino Linotype"/>
        </w:rPr>
        <w:t>En conclusión, se cubrieron los requisitos de procedencia y procedibilidad y conforme a las constancias que obran en el expediente.</w:t>
      </w:r>
    </w:p>
    <w:p w:rsidR="00196095" w:rsidRPr="009C7EB0" w:rsidRDefault="00196095" w:rsidP="00196095">
      <w:pPr>
        <w:pStyle w:val="Prrafodelista"/>
        <w:autoSpaceDE w:val="0"/>
        <w:autoSpaceDN w:val="0"/>
        <w:adjustRightInd w:val="0"/>
        <w:spacing w:before="240" w:after="160" w:line="360" w:lineRule="auto"/>
        <w:ind w:left="0"/>
        <w:jc w:val="both"/>
        <w:rPr>
          <w:rFonts w:ascii="Palatino Linotype" w:hAnsi="Palatino Linotype" w:cs="Arial"/>
        </w:rPr>
      </w:pPr>
    </w:p>
    <w:p w:rsidR="00196095" w:rsidRPr="009C7EB0" w:rsidRDefault="00196095" w:rsidP="0019609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C7EB0">
        <w:rPr>
          <w:rFonts w:ascii="Palatino Linotype" w:hAnsi="Palatino Linotype" w:cs="Arial"/>
          <w:b/>
          <w:sz w:val="28"/>
        </w:rPr>
        <w:t>TERCERO</w:t>
      </w:r>
      <w:r w:rsidRPr="009C7EB0">
        <w:rPr>
          <w:rFonts w:ascii="Palatino Linotype" w:hAnsi="Palatino Linotype" w:cs="Arial"/>
          <w:b/>
        </w:rPr>
        <w:t xml:space="preserve">. </w:t>
      </w:r>
      <w:r w:rsidRPr="009C7EB0">
        <w:rPr>
          <w:rFonts w:ascii="Palatino Linotype" w:hAnsi="Palatino Linotype" w:cs="Arial"/>
          <w:b/>
          <w:sz w:val="28"/>
          <w:szCs w:val="28"/>
        </w:rPr>
        <w:t>De las causas de improcedencia.</w:t>
      </w:r>
    </w:p>
    <w:p w:rsidR="00196095" w:rsidRPr="009C7EB0" w:rsidRDefault="00196095" w:rsidP="00196095">
      <w:pPr>
        <w:pStyle w:val="Prrafodelista"/>
        <w:autoSpaceDE w:val="0"/>
        <w:autoSpaceDN w:val="0"/>
        <w:adjustRightInd w:val="0"/>
        <w:spacing w:before="240" w:after="160" w:line="360" w:lineRule="auto"/>
        <w:ind w:left="0"/>
        <w:jc w:val="both"/>
        <w:rPr>
          <w:rFonts w:ascii="Palatino Linotype" w:hAnsi="Palatino Linotype" w:cs="Arial"/>
        </w:rPr>
      </w:pPr>
      <w:r w:rsidRPr="009C7EB0">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w:t>
      </w:r>
      <w:r w:rsidRPr="009C7EB0">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rsidR="00196095" w:rsidRPr="009C7EB0" w:rsidRDefault="00196095" w:rsidP="00196095">
      <w:pPr>
        <w:pStyle w:val="Prrafodelista"/>
        <w:autoSpaceDE w:val="0"/>
        <w:autoSpaceDN w:val="0"/>
        <w:adjustRightInd w:val="0"/>
        <w:spacing w:line="360" w:lineRule="auto"/>
        <w:ind w:left="0"/>
        <w:jc w:val="both"/>
        <w:rPr>
          <w:rFonts w:ascii="Palatino Linotype" w:hAnsi="Palatino Linotype" w:cs="Arial"/>
        </w:rPr>
      </w:pPr>
      <w:r w:rsidRPr="009C7EB0">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C7EB0">
        <w:rPr>
          <w:rStyle w:val="Refdenotaalpie"/>
          <w:rFonts w:ascii="Palatino Linotype" w:hAnsi="Palatino Linotype" w:cs="Arial"/>
        </w:rPr>
        <w:footnoteReference w:id="1"/>
      </w:r>
      <w:r w:rsidRPr="009C7EB0">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196095" w:rsidRPr="009C7EB0" w:rsidRDefault="00196095" w:rsidP="00196095">
      <w:pPr>
        <w:tabs>
          <w:tab w:val="left" w:pos="709"/>
        </w:tabs>
        <w:spacing w:before="240" w:line="360" w:lineRule="auto"/>
        <w:ind w:right="51"/>
        <w:jc w:val="both"/>
        <w:rPr>
          <w:rFonts w:ascii="Palatino Linotype" w:hAnsi="Palatino Linotype"/>
          <w:b/>
          <w:sz w:val="28"/>
          <w:szCs w:val="28"/>
        </w:rPr>
      </w:pPr>
    </w:p>
    <w:p w:rsidR="00196095" w:rsidRPr="009C7EB0" w:rsidRDefault="00196095" w:rsidP="00196095">
      <w:pPr>
        <w:tabs>
          <w:tab w:val="left" w:pos="709"/>
        </w:tabs>
        <w:spacing w:before="240" w:line="360" w:lineRule="auto"/>
        <w:ind w:right="51"/>
        <w:jc w:val="both"/>
        <w:rPr>
          <w:rFonts w:ascii="Palatino Linotype" w:hAnsi="Palatino Linotype"/>
          <w:b/>
          <w:sz w:val="28"/>
          <w:szCs w:val="28"/>
        </w:rPr>
      </w:pPr>
      <w:r w:rsidRPr="009C7EB0">
        <w:rPr>
          <w:rFonts w:ascii="Palatino Linotype" w:hAnsi="Palatino Linotype"/>
          <w:b/>
          <w:sz w:val="28"/>
          <w:szCs w:val="28"/>
        </w:rPr>
        <w:lastRenderedPageBreak/>
        <w:t xml:space="preserve">CUARTO. Estudio y resolución del asunto </w:t>
      </w:r>
      <w:r w:rsidRPr="009C7EB0">
        <w:rPr>
          <w:rFonts w:ascii="Palatino Linotype" w:hAnsi="Palatino Linotype"/>
          <w:b/>
          <w:sz w:val="28"/>
          <w:szCs w:val="28"/>
        </w:rPr>
        <w:tab/>
      </w:r>
    </w:p>
    <w:p w:rsidR="00196095" w:rsidRPr="009C7EB0" w:rsidRDefault="00196095" w:rsidP="0019609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C7EB0">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196095" w:rsidRPr="009C7EB0" w:rsidRDefault="00196095" w:rsidP="00196095">
      <w:pPr>
        <w:autoSpaceDE w:val="0"/>
        <w:autoSpaceDN w:val="0"/>
        <w:adjustRightInd w:val="0"/>
        <w:ind w:right="567"/>
        <w:rPr>
          <w:rFonts w:ascii="Palatino Linotype" w:eastAsia="Calibri" w:hAnsi="Palatino Linotype" w:cs="Arial"/>
        </w:rPr>
      </w:pPr>
    </w:p>
    <w:p w:rsidR="00196095" w:rsidRPr="009C7EB0" w:rsidRDefault="00196095" w:rsidP="0019609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C7EB0">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196095" w:rsidRPr="009C7EB0" w:rsidRDefault="00196095" w:rsidP="00196095">
      <w:pPr>
        <w:pStyle w:val="Citas"/>
        <w:spacing w:before="0" w:after="0" w:line="240" w:lineRule="auto"/>
      </w:pPr>
      <w:r w:rsidRPr="009C7EB0">
        <w:rPr>
          <w:b/>
        </w:rPr>
        <w:t>Artículo 179.</w:t>
      </w:r>
      <w:r w:rsidRPr="009C7EB0">
        <w:t xml:space="preserve"> El recurso de revisión es un medio de protección que la Ley otorga a los particulares, para hacer valer su derecho de acceso a la información pública, y procederá en contra de las siguientes causas: </w:t>
      </w:r>
    </w:p>
    <w:p w:rsidR="00196095" w:rsidRPr="009C7EB0" w:rsidRDefault="00196095" w:rsidP="00196095">
      <w:pPr>
        <w:pStyle w:val="Citas"/>
        <w:numPr>
          <w:ilvl w:val="0"/>
          <w:numId w:val="3"/>
        </w:numPr>
        <w:spacing w:before="0" w:after="0" w:line="240" w:lineRule="auto"/>
        <w:rPr>
          <w:b/>
        </w:rPr>
      </w:pPr>
      <w:r w:rsidRPr="009C7EB0">
        <w:rPr>
          <w:b/>
        </w:rPr>
        <w:t xml:space="preserve">La negativa a la información solicitada; </w:t>
      </w:r>
    </w:p>
    <w:p w:rsidR="00196095" w:rsidRPr="009C7EB0" w:rsidRDefault="00196095" w:rsidP="00196095">
      <w:pPr>
        <w:pStyle w:val="Citas"/>
        <w:numPr>
          <w:ilvl w:val="0"/>
          <w:numId w:val="3"/>
        </w:numPr>
        <w:spacing w:before="0" w:after="0" w:line="240" w:lineRule="auto"/>
      </w:pPr>
      <w:r w:rsidRPr="009C7EB0">
        <w:t xml:space="preserve">La clasificación de la información; </w:t>
      </w:r>
    </w:p>
    <w:p w:rsidR="00196095" w:rsidRPr="009C7EB0" w:rsidRDefault="00196095" w:rsidP="00196095">
      <w:pPr>
        <w:pStyle w:val="Citas"/>
        <w:numPr>
          <w:ilvl w:val="0"/>
          <w:numId w:val="3"/>
        </w:numPr>
        <w:spacing w:before="0" w:after="0" w:line="240" w:lineRule="auto"/>
      </w:pPr>
      <w:r w:rsidRPr="009C7EB0">
        <w:t xml:space="preserve">La declaración de inexistencia de la información; </w:t>
      </w:r>
    </w:p>
    <w:p w:rsidR="00196095" w:rsidRPr="009C7EB0" w:rsidRDefault="00196095" w:rsidP="00196095">
      <w:pPr>
        <w:pStyle w:val="Citas"/>
        <w:numPr>
          <w:ilvl w:val="0"/>
          <w:numId w:val="3"/>
        </w:numPr>
        <w:spacing w:before="0" w:after="0" w:line="240" w:lineRule="auto"/>
      </w:pPr>
      <w:r w:rsidRPr="009C7EB0">
        <w:t xml:space="preserve">La declaración de incompetencia por el sujeto obligado; </w:t>
      </w:r>
    </w:p>
    <w:p w:rsidR="00196095" w:rsidRPr="009C7EB0" w:rsidRDefault="00196095" w:rsidP="00196095">
      <w:pPr>
        <w:pStyle w:val="Citas"/>
        <w:numPr>
          <w:ilvl w:val="0"/>
          <w:numId w:val="3"/>
        </w:numPr>
        <w:spacing w:before="0" w:after="0" w:line="240" w:lineRule="auto"/>
      </w:pPr>
      <w:r w:rsidRPr="009C7EB0">
        <w:t xml:space="preserve">La entrega de información incompleta; </w:t>
      </w:r>
    </w:p>
    <w:p w:rsidR="00196095" w:rsidRPr="009C7EB0" w:rsidRDefault="00196095" w:rsidP="00196095">
      <w:pPr>
        <w:pStyle w:val="Citas"/>
        <w:numPr>
          <w:ilvl w:val="0"/>
          <w:numId w:val="3"/>
        </w:numPr>
        <w:spacing w:before="0" w:after="0" w:line="240" w:lineRule="auto"/>
      </w:pPr>
      <w:r w:rsidRPr="009C7EB0">
        <w:t xml:space="preserve">La entrega de información que no corresponda con lo solicitado; </w:t>
      </w:r>
    </w:p>
    <w:p w:rsidR="00196095" w:rsidRPr="009C7EB0" w:rsidRDefault="00196095" w:rsidP="00196095">
      <w:pPr>
        <w:pStyle w:val="Citas"/>
        <w:numPr>
          <w:ilvl w:val="0"/>
          <w:numId w:val="3"/>
        </w:numPr>
        <w:spacing w:before="0" w:after="0" w:line="240" w:lineRule="auto"/>
      </w:pPr>
      <w:r w:rsidRPr="009C7EB0">
        <w:t xml:space="preserve">La falta de respuesta a una solicitud de acceso a la información; </w:t>
      </w:r>
    </w:p>
    <w:p w:rsidR="00196095" w:rsidRPr="009C7EB0" w:rsidRDefault="00196095" w:rsidP="00196095">
      <w:pPr>
        <w:pStyle w:val="Citas"/>
        <w:numPr>
          <w:ilvl w:val="0"/>
          <w:numId w:val="3"/>
        </w:numPr>
        <w:spacing w:before="0" w:after="0" w:line="240" w:lineRule="auto"/>
      </w:pPr>
      <w:r w:rsidRPr="009C7EB0">
        <w:t xml:space="preserve">La notificación, entrega o puesta a disposición de información en una modalidad o formato distinto al solicitado; </w:t>
      </w:r>
    </w:p>
    <w:p w:rsidR="00196095" w:rsidRPr="009C7EB0" w:rsidRDefault="00196095" w:rsidP="00196095">
      <w:pPr>
        <w:pStyle w:val="Citas"/>
        <w:numPr>
          <w:ilvl w:val="0"/>
          <w:numId w:val="3"/>
        </w:numPr>
        <w:spacing w:before="0" w:after="0" w:line="240" w:lineRule="auto"/>
      </w:pPr>
      <w:r w:rsidRPr="009C7EB0">
        <w:t xml:space="preserve">La entrega o puesta a disposición de información en un formato incomprensible y/o no accesible para el solicitante; </w:t>
      </w:r>
    </w:p>
    <w:p w:rsidR="00196095" w:rsidRPr="009C7EB0" w:rsidRDefault="00196095" w:rsidP="00196095">
      <w:pPr>
        <w:pStyle w:val="Citas"/>
        <w:numPr>
          <w:ilvl w:val="0"/>
          <w:numId w:val="3"/>
        </w:numPr>
        <w:spacing w:before="0" w:after="0" w:line="240" w:lineRule="auto"/>
      </w:pPr>
      <w:r w:rsidRPr="009C7EB0">
        <w:t xml:space="preserve">Los costos o tiempos de entrega de la información; </w:t>
      </w:r>
    </w:p>
    <w:p w:rsidR="00196095" w:rsidRPr="009C7EB0" w:rsidRDefault="00196095" w:rsidP="00196095">
      <w:pPr>
        <w:pStyle w:val="Citas"/>
        <w:numPr>
          <w:ilvl w:val="0"/>
          <w:numId w:val="3"/>
        </w:numPr>
        <w:spacing w:before="0" w:after="0" w:line="240" w:lineRule="auto"/>
      </w:pPr>
      <w:r w:rsidRPr="009C7EB0">
        <w:t xml:space="preserve">La falta de trámite a una solicitud; </w:t>
      </w:r>
    </w:p>
    <w:p w:rsidR="00196095" w:rsidRPr="009C7EB0" w:rsidRDefault="00196095" w:rsidP="00196095">
      <w:pPr>
        <w:pStyle w:val="Citas"/>
        <w:numPr>
          <w:ilvl w:val="0"/>
          <w:numId w:val="3"/>
        </w:numPr>
        <w:spacing w:before="0" w:after="0" w:line="240" w:lineRule="auto"/>
      </w:pPr>
      <w:r w:rsidRPr="009C7EB0">
        <w:t xml:space="preserve">La negativa a permitir la consulta directa de la información; </w:t>
      </w:r>
    </w:p>
    <w:p w:rsidR="00196095" w:rsidRPr="009C7EB0" w:rsidRDefault="00196095" w:rsidP="00196095">
      <w:pPr>
        <w:pStyle w:val="Citas"/>
        <w:numPr>
          <w:ilvl w:val="0"/>
          <w:numId w:val="3"/>
        </w:numPr>
        <w:spacing w:before="0" w:after="0" w:line="240" w:lineRule="auto"/>
      </w:pPr>
      <w:r w:rsidRPr="009C7EB0">
        <w:t xml:space="preserve">La falta, deficiencia o insuficiencia de la fundamentación y/o motivación en la respuesta; y </w:t>
      </w:r>
    </w:p>
    <w:p w:rsidR="00196095" w:rsidRPr="009C7EB0" w:rsidRDefault="00196095" w:rsidP="00196095">
      <w:pPr>
        <w:pStyle w:val="Citas"/>
        <w:numPr>
          <w:ilvl w:val="0"/>
          <w:numId w:val="3"/>
        </w:numPr>
        <w:spacing w:before="0" w:after="0" w:line="240" w:lineRule="auto"/>
      </w:pPr>
      <w:r w:rsidRPr="009C7EB0">
        <w:t xml:space="preserve">La orientación a un trámite específico. </w:t>
      </w:r>
    </w:p>
    <w:p w:rsidR="00196095" w:rsidRPr="009C7EB0" w:rsidRDefault="00196095" w:rsidP="00196095">
      <w:pPr>
        <w:pStyle w:val="Citas"/>
        <w:spacing w:before="0" w:after="0" w:line="240" w:lineRule="auto"/>
      </w:pPr>
      <w:r w:rsidRPr="009C7EB0">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196095" w:rsidRPr="009C7EB0" w:rsidRDefault="00196095" w:rsidP="00196095">
      <w:pPr>
        <w:autoSpaceDE w:val="0"/>
        <w:autoSpaceDN w:val="0"/>
        <w:adjustRightInd w:val="0"/>
        <w:ind w:right="567"/>
        <w:rPr>
          <w:rFonts w:ascii="Palatino Linotype" w:eastAsia="Calibri" w:hAnsi="Palatino Linotype" w:cs="Arial"/>
        </w:rPr>
      </w:pPr>
    </w:p>
    <w:p w:rsidR="00196095" w:rsidRPr="009C7EB0" w:rsidRDefault="00196095" w:rsidP="00196095">
      <w:pPr>
        <w:autoSpaceDE w:val="0"/>
        <w:autoSpaceDN w:val="0"/>
        <w:adjustRightInd w:val="0"/>
        <w:ind w:right="567"/>
        <w:rPr>
          <w:rFonts w:ascii="Palatino Linotype" w:eastAsia="Calibri" w:hAnsi="Palatino Linotype" w:cs="Arial"/>
        </w:rPr>
      </w:pPr>
    </w:p>
    <w:p w:rsidR="00196095" w:rsidRPr="009C7EB0" w:rsidRDefault="00196095" w:rsidP="00196095">
      <w:pPr>
        <w:spacing w:line="360" w:lineRule="auto"/>
        <w:jc w:val="both"/>
        <w:rPr>
          <w:rFonts w:ascii="Palatino Linotype" w:hAnsi="Palatino Linotype" w:cs="Tahoma"/>
          <w:bCs/>
        </w:rPr>
      </w:pPr>
      <w:r w:rsidRPr="009C7EB0">
        <w:rPr>
          <w:rFonts w:ascii="Palatino Linotype" w:hAnsi="Palatino Linotype" w:cs="Tahoma"/>
          <w:bCs/>
        </w:rPr>
        <w:t xml:space="preserve">Bajo estas líneas argumentativas, al retomar y delimitar los requerimientos del ahora </w:t>
      </w:r>
      <w:r w:rsidRPr="009C7EB0">
        <w:rPr>
          <w:rFonts w:ascii="Palatino Linotype" w:hAnsi="Palatino Linotype" w:cs="Tahoma"/>
          <w:b/>
          <w:bCs/>
        </w:rPr>
        <w:t>Recurrente</w:t>
      </w:r>
      <w:r w:rsidRPr="009C7EB0">
        <w:rPr>
          <w:rFonts w:ascii="Palatino Linotype" w:hAnsi="Palatino Linotype" w:cs="Tahoma"/>
          <w:bCs/>
        </w:rPr>
        <w:t>, de manera objetiva se precisa que requiere la siguiente información:</w:t>
      </w:r>
    </w:p>
    <w:p w:rsidR="00067097" w:rsidRPr="009C7EB0" w:rsidRDefault="00067097" w:rsidP="00067097">
      <w:pPr>
        <w:pStyle w:val="Prrafodelista"/>
        <w:numPr>
          <w:ilvl w:val="0"/>
          <w:numId w:val="5"/>
        </w:numPr>
        <w:spacing w:line="360" w:lineRule="auto"/>
        <w:jc w:val="both"/>
        <w:rPr>
          <w:rFonts w:ascii="Palatino Linotype" w:hAnsi="Palatino Linotype" w:cs="Tahoma"/>
          <w:bCs/>
        </w:rPr>
      </w:pPr>
      <w:r w:rsidRPr="009C7EB0">
        <w:rPr>
          <w:rFonts w:ascii="Palatino Linotype" w:hAnsi="Palatino Linotype" w:cs="Tahoma"/>
          <w:bCs/>
        </w:rPr>
        <w:t xml:space="preserve">En particular, solicito: Relación de patrocinadores o empresas colaboradoras, indicando monto o tipo de aportación (económica, en especie o de servicios). </w:t>
      </w:r>
    </w:p>
    <w:p w:rsidR="00067097" w:rsidRPr="009C7EB0" w:rsidRDefault="00067097" w:rsidP="00067097">
      <w:pPr>
        <w:pStyle w:val="Prrafodelista"/>
        <w:numPr>
          <w:ilvl w:val="0"/>
          <w:numId w:val="5"/>
        </w:numPr>
        <w:spacing w:line="360" w:lineRule="auto"/>
        <w:jc w:val="both"/>
        <w:rPr>
          <w:rFonts w:ascii="Palatino Linotype" w:hAnsi="Palatino Linotype" w:cs="Tahoma"/>
          <w:bCs/>
        </w:rPr>
      </w:pPr>
      <w:r w:rsidRPr="009C7EB0">
        <w:rPr>
          <w:rFonts w:ascii="Palatino Linotype" w:hAnsi="Palatino Linotype" w:cs="Tahoma"/>
          <w:bCs/>
        </w:rPr>
        <w:t xml:space="preserve">Monto total de ingresos obtenidos por cobro de permisos, uso de espacios o cuotas a expositores, comerciantes o prestadores de servicios. </w:t>
      </w:r>
    </w:p>
    <w:p w:rsidR="001F714C" w:rsidRPr="009C7EB0" w:rsidRDefault="00067097" w:rsidP="00067097">
      <w:pPr>
        <w:pStyle w:val="Prrafodelista"/>
        <w:numPr>
          <w:ilvl w:val="0"/>
          <w:numId w:val="5"/>
        </w:numPr>
        <w:spacing w:line="360" w:lineRule="auto"/>
        <w:jc w:val="both"/>
        <w:rPr>
          <w:rFonts w:ascii="Palatino Linotype" w:hAnsi="Palatino Linotype" w:cs="Tahoma"/>
          <w:bCs/>
        </w:rPr>
      </w:pPr>
      <w:r w:rsidRPr="009C7EB0">
        <w:rPr>
          <w:rFonts w:ascii="Palatino Linotype" w:hAnsi="Palatino Linotype" w:cs="Tahoma"/>
          <w:bCs/>
        </w:rPr>
        <w:t xml:space="preserve">Copia de los convenios o contratos celebrados con patrocinadores o empresas participantes. </w:t>
      </w:r>
    </w:p>
    <w:p w:rsidR="001F714C" w:rsidRPr="009C7EB0" w:rsidRDefault="00067097" w:rsidP="00067097">
      <w:pPr>
        <w:pStyle w:val="Prrafodelista"/>
        <w:numPr>
          <w:ilvl w:val="0"/>
          <w:numId w:val="5"/>
        </w:numPr>
        <w:spacing w:line="360" w:lineRule="auto"/>
        <w:jc w:val="both"/>
        <w:rPr>
          <w:rFonts w:ascii="Palatino Linotype" w:hAnsi="Palatino Linotype" w:cs="Tahoma"/>
          <w:bCs/>
        </w:rPr>
      </w:pPr>
      <w:r w:rsidRPr="009C7EB0">
        <w:rPr>
          <w:rFonts w:ascii="Palatino Linotype" w:hAnsi="Palatino Linotype" w:cs="Tahoma"/>
          <w:bCs/>
        </w:rPr>
        <w:t xml:space="preserve">Detalle de las cuentas o partidas presupuestales donde fueron registrados dichos ingresos. </w:t>
      </w:r>
    </w:p>
    <w:p w:rsidR="00711A2C" w:rsidRPr="009C7EB0" w:rsidRDefault="00711A2C" w:rsidP="00711A2C">
      <w:pPr>
        <w:spacing w:before="240" w:after="160" w:line="360" w:lineRule="auto"/>
        <w:jc w:val="both"/>
        <w:rPr>
          <w:rFonts w:ascii="Palatino Linotype" w:hAnsi="Palatino Linotype"/>
          <w:lang w:val="es-MX" w:eastAsia="en-US"/>
        </w:rPr>
      </w:pPr>
      <w:r w:rsidRPr="009C7EB0">
        <w:rPr>
          <w:rFonts w:ascii="Palatino Linotype" w:hAnsi="Palatino Linotype" w:cs="Arial"/>
          <w:lang w:val="es-MX" w:eastAsia="en-US"/>
        </w:rPr>
        <w:t xml:space="preserve">Ahora bien, cuando los particulares no identifican </w:t>
      </w:r>
      <w:r w:rsidRPr="009C7EB0">
        <w:rPr>
          <w:rFonts w:ascii="Palatino Linotype" w:hAnsi="Palatino Linotype"/>
          <w:lang w:val="es-MX" w:eastAsia="en-US"/>
        </w:rPr>
        <w:t xml:space="preserve">de forma precisa el documento requerido bastará con que se remita cualquiera que refleje la información requerida, por lo que, el punto 1 puede colmarse con los convenios referidos en el punto 3. Al respecto cobra relevancia el criterio orientador emitido por el entonces Órgano Garante Nacional con número </w:t>
      </w:r>
      <w:r w:rsidRPr="009C7EB0">
        <w:rPr>
          <w:rFonts w:ascii="Palatino Linotype" w:hAnsi="Palatino Linotype"/>
          <w:b/>
          <w:bCs/>
          <w:lang w:val="es-MX" w:eastAsia="en-US"/>
        </w:rPr>
        <w:t xml:space="preserve">16/17 </w:t>
      </w:r>
      <w:r w:rsidRPr="009C7EB0">
        <w:rPr>
          <w:rFonts w:ascii="Palatino Linotype" w:hAnsi="Palatino Linotype"/>
          <w:lang w:val="es-MX" w:eastAsia="en-US"/>
        </w:rPr>
        <w:t>cuyo rubro y texto disponen a la literalidad lo siguiente:</w:t>
      </w:r>
    </w:p>
    <w:p w:rsidR="00711A2C" w:rsidRPr="009C7EB0" w:rsidRDefault="00711A2C" w:rsidP="00711A2C">
      <w:pPr>
        <w:ind w:left="851" w:right="851"/>
        <w:jc w:val="center"/>
        <w:rPr>
          <w:rFonts w:ascii="Palatino Linotype" w:eastAsiaTheme="minorHAnsi" w:hAnsi="Palatino Linotype" w:cs="Arial"/>
          <w:b/>
          <w:bCs/>
          <w:i/>
          <w:lang w:val="es-MX" w:eastAsia="en-US"/>
        </w:rPr>
      </w:pPr>
      <w:r w:rsidRPr="009C7EB0">
        <w:rPr>
          <w:rFonts w:ascii="Palatino Linotype" w:eastAsiaTheme="minorHAnsi" w:hAnsi="Palatino Linotype" w:cs="Arial"/>
          <w:b/>
          <w:bCs/>
          <w:i/>
          <w:lang w:val="es-MX" w:eastAsia="en-US"/>
        </w:rPr>
        <w:t>“EXPRESIÓN DOCUMENTAL.</w:t>
      </w:r>
    </w:p>
    <w:p w:rsidR="00711A2C" w:rsidRPr="009C7EB0" w:rsidRDefault="00711A2C" w:rsidP="00711A2C">
      <w:pPr>
        <w:ind w:left="851" w:right="851"/>
        <w:jc w:val="both"/>
        <w:rPr>
          <w:rFonts w:ascii="Palatino Linotype" w:eastAsiaTheme="minorHAnsi" w:hAnsi="Palatino Linotype" w:cs="Arial"/>
          <w:i/>
          <w:sz w:val="22"/>
          <w:lang w:val="es-MX" w:eastAsia="en-US"/>
        </w:rPr>
      </w:pPr>
      <w:r w:rsidRPr="009C7EB0">
        <w:rPr>
          <w:rFonts w:ascii="Palatino Linotype" w:eastAsiaTheme="minorHAnsi" w:hAnsi="Palatino Linotype" w:cs="Arial"/>
          <w:bCs/>
          <w:i/>
          <w:sz w:val="22"/>
          <w:lang w:val="es-MX" w:eastAsia="en-US"/>
        </w:rPr>
        <w:t>Cuando</w:t>
      </w:r>
      <w:r w:rsidRPr="009C7EB0">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9C7EB0">
        <w:rPr>
          <w:rFonts w:ascii="Palatino Linotype" w:eastAsiaTheme="minorHAnsi" w:hAnsi="Palatino Linotype" w:cs="Arial"/>
          <w:i/>
          <w:sz w:val="22"/>
          <w:lang w:val="es-MX" w:eastAsia="en-US"/>
        </w:rPr>
        <w:t>o bien, la solicitud constituya una consulta,</w:t>
      </w:r>
      <w:r w:rsidRPr="009C7EB0">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rsidR="00711A2C" w:rsidRPr="009C7EB0" w:rsidRDefault="00711A2C" w:rsidP="00711A2C">
      <w:pPr>
        <w:ind w:left="851" w:right="851"/>
        <w:jc w:val="both"/>
        <w:rPr>
          <w:rFonts w:ascii="Palatino Linotype" w:eastAsiaTheme="minorHAnsi" w:hAnsi="Palatino Linotype" w:cs="Arial"/>
          <w:b/>
          <w:i/>
          <w:sz w:val="22"/>
          <w:szCs w:val="22"/>
          <w:lang w:val="es-MX" w:eastAsia="en-US"/>
        </w:rPr>
      </w:pPr>
      <w:r w:rsidRPr="009C7EB0">
        <w:rPr>
          <w:rFonts w:ascii="Palatino Linotype" w:eastAsiaTheme="minorHAnsi" w:hAnsi="Palatino Linotype" w:cs="Arial"/>
          <w:b/>
          <w:i/>
          <w:sz w:val="22"/>
          <w:szCs w:val="22"/>
          <w:lang w:val="es-MX" w:eastAsia="en-US"/>
        </w:rPr>
        <w:t>Precedentes:</w:t>
      </w:r>
    </w:p>
    <w:p w:rsidR="00711A2C" w:rsidRPr="009C7EB0" w:rsidRDefault="00711A2C" w:rsidP="00711A2C">
      <w:pPr>
        <w:numPr>
          <w:ilvl w:val="0"/>
          <w:numId w:val="14"/>
        </w:numPr>
        <w:ind w:right="851"/>
        <w:jc w:val="both"/>
        <w:rPr>
          <w:rFonts w:ascii="Palatino Linotype" w:eastAsiaTheme="minorHAnsi" w:hAnsi="Palatino Linotype" w:cs="Arial"/>
          <w:i/>
          <w:color w:val="000000"/>
          <w:sz w:val="22"/>
          <w:szCs w:val="22"/>
          <w:lang w:val="es-MX" w:eastAsia="en-US"/>
        </w:rPr>
      </w:pPr>
      <w:r w:rsidRPr="009C7EB0">
        <w:rPr>
          <w:rFonts w:ascii="Palatino Linotype" w:eastAsiaTheme="minorHAnsi" w:hAnsi="Palatino Linotype" w:cs="Arial"/>
          <w:i/>
          <w:sz w:val="22"/>
          <w:szCs w:val="22"/>
          <w:lang w:val="es-MX" w:eastAsia="en-US"/>
        </w:rPr>
        <w:lastRenderedPageBreak/>
        <w:t xml:space="preserve">Acceso a la información pública. RRA 0774/16. Sesión del 31 de agosto de 2016. Votación por unanimidad. </w:t>
      </w:r>
      <w:r w:rsidRPr="009C7EB0">
        <w:rPr>
          <w:rFonts w:ascii="Palatino Linotype" w:eastAsia="Arial" w:hAnsi="Palatino Linotype" w:cs="Arial"/>
          <w:i/>
          <w:sz w:val="22"/>
          <w:szCs w:val="22"/>
          <w:lang w:val="es-MX" w:eastAsia="en-US"/>
        </w:rPr>
        <w:t>Sin votos disidentes o particulares.</w:t>
      </w:r>
      <w:r w:rsidRPr="009C7EB0">
        <w:rPr>
          <w:rFonts w:ascii="Palatino Linotype" w:eastAsiaTheme="minorHAnsi" w:hAnsi="Palatino Linotype" w:cs="Arial"/>
          <w:i/>
          <w:sz w:val="22"/>
          <w:szCs w:val="22"/>
          <w:lang w:val="es-MX" w:eastAsia="en-US"/>
        </w:rPr>
        <w:t xml:space="preserve"> Secretaría de Salud. Comisionada Ponente María Patricia Kurczyn Villalobos.</w:t>
      </w:r>
    </w:p>
    <w:p w:rsidR="00711A2C" w:rsidRPr="009C7EB0" w:rsidRDefault="00711A2C" w:rsidP="00711A2C">
      <w:pPr>
        <w:numPr>
          <w:ilvl w:val="0"/>
          <w:numId w:val="14"/>
        </w:numPr>
        <w:ind w:right="851"/>
        <w:jc w:val="both"/>
        <w:rPr>
          <w:rFonts w:ascii="Palatino Linotype" w:eastAsiaTheme="minorHAnsi" w:hAnsi="Palatino Linotype" w:cs="Arial"/>
          <w:i/>
          <w:color w:val="000000"/>
          <w:sz w:val="22"/>
          <w:szCs w:val="22"/>
          <w:lang w:val="es-MX" w:eastAsia="en-US"/>
        </w:rPr>
      </w:pPr>
      <w:r w:rsidRPr="009C7EB0">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9C7EB0">
        <w:rPr>
          <w:rFonts w:ascii="Palatino Linotype" w:eastAsia="Arial" w:hAnsi="Palatino Linotype" w:cs="Arial"/>
          <w:i/>
          <w:sz w:val="22"/>
          <w:szCs w:val="22"/>
          <w:lang w:val="es-MX" w:eastAsia="en-US"/>
        </w:rPr>
        <w:t>Sin votos disidentes o particulares.</w:t>
      </w:r>
      <w:r w:rsidRPr="009C7EB0">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rsidR="00711A2C" w:rsidRPr="009C7EB0" w:rsidRDefault="00711A2C" w:rsidP="00711A2C">
      <w:pPr>
        <w:numPr>
          <w:ilvl w:val="0"/>
          <w:numId w:val="14"/>
        </w:numPr>
        <w:ind w:right="851"/>
        <w:jc w:val="both"/>
        <w:rPr>
          <w:rFonts w:ascii="Palatino Linotype" w:eastAsiaTheme="minorHAnsi" w:hAnsi="Palatino Linotype" w:cs="Arial"/>
          <w:i/>
          <w:color w:val="000000"/>
          <w:sz w:val="22"/>
          <w:szCs w:val="22"/>
          <w:lang w:val="es-MX" w:eastAsia="en-US"/>
        </w:rPr>
      </w:pPr>
      <w:r w:rsidRPr="009C7EB0">
        <w:rPr>
          <w:rFonts w:ascii="Palatino Linotype" w:eastAsiaTheme="minorHAnsi" w:hAnsi="Palatino Linotype" w:cs="Arial"/>
          <w:i/>
          <w:sz w:val="22"/>
          <w:szCs w:val="22"/>
          <w:lang w:val="es-MX" w:eastAsia="en-US"/>
        </w:rPr>
        <w:t xml:space="preserve">Acceso a la información pública. RRA 0540/17. Sesión del 08 de marzo del 2017. Votación por unanimidad. </w:t>
      </w:r>
      <w:r w:rsidRPr="009C7EB0">
        <w:rPr>
          <w:rFonts w:ascii="Palatino Linotype" w:eastAsia="Arial" w:hAnsi="Palatino Linotype" w:cs="Arial"/>
          <w:i/>
          <w:sz w:val="22"/>
          <w:szCs w:val="22"/>
          <w:lang w:val="es-MX" w:eastAsia="en-US"/>
        </w:rPr>
        <w:t>Sin votos disidentes o particulares.</w:t>
      </w:r>
      <w:r w:rsidRPr="009C7EB0">
        <w:rPr>
          <w:rFonts w:ascii="Palatino Linotype" w:eastAsiaTheme="minorHAnsi" w:hAnsi="Palatino Linotype" w:cs="Arial"/>
          <w:i/>
          <w:sz w:val="22"/>
          <w:szCs w:val="22"/>
          <w:lang w:val="es-MX" w:eastAsia="en-US"/>
        </w:rPr>
        <w:t xml:space="preserve"> Secretaría de Economía. Comisionado Ponente Francisco Javier Acuña Llamas. “ </w:t>
      </w:r>
      <w:r w:rsidRPr="009C7EB0">
        <w:rPr>
          <w:rFonts w:ascii="Palatino Linotype" w:eastAsiaTheme="minorHAnsi" w:hAnsi="Palatino Linotype" w:cs="Arial"/>
          <w:b/>
          <w:bCs/>
          <w:i/>
          <w:sz w:val="22"/>
          <w:szCs w:val="22"/>
          <w:lang w:val="es-MX" w:eastAsia="en-US"/>
        </w:rPr>
        <w:t>(Sic)</w:t>
      </w:r>
    </w:p>
    <w:p w:rsidR="00711A2C" w:rsidRPr="009C7EB0" w:rsidRDefault="00711A2C" w:rsidP="00711A2C">
      <w:pPr>
        <w:spacing w:line="360" w:lineRule="auto"/>
        <w:jc w:val="both"/>
        <w:rPr>
          <w:rFonts w:ascii="Palatino Linotype" w:eastAsia="Calibri" w:hAnsi="Palatino Linotype" w:cs="Tahoma"/>
          <w:bCs/>
          <w:color w:val="000000"/>
        </w:rPr>
      </w:pPr>
    </w:p>
    <w:p w:rsidR="00711A2C" w:rsidRPr="009C7EB0" w:rsidRDefault="00711A2C" w:rsidP="00196095">
      <w:pPr>
        <w:spacing w:before="240" w:line="360" w:lineRule="auto"/>
        <w:jc w:val="both"/>
        <w:rPr>
          <w:rFonts w:ascii="Palatino Linotype" w:hAnsi="Palatino Linotype" w:cs="Arial"/>
        </w:rPr>
      </w:pPr>
    </w:p>
    <w:p w:rsidR="00196095" w:rsidRPr="009C7EB0" w:rsidRDefault="00196095" w:rsidP="00196095">
      <w:pPr>
        <w:spacing w:before="240" w:line="360" w:lineRule="auto"/>
        <w:jc w:val="both"/>
        <w:rPr>
          <w:rFonts w:ascii="Palatino Linotype" w:hAnsi="Palatino Linotype" w:cs="Arial"/>
          <w:b/>
        </w:rPr>
      </w:pPr>
      <w:r w:rsidRPr="009C7EB0">
        <w:rPr>
          <w:rFonts w:ascii="Palatino Linotype" w:hAnsi="Palatino Linotype" w:cs="Arial"/>
        </w:rPr>
        <w:t xml:space="preserve">De conformidad con las constancias que obran en el expediente electrónico, se observa que el </w:t>
      </w:r>
      <w:r w:rsidRPr="009C7EB0">
        <w:rPr>
          <w:rFonts w:ascii="Palatino Linotype" w:hAnsi="Palatino Linotype" w:cs="Arial"/>
          <w:b/>
        </w:rPr>
        <w:t>Sujeto Obligado</w:t>
      </w:r>
      <w:r w:rsidRPr="009C7EB0">
        <w:rPr>
          <w:rFonts w:ascii="Palatino Linotype" w:hAnsi="Palatino Linotype" w:cs="Arial"/>
        </w:rPr>
        <w:t xml:space="preserve"> dio respuesta por medio del sistema SAIMEX, a la solicitud de información</w:t>
      </w:r>
      <w:r w:rsidRPr="009C7EB0">
        <w:rPr>
          <w:rFonts w:ascii="Palatino Linotype" w:eastAsia="Palatino Linotype" w:hAnsi="Palatino Linotype" w:cs="Palatino Linotype"/>
          <w:b/>
          <w:color w:val="000000"/>
        </w:rPr>
        <w:t xml:space="preserve"> </w:t>
      </w:r>
      <w:r w:rsidRPr="009C7EB0">
        <w:rPr>
          <w:rFonts w:ascii="Palatino Linotype" w:hAnsi="Palatino Linotype" w:cs="Arial"/>
          <w:b/>
        </w:rPr>
        <w:t xml:space="preserve">05368/TOLUCA/IP/2025; </w:t>
      </w:r>
      <w:r w:rsidRPr="009C7EB0">
        <w:rPr>
          <w:rFonts w:ascii="Palatino Linotype" w:hAnsi="Palatino Linotype" w:cs="Arial"/>
        </w:rPr>
        <w:t>a través de los archivos electrónicos</w:t>
      </w:r>
      <w:r w:rsidRPr="009C7EB0">
        <w:rPr>
          <w:rFonts w:ascii="Palatino Linotype" w:hAnsi="Palatino Linotype" w:cs="Arial"/>
          <w:b/>
        </w:rPr>
        <w:t>:</w:t>
      </w:r>
    </w:p>
    <w:p w:rsidR="001F714C" w:rsidRPr="009C7EB0" w:rsidRDefault="001F714C" w:rsidP="00A976B2">
      <w:pPr>
        <w:pStyle w:val="Sinespaciado"/>
        <w:numPr>
          <w:ilvl w:val="0"/>
          <w:numId w:val="1"/>
        </w:numPr>
        <w:spacing w:before="240" w:line="360" w:lineRule="auto"/>
        <w:jc w:val="both"/>
        <w:rPr>
          <w:rFonts w:ascii="Palatino Linotype" w:hAnsi="Palatino Linotype" w:cs="Arial"/>
          <w:b/>
          <w:i/>
          <w:sz w:val="24"/>
        </w:rPr>
      </w:pPr>
      <w:r w:rsidRPr="009C7EB0">
        <w:rPr>
          <w:rFonts w:ascii="Palatino Linotype" w:hAnsi="Palatino Linotype" w:cs="Arial"/>
          <w:b/>
          <w:i/>
          <w:sz w:val="24"/>
        </w:rPr>
        <w:t xml:space="preserve">05368.pdf: </w:t>
      </w:r>
      <w:r w:rsidRPr="009C7EB0">
        <w:rPr>
          <w:rFonts w:ascii="Palatino Linotype" w:hAnsi="Palatino Linotype" w:cs="Arial"/>
          <w:sz w:val="24"/>
        </w:rPr>
        <w:t>oficio número 202010000/03619/2025, firmado por el Tesorero Municipal, en el que refiere que los documentos solicitados forman parte de la integración de los informes trimestrales de 2025, la cual ya fue remitida al OSFEM.</w:t>
      </w:r>
      <w:r w:rsidR="002B4352" w:rsidRPr="009C7EB0">
        <w:rPr>
          <w:rFonts w:ascii="Palatino Linotype" w:hAnsi="Palatino Linotype" w:cs="Arial"/>
          <w:sz w:val="24"/>
        </w:rPr>
        <w:t xml:space="preserve"> Por otro lado, remite una liga electrónica para consultar un acuerdo, dicha liga dirige a la página del OSFEM, sin embargo, marca error.</w:t>
      </w:r>
    </w:p>
    <w:p w:rsidR="001F714C" w:rsidRPr="009C7EB0" w:rsidRDefault="002B4352" w:rsidP="002B4352">
      <w:pPr>
        <w:pStyle w:val="Sinespaciado"/>
        <w:numPr>
          <w:ilvl w:val="0"/>
          <w:numId w:val="1"/>
        </w:numPr>
        <w:spacing w:before="240" w:line="360" w:lineRule="auto"/>
        <w:jc w:val="both"/>
        <w:rPr>
          <w:rFonts w:ascii="Palatino Linotype" w:hAnsi="Palatino Linotype" w:cs="Arial"/>
          <w:b/>
          <w:i/>
          <w:sz w:val="24"/>
        </w:rPr>
      </w:pPr>
      <w:r w:rsidRPr="009C7EB0">
        <w:rPr>
          <w:rFonts w:ascii="Palatino Linotype" w:hAnsi="Palatino Linotype" w:cs="Arial"/>
          <w:b/>
          <w:i/>
          <w:sz w:val="24"/>
        </w:rPr>
        <w:t>“5368.pdf”  y “</w:t>
      </w:r>
      <w:r w:rsidR="001F714C" w:rsidRPr="009C7EB0">
        <w:rPr>
          <w:rFonts w:ascii="Palatino Linotype" w:hAnsi="Palatino Linotype" w:cs="Arial"/>
          <w:b/>
          <w:i/>
          <w:sz w:val="24"/>
        </w:rPr>
        <w:t>5368_2.pdf</w:t>
      </w:r>
      <w:r w:rsidRPr="009C7EB0">
        <w:rPr>
          <w:rFonts w:ascii="Palatino Linotype" w:hAnsi="Palatino Linotype" w:cs="Arial"/>
          <w:b/>
          <w:i/>
          <w:sz w:val="24"/>
        </w:rPr>
        <w:t>”</w:t>
      </w:r>
      <w:r w:rsidR="001F714C" w:rsidRPr="009C7EB0">
        <w:rPr>
          <w:rFonts w:ascii="Palatino Linotype" w:hAnsi="Palatino Linotype" w:cs="Arial"/>
          <w:b/>
          <w:i/>
          <w:sz w:val="24"/>
        </w:rPr>
        <w:t>:</w:t>
      </w:r>
      <w:r w:rsidRPr="009C7EB0">
        <w:rPr>
          <w:rFonts w:ascii="Palatino Linotype" w:hAnsi="Palatino Linotype" w:cs="Arial"/>
          <w:b/>
          <w:i/>
          <w:sz w:val="24"/>
        </w:rPr>
        <w:t xml:space="preserve"> </w:t>
      </w:r>
      <w:r w:rsidRPr="009C7EB0">
        <w:rPr>
          <w:rFonts w:ascii="Palatino Linotype" w:hAnsi="Palatino Linotype" w:cs="Arial"/>
          <w:sz w:val="24"/>
        </w:rPr>
        <w:t>oficio número 213010000/2277/2025, firmado por el Director General de Educación, Cultura y Turismo, en el que refiere que si bien dentro de sus facultades</w:t>
      </w:r>
      <w:r w:rsidR="00C34179" w:rsidRPr="009C7EB0">
        <w:rPr>
          <w:rFonts w:ascii="Palatino Linotype" w:hAnsi="Palatino Linotype" w:cs="Arial"/>
          <w:sz w:val="24"/>
        </w:rPr>
        <w:t xml:space="preserve"> está la de organizar la Feria y Festival del Alfeñique, lo cierto es que, no tiene facultades para administrar, registrar, contratar, contabilizar o resguardar información relacionada con ingresos, aportaciones </w:t>
      </w:r>
      <w:r w:rsidR="00C34179" w:rsidRPr="009C7EB0">
        <w:rPr>
          <w:rFonts w:ascii="Palatino Linotype" w:hAnsi="Palatino Linotype" w:cs="Arial"/>
          <w:sz w:val="24"/>
        </w:rPr>
        <w:lastRenderedPageBreak/>
        <w:t xml:space="preserve">económicas, donativos, patrocinadores, convenios o partidas presupuestales. </w:t>
      </w:r>
      <w:r w:rsidR="009C7B3F" w:rsidRPr="009C7EB0">
        <w:rPr>
          <w:rFonts w:ascii="Palatino Linotype" w:hAnsi="Palatino Linotype" w:cs="Arial"/>
          <w:sz w:val="24"/>
        </w:rPr>
        <w:t>Por lo que, refiere que las áreas competentes son:</w:t>
      </w:r>
    </w:p>
    <w:p w:rsidR="009C7B3F" w:rsidRPr="009C7EB0" w:rsidRDefault="009C7B3F" w:rsidP="009C7B3F">
      <w:pPr>
        <w:pStyle w:val="Sinespaciado"/>
        <w:spacing w:before="240" w:line="360" w:lineRule="auto"/>
        <w:ind w:left="360"/>
        <w:jc w:val="center"/>
        <w:rPr>
          <w:rFonts w:ascii="Palatino Linotype" w:hAnsi="Palatino Linotype" w:cs="Arial"/>
          <w:b/>
          <w:i/>
          <w:sz w:val="24"/>
        </w:rPr>
      </w:pPr>
      <w:r w:rsidRPr="009C7EB0">
        <w:rPr>
          <w:rFonts w:ascii="Palatino Linotype" w:hAnsi="Palatino Linotype" w:cs="Arial"/>
          <w:b/>
          <w:i/>
          <w:noProof/>
          <w:sz w:val="24"/>
          <w:lang w:eastAsia="es-MX"/>
        </w:rPr>
        <w:drawing>
          <wp:inline distT="0" distB="0" distL="0" distR="0">
            <wp:extent cx="4343400" cy="207694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B07AF6.tmp"/>
                    <pic:cNvPicPr/>
                  </pic:nvPicPr>
                  <pic:blipFill>
                    <a:blip r:embed="rId7">
                      <a:extLst>
                        <a:ext uri="{28A0092B-C50C-407E-A947-70E740481C1C}">
                          <a14:useLocalDpi xmlns:a14="http://schemas.microsoft.com/office/drawing/2010/main" val="0"/>
                        </a:ext>
                      </a:extLst>
                    </a:blip>
                    <a:stretch>
                      <a:fillRect/>
                    </a:stretch>
                  </pic:blipFill>
                  <pic:spPr>
                    <a:xfrm>
                      <a:off x="0" y="0"/>
                      <a:ext cx="4359921" cy="2084848"/>
                    </a:xfrm>
                    <a:prstGeom prst="rect">
                      <a:avLst/>
                    </a:prstGeom>
                  </pic:spPr>
                </pic:pic>
              </a:graphicData>
            </a:graphic>
          </wp:inline>
        </w:drawing>
      </w:r>
    </w:p>
    <w:p w:rsidR="00196095" w:rsidRPr="009C7EB0" w:rsidRDefault="001F714C" w:rsidP="001F714C">
      <w:pPr>
        <w:pStyle w:val="Sinespaciado"/>
        <w:numPr>
          <w:ilvl w:val="0"/>
          <w:numId w:val="1"/>
        </w:numPr>
        <w:spacing w:before="240" w:line="360" w:lineRule="auto"/>
        <w:jc w:val="both"/>
        <w:rPr>
          <w:rFonts w:ascii="Palatino Linotype" w:hAnsi="Palatino Linotype" w:cs="Arial"/>
          <w:b/>
          <w:i/>
          <w:sz w:val="24"/>
        </w:rPr>
      </w:pPr>
      <w:r w:rsidRPr="009C7EB0">
        <w:rPr>
          <w:rFonts w:ascii="Palatino Linotype" w:hAnsi="Palatino Linotype" w:cs="Arial"/>
          <w:b/>
          <w:i/>
          <w:sz w:val="24"/>
        </w:rPr>
        <w:t>NOTIF. CIUDADANO S. 5368.pdf</w:t>
      </w:r>
      <w:r w:rsidR="00196095" w:rsidRPr="009C7EB0">
        <w:rPr>
          <w:rFonts w:ascii="Palatino Linotype" w:hAnsi="Palatino Linotype" w:cs="Arial"/>
          <w:b/>
          <w:i/>
          <w:sz w:val="24"/>
        </w:rPr>
        <w:t xml:space="preserve">: </w:t>
      </w:r>
      <w:r w:rsidR="009C7B3F" w:rsidRPr="009C7EB0">
        <w:rPr>
          <w:rFonts w:ascii="Palatino Linotype" w:hAnsi="Palatino Linotype" w:cs="Arial"/>
          <w:sz w:val="24"/>
        </w:rPr>
        <w:t>nota informativa firmada por la Directora de Recursos Materiales , en el que refiere</w:t>
      </w:r>
      <w:r w:rsidR="00196095" w:rsidRPr="009C7EB0">
        <w:rPr>
          <w:rFonts w:ascii="Palatino Linotype" w:hAnsi="Palatino Linotype" w:cs="Arial"/>
          <w:sz w:val="24"/>
        </w:rPr>
        <w:t>:</w:t>
      </w:r>
    </w:p>
    <w:p w:rsidR="00196095" w:rsidRPr="009C7EB0" w:rsidRDefault="00196095" w:rsidP="00196095">
      <w:pPr>
        <w:pStyle w:val="Citas"/>
      </w:pPr>
      <w:r w:rsidRPr="009C7EB0">
        <w:t>“…</w:t>
      </w:r>
    </w:p>
    <w:p w:rsidR="009C7B3F" w:rsidRPr="009C7EB0" w:rsidRDefault="009C7B3F" w:rsidP="009C7B3F">
      <w:pPr>
        <w:pStyle w:val="Citas"/>
        <w:rPr>
          <w:lang w:val="es-ES"/>
        </w:rPr>
      </w:pPr>
      <w:r w:rsidRPr="009C7EB0">
        <w:rPr>
          <w:lang w:val="es-ES"/>
        </w:rPr>
        <w:t xml:space="preserve">Al respecto, de conformidad con lo establecido por los artículos 12 segundo párrafo y 160 de la Ley de Transparencia y Acceso a la Información Pública del Estado de México y Municipios; me permito informar que la información solicitada podrá ser consultada en el Portal de Servicios para Sujetos Obligados del Estado de México y Municipios (IPOMEX), artículo 92 fracción XXIX </w:t>
      </w:r>
      <w:r w:rsidRPr="009C7EB0">
        <w:rPr>
          <w:b/>
          <w:lang w:val="es-ES"/>
        </w:rPr>
        <w:t>Resultado de procedimientos de adjudicación directa, licitación pública e invitación restringida</w:t>
      </w:r>
      <w:r w:rsidRPr="009C7EB0">
        <w:rPr>
          <w:lang w:val="es-ES"/>
        </w:rPr>
        <w:t xml:space="preserve">, siguiendo el link: </w:t>
      </w:r>
      <w:hyperlink r:id="rId8" w:anchor="/obligaciones/197" w:history="1">
        <w:r w:rsidRPr="009C7EB0">
          <w:rPr>
            <w:rStyle w:val="Hipervnculo"/>
            <w:lang w:val="es-ES"/>
          </w:rPr>
          <w:t>https://ipomex.org.mx/ipomex/#/obligaciones/197</w:t>
        </w:r>
      </w:hyperlink>
      <w:r w:rsidRPr="009C7EB0">
        <w:rPr>
          <w:lang w:val="es-ES"/>
        </w:rPr>
        <w:t xml:space="preserve"> </w:t>
      </w:r>
    </w:p>
    <w:p w:rsidR="009C7B3F" w:rsidRPr="009C7EB0" w:rsidRDefault="009C7B3F" w:rsidP="009C7B3F">
      <w:pPr>
        <w:pStyle w:val="Citas"/>
        <w:rPr>
          <w:lang w:val="es-ES"/>
        </w:rPr>
      </w:pPr>
      <w:r w:rsidRPr="009C7EB0">
        <w:rPr>
          <w:lang w:val="es-ES"/>
        </w:rPr>
        <w:t>Hago de su conocimiento que la información solicitada referente a relación de patrocinadores o empresas colaboradoras, monto de ingresos por permisos, usos de espacios o cuotas a expositores, comerciantes o prestadores de servicios, partidas presupuestales, no es competencia de esta Dirección y sus Departamentos.</w:t>
      </w:r>
    </w:p>
    <w:p w:rsidR="00196095" w:rsidRPr="009C7EB0" w:rsidRDefault="00196095" w:rsidP="009C7B3F">
      <w:pPr>
        <w:pStyle w:val="Citas"/>
      </w:pPr>
      <w:r w:rsidRPr="009C7EB0">
        <w:lastRenderedPageBreak/>
        <w:t xml:space="preserve">… “(Sic) </w:t>
      </w:r>
    </w:p>
    <w:p w:rsidR="00A72AE1" w:rsidRPr="009C7EB0" w:rsidRDefault="009C7B3F" w:rsidP="00636E66">
      <w:pPr>
        <w:spacing w:line="360" w:lineRule="auto"/>
        <w:jc w:val="both"/>
        <w:rPr>
          <w:rFonts w:ascii="Palatino Linotype" w:hAnsi="Palatino Linotype" w:cs="Arial"/>
          <w:bCs/>
        </w:rPr>
      </w:pPr>
      <w:r w:rsidRPr="009C7EB0">
        <w:rPr>
          <w:rFonts w:ascii="Palatino Linotype" w:hAnsi="Palatino Linotype" w:cs="Arial"/>
          <w:bCs/>
        </w:rPr>
        <w:t>Dicha liga electrónica remite al IPOMEX</w:t>
      </w:r>
      <w:r w:rsidR="00A72AE1" w:rsidRPr="009C7EB0">
        <w:rPr>
          <w:rFonts w:ascii="Palatino Linotype" w:hAnsi="Palatino Linotype" w:cs="Arial"/>
          <w:bCs/>
        </w:rPr>
        <w:t>:</w:t>
      </w:r>
    </w:p>
    <w:p w:rsidR="009C7B3F" w:rsidRPr="009C7EB0" w:rsidRDefault="00A72AE1" w:rsidP="00A72AE1">
      <w:pPr>
        <w:spacing w:line="360" w:lineRule="auto"/>
        <w:jc w:val="center"/>
        <w:rPr>
          <w:rFonts w:ascii="Palatino Linotype" w:hAnsi="Palatino Linotype" w:cs="Arial"/>
          <w:bCs/>
        </w:rPr>
      </w:pPr>
      <w:r w:rsidRPr="009C7EB0">
        <w:rPr>
          <w:rFonts w:ascii="Palatino Linotype" w:hAnsi="Palatino Linotype" w:cs="Arial"/>
          <w:bCs/>
          <w:noProof/>
          <w:lang w:val="es-MX" w:eastAsia="es-MX"/>
        </w:rPr>
        <w:drawing>
          <wp:inline distT="0" distB="0" distL="0" distR="0">
            <wp:extent cx="4219575" cy="3365575"/>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2486C1.tmp"/>
                    <pic:cNvPicPr/>
                  </pic:nvPicPr>
                  <pic:blipFill>
                    <a:blip r:embed="rId9">
                      <a:extLst>
                        <a:ext uri="{28A0092B-C50C-407E-A947-70E740481C1C}">
                          <a14:useLocalDpi xmlns:a14="http://schemas.microsoft.com/office/drawing/2010/main" val="0"/>
                        </a:ext>
                      </a:extLst>
                    </a:blip>
                    <a:stretch>
                      <a:fillRect/>
                    </a:stretch>
                  </pic:blipFill>
                  <pic:spPr>
                    <a:xfrm>
                      <a:off x="0" y="0"/>
                      <a:ext cx="4226441" cy="3371051"/>
                    </a:xfrm>
                    <a:prstGeom prst="rect">
                      <a:avLst/>
                    </a:prstGeom>
                  </pic:spPr>
                </pic:pic>
              </a:graphicData>
            </a:graphic>
          </wp:inline>
        </w:drawing>
      </w:r>
    </w:p>
    <w:p w:rsidR="00A72AE1" w:rsidRPr="009C7EB0" w:rsidRDefault="00A72AE1" w:rsidP="00A72AE1">
      <w:pPr>
        <w:spacing w:line="360" w:lineRule="auto"/>
        <w:jc w:val="both"/>
        <w:rPr>
          <w:rFonts w:ascii="Palatino Linotype" w:hAnsi="Palatino Linotype" w:cs="Arial"/>
        </w:rPr>
      </w:pPr>
      <w:r w:rsidRPr="009C7EB0">
        <w:rPr>
          <w:rFonts w:ascii="Palatino Linotype" w:hAnsi="Palatino Linotype" w:cs="Arial"/>
          <w:lang w:val="es-ES_tradnl"/>
        </w:rPr>
        <w:t xml:space="preserve">De lo anterior, se advierte que en dicha página se advierte que solo dirige al IPOMEX, por lo que se considera que el Sujeto Obligado </w:t>
      </w:r>
      <w:r w:rsidRPr="009C7EB0">
        <w:rPr>
          <w:rFonts w:ascii="Palatino Linotype" w:hAnsi="Palatino Linotype" w:cs="Arial"/>
        </w:rPr>
        <w:t>dejó de observar lo estipulado en los artículos 11 y 161 de la Ley de Transparencia y Acceso a la Información Pública del Estado de México y Municipios, en los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A72AE1" w:rsidRPr="009C7EB0" w:rsidRDefault="00A72AE1" w:rsidP="00A72AE1">
      <w:pPr>
        <w:pStyle w:val="INFOEM"/>
        <w:rPr>
          <w:lang w:eastAsia="es-ES"/>
        </w:rPr>
      </w:pPr>
      <w:r w:rsidRPr="009C7EB0">
        <w:rPr>
          <w:b/>
          <w:lang w:eastAsia="es-ES"/>
        </w:rPr>
        <w:t>Artículo 11.</w:t>
      </w:r>
      <w:r w:rsidRPr="009C7EB0">
        <w:rPr>
          <w:lang w:eastAsia="es-ES"/>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w:t>
      </w:r>
      <w:r w:rsidRPr="009C7EB0">
        <w:rPr>
          <w:lang w:eastAsia="es-ES"/>
        </w:rPr>
        <w:lastRenderedPageBreak/>
        <w:t>en una sociedad democrática, por lo que atenderá las necesidades del derecho de acceso a la información de toda persona.</w:t>
      </w:r>
    </w:p>
    <w:p w:rsidR="00A72AE1" w:rsidRPr="009C7EB0" w:rsidRDefault="00A72AE1" w:rsidP="00A72AE1">
      <w:pPr>
        <w:pStyle w:val="INFOEM"/>
        <w:rPr>
          <w:lang w:eastAsia="es-ES"/>
        </w:rPr>
      </w:pPr>
      <w:r w:rsidRPr="009C7EB0">
        <w:rPr>
          <w:lang w:eastAsia="es-ES"/>
        </w:rPr>
        <w:t>(…)</w:t>
      </w:r>
    </w:p>
    <w:p w:rsidR="00A72AE1" w:rsidRPr="009C7EB0" w:rsidRDefault="00A72AE1" w:rsidP="00A72AE1">
      <w:pPr>
        <w:pStyle w:val="INFOEM"/>
        <w:rPr>
          <w:b/>
          <w:u w:val="single"/>
          <w:lang w:eastAsia="es-ES"/>
        </w:rPr>
      </w:pPr>
      <w:r w:rsidRPr="009C7EB0">
        <w:rPr>
          <w:b/>
          <w:lang w:eastAsia="es-ES"/>
        </w:rPr>
        <w:t>Artículo 161.</w:t>
      </w:r>
      <w:r w:rsidRPr="009C7EB0">
        <w:rPr>
          <w:lang w:eastAsia="es-ES"/>
        </w:rPr>
        <w:t xml:space="preserve"> </w:t>
      </w:r>
      <w:r w:rsidRPr="009C7EB0">
        <w:rPr>
          <w:b/>
          <w:lang w:eastAsia="es-ES"/>
        </w:rPr>
        <w:t>Cuando la información requerida por el solicitante ya esté disponible al público</w:t>
      </w:r>
      <w:r w:rsidRPr="009C7EB0">
        <w:rPr>
          <w:lang w:eastAsia="es-ES"/>
        </w:rPr>
        <w:t xml:space="preserve"> en medios impresos, tales como libros, compendios, trípticos, registros públicos, </w:t>
      </w:r>
      <w:r w:rsidRPr="009C7EB0">
        <w:rPr>
          <w:b/>
          <w:lang w:eastAsia="es-ES"/>
        </w:rPr>
        <w:t>en formatos electrónicos disponibles en Internet</w:t>
      </w:r>
      <w:r w:rsidRPr="009C7EB0">
        <w:rPr>
          <w:lang w:eastAsia="es-ES"/>
        </w:rPr>
        <w:t xml:space="preserve"> o en cualquier otro medio</w:t>
      </w:r>
      <w:r w:rsidRPr="009C7EB0">
        <w:rPr>
          <w:b/>
          <w:u w:val="single"/>
          <w:lang w:eastAsia="es-ES"/>
        </w:rPr>
        <w:t>,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A72AE1" w:rsidRPr="009C7EB0" w:rsidRDefault="00A72AE1" w:rsidP="00A72AE1">
      <w:pPr>
        <w:spacing w:line="360" w:lineRule="auto"/>
        <w:jc w:val="both"/>
        <w:rPr>
          <w:rFonts w:ascii="Palatino Linotype" w:hAnsi="Palatino Linotype" w:cs="Arial"/>
        </w:rPr>
      </w:pPr>
    </w:p>
    <w:p w:rsidR="00A72AE1" w:rsidRPr="009C7EB0" w:rsidRDefault="00A72AE1" w:rsidP="00A72AE1">
      <w:pPr>
        <w:spacing w:line="360" w:lineRule="auto"/>
        <w:jc w:val="both"/>
        <w:rPr>
          <w:rFonts w:ascii="Palatino Linotype" w:hAnsi="Palatino Linotype" w:cs="Arial"/>
        </w:rPr>
      </w:pPr>
      <w:r w:rsidRPr="009C7EB0">
        <w:rPr>
          <w:rFonts w:ascii="Palatino Linotype" w:hAnsi="Palatino Linotype"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A72AE1" w:rsidRPr="009C7EB0" w:rsidRDefault="00A72AE1" w:rsidP="00A72AE1">
      <w:pPr>
        <w:spacing w:line="360" w:lineRule="auto"/>
        <w:jc w:val="both"/>
        <w:rPr>
          <w:rFonts w:ascii="Palatino Linotype" w:hAnsi="Palatino Linotype" w:cs="Arial"/>
        </w:rPr>
      </w:pPr>
    </w:p>
    <w:p w:rsidR="00A72AE1" w:rsidRPr="009C7EB0" w:rsidRDefault="00A72AE1" w:rsidP="00A72AE1">
      <w:pPr>
        <w:numPr>
          <w:ilvl w:val="0"/>
          <w:numId w:val="20"/>
        </w:numPr>
        <w:spacing w:line="360" w:lineRule="auto"/>
        <w:ind w:hanging="436"/>
        <w:jc w:val="both"/>
        <w:rPr>
          <w:rFonts w:ascii="Palatino Linotype" w:hAnsi="Palatino Linotype" w:cs="Arial"/>
        </w:rPr>
      </w:pPr>
      <w:r w:rsidRPr="009C7EB0">
        <w:rPr>
          <w:rFonts w:ascii="Palatino Linotype" w:hAnsi="Palatino Linotype" w:cs="Arial"/>
        </w:rPr>
        <w:t>La fuente</w:t>
      </w:r>
    </w:p>
    <w:p w:rsidR="00A72AE1" w:rsidRPr="009C7EB0" w:rsidRDefault="00A72AE1" w:rsidP="00A72AE1">
      <w:pPr>
        <w:numPr>
          <w:ilvl w:val="0"/>
          <w:numId w:val="20"/>
        </w:numPr>
        <w:spacing w:line="360" w:lineRule="auto"/>
        <w:ind w:hanging="436"/>
        <w:jc w:val="both"/>
        <w:rPr>
          <w:rFonts w:ascii="Palatino Linotype" w:hAnsi="Palatino Linotype" w:cs="Arial"/>
        </w:rPr>
      </w:pPr>
      <w:r w:rsidRPr="009C7EB0">
        <w:rPr>
          <w:rFonts w:ascii="Palatino Linotype" w:hAnsi="Palatino Linotype" w:cs="Arial"/>
        </w:rPr>
        <w:t>El lugar y</w:t>
      </w:r>
    </w:p>
    <w:p w:rsidR="00A72AE1" w:rsidRPr="009C7EB0" w:rsidRDefault="00A72AE1" w:rsidP="00A72AE1">
      <w:pPr>
        <w:numPr>
          <w:ilvl w:val="0"/>
          <w:numId w:val="20"/>
        </w:numPr>
        <w:spacing w:line="360" w:lineRule="auto"/>
        <w:ind w:hanging="436"/>
        <w:jc w:val="both"/>
        <w:rPr>
          <w:rFonts w:ascii="Palatino Linotype" w:hAnsi="Palatino Linotype" w:cs="Arial"/>
        </w:rPr>
      </w:pPr>
      <w:r w:rsidRPr="009C7EB0">
        <w:rPr>
          <w:rFonts w:ascii="Palatino Linotype" w:hAnsi="Palatino Linotype" w:cs="Arial"/>
        </w:rPr>
        <w:t xml:space="preserve">La forma </w:t>
      </w:r>
    </w:p>
    <w:p w:rsidR="00A72AE1" w:rsidRPr="009C7EB0" w:rsidRDefault="00A72AE1" w:rsidP="00A72AE1">
      <w:pPr>
        <w:spacing w:line="360" w:lineRule="auto"/>
        <w:jc w:val="both"/>
        <w:rPr>
          <w:rFonts w:ascii="Palatino Linotype" w:hAnsi="Palatino Linotype" w:cs="Arial"/>
        </w:rPr>
      </w:pPr>
      <w:r w:rsidRPr="009C7EB0">
        <w:rPr>
          <w:rFonts w:ascii="Palatino Linotype" w:hAnsi="Palatino Linotype" w:cs="Arial"/>
        </w:rPr>
        <w:t>Asimismo, se establece que la fuente de la información deberá ser:</w:t>
      </w:r>
    </w:p>
    <w:p w:rsidR="00A72AE1" w:rsidRPr="009C7EB0" w:rsidRDefault="00A72AE1" w:rsidP="00A72AE1">
      <w:pPr>
        <w:numPr>
          <w:ilvl w:val="0"/>
          <w:numId w:val="21"/>
        </w:numPr>
        <w:spacing w:line="360" w:lineRule="auto"/>
        <w:ind w:left="709" w:hanging="425"/>
        <w:jc w:val="both"/>
        <w:rPr>
          <w:rFonts w:ascii="Palatino Linotype" w:hAnsi="Palatino Linotype" w:cs="Arial"/>
        </w:rPr>
      </w:pPr>
      <w:r w:rsidRPr="009C7EB0">
        <w:rPr>
          <w:rFonts w:ascii="Palatino Linotype" w:hAnsi="Palatino Linotype" w:cs="Arial"/>
        </w:rPr>
        <w:lastRenderedPageBreak/>
        <w:t>Precisa</w:t>
      </w:r>
    </w:p>
    <w:p w:rsidR="00A72AE1" w:rsidRPr="009C7EB0" w:rsidRDefault="00A72AE1" w:rsidP="00A72AE1">
      <w:pPr>
        <w:numPr>
          <w:ilvl w:val="0"/>
          <w:numId w:val="21"/>
        </w:numPr>
        <w:spacing w:line="360" w:lineRule="auto"/>
        <w:ind w:left="709" w:hanging="425"/>
        <w:jc w:val="both"/>
        <w:rPr>
          <w:rFonts w:ascii="Palatino Linotype" w:hAnsi="Palatino Linotype" w:cs="Arial"/>
        </w:rPr>
      </w:pPr>
      <w:r w:rsidRPr="009C7EB0">
        <w:rPr>
          <w:rFonts w:ascii="Palatino Linotype" w:hAnsi="Palatino Linotype" w:cs="Arial"/>
        </w:rPr>
        <w:t>Concreta</w:t>
      </w:r>
    </w:p>
    <w:p w:rsidR="00A72AE1" w:rsidRPr="009C7EB0" w:rsidRDefault="00A72AE1" w:rsidP="00A72AE1">
      <w:pPr>
        <w:numPr>
          <w:ilvl w:val="0"/>
          <w:numId w:val="21"/>
        </w:numPr>
        <w:spacing w:line="360" w:lineRule="auto"/>
        <w:ind w:left="709" w:hanging="425"/>
        <w:jc w:val="both"/>
        <w:rPr>
          <w:rFonts w:ascii="Palatino Linotype" w:hAnsi="Palatino Linotype" w:cs="Arial"/>
          <w:b/>
        </w:rPr>
      </w:pPr>
      <w:r w:rsidRPr="009C7EB0">
        <w:rPr>
          <w:rFonts w:ascii="Palatino Linotype" w:hAnsi="Palatino Linotype" w:cs="Arial"/>
          <w:b/>
        </w:rPr>
        <w:t>Y no debe implicar que el solicitante realice una búsqueda en toda la información que se encuentre disponible.</w:t>
      </w:r>
    </w:p>
    <w:p w:rsidR="009C7B3F" w:rsidRPr="009C7EB0" w:rsidRDefault="009C7B3F" w:rsidP="00196095">
      <w:pPr>
        <w:spacing w:line="360" w:lineRule="auto"/>
        <w:jc w:val="both"/>
        <w:rPr>
          <w:rFonts w:ascii="Palatino Linotype" w:hAnsi="Palatino Linotype" w:cs="Arial"/>
          <w:bCs/>
        </w:rPr>
      </w:pPr>
    </w:p>
    <w:p w:rsidR="00196095" w:rsidRPr="009C7EB0" w:rsidRDefault="00196095" w:rsidP="00196095">
      <w:pPr>
        <w:spacing w:line="360" w:lineRule="auto"/>
        <w:jc w:val="both"/>
        <w:rPr>
          <w:rFonts w:ascii="Palatino Linotype" w:hAnsi="Palatino Linotype"/>
          <w:b/>
          <w:i/>
          <w:u w:val="single"/>
        </w:rPr>
      </w:pPr>
      <w:r w:rsidRPr="009C7EB0">
        <w:rPr>
          <w:rFonts w:ascii="Palatino Linotype" w:hAnsi="Palatino Linotype" w:cs="Arial"/>
          <w:bCs/>
        </w:rPr>
        <w:t xml:space="preserve">Es así como, derivado de la respuesta emitida por </w:t>
      </w:r>
      <w:r w:rsidRPr="009C7EB0">
        <w:rPr>
          <w:rFonts w:ascii="Palatino Linotype" w:hAnsi="Palatino Linotype" w:cs="Arial"/>
          <w:b/>
          <w:bCs/>
        </w:rPr>
        <w:t>El Sujeto Obligado</w:t>
      </w:r>
      <w:r w:rsidRPr="009C7EB0">
        <w:rPr>
          <w:rFonts w:ascii="Palatino Linotype" w:hAnsi="Palatino Linotype" w:cs="Arial"/>
          <w:bCs/>
        </w:rPr>
        <w:t xml:space="preserve">, </w:t>
      </w:r>
      <w:r w:rsidRPr="009C7EB0">
        <w:rPr>
          <w:rFonts w:ascii="Palatino Linotype" w:hAnsi="Palatino Linotype" w:cs="Arial"/>
          <w:b/>
          <w:bCs/>
        </w:rPr>
        <w:t>el Recurrente</w:t>
      </w:r>
      <w:r w:rsidRPr="009C7EB0">
        <w:rPr>
          <w:rFonts w:ascii="Palatino Linotype" w:hAnsi="Palatino Linotype" w:cs="Arial"/>
          <w:bCs/>
        </w:rPr>
        <w:t>, interpuso el presente recurso de revisión, señalando sustancialmente como sus razones o motivos de inconformidad, lo siguiente:</w:t>
      </w:r>
      <w:r w:rsidRPr="009C7EB0" w:rsidDel="00107C3B">
        <w:rPr>
          <w:rFonts w:ascii="Palatino Linotype" w:hAnsi="Palatino Linotype"/>
          <w:b/>
          <w:i/>
        </w:rPr>
        <w:t xml:space="preserve"> </w:t>
      </w:r>
      <w:r w:rsidRPr="009C7EB0">
        <w:rPr>
          <w:rFonts w:ascii="Palatino Linotype" w:hAnsi="Palatino Linotype"/>
          <w:i/>
        </w:rPr>
        <w:t>“</w:t>
      </w:r>
      <w:r w:rsidR="009C7B3F" w:rsidRPr="009C7EB0">
        <w:rPr>
          <w:rFonts w:ascii="Palatino Linotype" w:hAnsi="Palatino Linotype"/>
          <w:i/>
        </w:rPr>
        <w:t xml:space="preserve">El presente recurso se interpone por las siguientes causas, previstas en la Ley de Transparencia y Acceso a la Información Pública del Estado de México y Municipios: </w:t>
      </w:r>
      <w:r w:rsidR="009C7B3F" w:rsidRPr="009C7EB0">
        <w:rPr>
          <w:rFonts w:ascii="Palatino Linotype" w:hAnsi="Palatino Linotype"/>
          <w:b/>
          <w:i/>
        </w:rPr>
        <w:t>Negativa Ficta: Ninguna de las unidades administrativas proporcionó la información específica solicitada</w:t>
      </w:r>
      <w:r w:rsidR="009C7B3F" w:rsidRPr="009C7EB0">
        <w:rPr>
          <w:rFonts w:ascii="Palatino Linotype" w:hAnsi="Palatino Linotype"/>
          <w:i/>
        </w:rPr>
        <w:t xml:space="preserve"> sobre ingresos, patrocinios, donativos y partidas presupuestales de la Feria del Alfeñique 2025. Respuesta Incompleta: Las remisiones a portales genéricos (IPOMEX, OSFEM) no satisfacen la obligación de entregar el desglose documentado de patrocinadores, montos de aportación, convenios y partidas presupuestales. Incumplimiento al Deber de Buscar: No se realizó una búsqueda exhaustiva y coordinada entre todas las unidades administrativas competentes, como expresamente se solicitó. Violación al Principio de Máxima Publicidad: Las respuestas fueron evasivas y no facilitaron la información de manera clara, veraz y completa. RAZONES O MOTIVOS POR LOS QUE CONSIDERO INDEBIDA LA RESPUESTA Las respuestas recibidas son indebidas por los siguientes motivos: La Dirección de Cultura y Turismo identificó con precisión las unidades poseedoras pero no integró la respuesta. En su oficio anexo, esta unidad detalló exhaustivamente que: Tesorería Municipal es competente para ingresos, cuentas presupuestales y registros contables Dirección General de Administración es competente para convenios, contratos y patrocinadores Dirección de Desarrollo Económico/Gobierno es competente para permisos y cuotas Sin embargo, en lugar de integrar la respuesta, se limitó a </w:t>
      </w:r>
      <w:r w:rsidR="009C7B3F" w:rsidRPr="009C7EB0">
        <w:rPr>
          <w:rFonts w:ascii="Palatino Linotype" w:hAnsi="Palatino Linotype"/>
          <w:i/>
        </w:rPr>
        <w:lastRenderedPageBreak/>
        <w:t>declararse incompetente. La Tesorería Municipal incumplió con su obligación de proporcionar información sobre ingresos y partidas presupuestales. Siendo la unidad naturalmente poseedora de esta información, se limitó a remitir a informes trimestrales sin proporcionar el desglose específico solicitado. La Dirección de Recursos Materiales evadió su responsabilidad de manera injustificada. Se declaró incompetente para toda la información solicitada, a pesar de que la Dirección de Cultura identificó a la Dirección General de Administración como competente para convenios y patrocinadores. No se realizó una búsqueda exhaustiva en todas las áreas competentes. A pesar de que la Dirección de Cultura identificó claramente a las unidades responsables, no hubo coordinación para integrar la información solicitada. Se violó el principio de máxima publicidad (Art. 5 LTAIPHEM) y el deber de documentar el manejo de recursos públicos (Art. 11 LTAIPHEM). Las unidades administrativas actuaron de forma restrictiva, omitiendo proporcionar información crucial sobre ingresos y patrocinios de un evento de gran magnitud.</w:t>
      </w:r>
      <w:r w:rsidRPr="009C7EB0">
        <w:rPr>
          <w:rFonts w:ascii="Palatino Linotype" w:hAnsi="Palatino Linotype"/>
          <w:i/>
        </w:rPr>
        <w:t>” (Sic).</w:t>
      </w:r>
    </w:p>
    <w:p w:rsidR="00196095" w:rsidRPr="009C7EB0" w:rsidRDefault="00196095" w:rsidP="00196095">
      <w:pPr>
        <w:autoSpaceDE w:val="0"/>
        <w:autoSpaceDN w:val="0"/>
        <w:adjustRightInd w:val="0"/>
        <w:spacing w:line="360" w:lineRule="auto"/>
        <w:jc w:val="both"/>
        <w:rPr>
          <w:rFonts w:ascii="Palatino Linotype" w:eastAsia="Calibri" w:hAnsi="Palatino Linotype" w:cs="Calibri"/>
          <w:lang w:val="es-ES_tradnl" w:eastAsia="es-MX"/>
        </w:rPr>
      </w:pPr>
    </w:p>
    <w:p w:rsidR="00BF2335" w:rsidRPr="009C7EB0" w:rsidRDefault="00BF2335" w:rsidP="00BF2335">
      <w:pPr>
        <w:widowControl w:val="0"/>
        <w:tabs>
          <w:tab w:val="left" w:pos="1701"/>
          <w:tab w:val="left" w:pos="1843"/>
        </w:tabs>
        <w:spacing w:line="360" w:lineRule="auto"/>
        <w:jc w:val="both"/>
        <w:rPr>
          <w:rFonts w:ascii="Palatino Linotype" w:eastAsia="Calibri" w:hAnsi="Palatino Linotype" w:cs="Calibri"/>
          <w:lang w:val="es-ES_tradnl" w:eastAsia="es-MX"/>
        </w:rPr>
      </w:pPr>
      <w:r w:rsidRPr="009C7EB0">
        <w:rPr>
          <w:rFonts w:ascii="Palatino Linotype" w:eastAsia="Calibri" w:hAnsi="Palatino Linotype" w:cs="Calibri"/>
          <w:lang w:val="es-ES_tradnl" w:eastAsia="es-MX"/>
        </w:rPr>
        <w:t>De las constancias que obran en el expediente electrónico del SAIMEX, se advierte que</w:t>
      </w:r>
    </w:p>
    <w:p w:rsidR="00196095" w:rsidRPr="009C7EB0" w:rsidRDefault="00BF2335" w:rsidP="00AE31FE">
      <w:pPr>
        <w:widowControl w:val="0"/>
        <w:tabs>
          <w:tab w:val="left" w:pos="1701"/>
          <w:tab w:val="left" w:pos="1843"/>
        </w:tabs>
        <w:spacing w:line="360" w:lineRule="auto"/>
        <w:jc w:val="both"/>
        <w:rPr>
          <w:rFonts w:ascii="Palatino Linotype" w:hAnsi="Palatino Linotype" w:cs="Arial"/>
        </w:rPr>
      </w:pPr>
      <w:r w:rsidRPr="009C7EB0">
        <w:rPr>
          <w:rFonts w:ascii="Palatino Linotype" w:eastAsia="Calibri" w:hAnsi="Palatino Linotype" w:cs="Calibri"/>
          <w:lang w:val="es-ES_tradnl" w:eastAsia="es-MX"/>
        </w:rPr>
        <w:t>el Sujeto Obligado rindió su informe justificado por medio de los archivos electrónico</w:t>
      </w:r>
      <w:r w:rsidR="00AE31FE" w:rsidRPr="009C7EB0">
        <w:rPr>
          <w:rFonts w:ascii="Palatino Linotype" w:eastAsia="Calibri" w:hAnsi="Palatino Linotype" w:cs="Calibri"/>
          <w:lang w:val="es-ES_tradnl" w:eastAsia="es-MX"/>
        </w:rPr>
        <w:t>s denominados “</w:t>
      </w:r>
      <w:r w:rsidR="00C934FE" w:rsidRPr="009C7EB0">
        <w:rPr>
          <w:rFonts w:ascii="Palatino Linotype" w:hAnsi="Palatino Linotype" w:cs="Arial"/>
          <w:b/>
          <w:i/>
        </w:rPr>
        <w:t>13150-2025-ANEXOS.pdf</w:t>
      </w:r>
      <w:r w:rsidR="00AE31FE" w:rsidRPr="009C7EB0">
        <w:rPr>
          <w:rFonts w:ascii="Palatino Linotype" w:hAnsi="Palatino Linotype" w:cs="Arial"/>
          <w:b/>
          <w:i/>
        </w:rPr>
        <w:t>”, “</w:t>
      </w:r>
      <w:r w:rsidR="00C934FE" w:rsidRPr="009C7EB0">
        <w:rPr>
          <w:rFonts w:ascii="Palatino Linotype" w:hAnsi="Palatino Linotype" w:cs="Arial"/>
          <w:b/>
          <w:i/>
        </w:rPr>
        <w:t>13150-2025-ANEXOS_DGA.pdf</w:t>
      </w:r>
      <w:r w:rsidR="00AE31FE" w:rsidRPr="009C7EB0">
        <w:rPr>
          <w:rFonts w:ascii="Palatino Linotype" w:hAnsi="Palatino Linotype" w:cs="Arial"/>
          <w:b/>
          <w:i/>
        </w:rPr>
        <w:t>”, “</w:t>
      </w:r>
      <w:r w:rsidR="00C934FE" w:rsidRPr="009C7EB0">
        <w:rPr>
          <w:rFonts w:ascii="Palatino Linotype" w:hAnsi="Palatino Linotype" w:cs="Arial"/>
          <w:b/>
          <w:i/>
        </w:rPr>
        <w:t>13150-2025-ANEXOS_TESORERIA.pdf</w:t>
      </w:r>
      <w:r w:rsidR="00AE31FE" w:rsidRPr="009C7EB0">
        <w:rPr>
          <w:rFonts w:ascii="Palatino Linotype" w:hAnsi="Palatino Linotype" w:cs="Arial"/>
          <w:b/>
          <w:i/>
        </w:rPr>
        <w:t>” y “</w:t>
      </w:r>
      <w:r w:rsidR="00C934FE" w:rsidRPr="009C7EB0">
        <w:rPr>
          <w:rFonts w:ascii="Palatino Linotype" w:hAnsi="Palatino Linotype" w:cs="Arial"/>
          <w:b/>
          <w:i/>
        </w:rPr>
        <w:t>Ratificación 13150.pdf</w:t>
      </w:r>
      <w:r w:rsidR="00AE31FE" w:rsidRPr="009C7EB0">
        <w:rPr>
          <w:rFonts w:ascii="Palatino Linotype" w:hAnsi="Palatino Linotype" w:cs="Arial"/>
          <w:b/>
          <w:i/>
        </w:rPr>
        <w:t xml:space="preserve">”, </w:t>
      </w:r>
      <w:r w:rsidR="00AE31FE" w:rsidRPr="009C7EB0">
        <w:rPr>
          <w:rFonts w:ascii="Palatino Linotype" w:hAnsi="Palatino Linotype" w:cs="Arial"/>
        </w:rPr>
        <w:t xml:space="preserve">en los que ratifica su respuesta. </w:t>
      </w:r>
    </w:p>
    <w:p w:rsidR="00C934FE" w:rsidRPr="009C7EB0" w:rsidRDefault="00C934FE" w:rsidP="0019609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4B2D6E" w:rsidRPr="009C7EB0" w:rsidRDefault="004B2D6E" w:rsidP="0019609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9C7EB0">
        <w:rPr>
          <w:rFonts w:ascii="Palatino Linotype" w:eastAsia="Palatino Linotype" w:hAnsi="Palatino Linotype" w:cs="Palatino Linotype"/>
          <w:color w:val="000000"/>
          <w:szCs w:val="22"/>
          <w:lang w:val="es-ES_tradnl" w:eastAsia="es-MX"/>
        </w:rPr>
        <w:t>Una vez acotado lo anterior, es necesario delimitar esferas competenciales de las direcciones y unidades que integran la administración pública municipal, esto conforme al Código Reglamentario de Toluca:</w:t>
      </w:r>
    </w:p>
    <w:p w:rsidR="004B2D6E" w:rsidRPr="009C7EB0" w:rsidRDefault="004B2D6E" w:rsidP="00605CC5">
      <w:pPr>
        <w:pStyle w:val="INFOEM"/>
        <w:jc w:val="center"/>
        <w:rPr>
          <w:b/>
          <w:u w:val="single"/>
          <w:lang w:val="es-ES"/>
        </w:rPr>
      </w:pPr>
      <w:r w:rsidRPr="009C7EB0">
        <w:rPr>
          <w:b/>
          <w:u w:val="single"/>
          <w:lang w:val="es-ES"/>
        </w:rPr>
        <w:t>SUBSECCIÓN PRIMERA DE LA DIRECCIÓN DE INGRESOS</w:t>
      </w:r>
    </w:p>
    <w:p w:rsidR="004B2D6E" w:rsidRPr="009C7EB0" w:rsidRDefault="004B2D6E" w:rsidP="004B2D6E">
      <w:pPr>
        <w:pStyle w:val="INFOEM"/>
        <w:rPr>
          <w:lang w:val="es-ES"/>
        </w:rPr>
      </w:pPr>
      <w:r w:rsidRPr="009C7EB0">
        <w:rPr>
          <w:lang w:val="es-ES"/>
        </w:rPr>
        <w:lastRenderedPageBreak/>
        <w:t xml:space="preserve">Artículo 3.23. La persona titular de la Dirección de Ingresos tendrá las siguientes atribuciones: </w:t>
      </w:r>
    </w:p>
    <w:p w:rsidR="004B2D6E" w:rsidRPr="009C7EB0" w:rsidRDefault="004B2D6E" w:rsidP="003E1929">
      <w:pPr>
        <w:pStyle w:val="INFOEM"/>
        <w:numPr>
          <w:ilvl w:val="0"/>
          <w:numId w:val="17"/>
        </w:numPr>
        <w:spacing w:line="240" w:lineRule="auto"/>
        <w:rPr>
          <w:lang w:val="es-ES"/>
        </w:rPr>
      </w:pPr>
      <w:r w:rsidRPr="009C7EB0">
        <w:rPr>
          <w:b/>
          <w:lang w:val="es-ES"/>
        </w:rPr>
        <w:t>Recaudar los ingresos públicos municipales por los distintos conceptos que señala la Ley de Ingresos de los Municipios del Estado de México aplicable para el ejercicio fiscal correspondient</w:t>
      </w:r>
      <w:r w:rsidRPr="009C7EB0">
        <w:rPr>
          <w:lang w:val="es-ES"/>
        </w:rPr>
        <w:t xml:space="preserve">e; </w:t>
      </w:r>
    </w:p>
    <w:p w:rsidR="004B2D6E" w:rsidRPr="009C7EB0" w:rsidRDefault="004B2D6E" w:rsidP="003E1929">
      <w:pPr>
        <w:pStyle w:val="INFOEM"/>
        <w:numPr>
          <w:ilvl w:val="0"/>
          <w:numId w:val="17"/>
        </w:numPr>
        <w:spacing w:line="240" w:lineRule="auto"/>
      </w:pPr>
      <w:r w:rsidRPr="009C7EB0">
        <w:rPr>
          <w:lang w:val="es-ES"/>
        </w:rPr>
        <w:t xml:space="preserve">Controlar, supervisar y reportar la cifra de ingresos recaudada en el municipio, obtenidos por obligaciones hacendarias, impuestos, derechos, aprovechamientos y demás ingresos municipales; </w:t>
      </w:r>
    </w:p>
    <w:p w:rsidR="004B2D6E" w:rsidRPr="009C7EB0" w:rsidRDefault="004B2D6E" w:rsidP="003E1929">
      <w:pPr>
        <w:pStyle w:val="INFOEM"/>
        <w:numPr>
          <w:ilvl w:val="0"/>
          <w:numId w:val="17"/>
        </w:numPr>
        <w:spacing w:line="240" w:lineRule="auto"/>
      </w:pPr>
      <w:r w:rsidRPr="009C7EB0">
        <w:rPr>
          <w:lang w:val="es-ES"/>
        </w:rPr>
        <w:t xml:space="preserve">Elaborar el Programa General de Recaudación de Ingresos Tributarios; </w:t>
      </w:r>
    </w:p>
    <w:p w:rsidR="004B2D6E" w:rsidRPr="009C7EB0" w:rsidRDefault="004B2D6E" w:rsidP="003E1929">
      <w:pPr>
        <w:pStyle w:val="INFOEM"/>
        <w:numPr>
          <w:ilvl w:val="0"/>
          <w:numId w:val="17"/>
        </w:numPr>
        <w:spacing w:line="240" w:lineRule="auto"/>
      </w:pPr>
      <w:r w:rsidRPr="009C7EB0">
        <w:rPr>
          <w:lang w:val="es-ES"/>
        </w:rPr>
        <w:t xml:space="preserve">Efectuar la recaudación por concepto de ocupación de la vía pública y lugares de uso común para estacionamiento de vehículos automotores por medio de los estacionómetros; </w:t>
      </w:r>
    </w:p>
    <w:p w:rsidR="004B2D6E" w:rsidRPr="009C7EB0" w:rsidRDefault="004B2D6E" w:rsidP="003E1929">
      <w:pPr>
        <w:pStyle w:val="INFOEM"/>
        <w:numPr>
          <w:ilvl w:val="0"/>
          <w:numId w:val="17"/>
        </w:numPr>
        <w:spacing w:line="240" w:lineRule="auto"/>
      </w:pPr>
      <w:r w:rsidRPr="009C7EB0">
        <w:rPr>
          <w:lang w:val="es-ES"/>
        </w:rPr>
        <w:t xml:space="preserve">Fijar y evaluar las metas de recaudación para cada ejercicio fiscal por oficina receptora; </w:t>
      </w:r>
    </w:p>
    <w:p w:rsidR="004B2D6E" w:rsidRPr="009C7EB0" w:rsidRDefault="004B2D6E" w:rsidP="003E1929">
      <w:pPr>
        <w:pStyle w:val="INFOEM"/>
        <w:numPr>
          <w:ilvl w:val="0"/>
          <w:numId w:val="17"/>
        </w:numPr>
        <w:spacing w:line="240" w:lineRule="auto"/>
      </w:pPr>
      <w:r w:rsidRPr="009C7EB0">
        <w:rPr>
          <w:lang w:val="es-ES"/>
        </w:rPr>
        <w:t xml:space="preserve">Diseñar y aprobar las formas oficiales de declaraciones a que estén obligados los contribuyentes de gravámenes municipales; </w:t>
      </w:r>
    </w:p>
    <w:p w:rsidR="004B2D6E" w:rsidRPr="009C7EB0" w:rsidRDefault="004B2D6E" w:rsidP="003E1929">
      <w:pPr>
        <w:pStyle w:val="INFOEM"/>
        <w:numPr>
          <w:ilvl w:val="0"/>
          <w:numId w:val="17"/>
        </w:numPr>
        <w:spacing w:line="240" w:lineRule="auto"/>
      </w:pPr>
      <w:r w:rsidRPr="009C7EB0">
        <w:rPr>
          <w:lang w:val="es-ES"/>
        </w:rPr>
        <w:t xml:space="preserve">Ofrecer los servicios de orientación técnica a los contribuyentes en el cumplimiento de sus obligaciones fiscales y el calendario de aplicación de las disposiciones tributarias y de los procedimientos, para su debida observancia; </w:t>
      </w:r>
    </w:p>
    <w:p w:rsidR="004B2D6E" w:rsidRPr="009C7EB0" w:rsidRDefault="004B2D6E" w:rsidP="003E1929">
      <w:pPr>
        <w:pStyle w:val="INFOEM"/>
        <w:numPr>
          <w:ilvl w:val="0"/>
          <w:numId w:val="17"/>
        </w:numPr>
        <w:spacing w:line="240" w:lineRule="auto"/>
      </w:pPr>
      <w:r w:rsidRPr="009C7EB0">
        <w:rPr>
          <w:lang w:val="es-ES"/>
        </w:rPr>
        <w:t xml:space="preserve">Elaborar las políticas y programas aplicables en el municipio, para el cumplimiento de las obligaciones fiscales de las o los contribuyentes; mismo que se someterá a aprobación; </w:t>
      </w:r>
    </w:p>
    <w:p w:rsidR="004B2D6E" w:rsidRPr="009C7EB0" w:rsidRDefault="004B2D6E" w:rsidP="003E1929">
      <w:pPr>
        <w:pStyle w:val="INFOEM"/>
        <w:numPr>
          <w:ilvl w:val="0"/>
          <w:numId w:val="17"/>
        </w:numPr>
        <w:spacing w:line="240" w:lineRule="auto"/>
      </w:pPr>
      <w:r w:rsidRPr="009C7EB0">
        <w:rPr>
          <w:lang w:val="es-ES"/>
        </w:rPr>
        <w:t xml:space="preserve">Informar de la presunta comisión de delitos fiscales y de cualquier otra índole, de los que tenga conocimiento en el ejercicio de sus funciones, así como de las faltas administrativas cometidas por las o las personas servidoras públicas de la dirección a su cargo; </w:t>
      </w:r>
    </w:p>
    <w:p w:rsidR="004B2D6E" w:rsidRPr="009C7EB0" w:rsidRDefault="004B2D6E" w:rsidP="003E1929">
      <w:pPr>
        <w:pStyle w:val="INFOEM"/>
        <w:numPr>
          <w:ilvl w:val="0"/>
          <w:numId w:val="17"/>
        </w:numPr>
        <w:spacing w:line="240" w:lineRule="auto"/>
      </w:pPr>
      <w:r w:rsidRPr="009C7EB0">
        <w:rPr>
          <w:lang w:val="es-ES"/>
        </w:rPr>
        <w:t xml:space="preserve">Determinar la existencia de créditos fiscales, fijarlos en cantidad líquida, notificarlos, recaudarlos e imponer las sanciones administrativas que procedan por infracciones fiscales; </w:t>
      </w:r>
    </w:p>
    <w:p w:rsidR="004B2D6E" w:rsidRPr="009C7EB0" w:rsidRDefault="004B2D6E" w:rsidP="003E1929">
      <w:pPr>
        <w:pStyle w:val="INFOEM"/>
        <w:numPr>
          <w:ilvl w:val="0"/>
          <w:numId w:val="17"/>
        </w:numPr>
        <w:spacing w:line="240" w:lineRule="auto"/>
      </w:pPr>
      <w:r w:rsidRPr="009C7EB0">
        <w:rPr>
          <w:lang w:val="es-ES"/>
        </w:rPr>
        <w:lastRenderedPageBreak/>
        <w:t xml:space="preserve">Aplicar el procedimiento administrativo de ejecución para el cobro de créditos fiscales; </w:t>
      </w:r>
    </w:p>
    <w:p w:rsidR="004B2D6E" w:rsidRPr="009C7EB0" w:rsidRDefault="004B2D6E" w:rsidP="003E1929">
      <w:pPr>
        <w:pStyle w:val="INFOEM"/>
        <w:numPr>
          <w:ilvl w:val="0"/>
          <w:numId w:val="17"/>
        </w:numPr>
        <w:spacing w:line="240" w:lineRule="auto"/>
      </w:pPr>
      <w:r w:rsidRPr="009C7EB0">
        <w:rPr>
          <w:lang w:val="es-ES"/>
        </w:rPr>
        <w:t xml:space="preserve">Ordenar y practicar visitas domiciliarias, auditorías, inspecciones, verificaciones y demás actos de comprobación de obligaciones fiscales que establezca la legislación; </w:t>
      </w:r>
    </w:p>
    <w:p w:rsidR="004B2D6E" w:rsidRPr="009C7EB0" w:rsidRDefault="004B2D6E" w:rsidP="003E1929">
      <w:pPr>
        <w:pStyle w:val="INFOEM"/>
        <w:numPr>
          <w:ilvl w:val="0"/>
          <w:numId w:val="17"/>
        </w:numPr>
        <w:spacing w:line="240" w:lineRule="auto"/>
      </w:pPr>
      <w:r w:rsidRPr="009C7EB0">
        <w:rPr>
          <w:lang w:val="es-ES"/>
        </w:rPr>
        <w:t xml:space="preserve">Establecer los sistemas de control y procedimientos internos a que debe ajustarse la revisión del cumplimiento de obligaciones fiscales; </w:t>
      </w:r>
    </w:p>
    <w:p w:rsidR="004B2D6E" w:rsidRPr="009C7EB0" w:rsidRDefault="004B2D6E" w:rsidP="003E1929">
      <w:pPr>
        <w:pStyle w:val="INFOEM"/>
        <w:numPr>
          <w:ilvl w:val="0"/>
          <w:numId w:val="17"/>
        </w:numPr>
        <w:spacing w:line="240" w:lineRule="auto"/>
      </w:pPr>
      <w:r w:rsidRPr="009C7EB0">
        <w:rPr>
          <w:lang w:val="es-ES"/>
        </w:rPr>
        <w:t xml:space="preserve">Planificar y ejecutar el programa de fiscalización, así como la evaluación de sus resultados; </w:t>
      </w:r>
    </w:p>
    <w:p w:rsidR="004B2D6E" w:rsidRPr="009C7EB0" w:rsidRDefault="004B2D6E" w:rsidP="003E1929">
      <w:pPr>
        <w:pStyle w:val="INFOEM"/>
        <w:numPr>
          <w:ilvl w:val="0"/>
          <w:numId w:val="17"/>
        </w:numPr>
        <w:spacing w:line="240" w:lineRule="auto"/>
      </w:pPr>
      <w:r w:rsidRPr="009C7EB0">
        <w:rPr>
          <w:lang w:val="es-ES"/>
        </w:rPr>
        <w:t xml:space="preserve">Vigilar que el pago de los impuestos se realice de acuerdo a la base gravable y procedimiento de cálculo que establezca el Código Financiero del Estado de México y Municipios, se cumplan los requisitos y plazos establecidos; </w:t>
      </w:r>
    </w:p>
    <w:p w:rsidR="004B2D6E" w:rsidRPr="009C7EB0" w:rsidRDefault="004B2D6E" w:rsidP="003E1929">
      <w:pPr>
        <w:pStyle w:val="INFOEM"/>
        <w:numPr>
          <w:ilvl w:val="0"/>
          <w:numId w:val="17"/>
        </w:numPr>
        <w:spacing w:line="240" w:lineRule="auto"/>
      </w:pPr>
      <w:r w:rsidRPr="009C7EB0">
        <w:rPr>
          <w:lang w:val="es-ES"/>
        </w:rPr>
        <w:t xml:space="preserve">Solicitar a las autoridades competentes y fedatarios públicos, la información y documentación que tengan con motivo de sus funciones, para verificar el cumplimiento de las obligaciones fiscales o para evaluar la posible realización de actos de fiscalización; </w:t>
      </w:r>
    </w:p>
    <w:p w:rsidR="004B2D6E" w:rsidRPr="009C7EB0" w:rsidRDefault="004B2D6E" w:rsidP="003E1929">
      <w:pPr>
        <w:pStyle w:val="INFOEM"/>
        <w:numPr>
          <w:ilvl w:val="0"/>
          <w:numId w:val="17"/>
        </w:numPr>
        <w:spacing w:line="240" w:lineRule="auto"/>
      </w:pPr>
      <w:r w:rsidRPr="009C7EB0">
        <w:rPr>
          <w:lang w:val="es-ES"/>
        </w:rPr>
        <w:t>Expedir los documentos de identificación de las personas servidoras públicas que las acrediten para la práctica de notificaciones, requerimientos, embargos y actos de comprobación de las obligaciones fiscales;</w:t>
      </w:r>
    </w:p>
    <w:p w:rsidR="00D87D22" w:rsidRPr="009C7EB0" w:rsidRDefault="00D87D22" w:rsidP="003E1929">
      <w:pPr>
        <w:pStyle w:val="INFOEM"/>
        <w:numPr>
          <w:ilvl w:val="0"/>
          <w:numId w:val="17"/>
        </w:numPr>
        <w:spacing w:line="240" w:lineRule="auto"/>
      </w:pPr>
      <w:r w:rsidRPr="009C7EB0">
        <w:rPr>
          <w:lang w:val="es-ES"/>
        </w:rPr>
        <w:t xml:space="preserve">Calificar y mantener la vigencia de las garantías del interés fiscal otorgadas con motivo de la interposición de medios de impugnación; </w:t>
      </w:r>
    </w:p>
    <w:p w:rsidR="00D87D22" w:rsidRPr="009C7EB0" w:rsidRDefault="00D87D22" w:rsidP="003E1929">
      <w:pPr>
        <w:pStyle w:val="INFOEM"/>
        <w:numPr>
          <w:ilvl w:val="0"/>
          <w:numId w:val="17"/>
        </w:numPr>
        <w:spacing w:line="240" w:lineRule="auto"/>
      </w:pPr>
      <w:r w:rsidRPr="009C7EB0">
        <w:rPr>
          <w:lang w:val="es-ES"/>
        </w:rPr>
        <w:t xml:space="preserve">Ejercer las garantías del interés fiscal que se hubieran dado a favor del Municipio por créditos fiscales; </w:t>
      </w:r>
    </w:p>
    <w:p w:rsidR="00D87D22" w:rsidRPr="009C7EB0" w:rsidRDefault="00D87D22" w:rsidP="003E1929">
      <w:pPr>
        <w:pStyle w:val="INFOEM"/>
        <w:numPr>
          <w:ilvl w:val="0"/>
          <w:numId w:val="17"/>
        </w:numPr>
        <w:spacing w:line="240" w:lineRule="auto"/>
      </w:pPr>
      <w:r w:rsidRPr="009C7EB0">
        <w:rPr>
          <w:lang w:val="es-ES"/>
        </w:rPr>
        <w:t xml:space="preserve">Emitir, a petición de los contribuyentes, constancias de no adeudo; </w:t>
      </w:r>
    </w:p>
    <w:p w:rsidR="00D87D22" w:rsidRPr="009C7EB0" w:rsidRDefault="00D87D22" w:rsidP="003E1929">
      <w:pPr>
        <w:pStyle w:val="INFOEM"/>
        <w:numPr>
          <w:ilvl w:val="0"/>
          <w:numId w:val="17"/>
        </w:numPr>
        <w:spacing w:line="240" w:lineRule="auto"/>
      </w:pPr>
      <w:r w:rsidRPr="009C7EB0">
        <w:rPr>
          <w:lang w:val="es-ES"/>
        </w:rPr>
        <w:t xml:space="preserve">Sancionar la falta de pago por la utilización de los espacios destinados como estacionamiento en la vía pública en el que exista aparato de medición y no marque el tiempo de permanencia para su utilización; </w:t>
      </w:r>
    </w:p>
    <w:p w:rsidR="00D87D22" w:rsidRPr="009C7EB0" w:rsidRDefault="00D87D22" w:rsidP="003E1929">
      <w:pPr>
        <w:pStyle w:val="INFOEM"/>
        <w:numPr>
          <w:ilvl w:val="0"/>
          <w:numId w:val="17"/>
        </w:numPr>
        <w:spacing w:line="240" w:lineRule="auto"/>
      </w:pPr>
      <w:r w:rsidRPr="009C7EB0">
        <w:rPr>
          <w:lang w:val="es-ES"/>
        </w:rPr>
        <w:t xml:space="preserve">Exigir el pago de los créditos fiscales a favor del municipio que no se hayan cubierto o garantizado dentro de los plazos señalados en la ley mediante el Procedimiento Administrativo de Ejecución, de conformidad con la legislación fiscal aplicable, lineamientos y circulares que al efecto se emitan; </w:t>
      </w:r>
    </w:p>
    <w:p w:rsidR="00D87D22" w:rsidRPr="009C7EB0" w:rsidRDefault="00D87D22" w:rsidP="003E1929">
      <w:pPr>
        <w:pStyle w:val="INFOEM"/>
        <w:numPr>
          <w:ilvl w:val="0"/>
          <w:numId w:val="17"/>
        </w:numPr>
        <w:spacing w:line="240" w:lineRule="auto"/>
      </w:pPr>
      <w:r w:rsidRPr="009C7EB0">
        <w:rPr>
          <w:lang w:val="es-ES"/>
        </w:rPr>
        <w:lastRenderedPageBreak/>
        <w:t xml:space="preserve">Inscribir en la Oficina Registral que corresponda, en atención a la naturaleza de los bienes o derechos de que se trate, el embargo de bienes raíces, de derechos reales o de negociaciones; </w:t>
      </w:r>
    </w:p>
    <w:p w:rsidR="00D87D22" w:rsidRPr="009C7EB0" w:rsidRDefault="00D87D22" w:rsidP="003E1929">
      <w:pPr>
        <w:pStyle w:val="INFOEM"/>
        <w:numPr>
          <w:ilvl w:val="0"/>
          <w:numId w:val="17"/>
        </w:numPr>
        <w:spacing w:line="240" w:lineRule="auto"/>
      </w:pPr>
      <w:r w:rsidRPr="009C7EB0">
        <w:rPr>
          <w:lang w:val="es-ES"/>
        </w:rPr>
        <w:t xml:space="preserve">Supervisar la integración del Presupuesto Anual de Ingresos del Ayuntamiento de Toluca para someterlo a consideración de la persona titular de la Tesorería Municipal; </w:t>
      </w:r>
    </w:p>
    <w:p w:rsidR="00D87D22" w:rsidRPr="009C7EB0" w:rsidRDefault="00D87D22" w:rsidP="003E1929">
      <w:pPr>
        <w:pStyle w:val="INFOEM"/>
        <w:numPr>
          <w:ilvl w:val="0"/>
          <w:numId w:val="17"/>
        </w:numPr>
        <w:spacing w:line="240" w:lineRule="auto"/>
      </w:pPr>
      <w:r w:rsidRPr="009C7EB0">
        <w:rPr>
          <w:lang w:val="es-ES"/>
        </w:rPr>
        <w:t xml:space="preserve">Establecer y unificar mecanismos de coordinación con las unidades administrativas para la integración del Presupuesto Anual de Ingresos de la administración pública municipal; </w:t>
      </w:r>
    </w:p>
    <w:p w:rsidR="00D87D22" w:rsidRPr="009C7EB0" w:rsidRDefault="00D87D22" w:rsidP="003E1929">
      <w:pPr>
        <w:pStyle w:val="INFOEM"/>
        <w:numPr>
          <w:ilvl w:val="0"/>
          <w:numId w:val="17"/>
        </w:numPr>
        <w:spacing w:line="240" w:lineRule="auto"/>
      </w:pPr>
      <w:r w:rsidRPr="009C7EB0">
        <w:rPr>
          <w:b/>
          <w:u w:val="single"/>
          <w:lang w:val="es-ES"/>
        </w:rPr>
        <w:t>Depositar los recursos recaudados en las cuentas bancarias del municipio, así como resguardar el efectivo y los valores de realización inmediata recaudados por el gobierno municipal</w:t>
      </w:r>
      <w:r w:rsidRPr="009C7EB0">
        <w:rPr>
          <w:lang w:val="es-ES"/>
        </w:rPr>
        <w:t xml:space="preserve">; </w:t>
      </w:r>
    </w:p>
    <w:p w:rsidR="00D87D22" w:rsidRPr="009C7EB0" w:rsidRDefault="00D87D22" w:rsidP="003E1929">
      <w:pPr>
        <w:pStyle w:val="INFOEM"/>
        <w:numPr>
          <w:ilvl w:val="0"/>
          <w:numId w:val="17"/>
        </w:numPr>
        <w:spacing w:line="240" w:lineRule="auto"/>
      </w:pPr>
      <w:r w:rsidRPr="009C7EB0">
        <w:rPr>
          <w:lang w:val="es-ES"/>
        </w:rPr>
        <w:t xml:space="preserve">Vigilar que las pólizas de ingresos contengan el soporte documental; </w:t>
      </w:r>
    </w:p>
    <w:p w:rsidR="00D87D22" w:rsidRPr="009C7EB0" w:rsidRDefault="00D87D22" w:rsidP="003E1929">
      <w:pPr>
        <w:pStyle w:val="INFOEM"/>
        <w:numPr>
          <w:ilvl w:val="0"/>
          <w:numId w:val="17"/>
        </w:numPr>
        <w:spacing w:line="240" w:lineRule="auto"/>
      </w:pPr>
      <w:r w:rsidRPr="009C7EB0">
        <w:rPr>
          <w:lang w:val="es-ES"/>
        </w:rPr>
        <w:t>Establecer controles de seguridad de la recaudación y su manejo responsable; y</w:t>
      </w:r>
    </w:p>
    <w:p w:rsidR="00D87D22" w:rsidRPr="009C7EB0" w:rsidRDefault="00D87D22" w:rsidP="003E1929">
      <w:pPr>
        <w:pStyle w:val="INFOEM"/>
        <w:numPr>
          <w:ilvl w:val="0"/>
          <w:numId w:val="17"/>
        </w:numPr>
        <w:spacing w:line="240" w:lineRule="auto"/>
      </w:pPr>
      <w:r w:rsidRPr="009C7EB0">
        <w:rPr>
          <w:lang w:val="es-ES"/>
        </w:rPr>
        <w:t>Las demás que le asignen otros ordenamientos, la persona titular de la Presidencia Municipal y la persona titular de la Tesorería Municipal.</w:t>
      </w:r>
    </w:p>
    <w:p w:rsidR="00605CC5" w:rsidRPr="009C7EB0" w:rsidRDefault="00605CC5" w:rsidP="003E1929">
      <w:pPr>
        <w:pStyle w:val="INFOEM"/>
        <w:jc w:val="center"/>
        <w:rPr>
          <w:b/>
          <w:lang w:val="es-ES"/>
        </w:rPr>
      </w:pPr>
      <w:r w:rsidRPr="009C7EB0">
        <w:rPr>
          <w:b/>
          <w:lang w:val="es-ES"/>
        </w:rPr>
        <w:t>DE LA DIRECCIÓN GENERAL DE ADMINISTRACIÓN</w:t>
      </w:r>
    </w:p>
    <w:p w:rsidR="00D87D22" w:rsidRPr="009C7EB0" w:rsidRDefault="00605CC5" w:rsidP="003E1929">
      <w:pPr>
        <w:pStyle w:val="INFOEM"/>
        <w:spacing w:line="240" w:lineRule="auto"/>
        <w:rPr>
          <w:lang w:val="es-ES"/>
        </w:rPr>
      </w:pPr>
      <w:r w:rsidRPr="009C7EB0">
        <w:rPr>
          <w:lang w:val="es-ES"/>
        </w:rPr>
        <w:t>Artículo 3.31. La persona titular de la Dirección General de Administración, tiene las siguientes atribuciones:</w:t>
      </w:r>
    </w:p>
    <w:p w:rsidR="00605CC5" w:rsidRPr="009C7EB0" w:rsidRDefault="00605CC5" w:rsidP="003E1929">
      <w:pPr>
        <w:pStyle w:val="INFOEM"/>
        <w:spacing w:line="240" w:lineRule="auto"/>
        <w:rPr>
          <w:lang w:val="es-ES"/>
        </w:rPr>
      </w:pPr>
      <w:r w:rsidRPr="009C7EB0">
        <w:rPr>
          <w:lang w:val="es-ES"/>
        </w:rPr>
        <w:t>…</w:t>
      </w:r>
    </w:p>
    <w:p w:rsidR="00605CC5" w:rsidRPr="009C7EB0" w:rsidRDefault="00605CC5" w:rsidP="003E1929">
      <w:pPr>
        <w:pStyle w:val="INFOEM"/>
        <w:spacing w:line="240" w:lineRule="auto"/>
        <w:rPr>
          <w:lang w:val="es-ES"/>
        </w:rPr>
      </w:pPr>
      <w:r w:rsidRPr="009C7EB0">
        <w:rPr>
          <w:lang w:val="es-ES"/>
        </w:rPr>
        <w:t>VII. Intervenir, vigilar y dar el seguimiento correspondiente a todos los procedimientos de adquisición, arrendamiento de inmuebles, contratación de servicios, enajenación y subasta de bienes, conforme a los lineamientos establecidos en la normatividad correspondiente;</w:t>
      </w:r>
    </w:p>
    <w:p w:rsidR="00605CC5" w:rsidRPr="009C7EB0" w:rsidRDefault="00605CC5" w:rsidP="003E1929">
      <w:pPr>
        <w:pStyle w:val="INFOEM"/>
        <w:spacing w:line="240" w:lineRule="auto"/>
        <w:rPr>
          <w:lang w:val="es-ES"/>
        </w:rPr>
      </w:pPr>
      <w:r w:rsidRPr="009C7EB0">
        <w:rPr>
          <w:lang w:val="es-ES"/>
        </w:rPr>
        <w:t>…</w:t>
      </w:r>
    </w:p>
    <w:p w:rsidR="00605CC5" w:rsidRPr="009C7EB0" w:rsidRDefault="00605CC5" w:rsidP="003E1929">
      <w:pPr>
        <w:pStyle w:val="INFOEM"/>
        <w:spacing w:line="240" w:lineRule="auto"/>
        <w:rPr>
          <w:lang w:val="es-ES"/>
        </w:rPr>
      </w:pPr>
      <w:r w:rsidRPr="009C7EB0">
        <w:rPr>
          <w:b/>
          <w:u w:val="single"/>
          <w:lang w:val="es-ES"/>
        </w:rPr>
        <w:t>XII. Revisar, suscribir y vigilar todos aquellos contratos que se formalicen con proveedores</w:t>
      </w:r>
      <w:r w:rsidRPr="009C7EB0">
        <w:rPr>
          <w:lang w:val="es-ES"/>
        </w:rPr>
        <w:t>, así como su ejecución y ejercicio, relativos a fallos de adjudicación de procesos de licitación pública o de sus excepciones, mismos que deberán cumplir con la normatividad en la materia;</w:t>
      </w:r>
    </w:p>
    <w:p w:rsidR="00605CC5" w:rsidRPr="009C7EB0" w:rsidRDefault="00605CC5" w:rsidP="003E1929">
      <w:pPr>
        <w:pStyle w:val="INFOEM"/>
        <w:spacing w:line="240" w:lineRule="auto"/>
        <w:rPr>
          <w:lang w:val="es-ES"/>
        </w:rPr>
      </w:pPr>
      <w:r w:rsidRPr="009C7EB0">
        <w:rPr>
          <w:lang w:val="es-ES"/>
        </w:rPr>
        <w:lastRenderedPageBreak/>
        <w:t>…</w:t>
      </w:r>
    </w:p>
    <w:p w:rsidR="00D87D22" w:rsidRPr="009C7EB0" w:rsidRDefault="00D87D22" w:rsidP="0019609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636E66" w:rsidRPr="009C7EB0" w:rsidRDefault="00636E66" w:rsidP="00636E66">
      <w:pPr>
        <w:spacing w:line="360" w:lineRule="auto"/>
        <w:jc w:val="both"/>
        <w:rPr>
          <w:rFonts w:ascii="Palatino Linotype" w:eastAsia="Calibri" w:hAnsi="Palatino Linotype" w:cs="Tahoma"/>
          <w:bCs/>
          <w:color w:val="000000"/>
        </w:rPr>
      </w:pPr>
      <w:r w:rsidRPr="009C7EB0">
        <w:rPr>
          <w:rFonts w:ascii="Palatino Linotype" w:eastAsia="Calibri" w:hAnsi="Palatino Linotype" w:cs="Tahoma"/>
          <w:bCs/>
          <w:color w:val="000000"/>
        </w:rPr>
        <w:t>Por otro lado, conforme a los Informes Trimestrales que los municipios envían a Órgano Superior de Fiscalización de Estado de México, se tiene que envían el Diario de Ingresos, tal como se ilustra:</w:t>
      </w: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r w:rsidRPr="009C7EB0">
        <w:rPr>
          <w:rFonts w:ascii="Palatino Linotype" w:eastAsia="Palatino Linotype" w:hAnsi="Palatino Linotype" w:cs="Palatino Linotype"/>
          <w:noProof/>
          <w:color w:val="000000"/>
          <w:szCs w:val="22"/>
          <w:lang w:val="es-MX" w:eastAsia="es-MX"/>
        </w:rPr>
        <w:drawing>
          <wp:inline distT="0" distB="0" distL="0" distR="0">
            <wp:extent cx="5663565" cy="23907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B05AC3.tmp"/>
                    <pic:cNvPicPr/>
                  </pic:nvPicPr>
                  <pic:blipFill>
                    <a:blip r:embed="rId10">
                      <a:extLst>
                        <a:ext uri="{28A0092B-C50C-407E-A947-70E740481C1C}">
                          <a14:useLocalDpi xmlns:a14="http://schemas.microsoft.com/office/drawing/2010/main" val="0"/>
                        </a:ext>
                      </a:extLst>
                    </a:blip>
                    <a:stretch>
                      <a:fillRect/>
                    </a:stretch>
                  </pic:blipFill>
                  <pic:spPr>
                    <a:xfrm>
                      <a:off x="0" y="0"/>
                      <a:ext cx="5703278" cy="2407539"/>
                    </a:xfrm>
                    <a:prstGeom prst="rect">
                      <a:avLst/>
                    </a:prstGeom>
                  </pic:spPr>
                </pic:pic>
              </a:graphicData>
            </a:graphic>
          </wp:inline>
        </w:drawing>
      </w: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noProof/>
          <w:color w:val="000000"/>
          <w:szCs w:val="22"/>
          <w:lang w:val="es-MX" w:eastAsia="es-MX"/>
        </w:rPr>
      </w:pPr>
      <w:r w:rsidRPr="009C7EB0">
        <w:rPr>
          <w:rFonts w:ascii="Palatino Linotype" w:eastAsia="Palatino Linotype" w:hAnsi="Palatino Linotype" w:cs="Palatino Linotype"/>
          <w:noProof/>
          <w:color w:val="000000"/>
          <w:szCs w:val="22"/>
          <w:lang w:val="es-MX" w:eastAsia="es-MX"/>
        </w:rPr>
        <w:drawing>
          <wp:inline distT="0" distB="0" distL="0" distR="0">
            <wp:extent cx="4838700" cy="349536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B02E2A.tmp"/>
                    <pic:cNvPicPr/>
                  </pic:nvPicPr>
                  <pic:blipFill>
                    <a:blip r:embed="rId11">
                      <a:extLst>
                        <a:ext uri="{28A0092B-C50C-407E-A947-70E740481C1C}">
                          <a14:useLocalDpi xmlns:a14="http://schemas.microsoft.com/office/drawing/2010/main" val="0"/>
                        </a:ext>
                      </a:extLst>
                    </a:blip>
                    <a:stretch>
                      <a:fillRect/>
                    </a:stretch>
                  </pic:blipFill>
                  <pic:spPr>
                    <a:xfrm>
                      <a:off x="0" y="0"/>
                      <a:ext cx="4858885" cy="3509943"/>
                    </a:xfrm>
                    <a:prstGeom prst="rect">
                      <a:avLst/>
                    </a:prstGeom>
                  </pic:spPr>
                </pic:pic>
              </a:graphicData>
            </a:graphic>
          </wp:inline>
        </w:drawing>
      </w: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r w:rsidRPr="009C7EB0">
        <w:rPr>
          <w:rFonts w:ascii="Palatino Linotype" w:eastAsia="Palatino Linotype" w:hAnsi="Palatino Linotype" w:cs="Palatino Linotype"/>
          <w:noProof/>
          <w:color w:val="000000"/>
          <w:szCs w:val="22"/>
          <w:lang w:val="es-MX" w:eastAsia="es-MX"/>
        </w:rPr>
        <w:lastRenderedPageBreak/>
        <w:drawing>
          <wp:inline distT="0" distB="0" distL="0" distR="0">
            <wp:extent cx="5791835" cy="276796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B01692.tmp"/>
                    <pic:cNvPicPr/>
                  </pic:nvPicPr>
                  <pic:blipFill>
                    <a:blip r:embed="rId12">
                      <a:extLst>
                        <a:ext uri="{28A0092B-C50C-407E-A947-70E740481C1C}">
                          <a14:useLocalDpi xmlns:a14="http://schemas.microsoft.com/office/drawing/2010/main" val="0"/>
                        </a:ext>
                      </a:extLst>
                    </a:blip>
                    <a:stretch>
                      <a:fillRect/>
                    </a:stretch>
                  </pic:blipFill>
                  <pic:spPr>
                    <a:xfrm>
                      <a:off x="0" y="0"/>
                      <a:ext cx="5791835" cy="2767965"/>
                    </a:xfrm>
                    <a:prstGeom prst="rect">
                      <a:avLst/>
                    </a:prstGeom>
                  </pic:spPr>
                </pic:pic>
              </a:graphicData>
            </a:graphic>
          </wp:inline>
        </w:drawing>
      </w: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r w:rsidRPr="009C7EB0">
        <w:rPr>
          <w:rFonts w:ascii="Palatino Linotype" w:eastAsia="Palatino Linotype" w:hAnsi="Palatino Linotype" w:cs="Palatino Linotype"/>
          <w:noProof/>
          <w:color w:val="000000"/>
          <w:szCs w:val="22"/>
          <w:lang w:val="es-MX" w:eastAsia="es-MX"/>
        </w:rPr>
        <w:drawing>
          <wp:inline distT="0" distB="0" distL="0" distR="0">
            <wp:extent cx="5791835" cy="3824605"/>
            <wp:effectExtent l="0" t="0" r="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B03F4D.tmp"/>
                    <pic:cNvPicPr/>
                  </pic:nvPicPr>
                  <pic:blipFill>
                    <a:blip r:embed="rId13">
                      <a:extLst>
                        <a:ext uri="{28A0092B-C50C-407E-A947-70E740481C1C}">
                          <a14:useLocalDpi xmlns:a14="http://schemas.microsoft.com/office/drawing/2010/main" val="0"/>
                        </a:ext>
                      </a:extLst>
                    </a:blip>
                    <a:stretch>
                      <a:fillRect/>
                    </a:stretch>
                  </pic:blipFill>
                  <pic:spPr>
                    <a:xfrm>
                      <a:off x="0" y="0"/>
                      <a:ext cx="5791835" cy="3824605"/>
                    </a:xfrm>
                    <a:prstGeom prst="rect">
                      <a:avLst/>
                    </a:prstGeom>
                  </pic:spPr>
                </pic:pic>
              </a:graphicData>
            </a:graphic>
          </wp:inline>
        </w:drawing>
      </w: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p>
    <w:p w:rsidR="00636E66" w:rsidRPr="009C7EB0" w:rsidRDefault="00636E66" w:rsidP="00636E66">
      <w:pPr>
        <w:pBdr>
          <w:top w:val="nil"/>
          <w:left w:val="nil"/>
          <w:bottom w:val="nil"/>
          <w:right w:val="nil"/>
          <w:between w:val="nil"/>
        </w:pBdr>
        <w:spacing w:after="160" w:line="360" w:lineRule="auto"/>
        <w:contextualSpacing/>
        <w:jc w:val="center"/>
        <w:rPr>
          <w:rFonts w:ascii="Palatino Linotype" w:eastAsia="Palatino Linotype" w:hAnsi="Palatino Linotype" w:cs="Palatino Linotype"/>
          <w:color w:val="000000"/>
          <w:szCs w:val="22"/>
          <w:lang w:val="es-ES_tradnl" w:eastAsia="es-MX"/>
        </w:rPr>
      </w:pPr>
    </w:p>
    <w:p w:rsidR="00196095" w:rsidRPr="009C7EB0" w:rsidRDefault="00196095" w:rsidP="0019609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9C7EB0">
        <w:rPr>
          <w:rFonts w:ascii="Palatino Linotype" w:eastAsia="Palatino Linotype" w:hAnsi="Palatino Linotype" w:cs="Palatino Linotype"/>
          <w:color w:val="000000"/>
          <w:szCs w:val="22"/>
          <w:lang w:val="es-ES_tradnl" w:eastAsia="es-MX"/>
        </w:rPr>
        <w:lastRenderedPageBreak/>
        <w:t xml:space="preserve">Ahora bien, quedando establecido lo anterior, este Órgano Garante considera viable establecer si la respuesta e informe justificado del Sujeto Obligado colman la pretensión del Recurrente. </w:t>
      </w:r>
    </w:p>
    <w:p w:rsidR="00196095" w:rsidRPr="009C7EB0" w:rsidRDefault="00196095" w:rsidP="0019609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663"/>
        <w:gridCol w:w="2977"/>
        <w:gridCol w:w="1560"/>
      </w:tblGrid>
      <w:tr w:rsidR="00196095" w:rsidRPr="009C7EB0" w:rsidTr="00711A2C">
        <w:trPr>
          <w:trHeight w:val="327"/>
        </w:trPr>
        <w:tc>
          <w:tcPr>
            <w:tcW w:w="4663" w:type="dxa"/>
            <w:shd w:val="clear" w:color="auto" w:fill="E7E6E6" w:themeFill="background2"/>
          </w:tcPr>
          <w:p w:rsidR="00196095" w:rsidRPr="009C7EB0" w:rsidRDefault="00196095" w:rsidP="00BF2335">
            <w:pPr>
              <w:spacing w:line="360" w:lineRule="auto"/>
              <w:jc w:val="center"/>
              <w:rPr>
                <w:rFonts w:ascii="Palatino Linotype" w:eastAsiaTheme="minorHAnsi" w:hAnsi="Palatino Linotype" w:cstheme="minorBidi"/>
                <w:b/>
                <w:i/>
                <w:color w:val="000000"/>
                <w:sz w:val="22"/>
                <w:szCs w:val="22"/>
                <w:lang w:val="es-MX" w:eastAsia="en-US"/>
              </w:rPr>
            </w:pPr>
            <w:r w:rsidRPr="009C7EB0">
              <w:rPr>
                <w:rFonts w:ascii="Palatino Linotype" w:eastAsiaTheme="minorHAnsi" w:hAnsi="Palatino Linotype" w:cstheme="minorBidi"/>
                <w:b/>
                <w:i/>
                <w:color w:val="000000"/>
                <w:sz w:val="22"/>
                <w:szCs w:val="22"/>
                <w:lang w:val="es-MX" w:eastAsia="en-US"/>
              </w:rPr>
              <w:t>Requerimientos</w:t>
            </w:r>
          </w:p>
        </w:tc>
        <w:tc>
          <w:tcPr>
            <w:tcW w:w="2977" w:type="dxa"/>
            <w:shd w:val="clear" w:color="auto" w:fill="E7E6E6" w:themeFill="background2"/>
          </w:tcPr>
          <w:p w:rsidR="00196095" w:rsidRPr="009C7EB0" w:rsidRDefault="00196095" w:rsidP="00BF2335">
            <w:pPr>
              <w:spacing w:line="360" w:lineRule="auto"/>
              <w:jc w:val="center"/>
              <w:rPr>
                <w:rFonts w:ascii="Palatino Linotype" w:eastAsiaTheme="minorHAnsi" w:hAnsi="Palatino Linotype" w:cstheme="minorBidi"/>
                <w:b/>
                <w:i/>
                <w:color w:val="000000"/>
                <w:sz w:val="22"/>
                <w:szCs w:val="22"/>
                <w:lang w:val="es-MX" w:eastAsia="en-US"/>
              </w:rPr>
            </w:pPr>
            <w:r w:rsidRPr="009C7EB0">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196095" w:rsidRPr="009C7EB0" w:rsidRDefault="00196095" w:rsidP="00BF2335">
            <w:pPr>
              <w:spacing w:line="360" w:lineRule="auto"/>
              <w:jc w:val="center"/>
              <w:rPr>
                <w:rFonts w:ascii="Palatino Linotype" w:eastAsiaTheme="minorHAnsi" w:hAnsi="Palatino Linotype" w:cstheme="minorBidi"/>
                <w:b/>
                <w:i/>
                <w:color w:val="000000"/>
                <w:sz w:val="22"/>
                <w:szCs w:val="22"/>
                <w:lang w:val="es-MX" w:eastAsia="en-US"/>
              </w:rPr>
            </w:pPr>
            <w:r w:rsidRPr="009C7EB0">
              <w:rPr>
                <w:rFonts w:ascii="Palatino Linotype" w:eastAsiaTheme="minorHAnsi" w:hAnsi="Palatino Linotype" w:cstheme="minorBidi"/>
                <w:b/>
                <w:i/>
                <w:color w:val="000000"/>
                <w:sz w:val="22"/>
                <w:szCs w:val="22"/>
                <w:lang w:val="es-MX" w:eastAsia="en-US"/>
              </w:rPr>
              <w:t>Colma</w:t>
            </w:r>
          </w:p>
        </w:tc>
      </w:tr>
      <w:tr w:rsidR="00711A2C" w:rsidRPr="009C7EB0" w:rsidTr="00711A2C">
        <w:trPr>
          <w:trHeight w:val="499"/>
        </w:trPr>
        <w:tc>
          <w:tcPr>
            <w:tcW w:w="4663" w:type="dxa"/>
          </w:tcPr>
          <w:p w:rsidR="00711A2C" w:rsidRPr="009C7EB0" w:rsidRDefault="00711A2C" w:rsidP="00BF2335">
            <w:pPr>
              <w:jc w:val="both"/>
              <w:rPr>
                <w:rFonts w:ascii="Palatino Linotype" w:eastAsiaTheme="minorHAnsi" w:hAnsi="Palatino Linotype" w:cstheme="minorBidi"/>
                <w:color w:val="000000"/>
                <w:sz w:val="22"/>
                <w:szCs w:val="20"/>
                <w:lang w:val="es-MX" w:eastAsia="en-US"/>
              </w:rPr>
            </w:pPr>
            <w:r w:rsidRPr="009C7EB0">
              <w:rPr>
                <w:rFonts w:ascii="Palatino Linotype" w:hAnsi="Palatino Linotype" w:cs="Tahoma"/>
                <w:bCs/>
                <w:sz w:val="22"/>
              </w:rPr>
              <w:t>Relación de patrocinadores o empresas colaboradoras, indicando monto o tipo de aportación (económica, en especie o de servicios).</w:t>
            </w:r>
          </w:p>
        </w:tc>
        <w:tc>
          <w:tcPr>
            <w:tcW w:w="2977" w:type="dxa"/>
            <w:vMerge w:val="restart"/>
          </w:tcPr>
          <w:p w:rsidR="00711A2C" w:rsidRPr="009C7EB0" w:rsidRDefault="00711A2C" w:rsidP="00BF2335">
            <w:pPr>
              <w:jc w:val="both"/>
              <w:rPr>
                <w:rFonts w:ascii="Palatino Linotype" w:eastAsiaTheme="minorHAnsi" w:hAnsi="Palatino Linotype" w:cstheme="minorBidi"/>
                <w:color w:val="000000"/>
                <w:sz w:val="22"/>
                <w:szCs w:val="22"/>
                <w:lang w:val="es-MX" w:eastAsia="en-US"/>
              </w:rPr>
            </w:pPr>
            <w:r w:rsidRPr="009C7EB0">
              <w:rPr>
                <w:rFonts w:ascii="Palatino Linotype" w:eastAsiaTheme="minorHAnsi" w:hAnsi="Palatino Linotype" w:cstheme="minorBidi"/>
                <w:color w:val="000000"/>
                <w:sz w:val="22"/>
                <w:szCs w:val="22"/>
                <w:lang w:val="es-MX" w:eastAsia="en-US"/>
              </w:rPr>
              <w:t>El Tesorero refiere que la información forma parte del cuarto informe trimestral.</w:t>
            </w:r>
          </w:p>
          <w:p w:rsidR="00711A2C" w:rsidRPr="009C7EB0" w:rsidRDefault="00711A2C" w:rsidP="00BF2335">
            <w:pPr>
              <w:jc w:val="both"/>
              <w:rPr>
                <w:rFonts w:ascii="Palatino Linotype" w:eastAsiaTheme="minorHAnsi" w:hAnsi="Palatino Linotype" w:cstheme="minorBidi"/>
                <w:color w:val="000000"/>
                <w:sz w:val="22"/>
                <w:szCs w:val="22"/>
                <w:lang w:val="es-MX" w:eastAsia="en-US"/>
              </w:rPr>
            </w:pPr>
          </w:p>
        </w:tc>
        <w:tc>
          <w:tcPr>
            <w:tcW w:w="1560" w:type="dxa"/>
            <w:vMerge w:val="restart"/>
          </w:tcPr>
          <w:p w:rsidR="00711A2C" w:rsidRPr="009C7EB0" w:rsidRDefault="00711A2C" w:rsidP="00365CE4">
            <w:pPr>
              <w:jc w:val="center"/>
              <w:rPr>
                <w:rFonts w:ascii="Palatino Linotype" w:eastAsiaTheme="minorHAnsi" w:hAnsi="Palatino Linotype" w:cstheme="minorBidi"/>
                <w:b/>
                <w:i/>
                <w:color w:val="000000"/>
                <w:sz w:val="22"/>
                <w:szCs w:val="22"/>
                <w:lang w:val="es-MX" w:eastAsia="en-US"/>
              </w:rPr>
            </w:pPr>
            <w:r w:rsidRPr="009C7EB0">
              <w:rPr>
                <w:rFonts w:ascii="Palatino Linotype" w:eastAsiaTheme="minorHAnsi" w:hAnsi="Palatino Linotype" w:cstheme="minorBidi"/>
                <w:b/>
                <w:i/>
                <w:color w:val="000000"/>
                <w:sz w:val="22"/>
                <w:szCs w:val="22"/>
                <w:lang w:val="es-MX" w:eastAsia="en-US"/>
              </w:rPr>
              <w:t>No</w:t>
            </w:r>
          </w:p>
          <w:p w:rsidR="00711A2C" w:rsidRPr="009C7EB0" w:rsidRDefault="00711A2C" w:rsidP="00365CE4">
            <w:pPr>
              <w:jc w:val="center"/>
              <w:rPr>
                <w:rFonts w:ascii="Palatino Linotype" w:eastAsiaTheme="minorHAnsi" w:hAnsi="Palatino Linotype" w:cstheme="minorBidi"/>
                <w:b/>
                <w:i/>
                <w:color w:val="000000"/>
                <w:sz w:val="22"/>
                <w:szCs w:val="22"/>
                <w:lang w:val="es-MX" w:eastAsia="en-US"/>
              </w:rPr>
            </w:pPr>
            <w:r w:rsidRPr="009C7EB0">
              <w:rPr>
                <w:rFonts w:ascii="Palatino Linotype" w:eastAsiaTheme="minorHAnsi" w:hAnsi="Palatino Linotype" w:cstheme="minorBidi"/>
                <w:i/>
                <w:color w:val="000000"/>
                <w:sz w:val="22"/>
                <w:szCs w:val="22"/>
                <w:lang w:val="es-MX" w:eastAsia="en-US"/>
              </w:rPr>
              <w:t>Sin embargo, admite contar con la información</w:t>
            </w:r>
          </w:p>
        </w:tc>
      </w:tr>
      <w:tr w:rsidR="00711A2C" w:rsidRPr="009C7EB0" w:rsidTr="00711A2C">
        <w:trPr>
          <w:trHeight w:val="499"/>
        </w:trPr>
        <w:tc>
          <w:tcPr>
            <w:tcW w:w="4663" w:type="dxa"/>
          </w:tcPr>
          <w:p w:rsidR="00711A2C" w:rsidRPr="009C7EB0" w:rsidRDefault="00711A2C" w:rsidP="00BF2335">
            <w:pPr>
              <w:jc w:val="both"/>
              <w:rPr>
                <w:rFonts w:ascii="Palatino Linotype" w:eastAsiaTheme="minorHAnsi" w:hAnsi="Palatino Linotype" w:cstheme="minorBidi"/>
                <w:color w:val="000000"/>
                <w:sz w:val="22"/>
                <w:szCs w:val="20"/>
                <w:lang w:val="es-MX" w:eastAsia="en-US"/>
              </w:rPr>
            </w:pPr>
            <w:r w:rsidRPr="009C7EB0">
              <w:rPr>
                <w:rFonts w:ascii="Palatino Linotype" w:hAnsi="Palatino Linotype" w:cs="Tahoma"/>
                <w:bCs/>
                <w:sz w:val="22"/>
              </w:rPr>
              <w:t>Monto total de ingresos obtenidos por cobro de permisos, uso de espacios o cuotas a expositores, comerciantes o prestadores de servicios.</w:t>
            </w:r>
          </w:p>
        </w:tc>
        <w:tc>
          <w:tcPr>
            <w:tcW w:w="2977" w:type="dxa"/>
            <w:vMerge/>
          </w:tcPr>
          <w:p w:rsidR="00711A2C" w:rsidRPr="009C7EB0" w:rsidRDefault="00711A2C" w:rsidP="00BF2335">
            <w:pPr>
              <w:jc w:val="both"/>
              <w:rPr>
                <w:rFonts w:ascii="Palatino Linotype" w:eastAsiaTheme="minorHAnsi" w:hAnsi="Palatino Linotype" w:cstheme="minorBidi"/>
                <w:color w:val="000000"/>
                <w:sz w:val="22"/>
                <w:szCs w:val="22"/>
                <w:lang w:val="es-MX" w:eastAsia="en-US"/>
              </w:rPr>
            </w:pPr>
          </w:p>
        </w:tc>
        <w:tc>
          <w:tcPr>
            <w:tcW w:w="1560" w:type="dxa"/>
            <w:vMerge/>
          </w:tcPr>
          <w:p w:rsidR="00711A2C" w:rsidRPr="009C7EB0" w:rsidRDefault="00711A2C" w:rsidP="00365CE4">
            <w:pPr>
              <w:jc w:val="center"/>
              <w:rPr>
                <w:rFonts w:ascii="Palatino Linotype" w:eastAsiaTheme="minorHAnsi" w:hAnsi="Palatino Linotype" w:cstheme="minorBidi"/>
                <w:i/>
                <w:color w:val="000000"/>
                <w:sz w:val="22"/>
                <w:szCs w:val="22"/>
                <w:lang w:val="es-MX" w:eastAsia="en-US"/>
              </w:rPr>
            </w:pPr>
          </w:p>
        </w:tc>
      </w:tr>
      <w:tr w:rsidR="00711A2C" w:rsidRPr="009C7EB0" w:rsidTr="00711A2C">
        <w:trPr>
          <w:trHeight w:val="499"/>
        </w:trPr>
        <w:tc>
          <w:tcPr>
            <w:tcW w:w="4663" w:type="dxa"/>
          </w:tcPr>
          <w:p w:rsidR="00711A2C" w:rsidRPr="009C7EB0" w:rsidRDefault="00711A2C" w:rsidP="00BF2335">
            <w:pPr>
              <w:jc w:val="both"/>
              <w:rPr>
                <w:rFonts w:ascii="Palatino Linotype" w:eastAsiaTheme="minorHAnsi" w:hAnsi="Palatino Linotype" w:cstheme="minorBidi"/>
                <w:color w:val="000000"/>
                <w:sz w:val="22"/>
                <w:szCs w:val="20"/>
                <w:lang w:val="es-MX" w:eastAsia="en-US"/>
              </w:rPr>
            </w:pPr>
            <w:r w:rsidRPr="009C7EB0">
              <w:rPr>
                <w:rFonts w:ascii="Palatino Linotype" w:hAnsi="Palatino Linotype" w:cs="Tahoma"/>
                <w:bCs/>
                <w:sz w:val="22"/>
              </w:rPr>
              <w:t>Copia de los convenios o contratos celebrados con patrocinadores o empresas participantes.</w:t>
            </w:r>
          </w:p>
        </w:tc>
        <w:tc>
          <w:tcPr>
            <w:tcW w:w="2977" w:type="dxa"/>
            <w:vMerge/>
          </w:tcPr>
          <w:p w:rsidR="00711A2C" w:rsidRPr="009C7EB0" w:rsidRDefault="00711A2C" w:rsidP="00BF2335">
            <w:pPr>
              <w:jc w:val="both"/>
              <w:rPr>
                <w:rFonts w:ascii="Palatino Linotype" w:eastAsiaTheme="minorHAnsi" w:hAnsi="Palatino Linotype" w:cstheme="minorBidi"/>
                <w:color w:val="000000"/>
                <w:sz w:val="22"/>
                <w:szCs w:val="22"/>
                <w:lang w:val="es-MX" w:eastAsia="en-US"/>
              </w:rPr>
            </w:pPr>
          </w:p>
        </w:tc>
        <w:tc>
          <w:tcPr>
            <w:tcW w:w="1560" w:type="dxa"/>
            <w:vMerge/>
          </w:tcPr>
          <w:p w:rsidR="00711A2C" w:rsidRPr="009C7EB0" w:rsidRDefault="00711A2C" w:rsidP="00365CE4">
            <w:pPr>
              <w:jc w:val="center"/>
              <w:rPr>
                <w:rFonts w:ascii="Palatino Linotype" w:eastAsiaTheme="minorHAnsi" w:hAnsi="Palatino Linotype" w:cstheme="minorBidi"/>
                <w:b/>
                <w:i/>
                <w:color w:val="000000"/>
                <w:sz w:val="22"/>
                <w:szCs w:val="22"/>
                <w:lang w:val="es-MX" w:eastAsia="en-US"/>
              </w:rPr>
            </w:pPr>
          </w:p>
        </w:tc>
      </w:tr>
      <w:tr w:rsidR="00711A2C" w:rsidRPr="009C7EB0" w:rsidTr="00711A2C">
        <w:trPr>
          <w:trHeight w:val="499"/>
        </w:trPr>
        <w:tc>
          <w:tcPr>
            <w:tcW w:w="4663" w:type="dxa"/>
          </w:tcPr>
          <w:p w:rsidR="00711A2C" w:rsidRPr="009C7EB0" w:rsidRDefault="00711A2C" w:rsidP="00BF2335">
            <w:pPr>
              <w:jc w:val="both"/>
              <w:rPr>
                <w:rFonts w:ascii="Palatino Linotype" w:hAnsi="Palatino Linotype" w:cs="Tahoma"/>
                <w:bCs/>
                <w:sz w:val="22"/>
              </w:rPr>
            </w:pPr>
            <w:r w:rsidRPr="009C7EB0">
              <w:rPr>
                <w:rFonts w:ascii="Palatino Linotype" w:hAnsi="Palatino Linotype" w:cs="Tahoma"/>
                <w:bCs/>
                <w:sz w:val="22"/>
              </w:rPr>
              <w:t>Cuentas o partidas presupuestales donde fueron registrados dichos ingresos.</w:t>
            </w:r>
          </w:p>
        </w:tc>
        <w:tc>
          <w:tcPr>
            <w:tcW w:w="2977" w:type="dxa"/>
            <w:vMerge/>
          </w:tcPr>
          <w:p w:rsidR="00711A2C" w:rsidRPr="009C7EB0" w:rsidRDefault="00711A2C" w:rsidP="00A976B2">
            <w:pPr>
              <w:jc w:val="both"/>
              <w:rPr>
                <w:rFonts w:ascii="Palatino Linotype" w:eastAsiaTheme="minorHAnsi" w:hAnsi="Palatino Linotype" w:cstheme="minorBidi"/>
                <w:color w:val="000000"/>
                <w:sz w:val="22"/>
                <w:szCs w:val="22"/>
                <w:lang w:val="es-MX" w:eastAsia="en-US"/>
              </w:rPr>
            </w:pPr>
          </w:p>
        </w:tc>
        <w:tc>
          <w:tcPr>
            <w:tcW w:w="1560" w:type="dxa"/>
            <w:vMerge/>
          </w:tcPr>
          <w:p w:rsidR="00711A2C" w:rsidRPr="009C7EB0" w:rsidRDefault="00711A2C" w:rsidP="00365CE4">
            <w:pPr>
              <w:jc w:val="center"/>
              <w:rPr>
                <w:rFonts w:ascii="Palatino Linotype" w:eastAsiaTheme="minorHAnsi" w:hAnsi="Palatino Linotype" w:cstheme="minorBidi"/>
                <w:i/>
                <w:color w:val="000000"/>
                <w:sz w:val="22"/>
                <w:szCs w:val="22"/>
                <w:lang w:val="es-MX" w:eastAsia="en-US"/>
              </w:rPr>
            </w:pPr>
          </w:p>
        </w:tc>
      </w:tr>
    </w:tbl>
    <w:p w:rsidR="00196095" w:rsidRPr="009C7EB0" w:rsidRDefault="00196095" w:rsidP="00196095">
      <w:pPr>
        <w:spacing w:line="360" w:lineRule="auto"/>
        <w:jc w:val="both"/>
        <w:rPr>
          <w:rFonts w:ascii="Palatino Linotype" w:eastAsia="Calibri" w:hAnsi="Palatino Linotype" w:cs="Tahoma"/>
          <w:bCs/>
          <w:color w:val="000000"/>
        </w:rPr>
      </w:pPr>
    </w:p>
    <w:p w:rsidR="00196095" w:rsidRPr="009C7EB0" w:rsidRDefault="00196095" w:rsidP="00196095">
      <w:pPr>
        <w:spacing w:line="360" w:lineRule="auto"/>
        <w:jc w:val="both"/>
        <w:rPr>
          <w:rFonts w:ascii="Palatino Linotype" w:hAnsi="Palatino Linotype"/>
          <w:color w:val="000000"/>
        </w:rPr>
      </w:pPr>
      <w:r w:rsidRPr="009C7EB0">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196095" w:rsidRPr="009C7EB0" w:rsidRDefault="00196095" w:rsidP="00196095">
      <w:pPr>
        <w:spacing w:line="360" w:lineRule="auto"/>
        <w:jc w:val="both"/>
        <w:rPr>
          <w:rFonts w:ascii="Palatino Linotype" w:hAnsi="Palatino Linotype"/>
          <w:color w:val="000000"/>
        </w:rPr>
      </w:pPr>
    </w:p>
    <w:p w:rsidR="00196095" w:rsidRPr="009C7EB0" w:rsidRDefault="00196095" w:rsidP="00196095">
      <w:pPr>
        <w:ind w:left="567" w:right="567"/>
        <w:jc w:val="both"/>
        <w:rPr>
          <w:rFonts w:ascii="Palatino Linotype" w:hAnsi="Palatino Linotype"/>
          <w:b/>
          <w:i/>
        </w:rPr>
      </w:pPr>
      <w:r w:rsidRPr="009C7EB0">
        <w:rPr>
          <w:rFonts w:ascii="Palatino Linotype" w:hAnsi="Palatino Linotype"/>
          <w:b/>
          <w:i/>
        </w:rPr>
        <w:t>Artículo 6</w:t>
      </w:r>
    </w:p>
    <w:p w:rsidR="00196095" w:rsidRPr="009C7EB0" w:rsidRDefault="00196095" w:rsidP="00196095">
      <w:pPr>
        <w:ind w:left="567" w:right="567"/>
        <w:jc w:val="both"/>
        <w:rPr>
          <w:rFonts w:ascii="Palatino Linotype" w:hAnsi="Palatino Linotype"/>
          <w:i/>
        </w:rPr>
      </w:pPr>
      <w:r w:rsidRPr="009C7EB0">
        <w:rPr>
          <w:rFonts w:ascii="Palatino Linotype" w:hAnsi="Palatino Linotype"/>
          <w:i/>
        </w:rPr>
        <w:lastRenderedPageBreak/>
        <w:t>…</w:t>
      </w:r>
    </w:p>
    <w:p w:rsidR="00196095" w:rsidRPr="009C7EB0" w:rsidRDefault="00196095" w:rsidP="00196095">
      <w:pPr>
        <w:ind w:left="567" w:right="567"/>
        <w:jc w:val="both"/>
        <w:rPr>
          <w:rFonts w:ascii="Palatino Linotype" w:hAnsi="Palatino Linotype"/>
          <w:i/>
        </w:rPr>
      </w:pPr>
      <w:r w:rsidRPr="009C7EB0">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196095" w:rsidRPr="009C7EB0" w:rsidRDefault="00196095" w:rsidP="00196095">
      <w:pPr>
        <w:ind w:left="567" w:right="567"/>
        <w:jc w:val="both"/>
        <w:rPr>
          <w:rFonts w:ascii="Palatino Linotype" w:hAnsi="Palatino Linotype"/>
          <w:i/>
        </w:rPr>
      </w:pPr>
    </w:p>
    <w:p w:rsidR="00196095" w:rsidRPr="009C7EB0" w:rsidRDefault="00196095" w:rsidP="00196095">
      <w:pPr>
        <w:numPr>
          <w:ilvl w:val="0"/>
          <w:numId w:val="4"/>
        </w:numPr>
        <w:ind w:left="993" w:right="567"/>
        <w:jc w:val="both"/>
        <w:rPr>
          <w:rFonts w:ascii="Palatino Linotype" w:hAnsi="Palatino Linotype"/>
          <w:i/>
        </w:rPr>
      </w:pPr>
      <w:r w:rsidRPr="009C7EB0">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196095" w:rsidRPr="009C7EB0" w:rsidRDefault="00196095" w:rsidP="00196095">
      <w:pPr>
        <w:spacing w:line="360" w:lineRule="auto"/>
        <w:jc w:val="both"/>
        <w:rPr>
          <w:rFonts w:ascii="Palatino Linotype" w:hAnsi="Palatino Linotype"/>
        </w:rPr>
      </w:pPr>
    </w:p>
    <w:p w:rsidR="00196095" w:rsidRPr="009C7EB0" w:rsidRDefault="00196095" w:rsidP="00196095">
      <w:pPr>
        <w:spacing w:line="360" w:lineRule="auto"/>
        <w:jc w:val="both"/>
        <w:rPr>
          <w:rFonts w:ascii="Palatino Linotype" w:hAnsi="Palatino Linotype" w:cs="Arial"/>
        </w:rPr>
      </w:pPr>
      <w:r w:rsidRPr="009C7EB0">
        <w:rPr>
          <w:rFonts w:ascii="Palatino Linotype" w:hAnsi="Palatino Linotype" w:cs="Arial"/>
        </w:rPr>
        <w:t xml:space="preserve">Por otro lado, en atención a lo dispuesto por los artículos 3, fracción XI, 8 y 12 </w:t>
      </w:r>
      <w:r w:rsidRPr="009C7EB0">
        <w:rPr>
          <w:rFonts w:ascii="Palatino Linotype" w:hAnsi="Palatino Linotype" w:cs="Arial"/>
          <w:bCs/>
        </w:rPr>
        <w:t>de la Ley de Transparencia y Acceso a la Información Pública del Estado de México y Municipios</w:t>
      </w:r>
      <w:r w:rsidRPr="009C7EB0">
        <w:rPr>
          <w:rFonts w:ascii="Palatino Linotype" w:hAnsi="Palatino Linotype" w:cs="Arial"/>
        </w:rPr>
        <w:t>, los cuales son del tenor literal siguiente:</w:t>
      </w:r>
    </w:p>
    <w:p w:rsidR="00196095" w:rsidRPr="009C7EB0" w:rsidRDefault="00196095" w:rsidP="00196095">
      <w:pPr>
        <w:ind w:left="567" w:right="567"/>
        <w:jc w:val="both"/>
        <w:rPr>
          <w:rFonts w:ascii="Palatino Linotype" w:hAnsi="Palatino Linotype"/>
        </w:rPr>
      </w:pPr>
    </w:p>
    <w:p w:rsidR="00196095" w:rsidRPr="009C7EB0" w:rsidRDefault="00196095" w:rsidP="00196095">
      <w:pPr>
        <w:ind w:left="851" w:right="851"/>
        <w:jc w:val="both"/>
        <w:rPr>
          <w:rFonts w:ascii="Palatino Linotype" w:hAnsi="Palatino Linotype"/>
          <w:i/>
        </w:rPr>
      </w:pPr>
      <w:r w:rsidRPr="009C7EB0">
        <w:rPr>
          <w:rFonts w:ascii="Palatino Linotype" w:hAnsi="Palatino Linotype"/>
          <w:b/>
          <w:bCs/>
          <w:i/>
        </w:rPr>
        <w:t xml:space="preserve">Artículo 3.- </w:t>
      </w:r>
      <w:r w:rsidRPr="009C7EB0">
        <w:rPr>
          <w:rFonts w:ascii="Palatino Linotype" w:hAnsi="Palatino Linotype"/>
          <w:i/>
        </w:rPr>
        <w:t>Para los efectos de la presente Ley se entenderá por:</w:t>
      </w:r>
    </w:p>
    <w:p w:rsidR="00196095" w:rsidRPr="009C7EB0" w:rsidRDefault="00196095" w:rsidP="00196095">
      <w:pPr>
        <w:ind w:left="851" w:right="851"/>
        <w:jc w:val="both"/>
        <w:rPr>
          <w:rFonts w:ascii="Palatino Linotype" w:hAnsi="Palatino Linotype"/>
          <w:i/>
        </w:rPr>
      </w:pPr>
      <w:r w:rsidRPr="009C7EB0">
        <w:rPr>
          <w:rFonts w:ascii="Palatino Linotype" w:hAnsi="Palatino Linotype"/>
          <w:i/>
        </w:rPr>
        <w:t>…</w:t>
      </w:r>
    </w:p>
    <w:p w:rsidR="00196095" w:rsidRPr="009C7EB0" w:rsidRDefault="00196095" w:rsidP="00196095">
      <w:pPr>
        <w:ind w:left="851" w:right="851"/>
        <w:jc w:val="both"/>
        <w:rPr>
          <w:rFonts w:ascii="Palatino Linotype" w:hAnsi="Palatino Linotype"/>
          <w:i/>
        </w:rPr>
      </w:pPr>
      <w:r w:rsidRPr="009C7EB0">
        <w:rPr>
          <w:rFonts w:ascii="Palatino Linotype" w:hAnsi="Palatino Linotype"/>
          <w:b/>
          <w:i/>
        </w:rPr>
        <w:t>XI.</w:t>
      </w:r>
      <w:r w:rsidRPr="009C7EB0">
        <w:rPr>
          <w:rFonts w:ascii="Palatino Linotype" w:hAnsi="Palatino Linotype"/>
          <w:i/>
        </w:rPr>
        <w:t xml:space="preserve"> </w:t>
      </w:r>
      <w:r w:rsidRPr="009C7EB0">
        <w:rPr>
          <w:rFonts w:ascii="Palatino Linotype" w:hAnsi="Palatino Linotype"/>
          <w:b/>
          <w:i/>
        </w:rPr>
        <w:t>Documento:</w:t>
      </w:r>
      <w:r w:rsidRPr="009C7EB0">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C7EB0">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C7EB0">
        <w:rPr>
          <w:rFonts w:ascii="Palatino Linotype" w:hAnsi="Palatino Linotype"/>
          <w:i/>
        </w:rPr>
        <w:t xml:space="preserve"> Los documentos podrán estar en cualquier medio, sea escrito, impreso, sonoro, visual, electrónico, informático u holográfico;</w:t>
      </w:r>
    </w:p>
    <w:p w:rsidR="00196095" w:rsidRPr="009C7EB0" w:rsidRDefault="00196095" w:rsidP="00196095">
      <w:pPr>
        <w:ind w:left="851" w:right="851"/>
        <w:jc w:val="both"/>
        <w:rPr>
          <w:rFonts w:ascii="Palatino Linotype" w:hAnsi="Palatino Linotype"/>
          <w:i/>
        </w:rPr>
      </w:pPr>
    </w:p>
    <w:p w:rsidR="00196095" w:rsidRPr="009C7EB0" w:rsidRDefault="00196095" w:rsidP="00196095">
      <w:pPr>
        <w:ind w:left="851" w:right="851"/>
        <w:jc w:val="both"/>
        <w:rPr>
          <w:rFonts w:ascii="Palatino Linotype" w:hAnsi="Palatino Linotype"/>
          <w:bCs/>
          <w:i/>
        </w:rPr>
      </w:pPr>
      <w:r w:rsidRPr="009C7EB0">
        <w:rPr>
          <w:rFonts w:ascii="Palatino Linotype" w:hAnsi="Palatino Linotype"/>
          <w:b/>
          <w:bCs/>
          <w:i/>
        </w:rPr>
        <w:t>Artículo 4.</w:t>
      </w:r>
      <w:r w:rsidRPr="009C7EB0">
        <w:rPr>
          <w:rFonts w:ascii="Palatino Linotype" w:hAnsi="Palatino Linotype"/>
          <w:bCs/>
          <w:i/>
        </w:rPr>
        <w:t xml:space="preserve"> El derecho humano de acceso a la información pública es la prerrogativa de las personas para buscar, difundir, investigar, recabar, recibir </w:t>
      </w:r>
      <w:r w:rsidRPr="009C7EB0">
        <w:rPr>
          <w:rFonts w:ascii="Palatino Linotype" w:hAnsi="Palatino Linotype"/>
          <w:bCs/>
          <w:i/>
        </w:rPr>
        <w:lastRenderedPageBreak/>
        <w:t>y solicitar información pública, sin necesidad de acreditar personalidad ni interés jurídico.</w:t>
      </w:r>
    </w:p>
    <w:p w:rsidR="00196095" w:rsidRPr="009C7EB0" w:rsidRDefault="00196095" w:rsidP="00196095">
      <w:pPr>
        <w:ind w:left="851" w:right="851"/>
        <w:jc w:val="both"/>
        <w:rPr>
          <w:rFonts w:ascii="Palatino Linotype" w:hAnsi="Palatino Linotype"/>
          <w:bCs/>
          <w:i/>
        </w:rPr>
      </w:pPr>
    </w:p>
    <w:p w:rsidR="00196095" w:rsidRPr="009C7EB0" w:rsidRDefault="00196095" w:rsidP="00196095">
      <w:pPr>
        <w:ind w:left="851" w:right="851"/>
        <w:jc w:val="both"/>
        <w:rPr>
          <w:rFonts w:ascii="Palatino Linotype" w:hAnsi="Palatino Linotype"/>
          <w:bCs/>
          <w:i/>
        </w:rPr>
      </w:pPr>
      <w:r w:rsidRPr="009C7EB0">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C7EB0">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96095" w:rsidRPr="009C7EB0" w:rsidRDefault="00196095" w:rsidP="00196095">
      <w:pPr>
        <w:ind w:left="851" w:right="851"/>
        <w:jc w:val="both"/>
        <w:rPr>
          <w:rFonts w:ascii="Palatino Linotype" w:hAnsi="Palatino Linotype"/>
          <w:bCs/>
          <w:i/>
        </w:rPr>
      </w:pPr>
    </w:p>
    <w:p w:rsidR="00196095" w:rsidRPr="009C7EB0" w:rsidRDefault="00196095" w:rsidP="00196095">
      <w:pPr>
        <w:ind w:left="851" w:right="851"/>
        <w:jc w:val="both"/>
        <w:rPr>
          <w:rFonts w:ascii="Palatino Linotype" w:hAnsi="Palatino Linotype"/>
          <w:bCs/>
          <w:i/>
        </w:rPr>
      </w:pPr>
      <w:r w:rsidRPr="009C7EB0">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196095" w:rsidRPr="009C7EB0" w:rsidRDefault="00196095" w:rsidP="00196095">
      <w:pPr>
        <w:ind w:left="851" w:right="851"/>
        <w:jc w:val="both"/>
        <w:rPr>
          <w:rFonts w:ascii="Palatino Linotype" w:hAnsi="Palatino Linotype"/>
          <w:bCs/>
          <w:i/>
        </w:rPr>
      </w:pPr>
    </w:p>
    <w:p w:rsidR="00196095" w:rsidRPr="009C7EB0" w:rsidRDefault="00196095" w:rsidP="00196095">
      <w:pPr>
        <w:ind w:left="851" w:right="851"/>
        <w:jc w:val="both"/>
        <w:rPr>
          <w:rFonts w:ascii="Palatino Linotype" w:hAnsi="Palatino Linotype"/>
          <w:i/>
        </w:rPr>
      </w:pPr>
      <w:r w:rsidRPr="009C7EB0">
        <w:rPr>
          <w:rFonts w:ascii="Palatino Linotype" w:hAnsi="Palatino Linotype"/>
          <w:b/>
          <w:i/>
        </w:rPr>
        <w:t>Artículo 12.</w:t>
      </w:r>
      <w:r w:rsidRPr="009C7EB0">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196095" w:rsidRPr="009C7EB0" w:rsidRDefault="00196095" w:rsidP="00196095">
      <w:pPr>
        <w:ind w:left="851" w:right="851"/>
        <w:jc w:val="both"/>
        <w:rPr>
          <w:rFonts w:ascii="Palatino Linotype" w:hAnsi="Palatino Linotype"/>
          <w:i/>
        </w:rPr>
      </w:pPr>
    </w:p>
    <w:p w:rsidR="00196095" w:rsidRPr="009C7EB0" w:rsidRDefault="00196095" w:rsidP="00196095">
      <w:pPr>
        <w:ind w:left="851" w:right="851"/>
        <w:jc w:val="both"/>
        <w:rPr>
          <w:rFonts w:ascii="Palatino Linotype" w:hAnsi="Palatino Linotype"/>
          <w:i/>
        </w:rPr>
      </w:pPr>
      <w:r w:rsidRPr="009C7EB0">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96095" w:rsidRPr="009C7EB0" w:rsidRDefault="00196095" w:rsidP="00196095">
      <w:pPr>
        <w:jc w:val="both"/>
        <w:rPr>
          <w:rFonts w:ascii="Palatino Linotype" w:hAnsi="Palatino Linotype"/>
        </w:rPr>
      </w:pPr>
    </w:p>
    <w:p w:rsidR="00196095" w:rsidRPr="009C7EB0" w:rsidRDefault="00196095" w:rsidP="00196095">
      <w:pPr>
        <w:spacing w:line="360" w:lineRule="auto"/>
        <w:jc w:val="both"/>
        <w:rPr>
          <w:rFonts w:ascii="Palatino Linotype" w:eastAsia="Calibri" w:hAnsi="Palatino Linotype" w:cs="Arial"/>
          <w:color w:val="000000"/>
          <w:lang w:val="es-ES_tradnl" w:eastAsia="es-MX"/>
        </w:rPr>
      </w:pPr>
    </w:p>
    <w:p w:rsidR="00196095" w:rsidRPr="009C7EB0" w:rsidRDefault="00196095" w:rsidP="00196095">
      <w:pPr>
        <w:spacing w:line="360" w:lineRule="auto"/>
        <w:jc w:val="both"/>
        <w:rPr>
          <w:rFonts w:ascii="Palatino Linotype" w:eastAsia="Calibri" w:hAnsi="Palatino Linotype" w:cs="Arial"/>
          <w:color w:val="000000"/>
          <w:lang w:val="es-ES_tradnl" w:eastAsia="es-MX"/>
        </w:rPr>
      </w:pPr>
      <w:r w:rsidRPr="009C7EB0">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9C7EB0">
        <w:rPr>
          <w:rFonts w:ascii="Palatino Linotype" w:eastAsia="Calibri" w:hAnsi="Palatino Linotype" w:cs="Arial"/>
          <w:b/>
          <w:color w:val="000000"/>
          <w:lang w:val="es-ES_tradnl" w:eastAsia="es-MX"/>
        </w:rPr>
        <w:t xml:space="preserve"> </w:t>
      </w:r>
      <w:r w:rsidRPr="009C7EB0">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9C7EB0">
        <w:rPr>
          <w:rFonts w:ascii="Palatino Linotype" w:eastAsia="Calibri" w:hAnsi="Palatino Linotype" w:cs="Arial"/>
          <w:i/>
          <w:color w:val="000000"/>
          <w:lang w:val="es-ES_tradnl" w:eastAsia="es-MX"/>
        </w:rPr>
        <w:t>ad hoc</w:t>
      </w:r>
      <w:r w:rsidRPr="009C7EB0">
        <w:rPr>
          <w:rFonts w:ascii="Palatino Linotype" w:eastAsia="Calibri" w:hAnsi="Palatino Linotype" w:cs="Arial"/>
          <w:color w:val="000000"/>
          <w:lang w:val="es-ES_tradnl" w:eastAsia="es-MX"/>
        </w:rPr>
        <w:t>, para satisfacer el derecho de acceso a la información pública.</w:t>
      </w:r>
    </w:p>
    <w:p w:rsidR="00196095" w:rsidRPr="009C7EB0" w:rsidRDefault="00196095" w:rsidP="00196095">
      <w:pPr>
        <w:spacing w:line="360" w:lineRule="auto"/>
        <w:jc w:val="both"/>
        <w:rPr>
          <w:rFonts w:ascii="Palatino Linotype" w:eastAsia="Calibri" w:hAnsi="Palatino Linotype" w:cs="Arial"/>
          <w:color w:val="000000"/>
          <w:lang w:val="es-ES_tradnl" w:eastAsia="es-MX"/>
        </w:rPr>
      </w:pPr>
    </w:p>
    <w:p w:rsidR="00196095" w:rsidRPr="009C7EB0" w:rsidRDefault="00196095" w:rsidP="00196095">
      <w:pPr>
        <w:spacing w:line="360" w:lineRule="auto"/>
        <w:jc w:val="both"/>
        <w:rPr>
          <w:rFonts w:ascii="Palatino Linotype" w:hAnsi="Palatino Linotype" w:cs="Arial"/>
          <w:noProof/>
          <w:color w:val="000000"/>
          <w:lang w:eastAsia="es-MX"/>
        </w:rPr>
      </w:pPr>
      <w:r w:rsidRPr="009C7EB0">
        <w:rPr>
          <w:rFonts w:ascii="Palatino Linotype" w:hAnsi="Palatino Linotype" w:cs="Arial"/>
          <w:noProof/>
          <w:color w:val="000000"/>
          <w:lang w:eastAsia="es-MX"/>
        </w:rPr>
        <w:t xml:space="preserve">Con base en lo anteriormente expuesto, se arriba a la conclusión de que la respuesta del </w:t>
      </w:r>
      <w:r w:rsidRPr="009C7EB0">
        <w:rPr>
          <w:rFonts w:ascii="Palatino Linotype" w:hAnsi="Palatino Linotype" w:cs="Arial"/>
          <w:b/>
          <w:noProof/>
          <w:color w:val="000000"/>
          <w:lang w:eastAsia="es-MX"/>
        </w:rPr>
        <w:t xml:space="preserve">Sujeto Obligado </w:t>
      </w:r>
      <w:r w:rsidRPr="009C7EB0">
        <w:rPr>
          <w:rFonts w:ascii="Palatino Linotype" w:hAnsi="Palatino Linotype" w:cs="Arial"/>
          <w:noProof/>
          <w:color w:val="000000"/>
          <w:lang w:eastAsia="es-MX"/>
        </w:rPr>
        <w:t>no</w:t>
      </w:r>
      <w:r w:rsidRPr="009C7EB0">
        <w:rPr>
          <w:rFonts w:ascii="Palatino Linotype" w:hAnsi="Palatino Linotype" w:cs="Arial"/>
          <w:b/>
          <w:noProof/>
          <w:color w:val="000000"/>
          <w:lang w:eastAsia="es-MX"/>
        </w:rPr>
        <w:t xml:space="preserve"> </w:t>
      </w:r>
      <w:r w:rsidRPr="009C7EB0">
        <w:rPr>
          <w:rFonts w:ascii="Palatino Linotype" w:hAnsi="Palatino Linotype" w:cs="Arial"/>
          <w:noProof/>
          <w:color w:val="000000"/>
          <w:lang w:eastAsia="es-MX"/>
        </w:rPr>
        <w:t xml:space="preserve">colmó el derecho de acceso a la información ejercido por el particular. </w:t>
      </w:r>
    </w:p>
    <w:p w:rsidR="00196095" w:rsidRPr="009C7EB0" w:rsidRDefault="00196095" w:rsidP="00196095">
      <w:pPr>
        <w:spacing w:line="360" w:lineRule="auto"/>
        <w:jc w:val="both"/>
        <w:rPr>
          <w:rFonts w:ascii="Palatino Linotype" w:hAnsi="Palatino Linotype" w:cs="Arial"/>
          <w:noProof/>
          <w:color w:val="000000"/>
          <w:lang w:eastAsia="es-MX"/>
        </w:rPr>
      </w:pPr>
    </w:p>
    <w:p w:rsidR="00196095" w:rsidRPr="009C7EB0" w:rsidRDefault="00196095" w:rsidP="00196095">
      <w:pPr>
        <w:spacing w:line="360" w:lineRule="auto"/>
        <w:jc w:val="both"/>
        <w:rPr>
          <w:rFonts w:ascii="Palatino Linotype" w:hAnsi="Palatino Linotype" w:cs="Palatino Linotype"/>
          <w:b/>
          <w:i/>
          <w:color w:val="000000"/>
          <w:sz w:val="28"/>
        </w:rPr>
      </w:pPr>
      <w:r w:rsidRPr="009C7EB0">
        <w:rPr>
          <w:rFonts w:ascii="Palatino Linotype" w:hAnsi="Palatino Linotype" w:cs="Arial"/>
          <w:noProof/>
          <w:color w:val="000000"/>
          <w:lang w:eastAsia="es-MX"/>
        </w:rPr>
        <w:t xml:space="preserve"> </w:t>
      </w:r>
      <w:r w:rsidRPr="009C7EB0">
        <w:rPr>
          <w:rFonts w:ascii="Palatino Linotype" w:hAnsi="Palatino Linotype" w:cs="Palatino Linotype"/>
          <w:b/>
          <w:i/>
          <w:color w:val="000000"/>
          <w:sz w:val="28"/>
        </w:rPr>
        <w:t xml:space="preserve">De la Versión Pública </w:t>
      </w:r>
    </w:p>
    <w:p w:rsidR="00196095" w:rsidRPr="009C7EB0" w:rsidRDefault="00196095" w:rsidP="00196095">
      <w:pPr>
        <w:tabs>
          <w:tab w:val="left" w:pos="7938"/>
        </w:tabs>
        <w:spacing w:before="240" w:after="240" w:line="360" w:lineRule="auto"/>
        <w:jc w:val="both"/>
        <w:rPr>
          <w:rFonts w:ascii="Palatino Linotype" w:eastAsia="Arial Unicode MS" w:hAnsi="Palatino Linotype" w:cs="Arial"/>
          <w:lang w:val="es-ES_tradnl" w:eastAsia="es-MX"/>
        </w:rPr>
      </w:pPr>
      <w:r w:rsidRPr="009C7EB0">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196095" w:rsidRPr="009C7EB0" w:rsidRDefault="00196095" w:rsidP="00196095">
      <w:pPr>
        <w:spacing w:before="240"/>
        <w:ind w:left="851" w:right="851"/>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“Artículo 3. Para los efectos de la presente Ley se entenderá por:</w:t>
      </w:r>
    </w:p>
    <w:p w:rsidR="00196095" w:rsidRPr="009C7EB0" w:rsidRDefault="00196095" w:rsidP="00196095">
      <w:pPr>
        <w:spacing w:before="240"/>
        <w:ind w:left="851" w:right="851"/>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b/>
          <w:i/>
          <w:u w:val="single"/>
          <w:lang w:val="es-ES_tradnl" w:eastAsia="es-MX"/>
        </w:rPr>
        <w:t>IX. Datos personales:</w:t>
      </w:r>
      <w:r w:rsidRPr="009C7EB0">
        <w:rPr>
          <w:rFonts w:ascii="Palatino Linotype" w:eastAsia="Calibri" w:hAnsi="Palatino Linotype" w:cs="Arial"/>
          <w:b/>
          <w:i/>
          <w:lang w:val="es-ES_tradnl" w:eastAsia="es-MX"/>
        </w:rPr>
        <w:t xml:space="preserve"> </w:t>
      </w:r>
      <w:r w:rsidRPr="009C7EB0">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b/>
          <w:i/>
          <w:lang w:val="es-ES_tradnl" w:eastAsia="es-MX"/>
        </w:rPr>
        <w:t>(…)</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b/>
          <w:i/>
          <w:u w:val="single"/>
          <w:lang w:val="es-ES_tradnl" w:eastAsia="es-MX"/>
        </w:rPr>
        <w:t>XLV. Versión pública:</w:t>
      </w:r>
      <w:r w:rsidRPr="009C7EB0">
        <w:rPr>
          <w:rFonts w:ascii="Palatino Linotype" w:eastAsia="Calibri" w:hAnsi="Palatino Linotype" w:cs="Arial"/>
          <w:b/>
          <w:i/>
          <w:lang w:val="es-ES_tradnl" w:eastAsia="es-MX"/>
        </w:rPr>
        <w:t xml:space="preserve"> </w:t>
      </w:r>
      <w:r w:rsidRPr="009C7EB0">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i/>
          <w:lang w:val="es-ES_tradnl" w:eastAsia="es-MX"/>
        </w:rPr>
        <w:lastRenderedPageBreak/>
        <w:t xml:space="preserve">Artículo 122. </w:t>
      </w:r>
      <w:r w:rsidRPr="009C7EB0">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196095" w:rsidRPr="009C7EB0" w:rsidRDefault="00196095" w:rsidP="00196095">
      <w:pPr>
        <w:spacing w:before="240"/>
        <w:ind w:left="851" w:right="851"/>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w:t>
      </w:r>
    </w:p>
    <w:p w:rsidR="00196095" w:rsidRPr="009C7EB0" w:rsidRDefault="00196095" w:rsidP="00196095">
      <w:pPr>
        <w:spacing w:before="240"/>
        <w:ind w:left="851" w:right="851"/>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Artículo 132. La clasificación de la información se llevará a cabo en el momento en que:</w:t>
      </w:r>
    </w:p>
    <w:p w:rsidR="00196095" w:rsidRPr="009C7EB0" w:rsidRDefault="00196095" w:rsidP="00196095">
      <w:pPr>
        <w:spacing w:before="240"/>
        <w:ind w:left="851" w:right="851"/>
        <w:jc w:val="both"/>
        <w:rPr>
          <w:rFonts w:ascii="Palatino Linotype" w:eastAsia="Calibri" w:hAnsi="Palatino Linotype" w:cs="Arial"/>
          <w:i/>
          <w:lang w:val="es-ES_tradnl" w:eastAsia="es-MX"/>
        </w:rPr>
      </w:pPr>
      <w:r w:rsidRPr="009C7EB0">
        <w:rPr>
          <w:rFonts w:ascii="Palatino Linotype" w:eastAsia="Calibri" w:hAnsi="Palatino Linotype" w:cs="Arial"/>
          <w:i/>
          <w:lang w:val="es-ES_tradnl" w:eastAsia="es-MX"/>
        </w:rPr>
        <w:t>[…]</w:t>
      </w:r>
    </w:p>
    <w:p w:rsidR="00196095" w:rsidRPr="009C7EB0" w:rsidRDefault="00196095" w:rsidP="00196095">
      <w:pPr>
        <w:spacing w:before="240"/>
        <w:ind w:left="851" w:right="851"/>
        <w:jc w:val="both"/>
        <w:rPr>
          <w:rFonts w:ascii="Palatino Linotype" w:eastAsia="Calibri" w:hAnsi="Palatino Linotype" w:cs="Arial"/>
          <w:b/>
          <w:i/>
          <w:u w:val="single"/>
          <w:lang w:val="es-ES_tradnl" w:eastAsia="es-MX"/>
        </w:rPr>
      </w:pPr>
      <w:r w:rsidRPr="009C7EB0">
        <w:rPr>
          <w:rFonts w:ascii="Palatino Linotype" w:eastAsia="Calibri" w:hAnsi="Palatino Linotype" w:cs="Arial"/>
          <w:b/>
          <w:i/>
          <w:u w:val="single"/>
          <w:lang w:val="es-ES_tradnl" w:eastAsia="es-MX"/>
        </w:rPr>
        <w:t>II. Se determine mediante resolución de autoridad competente; o</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b/>
          <w:i/>
          <w:lang w:val="es-ES_tradnl" w:eastAsia="es-MX"/>
        </w:rPr>
        <w:t>(…)</w:t>
      </w:r>
    </w:p>
    <w:p w:rsidR="00196095" w:rsidRPr="009C7EB0" w:rsidRDefault="00196095" w:rsidP="00196095">
      <w:pPr>
        <w:spacing w:before="240"/>
        <w:ind w:left="851" w:right="851"/>
        <w:jc w:val="both"/>
        <w:rPr>
          <w:rFonts w:ascii="Palatino Linotype" w:eastAsia="Calibri" w:hAnsi="Palatino Linotype" w:cs="Arial"/>
          <w:b/>
          <w:i/>
          <w:lang w:val="es-ES_tradnl" w:eastAsia="es-MX"/>
        </w:rPr>
      </w:pPr>
      <w:r w:rsidRPr="009C7EB0">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C7EB0">
        <w:rPr>
          <w:rFonts w:ascii="Palatino Linotype" w:eastAsia="Calibri" w:hAnsi="Palatino Linotype" w:cs="Arial"/>
          <w:b/>
          <w:i/>
          <w:lang w:val="es-ES_tradnl" w:eastAsia="es-MX"/>
        </w:rPr>
        <w:t xml:space="preserve"> </w:t>
      </w:r>
      <w:r w:rsidRPr="009C7EB0">
        <w:rPr>
          <w:rFonts w:ascii="Palatino Linotype" w:eastAsia="Calibri" w:hAnsi="Palatino Linotype" w:cs="Arial"/>
          <w:b/>
          <w:i/>
          <w:u w:val="single"/>
          <w:lang w:val="es-ES_tradnl" w:eastAsia="es-MX"/>
        </w:rPr>
        <w:t xml:space="preserve">de manera genérica y fundando y motivando su clasificación.” </w:t>
      </w:r>
      <w:r w:rsidRPr="009C7EB0">
        <w:rPr>
          <w:rFonts w:ascii="Palatino Linotype" w:eastAsia="Calibri" w:hAnsi="Palatino Linotype" w:cs="Arial"/>
          <w:b/>
          <w:i/>
          <w:lang w:val="es-ES_tradnl" w:eastAsia="es-MX"/>
        </w:rPr>
        <w:t>[Sic]</w:t>
      </w:r>
    </w:p>
    <w:p w:rsidR="00196095" w:rsidRPr="009C7EB0" w:rsidRDefault="00196095" w:rsidP="00196095">
      <w:pPr>
        <w:spacing w:line="360" w:lineRule="auto"/>
        <w:ind w:right="51"/>
        <w:jc w:val="both"/>
        <w:rPr>
          <w:rFonts w:ascii="Palatino Linotype" w:eastAsia="Arial Unicode MS" w:hAnsi="Palatino Linotype" w:cs="Arial"/>
          <w:lang w:val="es-ES_tradnl" w:eastAsia="es-MX"/>
        </w:rPr>
      </w:pPr>
    </w:p>
    <w:p w:rsidR="00196095" w:rsidRPr="009C7EB0" w:rsidRDefault="00196095" w:rsidP="00196095">
      <w:pPr>
        <w:spacing w:line="360" w:lineRule="auto"/>
        <w:jc w:val="both"/>
        <w:rPr>
          <w:rFonts w:ascii="Palatino Linotype" w:hAnsi="Palatino Linotype" w:cs="Arial"/>
        </w:rPr>
      </w:pPr>
      <w:r w:rsidRPr="009C7EB0">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690E79" w:rsidRPr="009C7EB0" w:rsidRDefault="00690E79" w:rsidP="00196095">
      <w:pPr>
        <w:spacing w:line="360" w:lineRule="auto"/>
        <w:jc w:val="both"/>
        <w:rPr>
          <w:rFonts w:ascii="Palatino Linotype" w:hAnsi="Palatino Linotype" w:cs="Arial"/>
        </w:rPr>
      </w:pPr>
    </w:p>
    <w:p w:rsidR="00690E79" w:rsidRPr="009C7EB0" w:rsidRDefault="00690E79" w:rsidP="00690E79">
      <w:pPr>
        <w:spacing w:line="360" w:lineRule="auto"/>
        <w:jc w:val="both"/>
        <w:rPr>
          <w:rFonts w:ascii="Palatino Linotype" w:eastAsia="Palatino Linotype" w:hAnsi="Palatino Linotype" w:cs="Palatino Linotype"/>
        </w:rPr>
      </w:pPr>
      <w:r w:rsidRPr="009C7EB0">
        <w:rPr>
          <w:rFonts w:ascii="Palatino Linotype" w:eastAsia="Palatino Linotype" w:hAnsi="Palatino Linotype" w:cs="Palatino Linotype"/>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w:t>
      </w:r>
      <w:r w:rsidRPr="009C7EB0">
        <w:rPr>
          <w:rFonts w:ascii="Palatino Linotype" w:eastAsia="Palatino Linotype" w:hAnsi="Palatino Linotype" w:cs="Palatino Linotype"/>
        </w:rPr>
        <w:lastRenderedPageBreak/>
        <w:t>públicas, como pudieran ser de manera enunciativa más no limitativa, clave de elector, número de CURP, entre otros.</w:t>
      </w:r>
    </w:p>
    <w:p w:rsidR="00690E79" w:rsidRPr="009C7EB0" w:rsidRDefault="00690E79" w:rsidP="00690E79">
      <w:pPr>
        <w:spacing w:line="360" w:lineRule="auto"/>
        <w:jc w:val="both"/>
        <w:rPr>
          <w:rFonts w:ascii="Palatino Linotype" w:eastAsia="Palatino Linotype" w:hAnsi="Palatino Linotype" w:cs="Palatino Linotype"/>
        </w:rPr>
      </w:pPr>
    </w:p>
    <w:p w:rsidR="00690E79" w:rsidRPr="009C7EB0" w:rsidRDefault="00690E79" w:rsidP="00690E79">
      <w:pPr>
        <w:pStyle w:val="Prrafodelista"/>
        <w:numPr>
          <w:ilvl w:val="0"/>
          <w:numId w:val="19"/>
        </w:numPr>
        <w:spacing w:line="360" w:lineRule="auto"/>
        <w:jc w:val="both"/>
        <w:rPr>
          <w:rFonts w:ascii="Palatino Linotype" w:eastAsia="Palatino Linotype" w:hAnsi="Palatino Linotype" w:cs="Palatino Linotype"/>
        </w:rPr>
      </w:pPr>
      <w:r w:rsidRPr="009C7EB0">
        <w:rPr>
          <w:rFonts w:ascii="Palatino Linotype" w:eastAsia="Palatino Linotype" w:hAnsi="Palatino Linotype" w:cs="Palatino Linotype"/>
        </w:rPr>
        <w:t xml:space="preserve">La </w:t>
      </w:r>
      <w:r w:rsidRPr="009C7EB0">
        <w:rPr>
          <w:rFonts w:ascii="Palatino Linotype" w:eastAsia="Palatino Linotype" w:hAnsi="Palatino Linotype" w:cs="Palatino Linotype"/>
          <w:b/>
        </w:rPr>
        <w:t>clave de elector</w:t>
      </w:r>
      <w:r w:rsidRPr="009C7EB0">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690E79" w:rsidRPr="009C7EB0" w:rsidRDefault="00690E79" w:rsidP="00690E79">
      <w:pPr>
        <w:spacing w:line="360" w:lineRule="auto"/>
        <w:ind w:right="51"/>
        <w:jc w:val="both"/>
        <w:rPr>
          <w:rFonts w:ascii="Palatino Linotype" w:eastAsia="Arial Unicode MS" w:hAnsi="Palatino Linotype" w:cs="Arial"/>
        </w:rPr>
      </w:pPr>
    </w:p>
    <w:p w:rsidR="00690E79" w:rsidRPr="009C7EB0" w:rsidRDefault="00690E79" w:rsidP="00690E79">
      <w:pPr>
        <w:spacing w:line="360" w:lineRule="auto"/>
        <w:ind w:right="51"/>
        <w:jc w:val="both"/>
        <w:rPr>
          <w:rFonts w:ascii="Palatino Linotype" w:hAnsi="Palatino Linotype" w:cs="Arial"/>
        </w:rPr>
      </w:pPr>
      <w:r w:rsidRPr="009C7EB0">
        <w:rPr>
          <w:rFonts w:ascii="Palatino Linotype" w:eastAsia="Arial Unicode MS" w:hAnsi="Palatino Linotype" w:cs="Arial"/>
        </w:rPr>
        <w:t xml:space="preserve">Verbigracia, previo a poner a disposición la información correspondiente debe considerarse que tiene carácter de confidencial </w:t>
      </w:r>
      <w:r w:rsidRPr="009C7EB0">
        <w:rPr>
          <w:rFonts w:ascii="Palatino Linotype" w:hAnsi="Palatino Linotype" w:cs="Arial"/>
        </w:rPr>
        <w:t xml:space="preserve">el </w:t>
      </w:r>
      <w:r w:rsidRPr="009C7EB0">
        <w:rPr>
          <w:rFonts w:ascii="Palatino Linotype" w:hAnsi="Palatino Linotype" w:cs="Arial"/>
          <w:b/>
        </w:rPr>
        <w:t>Registro Federal de Contribuyentes (RFC) que no sean de proveedores</w:t>
      </w:r>
      <w:r w:rsidRPr="009C7EB0">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690E79" w:rsidRPr="009C7EB0" w:rsidRDefault="00690E79" w:rsidP="00690E79">
      <w:pPr>
        <w:spacing w:line="360" w:lineRule="auto"/>
        <w:ind w:right="51"/>
        <w:jc w:val="both"/>
        <w:rPr>
          <w:rFonts w:ascii="Palatino Linotype" w:hAnsi="Palatino Linotype" w:cs="Arial"/>
        </w:rPr>
      </w:pPr>
    </w:p>
    <w:p w:rsidR="00690E79" w:rsidRPr="009C7EB0" w:rsidRDefault="00690E79" w:rsidP="00690E79">
      <w:pPr>
        <w:spacing w:before="240" w:after="240" w:line="360" w:lineRule="auto"/>
        <w:ind w:right="-91"/>
        <w:jc w:val="both"/>
        <w:rPr>
          <w:rFonts w:ascii="Palatino Linotype" w:hAnsi="Palatino Linotype" w:cs="Arial"/>
          <w:lang w:val="es-ES_tradnl" w:eastAsia="es-MX"/>
        </w:rPr>
      </w:pPr>
      <w:r w:rsidRPr="009C7EB0">
        <w:rPr>
          <w:rFonts w:ascii="Palatino Linotype" w:hAnsi="Palatino Linotype" w:cs="Arial"/>
          <w:lang w:val="es-ES_tradnl" w:eastAsia="es-MX"/>
        </w:rPr>
        <w:t xml:space="preserve">Lo anterior es compartido por el ahora </w:t>
      </w:r>
      <w:r w:rsidRPr="009C7EB0">
        <w:rPr>
          <w:rFonts w:ascii="Palatino Linotype" w:hAnsi="Palatino Linotype" w:cs="Arial"/>
          <w:b/>
          <w:bCs/>
          <w:lang w:val="es-ES_tradnl" w:eastAsia="es-MX"/>
        </w:rPr>
        <w:t>Instituto Nacional de Transparencia, Acceso a la Información y Protección de Datos Personales</w:t>
      </w:r>
      <w:r w:rsidRPr="009C7EB0">
        <w:rPr>
          <w:rFonts w:ascii="Palatino Linotype" w:hAnsi="Palatino Linotype" w:cs="Arial"/>
          <w:lang w:val="es-ES_tradnl" w:eastAsia="es-MX"/>
        </w:rPr>
        <w:t xml:space="preserve"> (INAI), conforme a los criterios </w:t>
      </w:r>
      <w:r w:rsidRPr="009C7EB0">
        <w:rPr>
          <w:rFonts w:ascii="Palatino Linotype" w:hAnsi="Palatino Linotype" w:cs="Arial"/>
          <w:b/>
          <w:lang w:eastAsia="es-MX"/>
        </w:rPr>
        <w:t>004/2021 y</w:t>
      </w:r>
      <w:r w:rsidRPr="009C7EB0">
        <w:rPr>
          <w:rFonts w:ascii="Palatino Linotype" w:hAnsi="Palatino Linotype" w:cs="Arial"/>
          <w:lang w:val="es-ES_tradnl" w:eastAsia="es-MX"/>
        </w:rPr>
        <w:t xml:space="preserve"> </w:t>
      </w:r>
      <w:r w:rsidRPr="009C7EB0">
        <w:rPr>
          <w:rFonts w:ascii="Palatino Linotype" w:hAnsi="Palatino Linotype" w:cs="Arial"/>
          <w:b/>
          <w:lang w:val="es-ES_tradnl" w:eastAsia="es-MX"/>
        </w:rPr>
        <w:t>19/17,</w:t>
      </w:r>
      <w:r w:rsidRPr="009C7EB0">
        <w:rPr>
          <w:rFonts w:ascii="Palatino Linotype" w:hAnsi="Palatino Linotype" w:cs="Arial"/>
          <w:lang w:val="es-ES_tradnl" w:eastAsia="es-MX"/>
        </w:rPr>
        <w:t xml:space="preserve"> el cual es del tenor literal siguiente:</w:t>
      </w:r>
    </w:p>
    <w:p w:rsidR="00690E79" w:rsidRPr="009C7EB0" w:rsidRDefault="00690E79" w:rsidP="00690E79">
      <w:pPr>
        <w:autoSpaceDE w:val="0"/>
        <w:autoSpaceDN w:val="0"/>
        <w:adjustRightInd w:val="0"/>
        <w:spacing w:before="240"/>
        <w:ind w:left="851" w:right="851"/>
        <w:jc w:val="center"/>
        <w:rPr>
          <w:rFonts w:ascii="Palatino Linotype" w:hAnsi="Palatino Linotype" w:cs="Arial"/>
          <w:b/>
          <w:bCs/>
          <w:i/>
          <w:szCs w:val="22"/>
          <w:lang w:val="es-ES_tradnl" w:eastAsia="es-MX"/>
        </w:rPr>
      </w:pPr>
      <w:r w:rsidRPr="009C7EB0">
        <w:rPr>
          <w:rFonts w:ascii="Palatino Linotype" w:hAnsi="Palatino Linotype" w:cs="Arial"/>
          <w:bCs/>
          <w:i/>
          <w:szCs w:val="22"/>
          <w:lang w:val="es-ES_tradnl" w:eastAsia="es-MX"/>
        </w:rPr>
        <w:t>“</w:t>
      </w:r>
      <w:r w:rsidRPr="009C7EB0">
        <w:rPr>
          <w:rFonts w:ascii="Palatino Linotype" w:hAnsi="Palatino Linotype" w:cs="Arial"/>
          <w:b/>
          <w:bCs/>
          <w:i/>
          <w:szCs w:val="22"/>
          <w:lang w:val="es-ES_tradnl" w:eastAsia="es-MX"/>
        </w:rPr>
        <w:t>REGISTRO FEDERAL DE CONTRIBUYENTES (RFC) DE PERSONAS FÍSICAS.</w:t>
      </w:r>
    </w:p>
    <w:p w:rsidR="00690E79" w:rsidRPr="009C7EB0" w:rsidRDefault="00690E79" w:rsidP="00690E79">
      <w:pPr>
        <w:autoSpaceDE w:val="0"/>
        <w:autoSpaceDN w:val="0"/>
        <w:adjustRightInd w:val="0"/>
        <w:spacing w:before="240"/>
        <w:ind w:left="851" w:right="851"/>
        <w:jc w:val="both"/>
        <w:rPr>
          <w:rFonts w:ascii="Palatino Linotype" w:hAnsi="Palatino Linotype" w:cs="Arial"/>
          <w:bCs/>
          <w:i/>
          <w:szCs w:val="22"/>
          <w:lang w:val="es-ES_tradnl" w:eastAsia="es-MX"/>
        </w:rPr>
      </w:pPr>
      <w:r w:rsidRPr="009C7EB0">
        <w:rPr>
          <w:rFonts w:ascii="Palatino Linotype" w:hAnsi="Palatino Linotype" w:cs="Arial"/>
          <w:bCs/>
          <w:i/>
          <w:szCs w:val="22"/>
          <w:lang w:val="es-ES_tradnl" w:eastAsia="es-MX"/>
        </w:rPr>
        <w:lastRenderedPageBreak/>
        <w:t>El RFC es una clave de carácter fiscal, única e irrepetible, que permite identificar al titular, su edad y fecha de nacimiento, por lo que es un dato personal de carácter confidencial.</w:t>
      </w:r>
    </w:p>
    <w:p w:rsidR="00690E79" w:rsidRPr="009C7EB0" w:rsidRDefault="00690E79" w:rsidP="00690E79">
      <w:pPr>
        <w:autoSpaceDE w:val="0"/>
        <w:autoSpaceDN w:val="0"/>
        <w:adjustRightInd w:val="0"/>
        <w:spacing w:before="240"/>
        <w:ind w:left="851" w:right="851"/>
        <w:jc w:val="both"/>
        <w:rPr>
          <w:rFonts w:ascii="Palatino Linotype" w:hAnsi="Palatino Linotype" w:cs="Arial"/>
          <w:b/>
          <w:i/>
          <w:szCs w:val="22"/>
          <w:lang w:val="es-ES_tradnl" w:eastAsia="es-MX"/>
        </w:rPr>
      </w:pPr>
      <w:r w:rsidRPr="009C7EB0">
        <w:rPr>
          <w:rFonts w:ascii="Palatino Linotype" w:hAnsi="Palatino Linotype" w:cs="Arial"/>
          <w:b/>
          <w:i/>
          <w:szCs w:val="22"/>
          <w:lang w:val="es-ES_tradnl" w:eastAsia="es-MX"/>
        </w:rPr>
        <w:t>Resoluciones:</w:t>
      </w:r>
    </w:p>
    <w:p w:rsidR="00690E79" w:rsidRPr="009C7EB0" w:rsidRDefault="00690E79" w:rsidP="00690E79">
      <w:pPr>
        <w:autoSpaceDE w:val="0"/>
        <w:autoSpaceDN w:val="0"/>
        <w:adjustRightInd w:val="0"/>
        <w:spacing w:before="240"/>
        <w:ind w:left="851" w:right="851"/>
        <w:jc w:val="both"/>
        <w:rPr>
          <w:rFonts w:ascii="Palatino Linotype" w:hAnsi="Palatino Linotype" w:cs="Arial"/>
          <w:i/>
          <w:szCs w:val="22"/>
          <w:lang w:eastAsia="es-MX"/>
        </w:rPr>
      </w:pPr>
      <w:r w:rsidRPr="009C7EB0">
        <w:rPr>
          <w:rFonts w:ascii="Palatino Linotype" w:hAnsi="Palatino Linotype" w:cs="Arial"/>
          <w:b/>
          <w:i/>
          <w:szCs w:val="22"/>
          <w:lang w:val="es-ES_tradnl" w:eastAsia="es-MX"/>
        </w:rPr>
        <w:t xml:space="preserve">RRA </w:t>
      </w:r>
      <w:r w:rsidRPr="009C7EB0">
        <w:rPr>
          <w:rFonts w:ascii="Palatino Linotype" w:hAnsi="Palatino Linotype" w:cs="Arial"/>
          <w:b/>
          <w:i/>
          <w:szCs w:val="22"/>
          <w:lang w:eastAsia="es-MX"/>
        </w:rPr>
        <w:t xml:space="preserve">0189/17. </w:t>
      </w:r>
      <w:r w:rsidRPr="009C7EB0">
        <w:rPr>
          <w:rFonts w:ascii="Palatino Linotype" w:hAnsi="Palatino Linotype" w:cs="Arial"/>
          <w:i/>
          <w:szCs w:val="22"/>
          <w:lang w:eastAsia="es-MX"/>
        </w:rPr>
        <w:t xml:space="preserve">Morena. 08 de febrero de 2017. Por unanimidad. Comisionado Ponente </w:t>
      </w:r>
      <w:r w:rsidRPr="009C7EB0">
        <w:rPr>
          <w:rFonts w:ascii="Palatino Linotype" w:hAnsi="Palatino Linotype" w:cs="Arial"/>
          <w:i/>
          <w:szCs w:val="22"/>
          <w:lang w:val="es-ES_tradnl" w:eastAsia="es-MX"/>
        </w:rPr>
        <w:t>Joel Salas Suárez.</w:t>
      </w:r>
    </w:p>
    <w:p w:rsidR="00690E79" w:rsidRPr="009C7EB0" w:rsidRDefault="00690E79" w:rsidP="00690E79">
      <w:pPr>
        <w:autoSpaceDE w:val="0"/>
        <w:autoSpaceDN w:val="0"/>
        <w:adjustRightInd w:val="0"/>
        <w:spacing w:before="240"/>
        <w:ind w:left="851" w:right="851"/>
        <w:jc w:val="both"/>
        <w:rPr>
          <w:rFonts w:ascii="Palatino Linotype" w:hAnsi="Palatino Linotype" w:cs="Arial"/>
          <w:i/>
          <w:szCs w:val="22"/>
          <w:lang w:eastAsia="es-MX"/>
        </w:rPr>
      </w:pPr>
      <w:r w:rsidRPr="009C7EB0">
        <w:rPr>
          <w:rFonts w:ascii="Palatino Linotype" w:hAnsi="Palatino Linotype" w:cs="Arial"/>
          <w:b/>
          <w:i/>
          <w:szCs w:val="22"/>
          <w:lang w:val="es-ES_tradnl" w:eastAsia="es-MX"/>
        </w:rPr>
        <w:t xml:space="preserve">RRA </w:t>
      </w:r>
      <w:r w:rsidRPr="009C7EB0">
        <w:rPr>
          <w:rFonts w:ascii="Palatino Linotype" w:hAnsi="Palatino Linotype" w:cs="Arial"/>
          <w:b/>
          <w:bCs/>
          <w:i/>
          <w:szCs w:val="22"/>
          <w:lang w:val="es-ES_tradnl" w:eastAsia="es-MX"/>
        </w:rPr>
        <w:t>0677</w:t>
      </w:r>
      <w:r w:rsidRPr="009C7EB0">
        <w:rPr>
          <w:rFonts w:ascii="Palatino Linotype" w:hAnsi="Palatino Linotype" w:cs="Arial"/>
          <w:b/>
          <w:i/>
          <w:szCs w:val="22"/>
          <w:lang w:val="es-ES_tradnl" w:eastAsia="es-MX"/>
        </w:rPr>
        <w:t xml:space="preserve">/17. </w:t>
      </w:r>
      <w:r w:rsidRPr="009C7EB0">
        <w:rPr>
          <w:rFonts w:ascii="Palatino Linotype" w:hAnsi="Palatino Linotype" w:cs="Arial"/>
          <w:i/>
          <w:szCs w:val="22"/>
          <w:lang w:eastAsia="es-MX"/>
        </w:rPr>
        <w:t>Universidad Nacional Autónoma de México. 08 de marzo de 2017. Por unanimidad. Comisionado Ponente Rosendoevgueni Monterrey Chepov</w:t>
      </w:r>
      <w:r w:rsidRPr="009C7EB0">
        <w:rPr>
          <w:rFonts w:ascii="Palatino Linotype" w:hAnsi="Palatino Linotype" w:cs="Arial"/>
          <w:i/>
          <w:szCs w:val="22"/>
          <w:lang w:val="es-ES_tradnl" w:eastAsia="es-MX"/>
        </w:rPr>
        <w:t>.</w:t>
      </w:r>
      <w:r w:rsidRPr="009C7EB0">
        <w:rPr>
          <w:rFonts w:ascii="Palatino Linotype" w:hAnsi="Palatino Linotype" w:cs="Arial"/>
          <w:b/>
          <w:i/>
          <w:szCs w:val="22"/>
          <w:lang w:val="es-ES_tradnl" w:eastAsia="es-MX"/>
        </w:rPr>
        <w:t xml:space="preserve"> </w:t>
      </w:r>
    </w:p>
    <w:p w:rsidR="00690E79" w:rsidRPr="009C7EB0" w:rsidRDefault="00690E79" w:rsidP="00690E79">
      <w:pPr>
        <w:autoSpaceDE w:val="0"/>
        <w:autoSpaceDN w:val="0"/>
        <w:adjustRightInd w:val="0"/>
        <w:spacing w:before="240"/>
        <w:ind w:left="851" w:right="851"/>
        <w:jc w:val="both"/>
        <w:rPr>
          <w:rFonts w:ascii="Palatino Linotype" w:hAnsi="Palatino Linotype" w:cs="Arial"/>
          <w:b/>
          <w:i/>
          <w:szCs w:val="22"/>
          <w:lang w:eastAsia="es-MX"/>
        </w:rPr>
      </w:pPr>
      <w:r w:rsidRPr="009C7EB0">
        <w:rPr>
          <w:rFonts w:ascii="Palatino Linotype" w:hAnsi="Palatino Linotype" w:cs="Arial"/>
          <w:b/>
          <w:i/>
          <w:szCs w:val="22"/>
          <w:lang w:val="es-ES_tradnl" w:eastAsia="es-MX"/>
        </w:rPr>
        <w:t>RRA</w:t>
      </w:r>
      <w:r w:rsidRPr="009C7EB0">
        <w:rPr>
          <w:rFonts w:ascii="Palatino Linotype" w:hAnsi="Palatino Linotype" w:cs="Arial"/>
          <w:i/>
          <w:szCs w:val="22"/>
          <w:lang w:eastAsia="es-MX"/>
        </w:rPr>
        <w:t xml:space="preserve"> </w:t>
      </w:r>
      <w:r w:rsidRPr="009C7EB0">
        <w:rPr>
          <w:rFonts w:ascii="Palatino Linotype" w:hAnsi="Palatino Linotype" w:cs="Arial"/>
          <w:b/>
          <w:i/>
          <w:szCs w:val="22"/>
          <w:lang w:val="es-ES_tradnl" w:eastAsia="es-MX"/>
        </w:rPr>
        <w:t xml:space="preserve">1564/17. </w:t>
      </w:r>
      <w:r w:rsidRPr="009C7EB0">
        <w:rPr>
          <w:rFonts w:ascii="Palatino Linotype" w:hAnsi="Palatino Linotype" w:cs="Arial"/>
          <w:i/>
          <w:szCs w:val="22"/>
          <w:lang w:eastAsia="es-MX"/>
        </w:rPr>
        <w:t>Tribunal Electoral del Poder Judicial de la Federación</w:t>
      </w:r>
      <w:r w:rsidRPr="009C7EB0">
        <w:rPr>
          <w:rFonts w:ascii="Palatino Linotype" w:hAnsi="Palatino Linotype" w:cs="Arial"/>
          <w:i/>
          <w:szCs w:val="22"/>
          <w:lang w:val="es-ES_tradnl" w:eastAsia="es-MX"/>
        </w:rPr>
        <w:t xml:space="preserve">. 26 de abril de 2017. Por unanimidad. Comisionado Ponente Oscar Mauricio Guerra Ford.” </w:t>
      </w:r>
      <w:r w:rsidRPr="009C7EB0">
        <w:rPr>
          <w:rFonts w:ascii="Palatino Linotype" w:hAnsi="Palatino Linotype" w:cs="Arial"/>
          <w:b/>
          <w:i/>
          <w:szCs w:val="22"/>
          <w:lang w:val="es-ES_tradnl" w:eastAsia="es-MX"/>
        </w:rPr>
        <w:t>[Sic]</w:t>
      </w:r>
    </w:p>
    <w:p w:rsidR="00690E79" w:rsidRPr="009C7EB0" w:rsidRDefault="00690E79" w:rsidP="00690E79">
      <w:pPr>
        <w:spacing w:line="360" w:lineRule="auto"/>
        <w:ind w:right="51"/>
        <w:jc w:val="both"/>
        <w:rPr>
          <w:rFonts w:ascii="Palatino Linotype" w:hAnsi="Palatino Linotype" w:cs="Arial"/>
        </w:rPr>
      </w:pPr>
    </w:p>
    <w:p w:rsidR="00690E79" w:rsidRPr="009C7EB0" w:rsidRDefault="00690E79" w:rsidP="00690E79">
      <w:pPr>
        <w:autoSpaceDE w:val="0"/>
        <w:autoSpaceDN w:val="0"/>
        <w:adjustRightInd w:val="0"/>
        <w:spacing w:before="240" w:line="360" w:lineRule="auto"/>
        <w:ind w:left="851" w:right="851"/>
        <w:jc w:val="center"/>
        <w:rPr>
          <w:rFonts w:ascii="Palatino Linotype" w:hAnsi="Palatino Linotype" w:cs="Arial"/>
          <w:b/>
          <w:bCs/>
          <w:i/>
        </w:rPr>
      </w:pPr>
      <w:r w:rsidRPr="009C7EB0">
        <w:rPr>
          <w:rFonts w:ascii="Palatino Linotype" w:hAnsi="Palatino Linotype" w:cs="Arial"/>
          <w:bCs/>
          <w:i/>
        </w:rPr>
        <w:t xml:space="preserve"> “</w:t>
      </w:r>
      <w:r w:rsidRPr="009C7EB0">
        <w:rPr>
          <w:rFonts w:ascii="Palatino Linotype" w:hAnsi="Palatino Linotype" w:cs="Arial"/>
          <w:b/>
          <w:bCs/>
          <w:i/>
        </w:rPr>
        <w:t>Registro Federal de Contribuyentes (RFC) de personas físicas proveedores o contratistas.</w:t>
      </w:r>
    </w:p>
    <w:p w:rsidR="00690E79" w:rsidRPr="009C7EB0" w:rsidRDefault="00690E79" w:rsidP="00690E79">
      <w:pPr>
        <w:autoSpaceDE w:val="0"/>
        <w:autoSpaceDN w:val="0"/>
        <w:adjustRightInd w:val="0"/>
        <w:spacing w:before="240"/>
        <w:ind w:left="851" w:right="851"/>
        <w:jc w:val="both"/>
        <w:rPr>
          <w:rFonts w:ascii="Palatino Linotype" w:hAnsi="Palatino Linotype" w:cs="Arial"/>
          <w:bCs/>
          <w:i/>
        </w:rPr>
      </w:pPr>
      <w:r w:rsidRPr="009C7EB0">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690E79" w:rsidRPr="009C7EB0" w:rsidRDefault="00690E79" w:rsidP="00690E79">
      <w:pPr>
        <w:autoSpaceDE w:val="0"/>
        <w:autoSpaceDN w:val="0"/>
        <w:adjustRightInd w:val="0"/>
        <w:spacing w:before="240"/>
        <w:ind w:left="851" w:right="851"/>
        <w:jc w:val="both"/>
        <w:rPr>
          <w:rFonts w:ascii="Palatino Linotype" w:hAnsi="Palatino Linotype" w:cs="Arial"/>
          <w:b/>
          <w:i/>
        </w:rPr>
      </w:pPr>
      <w:r w:rsidRPr="009C7EB0">
        <w:rPr>
          <w:rFonts w:ascii="Palatino Linotype" w:hAnsi="Palatino Linotype" w:cs="Arial"/>
          <w:b/>
          <w:i/>
        </w:rPr>
        <w:t>Precedentes:</w:t>
      </w:r>
    </w:p>
    <w:p w:rsidR="00690E79" w:rsidRPr="009C7EB0" w:rsidRDefault="00690E79" w:rsidP="00690E79">
      <w:pPr>
        <w:numPr>
          <w:ilvl w:val="0"/>
          <w:numId w:val="18"/>
        </w:numPr>
        <w:autoSpaceDE w:val="0"/>
        <w:autoSpaceDN w:val="0"/>
        <w:adjustRightInd w:val="0"/>
        <w:spacing w:before="240" w:after="160"/>
        <w:ind w:right="851"/>
        <w:jc w:val="both"/>
        <w:rPr>
          <w:rFonts w:ascii="Palatino Linotype" w:hAnsi="Palatino Linotype" w:cs="Arial"/>
          <w:i/>
        </w:rPr>
      </w:pPr>
      <w:r w:rsidRPr="009C7EB0">
        <w:rPr>
          <w:rFonts w:ascii="Palatino Linotype" w:hAnsi="Palatino Linotype" w:cs="Arial"/>
          <w:i/>
        </w:rPr>
        <w:t>Acceso a la información Pública. RRA 3639/19.</w:t>
      </w:r>
      <w:r w:rsidRPr="009C7EB0">
        <w:rPr>
          <w:rFonts w:ascii="Palatino Linotype" w:hAnsi="Palatino Linotype" w:cs="Arial"/>
          <w:bCs/>
          <w:i/>
        </w:rPr>
        <w:t xml:space="preserve"> </w:t>
      </w:r>
      <w:r w:rsidRPr="009C7EB0">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690E79" w:rsidRPr="009C7EB0" w:rsidRDefault="00690E79" w:rsidP="00690E79">
      <w:pPr>
        <w:numPr>
          <w:ilvl w:val="0"/>
          <w:numId w:val="18"/>
        </w:numPr>
        <w:autoSpaceDE w:val="0"/>
        <w:autoSpaceDN w:val="0"/>
        <w:adjustRightInd w:val="0"/>
        <w:spacing w:before="240" w:after="160"/>
        <w:ind w:right="851"/>
        <w:jc w:val="both"/>
        <w:rPr>
          <w:rFonts w:ascii="Palatino Linotype" w:hAnsi="Palatino Linotype" w:cs="Arial"/>
          <w:bCs/>
          <w:i/>
        </w:rPr>
      </w:pPr>
      <w:r w:rsidRPr="009C7EB0">
        <w:rPr>
          <w:rFonts w:ascii="Palatino Linotype" w:hAnsi="Palatino Linotype" w:cs="Arial"/>
          <w:i/>
        </w:rPr>
        <w:t>Acceso a la información Pública. RRA 7709/19.</w:t>
      </w:r>
      <w:r w:rsidRPr="009C7EB0">
        <w:rPr>
          <w:rFonts w:ascii="Palatino Linotype" w:hAnsi="Palatino Linotype" w:cs="Arial"/>
          <w:bCs/>
          <w:i/>
        </w:rPr>
        <w:t xml:space="preserve"> </w:t>
      </w:r>
      <w:r w:rsidRPr="009C7EB0">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690E79" w:rsidRPr="009C7EB0" w:rsidRDefault="00690E79" w:rsidP="00690E79">
      <w:pPr>
        <w:numPr>
          <w:ilvl w:val="0"/>
          <w:numId w:val="18"/>
        </w:numPr>
        <w:autoSpaceDE w:val="0"/>
        <w:autoSpaceDN w:val="0"/>
        <w:adjustRightInd w:val="0"/>
        <w:spacing w:before="240" w:after="160"/>
        <w:ind w:left="851" w:right="851"/>
        <w:jc w:val="both"/>
        <w:rPr>
          <w:rFonts w:ascii="Palatino Linotype" w:hAnsi="Palatino Linotype" w:cs="Arial"/>
          <w:b/>
          <w:i/>
        </w:rPr>
      </w:pPr>
      <w:r w:rsidRPr="009C7EB0">
        <w:rPr>
          <w:rFonts w:ascii="Palatino Linotype" w:hAnsi="Palatino Linotype" w:cs="Arial"/>
          <w:i/>
        </w:rPr>
        <w:lastRenderedPageBreak/>
        <w:t>Acceso a la información Pública. RRA 5774/19.</w:t>
      </w:r>
      <w:r w:rsidRPr="009C7EB0">
        <w:rPr>
          <w:rFonts w:ascii="Palatino Linotype" w:hAnsi="Palatino Linotype" w:cs="Arial"/>
          <w:bCs/>
          <w:i/>
        </w:rPr>
        <w:t xml:space="preserve"> </w:t>
      </w:r>
      <w:r w:rsidRPr="009C7EB0">
        <w:rPr>
          <w:rFonts w:ascii="Palatino Linotype" w:hAnsi="Palatino Linotype" w:cs="Arial"/>
          <w:i/>
        </w:rPr>
        <w:t>Sesión del 21 de agosto de 2019. Votación por mayoría. Con voto disidente del Comisionado Joel Salas Suárez. Secretaría de Marina. Comisionada Ponente Blanca Lilia Ibarra Cadena.” [Sic]</w:t>
      </w:r>
    </w:p>
    <w:p w:rsidR="00690E79" w:rsidRPr="009C7EB0" w:rsidRDefault="00690E79" w:rsidP="00690E79">
      <w:pPr>
        <w:autoSpaceDE w:val="0"/>
        <w:autoSpaceDN w:val="0"/>
        <w:adjustRightInd w:val="0"/>
        <w:spacing w:before="120" w:after="120"/>
        <w:ind w:left="567" w:right="850"/>
        <w:jc w:val="both"/>
        <w:rPr>
          <w:rFonts w:ascii="Palatino Linotype" w:hAnsi="Palatino Linotype" w:cs="Arial"/>
          <w:i/>
        </w:rPr>
      </w:pPr>
    </w:p>
    <w:p w:rsidR="00690E79" w:rsidRPr="009C7EB0" w:rsidRDefault="00690E79" w:rsidP="00690E79">
      <w:pPr>
        <w:spacing w:before="240" w:after="240" w:line="360" w:lineRule="auto"/>
        <w:jc w:val="both"/>
        <w:rPr>
          <w:rFonts w:ascii="Palatino Linotype" w:hAnsi="Palatino Linotype" w:cs="Arial"/>
          <w:lang w:eastAsia="es-MX"/>
        </w:rPr>
      </w:pPr>
      <w:r w:rsidRPr="009C7EB0">
        <w:rPr>
          <w:rFonts w:ascii="Palatino Linotype" w:hAnsi="Palatino Linotype" w:cs="Arial"/>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690E79" w:rsidRPr="009C7EB0" w:rsidRDefault="00690E79" w:rsidP="00690E79">
      <w:pPr>
        <w:spacing w:before="240" w:after="240" w:line="360" w:lineRule="auto"/>
        <w:jc w:val="both"/>
        <w:rPr>
          <w:rFonts w:ascii="Palatino Linotype" w:eastAsia="Calibri" w:hAnsi="Palatino Linotype" w:cs="Arial"/>
          <w:lang w:eastAsia="es-MX"/>
        </w:rPr>
      </w:pPr>
      <w:r w:rsidRPr="009C7EB0">
        <w:rPr>
          <w:rFonts w:ascii="Palatino Linotype" w:hAnsi="Palatino Linotype" w:cs="Arial"/>
          <w:lang w:eastAsia="es-MX"/>
        </w:rPr>
        <w:t xml:space="preserve">En cuanto a la </w:t>
      </w:r>
      <w:r w:rsidRPr="009C7EB0">
        <w:rPr>
          <w:rFonts w:ascii="Palatino Linotype" w:hAnsi="Palatino Linotype" w:cs="Arial"/>
        </w:rPr>
        <w:t xml:space="preserve">Clave Única de Registro de Población (CURP) en virtud de que éste se </w:t>
      </w:r>
      <w:r w:rsidRPr="009C7EB0">
        <w:rPr>
          <w:rFonts w:ascii="Palatino Linotype" w:eastAsia="Calibri" w:hAnsi="Palatino Linotype" w:cs="Arial"/>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690E79" w:rsidRPr="009C7EB0" w:rsidRDefault="00690E79" w:rsidP="00690E79">
      <w:pPr>
        <w:spacing w:before="240" w:after="240" w:line="360" w:lineRule="auto"/>
        <w:ind w:right="-91"/>
        <w:jc w:val="both"/>
        <w:rPr>
          <w:rFonts w:ascii="Palatino Linotype" w:hAnsi="Palatino Linotype" w:cs="Arial"/>
        </w:rPr>
      </w:pPr>
      <w:r w:rsidRPr="009C7EB0">
        <w:rPr>
          <w:rFonts w:ascii="Palatino Linotype" w:hAnsi="Palatino Linotype" w:cs="Arial"/>
        </w:rPr>
        <w:t xml:space="preserve">Argumento que es compartido por el </w:t>
      </w:r>
      <w:r w:rsidRPr="009C7EB0">
        <w:rPr>
          <w:rStyle w:val="Textoennegrita"/>
          <w:rFonts w:ascii="Palatino Linotype" w:hAnsi="Palatino Linotype" w:cs="Arial"/>
        </w:rPr>
        <w:t xml:space="preserve">Instituto Nacional de Transparencia, Acceso a la Información y Protección de Datos Personales, conforme al </w:t>
      </w:r>
      <w:r w:rsidRPr="009C7EB0">
        <w:rPr>
          <w:rFonts w:ascii="Palatino Linotype" w:hAnsi="Palatino Linotype" w:cs="Arial"/>
        </w:rPr>
        <w:t xml:space="preserve">criterio número 18/17 el cual refiere: </w:t>
      </w:r>
    </w:p>
    <w:p w:rsidR="00690E79" w:rsidRPr="009C7EB0" w:rsidRDefault="00690E79" w:rsidP="00690E79">
      <w:pPr>
        <w:autoSpaceDE w:val="0"/>
        <w:autoSpaceDN w:val="0"/>
        <w:adjustRightInd w:val="0"/>
        <w:spacing w:before="240" w:line="360" w:lineRule="auto"/>
        <w:ind w:left="851" w:right="851"/>
        <w:jc w:val="center"/>
        <w:rPr>
          <w:rFonts w:ascii="Palatino Linotype" w:hAnsi="Palatino Linotype" w:cs="Arial"/>
          <w:b/>
          <w:bCs/>
          <w:i/>
          <w:lang w:eastAsia="es-MX"/>
        </w:rPr>
      </w:pPr>
      <w:r w:rsidRPr="009C7EB0">
        <w:rPr>
          <w:rFonts w:ascii="Palatino Linotype" w:hAnsi="Palatino Linotype" w:cs="Arial"/>
          <w:bCs/>
          <w:i/>
          <w:lang w:eastAsia="es-MX"/>
        </w:rPr>
        <w:t>“</w:t>
      </w:r>
      <w:r w:rsidRPr="009C7EB0">
        <w:rPr>
          <w:rFonts w:ascii="Palatino Linotype" w:hAnsi="Palatino Linotype" w:cs="Arial"/>
          <w:b/>
          <w:bCs/>
          <w:i/>
          <w:lang w:eastAsia="es-MX"/>
        </w:rPr>
        <w:t>CLAVE ÚNICA DE REGISTRO DE POBLACIÓN (CURP).</w:t>
      </w:r>
    </w:p>
    <w:p w:rsidR="00690E79" w:rsidRPr="009C7EB0" w:rsidRDefault="00690E79" w:rsidP="00690E79">
      <w:pPr>
        <w:autoSpaceDE w:val="0"/>
        <w:autoSpaceDN w:val="0"/>
        <w:adjustRightInd w:val="0"/>
        <w:spacing w:before="240" w:line="360" w:lineRule="auto"/>
        <w:ind w:left="851" w:right="851"/>
        <w:jc w:val="both"/>
        <w:rPr>
          <w:rFonts w:ascii="Palatino Linotype" w:hAnsi="Palatino Linotype" w:cs="Arial"/>
          <w:b/>
          <w:bCs/>
          <w:i/>
          <w:lang w:eastAsia="es-MX"/>
        </w:rPr>
      </w:pPr>
      <w:r w:rsidRPr="009C7EB0">
        <w:rPr>
          <w:rFonts w:ascii="Palatino Linotype"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w:t>
      </w:r>
      <w:r w:rsidRPr="009C7EB0">
        <w:rPr>
          <w:rFonts w:ascii="Palatino Linotype" w:hAnsi="Palatino Linotype" w:cs="Arial"/>
          <w:bCs/>
          <w:i/>
          <w:lang w:eastAsia="es-MX"/>
        </w:rPr>
        <w:lastRenderedPageBreak/>
        <w:t xml:space="preserve">resto de los habitantes del país, por lo que la CURP está considerada como información confidencial”. </w:t>
      </w:r>
    </w:p>
    <w:p w:rsidR="00690E79" w:rsidRPr="009C7EB0" w:rsidRDefault="00690E79" w:rsidP="00690E79">
      <w:pPr>
        <w:autoSpaceDE w:val="0"/>
        <w:autoSpaceDN w:val="0"/>
        <w:adjustRightInd w:val="0"/>
        <w:spacing w:before="240" w:line="360" w:lineRule="auto"/>
        <w:ind w:left="851" w:right="851"/>
        <w:jc w:val="both"/>
        <w:rPr>
          <w:rFonts w:ascii="Palatino Linotype" w:hAnsi="Palatino Linotype" w:cs="Arial"/>
          <w:b/>
          <w:i/>
          <w:lang w:eastAsia="es-MX"/>
        </w:rPr>
      </w:pPr>
      <w:r w:rsidRPr="009C7EB0">
        <w:rPr>
          <w:rFonts w:ascii="Palatino Linotype" w:hAnsi="Palatino Linotype" w:cs="Arial"/>
          <w:i/>
          <w:lang w:eastAsia="es-MX"/>
        </w:rPr>
        <w:t xml:space="preserve"> </w:t>
      </w:r>
      <w:r w:rsidRPr="009C7EB0">
        <w:rPr>
          <w:rFonts w:ascii="Palatino Linotype" w:hAnsi="Palatino Linotype" w:cs="Arial"/>
          <w:b/>
          <w:i/>
          <w:lang w:eastAsia="es-MX"/>
        </w:rPr>
        <w:t>Resoluciones:</w:t>
      </w:r>
    </w:p>
    <w:p w:rsidR="00690E79" w:rsidRPr="009C7EB0" w:rsidRDefault="00690E79" w:rsidP="00690E79">
      <w:pPr>
        <w:autoSpaceDE w:val="0"/>
        <w:autoSpaceDN w:val="0"/>
        <w:adjustRightInd w:val="0"/>
        <w:spacing w:before="240" w:line="360" w:lineRule="auto"/>
        <w:ind w:left="851" w:right="851"/>
        <w:jc w:val="both"/>
        <w:rPr>
          <w:rFonts w:ascii="Palatino Linotype" w:hAnsi="Palatino Linotype" w:cs="Arial"/>
          <w:b/>
          <w:i/>
          <w:lang w:eastAsia="es-MX"/>
        </w:rPr>
      </w:pPr>
      <w:r w:rsidRPr="009C7EB0">
        <w:rPr>
          <w:rFonts w:ascii="Palatino Linotype" w:hAnsi="Palatino Linotype" w:cs="Arial"/>
          <w:b/>
          <w:i/>
          <w:lang w:eastAsia="es-MX"/>
        </w:rPr>
        <w:t xml:space="preserve">RRA 3995/16. </w:t>
      </w:r>
      <w:r w:rsidRPr="009C7EB0">
        <w:rPr>
          <w:rFonts w:ascii="Palatino Linotype" w:hAnsi="Palatino Linotype" w:cs="Arial"/>
          <w:i/>
          <w:lang w:eastAsia="es-MX"/>
        </w:rPr>
        <w:t>Secretaría de la Defensa Nacional. 1 de febrero de 2017. Por unanimidad. Comisionado Ponente Rosendoevgueni Monterrey Chepov.</w:t>
      </w:r>
    </w:p>
    <w:p w:rsidR="00690E79" w:rsidRPr="009C7EB0" w:rsidRDefault="00690E79" w:rsidP="00690E79">
      <w:pPr>
        <w:autoSpaceDE w:val="0"/>
        <w:autoSpaceDN w:val="0"/>
        <w:adjustRightInd w:val="0"/>
        <w:spacing w:before="240" w:line="360" w:lineRule="auto"/>
        <w:ind w:left="851" w:right="851"/>
        <w:jc w:val="both"/>
        <w:rPr>
          <w:rFonts w:ascii="Palatino Linotype" w:hAnsi="Palatino Linotype" w:cs="Arial"/>
          <w:b/>
          <w:i/>
          <w:lang w:eastAsia="es-MX"/>
        </w:rPr>
      </w:pPr>
      <w:r w:rsidRPr="009C7EB0">
        <w:rPr>
          <w:rFonts w:ascii="Palatino Linotype" w:hAnsi="Palatino Linotype" w:cs="Arial"/>
          <w:b/>
          <w:i/>
          <w:lang w:eastAsia="es-MX"/>
        </w:rPr>
        <w:t xml:space="preserve">RRA </w:t>
      </w:r>
      <w:r w:rsidRPr="009C7EB0">
        <w:rPr>
          <w:rFonts w:ascii="Palatino Linotype" w:hAnsi="Palatino Linotype" w:cs="Arial"/>
          <w:b/>
          <w:bCs/>
          <w:i/>
          <w:lang w:eastAsia="es-MX"/>
        </w:rPr>
        <w:t xml:space="preserve">0937/17. </w:t>
      </w:r>
      <w:r w:rsidRPr="009C7EB0">
        <w:rPr>
          <w:rFonts w:ascii="Palatino Linotype" w:hAnsi="Palatino Linotype" w:cs="Arial"/>
          <w:bCs/>
          <w:i/>
          <w:lang w:eastAsia="es-MX"/>
        </w:rPr>
        <w:t xml:space="preserve">Senado de la República. </w:t>
      </w:r>
      <w:r w:rsidRPr="009C7EB0">
        <w:rPr>
          <w:rFonts w:ascii="Palatino Linotype" w:hAnsi="Palatino Linotype" w:cs="Arial"/>
          <w:bCs/>
          <w:i/>
          <w:lang w:val="es-ES_tradnl" w:eastAsia="es-MX"/>
        </w:rPr>
        <w:t xml:space="preserve">15 de marzo de 2017. Por unanimidad. Comisionada Ponente Ximena Puente de la Mora. </w:t>
      </w:r>
    </w:p>
    <w:p w:rsidR="00690E79" w:rsidRPr="009C7EB0" w:rsidRDefault="00690E79" w:rsidP="00690E79">
      <w:pPr>
        <w:autoSpaceDE w:val="0"/>
        <w:autoSpaceDN w:val="0"/>
        <w:adjustRightInd w:val="0"/>
        <w:spacing w:before="240" w:line="360" w:lineRule="auto"/>
        <w:ind w:left="851" w:right="851"/>
        <w:jc w:val="both"/>
        <w:rPr>
          <w:rFonts w:ascii="Palatino Linotype" w:hAnsi="Palatino Linotype" w:cs="Arial"/>
          <w:b/>
          <w:i/>
          <w:lang w:eastAsia="es-MX"/>
        </w:rPr>
      </w:pPr>
      <w:r w:rsidRPr="009C7EB0">
        <w:rPr>
          <w:rFonts w:ascii="Palatino Linotype" w:hAnsi="Palatino Linotype" w:cs="Arial"/>
          <w:b/>
          <w:i/>
          <w:lang w:eastAsia="es-MX"/>
        </w:rPr>
        <w:t xml:space="preserve">RRA 0478/17. </w:t>
      </w:r>
      <w:r w:rsidRPr="009C7EB0">
        <w:rPr>
          <w:rFonts w:ascii="Palatino Linotype" w:hAnsi="Palatino Linotype" w:cs="Arial"/>
          <w:i/>
          <w:lang w:eastAsia="es-MX"/>
        </w:rPr>
        <w:t xml:space="preserve">Secretaría de Relaciones Exteriores. 26 de abril de 2017. Por unanimidad. Comisionada Ponente Areli Cano Guadiana.” </w:t>
      </w:r>
      <w:r w:rsidRPr="009C7EB0">
        <w:rPr>
          <w:rFonts w:ascii="Palatino Linotype" w:hAnsi="Palatino Linotype" w:cs="Arial"/>
          <w:b/>
          <w:i/>
          <w:lang w:eastAsia="es-MX"/>
        </w:rPr>
        <w:t>[Sic]</w:t>
      </w:r>
    </w:p>
    <w:p w:rsidR="00690E79" w:rsidRPr="009C7EB0" w:rsidRDefault="00690E79" w:rsidP="00690E79">
      <w:pPr>
        <w:spacing w:line="360" w:lineRule="auto"/>
        <w:ind w:right="51"/>
        <w:jc w:val="both"/>
        <w:rPr>
          <w:rFonts w:ascii="Palatino Linotype" w:eastAsia="Palatino Linotype" w:hAnsi="Palatino Linotype" w:cs="Palatino Linotype"/>
        </w:rPr>
      </w:pPr>
    </w:p>
    <w:p w:rsidR="00690E79" w:rsidRPr="009C7EB0" w:rsidRDefault="00690E79" w:rsidP="00690E79">
      <w:pPr>
        <w:spacing w:line="360" w:lineRule="auto"/>
        <w:ind w:right="51"/>
        <w:jc w:val="both"/>
        <w:rPr>
          <w:rFonts w:ascii="Palatino Linotype" w:hAnsi="Palatino Linotype"/>
          <w:szCs w:val="14"/>
        </w:rPr>
      </w:pPr>
      <w:r w:rsidRPr="009C7EB0">
        <w:rPr>
          <w:rFonts w:ascii="Palatino Linotype" w:eastAsia="Palatino Linotype" w:hAnsi="Palatino Linotype" w:cs="Palatino Linotype"/>
        </w:rPr>
        <w:t xml:space="preserve">Igualmente, resulta importante destacar que el </w:t>
      </w:r>
      <w:r w:rsidRPr="009C7EB0">
        <w:rPr>
          <w:rFonts w:ascii="Palatino Linotype" w:eastAsia="Palatino Linotype" w:hAnsi="Palatino Linotype" w:cs="Palatino Linotype"/>
          <w:b/>
          <w:i/>
        </w:rPr>
        <w:t>número de cuenta bancaria</w:t>
      </w:r>
      <w:r w:rsidRPr="009C7EB0">
        <w:rPr>
          <w:rFonts w:ascii="Palatino Linotype" w:eastAsia="Palatino Linotype" w:hAnsi="Palatino Linotype" w:cs="Palatino Linotype"/>
          <w:b/>
        </w:rPr>
        <w:t xml:space="preserve"> de las personas físicas </w:t>
      </w:r>
      <w:r w:rsidRPr="009C7EB0">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w:t>
      </w:r>
      <w:r w:rsidRPr="009C7EB0">
        <w:rPr>
          <w:rFonts w:ascii="Palatino Linotype" w:eastAsia="Palatino Linotype" w:hAnsi="Palatino Linotype" w:cs="Palatino Linotype"/>
        </w:rPr>
        <w:lastRenderedPageBreak/>
        <w:t xml:space="preserve">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Es por esta razón que se debe omitir el o los números de cuentas bancarias de particulares en las versiones públicas, para ser entregadas.</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line="360" w:lineRule="auto"/>
        <w:ind w:right="50"/>
        <w:jc w:val="both"/>
        <w:rPr>
          <w:rFonts w:ascii="Palatino Linotype" w:eastAsia="Palatino Linotype" w:hAnsi="Palatino Linotype" w:cs="Palatino Linotype"/>
        </w:rPr>
      </w:pPr>
      <w:r w:rsidRPr="009C7EB0">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690E79" w:rsidRPr="009C7EB0" w:rsidRDefault="00690E79" w:rsidP="00690E79">
      <w:pPr>
        <w:spacing w:line="360" w:lineRule="auto"/>
        <w:ind w:right="50"/>
        <w:jc w:val="both"/>
        <w:rPr>
          <w:rFonts w:ascii="Palatino Linotype" w:eastAsia="Palatino Linotype" w:hAnsi="Palatino Linotype" w:cs="Palatino Linotype"/>
        </w:rPr>
      </w:pPr>
    </w:p>
    <w:p w:rsidR="00690E79" w:rsidRPr="009C7EB0" w:rsidRDefault="00690E79" w:rsidP="00690E79">
      <w:pPr>
        <w:spacing w:after="240" w:line="276" w:lineRule="auto"/>
        <w:ind w:left="851" w:right="900"/>
        <w:jc w:val="both"/>
        <w:rPr>
          <w:rFonts w:ascii="Palatino Linotype" w:eastAsia="Palatino Linotype" w:hAnsi="Palatino Linotype" w:cs="Palatino Linotype"/>
          <w:i/>
        </w:rPr>
      </w:pPr>
      <w:r w:rsidRPr="009C7EB0">
        <w:rPr>
          <w:rFonts w:ascii="Palatino Linotype" w:eastAsia="Palatino Linotype" w:hAnsi="Palatino Linotype" w:cs="Palatino Linotype"/>
          <w:b/>
          <w:i/>
        </w:rPr>
        <w:t>“Cuentas bancarias y/o CLABE interbancaria de personas físicas y morales privadas.</w:t>
      </w:r>
      <w:r w:rsidRPr="009C7EB0">
        <w:rPr>
          <w:rFonts w:ascii="Palatino Linotype" w:eastAsia="Palatino Linotype" w:hAnsi="Palatino Linotype" w:cs="Palatino Linotype"/>
          <w:i/>
        </w:rPr>
        <w:t xml:space="preserve"> El número de cuenta bancaria y/o CLABE interbancaria de particulares es información confidencial, al tratarse de un conjunto de </w:t>
      </w:r>
      <w:r w:rsidRPr="009C7EB0">
        <w:rPr>
          <w:rFonts w:ascii="Palatino Linotype" w:eastAsia="Palatino Linotype" w:hAnsi="Palatino Linotype" w:cs="Palatino Linotype"/>
          <w:i/>
        </w:rPr>
        <w:lastRenderedPageBreak/>
        <w:t>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90E79" w:rsidRPr="009C7EB0" w:rsidRDefault="00690E79" w:rsidP="00690E79">
      <w:pPr>
        <w:spacing w:before="240" w:line="276" w:lineRule="auto"/>
        <w:ind w:left="851" w:right="900"/>
        <w:jc w:val="both"/>
        <w:rPr>
          <w:rFonts w:ascii="Palatino Linotype" w:eastAsia="Palatino Linotype" w:hAnsi="Palatino Linotype" w:cs="Palatino Linotype"/>
          <w:i/>
        </w:rPr>
      </w:pPr>
      <w:r w:rsidRPr="009C7EB0">
        <w:rPr>
          <w:rFonts w:ascii="Palatino Linotype" w:eastAsia="Palatino Linotype" w:hAnsi="Palatino Linotype" w:cs="Palatino Linotype"/>
          <w:b/>
          <w:i/>
        </w:rPr>
        <w:t>Cuentas bancarias y/o CLABE interbancaria de sujetos obligados que reciben y/o transfieren recursos públicos, son información pública</w:t>
      </w:r>
      <w:r w:rsidRPr="009C7EB0">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196095" w:rsidRPr="009C7EB0" w:rsidRDefault="00196095" w:rsidP="00196095">
      <w:pPr>
        <w:spacing w:line="360" w:lineRule="auto"/>
        <w:ind w:right="51"/>
        <w:jc w:val="both"/>
        <w:rPr>
          <w:rFonts w:ascii="Palatino Linotype" w:eastAsia="Calibri" w:hAnsi="Palatino Linotype" w:cs="Arial"/>
          <w:lang w:val="es-ES_tradnl" w:eastAsia="es-MX"/>
        </w:rPr>
      </w:pPr>
    </w:p>
    <w:p w:rsidR="00196095" w:rsidRPr="009C7EB0" w:rsidRDefault="00196095" w:rsidP="00196095">
      <w:pPr>
        <w:spacing w:line="360" w:lineRule="auto"/>
        <w:ind w:right="51"/>
        <w:jc w:val="both"/>
        <w:rPr>
          <w:rFonts w:ascii="Palatino Linotype" w:eastAsia="Arial Unicode MS" w:hAnsi="Palatino Linotype" w:cs="Arial"/>
          <w:lang w:val="es-ES_tradnl" w:eastAsia="es-MX"/>
        </w:rPr>
      </w:pPr>
      <w:r w:rsidRPr="009C7EB0">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C7EB0">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C7EB0">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196095" w:rsidRPr="009C7EB0" w:rsidRDefault="00196095" w:rsidP="00196095">
      <w:pPr>
        <w:spacing w:line="360" w:lineRule="auto"/>
        <w:jc w:val="both"/>
        <w:rPr>
          <w:rFonts w:ascii="Palatino Linotype" w:hAnsi="Palatino Linotype" w:cs="Arial"/>
          <w:noProof/>
          <w:color w:val="000000"/>
          <w:lang w:eastAsia="es-MX"/>
        </w:rPr>
      </w:pPr>
    </w:p>
    <w:p w:rsidR="00196095" w:rsidRPr="009C7EB0" w:rsidRDefault="00196095" w:rsidP="00196095">
      <w:pPr>
        <w:spacing w:line="360" w:lineRule="auto"/>
        <w:ind w:right="51"/>
        <w:jc w:val="both"/>
        <w:rPr>
          <w:rFonts w:ascii="Palatino Linotype" w:eastAsiaTheme="minorHAnsi" w:hAnsi="Palatino Linotype" w:cstheme="minorBidi"/>
          <w:lang w:val="es-MX" w:eastAsia="en-US"/>
        </w:rPr>
      </w:pPr>
      <w:r w:rsidRPr="009C7EB0">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C7EB0">
        <w:rPr>
          <w:rFonts w:ascii="Palatino Linotype" w:eastAsiaTheme="minorHAnsi" w:hAnsi="Palatino Linotype" w:cstheme="minorBidi"/>
          <w:b/>
          <w:lang w:val="es-MX" w:eastAsia="en-US"/>
        </w:rPr>
        <w:t>el Recurrente</w:t>
      </w:r>
      <w:r w:rsidRPr="009C7EB0">
        <w:rPr>
          <w:rFonts w:ascii="Palatino Linotype" w:eastAsiaTheme="minorHAnsi" w:hAnsi="Palatino Linotype" w:cstheme="minorBidi"/>
          <w:lang w:val="es-MX" w:eastAsia="en-US"/>
        </w:rPr>
        <w:t xml:space="preserve">, con fundamento en la primera </w:t>
      </w:r>
      <w:r w:rsidRPr="009C7EB0">
        <w:rPr>
          <w:rFonts w:ascii="Palatino Linotype" w:eastAsiaTheme="minorHAnsi" w:hAnsi="Palatino Linotype" w:cstheme="minorBidi"/>
          <w:lang w:val="es-MX" w:eastAsia="en-US"/>
        </w:rPr>
        <w:lastRenderedPageBreak/>
        <w:t xml:space="preserve">hipótesis del artículo 186 fracción III de la Ley de Transparencia y Acceso a la Información Pública del Estado de México y Municipios, se </w:t>
      </w:r>
      <w:r w:rsidRPr="009C7EB0">
        <w:rPr>
          <w:rFonts w:ascii="Palatino Linotype" w:eastAsiaTheme="minorHAnsi" w:hAnsi="Palatino Linotype" w:cstheme="minorBidi"/>
          <w:b/>
          <w:lang w:val="es-MX" w:eastAsia="en-US"/>
        </w:rPr>
        <w:t xml:space="preserve">REVOCA </w:t>
      </w:r>
      <w:r w:rsidRPr="009C7EB0">
        <w:rPr>
          <w:rFonts w:ascii="Palatino Linotype" w:eastAsiaTheme="minorHAnsi" w:hAnsi="Palatino Linotype" w:cstheme="minorBidi"/>
          <w:lang w:val="es-MX" w:eastAsia="en-US"/>
        </w:rPr>
        <w:t xml:space="preserve">la respuesta emitida a la solicitud de información </w:t>
      </w:r>
      <w:r w:rsidRPr="009C7EB0">
        <w:rPr>
          <w:rFonts w:ascii="Palatino Linotype" w:hAnsi="Palatino Linotype"/>
          <w:b/>
          <w:bCs/>
        </w:rPr>
        <w:t>05368/TOLUCA/IP/2025</w:t>
      </w:r>
      <w:r w:rsidRPr="009C7EB0">
        <w:rPr>
          <w:rFonts w:ascii="Palatino Linotype" w:eastAsiaTheme="minorHAnsi" w:hAnsi="Palatino Linotype"/>
          <w:b/>
          <w:bCs/>
        </w:rPr>
        <w:t>,</w:t>
      </w:r>
      <w:r w:rsidRPr="009C7EB0">
        <w:rPr>
          <w:rFonts w:ascii="Palatino Linotype" w:eastAsiaTheme="minorHAnsi" w:hAnsi="Palatino Linotype" w:cs="Arial"/>
          <w:lang w:val="es-MX" w:eastAsia="en-US"/>
        </w:rPr>
        <w:t xml:space="preserve"> </w:t>
      </w:r>
      <w:r w:rsidRPr="009C7EB0">
        <w:rPr>
          <w:rFonts w:ascii="Palatino Linotype" w:eastAsiaTheme="minorHAnsi" w:hAnsi="Palatino Linotype" w:cstheme="minorBidi"/>
          <w:lang w:val="es-MX" w:eastAsia="en-US"/>
        </w:rPr>
        <w:t>que ha sido materia del presente fallo.</w:t>
      </w:r>
    </w:p>
    <w:p w:rsidR="00196095" w:rsidRPr="009C7EB0" w:rsidRDefault="00196095" w:rsidP="00196095">
      <w:pPr>
        <w:spacing w:line="360" w:lineRule="auto"/>
        <w:jc w:val="both"/>
        <w:rPr>
          <w:rFonts w:ascii="Palatino Linotype" w:eastAsiaTheme="minorHAnsi" w:hAnsi="Palatino Linotype" w:cstheme="minorBidi"/>
          <w:lang w:val="es-MX" w:eastAsia="en-US"/>
        </w:rPr>
      </w:pPr>
    </w:p>
    <w:p w:rsidR="00196095" w:rsidRPr="009C7EB0" w:rsidRDefault="00196095" w:rsidP="00196095">
      <w:pPr>
        <w:spacing w:line="360" w:lineRule="auto"/>
        <w:jc w:val="both"/>
        <w:rPr>
          <w:rFonts w:ascii="Palatino Linotype" w:hAnsi="Palatino Linotype"/>
          <w:lang w:val="es-MX"/>
        </w:rPr>
      </w:pPr>
      <w:r w:rsidRPr="009C7EB0">
        <w:rPr>
          <w:rFonts w:ascii="Palatino Linotype" w:hAnsi="Palatino Linotype"/>
          <w:lang w:val="es-MX"/>
        </w:rPr>
        <w:t>Por lo antes expuesto y fundado es de resolverse y,</w:t>
      </w:r>
    </w:p>
    <w:p w:rsidR="00196095" w:rsidRPr="009C7EB0" w:rsidRDefault="00196095" w:rsidP="00196095">
      <w:pPr>
        <w:spacing w:line="360" w:lineRule="auto"/>
        <w:jc w:val="both"/>
        <w:rPr>
          <w:rFonts w:ascii="Palatino Linotype" w:hAnsi="Palatino Linotype"/>
          <w:lang w:val="es-MX"/>
        </w:rPr>
      </w:pPr>
    </w:p>
    <w:p w:rsidR="00196095" w:rsidRPr="009C7EB0" w:rsidRDefault="00196095" w:rsidP="00196095">
      <w:pPr>
        <w:spacing w:line="360" w:lineRule="auto"/>
        <w:jc w:val="center"/>
        <w:rPr>
          <w:rFonts w:ascii="Palatino Linotype" w:hAnsi="Palatino Linotype"/>
          <w:bCs/>
          <w:spacing w:val="60"/>
          <w:lang w:val="es-ES_tradnl"/>
        </w:rPr>
      </w:pPr>
      <w:r w:rsidRPr="009C7EB0">
        <w:rPr>
          <w:rFonts w:ascii="Palatino Linotype" w:hAnsi="Palatino Linotype"/>
          <w:b/>
          <w:bCs/>
          <w:spacing w:val="60"/>
          <w:sz w:val="28"/>
          <w:lang w:val="es-ES_tradnl"/>
        </w:rPr>
        <w:t>SE    RESUELVE</w:t>
      </w:r>
    </w:p>
    <w:p w:rsidR="00196095" w:rsidRPr="009C7EB0" w:rsidRDefault="00196095" w:rsidP="00196095">
      <w:pPr>
        <w:spacing w:line="360" w:lineRule="auto"/>
        <w:jc w:val="both"/>
        <w:rPr>
          <w:rFonts w:ascii="Palatino Linotype" w:hAnsi="Palatino Linotype" w:cs="Arial"/>
        </w:rPr>
      </w:pPr>
      <w:r w:rsidRPr="009C7EB0">
        <w:rPr>
          <w:rFonts w:ascii="Palatino Linotype" w:hAnsi="Palatino Linotype" w:cs="Arial"/>
          <w:b/>
          <w:sz w:val="28"/>
          <w:szCs w:val="28"/>
        </w:rPr>
        <w:t>PRIMERO</w:t>
      </w:r>
      <w:r w:rsidRPr="009C7EB0">
        <w:rPr>
          <w:rFonts w:ascii="Palatino Linotype" w:hAnsi="Palatino Linotype" w:cs="Arial"/>
          <w:sz w:val="32"/>
          <w:szCs w:val="28"/>
        </w:rPr>
        <w:t>.</w:t>
      </w:r>
      <w:r w:rsidRPr="009C7EB0">
        <w:rPr>
          <w:rFonts w:ascii="Palatino Linotype" w:hAnsi="Palatino Linotype" w:cs="Arial"/>
        </w:rPr>
        <w:t xml:space="preserve"> Se</w:t>
      </w:r>
      <w:r w:rsidRPr="009C7EB0">
        <w:rPr>
          <w:rFonts w:ascii="Palatino Linotype" w:hAnsi="Palatino Linotype" w:cs="Arial"/>
          <w:b/>
        </w:rPr>
        <w:t xml:space="preserve"> REVOCA </w:t>
      </w:r>
      <w:r w:rsidRPr="009C7EB0">
        <w:rPr>
          <w:rFonts w:ascii="Palatino Linotype" w:hAnsi="Palatino Linotype" w:cs="Arial"/>
        </w:rPr>
        <w:t xml:space="preserve">la respuesta del </w:t>
      </w:r>
      <w:r w:rsidRPr="009C7EB0">
        <w:rPr>
          <w:rFonts w:ascii="Palatino Linotype" w:hAnsi="Palatino Linotype" w:cs="Arial"/>
          <w:b/>
        </w:rPr>
        <w:t>Sujeto Obligado</w:t>
      </w:r>
      <w:r w:rsidRPr="009C7EB0">
        <w:rPr>
          <w:rFonts w:ascii="Palatino Linotype" w:hAnsi="Palatino Linotype" w:cs="Arial"/>
        </w:rPr>
        <w:t xml:space="preserve"> a la solicitud de acceso a la información pública</w:t>
      </w:r>
      <w:r w:rsidRPr="009C7EB0">
        <w:rPr>
          <w:rFonts w:ascii="Palatino Linotype" w:hAnsi="Palatino Linotype" w:cs="Arial"/>
          <w:b/>
        </w:rPr>
        <w:t xml:space="preserve"> </w:t>
      </w:r>
      <w:r w:rsidRPr="009C7EB0">
        <w:rPr>
          <w:rFonts w:ascii="Palatino Linotype" w:hAnsi="Palatino Linotype"/>
          <w:b/>
          <w:bCs/>
        </w:rPr>
        <w:t>05368/TOLUCA/IP/2025</w:t>
      </w:r>
      <w:r w:rsidRPr="009C7EB0">
        <w:rPr>
          <w:rFonts w:ascii="Palatino Linotype" w:hAnsi="Palatino Linotype" w:cs="Arial"/>
        </w:rPr>
        <w:t>,</w:t>
      </w:r>
      <w:r w:rsidRPr="009C7EB0">
        <w:rPr>
          <w:rFonts w:ascii="Palatino Linotype" w:hAnsi="Palatino Linotype" w:cs="Tahoma"/>
          <w:b/>
        </w:rPr>
        <w:t xml:space="preserve"> </w:t>
      </w:r>
      <w:r w:rsidRPr="009C7EB0">
        <w:rPr>
          <w:rFonts w:ascii="Palatino Linotype" w:hAnsi="Palatino Linotype" w:cs="Arial"/>
        </w:rPr>
        <w:t>por resultar fundados</w:t>
      </w:r>
      <w:r w:rsidRPr="009C7EB0">
        <w:rPr>
          <w:rFonts w:ascii="Palatino Linotype" w:hAnsi="Palatino Linotype" w:cs="Arial"/>
          <w:b/>
        </w:rPr>
        <w:t xml:space="preserve"> </w:t>
      </w:r>
      <w:r w:rsidRPr="009C7EB0">
        <w:rPr>
          <w:rFonts w:ascii="Palatino Linotype" w:hAnsi="Palatino Linotype" w:cs="Arial"/>
        </w:rPr>
        <w:t xml:space="preserve">los motivos de inconformidad vertidos por la parte </w:t>
      </w:r>
      <w:r w:rsidRPr="009C7EB0">
        <w:rPr>
          <w:rFonts w:ascii="Palatino Linotype" w:hAnsi="Palatino Linotype" w:cs="Arial"/>
          <w:b/>
        </w:rPr>
        <w:t>Recurrente</w:t>
      </w:r>
      <w:r w:rsidRPr="009C7EB0">
        <w:rPr>
          <w:rFonts w:ascii="Palatino Linotype" w:hAnsi="Palatino Linotype" w:cs="Arial"/>
        </w:rPr>
        <w:t>, en términos del considerando</w:t>
      </w:r>
      <w:r w:rsidRPr="009C7EB0">
        <w:rPr>
          <w:rFonts w:ascii="Palatino Linotype" w:hAnsi="Palatino Linotype" w:cs="Arial"/>
          <w:b/>
        </w:rPr>
        <w:t xml:space="preserve"> CUARTO </w:t>
      </w:r>
      <w:r w:rsidRPr="009C7EB0">
        <w:rPr>
          <w:rFonts w:ascii="Palatino Linotype" w:hAnsi="Palatino Linotype" w:cs="Arial"/>
        </w:rPr>
        <w:t>de la presente Resolución.</w:t>
      </w:r>
    </w:p>
    <w:p w:rsidR="00196095" w:rsidRPr="009C7EB0" w:rsidRDefault="00196095" w:rsidP="00196095">
      <w:pPr>
        <w:spacing w:line="360" w:lineRule="auto"/>
        <w:jc w:val="both"/>
        <w:rPr>
          <w:rFonts w:ascii="Palatino Linotype" w:hAnsi="Palatino Linotype" w:cs="Arial"/>
        </w:rPr>
      </w:pPr>
    </w:p>
    <w:p w:rsidR="00196095" w:rsidRPr="009C7EB0" w:rsidRDefault="00196095" w:rsidP="001C62F6">
      <w:pPr>
        <w:spacing w:line="360" w:lineRule="auto"/>
        <w:jc w:val="both"/>
        <w:rPr>
          <w:rFonts w:ascii="Palatino Linotype" w:hAnsi="Palatino Linotype" w:cs="Arial"/>
        </w:rPr>
      </w:pPr>
      <w:r w:rsidRPr="009C7EB0">
        <w:rPr>
          <w:rFonts w:ascii="Palatino Linotype" w:hAnsi="Palatino Linotype" w:cs="Arial"/>
          <w:b/>
          <w:sz w:val="28"/>
        </w:rPr>
        <w:t>SEGUNDO</w:t>
      </w:r>
      <w:r w:rsidRPr="009C7EB0">
        <w:rPr>
          <w:rFonts w:ascii="Palatino Linotype" w:hAnsi="Palatino Linotype" w:cs="Arial"/>
          <w:b/>
        </w:rPr>
        <w:t>.</w:t>
      </w:r>
      <w:r w:rsidRPr="009C7EB0">
        <w:rPr>
          <w:rFonts w:ascii="Palatino Linotype" w:hAnsi="Palatino Linotype" w:cs="Tahoma"/>
        </w:rPr>
        <w:t xml:space="preserve"> Se </w:t>
      </w:r>
      <w:r w:rsidRPr="009C7EB0">
        <w:rPr>
          <w:rFonts w:ascii="Palatino Linotype" w:hAnsi="Palatino Linotype" w:cs="Tahoma"/>
          <w:b/>
        </w:rPr>
        <w:t>ORDENA</w:t>
      </w:r>
      <w:r w:rsidRPr="009C7EB0">
        <w:rPr>
          <w:rFonts w:ascii="Palatino Linotype" w:hAnsi="Palatino Linotype" w:cs="Tahoma"/>
        </w:rPr>
        <w:t xml:space="preserve"> al </w:t>
      </w:r>
      <w:r w:rsidRPr="009C7EB0">
        <w:rPr>
          <w:rFonts w:ascii="Palatino Linotype" w:hAnsi="Palatino Linotype" w:cs="Tahoma"/>
          <w:b/>
        </w:rPr>
        <w:t>Sujeto Obligado,</w:t>
      </w:r>
      <w:r w:rsidRPr="009C7EB0">
        <w:rPr>
          <w:rFonts w:ascii="Palatino Linotype" w:hAnsi="Palatino Linotype" w:cs="Tahoma"/>
        </w:rPr>
        <w:t xml:space="preserve"> haga entrega a la parte </w:t>
      </w:r>
      <w:r w:rsidRPr="009C7EB0">
        <w:rPr>
          <w:rFonts w:ascii="Palatino Linotype" w:hAnsi="Palatino Linotype" w:cs="Tahoma"/>
          <w:b/>
        </w:rPr>
        <w:t>Recurrente</w:t>
      </w:r>
      <w:r w:rsidRPr="009C7EB0">
        <w:rPr>
          <w:rFonts w:ascii="Palatino Linotype" w:hAnsi="Palatino Linotype" w:cs="Tahoma"/>
        </w:rPr>
        <w:t>, a través del Sistema de Acceso a la Información Mexiquense (</w:t>
      </w:r>
      <w:r w:rsidRPr="009C7EB0">
        <w:rPr>
          <w:rFonts w:ascii="Palatino Linotype" w:hAnsi="Palatino Linotype" w:cs="Tahoma"/>
          <w:b/>
        </w:rPr>
        <w:t>SAIMEX</w:t>
      </w:r>
      <w:r w:rsidRPr="009C7EB0">
        <w:rPr>
          <w:rFonts w:ascii="Palatino Linotype" w:hAnsi="Palatino Linotype" w:cs="Tahoma"/>
        </w:rPr>
        <w:t xml:space="preserve">), en versión pública de ser procedente, </w:t>
      </w:r>
      <w:r w:rsidR="001C62F6" w:rsidRPr="009C7EB0">
        <w:rPr>
          <w:rFonts w:ascii="Palatino Linotype" w:hAnsi="Palatino Linotype" w:cs="Arial"/>
        </w:rPr>
        <w:t>de la Feria y Festival del Alfeñique</w:t>
      </w:r>
      <w:r w:rsidR="001C62F6" w:rsidRPr="009C7EB0">
        <w:rPr>
          <w:rFonts w:ascii="Palatino Linotype" w:hAnsi="Palatino Linotype" w:cs="Tahoma"/>
        </w:rPr>
        <w:t xml:space="preserve"> 2025, </w:t>
      </w:r>
      <w:r w:rsidR="00711A2C" w:rsidRPr="009C7EB0">
        <w:rPr>
          <w:rFonts w:ascii="Palatino Linotype" w:hAnsi="Palatino Linotype" w:cs="Tahoma"/>
        </w:rPr>
        <w:t xml:space="preserve">al veintiséis de octubre de dos mil veinticinco, </w:t>
      </w:r>
      <w:r w:rsidRPr="009C7EB0">
        <w:rPr>
          <w:rFonts w:ascii="Palatino Linotype" w:hAnsi="Palatino Linotype" w:cs="Tahoma"/>
        </w:rPr>
        <w:t>los documentos donde conste lo siguiente</w:t>
      </w:r>
      <w:r w:rsidRPr="009C7EB0">
        <w:rPr>
          <w:rFonts w:ascii="Palatino Linotype" w:hAnsi="Palatino Linotype" w:cs="Arial"/>
        </w:rPr>
        <w:t>:</w:t>
      </w:r>
    </w:p>
    <w:p w:rsidR="001C62F6" w:rsidRPr="009C7EB0" w:rsidRDefault="001C62F6" w:rsidP="001C62F6">
      <w:pPr>
        <w:spacing w:line="360" w:lineRule="auto"/>
        <w:jc w:val="both"/>
        <w:rPr>
          <w:rFonts w:ascii="Palatino Linotype" w:hAnsi="Palatino Linotype" w:cs="Arial"/>
        </w:rPr>
      </w:pPr>
    </w:p>
    <w:p w:rsidR="00196095" w:rsidRPr="009C7EB0" w:rsidRDefault="00711A2C" w:rsidP="00711A2C">
      <w:pPr>
        <w:pStyle w:val="Prrafodelista"/>
        <w:numPr>
          <w:ilvl w:val="0"/>
          <w:numId w:val="6"/>
        </w:numPr>
        <w:spacing w:line="360" w:lineRule="auto"/>
        <w:jc w:val="both"/>
        <w:rPr>
          <w:rFonts w:ascii="Palatino Linotype" w:hAnsi="Palatino Linotype" w:cs="Arial"/>
        </w:rPr>
      </w:pPr>
      <w:r w:rsidRPr="009C7EB0">
        <w:rPr>
          <w:rFonts w:ascii="Palatino Linotype" w:hAnsi="Palatino Linotype" w:cs="Arial"/>
        </w:rPr>
        <w:t>Convenios y/o contratos celebrados con patrocinadores y/o empresas participantes indicando monto o tipo de aportación (económica, en especie o de servicios).</w:t>
      </w:r>
    </w:p>
    <w:p w:rsidR="00196095" w:rsidRPr="009C7EB0" w:rsidRDefault="00711A2C" w:rsidP="00711A2C">
      <w:pPr>
        <w:pStyle w:val="Prrafodelista"/>
        <w:numPr>
          <w:ilvl w:val="0"/>
          <w:numId w:val="6"/>
        </w:numPr>
        <w:spacing w:line="360" w:lineRule="auto"/>
        <w:jc w:val="both"/>
        <w:rPr>
          <w:rFonts w:ascii="Palatino Linotype" w:hAnsi="Palatino Linotype" w:cs="Arial"/>
        </w:rPr>
      </w:pPr>
      <w:r w:rsidRPr="009C7EB0">
        <w:rPr>
          <w:rFonts w:ascii="Palatino Linotype" w:hAnsi="Palatino Linotype" w:cs="Arial"/>
        </w:rPr>
        <w:t xml:space="preserve">Monto total de ingresos por </w:t>
      </w:r>
      <w:r w:rsidR="001C62F6" w:rsidRPr="009C7EB0">
        <w:rPr>
          <w:rFonts w:ascii="Palatino Linotype" w:hAnsi="Palatino Linotype" w:cs="Arial"/>
        </w:rPr>
        <w:t xml:space="preserve">el </w:t>
      </w:r>
      <w:r w:rsidRPr="009C7EB0">
        <w:rPr>
          <w:rFonts w:ascii="Palatino Linotype" w:hAnsi="Palatino Linotype" w:cs="Arial"/>
        </w:rPr>
        <w:t xml:space="preserve">cobro </w:t>
      </w:r>
      <w:r w:rsidR="001C62F6" w:rsidRPr="009C7EB0">
        <w:rPr>
          <w:rFonts w:ascii="Palatino Linotype" w:hAnsi="Palatino Linotype" w:cs="Arial"/>
        </w:rPr>
        <w:t xml:space="preserve">de </w:t>
      </w:r>
      <w:r w:rsidRPr="009C7EB0">
        <w:rPr>
          <w:rFonts w:ascii="Palatino Linotype" w:hAnsi="Palatino Linotype" w:cs="Arial"/>
        </w:rPr>
        <w:t xml:space="preserve">uso de espacios </w:t>
      </w:r>
      <w:r w:rsidR="001C62F6" w:rsidRPr="009C7EB0">
        <w:rPr>
          <w:rFonts w:ascii="Palatino Linotype" w:hAnsi="Palatino Linotype" w:cs="Arial"/>
        </w:rPr>
        <w:t xml:space="preserve">públicos, </w:t>
      </w:r>
      <w:r w:rsidRPr="009C7EB0">
        <w:rPr>
          <w:rFonts w:ascii="Palatino Linotype" w:hAnsi="Palatino Linotype" w:cs="Arial"/>
        </w:rPr>
        <w:t>cuotas a expositores, comerciantes o prestadores de servicios</w:t>
      </w:r>
      <w:r w:rsidR="00196095" w:rsidRPr="009C7EB0">
        <w:rPr>
          <w:rFonts w:ascii="Palatino Linotype" w:hAnsi="Palatino Linotype" w:cs="Arial"/>
        </w:rPr>
        <w:t>.</w:t>
      </w:r>
    </w:p>
    <w:p w:rsidR="00196095" w:rsidRPr="009C7EB0" w:rsidRDefault="00A72AE1" w:rsidP="00711A2C">
      <w:pPr>
        <w:pStyle w:val="Prrafodelista"/>
        <w:numPr>
          <w:ilvl w:val="0"/>
          <w:numId w:val="6"/>
        </w:numPr>
        <w:spacing w:line="360" w:lineRule="auto"/>
        <w:jc w:val="both"/>
        <w:rPr>
          <w:rFonts w:ascii="Palatino Linotype" w:hAnsi="Palatino Linotype" w:cs="Arial"/>
        </w:rPr>
      </w:pPr>
      <w:r w:rsidRPr="009C7EB0">
        <w:rPr>
          <w:rFonts w:ascii="Palatino Linotype" w:hAnsi="Palatino Linotype" w:cs="Arial"/>
        </w:rPr>
        <w:lastRenderedPageBreak/>
        <w:t>Cuentas o partidas presupuestales en las que se registraron los ingresos del punto 2</w:t>
      </w:r>
      <w:r w:rsidR="00196095" w:rsidRPr="009C7EB0">
        <w:rPr>
          <w:rFonts w:ascii="Palatino Linotype" w:hAnsi="Palatino Linotype" w:cs="Arial"/>
        </w:rPr>
        <w:t>.</w:t>
      </w:r>
    </w:p>
    <w:p w:rsidR="00196095" w:rsidRPr="009C7EB0" w:rsidRDefault="00196095" w:rsidP="00196095">
      <w:pPr>
        <w:pStyle w:val="INFOEM"/>
        <w:spacing w:before="0" w:after="0"/>
        <w:ind w:left="720" w:right="567"/>
        <w:rPr>
          <w:rFonts w:cs="Arial"/>
        </w:rPr>
      </w:pPr>
    </w:p>
    <w:p w:rsidR="00196095" w:rsidRPr="009C7EB0" w:rsidRDefault="00196095" w:rsidP="00196095">
      <w:pPr>
        <w:pStyle w:val="INFOEM"/>
        <w:spacing w:before="0" w:after="0"/>
        <w:ind w:left="720" w:right="567"/>
      </w:pPr>
      <w:r w:rsidRPr="009C7EB0">
        <w:rPr>
          <w:rFonts w:cs="Arial"/>
        </w:rPr>
        <w:t xml:space="preserve"> </w:t>
      </w:r>
      <w:r w:rsidRPr="009C7EB0">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196095" w:rsidRPr="009C7EB0" w:rsidRDefault="00196095" w:rsidP="00196095">
      <w:pPr>
        <w:spacing w:line="360" w:lineRule="auto"/>
        <w:jc w:val="both"/>
        <w:rPr>
          <w:rFonts w:ascii="Palatino Linotype" w:hAnsi="Palatino Linotype" w:cs="Arial"/>
          <w:b/>
          <w:sz w:val="28"/>
        </w:rPr>
      </w:pPr>
    </w:p>
    <w:p w:rsidR="00196095" w:rsidRPr="009C7EB0" w:rsidRDefault="00196095" w:rsidP="00196095">
      <w:pPr>
        <w:spacing w:line="360" w:lineRule="auto"/>
        <w:jc w:val="both"/>
        <w:rPr>
          <w:rFonts w:ascii="Palatino Linotype" w:hAnsi="Palatino Linotype" w:cs="Tahoma"/>
          <w:bCs/>
        </w:rPr>
      </w:pPr>
      <w:r w:rsidRPr="009C7EB0">
        <w:rPr>
          <w:rFonts w:ascii="Palatino Linotype" w:hAnsi="Palatino Linotype" w:cs="Arial"/>
          <w:b/>
          <w:sz w:val="28"/>
        </w:rPr>
        <w:t>TERCERO</w:t>
      </w:r>
      <w:r w:rsidRPr="009C7EB0">
        <w:rPr>
          <w:rFonts w:ascii="Palatino Linotype" w:hAnsi="Palatino Linotype" w:cs="Arial"/>
          <w:b/>
        </w:rPr>
        <w:t>.</w:t>
      </w:r>
      <w:r w:rsidRPr="009C7EB0">
        <w:rPr>
          <w:rFonts w:ascii="Palatino Linotype" w:hAnsi="Palatino Linotype" w:cs="Arial"/>
        </w:rPr>
        <w:t xml:space="preserve"> </w:t>
      </w:r>
      <w:r w:rsidRPr="009C7EB0">
        <w:rPr>
          <w:rFonts w:ascii="Palatino Linotype" w:hAnsi="Palatino Linotype" w:cs="Tahoma"/>
          <w:b/>
        </w:rPr>
        <w:t xml:space="preserve">NOTIFÍQUESE </w:t>
      </w:r>
      <w:r w:rsidRPr="009C7EB0">
        <w:rPr>
          <w:rFonts w:ascii="Palatino Linotype" w:hAnsi="Palatino Linotype" w:cs="Arial"/>
        </w:rPr>
        <w:t xml:space="preserve">a través del Sistema de Acceso a la Información Mexiquense </w:t>
      </w:r>
      <w:r w:rsidRPr="009C7EB0">
        <w:rPr>
          <w:rFonts w:ascii="Palatino Linotype" w:hAnsi="Palatino Linotype" w:cs="Arial"/>
          <w:b/>
        </w:rPr>
        <w:t>(SAIMEX)</w:t>
      </w:r>
      <w:r w:rsidRPr="009C7EB0">
        <w:rPr>
          <w:rFonts w:ascii="Palatino Linotype" w:hAnsi="Palatino Linotype" w:cs="Arial"/>
        </w:rPr>
        <w:t xml:space="preserve">, </w:t>
      </w:r>
      <w:r w:rsidRPr="009C7EB0">
        <w:rPr>
          <w:rFonts w:ascii="Palatino Linotype" w:hAnsi="Palatino Linotype" w:cs="Tahoma"/>
        </w:rPr>
        <w:t xml:space="preserve">la presente Resolución al Titular de la Unidad de Transparencia del </w:t>
      </w:r>
      <w:r w:rsidRPr="009C7EB0">
        <w:rPr>
          <w:rFonts w:ascii="Palatino Linotype" w:hAnsi="Palatino Linotype" w:cs="Tahoma"/>
          <w:b/>
        </w:rPr>
        <w:t>Sujeto Obligado</w:t>
      </w:r>
      <w:r w:rsidRPr="009C7EB0">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C7EB0">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96095" w:rsidRPr="009C7EB0" w:rsidRDefault="00196095" w:rsidP="00196095">
      <w:pPr>
        <w:spacing w:line="360" w:lineRule="auto"/>
        <w:ind w:right="-595"/>
        <w:jc w:val="both"/>
        <w:rPr>
          <w:rFonts w:ascii="Palatino Linotype" w:hAnsi="Palatino Linotype" w:cs="Tahoma"/>
          <w:bCs/>
        </w:rPr>
      </w:pPr>
    </w:p>
    <w:p w:rsidR="00196095" w:rsidRPr="009C7EB0" w:rsidRDefault="00196095" w:rsidP="00196095">
      <w:pPr>
        <w:autoSpaceDE w:val="0"/>
        <w:autoSpaceDN w:val="0"/>
        <w:adjustRightInd w:val="0"/>
        <w:spacing w:line="360" w:lineRule="auto"/>
        <w:jc w:val="both"/>
        <w:rPr>
          <w:rFonts w:ascii="Palatino Linotype" w:hAnsi="Palatino Linotype" w:cs="Arial"/>
        </w:rPr>
      </w:pPr>
      <w:r w:rsidRPr="009C7EB0">
        <w:rPr>
          <w:rFonts w:ascii="Palatino Linotype" w:hAnsi="Palatino Linotype" w:cs="Arial"/>
          <w:b/>
          <w:sz w:val="28"/>
          <w:szCs w:val="28"/>
        </w:rPr>
        <w:t>CUARTO.</w:t>
      </w:r>
      <w:r w:rsidRPr="009C7EB0">
        <w:rPr>
          <w:rFonts w:ascii="Palatino Linotype" w:hAnsi="Palatino Linotype" w:cs="Arial"/>
          <w:b/>
        </w:rPr>
        <w:t xml:space="preserve"> </w:t>
      </w:r>
      <w:r w:rsidRPr="009C7EB0">
        <w:rPr>
          <w:rFonts w:ascii="Palatino Linotype" w:hAnsi="Palatino Linotype" w:cs="Arial"/>
        </w:rPr>
        <w:t xml:space="preserve">De conformidad con el artículo 198 de la Ley de Transparencia y Acceso a la Información Pública del Estado de México y Municipios, de considerarlo procedente, el </w:t>
      </w:r>
      <w:r w:rsidRPr="009C7EB0">
        <w:rPr>
          <w:rFonts w:ascii="Palatino Linotype" w:hAnsi="Palatino Linotype" w:cs="Arial"/>
          <w:b/>
        </w:rPr>
        <w:t>Sujeto Obligado</w:t>
      </w:r>
      <w:r w:rsidRPr="009C7EB0">
        <w:rPr>
          <w:rFonts w:ascii="Palatino Linotype" w:hAnsi="Palatino Linotype" w:cs="Arial"/>
        </w:rPr>
        <w:t xml:space="preserve"> de manera fundada y motivada, podrá solicitar una ampliación de plazo para el cumplimiento de la presente resolución.</w:t>
      </w:r>
    </w:p>
    <w:p w:rsidR="00196095" w:rsidRPr="009C7EB0" w:rsidRDefault="00196095" w:rsidP="00196095">
      <w:pPr>
        <w:autoSpaceDE w:val="0"/>
        <w:autoSpaceDN w:val="0"/>
        <w:adjustRightInd w:val="0"/>
        <w:spacing w:line="360" w:lineRule="auto"/>
        <w:jc w:val="both"/>
        <w:rPr>
          <w:rFonts w:ascii="Palatino Linotype" w:hAnsi="Palatino Linotype" w:cs="Arial"/>
        </w:rPr>
      </w:pPr>
    </w:p>
    <w:p w:rsidR="00196095" w:rsidRPr="009C7EB0" w:rsidRDefault="00196095" w:rsidP="00196095">
      <w:pPr>
        <w:autoSpaceDE w:val="0"/>
        <w:autoSpaceDN w:val="0"/>
        <w:adjustRightInd w:val="0"/>
        <w:spacing w:line="360" w:lineRule="auto"/>
        <w:jc w:val="both"/>
        <w:rPr>
          <w:rFonts w:ascii="Palatino Linotype" w:hAnsi="Palatino Linotype" w:cs="Arial"/>
        </w:rPr>
      </w:pPr>
      <w:r w:rsidRPr="009C7EB0">
        <w:rPr>
          <w:rFonts w:ascii="Palatino Linotype" w:hAnsi="Palatino Linotype"/>
          <w:b/>
          <w:sz w:val="28"/>
          <w:szCs w:val="28"/>
        </w:rPr>
        <w:t>QUINTO</w:t>
      </w:r>
      <w:r w:rsidRPr="009C7EB0">
        <w:rPr>
          <w:rFonts w:ascii="Palatino Linotype" w:hAnsi="Palatino Linotype"/>
          <w:b/>
        </w:rPr>
        <w:t xml:space="preserve">. </w:t>
      </w:r>
      <w:r w:rsidRPr="009C7EB0">
        <w:rPr>
          <w:rFonts w:ascii="Palatino Linotype" w:hAnsi="Palatino Linotype" w:cs="Arial"/>
          <w:b/>
        </w:rPr>
        <w:t>NOTIFÍQUESE</w:t>
      </w:r>
      <w:r w:rsidRPr="009C7EB0">
        <w:rPr>
          <w:rFonts w:ascii="Palatino Linotype" w:hAnsi="Palatino Linotype" w:cs="Arial"/>
        </w:rPr>
        <w:t xml:space="preserve"> a través del Sistema de Acceso a la Información Mexiquense </w:t>
      </w:r>
      <w:r w:rsidRPr="009C7EB0">
        <w:rPr>
          <w:rFonts w:ascii="Palatino Linotype" w:hAnsi="Palatino Linotype" w:cs="Arial"/>
          <w:b/>
        </w:rPr>
        <w:t>(SAIMEX)</w:t>
      </w:r>
      <w:r w:rsidRPr="009C7EB0">
        <w:rPr>
          <w:rFonts w:ascii="Palatino Linotype" w:hAnsi="Palatino Linotype" w:cs="Arial"/>
        </w:rPr>
        <w:t xml:space="preserve">, al </w:t>
      </w:r>
      <w:r w:rsidRPr="009C7EB0">
        <w:rPr>
          <w:rFonts w:ascii="Palatino Linotype" w:hAnsi="Palatino Linotype" w:cs="Arial"/>
          <w:b/>
        </w:rPr>
        <w:t>Recurrente</w:t>
      </w:r>
      <w:r w:rsidRPr="009C7EB0">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196095" w:rsidRPr="009C7EB0" w:rsidRDefault="00196095" w:rsidP="00196095">
      <w:pPr>
        <w:spacing w:line="360" w:lineRule="auto"/>
        <w:jc w:val="both"/>
        <w:rPr>
          <w:rFonts w:ascii="Palatino Linotype" w:hAnsi="Palatino Linotype" w:cs="Arial"/>
        </w:rPr>
      </w:pPr>
    </w:p>
    <w:p w:rsidR="00196095" w:rsidRPr="009C7EB0" w:rsidRDefault="009C7EB0" w:rsidP="00196095">
      <w:pPr>
        <w:spacing w:line="360" w:lineRule="auto"/>
        <w:jc w:val="both"/>
        <w:rPr>
          <w:rFonts w:ascii="Palatino Linotype" w:hAnsi="Palatino Linotype" w:cs="Arial"/>
        </w:rPr>
      </w:pPr>
      <w:r w:rsidRPr="009C7EB0">
        <w:rPr>
          <w:rFonts w:ascii="Palatino Linotype" w:hAnsi="Palatino Linotype" w:cs="Arial"/>
        </w:rPr>
        <w:t>ASÍ LO RESUELVE, POR UNANIMIDAD DE VOTOS, EL PLENO DEL</w:t>
      </w:r>
      <w:r w:rsidRPr="009C7EB0">
        <w:rPr>
          <w:rFonts w:ascii="Palatino Linotype" w:eastAsia="Arial Unicode MS" w:hAnsi="Palatino Linotype" w:cs="Arial"/>
        </w:rPr>
        <w:t xml:space="preserve"> INSTITUTO DE TRANSPARENCIA, ACCESO A LA INFORMACIÓN PÚBLICA Y PROTECCIÓN DE DATOS PERSONALES DEL ESTADO DE MÉXICO Y MUNICIPIOS</w:t>
      </w:r>
      <w:r w:rsidRPr="009C7EB0">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196095" w:rsidRPr="009C7EB0">
        <w:rPr>
          <w:rFonts w:ascii="Palatino Linotype" w:hAnsi="Palatino Linotype" w:cs="Arial"/>
        </w:rPr>
        <w:t>. ----------</w:t>
      </w:r>
      <w:r w:rsidR="00A72AE1" w:rsidRPr="009C7EB0">
        <w:rPr>
          <w:rFonts w:ascii="Palatino Linotype" w:hAnsi="Palatino Linotype" w:cs="Arial"/>
        </w:rPr>
        <w:t>------------------------------------------------------------------------------------------------------------------------------------------------------------------------------------------------------------------------------------</w:t>
      </w:r>
      <w:r w:rsidR="00A81A0B" w:rsidRPr="009C7EB0">
        <w:rPr>
          <w:rFonts w:ascii="Palatino Linotype" w:hAnsi="Palatino Linotype" w:cs="Arial"/>
        </w:rPr>
        <w:t>------------------------------------------------------------------------------------------------------------------------------------------------------------------------------------------------------------------------------------------------------------------------------------------------------------------------------------------------------</w:t>
      </w:r>
    </w:p>
    <w:p w:rsidR="00196095" w:rsidRDefault="00196095" w:rsidP="00196095">
      <w:pPr>
        <w:spacing w:line="360" w:lineRule="auto"/>
        <w:jc w:val="both"/>
        <w:rPr>
          <w:rFonts w:ascii="Palatino Linotype" w:hAnsi="Palatino Linotype" w:cs="Arial"/>
          <w:sz w:val="16"/>
        </w:rPr>
      </w:pPr>
      <w:r w:rsidRPr="009C7EB0">
        <w:rPr>
          <w:rFonts w:ascii="Palatino Linotype" w:hAnsi="Palatino Linotype" w:cs="Arial"/>
          <w:sz w:val="16"/>
        </w:rPr>
        <w:t>JMV/CCR/LMST</w:t>
      </w:r>
    </w:p>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196095" w:rsidRDefault="00196095" w:rsidP="00196095"/>
    <w:p w:rsidR="005A7DB0" w:rsidRDefault="005A7DB0"/>
    <w:sectPr w:rsidR="005A7DB0" w:rsidSect="00BF2335">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DCC" w:rsidRDefault="00251DCC" w:rsidP="00196095">
      <w:r>
        <w:separator/>
      </w:r>
    </w:p>
  </w:endnote>
  <w:endnote w:type="continuationSeparator" w:id="0">
    <w:p w:rsidR="00251DCC" w:rsidRDefault="00251DCC" w:rsidP="00196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B3F" w:rsidRPr="00A2780F" w:rsidRDefault="009C7B3F" w:rsidP="00BF23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76460">
      <w:rPr>
        <w:rFonts w:ascii="Arial" w:hAnsi="Arial" w:cs="Arial"/>
        <w:b/>
        <w:bCs/>
        <w:noProof/>
        <w:sz w:val="20"/>
        <w:szCs w:val="20"/>
      </w:rPr>
      <w:t>16</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76460">
      <w:rPr>
        <w:rFonts w:ascii="Arial" w:hAnsi="Arial" w:cs="Arial"/>
        <w:b/>
        <w:bCs/>
        <w:noProof/>
        <w:sz w:val="20"/>
        <w:szCs w:val="20"/>
      </w:rPr>
      <w:t>41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B3F" w:rsidRPr="00070856" w:rsidRDefault="009C7B3F" w:rsidP="00BF233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76460">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76460">
      <w:rPr>
        <w:rFonts w:ascii="Arial" w:hAnsi="Arial" w:cs="Arial"/>
        <w:b/>
        <w:bCs/>
        <w:noProof/>
        <w:sz w:val="20"/>
        <w:szCs w:val="20"/>
      </w:rPr>
      <w:t>41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DCC" w:rsidRDefault="00251DCC" w:rsidP="00196095">
      <w:r>
        <w:separator/>
      </w:r>
    </w:p>
  </w:footnote>
  <w:footnote w:type="continuationSeparator" w:id="0">
    <w:p w:rsidR="00251DCC" w:rsidRDefault="00251DCC" w:rsidP="00196095">
      <w:r>
        <w:continuationSeparator/>
      </w:r>
    </w:p>
  </w:footnote>
  <w:footnote w:id="1">
    <w:p w:rsidR="009C7B3F" w:rsidRPr="005552A8" w:rsidRDefault="009C7B3F" w:rsidP="00196095">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9C7B3F" w:rsidRPr="005552A8" w:rsidRDefault="009C7B3F" w:rsidP="00196095">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9C7B3F" w:rsidRPr="008F2CCC" w:rsidTr="00BF2335">
      <w:tc>
        <w:tcPr>
          <w:tcW w:w="3620" w:type="dxa"/>
          <w:shd w:val="clear" w:color="auto" w:fill="auto"/>
        </w:tcPr>
        <w:p w:rsidR="009C7B3F" w:rsidRPr="007E5FC4" w:rsidRDefault="009C7B3F" w:rsidP="00BF23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9C7B3F" w:rsidRPr="00664658" w:rsidRDefault="009C7B3F" w:rsidP="0019609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013150/INFOEM/IP/RR/2025</w:t>
          </w:r>
        </w:p>
      </w:tc>
    </w:tr>
    <w:tr w:rsidR="009C7B3F" w:rsidRPr="008F2CCC" w:rsidTr="00BF2335">
      <w:tc>
        <w:tcPr>
          <w:tcW w:w="3620" w:type="dxa"/>
          <w:shd w:val="clear" w:color="auto" w:fill="auto"/>
        </w:tcPr>
        <w:p w:rsidR="009C7B3F" w:rsidRPr="007E5FC4" w:rsidRDefault="009C7B3F" w:rsidP="00BF23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9C7B3F" w:rsidRPr="00664658" w:rsidRDefault="009C7B3F" w:rsidP="00BF2335">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9C7B3F" w:rsidRPr="008F2CCC" w:rsidTr="00BF2335">
      <w:trPr>
        <w:trHeight w:val="228"/>
      </w:trPr>
      <w:tc>
        <w:tcPr>
          <w:tcW w:w="3620" w:type="dxa"/>
          <w:shd w:val="clear" w:color="auto" w:fill="auto"/>
        </w:tcPr>
        <w:p w:rsidR="009C7B3F" w:rsidRPr="007E5FC4" w:rsidRDefault="009C7B3F" w:rsidP="00BF233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9C7B3F" w:rsidRPr="00664658" w:rsidRDefault="009C7B3F" w:rsidP="00BF233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C7B3F" w:rsidRDefault="009C7B3F" w:rsidP="00BF2335">
    <w:pPr>
      <w:pStyle w:val="Encabezado"/>
      <w:tabs>
        <w:tab w:val="clear" w:pos="4252"/>
        <w:tab w:val="clear" w:pos="8504"/>
        <w:tab w:val="left" w:pos="2326"/>
      </w:tabs>
      <w:rPr>
        <w:rFonts w:ascii="Palatino Linotype" w:hAnsi="Palatino Linotype"/>
        <w:sz w:val="20"/>
      </w:rPr>
    </w:pPr>
  </w:p>
  <w:p w:rsidR="009C7B3F" w:rsidRPr="001779E0" w:rsidRDefault="009C7B3F" w:rsidP="00BF233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37A16BF" wp14:editId="7DC73CE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9C7B3F" w:rsidRPr="008F2CCC" w:rsidTr="00BF2335">
      <w:tc>
        <w:tcPr>
          <w:tcW w:w="2977" w:type="dxa"/>
          <w:shd w:val="clear" w:color="auto" w:fill="auto"/>
        </w:tcPr>
        <w:p w:rsidR="009C7B3F" w:rsidRPr="007E5FC4" w:rsidRDefault="009C7B3F" w:rsidP="00BF23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9C7B3F" w:rsidRPr="008F2CCC" w:rsidRDefault="009C7B3F" w:rsidP="0019609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013150/INFOEM/IP/RR/2025</w:t>
          </w:r>
        </w:p>
      </w:tc>
    </w:tr>
    <w:tr w:rsidR="009C7B3F" w:rsidRPr="008F2CCC" w:rsidTr="00BF2335">
      <w:tc>
        <w:tcPr>
          <w:tcW w:w="2977" w:type="dxa"/>
          <w:shd w:val="clear" w:color="auto" w:fill="auto"/>
          <w:vAlign w:val="center"/>
        </w:tcPr>
        <w:p w:rsidR="009C7B3F" w:rsidRPr="007E5FC4" w:rsidRDefault="009C7B3F" w:rsidP="00BF23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9C7B3F" w:rsidRPr="008F2CCC" w:rsidRDefault="00A76460" w:rsidP="00BF23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w:t>
          </w:r>
        </w:p>
      </w:tc>
    </w:tr>
    <w:tr w:rsidR="009C7B3F" w:rsidRPr="008F2CCC" w:rsidTr="00BF2335">
      <w:trPr>
        <w:trHeight w:val="228"/>
      </w:trPr>
      <w:tc>
        <w:tcPr>
          <w:tcW w:w="2977" w:type="dxa"/>
          <w:shd w:val="clear" w:color="auto" w:fill="auto"/>
        </w:tcPr>
        <w:p w:rsidR="009C7B3F" w:rsidRPr="007E5FC4" w:rsidRDefault="009C7B3F" w:rsidP="00BF23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9C7B3F" w:rsidRPr="00DC41C8" w:rsidRDefault="009C7B3F" w:rsidP="00BF2335">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9C7B3F" w:rsidRPr="008F2CCC" w:rsidTr="00BF2335">
      <w:tc>
        <w:tcPr>
          <w:tcW w:w="2977" w:type="dxa"/>
          <w:shd w:val="clear" w:color="auto" w:fill="auto"/>
        </w:tcPr>
        <w:p w:rsidR="009C7B3F" w:rsidRPr="007E5FC4" w:rsidRDefault="009C7B3F" w:rsidP="00BF233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9C7B3F" w:rsidRPr="008F2CCC" w:rsidRDefault="009C7B3F" w:rsidP="00BF23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C7B3F" w:rsidRPr="009F1AB6" w:rsidRDefault="009C7B3F">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F79625B" wp14:editId="4EBF2C7A">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15119B"/>
    <w:multiLevelType w:val="hybridMultilevel"/>
    <w:tmpl w:val="C4CA2494"/>
    <w:lvl w:ilvl="0" w:tplc="B072B2B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DA4BED"/>
    <w:multiLevelType w:val="hybridMultilevel"/>
    <w:tmpl w:val="BD8A127E"/>
    <w:lvl w:ilvl="0" w:tplc="34F874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2DF1B4D"/>
    <w:multiLevelType w:val="hybridMultilevel"/>
    <w:tmpl w:val="4C54B64C"/>
    <w:lvl w:ilvl="0" w:tplc="D22A4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487C107F"/>
    <w:multiLevelType w:val="hybridMultilevel"/>
    <w:tmpl w:val="25801BE8"/>
    <w:lvl w:ilvl="0" w:tplc="B1F6D23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51E91BF7"/>
    <w:multiLevelType w:val="hybridMultilevel"/>
    <w:tmpl w:val="C310CB44"/>
    <w:lvl w:ilvl="0" w:tplc="2C9E1FD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556A17A5"/>
    <w:multiLevelType w:val="hybridMultilevel"/>
    <w:tmpl w:val="81BC850E"/>
    <w:lvl w:ilvl="0" w:tplc="E36C3A42">
      <w:start w:val="1"/>
      <w:numFmt w:val="lowerLetter"/>
      <w:lvlText w:val="%1)"/>
      <w:lvlJc w:val="left"/>
      <w:pPr>
        <w:ind w:left="1974" w:hanging="840"/>
      </w:pPr>
    </w:lvl>
    <w:lvl w:ilvl="1" w:tplc="080A0019">
      <w:start w:val="1"/>
      <w:numFmt w:val="lowerLetter"/>
      <w:lvlText w:val="%2."/>
      <w:lvlJc w:val="left"/>
      <w:pPr>
        <w:ind w:left="2007" w:hanging="360"/>
      </w:pPr>
    </w:lvl>
    <w:lvl w:ilvl="2" w:tplc="080A001B">
      <w:start w:val="1"/>
      <w:numFmt w:val="lowerRoman"/>
      <w:lvlText w:val="%3."/>
      <w:lvlJc w:val="right"/>
      <w:pPr>
        <w:ind w:left="2727" w:hanging="180"/>
      </w:pPr>
    </w:lvl>
    <w:lvl w:ilvl="3" w:tplc="080A000F">
      <w:start w:val="1"/>
      <w:numFmt w:val="decimal"/>
      <w:lvlText w:val="%4."/>
      <w:lvlJc w:val="left"/>
      <w:pPr>
        <w:ind w:left="3447" w:hanging="360"/>
      </w:pPr>
    </w:lvl>
    <w:lvl w:ilvl="4" w:tplc="080A0019">
      <w:start w:val="1"/>
      <w:numFmt w:val="lowerLetter"/>
      <w:lvlText w:val="%5."/>
      <w:lvlJc w:val="left"/>
      <w:pPr>
        <w:ind w:left="4167" w:hanging="360"/>
      </w:pPr>
    </w:lvl>
    <w:lvl w:ilvl="5" w:tplc="080A001B">
      <w:start w:val="1"/>
      <w:numFmt w:val="lowerRoman"/>
      <w:lvlText w:val="%6."/>
      <w:lvlJc w:val="right"/>
      <w:pPr>
        <w:ind w:left="4887" w:hanging="180"/>
      </w:pPr>
    </w:lvl>
    <w:lvl w:ilvl="6" w:tplc="080A000F">
      <w:start w:val="1"/>
      <w:numFmt w:val="decimal"/>
      <w:lvlText w:val="%7."/>
      <w:lvlJc w:val="left"/>
      <w:pPr>
        <w:ind w:left="5607" w:hanging="360"/>
      </w:pPr>
    </w:lvl>
    <w:lvl w:ilvl="7" w:tplc="080A0019">
      <w:start w:val="1"/>
      <w:numFmt w:val="lowerLetter"/>
      <w:lvlText w:val="%8."/>
      <w:lvlJc w:val="left"/>
      <w:pPr>
        <w:ind w:left="6327" w:hanging="360"/>
      </w:pPr>
    </w:lvl>
    <w:lvl w:ilvl="8" w:tplc="080A001B">
      <w:start w:val="1"/>
      <w:numFmt w:val="lowerRoman"/>
      <w:lvlText w:val="%9."/>
      <w:lvlJc w:val="right"/>
      <w:pPr>
        <w:ind w:left="7047" w:hanging="180"/>
      </w:pPr>
    </w:lvl>
  </w:abstractNum>
  <w:abstractNum w:abstractNumId="13" w15:restartNumberingAfterBreak="0">
    <w:nsid w:val="57DB33B7"/>
    <w:multiLevelType w:val="hybridMultilevel"/>
    <w:tmpl w:val="EDF688E0"/>
    <w:lvl w:ilvl="0" w:tplc="577CC25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4" w15:restartNumberingAfterBreak="0">
    <w:nsid w:val="58395699"/>
    <w:multiLevelType w:val="hybridMultilevel"/>
    <w:tmpl w:val="9AB6BADE"/>
    <w:lvl w:ilvl="0" w:tplc="D7E874C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62687453"/>
    <w:multiLevelType w:val="hybridMultilevel"/>
    <w:tmpl w:val="4546DC04"/>
    <w:lvl w:ilvl="0" w:tplc="B802DC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711C1492"/>
    <w:multiLevelType w:val="hybridMultilevel"/>
    <w:tmpl w:val="BE4AD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68F29BE"/>
    <w:multiLevelType w:val="hybridMultilevel"/>
    <w:tmpl w:val="2B50E818"/>
    <w:lvl w:ilvl="0" w:tplc="6C64B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9"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7"/>
  </w:num>
  <w:num w:numId="2">
    <w:abstractNumId w:val="1"/>
  </w:num>
  <w:num w:numId="3">
    <w:abstractNumId w:val="5"/>
  </w:num>
  <w:num w:numId="4">
    <w:abstractNumId w:val="8"/>
  </w:num>
  <w:num w:numId="5">
    <w:abstractNumId w:val="0"/>
  </w:num>
  <w:num w:numId="6">
    <w:abstractNumId w:val="17"/>
  </w:num>
  <w:num w:numId="7">
    <w:abstractNumId w:val="15"/>
  </w:num>
  <w:num w:numId="8">
    <w:abstractNumId w:val="10"/>
  </w:num>
  <w:num w:numId="9">
    <w:abstractNumId w:val="4"/>
  </w:num>
  <w:num w:numId="10">
    <w:abstractNumId w:val="2"/>
  </w:num>
  <w:num w:numId="11">
    <w:abstractNumId w:val="14"/>
  </w:num>
  <w:num w:numId="12">
    <w:abstractNumId w:val="11"/>
  </w:num>
  <w:num w:numId="13">
    <w:abstractNumId w:val="13"/>
  </w:num>
  <w:num w:numId="14">
    <w:abstractNumId w:val="6"/>
  </w:num>
  <w:num w:numId="15">
    <w:abstractNumId w:val="18"/>
  </w:num>
  <w:num w:numId="16">
    <w:abstractNumId w:val="16"/>
  </w:num>
  <w:num w:numId="17">
    <w:abstractNumId w:val="9"/>
  </w:num>
  <w:num w:numId="18">
    <w:abstractNumId w:val="3"/>
  </w:num>
  <w:num w:numId="19">
    <w:abstractNumId w:val="19"/>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095"/>
    <w:rsid w:val="00067097"/>
    <w:rsid w:val="00196095"/>
    <w:rsid w:val="001C62F6"/>
    <w:rsid w:val="001F714C"/>
    <w:rsid w:val="00251DCC"/>
    <w:rsid w:val="002B4352"/>
    <w:rsid w:val="00365CE4"/>
    <w:rsid w:val="003E1929"/>
    <w:rsid w:val="004B2D6E"/>
    <w:rsid w:val="005711BA"/>
    <w:rsid w:val="005A7DB0"/>
    <w:rsid w:val="00605CC5"/>
    <w:rsid w:val="00636E66"/>
    <w:rsid w:val="006478B1"/>
    <w:rsid w:val="00690E79"/>
    <w:rsid w:val="00711A2C"/>
    <w:rsid w:val="009C7B3F"/>
    <w:rsid w:val="009C7EB0"/>
    <w:rsid w:val="00A00951"/>
    <w:rsid w:val="00A72AE1"/>
    <w:rsid w:val="00A76460"/>
    <w:rsid w:val="00A81A0B"/>
    <w:rsid w:val="00A976B2"/>
    <w:rsid w:val="00AE31FE"/>
    <w:rsid w:val="00BF2335"/>
    <w:rsid w:val="00C34179"/>
    <w:rsid w:val="00C934FE"/>
    <w:rsid w:val="00D87D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85A4A-3DB1-4372-82D2-944CB11A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09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609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96095"/>
    <w:rPr>
      <w:rFonts w:eastAsiaTheme="minorEastAsia"/>
      <w:sz w:val="24"/>
      <w:szCs w:val="24"/>
      <w:lang w:val="es-ES_tradnl" w:eastAsia="es-ES"/>
    </w:rPr>
  </w:style>
  <w:style w:type="paragraph" w:styleId="Piedepgina">
    <w:name w:val="footer"/>
    <w:basedOn w:val="Normal"/>
    <w:link w:val="PiedepginaCar"/>
    <w:uiPriority w:val="99"/>
    <w:unhideWhenUsed/>
    <w:rsid w:val="0019609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9609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609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9609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96095"/>
    <w:pPr>
      <w:spacing w:after="0" w:line="240" w:lineRule="auto"/>
    </w:pPr>
  </w:style>
  <w:style w:type="character" w:customStyle="1" w:styleId="SinespaciadoCar">
    <w:name w:val="Sin espaciado Car"/>
    <w:aliases w:val="Francesa Car,INAI Car"/>
    <w:link w:val="Sinespaciado"/>
    <w:uiPriority w:val="1"/>
    <w:locked/>
    <w:rsid w:val="00196095"/>
  </w:style>
  <w:style w:type="character" w:styleId="Hipervnculo">
    <w:name w:val="Hyperlink"/>
    <w:aliases w:val="Hipervínculo1,Hipervínculo11,Hipervínculo12,Hipervínculo13,Hipervínculo14,Hipervínculo15"/>
    <w:basedOn w:val="Fuentedeprrafopredeter"/>
    <w:uiPriority w:val="99"/>
    <w:unhideWhenUsed/>
    <w:rsid w:val="00196095"/>
    <w:rPr>
      <w:color w:val="0563C1" w:themeColor="hyperlink"/>
      <w:u w:val="single"/>
    </w:rPr>
  </w:style>
  <w:style w:type="paragraph" w:customStyle="1" w:styleId="INFOEM">
    <w:name w:val="INFOEM"/>
    <w:basedOn w:val="Normal"/>
    <w:qFormat/>
    <w:rsid w:val="0019609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9609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96095"/>
    <w:rPr>
      <w:vertAlign w:val="superscript"/>
    </w:rPr>
  </w:style>
  <w:style w:type="paragraph" w:customStyle="1" w:styleId="infoemcitas">
    <w:name w:val="infoem citas"/>
    <w:basedOn w:val="Normal"/>
    <w:qFormat/>
    <w:rsid w:val="0019609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196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96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96095"/>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690E79"/>
    <w:rPr>
      <w:b/>
      <w:bCs/>
    </w:rPr>
  </w:style>
  <w:style w:type="character" w:styleId="Hipervnculovisitado">
    <w:name w:val="FollowedHyperlink"/>
    <w:basedOn w:val="Fuentedeprrafopredeter"/>
    <w:uiPriority w:val="99"/>
    <w:semiHidden/>
    <w:unhideWhenUsed/>
    <w:rsid w:val="00A72A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6.tm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5.tmp"/><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41</Pages>
  <Words>9181</Words>
  <Characters>50499</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2026-06-05T00:02:00Z</cp:lastPrinted>
  <dcterms:created xsi:type="dcterms:W3CDTF">2026-05-25T20:32:00Z</dcterms:created>
  <dcterms:modified xsi:type="dcterms:W3CDTF">2026-06-09T18:56:00Z</dcterms:modified>
</cp:coreProperties>
</file>