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448" w:rsidRDefault="009E7017">
      <w:pPr>
        <w:tabs>
          <w:tab w:val="left" w:pos="3465"/>
          <w:tab w:val="left" w:pos="8647"/>
        </w:tabs>
        <w:spacing w:before="240" w:after="360" w:line="360" w:lineRule="auto"/>
        <w:ind w:right="-847"/>
        <w:jc w:val="both"/>
        <w:rPr>
          <w:rFonts w:ascii="Palatino Linotype" w:eastAsia="Palatino Linotype" w:hAnsi="Palatino Linotype" w:cs="Palatino Linotype"/>
          <w:b/>
          <w:bCs/>
          <w:color w:val="000000"/>
        </w:rPr>
      </w:pPr>
      <w:bookmarkStart w:id="0" w:name="_GoBack"/>
      <w:bookmarkEnd w:id="0"/>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484558">
        <w:rPr>
          <w:rFonts w:ascii="Palatino Linotype" w:eastAsia="Palatino Linotype" w:hAnsi="Palatino Linotype" w:cs="Palatino Linotype"/>
          <w:b/>
          <w:bCs/>
          <w:color w:val="000000"/>
        </w:rPr>
        <w:t xml:space="preserve">uno (01) </w:t>
      </w:r>
      <w:r>
        <w:rPr>
          <w:rFonts w:ascii="Palatino Linotype" w:eastAsia="Palatino Linotype" w:hAnsi="Palatino Linotype" w:cs="Palatino Linotype"/>
          <w:b/>
          <w:bCs/>
          <w:color w:val="000000"/>
        </w:rPr>
        <w:t xml:space="preserve">de julio de dos mil veintiséis. </w:t>
      </w:r>
    </w:p>
    <w:p w:rsidR="00D97448" w:rsidRDefault="009E7017">
      <w:pPr>
        <w:tabs>
          <w:tab w:val="left" w:pos="3465"/>
        </w:tabs>
        <w:spacing w:before="240" w:after="360" w:line="360" w:lineRule="auto"/>
        <w:ind w:right="-847"/>
        <w:jc w:val="both"/>
        <w:rPr>
          <w:rFonts w:ascii="Palatino Linotype" w:eastAsia="Palatino Linotype" w:hAnsi="Palatino Linotype" w:cs="Palatino Linotype"/>
          <w:b/>
          <w:bCs/>
          <w:color w:val="000000"/>
        </w:rPr>
      </w:pPr>
      <w:bookmarkStart w:id="1" w:name="_heading=h.8yzomo892sfi" w:colFirst="0" w:colLast="0"/>
      <w:bookmarkEnd w:id="1"/>
      <w:r>
        <w:rPr>
          <w:rFonts w:ascii="Palatino Linotype" w:eastAsia="Palatino Linotype" w:hAnsi="Palatino Linotype" w:cs="Palatino Linotype"/>
          <w:b/>
          <w:bCs/>
          <w:color w:val="000000"/>
        </w:rPr>
        <w:t xml:space="preserve">VISTO </w:t>
      </w:r>
      <w:r>
        <w:rPr>
          <w:rFonts w:ascii="Palatino Linotype" w:eastAsia="Palatino Linotype" w:hAnsi="Palatino Linotype" w:cs="Palatino Linotype"/>
          <w:color w:val="000000"/>
        </w:rPr>
        <w:t xml:space="preserve">el expediente electrónico formado con motivo de los recursos de revisión </w:t>
      </w:r>
      <w:r>
        <w:rPr>
          <w:rFonts w:ascii="Palatino Linotype" w:eastAsia="Palatino Linotype" w:hAnsi="Palatino Linotype" w:cs="Palatino Linotype"/>
          <w:b/>
          <w:bCs/>
          <w:color w:val="000000"/>
        </w:rPr>
        <w:t>03708/INFOEM/IP/RR/2026</w:t>
      </w:r>
      <w:r>
        <w:rPr>
          <w:rFonts w:ascii="Palatino Linotype" w:eastAsia="Palatino Linotype" w:hAnsi="Palatino Linotype" w:cs="Palatino Linotype"/>
          <w:color w:val="000000"/>
        </w:rPr>
        <w:t xml:space="preserve">, promovido por </w:t>
      </w:r>
      <w:r w:rsidR="000D7C12">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lo sucesivo será identificado en su calidad de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contra de las respuestas emitidas por el </w:t>
      </w:r>
      <w:r>
        <w:rPr>
          <w:rFonts w:ascii="Palatino Linotype" w:eastAsia="Palatino Linotype" w:hAnsi="Palatino Linotype" w:cs="Palatino Linotype"/>
          <w:b/>
          <w:bCs/>
          <w:color w:val="000000"/>
        </w:rPr>
        <w:t xml:space="preserve">Poder Judicial,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adelante e</w:t>
      </w:r>
      <w:r>
        <w:rPr>
          <w:rFonts w:ascii="Palatino Linotype" w:eastAsia="Palatino Linotype" w:hAnsi="Palatino Linotype" w:cs="Palatino Linotype"/>
          <w:color w:val="000000"/>
        </w:rPr>
        <w:t>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 xml:space="preserve">se procede a dictar la presente resolución, con base en los siguientes: </w:t>
      </w:r>
    </w:p>
    <w:p w:rsidR="00D97448" w:rsidRDefault="009E7017">
      <w:pPr>
        <w:keepNext/>
        <w:keepLines/>
        <w:pBdr>
          <w:top w:val="nil"/>
          <w:left w:val="nil"/>
          <w:bottom w:val="nil"/>
          <w:right w:val="nil"/>
          <w:between w:val="nil"/>
        </w:pBdr>
        <w:spacing w:before="240" w:line="360" w:lineRule="auto"/>
        <w:ind w:right="-84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D97448" w:rsidRDefault="009E7017">
      <w:pPr>
        <w:numPr>
          <w:ilvl w:val="0"/>
          <w:numId w:val="2"/>
        </w:numPr>
        <w:pBdr>
          <w:top w:val="nil"/>
          <w:left w:val="nil"/>
          <w:bottom w:val="nil"/>
          <w:right w:val="nil"/>
          <w:between w:val="nil"/>
        </w:pBdr>
        <w:spacing w:before="240" w:line="360" w:lineRule="auto"/>
        <w:ind w:left="0" w:right="-847"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treinta y uno de marzo de dos mil veinticinco</w:t>
      </w:r>
      <w:r>
        <w:rPr>
          <w:rFonts w:ascii="Palatino Linotype" w:eastAsia="Palatino Linotype" w:hAnsi="Palatino Linotype" w:cs="Palatino Linotype"/>
          <w:color w:val="000000"/>
        </w:rPr>
        <w:t>, el particular presentó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través del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la solicitud de información pública registrada con el número </w:t>
      </w:r>
      <w:r w:rsidR="00226DBF" w:rsidRPr="007258E4">
        <w:rPr>
          <w:rFonts w:ascii="Palatino Linotype" w:eastAsia="Palatino Linotype" w:hAnsi="Palatino Linotype" w:cs="Palatino Linotype"/>
          <w:b/>
          <w:bCs/>
          <w:color w:val="000000"/>
        </w:rPr>
        <w:t>00211/PJUDICI</w:t>
      </w:r>
      <w:r w:rsidRPr="007258E4">
        <w:rPr>
          <w:rFonts w:ascii="Palatino Linotype" w:eastAsia="Palatino Linotype" w:hAnsi="Palatino Linotype" w:cs="Palatino Linotype"/>
          <w:b/>
          <w:bCs/>
          <w:color w:val="000000"/>
        </w:rPr>
        <w:t>/IP/202</w:t>
      </w:r>
      <w:r w:rsidR="00226DBF" w:rsidRPr="007258E4">
        <w:rPr>
          <w:rFonts w:ascii="Palatino Linotype" w:eastAsia="Palatino Linotype" w:hAnsi="Palatino Linotype" w:cs="Palatino Linotype"/>
          <w:b/>
          <w:bCs/>
          <w:color w:val="000000"/>
        </w:rPr>
        <w:t>6</w:t>
      </w:r>
      <w:r w:rsidRPr="007258E4">
        <w:rPr>
          <w:rFonts w:ascii="Palatino Linotype" w:eastAsia="Palatino Linotype" w:hAnsi="Palatino Linotype" w:cs="Palatino Linotype"/>
          <w:b/>
          <w:bCs/>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 xml:space="preserve">en la que se </w:t>
      </w:r>
      <w:r>
        <w:rPr>
          <w:rFonts w:ascii="Palatino Linotype" w:eastAsia="Palatino Linotype" w:hAnsi="Palatino Linotype" w:cs="Palatino Linotype"/>
          <w:color w:val="000000"/>
        </w:rPr>
        <w:t>requirió:</w:t>
      </w:r>
    </w:p>
    <w:p w:rsidR="00D97448" w:rsidRDefault="00D97448">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color w:val="000000"/>
        </w:rPr>
      </w:pP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“Cuántos expedientes extraviados, no localizados, sustraídos, desaparecidos o perdidos se contabilizaron entre 2024 y 2025 correspondientes al Juzgado Segundo de lo Familiar en el Distrito judicial de Tlalnepantla. Y qué acciones realizó el Poder Judicial al respecto.” (Sic)</w:t>
      </w:r>
    </w:p>
    <w:p w:rsidR="00D97448" w:rsidRDefault="00D97448">
      <w:pPr>
        <w:pBdr>
          <w:top w:val="nil"/>
          <w:left w:val="nil"/>
          <w:bottom w:val="nil"/>
          <w:right w:val="nil"/>
          <w:between w:val="nil"/>
        </w:pBdr>
        <w:tabs>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Se hace constar que se señaló como modalidad de entrega de la información</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A través del SAIMEX.</w:t>
      </w:r>
    </w:p>
    <w:p w:rsidR="00D97448" w:rsidRDefault="00D97448">
      <w:pPr>
        <w:pBdr>
          <w:top w:val="nil"/>
          <w:left w:val="nil"/>
          <w:bottom w:val="nil"/>
          <w:right w:val="nil"/>
          <w:between w:val="nil"/>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la solicitud de información en los siguientes términos:</w:t>
      </w:r>
    </w:p>
    <w:p w:rsidR="00D97448" w:rsidRDefault="00D97448">
      <w:pPr>
        <w:pBdr>
          <w:top w:val="nil"/>
          <w:left w:val="nil"/>
          <w:bottom w:val="nil"/>
          <w:right w:val="nil"/>
          <w:between w:val="nil"/>
        </w:pBdr>
        <w:spacing w:line="360" w:lineRule="auto"/>
        <w:ind w:left="708" w:right="-847"/>
        <w:rPr>
          <w:rFonts w:ascii="Palatino Linotype" w:eastAsia="Palatino Linotype" w:hAnsi="Palatino Linotype" w:cs="Palatino Linotype"/>
          <w:b/>
          <w:bCs/>
        </w:rPr>
      </w:pP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“Se anexa documento” (Sic.)</w:t>
      </w:r>
    </w:p>
    <w:p w:rsidR="00D97448" w:rsidRDefault="00D97448">
      <w:pPr>
        <w:pBdr>
          <w:top w:val="nil"/>
          <w:left w:val="nil"/>
          <w:bottom w:val="nil"/>
          <w:right w:val="nil"/>
          <w:between w:val="nil"/>
        </w:pBdr>
        <w:spacing w:line="360" w:lineRule="auto"/>
        <w:ind w:left="708" w:right="-847"/>
        <w:jc w:val="both"/>
        <w:rPr>
          <w:rFonts w:ascii="Palatino Linotype" w:eastAsia="Palatino Linotype" w:hAnsi="Palatino Linotype" w:cs="Palatino Linotype"/>
          <w:i/>
          <w:iCs/>
          <w:color w:val="000000"/>
        </w:rPr>
      </w:pP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Se adjuntó el archivo electrónico denominado </w:t>
      </w:r>
      <w:r>
        <w:rPr>
          <w:rFonts w:ascii="Palatino Linotype" w:eastAsia="Palatino Linotype" w:hAnsi="Palatino Linotype" w:cs="Palatino Linotype"/>
          <w:b/>
          <w:bCs/>
          <w:color w:val="000000"/>
        </w:rPr>
        <w:t xml:space="preserve">RESPUESTA 00211-2026.pdf: </w:t>
      </w:r>
      <w:r>
        <w:rPr>
          <w:rFonts w:ascii="Palatino Linotype" w:eastAsia="Palatino Linotype" w:hAnsi="Palatino Linotype" w:cs="Palatino Linotype"/>
          <w:color w:val="000000"/>
        </w:rPr>
        <w:t>constante del oficio de fecha veintisiete de marzo de dos mil veintiséis, suscrito por el titular de la Unidad de Transparencia, a través del cual informa que derivado de la respuesta otorgada por el Director de Información y Estadística, se informa que no se cuenta con la variable que permita identificar el número de expedientes extraviados, no localizados, sustraídos, desaparecidos y/o perdidos en los Órganos Jurisdiccionales del Poder Judicial del Estado de México; por ende no se cuenta con la información respecto a las acciones realizadas por el Poder Judicial del Estados de México en dichos supuestos.</w:t>
      </w:r>
    </w:p>
    <w:p w:rsidR="00D97448" w:rsidRDefault="00D97448">
      <w:pPr>
        <w:pBdr>
          <w:top w:val="nil"/>
          <w:left w:val="nil"/>
          <w:bottom w:val="nil"/>
          <w:right w:val="nil"/>
          <w:between w:val="nil"/>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abril de dos mil veintiséis</w:t>
      </w:r>
      <w:r>
        <w:rPr>
          <w:rFonts w:ascii="Palatino Linotype" w:eastAsia="Palatino Linotype" w:hAnsi="Palatino Linotype" w:cs="Palatino Linotype"/>
          <w:color w:val="000000"/>
        </w:rPr>
        <w:t>, el particular interpuso recurso de revisión, en el que señaló:</w:t>
      </w:r>
    </w:p>
    <w:p w:rsidR="00D97448" w:rsidRDefault="00D97448">
      <w:pPr>
        <w:pBdr>
          <w:top w:val="nil"/>
          <w:left w:val="nil"/>
          <w:bottom w:val="nil"/>
          <w:right w:val="nil"/>
          <w:between w:val="nil"/>
        </w:pBdr>
        <w:tabs>
          <w:tab w:val="left" w:pos="0"/>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1"/>
        </w:numPr>
        <w:tabs>
          <w:tab w:val="left" w:pos="0"/>
          <w:tab w:val="left" w:pos="709"/>
        </w:tabs>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“La respuesta a la solicitud de información Número de Folio o Expediente de la Solicitud: 00211/PJUDICI/IP/2026 Código para el Solicitante: 002112026084203544001, contenida en el oficio de fecha 27 de marzo de 2026.” (Sic)</w:t>
      </w:r>
    </w:p>
    <w:p w:rsidR="00D97448" w:rsidRDefault="00D97448">
      <w:pPr>
        <w:tabs>
          <w:tab w:val="left" w:pos="0"/>
          <w:tab w:val="left" w:pos="709"/>
        </w:tabs>
        <w:ind w:left="567" w:right="-847"/>
        <w:jc w:val="both"/>
        <w:rPr>
          <w:rFonts w:ascii="Palatino Linotype" w:eastAsia="Palatino Linotype" w:hAnsi="Palatino Linotype" w:cs="Palatino Linotype"/>
          <w:color w:val="000000"/>
        </w:rPr>
      </w:pPr>
    </w:p>
    <w:p w:rsidR="00D97448" w:rsidRDefault="009E7017">
      <w:pPr>
        <w:numPr>
          <w:ilvl w:val="0"/>
          <w:numId w:val="3"/>
        </w:numPr>
        <w:tabs>
          <w:tab w:val="left" w:pos="0"/>
          <w:tab w:val="left" w:pos="709"/>
        </w:tabs>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 xml:space="preserve">“Ante de ingresar lo referente al recurso de revisión, se debe precisar que el índice de causa de recurso de revisión permite seleccionar solo una alternativa de entre algunas de las causas por las que se puede interponer el recurso,. en el presente caso fue la falta de una búsqueda exhaustiva de la información, la información incompleta y la indebida fundamentación y motivación de la respuesta. RECURSO DE REVISIÓN SUJETO OBLIGADO: PODER JUDICIAL DEL ESTADO DE MÉXICO (PJEM). FOLIO DE SOLICITUD: 00211/PJUDICI/IP/2026. ACTO IMPUGNADO: Respuesta de fecha 27 de marzo de 2026, emitida por la Unidad de Transparencia. I. AGRAVIOS PRIMERO. FALTA DE EXHAUSTIVIDAD EN LA BÚSQUEDA Y </w:t>
      </w:r>
    </w:p>
    <w:p w:rsidR="00D97448" w:rsidRDefault="00D97448">
      <w:pPr>
        <w:tabs>
          <w:tab w:val="left" w:pos="0"/>
          <w:tab w:val="left" w:pos="709"/>
        </w:tabs>
        <w:ind w:left="720" w:right="-847"/>
        <w:jc w:val="both"/>
        <w:rPr>
          <w:rFonts w:ascii="Palatino Linotype" w:eastAsia="Palatino Linotype" w:hAnsi="Palatino Linotype" w:cs="Palatino Linotype"/>
          <w:i/>
          <w:iCs/>
        </w:rPr>
      </w:pPr>
    </w:p>
    <w:p w:rsidR="00D97448" w:rsidRDefault="009E7017">
      <w:pPr>
        <w:tabs>
          <w:tab w:val="left" w:pos="0"/>
          <w:tab w:val="left" w:pos="709"/>
        </w:tabs>
        <w:ind w:left="720"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VIOLACIÓN AL PRINCIPIO DE DISPONIBILIDAD. El Sujeto Obligado limita su búsqueda a la Dirección de Información y Estadística, la cual manifiesta no contar con la "variable" para identificar expedientes extraviados o sustraídos. Esta respuesta es infundada y falta de motivación, así como incongruente, ya que la información solicitada no es meramente estadística, sino de naturaleza procesal y administrativa. Conforme al Artículo 1.15 del Código de Procedimientos Civiles del Estado de México (CPPCEM), los secretarios son responsables directos de los expedientes físicos y digitales. Por lo tanto, el control de la existencia de dichos autos es una obligación legal del Juzgado Segundo de lo Familiar de Tlalnepantla. En ese sentido, el Sujeto Obligado omitió turnar la solicitud a dicho órgano jurisdiccional, a la Dirección Jurídica, al Tribunal de Disciplina Judicial y/o a la Contraloría Interna, quienes podrían tener, generan y resguardan la información sobre extravíos y responsabilidades. SEGUNDO. INCUMPLIMIENTO DE LAS OBLIGACIONES DE OFICIO (ARTS. 1.127 Y 1.128 CPPCEM). El PJEM afirma no contar con información sobre las "acciones realizadas" ante la pérdida de expedientes. Lo anterior resulta inverosímil y jurídicamente improcedente. El Artículo 1.127 del CPPCEM mandata que, ante la falta de un expediente, el Secretario debe hacer constar la falta y se debe sustanciar la reposición de autos de forma incidental. Asimismo, el Artículo 1.128 faculta a jueces para investigar de oficio la desaparición de piezas de autos. Al responder que "no cuenta con la información", el PJEM admite una omisión administrativa grave, pues la ley le obliga a documentar estos eventos. La inexistencia alegada no puede ser validada cuando existe una obligación legal de generar estos documentos. TERCERO. OMISIÓN DE LA DENUNCIA DE HECHOS DELICTUOSOS (ART. 1.139 CPPCEM). El solicitante requirió conocer las acciones realizadas tras la sustracción o pérdida de expedientes. El Artículo 1.139 del CPPCEM obliga a los Jueces a poner en conocimiento del Ministerio Público cualquier hecho presumiblemente delictuoso (como la sustracción de documentos públicos). El Sujeto Obligado no puede declarar la inexistencia de estas acciones sin haber consultado a su área jurídica o a los juzgados específicos, vulnerando el derecho de acceso a la información sobre el desempeño de los servidores públicos. En ese orden de ideas, lo solicitado consiste en el acceso a la información que el Código de Procedimientos Civiles del Estado de México (CPPCEM) obliga a registrar. Los artículos 1.127 y 1.128 mandatan que cada pérdida de expediente debe ser documentada mediante una constancia de "falta posterior" y un incidente de reposición. Por tanto, la información ya reside en los Libros de Gobierno y en las actuaciones del Juzgado Segundo de lo Familiar de Tlalnepantla. El Poder Judicial tiene la obligación de establecer lineamientos técnicos para expedientes digitales y físicos. Si el Sujeto Obligado no ha sistematizado estos datos, es una deficiencia administrativa de su parte, pero la información existe de manera desagregada en sus archivos. Se ha establecido que la "extracción" de datos de expedientes o </w:t>
      </w:r>
    </w:p>
    <w:p w:rsidR="00D97448" w:rsidRDefault="00D97448">
      <w:pPr>
        <w:tabs>
          <w:tab w:val="left" w:pos="0"/>
          <w:tab w:val="left" w:pos="709"/>
        </w:tabs>
        <w:ind w:left="720" w:right="-847"/>
        <w:jc w:val="both"/>
        <w:rPr>
          <w:rFonts w:ascii="Palatino Linotype" w:eastAsia="Palatino Linotype" w:hAnsi="Palatino Linotype" w:cs="Palatino Linotype"/>
          <w:i/>
          <w:iCs/>
        </w:rPr>
      </w:pPr>
    </w:p>
    <w:p w:rsidR="00D97448" w:rsidRDefault="009E7017">
      <w:pPr>
        <w:tabs>
          <w:tab w:val="left" w:pos="0"/>
          <w:tab w:val="left" w:pos="709"/>
        </w:tabs>
        <w:ind w:left="720"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libros existentes no constituye una generación de información sino una modalidad de acceso a registros preexistentes. En ese orden de ideas, es inatendible la posible excepción de entregar la información por el simple señalamiento de un área del sujeto obligado al referir que no cuenta con la "variable", toda vez que la entrega de información que requiere un análisis, suma o localización en expedientes físicos no es creación de información. En el presente caso, la información solicitada debe residir en los asientos de los Libros de Gobierno y en las constancias de falta posterior que el Secretario está obligado a realizar por ministerio de ley (Art. 1.127 CPPCEM). Por lo tanto, el Sujeto Obligado cuenta con los insumos documentales y solo debe realizar la extracción de los datos que ya obran en sus archivos. La respuesta que implica consultar libros de gobierno, índices o expedientes para extraer un dato numérico (como la cantidad de incidentes de reposición) constituye una labor de localización y sistematización, no de generación. Si la ley obliga al Sujeto Obligado a asentar, a documentar o hacer constar (como lo instruyen los artículos 1.15, 1.125 y 1.127 del CPPCEM), el resultado de la consulta a dichos registros es información pública disponible. II. CAPÍTULO DE PRUEBAS Para acreditar los agravios expuestos y demostrar la ilegalidad de la respuesta con folio 00211/PJUDICI/IP/2026, ofrezco de mi parte las siguientes: 1. LA DOCUMENTAL PÚBLICA: Consistente en la respuesta emitida por la Unidad de Transparencia del PJEM de fecha 27 de marzo de 2026. Con esta prueba se acredita que el Sujeto Obligado limitó su búsqueda a la Dirección de Información y Estadística y que confesó no contar con la información solicitada, omitiendo consultar al Juzgado Segundo de lo Familiar de Tlalnepantla. 2. LA INSTRUMENTAL DE ACTUACIONES: Derivada de la presunción legal que establecen los artículos 1.15 y 1.125 del Código de Procedimientos Civiles del Estado de México. Se invoca que, por disposición legal, los Secretarios son responsables de los expedientes y deben foliarlos y rubricarlos y a recabar constancia de su entrega, lo que implica que el control de su existencia es una función administrativa obligatoria y no una "variable estadística" opcional. 3. LA PRESUNCIONAL LEGAL Y HUMANA: En el sentido de que, si un expediente se extravía, el Sujeto Obligado está obligado por el Artículo 1.127 del ordenamiento citado a hacer constar dicha falta y sustanciar su reposición. Por ende, la información sobre expedientes "perdidos" debe existir en los registros de control interno del juzgado mencionado en la solicitud. III. PETICIONES 1. TENER POR INTERPUESTO en tiempo y forma el presente Recurso de Revisión. 2. ORDENAR AL PJEM que realice una búsqueda exhaustiva en el Juzgado Segundo de lo Familiar de Tlalnepantla, a la Dirección Jurídica, al Tribunal de Disciplina Judicial y/o a la Contraloría Interna, dado que es una obligación legal poseer dicha información, en virtud de que, así lo instruyen los artículos citados del CPCEM. 3. Suponiendo sin conceder, que no con las </w:t>
      </w:r>
      <w:r>
        <w:rPr>
          <w:rFonts w:ascii="Palatino Linotype" w:eastAsia="Palatino Linotype" w:hAnsi="Palatino Linotype" w:cs="Palatino Linotype"/>
          <w:i/>
          <w:iCs/>
          <w:color w:val="000000"/>
        </w:rPr>
        <w:lastRenderedPageBreak/>
        <w:t xml:space="preserve">acciones anteriores se pueda determinar lo solicitado, se solicita a esa Autoridad REQUERIR la entrega de la relación de </w:t>
      </w:r>
    </w:p>
    <w:p w:rsidR="00D97448" w:rsidRDefault="00D97448">
      <w:pPr>
        <w:tabs>
          <w:tab w:val="left" w:pos="0"/>
          <w:tab w:val="left" w:pos="709"/>
        </w:tabs>
        <w:ind w:left="720" w:right="-847"/>
        <w:jc w:val="both"/>
        <w:rPr>
          <w:rFonts w:ascii="Palatino Linotype" w:eastAsia="Palatino Linotype" w:hAnsi="Palatino Linotype" w:cs="Palatino Linotype"/>
          <w:i/>
          <w:iCs/>
        </w:rPr>
      </w:pPr>
    </w:p>
    <w:p w:rsidR="00D97448" w:rsidRDefault="009E7017">
      <w:pPr>
        <w:tabs>
          <w:tab w:val="left" w:pos="0"/>
          <w:tab w:val="left" w:pos="709"/>
        </w:tabs>
        <w:ind w:left="720" w:right="-84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Incidentes de Reposición de Autos y denuncias presentadas ante el Ministerio Público correspondientes al periodo 2024-2025 en el juzgado citado. 4. REVOCAR la respuesta impugnada por carecer de la debida fundamentación y motivación.” (Sic).</w:t>
      </w:r>
      <w:r>
        <w:rPr>
          <w:rFonts w:ascii="Palatino Linotype" w:eastAsia="Palatino Linotype" w:hAnsi="Palatino Linotype" w:cs="Palatino Linotype"/>
          <w:color w:val="000000"/>
        </w:rPr>
        <w:t xml:space="preserve"> </w:t>
      </w:r>
    </w:p>
    <w:p w:rsidR="00D97448" w:rsidRDefault="00D97448">
      <w:pPr>
        <w:tabs>
          <w:tab w:val="left" w:pos="0"/>
          <w:tab w:val="left" w:pos="709"/>
        </w:tabs>
        <w:spacing w:line="360" w:lineRule="auto"/>
        <w:ind w:left="567" w:right="-847"/>
        <w:jc w:val="both"/>
        <w:rPr>
          <w:rFonts w:ascii="Palatino Linotype" w:eastAsia="Palatino Linotype" w:hAnsi="Palatino Linotype" w:cs="Palatino Linotype"/>
          <w:color w:val="000000"/>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A la inconformidad agrego la respuesta otorgada por el SUJETO OBLIGADO; así como el acuse de solicitud de información arrojado por el Sistema de Acceso a la Información Mexiquense (SAIMEX)</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color w:val="000000"/>
        </w:rPr>
        <w:t>para su análisis.</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rPr>
        <w:t>siete de abril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b/>
          <w:bCs/>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trece de abril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presentó sus manifestaciones a través del documento denominado </w:t>
      </w:r>
      <w:r>
        <w:rPr>
          <w:rFonts w:ascii="Palatino Linotype" w:eastAsia="Palatino Linotype" w:hAnsi="Palatino Linotype" w:cs="Palatino Linotype"/>
          <w:b/>
          <w:bCs/>
          <w:i/>
          <w:iCs/>
          <w:color w:val="000000"/>
        </w:rPr>
        <w:t xml:space="preserve">“Alegatos 03708.pdf”, </w:t>
      </w:r>
      <w:r>
        <w:rPr>
          <w:rFonts w:ascii="Palatino Linotype" w:eastAsia="Palatino Linotype" w:hAnsi="Palatino Linotype" w:cs="Palatino Linotype"/>
          <w:color w:val="000000"/>
        </w:rPr>
        <w:t xml:space="preserve">mediante el cual refiere que su solicitud no versa sobre reportes estadísticos procesados, sino de la cantidad de expedientes </w:t>
      </w:r>
      <w:r>
        <w:rPr>
          <w:rFonts w:ascii="Palatino Linotype" w:eastAsia="Palatino Linotype" w:hAnsi="Palatino Linotype" w:cs="Palatino Linotype"/>
          <w:color w:val="000000"/>
        </w:rPr>
        <w:lastRenderedPageBreak/>
        <w:t xml:space="preserve">extraviados, precisando que la información obra en los Libros de Gobierno y en las constancias de falta posterior que el Secretario de Acuerdos debe asentar </w:t>
      </w:r>
    </w:p>
    <w:p w:rsidR="00D97448" w:rsidRDefault="00D97448">
      <w:pPr>
        <w:tabs>
          <w:tab w:val="left" w:pos="0"/>
          <w:tab w:val="left" w:pos="-5"/>
        </w:tabs>
        <w:spacing w:line="360" w:lineRule="auto"/>
        <w:ind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de acuerdo a lo establecido en el artículo 1.127 del Código de Procedimientos Civiles del</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Estado de México; reiterando la falta del principio de exhaustividad en la respuesta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así como que la información solicitada no requiere que se realice un documento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ya que a sus dicho son registros que el sujeto obligado lleva, como los son los incidentes de reposición y/o denuncias ante el Ministerio Público.</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quince abril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 </w:t>
      </w:r>
      <w:r>
        <w:rPr>
          <w:rFonts w:ascii="Palatino Linotype" w:eastAsia="Palatino Linotype" w:hAnsi="Palatino Linotype" w:cs="Palatino Linotype"/>
          <w:color w:val="000000"/>
        </w:rPr>
        <w:t xml:space="preserve">rindió el informe justificado correspondiente, a través del documento denominado </w:t>
      </w:r>
      <w:r>
        <w:rPr>
          <w:rFonts w:ascii="Palatino Linotype" w:eastAsia="Palatino Linotype" w:hAnsi="Palatino Linotype" w:cs="Palatino Linotype"/>
          <w:b/>
          <w:bCs/>
          <w:color w:val="000000"/>
        </w:rPr>
        <w:t>INFORME JUST RR03708.pdf:</w:t>
      </w:r>
      <w:r>
        <w:rPr>
          <w:rFonts w:ascii="Palatino Linotype" w:eastAsia="Palatino Linotype" w:hAnsi="Palatino Linotype" w:cs="Palatino Linotype"/>
          <w:color w:val="000000"/>
        </w:rPr>
        <w:t xml:space="preserve"> del cual se advierte el oficio de fecha quince de abril de dos mil veintiséis, suscrito por el Titular de la Unidad de Transparencia, a mediante ratifica su respuesta y además agrega que no existe atribución normativa para hacer la búsqueda exhaustiva en los Juzgados, Tribunal de Disciplina, ni mucho menos en Contraloría, toda vez que el área facultada para concentrar datos es Estadística, toda vez que los secretarios son los responsables de los expedientes físicos y digitales; mientras que los jueces se encuentran facultados para investigar de oficio la desaparición de piezas de autos.</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b/>
          <w:bCs/>
        </w:rPr>
      </w:pPr>
    </w:p>
    <w:p w:rsidR="00D97448" w:rsidRDefault="009E7017" w:rsidP="00226DBF">
      <w:pPr>
        <w:numPr>
          <w:ilvl w:val="0"/>
          <w:numId w:val="2"/>
        </w:numPr>
        <w:tabs>
          <w:tab w:val="left" w:pos="0"/>
          <w:tab w:val="left" w:pos="-5"/>
        </w:tabs>
        <w:spacing w:line="360" w:lineRule="auto"/>
        <w:ind w:left="0" w:right="-992" w:firstLine="0"/>
        <w:jc w:val="both"/>
        <w:rPr>
          <w:color w:val="000000"/>
        </w:rPr>
      </w:pPr>
      <w:r>
        <w:rPr>
          <w:rFonts w:ascii="Palatino Linotype" w:eastAsia="Palatino Linotype" w:hAnsi="Palatino Linotype" w:cs="Palatino Linotype"/>
          <w:color w:val="000000"/>
        </w:rPr>
        <w:t xml:space="preserve">Así mismo, refirió que las acciones realizadas en cuanto a expedientes extraviados, no localizados, sustraídos, </w:t>
      </w:r>
      <w:r>
        <w:rPr>
          <w:rFonts w:ascii="Palatino Linotype" w:eastAsia="Palatino Linotype" w:hAnsi="Palatino Linotype" w:cs="Palatino Linotype"/>
        </w:rPr>
        <w:t>desaparecidos</w:t>
      </w:r>
      <w:r>
        <w:rPr>
          <w:rFonts w:ascii="Palatino Linotype" w:eastAsia="Palatino Linotype" w:hAnsi="Palatino Linotype" w:cs="Palatino Linotype"/>
          <w:color w:val="000000"/>
        </w:rPr>
        <w:t xml:space="preserve"> o perdidos se encuentra contemplado dentro del Capítulo IV, en los artículos 1.125, 1.126, 1.127, 1.128 y 1.129 del Código de Procedimientos Ci</w:t>
      </w:r>
      <w:r w:rsidR="00226DBF">
        <w:rPr>
          <w:rFonts w:ascii="Palatino Linotype" w:eastAsia="Palatino Linotype" w:hAnsi="Palatino Linotype" w:cs="Palatino Linotype"/>
          <w:color w:val="000000"/>
        </w:rPr>
        <w:t>viles del Estado de México, por l</w:t>
      </w:r>
      <w:r>
        <w:rPr>
          <w:rFonts w:ascii="Palatino Linotype" w:eastAsia="Palatino Linotype" w:hAnsi="Palatino Linotype" w:cs="Palatino Linotype"/>
          <w:color w:val="000000"/>
        </w:rPr>
        <w:t xml:space="preserve">o que los servidores públicos se encuentran constreñidos a aplicar los </w:t>
      </w:r>
      <w:r>
        <w:rPr>
          <w:rFonts w:ascii="Palatino Linotype" w:eastAsia="Palatino Linotype" w:hAnsi="Palatino Linotype" w:cs="Palatino Linotype"/>
          <w:color w:val="000000"/>
        </w:rPr>
        <w:lastRenderedPageBreak/>
        <w:t>procedimientos conforme lo establezca la ley, ello de acuerdo al artículo 1.1 del Código de Procedimientos Civiles del Estado de México.</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 xml:space="preserve">Además precisa que a pesar de la existencia de un procedimiento para llevar a cabo las acciones en </w:t>
      </w:r>
      <w:r>
        <w:rPr>
          <w:rFonts w:ascii="Palatino Linotype" w:eastAsia="Palatino Linotype" w:hAnsi="Palatino Linotype" w:cs="Palatino Linotype"/>
        </w:rPr>
        <w:t>cuanto</w:t>
      </w:r>
      <w:r>
        <w:rPr>
          <w:rFonts w:ascii="Palatino Linotype" w:eastAsia="Palatino Linotype" w:hAnsi="Palatino Linotype" w:cs="Palatino Linotype"/>
          <w:color w:val="000000"/>
        </w:rPr>
        <w:t xml:space="preserve"> a expedientes extraviados, no localizados, sustraídos, desaparecidos o perdidos, no existe fuente obligacional para llevar una cuantificación o estadística de dichos expedientes, no omite referir que los Jueces tienen la atribución de hacer del conocimiento al Ministerio Público cualquier hecho presuntamente delictuoso, por lo que una vez que el Juzgado </w:t>
      </w:r>
      <w:r>
        <w:rPr>
          <w:rFonts w:ascii="Palatino Linotype" w:eastAsia="Palatino Linotype" w:hAnsi="Palatino Linotype" w:cs="Palatino Linotype"/>
        </w:rPr>
        <w:t>de vista</w:t>
      </w:r>
      <w:r>
        <w:rPr>
          <w:rFonts w:ascii="Palatino Linotype" w:eastAsia="Palatino Linotype" w:hAnsi="Palatino Linotype" w:cs="Palatino Linotype"/>
          <w:color w:val="000000"/>
        </w:rPr>
        <w:t xml:space="preserve"> sobre el hecho delictuoso, el Ministerio Público, será el encargado de llevar a cabo la investigación correspondiente, tal como lo contemplan los artículos 127, 131 y 215 del Código Nacional de Procedimientos Penales, en ese mismo sentido precisa que además de dar vista al Ministerio Público, de acuerdo  con lo establecido en el artículo 198 de la Ley Orgánica del Poder Judicial del Estado de México, se da a conocer de la falta cometida por el servidor judicial al Tribunal de Disciplina Judicial, toda vez que es el Órgano encargado de la investigación, substanciación y resolución de los Procedimientos de responsabilidad administrativa.</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uno de junio de dos mil veintiséis,</w:t>
      </w:r>
      <w:r>
        <w:rPr>
          <w:rFonts w:ascii="Palatino Linotype" w:eastAsia="Palatino Linotype" w:hAnsi="Palatino Linotype" w:cs="Palatino Linotype"/>
          <w:color w:val="000000"/>
        </w:rPr>
        <w:t xml:space="preserve"> se notificó el acuerdo mediante el cual se aprobó ampliación de plazo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emitir resolución. </w:t>
      </w:r>
    </w:p>
    <w:p w:rsidR="00D97448" w:rsidRDefault="00D97448">
      <w:pPr>
        <w:tabs>
          <w:tab w:val="left" w:pos="0"/>
          <w:tab w:val="left" w:pos="-5"/>
        </w:tabs>
        <w:spacing w:line="360" w:lineRule="auto"/>
        <w:ind w:left="720" w:right="-847"/>
        <w:jc w:val="both"/>
        <w:rPr>
          <w:rFonts w:ascii="Palatino Linotype" w:eastAsia="Palatino Linotype" w:hAnsi="Palatino Linotype" w:cs="Palatino Linotype"/>
        </w:rPr>
      </w:pPr>
    </w:p>
    <w:p w:rsidR="00D97448" w:rsidRPr="00484558" w:rsidRDefault="009E7017">
      <w:pPr>
        <w:numPr>
          <w:ilvl w:val="0"/>
          <w:numId w:val="2"/>
        </w:numPr>
        <w:tabs>
          <w:tab w:val="left" w:pos="0"/>
          <w:tab w:val="left" w:pos="-5"/>
        </w:tabs>
        <w:spacing w:line="360" w:lineRule="auto"/>
        <w:ind w:left="0" w:right="-847" w:firstLine="0"/>
        <w:jc w:val="both"/>
        <w:rPr>
          <w:color w:val="000000"/>
        </w:rPr>
      </w:pPr>
      <w:r>
        <w:rPr>
          <w:rFonts w:ascii="Palatino Linotype" w:eastAsia="Palatino Linotype" w:hAnsi="Palatino Linotype" w:cs="Palatino Linotype"/>
          <w:color w:val="000000"/>
        </w:rPr>
        <w:t>Así las cosas, la</w:t>
      </w:r>
      <w:r>
        <w:rPr>
          <w:rFonts w:ascii="Palatino Linotype" w:eastAsia="Palatino Linotype" w:hAnsi="Palatino Linotype" w:cs="Palatino Linotype"/>
          <w:b/>
          <w:bCs/>
          <w:color w:val="000000"/>
        </w:rPr>
        <w:t xml:space="preserve"> Comisionada María del Rosario Mejía Ayala,</w:t>
      </w:r>
      <w:r>
        <w:rPr>
          <w:rFonts w:ascii="Palatino Linotype" w:eastAsia="Palatino Linotype" w:hAnsi="Palatino Linotype" w:cs="Palatino Linotype"/>
          <w:color w:val="000000"/>
        </w:rPr>
        <w:t xml:space="preserve"> decretó el cierre de instrucción mediante acuerdo del </w:t>
      </w:r>
      <w:r>
        <w:rPr>
          <w:rFonts w:ascii="Palatino Linotype" w:eastAsia="Palatino Linotype" w:hAnsi="Palatino Linotype" w:cs="Palatino Linotype"/>
          <w:b/>
          <w:bCs/>
          <w:color w:val="000000"/>
        </w:rPr>
        <w:t>veintinueve de junio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w:t>
      </w:r>
      <w:r w:rsidR="00484558">
        <w:rPr>
          <w:rFonts w:ascii="Palatino Linotype" w:eastAsia="Palatino Linotype" w:hAnsi="Palatino Linotype" w:cs="Palatino Linotype"/>
        </w:rPr>
        <w:t>----</w:t>
      </w:r>
    </w:p>
    <w:p w:rsidR="00484558" w:rsidRDefault="00484558" w:rsidP="00484558">
      <w:pPr>
        <w:pStyle w:val="Prrafodelista"/>
        <w:rPr>
          <w:color w:val="000000"/>
        </w:rPr>
      </w:pPr>
    </w:p>
    <w:p w:rsidR="00484558" w:rsidRDefault="00484558" w:rsidP="00484558">
      <w:pPr>
        <w:tabs>
          <w:tab w:val="left" w:pos="0"/>
          <w:tab w:val="left" w:pos="-5"/>
        </w:tabs>
        <w:spacing w:line="360" w:lineRule="auto"/>
        <w:ind w:right="-847"/>
        <w:jc w:val="both"/>
        <w:rPr>
          <w:color w:val="000000"/>
        </w:rPr>
      </w:pPr>
    </w:p>
    <w:p w:rsidR="00D97448" w:rsidRDefault="00D97448">
      <w:pPr>
        <w:pBdr>
          <w:top w:val="nil"/>
          <w:left w:val="nil"/>
          <w:bottom w:val="nil"/>
          <w:right w:val="nil"/>
          <w:between w:val="nil"/>
        </w:pBdr>
        <w:tabs>
          <w:tab w:val="left" w:pos="426"/>
        </w:tabs>
        <w:spacing w:line="360" w:lineRule="auto"/>
        <w:ind w:right="-847"/>
        <w:jc w:val="center"/>
        <w:rPr>
          <w:rFonts w:ascii="Palatino Linotype" w:eastAsia="Palatino Linotype" w:hAnsi="Palatino Linotype" w:cs="Palatino Linotype"/>
          <w:b/>
          <w:bCs/>
        </w:rPr>
      </w:pPr>
      <w:bookmarkStart w:id="2" w:name="_heading=h.96enqvsmobuq" w:colFirst="0" w:colLast="0"/>
      <w:bookmarkStart w:id="3" w:name="_heading=h.xgqpzt2re27e" w:colFirst="0" w:colLast="0"/>
      <w:bookmarkEnd w:id="2"/>
      <w:bookmarkEnd w:id="3"/>
    </w:p>
    <w:p w:rsidR="00D97448" w:rsidRDefault="009E7017">
      <w:pPr>
        <w:pBdr>
          <w:top w:val="nil"/>
          <w:left w:val="nil"/>
          <w:bottom w:val="nil"/>
          <w:right w:val="nil"/>
          <w:between w:val="nil"/>
        </w:pBdr>
        <w:tabs>
          <w:tab w:val="left" w:pos="426"/>
        </w:tabs>
        <w:spacing w:line="360" w:lineRule="auto"/>
        <w:ind w:right="-847"/>
        <w:jc w:val="center"/>
        <w:rPr>
          <w:rFonts w:ascii="Palatino Linotype" w:eastAsia="Palatino Linotype" w:hAnsi="Palatino Linotype" w:cs="Palatino Linotype"/>
          <w:b/>
          <w:bCs/>
          <w:color w:val="000000"/>
        </w:rPr>
      </w:pPr>
      <w:bookmarkStart w:id="4" w:name="_heading=h.tu61ghz9lj92" w:colFirst="0" w:colLast="0"/>
      <w:bookmarkEnd w:id="4"/>
      <w:r>
        <w:rPr>
          <w:rFonts w:ascii="Palatino Linotype" w:eastAsia="Palatino Linotype" w:hAnsi="Palatino Linotype" w:cs="Palatino Linotype"/>
          <w:b/>
          <w:bCs/>
          <w:color w:val="000000"/>
        </w:rPr>
        <w:lastRenderedPageBreak/>
        <w:t xml:space="preserve">C O N S I D E R A N D O </w:t>
      </w:r>
    </w:p>
    <w:p w:rsidR="00D97448" w:rsidRDefault="009E7017">
      <w:pPr>
        <w:keepNext/>
        <w:keepLines/>
        <w:pBdr>
          <w:top w:val="nil"/>
          <w:left w:val="nil"/>
          <w:bottom w:val="nil"/>
          <w:right w:val="nil"/>
          <w:between w:val="nil"/>
        </w:pBdr>
        <w:spacing w:before="240"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PRIMERO. De la competencia.</w:t>
      </w:r>
    </w:p>
    <w:p w:rsidR="00D97448" w:rsidRDefault="009E7017">
      <w:pPr>
        <w:numPr>
          <w:ilvl w:val="0"/>
          <w:numId w:val="2"/>
        </w:numPr>
        <w:pBdr>
          <w:top w:val="nil"/>
          <w:left w:val="nil"/>
          <w:bottom w:val="nil"/>
          <w:right w:val="nil"/>
          <w:between w:val="nil"/>
        </w:pBdr>
        <w:tabs>
          <w:tab w:val="left" w:pos="0"/>
        </w:tabs>
        <w:spacing w:after="160" w:line="360" w:lineRule="auto"/>
        <w:ind w:left="0" w:right="-847" w:firstLine="0"/>
        <w:jc w:val="both"/>
        <w:rPr>
          <w:color w:val="000000"/>
          <w:highlight w:val="white"/>
        </w:rPr>
      </w:pPr>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p>
    <w:p w:rsidR="00D97448" w:rsidRDefault="009E7017">
      <w:pPr>
        <w:keepNext/>
        <w:keepLines/>
        <w:pBdr>
          <w:top w:val="nil"/>
          <w:left w:val="nil"/>
          <w:bottom w:val="nil"/>
          <w:right w:val="nil"/>
          <w:between w:val="nil"/>
        </w:pBdr>
        <w:spacing w:before="240"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SEGUNDO. De la oportunidad y procedencia.</w:t>
      </w: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día </w:t>
      </w:r>
      <w:r>
        <w:rPr>
          <w:rFonts w:ascii="Palatino Linotype" w:eastAsia="Palatino Linotype" w:hAnsi="Palatino Linotype" w:cs="Palatino Linotype"/>
          <w:b/>
          <w:bCs/>
        </w:rPr>
        <w:t>veintisiete de marzo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seis al veinticuatro de abril de dos mil veintiséis</w:t>
      </w:r>
      <w:r>
        <w:rPr>
          <w:rFonts w:ascii="Palatino Linotype" w:eastAsia="Palatino Linotype" w:hAnsi="Palatino Linotype" w:cs="Palatino Linotype"/>
        </w:rPr>
        <w:t xml:space="preserve">; en consecuencia, presentó su inconformidad el cuatro de abril, sin embargo al ser día inhábil se tuvo por presentado el día hábil siguiente, es decir el </w:t>
      </w:r>
      <w:r>
        <w:rPr>
          <w:rFonts w:ascii="Palatino Linotype" w:eastAsia="Palatino Linotype" w:hAnsi="Palatino Linotype" w:cs="Palatino Linotype"/>
          <w:b/>
          <w:bCs/>
        </w:rPr>
        <w:t>seis de abril de dos mil veintiséis</w:t>
      </w:r>
      <w:r>
        <w:rPr>
          <w:rFonts w:ascii="Palatino Linotype" w:eastAsia="Palatino Linotype" w:hAnsi="Palatino Linotype" w:cs="Palatino Linotype"/>
        </w:rPr>
        <w:t xml:space="preserve">, ello de acuerdo al calendario oficial de labores de este Instituto, por lo que se encuentra dentro de los márgenes temporales previstos en el artículo 3, fracción X y 178 de la </w:t>
      </w:r>
      <w:r>
        <w:rPr>
          <w:rFonts w:ascii="Palatino Linotype" w:eastAsia="Palatino Linotype" w:hAnsi="Palatino Linotype" w:cs="Palatino Linotype"/>
          <w:b/>
          <w:bCs/>
        </w:rPr>
        <w:t xml:space="preserve">Ley de </w:t>
      </w:r>
    </w:p>
    <w:p w:rsidR="00D97448" w:rsidRDefault="00D97448">
      <w:pPr>
        <w:spacing w:line="360" w:lineRule="auto"/>
        <w:ind w:left="720" w:right="-847"/>
        <w:jc w:val="both"/>
        <w:rPr>
          <w:rFonts w:ascii="Palatino Linotype" w:eastAsia="Palatino Linotype" w:hAnsi="Palatino Linotype" w:cs="Palatino Linotype"/>
          <w:b/>
          <w:bCs/>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b/>
          <w:bCs/>
        </w:rPr>
        <w:lastRenderedPageBreak/>
        <w:t xml:space="preserve">Transparencia y Acceso a la Información Pública del Estado de México y Municipios </w:t>
      </w:r>
      <w:r>
        <w:rPr>
          <w:rFonts w:ascii="Palatino Linotype" w:eastAsia="Palatino Linotype" w:hAnsi="Palatino Linotype" w:cs="Palatino Linotype"/>
        </w:rPr>
        <w:t>vigente.</w:t>
      </w:r>
    </w:p>
    <w:p w:rsidR="00D97448" w:rsidRDefault="00D97448">
      <w:pPr>
        <w:spacing w:line="360" w:lineRule="auto"/>
        <w:ind w:left="720" w:right="-847"/>
        <w:jc w:val="both"/>
        <w:rPr>
          <w:rFonts w:ascii="Palatino Linotype" w:eastAsia="Palatino Linotype" w:hAnsi="Palatino Linotype" w:cs="Palatino Linotype"/>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97448" w:rsidRDefault="009E7017">
      <w:pPr>
        <w:keepNext/>
        <w:keepLines/>
        <w:pBdr>
          <w:top w:val="nil"/>
          <w:left w:val="nil"/>
          <w:bottom w:val="nil"/>
          <w:right w:val="nil"/>
          <w:between w:val="nil"/>
        </w:pBdr>
        <w:spacing w:before="240" w:line="360" w:lineRule="auto"/>
        <w:ind w:right="-847"/>
        <w:rPr>
          <w:rFonts w:ascii="Palatino Linotype" w:eastAsia="Palatino Linotype" w:hAnsi="Palatino Linotype" w:cs="Palatino Linotype"/>
          <w:b/>
          <w:bCs/>
          <w:i/>
          <w:iCs/>
          <w:color w:val="000000"/>
        </w:rPr>
      </w:pPr>
      <w:bookmarkStart w:id="5" w:name="_heading=h.up7dti6s3352" w:colFirst="0" w:colLast="0"/>
      <w:bookmarkEnd w:id="5"/>
      <w:r>
        <w:rPr>
          <w:rFonts w:ascii="Palatino Linotype" w:eastAsia="Palatino Linotype" w:hAnsi="Palatino Linotype" w:cs="Palatino Linotype"/>
          <w:b/>
          <w:bCs/>
          <w:color w:val="000000"/>
        </w:rPr>
        <w:t>TERCERO. Del planteamiento de la Litis</w:t>
      </w: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El particular solicitó</w:t>
      </w:r>
      <w:r>
        <w:rPr>
          <w:rFonts w:ascii="Palatino Linotype" w:eastAsia="Palatino Linotype" w:hAnsi="Palatino Linotype" w:cs="Palatino Linotype"/>
          <w:b/>
          <w:bCs/>
        </w:rPr>
        <w:t>:</w:t>
      </w:r>
    </w:p>
    <w:p w:rsidR="00D97448" w:rsidRDefault="009E7017">
      <w:pPr>
        <w:pBdr>
          <w:top w:val="nil"/>
          <w:left w:val="nil"/>
          <w:bottom w:val="nil"/>
          <w:right w:val="nil"/>
          <w:between w:val="nil"/>
        </w:pBdr>
        <w:spacing w:line="360" w:lineRule="auto"/>
        <w:ind w:left="567"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Cuántos expedientes extraviados, no localizados, sustraídos, desaparecidos o perdidos se contabilizaron entre 2024 y 2025 correspondientes al Juzgado Segundo de lo Familiar en el Distrito Judicial de Tlalnepantla. </w:t>
      </w:r>
    </w:p>
    <w:p w:rsidR="00D97448" w:rsidRDefault="009E7017">
      <w:pPr>
        <w:pBdr>
          <w:top w:val="nil"/>
          <w:left w:val="nil"/>
          <w:bottom w:val="nil"/>
          <w:right w:val="nil"/>
          <w:between w:val="nil"/>
        </w:pBdr>
        <w:spacing w:line="360" w:lineRule="auto"/>
        <w:ind w:left="567"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Acciones que realizó el Poder Judicial al respecto.</w:t>
      </w:r>
    </w:p>
    <w:p w:rsidR="00D97448" w:rsidRDefault="00D97448">
      <w:pPr>
        <w:pBdr>
          <w:top w:val="nil"/>
          <w:left w:val="nil"/>
          <w:bottom w:val="nil"/>
          <w:right w:val="nil"/>
          <w:between w:val="nil"/>
        </w:pBdr>
        <w:spacing w:line="360" w:lineRule="auto"/>
        <w:ind w:left="567" w:right="-847"/>
        <w:jc w:val="both"/>
        <w:rPr>
          <w:rFonts w:ascii="Palatino Linotype" w:eastAsia="Palatino Linotype" w:hAnsi="Palatino Linotype" w:cs="Palatino Linotype"/>
          <w:b/>
          <w:bCs/>
          <w:color w:val="000000"/>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 xml:space="preserve">En consecuencia, el </w:t>
      </w:r>
      <w:r>
        <w:rPr>
          <w:rFonts w:ascii="Palatino Linotype" w:eastAsia="Palatino Linotype" w:hAnsi="Palatino Linotype" w:cs="Palatino Linotype"/>
          <w:b/>
          <w:bCs/>
        </w:rPr>
        <w:t>SUJETO OBLIGADO</w:t>
      </w:r>
      <w:r>
        <w:rPr>
          <w:rFonts w:ascii="Palatino Linotype" w:eastAsia="Palatino Linotype" w:hAnsi="Palatino Linotype" w:cs="Palatino Linotype"/>
        </w:rPr>
        <w:t>, emitió respuesta de acuerdo a lo descrito en el numeral de 3 de la presente resolución.</w:t>
      </w:r>
    </w:p>
    <w:p w:rsidR="00D97448" w:rsidRDefault="00D97448">
      <w:pPr>
        <w:spacing w:line="360" w:lineRule="auto"/>
        <w:ind w:left="720" w:right="-847"/>
        <w:jc w:val="both"/>
        <w:rPr>
          <w:rFonts w:ascii="Palatino Linotype" w:eastAsia="Palatino Linotype" w:hAnsi="Palatino Linotype" w:cs="Palatino Linotype"/>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w:t>
      </w:r>
      <w:r>
        <w:rPr>
          <w:rFonts w:ascii="Palatino Linotype" w:eastAsia="Palatino Linotype" w:hAnsi="Palatino Linotype" w:cs="Palatino Linotype"/>
          <w:b/>
          <w:bCs/>
        </w:rPr>
        <w:t>la negativa de la información solicitada</w:t>
      </w:r>
      <w:r>
        <w:rPr>
          <w:rFonts w:ascii="Palatino Linotype" w:eastAsia="Palatino Linotype" w:hAnsi="Palatino Linotype" w:cs="Palatino Linotype"/>
        </w:rPr>
        <w:t xml:space="preserve">. </w:t>
      </w:r>
    </w:p>
    <w:p w:rsidR="00D97448" w:rsidRDefault="00D97448">
      <w:pPr>
        <w:spacing w:line="360" w:lineRule="auto"/>
        <w:ind w:right="-847"/>
        <w:jc w:val="both"/>
        <w:rPr>
          <w:rFonts w:ascii="Palatino Linotype" w:eastAsia="Palatino Linotype" w:hAnsi="Palatino Linotype" w:cs="Palatino Linotype"/>
        </w:rPr>
      </w:pPr>
    </w:p>
    <w:p w:rsidR="00D97448" w:rsidRDefault="00D97448">
      <w:pPr>
        <w:spacing w:line="360" w:lineRule="auto"/>
        <w:ind w:right="-847"/>
        <w:jc w:val="both"/>
        <w:rPr>
          <w:rFonts w:ascii="Palatino Linotype" w:eastAsia="Palatino Linotype" w:hAnsi="Palatino Linotype" w:cs="Palatino Linotype"/>
        </w:rPr>
      </w:pPr>
    </w:p>
    <w:p w:rsidR="00D97448" w:rsidRDefault="009E7017">
      <w:pPr>
        <w:keepNext/>
        <w:keepLines/>
        <w:pBdr>
          <w:top w:val="nil"/>
          <w:left w:val="nil"/>
          <w:bottom w:val="nil"/>
          <w:right w:val="nil"/>
          <w:between w:val="nil"/>
        </w:pBdr>
        <w:spacing w:before="240"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CUARTO. Estudio y resolución del recurso de revisión. </w:t>
      </w:r>
    </w:p>
    <w:p w:rsidR="00D97448" w:rsidRDefault="009E7017">
      <w:pPr>
        <w:keepNext/>
        <w:keepLines/>
        <w:spacing w:after="240" w:line="360" w:lineRule="auto"/>
        <w:ind w:left="786" w:right="-847"/>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D97448" w:rsidRPr="00226DBF" w:rsidRDefault="009E7017">
      <w:pPr>
        <w:numPr>
          <w:ilvl w:val="0"/>
          <w:numId w:val="2"/>
        </w:numPr>
        <w:pBdr>
          <w:top w:val="nil"/>
          <w:left w:val="nil"/>
          <w:bottom w:val="nil"/>
          <w:right w:val="nil"/>
          <w:between w:val="nil"/>
        </w:pBdr>
        <w:tabs>
          <w:tab w:val="left" w:pos="567"/>
        </w:tabs>
        <w:spacing w:before="240" w:line="360" w:lineRule="auto"/>
        <w:ind w:left="0" w:right="-847" w:firstLine="0"/>
        <w:jc w:val="both"/>
        <w:rPr>
          <w:color w:val="000000"/>
        </w:rPr>
      </w:pPr>
      <w:r>
        <w:rPr>
          <w:rFonts w:ascii="Palatino Linotype" w:eastAsia="Palatino Linotype" w:hAnsi="Palatino Linotype" w:cs="Palatino Linotype"/>
          <w:color w:val="000000"/>
        </w:rPr>
        <w:t xml:space="preserve">Es menester precisar que este Órgano Garante parte del hecho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tienen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obligación de “promover, </w:t>
      </w:r>
      <w:r>
        <w:rPr>
          <w:rFonts w:ascii="Palatino Linotype" w:eastAsia="Palatino Linotype" w:hAnsi="Palatino Linotype" w:cs="Palatino Linotype"/>
          <w:b/>
          <w:bCs/>
          <w:color w:val="000000"/>
        </w:rPr>
        <w:t>respetar</w:t>
      </w:r>
      <w:r>
        <w:rPr>
          <w:rFonts w:ascii="Palatino Linotype" w:eastAsia="Palatino Linotype" w:hAnsi="Palatino Linotype" w:cs="Palatino Linotype"/>
          <w:color w:val="000000"/>
        </w:rPr>
        <w:t xml:space="preserve">, proteger y </w:t>
      </w:r>
      <w:r>
        <w:rPr>
          <w:rFonts w:ascii="Palatino Linotype" w:eastAsia="Palatino Linotype" w:hAnsi="Palatino Linotype" w:cs="Palatino Linotype"/>
          <w:b/>
          <w:bCs/>
          <w:color w:val="000000"/>
        </w:rPr>
        <w:t>garantizar</w:t>
      </w:r>
      <w:r>
        <w:rPr>
          <w:rFonts w:ascii="Palatino Linotype" w:eastAsia="Palatino Linotype" w:hAnsi="Palatino Linotype" w:cs="Palatino Linotype"/>
          <w:color w:val="000000"/>
        </w:rPr>
        <w:t xml:space="preserve"> los derechos humanos”, entre los cuales se encuentra dicho derecho.</w:t>
      </w:r>
    </w:p>
    <w:p w:rsidR="00226DBF" w:rsidRPr="00226DBF" w:rsidRDefault="00226DBF" w:rsidP="00226DBF">
      <w:pPr>
        <w:pBdr>
          <w:top w:val="nil"/>
          <w:left w:val="nil"/>
          <w:bottom w:val="nil"/>
          <w:right w:val="nil"/>
          <w:between w:val="nil"/>
        </w:pBdr>
        <w:tabs>
          <w:tab w:val="left" w:pos="567"/>
        </w:tabs>
        <w:spacing w:line="360" w:lineRule="auto"/>
        <w:ind w:right="-847"/>
        <w:jc w:val="both"/>
        <w:rPr>
          <w:color w:val="000000"/>
        </w:rPr>
      </w:pPr>
    </w:p>
    <w:p w:rsidR="00D97448" w:rsidRPr="00226DBF" w:rsidRDefault="009E7017">
      <w:pPr>
        <w:numPr>
          <w:ilvl w:val="0"/>
          <w:numId w:val="2"/>
        </w:numPr>
        <w:pBdr>
          <w:top w:val="nil"/>
          <w:left w:val="nil"/>
          <w:bottom w:val="nil"/>
          <w:right w:val="nil"/>
          <w:between w:val="nil"/>
        </w:pBdr>
        <w:tabs>
          <w:tab w:val="left" w:pos="567"/>
        </w:tabs>
        <w:spacing w:line="360" w:lineRule="auto"/>
        <w:ind w:left="0" w:right="-847" w:firstLine="0"/>
        <w:jc w:val="both"/>
        <w:rPr>
          <w:color w:val="000000"/>
        </w:rPr>
      </w:pPr>
      <w:r>
        <w:rPr>
          <w:rFonts w:ascii="Palatino Linotype" w:eastAsia="Palatino Linotype" w:hAnsi="Palatino Linotype" w:cs="Palatino Linotype"/>
          <w:color w:val="000000"/>
        </w:rPr>
        <w:t xml:space="preserve">Por lo anterior, se deduce que el derecho de acceso a la información pública es un derecho humano convencional y constitucionalmente reconocido; en consecuencia, todas las autoridades en el ámbito de sus competencias, funciones y atribuciones tienen la obligación de respetarlo, protegerlo y </w:t>
      </w:r>
      <w:r>
        <w:rPr>
          <w:rFonts w:ascii="Palatino Linotype" w:eastAsia="Palatino Linotype" w:hAnsi="Palatino Linotype" w:cs="Palatino Linotype"/>
        </w:rPr>
        <w:t>garantizarlo</w:t>
      </w:r>
      <w:r>
        <w:rPr>
          <w:rFonts w:ascii="Palatino Linotype" w:eastAsia="Palatino Linotype" w:hAnsi="Palatino Linotype" w:cs="Palatino Linotype"/>
          <w:color w:val="000000"/>
        </w:rPr>
        <w:t>.</w:t>
      </w:r>
    </w:p>
    <w:p w:rsidR="00226DBF" w:rsidRDefault="00226DBF" w:rsidP="00226DBF">
      <w:pPr>
        <w:pStyle w:val="Prrafodelista"/>
        <w:rPr>
          <w:color w:val="000000"/>
        </w:rPr>
      </w:pPr>
    </w:p>
    <w:p w:rsidR="00D97448" w:rsidRDefault="009E7017">
      <w:pPr>
        <w:numPr>
          <w:ilvl w:val="0"/>
          <w:numId w:val="2"/>
        </w:numPr>
        <w:pBdr>
          <w:top w:val="nil"/>
          <w:left w:val="nil"/>
          <w:bottom w:val="nil"/>
          <w:right w:val="nil"/>
          <w:between w:val="nil"/>
        </w:pBdr>
        <w:tabs>
          <w:tab w:val="left" w:pos="567"/>
        </w:tabs>
        <w:spacing w:after="240" w:line="360" w:lineRule="auto"/>
        <w:ind w:left="0" w:right="-847" w:firstLine="0"/>
        <w:jc w:val="both"/>
        <w:rPr>
          <w:color w:val="000000"/>
        </w:rPr>
      </w:pPr>
      <w:r>
        <w:rPr>
          <w:rFonts w:ascii="Palatino Linotype" w:eastAsia="Palatino Linotype" w:hAnsi="Palatino Linotype" w:cs="Palatino Linotype"/>
          <w:color w:val="000000"/>
        </w:rPr>
        <w:t xml:space="preserve">Así las cosas, podemos definir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reciba </w:t>
      </w:r>
      <w:r>
        <w:rPr>
          <w:rFonts w:ascii="Palatino Linotype" w:eastAsia="Palatino Linotype" w:hAnsi="Palatino Linotype" w:cs="Palatino Linotype"/>
          <w:i/>
          <w:iCs/>
          <w:color w:val="000000"/>
        </w:rPr>
        <w:lastRenderedPageBreak/>
        <w:t>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226DBF" w:rsidRPr="00226DBF" w:rsidRDefault="00226DBF" w:rsidP="00226DBF">
      <w:pPr>
        <w:spacing w:line="360" w:lineRule="auto"/>
        <w:ind w:right="-847"/>
        <w:jc w:val="both"/>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D97448" w:rsidRDefault="009E7017">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D97448" w:rsidRDefault="009E7017">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tabs>
          <w:tab w:val="left" w:pos="7655"/>
        </w:tabs>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D97448" w:rsidRDefault="009E7017">
      <w:pPr>
        <w:tabs>
          <w:tab w:val="left" w:pos="7655"/>
        </w:tabs>
        <w:ind w:left="567" w:right="-84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D97448" w:rsidRDefault="00D97448">
      <w:pPr>
        <w:tabs>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rsidR="00D97448" w:rsidRDefault="00D97448">
      <w:pPr>
        <w:tabs>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tabs>
          <w:tab w:val="left" w:pos="567"/>
        </w:tabs>
        <w:spacing w:line="360" w:lineRule="auto"/>
        <w:ind w:left="0" w:right="-847"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D97448" w:rsidRDefault="009E7017">
      <w:pPr>
        <w:spacing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D97448" w:rsidRDefault="009E7017">
      <w:pPr>
        <w:spacing w:before="240"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D97448" w:rsidRDefault="009E7017">
      <w:pPr>
        <w:spacing w:before="240"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D97448" w:rsidRDefault="00D97448">
      <w:pPr>
        <w:tabs>
          <w:tab w:val="left" w:pos="567"/>
        </w:tabs>
        <w:spacing w:before="240"/>
        <w:ind w:left="567" w:right="-847"/>
        <w:jc w:val="both"/>
        <w:rPr>
          <w:rFonts w:ascii="Palatino Linotype" w:eastAsia="Palatino Linotype" w:hAnsi="Palatino Linotype" w:cs="Palatino Linotype"/>
          <w:b/>
          <w:bCs/>
          <w:i/>
          <w:iCs/>
        </w:rPr>
      </w:pPr>
    </w:p>
    <w:p w:rsidR="00D97448" w:rsidRDefault="009E7017">
      <w:pPr>
        <w:spacing w:after="240"/>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5</w:t>
      </w:r>
      <w:r>
        <w:rPr>
          <w:rFonts w:ascii="Palatino Linotype" w:eastAsia="Palatino Linotype" w:hAnsi="Palatino Linotype" w:cs="Palatino Linotype"/>
          <w:i/>
          <w:iCs/>
        </w:rPr>
        <w:t xml:space="preserve">.- </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D97448" w:rsidRDefault="009E7017">
      <w:pPr>
        <w:spacing w:before="240" w:after="240"/>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D97448" w:rsidRDefault="00D97448">
      <w:pPr>
        <w:tabs>
          <w:tab w:val="left" w:pos="567"/>
        </w:tabs>
        <w:spacing w:before="240" w:line="360" w:lineRule="auto"/>
        <w:ind w:right="-847"/>
        <w:jc w:val="both"/>
        <w:rPr>
          <w:rFonts w:ascii="Palatino Linotype" w:eastAsia="Palatino Linotype" w:hAnsi="Palatino Linotype" w:cs="Palatino Linotype"/>
          <w:color w:val="000000"/>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D97448" w:rsidRDefault="00D97448">
      <w:pPr>
        <w:tabs>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spacing w:line="360" w:lineRule="auto"/>
        <w:ind w:left="0" w:right="-847" w:firstLine="0"/>
        <w:jc w:val="both"/>
      </w:pPr>
      <w:r>
        <w:rPr>
          <w:rFonts w:ascii="Palatino Linotype" w:eastAsia="Palatino Linotype" w:hAnsi="Palatino Linotype" w:cs="Palatino Linotype"/>
        </w:rPr>
        <w:lastRenderedPageBreak/>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D97448" w:rsidRDefault="00D97448">
      <w:pPr>
        <w:tabs>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spacing w:line="360" w:lineRule="auto"/>
        <w:ind w:left="0" w:right="-847" w:firstLine="0"/>
        <w:jc w:val="both"/>
      </w:pPr>
      <w:bookmarkStart w:id="6" w:name="_heading=h.ar3isrb20j18" w:colFirst="0" w:colLast="0"/>
      <w:bookmarkEnd w:id="6"/>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D97448" w:rsidRDefault="00D97448">
      <w:pPr>
        <w:tabs>
          <w:tab w:val="left" w:pos="567"/>
        </w:tabs>
        <w:spacing w:line="360" w:lineRule="auto"/>
        <w:ind w:right="-847"/>
        <w:jc w:val="both"/>
        <w:rPr>
          <w:rFonts w:ascii="Palatino Linotype" w:eastAsia="Palatino Linotype" w:hAnsi="Palatino Linotype" w:cs="Palatino Linotype"/>
          <w:b/>
          <w:bCs/>
        </w:rPr>
      </w:pPr>
    </w:p>
    <w:p w:rsidR="00D97448" w:rsidRDefault="009E7017">
      <w:pPr>
        <w:tabs>
          <w:tab w:val="left" w:pos="567"/>
        </w:tabs>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De la información solicitada y la respuesta del Sujeto Obligado. </w:t>
      </w:r>
    </w:p>
    <w:p w:rsidR="00D97448" w:rsidRDefault="009E7017">
      <w:pPr>
        <w:numPr>
          <w:ilvl w:val="0"/>
          <w:numId w:val="2"/>
        </w:numPr>
        <w:pBdr>
          <w:top w:val="nil"/>
          <w:left w:val="nil"/>
          <w:bottom w:val="nil"/>
          <w:right w:val="nil"/>
          <w:between w:val="nil"/>
        </w:pBdr>
        <w:tabs>
          <w:tab w:val="left" w:pos="567"/>
        </w:tabs>
        <w:spacing w:before="240" w:line="360" w:lineRule="auto"/>
        <w:ind w:left="0" w:right="-847" w:firstLine="0"/>
        <w:jc w:val="both"/>
        <w:rPr>
          <w:color w:val="000000"/>
        </w:rPr>
      </w:pPr>
      <w:r>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w:t>
      </w:r>
    </w:p>
    <w:p w:rsidR="00D97448" w:rsidRDefault="00D97448">
      <w:pPr>
        <w:pBdr>
          <w:top w:val="nil"/>
          <w:left w:val="nil"/>
          <w:bottom w:val="nil"/>
          <w:right w:val="nil"/>
          <w:between w:val="nil"/>
        </w:pBdr>
        <w:tabs>
          <w:tab w:val="left" w:pos="567"/>
        </w:tabs>
        <w:spacing w:after="360" w:line="360" w:lineRule="auto"/>
        <w:ind w:right="-847"/>
        <w:jc w:val="both"/>
        <w:rPr>
          <w:rFonts w:ascii="Palatino Linotype" w:eastAsia="Palatino Linotype" w:hAnsi="Palatino Linotype" w:cs="Palatino Linotype"/>
          <w:i/>
          <w:iCs/>
          <w:color w:val="000000"/>
        </w:rPr>
      </w:pPr>
    </w:p>
    <w:p w:rsidR="00D97448" w:rsidRDefault="009E7017" w:rsidP="00226DBF">
      <w:pPr>
        <w:numPr>
          <w:ilvl w:val="0"/>
          <w:numId w:val="2"/>
        </w:numPr>
        <w:spacing w:line="360" w:lineRule="auto"/>
        <w:ind w:left="0" w:right="-847" w:firstLine="0"/>
        <w:jc w:val="both"/>
      </w:pPr>
      <w:r>
        <w:rPr>
          <w:rFonts w:ascii="Palatino Linotype" w:eastAsia="Palatino Linotype" w:hAnsi="Palatino Linotype" w:cs="Palatino Linotype"/>
        </w:rPr>
        <w:t>Así, de la lectura a la solicitud de información se observa que el particular solicitó</w:t>
      </w:r>
      <w:r>
        <w:rPr>
          <w:rFonts w:ascii="Palatino Linotype" w:eastAsia="Palatino Linotype" w:hAnsi="Palatino Linotype" w:cs="Palatino Linotype"/>
          <w:b/>
          <w:bCs/>
        </w:rPr>
        <w:t>:</w:t>
      </w:r>
    </w:p>
    <w:p w:rsidR="00D97448" w:rsidRPr="00226DBF" w:rsidRDefault="009E7017" w:rsidP="00226DBF">
      <w:pPr>
        <w:pStyle w:val="Prrafodelista"/>
        <w:numPr>
          <w:ilvl w:val="0"/>
          <w:numId w:val="4"/>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r w:rsidRPr="00226DBF">
        <w:rPr>
          <w:rFonts w:ascii="Palatino Linotype" w:eastAsia="Palatino Linotype" w:hAnsi="Palatino Linotype" w:cs="Palatino Linotype"/>
          <w:b/>
          <w:bCs/>
          <w:color w:val="000000"/>
        </w:rPr>
        <w:t xml:space="preserve">Cuántos expedientes extraviados, no localizados, sustraídos, desaparecidos o perdidos se contabilizaron entre 2024 y 2025 correspondientes al Juzgado Segundo de lo Familiar en el Distrito Judicial de Tlalnepantla. </w:t>
      </w:r>
    </w:p>
    <w:p w:rsidR="00D97448" w:rsidRDefault="00D97448">
      <w:pPr>
        <w:pBdr>
          <w:top w:val="nil"/>
          <w:left w:val="nil"/>
          <w:bottom w:val="nil"/>
          <w:right w:val="nil"/>
          <w:between w:val="nil"/>
        </w:pBdr>
        <w:spacing w:line="360" w:lineRule="auto"/>
        <w:ind w:left="720" w:right="-847"/>
        <w:jc w:val="both"/>
        <w:rPr>
          <w:rFonts w:ascii="Palatino Linotype" w:eastAsia="Palatino Linotype" w:hAnsi="Palatino Linotype" w:cs="Palatino Linotype"/>
          <w:b/>
          <w:bCs/>
          <w:color w:val="000000"/>
        </w:rPr>
      </w:pPr>
    </w:p>
    <w:p w:rsidR="00D97448" w:rsidRDefault="009E7017">
      <w:pPr>
        <w:pBdr>
          <w:top w:val="nil"/>
          <w:left w:val="nil"/>
          <w:bottom w:val="nil"/>
          <w:right w:val="nil"/>
          <w:between w:val="nil"/>
        </w:pBdr>
        <w:spacing w:line="360" w:lineRule="auto"/>
        <w:ind w:left="708"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Acciones que realizó el Poder Judicial al respecto. </w:t>
      </w:r>
    </w:p>
    <w:p w:rsidR="00226DBF" w:rsidRDefault="00226DBF">
      <w:pPr>
        <w:pBdr>
          <w:top w:val="nil"/>
          <w:left w:val="nil"/>
          <w:bottom w:val="nil"/>
          <w:right w:val="nil"/>
          <w:between w:val="nil"/>
        </w:pBdr>
        <w:spacing w:line="360" w:lineRule="auto"/>
        <w:ind w:left="708" w:right="-847"/>
        <w:jc w:val="both"/>
        <w:rPr>
          <w:rFonts w:ascii="Palatino Linotype" w:eastAsia="Palatino Linotype" w:hAnsi="Palatino Linotype" w:cs="Palatino Linotype"/>
          <w:b/>
          <w:bCs/>
          <w:color w:val="000000"/>
        </w:rPr>
      </w:pPr>
    </w:p>
    <w:p w:rsidR="00D97448" w:rsidRDefault="009E7017">
      <w:pPr>
        <w:numPr>
          <w:ilvl w:val="0"/>
          <w:numId w:val="2"/>
        </w:numPr>
        <w:pBdr>
          <w:top w:val="nil"/>
          <w:left w:val="nil"/>
          <w:bottom w:val="nil"/>
          <w:right w:val="nil"/>
          <w:between w:val="nil"/>
        </w:pBdr>
        <w:tabs>
          <w:tab w:val="left" w:pos="0"/>
          <w:tab w:val="left" w:pos="567"/>
        </w:tabs>
        <w:spacing w:line="360" w:lineRule="auto"/>
        <w:ind w:left="0" w:right="-847"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refirió que de acuerdo a lo manifestado por la Dirección de Información y Estadística, no se cuenta con la variable que permita identificar el número de expedientes extraviados, no localizados, sustraídos, desaparecidos y/o perdidos en los Órganos Jurisdiccionales del Poder Judicial del Estado de México; así mismo no se cuenta con la información respecto a las acciones realizadas en dichos supuestos.</w:t>
      </w:r>
    </w:p>
    <w:p w:rsidR="00D97448" w:rsidRDefault="00D97448">
      <w:pPr>
        <w:pBdr>
          <w:top w:val="nil"/>
          <w:left w:val="nil"/>
          <w:bottom w:val="nil"/>
          <w:right w:val="nil"/>
          <w:between w:val="nil"/>
        </w:pBdr>
        <w:tabs>
          <w:tab w:val="left" w:pos="0"/>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pBdr>
          <w:top w:val="nil"/>
          <w:left w:val="nil"/>
          <w:bottom w:val="nil"/>
          <w:right w:val="nil"/>
          <w:between w:val="nil"/>
        </w:pBdr>
        <w:tabs>
          <w:tab w:val="left" w:pos="0"/>
          <w:tab w:val="left" w:pos="567"/>
        </w:tabs>
        <w:spacing w:after="240"/>
        <w:ind w:left="0" w:right="-847" w:firstLine="0"/>
        <w:jc w:val="both"/>
        <w:rPr>
          <w:color w:val="000000"/>
        </w:rPr>
      </w:pPr>
      <w:r>
        <w:rPr>
          <w:rFonts w:ascii="Palatino Linotype" w:eastAsia="Palatino Linotype" w:hAnsi="Palatino Linotype" w:cs="Palatino Linotype"/>
          <w:color w:val="000000"/>
        </w:rPr>
        <w:t xml:space="preserve">De los motivos de descontento referidos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se observa que se inconforma por </w:t>
      </w:r>
      <w:r>
        <w:rPr>
          <w:rFonts w:ascii="Palatino Linotype" w:eastAsia="Palatino Linotype" w:hAnsi="Palatino Linotype" w:cs="Palatino Linotype"/>
          <w:b/>
          <w:bCs/>
          <w:color w:val="000000"/>
        </w:rPr>
        <w:t xml:space="preserve">la entrega de la información incompleta, </w:t>
      </w:r>
      <w:r>
        <w:rPr>
          <w:rFonts w:ascii="Palatino Linotype" w:eastAsia="Palatino Linotype" w:hAnsi="Palatino Linotype" w:cs="Palatino Linotype"/>
          <w:color w:val="000000"/>
        </w:rPr>
        <w:t xml:space="preserve">en los siguientes términos: </w:t>
      </w:r>
      <w:r>
        <w:rPr>
          <w:rFonts w:ascii="Palatino Linotype" w:eastAsia="Palatino Linotype" w:hAnsi="Palatino Linotype" w:cs="Palatino Linotype"/>
          <w:i/>
          <w:iCs/>
          <w:color w:val="000000"/>
        </w:rPr>
        <w:t xml:space="preserve">“Ante de ingresar lo referente al recurso de revisión, se debe precisar que el índice de causa de recurso de revisión permite seleccionar solo una alternativa de entre algunas de las causas por las que se puede interponer el recurso,. en el presente caso fue la falta de una búsqueda exhaustiva de la información, la información incompleta y la indebida fundamentación y motivación de la respuesta. RECURSO DE REVISIÓN SUJETO OBLIGADO: PODER JUDICIAL DEL ESTADO DE MÉXICO (PJEM). FOLIO DE SOLICITUD: 00211/PJUDICI/IP/2026. ACTO IMPUGNADO: Respuesta de fecha 27 de marzo de 2026, emitida por la Unidad de Transparencia. I. AGRAVIOS PRIMERO. FALTA DE EXHAUSTIVIDAD EN LA BÚSQUEDA Y VIOLACIÓN AL PRINCIPIO DE DISPONIBILIDAD. El Sujeto Obligado limita su búsqueda a la Dirección de Información y Estadística, la cual manifiesta no contar con la "variable" para identificar expedientes extraviados o sustraídos. Esta respuesta es infundada y falta de motivación, así como incongruente, ya que la información solicitada no es meramente estadística, sino de naturaleza procesal y administrativa. Conforme al Artículo 1.15 del Código de Procedimientos Civiles del Estado de México (CPPCEM), los secretarios son responsables directos de los expedientes físicos y digitales. Por lo tanto, el control de la existencia de dichos autos es una obligación legal del Juzgado Segundo de lo Familiar de Tlalnepantla. En ese sentido, el Sujeto Obligado omitió turnar la solicitud a dicho órgano jurisdiccional, a la Dirección Jurídica, al Tribunal de Disciplina Judicial y/o a la Contraloría Interna, quienes podrían tener, generan y resguardan la información sobre extravíos y responsabilidades. SEGUNDO. INCUMPLIMIENTO DE LAS OBLIGACIONES DE OFICIO (ARTS. 1.127 Y 1.128 CPPCEM). El PJEM afirma no contar con información sobre las "acciones realizadas" ante la pérdida de expedientes. Lo anterior resulta inverosímil y jurídicamente improcedente. El Artículo 1.127 del CPPCEM mandata que, ante la falta de un expediente, el Secretario debe hacer constar la falta </w:t>
      </w:r>
      <w:r>
        <w:rPr>
          <w:rFonts w:ascii="Palatino Linotype" w:eastAsia="Palatino Linotype" w:hAnsi="Palatino Linotype" w:cs="Palatino Linotype"/>
          <w:i/>
          <w:iCs/>
          <w:color w:val="000000"/>
        </w:rPr>
        <w:lastRenderedPageBreak/>
        <w:t xml:space="preserve">y se debe sustanciar la reposición de autos de forma incidental. Asimismo, el Artículo 1.128 faculta a jueces para investigar de oficio la desaparición de piezas de autos. Al responder que "no cuenta con la información", el PJEM admite una omisión administrativa grave, pues la ley le obliga a documentar estos eventos. La inexistencia alegada no puede ser validada cuando existe una obligación legal de generar estos documentos. TERCERO. OMISIÓN DE LA DENUNCIA DE HECHOS DELICTUOSOS (ART. 1.139 CPPCEM). El solicitante requirió conocer las acciones realizadas tras la sustracción o pérdida de expedientes. El Artículo 1.139 del CPPCEM obliga a los Jueces a poner en conocimiento del Ministerio Público cualquier hecho presumiblemente delictuoso (como la sustracción de documentos públicos). El Sujeto Obligado no puede declarar la inexistencia de estas acciones sin haber consultado a su área jurídica o a los juzgados específicos, vulnerando el derecho de acceso a la información sobre el desempeño de los servidores públicos. En ese orden de ideas, lo solicitado consiste en el acceso a la información que el Código de Procedimientos Civiles del Estado de México (CPPCEM) obliga a registrar. Los artículos 1.127 y 1.128 mandatan que cada pérdida de expediente debe ser documentada mediante una constancia de "falta posterior" y un incidente de reposición. Por tanto, la información ya reside en los Libros de Gobierno y en las actuaciones del Juzgado Segundo de lo Familiar de Tlalnepantla. El Poder Judicial tiene la obligación de establecer lineamientos técnicos para expedientes digitales y físicos. Si el Sujeto Obligado no ha sistematizado estos datos, es una deficiencia administrativa de su parte, pero la información existe de manera desagregada en sus archivos. Se ha establecido que la "extracción" de datos de expedientes o libros existentes no constituye una generación de información sino una modalidad de acceso a registros preexistentes. En ese orden de ideas, es inatendible la posible excepción de entregar la información por el simple señalamiento de un área del sujeto obligado al referir que no cuenta con la "variable", toda vez que la entrega de información que requiere un análisis, suma o localización en expedientes físicos no es creación de información. En el presente caso, la información solicitada debe residir en los asientos de los Libros de Gobierno y en las constancias de falta posterior que el Secretario está obligado a realizar por ministerio de ley (Art. 1.127 CPPCEM). Por lo tanto, el Sujeto Obligado cuenta con los insumos documentales y solo debe realizar la extracción de los datos que ya obran en sus archivos. La respuesta que implica consultar libros de gobierno, índices o expedientes para extraer un dato numérico (como la cantidad de incidentes de reposición) constituye una labor de localización y sistematización, no de generación. Si la ley obliga al Sujeto Obligado a asentar, a documentar o hacer constar (como lo instruyen los artículos 1.15, 1.125 y 1.127 del CPPCEM), el resultado de la consulta a dichos registros es información pública disponible. II. CAPÍTULO DE PRUEBAS Para acreditar los agravios expuestos y demostrar la ilegalidad de la respuesta con folio 00211/PJUDICI/IP/2026, ofrezco de mi parte las siguientes: 1. LA DOCUMENTAL PÚBLICA: Consistente en la respuesta emitida por la Unidad de Transparencia del PJEM de fecha 27 de marzo de 2026. Con esta prueba se acredita que el Sujeto Obligado limitó su búsqueda a la Dirección de Información y Estadística y que confesó no contar con la información </w:t>
      </w:r>
      <w:r>
        <w:rPr>
          <w:rFonts w:ascii="Palatino Linotype" w:eastAsia="Palatino Linotype" w:hAnsi="Palatino Linotype" w:cs="Palatino Linotype"/>
          <w:i/>
          <w:iCs/>
          <w:color w:val="000000"/>
        </w:rPr>
        <w:lastRenderedPageBreak/>
        <w:t>solicitada, omitiendo consultar al Juzgado Segundo de lo Familiar de Tlalnepantla. 2. LA INSTRUMENTAL DE ACTUACIONES: Derivada de la presunción legal que establecen los artículos 1.15 y 1.125 del Código de Procedimientos Civiles del Estado de México. Se invoca que, por disposición legal, los Secretarios son responsables de los expedientes y deben foliarlos y rubricarlos y a recabar constancia de su entrega, lo que implica que el control de su existencia es una función administrativa obligatoria y no una "variable estadística" opcional. 3. LA PRESUNCIONAL LEGAL Y HUMANA: En el sentido de que, si un expediente se extravía, el Sujeto Obligado está obligado por el Artículo 1.127 del ordenamiento citado a hacer constar dicha falta y sustanciar su reposición. Por ende, la información sobre expedientes "perdidos" debe existir en los registros de control interno del juzgado mencionado en la solicitud. III. PETICIONES 1. TENER POR INTERPUESTO en tiempo y forma el presente Recurso de Revisión. 2. ORDENAR AL PJEM que realice una búsqueda exhaustiva en el Juzgado Segundo de lo Familiar de Tlalnepantla, a la Dirección Jurídica, al Tribunal de Disciplina Judicial y/o a la Contraloría Interna, dado que es una obligación legal poseer dicha información, en virtud de que, así lo instruyen los artículos citados del CPCEM. 3. Suponiendo sin conceder, que no con las acciones anteriores se pueda determinar lo solicitado, se solicita a esa Autoridad REQUERIR la entrega de la relación de Incidentes de Reposición de Autos y denuncias presentadas ante el Ministerio Público correspondientes al periodo 2024-2025 en el juzgado citado. 4. REVOCAR la respuesta impugnada por carecer de la debida fundamentación y motivación.” (Sic.)</w:t>
      </w:r>
    </w:p>
    <w:p w:rsidR="00D97448" w:rsidRDefault="00D97448">
      <w:pPr>
        <w:pBdr>
          <w:top w:val="nil"/>
          <w:left w:val="nil"/>
          <w:bottom w:val="nil"/>
          <w:right w:val="nil"/>
          <w:between w:val="nil"/>
        </w:pBdr>
        <w:tabs>
          <w:tab w:val="left" w:pos="0"/>
          <w:tab w:val="left" w:pos="567"/>
        </w:tabs>
        <w:spacing w:after="240"/>
        <w:ind w:left="720" w:right="-847"/>
        <w:jc w:val="both"/>
        <w:rPr>
          <w:rFonts w:ascii="Palatino Linotype" w:eastAsia="Palatino Linotype" w:hAnsi="Palatino Linotype" w:cs="Palatino Linotype"/>
          <w:i/>
          <w:iCs/>
        </w:rPr>
      </w:pPr>
    </w:p>
    <w:p w:rsidR="00D97448" w:rsidRDefault="009E7017">
      <w:pPr>
        <w:numPr>
          <w:ilvl w:val="0"/>
          <w:numId w:val="2"/>
        </w:numPr>
        <w:tabs>
          <w:tab w:val="left" w:pos="0"/>
          <w:tab w:val="left" w:pos="567"/>
        </w:tabs>
        <w:spacing w:before="240" w:line="360" w:lineRule="auto"/>
        <w:ind w:left="0" w:right="-847" w:firstLine="0"/>
        <w:jc w:val="both"/>
        <w:rPr>
          <w:color w:val="000000"/>
        </w:rPr>
      </w:pPr>
      <w:r>
        <w:rPr>
          <w:rFonts w:ascii="Palatino Linotype" w:eastAsia="Palatino Linotype" w:hAnsi="Palatino Linotype" w:cs="Palatino Linotype"/>
          <w:color w:val="000000"/>
        </w:rPr>
        <w:t>Así las cosas, este Instituto de Transparencia, de conformidad con los principios de eficacia y profesionalismo</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xml:space="preserve">, procederá a verificar la información remitida por el </w:t>
      </w:r>
      <w:r>
        <w:rPr>
          <w:rFonts w:ascii="Palatino Linotype" w:eastAsia="Palatino Linotype" w:hAnsi="Palatino Linotype" w:cs="Palatino Linotype"/>
          <w:b/>
          <w:bCs/>
          <w:color w:val="000000"/>
        </w:rPr>
        <w:t>SUJETO OBLIGADO y</w:t>
      </w:r>
      <w:r>
        <w:rPr>
          <w:rFonts w:ascii="Palatino Linotype" w:eastAsia="Palatino Linotype" w:hAnsi="Palatino Linotype" w:cs="Palatino Linotype"/>
          <w:color w:val="000000"/>
        </w:rPr>
        <w:t xml:space="preserve"> las manifestaciones realizadas por el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D97448" w:rsidRDefault="00D97448">
      <w:pPr>
        <w:tabs>
          <w:tab w:val="left" w:pos="0"/>
          <w:tab w:val="left" w:pos="567"/>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tabs>
          <w:tab w:val="left" w:pos="0"/>
          <w:tab w:val="left" w:pos="567"/>
        </w:tabs>
        <w:spacing w:line="360" w:lineRule="auto"/>
        <w:ind w:left="0" w:right="-847" w:firstLine="0"/>
        <w:jc w:val="both"/>
      </w:pPr>
      <w:r>
        <w:rPr>
          <w:rFonts w:ascii="Palatino Linotype" w:eastAsia="Palatino Linotype" w:hAnsi="Palatino Linotype" w:cs="Palatino Linotype"/>
        </w:rPr>
        <w:lastRenderedPageBreak/>
        <w:t>Ahora bien, es de señalarse que el particular tiene el interés de conocer cuántos expedientes extraviados, no localizados, sustraídos, desaparecidos o perdidos se contabilizaron durante los años 2024 y 2025 en el Juzgado Segundo de lo Familiar en el Distrito Judicial de Tlalnepantla; resulta importante referir que la pérdida, destrucción o sustracción de un expediente judicial tiene como consecuencia un sanción, el cual podrá ser investigado por diversas instancias que de manera enunciativa más no limitativa, se encuentra la Contraloría Interna; así como el Tribunal de Disciplina Judicial.</w:t>
      </w:r>
    </w:p>
    <w:p w:rsidR="00D97448" w:rsidRDefault="00D97448">
      <w:pPr>
        <w:tabs>
          <w:tab w:val="left" w:pos="0"/>
          <w:tab w:val="left" w:pos="567"/>
        </w:tabs>
        <w:spacing w:line="360" w:lineRule="auto"/>
        <w:ind w:right="-847"/>
        <w:jc w:val="both"/>
        <w:rPr>
          <w:rFonts w:ascii="Palatino Linotype" w:eastAsia="Palatino Linotype" w:hAnsi="Palatino Linotype" w:cs="Palatino Linotype"/>
        </w:rPr>
      </w:pPr>
    </w:p>
    <w:p w:rsidR="00D97448" w:rsidRDefault="009E7017">
      <w:pPr>
        <w:numPr>
          <w:ilvl w:val="0"/>
          <w:numId w:val="2"/>
        </w:numPr>
        <w:tabs>
          <w:tab w:val="left" w:pos="567"/>
        </w:tabs>
        <w:spacing w:line="360" w:lineRule="auto"/>
        <w:ind w:left="0" w:right="-847" w:firstLine="0"/>
        <w:jc w:val="both"/>
      </w:pPr>
      <w:r>
        <w:rPr>
          <w:rFonts w:ascii="Palatino Linotype" w:eastAsia="Palatino Linotype" w:hAnsi="Palatino Linotype" w:cs="Palatino Linotype"/>
        </w:rPr>
        <w:t>Al respecto, resulta necesario establecer que la Ley Orgánica del Poder Judicial del Estado de México, refiere las atribuciones de la Contraloría Interna, estableciendo lo siguiente:</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174.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Contraloría Interna</w:t>
      </w:r>
      <w:r>
        <w:rPr>
          <w:rFonts w:ascii="Palatino Linotype" w:eastAsia="Palatino Linotype" w:hAnsi="Palatino Linotype" w:cs="Palatino Linotype"/>
          <w:i/>
          <w:iCs/>
        </w:rPr>
        <w:t xml:space="preserve"> tendrá las siguientes atribuciones: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Implementar acciones para orientar el criterio que en situaciones específicas deberán observar las personas servidoras públicas en el desempeño de sus empleos, cargos o comisiones, salvo que se trate de cuestiones jurisdiccionales;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 Coadyuvar con la Unidad de Evaluación del Desempeño adscrita al Tribunal de Disciplina Judicial en la elaboración de informes periódicos que contengan indicadores, datos, mediciones, análisis de productividad, y cualquier otra información que resulte del ejercicio de sus atribuciones y que sea de utilidad para el ejercicio de las evaluaciones de desempeño y seguimiento;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D97448" w:rsidRDefault="009E7017">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XIV. Investigar, calificar, y en su caso, substanciar, resolver y sancionar de conformidad con el procedimiento establecido en la Ley General de Responsabilidades Administrativas y la Ley de Responsabilidades Administrativas del Estado de México y Municipios, e integrar el expediente de presunta responsabilidad administrativa respecto de las denuncias que se presenten en contra de las servidoras y los servidores públicos del Poder Judicial que desempeñen funciones administrativas;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 </w:t>
      </w:r>
      <w:r>
        <w:rPr>
          <w:rFonts w:ascii="Palatino Linotype" w:eastAsia="Palatino Linotype" w:hAnsi="Palatino Linotype" w:cs="Palatino Linotype"/>
          <w:b/>
          <w:bCs/>
          <w:i/>
          <w:iCs/>
        </w:rPr>
        <w:t>Investigar, en el ámbito de su competencia, los actos u omisiones que impliquen alguna irregularidad o conducta ilícita</w:t>
      </w:r>
      <w:r>
        <w:rPr>
          <w:rFonts w:ascii="Palatino Linotype" w:eastAsia="Palatino Linotype" w:hAnsi="Palatino Linotype" w:cs="Palatino Linotype"/>
          <w:i/>
          <w:iCs/>
        </w:rPr>
        <w:t xml:space="preserve"> en el ingreso, egreso, manejo, custodia y aplicación de </w:t>
      </w:r>
      <w:r>
        <w:rPr>
          <w:rFonts w:ascii="Palatino Linotype" w:eastAsia="Palatino Linotype" w:hAnsi="Palatino Linotype" w:cs="Palatino Linotype"/>
          <w:i/>
          <w:iCs/>
        </w:rPr>
        <w:lastRenderedPageBreak/>
        <w:t xml:space="preserve">fondos y recursos del Poder Judicial, así como en el caso de </w:t>
      </w:r>
      <w:r>
        <w:rPr>
          <w:rFonts w:ascii="Palatino Linotype" w:eastAsia="Palatino Linotype" w:hAnsi="Palatino Linotype" w:cs="Palatino Linotype"/>
          <w:b/>
          <w:bCs/>
          <w:i/>
          <w:iCs/>
        </w:rPr>
        <w:t xml:space="preserve">cualquier irregularidad en el ejercicio del empleo, cargo o comisión de las servidoras y los servidores públicos </w:t>
      </w:r>
      <w:r>
        <w:rPr>
          <w:rFonts w:ascii="Palatino Linotype" w:eastAsia="Palatino Linotype" w:hAnsi="Palatino Linotype" w:cs="Palatino Linotype"/>
          <w:i/>
          <w:iCs/>
        </w:rPr>
        <w:t>del Poder Judicial que desempeñen funciones administrativas;</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 Garantizar el ejercicio de los derechos de acceso a la información pública, la protección de datos personales y el cumplimiento de las obligaciones de transparencia como autoridad garante del Poder Judicial, de conformidad con las disposiciones aplicables; </w:t>
      </w:r>
    </w:p>
    <w:p w:rsidR="00D97448" w:rsidRDefault="009E7017">
      <w:pPr>
        <w:ind w:left="567" w:right="-847"/>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 xml:space="preserve">XVII. Recibir denuncias o quejas directamente relacionadas con el uso y disposición de los ingresos y recursos del Poder Judicial, así como con el desempeño en sus funciones por parte de los servidores públicos del mismo y desahogar los procedimientos a que haya lugar; </w:t>
      </w:r>
    </w:p>
    <w:p w:rsidR="00D97448" w:rsidRDefault="009E7017">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XVIII. Efectuar visitas a las sedes físicas de las áreas y órganos del Poder Judicial para solicitar la exhibición de los libros y papeles indispensables para la realización de sus investigaciones, sujetándose a las formalidades respectivas;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Establecer los mecanismos de orientación y cursos de capacitación que resulten necesarios para que las servidoras y los servidores públicos del Poder Judicial cumplan adecuadamente con sus responsabilidades administrativas;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 Presentar a la Presidencia del Tribunal Superior de Justicia y al Órgano de Administración Judicial los informes previo y anual de resultados de su gestión, y acudir ante el mismo cuando así lo requiera la Presidenta o Presidente del Órgano;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XXII. Intervenir en los procesos de entrega-recepción por inicio o conclusión de encargo de las servidoras y servidores públicos que corresponda; y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XXIII. Las demás que determinen los reglamentos y acuerdos generales correspondientes</w:t>
      </w:r>
    </w:p>
    <w:p w:rsidR="00D97448" w:rsidRDefault="00D97448">
      <w:pPr>
        <w:tabs>
          <w:tab w:val="left" w:pos="0"/>
          <w:tab w:val="left" w:pos="567"/>
        </w:tabs>
        <w:spacing w:line="360" w:lineRule="auto"/>
        <w:ind w:right="-847"/>
        <w:jc w:val="both"/>
        <w:rPr>
          <w:rFonts w:ascii="Palatino Linotype" w:eastAsia="Palatino Linotype" w:hAnsi="Palatino Linotype" w:cs="Palatino Linotype"/>
        </w:rPr>
      </w:pPr>
    </w:p>
    <w:p w:rsidR="00D97448" w:rsidRDefault="009E7017">
      <w:pPr>
        <w:numPr>
          <w:ilvl w:val="0"/>
          <w:numId w:val="2"/>
        </w:numPr>
        <w:tabs>
          <w:tab w:val="left" w:pos="0"/>
          <w:tab w:val="left" w:pos="567"/>
        </w:tabs>
        <w:spacing w:line="360" w:lineRule="auto"/>
        <w:ind w:left="0" w:right="-847" w:firstLine="0"/>
        <w:jc w:val="both"/>
      </w:pPr>
      <w:r>
        <w:rPr>
          <w:rFonts w:ascii="Palatino Linotype" w:eastAsia="Palatino Linotype" w:hAnsi="Palatino Linotype" w:cs="Palatino Linotype"/>
        </w:rPr>
        <w:t>De lo anterior se advierte que la Contraloría Interna, cuenta con facultades para integrar expedientes, investigar, substanciar, resolver y sancionar, derivado de responsabilidades administrativas emanadas de denuncias presentadas en contra de servidores públicos del Poder Judicial, por actos u omisiones que impliquen conductas ilícitas derivado del ejercicio de su cargo o comisión.</w:t>
      </w:r>
    </w:p>
    <w:p w:rsidR="00D97448" w:rsidRDefault="00D97448">
      <w:pPr>
        <w:tabs>
          <w:tab w:val="left" w:pos="0"/>
          <w:tab w:val="left" w:pos="567"/>
        </w:tabs>
        <w:spacing w:line="360" w:lineRule="auto"/>
        <w:ind w:right="-847"/>
        <w:jc w:val="both"/>
        <w:rPr>
          <w:rFonts w:ascii="Palatino Linotype" w:eastAsia="Palatino Linotype" w:hAnsi="Palatino Linotype" w:cs="Palatino Linotype"/>
        </w:rPr>
      </w:pPr>
    </w:p>
    <w:p w:rsidR="00D97448" w:rsidRDefault="009E7017">
      <w:pPr>
        <w:numPr>
          <w:ilvl w:val="0"/>
          <w:numId w:val="2"/>
        </w:numPr>
        <w:tabs>
          <w:tab w:val="left" w:pos="0"/>
          <w:tab w:val="left" w:pos="567"/>
        </w:tabs>
        <w:spacing w:line="360" w:lineRule="auto"/>
        <w:ind w:left="0" w:right="-847" w:firstLine="0"/>
        <w:jc w:val="both"/>
      </w:pPr>
      <w:r>
        <w:rPr>
          <w:rFonts w:ascii="Palatino Linotype" w:eastAsia="Palatino Linotype" w:hAnsi="Palatino Linotype" w:cs="Palatino Linotype"/>
        </w:rPr>
        <w:lastRenderedPageBreak/>
        <w:t xml:space="preserve">Así mismo, el ordenamiento legal referido en el punto que antecede, indica que la disciplina del Poder Judicial del Estado de México, estará a cargo del Tribunal de Disciplina Judicial, quien para el ejercicio de sus funciones y atribuciones podrá actuar en Pleno y en Comisiones, otorgándole las siguientes funciones y atribuciones: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Pleno del Tribunal de Disciplina Judicial tendrá las siguientes atribuciones: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Substanciar y resolver el recurso de revisión y los demás recursos que procedan respecto de los procedimientos de responsabilidad administrativa que son competencia de las comisiones, la evaluación del desempeño de la función judicial de las magistradas, magistrados, juezas y jueces del Poder Judicial, así como de las personas juzgadoras que resulten electas en la elección local que corresponda, durante su primer año de ejercicio; y de los conflictos laborales que surjan entre el Poder Judicial y todas las personas servidoras públicas que lo integran;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Ordenar oficiosamente o por denuncia, el inicio de investigaciones para determinar si se ha incurrido en responsabilidad administrativa respecto de personas servidoras y servidores públicos del Poder Judicial, en el ámbito de su competencia;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III. Atraer procedimientos relacionados con faltas graves o hechos que las leyes señalen como delitos cometidos por personas servidoras públicas con funciones administrativas</w:t>
      </w:r>
      <w:r>
        <w:rPr>
          <w:rFonts w:ascii="Palatino Linotype" w:eastAsia="Palatino Linotype" w:hAnsi="Palatino Linotype" w:cs="Palatino Linotype"/>
          <w:i/>
          <w:iCs/>
        </w:rPr>
        <w:t xml:space="preserve">; </w:t>
      </w:r>
    </w:p>
    <w:p w:rsidR="00D97448" w:rsidRDefault="009E7017">
      <w:pPr>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Ordenar medidas cautelares y de apremio; </w:t>
      </w:r>
    </w:p>
    <w:p w:rsidR="00D97448" w:rsidRDefault="009E7017">
      <w:pPr>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V. Sancionar a las personas servidoras públicas que incurran en actos u omisiones contrarias a la ley, a la administración de justicia o a los principios de objetividad, imparcialidad, independencia, profesionalismo o excelencia, dentro del ámbito de competencia que le establece esta ley;</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Conocer y resolver los conflictos que surjan entre el Poder Judicial y sus servidoras y servidores públicos;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u w:val="single"/>
        </w:rPr>
        <w:t>VII. Dar vista al Ministerio Público por la posible comisión de delitos;</w:t>
      </w:r>
      <w:r>
        <w:rPr>
          <w:rFonts w:ascii="Palatino Linotype" w:eastAsia="Palatino Linotype" w:hAnsi="Palatino Linotype" w:cs="Palatino Linotype"/>
          <w:i/>
          <w:iCs/>
          <w:color w:val="000000"/>
        </w:rPr>
        <w:t xml:space="preserve">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Solicitar a la Legislatura o a la Diputación Permanente el inicio de juicio político en contra de las juezas, jueces, magistradas y magistrados electos en los casos que proceda;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Solicitar al Órgano de Administración Judicial la expedición de acuerdos o la ejecución de resoluciones necesarias para asegurar el adecuado ejercicio de sus funciones;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XIII. Reglamentar mediante acuerdos generales el procedimiento para la imposición e impugnación de las medidas correctivas y sancionadoras en materia de desempeño en los casos de la fracción anterior;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XIV. Determinar la implementación de mecanismos de prevención de faltas administrativas y hechos de corrupción, así como de coordinación que, en términos de la Ley del Sistema Anticorrupción del Estado de México y Municipios, determine el Comité Coordinador de dicho Sistema Estatal e informar a ese órgano de los avances y resultados que se tengan;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u w:val="single"/>
        </w:rPr>
        <w:t>XV. Llevar un registro de las servidoras y servidores públicos, así como de los particulares sancionados, conforme a lo que establezca mediante acuerdos generales;</w:t>
      </w:r>
      <w:r>
        <w:rPr>
          <w:rFonts w:ascii="Palatino Linotype" w:eastAsia="Palatino Linotype" w:hAnsi="Palatino Linotype" w:cs="Palatino Linotype"/>
          <w:i/>
          <w:iCs/>
          <w:color w:val="000000"/>
        </w:rPr>
        <w:t xml:space="preserve"> </w:t>
      </w:r>
    </w:p>
    <w:p w:rsidR="00D97448" w:rsidRDefault="00D97448">
      <w:pPr>
        <w:pBdr>
          <w:top w:val="nil"/>
          <w:left w:val="nil"/>
          <w:bottom w:val="nil"/>
          <w:right w:val="nil"/>
          <w:between w:val="nil"/>
        </w:pBdr>
        <w:ind w:left="567" w:right="-847"/>
        <w:jc w:val="both"/>
        <w:rPr>
          <w:rFonts w:ascii="Palatino Linotype" w:eastAsia="Palatino Linotype" w:hAnsi="Palatino Linotype" w:cs="Palatino Linotype"/>
          <w:b/>
          <w:bCs/>
          <w:i/>
          <w:iCs/>
          <w:u w:val="single"/>
        </w:rPr>
      </w:pP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u w:val="single"/>
        </w:rPr>
        <w:t>XVI. Rendir un informe que hará del conocimiento de la opinión pública, al finalizar el segundo periodo de sesiones de cada año sobre los resultados obtenidos de las labores llevadas a cabo por el Tribunal de Disciplina Judicial, el cual deberá integrarse al informe anual de labores del Poder Judicial que rinda el Presidente del Tribunal Superior de Justicia;</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XVII. Dictar, a través de sus comisiones, las medidas de suspensión temporal de las magistradas, magistrados, juezas y jueces que resulten pertinentes para facilitar las investigaciones y los procedimientos disciplinarios. En tales casos, la suspensión procederá siempre que lo estime necesario el Pleno del Tribunal de Disciplina Judicial, en el ejercicio de sus facultades de disciplina y vigilancia, o cuando alguna autoridad ministerial o fiscalía den noticia de ello, así como a solicitud de la autoridad judicial que conozca del procedimiento penal que se siga en su contra. Cuando la suspensión haya sido decretada por el Tribunal de Disciplina Judicial sin mediar una solicitud de otra autoridad, deberá instruirse la formulación de la denuncia o querella en los casos en que proceda;</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XVIII. Resolver los recursos de revisión en los procedimientos de responsabilidad administrativa del personal jurisdiccional en faltas graves y no graves, así como del personal administrativo del Poder Judicial del Estado de México;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XIX. Resolver en definitiva y de forma inatacable respecto de la competencia sobre los procedimientos de responsabilidad administrativa que le remita el Órgano de Administración Judicial; </w:t>
      </w:r>
    </w:p>
    <w:p w:rsidR="00D97448" w:rsidRDefault="009E7017">
      <w:pPr>
        <w:pBdr>
          <w:top w:val="nil"/>
          <w:left w:val="nil"/>
          <w:bottom w:val="nil"/>
          <w:right w:val="nil"/>
          <w:between w:val="nil"/>
        </w:pBdr>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97448" w:rsidRDefault="009E7017">
      <w:pPr>
        <w:numPr>
          <w:ilvl w:val="0"/>
          <w:numId w:val="2"/>
        </w:numPr>
        <w:tabs>
          <w:tab w:val="left" w:pos="-5"/>
          <w:tab w:val="left" w:pos="567"/>
        </w:tabs>
        <w:spacing w:before="240" w:line="360" w:lineRule="auto"/>
        <w:ind w:left="0" w:right="-847" w:firstLine="0"/>
        <w:jc w:val="both"/>
      </w:pPr>
      <w:r>
        <w:rPr>
          <w:rFonts w:ascii="Palatino Linotype" w:eastAsia="Palatino Linotype" w:hAnsi="Palatino Linotype" w:cs="Palatino Linotype"/>
        </w:rPr>
        <w:t xml:space="preserve">Con lo anterior, se vislumbra que el Pleno del Tribunal de Justicia Administrativa, sustanciará procedimientos derivados de denuncias o quejas por hechos que pudieran ser objeto de responsabilidad administrativa o penal cometidos por servidores públicos con funciones jurisdiccionales del Poder Judicial que incurran en actos u omisiones contrarios a la ley y de ser necesario dar vista al Ministerio Público por la presunta comisión de un delito, sustanciaciones </w:t>
      </w:r>
      <w:r>
        <w:rPr>
          <w:rFonts w:ascii="Palatino Linotype" w:eastAsia="Palatino Linotype" w:hAnsi="Palatino Linotype" w:cs="Palatino Linotype"/>
        </w:rPr>
        <w:lastRenderedPageBreak/>
        <w:t>de las que deberá llevar un registro, toda vez que podría abonar al informe que rinde al finalizar el segundo periodo de sesiones de cada año sobre los resultados obtenidos.</w:t>
      </w:r>
    </w:p>
    <w:p w:rsidR="00D97448" w:rsidRDefault="00D97448">
      <w:pPr>
        <w:tabs>
          <w:tab w:val="left" w:pos="0"/>
          <w:tab w:val="left" w:pos="567"/>
        </w:tabs>
        <w:spacing w:line="360" w:lineRule="auto"/>
        <w:ind w:right="-847"/>
        <w:jc w:val="both"/>
        <w:rPr>
          <w:rFonts w:ascii="Palatino Linotype" w:eastAsia="Palatino Linotype" w:hAnsi="Palatino Linotype" w:cs="Palatino Linotype"/>
        </w:rPr>
      </w:pPr>
    </w:p>
    <w:p w:rsidR="00A04857" w:rsidRPr="007258E4" w:rsidRDefault="00A04857">
      <w:pPr>
        <w:numPr>
          <w:ilvl w:val="0"/>
          <w:numId w:val="2"/>
        </w:numPr>
        <w:tabs>
          <w:tab w:val="left" w:pos="0"/>
          <w:tab w:val="left" w:pos="567"/>
        </w:tabs>
        <w:spacing w:after="240" w:line="360" w:lineRule="auto"/>
        <w:ind w:left="0" w:right="-847" w:firstLine="0"/>
        <w:jc w:val="both"/>
        <w:rPr>
          <w:rFonts w:ascii="Palatino Linotype" w:hAnsi="Palatino Linotype"/>
        </w:rPr>
      </w:pPr>
      <w:r w:rsidRPr="007258E4">
        <w:rPr>
          <w:rFonts w:ascii="Palatino Linotype" w:hAnsi="Palatino Linotype"/>
        </w:rPr>
        <w:t>Ahora bien, el Código de Procedimientos Civiles para el Estado Libre y Soberano de México, establece lo siguiente:</w:t>
      </w:r>
    </w:p>
    <w:p w:rsidR="00A04857" w:rsidRPr="007258E4" w:rsidRDefault="00A04857" w:rsidP="00A04857">
      <w:pPr>
        <w:pStyle w:val="Prrafodelista"/>
        <w:jc w:val="both"/>
        <w:rPr>
          <w:rFonts w:ascii="Palatino Linotype" w:hAnsi="Palatino Linotype"/>
          <w:i/>
          <w:sz w:val="22"/>
          <w:szCs w:val="22"/>
        </w:rPr>
      </w:pPr>
      <w:r w:rsidRPr="007258E4">
        <w:rPr>
          <w:rFonts w:ascii="Palatino Linotype" w:hAnsi="Palatino Linotype"/>
          <w:b/>
          <w:i/>
          <w:sz w:val="22"/>
          <w:szCs w:val="22"/>
        </w:rPr>
        <w:t>Artículo 140.-</w:t>
      </w:r>
      <w:r w:rsidRPr="007258E4">
        <w:rPr>
          <w:rFonts w:ascii="Palatino Linotype" w:hAnsi="Palatino Linotype"/>
          <w:i/>
          <w:sz w:val="22"/>
          <w:szCs w:val="22"/>
        </w:rPr>
        <w:t xml:space="preserve"> Los </w:t>
      </w:r>
      <w:r w:rsidRPr="007258E4">
        <w:rPr>
          <w:rFonts w:ascii="Palatino Linotype" w:hAnsi="Palatino Linotype"/>
          <w:b/>
          <w:i/>
          <w:sz w:val="22"/>
          <w:szCs w:val="22"/>
          <w:u w:val="single"/>
        </w:rPr>
        <w:t xml:space="preserve">secretarios cuidarán de que los expedientes </w:t>
      </w:r>
      <w:r w:rsidRPr="007258E4">
        <w:rPr>
          <w:rFonts w:ascii="Palatino Linotype" w:hAnsi="Palatino Linotype"/>
          <w:i/>
          <w:sz w:val="22"/>
          <w:szCs w:val="22"/>
        </w:rPr>
        <w:t xml:space="preserve">sean exactamente foliados, al agregarse cada una de las hojas; rubrican todas éstas en el centro de lo escrito y pondrán el sello de la Secretaría en el fondo del cuaderno, de manera que queden selladas las dos caras. </w:t>
      </w:r>
    </w:p>
    <w:p w:rsidR="00A04857" w:rsidRPr="007258E4" w:rsidRDefault="00A04857" w:rsidP="00A04857">
      <w:pPr>
        <w:pStyle w:val="Prrafodelista"/>
        <w:jc w:val="both"/>
        <w:rPr>
          <w:rFonts w:ascii="Palatino Linotype" w:hAnsi="Palatino Linotype"/>
          <w:b/>
          <w:i/>
          <w:sz w:val="22"/>
          <w:szCs w:val="22"/>
        </w:rPr>
      </w:pPr>
      <w:r w:rsidRPr="007258E4">
        <w:rPr>
          <w:rFonts w:ascii="Palatino Linotype" w:hAnsi="Palatino Linotype"/>
          <w:b/>
          <w:i/>
          <w:sz w:val="22"/>
          <w:szCs w:val="22"/>
        </w:rPr>
        <w:t>Artículo 141.- Los autos que se perdieren serán repuestos a costa del que fuere responsable de la pérdida, quien además pagará los daños y perjuicios, quedando sujeto a las disposiciones del Código Penal.</w:t>
      </w:r>
    </w:p>
    <w:p w:rsidR="00A04857" w:rsidRPr="007258E4" w:rsidRDefault="00A04857" w:rsidP="00A04857">
      <w:pPr>
        <w:pStyle w:val="Prrafodelista"/>
        <w:jc w:val="both"/>
        <w:rPr>
          <w:rFonts w:ascii="Palatino Linotype" w:hAnsi="Palatino Linotype"/>
          <w:b/>
          <w:i/>
          <w:sz w:val="22"/>
          <w:szCs w:val="22"/>
          <w:u w:val="single"/>
        </w:rPr>
      </w:pPr>
      <w:r w:rsidRPr="007258E4">
        <w:rPr>
          <w:rFonts w:ascii="Palatino Linotype" w:hAnsi="Palatino Linotype"/>
          <w:i/>
          <w:sz w:val="22"/>
          <w:szCs w:val="22"/>
        </w:rPr>
        <w:t>La reposición se substanciará en forma incidental. Sin necesidad de acuerdo judicial</w:t>
      </w:r>
      <w:r w:rsidRPr="007258E4">
        <w:rPr>
          <w:rFonts w:ascii="Palatino Linotype" w:hAnsi="Palatino Linotype"/>
          <w:b/>
          <w:i/>
          <w:sz w:val="22"/>
          <w:szCs w:val="22"/>
          <w:u w:val="single"/>
        </w:rPr>
        <w:t>, el secretario hará constar desde luego la existencia anterior y falta posterior del expediente.</w:t>
      </w:r>
    </w:p>
    <w:p w:rsidR="00A04857" w:rsidRPr="007258E4" w:rsidRDefault="00A04857" w:rsidP="00A04857">
      <w:pPr>
        <w:pStyle w:val="Prrafodelista"/>
        <w:jc w:val="both"/>
        <w:rPr>
          <w:rFonts w:ascii="Palatino Linotype" w:hAnsi="Palatino Linotype"/>
          <w:b/>
          <w:i/>
          <w:sz w:val="22"/>
          <w:szCs w:val="22"/>
        </w:rPr>
      </w:pPr>
      <w:r w:rsidRPr="007258E4">
        <w:rPr>
          <w:rFonts w:ascii="Palatino Linotype" w:hAnsi="Palatino Linotype"/>
          <w:b/>
          <w:i/>
          <w:sz w:val="22"/>
          <w:szCs w:val="22"/>
        </w:rPr>
        <w:t>Quedan los jueces facultados para investigar de oficio la existencia de las piezas de autos desaparecidos, valiéndose para ello de todos los medios que no sean contrarios a la moral o al derecho.</w:t>
      </w:r>
    </w:p>
    <w:p w:rsidR="00A04857" w:rsidRPr="007258E4" w:rsidRDefault="00A04857" w:rsidP="00A04857">
      <w:pPr>
        <w:pStyle w:val="Prrafodelista"/>
        <w:jc w:val="both"/>
        <w:rPr>
          <w:rFonts w:ascii="Palatino Linotype" w:hAnsi="Palatino Linotype"/>
          <w:i/>
          <w:sz w:val="22"/>
          <w:szCs w:val="22"/>
        </w:rPr>
      </w:pPr>
    </w:p>
    <w:p w:rsidR="00A04857" w:rsidRPr="007258E4" w:rsidRDefault="00A04857" w:rsidP="00A04857">
      <w:pPr>
        <w:pStyle w:val="Prrafodelista"/>
        <w:jc w:val="both"/>
        <w:rPr>
          <w:rFonts w:ascii="Palatino Linotype" w:hAnsi="Palatino Linotype"/>
          <w:i/>
          <w:sz w:val="22"/>
          <w:szCs w:val="22"/>
        </w:rPr>
      </w:pPr>
      <w:r w:rsidRPr="007258E4">
        <w:rPr>
          <w:rFonts w:ascii="Palatino Linotype" w:hAnsi="Palatino Linotype"/>
          <w:b/>
          <w:i/>
          <w:sz w:val="22"/>
          <w:szCs w:val="22"/>
        </w:rPr>
        <w:t>Artículo 144.- Los secretarios son responsables de los expedientes</w:t>
      </w:r>
      <w:r w:rsidRPr="007258E4">
        <w:rPr>
          <w:rFonts w:ascii="Palatino Linotype" w:hAnsi="Palatino Linotype"/>
          <w:i/>
          <w:sz w:val="22"/>
          <w:szCs w:val="22"/>
        </w:rPr>
        <w:t>, libros y documentos que existan en el Juzgado y archivo correspondiente. Cuando, por disposición de la Ley o del Juez, deban entregar alguno de los mencionados objetos a otro funcionario o empleado, recabarán recibo para su resguardo. En este caso, la responsabilidad pasará a la persona que lo reciba.</w:t>
      </w:r>
    </w:p>
    <w:p w:rsidR="00A04857" w:rsidRPr="007258E4" w:rsidRDefault="00A04857" w:rsidP="00A04857">
      <w:pPr>
        <w:pStyle w:val="Prrafodelista"/>
      </w:pPr>
    </w:p>
    <w:p w:rsidR="00D97448" w:rsidRPr="007258E4" w:rsidRDefault="009E7017">
      <w:pPr>
        <w:numPr>
          <w:ilvl w:val="0"/>
          <w:numId w:val="2"/>
        </w:numPr>
        <w:tabs>
          <w:tab w:val="left" w:pos="0"/>
          <w:tab w:val="left" w:pos="567"/>
        </w:tabs>
        <w:spacing w:after="240" w:line="360" w:lineRule="auto"/>
        <w:ind w:left="0" w:right="-847" w:firstLine="0"/>
        <w:jc w:val="both"/>
      </w:pPr>
      <w:r w:rsidRPr="007258E4">
        <w:rPr>
          <w:rFonts w:ascii="Palatino Linotype" w:eastAsia="Palatino Linotype" w:hAnsi="Palatino Linotype" w:cs="Palatino Linotype"/>
        </w:rPr>
        <w:t>Al respecto el Código Nacional de Procedimientos Civiles, refiere que los autos que se extravíen serán repuestos por el responsable de la pérdida; estableciendo lo siguiente:</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b/>
          <w:bCs/>
          <w:i/>
          <w:iCs/>
          <w:color w:val="000000"/>
        </w:rPr>
      </w:pPr>
      <w:r w:rsidRPr="007258E4">
        <w:rPr>
          <w:rFonts w:ascii="Palatino Linotype" w:eastAsia="Palatino Linotype" w:hAnsi="Palatino Linotype" w:cs="Palatino Linotype"/>
          <w:b/>
          <w:bCs/>
          <w:i/>
          <w:iCs/>
          <w:color w:val="000000"/>
        </w:rPr>
        <w:t xml:space="preserve">Reposición de actuaciones judiciales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i/>
          <w:iCs/>
          <w:color w:val="000000"/>
        </w:rPr>
      </w:pPr>
      <w:r w:rsidRPr="007258E4">
        <w:rPr>
          <w:rFonts w:ascii="Palatino Linotype" w:eastAsia="Palatino Linotype" w:hAnsi="Palatino Linotype" w:cs="Palatino Linotype"/>
          <w:b/>
          <w:bCs/>
          <w:i/>
          <w:iCs/>
          <w:color w:val="000000"/>
        </w:rPr>
        <w:t>Artículo 1.126.-</w:t>
      </w:r>
      <w:r w:rsidRPr="007258E4">
        <w:rPr>
          <w:rFonts w:ascii="Palatino Linotype" w:eastAsia="Palatino Linotype" w:hAnsi="Palatino Linotype" w:cs="Palatino Linotype"/>
          <w:i/>
          <w:iCs/>
          <w:color w:val="000000"/>
        </w:rPr>
        <w:t xml:space="preserve"> Los autos que se perdieren serán repuestos a costa del que fuere responsable de la pérdida, quien además responderá de los daños y perjuicios, quedando en su caso, sujeto a las disposiciones del Código Penal.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b/>
          <w:bCs/>
          <w:i/>
          <w:iCs/>
          <w:color w:val="000000"/>
        </w:rPr>
      </w:pPr>
      <w:r w:rsidRPr="007258E4">
        <w:rPr>
          <w:rFonts w:ascii="Palatino Linotype" w:eastAsia="Palatino Linotype" w:hAnsi="Palatino Linotype" w:cs="Palatino Linotype"/>
          <w:b/>
          <w:bCs/>
          <w:i/>
          <w:iCs/>
          <w:color w:val="000000"/>
        </w:rPr>
        <w:t xml:space="preserve">Reposición de autos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b/>
          <w:i/>
          <w:iCs/>
          <w:color w:val="000000"/>
          <w:u w:val="single"/>
        </w:rPr>
      </w:pPr>
      <w:r w:rsidRPr="007258E4">
        <w:rPr>
          <w:rFonts w:ascii="Palatino Linotype" w:eastAsia="Palatino Linotype" w:hAnsi="Palatino Linotype" w:cs="Palatino Linotype"/>
          <w:b/>
          <w:bCs/>
          <w:i/>
          <w:iCs/>
          <w:color w:val="000000"/>
        </w:rPr>
        <w:lastRenderedPageBreak/>
        <w:t>Artículo 1.127</w:t>
      </w:r>
      <w:r w:rsidRPr="007258E4">
        <w:rPr>
          <w:rFonts w:ascii="Palatino Linotype" w:eastAsia="Palatino Linotype" w:hAnsi="Palatino Linotype" w:cs="Palatino Linotype"/>
          <w:i/>
          <w:iCs/>
          <w:color w:val="000000"/>
        </w:rPr>
        <w:t xml:space="preserve">.- La reposición de autos se substanciará en forma incidental. </w:t>
      </w:r>
      <w:r w:rsidRPr="007258E4">
        <w:rPr>
          <w:rFonts w:ascii="Palatino Linotype" w:eastAsia="Palatino Linotype" w:hAnsi="Palatino Linotype" w:cs="Palatino Linotype"/>
          <w:b/>
          <w:i/>
          <w:iCs/>
          <w:color w:val="000000"/>
          <w:u w:val="single"/>
        </w:rPr>
        <w:t xml:space="preserve">El Secretario sin necesidad de acuerdo judicial, hará constar la existencia anterior y falta posterior del expediente o de las actuaciones.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b/>
          <w:bCs/>
          <w:i/>
          <w:iCs/>
          <w:color w:val="000000"/>
        </w:rPr>
      </w:pPr>
      <w:r w:rsidRPr="007258E4">
        <w:rPr>
          <w:rFonts w:ascii="Palatino Linotype" w:eastAsia="Palatino Linotype" w:hAnsi="Palatino Linotype" w:cs="Palatino Linotype"/>
          <w:b/>
          <w:bCs/>
          <w:i/>
          <w:iCs/>
          <w:color w:val="000000"/>
        </w:rPr>
        <w:t xml:space="preserve">Medios para obtener la reposición de autos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i/>
          <w:iCs/>
          <w:color w:val="000000"/>
        </w:rPr>
      </w:pPr>
      <w:r w:rsidRPr="007258E4">
        <w:rPr>
          <w:rFonts w:ascii="Palatino Linotype" w:eastAsia="Palatino Linotype" w:hAnsi="Palatino Linotype" w:cs="Palatino Linotype"/>
          <w:b/>
          <w:bCs/>
          <w:i/>
          <w:iCs/>
          <w:color w:val="000000"/>
        </w:rPr>
        <w:t>Artículo 1.128</w:t>
      </w:r>
      <w:r w:rsidRPr="007258E4">
        <w:rPr>
          <w:rFonts w:ascii="Palatino Linotype" w:eastAsia="Palatino Linotype" w:hAnsi="Palatino Linotype" w:cs="Palatino Linotype"/>
          <w:i/>
          <w:iCs/>
          <w:color w:val="000000"/>
        </w:rPr>
        <w:t>.- Los Jueces y Magistrados están facultados para investigar, de oficio, la existencia de las piezas de autos desaparecidas, valiéndose para ello de todos los medios necesarios, y las partes están obligadas a aportar para la reposición, las copias de las constancias que tengan en su poder.</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b/>
          <w:bCs/>
          <w:i/>
          <w:iCs/>
          <w:color w:val="000000"/>
        </w:rPr>
      </w:pPr>
      <w:r w:rsidRPr="007258E4">
        <w:rPr>
          <w:rFonts w:ascii="Palatino Linotype" w:eastAsia="Palatino Linotype" w:hAnsi="Palatino Linotype" w:cs="Palatino Linotype"/>
          <w:b/>
          <w:bCs/>
          <w:i/>
          <w:iCs/>
          <w:color w:val="000000"/>
        </w:rPr>
        <w:t xml:space="preserve">Reposición de actuaciones judiciales de oficio </w:t>
      </w:r>
    </w:p>
    <w:p w:rsidR="00D97448" w:rsidRPr="007258E4" w:rsidRDefault="009E7017">
      <w:pPr>
        <w:pBdr>
          <w:top w:val="nil"/>
          <w:left w:val="nil"/>
          <w:bottom w:val="nil"/>
          <w:right w:val="nil"/>
          <w:between w:val="nil"/>
        </w:pBdr>
        <w:ind w:left="708" w:right="-847"/>
        <w:jc w:val="both"/>
        <w:rPr>
          <w:rFonts w:ascii="Palatino Linotype" w:eastAsia="Palatino Linotype" w:hAnsi="Palatino Linotype" w:cs="Palatino Linotype"/>
          <w:i/>
          <w:iCs/>
          <w:color w:val="000000"/>
        </w:rPr>
      </w:pPr>
      <w:r w:rsidRPr="007258E4">
        <w:rPr>
          <w:rFonts w:ascii="Palatino Linotype" w:eastAsia="Palatino Linotype" w:hAnsi="Palatino Linotype" w:cs="Palatino Linotype"/>
          <w:b/>
          <w:bCs/>
          <w:i/>
          <w:iCs/>
          <w:color w:val="000000"/>
        </w:rPr>
        <w:t>Artículo 1.129.-</w:t>
      </w:r>
      <w:r w:rsidRPr="007258E4">
        <w:rPr>
          <w:rFonts w:ascii="Palatino Linotype" w:eastAsia="Palatino Linotype" w:hAnsi="Palatino Linotype" w:cs="Palatino Linotype"/>
          <w:i/>
          <w:iCs/>
          <w:color w:val="000000"/>
        </w:rPr>
        <w:t xml:space="preserve"> El Juez podrá ordenar de oficio, si lo estima conveniente, la reposición de actuaciones judiciales valiéndose de los medios legales.</w:t>
      </w:r>
    </w:p>
    <w:p w:rsidR="00D97448" w:rsidRPr="007258E4" w:rsidRDefault="009E7017">
      <w:pPr>
        <w:numPr>
          <w:ilvl w:val="0"/>
          <w:numId w:val="2"/>
        </w:numPr>
        <w:tabs>
          <w:tab w:val="left" w:pos="0"/>
          <w:tab w:val="left" w:pos="567"/>
        </w:tabs>
        <w:spacing w:before="240" w:line="360" w:lineRule="auto"/>
        <w:ind w:left="0" w:right="-847" w:firstLine="0"/>
        <w:jc w:val="both"/>
      </w:pPr>
      <w:r w:rsidRPr="007258E4">
        <w:rPr>
          <w:rFonts w:ascii="Palatino Linotype" w:eastAsia="Palatino Linotype" w:hAnsi="Palatino Linotype" w:cs="Palatino Linotype"/>
        </w:rPr>
        <w:t xml:space="preserve">De lo anterior se advierte que el Secretario sin necesidad de acuerdo judicial hará constar la falta del expediente o de las actuaciones, mismos que serán repuestos a costa del responsable de la pérdida, quedando sujeto a disposiciones del Código Penal. </w:t>
      </w:r>
    </w:p>
    <w:p w:rsidR="00D97448" w:rsidRDefault="009E7017">
      <w:pPr>
        <w:numPr>
          <w:ilvl w:val="0"/>
          <w:numId w:val="2"/>
        </w:numPr>
        <w:tabs>
          <w:tab w:val="left" w:pos="0"/>
          <w:tab w:val="left" w:pos="567"/>
        </w:tabs>
        <w:spacing w:before="240" w:line="360" w:lineRule="auto"/>
        <w:ind w:left="0" w:right="-847" w:firstLine="0"/>
        <w:jc w:val="both"/>
      </w:pPr>
      <w:r>
        <w:rPr>
          <w:rFonts w:ascii="Palatino Linotype" w:eastAsia="Palatino Linotype" w:hAnsi="Palatino Linotype" w:cs="Palatino Linotype"/>
        </w:rPr>
        <w:t xml:space="preserve">En continuidad, resulta necesario reiterar que las áreas que pudieran poseer, generar y/o administrar la información requerida por el particular son la Contraloría Interna, el Tribunal de Disciplina Judicial; así como el Secretario, toda vez que dentro de sus atribuciones se encuentran conocer de procedimientos disciplinarios por actos u omisiones que impliquen alguna irregularidad o conducta ilícita como lo es el extravío de expedientes y autos; sin embargo del expediente electrónico en el que se actúa no se advierte que se hayan pronunciado al respecto, ni mucho menos que se les haya hecho el requerimiento, lo que vislumbra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no dio cumplimiento a la búsqueda exhaustiva exigida por la Ley de la materia.</w:t>
      </w:r>
    </w:p>
    <w:p w:rsidR="00D97448" w:rsidRDefault="00D97448">
      <w:pPr>
        <w:pBdr>
          <w:top w:val="nil"/>
          <w:left w:val="nil"/>
          <w:bottom w:val="nil"/>
          <w:right w:val="nil"/>
          <w:between w:val="nil"/>
        </w:pBdr>
        <w:ind w:left="708" w:right="-847"/>
        <w:rPr>
          <w:rFonts w:ascii="Palatino Linotype" w:eastAsia="Palatino Linotype" w:hAnsi="Palatino Linotype" w:cs="Palatino Linotype"/>
          <w:color w:val="000000"/>
        </w:rPr>
      </w:pPr>
    </w:p>
    <w:p w:rsidR="00D97448" w:rsidRDefault="009E7017">
      <w:pPr>
        <w:numPr>
          <w:ilvl w:val="0"/>
          <w:numId w:val="2"/>
        </w:numPr>
        <w:tabs>
          <w:tab w:val="left" w:pos="0"/>
          <w:tab w:val="left" w:pos="567"/>
        </w:tabs>
        <w:spacing w:before="240" w:after="240" w:line="360" w:lineRule="auto"/>
        <w:ind w:left="0" w:right="-847" w:firstLine="0"/>
        <w:jc w:val="both"/>
      </w:pPr>
      <w:r>
        <w:rPr>
          <w:rFonts w:ascii="Palatino Linotype" w:eastAsia="Palatino Linotype" w:hAnsi="Palatino Linotype" w:cs="Palatino Linotype"/>
        </w:rPr>
        <w:t xml:space="preserve">Lo anterior debido a que el </w:t>
      </w:r>
      <w:r w:rsidR="00226DBF" w:rsidRPr="007258E4">
        <w:rPr>
          <w:rFonts w:ascii="Palatino Linotype" w:eastAsia="Palatino Linotype" w:hAnsi="Palatino Linotype" w:cs="Palatino Linotype"/>
          <w:b/>
          <w:bCs/>
        </w:rPr>
        <w:t>SUJETO OB</w:t>
      </w:r>
      <w:r w:rsidRPr="007258E4">
        <w:rPr>
          <w:rFonts w:ascii="Palatino Linotype" w:eastAsia="Palatino Linotype" w:hAnsi="Palatino Linotype" w:cs="Palatino Linotype"/>
          <w:b/>
          <w:bCs/>
        </w:rPr>
        <w:t xml:space="preserve">LIGADO, </w:t>
      </w:r>
      <w:r w:rsidRPr="007258E4">
        <w:rPr>
          <w:rFonts w:ascii="Palatino Linotype" w:eastAsia="Palatino Linotype" w:hAnsi="Palatino Linotype" w:cs="Palatino Linotype"/>
        </w:rPr>
        <w:t>sólo</w:t>
      </w:r>
      <w:r>
        <w:rPr>
          <w:rFonts w:ascii="Palatino Linotype" w:eastAsia="Palatino Linotype" w:hAnsi="Palatino Linotype" w:cs="Palatino Linotype"/>
        </w:rPr>
        <w:t xml:space="preserve"> se limitó a indicar que la Dirección de Información y Estadística no cuenta con la variable que permita identificar el número de expedientes extraviados, ello aunado a que en informe justificado refirió que no existe fuente </w:t>
      </w:r>
      <w:r>
        <w:rPr>
          <w:rFonts w:ascii="Palatino Linotype" w:eastAsia="Palatino Linotype" w:hAnsi="Palatino Linotype" w:cs="Palatino Linotype"/>
        </w:rPr>
        <w:lastRenderedPageBreak/>
        <w:t>obligacional que le exija hacer la búsqueda en las áreas referidas por particular, como lo son el propio Juzgado, el Tribunal de Disciplina Judicial; así como la Contraloría Interna.</w:t>
      </w:r>
    </w:p>
    <w:p w:rsidR="00D97448" w:rsidRDefault="00D97448">
      <w:pPr>
        <w:tabs>
          <w:tab w:val="left" w:pos="0"/>
          <w:tab w:val="left" w:pos="567"/>
        </w:tabs>
        <w:spacing w:before="240" w:after="240" w:line="360" w:lineRule="auto"/>
        <w:ind w:left="720" w:right="-847"/>
        <w:jc w:val="both"/>
        <w:rPr>
          <w:rFonts w:ascii="Palatino Linotype" w:eastAsia="Palatino Linotype" w:hAnsi="Palatino Linotype" w:cs="Palatino Linotype"/>
        </w:rPr>
      </w:pPr>
    </w:p>
    <w:p w:rsidR="00D97448" w:rsidRDefault="009E7017">
      <w:pPr>
        <w:numPr>
          <w:ilvl w:val="0"/>
          <w:numId w:val="2"/>
        </w:numPr>
        <w:tabs>
          <w:tab w:val="left" w:pos="0"/>
          <w:tab w:val="left" w:pos="567"/>
        </w:tabs>
        <w:spacing w:before="240" w:line="360" w:lineRule="auto"/>
        <w:ind w:left="0" w:right="-847" w:firstLine="0"/>
        <w:jc w:val="both"/>
        <w:rPr>
          <w:color w:val="000000"/>
        </w:rPr>
      </w:pPr>
      <w:r>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D97448" w:rsidRDefault="00D97448">
      <w:pPr>
        <w:pBdr>
          <w:top w:val="none" w:sz="0" w:space="0" w:color="000000"/>
          <w:left w:val="none" w:sz="0" w:space="0" w:color="000000"/>
          <w:bottom w:val="none" w:sz="0" w:space="0" w:color="000000"/>
          <w:right w:val="none" w:sz="0" w:space="0" w:color="000000"/>
          <w:between w:val="none" w:sz="0" w:space="0" w:color="000000"/>
        </w:pBdr>
        <w:tabs>
          <w:tab w:val="left" w:pos="2475"/>
        </w:tabs>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left="-283" w:right="-847" w:firstLine="0"/>
        <w:jc w:val="both"/>
        <w:rPr>
          <w:color w:val="000000"/>
        </w:rPr>
      </w:pPr>
      <w:r>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Pr>
          <w:color w:val="000000"/>
          <w:vertAlign w:val="superscript"/>
        </w:rPr>
        <w:footnoteReference w:id="6"/>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color w:val="000000"/>
          <w:vertAlign w:val="superscript"/>
        </w:rPr>
        <w:footnoteReference w:id="7"/>
      </w:r>
      <w:r>
        <w:rPr>
          <w:rFonts w:ascii="Palatino Linotype" w:eastAsia="Palatino Linotype" w:hAnsi="Palatino Linotype" w:cs="Palatino Linotype"/>
          <w:color w:val="000000"/>
        </w:rPr>
        <w:t>.</w:t>
      </w:r>
    </w:p>
    <w:p w:rsidR="00D97448" w:rsidRDefault="00D97448">
      <w:pPr>
        <w:ind w:right="-847"/>
        <w:rPr>
          <w:rFonts w:ascii="Palatino Linotype" w:eastAsia="Palatino Linotype" w:hAnsi="Palatino Linotype" w:cs="Palatino Linotype"/>
          <w:color w:val="000000"/>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283" w:right="-847" w:firstLine="0"/>
        <w:jc w:val="both"/>
        <w:rPr>
          <w:color w:val="000000"/>
        </w:rPr>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D97448" w:rsidRDefault="009E7017">
      <w:pPr>
        <w:pBdr>
          <w:top w:val="none" w:sz="0" w:space="0" w:color="000000"/>
          <w:left w:val="none" w:sz="0" w:space="0" w:color="000000"/>
          <w:bottom w:val="none" w:sz="0" w:space="0" w:color="000000"/>
          <w:right w:val="none" w:sz="0" w:space="0" w:color="000000"/>
          <w:between w:val="none" w:sz="0" w:space="0" w:color="000000"/>
        </w:pBdr>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Recibir, tramitar y dar respuesta a las solicitudes de acceso a la información;</w:t>
      </w:r>
    </w:p>
    <w:p w:rsidR="00D97448" w:rsidRDefault="009E7017">
      <w:pPr>
        <w:pBdr>
          <w:top w:val="none" w:sz="0" w:space="0" w:color="000000"/>
          <w:left w:val="none" w:sz="0" w:space="0" w:color="000000"/>
          <w:bottom w:val="none" w:sz="0" w:space="0" w:color="000000"/>
          <w:right w:val="none" w:sz="0" w:space="0" w:color="000000"/>
          <w:between w:val="none" w:sz="0" w:space="0" w:color="000000"/>
        </w:pBdr>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D97448" w:rsidRDefault="009E7017">
      <w:pPr>
        <w:pBdr>
          <w:top w:val="none" w:sz="0" w:space="0" w:color="000000"/>
          <w:left w:val="none" w:sz="0" w:space="0" w:color="000000"/>
          <w:bottom w:val="none" w:sz="0" w:space="0" w:color="000000"/>
          <w:right w:val="none" w:sz="0" w:space="0" w:color="000000"/>
          <w:between w:val="none" w:sz="0" w:space="0" w:color="000000"/>
        </w:pBdr>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rsidR="00D97448" w:rsidRDefault="009E7017">
      <w:pPr>
        <w:pBdr>
          <w:top w:val="none" w:sz="0" w:space="0" w:color="000000"/>
          <w:left w:val="none" w:sz="0" w:space="0" w:color="000000"/>
          <w:bottom w:val="none" w:sz="0" w:space="0" w:color="000000"/>
          <w:right w:val="none" w:sz="0" w:space="0" w:color="000000"/>
          <w:between w:val="none" w:sz="0" w:space="0" w:color="000000"/>
        </w:pBdr>
        <w:spacing w:after="240"/>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rsidR="00D97448" w:rsidRDefault="00D97448">
      <w:pPr>
        <w:spacing w:before="240" w:after="240"/>
        <w:ind w:right="-847"/>
        <w:jc w:val="both"/>
        <w:rPr>
          <w:rFonts w:ascii="Palatino Linotype" w:eastAsia="Palatino Linotype" w:hAnsi="Palatino Linotype" w:cs="Palatino Linotype"/>
          <w:color w:val="000000"/>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left="-141" w:right="-847" w:firstLine="0"/>
        <w:jc w:val="both"/>
        <w:rPr>
          <w:color w:val="000000"/>
        </w:rPr>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propuesta del responsable de la Unidad de Transparencia</w:t>
      </w:r>
      <w:r>
        <w:rPr>
          <w:rFonts w:ascii="Palatino Linotype" w:eastAsia="Palatino Linotype" w:hAnsi="Palatino Linotype" w:cs="Palatino Linotype"/>
          <w:color w:val="000000"/>
          <w:vertAlign w:val="superscript"/>
        </w:rPr>
        <w:footnoteReference w:id="8"/>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9"/>
      </w:r>
      <w:r>
        <w:rPr>
          <w:rFonts w:ascii="Palatino Linotype" w:eastAsia="Palatino Linotype" w:hAnsi="Palatino Linotype" w:cs="Palatino Linotype"/>
          <w:color w:val="000000"/>
        </w:rPr>
        <w:t>:</w:t>
      </w:r>
    </w:p>
    <w:p w:rsidR="00D97448" w:rsidRDefault="009E7017">
      <w:pPr>
        <w:pBdr>
          <w:top w:val="none" w:sz="0" w:space="0" w:color="000000"/>
          <w:left w:val="none" w:sz="0" w:space="0" w:color="000000"/>
          <w:bottom w:val="none" w:sz="0" w:space="0" w:color="000000"/>
          <w:right w:val="none" w:sz="0" w:space="0" w:color="000000"/>
          <w:between w:val="none" w:sz="0" w:space="0" w:color="000000"/>
        </w:pBdr>
        <w:spacing w:before="240"/>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rsidR="00D97448" w:rsidRDefault="009E7017">
      <w:pPr>
        <w:pBdr>
          <w:top w:val="none" w:sz="0" w:space="0" w:color="000000"/>
          <w:left w:val="none" w:sz="0" w:space="0" w:color="000000"/>
          <w:bottom w:val="none" w:sz="0" w:space="0" w:color="000000"/>
          <w:right w:val="none" w:sz="0" w:space="0" w:color="000000"/>
          <w:between w:val="none" w:sz="0" w:space="0" w:color="000000"/>
        </w:pBdr>
        <w:spacing w:after="240"/>
        <w:ind w:left="709" w:right="-847"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rsidR="00D97448" w:rsidRDefault="00D97448">
      <w:pPr>
        <w:tabs>
          <w:tab w:val="left" w:pos="426"/>
          <w:tab w:val="left" w:pos="567"/>
        </w:tabs>
        <w:ind w:right="-847"/>
        <w:jc w:val="both"/>
        <w:rPr>
          <w:rFonts w:ascii="Palatino Linotype" w:eastAsia="Palatino Linotype" w:hAnsi="Palatino Linotype" w:cs="Palatino Linotype"/>
          <w:color w:val="000000"/>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D97448" w:rsidRDefault="00D97448">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rsidR="00D97448" w:rsidRDefault="00D97448">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tramitar y dar respuesta a las solicitudes de acceso a la información;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D97448" w:rsidRDefault="00D97448">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rPr>
      </w:pP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D97448" w:rsidRDefault="009E7017">
      <w:pPr>
        <w:pBdr>
          <w:top w:val="none" w:sz="0" w:space="0" w:color="000000"/>
          <w:left w:val="none" w:sz="0" w:space="0" w:color="000000"/>
          <w:bottom w:val="none" w:sz="0" w:space="0" w:color="000000"/>
          <w:right w:val="none" w:sz="0" w:space="0" w:color="000000"/>
          <w:between w:val="none" w:sz="0" w:space="0" w:color="000000"/>
        </w:pBdr>
        <w:tabs>
          <w:tab w:val="left" w:pos="426"/>
        </w:tabs>
        <w:spacing w:after="240"/>
        <w:ind w:left="567"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D97448" w:rsidRDefault="00D97448">
      <w:pPr>
        <w:tabs>
          <w:tab w:val="left" w:pos="426"/>
        </w:tabs>
        <w:spacing w:before="240" w:after="240"/>
        <w:ind w:right="-847"/>
        <w:jc w:val="both"/>
        <w:rPr>
          <w:rFonts w:ascii="Palatino Linotype" w:eastAsia="Palatino Linotype" w:hAnsi="Palatino Linotype" w:cs="Palatino Linotype"/>
          <w:i/>
          <w:iCs/>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p>
    <w:p w:rsidR="00D97448" w:rsidRDefault="00D97448">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rPr>
        <w:t>Ahora bien, por lo que respecta a acciones que realizó el Poder Judicial con respecto a las pérdida de expedientes de los ejercicios fiscales 2024 y 2025, en un primer momento refirió que en virtud de que no cuenta con la variable que les permita identificar el número de expedientes extraviados, no localizados, sustraídos, desaparecidos y/o perdidos; en consecuencia no cuenta con información respecto a las acciones realizadas en dichos supuestos; no obstante a través de un acto jurídico posterior, como lo es el informe justificado, refirió los supuestos, así como el procedimiento a seguir en caso de extravió de los expedientes judiciales de manera general y no en relación a los expedientes a que hace alusión el particular, por tanto no colma el requerimiento.</w:t>
      </w:r>
    </w:p>
    <w:p w:rsidR="00D97448" w:rsidRDefault="00D97448">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rPr>
        <w:t xml:space="preserve">De lo anterior se precisa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en razón de que en informe justificado refirió las acciones a seguir derivado del extravió de autos y/o expedientes.</w:t>
      </w:r>
    </w:p>
    <w:p w:rsidR="00D97448" w:rsidRDefault="00D97448">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97448" w:rsidRDefault="009E7017">
      <w:pPr>
        <w:numPr>
          <w:ilvl w:val="0"/>
          <w:numId w:val="2"/>
        </w:numPr>
        <w:tabs>
          <w:tab w:val="left" w:pos="0"/>
        </w:tabs>
        <w:spacing w:before="240" w:line="360" w:lineRule="auto"/>
        <w:ind w:left="0" w:right="-847" w:firstLine="0"/>
        <w:jc w:val="both"/>
      </w:pPr>
      <w:r>
        <w:rPr>
          <w:rFonts w:ascii="Palatino Linotype" w:eastAsia="Palatino Linotype" w:hAnsi="Palatino Linotype" w:cs="Palatino Linotype"/>
        </w:rPr>
        <w:lastRenderedPageBreak/>
        <w:t>Así, el estudio de la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D97448" w:rsidRDefault="009E7017">
      <w:pPr>
        <w:numPr>
          <w:ilvl w:val="0"/>
          <w:numId w:val="2"/>
        </w:numPr>
        <w:tabs>
          <w:tab w:val="left" w:pos="0"/>
        </w:tabs>
        <w:spacing w:before="240" w:line="360" w:lineRule="auto"/>
        <w:ind w:left="0" w:right="-847" w:firstLine="0"/>
        <w:jc w:val="both"/>
      </w:pPr>
      <w:r>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D97448" w:rsidRDefault="009E7017">
      <w:pPr>
        <w:spacing w:before="240" w:after="240" w:line="276" w:lineRule="auto"/>
        <w:ind w:left="709"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D97448" w:rsidRDefault="009E7017">
      <w:pPr>
        <w:spacing w:before="240" w:after="240" w:line="276" w:lineRule="auto"/>
        <w:ind w:left="709"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w:t>
      </w:r>
      <w:r>
        <w:rPr>
          <w:rFonts w:ascii="Palatino Linotype" w:eastAsia="Palatino Linotype" w:hAnsi="Palatino Linotype" w:cs="Palatino Linotype"/>
          <w:b/>
          <w:bCs/>
          <w:i/>
          <w:iCs/>
        </w:rPr>
        <w:lastRenderedPageBreak/>
        <w:t>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D97448" w:rsidRDefault="009E7017">
      <w:pPr>
        <w:spacing w:before="240" w:after="240" w:line="276" w:lineRule="auto"/>
        <w:ind w:left="709"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D97448" w:rsidRDefault="009E7017">
      <w:pPr>
        <w:numPr>
          <w:ilvl w:val="0"/>
          <w:numId w:val="2"/>
        </w:numPr>
        <w:pBdr>
          <w:top w:val="nil"/>
          <w:left w:val="nil"/>
          <w:bottom w:val="nil"/>
          <w:right w:val="nil"/>
          <w:between w:val="nil"/>
        </w:pBdr>
        <w:spacing w:before="240" w:after="240" w:line="360" w:lineRule="auto"/>
        <w:ind w:left="0" w:right="-847" w:firstLine="0"/>
        <w:jc w:val="both"/>
        <w:rPr>
          <w:color w:val="000000"/>
        </w:rPr>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D97448" w:rsidRDefault="009E7017">
      <w:pPr>
        <w:numPr>
          <w:ilvl w:val="0"/>
          <w:numId w:val="2"/>
        </w:numPr>
        <w:pBdr>
          <w:top w:val="nil"/>
          <w:left w:val="nil"/>
          <w:bottom w:val="nil"/>
          <w:right w:val="nil"/>
          <w:between w:val="nil"/>
        </w:pBdr>
        <w:spacing w:before="240" w:after="240" w:line="360" w:lineRule="auto"/>
        <w:ind w:left="0" w:right="-847" w:firstLine="0"/>
        <w:jc w:val="both"/>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color w:val="000000"/>
        </w:rPr>
        <w:t xml:space="preserve">el criterio 03/17 </w:t>
      </w:r>
      <w:r>
        <w:rPr>
          <w:rFonts w:ascii="Palatino Linotype" w:eastAsia="Palatino Linotype" w:hAnsi="Palatino Linotype" w:cs="Palatino Linotype"/>
          <w:color w:val="000000"/>
        </w:rPr>
        <w:lastRenderedPageBreak/>
        <w:t>emitido por el Instituto Nacional de Transparencia, Acceso a la Información Pública y Protección de Datos Personales, los cuales señalan lo siguiente:</w:t>
      </w:r>
    </w:p>
    <w:p w:rsidR="00D97448" w:rsidRDefault="009E7017">
      <w:pPr>
        <w:spacing w:before="240" w:after="240" w:line="276" w:lineRule="auto"/>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03/17</w:t>
      </w:r>
    </w:p>
    <w:p w:rsidR="00D97448" w:rsidRDefault="009E7017">
      <w:pPr>
        <w:spacing w:before="240" w:after="240" w:line="276" w:lineRule="auto"/>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D97448" w:rsidRDefault="009E7017">
      <w:pPr>
        <w:numPr>
          <w:ilvl w:val="0"/>
          <w:numId w:val="2"/>
        </w:numPr>
        <w:pBdr>
          <w:top w:val="nil"/>
          <w:left w:val="nil"/>
          <w:bottom w:val="nil"/>
          <w:right w:val="nil"/>
          <w:between w:val="nil"/>
        </w:pBdr>
        <w:spacing w:before="240" w:line="360" w:lineRule="auto"/>
        <w:ind w:left="141" w:right="-847" w:firstLine="0"/>
        <w:jc w:val="both"/>
        <w:rPr>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D97448" w:rsidRDefault="00D97448">
      <w:pPr>
        <w:pBdr>
          <w:top w:val="nil"/>
          <w:left w:val="nil"/>
          <w:bottom w:val="nil"/>
          <w:right w:val="nil"/>
          <w:between w:val="nil"/>
        </w:pBdr>
        <w:spacing w:before="240"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il"/>
          <w:left w:val="nil"/>
          <w:bottom w:val="nil"/>
          <w:right w:val="nil"/>
          <w:between w:val="nil"/>
        </w:pBdr>
        <w:spacing w:before="240" w:line="360" w:lineRule="auto"/>
        <w:ind w:left="141" w:right="-847" w:firstLine="0"/>
        <w:jc w:val="both"/>
        <w:rPr>
          <w:color w:val="000000"/>
        </w:rPr>
      </w:pPr>
      <w:r>
        <w:rPr>
          <w:rFonts w:ascii="Palatino Linotype" w:eastAsia="Palatino Linotype" w:hAnsi="Palatino Linotype" w:cs="Palatino Linotype"/>
          <w:color w:val="000000"/>
        </w:rPr>
        <w:t xml:space="preserve">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w:t>
      </w:r>
      <w:r>
        <w:rPr>
          <w:rFonts w:ascii="Palatino Linotype" w:eastAsia="Palatino Linotype" w:hAnsi="Palatino Linotype" w:cs="Palatino Linotype"/>
          <w:color w:val="000000"/>
        </w:rPr>
        <w:lastRenderedPageBreak/>
        <w:t>cada Sujeto Obligado; como así se establece en la Ley de Transparencia y Acceso a la Información Pública del Estado de México y Municipios.</w:t>
      </w:r>
    </w:p>
    <w:p w:rsidR="00D97448" w:rsidRDefault="00D97448">
      <w:pPr>
        <w:pBdr>
          <w:top w:val="nil"/>
          <w:left w:val="nil"/>
          <w:bottom w:val="nil"/>
          <w:right w:val="nil"/>
          <w:between w:val="nil"/>
        </w:pBdr>
        <w:ind w:left="708" w:right="-847"/>
        <w:rPr>
          <w:rFonts w:ascii="Palatino Linotype" w:eastAsia="Palatino Linotype" w:hAnsi="Palatino Linotype" w:cs="Palatino Linotype"/>
          <w:color w:val="000000"/>
        </w:rPr>
      </w:pPr>
    </w:p>
    <w:p w:rsidR="00D97448" w:rsidRDefault="009E7017">
      <w:pPr>
        <w:numPr>
          <w:ilvl w:val="0"/>
          <w:numId w:val="2"/>
        </w:numPr>
        <w:pBdr>
          <w:top w:val="nil"/>
          <w:left w:val="nil"/>
          <w:bottom w:val="nil"/>
          <w:right w:val="nil"/>
          <w:between w:val="nil"/>
        </w:pBdr>
        <w:spacing w:after="240" w:line="360" w:lineRule="auto"/>
        <w:ind w:left="141" w:right="-847" w:firstLine="0"/>
        <w:jc w:val="both"/>
        <w:rPr>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D97448" w:rsidRDefault="009E7017">
      <w:pPr>
        <w:spacing w:before="240" w:after="240" w:line="276"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rsidR="00D97448" w:rsidRDefault="009E7017">
      <w:pPr>
        <w:spacing w:before="240" w:after="240" w:line="276"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97448" w:rsidRDefault="009E7017">
      <w:pPr>
        <w:spacing w:before="240" w:after="240" w:line="276"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rsidR="00D97448" w:rsidRDefault="00D97448">
      <w:pPr>
        <w:spacing w:before="240" w:after="240" w:line="276" w:lineRule="auto"/>
        <w:ind w:left="851" w:right="-847"/>
        <w:jc w:val="both"/>
        <w:rPr>
          <w:rFonts w:ascii="Palatino Linotype" w:eastAsia="Palatino Linotype" w:hAnsi="Palatino Linotype" w:cs="Palatino Linotype"/>
          <w:i/>
          <w:iCs/>
        </w:rPr>
      </w:pPr>
    </w:p>
    <w:p w:rsidR="00D97448" w:rsidRDefault="009E7017">
      <w:pPr>
        <w:numPr>
          <w:ilvl w:val="0"/>
          <w:numId w:val="2"/>
        </w:numPr>
        <w:pBdr>
          <w:top w:val="nil"/>
          <w:left w:val="nil"/>
          <w:bottom w:val="nil"/>
          <w:right w:val="nil"/>
          <w:between w:val="nil"/>
        </w:pBdr>
        <w:spacing w:before="240" w:after="240" w:line="360" w:lineRule="auto"/>
        <w:ind w:left="0" w:right="-84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del </w:t>
      </w:r>
      <w:r>
        <w:rPr>
          <w:rFonts w:ascii="Palatino Linotype" w:eastAsia="Palatino Linotype" w:hAnsi="Palatino Linotype" w:cs="Palatino Linotype"/>
          <w:color w:val="000000"/>
        </w:rPr>
        <w:lastRenderedPageBreak/>
        <w:t>Estado Libre y Soberano de México “Gaceta del Gobierno”, el diecinueve de octubre de dos mil once, cuyo rubro y texto refieren lo siguiente:</w:t>
      </w:r>
    </w:p>
    <w:p w:rsidR="00D97448" w:rsidRDefault="009E7017">
      <w:pPr>
        <w:spacing w:before="240" w:after="240" w:line="276" w:lineRule="auto"/>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D97448" w:rsidRDefault="009E7017">
      <w:pPr>
        <w:spacing w:before="240" w:after="240" w:line="276" w:lineRule="auto"/>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D97448" w:rsidRDefault="009E7017">
      <w:pPr>
        <w:spacing w:before="240" w:after="240" w:line="276"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D97448" w:rsidRDefault="009E7017">
      <w:pPr>
        <w:spacing w:before="240" w:after="240" w:line="276" w:lineRule="auto"/>
        <w:ind w:left="567" w:right="-847" w:hanging="284"/>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De ahí que </w:t>
      </w:r>
      <w:r>
        <w:rPr>
          <w:rFonts w:ascii="Palatino Linotype" w:eastAsia="Palatino Linotype" w:hAnsi="Palatino Linotype" w:cs="Palatino Linotype"/>
          <w:b/>
          <w:bCs/>
          <w:color w:val="000000"/>
        </w:rPr>
        <w:t>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w:t>
      </w:r>
      <w:r>
        <w:rPr>
          <w:rFonts w:ascii="Palatino Linotype" w:eastAsia="Palatino Linotype" w:hAnsi="Palatino Linotype" w:cs="Palatino Linotype"/>
          <w:color w:val="000000"/>
        </w:rPr>
        <w:lastRenderedPageBreak/>
        <w:t>la materia</w:t>
      </w:r>
      <w:r>
        <w:rPr>
          <w:color w:val="000000"/>
          <w:vertAlign w:val="superscript"/>
        </w:rPr>
        <w:footnoteReference w:id="10"/>
      </w:r>
      <w:r>
        <w:rPr>
          <w:rFonts w:ascii="Palatino Linotype" w:eastAsia="Palatino Linotype" w:hAnsi="Palatino Linotype" w:cs="Palatino Linotype"/>
          <w:color w:val="000000"/>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Pr>
          <w:color w:val="000000"/>
          <w:vertAlign w:val="superscript"/>
        </w:rPr>
        <w:footnoteReference w:id="11"/>
      </w:r>
      <w:r>
        <w:rPr>
          <w:rFonts w:ascii="Palatino Linotype" w:eastAsia="Palatino Linotype" w:hAnsi="Palatino Linotype" w:cs="Palatino Linotype"/>
          <w:color w:val="000000"/>
        </w:rPr>
        <w:t>.</w:t>
      </w:r>
    </w:p>
    <w:p w:rsidR="00D97448" w:rsidRDefault="00D97448">
      <w:pPr>
        <w:pBdr>
          <w:top w:val="nil"/>
          <w:left w:val="nil"/>
          <w:bottom w:val="nil"/>
          <w:right w:val="nil"/>
          <w:between w:val="nil"/>
        </w:pBdr>
        <w:spacing w:line="360" w:lineRule="auto"/>
        <w:ind w:left="720" w:right="-847"/>
        <w:jc w:val="both"/>
        <w:rPr>
          <w:rFonts w:ascii="Palatino Linotype" w:eastAsia="Palatino Linotype" w:hAnsi="Palatino Linotype" w:cs="Palatino Linotype"/>
        </w:rPr>
      </w:pPr>
    </w:p>
    <w:p w:rsidR="00D97448" w:rsidRDefault="009E7017">
      <w:pPr>
        <w:numPr>
          <w:ilvl w:val="0"/>
          <w:numId w:val="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Derivado de todo lo anteriormente señalado, este Organismo Garante encuentra conforme a derecho el </w:t>
      </w:r>
      <w:r>
        <w:rPr>
          <w:rFonts w:ascii="Palatino Linotype" w:eastAsia="Palatino Linotype" w:hAnsi="Palatino Linotype" w:cs="Palatino Linotype"/>
          <w:b/>
          <w:bCs/>
          <w:color w:val="000000"/>
        </w:rPr>
        <w:t>modificar</w:t>
      </w:r>
      <w:r>
        <w:rPr>
          <w:rFonts w:ascii="Palatino Linotype" w:eastAsia="Palatino Linotype" w:hAnsi="Palatino Linotype" w:cs="Palatino Linotype"/>
          <w:color w:val="000000"/>
        </w:rPr>
        <w:t xml:space="preserve"> la respuesta 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entregar la información, atendiendo las disposiciones establecidas en los </w:t>
      </w:r>
      <w:r>
        <w:rPr>
          <w:rFonts w:ascii="Palatino Linotype" w:eastAsia="Palatino Linotype" w:hAnsi="Palatino Linotype" w:cs="Palatino Linotype"/>
          <w:i/>
          <w:iCs/>
          <w:color w:val="000000"/>
        </w:rPr>
        <w:t>Lineamientos Generales en Materia de Clasificación y Desclasificación de la Información, así como para la Elaboración de Versiones Públicas</w:t>
      </w:r>
      <w:r>
        <w:rPr>
          <w:rFonts w:ascii="Palatino Linotype" w:eastAsia="Palatino Linotype" w:hAnsi="Palatino Linotype" w:cs="Palatino Linotype"/>
          <w:color w:val="000000"/>
        </w:rPr>
        <w:t>, y el numeral 166 de la Ley de Transparencia y Acceso a la Información Pública del Estado de México y Municipios.</w:t>
      </w:r>
    </w:p>
    <w:p w:rsidR="00D97448" w:rsidRDefault="00D97448">
      <w:pPr>
        <w:pBdr>
          <w:top w:val="nil"/>
          <w:left w:val="nil"/>
          <w:bottom w:val="nil"/>
          <w:right w:val="nil"/>
          <w:between w:val="nil"/>
        </w:pBdr>
        <w:spacing w:line="360" w:lineRule="auto"/>
        <w:ind w:left="708" w:right="-847"/>
        <w:rPr>
          <w:rFonts w:ascii="Palatino Linotype" w:eastAsia="Palatino Linotype" w:hAnsi="Palatino Linotype" w:cs="Palatino Linotype"/>
          <w:color w:val="000000"/>
        </w:rPr>
      </w:pPr>
    </w:p>
    <w:p w:rsidR="00D97448" w:rsidRDefault="009E7017">
      <w:pPr>
        <w:numPr>
          <w:ilvl w:val="0"/>
          <w:numId w:val="2"/>
        </w:numPr>
        <w:pBdr>
          <w:top w:val="nil"/>
          <w:left w:val="nil"/>
          <w:bottom w:val="nil"/>
          <w:right w:val="nil"/>
          <w:between w:val="nil"/>
        </w:pBdr>
        <w:tabs>
          <w:tab w:val="left" w:pos="426"/>
        </w:tabs>
        <w:spacing w:line="360" w:lineRule="auto"/>
        <w:ind w:left="0" w:right="-847" w:firstLine="0"/>
        <w:jc w:val="both"/>
        <w:rPr>
          <w:color w:val="000000"/>
        </w:rPr>
      </w:pPr>
      <w:r>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Considerando Sexto de la presente resolución.</w:t>
      </w:r>
    </w:p>
    <w:p w:rsidR="00D97448" w:rsidRDefault="00D97448">
      <w:pPr>
        <w:pBdr>
          <w:top w:val="nil"/>
          <w:left w:val="nil"/>
          <w:bottom w:val="nil"/>
          <w:right w:val="nil"/>
          <w:between w:val="nil"/>
        </w:pBdr>
        <w:spacing w:line="360" w:lineRule="auto"/>
        <w:ind w:left="708" w:right="-847"/>
        <w:rPr>
          <w:rFonts w:ascii="Palatino Linotype" w:eastAsia="Palatino Linotype" w:hAnsi="Palatino Linotype" w:cs="Palatino Linotype"/>
          <w:color w:val="000000"/>
        </w:rPr>
      </w:pPr>
      <w:bookmarkStart w:id="7" w:name="_heading=h.uhbn3qbrm8an" w:colFirst="0" w:colLast="0"/>
      <w:bookmarkEnd w:id="7"/>
    </w:p>
    <w:p w:rsidR="00D97448" w:rsidRDefault="009E7017">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b/>
          <w:bCs/>
          <w:color w:val="000000"/>
        </w:rPr>
      </w:pPr>
      <w:bookmarkStart w:id="8" w:name="_heading=h.g3v24glqilow" w:colFirst="0" w:colLast="0"/>
      <w:bookmarkEnd w:id="8"/>
      <w:r>
        <w:rPr>
          <w:rFonts w:ascii="Palatino Linotype" w:eastAsia="Palatino Linotype" w:hAnsi="Palatino Linotype" w:cs="Palatino Linotype"/>
          <w:b/>
          <w:bCs/>
          <w:color w:val="000000"/>
        </w:rPr>
        <w:t>SEXTO. De la versión pública.</w:t>
      </w:r>
    </w:p>
    <w:p w:rsidR="00D97448" w:rsidRDefault="009E7017">
      <w:pPr>
        <w:keepNext/>
        <w:keepLines/>
        <w:tabs>
          <w:tab w:val="left" w:pos="284"/>
        </w:tabs>
        <w:spacing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w:t>
      </w:r>
      <w:r>
        <w:rPr>
          <w:rFonts w:ascii="Palatino Linotype" w:eastAsia="Palatino Linotype" w:hAnsi="Palatino Linotype" w:cs="Palatino Linotype"/>
          <w:color w:val="000000"/>
        </w:rPr>
        <w:lastRenderedPageBreak/>
        <w:t xml:space="preserve">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97448" w:rsidRDefault="00D97448">
      <w:pPr>
        <w:pBdr>
          <w:top w:val="none" w:sz="0" w:space="0" w:color="000000"/>
          <w:left w:val="none" w:sz="0" w:space="0" w:color="000000"/>
          <w:bottom w:val="none" w:sz="0" w:space="0" w:color="000000"/>
          <w:right w:val="none" w:sz="0" w:space="0" w:color="000000"/>
          <w:between w:val="none" w:sz="0" w:space="0" w:color="000000"/>
        </w:pBdr>
        <w:spacing w:line="360" w:lineRule="auto"/>
        <w:ind w:right="-847"/>
        <w:jc w:val="both"/>
        <w:rPr>
          <w:rFonts w:ascii="Palatino Linotype" w:eastAsia="Palatino Linotype" w:hAnsi="Palatino Linotype" w:cs="Palatino Linotype"/>
          <w:color w:val="000000"/>
        </w:rPr>
      </w:pPr>
    </w:p>
    <w:p w:rsidR="00D97448" w:rsidRDefault="009E7017">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D97448" w:rsidRDefault="00D97448">
      <w:pPr>
        <w:tabs>
          <w:tab w:val="left" w:pos="284"/>
        </w:tabs>
        <w:spacing w:line="360" w:lineRule="auto"/>
        <w:ind w:right="-847"/>
        <w:jc w:val="both"/>
        <w:rPr>
          <w:rFonts w:ascii="Palatino Linotype" w:eastAsia="Palatino Linotype" w:hAnsi="Palatino Linotype" w:cs="Palatino Linotype"/>
          <w:color w:val="000000"/>
        </w:rPr>
      </w:pPr>
    </w:p>
    <w:tbl>
      <w:tblPr>
        <w:tblStyle w:val="a"/>
        <w:tblW w:w="10005"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015"/>
        <w:gridCol w:w="6990"/>
      </w:tblGrid>
      <w:tr w:rsidR="00D97448">
        <w:tc>
          <w:tcPr>
            <w:tcW w:w="3015" w:type="dxa"/>
          </w:tcPr>
          <w:p w:rsidR="00D97448" w:rsidRDefault="009E7017">
            <w:pPr>
              <w:tabs>
                <w:tab w:val="left" w:pos="284"/>
              </w:tabs>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990" w:type="dxa"/>
          </w:tcPr>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D97448" w:rsidRDefault="009E7017">
            <w:pPr>
              <w:tabs>
                <w:tab w:val="left" w:pos="284"/>
              </w:tabs>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 xml:space="preserve">no se puede hacer un acuerdo para clasificar de manera general todos </w:t>
            </w:r>
            <w:r>
              <w:rPr>
                <w:rFonts w:ascii="Palatino Linotype" w:eastAsia="Palatino Linotype" w:hAnsi="Palatino Linotype" w:cs="Palatino Linotype"/>
                <w:color w:val="000000"/>
                <w:u w:val="single"/>
              </w:rPr>
              <w:lastRenderedPageBreak/>
              <w:t>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D97448">
        <w:tc>
          <w:tcPr>
            <w:tcW w:w="3015" w:type="dxa"/>
          </w:tcPr>
          <w:p w:rsidR="00D97448" w:rsidRDefault="009E7017">
            <w:pPr>
              <w:tabs>
                <w:tab w:val="left" w:pos="284"/>
              </w:tabs>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990" w:type="dxa"/>
          </w:tcPr>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97448" w:rsidRDefault="009E7017">
            <w:pPr>
              <w:tabs>
                <w:tab w:val="left" w:pos="284"/>
              </w:tabs>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97448">
        <w:tc>
          <w:tcPr>
            <w:tcW w:w="3015" w:type="dxa"/>
          </w:tcPr>
          <w:p w:rsidR="00D97448" w:rsidRDefault="009E7017">
            <w:pPr>
              <w:tabs>
                <w:tab w:val="left" w:pos="284"/>
              </w:tabs>
              <w:spacing w:line="360" w:lineRule="auto"/>
              <w:ind w:right="-7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990" w:type="dxa"/>
          </w:tcPr>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D97448" w:rsidRDefault="009E7017">
            <w:pPr>
              <w:tabs>
                <w:tab w:val="left" w:pos="284"/>
              </w:tabs>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97448">
        <w:tc>
          <w:tcPr>
            <w:tcW w:w="3015" w:type="dxa"/>
          </w:tcPr>
          <w:p w:rsidR="00D97448" w:rsidRDefault="00D97448">
            <w:pPr>
              <w:tabs>
                <w:tab w:val="left" w:pos="284"/>
              </w:tabs>
              <w:spacing w:line="360" w:lineRule="auto"/>
              <w:ind w:right="-76"/>
              <w:rPr>
                <w:rFonts w:ascii="Palatino Linotype" w:eastAsia="Palatino Linotype" w:hAnsi="Palatino Linotype" w:cs="Palatino Linotype"/>
              </w:rPr>
            </w:pPr>
          </w:p>
          <w:p w:rsidR="00D97448" w:rsidRDefault="009E7017">
            <w:pPr>
              <w:tabs>
                <w:tab w:val="left" w:pos="284"/>
              </w:tabs>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990" w:type="dxa"/>
          </w:tcPr>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w:t>
            </w:r>
            <w:r>
              <w:rPr>
                <w:rFonts w:ascii="Palatino Linotype" w:eastAsia="Palatino Linotype" w:hAnsi="Palatino Linotype" w:cs="Palatino Linotype"/>
                <w:color w:val="000000"/>
              </w:rPr>
              <w:lastRenderedPageBreak/>
              <w:t>descuentos personales, secretos bancario, fiduciario, industrial, comercial, fiscal, bursátil y postal, cuya titularidad corresponda a particulares, entre otros.</w:t>
            </w:r>
          </w:p>
        </w:tc>
      </w:tr>
      <w:tr w:rsidR="00D97448">
        <w:tc>
          <w:tcPr>
            <w:tcW w:w="3015" w:type="dxa"/>
          </w:tcPr>
          <w:p w:rsidR="00D97448" w:rsidRDefault="009E7017">
            <w:pPr>
              <w:tabs>
                <w:tab w:val="left" w:pos="284"/>
              </w:tabs>
              <w:spacing w:line="360" w:lineRule="auto"/>
              <w:ind w:right="-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990" w:type="dxa"/>
          </w:tcPr>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D97448" w:rsidRDefault="009E7017">
            <w:pPr>
              <w:tabs>
                <w:tab w:val="left" w:pos="284"/>
              </w:tabs>
              <w:spacing w:line="360" w:lineRule="auto"/>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97448" w:rsidRDefault="009E7017">
            <w:pPr>
              <w:tabs>
                <w:tab w:val="left" w:pos="284"/>
              </w:tabs>
              <w:spacing w:line="360" w:lineRule="auto"/>
              <w:ind w:right="-76"/>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97448" w:rsidRDefault="00D97448">
      <w:pPr>
        <w:tabs>
          <w:tab w:val="left" w:pos="284"/>
        </w:tabs>
        <w:spacing w:line="360" w:lineRule="auto"/>
        <w:ind w:right="-847"/>
        <w:rPr>
          <w:rFonts w:ascii="Palatino Linotype" w:eastAsia="Palatino Linotype" w:hAnsi="Palatino Linotype" w:cs="Palatino Linotype"/>
          <w:color w:val="000000"/>
        </w:rPr>
      </w:pPr>
    </w:p>
    <w:p w:rsidR="00D97448" w:rsidRDefault="009E7017">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D97448" w:rsidRDefault="009E7017">
      <w:pPr>
        <w:keepNext/>
        <w:keepLines/>
        <w:spacing w:before="240" w:line="360" w:lineRule="auto"/>
        <w:ind w:right="-84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R E S O L U T I V O S</w:t>
      </w:r>
    </w:p>
    <w:p w:rsidR="00D97448" w:rsidRDefault="00D97448">
      <w:pPr>
        <w:keepNext/>
        <w:keepLines/>
        <w:spacing w:before="240" w:line="360" w:lineRule="auto"/>
        <w:ind w:right="-847"/>
        <w:jc w:val="center"/>
        <w:rPr>
          <w:rFonts w:ascii="Palatino Linotype" w:eastAsia="Palatino Linotype" w:hAnsi="Palatino Linotype" w:cs="Palatino Linotype"/>
          <w:b/>
          <w:bCs/>
        </w:rPr>
      </w:pPr>
    </w:p>
    <w:p w:rsidR="00D97448" w:rsidRDefault="009E7017">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recursos de revisión </w:t>
      </w:r>
      <w:r>
        <w:rPr>
          <w:rFonts w:ascii="Palatino Linotype" w:eastAsia="Palatino Linotype" w:hAnsi="Palatino Linotype" w:cs="Palatino Linotype"/>
          <w:b/>
          <w:bCs/>
        </w:rPr>
        <w:t xml:space="preserve">03708/INFOEM/IP/RR/2026,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D97448" w:rsidRDefault="00D97448">
      <w:pPr>
        <w:spacing w:line="360" w:lineRule="auto"/>
        <w:ind w:right="-847"/>
        <w:jc w:val="both"/>
        <w:rPr>
          <w:rFonts w:ascii="Palatino Linotype" w:eastAsia="Palatino Linotype" w:hAnsi="Palatino Linotype" w:cs="Palatino Linotype"/>
        </w:rPr>
      </w:pPr>
      <w:bookmarkStart w:id="9" w:name="_heading=h.t3d3bcxuhphk" w:colFirst="0" w:colLast="0"/>
      <w:bookmarkEnd w:id="9"/>
    </w:p>
    <w:p w:rsidR="00D97448" w:rsidRDefault="009E7017">
      <w:pP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Poder Judicial </w:t>
      </w:r>
      <w:r>
        <w:rPr>
          <w:rFonts w:ascii="Palatino Linotype" w:eastAsia="Palatino Linotype" w:hAnsi="Palatino Linotype" w:cs="Palatino Linotype"/>
        </w:rPr>
        <w:t xml:space="preserve">a la solicitud </w:t>
      </w:r>
      <w:r>
        <w:rPr>
          <w:rFonts w:ascii="Palatino Linotype" w:eastAsia="Palatino Linotype" w:hAnsi="Palatino Linotype" w:cs="Palatino Linotype"/>
          <w:b/>
          <w:bCs/>
          <w:color w:val="000000"/>
        </w:rPr>
        <w:t>00211/PJUDIC</w:t>
      </w:r>
      <w:r w:rsidR="00385D89">
        <w:rPr>
          <w:rFonts w:ascii="Palatino Linotype" w:eastAsia="Palatino Linotype" w:hAnsi="Palatino Linotype" w:cs="Palatino Linotype"/>
          <w:b/>
          <w:bCs/>
          <w:color w:val="000000"/>
        </w:rPr>
        <w:t>I</w:t>
      </w:r>
      <w:r>
        <w:rPr>
          <w:rFonts w:ascii="Palatino Linotype" w:eastAsia="Palatino Linotype" w:hAnsi="Palatino Linotype" w:cs="Palatino Linotype"/>
          <w:b/>
          <w:bCs/>
          <w:color w:val="000000"/>
        </w:rPr>
        <w:t xml:space="preserve">/IP/2026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entregar vía Sistema de Acceso a la Información Mexiquense (SAIMX), previa búsqueda exhaustiva y de ser procedente en versión pública la siguiente información:</w:t>
      </w:r>
    </w:p>
    <w:p w:rsidR="00D97448" w:rsidRDefault="00D97448">
      <w:pPr>
        <w:spacing w:line="360" w:lineRule="auto"/>
        <w:ind w:right="-847"/>
        <w:jc w:val="both"/>
        <w:rPr>
          <w:rFonts w:ascii="Palatino Linotype" w:eastAsia="Palatino Linotype" w:hAnsi="Palatino Linotype" w:cs="Palatino Linotype"/>
          <w:color w:val="000000"/>
        </w:rPr>
      </w:pPr>
    </w:p>
    <w:p w:rsidR="00D97448" w:rsidRPr="002B4B4F" w:rsidRDefault="009E7017" w:rsidP="002B4B4F">
      <w:pPr>
        <w:pStyle w:val="Prrafodelista"/>
        <w:numPr>
          <w:ilvl w:val="0"/>
          <w:numId w:val="4"/>
        </w:num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r w:rsidRPr="002B4B4F">
        <w:rPr>
          <w:rFonts w:ascii="Palatino Linotype" w:eastAsia="Palatino Linotype" w:hAnsi="Palatino Linotype" w:cs="Palatino Linotype"/>
          <w:b/>
          <w:bCs/>
          <w:color w:val="242424"/>
        </w:rPr>
        <w:t xml:space="preserve">El o los documentos donde </w:t>
      </w:r>
      <w:r w:rsidRPr="007258E4">
        <w:rPr>
          <w:rFonts w:ascii="Palatino Linotype" w:eastAsia="Palatino Linotype" w:hAnsi="Palatino Linotype" w:cs="Palatino Linotype"/>
          <w:b/>
          <w:bCs/>
          <w:color w:val="242424"/>
        </w:rPr>
        <w:t>conste</w:t>
      </w:r>
      <w:r w:rsidR="002B4B4F" w:rsidRPr="007258E4">
        <w:rPr>
          <w:rFonts w:ascii="Palatino Linotype" w:eastAsia="Palatino Linotype" w:hAnsi="Palatino Linotype" w:cs="Palatino Linotype"/>
          <w:b/>
          <w:bCs/>
          <w:color w:val="242424"/>
        </w:rPr>
        <w:t>n</w:t>
      </w:r>
      <w:r w:rsidRPr="007258E4">
        <w:rPr>
          <w:rFonts w:ascii="Palatino Linotype" w:eastAsia="Palatino Linotype" w:hAnsi="Palatino Linotype" w:cs="Palatino Linotype"/>
          <w:b/>
          <w:bCs/>
          <w:color w:val="242424"/>
        </w:rPr>
        <w:t xml:space="preserve"> </w:t>
      </w:r>
      <w:r w:rsidR="002B4B4F" w:rsidRPr="007258E4">
        <w:rPr>
          <w:rFonts w:ascii="Palatino Linotype" w:eastAsia="Palatino Linotype" w:hAnsi="Palatino Linotype" w:cs="Palatino Linotype"/>
          <w:b/>
          <w:bCs/>
          <w:color w:val="242424"/>
        </w:rPr>
        <w:t xml:space="preserve">los </w:t>
      </w:r>
      <w:r w:rsidRPr="007258E4">
        <w:rPr>
          <w:rFonts w:ascii="Palatino Linotype" w:eastAsia="Palatino Linotype" w:hAnsi="Palatino Linotype" w:cs="Palatino Linotype"/>
          <w:b/>
          <w:bCs/>
          <w:color w:val="242424"/>
        </w:rPr>
        <w:t>expedientes</w:t>
      </w:r>
      <w:r w:rsidRPr="002B4B4F">
        <w:rPr>
          <w:rFonts w:ascii="Palatino Linotype" w:eastAsia="Palatino Linotype" w:hAnsi="Palatino Linotype" w:cs="Palatino Linotype"/>
          <w:b/>
          <w:bCs/>
          <w:color w:val="242424"/>
        </w:rPr>
        <w:t xml:space="preserve"> extraviados, no localizados, sustraídos, desaparecidos o perdidos se contabilizaron en los años 2024 y 2025 correspondientes al Juzgado Segundo de lo Familiar en el Distrito Judicial de Tlalnepantla. </w:t>
      </w:r>
    </w:p>
    <w:p w:rsidR="00D97448" w:rsidRDefault="00D97448">
      <w:pPr>
        <w:pBdr>
          <w:top w:val="nil"/>
          <w:left w:val="nil"/>
          <w:bottom w:val="nil"/>
          <w:right w:val="nil"/>
          <w:between w:val="nil"/>
        </w:pBdr>
        <w:spacing w:line="360" w:lineRule="auto"/>
        <w:ind w:left="720" w:right="-847"/>
        <w:jc w:val="both"/>
        <w:rPr>
          <w:rFonts w:ascii="Palatino Linotype" w:eastAsia="Palatino Linotype" w:hAnsi="Palatino Linotype" w:cs="Palatino Linotype"/>
          <w:i/>
          <w:iCs/>
          <w:color w:val="000000"/>
        </w:rPr>
      </w:pPr>
    </w:p>
    <w:p w:rsidR="00D97448" w:rsidRDefault="009E7017">
      <w:pPr>
        <w:tabs>
          <w:tab w:val="left" w:pos="993"/>
        </w:tabs>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Para </w:t>
      </w:r>
      <w:r>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D97448" w:rsidRDefault="00D97448">
      <w:pPr>
        <w:tabs>
          <w:tab w:val="left" w:pos="993"/>
        </w:tabs>
        <w:spacing w:line="360" w:lineRule="auto"/>
        <w:ind w:right="-847"/>
        <w:jc w:val="both"/>
        <w:rPr>
          <w:rFonts w:ascii="Palatino Linotype" w:eastAsia="Palatino Linotype" w:hAnsi="Palatino Linotype" w:cs="Palatino Linotype"/>
        </w:rPr>
      </w:pPr>
    </w:p>
    <w:p w:rsidR="00D97448" w:rsidRDefault="009E7017">
      <w:pPr>
        <w:spacing w:line="360" w:lineRule="auto"/>
        <w:ind w:right="-847"/>
        <w:jc w:val="both"/>
        <w:rPr>
          <w:rFonts w:ascii="Palatino Linotype" w:eastAsia="Palatino Linotype" w:hAnsi="Palatino Linotype" w:cs="Palatino Linotype"/>
          <w:color w:val="242424"/>
          <w:highlight w:val="white"/>
        </w:rPr>
      </w:pPr>
      <w:r>
        <w:rPr>
          <w:rFonts w:ascii="Palatino Linotype" w:eastAsia="Palatino Linotype" w:hAnsi="Palatino Linotype" w:cs="Palatino Linotype"/>
          <w:color w:val="242424"/>
          <w:highlight w:val="white"/>
        </w:rPr>
        <w:lastRenderedPageBreak/>
        <w:t xml:space="preserve">En el supuesto de que el </w:t>
      </w:r>
      <w:r>
        <w:rPr>
          <w:rFonts w:ascii="Palatino Linotype" w:eastAsia="Palatino Linotype" w:hAnsi="Palatino Linotype" w:cs="Palatino Linotype"/>
          <w:b/>
          <w:bCs/>
          <w:color w:val="242424"/>
          <w:highlight w:val="white"/>
        </w:rPr>
        <w:t>SUJETO OBLIGADO</w:t>
      </w:r>
      <w:r>
        <w:rPr>
          <w:rFonts w:ascii="Palatino Linotype" w:eastAsia="Palatino Linotype" w:hAnsi="Palatino Linotype" w:cs="Palatino Linotype"/>
          <w:color w:val="242424"/>
          <w:highlight w:val="white"/>
        </w:rPr>
        <w:t xml:space="preserve"> no cuente con lo que se está ordenando, bastará con que así lo haga del conocimiento de la parte </w:t>
      </w:r>
      <w:r>
        <w:rPr>
          <w:rFonts w:ascii="Palatino Linotype" w:eastAsia="Palatino Linotype" w:hAnsi="Palatino Linotype" w:cs="Palatino Linotype"/>
          <w:b/>
          <w:bCs/>
          <w:color w:val="242424"/>
          <w:highlight w:val="white"/>
        </w:rPr>
        <w:t>RECURRENTE</w:t>
      </w:r>
      <w:r>
        <w:rPr>
          <w:rFonts w:ascii="Palatino Linotype" w:eastAsia="Palatino Linotype" w:hAnsi="Palatino Linotype" w:cs="Palatino Linotype"/>
          <w:color w:val="242424"/>
          <w:highlight w:val="white"/>
        </w:rPr>
        <w:t>, de manera clara y precisa, en términos del artículo 19, párrafo segundo de la Ley de Transparencia y Acceso a la Información pública del Estado de México y Municipios para tener por colmado el requerimiento de información.</w:t>
      </w:r>
    </w:p>
    <w:p w:rsidR="00D97448" w:rsidRDefault="00D97448">
      <w:pPr>
        <w:tabs>
          <w:tab w:val="left" w:pos="993"/>
        </w:tabs>
        <w:spacing w:line="360" w:lineRule="auto"/>
        <w:ind w:right="-847"/>
        <w:jc w:val="both"/>
        <w:rPr>
          <w:rFonts w:ascii="Palatino Linotype" w:eastAsia="Palatino Linotype" w:hAnsi="Palatino Linotype" w:cs="Palatino Linotype"/>
        </w:rPr>
      </w:pPr>
    </w:p>
    <w:p w:rsidR="00D97448" w:rsidRDefault="009E7017">
      <w:pPr>
        <w:shd w:val="clear" w:color="auto" w:fill="FFFFFF"/>
        <w:spacing w:line="360" w:lineRule="auto"/>
        <w:ind w:right="-847"/>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xml:space="preserve">TERCERO. </w:t>
      </w:r>
      <w:r>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dé cumplimiento a lo ordenado dentro del plazo de diez días hábiles,</w:t>
      </w:r>
      <w:r>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97448" w:rsidRDefault="00D97448">
      <w:pPr>
        <w:shd w:val="clear" w:color="auto" w:fill="FFFFFF"/>
        <w:spacing w:line="360" w:lineRule="auto"/>
        <w:ind w:right="-847"/>
        <w:jc w:val="both"/>
        <w:rPr>
          <w:rFonts w:ascii="Palatino Linotype" w:eastAsia="Palatino Linotype" w:hAnsi="Palatino Linotype" w:cs="Palatino Linotype"/>
          <w:b/>
          <w:bCs/>
          <w:color w:val="222222"/>
        </w:rPr>
      </w:pPr>
    </w:p>
    <w:p w:rsidR="00D97448" w:rsidRDefault="009E7017">
      <w:pPr>
        <w:shd w:val="clear" w:color="auto" w:fill="FFFFFF"/>
        <w:spacing w:line="360" w:lineRule="auto"/>
        <w:ind w:right="-84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D97448" w:rsidRDefault="00D97448">
      <w:pPr>
        <w:spacing w:line="360" w:lineRule="auto"/>
        <w:ind w:right="-847"/>
        <w:rPr>
          <w:rFonts w:ascii="Palatino Linotype" w:eastAsia="Palatino Linotype" w:hAnsi="Palatino Linotype" w:cs="Palatino Linotype"/>
        </w:rPr>
      </w:pPr>
    </w:p>
    <w:p w:rsidR="00D97448" w:rsidRDefault="009E7017">
      <w:pPr>
        <w:shd w:val="clear" w:color="auto" w:fill="FFFFFF"/>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al </w:t>
      </w:r>
      <w:r>
        <w:rPr>
          <w:rFonts w:ascii="Palatino Linotype" w:eastAsia="Palatino Linotype" w:hAnsi="Palatino Linotype" w:cs="Palatino Linotype"/>
          <w:b/>
          <w:bCs/>
          <w:color w:val="222222"/>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la presente resolución vía Sistema de Acceso a la Información Mexiquense (SAIMEX).</w:t>
      </w:r>
    </w:p>
    <w:p w:rsidR="00D97448" w:rsidRDefault="00D97448">
      <w:pPr>
        <w:shd w:val="clear" w:color="auto" w:fill="FFFFFF"/>
        <w:spacing w:line="360" w:lineRule="auto"/>
        <w:ind w:right="-847"/>
        <w:jc w:val="both"/>
        <w:rPr>
          <w:rFonts w:ascii="Palatino Linotype" w:eastAsia="Palatino Linotype" w:hAnsi="Palatino Linotype" w:cs="Palatino Linotype"/>
        </w:rPr>
      </w:pPr>
    </w:p>
    <w:p w:rsidR="00D97448" w:rsidRDefault="009E7017">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97448" w:rsidRDefault="00D97448">
      <w:pPr>
        <w:spacing w:line="360" w:lineRule="auto"/>
        <w:ind w:right="-847"/>
        <w:jc w:val="both"/>
        <w:rPr>
          <w:rFonts w:ascii="Palatino Linotype" w:eastAsia="Palatino Linotype" w:hAnsi="Palatino Linotype" w:cs="Palatino Linotype"/>
        </w:rPr>
      </w:pPr>
      <w:bookmarkStart w:id="10" w:name="_heading=h.u7dd8kyz2ns3" w:colFirst="0" w:colLast="0"/>
      <w:bookmarkEnd w:id="10"/>
    </w:p>
    <w:p w:rsidR="00385D89" w:rsidRPr="003E2295" w:rsidRDefault="00385D89" w:rsidP="00385D89">
      <w:pPr>
        <w:spacing w:before="240" w:after="240" w:line="360" w:lineRule="auto"/>
        <w:ind w:right="-850"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D97448" w:rsidRDefault="00D97448">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p w:rsidR="007258E4" w:rsidRDefault="007258E4">
      <w:pPr>
        <w:spacing w:before="240" w:after="240" w:line="360" w:lineRule="auto"/>
        <w:ind w:right="-847"/>
        <w:jc w:val="both"/>
        <w:rPr>
          <w:rFonts w:ascii="Palatino Linotype" w:eastAsia="Palatino Linotype" w:hAnsi="Palatino Linotype" w:cs="Palatino Linotype"/>
        </w:rPr>
      </w:pPr>
    </w:p>
    <w:sectPr w:rsidR="007258E4" w:rsidSect="00484558">
      <w:headerReference w:type="default" r:id="rId9"/>
      <w:footerReference w:type="default" r:id="rId10"/>
      <w:headerReference w:type="first" r:id="rId11"/>
      <w:footerReference w:type="first" r:id="rId12"/>
      <w:pgSz w:w="12240" w:h="15840"/>
      <w:pgMar w:top="2410" w:right="1467" w:bottom="1417" w:left="1559"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351" w:rsidRDefault="00F51351">
      <w:r>
        <w:separator/>
      </w:r>
    </w:p>
  </w:endnote>
  <w:endnote w:type="continuationSeparator" w:id="0">
    <w:p w:rsidR="00F51351" w:rsidRDefault="00F5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1E1B6929-F5CD-45BF-B84C-8A25DBC0EE69}"/>
    <w:embedBold r:id="rId2" w:fontKey="{3415A32B-74B7-43F7-89E5-01E239D35480}"/>
    <w:embedItalic r:id="rId3" w:fontKey="{4F809367-4DD6-4881-958A-3B40EE2C1CB1}"/>
    <w:embedBoldItalic r:id="rId4" w:fontKey="{75887F6D-A7CC-4085-81A3-73F79BCB9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14BCBBA3-6635-4EEC-B97A-BAEBB08B4507}"/>
  </w:font>
  <w:font w:name="Cambria">
    <w:panose1 w:val="02040503050406030204"/>
    <w:charset w:val="00"/>
    <w:family w:val="roman"/>
    <w:pitch w:val="variable"/>
    <w:sig w:usb0="E00006FF" w:usb1="420024FF" w:usb2="02000000" w:usb3="00000000" w:csb0="0000019F" w:csb1="00000000"/>
    <w:embedRegular r:id="rId6" w:fontKey="{5EA46A5C-A18F-4A69-93F9-2857BD6C4F0B}"/>
  </w:font>
  <w:font w:name="Calibri">
    <w:panose1 w:val="020F0502020204030204"/>
    <w:charset w:val="00"/>
    <w:family w:val="swiss"/>
    <w:pitch w:val="variable"/>
    <w:sig w:usb0="E4002EFF" w:usb1="C200247B" w:usb2="00000009" w:usb3="00000000" w:csb0="000001FF" w:csb1="00000000"/>
    <w:embedRegular r:id="rId7" w:fontKey="{A3B63962-74C1-43E5-9112-31535BAFB1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448" w:rsidRDefault="009E7017">
    <w:pPr>
      <w:pBdr>
        <w:top w:val="nil"/>
        <w:left w:val="nil"/>
        <w:bottom w:val="nil"/>
        <w:right w:val="nil"/>
        <w:between w:val="nil"/>
      </w:pBdr>
      <w:tabs>
        <w:tab w:val="center" w:pos="4252"/>
        <w:tab w:val="right" w:pos="8504"/>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D7C12">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D7C12">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D97448" w:rsidRDefault="00D97448">
    <w:pPr>
      <w:pBdr>
        <w:top w:val="nil"/>
        <w:left w:val="nil"/>
        <w:bottom w:val="nil"/>
        <w:right w:val="nil"/>
        <w:between w:val="nil"/>
      </w:pBdr>
      <w:tabs>
        <w:tab w:val="center" w:pos="4252"/>
        <w:tab w:val="right" w:pos="8504"/>
        <w:tab w:val="center" w:pos="4252"/>
        <w:tab w:val="right" w:pos="8504"/>
      </w:tabs>
      <w:rPr>
        <w:color w:val="000000"/>
      </w:rPr>
    </w:pPr>
  </w:p>
  <w:p w:rsidR="00D97448" w:rsidRDefault="00D97448">
    <w:pPr>
      <w:pBdr>
        <w:top w:val="nil"/>
        <w:left w:val="nil"/>
        <w:bottom w:val="nil"/>
        <w:right w:val="nil"/>
        <w:between w:val="nil"/>
      </w:pBdr>
      <w:tabs>
        <w:tab w:val="center" w:pos="4252"/>
        <w:tab w:val="right" w:pos="8504"/>
        <w:tab w:val="center" w:pos="4252"/>
        <w:tab w:val="right" w:pos="8504"/>
      </w:tabs>
      <w:ind w:firstLine="708"/>
      <w:rPr>
        <w:rFonts w:ascii="Cambria" w:eastAsia="Cambria" w:hAnsi="Cambria" w:cs="Cambria"/>
        <w:color w:val="000000"/>
      </w:rPr>
    </w:pPr>
  </w:p>
  <w:p w:rsidR="00D97448" w:rsidRDefault="00D974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448" w:rsidRDefault="009E7017">
    <w:pPr>
      <w:pBdr>
        <w:top w:val="nil"/>
        <w:left w:val="nil"/>
        <w:bottom w:val="nil"/>
        <w:right w:val="nil"/>
        <w:between w:val="nil"/>
      </w:pBdr>
      <w:tabs>
        <w:tab w:val="center" w:pos="4252"/>
        <w:tab w:val="right" w:pos="8504"/>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D7C1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D7C12">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D97448" w:rsidRDefault="00D97448">
    <w:pPr>
      <w:pBdr>
        <w:top w:val="nil"/>
        <w:left w:val="nil"/>
        <w:bottom w:val="nil"/>
        <w:right w:val="nil"/>
        <w:between w:val="nil"/>
      </w:pBdr>
      <w:tabs>
        <w:tab w:val="center" w:pos="4252"/>
        <w:tab w:val="right" w:pos="8504"/>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351" w:rsidRDefault="00F51351">
      <w:r>
        <w:separator/>
      </w:r>
    </w:p>
  </w:footnote>
  <w:footnote w:type="continuationSeparator" w:id="0">
    <w:p w:rsidR="00F51351" w:rsidRDefault="00F51351">
      <w:r>
        <w:continuationSeparator/>
      </w:r>
    </w:p>
  </w:footnote>
  <w:footnote w:id="1">
    <w:p w:rsidR="00D97448" w:rsidRDefault="009E701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Convención Americana sobre Derechos Humanos. Artículo 13.</w:t>
      </w:r>
    </w:p>
  </w:footnote>
  <w:footnote w:id="2">
    <w:p w:rsidR="00D97448" w:rsidRDefault="009E701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Constitución Política de los Estados Unidos Mexicanos. Artículo sexto, sección A, fracción I.</w:t>
      </w:r>
    </w:p>
  </w:footnote>
  <w:footnote w:id="3">
    <w:p w:rsidR="00D97448" w:rsidRDefault="009E701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D97448" w:rsidRDefault="009E7017">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Ibídem. Parr. 87.</w:t>
      </w:r>
    </w:p>
  </w:footnote>
  <w:footnote w:id="5">
    <w:p w:rsidR="00D97448" w:rsidRDefault="009E7017">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b/>
          <w:bCs/>
          <w:color w:val="000000"/>
          <w:sz w:val="20"/>
          <w:szCs w:val="20"/>
        </w:rPr>
        <w:t>Artículo 9.</w:t>
      </w:r>
      <w:r>
        <w:rPr>
          <w:rFonts w:ascii="Palatino Linotype" w:eastAsia="Palatino Linotype" w:hAnsi="Palatino Linotype" w:cs="Palatino Linotype"/>
          <w:color w:val="000000"/>
          <w:sz w:val="20"/>
          <w:szCs w:val="20"/>
        </w:rPr>
        <w:t xml:space="preserve"> El Instituto deberá regir su funcionamiento de acuerdo a los siguientes principios:</w:t>
      </w:r>
    </w:p>
    <w:p w:rsidR="00D97448" w:rsidRDefault="009E7017">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D97448" w:rsidRDefault="009E7017">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II. Eficacia:</w:t>
      </w:r>
      <w:r>
        <w:rPr>
          <w:rFonts w:ascii="Palatino Linotype" w:eastAsia="Palatino Linotype" w:hAnsi="Palatino Linotype" w:cs="Palatino Linotype"/>
          <w:color w:val="000000"/>
          <w:sz w:val="20"/>
          <w:szCs w:val="20"/>
        </w:rPr>
        <w:t xml:space="preserve"> Obligación del Instituto para tutelar, de manera efectiva, el derecho de acceso a la información</w:t>
      </w:r>
    </w:p>
    <w:p w:rsidR="00D97448" w:rsidRDefault="009E7017">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D97448" w:rsidRDefault="009E7017">
      <w:pPr>
        <w:pBdr>
          <w:top w:val="nil"/>
          <w:left w:val="nil"/>
          <w:bottom w:val="nil"/>
          <w:right w:val="nil"/>
          <w:between w:val="nil"/>
        </w:pBdr>
        <w:jc w:val="both"/>
        <w:rPr>
          <w:rFonts w:ascii="Cambria" w:eastAsia="Cambria" w:hAnsi="Cambria" w:cs="Cambria"/>
          <w:color w:val="000000"/>
          <w:sz w:val="20"/>
          <w:szCs w:val="20"/>
        </w:rPr>
      </w:pPr>
      <w:r>
        <w:rPr>
          <w:rFonts w:ascii="Palatino Linotype" w:eastAsia="Palatino Linotype" w:hAnsi="Palatino Linotype" w:cs="Palatino Linotype"/>
          <w:b/>
          <w:bCs/>
          <w:color w:val="000000"/>
          <w:sz w:val="20"/>
          <w:szCs w:val="20"/>
        </w:rPr>
        <w:t>IX. Profesionalismo:</w:t>
      </w:r>
      <w:r>
        <w:rPr>
          <w:rFonts w:ascii="Palatino Linotype" w:eastAsia="Palatino Linotype" w:hAnsi="Palatino Linotype" w:cs="Palatino Linotype"/>
          <w:color w:val="000000"/>
          <w:sz w:val="20"/>
          <w:szCs w:val="20"/>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 w:id="6">
    <w:p w:rsidR="00D97448" w:rsidRDefault="009E701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7">
    <w:p w:rsidR="00D97448" w:rsidRDefault="009E701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8">
    <w:p w:rsidR="00D97448" w:rsidRDefault="009E701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9">
    <w:p w:rsidR="00D97448" w:rsidRDefault="009E701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10">
    <w:p w:rsidR="00D97448" w:rsidRDefault="009E7017">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1">
    <w:p w:rsidR="00D97448" w:rsidRDefault="009E7017">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448" w:rsidRDefault="00F51351">
    <w:pPr>
      <w:widowControl w:val="0"/>
      <w:spacing w:line="276"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5.45pt;margin-top:-120.95pt;width:609.4pt;height:793.75pt;z-index:-251659264;mso-position-horizontal-relative:margin;mso-position-vertical-relative:margin">
          <v:imagedata r:id="rId1" o:title="image1"/>
          <w10:wrap anchorx="margin" anchory="margin"/>
        </v:shape>
      </w:pict>
    </w:r>
  </w:p>
  <w:tbl>
    <w:tblPr>
      <w:tblStyle w:val="a1"/>
      <w:tblpPr w:leftFromText="180" w:rightFromText="180" w:topFromText="180" w:bottomFromText="180" w:vertAnchor="text" w:tblpX="3748"/>
      <w:tblW w:w="6959" w:type="dxa"/>
      <w:tblInd w:w="0" w:type="dxa"/>
      <w:tblLayout w:type="fixed"/>
      <w:tblLook w:val="0000" w:firstRow="0" w:lastRow="0" w:firstColumn="0" w:lastColumn="0" w:noHBand="0" w:noVBand="0"/>
    </w:tblPr>
    <w:tblGrid>
      <w:gridCol w:w="2701"/>
      <w:gridCol w:w="4258"/>
    </w:tblGrid>
    <w:tr w:rsidR="00D97448" w:rsidTr="00226DBF">
      <w:tc>
        <w:tcPr>
          <w:tcW w:w="2701" w:type="dxa"/>
          <w:vAlign w:val="center"/>
        </w:tcPr>
        <w:p w:rsidR="00D97448" w:rsidRDefault="009E7017" w:rsidP="00226DBF">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58" w:type="dxa"/>
          <w:vAlign w:val="center"/>
        </w:tcPr>
        <w:p w:rsidR="00D97448" w:rsidRDefault="009E7017" w:rsidP="00226DBF">
          <w:pPr>
            <w:rPr>
              <w:rFonts w:ascii="Palatino Linotype" w:eastAsia="Palatino Linotype" w:hAnsi="Palatino Linotype" w:cs="Palatino Linotype"/>
            </w:rPr>
          </w:pPr>
          <w:r>
            <w:rPr>
              <w:rFonts w:ascii="Palatino Linotype" w:eastAsia="Palatino Linotype" w:hAnsi="Palatino Linotype" w:cs="Palatino Linotype"/>
            </w:rPr>
            <w:t xml:space="preserve">3708/INFOEM/IP/RR/2026 </w:t>
          </w:r>
        </w:p>
      </w:tc>
    </w:tr>
    <w:tr w:rsidR="00D97448" w:rsidTr="00226DBF">
      <w:trPr>
        <w:trHeight w:val="228"/>
      </w:trPr>
      <w:tc>
        <w:tcPr>
          <w:tcW w:w="2701" w:type="dxa"/>
          <w:vAlign w:val="center"/>
        </w:tcPr>
        <w:p w:rsidR="00D97448" w:rsidRDefault="009E7017" w:rsidP="00226DBF">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58" w:type="dxa"/>
          <w:vAlign w:val="center"/>
        </w:tcPr>
        <w:p w:rsidR="00D97448" w:rsidRDefault="009E7017" w:rsidP="00226DBF">
          <w:pPr>
            <w:rPr>
              <w:rFonts w:ascii="Palatino Linotype" w:eastAsia="Palatino Linotype" w:hAnsi="Palatino Linotype" w:cs="Palatino Linotype"/>
            </w:rPr>
          </w:pPr>
          <w:r>
            <w:rPr>
              <w:rFonts w:ascii="Palatino Linotype" w:eastAsia="Palatino Linotype" w:hAnsi="Palatino Linotype" w:cs="Palatino Linotype"/>
            </w:rPr>
            <w:t>Poder Judicial</w:t>
          </w:r>
        </w:p>
      </w:tc>
    </w:tr>
    <w:tr w:rsidR="00D97448" w:rsidTr="00226DBF">
      <w:tc>
        <w:tcPr>
          <w:tcW w:w="2701" w:type="dxa"/>
          <w:vAlign w:val="center"/>
        </w:tcPr>
        <w:p w:rsidR="00D97448" w:rsidRDefault="009E7017" w:rsidP="00226DBF">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58" w:type="dxa"/>
          <w:vAlign w:val="center"/>
        </w:tcPr>
        <w:p w:rsidR="00D97448" w:rsidRDefault="009E7017" w:rsidP="00226DBF">
          <w:pPr>
            <w:ind w:right="-533"/>
            <w:rPr>
              <w:rFonts w:ascii="Palatino Linotype" w:eastAsia="Palatino Linotype" w:hAnsi="Palatino Linotype" w:cs="Palatino Linotype"/>
            </w:rPr>
          </w:pPr>
          <w:r>
            <w:rPr>
              <w:rFonts w:ascii="Palatino Linotype" w:eastAsia="Palatino Linotype" w:hAnsi="Palatino Linotype" w:cs="Palatino Linotype"/>
            </w:rPr>
            <w:t xml:space="preserve">María del Rosario Mejía Ayala  </w:t>
          </w:r>
        </w:p>
      </w:tc>
    </w:tr>
  </w:tbl>
  <w:p w:rsidR="00D97448" w:rsidRDefault="009E7017">
    <w:pPr>
      <w:pBdr>
        <w:top w:val="nil"/>
        <w:left w:val="nil"/>
        <w:bottom w:val="nil"/>
        <w:right w:val="nil"/>
        <w:between w:val="nil"/>
      </w:pBdr>
      <w:tabs>
        <w:tab w:val="center" w:pos="4252"/>
        <w:tab w:val="right" w:pos="8504"/>
        <w:tab w:val="left" w:pos="2326"/>
      </w:tabs>
      <w:rPr>
        <w:rFonts w:ascii="Cambria" w:eastAsia="Cambria" w:hAnsi="Cambria" w:cs="Cambria"/>
        <w:color w:val="000000"/>
      </w:rPr>
    </w:pPr>
    <w:r>
      <w:rPr>
        <w:rFonts w:ascii="Cambria" w:eastAsia="Cambria" w:hAnsi="Cambria" w:cs="Cambria"/>
        <w:color w:val="000000"/>
      </w:rPr>
      <w:tab/>
    </w:r>
  </w:p>
  <w:p w:rsidR="00D97448" w:rsidRDefault="00D97448">
    <w:pPr>
      <w:pBdr>
        <w:top w:val="nil"/>
        <w:left w:val="nil"/>
        <w:bottom w:val="nil"/>
        <w:right w:val="nil"/>
        <w:between w:val="nil"/>
      </w:pBdr>
      <w:tabs>
        <w:tab w:val="center" w:pos="4252"/>
        <w:tab w:val="right" w:pos="8504"/>
        <w:tab w:val="left" w:pos="2326"/>
      </w:tabs>
      <w:rPr>
        <w:rFonts w:ascii="Cambria" w:eastAsia="Cambria" w:hAnsi="Cambria" w:cs="Cambria"/>
        <w:color w:val="000000"/>
      </w:rPr>
    </w:pPr>
  </w:p>
  <w:p w:rsidR="00D97448" w:rsidRDefault="00D974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095" w:type="dxa"/>
      <w:tblInd w:w="3828" w:type="dxa"/>
      <w:tblLayout w:type="fixed"/>
      <w:tblLook w:val="0000" w:firstRow="0" w:lastRow="0" w:firstColumn="0" w:lastColumn="0" w:noHBand="0" w:noVBand="0"/>
    </w:tblPr>
    <w:tblGrid>
      <w:gridCol w:w="2693"/>
      <w:gridCol w:w="3402"/>
    </w:tblGrid>
    <w:tr w:rsidR="00D97448" w:rsidTr="00484558">
      <w:trPr>
        <w:trHeight w:val="277"/>
      </w:trPr>
      <w:tc>
        <w:tcPr>
          <w:tcW w:w="2693" w:type="dxa"/>
          <w:vAlign w:val="center"/>
        </w:tcPr>
        <w:p w:rsidR="00D97448" w:rsidRDefault="009E7017" w:rsidP="00484558">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402" w:type="dxa"/>
          <w:vAlign w:val="center"/>
        </w:tcPr>
        <w:p w:rsidR="00D97448" w:rsidRDefault="009E7017">
          <w:pPr>
            <w:rPr>
              <w:rFonts w:ascii="Palatino Linotype" w:eastAsia="Palatino Linotype" w:hAnsi="Palatino Linotype" w:cs="Palatino Linotype"/>
            </w:rPr>
          </w:pPr>
          <w:r>
            <w:rPr>
              <w:rFonts w:ascii="Palatino Linotype" w:eastAsia="Palatino Linotype" w:hAnsi="Palatino Linotype" w:cs="Palatino Linotype"/>
            </w:rPr>
            <w:t xml:space="preserve">03708/INFOEM/IP/RR/2026 </w:t>
          </w:r>
        </w:p>
      </w:tc>
    </w:tr>
    <w:tr w:rsidR="00D97448" w:rsidTr="00484558">
      <w:tc>
        <w:tcPr>
          <w:tcW w:w="2693" w:type="dxa"/>
          <w:vAlign w:val="center"/>
        </w:tcPr>
        <w:p w:rsidR="00D97448" w:rsidRDefault="009E7017">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402" w:type="dxa"/>
          <w:vAlign w:val="center"/>
        </w:tcPr>
        <w:p w:rsidR="00D97448" w:rsidRDefault="000D7C12">
          <w:pPr>
            <w:rPr>
              <w:rFonts w:ascii="Palatino Linotype" w:eastAsia="Palatino Linotype" w:hAnsi="Palatino Linotype" w:cs="Palatino Linotype"/>
            </w:rPr>
          </w:pPr>
          <w:r>
            <w:rPr>
              <w:rFonts w:ascii="Palatino Linotype" w:eastAsia="Palatino Linotype" w:hAnsi="Palatino Linotype" w:cs="Palatino Linotype"/>
            </w:rPr>
            <w:t>XXXX</w:t>
          </w:r>
        </w:p>
      </w:tc>
    </w:tr>
    <w:tr w:rsidR="00D97448" w:rsidTr="00484558">
      <w:trPr>
        <w:trHeight w:val="228"/>
      </w:trPr>
      <w:tc>
        <w:tcPr>
          <w:tcW w:w="2693" w:type="dxa"/>
          <w:vAlign w:val="center"/>
        </w:tcPr>
        <w:p w:rsidR="00D97448" w:rsidRDefault="009E7017">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402" w:type="dxa"/>
          <w:vAlign w:val="center"/>
        </w:tcPr>
        <w:p w:rsidR="00D97448" w:rsidRDefault="009E7017">
          <w:pPr>
            <w:rPr>
              <w:rFonts w:ascii="Palatino Linotype" w:eastAsia="Palatino Linotype" w:hAnsi="Palatino Linotype" w:cs="Palatino Linotype"/>
            </w:rPr>
          </w:pPr>
          <w:r>
            <w:rPr>
              <w:rFonts w:ascii="Palatino Linotype" w:eastAsia="Palatino Linotype" w:hAnsi="Palatino Linotype" w:cs="Palatino Linotype"/>
            </w:rPr>
            <w:t>Poder Judicial</w:t>
          </w:r>
        </w:p>
      </w:tc>
    </w:tr>
    <w:tr w:rsidR="00D97448" w:rsidTr="00484558">
      <w:tc>
        <w:tcPr>
          <w:tcW w:w="2693" w:type="dxa"/>
          <w:vAlign w:val="center"/>
        </w:tcPr>
        <w:p w:rsidR="00D97448" w:rsidRDefault="009E7017">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402" w:type="dxa"/>
          <w:vAlign w:val="center"/>
        </w:tcPr>
        <w:p w:rsidR="00D97448" w:rsidRDefault="009E7017" w:rsidP="00484558">
          <w:pPr>
            <w:ind w:right="-391"/>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D97448" w:rsidRPr="00484558" w:rsidRDefault="00F51351" w:rsidP="00484558">
    <w:pPr>
      <w:pBdr>
        <w:top w:val="nil"/>
        <w:left w:val="nil"/>
        <w:bottom w:val="nil"/>
        <w:right w:val="nil"/>
        <w:between w:val="nil"/>
      </w:pBdr>
      <w:tabs>
        <w:tab w:val="center" w:pos="4252"/>
        <w:tab w:val="right" w:pos="8504"/>
        <w:tab w:val="center" w:pos="4252"/>
        <w:tab w:val="right" w:pos="8504"/>
      </w:tabs>
      <w:rPr>
        <w:rFonts w:ascii="Cambria" w:eastAsia="Cambria" w:hAnsi="Cambria" w:cs="Cambria"/>
        <w:color w:val="000000"/>
      </w:rPr>
    </w:pPr>
    <w:r>
      <w:rPr>
        <w:rFonts w:ascii="Cambria" w:eastAsia="Cambria" w:hAnsi="Cambria" w:cs="Cambr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50.7pt;margin-top:-132.4pt;width:586.5pt;height:793.5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922C1"/>
    <w:multiLevelType w:val="multilevel"/>
    <w:tmpl w:val="EC2E4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350334"/>
    <w:multiLevelType w:val="multilevel"/>
    <w:tmpl w:val="23FCE9C6"/>
    <w:lvl w:ilvl="0">
      <w:start w:val="1"/>
      <w:numFmt w:val="decimal"/>
      <w:lvlText w:val="%1."/>
      <w:lvlJc w:val="left"/>
      <w:pPr>
        <w:ind w:left="720" w:hanging="360"/>
      </w:pPr>
      <w:rPr>
        <w:rFonts w:ascii="Palatino Linotype" w:eastAsia="Palatino Linotype" w:hAnsi="Palatino Linotype" w:cs="Palatino Linotype"/>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517C14"/>
    <w:multiLevelType w:val="multilevel"/>
    <w:tmpl w:val="CE5C4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E96A3D"/>
    <w:multiLevelType w:val="hybridMultilevel"/>
    <w:tmpl w:val="C5F6E0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448"/>
    <w:rsid w:val="000D7C12"/>
    <w:rsid w:val="00226DBF"/>
    <w:rsid w:val="002B4B4F"/>
    <w:rsid w:val="00385D89"/>
    <w:rsid w:val="003E4EBB"/>
    <w:rsid w:val="00484558"/>
    <w:rsid w:val="006A11DA"/>
    <w:rsid w:val="007258E4"/>
    <w:rsid w:val="007C687D"/>
    <w:rsid w:val="009B4615"/>
    <w:rsid w:val="009E7017"/>
    <w:rsid w:val="00A01B38"/>
    <w:rsid w:val="00A04857"/>
    <w:rsid w:val="00D969A8"/>
    <w:rsid w:val="00D97448"/>
    <w:rsid w:val="00E97F28"/>
    <w:rsid w:val="00F513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9FA1030-9A1A-48CB-B7D2-74908252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226DBF"/>
    <w:pPr>
      <w:ind w:left="720"/>
      <w:contextualSpacing/>
    </w:pPr>
  </w:style>
  <w:style w:type="paragraph" w:styleId="Encabezado">
    <w:name w:val="header"/>
    <w:basedOn w:val="Normal"/>
    <w:link w:val="EncabezadoCar"/>
    <w:uiPriority w:val="99"/>
    <w:unhideWhenUsed/>
    <w:rsid w:val="00226DBF"/>
    <w:pPr>
      <w:tabs>
        <w:tab w:val="center" w:pos="4419"/>
        <w:tab w:val="right" w:pos="8838"/>
      </w:tabs>
    </w:pPr>
  </w:style>
  <w:style w:type="character" w:customStyle="1" w:styleId="EncabezadoCar">
    <w:name w:val="Encabezado Car"/>
    <w:basedOn w:val="Fuentedeprrafopredeter"/>
    <w:link w:val="Encabezado"/>
    <w:uiPriority w:val="99"/>
    <w:rsid w:val="00226DBF"/>
  </w:style>
  <w:style w:type="paragraph" w:styleId="Piedepgina">
    <w:name w:val="footer"/>
    <w:basedOn w:val="Normal"/>
    <w:link w:val="PiedepginaCar"/>
    <w:uiPriority w:val="99"/>
    <w:unhideWhenUsed/>
    <w:rsid w:val="00226DBF"/>
    <w:pPr>
      <w:tabs>
        <w:tab w:val="center" w:pos="4419"/>
        <w:tab w:val="right" w:pos="8838"/>
      </w:tabs>
    </w:pPr>
  </w:style>
  <w:style w:type="character" w:customStyle="1" w:styleId="PiedepginaCar">
    <w:name w:val="Pie de página Car"/>
    <w:basedOn w:val="Fuentedeprrafopredeter"/>
    <w:link w:val="Piedepgina"/>
    <w:uiPriority w:val="99"/>
    <w:rsid w:val="00226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gNYELv0OsUHVSRK/tfihKJ08g==">CgMxLjAyDmguOHl6b21vODkyc2ZpMg5oLjk2ZW5xdnNtb2J1cTIOaC54Z3FwenQycmUyN2UyDmgudHU2MWdoejlsajkyMg5oLnVwN2R0aTZzMzM1MjIOaC5hcjNpc3JiMjBqMTgyDmgudWhibjNxYnJtOGFuMg5oLmczdjI0Z2xxaWxvdzIOaC50M2QzYmN4dWhwaGsyDmgudTdkZDhreXoybnMzOAByITFRQWEwMUc1N085RkIzS2NDVW42U1NCaUZ0cjMzNldKSA==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03F759-7875-42C2-882A-68B3D641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11675</Words>
  <Characters>64218</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2026-07-02T15:23:00Z</cp:lastPrinted>
  <dcterms:created xsi:type="dcterms:W3CDTF">2026-06-29T18:13:00Z</dcterms:created>
  <dcterms:modified xsi:type="dcterms:W3CDTF">2026-07-08T17:52:00Z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43968B2E36044492AE2C89BCC39C7BED_13</vt:lpwstr>
  </property>
</Properties>
</file>