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CFFDFC" w14:textId="77777777" w:rsidR="00C545F6" w:rsidRPr="006076A7" w:rsidRDefault="00B624A5">
      <w:pPr>
        <w:tabs>
          <w:tab w:val="left" w:pos="3465"/>
        </w:tabs>
        <w:spacing w:line="360" w:lineRule="auto"/>
        <w:ind w:right="-929"/>
        <w:jc w:val="both"/>
        <w:rPr>
          <w:rFonts w:ascii="Palatino Linotype" w:eastAsia="Palatino Linotype" w:hAnsi="Palatino Linotype" w:cs="Palatino Linotype"/>
          <w:b/>
          <w:bCs/>
        </w:rPr>
      </w:pPr>
      <w:bookmarkStart w:id="0" w:name="_GoBack"/>
      <w:bookmarkEnd w:id="0"/>
      <w:r w:rsidRPr="006076A7">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sidRPr="006076A7">
        <w:rPr>
          <w:rFonts w:ascii="Palatino Linotype" w:eastAsia="Palatino Linotype" w:hAnsi="Palatino Linotype" w:cs="Palatino Linotype"/>
          <w:b/>
          <w:bCs/>
        </w:rPr>
        <w:t>de fecha veinte (20) de mayo de dos mil veintiséis.</w:t>
      </w:r>
    </w:p>
    <w:p w14:paraId="514F5070" w14:textId="77777777" w:rsidR="00C545F6" w:rsidRPr="006076A7" w:rsidRDefault="00C545F6">
      <w:pPr>
        <w:tabs>
          <w:tab w:val="left" w:pos="3465"/>
        </w:tabs>
        <w:spacing w:line="360" w:lineRule="auto"/>
        <w:ind w:right="-929"/>
        <w:jc w:val="both"/>
        <w:rPr>
          <w:rFonts w:ascii="Palatino Linotype" w:eastAsia="Palatino Linotype" w:hAnsi="Palatino Linotype" w:cs="Palatino Linotype"/>
        </w:rPr>
      </w:pPr>
    </w:p>
    <w:p w14:paraId="6ACDB2C0" w14:textId="562469B1" w:rsidR="00C545F6" w:rsidRPr="006076A7" w:rsidRDefault="00B624A5">
      <w:pPr>
        <w:spacing w:line="360" w:lineRule="auto"/>
        <w:ind w:right="-929"/>
        <w:jc w:val="both"/>
        <w:rPr>
          <w:rFonts w:ascii="Palatino Linotype" w:eastAsia="Palatino Linotype" w:hAnsi="Palatino Linotype" w:cs="Palatino Linotype"/>
        </w:rPr>
      </w:pPr>
      <w:r w:rsidRPr="006076A7">
        <w:rPr>
          <w:rFonts w:ascii="Palatino Linotype" w:eastAsia="Palatino Linotype" w:hAnsi="Palatino Linotype" w:cs="Palatino Linotype"/>
          <w:b/>
          <w:bCs/>
        </w:rPr>
        <w:t xml:space="preserve">VISTAS </w:t>
      </w:r>
      <w:r w:rsidRPr="006076A7">
        <w:rPr>
          <w:rFonts w:ascii="Palatino Linotype" w:eastAsia="Palatino Linotype" w:hAnsi="Palatino Linotype" w:cs="Palatino Linotype"/>
        </w:rPr>
        <w:t xml:space="preserve">las constancias para resolver el Recurso de Revisión </w:t>
      </w:r>
      <w:r w:rsidRPr="006076A7">
        <w:rPr>
          <w:rFonts w:ascii="Palatino Linotype" w:eastAsia="Palatino Linotype" w:hAnsi="Palatino Linotype" w:cs="Palatino Linotype"/>
          <w:b/>
          <w:bCs/>
        </w:rPr>
        <w:t>10353/INFOEM/IP/RR/2025,</w:t>
      </w:r>
      <w:r w:rsidRPr="006076A7">
        <w:rPr>
          <w:rFonts w:ascii="Palatino Linotype" w:eastAsia="Palatino Linotype" w:hAnsi="Palatino Linotype" w:cs="Palatino Linotype"/>
        </w:rPr>
        <w:t xml:space="preserve"> presentado por </w:t>
      </w:r>
      <w:r w:rsidRPr="006076A7">
        <w:rPr>
          <w:rFonts w:ascii="Palatino Linotype" w:eastAsia="Palatino Linotype" w:hAnsi="Palatino Linotype" w:cs="Palatino Linotype"/>
          <w:b/>
          <w:bCs/>
        </w:rPr>
        <w:t>una persona que no aportó datos de identificación,</w:t>
      </w:r>
      <w:r w:rsidRPr="006076A7">
        <w:rPr>
          <w:rFonts w:ascii="Palatino Linotype" w:eastAsia="Palatino Linotype" w:hAnsi="Palatino Linotype" w:cs="Palatino Linotype"/>
        </w:rPr>
        <w:t xml:space="preserve"> a quien en lo sucesivo se denominará como </w:t>
      </w:r>
      <w:r w:rsidRPr="006076A7">
        <w:rPr>
          <w:rFonts w:ascii="Palatino Linotype" w:eastAsia="Palatino Linotype" w:hAnsi="Palatino Linotype" w:cs="Palatino Linotype"/>
          <w:b/>
          <w:bCs/>
        </w:rPr>
        <w:t>EL RECURRENTE</w:t>
      </w:r>
      <w:r w:rsidRPr="006076A7">
        <w:rPr>
          <w:rFonts w:ascii="Palatino Linotype" w:eastAsia="Palatino Linotype" w:hAnsi="Palatino Linotype" w:cs="Palatino Linotype"/>
        </w:rPr>
        <w:t xml:space="preserve">, en contra de la respuesta otorgada a la solicitud de información con número de folio </w:t>
      </w:r>
      <w:r w:rsidRPr="006076A7">
        <w:rPr>
          <w:rFonts w:ascii="Palatino Linotype" w:eastAsia="Palatino Linotype" w:hAnsi="Palatino Linotype" w:cs="Palatino Linotype"/>
          <w:b/>
          <w:bCs/>
        </w:rPr>
        <w:t>03915/TOLUCA/IP/2025</w:t>
      </w:r>
      <w:r w:rsidR="00D87DC8" w:rsidRPr="006076A7">
        <w:rPr>
          <w:rFonts w:ascii="Palatino Linotype" w:eastAsia="Palatino Linotype" w:hAnsi="Palatino Linotype" w:cs="Palatino Linotype"/>
        </w:rPr>
        <w:t>, por parte del</w:t>
      </w:r>
      <w:r w:rsidRPr="006076A7">
        <w:rPr>
          <w:rFonts w:ascii="Palatino Linotype" w:eastAsia="Palatino Linotype" w:hAnsi="Palatino Linotype" w:cs="Palatino Linotype"/>
        </w:rPr>
        <w:t xml:space="preserve"> </w:t>
      </w:r>
      <w:r w:rsidRPr="006076A7">
        <w:rPr>
          <w:rFonts w:ascii="Palatino Linotype" w:eastAsia="Palatino Linotype" w:hAnsi="Palatino Linotype" w:cs="Palatino Linotype"/>
          <w:b/>
          <w:bCs/>
        </w:rPr>
        <w:t xml:space="preserve">Ayuntamiento de Toluca, </w:t>
      </w:r>
      <w:r w:rsidRPr="006076A7">
        <w:rPr>
          <w:rFonts w:ascii="Palatino Linotype" w:eastAsia="Palatino Linotype" w:hAnsi="Palatino Linotype" w:cs="Palatino Linotype"/>
        </w:rPr>
        <w:t xml:space="preserve">en adelante </w:t>
      </w:r>
      <w:r w:rsidRPr="006076A7">
        <w:rPr>
          <w:rFonts w:ascii="Palatino Linotype" w:eastAsia="Palatino Linotype" w:hAnsi="Palatino Linotype" w:cs="Palatino Linotype"/>
          <w:b/>
          <w:bCs/>
        </w:rPr>
        <w:t>EL SUJETO OBLIGADO,</w:t>
      </w:r>
      <w:r w:rsidRPr="006076A7">
        <w:rPr>
          <w:rFonts w:ascii="Palatino Linotype" w:eastAsia="Palatino Linotype" w:hAnsi="Palatino Linotype" w:cs="Palatino Linotype"/>
        </w:rPr>
        <w:t xml:space="preserve"> se emite la presente Resolución con base en los siguientes:</w:t>
      </w:r>
    </w:p>
    <w:p w14:paraId="704F5653" w14:textId="77777777" w:rsidR="00C545F6" w:rsidRPr="006076A7" w:rsidRDefault="00C545F6">
      <w:pPr>
        <w:spacing w:line="360" w:lineRule="auto"/>
        <w:ind w:right="-929"/>
        <w:jc w:val="both"/>
        <w:rPr>
          <w:rFonts w:ascii="Palatino Linotype" w:eastAsia="Palatino Linotype" w:hAnsi="Palatino Linotype" w:cs="Palatino Linotype"/>
        </w:rPr>
      </w:pPr>
    </w:p>
    <w:p w14:paraId="2EAFA19E" w14:textId="77777777" w:rsidR="00C545F6" w:rsidRPr="006076A7" w:rsidRDefault="00B624A5">
      <w:pPr>
        <w:pStyle w:val="Ttulo1"/>
        <w:spacing w:before="0" w:line="360" w:lineRule="auto"/>
        <w:ind w:right="-929"/>
        <w:jc w:val="center"/>
        <w:rPr>
          <w:rFonts w:ascii="Palatino Linotype" w:eastAsia="Palatino Linotype" w:hAnsi="Palatino Linotype" w:cs="Palatino Linotype"/>
          <w:b/>
          <w:bCs/>
          <w:color w:val="000000"/>
          <w:sz w:val="24"/>
          <w:szCs w:val="24"/>
        </w:rPr>
      </w:pPr>
      <w:bookmarkStart w:id="1" w:name="_heading=h.gjdgxs" w:colFirst="0" w:colLast="0"/>
      <w:bookmarkEnd w:id="1"/>
      <w:r w:rsidRPr="006076A7">
        <w:rPr>
          <w:rFonts w:ascii="Palatino Linotype" w:eastAsia="Palatino Linotype" w:hAnsi="Palatino Linotype" w:cs="Palatino Linotype"/>
          <w:b/>
          <w:bCs/>
          <w:color w:val="000000"/>
          <w:sz w:val="24"/>
          <w:szCs w:val="24"/>
        </w:rPr>
        <w:t>A N T E C E D E N T E S</w:t>
      </w:r>
    </w:p>
    <w:p w14:paraId="22D800CB" w14:textId="77777777" w:rsidR="00C545F6" w:rsidRPr="006076A7" w:rsidRDefault="00C545F6">
      <w:pPr>
        <w:pBdr>
          <w:top w:val="nil"/>
          <w:left w:val="nil"/>
          <w:bottom w:val="nil"/>
          <w:right w:val="nil"/>
          <w:between w:val="nil"/>
        </w:pBdr>
        <w:spacing w:line="360" w:lineRule="auto"/>
        <w:ind w:right="-929"/>
        <w:jc w:val="both"/>
        <w:rPr>
          <w:rFonts w:ascii="Palatino Linotype" w:eastAsia="Palatino Linotype" w:hAnsi="Palatino Linotype" w:cs="Palatino Linotype"/>
          <w:b/>
          <w:bCs/>
          <w:color w:val="000000"/>
          <w:u w:val="single"/>
        </w:rPr>
      </w:pPr>
    </w:p>
    <w:p w14:paraId="53A32FC8" w14:textId="77777777" w:rsidR="00C545F6" w:rsidRPr="006076A7" w:rsidRDefault="00B624A5">
      <w:pPr>
        <w:numPr>
          <w:ilvl w:val="0"/>
          <w:numId w:val="3"/>
        </w:numPr>
        <w:pBdr>
          <w:top w:val="nil"/>
          <w:left w:val="nil"/>
          <w:bottom w:val="nil"/>
          <w:right w:val="nil"/>
          <w:between w:val="nil"/>
        </w:pBdr>
        <w:tabs>
          <w:tab w:val="left" w:pos="0"/>
        </w:tabs>
        <w:spacing w:line="360" w:lineRule="auto"/>
        <w:ind w:left="0" w:right="-929" w:firstLine="0"/>
        <w:jc w:val="both"/>
        <w:rPr>
          <w:rFonts w:ascii="Palatino Linotype" w:eastAsia="Palatino Linotype" w:hAnsi="Palatino Linotype" w:cs="Palatino Linotype"/>
          <w:color w:val="000000"/>
        </w:rPr>
      </w:pPr>
      <w:r w:rsidRPr="006076A7">
        <w:rPr>
          <w:rFonts w:ascii="Palatino Linotype" w:eastAsia="Palatino Linotype" w:hAnsi="Palatino Linotype" w:cs="Palatino Linotype"/>
          <w:color w:val="000000"/>
        </w:rPr>
        <w:t>El día</w:t>
      </w:r>
      <w:r w:rsidRPr="006076A7">
        <w:rPr>
          <w:rFonts w:ascii="Palatino Linotype" w:eastAsia="Palatino Linotype" w:hAnsi="Palatino Linotype" w:cs="Palatino Linotype"/>
          <w:b/>
          <w:bCs/>
          <w:color w:val="000000"/>
        </w:rPr>
        <w:t xml:space="preserve"> nueve de julio dos mil veinticinco</w:t>
      </w:r>
      <w:r w:rsidRPr="006076A7">
        <w:rPr>
          <w:rFonts w:ascii="Palatino Linotype" w:eastAsia="Palatino Linotype" w:hAnsi="Palatino Linotype" w:cs="Palatino Linotype"/>
          <w:color w:val="000000"/>
        </w:rPr>
        <w:t>,</w:t>
      </w:r>
      <w:r w:rsidRPr="006076A7">
        <w:rPr>
          <w:rFonts w:ascii="Palatino Linotype" w:eastAsia="Palatino Linotype" w:hAnsi="Palatino Linotype" w:cs="Palatino Linotype"/>
          <w:b/>
          <w:bCs/>
          <w:color w:val="000000"/>
        </w:rPr>
        <w:t xml:space="preserve"> </w:t>
      </w:r>
      <w:r w:rsidRPr="006076A7">
        <w:rPr>
          <w:rFonts w:ascii="Palatino Linotype" w:eastAsia="Palatino Linotype" w:hAnsi="Palatino Linotype" w:cs="Palatino Linotype"/>
          <w:color w:val="000000"/>
        </w:rPr>
        <w:t>se presentó ante el Sujeto Obligado vía Sistema de Acceso a la Información Mexiquense, en adelante (SAIMEX), la siguiente solicitud de información pública:</w:t>
      </w:r>
    </w:p>
    <w:p w14:paraId="366CE2CC" w14:textId="77777777" w:rsidR="00C545F6" w:rsidRPr="006076A7" w:rsidRDefault="00C545F6">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14:paraId="0A458F78" w14:textId="77777777" w:rsidR="00C545F6" w:rsidRPr="006076A7" w:rsidRDefault="00B624A5">
      <w:pPr>
        <w:pBdr>
          <w:top w:val="nil"/>
          <w:left w:val="nil"/>
          <w:bottom w:val="nil"/>
          <w:right w:val="nil"/>
          <w:between w:val="nil"/>
        </w:pBdr>
        <w:spacing w:line="360" w:lineRule="auto"/>
        <w:ind w:left="425" w:right="-929"/>
        <w:jc w:val="both"/>
        <w:rPr>
          <w:rFonts w:ascii="Palatino Linotype" w:eastAsia="Palatino Linotype" w:hAnsi="Palatino Linotype" w:cs="Palatino Linotype"/>
          <w:i/>
          <w:iCs/>
          <w:color w:val="000000"/>
        </w:rPr>
      </w:pPr>
      <w:r w:rsidRPr="006076A7">
        <w:rPr>
          <w:rFonts w:ascii="Palatino Linotype" w:eastAsia="Palatino Linotype" w:hAnsi="Palatino Linotype" w:cs="Palatino Linotype"/>
          <w:i/>
          <w:iCs/>
          <w:color w:val="000000"/>
        </w:rPr>
        <w:t xml:space="preserve">“De conformidad con el artículo 5 constitucional se solicita el. Proyecto de los cruces inteligentes como funcionarán el proyecto técnico y los estudios técnicos para determinar la factibilidad, el nombre de la empresas que lo realiza, los expedientes completos se todos los que participaron en el. Proceso, si fue licitación pública, o asignación directa por que se eligió a la empresa ganadora la justificación, el acta de comité de adquisiciones el contrato de la empresa que lo está realizando, el cotos total de inversión de esa inversión cuanto se ha pagado las facturas pagadas, donde estan instalados esos cruces, como funciona cuantos se van instalar en total fecha de inicio del proyecto </w:t>
      </w:r>
      <w:r w:rsidRPr="006076A7">
        <w:rPr>
          <w:rFonts w:ascii="Palatino Linotype" w:eastAsia="Palatino Linotype" w:hAnsi="Palatino Linotype" w:cs="Palatino Linotype"/>
          <w:i/>
          <w:iCs/>
          <w:color w:val="000000"/>
        </w:rPr>
        <w:lastRenderedPageBreak/>
        <w:t>y fecha de conclusión todos es información pública no se peide reservar. Cuanto le cobraron de noche por que sabemos que el presi pide una parte de cada contrato como el 5 por ciento de cada contrato o mas.”</w:t>
      </w:r>
    </w:p>
    <w:p w14:paraId="299D9C87" w14:textId="77777777" w:rsidR="00C545F6" w:rsidRPr="006076A7" w:rsidRDefault="00C545F6">
      <w:pPr>
        <w:pBdr>
          <w:top w:val="nil"/>
          <w:left w:val="nil"/>
          <w:bottom w:val="nil"/>
          <w:right w:val="nil"/>
          <w:between w:val="nil"/>
        </w:pBdr>
        <w:spacing w:line="360" w:lineRule="auto"/>
        <w:ind w:left="425" w:right="-929"/>
        <w:jc w:val="both"/>
        <w:rPr>
          <w:rFonts w:ascii="Palatino Linotype" w:eastAsia="Palatino Linotype" w:hAnsi="Palatino Linotype" w:cs="Palatino Linotype"/>
          <w:color w:val="000000"/>
        </w:rPr>
      </w:pPr>
    </w:p>
    <w:p w14:paraId="1E8AA7C9" w14:textId="77777777" w:rsidR="00C545F6" w:rsidRPr="006076A7" w:rsidRDefault="00B624A5">
      <w:pPr>
        <w:numPr>
          <w:ilvl w:val="0"/>
          <w:numId w:val="4"/>
        </w:numPr>
        <w:pBdr>
          <w:top w:val="nil"/>
          <w:left w:val="nil"/>
          <w:bottom w:val="nil"/>
          <w:right w:val="nil"/>
          <w:between w:val="nil"/>
        </w:pBdr>
        <w:tabs>
          <w:tab w:val="left" w:pos="0"/>
        </w:tabs>
        <w:spacing w:line="360" w:lineRule="auto"/>
        <w:ind w:left="709" w:right="-929"/>
        <w:jc w:val="both"/>
        <w:rPr>
          <w:rFonts w:ascii="Palatino Linotype" w:eastAsia="Palatino Linotype" w:hAnsi="Palatino Linotype" w:cs="Palatino Linotype"/>
          <w:color w:val="000000"/>
        </w:rPr>
      </w:pPr>
      <w:r w:rsidRPr="006076A7">
        <w:rPr>
          <w:rFonts w:ascii="Palatino Linotype" w:eastAsia="Palatino Linotype" w:hAnsi="Palatino Linotype" w:cs="Palatino Linotype"/>
          <w:color w:val="000000"/>
        </w:rPr>
        <w:t xml:space="preserve">Se eligió como modalidad de entrega de la información: </w:t>
      </w:r>
      <w:r w:rsidRPr="006076A7">
        <w:rPr>
          <w:rFonts w:ascii="Palatino Linotype" w:eastAsia="Palatino Linotype" w:hAnsi="Palatino Linotype" w:cs="Palatino Linotype"/>
          <w:b/>
          <w:bCs/>
          <w:color w:val="000000"/>
        </w:rPr>
        <w:t>a través de SAIMEX</w:t>
      </w:r>
    </w:p>
    <w:p w14:paraId="48537B19" w14:textId="77777777" w:rsidR="00C545F6" w:rsidRPr="006076A7" w:rsidRDefault="00C545F6">
      <w:pPr>
        <w:pBdr>
          <w:top w:val="nil"/>
          <w:left w:val="nil"/>
          <w:bottom w:val="nil"/>
          <w:right w:val="nil"/>
          <w:between w:val="nil"/>
        </w:pBdr>
        <w:tabs>
          <w:tab w:val="left" w:pos="0"/>
        </w:tabs>
        <w:spacing w:line="360" w:lineRule="auto"/>
        <w:ind w:left="709" w:right="-929"/>
        <w:jc w:val="both"/>
        <w:rPr>
          <w:rFonts w:ascii="Palatino Linotype" w:eastAsia="Palatino Linotype" w:hAnsi="Palatino Linotype" w:cs="Palatino Linotype"/>
          <w:color w:val="000000"/>
        </w:rPr>
      </w:pPr>
    </w:p>
    <w:p w14:paraId="45A646F2" w14:textId="77777777" w:rsidR="00C545F6" w:rsidRPr="006076A7" w:rsidRDefault="00B624A5">
      <w:pPr>
        <w:numPr>
          <w:ilvl w:val="0"/>
          <w:numId w:val="3"/>
        </w:numPr>
        <w:pBdr>
          <w:top w:val="nil"/>
          <w:left w:val="nil"/>
          <w:bottom w:val="nil"/>
          <w:right w:val="nil"/>
          <w:between w:val="nil"/>
        </w:pBdr>
        <w:tabs>
          <w:tab w:val="left" w:pos="0"/>
        </w:tabs>
        <w:spacing w:line="360" w:lineRule="auto"/>
        <w:ind w:left="0" w:right="-929" w:firstLine="0"/>
        <w:jc w:val="both"/>
        <w:rPr>
          <w:rFonts w:ascii="Palatino Linotype" w:eastAsia="Palatino Linotype" w:hAnsi="Palatino Linotype" w:cs="Palatino Linotype"/>
          <w:b/>
          <w:bCs/>
        </w:rPr>
      </w:pPr>
      <w:r w:rsidRPr="006076A7">
        <w:rPr>
          <w:rFonts w:ascii="Palatino Linotype" w:eastAsia="Palatino Linotype" w:hAnsi="Palatino Linotype" w:cs="Palatino Linotype"/>
        </w:rPr>
        <w:t xml:space="preserve">El </w:t>
      </w:r>
      <w:r w:rsidRPr="006076A7">
        <w:rPr>
          <w:rFonts w:ascii="Palatino Linotype" w:eastAsia="Palatino Linotype" w:hAnsi="Palatino Linotype" w:cs="Palatino Linotype"/>
          <w:b/>
          <w:bCs/>
        </w:rPr>
        <w:t xml:space="preserve">trece de agosto de dos mil veinticinco </w:t>
      </w:r>
      <w:r w:rsidRPr="006076A7">
        <w:rPr>
          <w:rFonts w:ascii="Palatino Linotype" w:eastAsia="Palatino Linotype" w:hAnsi="Palatino Linotype" w:cs="Palatino Linotype"/>
        </w:rPr>
        <w:t xml:space="preserve">el </w:t>
      </w:r>
      <w:r w:rsidRPr="006076A7">
        <w:rPr>
          <w:rFonts w:ascii="Palatino Linotype" w:eastAsia="Palatino Linotype" w:hAnsi="Palatino Linotype" w:cs="Palatino Linotype"/>
          <w:b/>
          <w:bCs/>
        </w:rPr>
        <w:t>SUJETO OBLIGADO</w:t>
      </w:r>
      <w:r w:rsidRPr="006076A7">
        <w:rPr>
          <w:rFonts w:ascii="Palatino Linotype" w:eastAsia="Palatino Linotype" w:hAnsi="Palatino Linotype" w:cs="Palatino Linotype"/>
        </w:rPr>
        <w:t xml:space="preserve"> solicitó una prórroga para dar atención a la solicitud de información dentro del plazo ordinario, bajo el acuerdo CT/SE/937/2025, en la Noningentésima Trigésima Séptima Sesión Extraordinaria 2025 del Comité de Transparencia del Municipio de Toluca, Administración 2025- 2027, de fecha treinta y uno de julio de dos mil veinticinco; en razón de que a su decir, se continúa con la minuciosa búsqueda de información dentro de los archivos que obran en esta unidad administrativa, y que comprenden diversa documentación que requiere de un análisis y procesamiento para estar en posibilidad de proporcionar una respuesta concreta y correcta a la solicitud de información.</w:t>
      </w:r>
    </w:p>
    <w:p w14:paraId="16FC9C17" w14:textId="77777777" w:rsidR="00C545F6" w:rsidRPr="006076A7" w:rsidRDefault="00C545F6">
      <w:pPr>
        <w:pBdr>
          <w:top w:val="nil"/>
          <w:left w:val="nil"/>
          <w:bottom w:val="nil"/>
          <w:right w:val="nil"/>
          <w:between w:val="nil"/>
        </w:pBdr>
        <w:tabs>
          <w:tab w:val="left" w:pos="0"/>
        </w:tabs>
        <w:spacing w:line="360" w:lineRule="auto"/>
        <w:ind w:right="-929"/>
        <w:jc w:val="both"/>
        <w:rPr>
          <w:rFonts w:ascii="Palatino Linotype" w:eastAsia="Palatino Linotype" w:hAnsi="Palatino Linotype" w:cs="Palatino Linotype"/>
          <w:b/>
          <w:bCs/>
        </w:rPr>
      </w:pPr>
    </w:p>
    <w:p w14:paraId="73FCE097" w14:textId="77777777" w:rsidR="00C545F6" w:rsidRPr="006076A7" w:rsidRDefault="00B624A5">
      <w:pPr>
        <w:numPr>
          <w:ilvl w:val="0"/>
          <w:numId w:val="3"/>
        </w:numPr>
        <w:pBdr>
          <w:top w:val="nil"/>
          <w:left w:val="nil"/>
          <w:bottom w:val="nil"/>
          <w:right w:val="nil"/>
          <w:between w:val="nil"/>
        </w:pBdr>
        <w:tabs>
          <w:tab w:val="left" w:pos="0"/>
        </w:tabs>
        <w:spacing w:line="360" w:lineRule="auto"/>
        <w:ind w:left="0" w:right="-929" w:firstLine="0"/>
        <w:jc w:val="both"/>
        <w:rPr>
          <w:rFonts w:ascii="Palatino Linotype" w:eastAsia="Palatino Linotype" w:hAnsi="Palatino Linotype" w:cs="Palatino Linotype"/>
          <w:b/>
          <w:bCs/>
        </w:rPr>
      </w:pPr>
      <w:r w:rsidRPr="006076A7">
        <w:rPr>
          <w:rFonts w:ascii="Palatino Linotype" w:eastAsia="Palatino Linotype" w:hAnsi="Palatino Linotype" w:cs="Palatino Linotype"/>
          <w:color w:val="000000"/>
        </w:rPr>
        <w:t xml:space="preserve">El </w:t>
      </w:r>
      <w:r w:rsidRPr="006076A7">
        <w:rPr>
          <w:rFonts w:ascii="Palatino Linotype" w:eastAsia="Palatino Linotype" w:hAnsi="Palatino Linotype" w:cs="Palatino Linotype"/>
          <w:b/>
          <w:bCs/>
          <w:color w:val="000000"/>
        </w:rPr>
        <w:t>veintidós de agosto de dos mil veinticinco</w:t>
      </w:r>
      <w:r w:rsidRPr="006076A7">
        <w:rPr>
          <w:rFonts w:ascii="Palatino Linotype" w:eastAsia="Palatino Linotype" w:hAnsi="Palatino Linotype" w:cs="Palatino Linotype"/>
          <w:color w:val="000000"/>
        </w:rPr>
        <w:t xml:space="preserve">, </w:t>
      </w:r>
      <w:r w:rsidRPr="006076A7">
        <w:rPr>
          <w:rFonts w:ascii="Palatino Linotype" w:eastAsia="Palatino Linotype" w:hAnsi="Palatino Linotype" w:cs="Palatino Linotype"/>
        </w:rPr>
        <w:t xml:space="preserve">el </w:t>
      </w:r>
      <w:r w:rsidRPr="006076A7">
        <w:rPr>
          <w:rFonts w:ascii="Palatino Linotype" w:eastAsia="Palatino Linotype" w:hAnsi="Palatino Linotype" w:cs="Palatino Linotype"/>
          <w:b/>
          <w:bCs/>
        </w:rPr>
        <w:t xml:space="preserve">SUJETO OBLIGADO </w:t>
      </w:r>
      <w:r w:rsidRPr="006076A7">
        <w:rPr>
          <w:rFonts w:ascii="Palatino Linotype" w:eastAsia="Palatino Linotype" w:hAnsi="Palatino Linotype" w:cs="Palatino Linotype"/>
        </w:rPr>
        <w:t>envió su respuesta a través de cinco archivos denominados de la siguiente manera:</w:t>
      </w:r>
    </w:p>
    <w:p w14:paraId="215A0AA6" w14:textId="77777777" w:rsidR="00C545F6" w:rsidRPr="006076A7" w:rsidRDefault="00B624A5">
      <w:pPr>
        <w:pBdr>
          <w:top w:val="nil"/>
          <w:left w:val="nil"/>
          <w:bottom w:val="nil"/>
          <w:right w:val="nil"/>
          <w:between w:val="nil"/>
        </w:pBdr>
        <w:tabs>
          <w:tab w:val="left" w:pos="0"/>
        </w:tabs>
        <w:spacing w:line="360" w:lineRule="auto"/>
        <w:ind w:right="-929"/>
        <w:jc w:val="center"/>
        <w:rPr>
          <w:rFonts w:ascii="Palatino Linotype" w:eastAsia="Palatino Linotype" w:hAnsi="Palatino Linotype" w:cs="Palatino Linotype"/>
          <w:b/>
          <w:bCs/>
        </w:rPr>
      </w:pPr>
      <w:r w:rsidRPr="006076A7">
        <w:rPr>
          <w:rFonts w:ascii="Palatino Linotype" w:eastAsia="Palatino Linotype" w:hAnsi="Palatino Linotype" w:cs="Palatino Linotype"/>
          <w:b/>
          <w:bCs/>
        </w:rPr>
        <w:t>RESPUESTA 3915-2025.pdf</w:t>
      </w:r>
    </w:p>
    <w:p w14:paraId="16575494" w14:textId="77777777" w:rsidR="00C545F6" w:rsidRPr="006076A7" w:rsidRDefault="00B624A5">
      <w:pPr>
        <w:pBdr>
          <w:top w:val="nil"/>
          <w:left w:val="nil"/>
          <w:bottom w:val="nil"/>
          <w:right w:val="nil"/>
          <w:between w:val="nil"/>
        </w:pBdr>
        <w:tabs>
          <w:tab w:val="left" w:pos="0"/>
        </w:tabs>
        <w:spacing w:line="360" w:lineRule="auto"/>
        <w:ind w:right="-929"/>
        <w:jc w:val="center"/>
        <w:rPr>
          <w:rFonts w:ascii="Palatino Linotype" w:eastAsia="Palatino Linotype" w:hAnsi="Palatino Linotype" w:cs="Palatino Linotype"/>
          <w:b/>
          <w:bCs/>
        </w:rPr>
      </w:pPr>
      <w:r w:rsidRPr="006076A7">
        <w:rPr>
          <w:rFonts w:ascii="Palatino Linotype" w:eastAsia="Palatino Linotype" w:hAnsi="Palatino Linotype" w:cs="Palatino Linotype"/>
          <w:b/>
          <w:bCs/>
        </w:rPr>
        <w:t>3915.pdf</w:t>
      </w:r>
    </w:p>
    <w:p w14:paraId="2F54762D" w14:textId="77777777" w:rsidR="00C545F6" w:rsidRPr="006076A7" w:rsidRDefault="00B624A5">
      <w:pPr>
        <w:pBdr>
          <w:top w:val="nil"/>
          <w:left w:val="nil"/>
          <w:bottom w:val="nil"/>
          <w:right w:val="nil"/>
          <w:between w:val="nil"/>
        </w:pBdr>
        <w:tabs>
          <w:tab w:val="left" w:pos="0"/>
        </w:tabs>
        <w:spacing w:line="360" w:lineRule="auto"/>
        <w:ind w:right="-929"/>
        <w:jc w:val="center"/>
        <w:rPr>
          <w:rFonts w:ascii="Palatino Linotype" w:eastAsia="Palatino Linotype" w:hAnsi="Palatino Linotype" w:cs="Palatino Linotype"/>
          <w:b/>
          <w:bCs/>
        </w:rPr>
      </w:pPr>
      <w:r w:rsidRPr="006076A7">
        <w:rPr>
          <w:rFonts w:ascii="Palatino Linotype" w:eastAsia="Palatino Linotype" w:hAnsi="Palatino Linotype" w:cs="Palatino Linotype"/>
          <w:b/>
          <w:bCs/>
        </w:rPr>
        <w:t>R. 03915_25.pdf</w:t>
      </w:r>
    </w:p>
    <w:p w14:paraId="56466FF7" w14:textId="77777777" w:rsidR="00C545F6" w:rsidRPr="006076A7" w:rsidRDefault="00B624A5">
      <w:pPr>
        <w:pBdr>
          <w:top w:val="nil"/>
          <w:left w:val="nil"/>
          <w:bottom w:val="nil"/>
          <w:right w:val="nil"/>
          <w:between w:val="nil"/>
        </w:pBdr>
        <w:tabs>
          <w:tab w:val="left" w:pos="0"/>
        </w:tabs>
        <w:spacing w:line="360" w:lineRule="auto"/>
        <w:ind w:right="-929"/>
        <w:jc w:val="center"/>
        <w:rPr>
          <w:rFonts w:ascii="Palatino Linotype" w:eastAsia="Palatino Linotype" w:hAnsi="Palatino Linotype" w:cs="Palatino Linotype"/>
          <w:b/>
          <w:bCs/>
        </w:rPr>
      </w:pPr>
      <w:r w:rsidRPr="006076A7">
        <w:rPr>
          <w:rFonts w:ascii="Palatino Linotype" w:eastAsia="Palatino Linotype" w:hAnsi="Palatino Linotype" w:cs="Palatino Linotype"/>
          <w:b/>
          <w:bCs/>
        </w:rPr>
        <w:t>NOTIF. CIUDADANO INCOMPETENCIA S. 3915.pdf</w:t>
      </w:r>
    </w:p>
    <w:p w14:paraId="67424BD7" w14:textId="77777777" w:rsidR="00C545F6" w:rsidRPr="006076A7" w:rsidRDefault="00B624A5">
      <w:pPr>
        <w:pBdr>
          <w:top w:val="nil"/>
          <w:left w:val="nil"/>
          <w:bottom w:val="nil"/>
          <w:right w:val="nil"/>
          <w:between w:val="nil"/>
        </w:pBdr>
        <w:tabs>
          <w:tab w:val="left" w:pos="0"/>
        </w:tabs>
        <w:spacing w:line="360" w:lineRule="auto"/>
        <w:ind w:right="-929"/>
        <w:jc w:val="center"/>
        <w:rPr>
          <w:rFonts w:ascii="Palatino Linotype" w:eastAsia="Palatino Linotype" w:hAnsi="Palatino Linotype" w:cs="Palatino Linotype"/>
          <w:b/>
          <w:bCs/>
        </w:rPr>
      </w:pPr>
      <w:r w:rsidRPr="006076A7">
        <w:rPr>
          <w:rFonts w:ascii="Palatino Linotype" w:eastAsia="Palatino Linotype" w:hAnsi="Palatino Linotype" w:cs="Palatino Linotype"/>
          <w:b/>
          <w:bCs/>
        </w:rPr>
        <w:t>Respuesta Saimex 03915.pdf</w:t>
      </w:r>
    </w:p>
    <w:p w14:paraId="29B509B6" w14:textId="77777777" w:rsidR="00C545F6" w:rsidRPr="006076A7" w:rsidRDefault="00B624A5" w:rsidP="008E16EC">
      <w:pPr>
        <w:numPr>
          <w:ilvl w:val="0"/>
          <w:numId w:val="3"/>
        </w:numPr>
        <w:pBdr>
          <w:top w:val="nil"/>
          <w:left w:val="nil"/>
          <w:bottom w:val="nil"/>
          <w:right w:val="nil"/>
          <w:between w:val="nil"/>
        </w:pBdr>
        <w:tabs>
          <w:tab w:val="left" w:pos="0"/>
        </w:tabs>
        <w:spacing w:line="360" w:lineRule="auto"/>
        <w:ind w:left="0" w:right="-929" w:firstLine="0"/>
        <w:jc w:val="both"/>
        <w:rPr>
          <w:rFonts w:ascii="Palatino Linotype" w:eastAsia="Palatino Linotype" w:hAnsi="Palatino Linotype" w:cs="Palatino Linotype"/>
        </w:rPr>
      </w:pPr>
      <w:r w:rsidRPr="006076A7">
        <w:rPr>
          <w:rFonts w:ascii="Palatino Linotype" w:eastAsia="Palatino Linotype" w:hAnsi="Palatino Linotype" w:cs="Palatino Linotype"/>
        </w:rPr>
        <w:lastRenderedPageBreak/>
        <w:t xml:space="preserve">Cuyo contenido de manera general corresponde a un oficio signado por el Director </w:t>
      </w:r>
      <w:r w:rsidRPr="006076A7">
        <w:rPr>
          <w:rFonts w:ascii="Palatino Linotype" w:eastAsia="Palatino Linotype" w:hAnsi="Palatino Linotype" w:cs="Palatino Linotype"/>
          <w:color w:val="000000"/>
        </w:rPr>
        <w:t>General</w:t>
      </w:r>
      <w:r w:rsidRPr="006076A7">
        <w:rPr>
          <w:rFonts w:ascii="Palatino Linotype" w:eastAsia="Palatino Linotype" w:hAnsi="Palatino Linotype" w:cs="Palatino Linotype"/>
        </w:rPr>
        <w:t xml:space="preserve"> de Innovación, Planeación y Gestión Pública, quien manifiesta que de lo solicitado se realizó  una búsqueda exhaustiva y razonable de la información, obteniendo como resultado, la no localización de expresión documental que dé cuenta de lo requerido; oficio signado por el Tesorero Municipal, quien informa que de los meses de enero, febrero y marzo del año en curso, no se cuenta con recurso financiero, documental, contable o presupuestal que ampare la información solicitada. Respecto de los meses de abril, mayo y junio refiere no se encuentran publicados ya que forman parte del informe trimestral de 2025, anexando el link del Órgano Superior de Fiscalización del Estado de México, en el que obran los Lineamiento, </w:t>
      </w:r>
      <w:r w:rsidRPr="006076A7">
        <w:rPr>
          <w:rFonts w:ascii="Palatino Linotype" w:eastAsia="Palatino Linotype" w:hAnsi="Palatino Linotype" w:cs="Palatino Linotype"/>
          <w:color w:val="000000"/>
        </w:rPr>
        <w:t>componentes</w:t>
      </w:r>
      <w:r w:rsidRPr="006076A7">
        <w:rPr>
          <w:rFonts w:ascii="Palatino Linotype" w:eastAsia="Palatino Linotype" w:hAnsi="Palatino Linotype" w:cs="Palatino Linotype"/>
        </w:rPr>
        <w:t xml:space="preserve"> de los informes trimestrales; oficio signado por la Directora General de Administración, quien manifiesta no ser competencia de la Dirección General de Administración; oficio signado por el Director General de Obras Públicas, quien manifiesta que luego de una búsqueda exhaustiva y razonable, la información concerniente a la obra pública "Construcción de</w:t>
      </w:r>
      <w:r w:rsidR="008E16EC" w:rsidRPr="006076A7">
        <w:rPr>
          <w:rFonts w:ascii="Palatino Linotype" w:eastAsia="Palatino Linotype" w:hAnsi="Palatino Linotype" w:cs="Palatino Linotype"/>
        </w:rPr>
        <w:t xml:space="preserve"> Pasos Peatonales Inteligentes", es reservada conforme al acta aprobada en la Milésima Trigentésima Sesión Extraordinaria del Comité de Transparencia.</w:t>
      </w:r>
    </w:p>
    <w:p w14:paraId="21424856" w14:textId="77777777" w:rsidR="00C545F6" w:rsidRPr="006076A7" w:rsidRDefault="00C545F6">
      <w:pPr>
        <w:pBdr>
          <w:top w:val="nil"/>
          <w:left w:val="nil"/>
          <w:bottom w:val="nil"/>
          <w:right w:val="nil"/>
          <w:between w:val="nil"/>
        </w:pBdr>
        <w:tabs>
          <w:tab w:val="left" w:pos="0"/>
        </w:tabs>
        <w:spacing w:line="360" w:lineRule="auto"/>
        <w:ind w:right="-929"/>
        <w:jc w:val="both"/>
        <w:rPr>
          <w:rFonts w:ascii="Palatino Linotype" w:eastAsia="Palatino Linotype" w:hAnsi="Palatino Linotype" w:cs="Palatino Linotype"/>
        </w:rPr>
      </w:pPr>
    </w:p>
    <w:p w14:paraId="06DDCE15" w14:textId="77777777" w:rsidR="00C545F6" w:rsidRPr="006076A7" w:rsidRDefault="00B624A5">
      <w:pPr>
        <w:numPr>
          <w:ilvl w:val="0"/>
          <w:numId w:val="3"/>
        </w:numPr>
        <w:pBdr>
          <w:top w:val="nil"/>
          <w:left w:val="nil"/>
          <w:bottom w:val="nil"/>
          <w:right w:val="nil"/>
          <w:between w:val="nil"/>
        </w:pBdr>
        <w:tabs>
          <w:tab w:val="left" w:pos="0"/>
        </w:tabs>
        <w:spacing w:line="360" w:lineRule="auto"/>
        <w:ind w:left="0" w:right="-929" w:firstLine="0"/>
        <w:jc w:val="both"/>
        <w:rPr>
          <w:rFonts w:ascii="Palatino Linotype" w:eastAsia="Palatino Linotype" w:hAnsi="Palatino Linotype" w:cs="Palatino Linotype"/>
        </w:rPr>
      </w:pPr>
      <w:r w:rsidRPr="006076A7">
        <w:rPr>
          <w:rFonts w:ascii="Palatino Linotype" w:eastAsia="Palatino Linotype" w:hAnsi="Palatino Linotype" w:cs="Palatino Linotype"/>
          <w:color w:val="000000"/>
        </w:rPr>
        <w:t>El</w:t>
      </w:r>
      <w:r w:rsidRPr="006076A7">
        <w:rPr>
          <w:rFonts w:ascii="Palatino Linotype" w:eastAsia="Palatino Linotype" w:hAnsi="Palatino Linotype" w:cs="Palatino Linotype"/>
          <w:b/>
          <w:bCs/>
          <w:color w:val="000000"/>
        </w:rPr>
        <w:t xml:space="preserve"> </w:t>
      </w:r>
      <w:r w:rsidRPr="006076A7">
        <w:rPr>
          <w:rFonts w:ascii="Palatino Linotype" w:eastAsia="Palatino Linotype" w:hAnsi="Palatino Linotype" w:cs="Palatino Linotype"/>
          <w:b/>
          <w:bCs/>
        </w:rPr>
        <w:t xml:space="preserve">dos de septiembre de dos mil veinticinco, </w:t>
      </w:r>
      <w:r w:rsidRPr="006076A7">
        <w:rPr>
          <w:rFonts w:ascii="Palatino Linotype" w:eastAsia="Palatino Linotype" w:hAnsi="Palatino Linotype" w:cs="Palatino Linotype"/>
        </w:rPr>
        <w:t xml:space="preserve">la parte </w:t>
      </w:r>
      <w:r w:rsidRPr="006076A7">
        <w:rPr>
          <w:rFonts w:ascii="Palatino Linotype" w:eastAsia="Palatino Linotype" w:hAnsi="Palatino Linotype" w:cs="Palatino Linotype"/>
          <w:b/>
          <w:bCs/>
        </w:rPr>
        <w:t>Recurrente</w:t>
      </w:r>
      <w:r w:rsidRPr="006076A7">
        <w:rPr>
          <w:rFonts w:ascii="Palatino Linotype" w:eastAsia="Palatino Linotype" w:hAnsi="Palatino Linotype" w:cs="Palatino Linotype"/>
        </w:rPr>
        <w:t xml:space="preserve"> interpuso el recurso de revisión a través de </w:t>
      </w:r>
      <w:r w:rsidRPr="006076A7">
        <w:rPr>
          <w:rFonts w:ascii="Palatino Linotype" w:eastAsia="Palatino Linotype" w:hAnsi="Palatino Linotype" w:cs="Palatino Linotype"/>
          <w:b/>
          <w:bCs/>
        </w:rPr>
        <w:t xml:space="preserve">SAIMEX, </w:t>
      </w:r>
      <w:r w:rsidRPr="006076A7">
        <w:rPr>
          <w:rFonts w:ascii="Palatino Linotype" w:eastAsia="Palatino Linotype" w:hAnsi="Palatino Linotype" w:cs="Palatino Linotype"/>
        </w:rPr>
        <w:t>en donde se manifestó lo siguiente:</w:t>
      </w:r>
    </w:p>
    <w:p w14:paraId="0637B002" w14:textId="77777777" w:rsidR="00C545F6" w:rsidRPr="006076A7" w:rsidRDefault="00C545F6">
      <w:pPr>
        <w:tabs>
          <w:tab w:val="left" w:pos="2745"/>
        </w:tabs>
        <w:spacing w:line="360" w:lineRule="auto"/>
        <w:ind w:left="709" w:right="-929"/>
        <w:jc w:val="both"/>
        <w:rPr>
          <w:rFonts w:ascii="Palatino Linotype" w:eastAsia="Palatino Linotype" w:hAnsi="Palatino Linotype" w:cs="Palatino Linotype"/>
          <w:b/>
          <w:bCs/>
        </w:rPr>
      </w:pPr>
    </w:p>
    <w:p w14:paraId="2167EEEE" w14:textId="77777777" w:rsidR="00C545F6" w:rsidRPr="006076A7" w:rsidRDefault="00B624A5">
      <w:pPr>
        <w:numPr>
          <w:ilvl w:val="0"/>
          <w:numId w:val="1"/>
        </w:numPr>
        <w:tabs>
          <w:tab w:val="left" w:pos="2745"/>
        </w:tabs>
        <w:spacing w:line="360" w:lineRule="auto"/>
        <w:ind w:right="-929"/>
        <w:jc w:val="both"/>
        <w:rPr>
          <w:rFonts w:ascii="Palatino Linotype" w:eastAsia="Palatino Linotype" w:hAnsi="Palatino Linotype" w:cs="Palatino Linotype"/>
          <w:b/>
          <w:bCs/>
        </w:rPr>
      </w:pPr>
      <w:r w:rsidRPr="006076A7">
        <w:rPr>
          <w:rFonts w:ascii="Palatino Linotype" w:eastAsia="Palatino Linotype" w:hAnsi="Palatino Linotype" w:cs="Palatino Linotype"/>
          <w:b/>
          <w:bCs/>
        </w:rPr>
        <w:t xml:space="preserve">Acto impugnado: </w:t>
      </w:r>
    </w:p>
    <w:p w14:paraId="2B45EEC3" w14:textId="77777777" w:rsidR="00C545F6" w:rsidRDefault="00B624A5">
      <w:pPr>
        <w:tabs>
          <w:tab w:val="left" w:pos="2745"/>
        </w:tabs>
        <w:spacing w:line="360" w:lineRule="auto"/>
        <w:ind w:left="709"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i/>
          <w:iCs/>
        </w:rPr>
        <w:t>“EL SO ES OPACO Y NO ENTREGA LA IFORMACIÓN SOLICTADA SE EXIGUE SE ENTREGUE EN LOS TERMINOS SOLICITADOS”</w:t>
      </w:r>
    </w:p>
    <w:p w14:paraId="36EF4DAF" w14:textId="77777777" w:rsidR="006076A7" w:rsidRDefault="006076A7">
      <w:pPr>
        <w:tabs>
          <w:tab w:val="left" w:pos="2745"/>
        </w:tabs>
        <w:spacing w:line="360" w:lineRule="auto"/>
        <w:ind w:left="709" w:right="-929"/>
        <w:jc w:val="both"/>
        <w:rPr>
          <w:rFonts w:ascii="Palatino Linotype" w:eastAsia="Palatino Linotype" w:hAnsi="Palatino Linotype" w:cs="Palatino Linotype"/>
          <w:i/>
          <w:iCs/>
        </w:rPr>
      </w:pPr>
    </w:p>
    <w:p w14:paraId="158414E2" w14:textId="77777777" w:rsidR="006076A7" w:rsidRPr="006076A7" w:rsidRDefault="006076A7">
      <w:pPr>
        <w:tabs>
          <w:tab w:val="left" w:pos="2745"/>
        </w:tabs>
        <w:spacing w:line="360" w:lineRule="auto"/>
        <w:ind w:left="709" w:right="-929"/>
        <w:jc w:val="both"/>
        <w:rPr>
          <w:rFonts w:ascii="Palatino Linotype" w:eastAsia="Palatino Linotype" w:hAnsi="Palatino Linotype" w:cs="Palatino Linotype"/>
          <w:i/>
          <w:iCs/>
        </w:rPr>
      </w:pPr>
    </w:p>
    <w:p w14:paraId="34E58190" w14:textId="77777777" w:rsidR="00C545F6" w:rsidRPr="006076A7" w:rsidRDefault="00B624A5">
      <w:pPr>
        <w:numPr>
          <w:ilvl w:val="0"/>
          <w:numId w:val="2"/>
        </w:numPr>
        <w:spacing w:line="360" w:lineRule="auto"/>
        <w:ind w:right="-929"/>
        <w:jc w:val="both"/>
        <w:rPr>
          <w:rFonts w:ascii="Palatino Linotype" w:eastAsia="Palatino Linotype" w:hAnsi="Palatino Linotype" w:cs="Palatino Linotype"/>
        </w:rPr>
      </w:pPr>
      <w:bookmarkStart w:id="2" w:name="_heading=h.30j0zll" w:colFirst="0" w:colLast="0"/>
      <w:bookmarkEnd w:id="2"/>
      <w:r w:rsidRPr="006076A7">
        <w:rPr>
          <w:rFonts w:ascii="Palatino Linotype" w:eastAsia="Palatino Linotype" w:hAnsi="Palatino Linotype" w:cs="Palatino Linotype"/>
          <w:b/>
          <w:bCs/>
        </w:rPr>
        <w:lastRenderedPageBreak/>
        <w:t>Razones o motivos de inconformidad</w:t>
      </w:r>
      <w:r w:rsidRPr="006076A7">
        <w:rPr>
          <w:rFonts w:ascii="Palatino Linotype" w:eastAsia="Palatino Linotype" w:hAnsi="Palatino Linotype" w:cs="Palatino Linotype"/>
        </w:rPr>
        <w:t>:</w:t>
      </w:r>
    </w:p>
    <w:p w14:paraId="63A8392B" w14:textId="77777777" w:rsidR="00C545F6" w:rsidRPr="006076A7" w:rsidRDefault="00B624A5">
      <w:pPr>
        <w:tabs>
          <w:tab w:val="left" w:pos="2745"/>
        </w:tabs>
        <w:spacing w:line="360" w:lineRule="auto"/>
        <w:ind w:left="709" w:right="-929"/>
        <w:jc w:val="both"/>
        <w:rPr>
          <w:rFonts w:ascii="Palatino Linotype" w:eastAsia="Palatino Linotype" w:hAnsi="Palatino Linotype" w:cs="Palatino Linotype"/>
          <w:b/>
          <w:bCs/>
          <w:i/>
          <w:iCs/>
        </w:rPr>
      </w:pPr>
      <w:r w:rsidRPr="006076A7">
        <w:rPr>
          <w:rFonts w:ascii="Palatino Linotype" w:eastAsia="Palatino Linotype" w:hAnsi="Palatino Linotype" w:cs="Palatino Linotype"/>
          <w:i/>
          <w:iCs/>
        </w:rPr>
        <w:t>“EL SO ES OPACO Y NO ENTREGA LA IFORMACIÓN SOLICTADA SE EXIGUE SE ENTREGUE EN LOS TERMINOS SOLICITADOS”</w:t>
      </w:r>
    </w:p>
    <w:p w14:paraId="47A607E1" w14:textId="77777777" w:rsidR="00C545F6" w:rsidRPr="006076A7" w:rsidRDefault="00C545F6">
      <w:pPr>
        <w:tabs>
          <w:tab w:val="left" w:pos="2745"/>
        </w:tabs>
        <w:spacing w:line="360" w:lineRule="auto"/>
        <w:ind w:left="709" w:right="-929"/>
        <w:jc w:val="both"/>
        <w:rPr>
          <w:rFonts w:ascii="Palatino Linotype" w:eastAsia="Palatino Linotype" w:hAnsi="Palatino Linotype" w:cs="Palatino Linotype"/>
          <w:i/>
          <w:iCs/>
        </w:rPr>
      </w:pPr>
    </w:p>
    <w:p w14:paraId="478913BC" w14:textId="77777777" w:rsidR="00C545F6" w:rsidRPr="006076A7" w:rsidRDefault="00B624A5">
      <w:pPr>
        <w:numPr>
          <w:ilvl w:val="0"/>
          <w:numId w:val="3"/>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color w:val="000000"/>
        </w:rPr>
      </w:pPr>
      <w:r w:rsidRPr="006076A7">
        <w:rPr>
          <w:rFonts w:ascii="Palatino Linotype" w:eastAsia="Palatino Linotype" w:hAnsi="Palatino Linotype" w:cs="Palatino Linotype"/>
        </w:rPr>
        <w:t>Con fecha</w:t>
      </w:r>
      <w:r w:rsidRPr="006076A7">
        <w:rPr>
          <w:rFonts w:ascii="Palatino Linotype" w:eastAsia="Palatino Linotype" w:hAnsi="Palatino Linotype" w:cs="Palatino Linotype"/>
          <w:b/>
          <w:bCs/>
        </w:rPr>
        <w:t xml:space="preserve"> nueve de septiembre dos mil veinticinco, </w:t>
      </w:r>
      <w:r w:rsidRPr="006076A7">
        <w:rPr>
          <w:rFonts w:ascii="Palatino Linotype" w:eastAsia="Palatino Linotype" w:hAnsi="Palatino Linotype" w:cs="Palatino Linotype"/>
        </w:rPr>
        <w:t xml:space="preserve">este Instituto de Transparencia, Acceso a la Información Pública y Protección de Datos Personales del Estado de México y Municipios, admitió a trámite el recurso de revisión que ahora se resuelve, dando un plazo máximo de siete días hábiles para que las partes manifestaran lo que a su derecho resultara conveniente, ofrecieran pruebas, formulen alegatos y el </w:t>
      </w:r>
      <w:r w:rsidRPr="006076A7">
        <w:rPr>
          <w:rFonts w:ascii="Palatino Linotype" w:eastAsia="Palatino Linotype" w:hAnsi="Palatino Linotype" w:cs="Palatino Linotype"/>
          <w:b/>
          <w:bCs/>
        </w:rPr>
        <w:t xml:space="preserve">SUJETO OBLIGADO </w:t>
      </w:r>
      <w:r w:rsidRPr="006076A7">
        <w:rPr>
          <w:rFonts w:ascii="Palatino Linotype" w:eastAsia="Palatino Linotype" w:hAnsi="Palatino Linotype" w:cs="Palatino Linotype"/>
        </w:rPr>
        <w:t>presentará su informe justificado.</w:t>
      </w:r>
    </w:p>
    <w:p w14:paraId="70C6FAB2" w14:textId="77777777" w:rsidR="00C545F6" w:rsidRPr="006076A7" w:rsidRDefault="00C545F6">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14:paraId="1C8C71FB" w14:textId="77777777" w:rsidR="00C545F6" w:rsidRPr="006076A7" w:rsidRDefault="00B624A5">
      <w:pPr>
        <w:numPr>
          <w:ilvl w:val="0"/>
          <w:numId w:val="3"/>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i/>
          <w:iCs/>
          <w:color w:val="000000"/>
        </w:rPr>
      </w:pPr>
      <w:r w:rsidRPr="006076A7">
        <w:rPr>
          <w:rFonts w:ascii="Palatino Linotype" w:eastAsia="Palatino Linotype" w:hAnsi="Palatino Linotype" w:cs="Palatino Linotype"/>
          <w:color w:val="000000"/>
        </w:rPr>
        <w:t>El</w:t>
      </w:r>
      <w:r w:rsidRPr="006076A7">
        <w:rPr>
          <w:rFonts w:ascii="Palatino Linotype" w:eastAsia="Palatino Linotype" w:hAnsi="Palatino Linotype" w:cs="Palatino Linotype"/>
          <w:b/>
          <w:bCs/>
          <w:color w:val="000000"/>
        </w:rPr>
        <w:t xml:space="preserve"> SUJETO </w:t>
      </w:r>
      <w:r w:rsidRPr="006076A7">
        <w:rPr>
          <w:rFonts w:ascii="Palatino Linotype" w:eastAsia="Palatino Linotype" w:hAnsi="Palatino Linotype" w:cs="Palatino Linotype"/>
          <w:b/>
          <w:bCs/>
        </w:rPr>
        <w:t>OBLIGADO</w:t>
      </w:r>
      <w:r w:rsidRPr="006076A7">
        <w:rPr>
          <w:rFonts w:ascii="Palatino Linotype" w:eastAsia="Palatino Linotype" w:hAnsi="Palatino Linotype" w:cs="Palatino Linotype"/>
          <w:b/>
          <w:bCs/>
          <w:color w:val="000000"/>
        </w:rPr>
        <w:t xml:space="preserve"> </w:t>
      </w:r>
      <w:r w:rsidRPr="006076A7">
        <w:rPr>
          <w:rFonts w:ascii="Palatino Linotype" w:eastAsia="Palatino Linotype" w:hAnsi="Palatino Linotype" w:cs="Palatino Linotype"/>
          <w:color w:val="000000"/>
        </w:rPr>
        <w:t xml:space="preserve">los días </w:t>
      </w:r>
      <w:r w:rsidRPr="006076A7">
        <w:rPr>
          <w:rFonts w:ascii="Palatino Linotype" w:eastAsia="Palatino Linotype" w:hAnsi="Palatino Linotype" w:cs="Palatino Linotype"/>
          <w:b/>
          <w:bCs/>
          <w:color w:val="000000"/>
        </w:rPr>
        <w:t xml:space="preserve">diecisiete y diecinueve de septiembre de dos mil veinticinco </w:t>
      </w:r>
      <w:r w:rsidRPr="006076A7">
        <w:rPr>
          <w:rFonts w:ascii="Palatino Linotype" w:eastAsia="Palatino Linotype" w:hAnsi="Palatino Linotype" w:cs="Palatino Linotype"/>
          <w:color w:val="000000"/>
        </w:rPr>
        <w:t>rindió informe</w:t>
      </w:r>
      <w:r w:rsidRPr="006076A7">
        <w:rPr>
          <w:rFonts w:ascii="Palatino Linotype" w:eastAsia="Palatino Linotype" w:hAnsi="Palatino Linotype" w:cs="Palatino Linotype"/>
        </w:rPr>
        <w:t xml:space="preserve"> a través de tres archivos de los cuales se desprenden de los cuales se desprenden dos escritos signados por el Titular de la Unidad de Transparencia y el Servidor Público Habilitado de la Secretaría del Ayuntamiento, por medio de los cuales confirman las respuestas iniciales. Por su parte el hoy </w:t>
      </w:r>
      <w:r w:rsidRPr="006076A7">
        <w:rPr>
          <w:rFonts w:ascii="Palatino Linotype" w:eastAsia="Palatino Linotype" w:hAnsi="Palatino Linotype" w:cs="Palatino Linotype"/>
          <w:b/>
          <w:bCs/>
        </w:rPr>
        <w:t xml:space="preserve">RECURRENTE </w:t>
      </w:r>
      <w:r w:rsidRPr="006076A7">
        <w:rPr>
          <w:rFonts w:ascii="Palatino Linotype" w:eastAsia="Palatino Linotype" w:hAnsi="Palatino Linotype" w:cs="Palatino Linotype"/>
        </w:rPr>
        <w:t>dejó de realizar manifestaciones que a su derecho conviniera y asistiera.</w:t>
      </w:r>
    </w:p>
    <w:p w14:paraId="52FD72A3" w14:textId="77777777" w:rsidR="00C545F6" w:rsidRPr="006076A7" w:rsidRDefault="00C545F6">
      <w:pPr>
        <w:pBdr>
          <w:top w:val="nil"/>
          <w:left w:val="nil"/>
          <w:bottom w:val="nil"/>
          <w:right w:val="nil"/>
          <w:between w:val="nil"/>
        </w:pBdr>
        <w:ind w:left="720" w:right="-929"/>
        <w:rPr>
          <w:rFonts w:ascii="Palatino Linotype" w:eastAsia="Palatino Linotype" w:hAnsi="Palatino Linotype" w:cs="Palatino Linotype"/>
          <w:i/>
          <w:iCs/>
          <w:color w:val="000000"/>
        </w:rPr>
      </w:pPr>
    </w:p>
    <w:p w14:paraId="6023C9DA" w14:textId="0721E192" w:rsidR="00C545F6" w:rsidRPr="006076A7" w:rsidRDefault="00B624A5">
      <w:pPr>
        <w:numPr>
          <w:ilvl w:val="0"/>
          <w:numId w:val="3"/>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b/>
          <w:bCs/>
          <w:color w:val="000000"/>
        </w:rPr>
      </w:pPr>
      <w:r w:rsidRPr="006076A7">
        <w:rPr>
          <w:rFonts w:ascii="Palatino Linotype" w:eastAsia="Palatino Linotype" w:hAnsi="Palatino Linotype" w:cs="Palatino Linotype"/>
          <w:color w:val="000000"/>
        </w:rPr>
        <w:t xml:space="preserve">Seguidamente, mediante Acuerdo de fecha </w:t>
      </w:r>
      <w:r w:rsidRPr="006076A7">
        <w:rPr>
          <w:rFonts w:ascii="Palatino Linotype" w:eastAsia="Palatino Linotype" w:hAnsi="Palatino Linotype" w:cs="Palatino Linotype"/>
          <w:b/>
          <w:bCs/>
          <w:color w:val="000000"/>
        </w:rPr>
        <w:t xml:space="preserve">trece de mayo del año en curso, </w:t>
      </w:r>
      <w:r w:rsidRPr="006076A7">
        <w:rPr>
          <w:rFonts w:ascii="Palatino Linotype" w:eastAsia="Palatino Linotype" w:hAnsi="Palatino Linotype" w:cs="Palatino Linotype"/>
          <w:color w:val="000000"/>
        </w:rPr>
        <w:t xml:space="preserve">se amplió el termino para resolver, consecutivamente se decretó el cierre de instrucción mediante Acuerdo de día </w:t>
      </w:r>
      <w:r w:rsidRPr="006076A7">
        <w:rPr>
          <w:rFonts w:ascii="Palatino Linotype" w:eastAsia="Palatino Linotype" w:hAnsi="Palatino Linotype" w:cs="Palatino Linotype"/>
          <w:b/>
          <w:bCs/>
          <w:color w:val="000000"/>
        </w:rPr>
        <w:t>diecinueve</w:t>
      </w:r>
      <w:r w:rsidRPr="006076A7">
        <w:rPr>
          <w:rFonts w:ascii="Palatino Linotype" w:eastAsia="Palatino Linotype" w:hAnsi="Palatino Linotype" w:cs="Palatino Linotype"/>
          <w:color w:val="000000"/>
        </w:rPr>
        <w:t xml:space="preserve"> </w:t>
      </w:r>
      <w:r w:rsidRPr="006076A7">
        <w:rPr>
          <w:rFonts w:ascii="Palatino Linotype" w:eastAsia="Palatino Linotype" w:hAnsi="Palatino Linotype" w:cs="Palatino Linotype"/>
          <w:b/>
          <w:bCs/>
          <w:color w:val="000000"/>
        </w:rPr>
        <w:t>de mayo de dos mil veinticinco</w:t>
      </w:r>
      <w:r w:rsidRPr="006076A7">
        <w:rPr>
          <w:rFonts w:ascii="Palatino Linotype" w:eastAsia="Palatino Linotype" w:hAnsi="Palatino Linotype" w:cs="Palatino Linotype"/>
          <w:color w:val="000000"/>
        </w:rPr>
        <w:t xml:space="preserve">, se decretó el </w:t>
      </w:r>
      <w:r w:rsidRPr="006076A7">
        <w:rPr>
          <w:rFonts w:ascii="Palatino Linotype" w:eastAsia="Palatino Linotype" w:hAnsi="Palatino Linotype" w:cs="Palatino Linotype"/>
          <w:b/>
          <w:bCs/>
          <w:color w:val="000000"/>
        </w:rPr>
        <w:t>cierre de instrucción</w:t>
      </w:r>
      <w:r w:rsidRPr="006076A7">
        <w:rPr>
          <w:rFonts w:ascii="Palatino Linotype" w:eastAsia="Palatino Linotype" w:hAnsi="Palatino Linotype" w:cs="Palatino Linotype"/>
          <w:color w:val="000000"/>
        </w:rPr>
        <w:t>, por lo que no habiendo más que hacer constar, y-----------------------------------------</w:t>
      </w:r>
    </w:p>
    <w:p w14:paraId="5803ACF3" w14:textId="77777777" w:rsidR="00C545F6" w:rsidRPr="006076A7" w:rsidRDefault="00C545F6">
      <w:pPr>
        <w:pBdr>
          <w:top w:val="nil"/>
          <w:left w:val="nil"/>
          <w:bottom w:val="nil"/>
          <w:right w:val="nil"/>
          <w:between w:val="nil"/>
        </w:pBdr>
        <w:spacing w:line="360" w:lineRule="auto"/>
        <w:ind w:right="-929"/>
        <w:jc w:val="both"/>
        <w:rPr>
          <w:rFonts w:ascii="Palatino Linotype" w:eastAsia="Palatino Linotype" w:hAnsi="Palatino Linotype" w:cs="Palatino Linotype"/>
        </w:rPr>
      </w:pPr>
    </w:p>
    <w:p w14:paraId="200ED0AE" w14:textId="77777777" w:rsidR="00C545F6" w:rsidRPr="006076A7" w:rsidRDefault="00C545F6">
      <w:pPr>
        <w:pBdr>
          <w:top w:val="nil"/>
          <w:left w:val="nil"/>
          <w:bottom w:val="nil"/>
          <w:right w:val="nil"/>
          <w:between w:val="nil"/>
        </w:pBdr>
        <w:spacing w:line="360" w:lineRule="auto"/>
        <w:ind w:right="-929"/>
        <w:jc w:val="both"/>
        <w:rPr>
          <w:rFonts w:ascii="Palatino Linotype" w:eastAsia="Palatino Linotype" w:hAnsi="Palatino Linotype" w:cs="Palatino Linotype"/>
        </w:rPr>
      </w:pPr>
    </w:p>
    <w:p w14:paraId="046AF445" w14:textId="77777777" w:rsidR="00C545F6" w:rsidRPr="006076A7" w:rsidRDefault="00B624A5">
      <w:pPr>
        <w:pBdr>
          <w:top w:val="nil"/>
          <w:left w:val="nil"/>
          <w:bottom w:val="nil"/>
          <w:right w:val="nil"/>
          <w:between w:val="nil"/>
        </w:pBdr>
        <w:spacing w:line="360" w:lineRule="auto"/>
        <w:ind w:right="-929"/>
        <w:jc w:val="center"/>
        <w:rPr>
          <w:rFonts w:ascii="Palatino Linotype" w:eastAsia="Palatino Linotype" w:hAnsi="Palatino Linotype" w:cs="Palatino Linotype"/>
          <w:b/>
          <w:bCs/>
          <w:color w:val="000000"/>
        </w:rPr>
      </w:pPr>
      <w:r w:rsidRPr="006076A7">
        <w:rPr>
          <w:rFonts w:ascii="Palatino Linotype" w:eastAsia="Palatino Linotype" w:hAnsi="Palatino Linotype" w:cs="Palatino Linotype"/>
          <w:b/>
          <w:bCs/>
          <w:color w:val="000000"/>
        </w:rPr>
        <w:lastRenderedPageBreak/>
        <w:t>C O N S I D E R A N D O</w:t>
      </w:r>
    </w:p>
    <w:p w14:paraId="1629A926" w14:textId="77777777" w:rsidR="00C545F6" w:rsidRPr="006076A7" w:rsidRDefault="00C545F6">
      <w:pPr>
        <w:pBdr>
          <w:top w:val="nil"/>
          <w:left w:val="nil"/>
          <w:bottom w:val="nil"/>
          <w:right w:val="nil"/>
          <w:between w:val="nil"/>
        </w:pBdr>
        <w:spacing w:line="360" w:lineRule="auto"/>
        <w:ind w:right="-929"/>
        <w:jc w:val="center"/>
        <w:rPr>
          <w:rFonts w:ascii="Palatino Linotype" w:eastAsia="Palatino Linotype" w:hAnsi="Palatino Linotype" w:cs="Palatino Linotype"/>
          <w:b/>
          <w:bCs/>
          <w:color w:val="000000"/>
        </w:rPr>
      </w:pPr>
    </w:p>
    <w:p w14:paraId="574AE57A" w14:textId="77777777" w:rsidR="00C545F6" w:rsidRPr="006076A7" w:rsidRDefault="00B624A5">
      <w:pPr>
        <w:pStyle w:val="Ttulo2"/>
        <w:spacing w:before="0" w:line="360" w:lineRule="auto"/>
        <w:ind w:right="-929"/>
        <w:rPr>
          <w:rFonts w:ascii="Palatino Linotype" w:eastAsia="Palatino Linotype" w:hAnsi="Palatino Linotype" w:cs="Palatino Linotype"/>
          <w:b/>
          <w:bCs/>
          <w:color w:val="000000"/>
          <w:sz w:val="24"/>
          <w:szCs w:val="24"/>
        </w:rPr>
      </w:pPr>
      <w:bookmarkStart w:id="3" w:name="_heading=h.3znysh7" w:colFirst="0" w:colLast="0"/>
      <w:bookmarkEnd w:id="3"/>
      <w:r w:rsidRPr="006076A7">
        <w:rPr>
          <w:rFonts w:ascii="Palatino Linotype" w:eastAsia="Palatino Linotype" w:hAnsi="Palatino Linotype" w:cs="Palatino Linotype"/>
          <w:b/>
          <w:bCs/>
          <w:color w:val="000000"/>
          <w:sz w:val="24"/>
          <w:szCs w:val="24"/>
        </w:rPr>
        <w:t>PRIMERO. Competencia</w:t>
      </w:r>
    </w:p>
    <w:p w14:paraId="6F526EE1" w14:textId="77777777" w:rsidR="00C545F6" w:rsidRPr="006076A7" w:rsidRDefault="00B624A5">
      <w:pPr>
        <w:numPr>
          <w:ilvl w:val="0"/>
          <w:numId w:val="3"/>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color w:val="000000"/>
        </w:rPr>
      </w:pPr>
      <w:r w:rsidRPr="006076A7">
        <w:rPr>
          <w:rFonts w:ascii="Palatino Linotype" w:eastAsia="Palatino Linotype" w:hAnsi="Palatino Linotype" w:cs="Palatino Linotype"/>
          <w:color w:val="000000"/>
        </w:rPr>
        <w:t xml:space="preserve">Este Instituto de Transparencia, Acceso a la Información Pública y Protección de Datos </w:t>
      </w:r>
      <w:r w:rsidRPr="006076A7">
        <w:rPr>
          <w:rFonts w:ascii="Palatino Linotype" w:eastAsia="Palatino Linotype" w:hAnsi="Palatino Linotype" w:cs="Palatino Linotype"/>
        </w:rPr>
        <w:t>Personales</w:t>
      </w:r>
      <w:r w:rsidRPr="006076A7">
        <w:rPr>
          <w:rFonts w:ascii="Palatino Linotype" w:eastAsia="Palatino Linotype" w:hAnsi="Palatino Linotype" w:cs="Palatino Linotype"/>
          <w:color w:val="000000"/>
        </w:rPr>
        <w:t xml:space="preserve"> del Estado de México y Municipios es competente para conocer y </w:t>
      </w:r>
      <w:r w:rsidRPr="006076A7">
        <w:rPr>
          <w:rFonts w:ascii="Palatino Linotype" w:eastAsia="Palatino Linotype" w:hAnsi="Palatino Linotype" w:cs="Palatino Linotype"/>
        </w:rPr>
        <w:t>resolver</w:t>
      </w:r>
      <w:r w:rsidRPr="006076A7">
        <w:rPr>
          <w:rFonts w:ascii="Palatino Linotype" w:eastAsia="Palatino Linotype" w:hAnsi="Palatino Linotype" w:cs="Palatino Linotype"/>
          <w:color w:val="000000"/>
        </w:rPr>
        <w:t xml:space="preserve"> el presente Recurso de Revisión, conforme a lo dispuesto en los artículos 6, Apartado A de la Constitución Política de los Estados Unidos Mexicanos; 5, párrafos trigésimo noveno, cuadragésimo y cuadragésimo primero,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4874ADB7" w14:textId="77777777" w:rsidR="00C545F6" w:rsidRPr="006076A7" w:rsidRDefault="00C545F6">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14:paraId="3F39289C" w14:textId="77777777" w:rsidR="00C545F6" w:rsidRPr="006076A7" w:rsidRDefault="00B624A5">
      <w:pPr>
        <w:pStyle w:val="Ttulo2"/>
        <w:spacing w:before="0" w:line="360" w:lineRule="auto"/>
        <w:ind w:right="-929"/>
        <w:rPr>
          <w:rFonts w:ascii="Palatino Linotype" w:eastAsia="Palatino Linotype" w:hAnsi="Palatino Linotype" w:cs="Palatino Linotype"/>
          <w:b/>
          <w:bCs/>
          <w:color w:val="000000"/>
          <w:sz w:val="24"/>
          <w:szCs w:val="24"/>
        </w:rPr>
      </w:pPr>
      <w:bookmarkStart w:id="4" w:name="_heading=h.2et92p0" w:colFirst="0" w:colLast="0"/>
      <w:bookmarkEnd w:id="4"/>
      <w:r w:rsidRPr="006076A7">
        <w:rPr>
          <w:rFonts w:ascii="Palatino Linotype" w:eastAsia="Palatino Linotype" w:hAnsi="Palatino Linotype" w:cs="Palatino Linotype"/>
          <w:b/>
          <w:bCs/>
          <w:color w:val="000000"/>
          <w:sz w:val="24"/>
          <w:szCs w:val="24"/>
        </w:rPr>
        <w:t>SEGUNDO. Procedencia.</w:t>
      </w:r>
    </w:p>
    <w:p w14:paraId="0ED7CE6E" w14:textId="77777777" w:rsidR="00C545F6" w:rsidRPr="006076A7" w:rsidRDefault="00B624A5">
      <w:pPr>
        <w:numPr>
          <w:ilvl w:val="0"/>
          <w:numId w:val="3"/>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sidRPr="006076A7">
        <w:rPr>
          <w:rFonts w:ascii="Palatino Linotype" w:eastAsia="Palatino Linotype" w:hAnsi="Palatino Linotype" w:cs="Palatino Linotype"/>
        </w:rPr>
        <w:t xml:space="preserve">Este Órgano Garante considera que el medio de impugnación reúne los requisitos de </w:t>
      </w:r>
      <w:r w:rsidRPr="006076A7">
        <w:rPr>
          <w:rFonts w:ascii="Palatino Linotype" w:eastAsia="Palatino Linotype" w:hAnsi="Palatino Linotype" w:cs="Palatino Linotype"/>
          <w:color w:val="000000"/>
        </w:rPr>
        <w:t>procedencia</w:t>
      </w:r>
      <w:r w:rsidRPr="006076A7">
        <w:rPr>
          <w:rFonts w:ascii="Palatino Linotype" w:eastAsia="Palatino Linotype" w:hAnsi="Palatino Linotype" w:cs="Palatino Linotype"/>
        </w:rPr>
        <w:t xml:space="preserve"> </w:t>
      </w:r>
      <w:r w:rsidRPr="006076A7">
        <w:rPr>
          <w:rFonts w:ascii="Palatino Linotype" w:eastAsia="Palatino Linotype" w:hAnsi="Palatino Linotype" w:cs="Palatino Linotype"/>
          <w:color w:val="000000"/>
        </w:rPr>
        <w:t>toda vez que: el recurso fue presentado dentro del plazo establecido en el artículo 178 de la Ley de Transparencia y Acceso a la Información Pública del Estado de México y Municipios; asimismo no se tiene conocimiento de que se encuentre en trámite algún medio de defensa presentado por el Recurrente ante otra instancia.</w:t>
      </w:r>
    </w:p>
    <w:p w14:paraId="0816F8B4" w14:textId="77777777" w:rsidR="00C545F6" w:rsidRPr="006076A7" w:rsidRDefault="00C545F6">
      <w:pPr>
        <w:pBdr>
          <w:top w:val="nil"/>
          <w:left w:val="nil"/>
          <w:bottom w:val="nil"/>
          <w:right w:val="nil"/>
          <w:between w:val="nil"/>
        </w:pBdr>
        <w:spacing w:line="360" w:lineRule="auto"/>
        <w:ind w:right="-929"/>
        <w:jc w:val="both"/>
        <w:rPr>
          <w:rFonts w:ascii="Palatino Linotype" w:eastAsia="Palatino Linotype" w:hAnsi="Palatino Linotype" w:cs="Palatino Linotype"/>
        </w:rPr>
      </w:pPr>
    </w:p>
    <w:p w14:paraId="744FC158" w14:textId="77777777" w:rsidR="00C545F6" w:rsidRPr="006076A7" w:rsidRDefault="00B624A5">
      <w:pPr>
        <w:numPr>
          <w:ilvl w:val="0"/>
          <w:numId w:val="3"/>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sidRPr="006076A7">
        <w:rPr>
          <w:rFonts w:ascii="Palatino Linotype" w:eastAsia="Palatino Linotype" w:hAnsi="Palatino Linotype" w:cs="Palatino Linotype"/>
        </w:rPr>
        <w:t xml:space="preserve">Por otro lado, es de suma importancia señalar que la parte recurrente no proporciona un nombre completo como se advierte en el detalle de seguimiento del SAIMEX, no obstante lo anterior, no proporcionar el nombre completo no es motivo para archivar la solicitud de </w:t>
      </w:r>
      <w:r w:rsidRPr="006076A7">
        <w:rPr>
          <w:rFonts w:ascii="Palatino Linotype" w:eastAsia="Palatino Linotype" w:hAnsi="Palatino Linotype" w:cs="Palatino Linotype"/>
        </w:rPr>
        <w:lastRenderedPageBreak/>
        <w:t>acceso a la información pública como concluida, conforme a lo previsto en el artículo 155, penúltimo párrafo de la Ley de Transparencia y Acceso a la Información Pública del Estado de México y Municipios que establece lo siguiente:</w:t>
      </w:r>
    </w:p>
    <w:p w14:paraId="32B93066" w14:textId="77777777" w:rsidR="00C545F6" w:rsidRPr="006076A7" w:rsidRDefault="00B624A5">
      <w:pPr>
        <w:spacing w:line="360" w:lineRule="auto"/>
        <w:ind w:left="567"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i/>
          <w:iCs/>
        </w:rPr>
        <w:t>"</w:t>
      </w:r>
      <w:r w:rsidRPr="006076A7">
        <w:rPr>
          <w:rFonts w:ascii="Palatino Linotype" w:eastAsia="Palatino Linotype" w:hAnsi="Palatino Linotype" w:cs="Palatino Linotype"/>
          <w:b/>
          <w:bCs/>
          <w:i/>
          <w:iCs/>
        </w:rPr>
        <w:t>Las solicitudes anónimas</w:t>
      </w:r>
      <w:r w:rsidRPr="006076A7">
        <w:rPr>
          <w:rFonts w:ascii="Palatino Linotype" w:eastAsia="Palatino Linotype" w:hAnsi="Palatino Linotype" w:cs="Palatino Linotype"/>
          <w:i/>
          <w:iCs/>
        </w:rPr>
        <w:t xml:space="preserve">, con nombre incompleto o seudónimo </w:t>
      </w:r>
      <w:r w:rsidRPr="006076A7">
        <w:rPr>
          <w:rFonts w:ascii="Palatino Linotype" w:eastAsia="Palatino Linotype" w:hAnsi="Palatino Linotype" w:cs="Palatino Linotype"/>
          <w:b/>
          <w:bCs/>
          <w:i/>
          <w:iCs/>
        </w:rPr>
        <w:t>serán procedentes para su trámite por parte del sujeto obligado ante quien se presente</w:t>
      </w:r>
      <w:r w:rsidRPr="006076A7">
        <w:rPr>
          <w:rFonts w:ascii="Palatino Linotype" w:eastAsia="Palatino Linotype" w:hAnsi="Palatino Linotype" w:cs="Palatino Linotype"/>
          <w:i/>
          <w:iCs/>
        </w:rPr>
        <w:t>. No podrá requerirse información adicional con motivo del nombre proporcionado por el solicitante."</w:t>
      </w:r>
    </w:p>
    <w:p w14:paraId="05829465" w14:textId="77777777" w:rsidR="00C545F6" w:rsidRPr="006076A7" w:rsidRDefault="00C545F6">
      <w:pPr>
        <w:pBdr>
          <w:top w:val="nil"/>
          <w:left w:val="nil"/>
          <w:bottom w:val="nil"/>
          <w:right w:val="nil"/>
          <w:between w:val="nil"/>
        </w:pBdr>
        <w:spacing w:line="360" w:lineRule="auto"/>
        <w:ind w:right="-929"/>
        <w:jc w:val="both"/>
        <w:rPr>
          <w:rFonts w:ascii="Palatino Linotype" w:eastAsia="Palatino Linotype" w:hAnsi="Palatino Linotype" w:cs="Palatino Linotype"/>
        </w:rPr>
      </w:pPr>
    </w:p>
    <w:p w14:paraId="7D83AA46" w14:textId="77777777" w:rsidR="00C545F6" w:rsidRPr="006076A7" w:rsidRDefault="00B624A5">
      <w:pPr>
        <w:numPr>
          <w:ilvl w:val="0"/>
          <w:numId w:val="3"/>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sidRPr="006076A7">
        <w:rPr>
          <w:rFonts w:ascii="Palatino Linotype" w:eastAsia="Palatino Linotype" w:hAnsi="Palatino Linotype" w:cs="Palatino Linotype"/>
        </w:rPr>
        <w:t>Finalmente, el escrito contiene las formalidades previstas por el artículo 180 último párrafo de la citada Ley de la Materia, por lo que es procedente que este Instituto conozca y resuelva el presente Recurso de Revisión.</w:t>
      </w:r>
    </w:p>
    <w:p w14:paraId="3F28397D" w14:textId="77777777" w:rsidR="00C545F6" w:rsidRPr="006076A7" w:rsidRDefault="00C545F6">
      <w:pPr>
        <w:pBdr>
          <w:top w:val="nil"/>
          <w:left w:val="nil"/>
          <w:bottom w:val="nil"/>
          <w:right w:val="nil"/>
          <w:between w:val="nil"/>
        </w:pBdr>
        <w:spacing w:line="360" w:lineRule="auto"/>
        <w:ind w:right="-929"/>
        <w:jc w:val="both"/>
        <w:rPr>
          <w:rFonts w:ascii="Palatino Linotype" w:eastAsia="Palatino Linotype" w:hAnsi="Palatino Linotype" w:cs="Palatino Linotype"/>
        </w:rPr>
      </w:pPr>
    </w:p>
    <w:p w14:paraId="05324635" w14:textId="77777777" w:rsidR="00C545F6" w:rsidRPr="006076A7" w:rsidRDefault="00B624A5">
      <w:pPr>
        <w:pStyle w:val="Ttulo2"/>
        <w:tabs>
          <w:tab w:val="left" w:pos="284"/>
          <w:tab w:val="left" w:pos="426"/>
        </w:tabs>
        <w:spacing w:before="0" w:line="360" w:lineRule="auto"/>
        <w:ind w:right="-929"/>
        <w:rPr>
          <w:rFonts w:ascii="Palatino Linotype" w:eastAsia="Palatino Linotype" w:hAnsi="Palatino Linotype" w:cs="Palatino Linotype"/>
          <w:b/>
          <w:bCs/>
          <w:color w:val="000000"/>
          <w:sz w:val="24"/>
          <w:szCs w:val="24"/>
        </w:rPr>
      </w:pPr>
      <w:bookmarkStart w:id="5" w:name="_heading=h.tyjcwt" w:colFirst="0" w:colLast="0"/>
      <w:bookmarkEnd w:id="5"/>
      <w:r w:rsidRPr="006076A7">
        <w:rPr>
          <w:rFonts w:ascii="Palatino Linotype" w:eastAsia="Palatino Linotype" w:hAnsi="Palatino Linotype" w:cs="Palatino Linotype"/>
          <w:b/>
          <w:bCs/>
          <w:color w:val="000000"/>
          <w:sz w:val="24"/>
          <w:szCs w:val="24"/>
        </w:rPr>
        <w:t xml:space="preserve">TERCERO. Del planteamiento de la </w:t>
      </w:r>
      <w:r w:rsidRPr="006076A7">
        <w:rPr>
          <w:rFonts w:ascii="Palatino Linotype" w:eastAsia="Palatino Linotype" w:hAnsi="Palatino Linotype" w:cs="Palatino Linotype"/>
          <w:b/>
          <w:bCs/>
          <w:i/>
          <w:iCs/>
          <w:color w:val="000000"/>
          <w:sz w:val="24"/>
          <w:szCs w:val="24"/>
        </w:rPr>
        <w:t>Litis.</w:t>
      </w:r>
    </w:p>
    <w:p w14:paraId="74BC11E7" w14:textId="77777777" w:rsidR="00C545F6" w:rsidRPr="006076A7" w:rsidRDefault="00B624A5">
      <w:pPr>
        <w:numPr>
          <w:ilvl w:val="0"/>
          <w:numId w:val="3"/>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sidRPr="006076A7">
        <w:rPr>
          <w:rFonts w:ascii="Palatino Linotype" w:eastAsia="Palatino Linotype" w:hAnsi="Palatino Linotype" w:cs="Palatino Linotype"/>
        </w:rPr>
        <w:t>Se solicitó tener acceso, a la información que a continuación se simplifica:</w:t>
      </w:r>
    </w:p>
    <w:p w14:paraId="6E07C307" w14:textId="77777777" w:rsidR="00C545F6" w:rsidRPr="006076A7" w:rsidRDefault="00B624A5">
      <w:pPr>
        <w:pBdr>
          <w:top w:val="nil"/>
          <w:left w:val="nil"/>
          <w:bottom w:val="nil"/>
          <w:right w:val="nil"/>
          <w:between w:val="nil"/>
        </w:pBdr>
        <w:tabs>
          <w:tab w:val="left" w:pos="0"/>
        </w:tabs>
        <w:spacing w:line="360" w:lineRule="auto"/>
        <w:ind w:right="-929"/>
        <w:jc w:val="both"/>
        <w:rPr>
          <w:rFonts w:ascii="Palatino Linotype" w:eastAsia="Palatino Linotype" w:hAnsi="Palatino Linotype" w:cs="Palatino Linotype"/>
        </w:rPr>
      </w:pPr>
      <w:r w:rsidRPr="006076A7">
        <w:rPr>
          <w:rFonts w:ascii="Palatino Linotype" w:eastAsia="Palatino Linotype" w:hAnsi="Palatino Linotype" w:cs="Palatino Linotype"/>
        </w:rPr>
        <w:t>Del proyecto “</w:t>
      </w:r>
      <w:r w:rsidRPr="006076A7">
        <w:rPr>
          <w:rFonts w:ascii="Palatino Linotype" w:eastAsia="Palatino Linotype" w:hAnsi="Palatino Linotype" w:cs="Palatino Linotype"/>
          <w:b/>
          <w:bCs/>
        </w:rPr>
        <w:t>Construcción de Pasos Peatonales Inteligentes</w:t>
      </w:r>
      <w:r w:rsidRPr="006076A7">
        <w:rPr>
          <w:rFonts w:ascii="Palatino Linotype" w:eastAsia="Palatino Linotype" w:hAnsi="Palatino Linotype" w:cs="Palatino Linotype"/>
        </w:rPr>
        <w:t>", la siguiente información:</w:t>
      </w:r>
    </w:p>
    <w:p w14:paraId="3AD1C3FA" w14:textId="77777777" w:rsidR="00C545F6" w:rsidRPr="006076A7" w:rsidRDefault="00B624A5">
      <w:pPr>
        <w:numPr>
          <w:ilvl w:val="0"/>
          <w:numId w:val="5"/>
        </w:num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r w:rsidRPr="006076A7">
        <w:rPr>
          <w:rFonts w:ascii="Palatino Linotype" w:eastAsia="Palatino Linotype" w:hAnsi="Palatino Linotype" w:cs="Palatino Linotype"/>
        </w:rPr>
        <w:t>Cómo</w:t>
      </w:r>
      <w:r w:rsidRPr="006076A7">
        <w:rPr>
          <w:rFonts w:ascii="Palatino Linotype" w:eastAsia="Palatino Linotype" w:hAnsi="Palatino Linotype" w:cs="Palatino Linotype"/>
          <w:color w:val="000000"/>
        </w:rPr>
        <w:t xml:space="preserve"> funcionarán el proyecto técnico y los estudios técnicos para determinar la factibilidad;</w:t>
      </w:r>
    </w:p>
    <w:p w14:paraId="1C581EF8" w14:textId="77777777" w:rsidR="00C545F6" w:rsidRPr="006076A7" w:rsidRDefault="00B624A5">
      <w:pPr>
        <w:numPr>
          <w:ilvl w:val="0"/>
          <w:numId w:val="5"/>
        </w:num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r w:rsidRPr="006076A7">
        <w:rPr>
          <w:rFonts w:ascii="Palatino Linotype" w:eastAsia="Palatino Linotype" w:hAnsi="Palatino Linotype" w:cs="Palatino Linotype"/>
          <w:color w:val="000000"/>
        </w:rPr>
        <w:t>Nombre de la empresa que lo realiza;</w:t>
      </w:r>
    </w:p>
    <w:p w14:paraId="7BA8DF11" w14:textId="77777777" w:rsidR="00C545F6" w:rsidRPr="006076A7" w:rsidRDefault="00B624A5">
      <w:pPr>
        <w:numPr>
          <w:ilvl w:val="0"/>
          <w:numId w:val="5"/>
        </w:num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r w:rsidRPr="006076A7">
        <w:rPr>
          <w:rFonts w:ascii="Palatino Linotype" w:eastAsia="Palatino Linotype" w:hAnsi="Palatino Linotype" w:cs="Palatino Linotype"/>
          <w:color w:val="000000"/>
        </w:rPr>
        <w:t>Expedientes completos se todos los que participaron en el proceso;</w:t>
      </w:r>
    </w:p>
    <w:p w14:paraId="18827A40" w14:textId="77777777" w:rsidR="00C545F6" w:rsidRPr="006076A7" w:rsidRDefault="00B624A5">
      <w:pPr>
        <w:numPr>
          <w:ilvl w:val="0"/>
          <w:numId w:val="5"/>
        </w:num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r w:rsidRPr="006076A7">
        <w:rPr>
          <w:rFonts w:ascii="Palatino Linotype" w:eastAsia="Palatino Linotype" w:hAnsi="Palatino Linotype" w:cs="Palatino Linotype"/>
          <w:color w:val="000000"/>
        </w:rPr>
        <w:t>Si fue licitación pública, o asignación directa;</w:t>
      </w:r>
    </w:p>
    <w:p w14:paraId="6098B274" w14:textId="77777777" w:rsidR="00C545F6" w:rsidRPr="006076A7" w:rsidRDefault="00B624A5">
      <w:pPr>
        <w:numPr>
          <w:ilvl w:val="0"/>
          <w:numId w:val="5"/>
        </w:num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r w:rsidRPr="006076A7">
        <w:rPr>
          <w:rFonts w:ascii="Palatino Linotype" w:eastAsia="Palatino Linotype" w:hAnsi="Palatino Linotype" w:cs="Palatino Linotype"/>
          <w:color w:val="000000"/>
        </w:rPr>
        <w:t>Por qué se eligió a la empresa ganadora, la justificación;</w:t>
      </w:r>
    </w:p>
    <w:p w14:paraId="5D02F7BC" w14:textId="77777777" w:rsidR="00C545F6" w:rsidRPr="006076A7" w:rsidRDefault="00B624A5">
      <w:pPr>
        <w:numPr>
          <w:ilvl w:val="0"/>
          <w:numId w:val="5"/>
        </w:num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r w:rsidRPr="006076A7">
        <w:rPr>
          <w:rFonts w:ascii="Palatino Linotype" w:eastAsia="Palatino Linotype" w:hAnsi="Palatino Linotype" w:cs="Palatino Linotype"/>
          <w:color w:val="000000"/>
        </w:rPr>
        <w:t xml:space="preserve">El acta de comité de adquisiciones, el contrato de la empresa que lo está realizando, el </w:t>
      </w:r>
      <w:r w:rsidRPr="006076A7">
        <w:rPr>
          <w:rFonts w:ascii="Palatino Linotype" w:eastAsia="Palatino Linotype" w:hAnsi="Palatino Linotype" w:cs="Palatino Linotype"/>
        </w:rPr>
        <w:t>costo</w:t>
      </w:r>
      <w:r w:rsidRPr="006076A7">
        <w:rPr>
          <w:rFonts w:ascii="Palatino Linotype" w:eastAsia="Palatino Linotype" w:hAnsi="Palatino Linotype" w:cs="Palatino Linotype"/>
          <w:color w:val="000000"/>
        </w:rPr>
        <w:t xml:space="preserve"> total de inversión;</w:t>
      </w:r>
    </w:p>
    <w:p w14:paraId="55E6E134" w14:textId="77777777" w:rsidR="00C545F6" w:rsidRPr="006076A7" w:rsidRDefault="00B624A5">
      <w:pPr>
        <w:numPr>
          <w:ilvl w:val="0"/>
          <w:numId w:val="5"/>
        </w:num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r w:rsidRPr="006076A7">
        <w:rPr>
          <w:rFonts w:ascii="Palatino Linotype" w:eastAsia="Palatino Linotype" w:hAnsi="Palatino Linotype" w:cs="Palatino Linotype"/>
          <w:color w:val="000000"/>
        </w:rPr>
        <w:lastRenderedPageBreak/>
        <w:t>Monto que se ha pagado por el proyecto y las facturas pagadas;</w:t>
      </w:r>
    </w:p>
    <w:p w14:paraId="155A760A" w14:textId="77777777" w:rsidR="00C545F6" w:rsidRPr="006076A7" w:rsidRDefault="00B624A5">
      <w:pPr>
        <w:numPr>
          <w:ilvl w:val="0"/>
          <w:numId w:val="5"/>
        </w:num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r w:rsidRPr="006076A7">
        <w:rPr>
          <w:rFonts w:ascii="Palatino Linotype" w:eastAsia="Palatino Linotype" w:hAnsi="Palatino Linotype" w:cs="Palatino Linotype"/>
          <w:color w:val="000000"/>
        </w:rPr>
        <w:t xml:space="preserve">Ubicación de los cruces, como funcionan y </w:t>
      </w:r>
      <w:r w:rsidRPr="006076A7">
        <w:rPr>
          <w:rFonts w:ascii="Palatino Linotype" w:eastAsia="Palatino Linotype" w:hAnsi="Palatino Linotype" w:cs="Palatino Linotype"/>
        </w:rPr>
        <w:t>cuántos</w:t>
      </w:r>
      <w:r w:rsidRPr="006076A7">
        <w:rPr>
          <w:rFonts w:ascii="Palatino Linotype" w:eastAsia="Palatino Linotype" w:hAnsi="Palatino Linotype" w:cs="Palatino Linotype"/>
          <w:color w:val="000000"/>
        </w:rPr>
        <w:t xml:space="preserve"> se van instalar en total</w:t>
      </w:r>
    </w:p>
    <w:p w14:paraId="4A6F118F" w14:textId="77777777" w:rsidR="00C545F6" w:rsidRPr="006076A7" w:rsidRDefault="00B624A5">
      <w:pPr>
        <w:numPr>
          <w:ilvl w:val="0"/>
          <w:numId w:val="5"/>
        </w:num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r w:rsidRPr="006076A7">
        <w:rPr>
          <w:rFonts w:ascii="Palatino Linotype" w:eastAsia="Palatino Linotype" w:hAnsi="Palatino Linotype" w:cs="Palatino Linotype"/>
          <w:color w:val="000000"/>
        </w:rPr>
        <w:t>Fecha de inicio del proyecto y fecha de conclusión.</w:t>
      </w:r>
    </w:p>
    <w:p w14:paraId="22017012" w14:textId="77777777" w:rsidR="00C545F6" w:rsidRPr="006076A7" w:rsidRDefault="00C545F6">
      <w:pPr>
        <w:pBdr>
          <w:top w:val="nil"/>
          <w:left w:val="nil"/>
          <w:bottom w:val="nil"/>
          <w:right w:val="nil"/>
          <w:between w:val="nil"/>
        </w:pBdr>
        <w:spacing w:line="360" w:lineRule="auto"/>
        <w:ind w:right="-929"/>
        <w:jc w:val="both"/>
        <w:rPr>
          <w:rFonts w:ascii="Palatino Linotype" w:eastAsia="Palatino Linotype" w:hAnsi="Palatino Linotype" w:cs="Palatino Linotype"/>
        </w:rPr>
      </w:pPr>
    </w:p>
    <w:p w14:paraId="2C352334" w14:textId="77777777" w:rsidR="00C545F6" w:rsidRPr="006076A7" w:rsidRDefault="00B624A5">
      <w:pPr>
        <w:numPr>
          <w:ilvl w:val="0"/>
          <w:numId w:val="3"/>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sidRPr="006076A7">
        <w:rPr>
          <w:rFonts w:ascii="Palatino Linotype" w:eastAsia="Palatino Linotype" w:hAnsi="Palatino Linotype" w:cs="Palatino Linotype"/>
        </w:rPr>
        <w:t>Inconforme con la respuesta, el solicitante interpuso recurso de revisión de manera general en contra de la negativa a la entrega de la información</w:t>
      </w:r>
      <w:r w:rsidRPr="006076A7">
        <w:rPr>
          <w:rFonts w:ascii="Palatino Linotype" w:eastAsia="Palatino Linotype" w:hAnsi="Palatino Linotype" w:cs="Palatino Linotype"/>
          <w:color w:val="000000"/>
        </w:rPr>
        <w:t xml:space="preserve">. </w:t>
      </w:r>
      <w:r w:rsidRPr="006076A7">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artículo 179, fracción I, de la Ley de Transparencia y Acceso a la Información Pública del Estado de México y Municipios; fracción que determina la hipótesis relativa a la entrega de información incompleta; contexto del cual se dolió el Recurrente al momento de interponer su inconformidad. De modo tal que el presente recurso de revisión se abocará en determinar si el Sujeto Obligado con su respuesta ciertamente actualiza la causal de procedencia señalada. </w:t>
      </w:r>
    </w:p>
    <w:p w14:paraId="0D94525E" w14:textId="77777777" w:rsidR="00C545F6" w:rsidRPr="006076A7" w:rsidRDefault="00C545F6">
      <w:pPr>
        <w:pBdr>
          <w:top w:val="nil"/>
          <w:left w:val="nil"/>
          <w:bottom w:val="nil"/>
          <w:right w:val="nil"/>
          <w:between w:val="nil"/>
        </w:pBdr>
        <w:spacing w:line="360" w:lineRule="auto"/>
        <w:ind w:right="-929"/>
        <w:jc w:val="both"/>
        <w:rPr>
          <w:rFonts w:ascii="Palatino Linotype" w:eastAsia="Palatino Linotype" w:hAnsi="Palatino Linotype" w:cs="Palatino Linotype"/>
        </w:rPr>
      </w:pPr>
    </w:p>
    <w:p w14:paraId="0E2896C6" w14:textId="77777777" w:rsidR="00C545F6" w:rsidRPr="006076A7" w:rsidRDefault="00B624A5">
      <w:pPr>
        <w:spacing w:line="360" w:lineRule="auto"/>
        <w:ind w:right="-929"/>
        <w:rPr>
          <w:rFonts w:ascii="Palatino Linotype" w:eastAsia="Palatino Linotype" w:hAnsi="Palatino Linotype" w:cs="Palatino Linotype"/>
          <w:b/>
          <w:bCs/>
        </w:rPr>
      </w:pPr>
      <w:r w:rsidRPr="006076A7">
        <w:rPr>
          <w:rFonts w:ascii="Palatino Linotype" w:eastAsia="Palatino Linotype" w:hAnsi="Palatino Linotype" w:cs="Palatino Linotype"/>
          <w:b/>
          <w:bCs/>
        </w:rPr>
        <w:t>CUARTO. Del estudio y resolución del asunto.</w:t>
      </w:r>
    </w:p>
    <w:p w14:paraId="462CED5D" w14:textId="77777777" w:rsidR="00C545F6" w:rsidRPr="006076A7" w:rsidRDefault="00B624A5">
      <w:pPr>
        <w:numPr>
          <w:ilvl w:val="0"/>
          <w:numId w:val="3"/>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sidRPr="006076A7">
        <w:rPr>
          <w:rFonts w:ascii="Palatino Linotype" w:eastAsia="Palatino Linotype" w:hAnsi="Palatino Linotype" w:cs="Palatino Linotype"/>
        </w:rPr>
        <w:t xml:space="preserve">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w:t>
      </w:r>
      <w:r w:rsidRPr="006076A7">
        <w:rPr>
          <w:rFonts w:ascii="Palatino Linotype" w:eastAsia="Palatino Linotype" w:hAnsi="Palatino Linotype" w:cs="Palatino Linotype"/>
        </w:rPr>
        <w:lastRenderedPageBreak/>
        <w:t>funciones desde su origen la eventual publicidad y reutilización de la información que generen.</w:t>
      </w:r>
    </w:p>
    <w:p w14:paraId="449AF4E8" w14:textId="77777777" w:rsidR="00C545F6" w:rsidRPr="006076A7" w:rsidRDefault="00C545F6">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14:paraId="07B2463F" w14:textId="77777777" w:rsidR="00C545F6" w:rsidRPr="006076A7" w:rsidRDefault="00B624A5">
      <w:pPr>
        <w:numPr>
          <w:ilvl w:val="0"/>
          <w:numId w:val="3"/>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sidRPr="006076A7">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5D3D89D2" w14:textId="77777777" w:rsidR="00C545F6" w:rsidRPr="006076A7" w:rsidRDefault="00C545F6">
      <w:pPr>
        <w:pBdr>
          <w:top w:val="nil"/>
          <w:left w:val="nil"/>
          <w:bottom w:val="nil"/>
          <w:right w:val="nil"/>
          <w:between w:val="nil"/>
        </w:pBdr>
        <w:spacing w:line="360" w:lineRule="auto"/>
        <w:ind w:left="720" w:right="-929"/>
        <w:rPr>
          <w:rFonts w:ascii="Palatino Linotype" w:eastAsia="Palatino Linotype" w:hAnsi="Palatino Linotype" w:cs="Palatino Linotype"/>
          <w:color w:val="000000"/>
        </w:rPr>
      </w:pPr>
    </w:p>
    <w:p w14:paraId="1CDD1A34" w14:textId="77777777" w:rsidR="00C545F6" w:rsidRPr="006076A7" w:rsidRDefault="00B624A5">
      <w:pPr>
        <w:numPr>
          <w:ilvl w:val="0"/>
          <w:numId w:val="3"/>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sidRPr="006076A7">
        <w:rPr>
          <w:rFonts w:ascii="Palatino Linotype" w:eastAsia="Palatino Linotype" w:hAnsi="Palatino Linotype" w:cs="Palatino Linotype"/>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14:paraId="6942F95B" w14:textId="77777777" w:rsidR="00C545F6" w:rsidRPr="006076A7" w:rsidRDefault="00C545F6">
      <w:pPr>
        <w:spacing w:line="360" w:lineRule="auto"/>
        <w:ind w:right="-929"/>
        <w:rPr>
          <w:rFonts w:ascii="Palatino Linotype" w:eastAsia="Palatino Linotype" w:hAnsi="Palatino Linotype" w:cs="Palatino Linotype"/>
        </w:rPr>
      </w:pPr>
    </w:p>
    <w:p w14:paraId="4965084D" w14:textId="77777777" w:rsidR="00C545F6" w:rsidRPr="006076A7" w:rsidRDefault="00B624A5">
      <w:pPr>
        <w:numPr>
          <w:ilvl w:val="0"/>
          <w:numId w:val="3"/>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bookmarkStart w:id="6" w:name="_heading=h.ck36vjodjxvn" w:colFirst="0" w:colLast="0"/>
      <w:bookmarkEnd w:id="6"/>
      <w:r w:rsidRPr="006076A7">
        <w:rPr>
          <w:rFonts w:ascii="Palatino Linotype" w:eastAsia="Palatino Linotype" w:hAnsi="Palatino Linotype" w:cs="Palatino Linotype"/>
        </w:rPr>
        <w:t>Dicho lo anterior, se procede al análisis de los puntos que integraron la solicitud de información a efecto de determinar si efectivamente se negó la entrega de la información</w:t>
      </w:r>
      <w:r w:rsidRPr="006076A7">
        <w:rPr>
          <w:rFonts w:ascii="Palatino Linotype" w:eastAsia="Palatino Linotype" w:hAnsi="Palatino Linotype" w:cs="Palatino Linotype"/>
          <w:i/>
          <w:iCs/>
        </w:rPr>
        <w:t xml:space="preserve">. </w:t>
      </w:r>
      <w:r w:rsidRPr="006076A7">
        <w:rPr>
          <w:rFonts w:ascii="Palatino Linotype" w:eastAsia="Palatino Linotype" w:hAnsi="Palatino Linotype" w:cs="Palatino Linotype"/>
        </w:rPr>
        <w:t xml:space="preserve">Primeramente respecto del requerimiento </w:t>
      </w:r>
      <w:r w:rsidRPr="006076A7">
        <w:rPr>
          <w:rFonts w:ascii="Palatino Linotype" w:eastAsia="Palatino Linotype" w:hAnsi="Palatino Linotype" w:cs="Palatino Linotype"/>
          <w:i/>
          <w:iCs/>
        </w:rPr>
        <w:t xml:space="preserve">“Cuanto le cobraron de noche por que sabemos que el presi pide una parte de cada contrato como el 5 por ciento de cada contrato o mas.” </w:t>
      </w:r>
      <w:r w:rsidRPr="006076A7">
        <w:rPr>
          <w:rFonts w:ascii="Palatino Linotype" w:eastAsia="Palatino Linotype" w:hAnsi="Palatino Linotype" w:cs="Palatino Linotype"/>
        </w:rPr>
        <w:t>(Sic).</w:t>
      </w:r>
      <w:r w:rsidRPr="006076A7">
        <w:rPr>
          <w:rFonts w:ascii="Palatino Linotype" w:eastAsia="Palatino Linotype" w:hAnsi="Palatino Linotype" w:cs="Palatino Linotype"/>
          <w:i/>
          <w:iCs/>
        </w:rPr>
        <w:t xml:space="preserve"> </w:t>
      </w:r>
    </w:p>
    <w:p w14:paraId="4184F5C5" w14:textId="77777777" w:rsidR="00C545F6" w:rsidRPr="006076A7" w:rsidRDefault="00B624A5">
      <w:pPr>
        <w:numPr>
          <w:ilvl w:val="0"/>
          <w:numId w:val="3"/>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sidRPr="006076A7">
        <w:rPr>
          <w:rFonts w:ascii="Palatino Linotype" w:eastAsia="Palatino Linotype" w:hAnsi="Palatino Linotype" w:cs="Palatino Linotype"/>
        </w:rPr>
        <w:lastRenderedPageBreak/>
        <w:t xml:space="preserve">Del cual si bien existió un pronunciamiento en respuesta, se omite un análisis al respecto; toda vez que dicho requerimiento </w:t>
      </w:r>
      <w:r w:rsidRPr="006076A7">
        <w:rPr>
          <w:rFonts w:ascii="Palatino Linotype" w:eastAsia="Palatino Linotype" w:hAnsi="Palatino Linotype" w:cs="Palatino Linotype"/>
          <w:u w:val="single"/>
        </w:rPr>
        <w:t>no forma parte de las funciones o atribuciones</w:t>
      </w:r>
      <w:r w:rsidRPr="006076A7">
        <w:rPr>
          <w:rFonts w:ascii="Palatino Linotype" w:eastAsia="Palatino Linotype" w:hAnsi="Palatino Linotype" w:cs="Palatino Linotype"/>
        </w:rPr>
        <w:t xml:space="preserve"> del </w:t>
      </w:r>
      <w:r w:rsidRPr="006076A7">
        <w:rPr>
          <w:rFonts w:ascii="Palatino Linotype" w:eastAsia="Palatino Linotype" w:hAnsi="Palatino Linotype" w:cs="Palatino Linotype"/>
          <w:b/>
          <w:bCs/>
        </w:rPr>
        <w:t xml:space="preserve">SUJETO OBLIGADO, </w:t>
      </w:r>
      <w:r w:rsidRPr="006076A7">
        <w:rPr>
          <w:rFonts w:ascii="Palatino Linotype" w:eastAsia="Palatino Linotype" w:hAnsi="Palatino Linotype" w:cs="Palatino Linotype"/>
        </w:rPr>
        <w:t xml:space="preserve">por tanto </w:t>
      </w:r>
      <w:r w:rsidRPr="006076A7">
        <w:rPr>
          <w:rFonts w:ascii="Palatino Linotype" w:eastAsia="Palatino Linotype" w:hAnsi="Palatino Linotype" w:cs="Palatino Linotype"/>
          <w:u w:val="single"/>
        </w:rPr>
        <w:t>no se advierte una expresión documental</w:t>
      </w:r>
      <w:r w:rsidRPr="006076A7">
        <w:rPr>
          <w:rFonts w:ascii="Palatino Linotype" w:eastAsia="Palatino Linotype" w:hAnsi="Palatino Linotype" w:cs="Palatino Linotype"/>
        </w:rPr>
        <w:t xml:space="preserve"> que pueda colmar el rubro de referencia; sumado a que el requerimiento está conformado por manifestaciones subjetivas del solicitante en ejercicio de su  derecho de expresión, pero que para el ejercicio del derecho de acceso a la información, tampoco resultan atendibles.</w:t>
      </w:r>
    </w:p>
    <w:p w14:paraId="24D551B9" w14:textId="77777777" w:rsidR="00C545F6" w:rsidRPr="006076A7" w:rsidRDefault="00C545F6">
      <w:pPr>
        <w:pBdr>
          <w:top w:val="nil"/>
          <w:left w:val="nil"/>
          <w:bottom w:val="nil"/>
          <w:right w:val="nil"/>
          <w:between w:val="nil"/>
        </w:pBdr>
        <w:spacing w:line="360" w:lineRule="auto"/>
        <w:ind w:left="360" w:right="-929"/>
        <w:jc w:val="both"/>
        <w:rPr>
          <w:rFonts w:ascii="Palatino Linotype" w:eastAsia="Palatino Linotype" w:hAnsi="Palatino Linotype" w:cs="Palatino Linotype"/>
        </w:rPr>
      </w:pPr>
    </w:p>
    <w:p w14:paraId="26ACE0CE" w14:textId="77777777" w:rsidR="00C545F6" w:rsidRPr="006076A7" w:rsidRDefault="00B624A5">
      <w:pPr>
        <w:numPr>
          <w:ilvl w:val="0"/>
          <w:numId w:val="3"/>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sidRPr="006076A7">
        <w:rPr>
          <w:rFonts w:ascii="Palatino Linotype" w:eastAsia="Palatino Linotype" w:hAnsi="Palatino Linotype" w:cs="Palatino Linotype"/>
        </w:rPr>
        <w:t xml:space="preserve">Seguidamente, respecto de la información solicitada, esta corresponde al proyecto denominado “Construcción de Pasos Peatonales Inteligentes", como tuvo a bien referir el </w:t>
      </w:r>
      <w:r w:rsidRPr="006076A7">
        <w:rPr>
          <w:rFonts w:ascii="Palatino Linotype" w:eastAsia="Palatino Linotype" w:hAnsi="Palatino Linotype" w:cs="Palatino Linotype"/>
          <w:b/>
          <w:bCs/>
        </w:rPr>
        <w:t>SUJETO OBLIGADO</w:t>
      </w:r>
      <w:r w:rsidRPr="006076A7">
        <w:rPr>
          <w:rFonts w:ascii="Palatino Linotype" w:eastAsia="Palatino Linotype" w:hAnsi="Palatino Linotype" w:cs="Palatino Linotype"/>
        </w:rPr>
        <w:t xml:space="preserve"> en su respuesta. Por tanto, en la respuesta, se acepta la existencia del Proyecto de referencia; aun con ello, es necesario traer a contexto para el análisis del soporte documental requerido, las siguientes notas periodísticas que también dan cuenta de la existencia del Proyecto en comento, a saber:</w:t>
      </w:r>
    </w:p>
    <w:p w14:paraId="5138F3F6" w14:textId="77777777" w:rsidR="00C545F6" w:rsidRPr="006076A7" w:rsidRDefault="00C545F6">
      <w:pPr>
        <w:pBdr>
          <w:top w:val="nil"/>
          <w:left w:val="nil"/>
          <w:bottom w:val="nil"/>
          <w:right w:val="nil"/>
          <w:between w:val="nil"/>
        </w:pBdr>
        <w:spacing w:line="360" w:lineRule="auto"/>
        <w:ind w:right="-929"/>
        <w:jc w:val="both"/>
        <w:rPr>
          <w:rFonts w:ascii="Palatino Linotype" w:eastAsia="Palatino Linotype" w:hAnsi="Palatino Linotype" w:cs="Palatino Linotype"/>
        </w:rPr>
      </w:pPr>
    </w:p>
    <w:p w14:paraId="10F3F5E4" w14:textId="77777777" w:rsidR="00C545F6" w:rsidRPr="006076A7" w:rsidRDefault="00B624A5">
      <w:pPr>
        <w:pBdr>
          <w:top w:val="nil"/>
          <w:left w:val="nil"/>
          <w:bottom w:val="nil"/>
          <w:right w:val="nil"/>
          <w:between w:val="nil"/>
        </w:pBdr>
        <w:spacing w:line="360" w:lineRule="auto"/>
        <w:ind w:left="-360" w:right="-929"/>
        <w:jc w:val="center"/>
        <w:rPr>
          <w:rFonts w:ascii="Palatino Linotype" w:eastAsia="Palatino Linotype" w:hAnsi="Palatino Linotype" w:cs="Palatino Linotype"/>
        </w:rPr>
      </w:pPr>
      <w:r w:rsidRPr="006076A7">
        <w:rPr>
          <w:rFonts w:ascii="Palatino Linotype" w:eastAsia="Palatino Linotype" w:hAnsi="Palatino Linotype" w:cs="Palatino Linotype"/>
          <w:noProof/>
          <w:lang w:val="es-MX"/>
        </w:rPr>
        <w:lastRenderedPageBreak/>
        <w:drawing>
          <wp:inline distT="0" distB="0" distL="0" distR="0" wp14:anchorId="5BC44AC1" wp14:editId="1474C4BA">
            <wp:extent cx="5455186" cy="3646666"/>
            <wp:effectExtent l="0" t="0" r="0" b="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5455186" cy="3646666"/>
                    </a:xfrm>
                    <a:prstGeom prst="rect">
                      <a:avLst/>
                    </a:prstGeom>
                    <a:ln/>
                  </pic:spPr>
                </pic:pic>
              </a:graphicData>
            </a:graphic>
          </wp:inline>
        </w:drawing>
      </w:r>
    </w:p>
    <w:p w14:paraId="7A2CF747" w14:textId="77777777" w:rsidR="00C545F6" w:rsidRPr="006076A7" w:rsidRDefault="00C545F6">
      <w:pPr>
        <w:pBdr>
          <w:top w:val="nil"/>
          <w:left w:val="nil"/>
          <w:bottom w:val="nil"/>
          <w:right w:val="nil"/>
          <w:between w:val="nil"/>
        </w:pBdr>
        <w:spacing w:line="360" w:lineRule="auto"/>
        <w:ind w:left="-360" w:right="-929"/>
        <w:jc w:val="center"/>
        <w:rPr>
          <w:rFonts w:ascii="Palatino Linotype" w:eastAsia="Palatino Linotype" w:hAnsi="Palatino Linotype" w:cs="Palatino Linotype"/>
        </w:rPr>
      </w:pPr>
    </w:p>
    <w:p w14:paraId="2A175BA0" w14:textId="77777777" w:rsidR="00C545F6" w:rsidRPr="006076A7" w:rsidRDefault="00B624A5">
      <w:pPr>
        <w:pBdr>
          <w:top w:val="nil"/>
          <w:left w:val="nil"/>
          <w:bottom w:val="nil"/>
          <w:right w:val="nil"/>
          <w:between w:val="nil"/>
        </w:pBdr>
        <w:ind w:left="-357" w:right="-929"/>
        <w:jc w:val="center"/>
        <w:rPr>
          <w:rFonts w:ascii="Palatino Linotype" w:eastAsia="Palatino Linotype" w:hAnsi="Palatino Linotype" w:cs="Palatino Linotype"/>
          <w:i/>
          <w:iCs/>
        </w:rPr>
      </w:pPr>
      <w:r w:rsidRPr="006076A7">
        <w:rPr>
          <w:rFonts w:ascii="Palatino Linotype" w:eastAsia="Palatino Linotype" w:hAnsi="Palatino Linotype" w:cs="Palatino Linotype"/>
          <w:i/>
          <w:iCs/>
        </w:rPr>
        <w:t>https://sistemamexiquense.mx/index.php/noticia/instalan-toluca-8-pasos-peatonales-inteligentes-con-luces-sonido-facilitaran-el-cruce</w:t>
      </w:r>
    </w:p>
    <w:p w14:paraId="5D22D447" w14:textId="77777777" w:rsidR="00C545F6" w:rsidRPr="006076A7" w:rsidRDefault="00C545F6">
      <w:pPr>
        <w:pBdr>
          <w:top w:val="nil"/>
          <w:left w:val="nil"/>
          <w:bottom w:val="nil"/>
          <w:right w:val="nil"/>
          <w:between w:val="nil"/>
        </w:pBdr>
        <w:spacing w:line="360" w:lineRule="auto"/>
        <w:ind w:left="-360" w:right="-929"/>
        <w:jc w:val="center"/>
        <w:rPr>
          <w:rFonts w:ascii="Palatino Linotype" w:eastAsia="Palatino Linotype" w:hAnsi="Palatino Linotype" w:cs="Palatino Linotype"/>
        </w:rPr>
      </w:pPr>
    </w:p>
    <w:p w14:paraId="1C3688C1" w14:textId="77777777" w:rsidR="00C545F6" w:rsidRPr="006076A7" w:rsidRDefault="00B624A5">
      <w:pPr>
        <w:pBdr>
          <w:top w:val="nil"/>
          <w:left w:val="nil"/>
          <w:bottom w:val="nil"/>
          <w:right w:val="nil"/>
          <w:between w:val="nil"/>
        </w:pBdr>
        <w:spacing w:line="360" w:lineRule="auto"/>
        <w:ind w:right="-929"/>
        <w:jc w:val="both"/>
        <w:rPr>
          <w:rFonts w:ascii="Palatino Linotype" w:eastAsia="Palatino Linotype" w:hAnsi="Palatino Linotype" w:cs="Palatino Linotype"/>
        </w:rPr>
      </w:pPr>
      <w:r w:rsidRPr="006076A7">
        <w:rPr>
          <w:rFonts w:ascii="Palatino Linotype" w:eastAsia="Palatino Linotype" w:hAnsi="Palatino Linotype" w:cs="Palatino Linotype"/>
          <w:noProof/>
          <w:lang w:val="es-MX"/>
        </w:rPr>
        <w:lastRenderedPageBreak/>
        <w:drawing>
          <wp:inline distT="0" distB="0" distL="0" distR="0" wp14:anchorId="5EABDBA6" wp14:editId="02166579">
            <wp:extent cx="5612130" cy="5296535"/>
            <wp:effectExtent l="0" t="0" r="0" b="0"/>
            <wp:docPr id="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
                    <a:srcRect/>
                    <a:stretch>
                      <a:fillRect/>
                    </a:stretch>
                  </pic:blipFill>
                  <pic:spPr>
                    <a:xfrm>
                      <a:off x="0" y="0"/>
                      <a:ext cx="5612130" cy="5296535"/>
                    </a:xfrm>
                    <a:prstGeom prst="rect">
                      <a:avLst/>
                    </a:prstGeom>
                    <a:ln/>
                  </pic:spPr>
                </pic:pic>
              </a:graphicData>
            </a:graphic>
          </wp:inline>
        </w:drawing>
      </w:r>
    </w:p>
    <w:p w14:paraId="7329093C" w14:textId="77777777" w:rsidR="00C545F6" w:rsidRPr="006076A7" w:rsidRDefault="00B624A5">
      <w:pPr>
        <w:pBdr>
          <w:top w:val="nil"/>
          <w:left w:val="nil"/>
          <w:bottom w:val="nil"/>
          <w:right w:val="nil"/>
          <w:between w:val="nil"/>
        </w:pBdr>
        <w:ind w:left="720" w:right="-929"/>
        <w:jc w:val="center"/>
        <w:rPr>
          <w:rFonts w:ascii="Palatino Linotype" w:eastAsia="Palatino Linotype" w:hAnsi="Palatino Linotype" w:cs="Palatino Linotype"/>
          <w:i/>
          <w:iCs/>
          <w:color w:val="000000"/>
        </w:rPr>
      </w:pPr>
      <w:r w:rsidRPr="006076A7">
        <w:rPr>
          <w:rFonts w:ascii="Palatino Linotype" w:eastAsia="Palatino Linotype" w:hAnsi="Palatino Linotype" w:cs="Palatino Linotype"/>
          <w:i/>
          <w:iCs/>
          <w:color w:val="000000"/>
        </w:rPr>
        <w:t>https://oem.com.mx/elsoldetoluca/local/cuanto-costaron-los-pasos-peatonales-inteligentes-de-toluca-te-contamos-24601345</w:t>
      </w:r>
    </w:p>
    <w:p w14:paraId="08543AB0" w14:textId="77777777" w:rsidR="00C545F6" w:rsidRPr="006076A7" w:rsidRDefault="00C545F6">
      <w:pPr>
        <w:pBdr>
          <w:top w:val="nil"/>
          <w:left w:val="nil"/>
          <w:bottom w:val="nil"/>
          <w:right w:val="nil"/>
          <w:between w:val="nil"/>
        </w:pBdr>
        <w:spacing w:line="360" w:lineRule="auto"/>
        <w:ind w:right="-929"/>
        <w:jc w:val="both"/>
        <w:rPr>
          <w:rFonts w:ascii="Palatino Linotype" w:eastAsia="Palatino Linotype" w:hAnsi="Palatino Linotype" w:cs="Palatino Linotype"/>
        </w:rPr>
      </w:pPr>
    </w:p>
    <w:p w14:paraId="225C1707" w14:textId="77777777" w:rsidR="00C545F6" w:rsidRPr="006076A7" w:rsidRDefault="00B624A5">
      <w:pPr>
        <w:numPr>
          <w:ilvl w:val="0"/>
          <w:numId w:val="3"/>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sidRPr="006076A7">
        <w:rPr>
          <w:rFonts w:ascii="Palatino Linotype" w:eastAsia="Palatino Linotype" w:hAnsi="Palatino Linotype" w:cs="Palatino Linotype"/>
        </w:rPr>
        <w:t xml:space="preserve">Notas como la de referencia: constituyen hechos notorios que permiten presumir que lo solicitado se generó, posee y administra. Sirven de </w:t>
      </w:r>
      <w:r w:rsidRPr="006076A7">
        <w:rPr>
          <w:rFonts w:ascii="Palatino Linotype" w:eastAsia="Palatino Linotype" w:hAnsi="Palatino Linotype" w:cs="Palatino Linotype"/>
          <w:color w:val="000000"/>
        </w:rPr>
        <w:t>criterios</w:t>
      </w:r>
      <w:r w:rsidRPr="006076A7">
        <w:rPr>
          <w:rFonts w:ascii="Palatino Linotype" w:eastAsia="Palatino Linotype" w:hAnsi="Palatino Linotype" w:cs="Palatino Linotype"/>
        </w:rPr>
        <w:t xml:space="preserve"> orientadores las Tesis P./J. 74/2006 y I.3o.C.102 K, emitidas por el más alto tribunal de este país, y que son del tenor literal siguiente:</w:t>
      </w:r>
    </w:p>
    <w:p w14:paraId="41EC3E03" w14:textId="77777777" w:rsidR="00C545F6" w:rsidRPr="006076A7" w:rsidRDefault="00B624A5">
      <w:pPr>
        <w:spacing w:line="360" w:lineRule="auto"/>
        <w:ind w:left="426" w:right="-929"/>
        <w:rPr>
          <w:rFonts w:ascii="Palatino Linotype" w:eastAsia="Palatino Linotype" w:hAnsi="Palatino Linotype" w:cs="Palatino Linotype"/>
          <w:b/>
          <w:bCs/>
          <w:i/>
          <w:iCs/>
          <w:color w:val="000000"/>
        </w:rPr>
      </w:pPr>
      <w:r w:rsidRPr="006076A7">
        <w:rPr>
          <w:rFonts w:ascii="Palatino Linotype" w:eastAsia="Palatino Linotype" w:hAnsi="Palatino Linotype" w:cs="Palatino Linotype"/>
          <w:b/>
          <w:bCs/>
          <w:i/>
          <w:iCs/>
          <w:color w:val="000000"/>
        </w:rPr>
        <w:lastRenderedPageBreak/>
        <w:t>“HECHOS NOTORIOS. CONCEPTOS GENERAL Y JURÍDICO.</w:t>
      </w:r>
    </w:p>
    <w:p w14:paraId="1F13C418" w14:textId="77777777" w:rsidR="00C545F6" w:rsidRPr="006076A7" w:rsidRDefault="00B624A5">
      <w:pPr>
        <w:spacing w:line="360" w:lineRule="auto"/>
        <w:ind w:left="426" w:right="-929"/>
        <w:jc w:val="both"/>
        <w:rPr>
          <w:rFonts w:ascii="Palatino Linotype" w:eastAsia="Palatino Linotype" w:hAnsi="Palatino Linotype" w:cs="Palatino Linotype"/>
          <w:i/>
          <w:iCs/>
          <w:color w:val="000000"/>
        </w:rPr>
      </w:pPr>
      <w:r w:rsidRPr="006076A7">
        <w:rPr>
          <w:rFonts w:ascii="Palatino Linotype" w:eastAsia="Palatino Linotype" w:hAnsi="Palatino Linotype" w:cs="Palatino Linotype"/>
          <w:i/>
          <w:iCs/>
          <w:color w:val="000000"/>
        </w:rPr>
        <w:t>Conforme al artículo </w:t>
      </w:r>
      <w:r w:rsidRPr="006076A7">
        <w:rPr>
          <w:rFonts w:ascii="Palatino Linotype" w:eastAsia="Palatino Linotype" w:hAnsi="Palatino Linotype" w:cs="Palatino Linotype"/>
          <w:i/>
          <w:iCs/>
          <w:color w:val="000000"/>
          <w:u w:val="single"/>
        </w:rPr>
        <w:t>88 del Código Federal de Procedimientos Civiles</w:t>
      </w:r>
      <w:r w:rsidRPr="006076A7">
        <w:rPr>
          <w:rFonts w:ascii="Palatino Linotype" w:eastAsia="Palatino Linotype" w:hAnsi="Palatino Linotype" w:cs="Palatino Linotype"/>
          <w:i/>
          <w:iCs/>
          <w:color w:val="000000"/>
        </w:rPr>
        <w:t> los tribunales pueden invocar hechos notorios aunque no hayan sido alegados ni probados por las partes. Por hechos notorios deben entenderse, en general, aquellos que por el conocimiento humano se consideran ciertos e indiscutibles, ya sea que pertenezcan a la historia, a la ciencia, a la naturaleza, a las vicisitudes de la vida pública actual o a circunstancias comúnmente conocidas en un determinado lugar, de modo que toda persona de ese medio esté en condiciones de saberlo; y desde el punto de vista jurídico, hecho notorio es cualquier acontecimiento de dominio público conocido por todos o casi todos los miembros de un círculo social en el momento en que va a pronunciarse la decisión judicial, respecto del cual no hay duda ni discusión; de manera que al ser notorio la ley exime de su prueba, por ser del conocimiento público en el medio social donde ocurrió o donde se tramita el procedimiento.”</w:t>
      </w:r>
    </w:p>
    <w:p w14:paraId="54569FBD" w14:textId="77777777" w:rsidR="00C545F6" w:rsidRPr="006076A7" w:rsidRDefault="00C545F6">
      <w:pPr>
        <w:spacing w:line="360" w:lineRule="auto"/>
        <w:ind w:left="426" w:right="-929"/>
        <w:jc w:val="both"/>
        <w:rPr>
          <w:rFonts w:ascii="Palatino Linotype" w:eastAsia="Palatino Linotype" w:hAnsi="Palatino Linotype" w:cs="Palatino Linotype"/>
          <w:i/>
          <w:iCs/>
          <w:color w:val="000000"/>
        </w:rPr>
      </w:pPr>
    </w:p>
    <w:p w14:paraId="1A3AF964" w14:textId="77777777" w:rsidR="00C545F6" w:rsidRPr="006076A7" w:rsidRDefault="00B624A5">
      <w:pPr>
        <w:spacing w:line="360" w:lineRule="auto"/>
        <w:ind w:left="426" w:right="-929"/>
        <w:jc w:val="both"/>
        <w:rPr>
          <w:rFonts w:ascii="Palatino Linotype" w:eastAsia="Palatino Linotype" w:hAnsi="Palatino Linotype" w:cs="Palatino Linotype"/>
          <w:b/>
          <w:bCs/>
          <w:i/>
          <w:iCs/>
          <w:color w:val="000000"/>
        </w:rPr>
      </w:pPr>
      <w:r w:rsidRPr="006076A7">
        <w:rPr>
          <w:rFonts w:ascii="Palatino Linotype" w:eastAsia="Palatino Linotype" w:hAnsi="Palatino Linotype" w:cs="Palatino Linotype"/>
          <w:b/>
          <w:bCs/>
          <w:i/>
          <w:iCs/>
          <w:color w:val="000000"/>
        </w:rPr>
        <w:t>“HECHO NOTORIO. SU INVOCACIÓN NO ES UN DERECHO DE LAS PARTES EN EL PROCEDIMIENTO DEL JUICIO DE AMPARO SINO UNA FACULTAD JURISDICCIONAL CONFERIDA AL JUEZ DE DISTRITO QUE NO DEBE APLICAR FRENTE A LA CARGA PROBATORIA QUE DERIVA DEL ARTÍCULO 78 DE LA LEY DE AMPARO.</w:t>
      </w:r>
    </w:p>
    <w:p w14:paraId="637E4219" w14:textId="77777777" w:rsidR="00C545F6" w:rsidRPr="006076A7" w:rsidRDefault="00B624A5">
      <w:pPr>
        <w:spacing w:line="360" w:lineRule="auto"/>
        <w:ind w:left="426" w:right="-929"/>
        <w:jc w:val="both"/>
        <w:rPr>
          <w:rFonts w:ascii="Palatino Linotype" w:eastAsia="Palatino Linotype" w:hAnsi="Palatino Linotype" w:cs="Palatino Linotype"/>
          <w:i/>
          <w:iCs/>
          <w:color w:val="000000"/>
        </w:rPr>
      </w:pPr>
      <w:r w:rsidRPr="006076A7">
        <w:rPr>
          <w:rFonts w:ascii="Palatino Linotype" w:eastAsia="Palatino Linotype" w:hAnsi="Palatino Linotype" w:cs="Palatino Linotype"/>
          <w:i/>
          <w:iCs/>
          <w:color w:val="000000"/>
        </w:rPr>
        <w:t>Conforme a lo establecido por la Suprema Corte de Justicia de la Nación, en relación a lo dispuesto en el artículo </w:t>
      </w:r>
      <w:hyperlink r:id="rId10">
        <w:r w:rsidRPr="006076A7">
          <w:rPr>
            <w:rFonts w:ascii="Palatino Linotype" w:eastAsia="Palatino Linotype" w:hAnsi="Palatino Linotype" w:cs="Palatino Linotype"/>
            <w:i/>
            <w:iCs/>
            <w:color w:val="000000"/>
          </w:rPr>
          <w:t>88 del Código Federal de Procedimientos Civiles</w:t>
        </w:r>
      </w:hyperlink>
      <w:r w:rsidRPr="006076A7">
        <w:rPr>
          <w:rFonts w:ascii="Palatino Linotype" w:eastAsia="Palatino Linotype" w:hAnsi="Palatino Linotype" w:cs="Palatino Linotype"/>
          <w:i/>
          <w:iCs/>
          <w:color w:val="000000"/>
        </w:rPr>
        <w:t xml:space="preserve">, de aplicación supletoria a la Ley de Amparo, los tribunales pueden invocar hechos notorios aunque no hayan sido alegados o probados por las partes. Tal es el caso de las sentencias que emite la autoridad judicial federal en los juicios de amparo que se tramitan ante ella, de las que tiene conocimiento por razón de su actividad y, por ello, al ser notorio, la ley exime de su prueba; sin embargo, su invocación no constituye un derecho </w:t>
      </w:r>
      <w:r w:rsidRPr="006076A7">
        <w:rPr>
          <w:rFonts w:ascii="Palatino Linotype" w:eastAsia="Palatino Linotype" w:hAnsi="Palatino Linotype" w:cs="Palatino Linotype"/>
          <w:i/>
          <w:iCs/>
          <w:color w:val="000000"/>
        </w:rPr>
        <w:lastRenderedPageBreak/>
        <w:t>de las partes, sino una facultad del órgano jurisdiccional federal que no debe aplicar cuando se actualiza la obligación establecida en el artículo 78 de la Ley de Amparo, que consiste en analizar el acto reclamado tal como aparezca probado ante la autoridad responsable, cuando la quejosa intervino como parte y estuvo en aptitud legal de ofrecer todos aquellos medios de prueba que a su interés conviniera en el juicio de origen y el hecho notorio respecto del cual se alegue, ya sea en el juicio de amparo biinstancial o en la revisión de la sentencia ahí dictada que en su caso se recurra, que debió ser invocado por el Juez de Distrito, tiene por objeto probar la legalidad de la referida sentencia o aspectos que debieron formar parte de la litis del juicio natural y probarse en esa oportunidad con las actuaciones y sentencias que se hayan dictado en los diversos juicios de amparo relacionados con el juicio principal en el que se emitió la resolución reclamada. La controversia de origen quedaría alterada si bajo el supuesto del hecho notorio, el Juez de amparo tuviera que analizar la legalidad del acto con el contenido de diversas ejecutorias dictadas en los juicios de garantías que se afirma, se tramitaron ante el mismo juzgador. Además, no debe pasar por alto que el hecho notorio del que dicha autoridad tiene conocimiento por razón de su actividad jurisdiccional, no constituye un derecho de las partes dentro del procedimiento del juicio de amparo, porque es claro lo que señala el citado numeral 78 de la ley de la materia, concerniente a que el acto reclamado debe apreciarse tal como fue probado ante la autoridad responsable y, por ende, no pueden admitirse ni tomarse en consideración en el juicio de garantías o en la revisión pruebas que no se hubieren rendido ante dicha autoridad para comprobar los hechos que motivaron o fueron objeto de la resolución reclamada, ni aquellas que no sean de las consideradas necesarias para la resolución del juicio de amparo, menos aún cuando las pruebas de que se trate el recurrente las exhiba hasta la revisión sin haberlas ofrecido en la audiencia constitucional.”</w:t>
      </w:r>
    </w:p>
    <w:p w14:paraId="7DBAB1F0" w14:textId="77777777" w:rsidR="00C545F6" w:rsidRPr="006076A7" w:rsidRDefault="00C545F6">
      <w:pPr>
        <w:spacing w:line="360" w:lineRule="auto"/>
        <w:ind w:left="426" w:right="-929"/>
        <w:jc w:val="both"/>
        <w:rPr>
          <w:rFonts w:ascii="Palatino Linotype" w:eastAsia="Palatino Linotype" w:hAnsi="Palatino Linotype" w:cs="Palatino Linotype"/>
          <w:color w:val="000000"/>
        </w:rPr>
      </w:pPr>
    </w:p>
    <w:p w14:paraId="7E4943DD" w14:textId="77777777" w:rsidR="00C545F6" w:rsidRPr="006076A7" w:rsidRDefault="00B624A5">
      <w:pPr>
        <w:numPr>
          <w:ilvl w:val="0"/>
          <w:numId w:val="3"/>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sidRPr="006076A7">
        <w:rPr>
          <w:rFonts w:ascii="Palatino Linotype" w:eastAsia="Palatino Linotype" w:hAnsi="Palatino Linotype" w:cs="Palatino Linotype"/>
        </w:rPr>
        <w:lastRenderedPageBreak/>
        <w:t>Asimismo, cabe traer a colación por analogía la tesis aislada número I.4o.T.4 K, emitida por el Cuatro Tribunal Colegiado en Materia de Trabajo del Primer Circuito, publicada en el Semanario Judicial de la Federación y su Gaceta, en el Tomo II, página 541, en Diciembre de mil novecientos noventa y cinco, de la Novena Época, titulada </w:t>
      </w:r>
      <w:r w:rsidRPr="006076A7">
        <w:rPr>
          <w:rFonts w:ascii="Palatino Linotype" w:eastAsia="Palatino Linotype" w:hAnsi="Palatino Linotype" w:cs="Palatino Linotype"/>
          <w:b/>
          <w:bCs/>
          <w:i/>
          <w:iCs/>
        </w:rPr>
        <w:t>“NOTAS PERIODISTICAS, EL CONOCIMIENTO QUE DE ELLAS SE OBTIENE NO CONSTITUYE ‘UN HECHO PUBLICO Y NOTORIO’”</w:t>
      </w:r>
      <w:r w:rsidRPr="006076A7">
        <w:rPr>
          <w:rFonts w:ascii="Palatino Linotype" w:eastAsia="Palatino Linotype" w:hAnsi="Palatino Linotype" w:cs="Palatino Linotype"/>
        </w:rPr>
        <w:t xml:space="preserve"> en la que se señala que el hecho de que el público lector adquiera conocimiento de algún hecho consignado en periódicos o revistas, no implica por esa sola circunstancia que la noticia se convierta en un hecho “público y notorio”, toda vez que se entiende por “notorio” lo que es público y sabido de todos, o un hecho cuyo conocimiento forma parte de la cultura propia de un círculo social determinado, en el tiempo de su realización.</w:t>
      </w:r>
    </w:p>
    <w:p w14:paraId="5BBD62E7" w14:textId="77777777" w:rsidR="00C545F6" w:rsidRPr="006076A7" w:rsidRDefault="00C545F6">
      <w:pPr>
        <w:pBdr>
          <w:top w:val="nil"/>
          <w:left w:val="nil"/>
          <w:bottom w:val="nil"/>
          <w:right w:val="nil"/>
          <w:between w:val="nil"/>
        </w:pBdr>
        <w:spacing w:line="360" w:lineRule="auto"/>
        <w:ind w:right="-929"/>
        <w:jc w:val="both"/>
        <w:rPr>
          <w:rFonts w:ascii="Palatino Linotype" w:eastAsia="Palatino Linotype" w:hAnsi="Palatino Linotype" w:cs="Palatino Linotype"/>
        </w:rPr>
      </w:pPr>
    </w:p>
    <w:p w14:paraId="0B882E3C" w14:textId="77777777" w:rsidR="00C545F6" w:rsidRPr="006076A7" w:rsidRDefault="00B624A5">
      <w:pPr>
        <w:numPr>
          <w:ilvl w:val="0"/>
          <w:numId w:val="3"/>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sidRPr="006076A7">
        <w:rPr>
          <w:rFonts w:ascii="Palatino Linotype" w:eastAsia="Palatino Linotype" w:hAnsi="Palatino Linotype" w:cs="Palatino Linotype"/>
        </w:rPr>
        <w:t>Luego entonces, se arriba a la conclusión que ciertamente se pudo llevar a cabo un proceso de licitación a efecto de adjudicar estas obras mediante el presupuesto consolidado del ejercicio fiscal de infraestructura urbana, contexto que se desconoce derivado que los servidores públicos habilitados que atendieron la solicitud de información, se limitaron a manifestar que no se encontraba dentro de sus atribuciones, con excepción del servidor público habilitado de la Dirección General de Obras Públicas quien manifestó que lo solicitado se encontraba en un “procedimiento administrativo” no concluido y que por tanto se debía clasificar. Sin que para tal efecto se mencionara cual es la información inmiscuida en un procedimiento administrativo o, cuál puntualmente era la información que era susceptible de ser clasificada.</w:t>
      </w:r>
    </w:p>
    <w:p w14:paraId="02626002" w14:textId="77777777" w:rsidR="00C545F6" w:rsidRPr="006076A7" w:rsidRDefault="00C545F6">
      <w:pPr>
        <w:pBdr>
          <w:top w:val="nil"/>
          <w:left w:val="nil"/>
          <w:bottom w:val="nil"/>
          <w:right w:val="nil"/>
          <w:between w:val="nil"/>
        </w:pBdr>
        <w:ind w:left="720" w:right="-929"/>
        <w:rPr>
          <w:rFonts w:ascii="Palatino Linotype" w:eastAsia="Palatino Linotype" w:hAnsi="Palatino Linotype" w:cs="Palatino Linotype"/>
          <w:color w:val="000000"/>
        </w:rPr>
      </w:pPr>
    </w:p>
    <w:p w14:paraId="1309E6A6" w14:textId="77777777" w:rsidR="00C545F6" w:rsidRPr="006076A7" w:rsidRDefault="00B624A5">
      <w:pPr>
        <w:numPr>
          <w:ilvl w:val="0"/>
          <w:numId w:val="3"/>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color w:val="000000"/>
        </w:rPr>
      </w:pPr>
      <w:bookmarkStart w:id="7" w:name="_heading=h.i3xxkg119v2" w:colFirst="0" w:colLast="0"/>
      <w:bookmarkEnd w:id="7"/>
      <w:r w:rsidRPr="006076A7">
        <w:rPr>
          <w:rFonts w:ascii="Palatino Linotype" w:eastAsia="Palatino Linotype" w:hAnsi="Palatino Linotype" w:cs="Palatino Linotype"/>
        </w:rPr>
        <w:lastRenderedPageBreak/>
        <w:t xml:space="preserve">En ese sentido, se debe señalar que, al contrario, la información relacionada con licitaciones públicas corresponde a información pública de oficio. </w:t>
      </w:r>
      <w:r w:rsidRPr="006076A7">
        <w:rPr>
          <w:rFonts w:ascii="Palatino Linotype" w:eastAsia="Palatino Linotype" w:hAnsi="Palatino Linotype" w:cs="Palatino Linotype"/>
          <w:color w:val="000000"/>
        </w:rPr>
        <w:t xml:space="preserve">Para delimitar lo anterior, es necesario primeramente traer a contexto la Ley de la Contratación Pública del Estado de México y Municipios, la cual tiene por objeto regular los actos relativos a la planeación, programación, presupuestación, ejecución y control de la adquisición, enajenación y arrendamiento de bienes, y la contratación de servicios de cualquier naturaleza, que realicen los Ayuntamientos del Estado; los cuales se </w:t>
      </w:r>
      <w:r w:rsidRPr="006076A7">
        <w:rPr>
          <w:rFonts w:ascii="Palatino Linotype" w:eastAsia="Palatino Linotype" w:hAnsi="Palatino Linotype" w:cs="Palatino Linotype"/>
        </w:rPr>
        <w:t>adjudicará</w:t>
      </w:r>
      <w:r w:rsidRPr="006076A7">
        <w:rPr>
          <w:rFonts w:ascii="Palatino Linotype" w:eastAsia="Palatino Linotype" w:hAnsi="Palatino Linotype" w:cs="Palatino Linotype"/>
          <w:color w:val="000000"/>
        </w:rPr>
        <w:t xml:space="preserve"> a través de </w:t>
      </w:r>
      <w:r w:rsidRPr="006076A7">
        <w:rPr>
          <w:rFonts w:ascii="Palatino Linotype" w:eastAsia="Palatino Linotype" w:hAnsi="Palatino Linotype" w:cs="Palatino Linotype"/>
          <w:color w:val="000000"/>
          <w:u w:val="single"/>
        </w:rPr>
        <w:t>licitaciones públicas</w:t>
      </w:r>
      <w:r w:rsidRPr="006076A7">
        <w:rPr>
          <w:rFonts w:ascii="Palatino Linotype" w:eastAsia="Palatino Linotype" w:hAnsi="Palatino Linotype" w:cs="Palatino Linotype"/>
          <w:color w:val="000000"/>
        </w:rPr>
        <w:t>, i</w:t>
      </w:r>
      <w:r w:rsidRPr="006076A7">
        <w:rPr>
          <w:rFonts w:ascii="Palatino Linotype" w:eastAsia="Palatino Linotype" w:hAnsi="Palatino Linotype" w:cs="Palatino Linotype"/>
          <w:color w:val="000000"/>
          <w:u w:val="single"/>
        </w:rPr>
        <w:t>nvitación restringida o adjudicación directa,</w:t>
      </w:r>
      <w:r w:rsidRPr="006076A7">
        <w:rPr>
          <w:rFonts w:ascii="Palatino Linotype" w:eastAsia="Palatino Linotype" w:hAnsi="Palatino Linotype" w:cs="Palatino Linotype"/>
          <w:color w:val="000000"/>
        </w:rPr>
        <w:t xml:space="preserve"> mediante convocatoria pública, tal y como lo establecen los artículos 4, 26 y 27 de dicha Ley, los cuales son del tenor siguiente:</w:t>
      </w:r>
    </w:p>
    <w:p w14:paraId="7DE23170" w14:textId="77777777" w:rsidR="00C545F6" w:rsidRPr="006076A7" w:rsidRDefault="00B624A5">
      <w:pPr>
        <w:spacing w:line="360" w:lineRule="auto"/>
        <w:ind w:left="851"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i/>
          <w:iCs/>
        </w:rPr>
        <w:t>“</w:t>
      </w:r>
      <w:r w:rsidRPr="006076A7">
        <w:rPr>
          <w:rFonts w:ascii="Palatino Linotype" w:eastAsia="Palatino Linotype" w:hAnsi="Palatino Linotype" w:cs="Palatino Linotype"/>
          <w:b/>
          <w:bCs/>
          <w:i/>
          <w:iCs/>
        </w:rPr>
        <w:t>Artículo 4.-</w:t>
      </w:r>
      <w:r w:rsidRPr="006076A7">
        <w:rPr>
          <w:rFonts w:ascii="Palatino Linotype" w:eastAsia="Palatino Linotype" w:hAnsi="Palatino Linotype" w:cs="Palatino Linotype"/>
          <w:i/>
          <w:iCs/>
        </w:rPr>
        <w:t xml:space="preserve"> Para los efectos de esta Ley, en las adquisiciones, enajenaciones, arrendamientos y servicios, quedan comprendidos: </w:t>
      </w:r>
    </w:p>
    <w:p w14:paraId="698FA34D" w14:textId="77777777" w:rsidR="00C545F6" w:rsidRPr="006076A7" w:rsidRDefault="00B624A5">
      <w:pPr>
        <w:spacing w:line="360" w:lineRule="auto"/>
        <w:ind w:left="851"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i/>
          <w:iCs/>
        </w:rPr>
        <w:t xml:space="preserve">I. La adquisición de bienes muebles. </w:t>
      </w:r>
    </w:p>
    <w:p w14:paraId="4678A680" w14:textId="77777777" w:rsidR="00C545F6" w:rsidRPr="006076A7" w:rsidRDefault="00B624A5">
      <w:pPr>
        <w:spacing w:line="360" w:lineRule="auto"/>
        <w:ind w:left="851"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i/>
          <w:iCs/>
        </w:rPr>
        <w:t xml:space="preserve">II. La adquisición de bienes inmuebles, a través de compraventa. </w:t>
      </w:r>
    </w:p>
    <w:p w14:paraId="1D985B10" w14:textId="77777777" w:rsidR="00C545F6" w:rsidRPr="006076A7" w:rsidRDefault="00B624A5">
      <w:pPr>
        <w:spacing w:line="360" w:lineRule="auto"/>
        <w:ind w:left="851"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i/>
          <w:iCs/>
        </w:rPr>
        <w:t xml:space="preserve">III. La enajenación de bienes muebles e inmuebles. </w:t>
      </w:r>
    </w:p>
    <w:p w14:paraId="78EA3120" w14:textId="77777777" w:rsidR="00C545F6" w:rsidRPr="006076A7" w:rsidRDefault="00B624A5">
      <w:pPr>
        <w:spacing w:line="360" w:lineRule="auto"/>
        <w:ind w:left="851"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i/>
          <w:iCs/>
        </w:rPr>
        <w:t xml:space="preserve">IV. El arrendamiento de bienes muebles e inmuebles. </w:t>
      </w:r>
    </w:p>
    <w:p w14:paraId="4B6BA14B" w14:textId="77777777" w:rsidR="00C545F6" w:rsidRPr="006076A7" w:rsidRDefault="00B624A5">
      <w:pPr>
        <w:spacing w:line="360" w:lineRule="auto"/>
        <w:ind w:left="851"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i/>
          <w:iCs/>
        </w:rPr>
        <w:t xml:space="preserve">V. La contratación de los servicios, relacionados con bienes muebles que se encuentran incorporados o adheridos a bienes inmuebles, cuya instalación o mantenimiento no implique modificación al bien inmueble. </w:t>
      </w:r>
    </w:p>
    <w:p w14:paraId="7B17A012" w14:textId="77777777" w:rsidR="00C545F6" w:rsidRPr="006076A7" w:rsidRDefault="00B624A5">
      <w:pPr>
        <w:spacing w:line="360" w:lineRule="auto"/>
        <w:ind w:left="851"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i/>
          <w:iCs/>
        </w:rPr>
        <w:t xml:space="preserve">VI. La contratación de los servicios de reconstrucción y mantenimiento de bienes muebles. </w:t>
      </w:r>
    </w:p>
    <w:p w14:paraId="5464CCF9" w14:textId="77777777" w:rsidR="00C545F6" w:rsidRPr="006076A7" w:rsidRDefault="00B624A5">
      <w:pPr>
        <w:spacing w:line="360" w:lineRule="auto"/>
        <w:ind w:left="851"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i/>
          <w:iCs/>
        </w:rPr>
        <w:t>VII. La contratación de los servicios de maquila, seguros y transportación, así como de los de limpieza y vigilancia de bienes inmuebles</w:t>
      </w:r>
    </w:p>
    <w:p w14:paraId="3A183ECE" w14:textId="77777777" w:rsidR="00C545F6" w:rsidRPr="006076A7" w:rsidRDefault="00B624A5">
      <w:pPr>
        <w:spacing w:line="360" w:lineRule="auto"/>
        <w:ind w:left="851" w:right="-929"/>
        <w:jc w:val="both"/>
        <w:rPr>
          <w:rFonts w:ascii="Palatino Linotype" w:eastAsia="Palatino Linotype" w:hAnsi="Palatino Linotype" w:cs="Palatino Linotype"/>
          <w:b/>
          <w:bCs/>
          <w:i/>
          <w:iCs/>
          <w:u w:val="single"/>
        </w:rPr>
      </w:pPr>
      <w:r w:rsidRPr="006076A7">
        <w:rPr>
          <w:rFonts w:ascii="Palatino Linotype" w:eastAsia="Palatino Linotype" w:hAnsi="Palatino Linotype" w:cs="Palatino Linotype"/>
          <w:b/>
          <w:bCs/>
          <w:i/>
          <w:iCs/>
          <w:u w:val="single"/>
        </w:rPr>
        <w:t xml:space="preserve">VIII. La prestación de servicios profesionales, la contratación de consultorías, asesorías y estudios e investigaciones, excepto la contratación de servicios personales de personas físicas bajo el régimen de honorarios. </w:t>
      </w:r>
    </w:p>
    <w:p w14:paraId="4F2E3037" w14:textId="77777777" w:rsidR="00C545F6" w:rsidRPr="006076A7" w:rsidRDefault="00B624A5">
      <w:pPr>
        <w:spacing w:line="360" w:lineRule="auto"/>
        <w:ind w:left="851" w:right="-929"/>
        <w:jc w:val="both"/>
        <w:rPr>
          <w:rFonts w:ascii="Palatino Linotype" w:eastAsia="Palatino Linotype" w:hAnsi="Palatino Linotype" w:cs="Palatino Linotype"/>
          <w:b/>
          <w:bCs/>
          <w:i/>
          <w:iCs/>
          <w:u w:val="single"/>
        </w:rPr>
      </w:pPr>
      <w:r w:rsidRPr="006076A7">
        <w:rPr>
          <w:rFonts w:ascii="Palatino Linotype" w:eastAsia="Palatino Linotype" w:hAnsi="Palatino Linotype" w:cs="Palatino Linotype"/>
          <w:b/>
          <w:bCs/>
          <w:i/>
          <w:iCs/>
          <w:u w:val="single"/>
        </w:rPr>
        <w:lastRenderedPageBreak/>
        <w:t>En general, otros actos que impliquen la contratación de servicios de cualquier naturaleza.</w:t>
      </w:r>
    </w:p>
    <w:p w14:paraId="39FC7D7B" w14:textId="77777777" w:rsidR="00C545F6" w:rsidRPr="006076A7" w:rsidRDefault="00C545F6">
      <w:pPr>
        <w:spacing w:line="360" w:lineRule="auto"/>
        <w:ind w:left="851" w:right="-929"/>
        <w:jc w:val="both"/>
        <w:rPr>
          <w:rFonts w:ascii="Palatino Linotype" w:eastAsia="Palatino Linotype" w:hAnsi="Palatino Linotype" w:cs="Palatino Linotype"/>
          <w:b/>
          <w:bCs/>
          <w:i/>
          <w:iCs/>
          <w:u w:val="single"/>
        </w:rPr>
      </w:pPr>
    </w:p>
    <w:p w14:paraId="2666A6CF" w14:textId="77777777" w:rsidR="00C545F6" w:rsidRPr="006076A7" w:rsidRDefault="00B624A5">
      <w:pPr>
        <w:spacing w:line="360" w:lineRule="auto"/>
        <w:ind w:left="851" w:right="-929"/>
        <w:jc w:val="both"/>
        <w:rPr>
          <w:rFonts w:ascii="Palatino Linotype" w:eastAsia="Palatino Linotype" w:hAnsi="Palatino Linotype" w:cs="Palatino Linotype"/>
          <w:b/>
          <w:bCs/>
          <w:i/>
          <w:iCs/>
        </w:rPr>
      </w:pPr>
      <w:r w:rsidRPr="006076A7">
        <w:rPr>
          <w:rFonts w:ascii="Palatino Linotype" w:eastAsia="Palatino Linotype" w:hAnsi="Palatino Linotype" w:cs="Palatino Linotype"/>
          <w:b/>
          <w:bCs/>
          <w:i/>
          <w:iCs/>
        </w:rPr>
        <w:t>Artículo 26.- Las adquisiciones, arrendamientos y servicios se adjudicarán a través de licitaciones públicas, mediante convocatoria pública.</w:t>
      </w:r>
    </w:p>
    <w:p w14:paraId="4B1A25D8" w14:textId="77777777" w:rsidR="00C545F6" w:rsidRPr="006076A7" w:rsidRDefault="00C545F6">
      <w:pPr>
        <w:spacing w:line="360" w:lineRule="auto"/>
        <w:ind w:left="851" w:right="-929"/>
        <w:jc w:val="both"/>
        <w:rPr>
          <w:rFonts w:ascii="Palatino Linotype" w:eastAsia="Palatino Linotype" w:hAnsi="Palatino Linotype" w:cs="Palatino Linotype"/>
          <w:b/>
          <w:bCs/>
          <w:i/>
          <w:iCs/>
        </w:rPr>
      </w:pPr>
    </w:p>
    <w:p w14:paraId="452AB6B8" w14:textId="77777777" w:rsidR="00C545F6" w:rsidRPr="006076A7" w:rsidRDefault="00B624A5">
      <w:pPr>
        <w:spacing w:line="360" w:lineRule="auto"/>
        <w:ind w:left="851"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b/>
          <w:bCs/>
          <w:i/>
          <w:iCs/>
        </w:rPr>
        <w:t xml:space="preserve">Artículo 27.- </w:t>
      </w:r>
      <w:r w:rsidRPr="006076A7">
        <w:rPr>
          <w:rFonts w:ascii="Palatino Linotype" w:eastAsia="Palatino Linotype" w:hAnsi="Palatino Linotype" w:cs="Palatino Linotype"/>
          <w:i/>
          <w:iCs/>
        </w:rPr>
        <w:t xml:space="preserve">La Secretaría, las entidades, los tribunales administrativos y </w:t>
      </w:r>
      <w:r w:rsidRPr="006076A7">
        <w:rPr>
          <w:rFonts w:ascii="Palatino Linotype" w:eastAsia="Palatino Linotype" w:hAnsi="Palatino Linotype" w:cs="Palatino Linotype"/>
          <w:b/>
          <w:bCs/>
          <w:i/>
          <w:iCs/>
        </w:rPr>
        <w:t>los ayuntamientos</w:t>
      </w:r>
      <w:r w:rsidRPr="006076A7">
        <w:rPr>
          <w:rFonts w:ascii="Palatino Linotype" w:eastAsia="Palatino Linotype" w:hAnsi="Palatino Linotype" w:cs="Palatino Linotype"/>
          <w:i/>
          <w:iCs/>
        </w:rPr>
        <w:t xml:space="preserve"> podrán adjudicar adquisiciones, arrendamientos y servicios, mediante las excepciones al procedimiento de licitación que a continuación se señalan: </w:t>
      </w:r>
    </w:p>
    <w:p w14:paraId="12B0963A" w14:textId="77777777" w:rsidR="00C545F6" w:rsidRPr="006076A7" w:rsidRDefault="00B624A5">
      <w:pPr>
        <w:spacing w:line="360" w:lineRule="auto"/>
        <w:ind w:left="851" w:right="-929"/>
        <w:jc w:val="both"/>
        <w:rPr>
          <w:rFonts w:ascii="Palatino Linotype" w:eastAsia="Palatino Linotype" w:hAnsi="Palatino Linotype" w:cs="Palatino Linotype"/>
          <w:b/>
          <w:bCs/>
          <w:i/>
          <w:iCs/>
        </w:rPr>
      </w:pPr>
      <w:r w:rsidRPr="006076A7">
        <w:rPr>
          <w:rFonts w:ascii="Palatino Linotype" w:eastAsia="Palatino Linotype" w:hAnsi="Palatino Linotype" w:cs="Palatino Linotype"/>
          <w:b/>
          <w:bCs/>
          <w:i/>
          <w:iCs/>
        </w:rPr>
        <w:t xml:space="preserve">I. Invitación restringida. </w:t>
      </w:r>
    </w:p>
    <w:p w14:paraId="1B7FD955" w14:textId="77777777" w:rsidR="00C545F6" w:rsidRPr="006076A7" w:rsidRDefault="00B624A5">
      <w:pPr>
        <w:spacing w:line="360" w:lineRule="auto"/>
        <w:ind w:left="851" w:right="-929"/>
        <w:jc w:val="both"/>
        <w:rPr>
          <w:rFonts w:ascii="Palatino Linotype" w:eastAsia="Palatino Linotype" w:hAnsi="Palatino Linotype" w:cs="Palatino Linotype"/>
          <w:b/>
          <w:bCs/>
          <w:i/>
          <w:iCs/>
        </w:rPr>
      </w:pPr>
      <w:r w:rsidRPr="006076A7">
        <w:rPr>
          <w:rFonts w:ascii="Palatino Linotype" w:eastAsia="Palatino Linotype" w:hAnsi="Palatino Linotype" w:cs="Palatino Linotype"/>
          <w:b/>
          <w:bCs/>
          <w:i/>
          <w:iCs/>
        </w:rPr>
        <w:t>II. Adjudicación directa.”</w:t>
      </w:r>
    </w:p>
    <w:p w14:paraId="12C15671" w14:textId="77777777" w:rsidR="00C545F6" w:rsidRPr="006076A7" w:rsidRDefault="00B624A5">
      <w:pPr>
        <w:spacing w:line="360" w:lineRule="auto"/>
        <w:ind w:left="851" w:right="-929"/>
        <w:rPr>
          <w:rFonts w:ascii="Palatino Linotype" w:eastAsia="Palatino Linotype" w:hAnsi="Palatino Linotype" w:cs="Palatino Linotype"/>
        </w:rPr>
      </w:pPr>
      <w:r w:rsidRPr="006076A7">
        <w:rPr>
          <w:rFonts w:ascii="Palatino Linotype" w:eastAsia="Palatino Linotype" w:hAnsi="Palatino Linotype" w:cs="Palatino Linotype"/>
        </w:rPr>
        <w:t xml:space="preserve">(Énfasis añadido) </w:t>
      </w:r>
    </w:p>
    <w:p w14:paraId="1E1DE83F" w14:textId="77777777" w:rsidR="00C545F6" w:rsidRPr="006076A7" w:rsidRDefault="00C545F6">
      <w:pPr>
        <w:spacing w:line="360" w:lineRule="auto"/>
        <w:ind w:right="-929"/>
        <w:jc w:val="both"/>
        <w:rPr>
          <w:rFonts w:ascii="Palatino Linotype" w:eastAsia="Palatino Linotype" w:hAnsi="Palatino Linotype" w:cs="Palatino Linotype"/>
        </w:rPr>
      </w:pPr>
    </w:p>
    <w:p w14:paraId="7C637F64" w14:textId="77777777" w:rsidR="00C545F6" w:rsidRPr="006076A7" w:rsidRDefault="00B624A5">
      <w:pPr>
        <w:numPr>
          <w:ilvl w:val="0"/>
          <w:numId w:val="3"/>
        </w:numPr>
        <w:spacing w:line="360" w:lineRule="auto"/>
        <w:ind w:left="0" w:right="-929" w:firstLine="0"/>
        <w:jc w:val="both"/>
        <w:rPr>
          <w:rFonts w:ascii="Palatino Linotype" w:eastAsia="Palatino Linotype" w:hAnsi="Palatino Linotype" w:cs="Palatino Linotype"/>
          <w:color w:val="000000"/>
        </w:rPr>
      </w:pPr>
      <w:r w:rsidRPr="006076A7">
        <w:rPr>
          <w:rFonts w:ascii="Palatino Linotype" w:eastAsia="Palatino Linotype" w:hAnsi="Palatino Linotype" w:cs="Palatino Linotype"/>
          <w:color w:val="000000"/>
        </w:rPr>
        <w:t>Asimismo, en las licitaciones se debe seguir el procedimiento marcado en el artículo 35 del precitado ordenamiento, que literalmente establece:</w:t>
      </w:r>
    </w:p>
    <w:p w14:paraId="101B1C9D" w14:textId="77777777" w:rsidR="00C545F6" w:rsidRPr="006076A7" w:rsidRDefault="00B624A5">
      <w:pPr>
        <w:spacing w:line="360" w:lineRule="auto"/>
        <w:ind w:left="567"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b/>
          <w:bCs/>
          <w:i/>
          <w:iCs/>
        </w:rPr>
        <w:t>“Artículo 35</w:t>
      </w:r>
      <w:r w:rsidRPr="006076A7">
        <w:rPr>
          <w:rFonts w:ascii="Palatino Linotype" w:eastAsia="Palatino Linotype" w:hAnsi="Palatino Linotype" w:cs="Palatino Linotype"/>
          <w:i/>
          <w:iCs/>
        </w:rPr>
        <w:t>.- En los procedimientos de licitación pública se observará lo siguiente:</w:t>
      </w:r>
    </w:p>
    <w:p w14:paraId="7B255B1E" w14:textId="77777777" w:rsidR="00C545F6" w:rsidRPr="006076A7" w:rsidRDefault="00B624A5">
      <w:pPr>
        <w:spacing w:line="360" w:lineRule="auto"/>
        <w:ind w:left="567"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i/>
          <w:iCs/>
        </w:rPr>
        <w:t>I. El acto de presentación y apertura de propuestas se llevará a cabo por el servidor público que designe la convocante, conforme al procedimiento que se establezca en el reglamento de esta Ley.</w:t>
      </w:r>
    </w:p>
    <w:p w14:paraId="632594EB" w14:textId="77777777" w:rsidR="00C545F6" w:rsidRPr="006076A7" w:rsidRDefault="00B624A5">
      <w:pPr>
        <w:spacing w:line="360" w:lineRule="auto"/>
        <w:ind w:left="567"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i/>
          <w:iCs/>
        </w:rPr>
        <w:t>II. El comité de adquisiciones y servicios evaluará y analizará las propuestas técnicas y económicas presentadas por los licitantes en el ámbito de las respectivas competencias de sus integrantes, y emitirá el dictamen de adjudicación.</w:t>
      </w:r>
    </w:p>
    <w:p w14:paraId="33CEE180" w14:textId="77777777" w:rsidR="00C545F6" w:rsidRPr="006076A7" w:rsidRDefault="00B624A5">
      <w:pPr>
        <w:spacing w:line="360" w:lineRule="auto"/>
        <w:ind w:left="567" w:right="-929"/>
        <w:jc w:val="both"/>
        <w:rPr>
          <w:rFonts w:ascii="Palatino Linotype" w:eastAsia="Palatino Linotype" w:hAnsi="Palatino Linotype" w:cs="Palatino Linotype"/>
          <w:i/>
          <w:iCs/>
          <w:u w:val="single"/>
        </w:rPr>
      </w:pPr>
      <w:r w:rsidRPr="006076A7">
        <w:rPr>
          <w:rFonts w:ascii="Palatino Linotype" w:eastAsia="Palatino Linotype" w:hAnsi="Palatino Linotype" w:cs="Palatino Linotype"/>
          <w:i/>
          <w:iCs/>
          <w:u w:val="single"/>
        </w:rPr>
        <w:t xml:space="preserve">III. Las bases de licitación se pondrán a la venta a partir de la fecha de publicación de la convocatoria y hasta el día hábil anterior a la fecha de celebración </w:t>
      </w:r>
      <w:r w:rsidRPr="006076A7">
        <w:rPr>
          <w:rFonts w:ascii="Palatino Linotype" w:eastAsia="Palatino Linotype" w:hAnsi="Palatino Linotype" w:cs="Palatino Linotype"/>
          <w:b/>
          <w:bCs/>
          <w:i/>
          <w:iCs/>
          <w:u w:val="single"/>
        </w:rPr>
        <w:t>de la junta de aclaraciones</w:t>
      </w:r>
      <w:r w:rsidRPr="006076A7">
        <w:rPr>
          <w:rFonts w:ascii="Palatino Linotype" w:eastAsia="Palatino Linotype" w:hAnsi="Palatino Linotype" w:cs="Palatino Linotype"/>
          <w:i/>
          <w:iCs/>
          <w:u w:val="single"/>
        </w:rPr>
        <w:t xml:space="preserve"> o, en su defecto, del acto de presentación y apertura de propuestas.</w:t>
      </w:r>
    </w:p>
    <w:p w14:paraId="22ADB515" w14:textId="77777777" w:rsidR="00C545F6" w:rsidRPr="006076A7" w:rsidRDefault="00B624A5">
      <w:pPr>
        <w:spacing w:line="360" w:lineRule="auto"/>
        <w:ind w:left="567"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i/>
          <w:iCs/>
        </w:rPr>
        <w:lastRenderedPageBreak/>
        <w:t>IV. Las convocantes podrán modificar los plazos y términos establecidos en la convocatoria o en las bases de licitación, hasta cinco días hábiles anteriores a la fecha de la celebración del acto de presentación y apertura de propuestas.</w:t>
      </w:r>
    </w:p>
    <w:p w14:paraId="7D08A856" w14:textId="77777777" w:rsidR="00C545F6" w:rsidRPr="006076A7" w:rsidRDefault="00B624A5">
      <w:pPr>
        <w:spacing w:line="360" w:lineRule="auto"/>
        <w:ind w:left="567"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i/>
          <w:iCs/>
        </w:rPr>
        <w:t>V. Las modificaciones no podrán limitar el número de licitantes, sustituir o variar sustancialmente los bienes o servicios convocados originalmente, ni adicionar otros  distintos.</w:t>
      </w:r>
    </w:p>
    <w:p w14:paraId="502EF6E8" w14:textId="77777777" w:rsidR="00C545F6" w:rsidRPr="006076A7" w:rsidRDefault="00B624A5">
      <w:pPr>
        <w:spacing w:line="360" w:lineRule="auto"/>
        <w:ind w:left="567"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i/>
          <w:iCs/>
        </w:rPr>
        <w:t>VI. Las modificaciones a la convocatoria o a las bases se harán del conocimiento de los interesados hasta tres días hábiles antes de la fecha señalada para el acto de presentación y apertura de propuestas.</w:t>
      </w:r>
    </w:p>
    <w:p w14:paraId="34C3124D" w14:textId="77777777" w:rsidR="00C545F6" w:rsidRPr="006076A7" w:rsidRDefault="00B624A5">
      <w:pPr>
        <w:spacing w:line="360" w:lineRule="auto"/>
        <w:ind w:left="567"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i/>
          <w:iCs/>
        </w:rPr>
        <w:t>VII. Se emitirá el fallo dentro de los 15 días hábiles siguientes a la publicación de la convocatoria.</w:t>
      </w:r>
    </w:p>
    <w:p w14:paraId="3AA1DCA7" w14:textId="77777777" w:rsidR="00C545F6" w:rsidRPr="006076A7" w:rsidRDefault="00B624A5">
      <w:pPr>
        <w:spacing w:line="360" w:lineRule="auto"/>
        <w:ind w:left="567"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i/>
          <w:iCs/>
        </w:rPr>
        <w:t>VIII. Los licitantes se podrán registrar hasta el día y la hora fijados para el acto de presentación y apertura de propuestas.</w:t>
      </w:r>
      <w:r w:rsidRPr="006076A7">
        <w:rPr>
          <w:rFonts w:ascii="Palatino Linotype" w:eastAsia="Palatino Linotype" w:hAnsi="Palatino Linotype" w:cs="Palatino Linotype"/>
          <w:b/>
          <w:bCs/>
          <w:i/>
          <w:iCs/>
        </w:rPr>
        <w:t>”</w:t>
      </w:r>
    </w:p>
    <w:p w14:paraId="6E9AD3D9" w14:textId="77777777" w:rsidR="00C545F6" w:rsidRPr="006076A7" w:rsidRDefault="00B624A5">
      <w:pPr>
        <w:spacing w:line="360" w:lineRule="auto"/>
        <w:ind w:left="567" w:right="-929"/>
        <w:rPr>
          <w:rFonts w:ascii="Palatino Linotype" w:eastAsia="Palatino Linotype" w:hAnsi="Palatino Linotype" w:cs="Palatino Linotype"/>
        </w:rPr>
      </w:pPr>
      <w:r w:rsidRPr="006076A7">
        <w:rPr>
          <w:rFonts w:ascii="Palatino Linotype" w:eastAsia="Palatino Linotype" w:hAnsi="Palatino Linotype" w:cs="Palatino Linotype"/>
        </w:rPr>
        <w:t>(Énfasis añadido)</w:t>
      </w:r>
    </w:p>
    <w:p w14:paraId="44BE1C39" w14:textId="77777777" w:rsidR="00C545F6" w:rsidRPr="006076A7" w:rsidRDefault="00C545F6">
      <w:pPr>
        <w:spacing w:line="360" w:lineRule="auto"/>
        <w:ind w:left="567" w:right="-929"/>
        <w:jc w:val="right"/>
        <w:rPr>
          <w:rFonts w:ascii="Palatino Linotype" w:eastAsia="Palatino Linotype" w:hAnsi="Palatino Linotype" w:cs="Palatino Linotype"/>
        </w:rPr>
      </w:pPr>
    </w:p>
    <w:p w14:paraId="4C4DA23B" w14:textId="77777777" w:rsidR="00C545F6" w:rsidRPr="006076A7" w:rsidRDefault="00B624A5">
      <w:pPr>
        <w:numPr>
          <w:ilvl w:val="0"/>
          <w:numId w:val="3"/>
        </w:numPr>
        <w:spacing w:line="360" w:lineRule="auto"/>
        <w:ind w:left="0" w:right="-929" w:firstLine="0"/>
        <w:jc w:val="both"/>
        <w:rPr>
          <w:rFonts w:ascii="Palatino Linotype" w:eastAsia="Palatino Linotype" w:hAnsi="Palatino Linotype" w:cs="Palatino Linotype"/>
          <w:color w:val="000000"/>
        </w:rPr>
      </w:pPr>
      <w:r w:rsidRPr="006076A7">
        <w:rPr>
          <w:rFonts w:ascii="Palatino Linotype" w:eastAsia="Palatino Linotype" w:hAnsi="Palatino Linotype" w:cs="Palatino Linotype"/>
          <w:color w:val="000000"/>
        </w:rPr>
        <w:t>Del precepto legal, se desprende que, los comités de adquisiciones y servicios, les corresponde evaluar y analizar las propuestas técnicas y económicas presentadas por los licitantes en el ámbito de las respectivas competencias de sus integrantes, debiendo emitir para ello un dictamen de adjudicación y conforme a dicho dictamen se deberá emitir el fallo dentro de los quince días hábiles siguientes a la publicación de la convocatoria.</w:t>
      </w:r>
    </w:p>
    <w:p w14:paraId="59557E02" w14:textId="77777777" w:rsidR="00C545F6" w:rsidRPr="006076A7" w:rsidRDefault="00C545F6">
      <w:pPr>
        <w:spacing w:line="360" w:lineRule="auto"/>
        <w:ind w:left="502" w:right="-929"/>
        <w:jc w:val="both"/>
        <w:rPr>
          <w:rFonts w:ascii="Palatino Linotype" w:eastAsia="Palatino Linotype" w:hAnsi="Palatino Linotype" w:cs="Palatino Linotype"/>
        </w:rPr>
      </w:pPr>
    </w:p>
    <w:p w14:paraId="3FD004FE" w14:textId="77777777" w:rsidR="00C545F6" w:rsidRPr="006076A7" w:rsidRDefault="00B624A5">
      <w:pPr>
        <w:numPr>
          <w:ilvl w:val="0"/>
          <w:numId w:val="3"/>
        </w:numPr>
        <w:spacing w:line="360" w:lineRule="auto"/>
        <w:ind w:left="0" w:right="-929" w:firstLine="0"/>
        <w:jc w:val="both"/>
        <w:rPr>
          <w:rFonts w:ascii="Palatino Linotype" w:eastAsia="Palatino Linotype" w:hAnsi="Palatino Linotype" w:cs="Palatino Linotype"/>
          <w:color w:val="000000"/>
        </w:rPr>
      </w:pPr>
      <w:r w:rsidRPr="006076A7">
        <w:rPr>
          <w:rFonts w:ascii="Palatino Linotype" w:eastAsia="Palatino Linotype" w:hAnsi="Palatino Linotype" w:cs="Palatino Linotype"/>
          <w:color w:val="000000"/>
        </w:rPr>
        <w:t xml:space="preserve">Ahora bien, por cuanto hace a la invitación restringida el artículo 44 de la Ley de la Contratación Pública del Estado de México y Municipios, dispone que podrá realizarse cuando se hubiere declarado desierto un procedimiento de licitación o cuando el importe de la operación no exceda de los montos establecidos por el Presupuesto de Egresos del Gobierno del Estado de México del ejercicio correspondiente. </w:t>
      </w:r>
    </w:p>
    <w:p w14:paraId="34963014" w14:textId="77777777" w:rsidR="00C545F6" w:rsidRPr="006076A7" w:rsidRDefault="00B624A5">
      <w:pPr>
        <w:numPr>
          <w:ilvl w:val="0"/>
          <w:numId w:val="3"/>
        </w:numPr>
        <w:spacing w:line="360" w:lineRule="auto"/>
        <w:ind w:left="0" w:right="-929" w:firstLine="0"/>
        <w:jc w:val="both"/>
        <w:rPr>
          <w:rFonts w:ascii="Palatino Linotype" w:eastAsia="Palatino Linotype" w:hAnsi="Palatino Linotype" w:cs="Palatino Linotype"/>
          <w:color w:val="000000"/>
        </w:rPr>
      </w:pPr>
      <w:r w:rsidRPr="006076A7">
        <w:rPr>
          <w:rFonts w:ascii="Palatino Linotype" w:eastAsia="Palatino Linotype" w:hAnsi="Palatino Linotype" w:cs="Palatino Linotype"/>
          <w:color w:val="000000"/>
        </w:rPr>
        <w:lastRenderedPageBreak/>
        <w:t>En este sentido, debe decirse que los expedientes de las adquisiciones, arrendamientos, enajenaciones y servicios, se encuentra considerada como una de las obligaciones de transparencias comunes que los Sujetos Obligados tienen el deber de poner a disposición del público de manera permanente y actualizada de forma sencilla, precisa y entendible, en los respectivos medios electrónicos, de acuerdo con sus facultades, atribuciones, funciones u objeto social, según corresponda; esto conforme a lo establecido en el artículo 92 de la de la Ley de Transparencia y Acceso a la Información Pública del Estado de México y Municipios, en su fracción XXIX, dispone lo siguiente:</w:t>
      </w:r>
    </w:p>
    <w:p w14:paraId="00BF448A" w14:textId="77777777" w:rsidR="00C545F6" w:rsidRPr="006076A7" w:rsidRDefault="00B624A5">
      <w:pPr>
        <w:spacing w:line="360" w:lineRule="auto"/>
        <w:ind w:left="851" w:right="-929"/>
        <w:jc w:val="both"/>
        <w:rPr>
          <w:rFonts w:ascii="Palatino Linotype" w:eastAsia="Palatino Linotype" w:hAnsi="Palatino Linotype" w:cs="Palatino Linotype"/>
        </w:rPr>
      </w:pPr>
      <w:r w:rsidRPr="006076A7">
        <w:rPr>
          <w:rFonts w:ascii="Palatino Linotype" w:eastAsia="Palatino Linotype" w:hAnsi="Palatino Linotype" w:cs="Palatino Linotype"/>
          <w:b/>
          <w:bCs/>
          <w:i/>
          <w:iCs/>
        </w:rPr>
        <w:t>“Artículo 92. </w:t>
      </w:r>
      <w:r w:rsidRPr="006076A7">
        <w:rPr>
          <w:rFonts w:ascii="Palatino Linotype" w:eastAsia="Palatino Linotype" w:hAnsi="Palatino Linotype" w:cs="Palatino Linotype"/>
          <w:i/>
          <w:iCs/>
        </w:rPr>
        <w:t>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44B50A5F" w14:textId="77777777" w:rsidR="00C545F6" w:rsidRPr="006076A7" w:rsidRDefault="00B624A5">
      <w:pPr>
        <w:spacing w:line="360" w:lineRule="auto"/>
        <w:ind w:left="851" w:right="-929"/>
        <w:jc w:val="both"/>
        <w:rPr>
          <w:rFonts w:ascii="Palatino Linotype" w:eastAsia="Palatino Linotype" w:hAnsi="Palatino Linotype" w:cs="Palatino Linotype"/>
        </w:rPr>
      </w:pPr>
      <w:r w:rsidRPr="006076A7">
        <w:rPr>
          <w:rFonts w:ascii="Palatino Linotype" w:eastAsia="Palatino Linotype" w:hAnsi="Palatino Linotype" w:cs="Palatino Linotype"/>
          <w:i/>
          <w:iCs/>
        </w:rPr>
        <w:t>(…)</w:t>
      </w:r>
    </w:p>
    <w:p w14:paraId="705BA6BE" w14:textId="77777777" w:rsidR="00C545F6" w:rsidRPr="006076A7" w:rsidRDefault="00C545F6">
      <w:pPr>
        <w:spacing w:line="360" w:lineRule="auto"/>
        <w:ind w:left="851" w:right="-929"/>
        <w:jc w:val="both"/>
        <w:rPr>
          <w:rFonts w:ascii="Palatino Linotype" w:eastAsia="Palatino Linotype" w:hAnsi="Palatino Linotype" w:cs="Palatino Linotype"/>
          <w:b/>
          <w:bCs/>
          <w:i/>
          <w:iCs/>
        </w:rPr>
      </w:pPr>
    </w:p>
    <w:p w14:paraId="0718B03A" w14:textId="77777777" w:rsidR="00C545F6" w:rsidRPr="006076A7" w:rsidRDefault="00B624A5">
      <w:pPr>
        <w:spacing w:line="360" w:lineRule="auto"/>
        <w:ind w:left="851" w:right="-929"/>
        <w:jc w:val="both"/>
        <w:rPr>
          <w:rFonts w:ascii="Palatino Linotype" w:eastAsia="Palatino Linotype" w:hAnsi="Palatino Linotype" w:cs="Palatino Linotype"/>
        </w:rPr>
      </w:pPr>
      <w:r w:rsidRPr="006076A7">
        <w:rPr>
          <w:rFonts w:ascii="Palatino Linotype" w:eastAsia="Palatino Linotype" w:hAnsi="Palatino Linotype" w:cs="Palatino Linotype"/>
          <w:b/>
          <w:bCs/>
          <w:i/>
          <w:iCs/>
        </w:rPr>
        <w:t>XXIX. </w:t>
      </w:r>
      <w:r w:rsidRPr="006076A7">
        <w:rPr>
          <w:rFonts w:ascii="Palatino Linotype" w:eastAsia="Palatino Linotype" w:hAnsi="Palatino Linotype" w:cs="Palatino Linotype"/>
          <w:i/>
          <w:iCs/>
        </w:rPr>
        <w:t>La información sobre los procesos y resultados sobre procedimientos de adjudicación directa, invitación restringida y licitación de cualquier naturaleza, </w:t>
      </w:r>
      <w:r w:rsidRPr="006076A7">
        <w:rPr>
          <w:rFonts w:ascii="Palatino Linotype" w:eastAsia="Palatino Linotype" w:hAnsi="Palatino Linotype" w:cs="Palatino Linotype"/>
          <w:b/>
          <w:bCs/>
          <w:i/>
          <w:iCs/>
          <w:u w:val="single"/>
        </w:rPr>
        <w:t>incluyendo la versión pública del expediente respectivo y de los contratos</w:t>
      </w:r>
      <w:r w:rsidRPr="006076A7">
        <w:rPr>
          <w:rFonts w:ascii="Palatino Linotype" w:eastAsia="Palatino Linotype" w:hAnsi="Palatino Linotype" w:cs="Palatino Linotype"/>
          <w:i/>
          <w:iCs/>
        </w:rPr>
        <w:t> celebrados, que deberán contener, por los menos, lo siguiente:</w:t>
      </w:r>
    </w:p>
    <w:p w14:paraId="592D5572" w14:textId="77777777" w:rsidR="00C545F6" w:rsidRPr="006076A7" w:rsidRDefault="00B624A5">
      <w:pPr>
        <w:spacing w:line="360" w:lineRule="auto"/>
        <w:ind w:left="851" w:right="-929"/>
        <w:jc w:val="both"/>
        <w:rPr>
          <w:rFonts w:ascii="Palatino Linotype" w:eastAsia="Palatino Linotype" w:hAnsi="Palatino Linotype" w:cs="Palatino Linotype"/>
        </w:rPr>
      </w:pPr>
      <w:r w:rsidRPr="006076A7">
        <w:rPr>
          <w:rFonts w:ascii="Palatino Linotype" w:eastAsia="Palatino Linotype" w:hAnsi="Palatino Linotype" w:cs="Palatino Linotype"/>
          <w:b/>
          <w:bCs/>
          <w:i/>
          <w:iCs/>
        </w:rPr>
        <w:t>a) </w:t>
      </w:r>
      <w:r w:rsidRPr="006076A7">
        <w:rPr>
          <w:rFonts w:ascii="Palatino Linotype" w:eastAsia="Palatino Linotype" w:hAnsi="Palatino Linotype" w:cs="Palatino Linotype"/>
          <w:i/>
          <w:iCs/>
        </w:rPr>
        <w:t>De licitaciones públicas o procedimientos de invitación restringida:</w:t>
      </w:r>
    </w:p>
    <w:p w14:paraId="3B33CEFB" w14:textId="77777777" w:rsidR="00C545F6" w:rsidRPr="006076A7" w:rsidRDefault="00B624A5">
      <w:pPr>
        <w:spacing w:line="360" w:lineRule="auto"/>
        <w:ind w:left="851" w:right="-929"/>
        <w:jc w:val="both"/>
        <w:rPr>
          <w:rFonts w:ascii="Palatino Linotype" w:eastAsia="Palatino Linotype" w:hAnsi="Palatino Linotype" w:cs="Palatino Linotype"/>
        </w:rPr>
      </w:pPr>
      <w:r w:rsidRPr="006076A7">
        <w:rPr>
          <w:rFonts w:ascii="Palatino Linotype" w:eastAsia="Palatino Linotype" w:hAnsi="Palatino Linotype" w:cs="Palatino Linotype"/>
          <w:b/>
          <w:bCs/>
          <w:i/>
          <w:iCs/>
        </w:rPr>
        <w:t>1)</w:t>
      </w:r>
      <w:r w:rsidRPr="006076A7">
        <w:rPr>
          <w:rFonts w:ascii="Palatino Linotype" w:eastAsia="Palatino Linotype" w:hAnsi="Palatino Linotype" w:cs="Palatino Linotype"/>
          <w:i/>
          <w:iCs/>
        </w:rPr>
        <w:t> La convocatoria o invitación emitida, así como los fundamentos legales aplicados para llevarla a cabo;</w:t>
      </w:r>
    </w:p>
    <w:p w14:paraId="4D98417C" w14:textId="77777777" w:rsidR="00C545F6" w:rsidRPr="006076A7" w:rsidRDefault="00B624A5">
      <w:pPr>
        <w:spacing w:line="360" w:lineRule="auto"/>
        <w:ind w:left="851" w:right="-929"/>
        <w:jc w:val="both"/>
        <w:rPr>
          <w:rFonts w:ascii="Palatino Linotype" w:eastAsia="Palatino Linotype" w:hAnsi="Palatino Linotype" w:cs="Palatino Linotype"/>
          <w:b/>
          <w:bCs/>
        </w:rPr>
      </w:pPr>
      <w:r w:rsidRPr="006076A7">
        <w:rPr>
          <w:rFonts w:ascii="Palatino Linotype" w:eastAsia="Palatino Linotype" w:hAnsi="Palatino Linotype" w:cs="Palatino Linotype"/>
          <w:b/>
          <w:bCs/>
          <w:i/>
          <w:iCs/>
        </w:rPr>
        <w:t>2) Los nombres de los participantes o invitados;</w:t>
      </w:r>
    </w:p>
    <w:p w14:paraId="651504C4" w14:textId="77777777" w:rsidR="00C545F6" w:rsidRPr="006076A7" w:rsidRDefault="00B624A5">
      <w:pPr>
        <w:spacing w:line="360" w:lineRule="auto"/>
        <w:ind w:left="851" w:right="-929"/>
        <w:jc w:val="both"/>
        <w:rPr>
          <w:rFonts w:ascii="Palatino Linotype" w:eastAsia="Palatino Linotype" w:hAnsi="Palatino Linotype" w:cs="Palatino Linotype"/>
          <w:b/>
          <w:bCs/>
        </w:rPr>
      </w:pPr>
      <w:r w:rsidRPr="006076A7">
        <w:rPr>
          <w:rFonts w:ascii="Palatino Linotype" w:eastAsia="Palatino Linotype" w:hAnsi="Palatino Linotype" w:cs="Palatino Linotype"/>
          <w:b/>
          <w:bCs/>
          <w:i/>
          <w:iCs/>
        </w:rPr>
        <w:t>3) El nombre del ganador y las razones que lo justifican;</w:t>
      </w:r>
    </w:p>
    <w:p w14:paraId="7264C16B" w14:textId="77777777" w:rsidR="00C545F6" w:rsidRPr="006076A7" w:rsidRDefault="00B624A5">
      <w:pPr>
        <w:spacing w:line="360" w:lineRule="auto"/>
        <w:ind w:left="851" w:right="-929"/>
        <w:jc w:val="both"/>
        <w:rPr>
          <w:rFonts w:ascii="Palatino Linotype" w:eastAsia="Palatino Linotype" w:hAnsi="Palatino Linotype" w:cs="Palatino Linotype"/>
        </w:rPr>
      </w:pPr>
      <w:r w:rsidRPr="006076A7">
        <w:rPr>
          <w:rFonts w:ascii="Palatino Linotype" w:eastAsia="Palatino Linotype" w:hAnsi="Palatino Linotype" w:cs="Palatino Linotype"/>
          <w:b/>
          <w:bCs/>
          <w:i/>
          <w:iCs/>
        </w:rPr>
        <w:lastRenderedPageBreak/>
        <w:t>4) </w:t>
      </w:r>
      <w:r w:rsidRPr="006076A7">
        <w:rPr>
          <w:rFonts w:ascii="Palatino Linotype" w:eastAsia="Palatino Linotype" w:hAnsi="Palatino Linotype" w:cs="Palatino Linotype"/>
          <w:i/>
          <w:iCs/>
        </w:rPr>
        <w:t>El área solicitante y la responsable de su ejecución;</w:t>
      </w:r>
    </w:p>
    <w:p w14:paraId="1E5D2D7E" w14:textId="77777777" w:rsidR="00C545F6" w:rsidRPr="006076A7" w:rsidRDefault="00B624A5">
      <w:pPr>
        <w:spacing w:line="360" w:lineRule="auto"/>
        <w:ind w:left="851" w:right="-929"/>
        <w:jc w:val="both"/>
        <w:rPr>
          <w:rFonts w:ascii="Palatino Linotype" w:eastAsia="Palatino Linotype" w:hAnsi="Palatino Linotype" w:cs="Palatino Linotype"/>
        </w:rPr>
      </w:pPr>
      <w:r w:rsidRPr="006076A7">
        <w:rPr>
          <w:rFonts w:ascii="Palatino Linotype" w:eastAsia="Palatino Linotype" w:hAnsi="Palatino Linotype" w:cs="Palatino Linotype"/>
          <w:b/>
          <w:bCs/>
          <w:i/>
          <w:iCs/>
        </w:rPr>
        <w:t>5) </w:t>
      </w:r>
      <w:r w:rsidRPr="006076A7">
        <w:rPr>
          <w:rFonts w:ascii="Palatino Linotype" w:eastAsia="Palatino Linotype" w:hAnsi="Palatino Linotype" w:cs="Palatino Linotype"/>
          <w:i/>
          <w:iCs/>
        </w:rPr>
        <w:t>Las convocatorias e invitaciones emitidas;</w:t>
      </w:r>
    </w:p>
    <w:p w14:paraId="77A70BEB" w14:textId="77777777" w:rsidR="00C545F6" w:rsidRPr="006076A7" w:rsidRDefault="00B624A5">
      <w:pPr>
        <w:spacing w:line="360" w:lineRule="auto"/>
        <w:ind w:left="851" w:right="-929"/>
        <w:jc w:val="both"/>
        <w:rPr>
          <w:rFonts w:ascii="Palatino Linotype" w:eastAsia="Palatino Linotype" w:hAnsi="Palatino Linotype" w:cs="Palatino Linotype"/>
          <w:b/>
          <w:bCs/>
          <w:i/>
          <w:iCs/>
        </w:rPr>
      </w:pPr>
      <w:r w:rsidRPr="006076A7">
        <w:rPr>
          <w:rFonts w:ascii="Palatino Linotype" w:eastAsia="Palatino Linotype" w:hAnsi="Palatino Linotype" w:cs="Palatino Linotype"/>
          <w:b/>
          <w:bCs/>
          <w:i/>
          <w:iCs/>
        </w:rPr>
        <w:t>6) Los dictámenes y fallo de adjudicación;</w:t>
      </w:r>
    </w:p>
    <w:p w14:paraId="5E812BB5" w14:textId="77777777" w:rsidR="00C545F6" w:rsidRPr="006076A7" w:rsidRDefault="00B624A5">
      <w:pPr>
        <w:spacing w:line="360" w:lineRule="auto"/>
        <w:ind w:left="851" w:right="-929"/>
        <w:jc w:val="both"/>
        <w:rPr>
          <w:rFonts w:ascii="Palatino Linotype" w:eastAsia="Palatino Linotype" w:hAnsi="Palatino Linotype" w:cs="Palatino Linotype"/>
          <w:b/>
          <w:bCs/>
          <w:i/>
          <w:iCs/>
        </w:rPr>
      </w:pPr>
      <w:r w:rsidRPr="006076A7">
        <w:rPr>
          <w:rFonts w:ascii="Palatino Linotype" w:eastAsia="Palatino Linotype" w:hAnsi="Palatino Linotype" w:cs="Palatino Linotype"/>
          <w:b/>
          <w:bCs/>
          <w:i/>
          <w:iCs/>
          <w:u w:val="single"/>
        </w:rPr>
        <w:t>7) El contrato y, en su caso, sus anexos</w:t>
      </w:r>
      <w:r w:rsidRPr="006076A7">
        <w:rPr>
          <w:rFonts w:ascii="Palatino Linotype" w:eastAsia="Palatino Linotype" w:hAnsi="Palatino Linotype" w:cs="Palatino Linotype"/>
          <w:b/>
          <w:bCs/>
          <w:i/>
          <w:iCs/>
        </w:rPr>
        <w:t>;</w:t>
      </w:r>
    </w:p>
    <w:p w14:paraId="1C76A9FB" w14:textId="77777777" w:rsidR="00C545F6" w:rsidRPr="006076A7" w:rsidRDefault="00B624A5">
      <w:pPr>
        <w:spacing w:line="360" w:lineRule="auto"/>
        <w:ind w:left="851"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i/>
          <w:iCs/>
        </w:rPr>
        <w:t>8) Los mecanismos de vigilancia y supervisión, incluyendo en su caso, los estudios de impacto urbano y ambiental, según corresponda;</w:t>
      </w:r>
    </w:p>
    <w:p w14:paraId="0F63B2E4" w14:textId="77777777" w:rsidR="00C545F6" w:rsidRPr="006076A7" w:rsidRDefault="00B624A5">
      <w:pPr>
        <w:spacing w:line="360" w:lineRule="auto"/>
        <w:ind w:left="851" w:right="-929"/>
        <w:jc w:val="both"/>
        <w:rPr>
          <w:rFonts w:ascii="Palatino Linotype" w:eastAsia="Palatino Linotype" w:hAnsi="Palatino Linotype" w:cs="Palatino Linotype"/>
        </w:rPr>
      </w:pPr>
      <w:r w:rsidRPr="006076A7">
        <w:rPr>
          <w:rFonts w:ascii="Palatino Linotype" w:eastAsia="Palatino Linotype" w:hAnsi="Palatino Linotype" w:cs="Palatino Linotype"/>
          <w:b/>
          <w:bCs/>
          <w:i/>
          <w:iCs/>
        </w:rPr>
        <w:t>9) </w:t>
      </w:r>
      <w:r w:rsidRPr="006076A7">
        <w:rPr>
          <w:rFonts w:ascii="Palatino Linotype" w:eastAsia="Palatino Linotype" w:hAnsi="Palatino Linotype" w:cs="Palatino Linotype"/>
          <w:i/>
          <w:iCs/>
        </w:rPr>
        <w:t>La partida presupuestal, de conformidad con el clasificador por objeto del gasto, en el caso de ser aplicable;</w:t>
      </w:r>
    </w:p>
    <w:p w14:paraId="7ED28AD9" w14:textId="77777777" w:rsidR="00C545F6" w:rsidRPr="006076A7" w:rsidRDefault="00B624A5">
      <w:pPr>
        <w:spacing w:line="360" w:lineRule="auto"/>
        <w:ind w:left="851" w:right="-929"/>
        <w:jc w:val="both"/>
        <w:rPr>
          <w:rFonts w:ascii="Palatino Linotype" w:eastAsia="Palatino Linotype" w:hAnsi="Palatino Linotype" w:cs="Palatino Linotype"/>
        </w:rPr>
      </w:pPr>
      <w:r w:rsidRPr="006076A7">
        <w:rPr>
          <w:rFonts w:ascii="Palatino Linotype" w:eastAsia="Palatino Linotype" w:hAnsi="Palatino Linotype" w:cs="Palatino Linotype"/>
          <w:i/>
          <w:iCs/>
        </w:rPr>
        <w:t>10) Origen de los recursos especificando si son federales, estatales o municipales, así como el tipo de fondo de participación o aportación respectiva;</w:t>
      </w:r>
    </w:p>
    <w:p w14:paraId="6E25A59C" w14:textId="77777777" w:rsidR="00C545F6" w:rsidRPr="006076A7" w:rsidRDefault="00B624A5">
      <w:pPr>
        <w:spacing w:line="360" w:lineRule="auto"/>
        <w:ind w:left="851" w:right="-929"/>
        <w:jc w:val="both"/>
        <w:rPr>
          <w:rFonts w:ascii="Palatino Linotype" w:eastAsia="Palatino Linotype" w:hAnsi="Palatino Linotype" w:cs="Palatino Linotype"/>
        </w:rPr>
      </w:pPr>
      <w:r w:rsidRPr="006076A7">
        <w:rPr>
          <w:rFonts w:ascii="Palatino Linotype" w:eastAsia="Palatino Linotype" w:hAnsi="Palatino Linotype" w:cs="Palatino Linotype"/>
          <w:b/>
          <w:bCs/>
          <w:i/>
          <w:iCs/>
        </w:rPr>
        <w:t>11) </w:t>
      </w:r>
      <w:r w:rsidRPr="006076A7">
        <w:rPr>
          <w:rFonts w:ascii="Palatino Linotype" w:eastAsia="Palatino Linotype" w:hAnsi="Palatino Linotype" w:cs="Palatino Linotype"/>
          <w:i/>
          <w:iCs/>
        </w:rPr>
        <w:t>Los convenios modificatorios que, en su caso, sean firmados, precisando el objeto y la fecha de celebración;</w:t>
      </w:r>
    </w:p>
    <w:p w14:paraId="354F3866" w14:textId="77777777" w:rsidR="00C545F6" w:rsidRPr="006076A7" w:rsidRDefault="00B624A5">
      <w:pPr>
        <w:spacing w:line="360" w:lineRule="auto"/>
        <w:ind w:left="851" w:right="-929"/>
        <w:jc w:val="both"/>
        <w:rPr>
          <w:rFonts w:ascii="Palatino Linotype" w:eastAsia="Palatino Linotype" w:hAnsi="Palatino Linotype" w:cs="Palatino Linotype"/>
        </w:rPr>
      </w:pPr>
      <w:r w:rsidRPr="006076A7">
        <w:rPr>
          <w:rFonts w:ascii="Palatino Linotype" w:eastAsia="Palatino Linotype" w:hAnsi="Palatino Linotype" w:cs="Palatino Linotype"/>
          <w:b/>
          <w:bCs/>
          <w:i/>
          <w:iCs/>
        </w:rPr>
        <w:t>12) </w:t>
      </w:r>
      <w:r w:rsidRPr="006076A7">
        <w:rPr>
          <w:rFonts w:ascii="Palatino Linotype" w:eastAsia="Palatino Linotype" w:hAnsi="Palatino Linotype" w:cs="Palatino Linotype"/>
          <w:i/>
          <w:iCs/>
        </w:rPr>
        <w:t>Los informes de avance físico y financiero sobre las obras o servicios contratados;</w:t>
      </w:r>
    </w:p>
    <w:p w14:paraId="3B337C18" w14:textId="77777777" w:rsidR="00C545F6" w:rsidRPr="006076A7" w:rsidRDefault="00B624A5">
      <w:pPr>
        <w:spacing w:line="360" w:lineRule="auto"/>
        <w:ind w:left="851" w:right="-929"/>
        <w:jc w:val="both"/>
        <w:rPr>
          <w:rFonts w:ascii="Palatino Linotype" w:eastAsia="Palatino Linotype" w:hAnsi="Palatino Linotype" w:cs="Palatino Linotype"/>
        </w:rPr>
      </w:pPr>
      <w:r w:rsidRPr="006076A7">
        <w:rPr>
          <w:rFonts w:ascii="Palatino Linotype" w:eastAsia="Palatino Linotype" w:hAnsi="Palatino Linotype" w:cs="Palatino Linotype"/>
          <w:b/>
          <w:bCs/>
          <w:i/>
          <w:iCs/>
        </w:rPr>
        <w:t>13) </w:t>
      </w:r>
      <w:r w:rsidRPr="006076A7">
        <w:rPr>
          <w:rFonts w:ascii="Palatino Linotype" w:eastAsia="Palatino Linotype" w:hAnsi="Palatino Linotype" w:cs="Palatino Linotype"/>
          <w:i/>
          <w:iCs/>
        </w:rPr>
        <w:t>El convenio de terminación; y</w:t>
      </w:r>
    </w:p>
    <w:p w14:paraId="412C72CB" w14:textId="77777777" w:rsidR="00C545F6" w:rsidRPr="006076A7" w:rsidRDefault="00B624A5">
      <w:pPr>
        <w:spacing w:line="360" w:lineRule="auto"/>
        <w:ind w:left="851" w:right="-929"/>
        <w:jc w:val="both"/>
        <w:rPr>
          <w:rFonts w:ascii="Palatino Linotype" w:eastAsia="Palatino Linotype" w:hAnsi="Palatino Linotype" w:cs="Palatino Linotype"/>
        </w:rPr>
      </w:pPr>
      <w:r w:rsidRPr="006076A7">
        <w:rPr>
          <w:rFonts w:ascii="Palatino Linotype" w:eastAsia="Palatino Linotype" w:hAnsi="Palatino Linotype" w:cs="Palatino Linotype"/>
          <w:b/>
          <w:bCs/>
          <w:i/>
          <w:iCs/>
        </w:rPr>
        <w:t>14) </w:t>
      </w:r>
      <w:r w:rsidRPr="006076A7">
        <w:rPr>
          <w:rFonts w:ascii="Palatino Linotype" w:eastAsia="Palatino Linotype" w:hAnsi="Palatino Linotype" w:cs="Palatino Linotype"/>
          <w:i/>
          <w:iCs/>
        </w:rPr>
        <w:t>El finiquito.</w:t>
      </w:r>
    </w:p>
    <w:p w14:paraId="613CB9EC" w14:textId="77777777" w:rsidR="00C545F6" w:rsidRPr="006076A7" w:rsidRDefault="00B624A5">
      <w:pPr>
        <w:spacing w:line="360" w:lineRule="auto"/>
        <w:ind w:left="851" w:right="-929"/>
        <w:jc w:val="both"/>
        <w:rPr>
          <w:rFonts w:ascii="Palatino Linotype" w:eastAsia="Palatino Linotype" w:hAnsi="Palatino Linotype" w:cs="Palatino Linotype"/>
          <w:b/>
          <w:bCs/>
        </w:rPr>
      </w:pPr>
      <w:r w:rsidRPr="006076A7">
        <w:rPr>
          <w:rFonts w:ascii="Palatino Linotype" w:eastAsia="Palatino Linotype" w:hAnsi="Palatino Linotype" w:cs="Palatino Linotype"/>
          <w:b/>
          <w:bCs/>
          <w:i/>
          <w:iCs/>
        </w:rPr>
        <w:t>b) De las adjudicaciones directas:</w:t>
      </w:r>
    </w:p>
    <w:p w14:paraId="71B58D50" w14:textId="77777777" w:rsidR="00C545F6" w:rsidRPr="006076A7" w:rsidRDefault="00B624A5">
      <w:pPr>
        <w:spacing w:line="360" w:lineRule="auto"/>
        <w:ind w:left="851" w:right="-929"/>
        <w:jc w:val="both"/>
        <w:rPr>
          <w:rFonts w:ascii="Palatino Linotype" w:eastAsia="Palatino Linotype" w:hAnsi="Palatino Linotype" w:cs="Palatino Linotype"/>
        </w:rPr>
      </w:pPr>
      <w:r w:rsidRPr="006076A7">
        <w:rPr>
          <w:rFonts w:ascii="Palatino Linotype" w:eastAsia="Palatino Linotype" w:hAnsi="Palatino Linotype" w:cs="Palatino Linotype"/>
          <w:b/>
          <w:bCs/>
          <w:i/>
          <w:iCs/>
        </w:rPr>
        <w:t>1) </w:t>
      </w:r>
      <w:r w:rsidRPr="006076A7">
        <w:rPr>
          <w:rFonts w:ascii="Palatino Linotype" w:eastAsia="Palatino Linotype" w:hAnsi="Palatino Linotype" w:cs="Palatino Linotype"/>
          <w:i/>
          <w:iCs/>
        </w:rPr>
        <w:t>La propuesta enviada por el participante;</w:t>
      </w:r>
    </w:p>
    <w:p w14:paraId="5CFB3C8F" w14:textId="77777777" w:rsidR="00C545F6" w:rsidRPr="006076A7" w:rsidRDefault="00B624A5">
      <w:pPr>
        <w:spacing w:line="360" w:lineRule="auto"/>
        <w:ind w:left="851" w:right="-929"/>
        <w:jc w:val="both"/>
        <w:rPr>
          <w:rFonts w:ascii="Palatino Linotype" w:eastAsia="Palatino Linotype" w:hAnsi="Palatino Linotype" w:cs="Palatino Linotype"/>
        </w:rPr>
      </w:pPr>
      <w:r w:rsidRPr="006076A7">
        <w:rPr>
          <w:rFonts w:ascii="Palatino Linotype" w:eastAsia="Palatino Linotype" w:hAnsi="Palatino Linotype" w:cs="Palatino Linotype"/>
          <w:b/>
          <w:bCs/>
          <w:i/>
          <w:iCs/>
        </w:rPr>
        <w:t>2) </w:t>
      </w:r>
      <w:r w:rsidRPr="006076A7">
        <w:rPr>
          <w:rFonts w:ascii="Palatino Linotype" w:eastAsia="Palatino Linotype" w:hAnsi="Palatino Linotype" w:cs="Palatino Linotype"/>
          <w:i/>
          <w:iCs/>
        </w:rPr>
        <w:t>Los motivos y fundamentos legales aplicados para llevarla a cabo;</w:t>
      </w:r>
    </w:p>
    <w:p w14:paraId="2D4F1597" w14:textId="77777777" w:rsidR="00C545F6" w:rsidRPr="006076A7" w:rsidRDefault="00B624A5">
      <w:pPr>
        <w:spacing w:line="360" w:lineRule="auto"/>
        <w:ind w:left="851" w:right="-929"/>
        <w:jc w:val="both"/>
        <w:rPr>
          <w:rFonts w:ascii="Palatino Linotype" w:eastAsia="Palatino Linotype" w:hAnsi="Palatino Linotype" w:cs="Palatino Linotype"/>
        </w:rPr>
      </w:pPr>
      <w:r w:rsidRPr="006076A7">
        <w:rPr>
          <w:rFonts w:ascii="Palatino Linotype" w:eastAsia="Palatino Linotype" w:hAnsi="Palatino Linotype" w:cs="Palatino Linotype"/>
          <w:b/>
          <w:bCs/>
          <w:i/>
          <w:iCs/>
        </w:rPr>
        <w:t>3) </w:t>
      </w:r>
      <w:r w:rsidRPr="006076A7">
        <w:rPr>
          <w:rFonts w:ascii="Palatino Linotype" w:eastAsia="Palatino Linotype" w:hAnsi="Palatino Linotype" w:cs="Palatino Linotype"/>
          <w:i/>
          <w:iCs/>
        </w:rPr>
        <w:t>La autorización del ejercicio de la opción;</w:t>
      </w:r>
    </w:p>
    <w:p w14:paraId="4DFBFAF3" w14:textId="77777777" w:rsidR="00C545F6" w:rsidRPr="006076A7" w:rsidRDefault="00B624A5">
      <w:pPr>
        <w:spacing w:line="360" w:lineRule="auto"/>
        <w:ind w:left="851" w:right="-929"/>
        <w:jc w:val="both"/>
        <w:rPr>
          <w:rFonts w:ascii="Palatino Linotype" w:eastAsia="Palatino Linotype" w:hAnsi="Palatino Linotype" w:cs="Palatino Linotype"/>
        </w:rPr>
      </w:pPr>
      <w:r w:rsidRPr="006076A7">
        <w:rPr>
          <w:rFonts w:ascii="Palatino Linotype" w:eastAsia="Palatino Linotype" w:hAnsi="Palatino Linotype" w:cs="Palatino Linotype"/>
          <w:i/>
          <w:iCs/>
        </w:rPr>
        <w:t>4) En su caso, las cotizaciones consideradas, especificando los nombres de los proveedores y sus montos;</w:t>
      </w:r>
    </w:p>
    <w:p w14:paraId="56D725DA" w14:textId="77777777" w:rsidR="00C545F6" w:rsidRPr="006076A7" w:rsidRDefault="00B624A5">
      <w:pPr>
        <w:spacing w:line="360" w:lineRule="auto"/>
        <w:ind w:left="851" w:right="-929"/>
        <w:jc w:val="both"/>
        <w:rPr>
          <w:rFonts w:ascii="Palatino Linotype" w:eastAsia="Palatino Linotype" w:hAnsi="Palatino Linotype" w:cs="Palatino Linotype"/>
          <w:b/>
          <w:bCs/>
        </w:rPr>
      </w:pPr>
      <w:r w:rsidRPr="006076A7">
        <w:rPr>
          <w:rFonts w:ascii="Palatino Linotype" w:eastAsia="Palatino Linotype" w:hAnsi="Palatino Linotype" w:cs="Palatino Linotype"/>
          <w:b/>
          <w:bCs/>
          <w:i/>
          <w:iCs/>
        </w:rPr>
        <w:t>5) El nombre de la persona física o jurídica colectiva adjudicada;</w:t>
      </w:r>
    </w:p>
    <w:p w14:paraId="16D3F36A" w14:textId="77777777" w:rsidR="00C545F6" w:rsidRPr="006076A7" w:rsidRDefault="00B624A5">
      <w:pPr>
        <w:spacing w:line="360" w:lineRule="auto"/>
        <w:ind w:left="851" w:right="-929"/>
        <w:jc w:val="both"/>
        <w:rPr>
          <w:rFonts w:ascii="Palatino Linotype" w:eastAsia="Palatino Linotype" w:hAnsi="Palatino Linotype" w:cs="Palatino Linotype"/>
        </w:rPr>
      </w:pPr>
      <w:r w:rsidRPr="006076A7">
        <w:rPr>
          <w:rFonts w:ascii="Palatino Linotype" w:eastAsia="Palatino Linotype" w:hAnsi="Palatino Linotype" w:cs="Palatino Linotype"/>
          <w:b/>
          <w:bCs/>
          <w:i/>
          <w:iCs/>
        </w:rPr>
        <w:t>6) </w:t>
      </w:r>
      <w:r w:rsidRPr="006076A7">
        <w:rPr>
          <w:rFonts w:ascii="Palatino Linotype" w:eastAsia="Palatino Linotype" w:hAnsi="Palatino Linotype" w:cs="Palatino Linotype"/>
          <w:i/>
          <w:iCs/>
        </w:rPr>
        <w:t>La unidad administrativa solicitante y la responsable de su ejecución;</w:t>
      </w:r>
    </w:p>
    <w:p w14:paraId="5C2DED77" w14:textId="77777777" w:rsidR="00C545F6" w:rsidRPr="006076A7" w:rsidRDefault="00B624A5">
      <w:pPr>
        <w:spacing w:line="360" w:lineRule="auto"/>
        <w:ind w:left="851" w:right="-929"/>
        <w:jc w:val="both"/>
        <w:rPr>
          <w:rFonts w:ascii="Palatino Linotype" w:eastAsia="Palatino Linotype" w:hAnsi="Palatino Linotype" w:cs="Palatino Linotype"/>
          <w:b/>
          <w:bCs/>
        </w:rPr>
      </w:pPr>
      <w:r w:rsidRPr="006076A7">
        <w:rPr>
          <w:rFonts w:ascii="Palatino Linotype" w:eastAsia="Palatino Linotype" w:hAnsi="Palatino Linotype" w:cs="Palatino Linotype"/>
          <w:b/>
          <w:bCs/>
          <w:i/>
          <w:iCs/>
        </w:rPr>
        <w:lastRenderedPageBreak/>
        <w:t>7) El número, fecha, el monto del contrato y el plazo de entrega o de ejecución de los servicios u obra;</w:t>
      </w:r>
    </w:p>
    <w:p w14:paraId="68FBE4C4" w14:textId="77777777" w:rsidR="00C545F6" w:rsidRPr="006076A7" w:rsidRDefault="00B624A5">
      <w:pPr>
        <w:spacing w:line="360" w:lineRule="auto"/>
        <w:ind w:left="851" w:right="-929"/>
        <w:jc w:val="both"/>
        <w:rPr>
          <w:rFonts w:ascii="Palatino Linotype" w:eastAsia="Palatino Linotype" w:hAnsi="Palatino Linotype" w:cs="Palatino Linotype"/>
        </w:rPr>
      </w:pPr>
      <w:r w:rsidRPr="006076A7">
        <w:rPr>
          <w:rFonts w:ascii="Palatino Linotype" w:eastAsia="Palatino Linotype" w:hAnsi="Palatino Linotype" w:cs="Palatino Linotype"/>
          <w:b/>
          <w:bCs/>
          <w:i/>
          <w:iCs/>
        </w:rPr>
        <w:t>8) </w:t>
      </w:r>
      <w:r w:rsidRPr="006076A7">
        <w:rPr>
          <w:rFonts w:ascii="Palatino Linotype" w:eastAsia="Palatino Linotype" w:hAnsi="Palatino Linotype" w:cs="Palatino Linotype"/>
          <w:i/>
          <w:iCs/>
        </w:rPr>
        <w:t>Los mecanismos de vigilancia y supervisión, incluyendo, en su caso, los estudios de impacto urbano y ambiental, según corresponda;</w:t>
      </w:r>
    </w:p>
    <w:p w14:paraId="22841AAE" w14:textId="77777777" w:rsidR="00C545F6" w:rsidRPr="006076A7" w:rsidRDefault="00B624A5">
      <w:pPr>
        <w:spacing w:line="360" w:lineRule="auto"/>
        <w:ind w:left="851" w:right="-929"/>
        <w:jc w:val="both"/>
        <w:rPr>
          <w:rFonts w:ascii="Palatino Linotype" w:eastAsia="Palatino Linotype" w:hAnsi="Palatino Linotype" w:cs="Palatino Linotype"/>
        </w:rPr>
      </w:pPr>
      <w:r w:rsidRPr="006076A7">
        <w:rPr>
          <w:rFonts w:ascii="Palatino Linotype" w:eastAsia="Palatino Linotype" w:hAnsi="Palatino Linotype" w:cs="Palatino Linotype"/>
          <w:b/>
          <w:bCs/>
          <w:i/>
          <w:iCs/>
        </w:rPr>
        <w:t>9) </w:t>
      </w:r>
      <w:r w:rsidRPr="006076A7">
        <w:rPr>
          <w:rFonts w:ascii="Palatino Linotype" w:eastAsia="Palatino Linotype" w:hAnsi="Palatino Linotype" w:cs="Palatino Linotype"/>
          <w:i/>
          <w:iCs/>
        </w:rPr>
        <w:t>Los informes de avance sobre las obras o servicios contratados;</w:t>
      </w:r>
    </w:p>
    <w:p w14:paraId="41005922" w14:textId="77777777" w:rsidR="00C545F6" w:rsidRPr="006076A7" w:rsidRDefault="00B624A5">
      <w:pPr>
        <w:spacing w:line="360" w:lineRule="auto"/>
        <w:ind w:left="851" w:right="-929"/>
        <w:jc w:val="both"/>
        <w:rPr>
          <w:rFonts w:ascii="Palatino Linotype" w:eastAsia="Palatino Linotype" w:hAnsi="Palatino Linotype" w:cs="Palatino Linotype"/>
        </w:rPr>
      </w:pPr>
      <w:r w:rsidRPr="006076A7">
        <w:rPr>
          <w:rFonts w:ascii="Palatino Linotype" w:eastAsia="Palatino Linotype" w:hAnsi="Palatino Linotype" w:cs="Palatino Linotype"/>
          <w:i/>
          <w:iCs/>
        </w:rPr>
        <w:t>10) El convenio de terminación; y</w:t>
      </w:r>
    </w:p>
    <w:p w14:paraId="4568319C" w14:textId="77777777" w:rsidR="00C545F6" w:rsidRPr="006076A7" w:rsidRDefault="00B624A5">
      <w:pPr>
        <w:spacing w:line="360" w:lineRule="auto"/>
        <w:ind w:left="851" w:right="-929"/>
        <w:jc w:val="both"/>
        <w:rPr>
          <w:rFonts w:ascii="Palatino Linotype" w:eastAsia="Palatino Linotype" w:hAnsi="Palatino Linotype" w:cs="Palatino Linotype"/>
          <w:b/>
          <w:bCs/>
          <w:i/>
          <w:iCs/>
        </w:rPr>
      </w:pPr>
      <w:r w:rsidRPr="006076A7">
        <w:rPr>
          <w:rFonts w:ascii="Palatino Linotype" w:eastAsia="Palatino Linotype" w:hAnsi="Palatino Linotype" w:cs="Palatino Linotype"/>
          <w:b/>
          <w:bCs/>
          <w:i/>
          <w:iCs/>
        </w:rPr>
        <w:t>11) </w:t>
      </w:r>
      <w:r w:rsidRPr="006076A7">
        <w:rPr>
          <w:rFonts w:ascii="Palatino Linotype" w:eastAsia="Palatino Linotype" w:hAnsi="Palatino Linotype" w:cs="Palatino Linotype"/>
          <w:i/>
          <w:iCs/>
        </w:rPr>
        <w:t>El finiquito.</w:t>
      </w:r>
      <w:r w:rsidRPr="006076A7">
        <w:rPr>
          <w:rFonts w:ascii="Palatino Linotype" w:eastAsia="Palatino Linotype" w:hAnsi="Palatino Linotype" w:cs="Palatino Linotype"/>
          <w:b/>
          <w:bCs/>
          <w:i/>
          <w:iCs/>
        </w:rPr>
        <w:t>”</w:t>
      </w:r>
    </w:p>
    <w:p w14:paraId="494419B8" w14:textId="77777777" w:rsidR="00C545F6" w:rsidRPr="006076A7" w:rsidRDefault="00C545F6">
      <w:pPr>
        <w:spacing w:line="360" w:lineRule="auto"/>
        <w:ind w:left="851" w:right="-929"/>
        <w:jc w:val="both"/>
        <w:rPr>
          <w:rFonts w:ascii="Palatino Linotype" w:eastAsia="Palatino Linotype" w:hAnsi="Palatino Linotype" w:cs="Palatino Linotype"/>
        </w:rPr>
      </w:pPr>
    </w:p>
    <w:p w14:paraId="549B7ED6" w14:textId="77777777" w:rsidR="00C545F6" w:rsidRPr="006076A7" w:rsidRDefault="00B624A5">
      <w:pPr>
        <w:numPr>
          <w:ilvl w:val="0"/>
          <w:numId w:val="3"/>
        </w:numPr>
        <w:spacing w:line="360" w:lineRule="auto"/>
        <w:ind w:left="0" w:right="-929" w:firstLine="0"/>
        <w:jc w:val="both"/>
        <w:rPr>
          <w:rFonts w:ascii="Palatino Linotype" w:eastAsia="Palatino Linotype" w:hAnsi="Palatino Linotype" w:cs="Palatino Linotype"/>
          <w:color w:val="000000"/>
        </w:rPr>
      </w:pPr>
      <w:r w:rsidRPr="006076A7">
        <w:rPr>
          <w:rFonts w:ascii="Palatino Linotype" w:eastAsia="Palatino Linotype" w:hAnsi="Palatino Linotype" w:cs="Palatino Linotype"/>
          <w:color w:val="000000"/>
        </w:rPr>
        <w:t>En consecuencia, se determina que ciertamente existe fuente obligacional para celebrar contratos relacionados con la adquisición de bienes y servicios</w:t>
      </w:r>
      <w:r w:rsidRPr="006076A7">
        <w:rPr>
          <w:rFonts w:ascii="Palatino Linotype" w:eastAsia="Palatino Linotype" w:hAnsi="Palatino Linotype" w:cs="Palatino Linotype"/>
          <w:b/>
          <w:bCs/>
          <w:color w:val="000000"/>
        </w:rPr>
        <w:t xml:space="preserve">, </w:t>
      </w:r>
      <w:r w:rsidRPr="006076A7">
        <w:rPr>
          <w:rFonts w:ascii="Palatino Linotype" w:eastAsia="Palatino Linotype" w:hAnsi="Palatino Linotype" w:cs="Palatino Linotype"/>
          <w:color w:val="000000"/>
        </w:rPr>
        <w:t>a través de procedimientos de licitación, invitación restringida o adjudicación directa, en todos los casos, existe la obligación de hacer pública la información relacionada con las mismas, de acuerdo al artículo 92 de la Ley de Transparencia Local, ya que existe un interés colectivo de conocer el uso y destino de los recursos públicos.</w:t>
      </w:r>
    </w:p>
    <w:p w14:paraId="6C5DAD28" w14:textId="77777777" w:rsidR="00C545F6" w:rsidRPr="006076A7" w:rsidRDefault="00C545F6">
      <w:pPr>
        <w:spacing w:line="360" w:lineRule="auto"/>
        <w:ind w:right="-929"/>
        <w:jc w:val="both"/>
        <w:rPr>
          <w:rFonts w:ascii="Palatino Linotype" w:eastAsia="Palatino Linotype" w:hAnsi="Palatino Linotype" w:cs="Palatino Linotype"/>
          <w:color w:val="000000"/>
        </w:rPr>
      </w:pPr>
    </w:p>
    <w:p w14:paraId="60C8DA6E" w14:textId="77777777" w:rsidR="00C545F6" w:rsidRPr="006076A7" w:rsidRDefault="00B624A5">
      <w:pPr>
        <w:numPr>
          <w:ilvl w:val="0"/>
          <w:numId w:val="3"/>
        </w:numPr>
        <w:spacing w:line="360" w:lineRule="auto"/>
        <w:ind w:left="0" w:right="-929" w:firstLine="0"/>
        <w:jc w:val="both"/>
        <w:rPr>
          <w:rFonts w:ascii="Palatino Linotype" w:eastAsia="Palatino Linotype" w:hAnsi="Palatino Linotype" w:cs="Palatino Linotype"/>
          <w:color w:val="000000"/>
        </w:rPr>
      </w:pPr>
      <w:r w:rsidRPr="006076A7">
        <w:rPr>
          <w:rFonts w:ascii="Palatino Linotype" w:eastAsia="Palatino Linotype" w:hAnsi="Palatino Linotype" w:cs="Palatino Linotype"/>
          <w:color w:val="000000"/>
        </w:rPr>
        <w:t>Los sujetos obligados están obligados a poner a disposición del público de manera constante y actualizada, de forma sencilla, precisa y entendible, en los respectivos medios electrónicos, la información referente a los procesos y resultados sobre procedimientos de adjudicación directa, invitación restringida y licitación de cualquier naturaleza, en el que se debe contener dentro de la versión pública del expediente respectivo toda la información relativa a dichos procedimientos, desde la convocatoria hasta el fallo de adjudicación, contratos y demás información, conforme a lo dispuesto en la normatividad en la materia.</w:t>
      </w:r>
    </w:p>
    <w:p w14:paraId="14709464" w14:textId="77777777" w:rsidR="00C545F6" w:rsidRPr="006076A7" w:rsidRDefault="00C545F6">
      <w:pPr>
        <w:pBdr>
          <w:top w:val="nil"/>
          <w:left w:val="nil"/>
          <w:bottom w:val="nil"/>
          <w:right w:val="nil"/>
          <w:between w:val="nil"/>
        </w:pBdr>
        <w:spacing w:line="360" w:lineRule="auto"/>
        <w:ind w:left="720" w:right="-929"/>
        <w:rPr>
          <w:rFonts w:ascii="Palatino Linotype" w:eastAsia="Palatino Linotype" w:hAnsi="Palatino Linotype" w:cs="Palatino Linotype"/>
          <w:color w:val="000000"/>
        </w:rPr>
      </w:pPr>
    </w:p>
    <w:p w14:paraId="3DF97F6B" w14:textId="77777777" w:rsidR="00C545F6" w:rsidRPr="006076A7" w:rsidRDefault="00B624A5">
      <w:pPr>
        <w:numPr>
          <w:ilvl w:val="0"/>
          <w:numId w:val="3"/>
        </w:numPr>
        <w:spacing w:line="360" w:lineRule="auto"/>
        <w:ind w:left="0" w:right="-929" w:firstLine="0"/>
        <w:jc w:val="both"/>
        <w:rPr>
          <w:rFonts w:ascii="Palatino Linotype" w:eastAsia="Palatino Linotype" w:hAnsi="Palatino Linotype" w:cs="Palatino Linotype"/>
          <w:color w:val="000000"/>
        </w:rPr>
      </w:pPr>
      <w:r w:rsidRPr="006076A7">
        <w:rPr>
          <w:rFonts w:ascii="Palatino Linotype" w:eastAsia="Palatino Linotype" w:hAnsi="Palatino Linotype" w:cs="Palatino Linotype"/>
          <w:color w:val="000000"/>
        </w:rPr>
        <w:lastRenderedPageBreak/>
        <w:t xml:space="preserve">Luego entonces, el Ayuntamiento de Toluca tiene la obligación legal de hacer </w:t>
      </w:r>
      <w:r w:rsidRPr="006076A7">
        <w:rPr>
          <w:rFonts w:ascii="Palatino Linotype" w:eastAsia="Palatino Linotype" w:hAnsi="Palatino Linotype" w:cs="Palatino Linotype"/>
        </w:rPr>
        <w:t>pública</w:t>
      </w:r>
      <w:r w:rsidRPr="006076A7">
        <w:rPr>
          <w:rFonts w:ascii="Palatino Linotype" w:eastAsia="Palatino Linotype" w:hAnsi="Palatino Linotype" w:cs="Palatino Linotype"/>
          <w:color w:val="000000"/>
        </w:rPr>
        <w:t xml:space="preserve"> todas sus licitaciones y contratos vigentes en el portal de Información Pública de Oficio Mexiquense (IPOMEX) específicamente en la Fracción XXVIII (Procesos de Licitación Pública e Invitación) o Fracción XXXII (Contratos de Obras Públicas).</w:t>
      </w:r>
    </w:p>
    <w:p w14:paraId="279A0377" w14:textId="77777777" w:rsidR="00C545F6" w:rsidRPr="006076A7" w:rsidRDefault="00C545F6">
      <w:pPr>
        <w:spacing w:line="360" w:lineRule="auto"/>
        <w:ind w:right="-929"/>
        <w:jc w:val="both"/>
        <w:rPr>
          <w:rFonts w:ascii="Palatino Linotype" w:eastAsia="Palatino Linotype" w:hAnsi="Palatino Linotype" w:cs="Palatino Linotype"/>
          <w:color w:val="000000"/>
        </w:rPr>
      </w:pPr>
    </w:p>
    <w:p w14:paraId="5A83ACAB" w14:textId="77777777" w:rsidR="00C545F6" w:rsidRPr="006076A7" w:rsidRDefault="00B624A5">
      <w:pPr>
        <w:numPr>
          <w:ilvl w:val="0"/>
          <w:numId w:val="3"/>
        </w:numPr>
        <w:spacing w:line="360" w:lineRule="auto"/>
        <w:ind w:left="0" w:right="-929" w:firstLine="0"/>
        <w:jc w:val="both"/>
        <w:rPr>
          <w:rFonts w:ascii="Palatino Linotype" w:eastAsia="Palatino Linotype" w:hAnsi="Palatino Linotype" w:cs="Palatino Linotype"/>
          <w:color w:val="000000"/>
        </w:rPr>
      </w:pPr>
      <w:r w:rsidRPr="006076A7">
        <w:rPr>
          <w:rFonts w:ascii="Palatino Linotype" w:eastAsia="Palatino Linotype" w:hAnsi="Palatino Linotype" w:cs="Palatino Linotype"/>
          <w:color w:val="000000"/>
        </w:rPr>
        <w:t>En esa tesitura, de una de las múltiples notas publicadas al respecto, se advierte la siguiente, donde se refiere que el propio gobierno municipal informa que se dará a conocer los costos:</w:t>
      </w:r>
    </w:p>
    <w:p w14:paraId="4AB62212" w14:textId="77777777" w:rsidR="00C545F6" w:rsidRPr="006076A7" w:rsidRDefault="00B624A5">
      <w:pPr>
        <w:spacing w:line="360" w:lineRule="auto"/>
        <w:ind w:right="-929"/>
        <w:jc w:val="center"/>
        <w:rPr>
          <w:rFonts w:ascii="Palatino Linotype" w:eastAsia="Palatino Linotype" w:hAnsi="Palatino Linotype" w:cs="Palatino Linotype"/>
          <w:color w:val="000000"/>
        </w:rPr>
      </w:pPr>
      <w:r w:rsidRPr="006076A7">
        <w:rPr>
          <w:rFonts w:ascii="Palatino Linotype" w:eastAsia="Palatino Linotype" w:hAnsi="Palatino Linotype" w:cs="Palatino Linotype"/>
          <w:noProof/>
          <w:color w:val="000000"/>
          <w:lang w:val="es-MX"/>
        </w:rPr>
        <w:drawing>
          <wp:inline distT="0" distB="0" distL="0" distR="0" wp14:anchorId="303F713B" wp14:editId="0CE7A69A">
            <wp:extent cx="5612130" cy="1134110"/>
            <wp:effectExtent l="0" t="0" r="0" b="0"/>
            <wp:docPr id="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a:stretch>
                      <a:fillRect/>
                    </a:stretch>
                  </pic:blipFill>
                  <pic:spPr>
                    <a:xfrm>
                      <a:off x="0" y="0"/>
                      <a:ext cx="5612130" cy="1134110"/>
                    </a:xfrm>
                    <a:prstGeom prst="rect">
                      <a:avLst/>
                    </a:prstGeom>
                    <a:ln/>
                  </pic:spPr>
                </pic:pic>
              </a:graphicData>
            </a:graphic>
          </wp:inline>
        </w:drawing>
      </w:r>
    </w:p>
    <w:p w14:paraId="4845F537" w14:textId="77777777" w:rsidR="00C545F6" w:rsidRPr="006076A7" w:rsidRDefault="00C545F6">
      <w:pPr>
        <w:pBdr>
          <w:top w:val="nil"/>
          <w:left w:val="nil"/>
          <w:bottom w:val="nil"/>
          <w:right w:val="nil"/>
          <w:between w:val="nil"/>
        </w:pBdr>
        <w:ind w:left="720" w:right="-929"/>
        <w:rPr>
          <w:rFonts w:ascii="Palatino Linotype" w:eastAsia="Palatino Linotype" w:hAnsi="Palatino Linotype" w:cs="Palatino Linotype"/>
          <w:color w:val="000000"/>
        </w:rPr>
      </w:pPr>
    </w:p>
    <w:p w14:paraId="3EDD0F4E" w14:textId="77777777" w:rsidR="00C545F6" w:rsidRPr="006076A7" w:rsidRDefault="00B624A5">
      <w:pPr>
        <w:numPr>
          <w:ilvl w:val="0"/>
          <w:numId w:val="3"/>
        </w:numPr>
        <w:spacing w:line="360" w:lineRule="auto"/>
        <w:ind w:left="0" w:right="-929" w:firstLine="0"/>
        <w:jc w:val="both"/>
        <w:rPr>
          <w:rFonts w:ascii="Palatino Linotype" w:eastAsia="Palatino Linotype" w:hAnsi="Palatino Linotype" w:cs="Palatino Linotype"/>
          <w:color w:val="000000"/>
        </w:rPr>
      </w:pPr>
      <w:r w:rsidRPr="006076A7">
        <w:rPr>
          <w:rFonts w:ascii="Palatino Linotype" w:eastAsia="Palatino Linotype" w:hAnsi="Palatino Linotype" w:cs="Palatino Linotype"/>
          <w:color w:val="000000"/>
        </w:rPr>
        <w:t xml:space="preserve">Asimismo, cabe recalcar, que, con la entrega del procedimiento de licitación, naturalmente se colman algunos rubros de la solicitud de información como lo son: </w:t>
      </w:r>
      <w:r w:rsidRPr="006076A7">
        <w:rPr>
          <w:rFonts w:ascii="Palatino Linotype" w:eastAsia="Palatino Linotype" w:hAnsi="Palatino Linotype" w:cs="Palatino Linotype"/>
        </w:rPr>
        <w:t>cómo</w:t>
      </w:r>
      <w:r w:rsidRPr="006076A7">
        <w:rPr>
          <w:rFonts w:ascii="Palatino Linotype" w:eastAsia="Palatino Linotype" w:hAnsi="Palatino Linotype" w:cs="Palatino Linotype"/>
          <w:color w:val="000000"/>
        </w:rPr>
        <w:t xml:space="preserve"> funcionarán el proyecto técnico, nombre de la empresa que lo realiza, si fue licitación pública, o asignación directa, el </w:t>
      </w:r>
      <w:r w:rsidRPr="006076A7">
        <w:rPr>
          <w:rFonts w:ascii="Palatino Linotype" w:eastAsia="Palatino Linotype" w:hAnsi="Palatino Linotype" w:cs="Palatino Linotype"/>
        </w:rPr>
        <w:t>costo</w:t>
      </w:r>
      <w:r w:rsidRPr="006076A7">
        <w:rPr>
          <w:rFonts w:ascii="Palatino Linotype" w:eastAsia="Palatino Linotype" w:hAnsi="Palatino Linotype" w:cs="Palatino Linotype"/>
          <w:color w:val="000000"/>
        </w:rPr>
        <w:t xml:space="preserve"> total de inversión, fecha de inicio del proyecto y fecha de conclusión.</w:t>
      </w:r>
    </w:p>
    <w:p w14:paraId="41A0F263" w14:textId="77777777" w:rsidR="00C545F6" w:rsidRPr="006076A7" w:rsidRDefault="00C545F6">
      <w:pPr>
        <w:pBdr>
          <w:top w:val="nil"/>
          <w:left w:val="nil"/>
          <w:bottom w:val="nil"/>
          <w:right w:val="nil"/>
          <w:between w:val="nil"/>
        </w:pBdr>
        <w:ind w:left="720" w:right="-929"/>
        <w:rPr>
          <w:rFonts w:ascii="Palatino Linotype" w:eastAsia="Palatino Linotype" w:hAnsi="Palatino Linotype" w:cs="Palatino Linotype"/>
          <w:color w:val="000000"/>
        </w:rPr>
      </w:pPr>
    </w:p>
    <w:p w14:paraId="567F8BA4" w14:textId="77777777" w:rsidR="00C545F6" w:rsidRPr="006076A7" w:rsidRDefault="00B624A5">
      <w:pPr>
        <w:numPr>
          <w:ilvl w:val="0"/>
          <w:numId w:val="3"/>
        </w:numPr>
        <w:spacing w:line="360" w:lineRule="auto"/>
        <w:ind w:left="0" w:right="-929" w:firstLine="0"/>
        <w:jc w:val="both"/>
        <w:rPr>
          <w:rFonts w:ascii="Palatino Linotype" w:eastAsia="Palatino Linotype" w:hAnsi="Palatino Linotype" w:cs="Palatino Linotype"/>
          <w:color w:val="000000"/>
        </w:rPr>
      </w:pPr>
      <w:r w:rsidRPr="006076A7">
        <w:rPr>
          <w:rFonts w:ascii="Palatino Linotype" w:eastAsia="Palatino Linotype" w:hAnsi="Palatino Linotype" w:cs="Palatino Linotype"/>
          <w:color w:val="000000"/>
        </w:rPr>
        <w:t>Al respecto es de recordar que el acceso a la información pública, corresponde a un derecho que versa sobre documentos que se colma con la entrega del soporte documental en que conste o se advierta la información, sin que exista necesidad de procesarla o resumirla a efecto de entregarla conforme a los intereses particulares de los solicitantes.</w:t>
      </w:r>
    </w:p>
    <w:p w14:paraId="761CFDF3" w14:textId="77777777" w:rsidR="00C545F6" w:rsidRPr="006076A7" w:rsidRDefault="00C545F6">
      <w:pPr>
        <w:spacing w:line="360" w:lineRule="auto"/>
        <w:ind w:right="-929"/>
        <w:jc w:val="both"/>
        <w:rPr>
          <w:rFonts w:ascii="Palatino Linotype" w:eastAsia="Palatino Linotype" w:hAnsi="Palatino Linotype" w:cs="Palatino Linotype"/>
          <w:color w:val="000000"/>
        </w:rPr>
      </w:pPr>
    </w:p>
    <w:p w14:paraId="51473848" w14:textId="77777777" w:rsidR="00C545F6" w:rsidRPr="006076A7" w:rsidRDefault="00B624A5">
      <w:pPr>
        <w:numPr>
          <w:ilvl w:val="0"/>
          <w:numId w:val="3"/>
        </w:numPr>
        <w:spacing w:line="360" w:lineRule="auto"/>
        <w:ind w:left="0" w:right="-929" w:firstLine="0"/>
        <w:jc w:val="both"/>
        <w:rPr>
          <w:rFonts w:ascii="Palatino Linotype" w:eastAsia="Palatino Linotype" w:hAnsi="Palatino Linotype" w:cs="Palatino Linotype"/>
          <w:color w:val="000000"/>
        </w:rPr>
      </w:pPr>
      <w:r w:rsidRPr="006076A7">
        <w:rPr>
          <w:rFonts w:ascii="Palatino Linotype" w:eastAsia="Palatino Linotype" w:hAnsi="Palatino Linotype" w:cs="Palatino Linotype"/>
          <w:color w:val="000000"/>
        </w:rPr>
        <w:lastRenderedPageBreak/>
        <w:t>Ahora bien, el área de la Dirección General de Obras Públicas ciertamente resulta competente por ser la encargada de la ejecución; sin embargo también lo es la Dirección General de Administración (</w:t>
      </w:r>
      <w:r w:rsidRPr="006076A7">
        <w:rPr>
          <w:rFonts w:ascii="Palatino Linotype" w:eastAsia="Palatino Linotype" w:hAnsi="Palatino Linotype" w:cs="Palatino Linotype"/>
          <w:b/>
          <w:bCs/>
          <w:color w:val="000000"/>
        </w:rPr>
        <w:t>quien en respuesta manifestó, no ser competente</w:t>
      </w:r>
      <w:r w:rsidRPr="006076A7">
        <w:rPr>
          <w:rFonts w:ascii="Palatino Linotype" w:eastAsia="Palatino Linotype" w:hAnsi="Palatino Linotype" w:cs="Palatino Linotype"/>
          <w:color w:val="000000"/>
        </w:rPr>
        <w:t>), de conformidad al Código Reglamentario de Toluca, en virtud que la Dirección de referencia de acuerdo a sus atribuciones es la encargada de los procedimientos de adjudicación y licitaciones públicas, como se observa</w:t>
      </w:r>
    </w:p>
    <w:p w14:paraId="3446F64D" w14:textId="77777777" w:rsidR="00C545F6" w:rsidRPr="006076A7" w:rsidRDefault="00B624A5">
      <w:pPr>
        <w:pBdr>
          <w:top w:val="nil"/>
          <w:left w:val="nil"/>
          <w:bottom w:val="nil"/>
          <w:right w:val="nil"/>
          <w:between w:val="nil"/>
        </w:pBdr>
        <w:spacing w:line="360" w:lineRule="auto"/>
        <w:ind w:left="851" w:right="-929"/>
        <w:jc w:val="center"/>
        <w:rPr>
          <w:rFonts w:ascii="Palatino Linotype" w:eastAsia="Palatino Linotype" w:hAnsi="Palatino Linotype" w:cs="Palatino Linotype"/>
          <w:i/>
          <w:iCs/>
          <w:color w:val="000000"/>
        </w:rPr>
      </w:pPr>
      <w:r w:rsidRPr="006076A7">
        <w:rPr>
          <w:rFonts w:ascii="Palatino Linotype" w:eastAsia="Palatino Linotype" w:hAnsi="Palatino Linotype" w:cs="Palatino Linotype"/>
          <w:i/>
          <w:iCs/>
          <w:color w:val="000000"/>
        </w:rPr>
        <w:t>“SECCIÓN OCTAVA</w:t>
      </w:r>
    </w:p>
    <w:p w14:paraId="2163C124" w14:textId="77777777" w:rsidR="00C545F6" w:rsidRPr="006076A7" w:rsidRDefault="00B624A5">
      <w:pPr>
        <w:pBdr>
          <w:top w:val="nil"/>
          <w:left w:val="nil"/>
          <w:bottom w:val="nil"/>
          <w:right w:val="nil"/>
          <w:between w:val="nil"/>
        </w:pBdr>
        <w:spacing w:line="360" w:lineRule="auto"/>
        <w:ind w:left="851" w:right="-929"/>
        <w:jc w:val="center"/>
        <w:rPr>
          <w:rFonts w:ascii="Palatino Linotype" w:eastAsia="Palatino Linotype" w:hAnsi="Palatino Linotype" w:cs="Palatino Linotype"/>
          <w:i/>
          <w:iCs/>
          <w:color w:val="000000"/>
        </w:rPr>
      </w:pPr>
      <w:r w:rsidRPr="006076A7">
        <w:rPr>
          <w:rFonts w:ascii="Palatino Linotype" w:eastAsia="Palatino Linotype" w:hAnsi="Palatino Linotype" w:cs="Palatino Linotype"/>
          <w:i/>
          <w:iCs/>
          <w:color w:val="000000"/>
        </w:rPr>
        <w:t>DE LA DIRECCIÓN GENERAL DE ADMINISTRACIÓN</w:t>
      </w:r>
    </w:p>
    <w:p w14:paraId="0AF53B67" w14:textId="77777777" w:rsidR="00C545F6" w:rsidRPr="006076A7" w:rsidRDefault="00B624A5">
      <w:pPr>
        <w:pBdr>
          <w:top w:val="nil"/>
          <w:left w:val="nil"/>
          <w:bottom w:val="nil"/>
          <w:right w:val="nil"/>
          <w:between w:val="nil"/>
        </w:pBdr>
        <w:spacing w:line="360" w:lineRule="auto"/>
        <w:ind w:left="851" w:right="-929"/>
        <w:jc w:val="both"/>
        <w:rPr>
          <w:rFonts w:ascii="Palatino Linotype" w:eastAsia="Palatino Linotype" w:hAnsi="Palatino Linotype" w:cs="Palatino Linotype"/>
          <w:i/>
          <w:iCs/>
          <w:color w:val="000000"/>
        </w:rPr>
      </w:pPr>
      <w:r w:rsidRPr="006076A7">
        <w:rPr>
          <w:rFonts w:ascii="Palatino Linotype" w:eastAsia="Palatino Linotype" w:hAnsi="Palatino Linotype" w:cs="Palatino Linotype"/>
          <w:i/>
          <w:iCs/>
          <w:color w:val="000000"/>
        </w:rPr>
        <w:t>Artículo 3.40. La o el titular de la Dirección General de Administración, tiene las siguientes atribuciones:</w:t>
      </w:r>
    </w:p>
    <w:p w14:paraId="7CF4902B" w14:textId="77777777" w:rsidR="00C545F6" w:rsidRPr="006076A7" w:rsidRDefault="00B624A5">
      <w:pPr>
        <w:pBdr>
          <w:top w:val="nil"/>
          <w:left w:val="nil"/>
          <w:bottom w:val="nil"/>
          <w:right w:val="nil"/>
          <w:between w:val="nil"/>
        </w:pBdr>
        <w:spacing w:line="360" w:lineRule="auto"/>
        <w:ind w:left="851" w:right="-929"/>
        <w:jc w:val="both"/>
        <w:rPr>
          <w:rFonts w:ascii="Palatino Linotype" w:eastAsia="Palatino Linotype" w:hAnsi="Palatino Linotype" w:cs="Palatino Linotype"/>
          <w:i/>
          <w:iCs/>
          <w:color w:val="000000"/>
        </w:rPr>
      </w:pPr>
      <w:r w:rsidRPr="006076A7">
        <w:rPr>
          <w:rFonts w:ascii="Palatino Linotype" w:eastAsia="Palatino Linotype" w:hAnsi="Palatino Linotype" w:cs="Palatino Linotype"/>
          <w:i/>
          <w:iCs/>
          <w:color w:val="000000"/>
        </w:rPr>
        <w:t>…</w:t>
      </w:r>
    </w:p>
    <w:p w14:paraId="4D4BB2D6" w14:textId="77777777" w:rsidR="00C545F6" w:rsidRPr="006076A7" w:rsidRDefault="00B624A5">
      <w:pPr>
        <w:pBdr>
          <w:top w:val="nil"/>
          <w:left w:val="nil"/>
          <w:bottom w:val="nil"/>
          <w:right w:val="nil"/>
          <w:between w:val="nil"/>
        </w:pBdr>
        <w:spacing w:line="360" w:lineRule="auto"/>
        <w:ind w:left="851" w:right="-929"/>
        <w:jc w:val="both"/>
        <w:rPr>
          <w:rFonts w:ascii="Palatino Linotype" w:eastAsia="Palatino Linotype" w:hAnsi="Palatino Linotype" w:cs="Palatino Linotype"/>
          <w:i/>
          <w:iCs/>
          <w:color w:val="000000"/>
        </w:rPr>
      </w:pPr>
      <w:r w:rsidRPr="006076A7">
        <w:rPr>
          <w:rFonts w:ascii="Palatino Linotype" w:eastAsia="Palatino Linotype" w:hAnsi="Palatino Linotype" w:cs="Palatino Linotype"/>
          <w:i/>
          <w:iCs/>
          <w:color w:val="000000"/>
        </w:rPr>
        <w:t xml:space="preserve">X. Supervisar y vigilar que los procedimientos de licitaciones públicas, así como sus excepciones, se desarrollen conforme lo establece la normatividad respectiva y en estricto apego a los lineamientos establecidos de eficiencia, eficacia, honradez y transparencia; </w:t>
      </w:r>
    </w:p>
    <w:p w14:paraId="6C18A743" w14:textId="77777777" w:rsidR="00C545F6" w:rsidRPr="006076A7" w:rsidRDefault="00B624A5">
      <w:pPr>
        <w:pBdr>
          <w:top w:val="nil"/>
          <w:left w:val="nil"/>
          <w:bottom w:val="nil"/>
          <w:right w:val="nil"/>
          <w:between w:val="nil"/>
        </w:pBdr>
        <w:spacing w:line="360" w:lineRule="auto"/>
        <w:ind w:left="851" w:right="-929"/>
        <w:jc w:val="both"/>
        <w:rPr>
          <w:rFonts w:ascii="Palatino Linotype" w:eastAsia="Palatino Linotype" w:hAnsi="Palatino Linotype" w:cs="Palatino Linotype"/>
          <w:i/>
          <w:iCs/>
          <w:color w:val="000000"/>
        </w:rPr>
      </w:pPr>
      <w:r w:rsidRPr="006076A7">
        <w:rPr>
          <w:rFonts w:ascii="Palatino Linotype" w:eastAsia="Palatino Linotype" w:hAnsi="Palatino Linotype" w:cs="Palatino Linotype"/>
          <w:i/>
          <w:iCs/>
          <w:color w:val="000000"/>
        </w:rPr>
        <w:t>…</w:t>
      </w:r>
    </w:p>
    <w:p w14:paraId="08D5A849" w14:textId="77777777" w:rsidR="00C545F6" w:rsidRPr="006076A7" w:rsidRDefault="00B624A5">
      <w:pPr>
        <w:pBdr>
          <w:top w:val="nil"/>
          <w:left w:val="nil"/>
          <w:bottom w:val="nil"/>
          <w:right w:val="nil"/>
          <w:between w:val="nil"/>
        </w:pBdr>
        <w:spacing w:line="360" w:lineRule="auto"/>
        <w:ind w:left="851" w:right="-929"/>
        <w:jc w:val="both"/>
        <w:rPr>
          <w:rFonts w:ascii="Palatino Linotype" w:eastAsia="Palatino Linotype" w:hAnsi="Palatino Linotype" w:cs="Palatino Linotype"/>
          <w:i/>
          <w:iCs/>
          <w:color w:val="000000"/>
        </w:rPr>
      </w:pPr>
      <w:r w:rsidRPr="006076A7">
        <w:rPr>
          <w:rFonts w:ascii="Palatino Linotype" w:eastAsia="Palatino Linotype" w:hAnsi="Palatino Linotype" w:cs="Palatino Linotype"/>
          <w:i/>
          <w:iCs/>
          <w:color w:val="000000"/>
        </w:rPr>
        <w:t>XII. Revisar, suscribir y vigilar todos aquellos contratos que se formalicen con proveedores, así como su ejecución y ejercicio, relativos a fallos de adjudicación de procesos de licitación pública o de sus excepciones, mismos que deberán cumplir con la normatividad en la materia;</w:t>
      </w:r>
    </w:p>
    <w:p w14:paraId="07A59E36" w14:textId="77777777" w:rsidR="00C545F6" w:rsidRPr="006076A7" w:rsidRDefault="00B624A5">
      <w:pPr>
        <w:pBdr>
          <w:top w:val="nil"/>
          <w:left w:val="nil"/>
          <w:bottom w:val="nil"/>
          <w:right w:val="nil"/>
          <w:between w:val="nil"/>
        </w:pBdr>
        <w:spacing w:line="360" w:lineRule="auto"/>
        <w:ind w:left="851" w:right="-929"/>
        <w:jc w:val="both"/>
        <w:rPr>
          <w:rFonts w:ascii="Palatino Linotype" w:eastAsia="Palatino Linotype" w:hAnsi="Palatino Linotype" w:cs="Palatino Linotype"/>
          <w:i/>
          <w:iCs/>
          <w:color w:val="000000"/>
        </w:rPr>
      </w:pPr>
      <w:r w:rsidRPr="006076A7">
        <w:rPr>
          <w:rFonts w:ascii="Palatino Linotype" w:eastAsia="Palatino Linotype" w:hAnsi="Palatino Linotype" w:cs="Palatino Linotype"/>
          <w:i/>
          <w:iCs/>
          <w:color w:val="000000"/>
        </w:rPr>
        <w:t>…”</w:t>
      </w:r>
    </w:p>
    <w:p w14:paraId="77B33F1A" w14:textId="77777777" w:rsidR="00C545F6" w:rsidRPr="006076A7" w:rsidRDefault="00C545F6">
      <w:pPr>
        <w:pBdr>
          <w:top w:val="nil"/>
          <w:left w:val="nil"/>
          <w:bottom w:val="nil"/>
          <w:right w:val="nil"/>
          <w:between w:val="nil"/>
        </w:pBdr>
        <w:ind w:left="720" w:right="-929"/>
        <w:rPr>
          <w:rFonts w:ascii="Palatino Linotype" w:eastAsia="Palatino Linotype" w:hAnsi="Palatino Linotype" w:cs="Palatino Linotype"/>
          <w:color w:val="000000"/>
        </w:rPr>
      </w:pPr>
    </w:p>
    <w:p w14:paraId="3288BF35" w14:textId="77777777" w:rsidR="00C545F6" w:rsidRPr="006076A7" w:rsidRDefault="00B624A5">
      <w:pPr>
        <w:numPr>
          <w:ilvl w:val="0"/>
          <w:numId w:val="3"/>
        </w:numPr>
        <w:spacing w:line="360" w:lineRule="auto"/>
        <w:ind w:left="0" w:right="-929" w:firstLine="0"/>
        <w:jc w:val="both"/>
        <w:rPr>
          <w:rFonts w:ascii="Palatino Linotype" w:eastAsia="Palatino Linotype" w:hAnsi="Palatino Linotype" w:cs="Palatino Linotype"/>
        </w:rPr>
      </w:pPr>
      <w:r w:rsidRPr="006076A7">
        <w:rPr>
          <w:rFonts w:ascii="Palatino Linotype" w:eastAsia="Palatino Linotype" w:hAnsi="Palatino Linotype" w:cs="Palatino Linotype"/>
        </w:rPr>
        <w:t xml:space="preserve">Luego entonces, lo dable es ordenar una búsqueda exhaustiva y razonable de lo solicitado; pues la respuesta además de lo anterior resulta ambigua, respecto de que información no se localizó, pues si bien pudiera no obrar soporte documental de algún rubro, </w:t>
      </w:r>
      <w:r w:rsidRPr="006076A7">
        <w:rPr>
          <w:rFonts w:ascii="Palatino Linotype" w:eastAsia="Palatino Linotype" w:hAnsi="Palatino Linotype" w:cs="Palatino Linotype"/>
          <w:u w:val="single"/>
        </w:rPr>
        <w:t>resulta forzoso que sí cuente con otro derivado de la existencia de la obra pública</w:t>
      </w:r>
      <w:r w:rsidRPr="006076A7">
        <w:rPr>
          <w:rFonts w:ascii="Palatino Linotype" w:eastAsia="Palatino Linotype" w:hAnsi="Palatino Linotype" w:cs="Palatino Linotype"/>
        </w:rPr>
        <w:t xml:space="preserve"> como lo es </w:t>
      </w:r>
      <w:r w:rsidRPr="006076A7">
        <w:rPr>
          <w:rFonts w:ascii="Palatino Linotype" w:eastAsia="Palatino Linotype" w:hAnsi="Palatino Linotype" w:cs="Palatino Linotype"/>
        </w:rPr>
        <w:lastRenderedPageBreak/>
        <w:t>de manera enunciativa más no limitativa Monto que se ha pagado por el proyecto y las facturas Ubicación de los cruces, como funcionan y cuántos se van instalar en total, fecha de inicio del proyecto y fecha de conclusión, facturas pagadas.</w:t>
      </w:r>
    </w:p>
    <w:p w14:paraId="431C2A59" w14:textId="77777777" w:rsidR="00C545F6" w:rsidRPr="006076A7" w:rsidRDefault="00C545F6">
      <w:pPr>
        <w:spacing w:line="360" w:lineRule="auto"/>
        <w:ind w:right="-929"/>
        <w:jc w:val="both"/>
        <w:rPr>
          <w:rFonts w:ascii="Palatino Linotype" w:eastAsia="Palatino Linotype" w:hAnsi="Palatino Linotype" w:cs="Palatino Linotype"/>
        </w:rPr>
      </w:pPr>
    </w:p>
    <w:p w14:paraId="2A9166DC" w14:textId="77777777" w:rsidR="00C545F6" w:rsidRDefault="00B624A5">
      <w:pPr>
        <w:numPr>
          <w:ilvl w:val="0"/>
          <w:numId w:val="3"/>
        </w:numPr>
        <w:spacing w:line="360" w:lineRule="auto"/>
        <w:ind w:left="0" w:right="-929" w:firstLine="0"/>
        <w:jc w:val="both"/>
        <w:rPr>
          <w:rFonts w:ascii="Palatino Linotype" w:eastAsia="Palatino Linotype" w:hAnsi="Palatino Linotype" w:cs="Palatino Linotype"/>
          <w:color w:val="000000"/>
        </w:rPr>
      </w:pPr>
      <w:r w:rsidRPr="006076A7">
        <w:rPr>
          <w:rFonts w:ascii="Palatino Linotype" w:eastAsia="Palatino Linotype" w:hAnsi="Palatino Linotype" w:cs="Palatino Linotype"/>
        </w:rPr>
        <w:t xml:space="preserve">De este último rubro es necesario mencionar que se desestima la respuesta emitida por el </w:t>
      </w:r>
      <w:r w:rsidRPr="006076A7">
        <w:rPr>
          <w:rFonts w:ascii="Palatino Linotype" w:eastAsia="Palatino Linotype" w:hAnsi="Palatino Linotype" w:cs="Palatino Linotype"/>
          <w:b/>
          <w:bCs/>
        </w:rPr>
        <w:t>Tesorero Municipal</w:t>
      </w:r>
      <w:r w:rsidRPr="006076A7">
        <w:rPr>
          <w:rFonts w:ascii="Palatino Linotype" w:eastAsia="Palatino Linotype" w:hAnsi="Palatino Linotype" w:cs="Palatino Linotype"/>
        </w:rPr>
        <w:t xml:space="preserve"> </w:t>
      </w:r>
      <w:r w:rsidRPr="006076A7">
        <w:rPr>
          <w:rFonts w:ascii="Palatino Linotype" w:eastAsia="Palatino Linotype" w:hAnsi="Palatino Linotype" w:cs="Palatino Linotype"/>
          <w:color w:val="000000"/>
        </w:rPr>
        <w:t>y servidor público habilitado, pues expone</w:t>
      </w:r>
      <w:r w:rsidRPr="006076A7">
        <w:rPr>
          <w:rFonts w:ascii="Palatino Linotype" w:eastAsia="Palatino Linotype" w:hAnsi="Palatino Linotype" w:cs="Palatino Linotype"/>
        </w:rPr>
        <w:t xml:space="preserve"> </w:t>
      </w:r>
      <w:r w:rsidRPr="006076A7">
        <w:rPr>
          <w:rFonts w:ascii="Palatino Linotype" w:eastAsia="Palatino Linotype" w:hAnsi="Palatino Linotype" w:cs="Palatino Linotype"/>
          <w:color w:val="000000"/>
        </w:rPr>
        <w:t xml:space="preserve">una imposibilidad en razón de corresponder a información inmersa en el informe trimestral que el Ayuntamiento debe entregar al Órgano Superior de Fiscalización del Estado de México, situación que se desestima; toda vez que las obligaciones de fiscalización del Ayuntamiento de Toluca, no infiere con sus obligaciones en materia de transparencia, pues como se ha venido señalando, el ejercicio del derecho de acceso a la información se colma con la entrega del soporte documental en que conste o se advierta lo solicitado, previo a la interposición de una solicitud de información, por lo que la integración del informe trimestral –hecho posterior–, no puede ser impedimento para entregar lo solicitado. </w:t>
      </w:r>
    </w:p>
    <w:p w14:paraId="39D74BBF" w14:textId="77777777" w:rsidR="006076A7" w:rsidRPr="006076A7" w:rsidRDefault="006076A7" w:rsidP="006076A7">
      <w:pPr>
        <w:spacing w:line="360" w:lineRule="auto"/>
        <w:ind w:right="-929"/>
        <w:jc w:val="both"/>
        <w:rPr>
          <w:rFonts w:ascii="Palatino Linotype" w:eastAsia="Palatino Linotype" w:hAnsi="Palatino Linotype" w:cs="Palatino Linotype"/>
          <w:color w:val="000000"/>
        </w:rPr>
      </w:pPr>
    </w:p>
    <w:p w14:paraId="2723C730" w14:textId="77777777" w:rsidR="00C545F6" w:rsidRPr="006076A7" w:rsidRDefault="00B624A5">
      <w:pPr>
        <w:numPr>
          <w:ilvl w:val="0"/>
          <w:numId w:val="3"/>
        </w:numPr>
        <w:spacing w:line="360" w:lineRule="auto"/>
        <w:ind w:left="0" w:right="-929" w:firstLine="0"/>
        <w:jc w:val="both"/>
        <w:rPr>
          <w:rFonts w:ascii="Palatino Linotype" w:eastAsia="Palatino Linotype" w:hAnsi="Palatino Linotype" w:cs="Palatino Linotype"/>
        </w:rPr>
      </w:pPr>
      <w:r w:rsidRPr="006076A7">
        <w:rPr>
          <w:rFonts w:ascii="Palatino Linotype" w:eastAsia="Palatino Linotype" w:hAnsi="Palatino Linotype" w:cs="Palatino Linotype"/>
        </w:rPr>
        <w:t xml:space="preserve">Ahora bien, respecto de la naturaleza de lo solicitado, resulta importante señalar que este término se </w:t>
      </w:r>
      <w:r w:rsidRPr="006076A7">
        <w:rPr>
          <w:rFonts w:ascii="Palatino Linotype" w:eastAsia="Palatino Linotype" w:hAnsi="Palatino Linotype" w:cs="Palatino Linotype"/>
          <w:color w:val="000000"/>
        </w:rPr>
        <w:t>encuentra</w:t>
      </w:r>
      <w:r w:rsidRPr="006076A7">
        <w:rPr>
          <w:rFonts w:ascii="Palatino Linotype" w:eastAsia="Palatino Linotype" w:hAnsi="Palatino Linotype" w:cs="Palatino Linotype"/>
        </w:rPr>
        <w:t xml:space="preserve"> definido en el Glosario de Términos Hacendarios que emite el Instituto Hacendario del Estado de México, el cual expresa lo siguiente:</w:t>
      </w:r>
    </w:p>
    <w:p w14:paraId="229D37EF" w14:textId="77777777" w:rsidR="00C545F6" w:rsidRPr="006076A7" w:rsidRDefault="00B624A5">
      <w:pPr>
        <w:spacing w:line="360" w:lineRule="auto"/>
        <w:ind w:left="851" w:right="-929"/>
        <w:jc w:val="both"/>
        <w:rPr>
          <w:rFonts w:ascii="Palatino Linotype" w:eastAsia="Palatino Linotype" w:hAnsi="Palatino Linotype" w:cs="Palatino Linotype"/>
          <w:b/>
          <w:bCs/>
          <w:i/>
          <w:iCs/>
        </w:rPr>
      </w:pPr>
      <w:r w:rsidRPr="006076A7">
        <w:rPr>
          <w:rFonts w:ascii="Palatino Linotype" w:eastAsia="Palatino Linotype" w:hAnsi="Palatino Linotype" w:cs="Palatino Linotype"/>
          <w:i/>
          <w:iCs/>
        </w:rPr>
        <w:t>“</w:t>
      </w:r>
      <w:r w:rsidRPr="006076A7">
        <w:rPr>
          <w:rFonts w:ascii="Palatino Linotype" w:eastAsia="Palatino Linotype" w:hAnsi="Palatino Linotype" w:cs="Palatino Linotype"/>
          <w:b/>
          <w:bCs/>
          <w:i/>
          <w:iCs/>
        </w:rPr>
        <w:t>FACTURA</w:t>
      </w:r>
    </w:p>
    <w:p w14:paraId="047787D9" w14:textId="77777777" w:rsidR="00C545F6" w:rsidRPr="006076A7" w:rsidRDefault="00B624A5">
      <w:pPr>
        <w:spacing w:line="360" w:lineRule="auto"/>
        <w:ind w:left="851" w:right="-929"/>
        <w:jc w:val="both"/>
        <w:rPr>
          <w:rFonts w:ascii="Palatino Linotype" w:eastAsia="Palatino Linotype" w:hAnsi="Palatino Linotype" w:cs="Palatino Linotype"/>
        </w:rPr>
      </w:pPr>
      <w:r w:rsidRPr="006076A7">
        <w:rPr>
          <w:rFonts w:ascii="Palatino Linotype" w:eastAsia="Palatino Linotype" w:hAnsi="Palatino Linotype" w:cs="Palatino Linotype"/>
          <w:i/>
          <w:iCs/>
        </w:rPr>
        <w:t xml:space="preserve">Es el documento fiscal que emite la persona física o moral para </w:t>
      </w:r>
      <w:r w:rsidRPr="006076A7">
        <w:rPr>
          <w:rFonts w:ascii="Palatino Linotype" w:eastAsia="Palatino Linotype" w:hAnsi="Palatino Linotype" w:cs="Palatino Linotype"/>
          <w:b/>
          <w:bCs/>
          <w:i/>
          <w:iCs/>
          <w:u w:val="single"/>
        </w:rPr>
        <w:t>comprobar la venta o adquisición de un bien y/o servicio</w:t>
      </w:r>
      <w:r w:rsidRPr="006076A7">
        <w:rPr>
          <w:rFonts w:ascii="Palatino Linotype" w:eastAsia="Palatino Linotype" w:hAnsi="Palatino Linotype" w:cs="Palatino Linotype"/>
          <w:i/>
          <w:iCs/>
        </w:rPr>
        <w:t xml:space="preserve">.” </w:t>
      </w:r>
      <w:r w:rsidRPr="006076A7">
        <w:rPr>
          <w:rFonts w:ascii="Palatino Linotype" w:eastAsia="Palatino Linotype" w:hAnsi="Palatino Linotype" w:cs="Palatino Linotype"/>
        </w:rPr>
        <w:t>(Énfasis añadido)</w:t>
      </w:r>
    </w:p>
    <w:p w14:paraId="78A32FE6" w14:textId="77777777" w:rsidR="00C545F6" w:rsidRPr="006076A7" w:rsidRDefault="00C545F6">
      <w:pPr>
        <w:spacing w:line="360" w:lineRule="auto"/>
        <w:ind w:left="851" w:right="-929"/>
        <w:jc w:val="both"/>
        <w:rPr>
          <w:rFonts w:ascii="Palatino Linotype" w:eastAsia="Palatino Linotype" w:hAnsi="Palatino Linotype" w:cs="Palatino Linotype"/>
          <w:i/>
          <w:iCs/>
        </w:rPr>
      </w:pPr>
    </w:p>
    <w:p w14:paraId="277180DE" w14:textId="77777777" w:rsidR="00C545F6" w:rsidRPr="006076A7" w:rsidRDefault="00B624A5">
      <w:pPr>
        <w:numPr>
          <w:ilvl w:val="0"/>
          <w:numId w:val="3"/>
        </w:numPr>
        <w:spacing w:line="360" w:lineRule="auto"/>
        <w:ind w:left="0" w:right="-929" w:firstLine="0"/>
        <w:jc w:val="both"/>
        <w:rPr>
          <w:rFonts w:ascii="Palatino Linotype" w:eastAsia="Palatino Linotype" w:hAnsi="Palatino Linotype" w:cs="Palatino Linotype"/>
        </w:rPr>
      </w:pPr>
      <w:r w:rsidRPr="006076A7">
        <w:rPr>
          <w:rFonts w:ascii="Palatino Linotype" w:eastAsia="Palatino Linotype" w:hAnsi="Palatino Linotype" w:cs="Palatino Linotype"/>
        </w:rPr>
        <w:t xml:space="preserve">Es de señalarse que las facturas o comprobantes que amparan las erogaciones que se realizan con erario público tienen naturaleza pública pues, constituyen los medios idóneos </w:t>
      </w:r>
      <w:r w:rsidRPr="006076A7">
        <w:rPr>
          <w:rFonts w:ascii="Palatino Linotype" w:eastAsia="Palatino Linotype" w:hAnsi="Palatino Linotype" w:cs="Palatino Linotype"/>
        </w:rPr>
        <w:lastRenderedPageBreak/>
        <w:t>de evidencia del gasto realizado con recursos públicos, de ahí que convenga precisar que la Constitución Política del Estado Libre y Soberano de México en su artículo 129 señala que l</w:t>
      </w:r>
      <w:r w:rsidRPr="006076A7">
        <w:rPr>
          <w:rFonts w:ascii="Palatino Linotype" w:eastAsia="Palatino Linotype" w:hAnsi="Palatino Linotype" w:cs="Palatino Linotype"/>
          <w:color w:val="000000"/>
        </w:rPr>
        <w:t xml:space="preserve">os recursos económicos del Estado, de los Municipios, así como de los Organismos Autónomos, se administrarán con eficiencia, eficacia y honradez, para cumplir con los objetivos y programas a los que estén destinados. </w:t>
      </w:r>
    </w:p>
    <w:p w14:paraId="4869974B" w14:textId="77777777" w:rsidR="00C545F6" w:rsidRPr="006076A7" w:rsidRDefault="00C545F6">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14:paraId="15DDFF80" w14:textId="77777777" w:rsidR="00C545F6" w:rsidRPr="006076A7" w:rsidRDefault="00B624A5">
      <w:pPr>
        <w:numPr>
          <w:ilvl w:val="0"/>
          <w:numId w:val="3"/>
        </w:numPr>
        <w:spacing w:line="360" w:lineRule="auto"/>
        <w:ind w:left="0" w:right="-929" w:firstLine="0"/>
        <w:jc w:val="both"/>
        <w:rPr>
          <w:rFonts w:ascii="Palatino Linotype" w:eastAsia="Palatino Linotype" w:hAnsi="Palatino Linotype" w:cs="Palatino Linotype"/>
        </w:rPr>
      </w:pPr>
      <w:r w:rsidRPr="006076A7">
        <w:rPr>
          <w:rFonts w:ascii="Palatino Linotype" w:eastAsia="Palatino Linotype" w:hAnsi="Palatino Linotype" w:cs="Palatino Linotype"/>
        </w:rPr>
        <w:t>Aunado a lo anterior, los artículos 342, 343, 344 y 345 del Código Financiero del Estado de México y Municipios disponen el sistema y las políticas que deben seguirse para llevar el registro contable y presupuestal de las operaciones financieras, en los siguientes términos:</w:t>
      </w:r>
    </w:p>
    <w:p w14:paraId="009F9085" w14:textId="77777777" w:rsidR="00C545F6" w:rsidRPr="006076A7" w:rsidRDefault="00B624A5">
      <w:pPr>
        <w:spacing w:line="360" w:lineRule="auto"/>
        <w:ind w:left="567" w:right="-929"/>
        <w:jc w:val="both"/>
        <w:rPr>
          <w:rFonts w:ascii="Palatino Linotype" w:eastAsia="Palatino Linotype" w:hAnsi="Palatino Linotype" w:cs="Palatino Linotype"/>
          <w:b/>
          <w:bCs/>
          <w:i/>
          <w:iCs/>
        </w:rPr>
      </w:pPr>
      <w:r w:rsidRPr="006076A7">
        <w:rPr>
          <w:rFonts w:ascii="Palatino Linotype" w:eastAsia="Palatino Linotype" w:hAnsi="Palatino Linotype" w:cs="Palatino Linotype"/>
          <w:i/>
          <w:iCs/>
          <w:color w:val="000000"/>
        </w:rPr>
        <w:t>“</w:t>
      </w:r>
      <w:r w:rsidRPr="006076A7">
        <w:rPr>
          <w:rFonts w:ascii="Palatino Linotype" w:eastAsia="Palatino Linotype" w:hAnsi="Palatino Linotype" w:cs="Palatino Linotype"/>
          <w:b/>
          <w:bCs/>
          <w:i/>
          <w:iCs/>
        </w:rPr>
        <w:t>Artículo 342.-</w:t>
      </w:r>
      <w:r w:rsidRPr="006076A7">
        <w:rPr>
          <w:rFonts w:ascii="Palatino Linotype" w:eastAsia="Palatino Linotype" w:hAnsi="Palatino Linotype" w:cs="Palatino Linotype"/>
          <w:i/>
          <w:iCs/>
        </w:rPr>
        <w:t xml:space="preserve"> </w:t>
      </w:r>
      <w:r w:rsidRPr="006076A7">
        <w:rPr>
          <w:rFonts w:ascii="Palatino Linotype" w:eastAsia="Palatino Linotype" w:hAnsi="Palatino Linotype" w:cs="Palatino Linotype"/>
          <w:b/>
          <w:bCs/>
          <w:i/>
          <w:iCs/>
        </w:rPr>
        <w:t xml:space="preserve">El registro contable del efecto patrimonial y presupuestal de las operaciones financieras, se realizará conforme al sistema y a las disposiciones que se aprueben en materia </w:t>
      </w:r>
      <w:r w:rsidRPr="006076A7">
        <w:rPr>
          <w:rFonts w:ascii="Palatino Linotype" w:eastAsia="Palatino Linotype" w:hAnsi="Palatino Linotype" w:cs="Palatino Linotype"/>
          <w:i/>
          <w:iCs/>
        </w:rPr>
        <w:t xml:space="preserve">de </w:t>
      </w:r>
      <w:r w:rsidRPr="006076A7">
        <w:rPr>
          <w:rFonts w:ascii="Palatino Linotype" w:eastAsia="Palatino Linotype" w:hAnsi="Palatino Linotype" w:cs="Palatino Linotype"/>
          <w:i/>
          <w:iCs/>
          <w:color w:val="000000"/>
        </w:rPr>
        <w:t>planeación</w:t>
      </w:r>
      <w:r w:rsidRPr="006076A7">
        <w:rPr>
          <w:rFonts w:ascii="Palatino Linotype" w:eastAsia="Palatino Linotype" w:hAnsi="Palatino Linotype" w:cs="Palatino Linotype"/>
          <w:i/>
          <w:iCs/>
        </w:rPr>
        <w:t>,</w:t>
      </w:r>
      <w:r w:rsidRPr="006076A7">
        <w:rPr>
          <w:rFonts w:ascii="Palatino Linotype" w:eastAsia="Palatino Linotype" w:hAnsi="Palatino Linotype" w:cs="Palatino Linotype"/>
          <w:b/>
          <w:bCs/>
          <w:i/>
          <w:iCs/>
        </w:rPr>
        <w:t xml:space="preserve"> programación, presupuestación</w:t>
      </w:r>
      <w:r w:rsidRPr="006076A7">
        <w:rPr>
          <w:rFonts w:ascii="Palatino Linotype" w:eastAsia="Palatino Linotype" w:hAnsi="Palatino Linotype" w:cs="Palatino Linotype"/>
          <w:i/>
          <w:iCs/>
        </w:rPr>
        <w:t xml:space="preserve">, evaluación y </w:t>
      </w:r>
      <w:r w:rsidRPr="006076A7">
        <w:rPr>
          <w:rFonts w:ascii="Palatino Linotype" w:eastAsia="Palatino Linotype" w:hAnsi="Palatino Linotype" w:cs="Palatino Linotype"/>
          <w:b/>
          <w:bCs/>
          <w:i/>
          <w:iCs/>
          <w:color w:val="000000"/>
        </w:rPr>
        <w:t>contabilidad</w:t>
      </w:r>
      <w:r w:rsidRPr="006076A7">
        <w:rPr>
          <w:rFonts w:ascii="Palatino Linotype" w:eastAsia="Palatino Linotype" w:hAnsi="Palatino Linotype" w:cs="Palatino Linotype"/>
          <w:b/>
          <w:bCs/>
          <w:i/>
          <w:iCs/>
        </w:rPr>
        <w:t xml:space="preserve"> gubernamental.</w:t>
      </w:r>
      <w:r w:rsidRPr="006076A7">
        <w:rPr>
          <w:rFonts w:ascii="Palatino Linotype" w:eastAsia="Palatino Linotype" w:hAnsi="Palatino Linotype" w:cs="Palatino Linotype"/>
          <w:i/>
          <w:iCs/>
        </w:rPr>
        <w:t xml:space="preserve"> </w:t>
      </w:r>
    </w:p>
    <w:p w14:paraId="0477E894" w14:textId="77777777" w:rsidR="00C545F6" w:rsidRPr="006076A7" w:rsidRDefault="00B624A5">
      <w:pPr>
        <w:spacing w:line="360" w:lineRule="auto"/>
        <w:ind w:left="567" w:right="-929"/>
        <w:jc w:val="both"/>
        <w:rPr>
          <w:rFonts w:ascii="Palatino Linotype" w:eastAsia="Palatino Linotype" w:hAnsi="Palatino Linotype" w:cs="Palatino Linotype"/>
          <w:b/>
          <w:bCs/>
          <w:i/>
          <w:iCs/>
          <w:color w:val="000000"/>
        </w:rPr>
      </w:pPr>
      <w:r w:rsidRPr="006076A7">
        <w:rPr>
          <w:rFonts w:ascii="Palatino Linotype" w:eastAsia="Palatino Linotype" w:hAnsi="Palatino Linotype" w:cs="Palatino Linotype"/>
          <w:b/>
          <w:bCs/>
          <w:i/>
          <w:iCs/>
          <w:color w:val="000000"/>
        </w:rPr>
        <w:t>…”</w:t>
      </w:r>
    </w:p>
    <w:p w14:paraId="07223A54" w14:textId="77777777" w:rsidR="00C545F6" w:rsidRPr="006076A7" w:rsidRDefault="00C545F6">
      <w:pPr>
        <w:spacing w:line="360" w:lineRule="auto"/>
        <w:ind w:left="567" w:right="-929"/>
        <w:jc w:val="both"/>
        <w:rPr>
          <w:rFonts w:ascii="Palatino Linotype" w:eastAsia="Palatino Linotype" w:hAnsi="Palatino Linotype" w:cs="Palatino Linotype"/>
          <w:b/>
          <w:bCs/>
          <w:i/>
          <w:iCs/>
        </w:rPr>
      </w:pPr>
    </w:p>
    <w:p w14:paraId="47246F35" w14:textId="77777777" w:rsidR="00C545F6" w:rsidRPr="006076A7" w:rsidRDefault="00B624A5">
      <w:pPr>
        <w:spacing w:line="360" w:lineRule="auto"/>
        <w:ind w:left="567"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b/>
          <w:bCs/>
          <w:i/>
          <w:iCs/>
        </w:rPr>
        <w:t>“Artículo 343.-</w:t>
      </w:r>
      <w:r w:rsidRPr="006076A7">
        <w:rPr>
          <w:rFonts w:ascii="Palatino Linotype" w:eastAsia="Palatino Linotype" w:hAnsi="Palatino Linotype" w:cs="Palatino Linotype"/>
          <w:i/>
          <w:iCs/>
        </w:rPr>
        <w:t xml:space="preserve"> El sistema de contabilidad debe diseñarse sobre base acumulativa total y operarse en forma que facilite la fiscalización de los activos, pasivos, ingresos, egresos y, en general, que posibilite medir la eficacia del gasto público, y contener las medidas de control interno que permitan verificar el registro de la totalidad de las operaciones financieras. </w:t>
      </w:r>
    </w:p>
    <w:p w14:paraId="5BCB11C9" w14:textId="77777777" w:rsidR="00C545F6" w:rsidRPr="006076A7" w:rsidRDefault="00B624A5">
      <w:pPr>
        <w:spacing w:line="360" w:lineRule="auto"/>
        <w:ind w:left="567"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i/>
          <w:iCs/>
        </w:rPr>
        <w:t>El sistema de contabilidad sobre base acumulativa total se sustentará en los postulados básicos y el marco conceptual de la contabilidad gubernamental. “</w:t>
      </w:r>
    </w:p>
    <w:p w14:paraId="18762DA7" w14:textId="77777777" w:rsidR="00C545F6" w:rsidRPr="006076A7" w:rsidRDefault="00C545F6">
      <w:pPr>
        <w:spacing w:line="360" w:lineRule="auto"/>
        <w:ind w:left="567" w:right="-929"/>
        <w:jc w:val="both"/>
        <w:rPr>
          <w:rFonts w:ascii="Palatino Linotype" w:eastAsia="Palatino Linotype" w:hAnsi="Palatino Linotype" w:cs="Palatino Linotype"/>
          <w:i/>
          <w:iCs/>
        </w:rPr>
      </w:pPr>
    </w:p>
    <w:p w14:paraId="08C22D26" w14:textId="77777777" w:rsidR="00C545F6" w:rsidRPr="006076A7" w:rsidRDefault="00B624A5">
      <w:pPr>
        <w:spacing w:line="360" w:lineRule="auto"/>
        <w:ind w:left="567"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b/>
          <w:bCs/>
          <w:i/>
          <w:iCs/>
        </w:rPr>
        <w:t xml:space="preserve">“Artículo 344.- Las Dependencias, Entidades Públicas y unidades administrativas registrarán contablemente el efecto patrimonial y presupuestal de las operaciones </w:t>
      </w:r>
      <w:r w:rsidRPr="006076A7">
        <w:rPr>
          <w:rFonts w:ascii="Palatino Linotype" w:eastAsia="Palatino Linotype" w:hAnsi="Palatino Linotype" w:cs="Palatino Linotype"/>
          <w:b/>
          <w:bCs/>
          <w:i/>
          <w:iCs/>
        </w:rPr>
        <w:lastRenderedPageBreak/>
        <w:t xml:space="preserve">financieras que realicen, en el momento en que ocurran, con base en el sistema y políticas de registro establecidas, </w:t>
      </w:r>
      <w:r w:rsidRPr="006076A7">
        <w:rPr>
          <w:rFonts w:ascii="Palatino Linotype" w:eastAsia="Palatino Linotype" w:hAnsi="Palatino Linotype" w:cs="Palatino Linotype"/>
          <w:i/>
          <w:iCs/>
        </w:rPr>
        <w:t xml:space="preserve">en el caso de los Municipios se hará por la Tesorería. </w:t>
      </w:r>
    </w:p>
    <w:p w14:paraId="1C4AB73D" w14:textId="77777777" w:rsidR="00C545F6" w:rsidRPr="006076A7" w:rsidRDefault="00B624A5">
      <w:pPr>
        <w:spacing w:line="360" w:lineRule="auto"/>
        <w:ind w:left="567"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i/>
          <w:iCs/>
        </w:rPr>
        <w:t xml:space="preserve">Derogado. </w:t>
      </w:r>
    </w:p>
    <w:p w14:paraId="79646DFB" w14:textId="77777777" w:rsidR="00C545F6" w:rsidRPr="006076A7" w:rsidRDefault="00C545F6">
      <w:pPr>
        <w:spacing w:line="360" w:lineRule="auto"/>
        <w:ind w:left="567" w:right="-929"/>
        <w:jc w:val="both"/>
        <w:rPr>
          <w:rFonts w:ascii="Palatino Linotype" w:eastAsia="Palatino Linotype" w:hAnsi="Palatino Linotype" w:cs="Palatino Linotype"/>
          <w:i/>
          <w:iCs/>
        </w:rPr>
      </w:pPr>
    </w:p>
    <w:p w14:paraId="1CDC39AF" w14:textId="77777777" w:rsidR="00C545F6" w:rsidRPr="006076A7" w:rsidRDefault="00B624A5">
      <w:pPr>
        <w:spacing w:line="360" w:lineRule="auto"/>
        <w:ind w:left="567"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b/>
          <w:bCs/>
          <w:i/>
          <w:iCs/>
        </w:rPr>
        <w:t>Todo registro contable y presupuestal deberá estar soportado con los documentos comprobatorios originales, los que deberán permanecer en custodia y conservación de las dependencias, entidades públicas y unidades administrativas que ejercieron el gasto, y a disposición del Órgano Superior de Fiscalización del Estado de México y de los órganos de control interno, por un término de cinco años contados</w:t>
      </w:r>
      <w:r w:rsidRPr="006076A7">
        <w:rPr>
          <w:rFonts w:ascii="Palatino Linotype" w:eastAsia="Palatino Linotype" w:hAnsi="Palatino Linotype" w:cs="Palatino Linotype"/>
          <w:i/>
          <w:iCs/>
        </w:rPr>
        <w:t xml:space="preserve"> a partir del ejercicio presupuestal siguiente al que corresponda, en el caso de los municipios se hará por la Tesorería. </w:t>
      </w:r>
    </w:p>
    <w:p w14:paraId="479DC005" w14:textId="77777777" w:rsidR="00C545F6" w:rsidRPr="006076A7" w:rsidRDefault="00B624A5">
      <w:pPr>
        <w:spacing w:line="360" w:lineRule="auto"/>
        <w:ind w:left="567"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i/>
          <w:iCs/>
        </w:rPr>
        <w:t>…”</w:t>
      </w:r>
    </w:p>
    <w:p w14:paraId="09DC6AAB" w14:textId="77777777" w:rsidR="00C545F6" w:rsidRPr="006076A7" w:rsidRDefault="00C545F6">
      <w:pPr>
        <w:spacing w:line="360" w:lineRule="auto"/>
        <w:ind w:left="567" w:right="-929"/>
        <w:jc w:val="both"/>
        <w:rPr>
          <w:rFonts w:ascii="Palatino Linotype" w:eastAsia="Palatino Linotype" w:hAnsi="Palatino Linotype" w:cs="Palatino Linotype"/>
          <w:i/>
          <w:iCs/>
        </w:rPr>
      </w:pPr>
    </w:p>
    <w:p w14:paraId="67F4D658" w14:textId="77777777" w:rsidR="00C545F6" w:rsidRPr="006076A7" w:rsidRDefault="00B624A5">
      <w:pPr>
        <w:spacing w:line="360" w:lineRule="auto"/>
        <w:ind w:left="567"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b/>
          <w:bCs/>
          <w:i/>
          <w:iCs/>
        </w:rPr>
        <w:t>“Artículo 345.-</w:t>
      </w:r>
      <w:r w:rsidRPr="006076A7">
        <w:rPr>
          <w:rFonts w:ascii="Palatino Linotype" w:eastAsia="Palatino Linotype" w:hAnsi="Palatino Linotype" w:cs="Palatino Linotype"/>
          <w:i/>
          <w:iCs/>
        </w:rPr>
        <w:t xml:space="preserve"> </w:t>
      </w:r>
      <w:r w:rsidRPr="006076A7">
        <w:rPr>
          <w:rFonts w:ascii="Palatino Linotype" w:eastAsia="Palatino Linotype" w:hAnsi="Palatino Linotype" w:cs="Palatino Linotype"/>
          <w:b/>
          <w:bCs/>
          <w:i/>
          <w:iCs/>
        </w:rPr>
        <w:t>Las Dependencias, Entidades Públicas y unidades administrativas deberán conservar la documentación contable del año en curso y la de ejercicios anteriores cuyas cuentas públicas hayan sido revisadas y fiscalizadas por la Legislatura</w:t>
      </w:r>
      <w:r w:rsidRPr="006076A7">
        <w:rPr>
          <w:rFonts w:ascii="Palatino Linotype" w:eastAsia="Palatino Linotype" w:hAnsi="Palatino Linotype" w:cs="Palatino Linotype"/>
          <w:i/>
          <w:iCs/>
        </w:rPr>
        <w:t xml:space="preserve">, la remitirán en un plazo que no excederá de seis meses al Archivo Contable Gubernamental. </w:t>
      </w:r>
      <w:r w:rsidRPr="006076A7">
        <w:rPr>
          <w:rFonts w:ascii="Palatino Linotype" w:eastAsia="Palatino Linotype" w:hAnsi="Palatino Linotype" w:cs="Palatino Linotype"/>
          <w:b/>
          <w:bCs/>
          <w:i/>
          <w:iCs/>
        </w:rPr>
        <w:t>Tratándose de los comprobantes fiscales digitales, estos deberán estar agregados en forma electrónica en cada póliza de registro contable</w:t>
      </w:r>
      <w:r w:rsidRPr="006076A7">
        <w:rPr>
          <w:rFonts w:ascii="Palatino Linotype" w:eastAsia="Palatino Linotype" w:hAnsi="Palatino Linotype" w:cs="Palatino Linotype"/>
          <w:i/>
          <w:iCs/>
        </w:rPr>
        <w:t xml:space="preserve">. </w:t>
      </w:r>
    </w:p>
    <w:p w14:paraId="36CFDEF6" w14:textId="77777777" w:rsidR="00C545F6" w:rsidRPr="006076A7" w:rsidRDefault="00B624A5">
      <w:pPr>
        <w:spacing w:line="360" w:lineRule="auto"/>
        <w:ind w:left="567" w:right="-929"/>
        <w:jc w:val="both"/>
        <w:rPr>
          <w:rFonts w:ascii="Palatino Linotype" w:eastAsia="Palatino Linotype" w:hAnsi="Palatino Linotype" w:cs="Palatino Linotype"/>
          <w:i/>
          <w:iCs/>
          <w:color w:val="000000"/>
        </w:rPr>
      </w:pPr>
      <w:r w:rsidRPr="006076A7">
        <w:rPr>
          <w:rFonts w:ascii="Palatino Linotype" w:eastAsia="Palatino Linotype" w:hAnsi="Palatino Linotype" w:cs="Palatino Linotype"/>
          <w:i/>
          <w:iCs/>
        </w:rPr>
        <w:t>El plazo señalado en el párrafo anterior, empezará a contar a partir de la publicación en el Periódico Oficial, del decreto correspondiente.</w:t>
      </w:r>
      <w:r w:rsidRPr="006076A7">
        <w:rPr>
          <w:rFonts w:ascii="Palatino Linotype" w:eastAsia="Palatino Linotype" w:hAnsi="Palatino Linotype" w:cs="Palatino Linotype"/>
          <w:i/>
          <w:iCs/>
          <w:color w:val="000000"/>
        </w:rPr>
        <w:t xml:space="preserve"> “</w:t>
      </w:r>
    </w:p>
    <w:p w14:paraId="5FA959E8" w14:textId="77777777" w:rsidR="00C545F6" w:rsidRPr="006076A7" w:rsidRDefault="00B624A5">
      <w:pPr>
        <w:spacing w:line="360" w:lineRule="auto"/>
        <w:ind w:left="567" w:right="-929"/>
        <w:rPr>
          <w:rFonts w:ascii="Palatino Linotype" w:eastAsia="Palatino Linotype" w:hAnsi="Palatino Linotype" w:cs="Palatino Linotype"/>
          <w:color w:val="000000"/>
        </w:rPr>
      </w:pPr>
      <w:r w:rsidRPr="006076A7">
        <w:rPr>
          <w:rFonts w:ascii="Palatino Linotype" w:eastAsia="Palatino Linotype" w:hAnsi="Palatino Linotype" w:cs="Palatino Linotype"/>
          <w:color w:val="000000"/>
        </w:rPr>
        <w:t>(Énfasis añadido)</w:t>
      </w:r>
    </w:p>
    <w:p w14:paraId="7EEB119D" w14:textId="77777777" w:rsidR="00C545F6" w:rsidRPr="006076A7" w:rsidRDefault="00C545F6">
      <w:pPr>
        <w:spacing w:line="360" w:lineRule="auto"/>
        <w:ind w:left="567" w:right="-929"/>
        <w:jc w:val="right"/>
        <w:rPr>
          <w:rFonts w:ascii="Palatino Linotype" w:eastAsia="Palatino Linotype" w:hAnsi="Palatino Linotype" w:cs="Palatino Linotype"/>
          <w:color w:val="000000"/>
        </w:rPr>
      </w:pPr>
    </w:p>
    <w:p w14:paraId="1B0FA94D" w14:textId="77777777" w:rsidR="00C545F6" w:rsidRPr="006076A7" w:rsidRDefault="00B624A5">
      <w:pPr>
        <w:numPr>
          <w:ilvl w:val="0"/>
          <w:numId w:val="3"/>
        </w:numPr>
        <w:spacing w:line="360" w:lineRule="auto"/>
        <w:ind w:left="0" w:right="-929" w:firstLine="0"/>
        <w:jc w:val="both"/>
        <w:rPr>
          <w:rFonts w:ascii="Palatino Linotype" w:eastAsia="Palatino Linotype" w:hAnsi="Palatino Linotype" w:cs="Palatino Linotype"/>
          <w:color w:val="000000"/>
        </w:rPr>
      </w:pPr>
      <w:r w:rsidRPr="006076A7">
        <w:rPr>
          <w:rFonts w:ascii="Palatino Linotype" w:eastAsia="Palatino Linotype" w:hAnsi="Palatino Linotype" w:cs="Palatino Linotype"/>
        </w:rPr>
        <w:t>De una interpretación sistemática de los artículos transcritos, se desprende primeramente que el</w:t>
      </w:r>
      <w:r w:rsidRPr="006076A7">
        <w:rPr>
          <w:rFonts w:ascii="Palatino Linotype" w:eastAsia="Palatino Linotype" w:hAnsi="Palatino Linotype" w:cs="Palatino Linotype"/>
          <w:color w:val="000000"/>
        </w:rPr>
        <w:t xml:space="preserve"> registro contable del efecto patrimonial y presupuestal de las </w:t>
      </w:r>
      <w:r w:rsidRPr="006076A7">
        <w:rPr>
          <w:rFonts w:ascii="Palatino Linotype" w:eastAsia="Palatino Linotype" w:hAnsi="Palatino Linotype" w:cs="Palatino Linotype"/>
          <w:color w:val="000000"/>
        </w:rPr>
        <w:lastRenderedPageBreak/>
        <w:t>operaciones financieras se realizará conforme al sistema y a las disposiciones que se aprueben en materia de planeación, programación, presupuestación, evaluación y contabilidad gubernamental.</w:t>
      </w:r>
    </w:p>
    <w:p w14:paraId="42DEACCA" w14:textId="77777777" w:rsidR="00C545F6" w:rsidRPr="006076A7" w:rsidRDefault="00C545F6">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14:paraId="73979599" w14:textId="77777777" w:rsidR="00C545F6" w:rsidRPr="006076A7" w:rsidRDefault="00B624A5">
      <w:pPr>
        <w:numPr>
          <w:ilvl w:val="0"/>
          <w:numId w:val="3"/>
        </w:numPr>
        <w:spacing w:line="360" w:lineRule="auto"/>
        <w:ind w:left="0" w:right="-929" w:firstLine="0"/>
        <w:jc w:val="both"/>
        <w:rPr>
          <w:rFonts w:ascii="Palatino Linotype" w:eastAsia="Palatino Linotype" w:hAnsi="Palatino Linotype" w:cs="Palatino Linotype"/>
          <w:color w:val="000000"/>
        </w:rPr>
      </w:pPr>
      <w:r w:rsidRPr="006076A7">
        <w:rPr>
          <w:rFonts w:ascii="Palatino Linotype" w:eastAsia="Palatino Linotype" w:hAnsi="Palatino Linotype" w:cs="Palatino Linotype"/>
        </w:rPr>
        <w:t xml:space="preserve">Al respecto, si bien es cierto que el Código Financiero del Estado de México y Municipios establece la obligación de los Municipios para llevar los registros contables y presupuestales; también lo es que, dicho ordenamiento jurídico no establece qué debemos entender por registro contable y presupuestal; sin embargo, el “Glosario de Términos Administrativos”, emitido por el Instituto Nacional de Administración Pública, A.C. y el “Glosario de Términos para el Proceso de Planeación, Programación, Presupuestación y Evaluación en la Administración Pública”, elaborado por el Grupo de Trabajo de Sistemas de Información Financiera, Contable y Presupuestal de la Comisión Permanente de Funcionarios Fiscales del Instituto para el Desarrollo Técnico de las Haciendas Públicas (INDETEC) señalan las siguientes definiciones de las palabras registro contable y registro presupuestario: </w:t>
      </w:r>
    </w:p>
    <w:p w14:paraId="19531515" w14:textId="77777777" w:rsidR="00C545F6" w:rsidRPr="006076A7" w:rsidRDefault="00B624A5">
      <w:pPr>
        <w:spacing w:line="360" w:lineRule="auto"/>
        <w:ind w:left="567" w:right="-929"/>
        <w:jc w:val="both"/>
        <w:rPr>
          <w:rFonts w:ascii="Palatino Linotype" w:eastAsia="Palatino Linotype" w:hAnsi="Palatino Linotype" w:cs="Palatino Linotype"/>
          <w:b/>
          <w:bCs/>
          <w:i/>
          <w:iCs/>
        </w:rPr>
      </w:pPr>
      <w:r w:rsidRPr="006076A7">
        <w:rPr>
          <w:rFonts w:ascii="Palatino Linotype" w:eastAsia="Palatino Linotype" w:hAnsi="Palatino Linotype" w:cs="Palatino Linotype"/>
          <w:b/>
          <w:bCs/>
          <w:i/>
          <w:iCs/>
        </w:rPr>
        <w:t xml:space="preserve">“REGISTRO CONTABLE </w:t>
      </w:r>
    </w:p>
    <w:p w14:paraId="235C7BE8" w14:textId="77777777" w:rsidR="00C545F6" w:rsidRPr="006076A7" w:rsidRDefault="00B624A5">
      <w:pPr>
        <w:spacing w:line="360" w:lineRule="auto"/>
        <w:ind w:left="567"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i/>
          <w:iCs/>
        </w:rPr>
        <w:t>Asiento que se realiza en los libros de contabilidad de las actividades relacionadas con el ingreso y egresos de un ente económico.” (Sic)</w:t>
      </w:r>
    </w:p>
    <w:p w14:paraId="2E0A2C61" w14:textId="77777777" w:rsidR="00C545F6" w:rsidRPr="006076A7" w:rsidRDefault="00C545F6">
      <w:pPr>
        <w:spacing w:line="360" w:lineRule="auto"/>
        <w:ind w:left="567" w:right="-929"/>
        <w:jc w:val="both"/>
        <w:rPr>
          <w:rFonts w:ascii="Palatino Linotype" w:eastAsia="Palatino Linotype" w:hAnsi="Palatino Linotype" w:cs="Palatino Linotype"/>
          <w:i/>
          <w:iCs/>
        </w:rPr>
      </w:pPr>
    </w:p>
    <w:p w14:paraId="57554873" w14:textId="77777777" w:rsidR="00C545F6" w:rsidRPr="006076A7" w:rsidRDefault="00B624A5">
      <w:pPr>
        <w:spacing w:line="360" w:lineRule="auto"/>
        <w:ind w:left="567" w:right="-929"/>
        <w:jc w:val="both"/>
        <w:rPr>
          <w:rFonts w:ascii="Palatino Linotype" w:eastAsia="Palatino Linotype" w:hAnsi="Palatino Linotype" w:cs="Palatino Linotype"/>
          <w:b/>
          <w:bCs/>
          <w:i/>
          <w:iCs/>
        </w:rPr>
      </w:pPr>
      <w:r w:rsidRPr="006076A7">
        <w:rPr>
          <w:rFonts w:ascii="Palatino Linotype" w:eastAsia="Palatino Linotype" w:hAnsi="Palatino Linotype" w:cs="Palatino Linotype"/>
          <w:b/>
          <w:bCs/>
          <w:i/>
          <w:iCs/>
        </w:rPr>
        <w:t>“REGISTRO PRESUPUESTARIO</w:t>
      </w:r>
    </w:p>
    <w:p w14:paraId="7DC93AFE" w14:textId="77777777" w:rsidR="00C545F6" w:rsidRPr="006076A7" w:rsidRDefault="00B624A5">
      <w:pPr>
        <w:spacing w:line="360" w:lineRule="auto"/>
        <w:ind w:left="567"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i/>
          <w:iCs/>
        </w:rPr>
        <w:t>Asiento contable de las erogaciones realizadas por las dependencias y entidades con relación a la asignación, modificación y ejercicio de los recursos presupuestarios que se les hayan autorizado.”</w:t>
      </w:r>
    </w:p>
    <w:p w14:paraId="2BE90C99" w14:textId="77777777" w:rsidR="00C545F6" w:rsidRPr="006076A7" w:rsidRDefault="00C545F6">
      <w:pPr>
        <w:spacing w:line="360" w:lineRule="auto"/>
        <w:ind w:left="567" w:right="-929"/>
        <w:jc w:val="both"/>
        <w:rPr>
          <w:rFonts w:ascii="Palatino Linotype" w:eastAsia="Palatino Linotype" w:hAnsi="Palatino Linotype" w:cs="Palatino Linotype"/>
          <w:i/>
          <w:iCs/>
        </w:rPr>
      </w:pPr>
    </w:p>
    <w:p w14:paraId="269519D5" w14:textId="77777777" w:rsidR="00C545F6" w:rsidRPr="006076A7" w:rsidRDefault="00B624A5">
      <w:pPr>
        <w:numPr>
          <w:ilvl w:val="0"/>
          <w:numId w:val="3"/>
        </w:numPr>
        <w:spacing w:line="360" w:lineRule="auto"/>
        <w:ind w:left="0" w:right="-929" w:firstLine="0"/>
        <w:jc w:val="both"/>
        <w:rPr>
          <w:rFonts w:ascii="Palatino Linotype" w:eastAsia="Palatino Linotype" w:hAnsi="Palatino Linotype" w:cs="Palatino Linotype"/>
          <w:color w:val="000000"/>
        </w:rPr>
      </w:pPr>
      <w:r w:rsidRPr="006076A7">
        <w:rPr>
          <w:rFonts w:ascii="Palatino Linotype" w:eastAsia="Palatino Linotype" w:hAnsi="Palatino Linotype" w:cs="Palatino Linotype"/>
          <w:color w:val="000000"/>
        </w:rPr>
        <w:lastRenderedPageBreak/>
        <w:t xml:space="preserve">Por otra parte, se establece que el sistema de contabilidad sobre base acumulativa </w:t>
      </w:r>
      <w:r w:rsidRPr="006076A7">
        <w:rPr>
          <w:rFonts w:ascii="Palatino Linotype" w:eastAsia="Palatino Linotype" w:hAnsi="Palatino Linotype" w:cs="Palatino Linotype"/>
        </w:rPr>
        <w:t>total</w:t>
      </w:r>
      <w:r w:rsidRPr="006076A7">
        <w:rPr>
          <w:rFonts w:ascii="Palatino Linotype" w:eastAsia="Palatino Linotype" w:hAnsi="Palatino Linotype" w:cs="Palatino Linotype"/>
          <w:color w:val="000000"/>
        </w:rPr>
        <w:t xml:space="preserve"> </w:t>
      </w:r>
      <w:r w:rsidRPr="006076A7">
        <w:rPr>
          <w:rFonts w:ascii="Palatino Linotype" w:eastAsia="Palatino Linotype" w:hAnsi="Palatino Linotype" w:cs="Palatino Linotype"/>
        </w:rPr>
        <w:t>s</w:t>
      </w:r>
      <w:r w:rsidRPr="006076A7">
        <w:rPr>
          <w:rFonts w:ascii="Palatino Linotype" w:eastAsia="Palatino Linotype" w:hAnsi="Palatino Linotype" w:cs="Palatino Linotype"/>
          <w:color w:val="000000"/>
        </w:rPr>
        <w:t xml:space="preserve">e </w:t>
      </w:r>
      <w:r w:rsidRPr="006076A7">
        <w:rPr>
          <w:rFonts w:ascii="Palatino Linotype" w:eastAsia="Palatino Linotype" w:hAnsi="Palatino Linotype" w:cs="Palatino Linotype"/>
        </w:rPr>
        <w:t>sustentará</w:t>
      </w:r>
      <w:r w:rsidRPr="006076A7">
        <w:rPr>
          <w:rFonts w:ascii="Palatino Linotype" w:eastAsia="Palatino Linotype" w:hAnsi="Palatino Linotype" w:cs="Palatino Linotype"/>
          <w:color w:val="000000"/>
        </w:rPr>
        <w:t xml:space="preserve"> en los principios de contabilidad gubernamental, igualmente señalan que los sujetos obligados deben contar con una unidad administrativa que registra contablemente el efecto patrimonial y presupuestal de las operaciones financieras que realizan, en el momento en que ocurran, con base en el sistema y políticas de registro establecidas.</w:t>
      </w:r>
    </w:p>
    <w:p w14:paraId="410CC876" w14:textId="77777777" w:rsidR="00C545F6" w:rsidRPr="006076A7" w:rsidRDefault="00C545F6">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14:paraId="227326AB" w14:textId="77777777" w:rsidR="00C545F6" w:rsidRPr="006076A7" w:rsidRDefault="00B624A5">
      <w:pPr>
        <w:numPr>
          <w:ilvl w:val="0"/>
          <w:numId w:val="3"/>
        </w:numPr>
        <w:spacing w:line="360" w:lineRule="auto"/>
        <w:ind w:left="0" w:right="-929" w:firstLine="0"/>
        <w:jc w:val="both"/>
        <w:rPr>
          <w:rFonts w:ascii="Palatino Linotype" w:eastAsia="Palatino Linotype" w:hAnsi="Palatino Linotype" w:cs="Palatino Linotype"/>
        </w:rPr>
      </w:pPr>
      <w:r w:rsidRPr="006076A7">
        <w:rPr>
          <w:rFonts w:ascii="Palatino Linotype" w:eastAsia="Palatino Linotype" w:hAnsi="Palatino Linotype" w:cs="Palatino Linotype"/>
          <w:color w:val="000000"/>
        </w:rPr>
        <w:t>Correlativo</w:t>
      </w:r>
      <w:r w:rsidRPr="006076A7">
        <w:rPr>
          <w:rFonts w:ascii="Palatino Linotype" w:eastAsia="Palatino Linotype" w:hAnsi="Palatino Linotype" w:cs="Palatino Linotype"/>
        </w:rPr>
        <w:t xml:space="preserve"> a lo anterior, es preciso referir una definición de </w:t>
      </w:r>
      <w:r w:rsidRPr="006076A7">
        <w:rPr>
          <w:rFonts w:ascii="Palatino Linotype" w:eastAsia="Palatino Linotype" w:hAnsi="Palatino Linotype" w:cs="Palatino Linotype"/>
          <w:i/>
          <w:iCs/>
        </w:rPr>
        <w:t>póliza contable</w:t>
      </w:r>
      <w:r w:rsidRPr="006076A7">
        <w:rPr>
          <w:rFonts w:ascii="Palatino Linotype" w:eastAsia="Palatino Linotype" w:hAnsi="Palatino Linotype" w:cs="Palatino Linotype"/>
        </w:rPr>
        <w:t xml:space="preserve">, la cual, </w:t>
      </w:r>
      <w:r w:rsidRPr="006076A7">
        <w:rPr>
          <w:rFonts w:ascii="Palatino Linotype" w:eastAsia="Palatino Linotype" w:hAnsi="Palatino Linotype" w:cs="Palatino Linotype"/>
          <w:color w:val="000000"/>
        </w:rPr>
        <w:t>primeramente</w:t>
      </w:r>
      <w:r w:rsidRPr="006076A7">
        <w:rPr>
          <w:rFonts w:ascii="Palatino Linotype" w:eastAsia="Palatino Linotype" w:hAnsi="Palatino Linotype" w:cs="Palatino Linotype"/>
        </w:rPr>
        <w:t xml:space="preserve">, no está definida en el Código Financiero del Estado de México y Municipios; no obstante, los ya mencionados Glosarios la definen como: </w:t>
      </w:r>
    </w:p>
    <w:p w14:paraId="369F32C2" w14:textId="77777777" w:rsidR="00C545F6" w:rsidRPr="006076A7" w:rsidRDefault="00B624A5">
      <w:pPr>
        <w:spacing w:line="360" w:lineRule="auto"/>
        <w:ind w:left="567" w:right="-929"/>
        <w:jc w:val="both"/>
        <w:rPr>
          <w:rFonts w:ascii="Palatino Linotype" w:eastAsia="Palatino Linotype" w:hAnsi="Palatino Linotype" w:cs="Palatino Linotype"/>
          <w:b/>
          <w:bCs/>
          <w:i/>
          <w:iCs/>
        </w:rPr>
      </w:pPr>
      <w:r w:rsidRPr="006076A7">
        <w:rPr>
          <w:rFonts w:ascii="Palatino Linotype" w:eastAsia="Palatino Linotype" w:hAnsi="Palatino Linotype" w:cs="Palatino Linotype"/>
          <w:i/>
          <w:iCs/>
        </w:rPr>
        <w:t>“</w:t>
      </w:r>
      <w:r w:rsidRPr="006076A7">
        <w:rPr>
          <w:rFonts w:ascii="Palatino Linotype" w:eastAsia="Palatino Linotype" w:hAnsi="Palatino Linotype" w:cs="Palatino Linotype"/>
          <w:b/>
          <w:bCs/>
          <w:i/>
          <w:iCs/>
        </w:rPr>
        <w:t>PÓLIZA CONTABLE</w:t>
      </w:r>
    </w:p>
    <w:p w14:paraId="146AFEA4" w14:textId="77777777" w:rsidR="00C545F6" w:rsidRPr="006076A7" w:rsidRDefault="00B624A5">
      <w:pPr>
        <w:spacing w:line="360" w:lineRule="auto"/>
        <w:ind w:left="567"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i/>
          <w:iCs/>
        </w:rPr>
        <w:t xml:space="preserve">Documento en el cual se asientan en forma individual todas y cada una de las operaciones desarrolladas por una institución, así como la información necesaria para la identificación de dichas operaciones.” </w:t>
      </w:r>
    </w:p>
    <w:p w14:paraId="67B79BF6" w14:textId="77777777" w:rsidR="00C545F6" w:rsidRPr="006076A7" w:rsidRDefault="00C545F6">
      <w:pPr>
        <w:spacing w:line="360" w:lineRule="auto"/>
        <w:ind w:left="567" w:right="-929"/>
        <w:jc w:val="both"/>
        <w:rPr>
          <w:rFonts w:ascii="Palatino Linotype" w:eastAsia="Palatino Linotype" w:hAnsi="Palatino Linotype" w:cs="Palatino Linotype"/>
          <w:i/>
          <w:iCs/>
        </w:rPr>
      </w:pPr>
    </w:p>
    <w:p w14:paraId="09E72A07" w14:textId="77777777" w:rsidR="00C545F6" w:rsidRPr="006076A7" w:rsidRDefault="00B624A5">
      <w:pPr>
        <w:numPr>
          <w:ilvl w:val="0"/>
          <w:numId w:val="3"/>
        </w:numPr>
        <w:spacing w:line="360" w:lineRule="auto"/>
        <w:ind w:left="0" w:right="-929" w:firstLine="0"/>
        <w:jc w:val="both"/>
        <w:rPr>
          <w:rFonts w:ascii="Palatino Linotype" w:eastAsia="Palatino Linotype" w:hAnsi="Palatino Linotype" w:cs="Palatino Linotype"/>
        </w:rPr>
      </w:pPr>
      <w:r w:rsidRPr="006076A7">
        <w:rPr>
          <w:rFonts w:ascii="Palatino Linotype" w:eastAsia="Palatino Linotype" w:hAnsi="Palatino Linotype" w:cs="Palatino Linotype"/>
        </w:rPr>
        <w:t xml:space="preserve">Así, se advierte que la </w:t>
      </w:r>
      <w:r w:rsidRPr="006076A7">
        <w:rPr>
          <w:rFonts w:ascii="Palatino Linotype" w:eastAsia="Palatino Linotype" w:hAnsi="Palatino Linotype" w:cs="Palatino Linotype"/>
          <w:i/>
          <w:iCs/>
        </w:rPr>
        <w:t>póliza contable</w:t>
      </w:r>
      <w:r w:rsidRPr="006076A7">
        <w:rPr>
          <w:rFonts w:ascii="Palatino Linotype" w:eastAsia="Palatino Linotype" w:hAnsi="Palatino Linotype" w:cs="Palatino Linotype"/>
        </w:rPr>
        <w:t xml:space="preserve"> constituye un registro contable y presupuestal con el </w:t>
      </w:r>
      <w:r w:rsidRPr="006076A7">
        <w:rPr>
          <w:rFonts w:ascii="Palatino Linotype" w:eastAsia="Palatino Linotype" w:hAnsi="Palatino Linotype" w:cs="Palatino Linotype"/>
          <w:color w:val="000000"/>
        </w:rPr>
        <w:t>que</w:t>
      </w:r>
      <w:r w:rsidRPr="006076A7">
        <w:rPr>
          <w:rFonts w:ascii="Palatino Linotype" w:eastAsia="Palatino Linotype" w:hAnsi="Palatino Linotype" w:cs="Palatino Linotype"/>
        </w:rPr>
        <w:t xml:space="preserve"> cuentan los Municipios para el registro de sus operaciones relacionadas con sus ingresos y egresos y se anexan los documentos o comprobantes que justifiquen las anotaciones y cantidades en ellas registradas, lo que permite la identificación plena de dichas operaciones.</w:t>
      </w:r>
    </w:p>
    <w:p w14:paraId="0443F31D" w14:textId="77777777" w:rsidR="00C545F6" w:rsidRPr="006076A7" w:rsidRDefault="00C545F6">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14:paraId="3DD24539" w14:textId="77777777" w:rsidR="00C545F6" w:rsidRPr="006076A7" w:rsidRDefault="00B624A5">
      <w:pPr>
        <w:numPr>
          <w:ilvl w:val="0"/>
          <w:numId w:val="3"/>
        </w:numPr>
        <w:spacing w:line="360" w:lineRule="auto"/>
        <w:ind w:left="0" w:right="-929" w:firstLine="0"/>
        <w:jc w:val="both"/>
        <w:rPr>
          <w:rFonts w:ascii="Palatino Linotype" w:eastAsia="Palatino Linotype" w:hAnsi="Palatino Linotype" w:cs="Palatino Linotype"/>
        </w:rPr>
      </w:pPr>
      <w:r w:rsidRPr="006076A7">
        <w:rPr>
          <w:rFonts w:ascii="Palatino Linotype" w:eastAsia="Palatino Linotype" w:hAnsi="Palatino Linotype" w:cs="Palatino Linotype"/>
          <w:color w:val="000000"/>
        </w:rPr>
        <w:t xml:space="preserve">De tal forma que, la </w:t>
      </w:r>
      <w:r w:rsidRPr="006076A7">
        <w:rPr>
          <w:rFonts w:ascii="Palatino Linotype" w:eastAsia="Palatino Linotype" w:hAnsi="Palatino Linotype" w:cs="Palatino Linotype"/>
        </w:rPr>
        <w:t>información</w:t>
      </w:r>
      <w:r w:rsidRPr="006076A7">
        <w:rPr>
          <w:rFonts w:ascii="Palatino Linotype" w:eastAsia="Palatino Linotype" w:hAnsi="Palatino Linotype" w:cs="Palatino Linotype"/>
          <w:color w:val="000000"/>
        </w:rPr>
        <w:t xml:space="preserve"> requerida en la solicitud de información de mérito, ciertamente deberá ser en versión pública, en términos del artículo 143 de la Ley de Transparencia y Acceso a la Información Pública del Estado de México y Municipios, debiendo </w:t>
      </w:r>
      <w:r w:rsidRPr="006076A7">
        <w:rPr>
          <w:rFonts w:ascii="Palatino Linotype" w:eastAsia="Palatino Linotype" w:hAnsi="Palatino Linotype" w:cs="Palatino Linotype"/>
        </w:rPr>
        <w:t>omitir, eliminar o suprimir la</w:t>
      </w:r>
      <w:r w:rsidRPr="006076A7">
        <w:rPr>
          <w:rFonts w:ascii="Palatino Linotype" w:eastAsia="Palatino Linotype" w:hAnsi="Palatino Linotype" w:cs="Palatino Linotype"/>
          <w:color w:val="000000"/>
        </w:rPr>
        <w:t xml:space="preserve"> información confidencial</w:t>
      </w:r>
      <w:r w:rsidRPr="006076A7">
        <w:rPr>
          <w:rFonts w:ascii="Palatino Linotype" w:eastAsia="Palatino Linotype" w:hAnsi="Palatino Linotype" w:cs="Palatino Linotype"/>
        </w:rPr>
        <w:t xml:space="preserve">. En ese sentido, sólo podrán </w:t>
      </w:r>
      <w:r w:rsidRPr="006076A7">
        <w:rPr>
          <w:rFonts w:ascii="Palatino Linotype" w:eastAsia="Palatino Linotype" w:hAnsi="Palatino Linotype" w:cs="Palatino Linotype"/>
        </w:rPr>
        <w:lastRenderedPageBreak/>
        <w:t xml:space="preserve">ser testados los datos que actualicen las hipótesis normativas previstas en dicho precepto legal, y deberá procederse a su clasificación mediante las formalidades de Ley, es decir, que el Comité de Transparencia del </w:t>
      </w:r>
      <w:r w:rsidRPr="006076A7">
        <w:rPr>
          <w:rFonts w:ascii="Palatino Linotype" w:eastAsia="Palatino Linotype" w:hAnsi="Palatino Linotype" w:cs="Palatino Linotype"/>
          <w:b/>
          <w:bCs/>
        </w:rPr>
        <w:t>SUJETO OBLIGADO</w:t>
      </w:r>
      <w:r w:rsidRPr="006076A7">
        <w:rPr>
          <w:rFonts w:ascii="Palatino Linotype" w:eastAsia="Palatino Linotype" w:hAnsi="Palatino Linotype" w:cs="Palatino Linotype"/>
        </w:rPr>
        <w:t xml:space="preserve"> emita el Acuerdo de Clasificación correspondiente debidamente fundado y motivado.</w:t>
      </w:r>
    </w:p>
    <w:p w14:paraId="46B6838F" w14:textId="77777777" w:rsidR="00C545F6" w:rsidRPr="006076A7" w:rsidRDefault="00C545F6">
      <w:pPr>
        <w:pBdr>
          <w:top w:val="nil"/>
          <w:left w:val="nil"/>
          <w:bottom w:val="nil"/>
          <w:right w:val="nil"/>
          <w:between w:val="nil"/>
        </w:pBdr>
        <w:spacing w:line="360" w:lineRule="auto"/>
        <w:ind w:left="720" w:right="-929"/>
        <w:rPr>
          <w:rFonts w:ascii="Palatino Linotype" w:eastAsia="Palatino Linotype" w:hAnsi="Palatino Linotype" w:cs="Palatino Linotype"/>
          <w:color w:val="000000"/>
        </w:rPr>
      </w:pPr>
    </w:p>
    <w:p w14:paraId="62E1D558" w14:textId="77777777" w:rsidR="00C545F6" w:rsidRPr="006076A7" w:rsidRDefault="00B624A5">
      <w:pPr>
        <w:numPr>
          <w:ilvl w:val="0"/>
          <w:numId w:val="3"/>
        </w:numPr>
        <w:spacing w:line="360" w:lineRule="auto"/>
        <w:ind w:left="0" w:right="-929" w:firstLine="0"/>
        <w:jc w:val="both"/>
        <w:rPr>
          <w:rFonts w:ascii="Palatino Linotype" w:eastAsia="Palatino Linotype" w:hAnsi="Palatino Linotype" w:cs="Palatino Linotype"/>
        </w:rPr>
      </w:pPr>
      <w:r w:rsidRPr="006076A7">
        <w:rPr>
          <w:rFonts w:ascii="Palatino Linotype" w:eastAsia="Palatino Linotype" w:hAnsi="Palatino Linotype" w:cs="Palatino Linotype"/>
        </w:rPr>
        <w:t>En esa tesitura, por lo que respecta a los RFC de personas físicas o morales proveedores, de acuerdo al criterio SO/004/2021, emitido por el Instituto Nacional de Transparencia, Acceso a la Información y Protección de Datos Personales, que establece lo siguiente:</w:t>
      </w:r>
    </w:p>
    <w:p w14:paraId="0CC28D5A" w14:textId="77777777" w:rsidR="00C545F6" w:rsidRPr="006076A7" w:rsidRDefault="00B624A5">
      <w:pPr>
        <w:spacing w:line="360" w:lineRule="auto"/>
        <w:ind w:left="850"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b/>
          <w:bCs/>
          <w:i/>
          <w:iCs/>
        </w:rPr>
        <w:t>“Registro Federal de Contribuyentes (RFC) de personas físicas proveedores o contratistas</w:t>
      </w:r>
      <w:r w:rsidRPr="006076A7">
        <w:rPr>
          <w:rFonts w:ascii="Palatino Linotype" w:eastAsia="Palatino Linotype" w:hAnsi="Palatino Linotype" w:cs="Palatino Linotype"/>
          <w:b/>
          <w:bCs/>
          <w:i/>
          <w:iCs/>
          <w:u w:val="single"/>
        </w:rPr>
        <w:t>.</w:t>
      </w:r>
      <w:r w:rsidRPr="006076A7">
        <w:rPr>
          <w:rFonts w:ascii="Palatino Linotype" w:eastAsia="Palatino Linotype" w:hAnsi="Palatino Linotype" w:cs="Palatino Linotype"/>
          <w:i/>
          <w:iCs/>
          <w:u w:val="single"/>
        </w:rPr>
        <w:t xml:space="preserve"> </w:t>
      </w:r>
      <w:r w:rsidRPr="006076A7">
        <w:rPr>
          <w:rFonts w:ascii="Palatino Linotype" w:eastAsia="Palatino Linotype" w:hAnsi="Palatino Linotype" w:cs="Palatino Linotype"/>
          <w:b/>
          <w:bCs/>
          <w:i/>
          <w:iCs/>
          <w:u w:val="single"/>
        </w:rPr>
        <w:t>El RFC de contratistas o proveedores de sujetos obligados debe ser público</w:t>
      </w:r>
      <w:r w:rsidRPr="006076A7">
        <w:rPr>
          <w:rFonts w:ascii="Palatino Linotype" w:eastAsia="Palatino Linotype" w:hAnsi="Palatino Linotype" w:cs="Palatino Linotype"/>
          <w:b/>
          <w:bCs/>
          <w:i/>
          <w:iCs/>
        </w:rPr>
        <w:t>,</w:t>
      </w:r>
      <w:r w:rsidRPr="006076A7">
        <w:rPr>
          <w:rFonts w:ascii="Palatino Linotype" w:eastAsia="Palatino Linotype" w:hAnsi="Palatino Linotype" w:cs="Palatino Linotype"/>
          <w:i/>
          <w:iCs/>
        </w:rPr>
        <w:t xml:space="preserve"> ya que, al tratarse de personas relacionadas con contrataciones públicas, su difusión favorece la transparencia con la que deben administrarse los recursos públicos, en términos del artículo 134 de la Constitución Política de los Estados Unidos Mexicanos.”</w:t>
      </w:r>
    </w:p>
    <w:p w14:paraId="1EB57D41" w14:textId="77777777" w:rsidR="00C545F6" w:rsidRPr="006076A7" w:rsidRDefault="00C545F6">
      <w:pPr>
        <w:spacing w:line="360" w:lineRule="auto"/>
        <w:ind w:left="850" w:right="-929"/>
        <w:jc w:val="both"/>
        <w:rPr>
          <w:rFonts w:ascii="Palatino Linotype" w:eastAsia="Palatino Linotype" w:hAnsi="Palatino Linotype" w:cs="Palatino Linotype"/>
          <w:i/>
          <w:iCs/>
        </w:rPr>
      </w:pPr>
    </w:p>
    <w:p w14:paraId="3392EBFF" w14:textId="77777777" w:rsidR="00C545F6" w:rsidRPr="006076A7" w:rsidRDefault="00B624A5">
      <w:pPr>
        <w:numPr>
          <w:ilvl w:val="0"/>
          <w:numId w:val="3"/>
        </w:numPr>
        <w:spacing w:line="360" w:lineRule="auto"/>
        <w:ind w:left="0" w:right="-929" w:firstLine="0"/>
        <w:jc w:val="both"/>
        <w:rPr>
          <w:rFonts w:ascii="Palatino Linotype" w:eastAsia="Palatino Linotype" w:hAnsi="Palatino Linotype" w:cs="Palatino Linotype"/>
        </w:rPr>
      </w:pPr>
      <w:r w:rsidRPr="006076A7">
        <w:rPr>
          <w:rFonts w:ascii="Palatino Linotype" w:eastAsia="Palatino Linotype" w:hAnsi="Palatino Linotype" w:cs="Palatino Linotype"/>
        </w:rPr>
        <w:t>Por cuanto hace a las cuentas bancarias y claves interbancarias es de precisar que dicha información es confidencial únicamente; por lo que, concierne a los particulares, y no así para los sujetos obligados que prevé el artículo 23, de la Ley de Transparencia y Acceso a la Información Pública del Estado de México y Municipios,</w:t>
      </w:r>
      <w:r w:rsidRPr="006076A7">
        <w:rPr>
          <w:rFonts w:ascii="Palatino Linotype" w:eastAsia="Palatino Linotype" w:hAnsi="Palatino Linotype" w:cs="Palatino Linotype"/>
          <w:b/>
          <w:bCs/>
        </w:rPr>
        <w:t xml:space="preserve"> </w:t>
      </w:r>
      <w:r w:rsidRPr="006076A7">
        <w:rPr>
          <w:rFonts w:ascii="Palatino Linotype" w:eastAsia="Palatino Linotype" w:hAnsi="Palatino Linotype" w:cs="Palatino Linotype"/>
        </w:rPr>
        <w:t>toda vez que su publicidad abona a la transparencia y a la rendición de cuentas.</w:t>
      </w:r>
    </w:p>
    <w:p w14:paraId="2674771F" w14:textId="77777777" w:rsidR="00C545F6" w:rsidRPr="006076A7" w:rsidRDefault="00C545F6">
      <w:pPr>
        <w:spacing w:line="360" w:lineRule="auto"/>
        <w:ind w:right="-929"/>
        <w:jc w:val="both"/>
        <w:rPr>
          <w:rFonts w:ascii="Palatino Linotype" w:eastAsia="Palatino Linotype" w:hAnsi="Palatino Linotype" w:cs="Palatino Linotype"/>
        </w:rPr>
      </w:pPr>
    </w:p>
    <w:p w14:paraId="5D0A9FCD" w14:textId="77777777" w:rsidR="00C545F6" w:rsidRPr="006076A7" w:rsidRDefault="00B624A5">
      <w:pPr>
        <w:numPr>
          <w:ilvl w:val="0"/>
          <w:numId w:val="3"/>
        </w:numPr>
        <w:spacing w:line="360" w:lineRule="auto"/>
        <w:ind w:left="0" w:right="-929" w:firstLine="0"/>
        <w:jc w:val="both"/>
        <w:rPr>
          <w:rFonts w:ascii="Palatino Linotype" w:eastAsia="Palatino Linotype" w:hAnsi="Palatino Linotype" w:cs="Palatino Linotype"/>
        </w:rPr>
      </w:pPr>
      <w:r w:rsidRPr="006076A7">
        <w:rPr>
          <w:rFonts w:ascii="Palatino Linotype" w:eastAsia="Palatino Linotype" w:hAnsi="Palatino Linotype" w:cs="Palatino Linotype"/>
        </w:rPr>
        <w:t>En este sentido, es importante precisar que de acuerdo al C</w:t>
      </w:r>
      <w:r w:rsidRPr="006076A7">
        <w:rPr>
          <w:rFonts w:ascii="Palatino Linotype" w:eastAsia="Palatino Linotype" w:hAnsi="Palatino Linotype" w:cs="Palatino Linotype"/>
          <w:b/>
          <w:bCs/>
        </w:rPr>
        <w:t>riterio 11/17</w:t>
      </w:r>
      <w:r w:rsidRPr="006076A7">
        <w:rPr>
          <w:rFonts w:ascii="Palatino Linotype" w:eastAsia="Palatino Linotype" w:hAnsi="Palatino Linotype" w:cs="Palatino Linotype"/>
        </w:rPr>
        <w:t xml:space="preserve"> emitido por el entonces INAI, las cuentas bancarias y/o clave interbancaria de los Sujetos Obligados es información de carácter público. </w:t>
      </w:r>
    </w:p>
    <w:p w14:paraId="7BA15682" w14:textId="77777777" w:rsidR="00C545F6" w:rsidRPr="006076A7" w:rsidRDefault="00B624A5">
      <w:pPr>
        <w:tabs>
          <w:tab w:val="left" w:pos="8222"/>
        </w:tabs>
        <w:spacing w:line="360" w:lineRule="auto"/>
        <w:ind w:left="851" w:right="-929"/>
        <w:jc w:val="center"/>
        <w:rPr>
          <w:rFonts w:ascii="Palatino Linotype" w:eastAsia="Palatino Linotype" w:hAnsi="Palatino Linotype" w:cs="Palatino Linotype"/>
          <w:b/>
          <w:bCs/>
        </w:rPr>
      </w:pPr>
      <w:r w:rsidRPr="006076A7">
        <w:rPr>
          <w:rFonts w:ascii="Palatino Linotype" w:eastAsia="Palatino Linotype" w:hAnsi="Palatino Linotype" w:cs="Palatino Linotype"/>
        </w:rPr>
        <w:lastRenderedPageBreak/>
        <w:t>“</w:t>
      </w:r>
      <w:r w:rsidRPr="006076A7">
        <w:rPr>
          <w:rFonts w:ascii="Palatino Linotype" w:eastAsia="Palatino Linotype" w:hAnsi="Palatino Linotype" w:cs="Palatino Linotype"/>
          <w:b/>
          <w:bCs/>
        </w:rPr>
        <w:t>Criterio 11/17</w:t>
      </w:r>
    </w:p>
    <w:p w14:paraId="7780ADA9" w14:textId="77777777" w:rsidR="00C545F6" w:rsidRPr="006076A7" w:rsidRDefault="00B624A5">
      <w:pPr>
        <w:tabs>
          <w:tab w:val="left" w:pos="8222"/>
        </w:tabs>
        <w:spacing w:line="360" w:lineRule="auto"/>
        <w:ind w:left="851"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b/>
          <w:bCs/>
          <w:i/>
          <w:iCs/>
        </w:rPr>
        <w:t>Cuentas bancarias y/o CLABE interbancaria de sujetos obligados que reciben y/o transfieren recursos públicos, son información pública.</w:t>
      </w:r>
      <w:r w:rsidRPr="006076A7">
        <w:rPr>
          <w:rFonts w:ascii="Palatino Linotype" w:eastAsia="Palatino Linotype" w:hAnsi="Palatino Linotype" w:cs="Palatino Linotype"/>
          <w:i/>
          <w:iCs/>
        </w:rPr>
        <w:t xml:space="preserve"> La difusión de las cuentas bancarias y claves interbancarias pertenecientes a un sujeto obligado favorece la rendición de cuentas al transparentar la forma en que se administran los recursos públicos, razón por la cual no pueden considerarse como información clasificada. </w:t>
      </w:r>
    </w:p>
    <w:p w14:paraId="1E933717" w14:textId="77777777" w:rsidR="00C545F6" w:rsidRPr="006076A7" w:rsidRDefault="00C545F6">
      <w:pPr>
        <w:tabs>
          <w:tab w:val="left" w:pos="8222"/>
        </w:tabs>
        <w:spacing w:line="360" w:lineRule="auto"/>
        <w:ind w:left="851" w:right="-929"/>
        <w:jc w:val="both"/>
        <w:rPr>
          <w:rFonts w:ascii="Palatino Linotype" w:eastAsia="Palatino Linotype" w:hAnsi="Palatino Linotype" w:cs="Palatino Linotype"/>
          <w:i/>
          <w:iCs/>
        </w:rPr>
      </w:pPr>
    </w:p>
    <w:p w14:paraId="10B5293A" w14:textId="77777777" w:rsidR="00C545F6" w:rsidRPr="006076A7" w:rsidRDefault="00B624A5">
      <w:pPr>
        <w:numPr>
          <w:ilvl w:val="0"/>
          <w:numId w:val="3"/>
        </w:numPr>
        <w:spacing w:line="360" w:lineRule="auto"/>
        <w:ind w:left="0" w:right="-929" w:firstLine="0"/>
        <w:jc w:val="both"/>
        <w:rPr>
          <w:rFonts w:ascii="Palatino Linotype" w:eastAsia="Palatino Linotype" w:hAnsi="Palatino Linotype" w:cs="Palatino Linotype"/>
        </w:rPr>
      </w:pPr>
      <w:r w:rsidRPr="006076A7">
        <w:rPr>
          <w:rFonts w:ascii="Palatino Linotype" w:eastAsia="Palatino Linotype" w:hAnsi="Palatino Linotype" w:cs="Palatino Linotype"/>
        </w:rPr>
        <w:t xml:space="preserve">Caso contrario a los particulares, como lo refiere el </w:t>
      </w:r>
      <w:r w:rsidRPr="006076A7">
        <w:rPr>
          <w:rFonts w:ascii="Palatino Linotype" w:eastAsia="Palatino Linotype" w:hAnsi="Palatino Linotype" w:cs="Palatino Linotype"/>
          <w:b/>
          <w:bCs/>
        </w:rPr>
        <w:t>Criterio 10/17</w:t>
      </w:r>
      <w:r w:rsidRPr="006076A7">
        <w:rPr>
          <w:rFonts w:ascii="Palatino Linotype" w:eastAsia="Palatino Linotype" w:hAnsi="Palatino Linotype" w:cs="Palatino Linotype"/>
        </w:rPr>
        <w:t xml:space="preserve"> emitido por el entonces INAI, que es del tenor literal siguiente:</w:t>
      </w:r>
    </w:p>
    <w:p w14:paraId="10FB4E92" w14:textId="77777777" w:rsidR="00C545F6" w:rsidRPr="006076A7" w:rsidRDefault="00B624A5">
      <w:pPr>
        <w:spacing w:line="360" w:lineRule="auto"/>
        <w:ind w:left="851"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b/>
          <w:bCs/>
          <w:i/>
          <w:iCs/>
        </w:rPr>
        <w:t>Cuentas bancarias y/o CLABE interbancaria de personas físicas y morales privadas. El número de cuenta bancaria y/o CLABE interbancaria de particulares es información confidencial</w:t>
      </w:r>
      <w:r w:rsidRPr="006076A7">
        <w:rPr>
          <w:rFonts w:ascii="Palatino Linotype" w:eastAsia="Palatino Linotype" w:hAnsi="Palatino Linotype" w:cs="Palatino Linotype"/>
          <w:i/>
          <w:iCs/>
        </w:rPr>
        <w:t xml:space="preserve">,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 </w:t>
      </w:r>
    </w:p>
    <w:p w14:paraId="1401E8DF" w14:textId="77777777" w:rsidR="00C545F6" w:rsidRPr="006076A7" w:rsidRDefault="00C545F6">
      <w:pPr>
        <w:spacing w:line="360" w:lineRule="auto"/>
        <w:ind w:left="851" w:right="-929"/>
        <w:jc w:val="both"/>
        <w:rPr>
          <w:rFonts w:ascii="Palatino Linotype" w:eastAsia="Palatino Linotype" w:hAnsi="Palatino Linotype" w:cs="Palatino Linotype"/>
          <w:i/>
          <w:iCs/>
        </w:rPr>
      </w:pPr>
    </w:p>
    <w:p w14:paraId="284F5E79" w14:textId="77777777" w:rsidR="00C545F6" w:rsidRPr="006076A7" w:rsidRDefault="00B624A5">
      <w:pPr>
        <w:numPr>
          <w:ilvl w:val="0"/>
          <w:numId w:val="3"/>
        </w:numPr>
        <w:spacing w:line="360" w:lineRule="auto"/>
        <w:ind w:left="0" w:right="-929" w:firstLine="0"/>
        <w:jc w:val="both"/>
        <w:rPr>
          <w:rFonts w:ascii="Palatino Linotype" w:eastAsia="Palatino Linotype" w:hAnsi="Palatino Linotype" w:cs="Palatino Linotype"/>
        </w:rPr>
      </w:pPr>
      <w:r w:rsidRPr="006076A7">
        <w:rPr>
          <w:rFonts w:ascii="Palatino Linotype" w:eastAsia="Palatino Linotype" w:hAnsi="Palatino Linotype" w:cs="Palatino Linotype"/>
        </w:rPr>
        <w:t xml:space="preserve">En ese sentido, referente al QR, </w:t>
      </w:r>
      <w:r w:rsidRPr="006076A7">
        <w:rPr>
          <w:rFonts w:ascii="Palatino Linotype" w:eastAsia="Palatino Linotype" w:hAnsi="Palatino Linotype" w:cs="Palatino Linotype"/>
          <w:b/>
          <w:bCs/>
        </w:rPr>
        <w:t xml:space="preserve">folio fiscal, número de serie del certificado del emisor, sello digital Comprobante Fiscal Digital por Internet (CFDI), sello digital del SAT, Cadena Original del SAT, número de serie del certificado del SAT, </w:t>
      </w:r>
      <w:r w:rsidRPr="006076A7">
        <w:rPr>
          <w:rFonts w:ascii="Palatino Linotype" w:eastAsia="Palatino Linotype" w:hAnsi="Palatino Linotype" w:cs="Palatino Linotype"/>
        </w:rPr>
        <w:t xml:space="preserve">es preciso señalar que si de la secuencia de números y letras, se advierte el Registro Federal de Contribuyentes o una Clave Única de Registro de Población, que pueda hacer identificable al titular del dato personal, no puede tenerse como dato personal y por ende es información considerada </w:t>
      </w:r>
      <w:r w:rsidRPr="006076A7">
        <w:rPr>
          <w:rFonts w:ascii="Palatino Linotype" w:eastAsia="Palatino Linotype" w:hAnsi="Palatino Linotype" w:cs="Palatino Linotype"/>
        </w:rPr>
        <w:lastRenderedPageBreak/>
        <w:t>confidencial. Por el contrario, debe considerarse que esta información incluida en los documentos fiscales, constituyen un elemento adicional que permite a cualquier persona verificar la legitimidad del documento, por sí solos no contienen datos personales susceptibles de clasificación, ya que no hacen identificable al titular, pues dichos datos sólo son de utilidad de manera directa a la Secretaría de Hacienda y Crédito Público y si bien, en un momento dichas cadenas derivan información personal de los contribuyentes, está se encuentra encriptada como se verá a continuación.</w:t>
      </w:r>
    </w:p>
    <w:p w14:paraId="07E808EC" w14:textId="77777777" w:rsidR="00C545F6" w:rsidRPr="006076A7" w:rsidRDefault="00C545F6">
      <w:pPr>
        <w:spacing w:line="360" w:lineRule="auto"/>
        <w:ind w:right="-929"/>
        <w:jc w:val="both"/>
        <w:rPr>
          <w:rFonts w:ascii="Palatino Linotype" w:eastAsia="Palatino Linotype" w:hAnsi="Palatino Linotype" w:cs="Palatino Linotype"/>
        </w:rPr>
      </w:pPr>
    </w:p>
    <w:p w14:paraId="1BED5E59" w14:textId="77777777" w:rsidR="00C545F6" w:rsidRPr="006076A7" w:rsidRDefault="00B624A5">
      <w:pPr>
        <w:spacing w:line="360" w:lineRule="auto"/>
        <w:ind w:left="720" w:right="-929"/>
        <w:jc w:val="both"/>
        <w:rPr>
          <w:rFonts w:ascii="Palatino Linotype" w:eastAsia="Palatino Linotype" w:hAnsi="Palatino Linotype" w:cs="Palatino Linotype"/>
          <w:b/>
          <w:bCs/>
        </w:rPr>
      </w:pPr>
      <w:r w:rsidRPr="006076A7">
        <w:rPr>
          <w:rFonts w:ascii="Palatino Linotype" w:eastAsia="Palatino Linotype" w:hAnsi="Palatino Linotype" w:cs="Palatino Linotype"/>
          <w:b/>
          <w:bCs/>
        </w:rPr>
        <w:t xml:space="preserve">• Código Bidimensional o QR. </w:t>
      </w:r>
    </w:p>
    <w:p w14:paraId="7C494156" w14:textId="77777777" w:rsidR="00C545F6" w:rsidRPr="006076A7" w:rsidRDefault="00B624A5">
      <w:pPr>
        <w:numPr>
          <w:ilvl w:val="0"/>
          <w:numId w:val="3"/>
        </w:numPr>
        <w:spacing w:line="360" w:lineRule="auto"/>
        <w:ind w:left="0" w:right="-929" w:firstLine="0"/>
        <w:jc w:val="both"/>
        <w:rPr>
          <w:rFonts w:ascii="Palatino Linotype" w:eastAsia="Palatino Linotype" w:hAnsi="Palatino Linotype" w:cs="Palatino Linotype"/>
        </w:rPr>
      </w:pPr>
      <w:r w:rsidRPr="006076A7">
        <w:rPr>
          <w:rFonts w:ascii="Palatino Linotype" w:eastAsia="Palatino Linotype" w:hAnsi="Palatino Linotype" w:cs="Palatino Linotype"/>
        </w:rPr>
        <w:t xml:space="preserve">En principio, resulta necesario señalar que los comprobantes fiscales digitales por Internet, deben de incluir un código bidimensional conforme al formato QR Code (Quick Response Code), el cual contiene el Registro Federal de Contribuyentes del receptor, del emisor, o de ambos; lo anterior, conforme al Anexo 20 de la Segunda Resolución de modificación a la Resolución Miscelánea Fiscal. Incluso con la captura de dicho código, a través de la aplicación móvil del Servicio de Administración Tributaria, permite el acceso al Registro Federal de Contribuyentes, como del Sujeto Obligado, como del proveedor, persona física o moral. </w:t>
      </w:r>
    </w:p>
    <w:p w14:paraId="215C8B9C" w14:textId="77777777" w:rsidR="00C545F6" w:rsidRPr="006076A7" w:rsidRDefault="00C545F6">
      <w:pPr>
        <w:spacing w:line="360" w:lineRule="auto"/>
        <w:ind w:right="-929"/>
        <w:jc w:val="both"/>
        <w:rPr>
          <w:rFonts w:ascii="Palatino Linotype" w:eastAsia="Palatino Linotype" w:hAnsi="Palatino Linotype" w:cs="Palatino Linotype"/>
        </w:rPr>
      </w:pPr>
    </w:p>
    <w:p w14:paraId="7664B3D0" w14:textId="77777777" w:rsidR="00C545F6" w:rsidRPr="006076A7" w:rsidRDefault="00B624A5">
      <w:pPr>
        <w:numPr>
          <w:ilvl w:val="0"/>
          <w:numId w:val="3"/>
        </w:numPr>
        <w:spacing w:line="360" w:lineRule="auto"/>
        <w:ind w:left="0" w:right="-929" w:firstLine="0"/>
        <w:jc w:val="both"/>
        <w:rPr>
          <w:rFonts w:ascii="Palatino Linotype" w:eastAsia="Palatino Linotype" w:hAnsi="Palatino Linotype" w:cs="Palatino Linotype"/>
        </w:rPr>
      </w:pPr>
      <w:r w:rsidRPr="006076A7">
        <w:rPr>
          <w:rFonts w:ascii="Palatino Linotype" w:eastAsia="Palatino Linotype" w:hAnsi="Palatino Linotype" w:cs="Palatino Linotype"/>
        </w:rPr>
        <w:t>En ese orden de ideas, toda vez que el código bidimensional sólo permite el acceso al Registro Federal de Contribuyentes del proveedor y del Sujeto Obligado, los cuales guardan la naturaleza pública, se considera que no se actualiza la causal de clasificación prevista en el artículo 143, fracción I de la Ley de la materia, toda vez que únicamente da cuenta de datos que como se analizó en párrafos anteriores, no son susceptibles a testar.</w:t>
      </w:r>
    </w:p>
    <w:p w14:paraId="10533218" w14:textId="77777777" w:rsidR="00C545F6" w:rsidRPr="006076A7" w:rsidRDefault="00C545F6">
      <w:pPr>
        <w:pBdr>
          <w:top w:val="nil"/>
          <w:left w:val="nil"/>
          <w:bottom w:val="nil"/>
          <w:right w:val="nil"/>
          <w:between w:val="nil"/>
        </w:pBdr>
        <w:spacing w:line="360" w:lineRule="auto"/>
        <w:ind w:left="720" w:right="-929"/>
        <w:rPr>
          <w:rFonts w:ascii="Palatino Linotype" w:eastAsia="Palatino Linotype" w:hAnsi="Palatino Linotype" w:cs="Palatino Linotype"/>
          <w:color w:val="000000"/>
        </w:rPr>
      </w:pPr>
    </w:p>
    <w:p w14:paraId="62B57C30" w14:textId="77777777" w:rsidR="00C545F6" w:rsidRPr="006076A7" w:rsidRDefault="00B624A5">
      <w:pPr>
        <w:numPr>
          <w:ilvl w:val="0"/>
          <w:numId w:val="6"/>
        </w:numPr>
        <w:spacing w:line="360" w:lineRule="auto"/>
        <w:ind w:right="-929"/>
        <w:jc w:val="both"/>
        <w:rPr>
          <w:rFonts w:ascii="Palatino Linotype" w:eastAsia="Palatino Linotype" w:hAnsi="Palatino Linotype" w:cs="Palatino Linotype"/>
          <w:b/>
          <w:bCs/>
        </w:rPr>
      </w:pPr>
      <w:r w:rsidRPr="006076A7">
        <w:rPr>
          <w:rFonts w:ascii="Palatino Linotype" w:eastAsia="Palatino Linotype" w:hAnsi="Palatino Linotype" w:cs="Palatino Linotype"/>
          <w:b/>
          <w:bCs/>
        </w:rPr>
        <w:lastRenderedPageBreak/>
        <w:t>Folio Fiscal</w:t>
      </w:r>
    </w:p>
    <w:p w14:paraId="676A237D" w14:textId="77777777" w:rsidR="00C545F6" w:rsidRPr="006076A7" w:rsidRDefault="00B624A5">
      <w:pPr>
        <w:numPr>
          <w:ilvl w:val="0"/>
          <w:numId w:val="3"/>
        </w:numPr>
        <w:spacing w:line="360" w:lineRule="auto"/>
        <w:ind w:left="0" w:right="-929" w:firstLine="0"/>
        <w:jc w:val="both"/>
        <w:rPr>
          <w:rFonts w:ascii="Palatino Linotype" w:eastAsia="Palatino Linotype" w:hAnsi="Palatino Linotype" w:cs="Palatino Linotype"/>
        </w:rPr>
      </w:pPr>
      <w:r w:rsidRPr="006076A7">
        <w:rPr>
          <w:rFonts w:ascii="Palatino Linotype" w:eastAsia="Palatino Linotype" w:hAnsi="Palatino Linotype" w:cs="Palatino Linotype"/>
        </w:rPr>
        <w:t>Por lo que hace Folio Fiscal, cabe precisar que conforme al ANEXO 20 de la Segunda Resolución de modificaciones a la Resolución Miscelánea Fiscal para dos mil diecisiete, el folio fiscal se conforma de treinta seis caracteres alfanuméricos; además, que conforme al documento denominado “Cómo ubicar el Folio Fiscal en una factura”, el dato se ubica dentro de los datos del emisor o en el recuadro de los datos de identificación del comprobante fiscal. Es un número consecutivo contenido en los comprobantes fiscales digitales, compuesto por 5 grupos de números y letras separados por guiones, tal como se muestra a continuación:</w:t>
      </w:r>
    </w:p>
    <w:p w14:paraId="6DE05B62" w14:textId="77777777" w:rsidR="00C545F6" w:rsidRPr="006076A7" w:rsidRDefault="00B624A5">
      <w:pPr>
        <w:spacing w:line="360" w:lineRule="auto"/>
        <w:ind w:right="-929"/>
        <w:jc w:val="center"/>
        <w:rPr>
          <w:rFonts w:ascii="Palatino Linotype" w:eastAsia="Palatino Linotype" w:hAnsi="Palatino Linotype" w:cs="Palatino Linotype"/>
        </w:rPr>
      </w:pPr>
      <w:r w:rsidRPr="006076A7">
        <w:rPr>
          <w:rFonts w:ascii="Palatino Linotype" w:eastAsia="Palatino Linotype" w:hAnsi="Palatino Linotype" w:cs="Palatino Linotype"/>
          <w:noProof/>
          <w:lang w:val="es-MX"/>
        </w:rPr>
        <w:drawing>
          <wp:inline distT="0" distB="0" distL="0" distR="0" wp14:anchorId="2DEF14F9" wp14:editId="480462AF">
            <wp:extent cx="4667250" cy="1333500"/>
            <wp:effectExtent l="0" t="0" r="0" b="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b="32787"/>
                    <a:stretch>
                      <a:fillRect/>
                    </a:stretch>
                  </pic:blipFill>
                  <pic:spPr>
                    <a:xfrm>
                      <a:off x="0" y="0"/>
                      <a:ext cx="4667250" cy="1333500"/>
                    </a:xfrm>
                    <a:prstGeom prst="rect">
                      <a:avLst/>
                    </a:prstGeom>
                    <a:ln/>
                  </pic:spPr>
                </pic:pic>
              </a:graphicData>
            </a:graphic>
          </wp:inline>
        </w:drawing>
      </w:r>
    </w:p>
    <w:p w14:paraId="531EAACC" w14:textId="77777777" w:rsidR="00C545F6" w:rsidRPr="006076A7" w:rsidRDefault="00C545F6">
      <w:pPr>
        <w:spacing w:line="360" w:lineRule="auto"/>
        <w:ind w:right="-929"/>
        <w:jc w:val="center"/>
        <w:rPr>
          <w:rFonts w:ascii="Palatino Linotype" w:eastAsia="Palatino Linotype" w:hAnsi="Palatino Linotype" w:cs="Palatino Linotype"/>
        </w:rPr>
      </w:pPr>
    </w:p>
    <w:p w14:paraId="5A8B3909" w14:textId="77777777" w:rsidR="00C545F6" w:rsidRPr="006076A7" w:rsidRDefault="00B624A5">
      <w:pPr>
        <w:numPr>
          <w:ilvl w:val="0"/>
          <w:numId w:val="3"/>
        </w:numPr>
        <w:spacing w:line="360" w:lineRule="auto"/>
        <w:ind w:left="0" w:right="-929" w:firstLine="0"/>
        <w:jc w:val="both"/>
        <w:rPr>
          <w:rFonts w:ascii="Palatino Linotype" w:eastAsia="Palatino Linotype" w:hAnsi="Palatino Linotype" w:cs="Palatino Linotype"/>
        </w:rPr>
      </w:pPr>
      <w:r w:rsidRPr="006076A7">
        <w:rPr>
          <w:rFonts w:ascii="Palatino Linotype" w:eastAsia="Palatino Linotype" w:hAnsi="Palatino Linotype" w:cs="Palatino Linotype"/>
        </w:rPr>
        <w:t xml:space="preserve">En ese contexto, el folio fiscal, no contiene datos personales del emisor y tampoco se puede obtener información confidencial con el mismo, pues solamente es un identificador del emisor, del cual su transparencia ayuda a legitimar que el documento cumple con todos los requisitos establecidos en la normatividad aplicable, sin necesidad algún dato personal, por lo que, </w:t>
      </w:r>
      <w:r w:rsidRPr="006076A7">
        <w:rPr>
          <w:rFonts w:ascii="Palatino Linotype" w:eastAsia="Palatino Linotype" w:hAnsi="Palatino Linotype" w:cs="Palatino Linotype"/>
          <w:b/>
          <w:bCs/>
        </w:rPr>
        <w:t>no se actualiza la clasificación</w:t>
      </w:r>
      <w:r w:rsidRPr="006076A7">
        <w:rPr>
          <w:rFonts w:ascii="Palatino Linotype" w:eastAsia="Palatino Linotype" w:hAnsi="Palatino Linotype" w:cs="Palatino Linotype"/>
        </w:rPr>
        <w:t>, en términos del artículo 143, fracción I de la Ley de la materia.</w:t>
      </w:r>
    </w:p>
    <w:p w14:paraId="2A1801D0" w14:textId="77777777" w:rsidR="00C545F6" w:rsidRPr="006076A7" w:rsidRDefault="00C545F6">
      <w:pPr>
        <w:spacing w:line="360" w:lineRule="auto"/>
        <w:ind w:right="-929"/>
        <w:jc w:val="both"/>
        <w:rPr>
          <w:rFonts w:ascii="Palatino Linotype" w:eastAsia="Palatino Linotype" w:hAnsi="Palatino Linotype" w:cs="Palatino Linotype"/>
        </w:rPr>
      </w:pPr>
    </w:p>
    <w:p w14:paraId="760A3F7B" w14:textId="77777777" w:rsidR="00C545F6" w:rsidRPr="006076A7" w:rsidRDefault="00B624A5">
      <w:pPr>
        <w:numPr>
          <w:ilvl w:val="0"/>
          <w:numId w:val="6"/>
        </w:numPr>
        <w:spacing w:line="360" w:lineRule="auto"/>
        <w:ind w:right="-929"/>
        <w:jc w:val="both"/>
        <w:rPr>
          <w:rFonts w:ascii="Palatino Linotype" w:eastAsia="Palatino Linotype" w:hAnsi="Palatino Linotype" w:cs="Palatino Linotype"/>
          <w:b/>
          <w:bCs/>
        </w:rPr>
      </w:pPr>
      <w:r w:rsidRPr="006076A7">
        <w:rPr>
          <w:rFonts w:ascii="Palatino Linotype" w:eastAsia="Palatino Linotype" w:hAnsi="Palatino Linotype" w:cs="Palatino Linotype"/>
          <w:b/>
          <w:bCs/>
        </w:rPr>
        <w:t>Cadenas originales y sellos.</w:t>
      </w:r>
    </w:p>
    <w:p w14:paraId="0232575C" w14:textId="77777777" w:rsidR="00C545F6" w:rsidRPr="006076A7" w:rsidRDefault="00B624A5">
      <w:pPr>
        <w:numPr>
          <w:ilvl w:val="0"/>
          <w:numId w:val="3"/>
        </w:numPr>
        <w:spacing w:line="360" w:lineRule="auto"/>
        <w:ind w:left="0" w:right="-929" w:firstLine="0"/>
        <w:jc w:val="both"/>
        <w:rPr>
          <w:rFonts w:ascii="Palatino Linotype" w:eastAsia="Palatino Linotype" w:hAnsi="Palatino Linotype" w:cs="Palatino Linotype"/>
        </w:rPr>
      </w:pPr>
      <w:r w:rsidRPr="006076A7">
        <w:rPr>
          <w:rFonts w:ascii="Palatino Linotype" w:eastAsia="Palatino Linotype" w:hAnsi="Palatino Linotype" w:cs="Palatino Linotype"/>
          <w:b/>
          <w:bCs/>
        </w:rPr>
        <w:t>Las cadenas originales y sellos</w:t>
      </w:r>
      <w:r w:rsidRPr="006076A7">
        <w:rPr>
          <w:rFonts w:ascii="Palatino Linotype" w:eastAsia="Palatino Linotype" w:hAnsi="Palatino Linotype" w:cs="Palatino Linotype"/>
        </w:rPr>
        <w:t xml:space="preserve"> que se agregan a las facturas, tienen una secuencia de generación, determinados con base en el ANEXO 20 de la Segunda Resolución de </w:t>
      </w:r>
      <w:r w:rsidRPr="006076A7">
        <w:rPr>
          <w:rFonts w:ascii="Palatino Linotype" w:eastAsia="Palatino Linotype" w:hAnsi="Palatino Linotype" w:cs="Palatino Linotype"/>
        </w:rPr>
        <w:lastRenderedPageBreak/>
        <w:t>modificaciones a la Resolución Miscelánea Fiscal para dos mil diecisiete, publicada en el Diario Oficial de la Federación el dieciocho de julio de dos mil diecisiete, que precisa los datos de los que se componen los elementos de seguridad y se puntualiza que dicha información está encriptada.</w:t>
      </w:r>
    </w:p>
    <w:p w14:paraId="604E19B2" w14:textId="77777777" w:rsidR="00C545F6" w:rsidRPr="006076A7" w:rsidRDefault="00B624A5">
      <w:pPr>
        <w:spacing w:line="360" w:lineRule="auto"/>
        <w:ind w:left="851"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i/>
          <w:iCs/>
        </w:rPr>
        <w:t>“Elementos utilizados en la generación de Sellos Digitales:</w:t>
      </w:r>
    </w:p>
    <w:p w14:paraId="2F3CA120" w14:textId="77777777" w:rsidR="00C545F6" w:rsidRPr="006076A7" w:rsidRDefault="00B624A5">
      <w:pPr>
        <w:spacing w:line="360" w:lineRule="auto"/>
        <w:ind w:left="851"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i/>
          <w:iCs/>
        </w:rPr>
        <w:t>•</w:t>
      </w:r>
      <w:r w:rsidRPr="006076A7">
        <w:rPr>
          <w:rFonts w:ascii="Palatino Linotype" w:eastAsia="Palatino Linotype" w:hAnsi="Palatino Linotype" w:cs="Palatino Linotype"/>
          <w:i/>
          <w:iCs/>
        </w:rPr>
        <w:tab/>
        <w:t>Cadena Original, el elemento a sellar, en este caso de un comprobante fiscal digital a través de Internet.</w:t>
      </w:r>
    </w:p>
    <w:p w14:paraId="43FE22D7" w14:textId="77777777" w:rsidR="00C545F6" w:rsidRPr="006076A7" w:rsidRDefault="00B624A5">
      <w:pPr>
        <w:spacing w:line="360" w:lineRule="auto"/>
        <w:ind w:left="851"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i/>
          <w:iCs/>
        </w:rPr>
        <w:t>•</w:t>
      </w:r>
      <w:r w:rsidRPr="006076A7">
        <w:rPr>
          <w:rFonts w:ascii="Palatino Linotype" w:eastAsia="Palatino Linotype" w:hAnsi="Palatino Linotype" w:cs="Palatino Linotype"/>
          <w:i/>
          <w:iCs/>
        </w:rPr>
        <w:tab/>
        <w:t>Certificado de Sello Digital y su correspondiente clave privada.</w:t>
      </w:r>
    </w:p>
    <w:p w14:paraId="078B6042" w14:textId="77777777" w:rsidR="00C545F6" w:rsidRPr="006076A7" w:rsidRDefault="00B624A5">
      <w:pPr>
        <w:spacing w:line="360" w:lineRule="auto"/>
        <w:ind w:left="851"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i/>
          <w:iCs/>
        </w:rPr>
        <w:t>•</w:t>
      </w:r>
      <w:r w:rsidRPr="006076A7">
        <w:rPr>
          <w:rFonts w:ascii="Palatino Linotype" w:eastAsia="Palatino Linotype" w:hAnsi="Palatino Linotype" w:cs="Palatino Linotype"/>
          <w:i/>
          <w:iCs/>
        </w:rPr>
        <w:tab/>
        <w:t>Algoritmos de criptografía de clave pública para firma electrónica avanzada.</w:t>
      </w:r>
    </w:p>
    <w:p w14:paraId="08F888C4" w14:textId="77777777" w:rsidR="00C545F6" w:rsidRPr="006076A7" w:rsidRDefault="00B624A5">
      <w:pPr>
        <w:spacing w:line="360" w:lineRule="auto"/>
        <w:ind w:left="851"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i/>
          <w:iCs/>
        </w:rPr>
        <w:t>•</w:t>
      </w:r>
      <w:r w:rsidRPr="006076A7">
        <w:rPr>
          <w:rFonts w:ascii="Palatino Linotype" w:eastAsia="Palatino Linotype" w:hAnsi="Palatino Linotype" w:cs="Palatino Linotype"/>
          <w:i/>
          <w:iCs/>
        </w:rPr>
        <w:tab/>
        <w:t>Especificaciones de conversión de la firma electrónica avanzada a Base 64.</w:t>
      </w:r>
    </w:p>
    <w:p w14:paraId="41A370F0" w14:textId="77777777" w:rsidR="00C545F6" w:rsidRPr="006076A7" w:rsidRDefault="00B624A5">
      <w:pPr>
        <w:spacing w:line="360" w:lineRule="auto"/>
        <w:ind w:left="851"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i/>
          <w:iCs/>
        </w:rPr>
        <w:t>Para la generación de sellos digitales se utiliza criptografía de clave pública aplicada a una cadena original.</w:t>
      </w:r>
    </w:p>
    <w:p w14:paraId="363087B2" w14:textId="77777777" w:rsidR="00C545F6" w:rsidRPr="006076A7" w:rsidRDefault="00B624A5">
      <w:pPr>
        <w:spacing w:line="360" w:lineRule="auto"/>
        <w:ind w:left="851"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i/>
          <w:iCs/>
        </w:rPr>
        <w:t>Criptografía de la Clave Pública</w:t>
      </w:r>
    </w:p>
    <w:p w14:paraId="7ED28FB4" w14:textId="77777777" w:rsidR="00C545F6" w:rsidRPr="006076A7" w:rsidRDefault="00B624A5">
      <w:pPr>
        <w:spacing w:line="360" w:lineRule="auto"/>
        <w:ind w:left="851"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i/>
          <w:iCs/>
        </w:rPr>
        <w:t>La criptografía de Clave Pública se basa en la generación de una pareja de números muy grandes relacionados íntimamente entre sí, de tal manera que una operación de encripción sobre un mensaje tomando como clave de encripción a uno de los dos números, produce un mensaje alterado en su significado que solo puede ser devuelto a su estado original mediante la operación de desencripción correspondiente tomando como clave de desencripción al otro número de la pareja.”</w:t>
      </w:r>
    </w:p>
    <w:p w14:paraId="6EDFD6A3" w14:textId="77777777" w:rsidR="00C545F6" w:rsidRPr="006076A7" w:rsidRDefault="00C545F6">
      <w:pPr>
        <w:spacing w:line="360" w:lineRule="auto"/>
        <w:ind w:left="851" w:right="-929"/>
        <w:jc w:val="both"/>
        <w:rPr>
          <w:rFonts w:ascii="Palatino Linotype" w:eastAsia="Palatino Linotype" w:hAnsi="Palatino Linotype" w:cs="Palatino Linotype"/>
          <w:i/>
          <w:iCs/>
        </w:rPr>
      </w:pPr>
    </w:p>
    <w:p w14:paraId="1C3A1AEF" w14:textId="77777777" w:rsidR="00C545F6" w:rsidRPr="006076A7" w:rsidRDefault="00B624A5">
      <w:pPr>
        <w:numPr>
          <w:ilvl w:val="0"/>
          <w:numId w:val="3"/>
        </w:numPr>
        <w:spacing w:line="360" w:lineRule="auto"/>
        <w:ind w:left="0" w:right="-929" w:firstLine="0"/>
        <w:jc w:val="both"/>
        <w:rPr>
          <w:rFonts w:ascii="Palatino Linotype" w:eastAsia="Palatino Linotype" w:hAnsi="Palatino Linotype" w:cs="Palatino Linotype"/>
        </w:rPr>
      </w:pPr>
      <w:r w:rsidRPr="006076A7">
        <w:rPr>
          <w:rFonts w:ascii="Palatino Linotype" w:eastAsia="Palatino Linotype" w:hAnsi="Palatino Linotype" w:cs="Palatino Linotype"/>
        </w:rPr>
        <w:t xml:space="preserve">Es decir, por sí solos las cadenas originales y los sellos originales no contienen datos personales confidenciales, por lo que se considera que </w:t>
      </w:r>
      <w:r w:rsidRPr="006076A7">
        <w:rPr>
          <w:rFonts w:ascii="Palatino Linotype" w:eastAsia="Palatino Linotype" w:hAnsi="Palatino Linotype" w:cs="Palatino Linotype"/>
          <w:b/>
          <w:bCs/>
        </w:rPr>
        <w:t>no actualizan el supuesto de confidencialidad</w:t>
      </w:r>
      <w:r w:rsidRPr="006076A7">
        <w:rPr>
          <w:rFonts w:ascii="Palatino Linotype" w:eastAsia="Palatino Linotype" w:hAnsi="Palatino Linotype" w:cs="Palatino Linotype"/>
        </w:rPr>
        <w:t xml:space="preserve"> previsto en el artículo 143, fracción I, de la Ley de Transparencia y Acceso a la Información Pública del Estado de México y Municipios y, por el contrario, son </w:t>
      </w:r>
      <w:r w:rsidRPr="006076A7">
        <w:rPr>
          <w:rFonts w:ascii="Palatino Linotype" w:eastAsia="Palatino Linotype" w:hAnsi="Palatino Linotype" w:cs="Palatino Linotype"/>
        </w:rPr>
        <w:lastRenderedPageBreak/>
        <w:t>información que permite corroborar la legitimidad de la factura, de ser el caso, por lo que guardan el carácter de público.</w:t>
      </w:r>
    </w:p>
    <w:p w14:paraId="7C281611" w14:textId="77777777" w:rsidR="00C545F6" w:rsidRPr="006076A7" w:rsidRDefault="00C545F6">
      <w:pPr>
        <w:spacing w:line="360" w:lineRule="auto"/>
        <w:ind w:right="-929"/>
        <w:jc w:val="both"/>
        <w:rPr>
          <w:rFonts w:ascii="Palatino Linotype" w:eastAsia="Palatino Linotype" w:hAnsi="Palatino Linotype" w:cs="Palatino Linotype"/>
        </w:rPr>
      </w:pPr>
    </w:p>
    <w:p w14:paraId="0F42C8D2" w14:textId="77777777" w:rsidR="00C545F6" w:rsidRPr="006076A7" w:rsidRDefault="00B624A5">
      <w:pPr>
        <w:numPr>
          <w:ilvl w:val="0"/>
          <w:numId w:val="6"/>
        </w:numPr>
        <w:spacing w:line="360" w:lineRule="auto"/>
        <w:ind w:right="-929"/>
        <w:jc w:val="both"/>
        <w:rPr>
          <w:rFonts w:ascii="Palatino Linotype" w:eastAsia="Palatino Linotype" w:hAnsi="Palatino Linotype" w:cs="Palatino Linotype"/>
          <w:b/>
          <w:bCs/>
        </w:rPr>
      </w:pPr>
      <w:r w:rsidRPr="006076A7">
        <w:rPr>
          <w:rFonts w:ascii="Palatino Linotype" w:eastAsia="Palatino Linotype" w:hAnsi="Palatino Linotype" w:cs="Palatino Linotype"/>
          <w:b/>
          <w:bCs/>
        </w:rPr>
        <w:t>Número de serie del emisor y/o CSD y número de certificado del SAT</w:t>
      </w:r>
    </w:p>
    <w:p w14:paraId="101EE6CD" w14:textId="77777777" w:rsidR="00C545F6" w:rsidRPr="006076A7" w:rsidRDefault="00B624A5">
      <w:pPr>
        <w:numPr>
          <w:ilvl w:val="0"/>
          <w:numId w:val="3"/>
        </w:numPr>
        <w:spacing w:line="360" w:lineRule="auto"/>
        <w:ind w:left="0" w:right="-929" w:firstLine="0"/>
        <w:jc w:val="both"/>
        <w:rPr>
          <w:rFonts w:ascii="Palatino Linotype" w:eastAsia="Palatino Linotype" w:hAnsi="Palatino Linotype" w:cs="Palatino Linotype"/>
        </w:rPr>
      </w:pPr>
      <w:r w:rsidRPr="006076A7">
        <w:rPr>
          <w:rFonts w:ascii="Palatino Linotype" w:eastAsia="Palatino Linotype" w:hAnsi="Palatino Linotype" w:cs="Palatino Linotype"/>
        </w:rPr>
        <w:t xml:space="preserve">Por otra parte, por lo que hace </w:t>
      </w:r>
      <w:r w:rsidRPr="006076A7">
        <w:rPr>
          <w:rFonts w:ascii="Palatino Linotype" w:eastAsia="Palatino Linotype" w:hAnsi="Palatino Linotype" w:cs="Palatino Linotype"/>
          <w:b/>
          <w:bCs/>
        </w:rPr>
        <w:t xml:space="preserve">al número de serie de los certificados de Sello Digitales del emisor y del </w:t>
      </w:r>
      <w:r w:rsidRPr="006076A7">
        <w:rPr>
          <w:rFonts w:ascii="Palatino Linotype" w:eastAsia="Palatino Linotype" w:hAnsi="Palatino Linotype" w:cs="Palatino Linotype"/>
        </w:rPr>
        <w:t>Servicio</w:t>
      </w:r>
      <w:r w:rsidRPr="006076A7">
        <w:rPr>
          <w:rFonts w:ascii="Palatino Linotype" w:eastAsia="Palatino Linotype" w:hAnsi="Palatino Linotype" w:cs="Palatino Linotype"/>
          <w:b/>
          <w:bCs/>
        </w:rPr>
        <w:t xml:space="preserve"> de Administración Tributaria,</w:t>
      </w:r>
      <w:r w:rsidRPr="006076A7">
        <w:rPr>
          <w:rFonts w:ascii="Palatino Linotype" w:eastAsia="Palatino Linotype" w:hAnsi="Palatino Linotype" w:cs="Palatino Linotype"/>
        </w:rPr>
        <w:t xml:space="preserve"> el ANEXO 20 de la Segunda Resolución de modificaciones a la Resolución Miscelánea Fiscal para dos mil  diecisiete, precisa que dichos datos se conforman por veinte caracteres numéricos; dicha situación se robustece con el ejemplo localizado en el documento denominado “Cómo ubicar el Folio Fiscal en una factura”, emitido por el Instituto Nacional Electoral, en la cual se advierte que únicamente se encuentra conformado por números, se muestra a continuación:</w:t>
      </w:r>
    </w:p>
    <w:p w14:paraId="0C88F708" w14:textId="77777777" w:rsidR="00C545F6" w:rsidRPr="006076A7" w:rsidRDefault="00B624A5">
      <w:pPr>
        <w:spacing w:line="360" w:lineRule="auto"/>
        <w:ind w:right="-929"/>
        <w:jc w:val="center"/>
        <w:rPr>
          <w:rFonts w:ascii="Palatino Linotype" w:eastAsia="Palatino Linotype" w:hAnsi="Palatino Linotype" w:cs="Palatino Linotype"/>
        </w:rPr>
      </w:pPr>
      <w:r w:rsidRPr="006076A7">
        <w:rPr>
          <w:rFonts w:ascii="Palatino Linotype" w:eastAsia="Palatino Linotype" w:hAnsi="Palatino Linotype" w:cs="Palatino Linotype"/>
          <w:noProof/>
          <w:lang w:val="es-MX"/>
        </w:rPr>
        <w:drawing>
          <wp:inline distT="0" distB="0" distL="0" distR="0" wp14:anchorId="6B4A9F53" wp14:editId="28CF257F">
            <wp:extent cx="5191125" cy="1009650"/>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5191125" cy="1009650"/>
                    </a:xfrm>
                    <a:prstGeom prst="rect">
                      <a:avLst/>
                    </a:prstGeom>
                    <a:ln/>
                  </pic:spPr>
                </pic:pic>
              </a:graphicData>
            </a:graphic>
          </wp:inline>
        </w:drawing>
      </w:r>
      <w:r w:rsidRPr="006076A7">
        <w:rPr>
          <w:noProof/>
          <w:lang w:val="es-MX"/>
        </w:rPr>
        <mc:AlternateContent>
          <mc:Choice Requires="wpg">
            <w:drawing>
              <wp:anchor distT="0" distB="0" distL="114300" distR="114300" simplePos="0" relativeHeight="251658240" behindDoc="0" locked="0" layoutInCell="1" hidden="0" allowOverlap="1" wp14:anchorId="2DDE33CF" wp14:editId="4076484B">
                <wp:simplePos x="0" y="0"/>
                <wp:positionH relativeFrom="column">
                  <wp:posOffset>301308</wp:posOffset>
                </wp:positionH>
                <wp:positionV relativeFrom="paragraph">
                  <wp:posOffset>823278</wp:posOffset>
                </wp:positionV>
                <wp:extent cx="3486150" cy="247650"/>
                <wp:effectExtent l="0" t="0" r="0" b="0"/>
                <wp:wrapNone/>
                <wp:docPr id="1" name="Rectángulo 1"/>
                <wp:cNvGraphicFramePr/>
                <a:graphic xmlns:a="http://schemas.openxmlformats.org/drawingml/2006/main">
                  <a:graphicData uri="http://schemas.microsoft.com/office/word/2010/wordprocessingShape">
                    <wps:wsp>
                      <wps:cNvSpPr/>
                      <wps:spPr>
                        <a:xfrm>
                          <a:off x="3617213" y="3670463"/>
                          <a:ext cx="3457575" cy="219075"/>
                        </a:xfrm>
                        <a:prstGeom prst="rect">
                          <a:avLst/>
                        </a:prstGeom>
                        <a:noFill/>
                        <a:ln w="28575" cap="flat" cmpd="sng">
                          <a:solidFill>
                            <a:srgbClr val="000000"/>
                          </a:solidFill>
                          <a:prstDash val="solid"/>
                          <a:round/>
                          <a:headEnd type="none" w="sm" len="sm"/>
                          <a:tailEnd type="none" w="sm" len="sm"/>
                        </a:ln>
                      </wps:spPr>
                      <wps:txbx>
                        <w:txbxContent>
                          <w:p w14:paraId="46BB63D6" w14:textId="77777777" w:rsidR="00C545F6" w:rsidRDefault="00C545F6">
                            <w:pPr>
                              <w:textDirection w:val="btLr"/>
                            </w:pPr>
                          </w:p>
                        </w:txbxContent>
                      </wps:txbx>
                      <wps:bodyPr spcFirstLastPara="1" wrap="square" lIns="91425" tIns="91425" rIns="91425" bIns="91425" anchor="ctr"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301308</wp:posOffset>
                </wp:positionH>
                <wp:positionV relativeFrom="paragraph">
                  <wp:posOffset>823278</wp:posOffset>
                </wp:positionV>
                <wp:extent cx="3486150" cy="247650"/>
                <wp:effectExtent b="0" l="0" r="0" t="0"/>
                <wp:wrapNone/>
                <wp:docPr id="1" name="image8.png"/>
                <a:graphic>
                  <a:graphicData uri="http://schemas.openxmlformats.org/drawingml/2006/picture">
                    <pic:pic>
                      <pic:nvPicPr>
                        <pic:cNvPr id="0" name="image8.png"/>
                        <pic:cNvPicPr preferRelativeResize="0"/>
                      </pic:nvPicPr>
                      <pic:blipFill>
                        <a:blip r:embed="rId14"/>
                        <a:srcRect/>
                        <a:stretch>
                          <a:fillRect/>
                        </a:stretch>
                      </pic:blipFill>
                      <pic:spPr>
                        <a:xfrm>
                          <a:off x="0" y="0"/>
                          <a:ext cx="3486150" cy="247650"/>
                        </a:xfrm>
                        <a:prstGeom prst="rect"/>
                        <a:ln/>
                      </pic:spPr>
                    </pic:pic>
                  </a:graphicData>
                </a:graphic>
              </wp:anchor>
            </w:drawing>
          </mc:Fallback>
        </mc:AlternateContent>
      </w:r>
    </w:p>
    <w:p w14:paraId="7D7995FD" w14:textId="77777777" w:rsidR="00C545F6" w:rsidRPr="006076A7" w:rsidRDefault="00C545F6">
      <w:pPr>
        <w:spacing w:line="360" w:lineRule="auto"/>
        <w:ind w:right="-929"/>
        <w:jc w:val="center"/>
        <w:rPr>
          <w:rFonts w:ascii="Palatino Linotype" w:eastAsia="Palatino Linotype" w:hAnsi="Palatino Linotype" w:cs="Palatino Linotype"/>
        </w:rPr>
      </w:pPr>
    </w:p>
    <w:p w14:paraId="3C7C11EE" w14:textId="77777777" w:rsidR="00C545F6" w:rsidRPr="006076A7" w:rsidRDefault="00B624A5">
      <w:pPr>
        <w:numPr>
          <w:ilvl w:val="0"/>
          <w:numId w:val="3"/>
        </w:numPr>
        <w:spacing w:line="360" w:lineRule="auto"/>
        <w:ind w:left="0" w:right="-929" w:firstLine="0"/>
        <w:jc w:val="both"/>
        <w:rPr>
          <w:rFonts w:ascii="Palatino Linotype" w:eastAsia="Palatino Linotype" w:hAnsi="Palatino Linotype" w:cs="Palatino Linotype"/>
          <w:b/>
          <w:bCs/>
        </w:rPr>
      </w:pPr>
      <w:r w:rsidRPr="006076A7">
        <w:rPr>
          <w:rFonts w:ascii="Palatino Linotype" w:eastAsia="Palatino Linotype" w:hAnsi="Palatino Linotype" w:cs="Palatino Linotype"/>
        </w:rPr>
        <w:t xml:space="preserve">Cómo se logra observar, los números de serie del certificado de sello digital no contiene datos personales y con dichos dígitos tampoco se puede obtener información de carácter confidencial, por lo que, </w:t>
      </w:r>
      <w:r w:rsidRPr="006076A7">
        <w:rPr>
          <w:rFonts w:ascii="Palatino Linotype" w:eastAsia="Palatino Linotype" w:hAnsi="Palatino Linotype" w:cs="Palatino Linotype"/>
          <w:b/>
          <w:bCs/>
        </w:rPr>
        <w:t>tampoco actualizan la causal de clasificación</w:t>
      </w:r>
      <w:r w:rsidRPr="006076A7">
        <w:rPr>
          <w:rFonts w:ascii="Palatino Linotype" w:eastAsia="Palatino Linotype" w:hAnsi="Palatino Linotype" w:cs="Palatino Linotype"/>
        </w:rPr>
        <w:t xml:space="preserve">, establecida en el artículo 143, fracción I, de la Ley de Transparencia y Acceso a la Información Pública del Estado de México y Municipios. </w:t>
      </w:r>
      <w:r w:rsidRPr="006076A7">
        <w:rPr>
          <w:rFonts w:ascii="Palatino Linotype" w:eastAsia="Palatino Linotype" w:hAnsi="Palatino Linotype" w:cs="Palatino Linotype"/>
          <w:b/>
          <w:bCs/>
        </w:rPr>
        <w:t>Máxime que permite corroborar la legitimidad a los CDFI, pues amparan la utilización de los certificados de sellos digitales válidos.</w:t>
      </w:r>
    </w:p>
    <w:p w14:paraId="7EC8BD96" w14:textId="77777777" w:rsidR="00C545F6" w:rsidRPr="006076A7" w:rsidRDefault="00C545F6">
      <w:pPr>
        <w:spacing w:line="360" w:lineRule="auto"/>
        <w:ind w:left="360" w:right="-929"/>
        <w:jc w:val="both"/>
        <w:rPr>
          <w:rFonts w:ascii="Palatino Linotype" w:eastAsia="Palatino Linotype" w:hAnsi="Palatino Linotype" w:cs="Palatino Linotype"/>
          <w:b/>
          <w:bCs/>
        </w:rPr>
      </w:pPr>
    </w:p>
    <w:p w14:paraId="761E136F" w14:textId="77777777" w:rsidR="00C545F6" w:rsidRPr="006076A7" w:rsidRDefault="00B624A5">
      <w:pPr>
        <w:numPr>
          <w:ilvl w:val="0"/>
          <w:numId w:val="3"/>
        </w:numPr>
        <w:spacing w:line="360" w:lineRule="auto"/>
        <w:ind w:left="0" w:right="-929" w:firstLine="0"/>
        <w:jc w:val="both"/>
        <w:rPr>
          <w:rFonts w:ascii="Palatino Linotype" w:eastAsia="Palatino Linotype" w:hAnsi="Palatino Linotype" w:cs="Palatino Linotype"/>
        </w:rPr>
      </w:pPr>
      <w:r w:rsidRPr="006076A7">
        <w:rPr>
          <w:rFonts w:ascii="Palatino Linotype" w:eastAsia="Palatino Linotype" w:hAnsi="Palatino Linotype" w:cs="Palatino Linotype"/>
        </w:rPr>
        <w:lastRenderedPageBreak/>
        <w:t xml:space="preserve">Finalmente, debe señalarse que de ser el caso en que los documentos que vayan a ser entregados para dar cumplimiento a la presente resolución, contengan datos que deban ser clasificados, </w:t>
      </w:r>
      <w:r w:rsidRPr="006076A7">
        <w:rPr>
          <w:rFonts w:ascii="Palatino Linotype" w:eastAsia="Palatino Linotype" w:hAnsi="Palatino Linotype" w:cs="Palatino Linotype"/>
          <w:b/>
          <w:bCs/>
        </w:rPr>
        <w:t>EL</w:t>
      </w:r>
      <w:r w:rsidRPr="006076A7">
        <w:rPr>
          <w:rFonts w:ascii="Palatino Linotype" w:eastAsia="Palatino Linotype" w:hAnsi="Palatino Linotype" w:cs="Palatino Linotype"/>
        </w:rPr>
        <w:t xml:space="preserve"> </w:t>
      </w:r>
      <w:r w:rsidRPr="006076A7">
        <w:rPr>
          <w:rFonts w:ascii="Palatino Linotype" w:eastAsia="Palatino Linotype" w:hAnsi="Palatino Linotype" w:cs="Palatino Linotype"/>
          <w:b/>
          <w:bCs/>
        </w:rPr>
        <w:t>SUJETO OBLIGADO</w:t>
      </w:r>
      <w:r w:rsidRPr="006076A7">
        <w:rPr>
          <w:rFonts w:ascii="Palatino Linotype" w:eastAsia="Palatino Linotype" w:hAnsi="Palatino Linotype" w:cs="Palatino Linotype"/>
        </w:rPr>
        <w:t xml:space="preserve"> deberá hacer la elaboración de la versión pública de los mismos a fin de satisfacer el derecho de acceso a la información pública de la parte </w:t>
      </w:r>
      <w:r w:rsidRPr="006076A7">
        <w:rPr>
          <w:rFonts w:ascii="Palatino Linotype" w:eastAsia="Palatino Linotype" w:hAnsi="Palatino Linotype" w:cs="Palatino Linotype"/>
          <w:b/>
          <w:bCs/>
        </w:rPr>
        <w:t>RECURRENTE</w:t>
      </w:r>
      <w:r w:rsidRPr="006076A7">
        <w:rPr>
          <w:rFonts w:ascii="Palatino Linotype" w:eastAsia="Palatino Linotype" w:hAnsi="Palatino Linotype" w:cs="Palatino Linotype"/>
        </w:rPr>
        <w:t xml:space="preserve"> sin menoscabo al derecho a la protección de los datos personales de terceros.</w:t>
      </w:r>
    </w:p>
    <w:p w14:paraId="7ADC718C" w14:textId="77777777" w:rsidR="00C545F6" w:rsidRPr="006076A7" w:rsidRDefault="00C545F6">
      <w:pPr>
        <w:spacing w:line="360" w:lineRule="auto"/>
        <w:ind w:right="-929"/>
        <w:jc w:val="both"/>
        <w:rPr>
          <w:rFonts w:ascii="Palatino Linotype" w:eastAsia="Palatino Linotype" w:hAnsi="Palatino Linotype" w:cs="Palatino Linotype"/>
        </w:rPr>
      </w:pPr>
    </w:p>
    <w:p w14:paraId="75FCFB2C" w14:textId="77777777" w:rsidR="00C545F6" w:rsidRPr="006076A7" w:rsidRDefault="00B624A5">
      <w:pPr>
        <w:numPr>
          <w:ilvl w:val="0"/>
          <w:numId w:val="3"/>
        </w:numPr>
        <w:spacing w:line="360" w:lineRule="auto"/>
        <w:ind w:left="0" w:right="-929" w:firstLine="0"/>
        <w:jc w:val="both"/>
        <w:rPr>
          <w:rFonts w:ascii="Palatino Linotype" w:eastAsia="Palatino Linotype" w:hAnsi="Palatino Linotype" w:cs="Palatino Linotype"/>
        </w:rPr>
      </w:pPr>
      <w:r w:rsidRPr="006076A7">
        <w:rPr>
          <w:rFonts w:ascii="Palatino Linotype" w:eastAsia="Palatino Linotype" w:hAnsi="Palatino Linotype" w:cs="Palatino Linotype"/>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 Por lo que en tales circunstancias lo procedente es ordenar la entrega de las facturas pagadas del proyecto de referencia, con que se cuentan a la fecha de la solicitud.</w:t>
      </w:r>
    </w:p>
    <w:p w14:paraId="053CB5CF" w14:textId="77777777" w:rsidR="00C545F6" w:rsidRPr="006076A7" w:rsidRDefault="00C545F6">
      <w:pPr>
        <w:pBdr>
          <w:top w:val="nil"/>
          <w:left w:val="nil"/>
          <w:bottom w:val="nil"/>
          <w:right w:val="nil"/>
          <w:between w:val="nil"/>
        </w:pBdr>
        <w:ind w:left="720" w:right="-929"/>
        <w:rPr>
          <w:rFonts w:ascii="Palatino Linotype" w:eastAsia="Palatino Linotype" w:hAnsi="Palatino Linotype" w:cs="Palatino Linotype"/>
          <w:color w:val="000000"/>
        </w:rPr>
      </w:pPr>
    </w:p>
    <w:p w14:paraId="05176C31" w14:textId="77777777" w:rsidR="00C545F6" w:rsidRPr="006076A7" w:rsidRDefault="00B624A5">
      <w:pPr>
        <w:numPr>
          <w:ilvl w:val="0"/>
          <w:numId w:val="3"/>
        </w:numPr>
        <w:spacing w:line="360" w:lineRule="auto"/>
        <w:ind w:left="0" w:right="-929" w:firstLine="0"/>
        <w:jc w:val="both"/>
        <w:rPr>
          <w:rFonts w:ascii="Palatino Linotype" w:eastAsia="Palatino Linotype" w:hAnsi="Palatino Linotype" w:cs="Palatino Linotype"/>
        </w:rPr>
      </w:pPr>
      <w:r w:rsidRPr="006076A7">
        <w:rPr>
          <w:rFonts w:ascii="Palatino Linotype" w:eastAsia="Palatino Linotype" w:hAnsi="Palatino Linotype" w:cs="Palatino Linotype"/>
        </w:rPr>
        <w:t>Respecto del resto de soporte documental, se estima necesario contemplar una salvedad; toda vez que en la respuesta no se advierte algún indicio de que efectivamente fue una empresa la encargada de la obra pública; asimismo de las múltiples notas periodísticas que obran en fuentes de acceso público, ninguna da cuenta de indicio alguna, de una empresa encargada de la ejecución de obra; por el contrario se refiere que estuvo a cargo del Ayuntamiento de Toluca, como la que se inserta de ejemplo:</w:t>
      </w:r>
    </w:p>
    <w:p w14:paraId="6E9E4ACC" w14:textId="77777777" w:rsidR="00C545F6" w:rsidRPr="006076A7" w:rsidRDefault="00C545F6">
      <w:pPr>
        <w:pBdr>
          <w:top w:val="nil"/>
          <w:left w:val="nil"/>
          <w:bottom w:val="nil"/>
          <w:right w:val="nil"/>
          <w:between w:val="nil"/>
        </w:pBdr>
        <w:ind w:left="720" w:right="-929"/>
        <w:rPr>
          <w:rFonts w:ascii="Palatino Linotype" w:eastAsia="Palatino Linotype" w:hAnsi="Palatino Linotype" w:cs="Palatino Linotype"/>
          <w:color w:val="000000"/>
        </w:rPr>
      </w:pPr>
    </w:p>
    <w:p w14:paraId="49A85A63" w14:textId="77777777" w:rsidR="00C545F6" w:rsidRPr="006076A7" w:rsidRDefault="00B624A5">
      <w:pPr>
        <w:spacing w:line="360" w:lineRule="auto"/>
        <w:ind w:right="-929"/>
        <w:jc w:val="both"/>
        <w:rPr>
          <w:rFonts w:ascii="Palatino Linotype" w:eastAsia="Palatino Linotype" w:hAnsi="Palatino Linotype" w:cs="Palatino Linotype"/>
        </w:rPr>
      </w:pPr>
      <w:r w:rsidRPr="006076A7">
        <w:rPr>
          <w:rFonts w:ascii="Palatino Linotype" w:eastAsia="Palatino Linotype" w:hAnsi="Palatino Linotype" w:cs="Palatino Linotype"/>
          <w:noProof/>
          <w:lang w:val="es-MX"/>
        </w:rPr>
        <w:lastRenderedPageBreak/>
        <w:drawing>
          <wp:inline distT="0" distB="0" distL="0" distR="0" wp14:anchorId="14C032A6" wp14:editId="2C63D622">
            <wp:extent cx="5612130" cy="2094230"/>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5612130" cy="2094230"/>
                    </a:xfrm>
                    <a:prstGeom prst="rect">
                      <a:avLst/>
                    </a:prstGeom>
                    <a:ln/>
                  </pic:spPr>
                </pic:pic>
              </a:graphicData>
            </a:graphic>
          </wp:inline>
        </w:drawing>
      </w:r>
    </w:p>
    <w:p w14:paraId="5AA05F8E" w14:textId="77777777" w:rsidR="00C545F6" w:rsidRPr="006076A7" w:rsidRDefault="00C545F6">
      <w:pPr>
        <w:spacing w:line="360" w:lineRule="auto"/>
        <w:ind w:right="-929"/>
        <w:jc w:val="both"/>
        <w:rPr>
          <w:rFonts w:ascii="Palatino Linotype" w:eastAsia="Palatino Linotype" w:hAnsi="Palatino Linotype" w:cs="Palatino Linotype"/>
        </w:rPr>
      </w:pPr>
    </w:p>
    <w:p w14:paraId="557EB163" w14:textId="77777777" w:rsidR="00C545F6" w:rsidRPr="006076A7" w:rsidRDefault="00B624A5">
      <w:pPr>
        <w:numPr>
          <w:ilvl w:val="0"/>
          <w:numId w:val="3"/>
        </w:numPr>
        <w:spacing w:line="360" w:lineRule="auto"/>
        <w:ind w:left="0" w:right="-929" w:firstLine="0"/>
        <w:jc w:val="both"/>
        <w:rPr>
          <w:rFonts w:ascii="Palatino Linotype" w:eastAsia="Palatino Linotype" w:hAnsi="Palatino Linotype" w:cs="Palatino Linotype"/>
        </w:rPr>
      </w:pPr>
      <w:r w:rsidRPr="006076A7">
        <w:rPr>
          <w:rFonts w:ascii="Palatino Linotype" w:eastAsia="Palatino Linotype" w:hAnsi="Palatino Linotype" w:cs="Palatino Linotype"/>
        </w:rPr>
        <w:t>Luego entonces para el caso de que la instalación de los cruces haya corrido a cargo del Ayuntamiento, bastará con que así lo haga del conocimiento del particular al momento de dar cumplimiento a la presente Resolución, en términos del párrafo segundo del artículo 19 de la Ley de la Materia.</w:t>
      </w:r>
    </w:p>
    <w:p w14:paraId="786804E5" w14:textId="77777777" w:rsidR="00C545F6" w:rsidRPr="006076A7" w:rsidRDefault="00C545F6">
      <w:pPr>
        <w:spacing w:line="360" w:lineRule="auto"/>
        <w:ind w:right="-929"/>
        <w:jc w:val="both"/>
        <w:rPr>
          <w:rFonts w:ascii="Palatino Linotype" w:eastAsia="Palatino Linotype" w:hAnsi="Palatino Linotype" w:cs="Palatino Linotype"/>
        </w:rPr>
      </w:pPr>
    </w:p>
    <w:p w14:paraId="4990AE8A" w14:textId="77777777" w:rsidR="00C545F6" w:rsidRPr="006076A7" w:rsidRDefault="00B624A5">
      <w:pPr>
        <w:numPr>
          <w:ilvl w:val="0"/>
          <w:numId w:val="3"/>
        </w:numPr>
        <w:spacing w:line="360" w:lineRule="auto"/>
        <w:ind w:left="0" w:right="-929" w:firstLine="0"/>
        <w:jc w:val="both"/>
        <w:rPr>
          <w:rFonts w:ascii="Palatino Linotype" w:eastAsia="Palatino Linotype" w:hAnsi="Palatino Linotype" w:cs="Palatino Linotype"/>
        </w:rPr>
      </w:pPr>
      <w:r w:rsidRPr="006076A7">
        <w:rPr>
          <w:rFonts w:ascii="Palatino Linotype" w:eastAsia="Palatino Linotype" w:hAnsi="Palatino Linotype" w:cs="Palatino Linotype"/>
        </w:rPr>
        <w:t xml:space="preserve">Con la determinación anterior, se tendrá por colmado el derecho de acceso a la información del ahora </w:t>
      </w:r>
      <w:r w:rsidRPr="006076A7">
        <w:rPr>
          <w:rFonts w:ascii="Palatino Linotype" w:eastAsia="Palatino Linotype" w:hAnsi="Palatino Linotype" w:cs="Palatino Linotype"/>
          <w:b/>
          <w:bCs/>
        </w:rPr>
        <w:t>RECURRENTE</w:t>
      </w:r>
      <w:r w:rsidRPr="006076A7">
        <w:rPr>
          <w:rFonts w:ascii="Palatino Linotype" w:eastAsia="Palatino Linotype" w:hAnsi="Palatino Linotype" w:cs="Palatino Linotype"/>
        </w:rPr>
        <w:t xml:space="preserve">; toda vez </w:t>
      </w:r>
      <w:r w:rsidRPr="006076A7">
        <w:rPr>
          <w:rFonts w:ascii="Palatino Linotype" w:eastAsia="Palatino Linotype" w:hAnsi="Palatino Linotype" w:cs="Palatino Linotype"/>
          <w:color w:val="000000"/>
        </w:rPr>
        <w:t xml:space="preserve">que el Derecho que tutela este Órgano Garante corresponde a la  </w:t>
      </w:r>
      <w:r w:rsidRPr="006076A7">
        <w:rPr>
          <w:rFonts w:ascii="Palatino Linotype" w:eastAsia="Palatino Linotype" w:hAnsi="Palatino Linotype" w:cs="Palatino Linotype"/>
          <w:i/>
          <w:iCs/>
        </w:rPr>
        <w:t>igualdad de oportunidades para recibir, buscar e impartir información</w:t>
      </w:r>
      <w:r w:rsidRPr="006076A7">
        <w:rPr>
          <w:rFonts w:ascii="Palatino Linotype" w:eastAsia="Palatino Linotype" w:hAnsi="Palatino Linotype" w:cs="Palatino Linotype"/>
          <w:i/>
          <w:iCs/>
          <w:vertAlign w:val="superscript"/>
        </w:rPr>
        <w:footnoteReference w:id="1"/>
      </w:r>
      <w:r w:rsidRPr="006076A7">
        <w:rPr>
          <w:rFonts w:ascii="Palatino Linotype" w:eastAsia="Palatino Linotype" w:hAnsi="Palatino Linotype" w:cs="Palatino Linotype"/>
          <w:i/>
          <w:iCs/>
        </w:rPr>
        <w:t xml:space="preserve">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6076A7">
        <w:rPr>
          <w:rFonts w:ascii="Palatino Linotype" w:eastAsia="Palatino Linotype" w:hAnsi="Palatino Linotype" w:cs="Palatino Linotype"/>
          <w:vertAlign w:val="superscript"/>
        </w:rPr>
        <w:footnoteReference w:id="2"/>
      </w:r>
      <w:r w:rsidRPr="006076A7">
        <w:rPr>
          <w:rFonts w:ascii="Palatino Linotype" w:eastAsia="Palatino Linotype" w:hAnsi="Palatino Linotype" w:cs="Palatino Linotype"/>
          <w:i/>
          <w:iCs/>
        </w:rPr>
        <w:t xml:space="preserve"> </w:t>
      </w:r>
      <w:r w:rsidRPr="006076A7">
        <w:rPr>
          <w:rFonts w:ascii="Palatino Linotype" w:eastAsia="Palatino Linotype" w:hAnsi="Palatino Linotype" w:cs="Palatino Linotype"/>
        </w:rPr>
        <w:t xml:space="preserve">que se constituye como una herramienta fundamental para </w:t>
      </w:r>
      <w:r w:rsidRPr="006076A7">
        <w:rPr>
          <w:rFonts w:ascii="Palatino Linotype" w:eastAsia="Palatino Linotype" w:hAnsi="Palatino Linotype" w:cs="Palatino Linotype"/>
          <w:i/>
          <w:iCs/>
        </w:rPr>
        <w:t xml:space="preserve">ejercer control democrático de las gestiones estatales, de forma tal que puedan cuestionar, indagar y </w:t>
      </w:r>
      <w:r w:rsidRPr="006076A7">
        <w:rPr>
          <w:rFonts w:ascii="Palatino Linotype" w:eastAsia="Palatino Linotype" w:hAnsi="Palatino Linotype" w:cs="Palatino Linotype"/>
          <w:i/>
          <w:iCs/>
        </w:rPr>
        <w:lastRenderedPageBreak/>
        <w:t>considerar si se está dando un adecuado cumplimiento de las funciones públicas,</w:t>
      </w:r>
      <w:r w:rsidRPr="006076A7">
        <w:rPr>
          <w:rFonts w:ascii="Palatino Linotype" w:eastAsia="Palatino Linotype" w:hAnsi="Palatino Linotype" w:cs="Palatino Linotype"/>
          <w:i/>
          <w:iCs/>
          <w:vertAlign w:val="superscript"/>
        </w:rPr>
        <w:footnoteReference w:id="3"/>
      </w:r>
      <w:r w:rsidRPr="006076A7">
        <w:rPr>
          <w:rFonts w:ascii="Palatino Linotype" w:eastAsia="Palatino Linotype" w:hAnsi="Palatino Linotype" w:cs="Palatino Linotype"/>
        </w:rPr>
        <w:t>fomentando</w:t>
      </w:r>
      <w:r w:rsidRPr="006076A7">
        <w:rPr>
          <w:rFonts w:ascii="Palatino Linotype" w:eastAsia="Palatino Linotype" w:hAnsi="Palatino Linotype" w:cs="Palatino Linotype"/>
          <w:i/>
          <w:iCs/>
        </w:rPr>
        <w:t xml:space="preserve"> la transparencia de las actividades estatales y</w:t>
      </w:r>
      <w:r w:rsidRPr="006076A7">
        <w:rPr>
          <w:rFonts w:ascii="Palatino Linotype" w:eastAsia="Palatino Linotype" w:hAnsi="Palatino Linotype" w:cs="Palatino Linotype"/>
        </w:rPr>
        <w:t xml:space="preserve"> promoviendo</w:t>
      </w:r>
      <w:r w:rsidRPr="006076A7">
        <w:rPr>
          <w:rFonts w:ascii="Palatino Linotype" w:eastAsia="Palatino Linotype" w:hAnsi="Palatino Linotype" w:cs="Palatino Linotype"/>
          <w:i/>
          <w:iCs/>
        </w:rPr>
        <w:t xml:space="preserve"> la responsabilidad de los funcionarios sobre su gestión pública</w:t>
      </w:r>
      <w:r w:rsidRPr="006076A7">
        <w:rPr>
          <w:rFonts w:ascii="Palatino Linotype" w:eastAsia="Palatino Linotype" w:hAnsi="Palatino Linotype" w:cs="Palatino Linotype"/>
          <w:i/>
          <w:iCs/>
          <w:vertAlign w:val="superscript"/>
        </w:rPr>
        <w:footnoteReference w:id="4"/>
      </w:r>
      <w:r w:rsidRPr="006076A7">
        <w:rPr>
          <w:rFonts w:ascii="Palatino Linotype" w:eastAsia="Palatino Linotype" w:hAnsi="Palatino Linotype" w:cs="Palatino Linotype"/>
          <w:i/>
          <w:iCs/>
        </w:rPr>
        <w:t xml:space="preserve"> </w:t>
      </w:r>
      <w:r w:rsidRPr="006076A7">
        <w:rPr>
          <w:rFonts w:ascii="Palatino Linotype" w:eastAsia="Palatino Linotype" w:hAnsi="Palatino Linotype" w:cs="Palatino Linotype"/>
        </w:rPr>
        <w:t>que permite</w:t>
      </w:r>
      <w:r w:rsidRPr="006076A7">
        <w:rPr>
          <w:rFonts w:ascii="Palatino Linotype" w:eastAsia="Palatino Linotype" w:hAnsi="Palatino Linotype" w:cs="Palatino Linotype"/>
          <w:i/>
          <w:iCs/>
        </w:rPr>
        <w:t xml:space="preserve"> saber qué están haciendo los gobiernos por sus pueblos, sin lo cual la verdad languidecería y la participación en el gobierno permanecería fragmentada.</w:t>
      </w:r>
      <w:r w:rsidRPr="006076A7">
        <w:rPr>
          <w:rFonts w:ascii="Palatino Linotype" w:eastAsia="Palatino Linotype" w:hAnsi="Palatino Linotype" w:cs="Palatino Linotype"/>
          <w:i/>
          <w:iCs/>
          <w:vertAlign w:val="superscript"/>
        </w:rPr>
        <w:footnoteReference w:id="5"/>
      </w:r>
      <w:r w:rsidRPr="006076A7">
        <w:rPr>
          <w:rFonts w:ascii="Palatino Linotype" w:eastAsia="Palatino Linotype" w:hAnsi="Palatino Linotype" w:cs="Palatino Linotype"/>
        </w:rPr>
        <w:t xml:space="preserve"> ” </w:t>
      </w:r>
    </w:p>
    <w:p w14:paraId="4E84CCF5" w14:textId="77777777" w:rsidR="00C545F6" w:rsidRPr="006076A7" w:rsidRDefault="00C545F6">
      <w:pPr>
        <w:spacing w:line="360" w:lineRule="auto"/>
        <w:ind w:right="-929"/>
        <w:jc w:val="both"/>
        <w:rPr>
          <w:rFonts w:ascii="Palatino Linotype" w:eastAsia="Palatino Linotype" w:hAnsi="Palatino Linotype" w:cs="Palatino Linotype"/>
        </w:rPr>
      </w:pPr>
    </w:p>
    <w:p w14:paraId="57B7B143" w14:textId="77777777" w:rsidR="00C545F6" w:rsidRPr="006076A7" w:rsidRDefault="00B624A5">
      <w:pPr>
        <w:numPr>
          <w:ilvl w:val="0"/>
          <w:numId w:val="3"/>
        </w:numPr>
        <w:spacing w:line="360" w:lineRule="auto"/>
        <w:ind w:left="0" w:right="-929" w:firstLine="0"/>
        <w:jc w:val="both"/>
        <w:rPr>
          <w:rFonts w:ascii="Palatino Linotype" w:eastAsia="Palatino Linotype" w:hAnsi="Palatino Linotype" w:cs="Palatino Linotype"/>
        </w:rPr>
      </w:pPr>
      <w:r w:rsidRPr="006076A7">
        <w:rPr>
          <w:rFonts w:ascii="Palatino Linotype" w:eastAsia="Palatino Linotype" w:hAnsi="Palatino Linotype" w:cs="Palatino Linotype"/>
        </w:rPr>
        <w:t xml:space="preserve">Es así que, todos los actos de autoridad que realicen los Sujetos Obligados </w:t>
      </w:r>
      <w:r w:rsidRPr="006076A7">
        <w:rPr>
          <w:rFonts w:ascii="Palatino Linotype" w:eastAsia="Palatino Linotype" w:hAnsi="Palatino Linotype" w:cs="Palatino Linotype"/>
          <w:b/>
          <w:bCs/>
        </w:rPr>
        <w:t>deben estar documentados</w:t>
      </w:r>
      <w:r w:rsidRPr="006076A7">
        <w:rPr>
          <w:rFonts w:ascii="Palatino Linotype" w:eastAsia="Palatino Linotype" w:hAnsi="Palatino Linotype" w:cs="Palatino Linotype"/>
        </w:rPr>
        <w:t xml:space="preserve"> y, bajo el más alto estándar de transparencia deberán poner toda la información que se encuentre en su posesión, a disposición de los particulares que la soliciten.</w:t>
      </w:r>
    </w:p>
    <w:p w14:paraId="3D184483" w14:textId="77777777" w:rsidR="00C545F6" w:rsidRPr="006076A7" w:rsidRDefault="00C545F6">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14:paraId="67092204" w14:textId="77777777" w:rsidR="00C545F6" w:rsidRPr="006076A7" w:rsidRDefault="00B624A5">
      <w:pPr>
        <w:numPr>
          <w:ilvl w:val="0"/>
          <w:numId w:val="3"/>
        </w:numPr>
        <w:spacing w:line="360" w:lineRule="auto"/>
        <w:ind w:left="0" w:right="-929" w:firstLine="0"/>
        <w:jc w:val="both"/>
        <w:rPr>
          <w:rFonts w:ascii="Palatino Linotype" w:eastAsia="Palatino Linotype" w:hAnsi="Palatino Linotype" w:cs="Palatino Linotype"/>
        </w:rPr>
      </w:pPr>
      <w:r w:rsidRPr="006076A7">
        <w:rPr>
          <w:rFonts w:ascii="Palatino Linotype" w:eastAsia="Palatino Linotype" w:hAnsi="Palatino Linotype" w:cs="Palatino Linotype"/>
          <w:color w:val="000000"/>
        </w:rPr>
        <w:t xml:space="preserve">Además, </w:t>
      </w:r>
      <w:r w:rsidRPr="006076A7">
        <w:rPr>
          <w:rFonts w:ascii="Palatino Linotype" w:eastAsia="Palatino Linotype" w:hAnsi="Palatino Linotype" w:cs="Palatino Linotype"/>
        </w:rPr>
        <w:t>debemos</w:t>
      </w:r>
      <w:r w:rsidRPr="006076A7">
        <w:rPr>
          <w:rFonts w:ascii="Palatino Linotype" w:eastAsia="Palatino Linotype" w:hAnsi="Palatino Linotype" w:cs="Palatino Linotype"/>
          <w:color w:val="000000"/>
        </w:rPr>
        <w:t xml:space="preserve"> tomar en cuenta los artículos 4 y 12 (antes transcritos), de la Ley de Transparencia y Acceso a la Información Pública del Estado de México y </w:t>
      </w:r>
      <w:r w:rsidRPr="006076A7">
        <w:rPr>
          <w:rFonts w:ascii="Palatino Linotype" w:eastAsia="Palatino Linotype" w:hAnsi="Palatino Linotype" w:cs="Palatino Linotype"/>
        </w:rPr>
        <w:t>Municipios</w:t>
      </w:r>
      <w:r w:rsidRPr="006076A7">
        <w:rPr>
          <w:rFonts w:ascii="Palatino Linotype" w:eastAsia="Palatino Linotype" w:hAnsi="Palatino Linotype" w:cs="Palatino Linotype"/>
          <w:color w:val="000000"/>
        </w:rPr>
        <w:t xml:space="preserve">. </w:t>
      </w:r>
      <w:r w:rsidRPr="006076A7">
        <w:rPr>
          <w:rFonts w:ascii="Palatino Linotype" w:eastAsia="Palatino Linotype" w:hAnsi="Palatino Linotype" w:cs="Palatino Linotype"/>
        </w:rPr>
        <w:t xml:space="preserve">Es así que, por un lado se tiene la obligación de documentar todos los actos que se lleven a cabo en el ejercicio de sus funciones, atribuciones y competencias, mientras que por otro, se ven impuestos por la obligación de hacer pública toda aquella </w:t>
      </w:r>
      <w:r w:rsidRPr="006076A7">
        <w:rPr>
          <w:rFonts w:ascii="Palatino Linotype" w:eastAsia="Palatino Linotype" w:hAnsi="Palatino Linotype" w:cs="Palatino Linotype"/>
          <w:color w:val="000000"/>
        </w:rPr>
        <w:t>información</w:t>
      </w:r>
      <w:r w:rsidRPr="006076A7">
        <w:rPr>
          <w:rFonts w:ascii="Palatino Linotype" w:eastAsia="Palatino Linotype" w:hAnsi="Palatino Linotype" w:cs="Palatino Linotype"/>
        </w:rPr>
        <w:t xml:space="preserve"> que se encuentre en su posesión en estricto apego a los principios de eficacia</w:t>
      </w:r>
      <w:r w:rsidRPr="006076A7">
        <w:rPr>
          <w:rFonts w:ascii="Palatino Linotype" w:eastAsia="Palatino Linotype" w:hAnsi="Palatino Linotype" w:cs="Palatino Linotype"/>
          <w:vertAlign w:val="superscript"/>
        </w:rPr>
        <w:footnoteReference w:id="6"/>
      </w:r>
      <w:r w:rsidRPr="006076A7">
        <w:rPr>
          <w:rFonts w:ascii="Palatino Linotype" w:eastAsia="Palatino Linotype" w:hAnsi="Palatino Linotype" w:cs="Palatino Linotype"/>
        </w:rPr>
        <w:t xml:space="preserve"> y máxima publicidad, sobre éste último se debe poner mayor énfasis, puesto que establece que toda la información en </w:t>
      </w:r>
      <w:r w:rsidRPr="006076A7">
        <w:rPr>
          <w:rFonts w:ascii="Palatino Linotype" w:eastAsia="Palatino Linotype" w:hAnsi="Palatino Linotype" w:cs="Palatino Linotype"/>
        </w:rPr>
        <w:lastRenderedPageBreak/>
        <w:t>posesión de los Sujetos Obligados será pública, completa, oportuna y accesible, lo que permite que la ciudadanía tenga un amplio acceso sobre lo que es el actuar de las autoridades.</w:t>
      </w:r>
    </w:p>
    <w:p w14:paraId="646AD7C8" w14:textId="77777777" w:rsidR="00C545F6" w:rsidRPr="006076A7" w:rsidRDefault="00C545F6">
      <w:pPr>
        <w:spacing w:line="360" w:lineRule="auto"/>
        <w:ind w:right="-929"/>
        <w:jc w:val="both"/>
        <w:rPr>
          <w:rFonts w:ascii="Palatino Linotype" w:eastAsia="Palatino Linotype" w:hAnsi="Palatino Linotype" w:cs="Palatino Linotype"/>
        </w:rPr>
      </w:pPr>
    </w:p>
    <w:p w14:paraId="71E4F5CF" w14:textId="77777777" w:rsidR="00C545F6" w:rsidRPr="006076A7" w:rsidRDefault="00B624A5">
      <w:pPr>
        <w:spacing w:line="360" w:lineRule="auto"/>
        <w:ind w:right="-929"/>
        <w:jc w:val="both"/>
        <w:rPr>
          <w:rFonts w:ascii="Palatino Linotype" w:eastAsia="Palatino Linotype" w:hAnsi="Palatino Linotype" w:cs="Palatino Linotype"/>
          <w:b/>
          <w:bCs/>
        </w:rPr>
      </w:pPr>
      <w:r w:rsidRPr="006076A7">
        <w:rPr>
          <w:rFonts w:ascii="Palatino Linotype" w:eastAsia="Palatino Linotype" w:hAnsi="Palatino Linotype" w:cs="Palatino Linotype"/>
          <w:b/>
          <w:bCs/>
        </w:rPr>
        <w:t>QUINTO. De la versión pública.</w:t>
      </w:r>
    </w:p>
    <w:p w14:paraId="77B70473" w14:textId="77777777" w:rsidR="00C545F6" w:rsidRPr="006076A7" w:rsidRDefault="00B624A5">
      <w:pPr>
        <w:numPr>
          <w:ilvl w:val="0"/>
          <w:numId w:val="3"/>
        </w:numPr>
        <w:spacing w:line="360" w:lineRule="auto"/>
        <w:ind w:left="0" w:right="-929" w:firstLine="0"/>
        <w:jc w:val="both"/>
        <w:rPr>
          <w:rFonts w:ascii="Palatino Linotype" w:eastAsia="Palatino Linotype" w:hAnsi="Palatino Linotype" w:cs="Palatino Linotype"/>
        </w:rPr>
      </w:pPr>
      <w:r w:rsidRPr="006076A7">
        <w:rPr>
          <w:rFonts w:ascii="Palatino Linotype" w:eastAsia="Palatino Linotype" w:hAnsi="Palatino Linotype" w:cs="Palatino Linotype"/>
          <w:color w:val="000000"/>
        </w:rPr>
        <w:t>Finalmente</w:t>
      </w:r>
      <w:r w:rsidRPr="006076A7">
        <w:rPr>
          <w:rFonts w:ascii="Palatino Linotype" w:eastAsia="Palatino Linotype" w:hAnsi="Palatino Linotype" w:cs="Palatino Linotype"/>
        </w:rPr>
        <w:t xml:space="preserve">, debe señalarse que lo ordenado contiene datos personales conforme al análisis realizado, por tanto el </w:t>
      </w:r>
      <w:r w:rsidRPr="006076A7">
        <w:rPr>
          <w:rFonts w:ascii="Palatino Linotype" w:eastAsia="Palatino Linotype" w:hAnsi="Palatino Linotype" w:cs="Palatino Linotype"/>
          <w:b/>
          <w:bCs/>
        </w:rPr>
        <w:t>SUJETO OBLIGADO</w:t>
      </w:r>
      <w:r w:rsidRPr="006076A7">
        <w:rPr>
          <w:rFonts w:ascii="Palatino Linotype" w:eastAsia="Palatino Linotype" w:hAnsi="Palatino Linotype" w:cs="Palatino Linotype"/>
        </w:rPr>
        <w:t>, para dar cumplimiento a la presente Resolución, deberá proceder a la elaboración de la versión pública de tales documentos a fin de satisfacer el derecho de acceso a la información pública del recurrente sin menoscabo al derecho a la protección de los datos personales de terceros.</w:t>
      </w:r>
    </w:p>
    <w:p w14:paraId="4332B287" w14:textId="77777777" w:rsidR="00C545F6" w:rsidRPr="006076A7" w:rsidRDefault="00C545F6">
      <w:pPr>
        <w:spacing w:line="360" w:lineRule="auto"/>
        <w:ind w:right="-929"/>
        <w:jc w:val="both"/>
        <w:rPr>
          <w:rFonts w:ascii="Palatino Linotype" w:eastAsia="Palatino Linotype" w:hAnsi="Palatino Linotype" w:cs="Palatino Linotype"/>
        </w:rPr>
      </w:pPr>
    </w:p>
    <w:p w14:paraId="0AF7BD89" w14:textId="77777777" w:rsidR="00C545F6" w:rsidRPr="006076A7" w:rsidRDefault="00B624A5">
      <w:pPr>
        <w:numPr>
          <w:ilvl w:val="0"/>
          <w:numId w:val="3"/>
        </w:numPr>
        <w:spacing w:line="360" w:lineRule="auto"/>
        <w:ind w:left="0" w:right="-929" w:firstLine="0"/>
        <w:jc w:val="both"/>
        <w:rPr>
          <w:rFonts w:ascii="Palatino Linotype" w:eastAsia="Palatino Linotype" w:hAnsi="Palatino Linotype" w:cs="Palatino Linotype"/>
        </w:rPr>
      </w:pPr>
      <w:r w:rsidRPr="006076A7">
        <w:rPr>
          <w:rFonts w:ascii="Palatino Linotype" w:eastAsia="Palatino Linotype" w:hAnsi="Palatino Linotype" w:cs="Palatino Linotype"/>
        </w:rPr>
        <w:t>Para efectos de la elaboración de la versión pública se deberá observar lo dispuesto por los artículos 3 fracciones IX, XX, XXI y XLV, 91, 132 fracciones II y III, y 143 fracción I de la Ley de Transparencia y Acceso a la Información Pública del Estado de México y Municipios que establecen:</w:t>
      </w:r>
    </w:p>
    <w:p w14:paraId="5D2EF81A" w14:textId="77777777" w:rsidR="00C545F6" w:rsidRPr="006076A7" w:rsidRDefault="00B624A5">
      <w:pPr>
        <w:spacing w:line="360" w:lineRule="auto"/>
        <w:ind w:left="851"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i/>
          <w:iCs/>
        </w:rPr>
        <w:t>“</w:t>
      </w:r>
      <w:r w:rsidRPr="006076A7">
        <w:rPr>
          <w:rFonts w:ascii="Palatino Linotype" w:eastAsia="Palatino Linotype" w:hAnsi="Palatino Linotype" w:cs="Palatino Linotype"/>
          <w:b/>
          <w:bCs/>
          <w:i/>
          <w:iCs/>
        </w:rPr>
        <w:t>Artículo 3</w:t>
      </w:r>
      <w:r w:rsidRPr="006076A7">
        <w:rPr>
          <w:rFonts w:ascii="Palatino Linotype" w:eastAsia="Palatino Linotype" w:hAnsi="Palatino Linotype" w:cs="Palatino Linotype"/>
          <w:i/>
          <w:iCs/>
        </w:rPr>
        <w:t>. Para los efectos de la presente Ley se entenderá por:</w:t>
      </w:r>
    </w:p>
    <w:p w14:paraId="6DF0D449" w14:textId="77777777" w:rsidR="00C545F6" w:rsidRPr="006076A7" w:rsidRDefault="00B624A5">
      <w:pPr>
        <w:spacing w:line="360" w:lineRule="auto"/>
        <w:ind w:left="1134"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i/>
          <w:iCs/>
        </w:rPr>
        <w:t>[…]</w:t>
      </w:r>
    </w:p>
    <w:p w14:paraId="4B0CE25D" w14:textId="77777777" w:rsidR="00C545F6" w:rsidRPr="006076A7" w:rsidRDefault="00B624A5">
      <w:pPr>
        <w:spacing w:line="360" w:lineRule="auto"/>
        <w:ind w:left="1134"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b/>
          <w:bCs/>
          <w:i/>
          <w:iCs/>
        </w:rPr>
        <w:t>IX. Datos personales</w:t>
      </w:r>
      <w:r w:rsidRPr="006076A7">
        <w:rPr>
          <w:rFonts w:ascii="Palatino Linotype" w:eastAsia="Palatino Linotype" w:hAnsi="Palatino Linotype" w:cs="Palatino Linotype"/>
          <w:i/>
          <w:iCs/>
        </w:rPr>
        <w:t xml:space="preserve">: La información concerniente a una persona, identificada o identificable según lo dispuesto por la Ley de Protección de Datos Personales del Estado de México; </w:t>
      </w:r>
    </w:p>
    <w:p w14:paraId="4854EEB7" w14:textId="77777777" w:rsidR="00C545F6" w:rsidRPr="006076A7" w:rsidRDefault="00B624A5">
      <w:pPr>
        <w:spacing w:line="360" w:lineRule="auto"/>
        <w:ind w:left="1134"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b/>
          <w:bCs/>
          <w:i/>
          <w:iCs/>
        </w:rPr>
        <w:t>XX. Información clasificada</w:t>
      </w:r>
      <w:r w:rsidRPr="006076A7">
        <w:rPr>
          <w:rFonts w:ascii="Palatino Linotype" w:eastAsia="Palatino Linotype" w:hAnsi="Palatino Linotype" w:cs="Palatino Linotype"/>
          <w:i/>
          <w:iCs/>
        </w:rPr>
        <w:t>: Aquella considerada por la presente Ley como reservada o confidencial;</w:t>
      </w:r>
    </w:p>
    <w:p w14:paraId="7D56AFA7" w14:textId="77777777" w:rsidR="00C545F6" w:rsidRPr="006076A7" w:rsidRDefault="00B624A5">
      <w:pPr>
        <w:spacing w:line="360" w:lineRule="auto"/>
        <w:ind w:left="1134"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b/>
          <w:bCs/>
          <w:i/>
          <w:iCs/>
        </w:rPr>
        <w:t xml:space="preserve">XXI. Información confidencial: </w:t>
      </w:r>
      <w:r w:rsidRPr="006076A7">
        <w:rPr>
          <w:rFonts w:ascii="Palatino Linotype" w:eastAsia="Palatino Linotype" w:hAnsi="Palatino Linotype" w:cs="Palatino Linotype"/>
          <w:i/>
          <w:iCs/>
        </w:rPr>
        <w:t xml:space="preserve">Se considera como información confidencial los secretos bancario, fiduciario, industrial, comercial, fiscal, bursátil y postal, cuya titularidad </w:t>
      </w:r>
      <w:r w:rsidRPr="006076A7">
        <w:rPr>
          <w:rFonts w:ascii="Palatino Linotype" w:eastAsia="Palatino Linotype" w:hAnsi="Palatino Linotype" w:cs="Palatino Linotype"/>
          <w:i/>
          <w:iCs/>
        </w:rPr>
        <w:lastRenderedPageBreak/>
        <w:t>corresponda a particulares, sujetos de derecho internacional o a sujetos obligados cuando no involucren el ejercicio de recursos públicos;</w:t>
      </w:r>
    </w:p>
    <w:p w14:paraId="019D9D52" w14:textId="77777777" w:rsidR="00C545F6" w:rsidRPr="006076A7" w:rsidRDefault="00B624A5">
      <w:pPr>
        <w:spacing w:line="360" w:lineRule="auto"/>
        <w:ind w:left="1134"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b/>
          <w:bCs/>
          <w:i/>
          <w:iCs/>
        </w:rPr>
        <w:t>XLV. Versión pública:</w:t>
      </w:r>
      <w:r w:rsidRPr="006076A7">
        <w:rPr>
          <w:rFonts w:ascii="Palatino Linotype" w:eastAsia="Palatino Linotype" w:hAnsi="Palatino Linotype" w:cs="Palatino Linotype"/>
          <w:i/>
          <w:iCs/>
        </w:rPr>
        <w:t xml:space="preserve"> Documento en el que se elimine, suprime o borra la información clasificada como reservada o confidencial para permitir su acceso.</w:t>
      </w:r>
    </w:p>
    <w:p w14:paraId="16A90BD0" w14:textId="77777777" w:rsidR="00C545F6" w:rsidRPr="006076A7" w:rsidRDefault="00B624A5">
      <w:pPr>
        <w:spacing w:line="360" w:lineRule="auto"/>
        <w:ind w:left="1134"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i/>
          <w:iCs/>
        </w:rPr>
        <w:t>[…]</w:t>
      </w:r>
    </w:p>
    <w:p w14:paraId="6E36E6CE" w14:textId="77777777" w:rsidR="00C545F6" w:rsidRPr="006076A7" w:rsidRDefault="00C545F6">
      <w:pPr>
        <w:spacing w:line="360" w:lineRule="auto"/>
        <w:ind w:left="1134" w:right="-929"/>
        <w:jc w:val="both"/>
        <w:rPr>
          <w:rFonts w:ascii="Palatino Linotype" w:eastAsia="Palatino Linotype" w:hAnsi="Palatino Linotype" w:cs="Palatino Linotype"/>
          <w:i/>
          <w:iCs/>
        </w:rPr>
      </w:pPr>
    </w:p>
    <w:p w14:paraId="4B4153AD" w14:textId="77777777" w:rsidR="00C545F6" w:rsidRPr="006076A7" w:rsidRDefault="00B624A5">
      <w:pPr>
        <w:spacing w:line="360" w:lineRule="auto"/>
        <w:ind w:left="851"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b/>
          <w:bCs/>
          <w:i/>
          <w:iCs/>
        </w:rPr>
        <w:t>Artículo 91.</w:t>
      </w:r>
      <w:r w:rsidRPr="006076A7">
        <w:rPr>
          <w:rFonts w:ascii="Palatino Linotype" w:eastAsia="Palatino Linotype" w:hAnsi="Palatino Linotype" w:cs="Palatino Linotype"/>
          <w:i/>
          <w:iCs/>
        </w:rPr>
        <w:t xml:space="preserve"> El acceso a la información pública será restringido excepcionalmente, cuando ésta sea clasificada como reservada o confidencial.</w:t>
      </w:r>
    </w:p>
    <w:p w14:paraId="2433E632" w14:textId="77777777" w:rsidR="00C545F6" w:rsidRPr="006076A7" w:rsidRDefault="00C545F6">
      <w:pPr>
        <w:spacing w:line="360" w:lineRule="auto"/>
        <w:ind w:left="851" w:right="-929"/>
        <w:jc w:val="both"/>
        <w:rPr>
          <w:rFonts w:ascii="Palatino Linotype" w:eastAsia="Palatino Linotype" w:hAnsi="Palatino Linotype" w:cs="Palatino Linotype"/>
          <w:i/>
          <w:iCs/>
        </w:rPr>
      </w:pPr>
    </w:p>
    <w:p w14:paraId="7612D78A" w14:textId="77777777" w:rsidR="00C545F6" w:rsidRPr="006076A7" w:rsidRDefault="00B624A5">
      <w:pPr>
        <w:spacing w:line="360" w:lineRule="auto"/>
        <w:ind w:left="851"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b/>
          <w:bCs/>
          <w:i/>
          <w:iCs/>
        </w:rPr>
        <w:t>Artículo 132.</w:t>
      </w:r>
      <w:r w:rsidRPr="006076A7">
        <w:rPr>
          <w:rFonts w:ascii="Palatino Linotype" w:eastAsia="Palatino Linotype" w:hAnsi="Palatino Linotype" w:cs="Palatino Linotype"/>
          <w:i/>
          <w:iCs/>
        </w:rPr>
        <w:t xml:space="preserve"> La clasificación de la información se llevará a cabo en el momento en que:</w:t>
      </w:r>
    </w:p>
    <w:p w14:paraId="4BE3BEFF" w14:textId="77777777" w:rsidR="00C545F6" w:rsidRPr="006076A7" w:rsidRDefault="00B624A5">
      <w:pPr>
        <w:spacing w:line="360" w:lineRule="auto"/>
        <w:ind w:left="1134"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b/>
          <w:bCs/>
          <w:i/>
          <w:iCs/>
        </w:rPr>
        <w:t>I</w:t>
      </w:r>
      <w:r w:rsidRPr="006076A7">
        <w:rPr>
          <w:rFonts w:ascii="Palatino Linotype" w:eastAsia="Palatino Linotype" w:hAnsi="Palatino Linotype" w:cs="Palatino Linotype"/>
          <w:i/>
          <w:iCs/>
        </w:rPr>
        <w:t>. Se reciba una solicitud de acceso a la información;</w:t>
      </w:r>
    </w:p>
    <w:p w14:paraId="7B230BD5" w14:textId="77777777" w:rsidR="00C545F6" w:rsidRPr="006076A7" w:rsidRDefault="00B624A5">
      <w:pPr>
        <w:spacing w:line="360" w:lineRule="auto"/>
        <w:ind w:left="1134"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b/>
          <w:bCs/>
          <w:i/>
          <w:iCs/>
        </w:rPr>
        <w:t>II.</w:t>
      </w:r>
      <w:r w:rsidRPr="006076A7">
        <w:rPr>
          <w:rFonts w:ascii="Palatino Linotype" w:eastAsia="Palatino Linotype" w:hAnsi="Palatino Linotype" w:cs="Palatino Linotype"/>
          <w:i/>
          <w:iCs/>
        </w:rPr>
        <w:t xml:space="preserve"> Se determine mediante resolución de autoridad competente; o</w:t>
      </w:r>
    </w:p>
    <w:p w14:paraId="0A89EA5C" w14:textId="77777777" w:rsidR="00C545F6" w:rsidRPr="006076A7" w:rsidRDefault="00B624A5">
      <w:pPr>
        <w:spacing w:line="360" w:lineRule="auto"/>
        <w:ind w:left="1134"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b/>
          <w:bCs/>
          <w:i/>
          <w:iCs/>
        </w:rPr>
        <w:t>III.</w:t>
      </w:r>
      <w:r w:rsidRPr="006076A7">
        <w:rPr>
          <w:rFonts w:ascii="Palatino Linotype" w:eastAsia="Palatino Linotype" w:hAnsi="Palatino Linotype" w:cs="Palatino Linotype"/>
          <w:i/>
          <w:iCs/>
        </w:rPr>
        <w:t xml:space="preserve"> Se generen versiones públicas para dar cumplimiento a las obligaciones de transparencia previstas en esta Ley.</w:t>
      </w:r>
    </w:p>
    <w:p w14:paraId="67F08830" w14:textId="77777777" w:rsidR="00C545F6" w:rsidRPr="006076A7" w:rsidRDefault="00B624A5">
      <w:pPr>
        <w:spacing w:line="360" w:lineRule="auto"/>
        <w:ind w:left="851"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i/>
          <w:iCs/>
        </w:rPr>
        <w:t>[…]</w:t>
      </w:r>
    </w:p>
    <w:p w14:paraId="11A57F31" w14:textId="77777777" w:rsidR="00C545F6" w:rsidRPr="006076A7" w:rsidRDefault="00C545F6">
      <w:pPr>
        <w:spacing w:line="360" w:lineRule="auto"/>
        <w:ind w:left="851" w:right="-929"/>
        <w:jc w:val="both"/>
        <w:rPr>
          <w:rFonts w:ascii="Palatino Linotype" w:eastAsia="Palatino Linotype" w:hAnsi="Palatino Linotype" w:cs="Palatino Linotype"/>
          <w:i/>
          <w:iCs/>
        </w:rPr>
      </w:pPr>
    </w:p>
    <w:p w14:paraId="150D47E8" w14:textId="77777777" w:rsidR="00C545F6" w:rsidRPr="006076A7" w:rsidRDefault="00B624A5">
      <w:pPr>
        <w:spacing w:line="360" w:lineRule="auto"/>
        <w:ind w:left="851"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b/>
          <w:bCs/>
          <w:i/>
          <w:iCs/>
        </w:rPr>
        <w:t>Artículo 143</w:t>
      </w:r>
      <w:r w:rsidRPr="006076A7">
        <w:rPr>
          <w:rFonts w:ascii="Palatino Linotype" w:eastAsia="Palatino Linotype" w:hAnsi="Palatino Linotype" w:cs="Palatino Linotype"/>
          <w:i/>
          <w:iCs/>
        </w:rPr>
        <w:t>. Para los efectos de esta Ley se considera información confidencial, la clasificada como tal, de manera permanente, por su naturaleza, cuando:</w:t>
      </w:r>
    </w:p>
    <w:p w14:paraId="398C3F3C" w14:textId="77777777" w:rsidR="00C545F6" w:rsidRPr="006076A7" w:rsidRDefault="00B624A5">
      <w:pPr>
        <w:spacing w:line="360" w:lineRule="auto"/>
        <w:ind w:left="1134"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b/>
          <w:bCs/>
          <w:i/>
          <w:iCs/>
        </w:rPr>
        <w:t>I.</w:t>
      </w:r>
      <w:r w:rsidRPr="006076A7">
        <w:rPr>
          <w:rFonts w:ascii="Palatino Linotype" w:eastAsia="Palatino Linotype" w:hAnsi="Palatino Linotype" w:cs="Palatino Linotype"/>
          <w:i/>
          <w:iCs/>
        </w:rPr>
        <w:t xml:space="preserve"> Se refiera a la información privada y los datos personales concernientes a una persona física o jurídico colectiva identificada o identificable;</w:t>
      </w:r>
    </w:p>
    <w:p w14:paraId="5462C43A" w14:textId="77777777" w:rsidR="00C545F6" w:rsidRPr="006076A7" w:rsidRDefault="00B624A5">
      <w:pPr>
        <w:spacing w:line="360" w:lineRule="auto"/>
        <w:ind w:left="1134"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b/>
          <w:bCs/>
          <w:i/>
          <w:iCs/>
        </w:rPr>
        <w:t>II.</w:t>
      </w:r>
      <w:r w:rsidRPr="006076A7">
        <w:rPr>
          <w:rFonts w:ascii="Palatino Linotype" w:eastAsia="Palatino Linotype" w:hAnsi="Palatino Linotype" w:cs="Palatino Linotype"/>
          <w:i/>
          <w:iCs/>
        </w:rPr>
        <w:t xml:space="preserve"> Los secretos bancario, fiduciario, industrial, comercial, fiscal, bursátil y postal, cuya titularidad corresponda a particulares, sujetos de derecho internacional o a sujetos obligados cuando no involucren el ejercicio de recursos públicos; y</w:t>
      </w:r>
    </w:p>
    <w:p w14:paraId="6C0EC055" w14:textId="77777777" w:rsidR="00C545F6" w:rsidRPr="006076A7" w:rsidRDefault="00B624A5">
      <w:pPr>
        <w:spacing w:line="360" w:lineRule="auto"/>
        <w:ind w:left="1134"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b/>
          <w:bCs/>
          <w:i/>
          <w:iCs/>
        </w:rPr>
        <w:lastRenderedPageBreak/>
        <w:t>III.</w:t>
      </w:r>
      <w:r w:rsidRPr="006076A7">
        <w:rPr>
          <w:rFonts w:ascii="Palatino Linotype" w:eastAsia="Palatino Linotype" w:hAnsi="Palatino Linotype" w:cs="Palatino Linotype"/>
          <w:i/>
          <w:iCs/>
        </w:rPr>
        <w:t xml:space="preserve"> La que presenten los particulares a los sujetos obligados, de conformidad con lo dispuesto por las leyes o los tratados internacionales.</w:t>
      </w:r>
    </w:p>
    <w:p w14:paraId="0CF55FDD" w14:textId="77777777" w:rsidR="00C545F6" w:rsidRPr="006076A7" w:rsidRDefault="00B624A5">
      <w:pPr>
        <w:spacing w:line="360" w:lineRule="auto"/>
        <w:ind w:left="851"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i/>
          <w:iCs/>
        </w:rPr>
        <w:t>La información confidencial no estará sujeta a temporalidad alguna y sólo podrán tener acceso a ella los titulares de la misma, sus representantes y los servidores públicos facultados para ello.</w:t>
      </w:r>
    </w:p>
    <w:p w14:paraId="3C6B52D0" w14:textId="77777777" w:rsidR="00C545F6" w:rsidRPr="006076A7" w:rsidRDefault="00B624A5">
      <w:pPr>
        <w:spacing w:line="360" w:lineRule="auto"/>
        <w:ind w:left="851"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i/>
          <w:iCs/>
        </w:rPr>
        <w:t>No se considerará confidencial la información que se encuentre en los registros públicos o en fuentes de acceso público, ni tampoco la que sea considerada por la presente ley como información pública.”</w:t>
      </w:r>
    </w:p>
    <w:p w14:paraId="7C54D1DF" w14:textId="77777777" w:rsidR="00C545F6" w:rsidRPr="006076A7" w:rsidRDefault="00C545F6">
      <w:pPr>
        <w:spacing w:line="360" w:lineRule="auto"/>
        <w:ind w:left="851" w:right="-929"/>
        <w:jc w:val="both"/>
        <w:rPr>
          <w:rFonts w:ascii="Palatino Linotype" w:eastAsia="Palatino Linotype" w:hAnsi="Palatino Linotype" w:cs="Palatino Linotype"/>
          <w:i/>
          <w:iCs/>
        </w:rPr>
      </w:pPr>
    </w:p>
    <w:p w14:paraId="5D044FD2" w14:textId="77777777" w:rsidR="00C545F6" w:rsidRPr="006076A7" w:rsidRDefault="00B624A5">
      <w:pPr>
        <w:numPr>
          <w:ilvl w:val="0"/>
          <w:numId w:val="3"/>
        </w:numPr>
        <w:spacing w:line="360" w:lineRule="auto"/>
        <w:ind w:left="0" w:right="-929" w:firstLine="0"/>
        <w:jc w:val="both"/>
        <w:rPr>
          <w:rFonts w:ascii="Palatino Linotype" w:eastAsia="Palatino Linotype" w:hAnsi="Palatino Linotype" w:cs="Palatino Linotype"/>
        </w:rPr>
      </w:pPr>
      <w:r w:rsidRPr="006076A7">
        <w:rPr>
          <w:rFonts w:ascii="Palatino Linotype" w:eastAsia="Palatino Linotype" w:hAnsi="Palatino Linotype" w:cs="Palatino Linotype"/>
        </w:rPr>
        <w:t>Igualmente,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 como reservada o confidencial la información que posean, desclasificarán y generarán, en su caso, versiones públicas de expedientes o documentos que contengan partes o secciones clasificadas.</w:t>
      </w:r>
    </w:p>
    <w:p w14:paraId="09771637" w14:textId="77777777" w:rsidR="00C545F6" w:rsidRPr="006076A7" w:rsidRDefault="00C545F6">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14:paraId="389BF72D" w14:textId="77777777" w:rsidR="00C545F6" w:rsidRPr="006076A7" w:rsidRDefault="00B624A5">
      <w:pPr>
        <w:numPr>
          <w:ilvl w:val="0"/>
          <w:numId w:val="3"/>
        </w:numPr>
        <w:spacing w:line="360" w:lineRule="auto"/>
        <w:ind w:left="0" w:right="-929" w:firstLine="0"/>
        <w:jc w:val="both"/>
        <w:rPr>
          <w:rFonts w:ascii="Palatino Linotype" w:eastAsia="Palatino Linotype" w:hAnsi="Palatino Linotype" w:cs="Palatino Linotype"/>
        </w:rPr>
      </w:pPr>
      <w:r w:rsidRPr="006076A7">
        <w:rPr>
          <w:rFonts w:ascii="Palatino Linotype" w:eastAsia="Palatino Linotype" w:hAnsi="Palatino Linotype" w:cs="Palatino Linotype"/>
        </w:rPr>
        <w:t>Entorno a lo que aquí nos interesa, los Lineamientos Quincuagésimo sexto, Quincuagésimo séptimo y Quincuagésimo octavo, establecen lo siguiente:</w:t>
      </w:r>
    </w:p>
    <w:p w14:paraId="52663FDB" w14:textId="77777777" w:rsidR="00C545F6" w:rsidRPr="006076A7" w:rsidRDefault="00B624A5">
      <w:pPr>
        <w:spacing w:line="360" w:lineRule="auto"/>
        <w:ind w:left="851"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b/>
          <w:bCs/>
          <w:i/>
          <w:iCs/>
        </w:rPr>
        <w:t>“Quincuagésimo sexto</w:t>
      </w:r>
      <w:r w:rsidRPr="006076A7">
        <w:rPr>
          <w:rFonts w:ascii="Palatino Linotype" w:eastAsia="Palatino Linotype" w:hAnsi="Palatino Linotype" w:cs="Palatino Linotype"/>
          <w:i/>
          <w:iCs/>
        </w:rPr>
        <w:t>. La versión pública del documento o expediente que contenga partes o secciones reservadas o confidenciales, será elaborada por los sujetos obligados, previo pago de los costos de reproducción, a través de sus áreas y deberá ser aprobada por su Comité de Transparencia</w:t>
      </w:r>
    </w:p>
    <w:p w14:paraId="716F95C4" w14:textId="77777777" w:rsidR="00C545F6" w:rsidRPr="006076A7" w:rsidRDefault="00B624A5">
      <w:pPr>
        <w:spacing w:line="360" w:lineRule="auto"/>
        <w:ind w:left="851"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b/>
          <w:bCs/>
          <w:i/>
          <w:iCs/>
        </w:rPr>
        <w:lastRenderedPageBreak/>
        <w:t>Quincuagésimo séptimo</w:t>
      </w:r>
      <w:r w:rsidRPr="006076A7">
        <w:rPr>
          <w:rFonts w:ascii="Palatino Linotype" w:eastAsia="Palatino Linotype" w:hAnsi="Palatino Linotype" w:cs="Palatino Linotype"/>
          <w:i/>
          <w:iCs/>
        </w:rPr>
        <w:t xml:space="preserve">. Se considera, en principio, como información pública y no podrá omitirse de las versiones públicas la siguiente: </w:t>
      </w:r>
    </w:p>
    <w:p w14:paraId="60D18739" w14:textId="77777777" w:rsidR="00C545F6" w:rsidRPr="006076A7" w:rsidRDefault="00B624A5">
      <w:pPr>
        <w:spacing w:line="360" w:lineRule="auto"/>
        <w:ind w:left="1134"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b/>
          <w:bCs/>
          <w:i/>
          <w:iCs/>
        </w:rPr>
        <w:t>I.</w:t>
      </w:r>
      <w:r w:rsidRPr="006076A7">
        <w:rPr>
          <w:rFonts w:ascii="Palatino Linotype" w:eastAsia="Palatino Linotype" w:hAnsi="Palatino Linotype" w:cs="Palatino Linotype"/>
          <w:i/>
          <w:iCs/>
        </w:rPr>
        <w:t xml:space="preserve"> La relativa a las Obligaciones de Transparencia que contempla el Título V de la Ley General y las demás disposiciones legales aplicables; </w:t>
      </w:r>
    </w:p>
    <w:p w14:paraId="613D7BD5" w14:textId="77777777" w:rsidR="00C545F6" w:rsidRPr="006076A7" w:rsidRDefault="00B624A5">
      <w:pPr>
        <w:spacing w:line="360" w:lineRule="auto"/>
        <w:ind w:left="1134"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b/>
          <w:bCs/>
          <w:i/>
          <w:iCs/>
        </w:rPr>
        <w:t>II.</w:t>
      </w:r>
      <w:r w:rsidRPr="006076A7">
        <w:rPr>
          <w:rFonts w:ascii="Palatino Linotype" w:eastAsia="Palatino Linotype" w:hAnsi="Palatino Linotype" w:cs="Palatino Linotype"/>
          <w:i/>
          <w:iCs/>
        </w:rPr>
        <w:t xml:space="preserve"> El nombre de los servidores públicos en los documentos, y sus firmas autógrafas, cuando sean utilizados en el ejercicio de las facultades conferidas para el desempeño del servicio público, y </w:t>
      </w:r>
    </w:p>
    <w:p w14:paraId="0EC48A53" w14:textId="77777777" w:rsidR="00C545F6" w:rsidRPr="006076A7" w:rsidRDefault="00B624A5">
      <w:pPr>
        <w:spacing w:line="360" w:lineRule="auto"/>
        <w:ind w:left="1134"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b/>
          <w:bCs/>
          <w:i/>
          <w:iCs/>
        </w:rPr>
        <w:t>III.</w:t>
      </w:r>
      <w:r w:rsidRPr="006076A7">
        <w:rPr>
          <w:rFonts w:ascii="Palatino Linotype" w:eastAsia="Palatino Linotype" w:hAnsi="Palatino Linotype" w:cs="Palatino Linotype"/>
          <w:i/>
          <w:iCs/>
        </w:rPr>
        <w:t xml:space="preserve"> La información que documente decisiones y los actos de autoridad concluidos de los sujetos obligados, así como el ejercicio de las facultades o actividades de los servidores públicos, de manera que se pueda valorar el desempeño de los mismos.</w:t>
      </w:r>
    </w:p>
    <w:p w14:paraId="24FB53DE" w14:textId="77777777" w:rsidR="00C545F6" w:rsidRPr="006076A7" w:rsidRDefault="00B624A5">
      <w:pPr>
        <w:spacing w:line="360" w:lineRule="auto"/>
        <w:ind w:left="851"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i/>
          <w:iCs/>
        </w:rPr>
        <w:t xml:space="preserve">Lo anterior, siempre y cuando no se acredite alguna causal de clasificación, prevista en las leyes o en los tratados internaciones suscritos por el Estado mexicano. </w:t>
      </w:r>
    </w:p>
    <w:p w14:paraId="58CD2A96" w14:textId="77777777" w:rsidR="00C545F6" w:rsidRPr="006076A7" w:rsidRDefault="00C545F6">
      <w:pPr>
        <w:spacing w:line="360" w:lineRule="auto"/>
        <w:ind w:left="851" w:right="-929"/>
        <w:jc w:val="both"/>
        <w:rPr>
          <w:rFonts w:ascii="Palatino Linotype" w:eastAsia="Palatino Linotype" w:hAnsi="Palatino Linotype" w:cs="Palatino Linotype"/>
          <w:i/>
          <w:iCs/>
        </w:rPr>
      </w:pPr>
    </w:p>
    <w:p w14:paraId="51E7AC82" w14:textId="77777777" w:rsidR="00C545F6" w:rsidRPr="006076A7" w:rsidRDefault="00B624A5">
      <w:pPr>
        <w:spacing w:line="360" w:lineRule="auto"/>
        <w:ind w:left="851" w:right="-929"/>
        <w:jc w:val="both"/>
        <w:rPr>
          <w:rFonts w:ascii="Palatino Linotype" w:eastAsia="Palatino Linotype" w:hAnsi="Palatino Linotype" w:cs="Palatino Linotype"/>
          <w:i/>
          <w:iCs/>
        </w:rPr>
      </w:pPr>
      <w:r w:rsidRPr="006076A7">
        <w:rPr>
          <w:rFonts w:ascii="Palatino Linotype" w:eastAsia="Palatino Linotype" w:hAnsi="Palatino Linotype" w:cs="Palatino Linotype"/>
          <w:b/>
          <w:bCs/>
          <w:i/>
          <w:iCs/>
        </w:rPr>
        <w:t>Quincuagésimo octavo</w:t>
      </w:r>
      <w:r w:rsidRPr="006076A7">
        <w:rPr>
          <w:rFonts w:ascii="Palatino Linotype" w:eastAsia="Palatino Linotype" w:hAnsi="Palatino Linotype" w:cs="Palatino Linotype"/>
          <w:i/>
          <w:iCs/>
        </w:rPr>
        <w:t>. Los sujetos obligados garantizarán que los sistemas o medios empleados para eliminar la información en las versiones públicas no permitan la recuperación o visualización de la misma.”</w:t>
      </w:r>
    </w:p>
    <w:p w14:paraId="3FD1E645" w14:textId="77777777" w:rsidR="00C545F6" w:rsidRPr="006076A7" w:rsidRDefault="00C545F6">
      <w:pPr>
        <w:spacing w:line="360" w:lineRule="auto"/>
        <w:ind w:left="851" w:right="-929"/>
        <w:jc w:val="both"/>
        <w:rPr>
          <w:rFonts w:ascii="Palatino Linotype" w:eastAsia="Palatino Linotype" w:hAnsi="Palatino Linotype" w:cs="Palatino Linotype"/>
          <w:i/>
          <w:iCs/>
        </w:rPr>
      </w:pPr>
    </w:p>
    <w:p w14:paraId="727BC63F" w14:textId="77777777" w:rsidR="00C545F6" w:rsidRDefault="00B624A5">
      <w:pPr>
        <w:numPr>
          <w:ilvl w:val="0"/>
          <w:numId w:val="3"/>
        </w:numPr>
        <w:spacing w:line="360" w:lineRule="auto"/>
        <w:ind w:left="0" w:right="-929" w:firstLine="0"/>
        <w:jc w:val="both"/>
        <w:rPr>
          <w:rFonts w:ascii="Palatino Linotype" w:eastAsia="Palatino Linotype" w:hAnsi="Palatino Linotype" w:cs="Palatino Linotype"/>
          <w:color w:val="000000"/>
        </w:rPr>
      </w:pPr>
      <w:r w:rsidRPr="006076A7">
        <w:rPr>
          <w:rFonts w:ascii="Palatino Linotype" w:eastAsia="Palatino Linotype" w:hAnsi="Palatino Linotype" w:cs="Palatino Linotype"/>
          <w:color w:val="000000"/>
        </w:rPr>
        <w:t xml:space="preserve">Luego entonces, el </w:t>
      </w:r>
      <w:r w:rsidRPr="006076A7">
        <w:rPr>
          <w:rFonts w:ascii="Palatino Linotype" w:eastAsia="Palatino Linotype" w:hAnsi="Palatino Linotype" w:cs="Palatino Linotype"/>
          <w:b/>
          <w:bCs/>
          <w:color w:val="000000"/>
        </w:rPr>
        <w:t xml:space="preserve">SUJETOS OBLIGADOS </w:t>
      </w:r>
      <w:r w:rsidRPr="006076A7">
        <w:rPr>
          <w:rFonts w:ascii="Palatino Linotype" w:eastAsia="Palatino Linotype" w:hAnsi="Palatino Linotype" w:cs="Palatino Linotype"/>
          <w:color w:val="000000"/>
        </w:rPr>
        <w:t xml:space="preserve">será responsable de los datos personales en </w:t>
      </w:r>
      <w:r w:rsidRPr="006076A7">
        <w:rPr>
          <w:rFonts w:ascii="Palatino Linotype" w:eastAsia="Palatino Linotype" w:hAnsi="Palatino Linotype" w:cs="Palatino Linotype"/>
        </w:rPr>
        <w:t>su</w:t>
      </w:r>
      <w:r w:rsidRPr="006076A7">
        <w:rPr>
          <w:rFonts w:ascii="Palatino Linotype" w:eastAsia="Palatino Linotype" w:hAnsi="Palatino Linotype" w:cs="Palatino Linotype"/>
          <w:color w:val="000000"/>
        </w:rPr>
        <w:t xml:space="preserve"> posesión y que, en caso de localizarse datos concernientes a terceros, éstos no podrán difundir, distribuir o comercializar los datos personales.  Cabe destacar que, para la realización de la clasificación de la información, se deben seguir una serie de </w:t>
      </w:r>
      <w:r w:rsidRPr="006076A7">
        <w:rPr>
          <w:rFonts w:ascii="Palatino Linotype" w:eastAsia="Palatino Linotype" w:hAnsi="Palatino Linotype" w:cs="Palatino Linotype"/>
        </w:rPr>
        <w:t>pasos</w:t>
      </w:r>
      <w:r w:rsidRPr="006076A7">
        <w:rPr>
          <w:rFonts w:ascii="Palatino Linotype" w:eastAsia="Palatino Linotype" w:hAnsi="Palatino Linotype" w:cs="Palatino Linotype"/>
          <w:color w:val="000000"/>
        </w:rPr>
        <w:t xml:space="preserve"> y procedimientos, por lo que es menester reiterar los mismos:</w:t>
      </w:r>
    </w:p>
    <w:p w14:paraId="716027EE" w14:textId="77777777" w:rsidR="006076A7" w:rsidRPr="006076A7" w:rsidRDefault="006076A7" w:rsidP="006076A7">
      <w:pPr>
        <w:spacing w:line="360" w:lineRule="auto"/>
        <w:ind w:right="-929"/>
        <w:jc w:val="both"/>
        <w:rPr>
          <w:rFonts w:ascii="Palatino Linotype" w:eastAsia="Palatino Linotype" w:hAnsi="Palatino Linotype" w:cs="Palatino Linotype"/>
          <w:color w:val="000000"/>
        </w:rPr>
      </w:pPr>
    </w:p>
    <w:tbl>
      <w:tblPr>
        <w:tblStyle w:val="a"/>
        <w:tblW w:w="9705"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015"/>
        <w:gridCol w:w="6690"/>
      </w:tblGrid>
      <w:tr w:rsidR="00C545F6" w:rsidRPr="006076A7" w14:paraId="4600A0E7" w14:textId="77777777">
        <w:tc>
          <w:tcPr>
            <w:tcW w:w="3015" w:type="dxa"/>
          </w:tcPr>
          <w:p w14:paraId="11714F48" w14:textId="77777777" w:rsidR="00C545F6" w:rsidRPr="006076A7" w:rsidRDefault="00B624A5">
            <w:pPr>
              <w:tabs>
                <w:tab w:val="left" w:pos="284"/>
              </w:tabs>
              <w:ind w:right="-106"/>
              <w:rPr>
                <w:rFonts w:ascii="Palatino Linotype" w:eastAsia="Palatino Linotype" w:hAnsi="Palatino Linotype" w:cs="Palatino Linotype"/>
              </w:rPr>
            </w:pPr>
            <w:r w:rsidRPr="006076A7">
              <w:rPr>
                <w:rFonts w:ascii="Palatino Linotype" w:eastAsia="Palatino Linotype" w:hAnsi="Palatino Linotype" w:cs="Palatino Linotype"/>
              </w:rPr>
              <w:lastRenderedPageBreak/>
              <w:t>a) Requisitos previos.</w:t>
            </w:r>
          </w:p>
        </w:tc>
        <w:tc>
          <w:tcPr>
            <w:tcW w:w="6690" w:type="dxa"/>
          </w:tcPr>
          <w:p w14:paraId="42FB4251" w14:textId="77777777" w:rsidR="00C545F6" w:rsidRPr="006076A7" w:rsidRDefault="00B624A5" w:rsidP="006076A7">
            <w:pPr>
              <w:ind w:right="-106"/>
              <w:jc w:val="both"/>
              <w:rPr>
                <w:rFonts w:ascii="Palatino Linotype" w:eastAsia="Palatino Linotype" w:hAnsi="Palatino Linotype" w:cs="Palatino Linotype"/>
                <w:color w:val="000000"/>
              </w:rPr>
            </w:pPr>
            <w:r w:rsidRPr="006076A7">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14:paraId="3C2BEA01" w14:textId="77777777" w:rsidR="00C545F6" w:rsidRPr="006076A7" w:rsidRDefault="00B624A5">
            <w:pPr>
              <w:tabs>
                <w:tab w:val="left" w:pos="284"/>
              </w:tabs>
              <w:ind w:right="-106"/>
              <w:jc w:val="both"/>
              <w:rPr>
                <w:rFonts w:ascii="Palatino Linotype" w:eastAsia="Palatino Linotype" w:hAnsi="Palatino Linotype" w:cs="Palatino Linotype"/>
                <w:color w:val="000000"/>
              </w:rPr>
            </w:pPr>
            <w:r w:rsidRPr="006076A7">
              <w:rPr>
                <w:rFonts w:ascii="Palatino Linotype" w:eastAsia="Palatino Linotype" w:hAnsi="Palatino Linotype" w:cs="Palatino Linotype"/>
                <w:color w:val="000000"/>
              </w:rPr>
              <w:t>Al hacerlo tienen que precisar de qué información se trata, señalando el supuesto de clasificación (confidencialidad o reserva).</w:t>
            </w:r>
          </w:p>
          <w:p w14:paraId="7BBCF443" w14:textId="77777777" w:rsidR="00C545F6" w:rsidRPr="006076A7" w:rsidRDefault="00B624A5">
            <w:pPr>
              <w:tabs>
                <w:tab w:val="left" w:pos="284"/>
              </w:tabs>
              <w:ind w:right="-106"/>
              <w:jc w:val="both"/>
              <w:rPr>
                <w:rFonts w:ascii="Palatino Linotype" w:eastAsia="Palatino Linotype" w:hAnsi="Palatino Linotype" w:cs="Palatino Linotype"/>
                <w:color w:val="000000"/>
              </w:rPr>
            </w:pPr>
            <w:r w:rsidRPr="006076A7">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14:paraId="1AF3AE9F" w14:textId="77777777" w:rsidR="00C545F6" w:rsidRPr="006076A7" w:rsidRDefault="00B624A5">
            <w:pPr>
              <w:tabs>
                <w:tab w:val="left" w:pos="284"/>
              </w:tabs>
              <w:ind w:right="-106"/>
              <w:jc w:val="both"/>
              <w:rPr>
                <w:rFonts w:ascii="Palatino Linotype" w:eastAsia="Palatino Linotype" w:hAnsi="Palatino Linotype" w:cs="Palatino Linotype"/>
                <w:color w:val="000000"/>
              </w:rPr>
            </w:pPr>
            <w:r w:rsidRPr="006076A7">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6076A7">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6076A7">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p w14:paraId="117EBC0B" w14:textId="77777777" w:rsidR="00C545F6" w:rsidRPr="006076A7" w:rsidRDefault="00C545F6">
            <w:pPr>
              <w:tabs>
                <w:tab w:val="left" w:pos="284"/>
              </w:tabs>
              <w:ind w:right="-106"/>
              <w:jc w:val="both"/>
              <w:rPr>
                <w:rFonts w:ascii="Palatino Linotype" w:eastAsia="Palatino Linotype" w:hAnsi="Palatino Linotype" w:cs="Palatino Linotype"/>
              </w:rPr>
            </w:pPr>
          </w:p>
        </w:tc>
      </w:tr>
      <w:tr w:rsidR="00C545F6" w:rsidRPr="006076A7" w14:paraId="18467762" w14:textId="77777777">
        <w:tc>
          <w:tcPr>
            <w:tcW w:w="3015" w:type="dxa"/>
          </w:tcPr>
          <w:p w14:paraId="21298C85" w14:textId="77777777" w:rsidR="00C545F6" w:rsidRPr="006076A7" w:rsidRDefault="00B624A5">
            <w:pPr>
              <w:tabs>
                <w:tab w:val="left" w:pos="284"/>
              </w:tabs>
              <w:ind w:right="-106"/>
              <w:rPr>
                <w:rFonts w:ascii="Palatino Linotype" w:eastAsia="Palatino Linotype" w:hAnsi="Palatino Linotype" w:cs="Palatino Linotype"/>
              </w:rPr>
            </w:pPr>
            <w:r w:rsidRPr="006076A7">
              <w:rPr>
                <w:rFonts w:ascii="Palatino Linotype" w:eastAsia="Palatino Linotype" w:hAnsi="Palatino Linotype" w:cs="Palatino Linotype"/>
              </w:rPr>
              <w:t>b) Supuestos de clasificación.</w:t>
            </w:r>
          </w:p>
        </w:tc>
        <w:tc>
          <w:tcPr>
            <w:tcW w:w="6690" w:type="dxa"/>
          </w:tcPr>
          <w:p w14:paraId="5200928C" w14:textId="77777777" w:rsidR="00C545F6" w:rsidRPr="006076A7" w:rsidRDefault="00B624A5">
            <w:pPr>
              <w:tabs>
                <w:tab w:val="left" w:pos="284"/>
              </w:tabs>
              <w:ind w:right="-106"/>
              <w:jc w:val="both"/>
              <w:rPr>
                <w:rFonts w:ascii="Palatino Linotype" w:eastAsia="Palatino Linotype" w:hAnsi="Palatino Linotype" w:cs="Palatino Linotype"/>
                <w:color w:val="000000"/>
              </w:rPr>
            </w:pPr>
            <w:r w:rsidRPr="006076A7">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14:paraId="7B02E297" w14:textId="77777777" w:rsidR="00C545F6" w:rsidRPr="006076A7" w:rsidRDefault="00B624A5">
            <w:pPr>
              <w:tabs>
                <w:tab w:val="left" w:pos="284"/>
              </w:tabs>
              <w:ind w:right="-106"/>
              <w:jc w:val="both"/>
              <w:rPr>
                <w:rFonts w:ascii="Palatino Linotype" w:eastAsia="Palatino Linotype" w:hAnsi="Palatino Linotype" w:cs="Palatino Linotype"/>
                <w:color w:val="000000"/>
              </w:rPr>
            </w:pPr>
            <w:r w:rsidRPr="006076A7">
              <w:rPr>
                <w:rFonts w:ascii="Palatino Linotype" w:eastAsia="Palatino Linotype" w:hAnsi="Palatino Linotype" w:cs="Palatino Linotype"/>
                <w:color w:val="000000"/>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14:paraId="38BBC3FA" w14:textId="77777777" w:rsidR="00C545F6" w:rsidRPr="006076A7" w:rsidRDefault="00B624A5">
            <w:pPr>
              <w:tabs>
                <w:tab w:val="left" w:pos="284"/>
              </w:tabs>
              <w:ind w:right="-106"/>
              <w:jc w:val="both"/>
              <w:rPr>
                <w:rFonts w:ascii="Palatino Linotype" w:eastAsia="Palatino Linotype" w:hAnsi="Palatino Linotype" w:cs="Palatino Linotype"/>
                <w:color w:val="000000"/>
              </w:rPr>
            </w:pPr>
            <w:r w:rsidRPr="006076A7">
              <w:rPr>
                <w:rFonts w:ascii="Palatino Linotype" w:eastAsia="Palatino Linotype" w:hAnsi="Palatino Linotype" w:cs="Palatino Linotype"/>
                <w:color w:val="000000"/>
              </w:rPr>
              <w:t xml:space="preserve">El </w:t>
            </w:r>
            <w:r w:rsidRPr="006076A7">
              <w:rPr>
                <w:rFonts w:ascii="Palatino Linotype" w:eastAsia="Palatino Linotype" w:hAnsi="Palatino Linotype" w:cs="Palatino Linotype"/>
                <w:b/>
                <w:bCs/>
                <w:color w:val="000000"/>
              </w:rPr>
              <w:t>Sujeto Obligado</w:t>
            </w:r>
            <w:r w:rsidRPr="006076A7">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w:t>
            </w:r>
            <w:r w:rsidRPr="006076A7">
              <w:rPr>
                <w:rFonts w:ascii="Palatino Linotype" w:eastAsia="Palatino Linotype" w:hAnsi="Palatino Linotype" w:cs="Palatino Linotype"/>
                <w:color w:val="000000"/>
              </w:rPr>
              <w:lastRenderedPageBreak/>
              <w:t>con la hipótesis jurídica. Esto también lo debe de realizar el servidor público habilitado y el titular del área que administra la información.</w:t>
            </w:r>
          </w:p>
          <w:p w14:paraId="165A10E2" w14:textId="77777777" w:rsidR="00C545F6" w:rsidRPr="006076A7" w:rsidRDefault="00C545F6">
            <w:pPr>
              <w:tabs>
                <w:tab w:val="left" w:pos="284"/>
              </w:tabs>
              <w:ind w:right="-106"/>
              <w:jc w:val="both"/>
              <w:rPr>
                <w:rFonts w:ascii="Palatino Linotype" w:eastAsia="Palatino Linotype" w:hAnsi="Palatino Linotype" w:cs="Palatino Linotype"/>
              </w:rPr>
            </w:pPr>
          </w:p>
        </w:tc>
      </w:tr>
      <w:tr w:rsidR="00C545F6" w:rsidRPr="006076A7" w14:paraId="44753CA5" w14:textId="77777777">
        <w:tc>
          <w:tcPr>
            <w:tcW w:w="3015" w:type="dxa"/>
          </w:tcPr>
          <w:p w14:paraId="625EB6CD" w14:textId="77777777" w:rsidR="00C545F6" w:rsidRPr="006076A7" w:rsidRDefault="00B624A5">
            <w:pPr>
              <w:tabs>
                <w:tab w:val="left" w:pos="284"/>
              </w:tabs>
              <w:ind w:right="-106"/>
              <w:rPr>
                <w:rFonts w:ascii="Palatino Linotype" w:eastAsia="Palatino Linotype" w:hAnsi="Palatino Linotype" w:cs="Palatino Linotype"/>
              </w:rPr>
            </w:pPr>
            <w:r w:rsidRPr="006076A7">
              <w:rPr>
                <w:rFonts w:ascii="Palatino Linotype" w:eastAsia="Palatino Linotype" w:hAnsi="Palatino Linotype" w:cs="Palatino Linotype"/>
              </w:rPr>
              <w:lastRenderedPageBreak/>
              <w:t>c) Formalidades para emitir el acuerdo de clasificación.</w:t>
            </w:r>
          </w:p>
        </w:tc>
        <w:tc>
          <w:tcPr>
            <w:tcW w:w="6690" w:type="dxa"/>
          </w:tcPr>
          <w:p w14:paraId="6697CC42" w14:textId="77777777" w:rsidR="00C545F6" w:rsidRPr="006076A7" w:rsidRDefault="00B624A5">
            <w:pPr>
              <w:tabs>
                <w:tab w:val="left" w:pos="284"/>
              </w:tabs>
              <w:ind w:right="-106"/>
              <w:jc w:val="both"/>
              <w:rPr>
                <w:rFonts w:ascii="Palatino Linotype" w:eastAsia="Palatino Linotype" w:hAnsi="Palatino Linotype" w:cs="Palatino Linotype"/>
                <w:color w:val="000000"/>
              </w:rPr>
            </w:pPr>
            <w:r w:rsidRPr="006076A7">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14:paraId="6883EE7E" w14:textId="77777777" w:rsidR="00C545F6" w:rsidRPr="006076A7" w:rsidRDefault="00B624A5">
            <w:pPr>
              <w:tabs>
                <w:tab w:val="left" w:pos="284"/>
              </w:tabs>
              <w:ind w:right="-106"/>
              <w:jc w:val="both"/>
              <w:rPr>
                <w:rFonts w:ascii="Palatino Linotype" w:eastAsia="Palatino Linotype" w:hAnsi="Palatino Linotype" w:cs="Palatino Linotype"/>
                <w:color w:val="000000"/>
              </w:rPr>
            </w:pPr>
            <w:r w:rsidRPr="006076A7">
              <w:rPr>
                <w:rFonts w:ascii="Palatino Linotype" w:eastAsia="Palatino Linotype" w:hAnsi="Palatino Linotype" w:cs="Palatino Linotype"/>
                <w:color w:val="000000"/>
              </w:rPr>
              <w:t xml:space="preserve">Es necesario que </w:t>
            </w:r>
            <w:r w:rsidRPr="006076A7">
              <w:rPr>
                <w:rFonts w:ascii="Palatino Linotype" w:eastAsia="Palatino Linotype" w:hAnsi="Palatino Linotype" w:cs="Palatino Linotype"/>
                <w:b/>
                <w:bCs/>
                <w:color w:val="000000"/>
                <w:u w:val="single"/>
              </w:rPr>
              <w:t>el acto reúna con los requisitos elementales</w:t>
            </w:r>
            <w:r w:rsidRPr="006076A7">
              <w:rPr>
                <w:rFonts w:ascii="Palatino Linotype" w:eastAsia="Palatino Linotype" w:hAnsi="Palatino Linotype" w:cs="Palatino Linotype"/>
                <w:color w:val="000000"/>
              </w:rPr>
              <w:t>, entre ellos, que la autoridad que va a emitir el acto de autoridad sea la legalmente facultada para ello.</w:t>
            </w:r>
          </w:p>
          <w:p w14:paraId="286154E8" w14:textId="77777777" w:rsidR="00C545F6" w:rsidRPr="006076A7" w:rsidRDefault="00B624A5">
            <w:pPr>
              <w:tabs>
                <w:tab w:val="left" w:pos="284"/>
              </w:tabs>
              <w:ind w:right="-106"/>
              <w:jc w:val="both"/>
              <w:rPr>
                <w:rFonts w:ascii="Palatino Linotype" w:eastAsia="Palatino Linotype" w:hAnsi="Palatino Linotype" w:cs="Palatino Linotype"/>
                <w:color w:val="000000"/>
              </w:rPr>
            </w:pPr>
            <w:r w:rsidRPr="006076A7">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sidRPr="006076A7">
              <w:rPr>
                <w:rFonts w:ascii="Palatino Linotype" w:eastAsia="Palatino Linotype" w:hAnsi="Palatino Linotype" w:cs="Palatino Linotype"/>
              </w:rPr>
              <w:t>El área</w:t>
            </w:r>
            <w:r w:rsidRPr="006076A7">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p w14:paraId="390308CC" w14:textId="77777777" w:rsidR="00C545F6" w:rsidRPr="006076A7" w:rsidRDefault="00C545F6">
            <w:pPr>
              <w:tabs>
                <w:tab w:val="left" w:pos="284"/>
              </w:tabs>
              <w:ind w:right="-106"/>
              <w:jc w:val="both"/>
              <w:rPr>
                <w:rFonts w:ascii="Palatino Linotype" w:eastAsia="Palatino Linotype" w:hAnsi="Palatino Linotype" w:cs="Palatino Linotype"/>
              </w:rPr>
            </w:pPr>
          </w:p>
        </w:tc>
      </w:tr>
      <w:tr w:rsidR="00C545F6" w:rsidRPr="006076A7" w14:paraId="653882AD" w14:textId="77777777">
        <w:tc>
          <w:tcPr>
            <w:tcW w:w="3015" w:type="dxa"/>
          </w:tcPr>
          <w:p w14:paraId="60A46B2B" w14:textId="77777777" w:rsidR="00C545F6" w:rsidRPr="006076A7" w:rsidRDefault="00C545F6">
            <w:pPr>
              <w:tabs>
                <w:tab w:val="left" w:pos="284"/>
              </w:tabs>
              <w:ind w:right="-106"/>
              <w:rPr>
                <w:rFonts w:ascii="Palatino Linotype" w:eastAsia="Palatino Linotype" w:hAnsi="Palatino Linotype" w:cs="Palatino Linotype"/>
              </w:rPr>
            </w:pPr>
          </w:p>
          <w:p w14:paraId="1EB039AC" w14:textId="77777777" w:rsidR="00C545F6" w:rsidRPr="006076A7" w:rsidRDefault="00B624A5">
            <w:pPr>
              <w:tabs>
                <w:tab w:val="left" w:pos="284"/>
              </w:tabs>
              <w:ind w:right="-106"/>
              <w:jc w:val="both"/>
              <w:rPr>
                <w:rFonts w:ascii="Palatino Linotype" w:eastAsia="Palatino Linotype" w:hAnsi="Palatino Linotype" w:cs="Palatino Linotype"/>
              </w:rPr>
            </w:pPr>
            <w:r w:rsidRPr="006076A7">
              <w:rPr>
                <w:rFonts w:ascii="Palatino Linotype" w:eastAsia="Palatino Linotype" w:hAnsi="Palatino Linotype" w:cs="Palatino Linotype"/>
                <w:color w:val="000000"/>
              </w:rPr>
              <w:t xml:space="preserve">d) Requisitos de fondo del acuerdo de clasificación. </w:t>
            </w:r>
          </w:p>
        </w:tc>
        <w:tc>
          <w:tcPr>
            <w:tcW w:w="6690" w:type="dxa"/>
          </w:tcPr>
          <w:p w14:paraId="69A14849" w14:textId="77777777" w:rsidR="00C545F6" w:rsidRPr="006076A7" w:rsidRDefault="00B624A5">
            <w:pPr>
              <w:tabs>
                <w:tab w:val="left" w:pos="284"/>
              </w:tabs>
              <w:ind w:right="-106"/>
              <w:jc w:val="both"/>
              <w:rPr>
                <w:rFonts w:ascii="Palatino Linotype" w:eastAsia="Palatino Linotype" w:hAnsi="Palatino Linotype" w:cs="Palatino Linotype"/>
                <w:color w:val="000000"/>
              </w:rPr>
            </w:pPr>
            <w:r w:rsidRPr="006076A7">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6076A7">
              <w:rPr>
                <w:rFonts w:ascii="Palatino Linotype" w:eastAsia="Palatino Linotype" w:hAnsi="Palatino Linotype" w:cs="Palatino Linotype"/>
                <w:b/>
                <w:bCs/>
                <w:color w:val="000000"/>
              </w:rPr>
              <w:t>Sujetos Obligados</w:t>
            </w:r>
            <w:r w:rsidRPr="006076A7">
              <w:rPr>
                <w:rFonts w:ascii="Palatino Linotype" w:eastAsia="Palatino Linotype" w:hAnsi="Palatino Linotype" w:cs="Palatino Linotype"/>
                <w:color w:val="000000"/>
              </w:rPr>
              <w:t xml:space="preserve">, por lo que deberán fundar y motivar debidamente la clasificación. </w:t>
            </w:r>
          </w:p>
          <w:p w14:paraId="6B5EF953" w14:textId="77777777" w:rsidR="00C545F6" w:rsidRPr="006076A7" w:rsidRDefault="00B624A5">
            <w:pPr>
              <w:tabs>
                <w:tab w:val="left" w:pos="284"/>
              </w:tabs>
              <w:ind w:right="-106"/>
              <w:jc w:val="both"/>
              <w:rPr>
                <w:rFonts w:ascii="Palatino Linotype" w:eastAsia="Palatino Linotype" w:hAnsi="Palatino Linotype" w:cs="Palatino Linotype"/>
                <w:color w:val="000000"/>
              </w:rPr>
            </w:pPr>
            <w:r w:rsidRPr="006076A7">
              <w:rPr>
                <w:rFonts w:ascii="Palatino Linotype" w:eastAsia="Palatino Linotype" w:hAnsi="Palatino Linotype" w:cs="Palatino Linotype"/>
                <w:color w:val="000000"/>
              </w:rPr>
              <w:t xml:space="preserve">De lo anterior, se desprende que para una correcta </w:t>
            </w:r>
            <w:r w:rsidRPr="006076A7">
              <w:rPr>
                <w:rFonts w:ascii="Palatino Linotype" w:eastAsia="Palatino Linotype" w:hAnsi="Palatino Linotype" w:cs="Palatino Linotype"/>
                <w:b/>
                <w:bCs/>
                <w:color w:val="000000"/>
              </w:rPr>
              <w:t>clasificación total o parcial</w:t>
            </w:r>
            <w:r w:rsidRPr="006076A7">
              <w:rPr>
                <w:rFonts w:ascii="Palatino Linotype" w:eastAsia="Palatino Linotype" w:hAnsi="Palatino Linotype" w:cs="Palatino Linotype"/>
                <w:color w:val="000000"/>
              </w:rPr>
              <w:t xml:space="preserve">, esto es determinar los datos que se suprimen en las versiones públicas, es necesario fundar y motivar, de manera correcta, la clasificación; considerando que todo acto que la autoridad pronuncie en el ejercicio de sus atribuciones, debe expresar los fundamentos legales que le </w:t>
            </w:r>
            <w:r w:rsidRPr="006076A7">
              <w:rPr>
                <w:rFonts w:ascii="Palatino Linotype" w:eastAsia="Palatino Linotype" w:hAnsi="Palatino Linotype" w:cs="Palatino Linotype"/>
                <w:color w:val="000000"/>
              </w:rPr>
              <w:lastRenderedPageBreak/>
              <w:t>dieron origen y las razones por las que se deben aplicar al caso concreto.</w:t>
            </w:r>
          </w:p>
          <w:p w14:paraId="358FD911" w14:textId="77777777" w:rsidR="00C545F6" w:rsidRPr="006076A7" w:rsidRDefault="00B624A5">
            <w:pPr>
              <w:tabs>
                <w:tab w:val="left" w:pos="284"/>
              </w:tabs>
              <w:ind w:right="-106"/>
              <w:jc w:val="both"/>
              <w:rPr>
                <w:rFonts w:ascii="Palatino Linotype" w:eastAsia="Palatino Linotype" w:hAnsi="Palatino Linotype" w:cs="Palatino Linotype"/>
                <w:color w:val="000000"/>
              </w:rPr>
            </w:pPr>
            <w:r w:rsidRPr="006076A7">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14:paraId="6A873B03" w14:textId="77777777" w:rsidR="00C545F6" w:rsidRPr="006076A7" w:rsidRDefault="00B624A5">
            <w:pPr>
              <w:tabs>
                <w:tab w:val="left" w:pos="284"/>
              </w:tabs>
              <w:ind w:right="-106"/>
              <w:jc w:val="both"/>
              <w:rPr>
                <w:rFonts w:ascii="Palatino Linotype" w:eastAsia="Palatino Linotype" w:hAnsi="Palatino Linotype" w:cs="Palatino Linotype"/>
                <w:color w:val="000000"/>
              </w:rPr>
            </w:pPr>
            <w:r w:rsidRPr="006076A7">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14:paraId="60EFDA20" w14:textId="77777777" w:rsidR="00C545F6" w:rsidRPr="006076A7" w:rsidRDefault="00B624A5">
            <w:pPr>
              <w:tabs>
                <w:tab w:val="left" w:pos="284"/>
              </w:tabs>
              <w:ind w:right="-106"/>
              <w:jc w:val="both"/>
              <w:rPr>
                <w:rFonts w:ascii="Palatino Linotype" w:eastAsia="Palatino Linotype" w:hAnsi="Palatino Linotype" w:cs="Palatino Linotype"/>
                <w:color w:val="000000"/>
              </w:rPr>
            </w:pPr>
            <w:r w:rsidRPr="006076A7">
              <w:rPr>
                <w:rFonts w:ascii="Palatino Linotype" w:eastAsia="Palatino Linotype" w:hAnsi="Palatino Linotype" w:cs="Palatino Linotype"/>
                <w:color w:val="000000"/>
              </w:rPr>
              <w:t xml:space="preserve">Ahora bien, </w:t>
            </w:r>
            <w:r w:rsidRPr="006076A7">
              <w:rPr>
                <w:rFonts w:ascii="Palatino Linotype" w:eastAsia="Palatino Linotype" w:hAnsi="Palatino Linotype" w:cs="Palatino Linotype"/>
                <w:b/>
                <w:bCs/>
                <w:color w:val="000000"/>
                <w:u w:val="single"/>
              </w:rPr>
              <w:t>para cada caso además de fundar y motivar</w:t>
            </w:r>
            <w:r w:rsidRPr="006076A7">
              <w:rPr>
                <w:rFonts w:ascii="Palatino Linotype" w:eastAsia="Palatino Linotype" w:hAnsi="Palatino Linotype" w:cs="Palatino Linotype"/>
                <w:color w:val="000000"/>
              </w:rPr>
              <w:t xml:space="preserve">, se debe identificar con claridad </w:t>
            </w:r>
            <w:r w:rsidRPr="006076A7">
              <w:rPr>
                <w:rFonts w:ascii="Palatino Linotype" w:eastAsia="Palatino Linotype" w:hAnsi="Palatino Linotype" w:cs="Palatino Linotype"/>
              </w:rPr>
              <w:t>qué</w:t>
            </w:r>
            <w:r w:rsidRPr="006076A7">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p w14:paraId="6C8FD703" w14:textId="77777777" w:rsidR="00C545F6" w:rsidRPr="006076A7" w:rsidRDefault="00C545F6">
            <w:pPr>
              <w:tabs>
                <w:tab w:val="left" w:pos="284"/>
              </w:tabs>
              <w:ind w:right="-106"/>
              <w:jc w:val="both"/>
              <w:rPr>
                <w:rFonts w:ascii="Palatino Linotype" w:eastAsia="Palatino Linotype" w:hAnsi="Palatino Linotype" w:cs="Palatino Linotype"/>
                <w:color w:val="000000"/>
              </w:rPr>
            </w:pPr>
          </w:p>
        </w:tc>
      </w:tr>
      <w:tr w:rsidR="00C545F6" w:rsidRPr="006076A7" w14:paraId="1BA2EF86" w14:textId="77777777">
        <w:tc>
          <w:tcPr>
            <w:tcW w:w="3015" w:type="dxa"/>
          </w:tcPr>
          <w:p w14:paraId="43FA18F7" w14:textId="77777777" w:rsidR="00C545F6" w:rsidRPr="006076A7" w:rsidRDefault="00B624A5">
            <w:pPr>
              <w:tabs>
                <w:tab w:val="left" w:pos="284"/>
              </w:tabs>
              <w:ind w:right="-106"/>
              <w:jc w:val="both"/>
              <w:rPr>
                <w:rFonts w:ascii="Palatino Linotype" w:eastAsia="Palatino Linotype" w:hAnsi="Palatino Linotype" w:cs="Palatino Linotype"/>
              </w:rPr>
            </w:pPr>
            <w:r w:rsidRPr="006076A7">
              <w:rPr>
                <w:rFonts w:ascii="Palatino Linotype" w:eastAsia="Palatino Linotype" w:hAnsi="Palatino Linotype" w:cs="Palatino Linotype"/>
              </w:rPr>
              <w:lastRenderedPageBreak/>
              <w:t xml:space="preserve">e) Condiciones especiales de la clasificación de la información como confidencial. </w:t>
            </w:r>
          </w:p>
        </w:tc>
        <w:tc>
          <w:tcPr>
            <w:tcW w:w="6690" w:type="dxa"/>
          </w:tcPr>
          <w:p w14:paraId="6C9C87B5" w14:textId="77777777" w:rsidR="00C545F6" w:rsidRPr="006076A7" w:rsidRDefault="00B624A5">
            <w:pPr>
              <w:tabs>
                <w:tab w:val="left" w:pos="284"/>
              </w:tabs>
              <w:ind w:right="-106"/>
              <w:jc w:val="both"/>
              <w:rPr>
                <w:rFonts w:ascii="Palatino Linotype" w:eastAsia="Palatino Linotype" w:hAnsi="Palatino Linotype" w:cs="Palatino Linotype"/>
                <w:color w:val="000000"/>
              </w:rPr>
            </w:pPr>
            <w:r w:rsidRPr="006076A7">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14:paraId="4C0F0BA3" w14:textId="77777777" w:rsidR="00C545F6" w:rsidRPr="006076A7" w:rsidRDefault="00B624A5">
            <w:pPr>
              <w:tabs>
                <w:tab w:val="left" w:pos="284"/>
              </w:tabs>
              <w:ind w:right="-106"/>
              <w:jc w:val="both"/>
              <w:rPr>
                <w:rFonts w:ascii="Palatino Linotype" w:eastAsia="Palatino Linotype" w:hAnsi="Palatino Linotype" w:cs="Palatino Linotype"/>
                <w:color w:val="000000"/>
              </w:rPr>
            </w:pPr>
            <w:r w:rsidRPr="006076A7">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14:paraId="783E40CE" w14:textId="77777777" w:rsidR="00C545F6" w:rsidRPr="006076A7" w:rsidRDefault="00B624A5">
            <w:pPr>
              <w:tabs>
                <w:tab w:val="left" w:pos="284"/>
              </w:tabs>
              <w:ind w:right="-106"/>
              <w:rPr>
                <w:rFonts w:ascii="Palatino Linotype" w:eastAsia="Palatino Linotype" w:hAnsi="Palatino Linotype" w:cs="Palatino Linotype"/>
                <w:color w:val="000000"/>
              </w:rPr>
            </w:pPr>
            <w:r w:rsidRPr="006076A7">
              <w:rPr>
                <w:rFonts w:ascii="Palatino Linotype" w:eastAsia="Palatino Linotype" w:hAnsi="Palatino Linotype" w:cs="Palatino Linotype"/>
                <w:color w:val="000000"/>
              </w:rPr>
              <w:t xml:space="preserve">Pero si la información que se pretende clasificar como confidencial no se encuentra en los supuestos de los artículos señalados y es posible, se deberá consultar al titular de los </w:t>
            </w:r>
            <w:r w:rsidRPr="006076A7">
              <w:rPr>
                <w:rFonts w:ascii="Palatino Linotype" w:eastAsia="Palatino Linotype" w:hAnsi="Palatino Linotype" w:cs="Palatino Linotype"/>
                <w:color w:val="000000"/>
              </w:rPr>
              <w:lastRenderedPageBreak/>
              <w:t>datos si permite o no el acceso. De no ser posible, la realización de la consulta, procede, fundando y motivando, la clasificación.</w:t>
            </w:r>
          </w:p>
          <w:p w14:paraId="074921D0" w14:textId="77777777" w:rsidR="00C545F6" w:rsidRPr="006076A7" w:rsidRDefault="00C545F6">
            <w:pPr>
              <w:tabs>
                <w:tab w:val="left" w:pos="284"/>
              </w:tabs>
              <w:ind w:right="-106"/>
              <w:rPr>
                <w:rFonts w:ascii="Palatino Linotype" w:eastAsia="Palatino Linotype" w:hAnsi="Palatino Linotype" w:cs="Palatino Linotype"/>
              </w:rPr>
            </w:pPr>
          </w:p>
        </w:tc>
      </w:tr>
    </w:tbl>
    <w:p w14:paraId="54CB9BAE" w14:textId="77777777" w:rsidR="00C545F6" w:rsidRPr="006076A7" w:rsidRDefault="00C545F6">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14:paraId="22203E4D" w14:textId="77777777" w:rsidR="00C545F6" w:rsidRPr="006076A7" w:rsidRDefault="00B624A5">
      <w:pPr>
        <w:numPr>
          <w:ilvl w:val="0"/>
          <w:numId w:val="3"/>
        </w:numPr>
        <w:spacing w:line="360" w:lineRule="auto"/>
        <w:ind w:left="0" w:right="-929" w:firstLine="0"/>
        <w:jc w:val="both"/>
        <w:rPr>
          <w:rFonts w:ascii="Palatino Linotype" w:eastAsia="Palatino Linotype" w:hAnsi="Palatino Linotype" w:cs="Palatino Linotype"/>
          <w:color w:val="000000"/>
        </w:rPr>
      </w:pPr>
      <w:r w:rsidRPr="006076A7">
        <w:rPr>
          <w:rFonts w:ascii="Palatino Linotype" w:eastAsia="Palatino Linotype" w:hAnsi="Palatino Linotype" w:cs="Palatino Linotype"/>
        </w:rPr>
        <w:t xml:space="preserve">Si el </w:t>
      </w:r>
      <w:r w:rsidRPr="006076A7">
        <w:rPr>
          <w:rFonts w:ascii="Palatino Linotype" w:eastAsia="Palatino Linotype" w:hAnsi="Palatino Linotype" w:cs="Palatino Linotype"/>
          <w:color w:val="000000"/>
        </w:rPr>
        <w:t>servidor</w:t>
      </w:r>
      <w:r w:rsidRPr="006076A7">
        <w:rPr>
          <w:rFonts w:ascii="Palatino Linotype" w:eastAsia="Palatino Linotype" w:hAnsi="Palatino Linotype" w:cs="Palatino Linotype"/>
        </w:rPr>
        <w:t xml:space="preserve"> público incumple con estas formalidades y entrega la información </w:t>
      </w:r>
      <w:r w:rsidRPr="006076A7">
        <w:rPr>
          <w:rFonts w:ascii="Palatino Linotype" w:eastAsia="Palatino Linotype" w:hAnsi="Palatino Linotype" w:cs="Palatino Linotype"/>
          <w:color w:val="000000"/>
        </w:rPr>
        <w:t>sin</w:t>
      </w:r>
      <w:r w:rsidRPr="006076A7">
        <w:rPr>
          <w:rFonts w:ascii="Palatino Linotype" w:eastAsia="Palatino Linotype" w:hAnsi="Palatino Linotype" w:cs="Palatino Linotype"/>
        </w:rPr>
        <w:t xml:space="preserve"> proteger los datos personales incumple con lo que estipula las disposiciones legales </w:t>
      </w:r>
      <w:r w:rsidRPr="006076A7">
        <w:rPr>
          <w:rFonts w:ascii="Palatino Linotype" w:eastAsia="Palatino Linotype" w:hAnsi="Palatino Linotype" w:cs="Palatino Linotype"/>
          <w:color w:val="000000"/>
        </w:rPr>
        <w:t>establecidas;</w:t>
      </w:r>
      <w:r w:rsidRPr="006076A7">
        <w:rPr>
          <w:rFonts w:ascii="Palatino Linotype" w:eastAsia="Palatino Linotype" w:hAnsi="Palatino Linotype" w:cs="Palatino Linotype"/>
        </w:rPr>
        <w:t xml:space="preserve"> asimismo que si entrega un documento testado sin el debido acuerdo de clasificación.</w:t>
      </w:r>
    </w:p>
    <w:p w14:paraId="4A02CC84" w14:textId="77777777" w:rsidR="00C545F6" w:rsidRPr="006076A7" w:rsidRDefault="00C545F6">
      <w:pPr>
        <w:widowControl w:val="0"/>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14:paraId="686CB4CC" w14:textId="77777777" w:rsidR="00C545F6" w:rsidRPr="006076A7" w:rsidRDefault="00B624A5">
      <w:pPr>
        <w:numPr>
          <w:ilvl w:val="0"/>
          <w:numId w:val="3"/>
        </w:numPr>
        <w:spacing w:line="360" w:lineRule="auto"/>
        <w:ind w:left="0" w:right="-929" w:firstLine="0"/>
        <w:jc w:val="both"/>
        <w:rPr>
          <w:rFonts w:ascii="Palatino Linotype" w:eastAsia="Palatino Linotype" w:hAnsi="Palatino Linotype" w:cs="Palatino Linotype"/>
        </w:rPr>
      </w:pPr>
      <w:r w:rsidRPr="006076A7">
        <w:rPr>
          <w:rFonts w:ascii="Palatino Linotype" w:eastAsia="Palatino Linotype" w:hAnsi="Palatino Linotype" w:cs="Palatino Linotype"/>
        </w:rPr>
        <w:t>Por</w:t>
      </w:r>
      <w:r w:rsidRPr="006076A7">
        <w:rPr>
          <w:rFonts w:ascii="Palatino Linotype" w:eastAsia="Palatino Linotype" w:hAnsi="Palatino Linotype" w:cs="Palatino Linotype"/>
          <w:color w:val="000000"/>
        </w:rPr>
        <w:t xml:space="preserve"> lo </w:t>
      </w:r>
      <w:r w:rsidRPr="006076A7">
        <w:rPr>
          <w:rFonts w:ascii="Palatino Linotype" w:eastAsia="Palatino Linotype" w:hAnsi="Palatino Linotype" w:cs="Palatino Linotype"/>
        </w:rPr>
        <w:t>anteriormente</w:t>
      </w:r>
      <w:r w:rsidRPr="006076A7">
        <w:rPr>
          <w:rFonts w:ascii="Palatino Linotype" w:eastAsia="Palatino Linotype" w:hAnsi="Palatino Linotype" w:cs="Palatino Linotype"/>
          <w:color w:val="000000"/>
        </w:rPr>
        <w:t xml:space="preserve"> expuesto y fundado, este Órgano Garante emite los siguientes: </w:t>
      </w:r>
    </w:p>
    <w:p w14:paraId="2D60F5F0" w14:textId="77777777" w:rsidR="00C545F6" w:rsidRPr="006076A7" w:rsidRDefault="00C545F6">
      <w:pPr>
        <w:spacing w:line="360" w:lineRule="auto"/>
        <w:ind w:left="360" w:right="-929"/>
        <w:jc w:val="both"/>
        <w:rPr>
          <w:rFonts w:ascii="Palatino Linotype" w:eastAsia="Palatino Linotype" w:hAnsi="Palatino Linotype" w:cs="Palatino Linotype"/>
        </w:rPr>
      </w:pPr>
    </w:p>
    <w:p w14:paraId="7BC7CD61" w14:textId="77777777" w:rsidR="00C545F6" w:rsidRPr="006076A7" w:rsidRDefault="00B624A5">
      <w:pPr>
        <w:pStyle w:val="Ttulo1"/>
        <w:spacing w:before="0" w:line="360" w:lineRule="auto"/>
        <w:ind w:right="-929"/>
        <w:jc w:val="center"/>
        <w:rPr>
          <w:rFonts w:ascii="Palatino Linotype" w:eastAsia="Palatino Linotype" w:hAnsi="Palatino Linotype" w:cs="Palatino Linotype"/>
          <w:b/>
          <w:bCs/>
          <w:color w:val="000000"/>
          <w:sz w:val="24"/>
          <w:szCs w:val="24"/>
        </w:rPr>
      </w:pPr>
      <w:bookmarkStart w:id="8" w:name="_heading=h.tzqdd5ii3o0i" w:colFirst="0" w:colLast="0"/>
      <w:bookmarkEnd w:id="8"/>
      <w:r w:rsidRPr="006076A7">
        <w:rPr>
          <w:rFonts w:ascii="Palatino Linotype" w:eastAsia="Palatino Linotype" w:hAnsi="Palatino Linotype" w:cs="Palatino Linotype"/>
          <w:b/>
          <w:bCs/>
          <w:color w:val="000000"/>
          <w:sz w:val="24"/>
          <w:szCs w:val="24"/>
        </w:rPr>
        <w:t>R E S O L U T I V O S</w:t>
      </w:r>
    </w:p>
    <w:p w14:paraId="3B1EF03C" w14:textId="77777777" w:rsidR="00C545F6" w:rsidRPr="006076A7" w:rsidRDefault="00C545F6">
      <w:pPr>
        <w:spacing w:line="360" w:lineRule="auto"/>
        <w:ind w:right="-929"/>
        <w:rPr>
          <w:rFonts w:ascii="Palatino Linotype" w:eastAsia="Palatino Linotype" w:hAnsi="Palatino Linotype" w:cs="Palatino Linotype"/>
        </w:rPr>
      </w:pPr>
    </w:p>
    <w:p w14:paraId="2CF2FA26" w14:textId="77777777" w:rsidR="00C545F6" w:rsidRPr="006076A7" w:rsidRDefault="00B624A5">
      <w:pPr>
        <w:spacing w:line="360" w:lineRule="auto"/>
        <w:ind w:right="-929"/>
        <w:jc w:val="both"/>
        <w:rPr>
          <w:rFonts w:ascii="Palatino Linotype" w:eastAsia="Palatino Linotype" w:hAnsi="Palatino Linotype" w:cs="Palatino Linotype"/>
        </w:rPr>
      </w:pPr>
      <w:r w:rsidRPr="006076A7">
        <w:rPr>
          <w:rFonts w:ascii="Palatino Linotype" w:eastAsia="Palatino Linotype" w:hAnsi="Palatino Linotype" w:cs="Palatino Linotype"/>
          <w:b/>
          <w:bCs/>
        </w:rPr>
        <w:t>PRIMERO</w:t>
      </w:r>
      <w:r w:rsidRPr="006076A7">
        <w:rPr>
          <w:rFonts w:ascii="Palatino Linotype" w:eastAsia="Palatino Linotype" w:hAnsi="Palatino Linotype" w:cs="Palatino Linotype"/>
        </w:rPr>
        <w:t>. Resultan fundadas las</w:t>
      </w:r>
      <w:r w:rsidRPr="006076A7">
        <w:rPr>
          <w:rFonts w:ascii="Palatino Linotype" w:eastAsia="Palatino Linotype" w:hAnsi="Palatino Linotype" w:cs="Palatino Linotype"/>
          <w:b/>
          <w:bCs/>
        </w:rPr>
        <w:t xml:space="preserve"> </w:t>
      </w:r>
      <w:r w:rsidRPr="006076A7">
        <w:rPr>
          <w:rFonts w:ascii="Palatino Linotype" w:eastAsia="Palatino Linotype" w:hAnsi="Palatino Linotype" w:cs="Palatino Linotype"/>
        </w:rPr>
        <w:t xml:space="preserve">razones o motivos de inconformidad hechos valer en el Recurso de Revisión </w:t>
      </w:r>
      <w:r w:rsidRPr="006076A7">
        <w:rPr>
          <w:rFonts w:ascii="Palatino Linotype" w:eastAsia="Palatino Linotype" w:hAnsi="Palatino Linotype" w:cs="Palatino Linotype"/>
          <w:b/>
          <w:bCs/>
          <w:color w:val="000000"/>
        </w:rPr>
        <w:t>10353/INFOEM/IP/RR/2025</w:t>
      </w:r>
      <w:r w:rsidRPr="006076A7">
        <w:rPr>
          <w:rFonts w:ascii="Palatino Linotype" w:eastAsia="Palatino Linotype" w:hAnsi="Palatino Linotype" w:cs="Palatino Linotype"/>
          <w:b/>
          <w:bCs/>
        </w:rPr>
        <w:t xml:space="preserve">, </w:t>
      </w:r>
      <w:r w:rsidRPr="006076A7">
        <w:rPr>
          <w:rFonts w:ascii="Palatino Linotype" w:eastAsia="Palatino Linotype" w:hAnsi="Palatino Linotype" w:cs="Palatino Linotype"/>
        </w:rPr>
        <w:t xml:space="preserve">en términos de los </w:t>
      </w:r>
      <w:r w:rsidRPr="006076A7">
        <w:rPr>
          <w:rFonts w:ascii="Palatino Linotype" w:eastAsia="Palatino Linotype" w:hAnsi="Palatino Linotype" w:cs="Palatino Linotype"/>
          <w:b/>
          <w:bCs/>
        </w:rPr>
        <w:t>Considerandos</w:t>
      </w:r>
      <w:r w:rsidRPr="006076A7">
        <w:rPr>
          <w:rFonts w:ascii="Palatino Linotype" w:eastAsia="Palatino Linotype" w:hAnsi="Palatino Linotype" w:cs="Palatino Linotype"/>
        </w:rPr>
        <w:t xml:space="preserve"> </w:t>
      </w:r>
      <w:r w:rsidRPr="006076A7">
        <w:rPr>
          <w:rFonts w:ascii="Palatino Linotype" w:eastAsia="Palatino Linotype" w:hAnsi="Palatino Linotype" w:cs="Palatino Linotype"/>
          <w:b/>
          <w:bCs/>
        </w:rPr>
        <w:t>Cuarto</w:t>
      </w:r>
      <w:r w:rsidRPr="006076A7">
        <w:rPr>
          <w:rFonts w:ascii="Palatino Linotype" w:eastAsia="Palatino Linotype" w:hAnsi="Palatino Linotype" w:cs="Palatino Linotype"/>
        </w:rPr>
        <w:t xml:space="preserve"> y </w:t>
      </w:r>
      <w:r w:rsidRPr="006076A7">
        <w:rPr>
          <w:rFonts w:ascii="Palatino Linotype" w:eastAsia="Palatino Linotype" w:hAnsi="Palatino Linotype" w:cs="Palatino Linotype"/>
          <w:b/>
          <w:bCs/>
        </w:rPr>
        <w:t xml:space="preserve">Quinto </w:t>
      </w:r>
      <w:r w:rsidRPr="006076A7">
        <w:rPr>
          <w:rFonts w:ascii="Palatino Linotype" w:eastAsia="Palatino Linotype" w:hAnsi="Palatino Linotype" w:cs="Palatino Linotype"/>
        </w:rPr>
        <w:t>de la presente Resolución.</w:t>
      </w:r>
    </w:p>
    <w:p w14:paraId="0073612B" w14:textId="77777777" w:rsidR="00C545F6" w:rsidRPr="006076A7" w:rsidRDefault="00C545F6">
      <w:pPr>
        <w:spacing w:line="360" w:lineRule="auto"/>
        <w:ind w:right="-929"/>
        <w:jc w:val="both"/>
        <w:rPr>
          <w:rFonts w:ascii="Palatino Linotype" w:eastAsia="Palatino Linotype" w:hAnsi="Palatino Linotype" w:cs="Palatino Linotype"/>
        </w:rPr>
      </w:pPr>
    </w:p>
    <w:p w14:paraId="65636E88" w14:textId="1CEDE450" w:rsidR="00C545F6" w:rsidRPr="006076A7" w:rsidRDefault="00B624A5">
      <w:pPr>
        <w:spacing w:line="360" w:lineRule="auto"/>
        <w:ind w:right="-929"/>
        <w:jc w:val="both"/>
        <w:rPr>
          <w:rFonts w:ascii="Palatino Linotype" w:eastAsia="Palatino Linotype" w:hAnsi="Palatino Linotype" w:cs="Palatino Linotype"/>
        </w:rPr>
      </w:pPr>
      <w:bookmarkStart w:id="9" w:name="_heading=h.5vig1dhawssm" w:colFirst="0" w:colLast="0"/>
      <w:bookmarkEnd w:id="9"/>
      <w:r w:rsidRPr="006076A7">
        <w:rPr>
          <w:rFonts w:ascii="Palatino Linotype" w:eastAsia="Palatino Linotype" w:hAnsi="Palatino Linotype" w:cs="Palatino Linotype"/>
          <w:b/>
          <w:bCs/>
        </w:rPr>
        <w:t xml:space="preserve">SEGUNDO. </w:t>
      </w:r>
      <w:r w:rsidRPr="006076A7">
        <w:rPr>
          <w:rFonts w:ascii="Palatino Linotype" w:eastAsia="Palatino Linotype" w:hAnsi="Palatino Linotype" w:cs="Palatino Linotype"/>
          <w:color w:val="000000"/>
        </w:rPr>
        <w:t xml:space="preserve">Se </w:t>
      </w:r>
      <w:r w:rsidRPr="006076A7">
        <w:rPr>
          <w:rFonts w:ascii="Palatino Linotype" w:eastAsia="Palatino Linotype" w:hAnsi="Palatino Linotype" w:cs="Palatino Linotype"/>
          <w:b/>
          <w:bCs/>
          <w:color w:val="000000"/>
        </w:rPr>
        <w:t xml:space="preserve">REVOCA </w:t>
      </w:r>
      <w:r w:rsidR="00D87DC8" w:rsidRPr="006076A7">
        <w:rPr>
          <w:rFonts w:ascii="Palatino Linotype" w:eastAsia="Palatino Linotype" w:hAnsi="Palatino Linotype" w:cs="Palatino Linotype"/>
          <w:color w:val="000000"/>
        </w:rPr>
        <w:t>la respuesta emitida por el</w:t>
      </w:r>
      <w:r w:rsidRPr="006076A7">
        <w:rPr>
          <w:rFonts w:ascii="Palatino Linotype" w:eastAsia="Palatino Linotype" w:hAnsi="Palatino Linotype" w:cs="Palatino Linotype"/>
          <w:color w:val="000000"/>
        </w:rPr>
        <w:t xml:space="preserve"> </w:t>
      </w:r>
      <w:r w:rsidRPr="006076A7">
        <w:rPr>
          <w:rFonts w:ascii="Palatino Linotype" w:eastAsia="Palatino Linotype" w:hAnsi="Palatino Linotype" w:cs="Palatino Linotype"/>
          <w:b/>
          <w:bCs/>
        </w:rPr>
        <w:t>Ayuntamiento de Toluca</w:t>
      </w:r>
      <w:r w:rsidRPr="006076A7">
        <w:rPr>
          <w:rFonts w:ascii="Palatino Linotype" w:eastAsia="Palatino Linotype" w:hAnsi="Palatino Linotype" w:cs="Palatino Linotype"/>
          <w:color w:val="000000"/>
        </w:rPr>
        <w:t xml:space="preserve"> y se </w:t>
      </w:r>
      <w:r w:rsidRPr="006076A7">
        <w:rPr>
          <w:rFonts w:ascii="Palatino Linotype" w:eastAsia="Palatino Linotype" w:hAnsi="Palatino Linotype" w:cs="Palatino Linotype"/>
          <w:b/>
          <w:bCs/>
          <w:color w:val="000000"/>
        </w:rPr>
        <w:t>ORDENA</w:t>
      </w:r>
      <w:r w:rsidRPr="006076A7">
        <w:rPr>
          <w:rFonts w:ascii="Palatino Linotype" w:eastAsia="Palatino Linotype" w:hAnsi="Palatino Linotype" w:cs="Palatino Linotype"/>
          <w:color w:val="000000"/>
        </w:rPr>
        <w:t xml:space="preserve"> entregar vía Sistema de Acceso a la Información Mexiquense (SAIMEX), el soporte documental en que conste o se advierta la siguiente información, previa búsqueda exhaustiva y razonable, en versión pública</w:t>
      </w:r>
      <w:r w:rsidRPr="006076A7">
        <w:rPr>
          <w:rFonts w:ascii="Palatino Linotype" w:eastAsia="Palatino Linotype" w:hAnsi="Palatino Linotype" w:cs="Palatino Linotype"/>
        </w:rPr>
        <w:t>:</w:t>
      </w:r>
    </w:p>
    <w:p w14:paraId="3294554A" w14:textId="77777777" w:rsidR="00C545F6" w:rsidRPr="006076A7" w:rsidRDefault="00C545F6">
      <w:pPr>
        <w:pBdr>
          <w:top w:val="nil"/>
          <w:left w:val="nil"/>
          <w:bottom w:val="nil"/>
          <w:right w:val="nil"/>
          <w:between w:val="nil"/>
        </w:pBdr>
        <w:tabs>
          <w:tab w:val="left" w:pos="8080"/>
        </w:tabs>
        <w:spacing w:line="360" w:lineRule="auto"/>
        <w:ind w:left="709" w:right="-929"/>
        <w:jc w:val="both"/>
        <w:rPr>
          <w:rFonts w:ascii="Palatino Linotype" w:eastAsia="Palatino Linotype" w:hAnsi="Palatino Linotype" w:cs="Palatino Linotype"/>
          <w:i/>
          <w:iCs/>
          <w:color w:val="000000"/>
        </w:rPr>
      </w:pPr>
    </w:p>
    <w:p w14:paraId="7F98BCD0" w14:textId="77777777" w:rsidR="00C545F6" w:rsidRPr="006076A7" w:rsidRDefault="00B624A5">
      <w:pPr>
        <w:tabs>
          <w:tab w:val="left" w:pos="8080"/>
        </w:tabs>
        <w:spacing w:line="360" w:lineRule="auto"/>
        <w:ind w:left="993" w:right="-929"/>
        <w:jc w:val="both"/>
        <w:rPr>
          <w:rFonts w:ascii="Palatino Linotype" w:eastAsia="Palatino Linotype" w:hAnsi="Palatino Linotype" w:cs="Palatino Linotype"/>
          <w:b/>
          <w:bCs/>
        </w:rPr>
      </w:pPr>
      <w:r w:rsidRPr="006076A7">
        <w:rPr>
          <w:rFonts w:ascii="Palatino Linotype" w:eastAsia="Palatino Linotype" w:hAnsi="Palatino Linotype" w:cs="Palatino Linotype"/>
          <w:b/>
          <w:bCs/>
        </w:rPr>
        <w:lastRenderedPageBreak/>
        <w:t>Del proyecto “Construcción de Pasos Peatonales Inteligentes", el soporte documental en que conste o se advierta la siguiente información, al 09 de julio de 2025:</w:t>
      </w:r>
    </w:p>
    <w:p w14:paraId="21907BF7" w14:textId="77777777" w:rsidR="00C545F6" w:rsidRPr="006076A7" w:rsidRDefault="00C545F6">
      <w:pPr>
        <w:pBdr>
          <w:top w:val="nil"/>
          <w:left w:val="nil"/>
          <w:bottom w:val="nil"/>
          <w:right w:val="nil"/>
          <w:between w:val="nil"/>
        </w:pBdr>
        <w:tabs>
          <w:tab w:val="left" w:pos="8080"/>
        </w:tabs>
        <w:spacing w:line="360" w:lineRule="auto"/>
        <w:ind w:left="993" w:right="-929"/>
        <w:jc w:val="both"/>
        <w:rPr>
          <w:rFonts w:ascii="Palatino Linotype" w:eastAsia="Palatino Linotype" w:hAnsi="Palatino Linotype" w:cs="Palatino Linotype"/>
          <w:b/>
          <w:bCs/>
          <w:color w:val="000000"/>
        </w:rPr>
      </w:pPr>
    </w:p>
    <w:p w14:paraId="3EF064B5" w14:textId="77777777" w:rsidR="00C545F6" w:rsidRPr="006076A7" w:rsidRDefault="00B624A5">
      <w:pPr>
        <w:numPr>
          <w:ilvl w:val="0"/>
          <w:numId w:val="7"/>
        </w:numPr>
        <w:pBdr>
          <w:top w:val="nil"/>
          <w:left w:val="nil"/>
          <w:bottom w:val="nil"/>
          <w:right w:val="nil"/>
          <w:between w:val="nil"/>
        </w:pBdr>
        <w:tabs>
          <w:tab w:val="left" w:pos="8080"/>
        </w:tabs>
        <w:spacing w:line="360" w:lineRule="auto"/>
        <w:ind w:left="993" w:right="-929"/>
        <w:jc w:val="both"/>
        <w:rPr>
          <w:rFonts w:ascii="Palatino Linotype" w:eastAsia="Palatino Linotype" w:hAnsi="Palatino Linotype" w:cs="Palatino Linotype"/>
          <w:b/>
          <w:bCs/>
          <w:color w:val="000000"/>
        </w:rPr>
      </w:pPr>
      <w:r w:rsidRPr="006076A7">
        <w:rPr>
          <w:rFonts w:ascii="Palatino Linotype" w:eastAsia="Palatino Linotype" w:hAnsi="Palatino Linotype" w:cs="Palatino Linotype"/>
          <w:b/>
          <w:bCs/>
          <w:color w:val="000000"/>
        </w:rPr>
        <w:t>El proyecto técnico o, los estudios técnicos;</w:t>
      </w:r>
    </w:p>
    <w:p w14:paraId="27545384" w14:textId="77777777" w:rsidR="00C545F6" w:rsidRPr="006076A7" w:rsidRDefault="00B624A5">
      <w:pPr>
        <w:numPr>
          <w:ilvl w:val="0"/>
          <w:numId w:val="7"/>
        </w:numPr>
        <w:pBdr>
          <w:top w:val="nil"/>
          <w:left w:val="nil"/>
          <w:bottom w:val="nil"/>
          <w:right w:val="nil"/>
          <w:between w:val="nil"/>
        </w:pBdr>
        <w:tabs>
          <w:tab w:val="left" w:pos="8080"/>
        </w:tabs>
        <w:spacing w:line="360" w:lineRule="auto"/>
        <w:ind w:left="993" w:right="-929"/>
        <w:jc w:val="both"/>
        <w:rPr>
          <w:rFonts w:ascii="Palatino Linotype" w:eastAsia="Palatino Linotype" w:hAnsi="Palatino Linotype" w:cs="Palatino Linotype"/>
          <w:b/>
          <w:bCs/>
          <w:color w:val="000000"/>
        </w:rPr>
      </w:pPr>
      <w:r w:rsidRPr="006076A7">
        <w:rPr>
          <w:rFonts w:ascii="Palatino Linotype" w:eastAsia="Palatino Linotype" w:hAnsi="Palatino Linotype" w:cs="Palatino Linotype"/>
          <w:b/>
          <w:bCs/>
          <w:color w:val="000000"/>
        </w:rPr>
        <w:t>Nombre de la empresa que ejecutó la obra;</w:t>
      </w:r>
    </w:p>
    <w:p w14:paraId="6914A7AC" w14:textId="77777777" w:rsidR="00C545F6" w:rsidRPr="006076A7" w:rsidRDefault="00B624A5">
      <w:pPr>
        <w:numPr>
          <w:ilvl w:val="0"/>
          <w:numId w:val="7"/>
        </w:numPr>
        <w:pBdr>
          <w:top w:val="nil"/>
          <w:left w:val="nil"/>
          <w:bottom w:val="nil"/>
          <w:right w:val="nil"/>
          <w:between w:val="nil"/>
        </w:pBdr>
        <w:tabs>
          <w:tab w:val="left" w:pos="8080"/>
        </w:tabs>
        <w:spacing w:line="360" w:lineRule="auto"/>
        <w:ind w:left="993" w:right="-929"/>
        <w:jc w:val="both"/>
        <w:rPr>
          <w:rFonts w:ascii="Palatino Linotype" w:eastAsia="Palatino Linotype" w:hAnsi="Palatino Linotype" w:cs="Palatino Linotype"/>
          <w:b/>
          <w:bCs/>
          <w:color w:val="000000"/>
        </w:rPr>
      </w:pPr>
      <w:r w:rsidRPr="006076A7">
        <w:rPr>
          <w:rFonts w:ascii="Palatino Linotype" w:eastAsia="Palatino Linotype" w:hAnsi="Palatino Linotype" w:cs="Palatino Linotype"/>
          <w:b/>
          <w:bCs/>
          <w:color w:val="000000"/>
        </w:rPr>
        <w:t>Los expedientes generados con motivo del proceso de licitación (</w:t>
      </w:r>
      <w:r w:rsidRPr="006076A7">
        <w:rPr>
          <w:rFonts w:ascii="Palatino Linotype" w:eastAsia="Palatino Linotype" w:hAnsi="Palatino Linotype" w:cs="Palatino Linotype"/>
          <w:b/>
          <w:bCs/>
        </w:rPr>
        <w:t>pública</w:t>
      </w:r>
      <w:r w:rsidRPr="006076A7">
        <w:rPr>
          <w:rFonts w:ascii="Palatino Linotype" w:eastAsia="Palatino Linotype" w:hAnsi="Palatino Linotype" w:cs="Palatino Linotype"/>
          <w:b/>
          <w:bCs/>
          <w:color w:val="000000"/>
        </w:rPr>
        <w:t>, invitación restringida o asignación directa);</w:t>
      </w:r>
    </w:p>
    <w:p w14:paraId="58715E94" w14:textId="77777777" w:rsidR="00C545F6" w:rsidRPr="006076A7" w:rsidRDefault="00B624A5">
      <w:pPr>
        <w:numPr>
          <w:ilvl w:val="0"/>
          <w:numId w:val="7"/>
        </w:numPr>
        <w:pBdr>
          <w:top w:val="nil"/>
          <w:left w:val="nil"/>
          <w:bottom w:val="nil"/>
          <w:right w:val="nil"/>
          <w:between w:val="nil"/>
        </w:pBdr>
        <w:tabs>
          <w:tab w:val="left" w:pos="8080"/>
        </w:tabs>
        <w:spacing w:line="360" w:lineRule="auto"/>
        <w:ind w:left="993" w:right="-929"/>
        <w:jc w:val="both"/>
        <w:rPr>
          <w:rFonts w:ascii="Palatino Linotype" w:eastAsia="Palatino Linotype" w:hAnsi="Palatino Linotype" w:cs="Palatino Linotype"/>
          <w:b/>
          <w:bCs/>
          <w:color w:val="000000"/>
        </w:rPr>
      </w:pPr>
      <w:r w:rsidRPr="006076A7">
        <w:rPr>
          <w:rFonts w:ascii="Palatino Linotype" w:eastAsia="Palatino Linotype" w:hAnsi="Palatino Linotype" w:cs="Palatino Linotype"/>
          <w:b/>
          <w:bCs/>
          <w:color w:val="000000"/>
        </w:rPr>
        <w:t>Los dictámenes y fallo de adjudicación;</w:t>
      </w:r>
    </w:p>
    <w:p w14:paraId="10463F97" w14:textId="77777777" w:rsidR="00C545F6" w:rsidRPr="006076A7" w:rsidRDefault="00B624A5">
      <w:pPr>
        <w:numPr>
          <w:ilvl w:val="0"/>
          <w:numId w:val="7"/>
        </w:numPr>
        <w:pBdr>
          <w:top w:val="nil"/>
          <w:left w:val="nil"/>
          <w:bottom w:val="nil"/>
          <w:right w:val="nil"/>
          <w:between w:val="nil"/>
        </w:pBdr>
        <w:tabs>
          <w:tab w:val="left" w:pos="8080"/>
        </w:tabs>
        <w:spacing w:line="360" w:lineRule="auto"/>
        <w:ind w:left="993" w:right="-929"/>
        <w:jc w:val="both"/>
        <w:rPr>
          <w:rFonts w:ascii="Palatino Linotype" w:eastAsia="Palatino Linotype" w:hAnsi="Palatino Linotype" w:cs="Palatino Linotype"/>
          <w:b/>
          <w:bCs/>
          <w:color w:val="000000"/>
        </w:rPr>
      </w:pPr>
      <w:r w:rsidRPr="006076A7">
        <w:rPr>
          <w:rFonts w:ascii="Palatino Linotype" w:eastAsia="Palatino Linotype" w:hAnsi="Palatino Linotype" w:cs="Palatino Linotype"/>
          <w:b/>
          <w:bCs/>
          <w:color w:val="000000"/>
        </w:rPr>
        <w:t xml:space="preserve">El acta de comité de adquisiciones, </w:t>
      </w:r>
    </w:p>
    <w:p w14:paraId="720245F1" w14:textId="77777777" w:rsidR="00C545F6" w:rsidRPr="006076A7" w:rsidRDefault="00B624A5">
      <w:pPr>
        <w:numPr>
          <w:ilvl w:val="0"/>
          <w:numId w:val="7"/>
        </w:numPr>
        <w:pBdr>
          <w:top w:val="nil"/>
          <w:left w:val="nil"/>
          <w:bottom w:val="nil"/>
          <w:right w:val="nil"/>
          <w:between w:val="nil"/>
        </w:pBdr>
        <w:tabs>
          <w:tab w:val="left" w:pos="8080"/>
        </w:tabs>
        <w:spacing w:line="360" w:lineRule="auto"/>
        <w:ind w:left="993" w:right="-929"/>
        <w:jc w:val="both"/>
        <w:rPr>
          <w:rFonts w:ascii="Palatino Linotype" w:eastAsia="Palatino Linotype" w:hAnsi="Palatino Linotype" w:cs="Palatino Linotype"/>
          <w:b/>
          <w:bCs/>
          <w:color w:val="000000"/>
        </w:rPr>
      </w:pPr>
      <w:r w:rsidRPr="006076A7">
        <w:rPr>
          <w:rFonts w:ascii="Palatino Linotype" w:eastAsia="Palatino Linotype" w:hAnsi="Palatino Linotype" w:cs="Palatino Linotype"/>
          <w:b/>
          <w:bCs/>
          <w:color w:val="000000"/>
        </w:rPr>
        <w:t>El contrato celebrado y, en su caso, sus anexos;</w:t>
      </w:r>
    </w:p>
    <w:p w14:paraId="5C421055" w14:textId="77777777" w:rsidR="00C545F6" w:rsidRPr="006076A7" w:rsidRDefault="00B624A5">
      <w:pPr>
        <w:numPr>
          <w:ilvl w:val="0"/>
          <w:numId w:val="7"/>
        </w:numPr>
        <w:pBdr>
          <w:top w:val="nil"/>
          <w:left w:val="nil"/>
          <w:bottom w:val="nil"/>
          <w:right w:val="nil"/>
          <w:between w:val="nil"/>
        </w:pBdr>
        <w:tabs>
          <w:tab w:val="left" w:pos="8080"/>
        </w:tabs>
        <w:spacing w:line="360" w:lineRule="auto"/>
        <w:ind w:left="993" w:right="-929"/>
        <w:jc w:val="both"/>
        <w:rPr>
          <w:rFonts w:ascii="Palatino Linotype" w:eastAsia="Palatino Linotype" w:hAnsi="Palatino Linotype" w:cs="Palatino Linotype"/>
          <w:b/>
          <w:bCs/>
          <w:color w:val="000000"/>
        </w:rPr>
      </w:pPr>
      <w:r w:rsidRPr="006076A7">
        <w:rPr>
          <w:rFonts w:ascii="Palatino Linotype" w:eastAsia="Palatino Linotype" w:hAnsi="Palatino Linotype" w:cs="Palatino Linotype"/>
          <w:b/>
          <w:bCs/>
          <w:color w:val="000000"/>
        </w:rPr>
        <w:t>Monto erogado por el proyecto y las facturas pagadas;</w:t>
      </w:r>
    </w:p>
    <w:p w14:paraId="6D79685D" w14:textId="77777777" w:rsidR="00C545F6" w:rsidRPr="006076A7" w:rsidRDefault="00B624A5">
      <w:pPr>
        <w:numPr>
          <w:ilvl w:val="0"/>
          <w:numId w:val="7"/>
        </w:numPr>
        <w:pBdr>
          <w:top w:val="nil"/>
          <w:left w:val="nil"/>
          <w:bottom w:val="nil"/>
          <w:right w:val="nil"/>
          <w:between w:val="nil"/>
        </w:pBdr>
        <w:tabs>
          <w:tab w:val="left" w:pos="8080"/>
        </w:tabs>
        <w:spacing w:line="360" w:lineRule="auto"/>
        <w:ind w:left="993" w:right="-929"/>
        <w:jc w:val="both"/>
        <w:rPr>
          <w:rFonts w:ascii="Palatino Linotype" w:eastAsia="Palatino Linotype" w:hAnsi="Palatino Linotype" w:cs="Palatino Linotype"/>
          <w:b/>
          <w:bCs/>
          <w:color w:val="000000"/>
        </w:rPr>
      </w:pPr>
      <w:r w:rsidRPr="006076A7">
        <w:rPr>
          <w:rFonts w:ascii="Palatino Linotype" w:eastAsia="Palatino Linotype" w:hAnsi="Palatino Linotype" w:cs="Palatino Linotype"/>
          <w:b/>
          <w:bCs/>
          <w:color w:val="000000"/>
        </w:rPr>
        <w:t>Ubicación de los pasos peatonales;</w:t>
      </w:r>
    </w:p>
    <w:p w14:paraId="65A5AFAB" w14:textId="77777777" w:rsidR="00C545F6" w:rsidRPr="006076A7" w:rsidRDefault="00B624A5">
      <w:pPr>
        <w:numPr>
          <w:ilvl w:val="0"/>
          <w:numId w:val="7"/>
        </w:numPr>
        <w:pBdr>
          <w:top w:val="nil"/>
          <w:left w:val="nil"/>
          <w:bottom w:val="nil"/>
          <w:right w:val="nil"/>
          <w:between w:val="nil"/>
        </w:pBdr>
        <w:tabs>
          <w:tab w:val="left" w:pos="8080"/>
        </w:tabs>
        <w:spacing w:line="360" w:lineRule="auto"/>
        <w:ind w:left="993" w:right="-929"/>
        <w:jc w:val="both"/>
        <w:rPr>
          <w:rFonts w:ascii="Palatino Linotype" w:eastAsia="Palatino Linotype" w:hAnsi="Palatino Linotype" w:cs="Palatino Linotype"/>
          <w:b/>
          <w:bCs/>
          <w:color w:val="000000"/>
        </w:rPr>
      </w:pPr>
      <w:r w:rsidRPr="006076A7">
        <w:rPr>
          <w:rFonts w:ascii="Palatino Linotype" w:eastAsia="Palatino Linotype" w:hAnsi="Palatino Linotype" w:cs="Palatino Linotype"/>
          <w:b/>
          <w:bCs/>
          <w:color w:val="000000"/>
        </w:rPr>
        <w:t>Total de pasos peatonales programados a instalar; y</w:t>
      </w:r>
    </w:p>
    <w:p w14:paraId="205124F0" w14:textId="77777777" w:rsidR="00C545F6" w:rsidRPr="006076A7" w:rsidRDefault="00B624A5">
      <w:pPr>
        <w:numPr>
          <w:ilvl w:val="0"/>
          <w:numId w:val="7"/>
        </w:numPr>
        <w:pBdr>
          <w:top w:val="nil"/>
          <w:left w:val="nil"/>
          <w:bottom w:val="nil"/>
          <w:right w:val="nil"/>
          <w:between w:val="nil"/>
        </w:pBdr>
        <w:tabs>
          <w:tab w:val="left" w:pos="8080"/>
        </w:tabs>
        <w:spacing w:line="360" w:lineRule="auto"/>
        <w:ind w:left="993" w:right="-929"/>
        <w:jc w:val="both"/>
        <w:rPr>
          <w:rFonts w:ascii="Palatino Linotype" w:eastAsia="Palatino Linotype" w:hAnsi="Palatino Linotype" w:cs="Palatino Linotype"/>
          <w:b/>
          <w:bCs/>
          <w:color w:val="000000"/>
        </w:rPr>
      </w:pPr>
      <w:r w:rsidRPr="006076A7">
        <w:rPr>
          <w:rFonts w:ascii="Palatino Linotype" w:eastAsia="Palatino Linotype" w:hAnsi="Palatino Linotype" w:cs="Palatino Linotype"/>
          <w:b/>
          <w:bCs/>
          <w:color w:val="000000"/>
        </w:rPr>
        <w:t>Fecha de inicio del proyecto y el plazo de entrega de la obra pública.</w:t>
      </w:r>
    </w:p>
    <w:p w14:paraId="6402E1A7" w14:textId="77777777" w:rsidR="00C545F6" w:rsidRPr="006076A7" w:rsidRDefault="00C545F6">
      <w:pPr>
        <w:tabs>
          <w:tab w:val="left" w:pos="8080"/>
        </w:tabs>
        <w:spacing w:line="360" w:lineRule="auto"/>
        <w:ind w:right="-929"/>
        <w:jc w:val="both"/>
        <w:rPr>
          <w:rFonts w:ascii="Palatino Linotype" w:eastAsia="Palatino Linotype" w:hAnsi="Palatino Linotype" w:cs="Palatino Linotype"/>
        </w:rPr>
      </w:pPr>
    </w:p>
    <w:p w14:paraId="5D97B508" w14:textId="77777777" w:rsidR="00C545F6" w:rsidRPr="006076A7" w:rsidRDefault="00B624A5">
      <w:pPr>
        <w:tabs>
          <w:tab w:val="left" w:pos="8080"/>
        </w:tabs>
        <w:spacing w:line="360" w:lineRule="auto"/>
        <w:ind w:right="-929"/>
        <w:jc w:val="both"/>
        <w:rPr>
          <w:rFonts w:ascii="Palatino Linotype" w:eastAsia="Palatino Linotype" w:hAnsi="Palatino Linotype" w:cs="Palatino Linotype"/>
        </w:rPr>
      </w:pPr>
      <w:r w:rsidRPr="006076A7">
        <w:rPr>
          <w:rFonts w:ascii="Palatino Linotype" w:eastAsia="Palatino Linotype" w:hAnsi="Palatino Linotype" w:cs="Palatino Linotype"/>
        </w:rPr>
        <w:t xml:space="preserve">Para efectos de lo anterior, se deberá emitir el Acuerdo del Comité de Transparencia en términos de los artículos 49, fracciones II y VIII, 132, fracción II y 143 de la Ley de Transparencia y Acceso a la Información Pública del Estado de México y Municipios, en el que funde y motive las razones sobre la eliminación de los datos y documentos confidenciales del soporte documental respectivo objeto de las versiones públicas que se formulen y se pongan a disposición del </w:t>
      </w:r>
      <w:r w:rsidRPr="006076A7">
        <w:rPr>
          <w:rFonts w:ascii="Palatino Linotype" w:eastAsia="Palatino Linotype" w:hAnsi="Palatino Linotype" w:cs="Palatino Linotype"/>
          <w:b/>
          <w:bCs/>
          <w:color w:val="000000"/>
        </w:rPr>
        <w:t>RECURRENTE</w:t>
      </w:r>
      <w:r w:rsidRPr="006076A7">
        <w:rPr>
          <w:rFonts w:ascii="Palatino Linotype" w:eastAsia="Palatino Linotype" w:hAnsi="Palatino Linotype" w:cs="Palatino Linotype"/>
        </w:rPr>
        <w:t>.</w:t>
      </w:r>
    </w:p>
    <w:p w14:paraId="2008ED4B" w14:textId="77777777" w:rsidR="00C545F6" w:rsidRPr="006076A7" w:rsidRDefault="00C545F6">
      <w:pPr>
        <w:tabs>
          <w:tab w:val="left" w:pos="8080"/>
        </w:tabs>
        <w:spacing w:line="360" w:lineRule="auto"/>
        <w:ind w:right="-929"/>
        <w:jc w:val="both"/>
        <w:rPr>
          <w:rFonts w:ascii="Palatino Linotype" w:eastAsia="Palatino Linotype" w:hAnsi="Palatino Linotype" w:cs="Palatino Linotype"/>
        </w:rPr>
      </w:pPr>
    </w:p>
    <w:p w14:paraId="1184139E" w14:textId="77777777" w:rsidR="00C545F6" w:rsidRPr="006076A7" w:rsidRDefault="00B624A5">
      <w:pPr>
        <w:tabs>
          <w:tab w:val="left" w:pos="8080"/>
        </w:tabs>
        <w:spacing w:line="360" w:lineRule="auto"/>
        <w:ind w:right="-929"/>
        <w:jc w:val="both"/>
        <w:rPr>
          <w:rFonts w:ascii="Palatino Linotype" w:eastAsia="Palatino Linotype" w:hAnsi="Palatino Linotype" w:cs="Palatino Linotype"/>
        </w:rPr>
      </w:pPr>
      <w:r w:rsidRPr="006076A7">
        <w:rPr>
          <w:rFonts w:ascii="Palatino Linotype" w:eastAsia="Palatino Linotype" w:hAnsi="Palatino Linotype" w:cs="Palatino Linotype"/>
        </w:rPr>
        <w:lastRenderedPageBreak/>
        <w:t xml:space="preserve">Para el caso de no contar con lo ordenado en los </w:t>
      </w:r>
      <w:r w:rsidRPr="006076A7">
        <w:rPr>
          <w:rFonts w:ascii="Palatino Linotype" w:eastAsia="Palatino Linotype" w:hAnsi="Palatino Linotype" w:cs="Palatino Linotype"/>
          <w:b/>
          <w:bCs/>
        </w:rPr>
        <w:t>incisos b), c), d), e) y, f),</w:t>
      </w:r>
      <w:r w:rsidRPr="006076A7">
        <w:rPr>
          <w:rFonts w:ascii="Palatino Linotype" w:eastAsia="Palatino Linotype" w:hAnsi="Palatino Linotype" w:cs="Palatino Linotype"/>
        </w:rPr>
        <w:t xml:space="preserve"> por corresponder a una obra pública a cargo del Ayuntamiento de Toluca; bastará que lo haga del conocimiento del </w:t>
      </w:r>
      <w:r w:rsidRPr="006076A7">
        <w:rPr>
          <w:rFonts w:ascii="Palatino Linotype" w:eastAsia="Palatino Linotype" w:hAnsi="Palatino Linotype" w:cs="Palatino Linotype"/>
          <w:b/>
          <w:bCs/>
        </w:rPr>
        <w:t>RECURRENTE</w:t>
      </w:r>
      <w:r w:rsidRPr="006076A7">
        <w:rPr>
          <w:rFonts w:ascii="Palatino Linotype" w:eastAsia="Palatino Linotype" w:hAnsi="Palatino Linotype" w:cs="Palatino Linotype"/>
        </w:rPr>
        <w:t xml:space="preserve"> al momento de dar cumplimiento a la presente Resolución en términos del artículo 19 párrafo segundo de la Ley de Transparencia y Acceso a la Información Pública del Estado de México y Municipios.</w:t>
      </w:r>
    </w:p>
    <w:p w14:paraId="12F13ED0" w14:textId="77777777" w:rsidR="00C545F6" w:rsidRPr="006076A7" w:rsidRDefault="00C545F6">
      <w:pPr>
        <w:tabs>
          <w:tab w:val="left" w:pos="8080"/>
        </w:tabs>
        <w:spacing w:line="360" w:lineRule="auto"/>
        <w:ind w:right="-929"/>
        <w:jc w:val="both"/>
        <w:rPr>
          <w:rFonts w:ascii="Palatino Linotype" w:eastAsia="Palatino Linotype" w:hAnsi="Palatino Linotype" w:cs="Palatino Linotype"/>
        </w:rPr>
      </w:pPr>
    </w:p>
    <w:p w14:paraId="4C035DB2" w14:textId="77777777" w:rsidR="00C545F6" w:rsidRPr="006076A7" w:rsidRDefault="00B624A5">
      <w:pPr>
        <w:spacing w:line="360" w:lineRule="auto"/>
        <w:ind w:right="-929"/>
        <w:jc w:val="both"/>
        <w:rPr>
          <w:rFonts w:ascii="Palatino Linotype" w:eastAsia="Palatino Linotype" w:hAnsi="Palatino Linotype" w:cs="Palatino Linotype"/>
        </w:rPr>
      </w:pPr>
      <w:r w:rsidRPr="006076A7">
        <w:rPr>
          <w:rFonts w:ascii="Palatino Linotype" w:eastAsia="Palatino Linotype" w:hAnsi="Palatino Linotype" w:cs="Palatino Linotype"/>
          <w:b/>
          <w:bCs/>
        </w:rPr>
        <w:t xml:space="preserve">TERCERO. Notifíquese </w:t>
      </w:r>
      <w:r w:rsidRPr="006076A7">
        <w:rPr>
          <w:rFonts w:ascii="Palatino Linotype" w:eastAsia="Palatino Linotype" w:hAnsi="Palatino Linotype" w:cs="Palatino Linotype"/>
        </w:rPr>
        <w:t xml:space="preserve">la presente Resolución al Titular de la Unidad de Transparencia del Sujeto Obligado vía </w:t>
      </w:r>
      <w:r w:rsidRPr="006076A7">
        <w:rPr>
          <w:rFonts w:ascii="Palatino Linotype" w:eastAsia="Palatino Linotype" w:hAnsi="Palatino Linotype" w:cs="Palatino Linotype"/>
          <w:b/>
          <w:bCs/>
        </w:rPr>
        <w:t>SAIMEX</w:t>
      </w:r>
      <w:r w:rsidRPr="006076A7">
        <w:rPr>
          <w:rFonts w:ascii="Palatino Linotype" w:eastAsia="Palatino Linotype" w:hAnsi="Palatino Linotype" w:cs="Palatino Linotype"/>
        </w:rPr>
        <w:t xml:space="preserve">, para que conforme al artículo 186 último párrafo, 189 segundo párrafo y 194 de la Ley de Transparencia y Acceso a la Información Pública del Estado de México y Municipios; </w:t>
      </w:r>
      <w:r w:rsidRPr="006076A7">
        <w:rPr>
          <w:rFonts w:ascii="Palatino Linotype" w:eastAsia="Palatino Linotype" w:hAnsi="Palatino Linotype" w:cs="Palatino Linotype"/>
          <w:b/>
          <w:bCs/>
        </w:rPr>
        <w:t>dé cumplimiento a lo ordenado dentro del plazo de diez días hábiles</w:t>
      </w:r>
      <w:r w:rsidRPr="006076A7">
        <w:rPr>
          <w:rFonts w:ascii="Palatino Linotype" w:eastAsia="Palatino Linotype" w:hAnsi="Palatino Linotype" w:cs="Palatino Linotype"/>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82E4EFB" w14:textId="77777777" w:rsidR="00C545F6" w:rsidRPr="006076A7" w:rsidRDefault="00C545F6">
      <w:pPr>
        <w:spacing w:line="360" w:lineRule="auto"/>
        <w:ind w:right="-929"/>
        <w:jc w:val="both"/>
        <w:rPr>
          <w:rFonts w:ascii="Palatino Linotype" w:eastAsia="Palatino Linotype" w:hAnsi="Palatino Linotype" w:cs="Palatino Linotype"/>
        </w:rPr>
      </w:pPr>
    </w:p>
    <w:p w14:paraId="6398BA70" w14:textId="77777777" w:rsidR="00C545F6" w:rsidRPr="006076A7" w:rsidRDefault="00B624A5">
      <w:pPr>
        <w:spacing w:line="360" w:lineRule="auto"/>
        <w:ind w:right="-929"/>
        <w:jc w:val="both"/>
        <w:rPr>
          <w:rFonts w:ascii="Palatino Linotype" w:eastAsia="Palatino Linotype" w:hAnsi="Palatino Linotype" w:cs="Palatino Linotype"/>
        </w:rPr>
      </w:pPr>
      <w:r w:rsidRPr="006076A7">
        <w:rPr>
          <w:rFonts w:ascii="Palatino Linotype" w:eastAsia="Palatino Linotype" w:hAnsi="Palatino Linotype" w:cs="Palatino Linotype"/>
          <w:b/>
          <w:bCs/>
        </w:rPr>
        <w:t xml:space="preserve">CUARTO. </w:t>
      </w:r>
      <w:r w:rsidRPr="006076A7">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6076A7">
        <w:rPr>
          <w:rFonts w:ascii="Palatino Linotype" w:eastAsia="Palatino Linotype" w:hAnsi="Palatino Linotype" w:cs="Palatino Linotype"/>
          <w:b/>
          <w:bCs/>
        </w:rPr>
        <w:t>SUJETO OBLIGADO</w:t>
      </w:r>
      <w:r w:rsidRPr="006076A7">
        <w:rPr>
          <w:rFonts w:ascii="Palatino Linotype" w:eastAsia="Palatino Linotype" w:hAnsi="Palatino Linotype" w:cs="Palatino Linotype"/>
        </w:rPr>
        <w:t xml:space="preserve"> de manera fundada y motivada, podrá solicitar una ampliación de plazo para el cumplimiento de la presente Resolución.</w:t>
      </w:r>
    </w:p>
    <w:p w14:paraId="753550EC" w14:textId="77777777" w:rsidR="00C545F6" w:rsidRPr="006076A7" w:rsidRDefault="00C545F6">
      <w:pPr>
        <w:spacing w:line="360" w:lineRule="auto"/>
        <w:ind w:right="-929"/>
        <w:jc w:val="both"/>
        <w:rPr>
          <w:rFonts w:ascii="Palatino Linotype" w:eastAsia="Palatino Linotype" w:hAnsi="Palatino Linotype" w:cs="Palatino Linotype"/>
        </w:rPr>
      </w:pPr>
    </w:p>
    <w:p w14:paraId="196E5FB4" w14:textId="77777777" w:rsidR="00C545F6" w:rsidRPr="006076A7" w:rsidRDefault="00B624A5">
      <w:pPr>
        <w:tabs>
          <w:tab w:val="left" w:pos="8080"/>
        </w:tabs>
        <w:spacing w:line="360" w:lineRule="auto"/>
        <w:ind w:right="-929"/>
        <w:jc w:val="both"/>
        <w:rPr>
          <w:rFonts w:ascii="Palatino Linotype" w:eastAsia="Palatino Linotype" w:hAnsi="Palatino Linotype" w:cs="Palatino Linotype"/>
        </w:rPr>
      </w:pPr>
      <w:bookmarkStart w:id="10" w:name="_heading=h.jh9dpqn1hvof" w:colFirst="0" w:colLast="0"/>
      <w:bookmarkEnd w:id="10"/>
      <w:r w:rsidRPr="006076A7">
        <w:rPr>
          <w:rFonts w:ascii="Palatino Linotype" w:eastAsia="Palatino Linotype" w:hAnsi="Palatino Linotype" w:cs="Palatino Linotype"/>
          <w:b/>
          <w:bCs/>
        </w:rPr>
        <w:t xml:space="preserve">QUINTO. </w:t>
      </w:r>
      <w:r w:rsidRPr="006076A7">
        <w:rPr>
          <w:rFonts w:ascii="Palatino Linotype" w:eastAsia="Palatino Linotype" w:hAnsi="Palatino Linotype" w:cs="Palatino Linotype"/>
        </w:rPr>
        <w:t xml:space="preserve">Notifíquese al </w:t>
      </w:r>
      <w:r w:rsidRPr="006076A7">
        <w:rPr>
          <w:rFonts w:ascii="Palatino Linotype" w:eastAsia="Palatino Linotype" w:hAnsi="Palatino Linotype" w:cs="Palatino Linotype"/>
          <w:b/>
          <w:bCs/>
        </w:rPr>
        <w:t>RECURRENTE</w:t>
      </w:r>
      <w:r w:rsidRPr="006076A7">
        <w:rPr>
          <w:rFonts w:ascii="Palatino Linotype" w:eastAsia="Palatino Linotype" w:hAnsi="Palatino Linotype" w:cs="Palatino Linotype"/>
        </w:rPr>
        <w:t xml:space="preserve"> la presente Resolución, vía </w:t>
      </w:r>
      <w:r w:rsidRPr="006076A7">
        <w:rPr>
          <w:rFonts w:ascii="Palatino Linotype" w:eastAsia="Palatino Linotype" w:hAnsi="Palatino Linotype" w:cs="Palatino Linotype"/>
          <w:b/>
          <w:bCs/>
        </w:rPr>
        <w:t>SAIMEX</w:t>
      </w:r>
      <w:r w:rsidRPr="006076A7">
        <w:rPr>
          <w:rFonts w:ascii="Palatino Linotype" w:eastAsia="Palatino Linotype" w:hAnsi="Palatino Linotype" w:cs="Palatino Linotype"/>
        </w:rPr>
        <w:t>.</w:t>
      </w:r>
    </w:p>
    <w:p w14:paraId="3A5A3A82" w14:textId="77777777" w:rsidR="00C545F6" w:rsidRPr="006076A7" w:rsidRDefault="00C545F6">
      <w:pPr>
        <w:tabs>
          <w:tab w:val="left" w:pos="8080"/>
        </w:tabs>
        <w:spacing w:line="360" w:lineRule="auto"/>
        <w:ind w:right="-929"/>
        <w:jc w:val="both"/>
        <w:rPr>
          <w:rFonts w:ascii="Palatino Linotype" w:eastAsia="Palatino Linotype" w:hAnsi="Palatino Linotype" w:cs="Palatino Linotype"/>
        </w:rPr>
      </w:pPr>
    </w:p>
    <w:p w14:paraId="328356F5" w14:textId="77777777" w:rsidR="00C545F6" w:rsidRPr="006076A7" w:rsidRDefault="00B624A5">
      <w:pPr>
        <w:shd w:val="clear" w:color="auto" w:fill="FFFFFF"/>
        <w:spacing w:line="360" w:lineRule="auto"/>
        <w:ind w:right="-929"/>
        <w:jc w:val="both"/>
        <w:rPr>
          <w:rFonts w:ascii="Palatino Linotype" w:eastAsia="Palatino Linotype" w:hAnsi="Palatino Linotype" w:cs="Palatino Linotype"/>
        </w:rPr>
      </w:pPr>
      <w:r w:rsidRPr="006076A7">
        <w:rPr>
          <w:rFonts w:ascii="Palatino Linotype" w:eastAsia="Palatino Linotype" w:hAnsi="Palatino Linotype" w:cs="Palatino Linotype"/>
          <w:b/>
          <w:bCs/>
        </w:rPr>
        <w:lastRenderedPageBreak/>
        <w:t xml:space="preserve">SEXTO. </w:t>
      </w:r>
      <w:r w:rsidRPr="006076A7">
        <w:rPr>
          <w:rFonts w:ascii="Palatino Linotype" w:eastAsia="Palatino Linotype" w:hAnsi="Palatino Linotype" w:cs="Palatino Linotype"/>
        </w:rPr>
        <w:t>Se hace del conocimiento del</w:t>
      </w:r>
      <w:r w:rsidRPr="006076A7">
        <w:rPr>
          <w:rFonts w:ascii="Palatino Linotype" w:eastAsia="Palatino Linotype" w:hAnsi="Palatino Linotype" w:cs="Palatino Linotype"/>
          <w:b/>
          <w:bCs/>
        </w:rPr>
        <w:t xml:space="preserve"> RECURRENTE </w:t>
      </w:r>
      <w:r w:rsidRPr="006076A7">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14:paraId="73ABC4A6" w14:textId="77777777" w:rsidR="00C545F6" w:rsidRPr="006076A7" w:rsidRDefault="00C545F6">
      <w:pPr>
        <w:shd w:val="clear" w:color="auto" w:fill="FFFFFF"/>
        <w:spacing w:line="360" w:lineRule="auto"/>
        <w:ind w:right="-929"/>
        <w:jc w:val="both"/>
        <w:rPr>
          <w:rFonts w:ascii="Palatino Linotype" w:eastAsia="Palatino Linotype" w:hAnsi="Palatino Linotype" w:cs="Palatino Linotype"/>
        </w:rPr>
      </w:pPr>
    </w:p>
    <w:p w14:paraId="325C3666" w14:textId="77777777" w:rsidR="00D87DC8" w:rsidRPr="006076A7" w:rsidRDefault="00D87DC8" w:rsidP="00D87DC8">
      <w:pPr>
        <w:spacing w:before="240" w:after="240" w:line="360" w:lineRule="auto"/>
        <w:ind w:right="-943" w:firstLine="1"/>
        <w:jc w:val="both"/>
        <w:rPr>
          <w:rFonts w:ascii="Palatino Linotype" w:hAnsi="Palatino Linotype"/>
        </w:rPr>
      </w:pPr>
      <w:bookmarkStart w:id="11" w:name="_Hlk99014733"/>
      <w:r w:rsidRPr="006076A7">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OCTAVA SESIÓN ORDINARIA, CELEBRADA EL VEINTE (20) DE MAYO DE DOS MIL VEINTISÉIS, ANTE EL SECRETARIO TÉCNICO DEL PLENO </w:t>
      </w:r>
      <w:r w:rsidRPr="006076A7">
        <w:rPr>
          <w:rFonts w:ascii="Palatino Linotype" w:hAnsi="Palatino Linotype" w:cs="Palatino Linotype"/>
          <w:color w:val="000000" w:themeColor="text1"/>
        </w:rPr>
        <w:t>ALEXIS TAPIA RAMÍREZ.</w:t>
      </w:r>
    </w:p>
    <w:bookmarkEnd w:id="11"/>
    <w:p w14:paraId="250E0038" w14:textId="77777777" w:rsidR="00C545F6" w:rsidRPr="006076A7" w:rsidRDefault="00C545F6" w:rsidP="00D87DC8">
      <w:pPr>
        <w:spacing w:line="360" w:lineRule="auto"/>
        <w:ind w:right="-943"/>
        <w:rPr>
          <w:rFonts w:ascii="Palatino Linotype" w:eastAsia="Palatino Linotype" w:hAnsi="Palatino Linotype" w:cs="Palatino Linotype"/>
        </w:rPr>
      </w:pPr>
    </w:p>
    <w:p w14:paraId="252B3664" w14:textId="77777777" w:rsidR="00C545F6" w:rsidRPr="006076A7" w:rsidRDefault="00C545F6" w:rsidP="00D87DC8">
      <w:pPr>
        <w:spacing w:line="360" w:lineRule="auto"/>
        <w:ind w:right="-943"/>
        <w:rPr>
          <w:rFonts w:ascii="Palatino Linotype" w:eastAsia="Palatino Linotype" w:hAnsi="Palatino Linotype" w:cs="Palatino Linotype"/>
        </w:rPr>
      </w:pPr>
    </w:p>
    <w:p w14:paraId="05D27033" w14:textId="77777777" w:rsidR="00C545F6" w:rsidRPr="006076A7" w:rsidRDefault="00C545F6">
      <w:pPr>
        <w:spacing w:line="360" w:lineRule="auto"/>
        <w:ind w:right="-929"/>
        <w:rPr>
          <w:rFonts w:ascii="Palatino Linotype" w:eastAsia="Palatino Linotype" w:hAnsi="Palatino Linotype" w:cs="Palatino Linotype"/>
        </w:rPr>
      </w:pPr>
    </w:p>
    <w:p w14:paraId="75270E25" w14:textId="77777777" w:rsidR="00C545F6" w:rsidRPr="006076A7" w:rsidRDefault="00C545F6">
      <w:pPr>
        <w:spacing w:line="360" w:lineRule="auto"/>
        <w:ind w:right="-929"/>
        <w:rPr>
          <w:rFonts w:ascii="Palatino Linotype" w:eastAsia="Palatino Linotype" w:hAnsi="Palatino Linotype" w:cs="Palatino Linotype"/>
        </w:rPr>
      </w:pPr>
    </w:p>
    <w:p w14:paraId="7656956D" w14:textId="77777777" w:rsidR="00C545F6" w:rsidRPr="006076A7" w:rsidRDefault="00C545F6">
      <w:pPr>
        <w:spacing w:line="360" w:lineRule="auto"/>
        <w:ind w:right="-929"/>
        <w:rPr>
          <w:rFonts w:ascii="Palatino Linotype" w:eastAsia="Palatino Linotype" w:hAnsi="Palatino Linotype" w:cs="Palatino Linotype"/>
        </w:rPr>
      </w:pPr>
    </w:p>
    <w:p w14:paraId="72AF7DB1" w14:textId="77777777" w:rsidR="00C545F6" w:rsidRPr="006076A7" w:rsidRDefault="00B624A5">
      <w:pPr>
        <w:tabs>
          <w:tab w:val="left" w:pos="3374"/>
        </w:tabs>
        <w:spacing w:line="360" w:lineRule="auto"/>
        <w:ind w:right="-929"/>
        <w:rPr>
          <w:rFonts w:ascii="Palatino Linotype" w:eastAsia="Palatino Linotype" w:hAnsi="Palatino Linotype" w:cs="Palatino Linotype"/>
        </w:rPr>
      </w:pPr>
      <w:r w:rsidRPr="006076A7">
        <w:rPr>
          <w:rFonts w:ascii="Palatino Linotype" w:eastAsia="Palatino Linotype" w:hAnsi="Palatino Linotype" w:cs="Palatino Linotype"/>
        </w:rPr>
        <w:tab/>
      </w:r>
    </w:p>
    <w:p w14:paraId="5175DC52" w14:textId="77777777" w:rsidR="00C545F6" w:rsidRPr="006076A7" w:rsidRDefault="00C545F6">
      <w:pPr>
        <w:tabs>
          <w:tab w:val="left" w:pos="3374"/>
        </w:tabs>
        <w:spacing w:line="360" w:lineRule="auto"/>
        <w:ind w:right="-929"/>
        <w:rPr>
          <w:rFonts w:ascii="Palatino Linotype" w:eastAsia="Palatino Linotype" w:hAnsi="Palatino Linotype" w:cs="Palatino Linotype"/>
        </w:rPr>
      </w:pPr>
    </w:p>
    <w:p w14:paraId="31921AB8" w14:textId="77777777" w:rsidR="00C545F6" w:rsidRPr="006076A7" w:rsidRDefault="00C545F6">
      <w:pPr>
        <w:tabs>
          <w:tab w:val="left" w:pos="3374"/>
        </w:tabs>
        <w:spacing w:line="360" w:lineRule="auto"/>
        <w:ind w:right="-929"/>
        <w:rPr>
          <w:rFonts w:ascii="Palatino Linotype" w:eastAsia="Palatino Linotype" w:hAnsi="Palatino Linotype" w:cs="Palatino Linotype"/>
        </w:rPr>
      </w:pPr>
    </w:p>
    <w:p w14:paraId="4D17D205" w14:textId="77777777" w:rsidR="00C545F6" w:rsidRPr="006076A7" w:rsidRDefault="00C545F6">
      <w:pPr>
        <w:tabs>
          <w:tab w:val="left" w:pos="3374"/>
        </w:tabs>
        <w:spacing w:line="360" w:lineRule="auto"/>
        <w:ind w:right="-929"/>
        <w:rPr>
          <w:rFonts w:ascii="Palatino Linotype" w:eastAsia="Palatino Linotype" w:hAnsi="Palatino Linotype" w:cs="Palatino Linotype"/>
        </w:rPr>
      </w:pPr>
    </w:p>
    <w:p w14:paraId="25E0E71B" w14:textId="77777777" w:rsidR="00C545F6" w:rsidRPr="006076A7" w:rsidRDefault="00C545F6">
      <w:pPr>
        <w:tabs>
          <w:tab w:val="left" w:pos="3374"/>
        </w:tabs>
        <w:spacing w:line="360" w:lineRule="auto"/>
        <w:ind w:right="-929"/>
        <w:rPr>
          <w:rFonts w:ascii="Palatino Linotype" w:eastAsia="Palatino Linotype" w:hAnsi="Palatino Linotype" w:cs="Palatino Linotype"/>
        </w:rPr>
      </w:pPr>
    </w:p>
    <w:p w14:paraId="400EAFC1" w14:textId="77777777" w:rsidR="00C545F6" w:rsidRPr="006076A7" w:rsidRDefault="00C545F6">
      <w:pPr>
        <w:tabs>
          <w:tab w:val="left" w:pos="3374"/>
        </w:tabs>
        <w:spacing w:line="360" w:lineRule="auto"/>
        <w:ind w:right="-929"/>
        <w:rPr>
          <w:rFonts w:ascii="Palatino Linotype" w:eastAsia="Palatino Linotype" w:hAnsi="Palatino Linotype" w:cs="Palatino Linotype"/>
        </w:rPr>
      </w:pPr>
    </w:p>
    <w:p w14:paraId="0E795AC1" w14:textId="77777777" w:rsidR="00C545F6" w:rsidRPr="006076A7" w:rsidRDefault="00C545F6">
      <w:pPr>
        <w:tabs>
          <w:tab w:val="left" w:pos="3374"/>
        </w:tabs>
        <w:spacing w:line="360" w:lineRule="auto"/>
        <w:ind w:right="-929"/>
        <w:rPr>
          <w:rFonts w:ascii="Palatino Linotype" w:eastAsia="Palatino Linotype" w:hAnsi="Palatino Linotype" w:cs="Palatino Linotype"/>
        </w:rPr>
      </w:pPr>
    </w:p>
    <w:p w14:paraId="609B5735" w14:textId="77777777" w:rsidR="00C545F6" w:rsidRPr="006076A7" w:rsidRDefault="00C545F6">
      <w:pPr>
        <w:tabs>
          <w:tab w:val="left" w:pos="3374"/>
        </w:tabs>
        <w:spacing w:line="360" w:lineRule="auto"/>
        <w:ind w:right="-929"/>
        <w:rPr>
          <w:rFonts w:ascii="Palatino Linotype" w:eastAsia="Palatino Linotype" w:hAnsi="Palatino Linotype" w:cs="Palatino Linotype"/>
        </w:rPr>
      </w:pPr>
    </w:p>
    <w:p w14:paraId="426D75D4" w14:textId="77777777" w:rsidR="00C545F6" w:rsidRPr="006076A7" w:rsidRDefault="00C545F6">
      <w:pPr>
        <w:tabs>
          <w:tab w:val="left" w:pos="3374"/>
        </w:tabs>
        <w:spacing w:line="360" w:lineRule="auto"/>
        <w:ind w:right="-929"/>
        <w:rPr>
          <w:rFonts w:ascii="Palatino Linotype" w:eastAsia="Palatino Linotype" w:hAnsi="Palatino Linotype" w:cs="Palatino Linotype"/>
        </w:rPr>
      </w:pPr>
    </w:p>
    <w:p w14:paraId="7C4E1D3B" w14:textId="77777777" w:rsidR="00C545F6" w:rsidRPr="006076A7" w:rsidRDefault="00C545F6">
      <w:pPr>
        <w:spacing w:line="360" w:lineRule="auto"/>
        <w:ind w:right="-929"/>
        <w:rPr>
          <w:rFonts w:ascii="Palatino Linotype" w:eastAsia="Palatino Linotype" w:hAnsi="Palatino Linotype" w:cs="Palatino Linotype"/>
        </w:rPr>
      </w:pPr>
    </w:p>
    <w:sectPr w:rsidR="00C545F6" w:rsidRPr="006076A7">
      <w:headerReference w:type="even" r:id="rId16"/>
      <w:headerReference w:type="default" r:id="rId17"/>
      <w:footerReference w:type="default" r:id="rId18"/>
      <w:headerReference w:type="first" r:id="rId19"/>
      <w:footerReference w:type="first" r:id="rId20"/>
      <w:pgSz w:w="12240" w:h="15840"/>
      <w:pgMar w:top="2268" w:right="1701"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398501" w14:textId="77777777" w:rsidR="005600D0" w:rsidRDefault="005600D0">
      <w:r>
        <w:separator/>
      </w:r>
    </w:p>
  </w:endnote>
  <w:endnote w:type="continuationSeparator" w:id="0">
    <w:p w14:paraId="5729B8F0" w14:textId="77777777" w:rsidR="005600D0" w:rsidRDefault="00560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embedRegular r:id="rId1" w:fontKey="{18FB7F0D-FD50-4A2C-81D9-B2DA98F698F3}"/>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52CF8EE3-BA22-457A-878C-3373620906FA}"/>
    <w:embedBold r:id="rId3" w:fontKey="{0474D806-4D2B-439B-8D27-B72BEEC94DD6}"/>
    <w:embedItalic r:id="rId4" w:fontKey="{863F2BDC-1C0A-4A73-9AF5-18AB85A790E4}"/>
    <w:embedBoldItalic r:id="rId5" w:fontKey="{9FC85F4F-F857-4227-9F35-EE886E698AD0}"/>
  </w:font>
  <w:font w:name="Calibri">
    <w:panose1 w:val="020F0502020204030204"/>
    <w:charset w:val="00"/>
    <w:family w:val="swiss"/>
    <w:pitch w:val="variable"/>
    <w:sig w:usb0="E4002EFF" w:usb1="C200247B" w:usb2="00000009" w:usb3="00000000" w:csb0="000001FF" w:csb1="00000000"/>
    <w:embedRegular r:id="rId6" w:fontKey="{EF26AF9F-8FCB-4189-960A-BA9653DA4F9C}"/>
    <w:embedBold r:id="rId7" w:fontKey="{050E731E-325A-4730-85A6-483D8D6C276A}"/>
  </w:font>
  <w:font w:name="Georgia">
    <w:panose1 w:val="02040502050405020303"/>
    <w:charset w:val="00"/>
    <w:family w:val="roman"/>
    <w:pitch w:val="variable"/>
    <w:sig w:usb0="00000287" w:usb1="00000000" w:usb2="00000000" w:usb3="00000000" w:csb0="0000009F" w:csb1="00000000"/>
    <w:embedItalic r:id="rId8" w:fontKey="{B5AC2F1A-D3FA-494D-B4AF-094D096C47AF}"/>
  </w:font>
  <w:font w:name="Cambria">
    <w:panose1 w:val="02040503050406030204"/>
    <w:charset w:val="00"/>
    <w:family w:val="roman"/>
    <w:pitch w:val="variable"/>
    <w:sig w:usb0="E00006FF" w:usb1="420024FF" w:usb2="02000000" w:usb3="00000000" w:csb0="0000019F" w:csb1="00000000"/>
    <w:embedRegular r:id="rId9" w:fontKey="{CD04C86B-0C60-4186-9C44-0C774FD6827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A4AAF" w14:textId="77777777" w:rsidR="00C545F6" w:rsidRDefault="00B624A5">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6076A7">
      <w:rPr>
        <w:rFonts w:ascii="Palatino Linotype" w:eastAsia="Palatino Linotype" w:hAnsi="Palatino Linotype" w:cs="Palatino Linotype"/>
        <w:noProof/>
        <w:color w:val="000000"/>
        <w:sz w:val="22"/>
        <w:szCs w:val="22"/>
      </w:rPr>
      <w:t>21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6076A7">
      <w:rPr>
        <w:rFonts w:ascii="Palatino Linotype" w:eastAsia="Palatino Linotype" w:hAnsi="Palatino Linotype" w:cs="Palatino Linotype"/>
        <w:noProof/>
        <w:color w:val="000000"/>
        <w:sz w:val="22"/>
        <w:szCs w:val="22"/>
      </w:rPr>
      <w:t>48</w:t>
    </w:r>
    <w:r>
      <w:rPr>
        <w:rFonts w:ascii="Palatino Linotype" w:eastAsia="Palatino Linotype" w:hAnsi="Palatino Linotype" w:cs="Palatino Linotype"/>
        <w:color w:val="000000"/>
        <w:sz w:val="22"/>
        <w:szCs w:val="22"/>
      </w:rPr>
      <w:fldChar w:fldCharType="end"/>
    </w:r>
  </w:p>
  <w:p w14:paraId="161004A0" w14:textId="77777777" w:rsidR="00C545F6" w:rsidRDefault="00C545F6">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099D81" w14:textId="77777777" w:rsidR="00C545F6" w:rsidRDefault="00B624A5">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6076A7">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6076A7">
      <w:rPr>
        <w:rFonts w:ascii="Palatino Linotype" w:eastAsia="Palatino Linotype" w:hAnsi="Palatino Linotype" w:cs="Palatino Linotype"/>
        <w:noProof/>
        <w:color w:val="000000"/>
        <w:sz w:val="22"/>
        <w:szCs w:val="22"/>
      </w:rPr>
      <w:t>48</w:t>
    </w:r>
    <w:r>
      <w:rPr>
        <w:rFonts w:ascii="Palatino Linotype" w:eastAsia="Palatino Linotype" w:hAnsi="Palatino Linotype" w:cs="Palatino Linotype"/>
        <w:color w:val="000000"/>
        <w:sz w:val="22"/>
        <w:szCs w:val="22"/>
      </w:rPr>
      <w:fldChar w:fldCharType="end"/>
    </w:r>
  </w:p>
  <w:p w14:paraId="2FEC5633" w14:textId="77777777" w:rsidR="00C545F6" w:rsidRDefault="00C545F6">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9D446E" w14:textId="77777777" w:rsidR="005600D0" w:rsidRDefault="005600D0">
      <w:r>
        <w:separator/>
      </w:r>
    </w:p>
  </w:footnote>
  <w:footnote w:type="continuationSeparator" w:id="0">
    <w:p w14:paraId="03C12A64" w14:textId="77777777" w:rsidR="005600D0" w:rsidRDefault="005600D0">
      <w:r>
        <w:continuationSeparator/>
      </w:r>
    </w:p>
  </w:footnote>
  <w:footnote w:id="1">
    <w:p w14:paraId="6674BD80" w14:textId="77777777" w:rsidR="00C545F6" w:rsidRDefault="00B624A5">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14:paraId="2796B756" w14:textId="77777777" w:rsidR="00C545F6" w:rsidRDefault="00B624A5">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14:paraId="5C041DEE" w14:textId="77777777" w:rsidR="00C545F6" w:rsidRDefault="00B624A5">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Corte Interamericana de Derechos Humanos. Caso Claude Reyes y otros vs Chile. Sentencia de 19 de septiembre de 2006. Serie C. No. 151. Párr. 86.</w:t>
      </w:r>
    </w:p>
  </w:footnote>
  <w:footnote w:id="4">
    <w:p w14:paraId="24FD1C70" w14:textId="77777777" w:rsidR="00C545F6" w:rsidRDefault="00B624A5">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Ibídem. Párr. 87.</w:t>
      </w:r>
    </w:p>
  </w:footnote>
  <w:footnote w:id="5">
    <w:p w14:paraId="1D38BA86" w14:textId="77777777" w:rsidR="00C545F6" w:rsidRDefault="00B624A5">
      <w:pPr>
        <w:pBdr>
          <w:top w:val="nil"/>
          <w:left w:val="nil"/>
          <w:bottom w:val="nil"/>
          <w:right w:val="nil"/>
          <w:between w:val="nil"/>
        </w:pBdr>
        <w:rPr>
          <w:color w:val="000000"/>
          <w:sz w:val="20"/>
          <w:szCs w:val="20"/>
        </w:rPr>
      </w:pPr>
      <w:r>
        <w:rPr>
          <w:vertAlign w:val="superscript"/>
        </w:rPr>
        <w:footnoteRef/>
      </w:r>
      <w:r>
        <w:rPr>
          <w:rFonts w:ascii="Palatino Linotype" w:eastAsia="Palatino Linotype" w:hAnsi="Palatino Linotype" w:cs="Palatino Linotype"/>
          <w:color w:val="000000"/>
          <w:sz w:val="18"/>
          <w:szCs w:val="18"/>
        </w:rPr>
        <w:t xml:space="preserve"> Declaración conjunta del Relator Especial de las Naciones Unidas (ONU) para la Libertad de Opinión y de Expresión, el Representante para la Libertad de los Medios de Comunicación de la Organización para la Seguridad y la Cooperación en Europa (OSCE) y el Relator Especial de la Organización de los Estados Americanos (OEA) para la Libertad de Expresión (2004), disponible en </w:t>
      </w:r>
      <w:hyperlink r:id="rId1">
        <w:r>
          <w:rPr>
            <w:rFonts w:ascii="Palatino Linotype" w:eastAsia="Palatino Linotype" w:hAnsi="Palatino Linotype" w:cs="Palatino Linotype"/>
            <w:color w:val="0563C1"/>
            <w:sz w:val="18"/>
            <w:szCs w:val="18"/>
            <w:u w:val="single"/>
          </w:rPr>
          <w:t>http://www.oas.org/es/cidh/expresion/documentos_basicos/declaraciones.asp</w:t>
        </w:r>
      </w:hyperlink>
      <w:r>
        <w:rPr>
          <w:rFonts w:ascii="Palatino Linotype" w:eastAsia="Palatino Linotype" w:hAnsi="Palatino Linotype" w:cs="Palatino Linotype"/>
          <w:color w:val="000000"/>
          <w:sz w:val="18"/>
          <w:szCs w:val="18"/>
        </w:rPr>
        <w:t>.</w:t>
      </w:r>
    </w:p>
  </w:footnote>
  <w:footnote w:id="6">
    <w:p w14:paraId="2458653F" w14:textId="77777777" w:rsidR="00C545F6" w:rsidRDefault="00B624A5">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Ley de Transparencia y Acceso a la Información Pública del Estado de México y Municipios. Artículo 9. …</w:t>
      </w:r>
    </w:p>
    <w:p w14:paraId="6E30EF0F" w14:textId="77777777" w:rsidR="00C545F6" w:rsidRDefault="00B624A5">
      <w:pPr>
        <w:pBdr>
          <w:top w:val="nil"/>
          <w:left w:val="nil"/>
          <w:bottom w:val="nil"/>
          <w:right w:val="nil"/>
          <w:between w:val="nil"/>
        </w:pBdr>
        <w:rPr>
          <w:color w:val="000000"/>
          <w:sz w:val="20"/>
          <w:szCs w:val="20"/>
        </w:rPr>
      </w:pPr>
      <w:r>
        <w:rPr>
          <w:color w:val="000000"/>
          <w:sz w:val="20"/>
          <w:szCs w:val="20"/>
        </w:rPr>
        <w:t>II. Eficacia: Obligación del Instituto para tutelar, de manera efectiva, el derecho de acceso a la información;</w:t>
      </w:r>
    </w:p>
    <w:p w14:paraId="66501619" w14:textId="77777777" w:rsidR="00C545F6" w:rsidRDefault="00B624A5">
      <w:pPr>
        <w:pBdr>
          <w:top w:val="nil"/>
          <w:left w:val="nil"/>
          <w:bottom w:val="nil"/>
          <w:right w:val="nil"/>
          <w:between w:val="nil"/>
        </w:pBdr>
        <w:rPr>
          <w:color w:val="000000"/>
          <w:sz w:val="20"/>
          <w:szCs w:val="20"/>
        </w:rPr>
      </w:pPr>
      <w:r>
        <w:rPr>
          <w:color w:val="000000"/>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A0F8DE" w14:textId="77777777" w:rsidR="00C545F6" w:rsidRDefault="005600D0">
    <w:pPr>
      <w:pBdr>
        <w:top w:val="nil"/>
        <w:left w:val="nil"/>
        <w:bottom w:val="nil"/>
        <w:right w:val="nil"/>
        <w:between w:val="nil"/>
      </w:pBdr>
      <w:tabs>
        <w:tab w:val="center" w:pos="4419"/>
        <w:tab w:val="right" w:pos="8838"/>
      </w:tabs>
      <w:rPr>
        <w:color w:val="000000"/>
      </w:rPr>
    </w:pPr>
    <w:r>
      <w:rPr>
        <w:color w:val="000000"/>
      </w:rPr>
      <w:pict w14:anchorId="458B48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3"/>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6519" w:type="dxa"/>
      <w:tblInd w:w="3261" w:type="dxa"/>
      <w:tblLayout w:type="fixed"/>
      <w:tblLook w:val="0400" w:firstRow="0" w:lastRow="0" w:firstColumn="0" w:lastColumn="0" w:noHBand="0" w:noVBand="1"/>
    </w:tblPr>
    <w:tblGrid>
      <w:gridCol w:w="2976"/>
      <w:gridCol w:w="3543"/>
    </w:tblGrid>
    <w:tr w:rsidR="00C545F6" w14:paraId="03D13CCE" w14:textId="77777777" w:rsidTr="006076A7">
      <w:trPr>
        <w:trHeight w:val="227"/>
      </w:trPr>
      <w:tc>
        <w:tcPr>
          <w:tcW w:w="2976" w:type="dxa"/>
          <w:vAlign w:val="center"/>
        </w:tcPr>
        <w:p w14:paraId="7E21CA57" w14:textId="77777777" w:rsidR="00C545F6" w:rsidRDefault="00B624A5">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543" w:type="dxa"/>
          <w:vAlign w:val="center"/>
        </w:tcPr>
        <w:p w14:paraId="715C7A6B" w14:textId="77777777" w:rsidR="00C545F6" w:rsidRDefault="00B624A5">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10353/INFOEM/IP/RR/2025</w:t>
          </w:r>
        </w:p>
      </w:tc>
    </w:tr>
    <w:tr w:rsidR="00C545F6" w14:paraId="26EBB2F2" w14:textId="77777777" w:rsidTr="006076A7">
      <w:trPr>
        <w:trHeight w:val="242"/>
      </w:trPr>
      <w:tc>
        <w:tcPr>
          <w:tcW w:w="2976" w:type="dxa"/>
          <w:vAlign w:val="center"/>
        </w:tcPr>
        <w:p w14:paraId="0D166DE6" w14:textId="77777777" w:rsidR="00C545F6" w:rsidRDefault="00B624A5">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543" w:type="dxa"/>
          <w:vAlign w:val="center"/>
        </w:tcPr>
        <w:p w14:paraId="3082D9D6" w14:textId="77777777" w:rsidR="00C545F6" w:rsidRDefault="00B624A5">
          <w:pPr>
            <w:pBdr>
              <w:top w:val="nil"/>
              <w:left w:val="nil"/>
              <w:bottom w:val="nil"/>
              <w:right w:val="nil"/>
              <w:between w:val="nil"/>
            </w:pBdr>
            <w:tabs>
              <w:tab w:val="center" w:pos="4419"/>
              <w:tab w:val="right" w:pos="8838"/>
            </w:tabs>
            <w:jc w:val="both"/>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Ayuntamiento de Toluca</w:t>
          </w:r>
        </w:p>
      </w:tc>
    </w:tr>
    <w:tr w:rsidR="00C545F6" w14:paraId="25CA619C" w14:textId="77777777" w:rsidTr="006076A7">
      <w:trPr>
        <w:trHeight w:val="342"/>
      </w:trPr>
      <w:tc>
        <w:tcPr>
          <w:tcW w:w="2976" w:type="dxa"/>
          <w:vAlign w:val="center"/>
        </w:tcPr>
        <w:p w14:paraId="3B3CBD57" w14:textId="77777777" w:rsidR="00C545F6" w:rsidRDefault="00B624A5">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543" w:type="dxa"/>
          <w:vAlign w:val="center"/>
        </w:tcPr>
        <w:p w14:paraId="24387AC3" w14:textId="77777777" w:rsidR="00C545F6" w:rsidRDefault="00B624A5">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14:paraId="600F5E2F" w14:textId="77777777" w:rsidR="00C545F6" w:rsidRDefault="005600D0">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w14:anchorId="0B663C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2.3pt;margin-top:-110.1pt;width:609.4pt;height:793.75pt;z-index:-251659776;mso-position-horizontal:absolute;mso-position-horizontal-relative:margin;mso-position-vertical:absolute;mso-position-vertical-relative:margin">
          <v:imagedata r:id="rId1" o:title="image3"/>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6660" w:type="dxa"/>
      <w:tblInd w:w="3119" w:type="dxa"/>
      <w:tblLayout w:type="fixed"/>
      <w:tblLook w:val="0400" w:firstRow="0" w:lastRow="0" w:firstColumn="0" w:lastColumn="0" w:noHBand="0" w:noVBand="1"/>
    </w:tblPr>
    <w:tblGrid>
      <w:gridCol w:w="2977"/>
      <w:gridCol w:w="3683"/>
    </w:tblGrid>
    <w:tr w:rsidR="00C545F6" w14:paraId="237F0E26" w14:textId="77777777" w:rsidTr="006076A7">
      <w:trPr>
        <w:trHeight w:val="227"/>
      </w:trPr>
      <w:tc>
        <w:tcPr>
          <w:tcW w:w="2977" w:type="dxa"/>
          <w:vAlign w:val="center"/>
        </w:tcPr>
        <w:p w14:paraId="18196FD6" w14:textId="77777777" w:rsidR="00C545F6" w:rsidRDefault="00B624A5">
          <w:pPr>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683" w:type="dxa"/>
          <w:vAlign w:val="center"/>
        </w:tcPr>
        <w:p w14:paraId="22E41825" w14:textId="77777777" w:rsidR="00C545F6" w:rsidRDefault="00B624A5">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10353/INFOEM/IP/RR/2025</w:t>
          </w:r>
        </w:p>
      </w:tc>
    </w:tr>
    <w:tr w:rsidR="00C545F6" w14:paraId="3EA9C50C" w14:textId="77777777" w:rsidTr="006076A7">
      <w:trPr>
        <w:trHeight w:val="242"/>
      </w:trPr>
      <w:tc>
        <w:tcPr>
          <w:tcW w:w="2977" w:type="dxa"/>
          <w:vAlign w:val="center"/>
        </w:tcPr>
        <w:p w14:paraId="5C4E7EF3" w14:textId="77777777" w:rsidR="00C545F6" w:rsidRDefault="00B624A5">
          <w:pPr>
            <w:jc w:val="right"/>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3683" w:type="dxa"/>
        </w:tcPr>
        <w:p w14:paraId="4A69247E" w14:textId="77777777" w:rsidR="00C545F6" w:rsidRDefault="00C545F6">
          <w:pPr>
            <w:pBdr>
              <w:top w:val="nil"/>
              <w:left w:val="nil"/>
              <w:bottom w:val="nil"/>
              <w:right w:val="nil"/>
              <w:between w:val="nil"/>
            </w:pBdr>
            <w:tabs>
              <w:tab w:val="center" w:pos="4419"/>
              <w:tab w:val="right" w:pos="8838"/>
              <w:tab w:val="left" w:pos="521"/>
            </w:tabs>
            <w:ind w:firstLine="720"/>
            <w:rPr>
              <w:rFonts w:ascii="Palatino Linotype" w:eastAsia="Palatino Linotype" w:hAnsi="Palatino Linotype" w:cs="Palatino Linotype"/>
              <w:color w:val="000000"/>
              <w:highlight w:val="green"/>
            </w:rPr>
          </w:pPr>
        </w:p>
      </w:tc>
    </w:tr>
    <w:tr w:rsidR="00C545F6" w14:paraId="630FC513" w14:textId="77777777" w:rsidTr="006076A7">
      <w:trPr>
        <w:trHeight w:val="342"/>
      </w:trPr>
      <w:tc>
        <w:tcPr>
          <w:tcW w:w="2977" w:type="dxa"/>
          <w:vAlign w:val="center"/>
        </w:tcPr>
        <w:p w14:paraId="11F93DF2" w14:textId="77777777" w:rsidR="00C545F6" w:rsidRDefault="00B624A5">
          <w:pPr>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683" w:type="dxa"/>
          <w:vAlign w:val="center"/>
        </w:tcPr>
        <w:p w14:paraId="21CA2590" w14:textId="77777777" w:rsidR="00C545F6" w:rsidRDefault="00B624A5">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Ayuntamiento de Toluca</w:t>
          </w:r>
        </w:p>
      </w:tc>
    </w:tr>
    <w:tr w:rsidR="00C545F6" w14:paraId="713B08DF" w14:textId="77777777" w:rsidTr="006076A7">
      <w:trPr>
        <w:trHeight w:val="342"/>
      </w:trPr>
      <w:tc>
        <w:tcPr>
          <w:tcW w:w="2977" w:type="dxa"/>
          <w:vAlign w:val="center"/>
        </w:tcPr>
        <w:p w14:paraId="6F0859D8" w14:textId="77777777" w:rsidR="00C545F6" w:rsidRDefault="00B624A5">
          <w:pPr>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683" w:type="dxa"/>
          <w:vAlign w:val="center"/>
        </w:tcPr>
        <w:p w14:paraId="2E6B9B8C" w14:textId="77777777" w:rsidR="00C545F6" w:rsidRDefault="00B624A5">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14:paraId="00D04A01" w14:textId="77777777" w:rsidR="00C545F6" w:rsidRDefault="005600D0">
    <w:pPr>
      <w:pBdr>
        <w:top w:val="nil"/>
        <w:left w:val="nil"/>
        <w:bottom w:val="nil"/>
        <w:right w:val="nil"/>
        <w:between w:val="nil"/>
      </w:pBdr>
      <w:tabs>
        <w:tab w:val="center" w:pos="4419"/>
        <w:tab w:val="right" w:pos="8838"/>
      </w:tabs>
      <w:rPr>
        <w:color w:val="000000"/>
        <w:sz w:val="16"/>
        <w:szCs w:val="16"/>
      </w:rPr>
    </w:pPr>
    <w:r>
      <w:rPr>
        <w:color w:val="000000"/>
        <w:sz w:val="16"/>
        <w:szCs w:val="16"/>
      </w:rPr>
      <w:pict w14:anchorId="6C21C4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3"/>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F675E4"/>
    <w:multiLevelType w:val="multilevel"/>
    <w:tmpl w:val="0D1643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A640236"/>
    <w:multiLevelType w:val="multilevel"/>
    <w:tmpl w:val="164E2A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D042ED7"/>
    <w:multiLevelType w:val="multilevel"/>
    <w:tmpl w:val="417454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6E11251"/>
    <w:multiLevelType w:val="multilevel"/>
    <w:tmpl w:val="CD70ED7E"/>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4" w15:restartNumberingAfterBreak="0">
    <w:nsid w:val="4F7344FD"/>
    <w:multiLevelType w:val="multilevel"/>
    <w:tmpl w:val="A29009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C0B5245"/>
    <w:multiLevelType w:val="multilevel"/>
    <w:tmpl w:val="C4FC70EC"/>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6B16DE6"/>
    <w:multiLevelType w:val="multilevel"/>
    <w:tmpl w:val="BE2C583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5"/>
  </w:num>
  <w:num w:numId="4">
    <w:abstractNumId w:val="3"/>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5F6"/>
    <w:rsid w:val="00034CE3"/>
    <w:rsid w:val="000527FE"/>
    <w:rsid w:val="00166BDC"/>
    <w:rsid w:val="001A212B"/>
    <w:rsid w:val="002A1BFC"/>
    <w:rsid w:val="005600D0"/>
    <w:rsid w:val="006076A7"/>
    <w:rsid w:val="008E16EC"/>
    <w:rsid w:val="00A44A44"/>
    <w:rsid w:val="00B624A5"/>
    <w:rsid w:val="00BD5827"/>
    <w:rsid w:val="00C545F6"/>
    <w:rsid w:val="00D87DC8"/>
    <w:rsid w:val="00DF434B"/>
    <w:rsid w:val="00E17B9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3B05490"/>
  <w15:docId w15:val="{FD5FAB41-9A4C-43A0-875A-3F29A6F51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paragraph" w:styleId="Piedepgina">
    <w:name w:val="footer"/>
    <w:basedOn w:val="Normal"/>
    <w:link w:val="PiedepginaCar"/>
    <w:uiPriority w:val="99"/>
    <w:unhideWhenUsed/>
    <w:rsid w:val="006076A7"/>
    <w:pPr>
      <w:tabs>
        <w:tab w:val="center" w:pos="4419"/>
        <w:tab w:val="right" w:pos="8838"/>
      </w:tabs>
    </w:pPr>
  </w:style>
  <w:style w:type="character" w:customStyle="1" w:styleId="PiedepginaCar">
    <w:name w:val="Pie de página Car"/>
    <w:basedOn w:val="Fuentedeprrafopredeter"/>
    <w:link w:val="Piedepgina"/>
    <w:uiPriority w:val="99"/>
    <w:rsid w:val="006076A7"/>
  </w:style>
  <w:style w:type="paragraph" w:styleId="Prrafodelista">
    <w:name w:val="List Paragraph"/>
    <w:basedOn w:val="Normal"/>
    <w:uiPriority w:val="34"/>
    <w:qFormat/>
    <w:rsid w:val="006076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about:blank"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8.pn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www.oas.org/es/cidh/expresion/documentos_basicos/declaraciones.a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auzJXFUfSLlFQJFwRAuSRU/spg==">CgMxLjAyCGguZ2pkZ3hzMgloLjMwajB6bGwyCWguM3pueXNoNzIJaC4yZXQ5MnAwMghoLnR5amN3dDIOaC5jazM2dmpvZGp4dm4yDWguaTN4eGtnMTE5djIyDmgudHpxZGQ1aWkzbzBpMg5oLjV2aWcxZGhhd3NzbTIOaC5qaDlkcHFuMWh2b2Y4AHIhMTFnb2RvMHNNcmVSN29fMndCa0VzcFZFR1N1SnEwRTBO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48</Pages>
  <Words>10623</Words>
  <Characters>58432</Characters>
  <Application>Microsoft Office Word</Application>
  <DocSecurity>0</DocSecurity>
  <Lines>486</Lines>
  <Paragraphs>137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68918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Cuenta Microsoft</cp:lastModifiedBy>
  <cp:revision>7</cp:revision>
  <cp:lastPrinted>2026-05-21T23:19:00Z</cp:lastPrinted>
  <dcterms:created xsi:type="dcterms:W3CDTF">2026-05-18T20:26:00Z</dcterms:created>
  <dcterms:modified xsi:type="dcterms:W3CDTF">2026-05-26T19:41:00Z</dcterms:modified>
</cp:coreProperties>
</file>