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5E28" w:rsidRPr="00EB3E7E" w:rsidRDefault="00444197">
      <w:pPr>
        <w:tabs>
          <w:tab w:val="left" w:pos="3465"/>
        </w:tabs>
        <w:spacing w:line="360" w:lineRule="auto"/>
        <w:ind w:right="-787"/>
        <w:jc w:val="both"/>
        <w:rPr>
          <w:rFonts w:ascii="Palatino Linotype" w:eastAsia="Palatino Linotype" w:hAnsi="Palatino Linotype" w:cs="Palatino Linotype"/>
        </w:rPr>
      </w:pPr>
      <w:bookmarkStart w:id="0" w:name="_GoBack"/>
      <w:r w:rsidRPr="00EB3E7E">
        <w:rPr>
          <w:rFonts w:ascii="Palatino Linotype" w:eastAsia="Palatino Linotype" w:hAnsi="Palatino Linotype" w:cs="Palatino Linotype"/>
        </w:rPr>
        <w:t xml:space="preserve">Resolución del Pleno del Instituto de Transparencia, Acceso a la Información Pública y </w:t>
      </w:r>
      <w:bookmarkEnd w:id="0"/>
      <w:r w:rsidRPr="00EB3E7E">
        <w:rPr>
          <w:rFonts w:ascii="Palatino Linotype" w:eastAsia="Palatino Linotype" w:hAnsi="Palatino Linotype" w:cs="Palatino Linotype"/>
        </w:rPr>
        <w:t xml:space="preserve">Protección de Datos Personales del Estado de México y Municipios, con domicilio en Metepec, Estado de México; de fecha </w:t>
      </w:r>
      <w:r w:rsidR="00D95C71" w:rsidRPr="00EB3E7E">
        <w:rPr>
          <w:rFonts w:ascii="Palatino Linotype" w:eastAsia="Palatino Linotype" w:hAnsi="Palatino Linotype" w:cs="Palatino Linotype"/>
        </w:rPr>
        <w:t>veintidós</w:t>
      </w:r>
      <w:r w:rsidR="00EB3E7E" w:rsidRPr="00EB3E7E">
        <w:rPr>
          <w:rFonts w:ascii="Palatino Linotype" w:eastAsia="Palatino Linotype" w:hAnsi="Palatino Linotype" w:cs="Palatino Linotype"/>
        </w:rPr>
        <w:t xml:space="preserve"> (22)</w:t>
      </w:r>
      <w:r w:rsidR="00D95C71" w:rsidRPr="00EB3E7E">
        <w:rPr>
          <w:rFonts w:ascii="Palatino Linotype" w:eastAsia="Palatino Linotype" w:hAnsi="Palatino Linotype" w:cs="Palatino Linotype"/>
        </w:rPr>
        <w:t xml:space="preserve"> </w:t>
      </w:r>
      <w:r w:rsidR="00D268A3" w:rsidRPr="00EB3E7E">
        <w:rPr>
          <w:rFonts w:ascii="Palatino Linotype" w:eastAsia="Palatino Linotype" w:hAnsi="Palatino Linotype" w:cs="Palatino Linotype"/>
        </w:rPr>
        <w:t>de abril</w:t>
      </w:r>
      <w:r w:rsidR="00E8588C" w:rsidRPr="00EB3E7E">
        <w:rPr>
          <w:rFonts w:ascii="Palatino Linotype" w:eastAsia="Palatino Linotype" w:hAnsi="Palatino Linotype" w:cs="Palatino Linotype"/>
        </w:rPr>
        <w:t xml:space="preserve"> de dos mil veintiséis</w:t>
      </w:r>
      <w:r w:rsidRPr="00EB3E7E">
        <w:rPr>
          <w:rFonts w:ascii="Palatino Linotype" w:eastAsia="Palatino Linotype" w:hAnsi="Palatino Linotype" w:cs="Palatino Linotype"/>
        </w:rPr>
        <w:t>.</w:t>
      </w:r>
    </w:p>
    <w:p w:rsidR="00185E28" w:rsidRPr="00EB3E7E" w:rsidRDefault="00185E28">
      <w:pPr>
        <w:tabs>
          <w:tab w:val="left" w:pos="3465"/>
        </w:tabs>
        <w:spacing w:line="360" w:lineRule="auto"/>
        <w:ind w:right="-787"/>
        <w:jc w:val="both"/>
        <w:rPr>
          <w:rFonts w:ascii="Palatino Linotype" w:eastAsia="Palatino Linotype" w:hAnsi="Palatino Linotype" w:cs="Palatino Linotype"/>
        </w:rPr>
      </w:pPr>
    </w:p>
    <w:p w:rsidR="00185E28" w:rsidRPr="00EB3E7E" w:rsidRDefault="00444197">
      <w:pPr>
        <w:spacing w:line="360" w:lineRule="auto"/>
        <w:ind w:right="-787"/>
        <w:jc w:val="both"/>
        <w:rPr>
          <w:rFonts w:ascii="Palatino Linotype" w:eastAsia="Palatino Linotype" w:hAnsi="Palatino Linotype" w:cs="Palatino Linotype"/>
        </w:rPr>
      </w:pPr>
      <w:r w:rsidRPr="00EB3E7E">
        <w:rPr>
          <w:rFonts w:ascii="Palatino Linotype" w:eastAsia="Palatino Linotype" w:hAnsi="Palatino Linotype" w:cs="Palatino Linotype"/>
          <w:b/>
        </w:rPr>
        <w:t xml:space="preserve">VISTAS </w:t>
      </w:r>
      <w:r w:rsidRPr="00EB3E7E">
        <w:rPr>
          <w:rFonts w:ascii="Palatino Linotype" w:eastAsia="Palatino Linotype" w:hAnsi="Palatino Linotype" w:cs="Palatino Linotype"/>
        </w:rPr>
        <w:t xml:space="preserve">las constancias para resolver </w:t>
      </w:r>
      <w:r w:rsidRPr="00EB3E7E">
        <w:rPr>
          <w:rFonts w:ascii="Palatino Linotype" w:eastAsia="Palatino Linotype" w:hAnsi="Palatino Linotype" w:cs="Palatino Linotype"/>
          <w:color w:val="000000"/>
        </w:rPr>
        <w:t xml:space="preserve">el Recurso de Revisión </w:t>
      </w:r>
      <w:r w:rsidR="00AF31C1" w:rsidRPr="00EB3E7E">
        <w:rPr>
          <w:rFonts w:ascii="Palatino Linotype" w:eastAsia="Palatino Linotype" w:hAnsi="Palatino Linotype" w:cs="Palatino Linotype"/>
          <w:b/>
          <w:color w:val="000000"/>
        </w:rPr>
        <w:t>12808</w:t>
      </w:r>
      <w:r w:rsidR="00020C6B" w:rsidRPr="00EB3E7E">
        <w:rPr>
          <w:rFonts w:ascii="Palatino Linotype" w:eastAsia="Palatino Linotype" w:hAnsi="Palatino Linotype" w:cs="Palatino Linotype"/>
          <w:b/>
          <w:color w:val="000000"/>
        </w:rPr>
        <w:t>/INFOEM/IP/RR/2025</w:t>
      </w:r>
      <w:r w:rsidRPr="00EB3E7E">
        <w:rPr>
          <w:rFonts w:ascii="Palatino Linotype" w:eastAsia="Palatino Linotype" w:hAnsi="Palatino Linotype" w:cs="Palatino Linotype"/>
          <w:color w:val="000000"/>
        </w:rPr>
        <w:t xml:space="preserve">, promovido </w:t>
      </w:r>
      <w:r w:rsidR="00460BB2" w:rsidRPr="00EB3E7E">
        <w:rPr>
          <w:rFonts w:ascii="Palatino Linotype" w:eastAsia="Palatino Linotype" w:hAnsi="Palatino Linotype" w:cs="Palatino Linotype"/>
          <w:color w:val="000000"/>
        </w:rPr>
        <w:t xml:space="preserve">por </w:t>
      </w:r>
      <w:r w:rsidR="00C64BEE">
        <w:rPr>
          <w:rFonts w:ascii="Palatino Linotype" w:eastAsia="Palatino Linotype" w:hAnsi="Palatino Linotype" w:cs="Palatino Linotype"/>
          <w:b/>
          <w:bCs/>
          <w:color w:val="000000"/>
        </w:rPr>
        <w:t>XXXX</w:t>
      </w:r>
      <w:r w:rsidRPr="00EB3E7E">
        <w:rPr>
          <w:rFonts w:ascii="Palatino Linotype" w:eastAsia="Palatino Linotype" w:hAnsi="Palatino Linotype" w:cs="Palatino Linotype"/>
          <w:color w:val="000000"/>
        </w:rPr>
        <w:t>,</w:t>
      </w:r>
      <w:r w:rsidRPr="00EB3E7E">
        <w:rPr>
          <w:rFonts w:ascii="Palatino Linotype" w:eastAsia="Palatino Linotype" w:hAnsi="Palatino Linotype" w:cs="Palatino Linotype"/>
        </w:rPr>
        <w:t xml:space="preserve"> en lo sucesivo </w:t>
      </w:r>
      <w:r w:rsidR="00AF31C1" w:rsidRPr="00EB3E7E">
        <w:rPr>
          <w:rFonts w:ascii="Palatino Linotype" w:eastAsia="Palatino Linotype" w:hAnsi="Palatino Linotype" w:cs="Palatino Linotype"/>
          <w:b/>
        </w:rPr>
        <w:t>EL</w:t>
      </w:r>
      <w:r w:rsidRPr="00EB3E7E">
        <w:rPr>
          <w:rFonts w:ascii="Palatino Linotype" w:eastAsia="Palatino Linotype" w:hAnsi="Palatino Linotype" w:cs="Palatino Linotype"/>
          <w:b/>
        </w:rPr>
        <w:t xml:space="preserve"> RECURRENTE</w:t>
      </w:r>
      <w:r w:rsidRPr="00EB3E7E">
        <w:rPr>
          <w:rFonts w:ascii="Palatino Linotype" w:eastAsia="Palatino Linotype" w:hAnsi="Palatino Linotype" w:cs="Palatino Linotype"/>
        </w:rPr>
        <w:t xml:space="preserve">, en contra de la respuesta otorgada a la solicitud de información </w:t>
      </w:r>
      <w:r w:rsidR="00AF31C1" w:rsidRPr="00EB3E7E">
        <w:rPr>
          <w:rFonts w:ascii="Palatino Linotype" w:eastAsia="Palatino Linotype" w:hAnsi="Palatino Linotype" w:cs="Palatino Linotype"/>
          <w:b/>
        </w:rPr>
        <w:t>00411/JUCHITE/IP/2025</w:t>
      </w:r>
      <w:r w:rsidRPr="00EB3E7E">
        <w:rPr>
          <w:rFonts w:ascii="Palatino Linotype" w:eastAsia="Palatino Linotype" w:hAnsi="Palatino Linotype" w:cs="Palatino Linotype"/>
        </w:rPr>
        <w:t xml:space="preserve">, por parte del </w:t>
      </w:r>
      <w:r w:rsidRPr="00EB3E7E">
        <w:rPr>
          <w:rFonts w:ascii="Palatino Linotype" w:eastAsia="Palatino Linotype" w:hAnsi="Palatino Linotype" w:cs="Palatino Linotype"/>
          <w:b/>
        </w:rPr>
        <w:t xml:space="preserve">Ayuntamiento de </w:t>
      </w:r>
      <w:r w:rsidR="00AF31C1" w:rsidRPr="00EB3E7E">
        <w:rPr>
          <w:rFonts w:ascii="Palatino Linotype" w:eastAsia="Palatino Linotype" w:hAnsi="Palatino Linotype" w:cs="Palatino Linotype"/>
          <w:b/>
        </w:rPr>
        <w:t>Juchitepec</w:t>
      </w:r>
      <w:r w:rsidRPr="00EB3E7E">
        <w:rPr>
          <w:rFonts w:ascii="Palatino Linotype" w:eastAsia="Palatino Linotype" w:hAnsi="Palatino Linotype" w:cs="Palatino Linotype"/>
          <w:b/>
        </w:rPr>
        <w:t xml:space="preserve">, </w:t>
      </w:r>
      <w:r w:rsidRPr="00EB3E7E">
        <w:rPr>
          <w:rFonts w:ascii="Palatino Linotype" w:eastAsia="Palatino Linotype" w:hAnsi="Palatino Linotype" w:cs="Palatino Linotype"/>
        </w:rPr>
        <w:t xml:space="preserve">en adelante el </w:t>
      </w:r>
      <w:r w:rsidRPr="00EB3E7E">
        <w:rPr>
          <w:rFonts w:ascii="Palatino Linotype" w:eastAsia="Palatino Linotype" w:hAnsi="Palatino Linotype" w:cs="Palatino Linotype"/>
          <w:b/>
        </w:rPr>
        <w:t>SUJETO OBLIGADO</w:t>
      </w:r>
      <w:r w:rsidRPr="00EB3E7E">
        <w:rPr>
          <w:rFonts w:ascii="Palatino Linotype" w:eastAsia="Palatino Linotype" w:hAnsi="Palatino Linotype" w:cs="Palatino Linotype"/>
        </w:rPr>
        <w:t>, se emite la presente resolución con base en los siguientes:</w:t>
      </w:r>
      <w:r w:rsidR="00134E5B" w:rsidRPr="00EB3E7E">
        <w:rPr>
          <w:rFonts w:ascii="Palatino Linotype" w:eastAsia="Palatino Linotype" w:hAnsi="Palatino Linotype" w:cs="Palatino Linotype"/>
        </w:rPr>
        <w:t xml:space="preserve"> </w:t>
      </w:r>
    </w:p>
    <w:p w:rsidR="00BB4989" w:rsidRPr="00EB3E7E" w:rsidRDefault="00BB4989">
      <w:pPr>
        <w:spacing w:line="360" w:lineRule="auto"/>
        <w:ind w:right="-787"/>
        <w:jc w:val="both"/>
        <w:rPr>
          <w:rFonts w:ascii="Palatino Linotype" w:eastAsia="Palatino Linotype" w:hAnsi="Palatino Linotype" w:cs="Palatino Linotype"/>
        </w:rPr>
      </w:pPr>
    </w:p>
    <w:p w:rsidR="00185E28" w:rsidRPr="00EB3E7E" w:rsidRDefault="00444197">
      <w:pPr>
        <w:pStyle w:val="Ttulo1"/>
        <w:spacing w:before="0" w:line="360" w:lineRule="auto"/>
        <w:ind w:right="-787"/>
        <w:jc w:val="center"/>
        <w:rPr>
          <w:rFonts w:ascii="Palatino Linotype" w:eastAsia="Palatino Linotype" w:hAnsi="Palatino Linotype" w:cs="Palatino Linotype"/>
          <w:b/>
          <w:color w:val="000000"/>
          <w:sz w:val="24"/>
          <w:szCs w:val="24"/>
        </w:rPr>
      </w:pPr>
      <w:bookmarkStart w:id="1" w:name="_heading=h.gjdgxs" w:colFirst="0" w:colLast="0"/>
      <w:bookmarkEnd w:id="1"/>
      <w:r w:rsidRPr="00EB3E7E">
        <w:rPr>
          <w:rFonts w:ascii="Palatino Linotype" w:eastAsia="Palatino Linotype" w:hAnsi="Palatino Linotype" w:cs="Palatino Linotype"/>
          <w:b/>
          <w:color w:val="000000"/>
          <w:sz w:val="24"/>
          <w:szCs w:val="24"/>
        </w:rPr>
        <w:t>A N T E C E D E N T E S</w:t>
      </w:r>
    </w:p>
    <w:p w:rsidR="00185E28" w:rsidRPr="00EB3E7E" w:rsidRDefault="00185E28">
      <w:pPr>
        <w:pBdr>
          <w:top w:val="nil"/>
          <w:left w:val="nil"/>
          <w:bottom w:val="nil"/>
          <w:right w:val="nil"/>
          <w:between w:val="nil"/>
        </w:pBdr>
        <w:spacing w:line="360" w:lineRule="auto"/>
        <w:ind w:left="720" w:right="-787"/>
        <w:jc w:val="both"/>
        <w:rPr>
          <w:rFonts w:ascii="Palatino Linotype" w:eastAsia="Palatino Linotype" w:hAnsi="Palatino Linotype" w:cs="Palatino Linotype"/>
          <w:b/>
          <w:color w:val="000000"/>
          <w:u w:val="single"/>
        </w:rPr>
      </w:pPr>
    </w:p>
    <w:p w:rsidR="00185E28" w:rsidRPr="00EB3E7E" w:rsidRDefault="00444197">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EB3E7E">
        <w:rPr>
          <w:rFonts w:ascii="Palatino Linotype" w:eastAsia="Palatino Linotype" w:hAnsi="Palatino Linotype" w:cs="Palatino Linotype"/>
          <w:color w:val="000000"/>
        </w:rPr>
        <w:t xml:space="preserve">El </w:t>
      </w:r>
      <w:r w:rsidR="00AF31C1" w:rsidRPr="00EB3E7E">
        <w:rPr>
          <w:rFonts w:ascii="Palatino Linotype" w:eastAsia="Palatino Linotype" w:hAnsi="Palatino Linotype" w:cs="Palatino Linotype"/>
          <w:b/>
          <w:color w:val="000000"/>
        </w:rPr>
        <w:t>catorce de octubre</w:t>
      </w:r>
      <w:r w:rsidRPr="00EB3E7E">
        <w:rPr>
          <w:rFonts w:ascii="Palatino Linotype" w:eastAsia="Palatino Linotype" w:hAnsi="Palatino Linotype" w:cs="Palatino Linotype"/>
          <w:b/>
          <w:color w:val="000000"/>
        </w:rPr>
        <w:t xml:space="preserve"> de dos mil veinticinco</w:t>
      </w:r>
      <w:r w:rsidRPr="00EB3E7E">
        <w:rPr>
          <w:rFonts w:ascii="Palatino Linotype" w:eastAsia="Palatino Linotype" w:hAnsi="Palatino Linotype" w:cs="Palatino Linotype"/>
          <w:color w:val="000000"/>
        </w:rPr>
        <w:t>,</w:t>
      </w:r>
      <w:r w:rsidRPr="00EB3E7E">
        <w:rPr>
          <w:rFonts w:ascii="Palatino Linotype" w:eastAsia="Palatino Linotype" w:hAnsi="Palatino Linotype" w:cs="Palatino Linotype"/>
          <w:b/>
          <w:color w:val="000000"/>
        </w:rPr>
        <w:t xml:space="preserve"> </w:t>
      </w:r>
      <w:r w:rsidRPr="00EB3E7E">
        <w:rPr>
          <w:rFonts w:ascii="Palatino Linotype" w:eastAsia="Palatino Linotype" w:hAnsi="Palatino Linotype" w:cs="Palatino Linotype"/>
          <w:color w:val="000000"/>
        </w:rPr>
        <w:t xml:space="preserve">se presentó ante el Sujeto Obligado vía Sistema de Acceso a la Información Mexiquense, en adelante SAIMEX, la siguiente </w:t>
      </w:r>
      <w:r w:rsidRPr="00EB3E7E">
        <w:rPr>
          <w:rFonts w:ascii="Palatino Linotype" w:eastAsia="Palatino Linotype" w:hAnsi="Palatino Linotype" w:cs="Palatino Linotype"/>
          <w:b/>
          <w:color w:val="000000"/>
        </w:rPr>
        <w:t>solicitud de información pública</w:t>
      </w:r>
      <w:r w:rsidRPr="00EB3E7E">
        <w:rPr>
          <w:rFonts w:ascii="Palatino Linotype" w:eastAsia="Palatino Linotype" w:hAnsi="Palatino Linotype" w:cs="Palatino Linotype"/>
          <w:color w:val="000000"/>
        </w:rPr>
        <w:t>:</w:t>
      </w:r>
    </w:p>
    <w:p w:rsidR="00185E28" w:rsidRPr="00EB3E7E" w:rsidRDefault="00185E28">
      <w:pPr>
        <w:pBdr>
          <w:top w:val="nil"/>
          <w:left w:val="nil"/>
          <w:bottom w:val="nil"/>
          <w:right w:val="nil"/>
          <w:between w:val="nil"/>
        </w:pBdr>
        <w:ind w:right="-788"/>
        <w:jc w:val="both"/>
        <w:rPr>
          <w:rFonts w:ascii="Palatino Linotype" w:eastAsia="Palatino Linotype" w:hAnsi="Palatino Linotype" w:cs="Palatino Linotype"/>
          <w:color w:val="000000"/>
        </w:rPr>
      </w:pPr>
    </w:p>
    <w:p w:rsidR="00185E28" w:rsidRPr="00EB3E7E" w:rsidRDefault="00444197">
      <w:pPr>
        <w:pBdr>
          <w:top w:val="nil"/>
          <w:left w:val="nil"/>
          <w:bottom w:val="nil"/>
          <w:right w:val="nil"/>
          <w:between w:val="nil"/>
        </w:pBdr>
        <w:ind w:left="567" w:right="-788"/>
        <w:jc w:val="both"/>
        <w:rPr>
          <w:rFonts w:ascii="Palatino Linotype" w:eastAsia="Palatino Linotype" w:hAnsi="Palatino Linotype" w:cs="Palatino Linotype"/>
          <w:i/>
          <w:color w:val="000000"/>
        </w:rPr>
      </w:pPr>
      <w:r w:rsidRPr="00EB3E7E">
        <w:rPr>
          <w:rFonts w:ascii="Palatino Linotype" w:eastAsia="Palatino Linotype" w:hAnsi="Palatino Linotype" w:cs="Palatino Linotype"/>
          <w:i/>
          <w:color w:val="000000"/>
        </w:rPr>
        <w:t xml:space="preserve"> “</w:t>
      </w:r>
      <w:r w:rsidR="00AF31C1" w:rsidRPr="00EB3E7E">
        <w:rPr>
          <w:rFonts w:ascii="Palatino Linotype" w:eastAsia="Palatino Linotype" w:hAnsi="Palatino Linotype" w:cs="Palatino Linotype"/>
          <w:i/>
          <w:color w:val="000000"/>
        </w:rPr>
        <w:t>Solicito que la señora Raquel Ramirez Enriquez Directora de Servicios Públicos nos informe por que se ausento en días laborables de su lugar de trabajo, específicamente los días 1, 2 y 3 de Octubre del año 2025, así mismo solicito se me informe si se hicieron sus descuentos y deducciones correspondiente</w:t>
      </w:r>
      <w:r w:rsidRPr="00EB3E7E">
        <w:rPr>
          <w:rFonts w:ascii="Palatino Linotype" w:eastAsia="Palatino Linotype" w:hAnsi="Palatino Linotype" w:cs="Palatino Linotype"/>
          <w:i/>
          <w:color w:val="000000"/>
        </w:rPr>
        <w:t>” (Sic)</w:t>
      </w:r>
    </w:p>
    <w:p w:rsidR="00185E28" w:rsidRPr="00EB3E7E" w:rsidRDefault="00185E28">
      <w:pPr>
        <w:pBdr>
          <w:top w:val="nil"/>
          <w:left w:val="nil"/>
          <w:bottom w:val="nil"/>
          <w:right w:val="nil"/>
          <w:between w:val="nil"/>
        </w:pBdr>
        <w:ind w:right="-787"/>
        <w:jc w:val="both"/>
        <w:rPr>
          <w:rFonts w:ascii="Palatino Linotype" w:eastAsia="Palatino Linotype" w:hAnsi="Palatino Linotype" w:cs="Palatino Linotype"/>
          <w:i/>
          <w:color w:val="000000"/>
        </w:rPr>
      </w:pPr>
    </w:p>
    <w:p w:rsidR="00EB3E7E" w:rsidRPr="00EB3E7E" w:rsidRDefault="00EB3E7E">
      <w:pPr>
        <w:pBdr>
          <w:top w:val="nil"/>
          <w:left w:val="nil"/>
          <w:bottom w:val="nil"/>
          <w:right w:val="nil"/>
          <w:between w:val="nil"/>
        </w:pBdr>
        <w:ind w:right="-787"/>
        <w:jc w:val="both"/>
        <w:rPr>
          <w:rFonts w:ascii="Palatino Linotype" w:eastAsia="Palatino Linotype" w:hAnsi="Palatino Linotype" w:cs="Palatino Linotype"/>
          <w:i/>
          <w:color w:val="000000"/>
        </w:rPr>
      </w:pPr>
    </w:p>
    <w:p w:rsidR="00185E28" w:rsidRPr="00EB3E7E" w:rsidRDefault="00444197">
      <w:pPr>
        <w:numPr>
          <w:ilvl w:val="0"/>
          <w:numId w:val="1"/>
        </w:numPr>
        <w:pBdr>
          <w:top w:val="nil"/>
          <w:left w:val="nil"/>
          <w:bottom w:val="nil"/>
          <w:right w:val="nil"/>
          <w:between w:val="nil"/>
        </w:pBdr>
        <w:tabs>
          <w:tab w:val="left" w:pos="0"/>
        </w:tabs>
        <w:spacing w:line="360" w:lineRule="auto"/>
        <w:ind w:left="709" w:right="-787"/>
        <w:jc w:val="both"/>
        <w:rPr>
          <w:rFonts w:ascii="Palatino Linotype" w:eastAsia="Palatino Linotype" w:hAnsi="Palatino Linotype" w:cs="Palatino Linotype"/>
          <w:color w:val="000000"/>
        </w:rPr>
      </w:pPr>
      <w:r w:rsidRPr="00EB3E7E">
        <w:rPr>
          <w:rFonts w:ascii="Palatino Linotype" w:eastAsia="Palatino Linotype" w:hAnsi="Palatino Linotype" w:cs="Palatino Linotype"/>
          <w:color w:val="000000"/>
        </w:rPr>
        <w:t xml:space="preserve">Se eligió como modalidad de entrega de la información: A través del </w:t>
      </w:r>
      <w:r w:rsidRPr="00EB3E7E">
        <w:rPr>
          <w:rFonts w:ascii="Palatino Linotype" w:eastAsia="Palatino Linotype" w:hAnsi="Palatino Linotype" w:cs="Palatino Linotype"/>
          <w:b/>
          <w:color w:val="000000"/>
        </w:rPr>
        <w:t>SAIMEX.</w:t>
      </w:r>
    </w:p>
    <w:p w:rsidR="000A7B5E" w:rsidRPr="00EB3E7E" w:rsidRDefault="000A7B5E" w:rsidP="000A7B5E">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185E28" w:rsidRPr="00EB3E7E" w:rsidRDefault="00444197">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EB3E7E">
        <w:rPr>
          <w:rFonts w:ascii="Palatino Linotype" w:eastAsia="Palatino Linotype" w:hAnsi="Palatino Linotype" w:cs="Palatino Linotype"/>
          <w:color w:val="000000"/>
        </w:rPr>
        <w:t>El</w:t>
      </w:r>
      <w:r w:rsidRPr="00EB3E7E">
        <w:rPr>
          <w:rFonts w:ascii="Palatino Linotype" w:eastAsia="Palatino Linotype" w:hAnsi="Palatino Linotype" w:cs="Palatino Linotype"/>
          <w:b/>
          <w:color w:val="000000"/>
        </w:rPr>
        <w:t xml:space="preserve"> </w:t>
      </w:r>
      <w:r w:rsidR="00AF31C1" w:rsidRPr="00EB3E7E">
        <w:rPr>
          <w:rFonts w:ascii="Palatino Linotype" w:eastAsia="Palatino Linotype" w:hAnsi="Palatino Linotype" w:cs="Palatino Linotype"/>
          <w:b/>
          <w:color w:val="000000"/>
        </w:rPr>
        <w:t>veintidós</w:t>
      </w:r>
      <w:r w:rsidR="009255B3" w:rsidRPr="00EB3E7E">
        <w:rPr>
          <w:rFonts w:ascii="Palatino Linotype" w:eastAsia="Palatino Linotype" w:hAnsi="Palatino Linotype" w:cs="Palatino Linotype"/>
          <w:b/>
          <w:color w:val="000000"/>
        </w:rPr>
        <w:t xml:space="preserve"> de octubre</w:t>
      </w:r>
      <w:r w:rsidRPr="00EB3E7E">
        <w:rPr>
          <w:rFonts w:ascii="Palatino Linotype" w:eastAsia="Palatino Linotype" w:hAnsi="Palatino Linotype" w:cs="Palatino Linotype"/>
          <w:b/>
          <w:color w:val="000000"/>
        </w:rPr>
        <w:t xml:space="preserve"> de dos mil veinticinco</w:t>
      </w:r>
      <w:r w:rsidRPr="00EB3E7E">
        <w:rPr>
          <w:rFonts w:ascii="Palatino Linotype" w:eastAsia="Palatino Linotype" w:hAnsi="Palatino Linotype" w:cs="Palatino Linotype"/>
          <w:color w:val="000000"/>
        </w:rPr>
        <w:t>, el Sujeto Obligado</w:t>
      </w:r>
      <w:r w:rsidRPr="00EB3E7E">
        <w:rPr>
          <w:rFonts w:ascii="Palatino Linotype" w:eastAsia="Palatino Linotype" w:hAnsi="Palatino Linotype" w:cs="Palatino Linotype"/>
          <w:b/>
          <w:color w:val="000000"/>
        </w:rPr>
        <w:t>,</w:t>
      </w:r>
      <w:r w:rsidRPr="00EB3E7E">
        <w:rPr>
          <w:rFonts w:ascii="Palatino Linotype" w:eastAsia="Palatino Linotype" w:hAnsi="Palatino Linotype" w:cs="Palatino Linotype"/>
          <w:color w:val="000000"/>
        </w:rPr>
        <w:t xml:space="preserve"> dio </w:t>
      </w:r>
      <w:r w:rsidRPr="00EB3E7E">
        <w:rPr>
          <w:rFonts w:ascii="Palatino Linotype" w:eastAsia="Palatino Linotype" w:hAnsi="Palatino Linotype" w:cs="Palatino Linotype"/>
          <w:b/>
          <w:color w:val="000000"/>
        </w:rPr>
        <w:t>respuesta</w:t>
      </w:r>
      <w:r w:rsidR="000E6836" w:rsidRPr="00EB3E7E">
        <w:rPr>
          <w:rFonts w:ascii="Palatino Linotype" w:eastAsia="Palatino Linotype" w:hAnsi="Palatino Linotype" w:cs="Palatino Linotype"/>
          <w:color w:val="000000"/>
        </w:rPr>
        <w:t xml:space="preserve"> a través </w:t>
      </w:r>
      <w:r w:rsidR="00460BB2" w:rsidRPr="00EB3E7E">
        <w:rPr>
          <w:rFonts w:ascii="Palatino Linotype" w:eastAsia="Palatino Linotype" w:hAnsi="Palatino Linotype" w:cs="Palatino Linotype"/>
          <w:color w:val="000000"/>
        </w:rPr>
        <w:t>del</w:t>
      </w:r>
      <w:r w:rsidRPr="00EB3E7E">
        <w:rPr>
          <w:rFonts w:ascii="Palatino Linotype" w:eastAsia="Palatino Linotype" w:hAnsi="Palatino Linotype" w:cs="Palatino Linotype"/>
          <w:color w:val="000000"/>
        </w:rPr>
        <w:t xml:space="preserve"> siguiente</w:t>
      </w:r>
      <w:r w:rsidR="000E6836" w:rsidRPr="00EB3E7E">
        <w:rPr>
          <w:rFonts w:ascii="Palatino Linotype" w:eastAsia="Palatino Linotype" w:hAnsi="Palatino Linotype" w:cs="Palatino Linotype"/>
          <w:color w:val="000000"/>
        </w:rPr>
        <w:t xml:space="preserve"> </w:t>
      </w:r>
      <w:r w:rsidRPr="00EB3E7E">
        <w:rPr>
          <w:rFonts w:ascii="Palatino Linotype" w:eastAsia="Palatino Linotype" w:hAnsi="Palatino Linotype" w:cs="Palatino Linotype"/>
          <w:color w:val="000000"/>
        </w:rPr>
        <w:t>archivo electrónico</w:t>
      </w:r>
      <w:r w:rsidRPr="00EB3E7E">
        <w:rPr>
          <w:rFonts w:ascii="Palatino Linotype" w:eastAsia="Palatino Linotype" w:hAnsi="Palatino Linotype" w:cs="Palatino Linotype"/>
          <w:b/>
          <w:i/>
          <w:color w:val="000000"/>
        </w:rPr>
        <w:t>:</w:t>
      </w:r>
    </w:p>
    <w:p w:rsidR="00F212A5" w:rsidRPr="00EB3E7E" w:rsidRDefault="00F212A5" w:rsidP="00F212A5">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AF31C1" w:rsidRPr="00EB3E7E" w:rsidRDefault="00AF31C1" w:rsidP="00B11F80">
      <w:pPr>
        <w:pBdr>
          <w:top w:val="nil"/>
          <w:left w:val="nil"/>
          <w:bottom w:val="nil"/>
          <w:right w:val="nil"/>
          <w:between w:val="nil"/>
        </w:pBdr>
        <w:tabs>
          <w:tab w:val="left" w:pos="567"/>
        </w:tabs>
        <w:ind w:left="567" w:right="62"/>
        <w:jc w:val="both"/>
        <w:rPr>
          <w:rFonts w:ascii="Palatino Linotype" w:eastAsia="Palatino Linotype" w:hAnsi="Palatino Linotype" w:cs="Palatino Linotype"/>
          <w:b/>
          <w:i/>
          <w:color w:val="000000"/>
        </w:rPr>
      </w:pPr>
      <w:r w:rsidRPr="00EB3E7E">
        <w:rPr>
          <w:rFonts w:ascii="Palatino Linotype" w:eastAsia="Palatino Linotype" w:hAnsi="Palatino Linotype" w:cs="Palatino Linotype"/>
          <w:b/>
          <w:i/>
          <w:color w:val="000000"/>
        </w:rPr>
        <w:lastRenderedPageBreak/>
        <w:t xml:space="preserve">SOLICITUD SAIMEX 00411 .pdf </w:t>
      </w:r>
    </w:p>
    <w:p w:rsidR="00AF31C1" w:rsidRPr="00EB3E7E" w:rsidRDefault="00AF31C1" w:rsidP="00B11F80">
      <w:pPr>
        <w:pBdr>
          <w:top w:val="nil"/>
          <w:left w:val="nil"/>
          <w:bottom w:val="nil"/>
          <w:right w:val="nil"/>
          <w:between w:val="nil"/>
        </w:pBdr>
        <w:tabs>
          <w:tab w:val="left" w:pos="567"/>
        </w:tabs>
        <w:ind w:left="567" w:right="62"/>
        <w:jc w:val="both"/>
        <w:rPr>
          <w:rFonts w:ascii="Palatino Linotype" w:eastAsia="Palatino Linotype" w:hAnsi="Palatino Linotype" w:cs="Palatino Linotype"/>
          <w:color w:val="000000"/>
        </w:rPr>
      </w:pPr>
      <w:r w:rsidRPr="00EB3E7E">
        <w:rPr>
          <w:rFonts w:ascii="Palatino Linotype" w:eastAsia="Palatino Linotype" w:hAnsi="Palatino Linotype" w:cs="Palatino Linotype"/>
          <w:color w:val="000000"/>
        </w:rPr>
        <w:t xml:space="preserve">- Oficio </w:t>
      </w:r>
      <w:r w:rsidR="00B35A42" w:rsidRPr="00EB3E7E">
        <w:rPr>
          <w:rFonts w:ascii="Palatino Linotype" w:eastAsia="Palatino Linotype" w:hAnsi="Palatino Linotype" w:cs="Palatino Linotype"/>
          <w:color w:val="000000"/>
        </w:rPr>
        <w:t>firmado por la Titular de la Dirección de Servicios Públicos, dirigido al Titular de la UIPPE y Transparencia y Acceso a la Información Pública, a través del cual refiere enviar respuesta.</w:t>
      </w:r>
    </w:p>
    <w:p w:rsidR="00B35A42" w:rsidRPr="00EB3E7E" w:rsidRDefault="00B35A42" w:rsidP="00B11F80">
      <w:pPr>
        <w:pBdr>
          <w:top w:val="nil"/>
          <w:left w:val="nil"/>
          <w:bottom w:val="nil"/>
          <w:right w:val="nil"/>
          <w:between w:val="nil"/>
        </w:pBdr>
        <w:tabs>
          <w:tab w:val="left" w:pos="567"/>
        </w:tabs>
        <w:ind w:left="567" w:right="62"/>
        <w:jc w:val="both"/>
        <w:rPr>
          <w:rFonts w:ascii="Palatino Linotype" w:eastAsia="Palatino Linotype" w:hAnsi="Palatino Linotype" w:cs="Palatino Linotype"/>
          <w:color w:val="000000"/>
        </w:rPr>
      </w:pPr>
    </w:p>
    <w:p w:rsidR="00B35A42" w:rsidRPr="00EB3E7E" w:rsidRDefault="00B35A42" w:rsidP="00B11F80">
      <w:pPr>
        <w:pBdr>
          <w:top w:val="nil"/>
          <w:left w:val="nil"/>
          <w:bottom w:val="nil"/>
          <w:right w:val="nil"/>
          <w:between w:val="nil"/>
        </w:pBdr>
        <w:tabs>
          <w:tab w:val="left" w:pos="567"/>
        </w:tabs>
        <w:ind w:left="567" w:right="62"/>
        <w:jc w:val="both"/>
        <w:rPr>
          <w:rFonts w:ascii="Palatino Linotype" w:eastAsia="Palatino Linotype" w:hAnsi="Palatino Linotype" w:cs="Palatino Linotype"/>
          <w:color w:val="000000"/>
        </w:rPr>
      </w:pPr>
      <w:r w:rsidRPr="00EB3E7E">
        <w:rPr>
          <w:rFonts w:ascii="Palatino Linotype" w:eastAsia="Palatino Linotype" w:hAnsi="Palatino Linotype" w:cs="Palatino Linotype"/>
          <w:color w:val="000000"/>
        </w:rPr>
        <w:t>- Oficio firmado por la Titular de la Dirección de Servicios Públicos, dirigido al solicitante en el que en términos generales refiere que el requerimiento corresponde  a un derecho de petición y no un derecho de acceso a la información.</w:t>
      </w:r>
    </w:p>
    <w:p w:rsidR="00B35A42" w:rsidRPr="00EB3E7E" w:rsidRDefault="00B35A42" w:rsidP="00B11F80">
      <w:pPr>
        <w:pBdr>
          <w:top w:val="nil"/>
          <w:left w:val="nil"/>
          <w:bottom w:val="nil"/>
          <w:right w:val="nil"/>
          <w:between w:val="nil"/>
        </w:pBdr>
        <w:tabs>
          <w:tab w:val="left" w:pos="567"/>
        </w:tabs>
        <w:ind w:left="567" w:right="62"/>
        <w:jc w:val="both"/>
        <w:rPr>
          <w:rFonts w:ascii="Palatino Linotype" w:eastAsia="Palatino Linotype" w:hAnsi="Palatino Linotype" w:cs="Palatino Linotype"/>
          <w:color w:val="000000"/>
        </w:rPr>
      </w:pPr>
      <w:r w:rsidRPr="00EB3E7E">
        <w:rPr>
          <w:rFonts w:ascii="Palatino Linotype" w:eastAsia="Palatino Linotype" w:hAnsi="Palatino Linotype" w:cs="Palatino Linotype"/>
          <w:color w:val="000000"/>
        </w:rPr>
        <w:t>Asimismo señala que para presentar quejas sobre conductas internas de los servidores públicos puede acudir al Órgano Interno de Control.</w:t>
      </w:r>
    </w:p>
    <w:p w:rsidR="00185E28" w:rsidRPr="00EB3E7E" w:rsidRDefault="00185E28">
      <w:pPr>
        <w:pBdr>
          <w:top w:val="nil"/>
          <w:left w:val="nil"/>
          <w:bottom w:val="nil"/>
          <w:right w:val="nil"/>
          <w:between w:val="nil"/>
        </w:pBdr>
        <w:tabs>
          <w:tab w:val="left" w:pos="567"/>
        </w:tabs>
        <w:ind w:right="62"/>
        <w:jc w:val="both"/>
        <w:rPr>
          <w:rFonts w:ascii="Palatino Linotype" w:eastAsia="Palatino Linotype" w:hAnsi="Palatino Linotype" w:cs="Palatino Linotype"/>
          <w:b/>
        </w:rPr>
      </w:pPr>
    </w:p>
    <w:p w:rsidR="00185E28" w:rsidRPr="00EB3E7E" w:rsidRDefault="00444197">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EB3E7E">
        <w:rPr>
          <w:rFonts w:ascii="Palatino Linotype" w:eastAsia="Palatino Linotype" w:hAnsi="Palatino Linotype" w:cs="Palatino Linotype"/>
          <w:color w:val="000000"/>
        </w:rPr>
        <w:t>El</w:t>
      </w:r>
      <w:r w:rsidRPr="00EB3E7E">
        <w:rPr>
          <w:rFonts w:ascii="Palatino Linotype" w:eastAsia="Palatino Linotype" w:hAnsi="Palatino Linotype" w:cs="Palatino Linotype"/>
          <w:b/>
          <w:color w:val="000000"/>
        </w:rPr>
        <w:t xml:space="preserve"> </w:t>
      </w:r>
      <w:r w:rsidR="009D4566" w:rsidRPr="00EB3E7E">
        <w:rPr>
          <w:rFonts w:ascii="Palatino Linotype" w:eastAsia="Palatino Linotype" w:hAnsi="Palatino Linotype" w:cs="Palatino Linotype"/>
          <w:b/>
          <w:color w:val="000000"/>
        </w:rPr>
        <w:t>seis de noviembre</w:t>
      </w:r>
      <w:r w:rsidRPr="00EB3E7E">
        <w:rPr>
          <w:rFonts w:ascii="Palatino Linotype" w:eastAsia="Palatino Linotype" w:hAnsi="Palatino Linotype" w:cs="Palatino Linotype"/>
          <w:b/>
          <w:color w:val="000000"/>
        </w:rPr>
        <w:t xml:space="preserve"> de dos mil veinticinco</w:t>
      </w:r>
      <w:r w:rsidRPr="00EB3E7E">
        <w:rPr>
          <w:rFonts w:ascii="Palatino Linotype" w:eastAsia="Palatino Linotype" w:hAnsi="Palatino Linotype" w:cs="Palatino Linotype"/>
          <w:color w:val="000000"/>
        </w:rPr>
        <w:t xml:space="preserve">, el particular interpuso el </w:t>
      </w:r>
      <w:r w:rsidRPr="00EB3E7E">
        <w:rPr>
          <w:rFonts w:ascii="Palatino Linotype" w:eastAsia="Palatino Linotype" w:hAnsi="Palatino Linotype" w:cs="Palatino Linotype"/>
          <w:b/>
          <w:color w:val="000000"/>
        </w:rPr>
        <w:t>recurso de revisión</w:t>
      </w:r>
      <w:r w:rsidRPr="00EB3E7E">
        <w:rPr>
          <w:rFonts w:ascii="Palatino Linotype" w:eastAsia="Palatino Linotype" w:hAnsi="Palatino Linotype" w:cs="Palatino Linotype"/>
          <w:color w:val="000000"/>
        </w:rPr>
        <w:t xml:space="preserve"> al que se le asignó el folio </w:t>
      </w:r>
      <w:r w:rsidR="009D4566" w:rsidRPr="00EB3E7E">
        <w:rPr>
          <w:rFonts w:ascii="Palatino Linotype" w:eastAsia="Palatino Linotype" w:hAnsi="Palatino Linotype" w:cs="Palatino Linotype"/>
          <w:b/>
          <w:color w:val="000000"/>
        </w:rPr>
        <w:t>12808</w:t>
      </w:r>
      <w:r w:rsidRPr="00EB3E7E">
        <w:rPr>
          <w:rFonts w:ascii="Palatino Linotype" w:eastAsia="Palatino Linotype" w:hAnsi="Palatino Linotype" w:cs="Palatino Linotype"/>
          <w:b/>
          <w:color w:val="000000"/>
        </w:rPr>
        <w:t xml:space="preserve">/INFOEM/IP/RR/2025 </w:t>
      </w:r>
      <w:r w:rsidRPr="00EB3E7E">
        <w:rPr>
          <w:rFonts w:ascii="Palatino Linotype" w:eastAsia="Palatino Linotype" w:hAnsi="Palatino Linotype" w:cs="Palatino Linotype"/>
          <w:color w:val="000000"/>
        </w:rPr>
        <w:t>en contra de la respuesta emitida por el sujeto obligado, realizando las siguientes manifestaciones como acto impugnado y razones o motivos de inconformidad:</w:t>
      </w:r>
    </w:p>
    <w:p w:rsidR="00185E28" w:rsidRPr="00EB3E7E" w:rsidRDefault="00185E28">
      <w:pPr>
        <w:pBdr>
          <w:top w:val="nil"/>
          <w:left w:val="nil"/>
          <w:bottom w:val="nil"/>
          <w:right w:val="nil"/>
          <w:between w:val="nil"/>
        </w:pBdr>
        <w:tabs>
          <w:tab w:val="left" w:pos="0"/>
        </w:tabs>
        <w:ind w:left="357" w:right="-788"/>
        <w:jc w:val="both"/>
        <w:rPr>
          <w:rFonts w:ascii="Palatino Linotype" w:eastAsia="Palatino Linotype" w:hAnsi="Palatino Linotype" w:cs="Palatino Linotype"/>
          <w:color w:val="000000"/>
        </w:rPr>
      </w:pPr>
    </w:p>
    <w:p w:rsidR="00195D9D" w:rsidRPr="00EB3E7E" w:rsidRDefault="00444197" w:rsidP="00671560">
      <w:pPr>
        <w:pBdr>
          <w:top w:val="nil"/>
          <w:left w:val="nil"/>
          <w:bottom w:val="nil"/>
          <w:right w:val="nil"/>
          <w:between w:val="nil"/>
        </w:pBdr>
        <w:ind w:left="851" w:right="-787"/>
        <w:jc w:val="both"/>
        <w:rPr>
          <w:rFonts w:ascii="Palatino Linotype" w:eastAsia="Palatino Linotype" w:hAnsi="Palatino Linotype" w:cs="Palatino Linotype"/>
          <w:b/>
          <w:color w:val="000000"/>
        </w:rPr>
      </w:pPr>
      <w:bookmarkStart w:id="2" w:name="_heading=h.30j0zll" w:colFirst="0" w:colLast="0"/>
      <w:bookmarkEnd w:id="2"/>
      <w:r w:rsidRPr="00EB3E7E">
        <w:rPr>
          <w:rFonts w:ascii="Palatino Linotype" w:eastAsia="Palatino Linotype" w:hAnsi="Palatino Linotype" w:cs="Palatino Linotype"/>
          <w:b/>
          <w:color w:val="000000"/>
        </w:rPr>
        <w:t xml:space="preserve">Acto impugnado: </w:t>
      </w:r>
    </w:p>
    <w:p w:rsidR="00185E28" w:rsidRPr="00EB3E7E" w:rsidRDefault="00444197" w:rsidP="00671560">
      <w:pPr>
        <w:pBdr>
          <w:top w:val="nil"/>
          <w:left w:val="nil"/>
          <w:bottom w:val="nil"/>
          <w:right w:val="nil"/>
          <w:between w:val="nil"/>
        </w:pBdr>
        <w:ind w:left="851" w:right="-787"/>
        <w:jc w:val="both"/>
        <w:rPr>
          <w:rFonts w:ascii="Palatino Linotype" w:eastAsia="Palatino Linotype" w:hAnsi="Palatino Linotype" w:cs="Palatino Linotype"/>
          <w:i/>
          <w:color w:val="000000"/>
        </w:rPr>
      </w:pPr>
      <w:r w:rsidRPr="00EB3E7E">
        <w:rPr>
          <w:rFonts w:ascii="Palatino Linotype" w:eastAsia="Palatino Linotype" w:hAnsi="Palatino Linotype" w:cs="Palatino Linotype"/>
          <w:i/>
          <w:color w:val="000000"/>
        </w:rPr>
        <w:t>“</w:t>
      </w:r>
      <w:r w:rsidR="009D4566" w:rsidRPr="00EB3E7E">
        <w:rPr>
          <w:rFonts w:ascii="Palatino Linotype" w:eastAsia="Palatino Linotype" w:hAnsi="Palatino Linotype" w:cs="Palatino Linotype"/>
          <w:i/>
          <w:color w:val="000000"/>
        </w:rPr>
        <w:t>CONTESTACIÓN DE LA DIRECTORA DE SERVICIOS PUBLICOS</w:t>
      </w:r>
      <w:r w:rsidRPr="00EB3E7E">
        <w:rPr>
          <w:rFonts w:ascii="Palatino Linotype" w:eastAsia="Palatino Linotype" w:hAnsi="Palatino Linotype" w:cs="Palatino Linotype"/>
          <w:i/>
          <w:color w:val="000000"/>
        </w:rPr>
        <w:t>” (Sic)</w:t>
      </w:r>
    </w:p>
    <w:p w:rsidR="00185E28" w:rsidRPr="00EB3E7E" w:rsidRDefault="00185E28" w:rsidP="00671560">
      <w:pPr>
        <w:pBdr>
          <w:top w:val="nil"/>
          <w:left w:val="nil"/>
          <w:bottom w:val="nil"/>
          <w:right w:val="nil"/>
          <w:between w:val="nil"/>
        </w:pBdr>
        <w:ind w:left="851" w:right="-787"/>
        <w:jc w:val="both"/>
        <w:rPr>
          <w:rFonts w:ascii="Palatino Linotype" w:eastAsia="Palatino Linotype" w:hAnsi="Palatino Linotype" w:cs="Palatino Linotype"/>
          <w:i/>
          <w:color w:val="000000"/>
        </w:rPr>
      </w:pPr>
    </w:p>
    <w:p w:rsidR="00195D9D" w:rsidRPr="00EB3E7E" w:rsidRDefault="00444197" w:rsidP="00671560">
      <w:pPr>
        <w:pBdr>
          <w:top w:val="nil"/>
          <w:left w:val="nil"/>
          <w:bottom w:val="nil"/>
          <w:right w:val="nil"/>
          <w:between w:val="nil"/>
        </w:pBdr>
        <w:ind w:left="851" w:right="-787"/>
        <w:jc w:val="both"/>
        <w:rPr>
          <w:rFonts w:ascii="Palatino Linotype" w:eastAsia="Palatino Linotype" w:hAnsi="Palatino Linotype" w:cs="Palatino Linotype"/>
          <w:b/>
          <w:color w:val="000000"/>
        </w:rPr>
      </w:pPr>
      <w:bookmarkStart w:id="3" w:name="_heading=h.1fob9te" w:colFirst="0" w:colLast="0"/>
      <w:bookmarkEnd w:id="3"/>
      <w:r w:rsidRPr="00EB3E7E">
        <w:rPr>
          <w:rFonts w:ascii="Palatino Linotype" w:eastAsia="Palatino Linotype" w:hAnsi="Palatino Linotype" w:cs="Palatino Linotype"/>
          <w:b/>
          <w:color w:val="000000"/>
        </w:rPr>
        <w:t xml:space="preserve">Razones o Motivos de inconformidad: </w:t>
      </w:r>
    </w:p>
    <w:p w:rsidR="00185E28" w:rsidRPr="00EB3E7E" w:rsidRDefault="00444197" w:rsidP="00DF034B">
      <w:pPr>
        <w:pBdr>
          <w:top w:val="nil"/>
          <w:left w:val="nil"/>
          <w:bottom w:val="nil"/>
          <w:right w:val="nil"/>
          <w:between w:val="nil"/>
        </w:pBdr>
        <w:ind w:left="851" w:right="-787"/>
        <w:jc w:val="both"/>
        <w:rPr>
          <w:rFonts w:ascii="Palatino Linotype" w:eastAsia="Palatino Linotype" w:hAnsi="Palatino Linotype" w:cs="Palatino Linotype"/>
          <w:b/>
          <w:i/>
          <w:color w:val="000000"/>
        </w:rPr>
      </w:pPr>
      <w:r w:rsidRPr="00EB3E7E">
        <w:rPr>
          <w:rFonts w:ascii="Palatino Linotype" w:eastAsia="Palatino Linotype" w:hAnsi="Palatino Linotype" w:cs="Palatino Linotype"/>
          <w:i/>
          <w:color w:val="000000"/>
        </w:rPr>
        <w:t>“</w:t>
      </w:r>
      <w:r w:rsidR="009D4566" w:rsidRPr="00EB3E7E">
        <w:rPr>
          <w:rFonts w:ascii="Palatino Linotype" w:eastAsia="Palatino Linotype" w:hAnsi="Palatino Linotype" w:cs="Palatino Linotype"/>
          <w:i/>
          <w:color w:val="000000"/>
        </w:rPr>
        <w:t>SU CONTESTACIÓN A LA SOLICITUD NO SE RELACIONA CON LA INFORMACIÓN QUE SE LE SOLICITO</w:t>
      </w:r>
      <w:r w:rsidR="00DF034B" w:rsidRPr="00EB3E7E">
        <w:rPr>
          <w:rFonts w:ascii="Palatino Linotype" w:eastAsia="Palatino Linotype" w:hAnsi="Palatino Linotype" w:cs="Palatino Linotype"/>
          <w:i/>
          <w:color w:val="000000"/>
        </w:rPr>
        <w:t>”</w:t>
      </w:r>
      <w:r w:rsidRPr="00EB3E7E">
        <w:rPr>
          <w:rFonts w:ascii="Palatino Linotype" w:eastAsia="Palatino Linotype" w:hAnsi="Palatino Linotype" w:cs="Palatino Linotype"/>
          <w:b/>
          <w:i/>
          <w:color w:val="000000"/>
        </w:rPr>
        <w:t xml:space="preserve"> </w:t>
      </w:r>
      <w:r w:rsidRPr="00EB3E7E">
        <w:rPr>
          <w:rFonts w:ascii="Palatino Linotype" w:eastAsia="Palatino Linotype" w:hAnsi="Palatino Linotype" w:cs="Palatino Linotype"/>
          <w:i/>
          <w:color w:val="000000"/>
        </w:rPr>
        <w:t>(Sic)</w:t>
      </w:r>
    </w:p>
    <w:p w:rsidR="00185E28" w:rsidRPr="00EB3E7E" w:rsidRDefault="00185E28">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color w:val="000000"/>
          <w:u w:val="single"/>
        </w:rPr>
      </w:pPr>
    </w:p>
    <w:p w:rsidR="00185E28" w:rsidRPr="00EB3E7E" w:rsidRDefault="00444197">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EB3E7E">
        <w:rPr>
          <w:rFonts w:ascii="Palatino Linotype" w:eastAsia="Palatino Linotype" w:hAnsi="Palatino Linotype" w:cs="Palatino Linotype"/>
          <w:color w:val="000000"/>
        </w:rPr>
        <w:t xml:space="preserve">La Comisionada Ponente con fundamento en lo dispuesto por el artículo 185, fracción II, de la ley de la materia, a través del </w:t>
      </w:r>
      <w:r w:rsidRPr="00EB3E7E">
        <w:rPr>
          <w:rFonts w:ascii="Palatino Linotype" w:eastAsia="Palatino Linotype" w:hAnsi="Palatino Linotype" w:cs="Palatino Linotype"/>
          <w:b/>
          <w:color w:val="000000"/>
        </w:rPr>
        <w:t xml:space="preserve">acuerdo de admisión </w:t>
      </w:r>
      <w:r w:rsidRPr="00EB3E7E">
        <w:rPr>
          <w:rFonts w:ascii="Palatino Linotype" w:eastAsia="Palatino Linotype" w:hAnsi="Palatino Linotype" w:cs="Palatino Linotype"/>
          <w:color w:val="000000"/>
        </w:rPr>
        <w:t xml:space="preserve">de fecha </w:t>
      </w:r>
      <w:r w:rsidR="001852B6" w:rsidRPr="00EB3E7E">
        <w:rPr>
          <w:rFonts w:ascii="Palatino Linotype" w:eastAsia="Palatino Linotype" w:hAnsi="Palatino Linotype" w:cs="Palatino Linotype"/>
          <w:b/>
          <w:color w:val="000000"/>
        </w:rPr>
        <w:t>seis de noviembre</w:t>
      </w:r>
      <w:r w:rsidRPr="00EB3E7E">
        <w:rPr>
          <w:rFonts w:ascii="Palatino Linotype" w:eastAsia="Palatino Linotype" w:hAnsi="Palatino Linotype" w:cs="Palatino Linotype"/>
          <w:b/>
          <w:color w:val="000000"/>
        </w:rPr>
        <w:t xml:space="preserve"> de dos mil veinticinco, </w:t>
      </w:r>
      <w:r w:rsidRPr="00EB3E7E">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sidRPr="00EB3E7E">
        <w:rPr>
          <w:rFonts w:ascii="Palatino Linotype" w:eastAsia="Palatino Linotype" w:hAnsi="Palatino Linotype" w:cs="Palatino Linotype"/>
        </w:rPr>
        <w:t>manifestara</w:t>
      </w:r>
      <w:r w:rsidRPr="00EB3E7E">
        <w:rPr>
          <w:rFonts w:ascii="Palatino Linotype" w:eastAsia="Palatino Linotype" w:hAnsi="Palatino Linotype" w:cs="Palatino Linotype"/>
          <w:color w:val="000000"/>
        </w:rPr>
        <w:t xml:space="preserve"> lo que a su derecho conviniera, </w:t>
      </w:r>
      <w:r w:rsidRPr="00EB3E7E">
        <w:rPr>
          <w:rFonts w:ascii="Palatino Linotype" w:eastAsia="Palatino Linotype" w:hAnsi="Palatino Linotype" w:cs="Palatino Linotype"/>
        </w:rPr>
        <w:t>ofreciera</w:t>
      </w:r>
      <w:r w:rsidRPr="00EB3E7E">
        <w:rPr>
          <w:rFonts w:ascii="Palatino Linotype" w:eastAsia="Palatino Linotype" w:hAnsi="Palatino Linotype" w:cs="Palatino Linotype"/>
          <w:color w:val="000000"/>
        </w:rPr>
        <w:t xml:space="preserve"> pruebas y alegatos según corresponda al caso concreto, de esta forma para que el </w:t>
      </w:r>
      <w:r w:rsidRPr="00EB3E7E">
        <w:rPr>
          <w:rFonts w:ascii="Palatino Linotype" w:eastAsia="Palatino Linotype" w:hAnsi="Palatino Linotype" w:cs="Palatino Linotype"/>
          <w:b/>
          <w:color w:val="000000"/>
        </w:rPr>
        <w:t xml:space="preserve">SUJETO OBLIGADO </w:t>
      </w:r>
      <w:r w:rsidRPr="00EB3E7E">
        <w:rPr>
          <w:rFonts w:ascii="Palatino Linotype" w:eastAsia="Palatino Linotype" w:hAnsi="Palatino Linotype" w:cs="Palatino Linotype"/>
        </w:rPr>
        <w:t>presentara</w:t>
      </w:r>
      <w:r w:rsidRPr="00EB3E7E">
        <w:rPr>
          <w:rFonts w:ascii="Palatino Linotype" w:eastAsia="Palatino Linotype" w:hAnsi="Palatino Linotype" w:cs="Palatino Linotype"/>
          <w:color w:val="000000"/>
        </w:rPr>
        <w:t xml:space="preserve"> el Informe Justificado procedente.</w:t>
      </w:r>
    </w:p>
    <w:p w:rsidR="00185E28" w:rsidRPr="00EB3E7E" w:rsidRDefault="00185E28">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185E28" w:rsidRPr="00EB3E7E" w:rsidRDefault="00444197">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EB3E7E">
        <w:rPr>
          <w:rFonts w:ascii="Palatino Linotype" w:eastAsia="Palatino Linotype" w:hAnsi="Palatino Linotype" w:cs="Palatino Linotype"/>
          <w:color w:val="000000"/>
        </w:rPr>
        <w:lastRenderedPageBreak/>
        <w:t>El Recurrente</w:t>
      </w:r>
      <w:r w:rsidRPr="00EB3E7E">
        <w:rPr>
          <w:rFonts w:ascii="Palatino Linotype" w:eastAsia="Palatino Linotype" w:hAnsi="Palatino Linotype" w:cs="Palatino Linotype"/>
          <w:b/>
          <w:color w:val="000000"/>
        </w:rPr>
        <w:t xml:space="preserve"> </w:t>
      </w:r>
      <w:r w:rsidR="00187585" w:rsidRPr="00EB3E7E">
        <w:rPr>
          <w:rFonts w:ascii="Palatino Linotype" w:eastAsia="Palatino Linotype" w:hAnsi="Palatino Linotype" w:cs="Palatino Linotype"/>
          <w:color w:val="000000"/>
        </w:rPr>
        <w:t>fue omiso en remitir manifestaciones que a su derecho conviniera o asistirá</w:t>
      </w:r>
      <w:r w:rsidRPr="00EB3E7E">
        <w:rPr>
          <w:rFonts w:ascii="Palatino Linotype" w:eastAsia="Palatino Linotype" w:hAnsi="Palatino Linotype" w:cs="Palatino Linotype"/>
          <w:color w:val="000000"/>
        </w:rPr>
        <w:t>. Por su parte, el Sujeto Obligado,</w:t>
      </w:r>
      <w:r w:rsidRPr="00EB3E7E">
        <w:rPr>
          <w:rFonts w:ascii="Palatino Linotype" w:eastAsia="Palatino Linotype" w:hAnsi="Palatino Linotype" w:cs="Palatino Linotype"/>
          <w:b/>
          <w:color w:val="000000"/>
        </w:rPr>
        <w:t xml:space="preserve"> </w:t>
      </w:r>
      <w:r w:rsidR="001852B6" w:rsidRPr="00EB3E7E">
        <w:rPr>
          <w:rFonts w:ascii="Palatino Linotype" w:eastAsia="Palatino Linotype" w:hAnsi="Palatino Linotype" w:cs="Palatino Linotype"/>
          <w:color w:val="000000"/>
        </w:rPr>
        <w:t>no</w:t>
      </w:r>
      <w:r w:rsidRPr="00EB3E7E">
        <w:rPr>
          <w:rFonts w:ascii="Palatino Linotype" w:eastAsia="Palatino Linotype" w:hAnsi="Palatino Linotype" w:cs="Palatino Linotype"/>
          <w:b/>
          <w:color w:val="000000"/>
        </w:rPr>
        <w:t xml:space="preserve"> </w:t>
      </w:r>
      <w:r w:rsidRPr="00EB3E7E">
        <w:rPr>
          <w:rFonts w:ascii="Palatino Linotype" w:eastAsia="Palatino Linotype" w:hAnsi="Palatino Linotype" w:cs="Palatino Linotype"/>
          <w:color w:val="000000"/>
        </w:rPr>
        <w:t xml:space="preserve">presentó informe justificado </w:t>
      </w:r>
      <w:r w:rsidR="001852B6" w:rsidRPr="00EB3E7E">
        <w:rPr>
          <w:rFonts w:ascii="Palatino Linotype" w:eastAsia="Palatino Linotype" w:hAnsi="Palatino Linotype" w:cs="Palatino Linotype"/>
          <w:color w:val="000000"/>
        </w:rPr>
        <w:t>tal como se muestra en la imagen siguiente</w:t>
      </w:r>
      <w:r w:rsidRPr="00EB3E7E">
        <w:rPr>
          <w:rFonts w:ascii="Palatino Linotype" w:eastAsia="Palatino Linotype" w:hAnsi="Palatino Linotype" w:cs="Palatino Linotype"/>
          <w:color w:val="000000"/>
        </w:rPr>
        <w:t xml:space="preserve">: </w:t>
      </w:r>
    </w:p>
    <w:p w:rsidR="00185E28" w:rsidRPr="00EB3E7E" w:rsidRDefault="00185E28">
      <w:pPr>
        <w:pBdr>
          <w:top w:val="nil"/>
          <w:left w:val="nil"/>
          <w:bottom w:val="nil"/>
          <w:right w:val="nil"/>
          <w:between w:val="nil"/>
        </w:pBdr>
        <w:ind w:left="426" w:right="-79"/>
        <w:jc w:val="both"/>
        <w:rPr>
          <w:rFonts w:ascii="Palatino Linotype" w:eastAsia="Palatino Linotype" w:hAnsi="Palatino Linotype" w:cs="Palatino Linotype"/>
          <w:b/>
          <w:color w:val="000000"/>
        </w:rPr>
      </w:pPr>
    </w:p>
    <w:p w:rsidR="00BA3212" w:rsidRPr="00EB3E7E" w:rsidRDefault="001852B6" w:rsidP="006B320A">
      <w:pPr>
        <w:pBdr>
          <w:top w:val="nil"/>
          <w:left w:val="nil"/>
          <w:bottom w:val="nil"/>
          <w:right w:val="nil"/>
          <w:between w:val="nil"/>
        </w:pBdr>
        <w:ind w:right="-79"/>
        <w:jc w:val="center"/>
        <w:rPr>
          <w:rFonts w:ascii="Palatino Linotype" w:eastAsia="Palatino Linotype" w:hAnsi="Palatino Linotype" w:cs="Palatino Linotype"/>
          <w:color w:val="000000"/>
        </w:rPr>
      </w:pPr>
      <w:r w:rsidRPr="00EB3E7E">
        <w:rPr>
          <w:rFonts w:ascii="Palatino Linotype" w:eastAsia="Palatino Linotype" w:hAnsi="Palatino Linotype" w:cs="Palatino Linotype"/>
          <w:b/>
          <w:i/>
          <w:noProof/>
          <w:color w:val="000000"/>
          <w:lang w:val="es-MX"/>
        </w:rPr>
        <w:drawing>
          <wp:inline distT="0" distB="0" distL="0" distR="0" wp14:anchorId="0FB85A2B" wp14:editId="1F41E238">
            <wp:extent cx="5756275" cy="154749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56275" cy="1547495"/>
                    </a:xfrm>
                    <a:prstGeom prst="rect">
                      <a:avLst/>
                    </a:prstGeom>
                  </pic:spPr>
                </pic:pic>
              </a:graphicData>
            </a:graphic>
          </wp:inline>
        </w:drawing>
      </w:r>
    </w:p>
    <w:p w:rsidR="00EA649F" w:rsidRDefault="00EA649F" w:rsidP="00C97B44">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rsidR="00EB3E7E" w:rsidRPr="00EB3E7E" w:rsidRDefault="00EB3E7E" w:rsidP="00C97B44">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rsidR="00185E28" w:rsidRPr="00EB3E7E" w:rsidRDefault="00444197">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color w:val="000000"/>
        </w:rPr>
      </w:pPr>
      <w:bookmarkStart w:id="4" w:name="_heading=h.3znysh7" w:colFirst="0" w:colLast="0"/>
      <w:bookmarkEnd w:id="4"/>
      <w:r w:rsidRPr="00EB3E7E">
        <w:rPr>
          <w:rFonts w:ascii="Palatino Linotype" w:eastAsia="Palatino Linotype" w:hAnsi="Palatino Linotype" w:cs="Palatino Linotype"/>
          <w:color w:val="000000"/>
        </w:rPr>
        <w:t>En fecha</w:t>
      </w:r>
      <w:r w:rsidRPr="00EB3E7E">
        <w:rPr>
          <w:rFonts w:ascii="Palatino Linotype" w:eastAsia="Palatino Linotype" w:hAnsi="Palatino Linotype" w:cs="Palatino Linotype"/>
          <w:b/>
          <w:color w:val="000000"/>
        </w:rPr>
        <w:t xml:space="preserve"> </w:t>
      </w:r>
      <w:r w:rsidR="001852B6" w:rsidRPr="00EB3E7E">
        <w:rPr>
          <w:rFonts w:ascii="Palatino Linotype" w:eastAsia="Palatino Linotype" w:hAnsi="Palatino Linotype" w:cs="Palatino Linotype"/>
          <w:b/>
          <w:color w:val="000000"/>
        </w:rPr>
        <w:t>doce de enero de dos mil veintiséis</w:t>
      </w:r>
      <w:r w:rsidRPr="00EB3E7E">
        <w:rPr>
          <w:rFonts w:ascii="Palatino Linotype" w:eastAsia="Palatino Linotype" w:hAnsi="Palatino Linotype" w:cs="Palatino Linotype"/>
          <w:color w:val="000000"/>
        </w:rPr>
        <w:t xml:space="preserve">, se acordó </w:t>
      </w:r>
      <w:r w:rsidRPr="00EB3E7E">
        <w:rPr>
          <w:rFonts w:ascii="Palatino Linotype" w:eastAsia="Palatino Linotype" w:hAnsi="Palatino Linotype" w:cs="Palatino Linotype"/>
          <w:b/>
          <w:color w:val="000000"/>
        </w:rPr>
        <w:t xml:space="preserve">ampliar el </w:t>
      </w:r>
      <w:r w:rsidRPr="00EB3E7E">
        <w:rPr>
          <w:rFonts w:ascii="Palatino Linotype" w:eastAsia="Palatino Linotype" w:hAnsi="Palatino Linotype" w:cs="Palatino Linotype"/>
          <w:b/>
        </w:rPr>
        <w:t>plazo</w:t>
      </w:r>
      <w:r w:rsidRPr="00EB3E7E">
        <w:rPr>
          <w:rFonts w:ascii="Palatino Linotype" w:eastAsia="Palatino Linotype" w:hAnsi="Palatino Linotype" w:cs="Palatino Linotype"/>
          <w:color w:val="000000"/>
        </w:rPr>
        <w:t xml:space="preserve"> para resolver el presente Recurso de Revisión.</w:t>
      </w:r>
    </w:p>
    <w:p w:rsidR="00055E5F" w:rsidRPr="00EB3E7E" w:rsidRDefault="00055E5F" w:rsidP="00055E5F">
      <w:pPr>
        <w:pBdr>
          <w:top w:val="nil"/>
          <w:left w:val="nil"/>
          <w:bottom w:val="nil"/>
          <w:right w:val="nil"/>
          <w:between w:val="nil"/>
        </w:pBdr>
        <w:spacing w:line="360" w:lineRule="auto"/>
        <w:ind w:right="-787"/>
        <w:jc w:val="both"/>
        <w:rPr>
          <w:rFonts w:ascii="Palatino Linotype" w:eastAsia="Palatino Linotype" w:hAnsi="Palatino Linotype" w:cs="Palatino Linotype"/>
          <w:b/>
          <w:color w:val="000000"/>
        </w:rPr>
      </w:pPr>
    </w:p>
    <w:p w:rsidR="00185E28" w:rsidRPr="00EB3E7E" w:rsidRDefault="00444197">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color w:val="000000"/>
        </w:rPr>
      </w:pPr>
      <w:r w:rsidRPr="00EB3E7E">
        <w:rPr>
          <w:rFonts w:ascii="Palatino Linotype" w:eastAsia="Palatino Linotype" w:hAnsi="Palatino Linotype" w:cs="Palatino Linotype"/>
          <w:color w:val="000000"/>
        </w:rPr>
        <w:t xml:space="preserve">Seguidamente, en fecha </w:t>
      </w:r>
      <w:r w:rsidR="001852B6" w:rsidRPr="00EB3E7E">
        <w:rPr>
          <w:rFonts w:ascii="Palatino Linotype" w:eastAsia="Palatino Linotype" w:hAnsi="Palatino Linotype" w:cs="Palatino Linotype"/>
          <w:b/>
          <w:color w:val="000000"/>
        </w:rPr>
        <w:t>trece de abril de dos mil veintiséis</w:t>
      </w:r>
      <w:r w:rsidRPr="00EB3E7E">
        <w:rPr>
          <w:rFonts w:ascii="Palatino Linotype" w:eastAsia="Palatino Linotype" w:hAnsi="Palatino Linotype" w:cs="Palatino Linotype"/>
          <w:color w:val="000000"/>
        </w:rPr>
        <w:t xml:space="preserve">, la Comisionada Ponente dictó el </w:t>
      </w:r>
      <w:r w:rsidRPr="00EB3E7E">
        <w:rPr>
          <w:rFonts w:ascii="Palatino Linotype" w:eastAsia="Palatino Linotype" w:hAnsi="Palatino Linotype" w:cs="Palatino Linotype"/>
          <w:b/>
          <w:color w:val="000000"/>
        </w:rPr>
        <w:t>cierre del periodo de instrucción</w:t>
      </w:r>
      <w:r w:rsidRPr="00EB3E7E">
        <w:rPr>
          <w:rFonts w:ascii="Palatino Linotype" w:eastAsia="Palatino Linotype" w:hAnsi="Palatino Linotype" w:cs="Palatino Linotype"/>
          <w:color w:val="000000"/>
        </w:rPr>
        <w:t xml:space="preserve"> y, ordenó la resolución que conforme a Derecho proceda:</w:t>
      </w:r>
    </w:p>
    <w:p w:rsidR="00185E28" w:rsidRPr="00EB3E7E" w:rsidRDefault="00185E28">
      <w:pPr>
        <w:pBdr>
          <w:top w:val="nil"/>
          <w:left w:val="nil"/>
          <w:bottom w:val="nil"/>
          <w:right w:val="nil"/>
          <w:between w:val="nil"/>
        </w:pBdr>
        <w:ind w:left="720" w:right="-787"/>
        <w:rPr>
          <w:rFonts w:ascii="Palatino Linotype" w:eastAsia="Palatino Linotype" w:hAnsi="Palatino Linotype" w:cs="Palatino Linotype"/>
          <w:b/>
          <w:color w:val="000000"/>
        </w:rPr>
      </w:pPr>
    </w:p>
    <w:p w:rsidR="00185E28" w:rsidRPr="00EB3E7E" w:rsidRDefault="00444197">
      <w:pPr>
        <w:keepNext/>
        <w:keepLines/>
        <w:spacing w:line="360" w:lineRule="auto"/>
        <w:jc w:val="center"/>
        <w:rPr>
          <w:rFonts w:ascii="Palatino Linotype" w:eastAsia="Palatino Linotype" w:hAnsi="Palatino Linotype" w:cs="Palatino Linotype"/>
          <w:b/>
        </w:rPr>
      </w:pPr>
      <w:r w:rsidRPr="00EB3E7E">
        <w:rPr>
          <w:rFonts w:ascii="Palatino Linotype" w:eastAsia="Palatino Linotype" w:hAnsi="Palatino Linotype" w:cs="Palatino Linotype"/>
          <w:b/>
        </w:rPr>
        <w:t xml:space="preserve">C O N S I D E R A N D O </w:t>
      </w:r>
    </w:p>
    <w:p w:rsidR="00185E28" w:rsidRPr="00EB3E7E" w:rsidRDefault="00185E28">
      <w:pPr>
        <w:spacing w:line="360" w:lineRule="auto"/>
        <w:rPr>
          <w:rFonts w:ascii="Palatino Linotype" w:eastAsia="Palatino Linotype" w:hAnsi="Palatino Linotype" w:cs="Palatino Linotype"/>
        </w:rPr>
      </w:pPr>
    </w:p>
    <w:p w:rsidR="00185E28" w:rsidRPr="00EB3E7E" w:rsidRDefault="00444197">
      <w:pPr>
        <w:keepNext/>
        <w:keepLines/>
        <w:spacing w:line="360" w:lineRule="auto"/>
        <w:rPr>
          <w:rFonts w:ascii="Palatino Linotype" w:eastAsia="Palatino Linotype" w:hAnsi="Palatino Linotype" w:cs="Palatino Linotype"/>
          <w:b/>
        </w:rPr>
      </w:pPr>
      <w:r w:rsidRPr="00EB3E7E">
        <w:rPr>
          <w:rFonts w:ascii="Palatino Linotype" w:eastAsia="Palatino Linotype" w:hAnsi="Palatino Linotype" w:cs="Palatino Linotype"/>
          <w:b/>
        </w:rPr>
        <w:t>PRIMERO. De la competencia</w:t>
      </w:r>
    </w:p>
    <w:p w:rsidR="00185E28" w:rsidRPr="00EB3E7E" w:rsidRDefault="00444197">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EB3E7E">
        <w:rPr>
          <w:rFonts w:ascii="Palatino Linotype" w:eastAsia="Palatino Linotype" w:hAnsi="Palatino Linotype" w:cs="Palatino Linotype"/>
          <w:color w:val="000000"/>
        </w:rPr>
        <w:t xml:space="preserve">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w:t>
      </w:r>
      <w:r w:rsidR="00FC4800" w:rsidRPr="00EB3E7E">
        <w:rPr>
          <w:rFonts w:ascii="Palatino Linotype" w:eastAsia="Palatino Linotype" w:hAnsi="Palatino Linotype" w:cs="Palatino Linotype"/>
          <w:color w:val="000000"/>
        </w:rPr>
        <w:t xml:space="preserve">cuadragésimo </w:t>
      </w:r>
      <w:r w:rsidR="00C85DE4" w:rsidRPr="00EB3E7E">
        <w:rPr>
          <w:rFonts w:ascii="Palatino Linotype" w:eastAsia="Palatino Linotype" w:hAnsi="Palatino Linotype" w:cs="Palatino Linotype"/>
          <w:color w:val="000000"/>
        </w:rPr>
        <w:t>cuarto, cuadragésimo quinto y cuadragésimo sexto</w:t>
      </w:r>
      <w:r w:rsidRPr="00EB3E7E">
        <w:rPr>
          <w:rFonts w:ascii="Palatino Linotype" w:eastAsia="Palatino Linotype" w:hAnsi="Palatino Linotype" w:cs="Palatino Linotype"/>
          <w:color w:val="000000"/>
        </w:rPr>
        <w:t xml:space="preserve">, fracciones IV y V, de la </w:t>
      </w:r>
      <w:r w:rsidRPr="00EB3E7E">
        <w:rPr>
          <w:rFonts w:ascii="Palatino Linotype" w:eastAsia="Palatino Linotype" w:hAnsi="Palatino Linotype" w:cs="Palatino Linotype"/>
          <w:color w:val="000000"/>
        </w:rPr>
        <w:lastRenderedPageBreak/>
        <w:t>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185E28" w:rsidRPr="00EB3E7E" w:rsidRDefault="00185E28">
      <w:pPr>
        <w:tabs>
          <w:tab w:val="left" w:pos="426"/>
        </w:tabs>
        <w:spacing w:line="360" w:lineRule="auto"/>
        <w:jc w:val="both"/>
        <w:rPr>
          <w:rFonts w:ascii="Palatino Linotype" w:eastAsia="Palatino Linotype" w:hAnsi="Palatino Linotype" w:cs="Palatino Linotype"/>
          <w:color w:val="000000"/>
        </w:rPr>
      </w:pPr>
    </w:p>
    <w:p w:rsidR="00185E28" w:rsidRPr="00EB3E7E" w:rsidRDefault="00444197">
      <w:pPr>
        <w:keepNext/>
        <w:keepLines/>
        <w:spacing w:line="360" w:lineRule="auto"/>
        <w:rPr>
          <w:rFonts w:ascii="Palatino Linotype" w:eastAsia="Palatino Linotype" w:hAnsi="Palatino Linotype" w:cs="Palatino Linotype"/>
          <w:b/>
        </w:rPr>
      </w:pPr>
      <w:r w:rsidRPr="00EB3E7E">
        <w:rPr>
          <w:rFonts w:ascii="Palatino Linotype" w:eastAsia="Palatino Linotype" w:hAnsi="Palatino Linotype" w:cs="Palatino Linotype"/>
          <w:b/>
        </w:rPr>
        <w:t>SEGUNDO. De la oportunidad y procedencia.</w:t>
      </w:r>
    </w:p>
    <w:p w:rsidR="00185E28" w:rsidRPr="00EB3E7E" w:rsidRDefault="00444197">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EB3E7E">
        <w:rPr>
          <w:rFonts w:ascii="Palatino Linotype" w:eastAsia="Palatino Linotype" w:hAnsi="Palatino Linotype" w:cs="Palatino Linotype"/>
        </w:rPr>
        <w:t xml:space="preserve">El medio de impugnación fue presentado a través del </w:t>
      </w:r>
      <w:r w:rsidRPr="00EB3E7E">
        <w:rPr>
          <w:rFonts w:ascii="Palatino Linotype" w:eastAsia="Palatino Linotype" w:hAnsi="Palatino Linotype" w:cs="Palatino Linotype"/>
          <w:b/>
        </w:rPr>
        <w:t>SAIMEX,</w:t>
      </w:r>
      <w:r w:rsidRPr="00EB3E7E">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sidRPr="00EB3E7E">
        <w:rPr>
          <w:rFonts w:ascii="Palatino Linotype" w:eastAsia="Palatino Linotype" w:hAnsi="Palatino Linotype" w:cs="Palatino Linotype"/>
          <w:b/>
        </w:rPr>
        <w:t>SUJETO OBLIGADO</w:t>
      </w:r>
      <w:r w:rsidRPr="00EB3E7E">
        <w:rPr>
          <w:rFonts w:ascii="Palatino Linotype" w:eastAsia="Palatino Linotype" w:hAnsi="Palatino Linotype" w:cs="Palatino Linotype"/>
        </w:rPr>
        <w:t xml:space="preserve"> entregó respuesta el </w:t>
      </w:r>
      <w:r w:rsidR="00630A93" w:rsidRPr="00EB3E7E">
        <w:rPr>
          <w:rFonts w:ascii="Palatino Linotype" w:eastAsia="Palatino Linotype" w:hAnsi="Palatino Linotype" w:cs="Palatino Linotype"/>
          <w:b/>
        </w:rPr>
        <w:t>veintidós</w:t>
      </w:r>
      <w:r w:rsidR="00FE0FC3" w:rsidRPr="00EB3E7E">
        <w:rPr>
          <w:rFonts w:ascii="Palatino Linotype" w:eastAsia="Palatino Linotype" w:hAnsi="Palatino Linotype" w:cs="Palatino Linotype"/>
          <w:b/>
        </w:rPr>
        <w:t xml:space="preserve"> de octubre</w:t>
      </w:r>
      <w:r w:rsidR="00453C0E" w:rsidRPr="00EB3E7E">
        <w:rPr>
          <w:rFonts w:ascii="Palatino Linotype" w:eastAsia="Palatino Linotype" w:hAnsi="Palatino Linotype" w:cs="Palatino Linotype"/>
          <w:b/>
        </w:rPr>
        <w:t xml:space="preserve"> de</w:t>
      </w:r>
      <w:r w:rsidRPr="00EB3E7E">
        <w:rPr>
          <w:rFonts w:ascii="Palatino Linotype" w:eastAsia="Palatino Linotype" w:hAnsi="Palatino Linotype" w:cs="Palatino Linotype"/>
          <w:b/>
        </w:rPr>
        <w:t xml:space="preserve"> dos mil veinticinco</w:t>
      </w:r>
      <w:r w:rsidRPr="00EB3E7E">
        <w:rPr>
          <w:rFonts w:ascii="Palatino Linotype" w:eastAsia="Palatino Linotype" w:hAnsi="Palatino Linotype" w:cs="Palatino Linotype"/>
        </w:rPr>
        <w:t xml:space="preserve">, de tal forma que el plazo para interponer el recurso transcurrió del </w:t>
      </w:r>
      <w:r w:rsidR="00630A93" w:rsidRPr="00EB3E7E">
        <w:rPr>
          <w:rFonts w:ascii="Palatino Linotype" w:eastAsia="Palatino Linotype" w:hAnsi="Palatino Linotype" w:cs="Palatino Linotype"/>
          <w:b/>
        </w:rPr>
        <w:t>veintitrés</w:t>
      </w:r>
      <w:r w:rsidR="00FE0FC3" w:rsidRPr="00EB3E7E">
        <w:rPr>
          <w:rFonts w:ascii="Palatino Linotype" w:eastAsia="Palatino Linotype" w:hAnsi="Palatino Linotype" w:cs="Palatino Linotype"/>
          <w:b/>
        </w:rPr>
        <w:t xml:space="preserve"> de octubre</w:t>
      </w:r>
      <w:r w:rsidR="00630A93" w:rsidRPr="00EB3E7E">
        <w:rPr>
          <w:rFonts w:ascii="Palatino Linotype" w:eastAsia="Palatino Linotype" w:hAnsi="Palatino Linotype" w:cs="Palatino Linotype"/>
          <w:b/>
        </w:rPr>
        <w:t xml:space="preserve"> al doce de noviembre</w:t>
      </w:r>
      <w:r w:rsidRPr="00EB3E7E">
        <w:rPr>
          <w:rFonts w:ascii="Palatino Linotype" w:eastAsia="Palatino Linotype" w:hAnsi="Palatino Linotype" w:cs="Palatino Linotype"/>
          <w:b/>
        </w:rPr>
        <w:t xml:space="preserve"> dos mil veinticinco, </w:t>
      </w:r>
      <w:r w:rsidRPr="00EB3E7E">
        <w:rPr>
          <w:rFonts w:ascii="Palatino Linotype" w:eastAsia="Palatino Linotype" w:hAnsi="Palatino Linotype" w:cs="Palatino Linotype"/>
        </w:rPr>
        <w:t xml:space="preserve">en consecuencia, si el </w:t>
      </w:r>
      <w:r w:rsidRPr="00EB3E7E">
        <w:rPr>
          <w:rFonts w:ascii="Palatino Linotype" w:eastAsia="Palatino Linotype" w:hAnsi="Palatino Linotype" w:cs="Palatino Linotype"/>
          <w:b/>
        </w:rPr>
        <w:t>PARTICULAR</w:t>
      </w:r>
      <w:r w:rsidRPr="00EB3E7E">
        <w:rPr>
          <w:rFonts w:ascii="Palatino Linotype" w:eastAsia="Palatino Linotype" w:hAnsi="Palatino Linotype" w:cs="Palatino Linotype"/>
        </w:rPr>
        <w:t xml:space="preserve"> presentó su inconformidad el </w:t>
      </w:r>
      <w:r w:rsidR="00630A93" w:rsidRPr="00EB3E7E">
        <w:rPr>
          <w:rFonts w:ascii="Palatino Linotype" w:eastAsia="Palatino Linotype" w:hAnsi="Palatino Linotype" w:cs="Palatino Linotype"/>
          <w:b/>
        </w:rPr>
        <w:t>seis de noviembre</w:t>
      </w:r>
      <w:r w:rsidRPr="00EB3E7E">
        <w:rPr>
          <w:rFonts w:ascii="Palatino Linotype" w:eastAsia="Palatino Linotype" w:hAnsi="Palatino Linotype" w:cs="Palatino Linotype"/>
          <w:b/>
        </w:rPr>
        <w:t xml:space="preserve"> de dos mil veinticinco</w:t>
      </w:r>
      <w:r w:rsidRPr="00EB3E7E">
        <w:rPr>
          <w:rFonts w:ascii="Palatino Linotype" w:eastAsia="Palatino Linotype" w:hAnsi="Palatino Linotype" w:cs="Palatino Linotype"/>
        </w:rPr>
        <w:t xml:space="preserve">, este  se encuentra dentro de los márgenes temporales previstos en el artículo 178 de la </w:t>
      </w:r>
      <w:r w:rsidRPr="00EB3E7E">
        <w:rPr>
          <w:rFonts w:ascii="Palatino Linotype" w:eastAsia="Palatino Linotype" w:hAnsi="Palatino Linotype" w:cs="Palatino Linotype"/>
          <w:b/>
        </w:rPr>
        <w:t xml:space="preserve">Ley de Transparencia y Acceso a la Información Pública del Estado de México y Municipios </w:t>
      </w:r>
      <w:r w:rsidRPr="00EB3E7E">
        <w:rPr>
          <w:rFonts w:ascii="Palatino Linotype" w:eastAsia="Palatino Linotype" w:hAnsi="Palatino Linotype" w:cs="Palatino Linotype"/>
        </w:rPr>
        <w:t xml:space="preserve">vigente. </w:t>
      </w:r>
    </w:p>
    <w:p w:rsidR="00185E28" w:rsidRPr="00EB3E7E" w:rsidRDefault="00185E28">
      <w:pPr>
        <w:spacing w:line="360" w:lineRule="auto"/>
        <w:ind w:right="49"/>
        <w:jc w:val="both"/>
        <w:rPr>
          <w:rFonts w:ascii="Palatino Linotype" w:eastAsia="Palatino Linotype" w:hAnsi="Palatino Linotype" w:cs="Palatino Linotype"/>
        </w:rPr>
      </w:pPr>
      <w:bookmarkStart w:id="5" w:name="_heading=h.2et92p0" w:colFirst="0" w:colLast="0"/>
      <w:bookmarkEnd w:id="5"/>
    </w:p>
    <w:p w:rsidR="00185E28" w:rsidRPr="00EB3E7E" w:rsidRDefault="00444197">
      <w:pPr>
        <w:pStyle w:val="Ttulo2"/>
        <w:rPr>
          <w:rFonts w:ascii="Palatino Linotype" w:eastAsia="Palatino Linotype" w:hAnsi="Palatino Linotype" w:cs="Palatino Linotype"/>
          <w:b/>
          <w:i/>
          <w:color w:val="000000"/>
          <w:sz w:val="24"/>
          <w:szCs w:val="24"/>
        </w:rPr>
      </w:pPr>
      <w:r w:rsidRPr="00EB3E7E">
        <w:rPr>
          <w:rFonts w:ascii="Palatino Linotype" w:eastAsia="Palatino Linotype" w:hAnsi="Palatino Linotype" w:cs="Palatino Linotype"/>
          <w:b/>
          <w:color w:val="000000"/>
          <w:sz w:val="24"/>
          <w:szCs w:val="24"/>
        </w:rPr>
        <w:t xml:space="preserve">TERCERO. Del planteamiento de la </w:t>
      </w:r>
      <w:r w:rsidRPr="00EB3E7E">
        <w:rPr>
          <w:rFonts w:ascii="Palatino Linotype" w:eastAsia="Palatino Linotype" w:hAnsi="Palatino Linotype" w:cs="Palatino Linotype"/>
          <w:b/>
          <w:i/>
          <w:color w:val="000000"/>
          <w:sz w:val="24"/>
          <w:szCs w:val="24"/>
        </w:rPr>
        <w:t>Litis.</w:t>
      </w:r>
    </w:p>
    <w:p w:rsidR="00185E28" w:rsidRPr="00EB3E7E" w:rsidRDefault="00444197">
      <w:pPr>
        <w:numPr>
          <w:ilvl w:val="0"/>
          <w:numId w:val="2"/>
        </w:numPr>
        <w:spacing w:line="360" w:lineRule="auto"/>
        <w:ind w:left="0" w:right="-787" w:firstLine="0"/>
        <w:jc w:val="both"/>
        <w:rPr>
          <w:rFonts w:ascii="Palatino Linotype" w:eastAsia="Palatino Linotype" w:hAnsi="Palatino Linotype" w:cs="Palatino Linotype"/>
          <w:color w:val="000000"/>
        </w:rPr>
      </w:pPr>
      <w:r w:rsidRPr="00EB3E7E">
        <w:rPr>
          <w:rFonts w:ascii="Palatino Linotype" w:eastAsia="Palatino Linotype" w:hAnsi="Palatino Linotype" w:cs="Palatino Linotype"/>
          <w:color w:val="000000"/>
        </w:rPr>
        <w:t>Se solicitó tener acceso, a la información que a continuación se simplifica:</w:t>
      </w:r>
    </w:p>
    <w:p w:rsidR="003166C7" w:rsidRPr="00EB3E7E" w:rsidRDefault="003166C7" w:rsidP="003166C7"/>
    <w:p w:rsidR="002138CD" w:rsidRPr="00EB3E7E" w:rsidRDefault="00081C6D" w:rsidP="00081C6D">
      <w:pPr>
        <w:pStyle w:val="Prrafodelista"/>
        <w:numPr>
          <w:ilvl w:val="0"/>
          <w:numId w:val="7"/>
        </w:numPr>
        <w:pBdr>
          <w:top w:val="nil"/>
          <w:left w:val="nil"/>
          <w:bottom w:val="nil"/>
          <w:right w:val="nil"/>
          <w:between w:val="nil"/>
        </w:pBdr>
        <w:ind w:left="993" w:right="-149"/>
        <w:jc w:val="both"/>
        <w:rPr>
          <w:rFonts w:ascii="Palatino Linotype" w:eastAsia="Palatino Linotype" w:hAnsi="Palatino Linotype" w:cs="Palatino Linotype"/>
          <w:i/>
          <w:color w:val="000000"/>
        </w:rPr>
      </w:pPr>
      <w:r w:rsidRPr="00EB3E7E">
        <w:rPr>
          <w:rFonts w:ascii="Palatino Linotype" w:eastAsia="Palatino Linotype" w:hAnsi="Palatino Linotype" w:cs="Palatino Linotype"/>
          <w:i/>
          <w:color w:val="000000"/>
        </w:rPr>
        <w:t>De la servidora pública referida en la solicitud de información:</w:t>
      </w:r>
    </w:p>
    <w:p w:rsidR="00081C6D" w:rsidRPr="00EB3E7E" w:rsidRDefault="00081C6D" w:rsidP="00081C6D">
      <w:pPr>
        <w:pStyle w:val="Prrafodelista"/>
        <w:numPr>
          <w:ilvl w:val="0"/>
          <w:numId w:val="6"/>
        </w:numPr>
        <w:pBdr>
          <w:top w:val="nil"/>
          <w:left w:val="nil"/>
          <w:bottom w:val="nil"/>
          <w:right w:val="nil"/>
          <w:between w:val="nil"/>
        </w:pBdr>
        <w:ind w:right="-149"/>
        <w:jc w:val="both"/>
        <w:rPr>
          <w:rFonts w:ascii="Palatino Linotype" w:eastAsia="Palatino Linotype" w:hAnsi="Palatino Linotype" w:cs="Palatino Linotype"/>
          <w:i/>
          <w:color w:val="000000"/>
        </w:rPr>
      </w:pPr>
      <w:r w:rsidRPr="00EB3E7E">
        <w:rPr>
          <w:rFonts w:ascii="Palatino Linotype" w:eastAsia="Palatino Linotype" w:hAnsi="Palatino Linotype" w:cs="Palatino Linotype"/>
          <w:i/>
          <w:color w:val="000000"/>
        </w:rPr>
        <w:t>¿Por qué se ausento en días laborables de su lugar de trabajo, específicamente los días 1, 2 y 3 de Octubre del año 2025?</w:t>
      </w:r>
    </w:p>
    <w:p w:rsidR="0070201F" w:rsidRPr="00EB3E7E" w:rsidRDefault="00081C6D" w:rsidP="0070201F">
      <w:pPr>
        <w:pStyle w:val="Prrafodelista"/>
        <w:numPr>
          <w:ilvl w:val="0"/>
          <w:numId w:val="6"/>
        </w:numPr>
        <w:pBdr>
          <w:top w:val="nil"/>
          <w:left w:val="nil"/>
          <w:bottom w:val="nil"/>
          <w:right w:val="nil"/>
          <w:between w:val="nil"/>
        </w:pBdr>
        <w:ind w:right="-149"/>
        <w:jc w:val="both"/>
        <w:rPr>
          <w:rFonts w:ascii="Palatino Linotype" w:eastAsia="Palatino Linotype" w:hAnsi="Palatino Linotype" w:cs="Palatino Linotype"/>
          <w:i/>
          <w:color w:val="000000"/>
        </w:rPr>
      </w:pPr>
      <w:r w:rsidRPr="00EB3E7E">
        <w:rPr>
          <w:rFonts w:ascii="Palatino Linotype" w:eastAsia="Palatino Linotype" w:hAnsi="Palatino Linotype" w:cs="Palatino Linotype"/>
          <w:i/>
          <w:color w:val="000000"/>
        </w:rPr>
        <w:t>¿Se hicieron sus descuentos y deducciones correspondientes?</w:t>
      </w:r>
    </w:p>
    <w:p w:rsidR="002138CD" w:rsidRPr="00EB3E7E" w:rsidRDefault="00403C32" w:rsidP="0070201F">
      <w:pPr>
        <w:pStyle w:val="Prrafodelista"/>
        <w:pBdr>
          <w:top w:val="nil"/>
          <w:left w:val="nil"/>
          <w:bottom w:val="nil"/>
          <w:right w:val="nil"/>
          <w:between w:val="nil"/>
        </w:pBdr>
        <w:ind w:left="1287" w:right="-149"/>
        <w:jc w:val="both"/>
        <w:rPr>
          <w:rFonts w:ascii="Palatino Linotype" w:eastAsia="Palatino Linotype" w:hAnsi="Palatino Linotype" w:cs="Palatino Linotype"/>
          <w:i/>
          <w:color w:val="000000"/>
        </w:rPr>
      </w:pPr>
      <w:r w:rsidRPr="00EB3E7E">
        <w:rPr>
          <w:rFonts w:ascii="Palatino Linotype" w:eastAsia="Palatino Linotype" w:hAnsi="Palatino Linotype" w:cs="Palatino Linotype"/>
          <w:i/>
          <w:color w:val="000000"/>
        </w:rPr>
        <w:t xml:space="preserve"> </w:t>
      </w:r>
    </w:p>
    <w:p w:rsidR="00E02009" w:rsidRPr="00EB3E7E" w:rsidRDefault="00E02009" w:rsidP="00E02009">
      <w:pPr>
        <w:pBdr>
          <w:top w:val="nil"/>
          <w:left w:val="nil"/>
          <w:bottom w:val="nil"/>
          <w:right w:val="nil"/>
          <w:between w:val="nil"/>
        </w:pBdr>
        <w:ind w:left="1440" w:right="-788"/>
        <w:jc w:val="both"/>
        <w:rPr>
          <w:rFonts w:ascii="Palatino Linotype" w:eastAsia="Palatino Linotype" w:hAnsi="Palatino Linotype" w:cs="Palatino Linotype"/>
          <w:color w:val="000000"/>
        </w:rPr>
      </w:pPr>
    </w:p>
    <w:p w:rsidR="00185E28" w:rsidRPr="00EB3E7E" w:rsidRDefault="00444197">
      <w:pPr>
        <w:numPr>
          <w:ilvl w:val="0"/>
          <w:numId w:val="2"/>
        </w:numPr>
        <w:spacing w:line="360" w:lineRule="auto"/>
        <w:ind w:left="0" w:right="-787" w:firstLine="0"/>
        <w:jc w:val="both"/>
        <w:rPr>
          <w:rFonts w:ascii="Palatino Linotype" w:eastAsia="Palatino Linotype" w:hAnsi="Palatino Linotype" w:cs="Palatino Linotype"/>
          <w:color w:val="000000"/>
        </w:rPr>
      </w:pPr>
      <w:r w:rsidRPr="00EB3E7E">
        <w:rPr>
          <w:rFonts w:ascii="Palatino Linotype" w:eastAsia="Palatino Linotype" w:hAnsi="Palatino Linotype" w:cs="Palatino Linotype"/>
        </w:rPr>
        <w:lastRenderedPageBreak/>
        <w:t>En respuesta, el Sujeto Obligado</w:t>
      </w:r>
      <w:r w:rsidRPr="00EB3E7E">
        <w:rPr>
          <w:rFonts w:ascii="Palatino Linotype" w:eastAsia="Palatino Linotype" w:hAnsi="Palatino Linotype" w:cs="Palatino Linotype"/>
          <w:b/>
        </w:rPr>
        <w:t xml:space="preserve"> </w:t>
      </w:r>
      <w:r w:rsidRPr="00EB3E7E">
        <w:rPr>
          <w:rFonts w:ascii="Palatino Linotype" w:eastAsia="Palatino Linotype" w:hAnsi="Palatino Linotype" w:cs="Palatino Linotype"/>
        </w:rPr>
        <w:t>remitió el archivo ya de</w:t>
      </w:r>
      <w:r w:rsidR="00E90840" w:rsidRPr="00EB3E7E">
        <w:rPr>
          <w:rFonts w:ascii="Palatino Linotype" w:eastAsia="Palatino Linotype" w:hAnsi="Palatino Linotype" w:cs="Palatino Linotype"/>
        </w:rPr>
        <w:t>scrito en el anterior párrafo 2</w:t>
      </w:r>
      <w:r w:rsidRPr="00EB3E7E">
        <w:rPr>
          <w:rFonts w:ascii="Palatino Linotype" w:eastAsia="Palatino Linotype" w:hAnsi="Palatino Linotype" w:cs="Palatino Linotype"/>
        </w:rPr>
        <w:t xml:space="preserve">, inconforme con la respuesta, se interpuso recurso de revisión argumentando sustancialmente </w:t>
      </w:r>
      <w:r w:rsidR="00E90840" w:rsidRPr="00EB3E7E">
        <w:rPr>
          <w:rFonts w:ascii="Palatino Linotype" w:eastAsia="Palatino Linotype" w:hAnsi="Palatino Linotype" w:cs="Palatino Linotype"/>
        </w:rPr>
        <w:t xml:space="preserve">que </w:t>
      </w:r>
      <w:r w:rsidR="004157A8" w:rsidRPr="00EB3E7E">
        <w:rPr>
          <w:rFonts w:ascii="Palatino Linotype" w:eastAsia="Palatino Linotype" w:hAnsi="Palatino Linotype" w:cs="Palatino Linotype"/>
        </w:rPr>
        <w:t>la respuesta no se relaciona con la información solicitada</w:t>
      </w:r>
      <w:r w:rsidR="00FC5286" w:rsidRPr="00EB3E7E">
        <w:rPr>
          <w:rFonts w:ascii="Palatino Linotype" w:eastAsia="Palatino Linotype" w:hAnsi="Palatino Linotype" w:cs="Palatino Linotype"/>
        </w:rPr>
        <w:t>.</w:t>
      </w:r>
    </w:p>
    <w:p w:rsidR="00185E28" w:rsidRPr="00EB3E7E" w:rsidRDefault="00185E28">
      <w:pPr>
        <w:ind w:left="720" w:right="-788"/>
        <w:jc w:val="both"/>
        <w:rPr>
          <w:rFonts w:ascii="Palatino Linotype" w:eastAsia="Palatino Linotype" w:hAnsi="Palatino Linotype" w:cs="Palatino Linotype"/>
          <w:i/>
          <w:color w:val="000000"/>
        </w:rPr>
      </w:pPr>
    </w:p>
    <w:p w:rsidR="00185E28" w:rsidRPr="00EB3E7E" w:rsidRDefault="00444197">
      <w:pPr>
        <w:numPr>
          <w:ilvl w:val="0"/>
          <w:numId w:val="2"/>
        </w:numPr>
        <w:spacing w:line="360" w:lineRule="auto"/>
        <w:ind w:left="0" w:right="-787" w:firstLine="0"/>
        <w:jc w:val="both"/>
        <w:rPr>
          <w:rFonts w:ascii="Palatino Linotype" w:eastAsia="Palatino Linotype" w:hAnsi="Palatino Linotype" w:cs="Palatino Linotype"/>
        </w:rPr>
      </w:pPr>
      <w:r w:rsidRPr="00EB3E7E">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artículo </w:t>
      </w:r>
      <w:r w:rsidRPr="00EB3E7E">
        <w:rPr>
          <w:rFonts w:ascii="Palatino Linotype" w:eastAsia="Palatino Linotype" w:hAnsi="Palatino Linotype" w:cs="Palatino Linotype"/>
          <w:b/>
        </w:rPr>
        <w:t xml:space="preserve">179, fracción </w:t>
      </w:r>
      <w:r w:rsidR="006A47DE" w:rsidRPr="00EB3E7E">
        <w:rPr>
          <w:rFonts w:ascii="Palatino Linotype" w:eastAsia="Palatino Linotype" w:hAnsi="Palatino Linotype" w:cs="Palatino Linotype"/>
          <w:b/>
        </w:rPr>
        <w:t>V</w:t>
      </w:r>
      <w:r w:rsidR="0064467B" w:rsidRPr="00EB3E7E">
        <w:rPr>
          <w:rFonts w:ascii="Palatino Linotype" w:eastAsia="Palatino Linotype" w:hAnsi="Palatino Linotype" w:cs="Palatino Linotype"/>
          <w:b/>
        </w:rPr>
        <w:t>I</w:t>
      </w:r>
      <w:r w:rsidRPr="00EB3E7E">
        <w:rPr>
          <w:rFonts w:ascii="Palatino Linotype" w:eastAsia="Palatino Linotype" w:hAnsi="Palatino Linotype" w:cs="Palatino Linotype"/>
          <w:b/>
        </w:rPr>
        <w:t>, de la Ley de Transparencia y Acceso a la Información Pública del Estado de México y Municipios</w:t>
      </w:r>
      <w:r w:rsidRPr="00EB3E7E">
        <w:rPr>
          <w:rFonts w:ascii="Palatino Linotype" w:eastAsia="Palatino Linotype" w:hAnsi="Palatino Linotype" w:cs="Palatino Linotype"/>
        </w:rPr>
        <w:t xml:space="preserve">; </w:t>
      </w:r>
      <w:r w:rsidRPr="00EB3E7E">
        <w:rPr>
          <w:rFonts w:ascii="Palatino Linotype" w:eastAsia="Palatino Linotype" w:hAnsi="Palatino Linotype" w:cs="Palatino Linotype"/>
          <w:color w:val="000000"/>
        </w:rPr>
        <w:t xml:space="preserve">fracción que determina la hipótesis relativa a </w:t>
      </w:r>
      <w:r w:rsidR="004A2F08" w:rsidRPr="00EB3E7E">
        <w:rPr>
          <w:rFonts w:ascii="Palatino Linotype" w:eastAsia="Palatino Linotype" w:hAnsi="Palatino Linotype" w:cs="Palatino Linotype"/>
          <w:b/>
          <w:color w:val="000000"/>
        </w:rPr>
        <w:t xml:space="preserve">la </w:t>
      </w:r>
      <w:r w:rsidR="006A47DE" w:rsidRPr="00EB3E7E">
        <w:rPr>
          <w:rFonts w:ascii="Palatino Linotype" w:eastAsia="Palatino Linotype" w:hAnsi="Palatino Linotype" w:cs="Palatino Linotype"/>
          <w:b/>
          <w:color w:val="000000"/>
        </w:rPr>
        <w:t xml:space="preserve">entrega de información </w:t>
      </w:r>
      <w:r w:rsidR="0064467B" w:rsidRPr="00EB3E7E">
        <w:rPr>
          <w:rFonts w:ascii="Palatino Linotype" w:eastAsia="Palatino Linotype" w:hAnsi="Palatino Linotype" w:cs="Palatino Linotype"/>
          <w:b/>
          <w:color w:val="000000"/>
        </w:rPr>
        <w:t>que no corresponda con lo solicitado</w:t>
      </w:r>
      <w:r w:rsidRPr="00EB3E7E">
        <w:rPr>
          <w:rFonts w:ascii="Palatino Linotype" w:eastAsia="Palatino Linotype" w:hAnsi="Palatino Linotype" w:cs="Palatino Linotype"/>
          <w:color w:val="000000"/>
        </w:rPr>
        <w:t xml:space="preserve">; </w:t>
      </w:r>
      <w:r w:rsidRPr="00EB3E7E">
        <w:rPr>
          <w:rFonts w:ascii="Palatino Linotype" w:eastAsia="Palatino Linotype" w:hAnsi="Palatino Linotype" w:cs="Palatino Linotype"/>
        </w:rPr>
        <w:t>contexto del cual se dolió el Recurrente al momento de interponer su inconformidad.</w:t>
      </w:r>
      <w:r w:rsidRPr="00EB3E7E">
        <w:rPr>
          <w:rFonts w:ascii="Palatino Linotype" w:eastAsia="Palatino Linotype" w:hAnsi="Palatino Linotype" w:cs="Palatino Linotype"/>
          <w:color w:val="000000"/>
        </w:rPr>
        <w:t xml:space="preserve"> De modo tal que el presente recurso de revisión se </w:t>
      </w:r>
      <w:r w:rsidRPr="00EB3E7E">
        <w:rPr>
          <w:rFonts w:ascii="Palatino Linotype" w:eastAsia="Palatino Linotype" w:hAnsi="Palatino Linotype" w:cs="Palatino Linotype"/>
        </w:rPr>
        <w:t>abocará</w:t>
      </w:r>
      <w:r w:rsidRPr="00EB3E7E">
        <w:rPr>
          <w:rFonts w:ascii="Palatino Linotype" w:eastAsia="Palatino Linotype" w:hAnsi="Palatino Linotype" w:cs="Palatino Linotype"/>
          <w:color w:val="000000"/>
        </w:rPr>
        <w:t xml:space="preserve"> en determinar si el Sujeto Obligado con su respuesta ciertamente actualiza la causal de procedencia</w:t>
      </w:r>
      <w:r w:rsidRPr="00EB3E7E">
        <w:rPr>
          <w:rFonts w:ascii="Palatino Linotype" w:eastAsia="Palatino Linotype" w:hAnsi="Palatino Linotype" w:cs="Palatino Linotype"/>
          <w:b/>
          <w:color w:val="000000"/>
        </w:rPr>
        <w:t xml:space="preserve"> </w:t>
      </w:r>
      <w:r w:rsidRPr="00EB3E7E">
        <w:rPr>
          <w:rFonts w:ascii="Palatino Linotype" w:eastAsia="Palatino Linotype" w:hAnsi="Palatino Linotype" w:cs="Palatino Linotype"/>
          <w:color w:val="000000"/>
        </w:rPr>
        <w:t>señalada.</w:t>
      </w:r>
    </w:p>
    <w:p w:rsidR="00185E28" w:rsidRPr="00EB3E7E" w:rsidRDefault="00185E28">
      <w:pPr>
        <w:spacing w:line="360" w:lineRule="auto"/>
        <w:ind w:right="-787"/>
        <w:rPr>
          <w:rFonts w:ascii="Palatino Linotype" w:eastAsia="Palatino Linotype" w:hAnsi="Palatino Linotype" w:cs="Palatino Linotype"/>
        </w:rPr>
      </w:pPr>
    </w:p>
    <w:p w:rsidR="00185E28" w:rsidRPr="00EB3E7E" w:rsidRDefault="00444197">
      <w:pPr>
        <w:pStyle w:val="Ttulo2"/>
        <w:rPr>
          <w:rFonts w:ascii="Palatino Linotype" w:eastAsia="Palatino Linotype" w:hAnsi="Palatino Linotype" w:cs="Palatino Linotype"/>
          <w:b/>
          <w:color w:val="000000"/>
          <w:sz w:val="24"/>
          <w:szCs w:val="24"/>
        </w:rPr>
      </w:pPr>
      <w:bookmarkStart w:id="6" w:name="_heading=h.1t3h5sf" w:colFirst="0" w:colLast="0"/>
      <w:bookmarkEnd w:id="6"/>
      <w:r w:rsidRPr="00EB3E7E">
        <w:rPr>
          <w:rFonts w:ascii="Palatino Linotype" w:eastAsia="Palatino Linotype" w:hAnsi="Palatino Linotype" w:cs="Palatino Linotype"/>
          <w:b/>
          <w:color w:val="000000"/>
          <w:sz w:val="24"/>
          <w:szCs w:val="24"/>
        </w:rPr>
        <w:t>CUARTO. Del estudio y resolución del asunto.</w:t>
      </w:r>
    </w:p>
    <w:p w:rsidR="00185E28" w:rsidRPr="00EB3E7E" w:rsidRDefault="00444197">
      <w:pPr>
        <w:numPr>
          <w:ilvl w:val="0"/>
          <w:numId w:val="2"/>
        </w:numPr>
        <w:spacing w:line="360" w:lineRule="auto"/>
        <w:ind w:left="0" w:right="-787" w:firstLine="0"/>
        <w:jc w:val="both"/>
        <w:rPr>
          <w:rFonts w:ascii="Palatino Linotype" w:eastAsia="Palatino Linotype" w:hAnsi="Palatino Linotype" w:cs="Palatino Linotype"/>
        </w:rPr>
      </w:pPr>
      <w:r w:rsidRPr="00EB3E7E">
        <w:rPr>
          <w:rFonts w:ascii="Palatino Linotype" w:eastAsia="Palatino Linotype" w:hAnsi="Palatino Linotype" w:cs="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185E28" w:rsidRPr="00EB3E7E" w:rsidRDefault="00185E28">
      <w:pPr>
        <w:spacing w:line="360" w:lineRule="auto"/>
        <w:ind w:right="-787"/>
        <w:jc w:val="both"/>
        <w:rPr>
          <w:rFonts w:ascii="Palatino Linotype" w:eastAsia="Palatino Linotype" w:hAnsi="Palatino Linotype" w:cs="Palatino Linotype"/>
        </w:rPr>
      </w:pPr>
    </w:p>
    <w:p w:rsidR="00185E28" w:rsidRPr="00EB3E7E" w:rsidRDefault="00444197">
      <w:pPr>
        <w:numPr>
          <w:ilvl w:val="0"/>
          <w:numId w:val="2"/>
        </w:numPr>
        <w:spacing w:line="360" w:lineRule="auto"/>
        <w:ind w:left="0" w:right="-787" w:firstLine="0"/>
        <w:jc w:val="both"/>
        <w:rPr>
          <w:rFonts w:ascii="Palatino Linotype" w:eastAsia="Palatino Linotype" w:hAnsi="Palatino Linotype" w:cs="Palatino Linotype"/>
        </w:rPr>
      </w:pPr>
      <w:r w:rsidRPr="00EB3E7E">
        <w:rPr>
          <w:rFonts w:ascii="Palatino Linotype" w:eastAsia="Palatino Linotype" w:hAnsi="Palatino Linotype" w:cs="Palatino Linotype"/>
        </w:rPr>
        <w:lastRenderedPageBreak/>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185E28" w:rsidRPr="00EB3E7E" w:rsidRDefault="00185E28">
      <w:pPr>
        <w:pBdr>
          <w:top w:val="nil"/>
          <w:left w:val="nil"/>
          <w:bottom w:val="nil"/>
          <w:right w:val="nil"/>
          <w:between w:val="nil"/>
        </w:pBdr>
        <w:spacing w:line="360" w:lineRule="auto"/>
        <w:ind w:left="720" w:right="-787"/>
        <w:rPr>
          <w:rFonts w:ascii="Palatino Linotype" w:eastAsia="Palatino Linotype" w:hAnsi="Palatino Linotype" w:cs="Palatino Linotype"/>
          <w:color w:val="000000"/>
        </w:rPr>
      </w:pPr>
    </w:p>
    <w:p w:rsidR="00185E28" w:rsidRPr="00EB3E7E" w:rsidRDefault="00444197">
      <w:pPr>
        <w:numPr>
          <w:ilvl w:val="0"/>
          <w:numId w:val="2"/>
        </w:numPr>
        <w:spacing w:line="360" w:lineRule="auto"/>
        <w:ind w:left="0" w:right="-787" w:firstLine="0"/>
        <w:jc w:val="both"/>
        <w:rPr>
          <w:rFonts w:ascii="Palatino Linotype" w:eastAsia="Palatino Linotype" w:hAnsi="Palatino Linotype" w:cs="Palatino Linotype"/>
        </w:rPr>
      </w:pPr>
      <w:r w:rsidRPr="00EB3E7E">
        <w:rPr>
          <w:rFonts w:ascii="Palatino Linotype" w:eastAsia="Palatino Linotype" w:hAnsi="Palatino Linotype" w:cs="Palatino Linotype"/>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185E28" w:rsidRPr="00EB3E7E" w:rsidRDefault="00185E28">
      <w:pPr>
        <w:spacing w:line="360" w:lineRule="auto"/>
        <w:ind w:right="-787"/>
        <w:jc w:val="both"/>
        <w:rPr>
          <w:rFonts w:ascii="Palatino Linotype" w:eastAsia="Palatino Linotype" w:hAnsi="Palatino Linotype" w:cs="Palatino Linotype"/>
        </w:rPr>
      </w:pPr>
    </w:p>
    <w:p w:rsidR="000D6938" w:rsidRPr="00EB3E7E" w:rsidRDefault="00444197" w:rsidP="00DE76DF">
      <w:pPr>
        <w:numPr>
          <w:ilvl w:val="0"/>
          <w:numId w:val="4"/>
        </w:numPr>
        <w:pBdr>
          <w:top w:val="nil"/>
          <w:left w:val="nil"/>
          <w:bottom w:val="nil"/>
          <w:right w:val="nil"/>
          <w:between w:val="nil"/>
        </w:pBdr>
        <w:spacing w:line="360" w:lineRule="auto"/>
        <w:ind w:right="-787"/>
        <w:rPr>
          <w:rFonts w:ascii="Palatino Linotype" w:eastAsia="Palatino Linotype" w:hAnsi="Palatino Linotype" w:cs="Palatino Linotype"/>
          <w:b/>
          <w:color w:val="000000"/>
        </w:rPr>
      </w:pPr>
      <w:r w:rsidRPr="00EB3E7E">
        <w:rPr>
          <w:rFonts w:ascii="Palatino Linotype" w:eastAsia="Palatino Linotype" w:hAnsi="Palatino Linotype" w:cs="Palatino Linotype"/>
          <w:b/>
          <w:color w:val="000000"/>
        </w:rPr>
        <w:t>Del Sujeto Obligado.</w:t>
      </w:r>
    </w:p>
    <w:p w:rsidR="000D6938" w:rsidRPr="00EB3E7E" w:rsidRDefault="008B6368" w:rsidP="000D6938">
      <w:pPr>
        <w:numPr>
          <w:ilvl w:val="0"/>
          <w:numId w:val="2"/>
        </w:numPr>
        <w:spacing w:line="360" w:lineRule="auto"/>
        <w:ind w:left="0" w:right="-787" w:firstLine="0"/>
        <w:jc w:val="both"/>
      </w:pPr>
      <w:r w:rsidRPr="00EB3E7E">
        <w:rPr>
          <w:rFonts w:ascii="Palatino Linotype" w:eastAsia="Palatino Linotype" w:hAnsi="Palatino Linotype" w:cs="Palatino Linotype"/>
        </w:rPr>
        <w:t xml:space="preserve">Para el ejercicio de sus atribuciones y responsabilidades ejecutivas, el Ayuntamiento se auxiliará con dependencias, entidades y unidades de la Administración Pública Municipal, que estarán subordinadas al Presidente Municipal, así como de los Organismos Públicos Descentralizados y Órgano Autónomo, </w:t>
      </w:r>
      <w:r w:rsidR="000D6938" w:rsidRPr="00EB3E7E">
        <w:rPr>
          <w:rFonts w:ascii="Palatino Linotype" w:eastAsia="Palatino Linotype" w:hAnsi="Palatino Linotype" w:cs="Palatino Linotype"/>
        </w:rPr>
        <w:t xml:space="preserve">de conformidad con el artículo </w:t>
      </w:r>
      <w:r w:rsidRPr="00EB3E7E">
        <w:rPr>
          <w:rFonts w:ascii="Palatino Linotype" w:eastAsia="Palatino Linotype" w:hAnsi="Palatino Linotype" w:cs="Palatino Linotype"/>
        </w:rPr>
        <w:t>34</w:t>
      </w:r>
      <w:r w:rsidR="000D6938" w:rsidRPr="00EB3E7E">
        <w:rPr>
          <w:rFonts w:ascii="Palatino Linotype" w:eastAsia="Palatino Linotype" w:hAnsi="Palatino Linotype" w:cs="Palatino Linotype"/>
        </w:rPr>
        <w:t>, del Bando Municipal 2025</w:t>
      </w:r>
      <w:r w:rsidRPr="00EB3E7E">
        <w:rPr>
          <w:rFonts w:ascii="Palatino Linotype" w:eastAsia="Palatino Linotype" w:hAnsi="Palatino Linotype" w:cs="Palatino Linotype"/>
        </w:rPr>
        <w:t>, entre las cuales se encuentra la Dirección de Servicios Públicos</w:t>
      </w:r>
      <w:r w:rsidR="000D6938" w:rsidRPr="00EB3E7E">
        <w:rPr>
          <w:rFonts w:ascii="Palatino Linotype" w:eastAsia="Palatino Linotype" w:hAnsi="Palatino Linotype" w:cs="Palatino Linotype"/>
        </w:rPr>
        <w:t>:</w:t>
      </w:r>
    </w:p>
    <w:p w:rsidR="008B6368" w:rsidRPr="00EB3E7E" w:rsidRDefault="008B6368" w:rsidP="008B6368">
      <w:pPr>
        <w:spacing w:line="360" w:lineRule="auto"/>
        <w:ind w:right="-787"/>
        <w:jc w:val="both"/>
      </w:pPr>
    </w:p>
    <w:p w:rsidR="000D6938" w:rsidRPr="00EB3E7E" w:rsidRDefault="000D6938" w:rsidP="000D6938">
      <w:pPr>
        <w:ind w:left="567" w:right="-220"/>
        <w:jc w:val="center"/>
        <w:rPr>
          <w:rFonts w:ascii="Palatino Linotype" w:eastAsia="Palatino Linotype" w:hAnsi="Palatino Linotype" w:cs="Palatino Linotype"/>
          <w:b/>
          <w:i/>
        </w:rPr>
      </w:pPr>
      <w:r w:rsidRPr="00EB3E7E">
        <w:rPr>
          <w:rFonts w:ascii="Palatino Linotype" w:eastAsia="Palatino Linotype" w:hAnsi="Palatino Linotype" w:cs="Palatino Linotype"/>
          <w:b/>
          <w:i/>
        </w:rPr>
        <w:lastRenderedPageBreak/>
        <w:t>Bando Municipal 2025</w:t>
      </w:r>
    </w:p>
    <w:p w:rsidR="000D6938" w:rsidRPr="00EB3E7E" w:rsidRDefault="000D6938" w:rsidP="000D6938">
      <w:pPr>
        <w:ind w:left="567" w:right="-220"/>
        <w:jc w:val="center"/>
        <w:rPr>
          <w:rFonts w:ascii="Palatino Linotype" w:eastAsia="Palatino Linotype" w:hAnsi="Palatino Linotype" w:cs="Palatino Linotype"/>
          <w:b/>
          <w:i/>
        </w:rPr>
      </w:pPr>
    </w:p>
    <w:p w:rsidR="0088074D" w:rsidRPr="00EB3E7E" w:rsidRDefault="008B6368" w:rsidP="0088074D">
      <w:pPr>
        <w:pBdr>
          <w:top w:val="nil"/>
          <w:left w:val="nil"/>
          <w:bottom w:val="nil"/>
          <w:right w:val="nil"/>
          <w:between w:val="nil"/>
        </w:pBdr>
        <w:ind w:left="567" w:right="-28"/>
        <w:jc w:val="both"/>
        <w:rPr>
          <w:rFonts w:ascii="Palatino Linotype" w:eastAsia="Palatino Linotype" w:hAnsi="Palatino Linotype" w:cs="Palatino Linotype"/>
          <w:i/>
          <w:iCs/>
        </w:rPr>
      </w:pPr>
      <w:r w:rsidRPr="00EB3E7E">
        <w:rPr>
          <w:rFonts w:ascii="Palatino Linotype" w:eastAsia="Palatino Linotype" w:hAnsi="Palatino Linotype" w:cs="Palatino Linotype"/>
          <w:b/>
          <w:bCs/>
          <w:i/>
          <w:iCs/>
          <w:color w:val="000000"/>
        </w:rPr>
        <w:t xml:space="preserve">Artículo 34. </w:t>
      </w:r>
      <w:r w:rsidRPr="00EB3E7E">
        <w:rPr>
          <w:rFonts w:ascii="Palatino Linotype" w:eastAsia="Palatino Linotype" w:hAnsi="Palatino Linotype" w:cs="Palatino Linotype"/>
          <w:bCs/>
          <w:i/>
          <w:iCs/>
          <w:color w:val="000000"/>
        </w:rPr>
        <w:t>Para el ejercicio de sus atribuciones y responsabilidades ejecutivas, el Ayuntamiento se auxiliará con dependencias, entidades y unidades de la Administración Pública Municipal, que estarán subordinadas al Presidente Municipal, así como de los Organismos Públicos Descentralizados y Órgano Autónomo, siguientes</w:t>
      </w:r>
      <w:r w:rsidRPr="00EB3E7E">
        <w:rPr>
          <w:rFonts w:ascii="Palatino Linotype" w:eastAsia="Palatino Linotype" w:hAnsi="Palatino Linotype" w:cs="Palatino Linotype"/>
          <w:i/>
          <w:iCs/>
        </w:rPr>
        <w:t>:</w:t>
      </w:r>
    </w:p>
    <w:p w:rsidR="00D057D3" w:rsidRPr="00EB3E7E" w:rsidRDefault="00D057D3" w:rsidP="0088074D">
      <w:pPr>
        <w:pBdr>
          <w:top w:val="nil"/>
          <w:left w:val="nil"/>
          <w:bottom w:val="nil"/>
          <w:right w:val="nil"/>
          <w:between w:val="nil"/>
        </w:pBdr>
        <w:ind w:left="567" w:right="-28"/>
        <w:jc w:val="both"/>
        <w:rPr>
          <w:rFonts w:ascii="Palatino Linotype" w:eastAsia="Palatino Linotype" w:hAnsi="Palatino Linotype" w:cs="Palatino Linotype"/>
          <w:i/>
          <w:iCs/>
        </w:rPr>
      </w:pPr>
    </w:p>
    <w:p w:rsidR="00D057D3" w:rsidRPr="00EB3E7E" w:rsidRDefault="00D057D3" w:rsidP="0088074D">
      <w:pPr>
        <w:pBdr>
          <w:top w:val="nil"/>
          <w:left w:val="nil"/>
          <w:bottom w:val="nil"/>
          <w:right w:val="nil"/>
          <w:between w:val="nil"/>
        </w:pBdr>
        <w:ind w:left="567" w:right="-28"/>
        <w:jc w:val="both"/>
        <w:rPr>
          <w:rFonts w:ascii="Palatino Linotype" w:eastAsia="Palatino Linotype" w:hAnsi="Palatino Linotype" w:cs="Palatino Linotype"/>
          <w:i/>
          <w:iCs/>
        </w:rPr>
      </w:pPr>
      <w:r w:rsidRPr="00EB3E7E">
        <w:rPr>
          <w:rFonts w:ascii="Palatino Linotype" w:eastAsia="Palatino Linotype" w:hAnsi="Palatino Linotype" w:cs="Palatino Linotype"/>
          <w:i/>
          <w:iCs/>
        </w:rPr>
        <w:t>I. ÁREAS CENTRALIZADAS:</w:t>
      </w:r>
    </w:p>
    <w:p w:rsidR="00D057D3" w:rsidRPr="00EB3E7E" w:rsidRDefault="00D057D3" w:rsidP="0088074D">
      <w:pPr>
        <w:pBdr>
          <w:top w:val="nil"/>
          <w:left w:val="nil"/>
          <w:bottom w:val="nil"/>
          <w:right w:val="nil"/>
          <w:between w:val="nil"/>
        </w:pBdr>
        <w:ind w:left="567" w:right="-28"/>
        <w:jc w:val="both"/>
        <w:rPr>
          <w:rFonts w:ascii="Palatino Linotype" w:eastAsia="Palatino Linotype" w:hAnsi="Palatino Linotype" w:cs="Palatino Linotype"/>
          <w:i/>
          <w:iCs/>
        </w:rPr>
      </w:pPr>
      <w:r w:rsidRPr="00EB3E7E">
        <w:rPr>
          <w:rFonts w:ascii="Palatino Linotype" w:eastAsia="Palatino Linotype" w:hAnsi="Palatino Linotype" w:cs="Palatino Linotype"/>
          <w:i/>
          <w:iCs/>
        </w:rPr>
        <w:t>…</w:t>
      </w:r>
    </w:p>
    <w:p w:rsidR="00D057D3" w:rsidRPr="00EB3E7E" w:rsidRDefault="00D057D3" w:rsidP="0088074D">
      <w:pPr>
        <w:pBdr>
          <w:top w:val="nil"/>
          <w:left w:val="nil"/>
          <w:bottom w:val="nil"/>
          <w:right w:val="nil"/>
          <w:between w:val="nil"/>
        </w:pBdr>
        <w:ind w:left="567" w:right="-28"/>
        <w:jc w:val="both"/>
        <w:rPr>
          <w:rFonts w:ascii="Palatino Linotype" w:eastAsia="Palatino Linotype" w:hAnsi="Palatino Linotype" w:cs="Palatino Linotype"/>
          <w:i/>
          <w:iCs/>
        </w:rPr>
      </w:pPr>
      <w:r w:rsidRPr="00EB3E7E">
        <w:rPr>
          <w:rFonts w:ascii="Palatino Linotype" w:eastAsia="Palatino Linotype" w:hAnsi="Palatino Linotype" w:cs="Palatino Linotype"/>
          <w:i/>
          <w:iCs/>
        </w:rPr>
        <w:t>D) Tesorería Municipal;</w:t>
      </w:r>
    </w:p>
    <w:p w:rsidR="0088074D" w:rsidRPr="00EB3E7E" w:rsidRDefault="0088074D" w:rsidP="0088074D">
      <w:pPr>
        <w:pBdr>
          <w:top w:val="nil"/>
          <w:left w:val="nil"/>
          <w:bottom w:val="nil"/>
          <w:right w:val="nil"/>
          <w:between w:val="nil"/>
        </w:pBdr>
        <w:ind w:left="567" w:right="-28"/>
        <w:jc w:val="both"/>
        <w:rPr>
          <w:rFonts w:ascii="Palatino Linotype" w:eastAsia="Palatino Linotype" w:hAnsi="Palatino Linotype" w:cs="Palatino Linotype"/>
          <w:i/>
          <w:iCs/>
        </w:rPr>
      </w:pPr>
      <w:r w:rsidRPr="00EB3E7E">
        <w:rPr>
          <w:rFonts w:ascii="Palatino Linotype" w:eastAsia="Palatino Linotype" w:hAnsi="Palatino Linotype" w:cs="Palatino Linotype"/>
          <w:i/>
          <w:iCs/>
        </w:rPr>
        <w:t>…</w:t>
      </w:r>
    </w:p>
    <w:p w:rsidR="008B6368" w:rsidRPr="00EB3E7E" w:rsidRDefault="008B6368" w:rsidP="0088074D">
      <w:pPr>
        <w:pBdr>
          <w:top w:val="nil"/>
          <w:left w:val="nil"/>
          <w:bottom w:val="nil"/>
          <w:right w:val="nil"/>
          <w:between w:val="nil"/>
        </w:pBdr>
        <w:ind w:left="567" w:right="-28"/>
        <w:jc w:val="both"/>
        <w:rPr>
          <w:rFonts w:ascii="Palatino Linotype" w:eastAsia="Palatino Linotype" w:hAnsi="Palatino Linotype" w:cs="Palatino Linotype"/>
          <w:i/>
          <w:iCs/>
        </w:rPr>
      </w:pPr>
      <w:r w:rsidRPr="00EB3E7E">
        <w:rPr>
          <w:rFonts w:ascii="Palatino Linotype" w:eastAsia="Palatino Linotype" w:hAnsi="Palatino Linotype" w:cs="Palatino Linotype"/>
          <w:i/>
          <w:iCs/>
        </w:rPr>
        <w:t>II. DIRECCIONES:</w:t>
      </w:r>
    </w:p>
    <w:p w:rsidR="008B6368" w:rsidRPr="00EB3E7E" w:rsidRDefault="008B6368" w:rsidP="0088074D">
      <w:pPr>
        <w:pBdr>
          <w:top w:val="nil"/>
          <w:left w:val="nil"/>
          <w:bottom w:val="nil"/>
          <w:right w:val="nil"/>
          <w:between w:val="nil"/>
        </w:pBdr>
        <w:ind w:left="567" w:right="-28"/>
        <w:jc w:val="both"/>
        <w:rPr>
          <w:rFonts w:ascii="Palatino Linotype" w:eastAsia="Palatino Linotype" w:hAnsi="Palatino Linotype" w:cs="Palatino Linotype"/>
          <w:i/>
          <w:iCs/>
        </w:rPr>
      </w:pPr>
      <w:r w:rsidRPr="00EB3E7E">
        <w:rPr>
          <w:rFonts w:ascii="Palatino Linotype" w:eastAsia="Palatino Linotype" w:hAnsi="Palatino Linotype" w:cs="Palatino Linotype"/>
          <w:i/>
          <w:iCs/>
        </w:rPr>
        <w:t>…</w:t>
      </w:r>
    </w:p>
    <w:p w:rsidR="008B6368" w:rsidRPr="00EB3E7E" w:rsidRDefault="00832AA4" w:rsidP="0088074D">
      <w:pPr>
        <w:pBdr>
          <w:top w:val="nil"/>
          <w:left w:val="nil"/>
          <w:bottom w:val="nil"/>
          <w:right w:val="nil"/>
          <w:between w:val="nil"/>
        </w:pBdr>
        <w:ind w:left="567" w:right="-28"/>
        <w:jc w:val="both"/>
        <w:rPr>
          <w:rFonts w:ascii="Palatino Linotype" w:eastAsia="Palatino Linotype" w:hAnsi="Palatino Linotype" w:cs="Palatino Linotype"/>
          <w:i/>
          <w:iCs/>
        </w:rPr>
      </w:pPr>
      <w:r w:rsidRPr="00EB3E7E">
        <w:rPr>
          <w:rFonts w:ascii="Palatino Linotype" w:eastAsia="Palatino Linotype" w:hAnsi="Palatino Linotype" w:cs="Palatino Linotype"/>
          <w:i/>
          <w:iCs/>
        </w:rPr>
        <w:t>J) Dirección de Servicios Públicos;</w:t>
      </w:r>
    </w:p>
    <w:p w:rsidR="00832AA4" w:rsidRPr="00EB3E7E" w:rsidRDefault="00832AA4" w:rsidP="0088074D">
      <w:pPr>
        <w:pBdr>
          <w:top w:val="nil"/>
          <w:left w:val="nil"/>
          <w:bottom w:val="nil"/>
          <w:right w:val="nil"/>
          <w:between w:val="nil"/>
        </w:pBdr>
        <w:ind w:left="567" w:right="-28"/>
        <w:jc w:val="both"/>
        <w:rPr>
          <w:rFonts w:ascii="Palatino Linotype" w:eastAsia="Palatino Linotype" w:hAnsi="Palatino Linotype" w:cs="Palatino Linotype"/>
          <w:i/>
          <w:iCs/>
        </w:rPr>
      </w:pPr>
      <w:r w:rsidRPr="00EB3E7E">
        <w:rPr>
          <w:rFonts w:ascii="Palatino Linotype" w:eastAsia="Palatino Linotype" w:hAnsi="Palatino Linotype" w:cs="Palatino Linotype"/>
          <w:i/>
          <w:iCs/>
        </w:rPr>
        <w:t>…</w:t>
      </w:r>
    </w:p>
    <w:p w:rsidR="0088074D" w:rsidRPr="00EB3E7E" w:rsidRDefault="0088074D" w:rsidP="0088074D">
      <w:pPr>
        <w:pBdr>
          <w:top w:val="nil"/>
          <w:left w:val="nil"/>
          <w:bottom w:val="nil"/>
          <w:right w:val="nil"/>
          <w:between w:val="nil"/>
        </w:pBdr>
        <w:ind w:left="567" w:right="-28"/>
        <w:jc w:val="both"/>
        <w:rPr>
          <w:rFonts w:ascii="Palatino Linotype" w:eastAsia="Palatino Linotype" w:hAnsi="Palatino Linotype" w:cs="Palatino Linotype"/>
          <w:i/>
          <w:iCs/>
        </w:rPr>
      </w:pPr>
    </w:p>
    <w:p w:rsidR="0088074D" w:rsidRPr="00EB3E7E" w:rsidRDefault="0088074D" w:rsidP="00A00FCF">
      <w:pPr>
        <w:pBdr>
          <w:top w:val="nil"/>
          <w:left w:val="nil"/>
          <w:bottom w:val="nil"/>
          <w:right w:val="nil"/>
          <w:between w:val="nil"/>
        </w:pBdr>
        <w:ind w:right="-28"/>
        <w:jc w:val="both"/>
        <w:rPr>
          <w:rFonts w:ascii="Palatino Linotype" w:eastAsia="Palatino Linotype" w:hAnsi="Palatino Linotype" w:cs="Palatino Linotype"/>
          <w:i/>
          <w:iCs/>
        </w:rPr>
      </w:pPr>
    </w:p>
    <w:p w:rsidR="00271C36" w:rsidRPr="00EB3E7E" w:rsidRDefault="00D057D3" w:rsidP="007A26F5">
      <w:pPr>
        <w:numPr>
          <w:ilvl w:val="0"/>
          <w:numId w:val="2"/>
        </w:numPr>
        <w:spacing w:line="360" w:lineRule="auto"/>
        <w:ind w:left="0" w:right="-787" w:firstLine="0"/>
        <w:jc w:val="both"/>
        <w:rPr>
          <w:rFonts w:ascii="Palatino Linotype" w:eastAsia="Palatino Linotype" w:hAnsi="Palatino Linotype" w:cs="Palatino Linotype"/>
        </w:rPr>
      </w:pPr>
      <w:r w:rsidRPr="00EB3E7E">
        <w:rPr>
          <w:rFonts w:ascii="Palatino Linotype" w:eastAsia="Palatino Linotype" w:hAnsi="Palatino Linotype" w:cs="Palatino Linotype"/>
        </w:rPr>
        <w:t xml:space="preserve">De conformidad con el Manual General de Organización, la </w:t>
      </w:r>
      <w:r w:rsidRPr="00EB3E7E">
        <w:rPr>
          <w:rFonts w:ascii="Palatino Linotype" w:eastAsia="Palatino Linotype" w:hAnsi="Palatino Linotype" w:cs="Palatino Linotype"/>
          <w:b/>
        </w:rPr>
        <w:t>Tesorería Municipal</w:t>
      </w:r>
      <w:r w:rsidRPr="00EB3E7E">
        <w:rPr>
          <w:rFonts w:ascii="Palatino Linotype" w:eastAsia="Palatino Linotype" w:hAnsi="Palatino Linotype" w:cs="Palatino Linotype"/>
        </w:rPr>
        <w:t xml:space="preserve"> tiene como objetivo el de Recaudar, administrar, operar, registrar y glosar los recursos que componen la hacienda pública con la finalidad de mantener finanzas sanas y contar con la suficiencia económica para cumplir con las obligaciones, funciones y atribuciones del gobierno municipal de Juchitepec, y tiene dentro de sus funciones la de </w:t>
      </w:r>
      <w:r w:rsidR="00271C36" w:rsidRPr="00EB3E7E">
        <w:rPr>
          <w:rFonts w:ascii="Palatino Linotype" w:eastAsia="Palatino Linotype" w:hAnsi="Palatino Linotype" w:cs="Palatino Linotype"/>
        </w:rPr>
        <w:t>Administrar la hacienda pública municipal de conformidad con las disposiciones legales; Gestionar y verificar el pago de nómina de las y los servidores públicos y de pensiones alimenticias; y Remitir las conciliaciones de la nómina pagada a la Dirección de Recursos Humanos, para la reprogramación de pagos y timbrado de nómina; por mencionar algunas.</w:t>
      </w:r>
    </w:p>
    <w:p w:rsidR="00271C36" w:rsidRPr="00EB3E7E" w:rsidRDefault="00271C36" w:rsidP="00271C36">
      <w:pPr>
        <w:spacing w:line="360" w:lineRule="auto"/>
        <w:ind w:right="-787"/>
        <w:jc w:val="both"/>
        <w:rPr>
          <w:rFonts w:ascii="Palatino Linotype" w:eastAsia="Palatino Linotype" w:hAnsi="Palatino Linotype" w:cs="Palatino Linotype"/>
        </w:rPr>
      </w:pPr>
    </w:p>
    <w:p w:rsidR="00271C36" w:rsidRPr="00EB3E7E" w:rsidRDefault="00271C36" w:rsidP="00271C36">
      <w:pPr>
        <w:numPr>
          <w:ilvl w:val="0"/>
          <w:numId w:val="2"/>
        </w:numPr>
        <w:spacing w:line="360" w:lineRule="auto"/>
        <w:ind w:left="0" w:right="-787" w:firstLine="0"/>
        <w:jc w:val="both"/>
        <w:rPr>
          <w:rFonts w:ascii="Palatino Linotype" w:eastAsia="Palatino Linotype" w:hAnsi="Palatino Linotype" w:cs="Palatino Linotype"/>
        </w:rPr>
      </w:pPr>
      <w:r w:rsidRPr="00EB3E7E">
        <w:rPr>
          <w:rFonts w:ascii="Palatino Linotype" w:eastAsia="Palatino Linotype" w:hAnsi="Palatino Linotype" w:cs="Palatino Linotype"/>
        </w:rPr>
        <w:t xml:space="preserve">La </w:t>
      </w:r>
      <w:r w:rsidRPr="00EB3E7E">
        <w:rPr>
          <w:rFonts w:ascii="Palatino Linotype" w:eastAsia="Palatino Linotype" w:hAnsi="Palatino Linotype" w:cs="Palatino Linotype"/>
          <w:b/>
        </w:rPr>
        <w:t>Dirección de Servicios Públicos</w:t>
      </w:r>
      <w:r w:rsidRPr="00EB3E7E">
        <w:rPr>
          <w:rFonts w:ascii="Palatino Linotype" w:eastAsia="Palatino Linotype" w:hAnsi="Palatino Linotype" w:cs="Palatino Linotype"/>
        </w:rPr>
        <w:t xml:space="preserve">, tiene como objetivo Planear, coordinar, supervisar y evaluar la prestación eficiente y oportuna de los servicios públicos municipales, tales como el mantenimiento de parques y jardines, recolección de residuos sólidos, alumbrado público, </w:t>
      </w:r>
      <w:r w:rsidRPr="00EB3E7E">
        <w:rPr>
          <w:rFonts w:ascii="Palatino Linotype" w:eastAsia="Palatino Linotype" w:hAnsi="Palatino Linotype" w:cs="Palatino Linotype"/>
        </w:rPr>
        <w:lastRenderedPageBreak/>
        <w:t xml:space="preserve">limpieza de calles y espacios públicos, panteones y demás servicios a su cargo, con el propósito de garantizar el bienestar de la población y el mejoramiento del entorno urbano, conforme a la normatividad vigente y a los lineamientos del Ayuntamiento. </w:t>
      </w:r>
    </w:p>
    <w:p w:rsidR="00FA6217" w:rsidRPr="00EB3E7E" w:rsidRDefault="00FA6217" w:rsidP="00FA6217">
      <w:pPr>
        <w:spacing w:line="360" w:lineRule="auto"/>
        <w:ind w:right="-787"/>
        <w:jc w:val="both"/>
        <w:rPr>
          <w:rFonts w:ascii="Palatino Linotype" w:eastAsia="Palatino Linotype" w:hAnsi="Palatino Linotype" w:cs="Palatino Linotype"/>
        </w:rPr>
      </w:pPr>
    </w:p>
    <w:p w:rsidR="00FA6217" w:rsidRPr="00EB3E7E" w:rsidRDefault="00FA6217" w:rsidP="00FA6217">
      <w:pPr>
        <w:numPr>
          <w:ilvl w:val="0"/>
          <w:numId w:val="2"/>
        </w:numPr>
        <w:spacing w:line="360" w:lineRule="auto"/>
        <w:ind w:left="0" w:right="-787" w:firstLine="0"/>
        <w:jc w:val="both"/>
        <w:rPr>
          <w:rFonts w:ascii="Palatino Linotype" w:eastAsia="Palatino Linotype" w:hAnsi="Palatino Linotype" w:cs="Palatino Linotype"/>
          <w:color w:val="000000"/>
        </w:rPr>
      </w:pPr>
      <w:r w:rsidRPr="00EB3E7E">
        <w:rPr>
          <w:rFonts w:ascii="Palatino Linotype" w:eastAsia="Palatino Linotype" w:hAnsi="Palatino Linotype" w:cs="Palatino Linotype"/>
        </w:rPr>
        <w:t xml:space="preserve">De lo expuesto es de precisar que la respuesta fue emitida por la </w:t>
      </w:r>
      <w:r w:rsidRPr="00EB3E7E">
        <w:rPr>
          <w:rFonts w:ascii="Palatino Linotype" w:eastAsia="Palatino Linotype" w:hAnsi="Palatino Linotype" w:cs="Palatino Linotype"/>
          <w:b/>
        </w:rPr>
        <w:t>Dirección de Servicios Públicos</w:t>
      </w:r>
      <w:r w:rsidRPr="00EB3E7E">
        <w:rPr>
          <w:rFonts w:ascii="Palatino Linotype" w:eastAsia="Palatino Linotype" w:hAnsi="Palatino Linotype" w:cs="Palatino Linotype"/>
        </w:rPr>
        <w:t xml:space="preserve">, no obstante del análisis de la normatividad referida, de manera enunciativa mas no limitativa la </w:t>
      </w:r>
      <w:r w:rsidRPr="00EB3E7E">
        <w:rPr>
          <w:rFonts w:ascii="Palatino Linotype" w:eastAsia="Palatino Linotype" w:hAnsi="Palatino Linotype" w:cs="Palatino Linotype"/>
          <w:b/>
        </w:rPr>
        <w:t>Tesorería Municipal</w:t>
      </w:r>
      <w:r w:rsidRPr="00EB3E7E">
        <w:rPr>
          <w:rFonts w:ascii="Palatino Linotype" w:eastAsia="Palatino Linotype" w:hAnsi="Palatino Linotype" w:cs="Palatino Linotype"/>
        </w:rPr>
        <w:t xml:space="preserve">, es otra área en la que pudiera obrar la información, de conformidad con sus atribuciones, por lo que podemos advertir que </w:t>
      </w:r>
      <w:r w:rsidRPr="00EB3E7E">
        <w:rPr>
          <w:rFonts w:ascii="Palatino Linotype" w:eastAsia="Palatino Linotype" w:hAnsi="Palatino Linotype" w:cs="Palatino Linotype"/>
          <w:b/>
        </w:rPr>
        <w:t xml:space="preserve">EL SUJETO OBLIGADO no </w:t>
      </w:r>
      <w:r w:rsidRPr="00EB3E7E">
        <w:rPr>
          <w:rFonts w:ascii="Palatino Linotype" w:eastAsia="Palatino Linotype" w:hAnsi="Palatino Linotype" w:cs="Palatino Linotype"/>
        </w:rPr>
        <w:t xml:space="preserve">siguió el procedimiento inmerso en la normatividad aplicable, ya que </w:t>
      </w:r>
      <w:r w:rsidRPr="00EB3E7E">
        <w:rPr>
          <w:rFonts w:ascii="Palatino Linotype" w:eastAsia="Palatino Linotype" w:hAnsi="Palatino Linotype" w:cs="Palatino Linotype"/>
          <w:b/>
        </w:rPr>
        <w:t>no turnó</w:t>
      </w:r>
      <w:r w:rsidRPr="00EB3E7E">
        <w:rPr>
          <w:rFonts w:ascii="Palatino Linotype" w:eastAsia="Palatino Linotype" w:hAnsi="Palatino Linotype" w:cs="Palatino Linotype"/>
        </w:rPr>
        <w:t xml:space="preserve"> los requerimientos de información a las unidades administrativas competentes en las que pudiera obrar la información, conforme a lo establecido por el artículo 162 de la Ley de Transparencia y Acceso a la Información Pública del Estado de México y Municipios, de conformidad con la fracción XXXIX, del artículo tercero de la legislación local vigente en materia de transparencia:</w:t>
      </w:r>
    </w:p>
    <w:p w:rsidR="00FA6217" w:rsidRPr="00EB3E7E" w:rsidRDefault="00FA6217" w:rsidP="00FA6217">
      <w:pPr>
        <w:spacing w:line="360" w:lineRule="auto"/>
        <w:ind w:right="-787"/>
        <w:jc w:val="both"/>
        <w:rPr>
          <w:rFonts w:ascii="Palatino Linotype" w:eastAsia="Palatino Linotype" w:hAnsi="Palatino Linotype" w:cs="Palatino Linotype"/>
        </w:rPr>
      </w:pPr>
    </w:p>
    <w:p w:rsidR="00FA6217" w:rsidRPr="00EB3E7E" w:rsidRDefault="00FA6217" w:rsidP="00FA6217">
      <w:pPr>
        <w:ind w:left="567" w:right="-220"/>
        <w:jc w:val="both"/>
        <w:rPr>
          <w:rFonts w:ascii="Palatino Linotype" w:eastAsia="Palatino Linotype" w:hAnsi="Palatino Linotype" w:cs="Palatino Linotype"/>
          <w:i/>
        </w:rPr>
      </w:pPr>
      <w:r w:rsidRPr="00EB3E7E">
        <w:rPr>
          <w:rFonts w:ascii="Palatino Linotype" w:eastAsia="Palatino Linotype" w:hAnsi="Palatino Linotype" w:cs="Palatino Linotype"/>
          <w:b/>
          <w:i/>
        </w:rPr>
        <w:t>XXXIX.</w:t>
      </w:r>
      <w:r w:rsidRPr="00EB3E7E">
        <w:rPr>
          <w:rFonts w:ascii="Palatino Linotype" w:eastAsia="Palatino Linotype" w:hAnsi="Palatino Linotype" w:cs="Palatino Linotype"/>
          <w:i/>
        </w:rPr>
        <w:t xml:space="preserve"> </w:t>
      </w:r>
      <w:r w:rsidRPr="00EB3E7E">
        <w:rPr>
          <w:rFonts w:ascii="Palatino Linotype" w:eastAsia="Palatino Linotype" w:hAnsi="Palatino Linotype" w:cs="Palatino Linotype"/>
          <w:b/>
          <w:i/>
        </w:rPr>
        <w:t>Servidor público habilitado</w:t>
      </w:r>
      <w:r w:rsidRPr="00EB3E7E">
        <w:rPr>
          <w:rFonts w:ascii="Palatino Linotype" w:eastAsia="Palatino Linotype" w:hAnsi="Palatino Linotype" w:cs="Palatino Linotype"/>
          <w:i/>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FA6217" w:rsidRPr="00EB3E7E" w:rsidRDefault="00FA6217" w:rsidP="00FA6217">
      <w:pPr>
        <w:ind w:right="-788"/>
        <w:jc w:val="both"/>
        <w:rPr>
          <w:rFonts w:ascii="Palatino Linotype" w:eastAsia="Palatino Linotype" w:hAnsi="Palatino Linotype" w:cs="Palatino Linotype"/>
        </w:rPr>
      </w:pPr>
    </w:p>
    <w:p w:rsidR="00FA6217" w:rsidRPr="00EB3E7E" w:rsidRDefault="00FA6217" w:rsidP="00FA6217">
      <w:pPr>
        <w:numPr>
          <w:ilvl w:val="0"/>
          <w:numId w:val="2"/>
        </w:numPr>
        <w:spacing w:line="360" w:lineRule="auto"/>
        <w:ind w:left="0" w:right="-787" w:firstLine="0"/>
        <w:jc w:val="both"/>
        <w:rPr>
          <w:rFonts w:ascii="Palatino Linotype" w:eastAsia="Palatino Linotype" w:hAnsi="Palatino Linotype" w:cs="Palatino Linotype"/>
        </w:rPr>
      </w:pPr>
      <w:r w:rsidRPr="00EB3E7E">
        <w:rPr>
          <w:rFonts w:ascii="Palatino Linotype" w:eastAsia="Palatino Linotype" w:hAnsi="Palatino Linotype" w:cs="Palatino Linotype"/>
        </w:rPr>
        <w:t xml:space="preserve">Así las cosas, se advierte que la Unidad de Transparencia </w:t>
      </w:r>
      <w:r w:rsidRPr="00EB3E7E">
        <w:rPr>
          <w:rFonts w:ascii="Palatino Linotype" w:eastAsia="Palatino Linotype" w:hAnsi="Palatino Linotype" w:cs="Palatino Linotype"/>
          <w:b/>
        </w:rPr>
        <w:t>no cumplió</w:t>
      </w:r>
      <w:r w:rsidRPr="00EB3E7E">
        <w:rPr>
          <w:rFonts w:ascii="Palatino Linotype" w:eastAsia="Palatino Linotype" w:hAnsi="Palatino Linotype" w:cs="Palatino Linotype"/>
        </w:rPr>
        <w:t xml:space="preserve"> con lo establecido en el artículo 162 de la Ley de Transparencia y Acceso a la Información Pública del Estado de México y Municipios, el cual menciona lo siguiente:</w:t>
      </w:r>
    </w:p>
    <w:p w:rsidR="00FA6217" w:rsidRPr="00EB3E7E" w:rsidRDefault="00FA6217" w:rsidP="00FA6217">
      <w:pPr>
        <w:ind w:right="-788"/>
        <w:jc w:val="both"/>
        <w:rPr>
          <w:rFonts w:ascii="Palatino Linotype" w:eastAsia="Palatino Linotype" w:hAnsi="Palatino Linotype" w:cs="Palatino Linotype"/>
        </w:rPr>
      </w:pPr>
    </w:p>
    <w:p w:rsidR="00FA6217" w:rsidRPr="00EB3E7E" w:rsidRDefault="00FA6217" w:rsidP="00FA6217">
      <w:pPr>
        <w:ind w:left="567" w:right="-220"/>
        <w:jc w:val="both"/>
        <w:rPr>
          <w:rFonts w:ascii="Palatino Linotype" w:eastAsia="Palatino Linotype" w:hAnsi="Palatino Linotype" w:cs="Palatino Linotype"/>
          <w:i/>
        </w:rPr>
      </w:pPr>
      <w:r w:rsidRPr="00EB3E7E">
        <w:rPr>
          <w:rFonts w:ascii="Palatino Linotype" w:eastAsia="Palatino Linotype" w:hAnsi="Palatino Linotype" w:cs="Palatino Linotype"/>
          <w:i/>
        </w:rPr>
        <w:t>“</w:t>
      </w:r>
      <w:r w:rsidRPr="00EB3E7E">
        <w:rPr>
          <w:rFonts w:ascii="Palatino Linotype" w:eastAsia="Palatino Linotype" w:hAnsi="Palatino Linotype" w:cs="Palatino Linotype"/>
          <w:b/>
          <w:i/>
        </w:rPr>
        <w:t>Artículo 162.</w:t>
      </w:r>
      <w:r w:rsidRPr="00EB3E7E">
        <w:rPr>
          <w:rFonts w:ascii="Palatino Linotype" w:eastAsia="Palatino Linotype" w:hAnsi="Palatino Linotype" w:cs="Palatino Linotype"/>
          <w:i/>
        </w:rPr>
        <w:t xml:space="preserve"> Las unidades de transparencia deberán garantizar que las solicitudes se turnen a </w:t>
      </w:r>
      <w:r w:rsidRPr="00EB3E7E">
        <w:rPr>
          <w:rFonts w:ascii="Palatino Linotype" w:eastAsia="Palatino Linotype" w:hAnsi="Palatino Linotype" w:cs="Palatino Linotype"/>
          <w:b/>
          <w:i/>
        </w:rPr>
        <w:t>todas las Áreas competentes</w:t>
      </w:r>
      <w:r w:rsidRPr="00EB3E7E">
        <w:rPr>
          <w:rFonts w:ascii="Palatino Linotype" w:eastAsia="Palatino Linotype" w:hAnsi="Palatino Linotype" w:cs="Palatino Linotype"/>
          <w:i/>
        </w:rPr>
        <w:t xml:space="preserve"> que cuenten con la información o deban tenerla de acuerdo a sus facultades, competencias y funciones, </w:t>
      </w:r>
      <w:r w:rsidRPr="00EB3E7E">
        <w:rPr>
          <w:rFonts w:ascii="Palatino Linotype" w:eastAsia="Palatino Linotype" w:hAnsi="Palatino Linotype" w:cs="Palatino Linotype"/>
          <w:b/>
          <w:i/>
        </w:rPr>
        <w:t>con el objeto de que realicen una búsqueda exhaustiva y razonable de la información solicitada</w:t>
      </w:r>
      <w:r w:rsidRPr="00EB3E7E">
        <w:rPr>
          <w:rFonts w:ascii="Palatino Linotype" w:eastAsia="Palatino Linotype" w:hAnsi="Palatino Linotype" w:cs="Palatino Linotype"/>
          <w:i/>
        </w:rPr>
        <w:t>.”</w:t>
      </w:r>
    </w:p>
    <w:p w:rsidR="00FA6217" w:rsidRPr="00EB3E7E" w:rsidRDefault="00FA6217" w:rsidP="00FA6217">
      <w:pPr>
        <w:numPr>
          <w:ilvl w:val="0"/>
          <w:numId w:val="2"/>
        </w:numPr>
        <w:spacing w:line="360" w:lineRule="auto"/>
        <w:ind w:left="0" w:right="-787" w:firstLine="0"/>
        <w:jc w:val="both"/>
        <w:rPr>
          <w:rFonts w:ascii="Palatino Linotype" w:eastAsia="Palatino Linotype" w:hAnsi="Palatino Linotype" w:cs="Palatino Linotype"/>
          <w:b/>
          <w:color w:val="000000"/>
        </w:rPr>
      </w:pPr>
      <w:r w:rsidRPr="00EB3E7E">
        <w:rPr>
          <w:rFonts w:ascii="Palatino Linotype" w:eastAsia="Palatino Linotype" w:hAnsi="Palatino Linotype" w:cs="Palatino Linotype"/>
        </w:rPr>
        <w:lastRenderedPageBreak/>
        <w:t>El buscar exhaustivamente en sus archivos, es identificar la unidad(s) administrativa(s) que resguardan el documento al que una persona pretende acceder, es practicar una adecuada gestión documental que nos permite localizar el documento, como bien señala el artículo 159, de la Ley de Transparencia;  por lo que, se puede apreciar que probablemente se cuente con la información solicitada.</w:t>
      </w:r>
    </w:p>
    <w:p w:rsidR="00FA6217" w:rsidRPr="00EB3E7E" w:rsidRDefault="00FA6217" w:rsidP="00FA6217">
      <w:pPr>
        <w:pBdr>
          <w:top w:val="nil"/>
          <w:left w:val="nil"/>
          <w:bottom w:val="nil"/>
          <w:right w:val="nil"/>
          <w:between w:val="nil"/>
        </w:pBdr>
        <w:rPr>
          <w:rFonts w:ascii="Palatino Linotype" w:eastAsia="Palatino Linotype" w:hAnsi="Palatino Linotype" w:cs="Palatino Linotype"/>
          <w:b/>
          <w:color w:val="000000"/>
        </w:rPr>
      </w:pPr>
    </w:p>
    <w:p w:rsidR="00FA6217" w:rsidRPr="00EB3E7E" w:rsidRDefault="00FA6217" w:rsidP="00FA6217">
      <w:pPr>
        <w:numPr>
          <w:ilvl w:val="0"/>
          <w:numId w:val="2"/>
        </w:numPr>
        <w:spacing w:line="360" w:lineRule="auto"/>
        <w:ind w:left="0" w:right="-787" w:firstLine="0"/>
        <w:jc w:val="both"/>
        <w:rPr>
          <w:rFonts w:ascii="Palatino Linotype" w:eastAsia="Palatino Linotype" w:hAnsi="Palatino Linotype" w:cs="Palatino Linotype"/>
          <w:color w:val="000000"/>
        </w:rPr>
      </w:pPr>
      <w:r w:rsidRPr="00EB3E7E">
        <w:rPr>
          <w:rFonts w:ascii="Palatino Linotype" w:eastAsia="Palatino Linotype" w:hAnsi="Palatino Linotype" w:cs="Palatino Linotype"/>
        </w:rPr>
        <w:t xml:space="preserve">Por lo anterior, de la respuesta emitida a la solicitud de información, no se tiene la certeza de que efectivamente se haya llevado a cabo la búsqueda de lo requerido de manera razonable, en el soporte documental, electrónico, digital o cualquier otro que se albergan en los archivos de cada área que conforman al </w:t>
      </w:r>
      <w:r w:rsidRPr="00EB3E7E">
        <w:rPr>
          <w:rFonts w:ascii="Palatino Linotype" w:eastAsia="Palatino Linotype" w:hAnsi="Palatino Linotype" w:cs="Palatino Linotype"/>
          <w:b/>
        </w:rPr>
        <w:t>SUJETO OBLIGADO</w:t>
      </w:r>
      <w:r w:rsidRPr="00EB3E7E">
        <w:rPr>
          <w:rFonts w:ascii="Palatino Linotype" w:eastAsia="Palatino Linotype" w:hAnsi="Palatino Linotype" w:cs="Palatino Linotype"/>
        </w:rPr>
        <w:t xml:space="preserve"> y que derivado de sus funciones, atribuciones y competencias haya generado algún tipo de documento en el que se haya registrado lo solicitado. En ese sentido si no existe evidencia documental que acredite que en efecto, se haya realizado una búsqueda exhaustiva y razonable de lo solicitado, para poder confirmar que la respuesta es correcta.</w:t>
      </w:r>
    </w:p>
    <w:p w:rsidR="00FA6217" w:rsidRPr="00EB3E7E" w:rsidRDefault="00FA6217" w:rsidP="00FA6217">
      <w:pPr>
        <w:spacing w:line="360" w:lineRule="auto"/>
        <w:ind w:right="-787"/>
        <w:jc w:val="both"/>
        <w:rPr>
          <w:rFonts w:ascii="Palatino Linotype" w:eastAsia="Palatino Linotype" w:hAnsi="Palatino Linotype" w:cs="Palatino Linotype"/>
          <w:color w:val="000000"/>
        </w:rPr>
      </w:pPr>
    </w:p>
    <w:p w:rsidR="00FA6217" w:rsidRPr="00EB3E7E" w:rsidRDefault="00FA6217" w:rsidP="00FA6217">
      <w:pPr>
        <w:numPr>
          <w:ilvl w:val="0"/>
          <w:numId w:val="2"/>
        </w:numPr>
        <w:spacing w:line="360" w:lineRule="auto"/>
        <w:ind w:left="0" w:right="-787" w:firstLine="0"/>
        <w:jc w:val="both"/>
        <w:rPr>
          <w:color w:val="000000"/>
        </w:rPr>
      </w:pPr>
      <w:r w:rsidRPr="00EB3E7E">
        <w:rPr>
          <w:rFonts w:ascii="Palatino Linotype" w:eastAsia="Palatino Linotype" w:hAnsi="Palatino Linotype" w:cs="Palatino Linotype"/>
          <w:color w:val="000000"/>
        </w:rPr>
        <w:t xml:space="preserve">Es de </w:t>
      </w:r>
      <w:r w:rsidRPr="00EB3E7E">
        <w:rPr>
          <w:rFonts w:ascii="Palatino Linotype" w:eastAsia="Palatino Linotype" w:hAnsi="Palatino Linotype" w:cs="Palatino Linotype"/>
        </w:rPr>
        <w:t>subrayar</w:t>
      </w:r>
      <w:r w:rsidRPr="00EB3E7E">
        <w:rPr>
          <w:rFonts w:ascii="Palatino Linotype" w:eastAsia="Palatino Linotype" w:hAnsi="Palatino Linotype" w:cs="Palatino Linotype"/>
          <w:color w:val="000000"/>
        </w:rPr>
        <w:t xml:space="preserve"> que el derecho de acceso a la información pública, consiste en que la información </w:t>
      </w:r>
      <w:r w:rsidRPr="00EB3E7E">
        <w:rPr>
          <w:rFonts w:ascii="Palatino Linotype" w:eastAsia="Palatino Linotype" w:hAnsi="Palatino Linotype" w:cs="Palatino Linotype"/>
        </w:rPr>
        <w:t>solicitada</w:t>
      </w:r>
      <w:r w:rsidRPr="00EB3E7E">
        <w:rPr>
          <w:rFonts w:ascii="Palatino Linotype" w:eastAsia="Palatino Linotype" w:hAnsi="Palatino Linotype" w:cs="Palatino Linotype"/>
          <w:color w:val="000000"/>
        </w:rPr>
        <w:t xml:space="preserve">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FA6217" w:rsidRPr="00EB3E7E" w:rsidRDefault="00FA6217" w:rsidP="00FA6217">
      <w:pPr>
        <w:spacing w:line="360" w:lineRule="auto"/>
        <w:ind w:right="-787"/>
        <w:jc w:val="both"/>
        <w:rPr>
          <w:color w:val="000000"/>
        </w:rPr>
      </w:pPr>
    </w:p>
    <w:p w:rsidR="00FA6217" w:rsidRPr="00EB3E7E" w:rsidRDefault="00FA6217" w:rsidP="00FA6217">
      <w:pPr>
        <w:ind w:left="567" w:right="-220"/>
        <w:jc w:val="both"/>
        <w:rPr>
          <w:rFonts w:ascii="Palatino Linotype" w:eastAsia="Palatino Linotype" w:hAnsi="Palatino Linotype" w:cs="Palatino Linotype"/>
          <w:i/>
          <w:color w:val="000000"/>
        </w:rPr>
      </w:pPr>
      <w:r w:rsidRPr="00EB3E7E">
        <w:rPr>
          <w:rFonts w:ascii="Palatino Linotype" w:eastAsia="Palatino Linotype" w:hAnsi="Palatino Linotype" w:cs="Palatino Linotype"/>
          <w:i/>
          <w:color w:val="000000"/>
        </w:rPr>
        <w:t>“</w:t>
      </w:r>
      <w:r w:rsidRPr="00EB3E7E">
        <w:rPr>
          <w:rFonts w:ascii="Palatino Linotype" w:eastAsia="Palatino Linotype" w:hAnsi="Palatino Linotype" w:cs="Palatino Linotype"/>
          <w:b/>
          <w:i/>
          <w:color w:val="000000"/>
        </w:rPr>
        <w:t xml:space="preserve">Artículo 3. </w:t>
      </w:r>
      <w:r w:rsidRPr="00EB3E7E">
        <w:rPr>
          <w:rFonts w:ascii="Palatino Linotype" w:eastAsia="Palatino Linotype" w:hAnsi="Palatino Linotype" w:cs="Palatino Linotype"/>
          <w:i/>
          <w:color w:val="000000"/>
        </w:rPr>
        <w:t>Para los efectos de la presente Ley se entenderá por:</w:t>
      </w:r>
    </w:p>
    <w:p w:rsidR="00FA6217" w:rsidRPr="00EB3E7E" w:rsidRDefault="00FA6217" w:rsidP="00FA6217">
      <w:pPr>
        <w:ind w:left="567" w:right="-220"/>
        <w:jc w:val="both"/>
        <w:rPr>
          <w:rFonts w:ascii="Palatino Linotype" w:eastAsia="Palatino Linotype" w:hAnsi="Palatino Linotype" w:cs="Palatino Linotype"/>
          <w:i/>
          <w:color w:val="000000"/>
        </w:rPr>
      </w:pPr>
      <w:r w:rsidRPr="00EB3E7E">
        <w:rPr>
          <w:rFonts w:ascii="Palatino Linotype" w:eastAsia="Palatino Linotype" w:hAnsi="Palatino Linotype" w:cs="Palatino Linotype"/>
          <w:i/>
          <w:color w:val="000000"/>
        </w:rPr>
        <w:lastRenderedPageBreak/>
        <w:t>(…)</w:t>
      </w:r>
    </w:p>
    <w:p w:rsidR="00FA6217" w:rsidRPr="00EB3E7E" w:rsidRDefault="00FA6217" w:rsidP="00FA6217">
      <w:pPr>
        <w:ind w:left="567" w:right="-220"/>
        <w:jc w:val="both"/>
        <w:rPr>
          <w:rFonts w:ascii="Palatino Linotype" w:eastAsia="Palatino Linotype" w:hAnsi="Palatino Linotype" w:cs="Palatino Linotype"/>
          <w:i/>
          <w:color w:val="000000"/>
        </w:rPr>
      </w:pPr>
      <w:r w:rsidRPr="00EB3E7E">
        <w:rPr>
          <w:rFonts w:ascii="Palatino Linotype" w:eastAsia="Palatino Linotype" w:hAnsi="Palatino Linotype" w:cs="Palatino Linotype"/>
          <w:b/>
          <w:i/>
          <w:color w:val="000000"/>
        </w:rPr>
        <w:t>XI. Documento:</w:t>
      </w:r>
      <w:r w:rsidRPr="00EB3E7E">
        <w:rPr>
          <w:rFonts w:ascii="Palatino Linotype" w:eastAsia="Palatino Linotype" w:hAnsi="Palatino Linotype" w:cs="Palatino Linotype"/>
          <w:i/>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FA6217" w:rsidRPr="00EB3E7E" w:rsidRDefault="00FA6217" w:rsidP="00FA6217">
      <w:pPr>
        <w:spacing w:line="360" w:lineRule="auto"/>
        <w:ind w:left="567" w:right="-220"/>
        <w:jc w:val="both"/>
        <w:rPr>
          <w:rFonts w:ascii="Palatino Linotype" w:eastAsia="Palatino Linotype" w:hAnsi="Palatino Linotype" w:cs="Palatino Linotype"/>
          <w:i/>
          <w:color w:val="000000"/>
        </w:rPr>
      </w:pPr>
      <w:r w:rsidRPr="00EB3E7E">
        <w:rPr>
          <w:rFonts w:ascii="Palatino Linotype" w:eastAsia="Palatino Linotype" w:hAnsi="Palatino Linotype" w:cs="Palatino Linotype"/>
          <w:i/>
          <w:color w:val="000000"/>
        </w:rPr>
        <w:t>(…)”</w:t>
      </w:r>
    </w:p>
    <w:p w:rsidR="00FA6217" w:rsidRPr="00EB3E7E" w:rsidRDefault="00FA6217" w:rsidP="00FA6217">
      <w:pPr>
        <w:ind w:right="-787"/>
        <w:jc w:val="both"/>
        <w:rPr>
          <w:rFonts w:ascii="Palatino Linotype" w:eastAsia="Palatino Linotype" w:hAnsi="Palatino Linotype" w:cs="Palatino Linotype"/>
        </w:rPr>
      </w:pPr>
    </w:p>
    <w:p w:rsidR="00FA6217" w:rsidRPr="00EB3E7E" w:rsidRDefault="00FA6217" w:rsidP="00FA6217">
      <w:pPr>
        <w:numPr>
          <w:ilvl w:val="0"/>
          <w:numId w:val="2"/>
        </w:numPr>
        <w:spacing w:line="360" w:lineRule="auto"/>
        <w:ind w:left="0" w:right="-787" w:firstLine="0"/>
        <w:jc w:val="both"/>
        <w:rPr>
          <w:color w:val="000000"/>
        </w:rPr>
      </w:pPr>
      <w:r w:rsidRPr="00EB3E7E">
        <w:rPr>
          <w:rFonts w:ascii="Palatino Linotype" w:eastAsia="Palatino Linotype" w:hAnsi="Palatino Linotype" w:cs="Palatino Linotype"/>
          <w:color w:val="000000"/>
        </w:rPr>
        <w:t xml:space="preserve">Siendo aplicable el Criterio de interpretación en el orden administrativo número 0002-11, emitido por </w:t>
      </w:r>
      <w:r w:rsidRPr="00EB3E7E">
        <w:rPr>
          <w:rFonts w:ascii="Palatino Linotype" w:eastAsia="Palatino Linotype" w:hAnsi="Palatino Linotype" w:cs="Palatino Linotype"/>
        </w:rPr>
        <w:t>Acuerdo</w:t>
      </w:r>
      <w:r w:rsidRPr="00EB3E7E">
        <w:rPr>
          <w:rFonts w:ascii="Palatino Linotype" w:eastAsia="Palatino Linotype" w:hAnsi="Palatino Linotype" w:cs="Palatino Linotype"/>
          <w:color w:val="000000"/>
        </w:rPr>
        <w:t xml:space="preserve"> del Pleno del Instituto de Transparencia y Acceso a la Información Pública del Estado de México y Municipios; publicado en el Periódico Oficial del Gobierno del Estado Libre y </w:t>
      </w:r>
      <w:r w:rsidRPr="00EB3E7E">
        <w:rPr>
          <w:rFonts w:ascii="Palatino Linotype" w:eastAsia="Palatino Linotype" w:hAnsi="Palatino Linotype" w:cs="Palatino Linotype"/>
        </w:rPr>
        <w:t>Soberano</w:t>
      </w:r>
      <w:r w:rsidRPr="00EB3E7E">
        <w:rPr>
          <w:rFonts w:ascii="Palatino Linotype" w:eastAsia="Palatino Linotype" w:hAnsi="Palatino Linotype" w:cs="Palatino Linotype"/>
          <w:color w:val="000000"/>
        </w:rPr>
        <w:t xml:space="preserve"> de México “Gaceta del Gobierno”, el diecinueve de octubre de dos mil once, cuyo rubro y texto dispone:</w:t>
      </w:r>
    </w:p>
    <w:p w:rsidR="00FA6217" w:rsidRPr="00EB3E7E" w:rsidRDefault="00FA6217" w:rsidP="00FA6217">
      <w:pPr>
        <w:spacing w:line="360" w:lineRule="auto"/>
        <w:ind w:right="-787"/>
        <w:jc w:val="both"/>
        <w:rPr>
          <w:color w:val="000000"/>
        </w:rPr>
      </w:pPr>
    </w:p>
    <w:p w:rsidR="00FA6217" w:rsidRPr="00EB3E7E" w:rsidRDefault="00FA6217" w:rsidP="00FA6217">
      <w:pPr>
        <w:ind w:left="567" w:right="-220"/>
        <w:jc w:val="both"/>
        <w:rPr>
          <w:rFonts w:ascii="Palatino Linotype" w:eastAsia="Palatino Linotype" w:hAnsi="Palatino Linotype" w:cs="Palatino Linotype"/>
          <w:b/>
          <w:i/>
        </w:rPr>
      </w:pPr>
      <w:r w:rsidRPr="00EB3E7E">
        <w:rPr>
          <w:rFonts w:ascii="Palatino Linotype" w:eastAsia="Palatino Linotype" w:hAnsi="Palatino Linotype" w:cs="Palatino Linotype"/>
          <w:b/>
        </w:rPr>
        <w:t>“</w:t>
      </w:r>
      <w:r w:rsidRPr="00EB3E7E">
        <w:rPr>
          <w:rFonts w:ascii="Palatino Linotype" w:eastAsia="Palatino Linotype" w:hAnsi="Palatino Linotype" w:cs="Palatino Linotype"/>
          <w:b/>
          <w:i/>
        </w:rPr>
        <w:t>CRITERIO 0002-11</w:t>
      </w:r>
    </w:p>
    <w:p w:rsidR="00FA6217" w:rsidRPr="00EB3E7E" w:rsidRDefault="00FA6217" w:rsidP="00FA6217">
      <w:pPr>
        <w:ind w:left="567" w:right="-220"/>
        <w:jc w:val="both"/>
        <w:rPr>
          <w:rFonts w:ascii="Palatino Linotype" w:eastAsia="Palatino Linotype" w:hAnsi="Palatino Linotype" w:cs="Palatino Linotype"/>
          <w:i/>
        </w:rPr>
      </w:pPr>
      <w:r w:rsidRPr="00EB3E7E">
        <w:rPr>
          <w:rFonts w:ascii="Palatino Linotype" w:eastAsia="Palatino Linotype" w:hAnsi="Palatino Linotype" w:cs="Palatino Linotype"/>
          <w:b/>
          <w:i/>
        </w:rPr>
        <w:t>INFORMACIÓN PÚBLICA, CONCEPTO DE, EN MATERIA DE TRANSPARENCIA. INTERPRETACIÓN SISTEMÁTICA DE LOS ARTÍCULOS 2°, FRACCIÓN V, XV, Y XVI, 3°, 4°, 11 Y 41.</w:t>
      </w:r>
      <w:r w:rsidRPr="00EB3E7E">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FA6217" w:rsidRPr="00EB3E7E" w:rsidRDefault="00FA6217" w:rsidP="00FA6217">
      <w:pPr>
        <w:ind w:left="567" w:right="-220"/>
        <w:jc w:val="both"/>
        <w:rPr>
          <w:rFonts w:ascii="Palatino Linotype" w:eastAsia="Palatino Linotype" w:hAnsi="Palatino Linotype" w:cs="Palatino Linotype"/>
          <w:i/>
        </w:rPr>
      </w:pPr>
      <w:r w:rsidRPr="00EB3E7E">
        <w:rPr>
          <w:rFonts w:ascii="Palatino Linotype" w:eastAsia="Palatino Linotype" w:hAnsi="Palatino Linotype" w:cs="Palatino Linotype"/>
          <w:i/>
        </w:rPr>
        <w:t>En consecuencia el acceso a la información se refiere a que se cumplan cualquiera de los siguientes tres supuestos:</w:t>
      </w:r>
    </w:p>
    <w:p w:rsidR="00FA6217" w:rsidRPr="00EB3E7E" w:rsidRDefault="00FA6217" w:rsidP="00FA6217">
      <w:pPr>
        <w:ind w:left="567" w:right="-220"/>
        <w:jc w:val="both"/>
        <w:rPr>
          <w:rFonts w:ascii="Palatino Linotype" w:eastAsia="Palatino Linotype" w:hAnsi="Palatino Linotype" w:cs="Palatino Linotype"/>
          <w:b/>
          <w:i/>
        </w:rPr>
      </w:pPr>
      <w:r w:rsidRPr="00EB3E7E">
        <w:rPr>
          <w:rFonts w:ascii="Palatino Linotype" w:eastAsia="Palatino Linotype" w:hAnsi="Palatino Linotype" w:cs="Palatino Linotype"/>
          <w:b/>
          <w:i/>
        </w:rPr>
        <w:t xml:space="preserve">1) </w:t>
      </w:r>
      <w:r w:rsidRPr="00EB3E7E">
        <w:rPr>
          <w:rFonts w:ascii="Palatino Linotype" w:eastAsia="Palatino Linotype" w:hAnsi="Palatino Linotype" w:cs="Palatino Linotype"/>
          <w:b/>
          <w:i/>
          <w:u w:val="single"/>
        </w:rPr>
        <w:t>Que se trate de información registrada en cualquier soporte documental, que en ejercicio de las atribuciones conferidas, sea generada por los Sujetos Obligados;</w:t>
      </w:r>
    </w:p>
    <w:p w:rsidR="00FA6217" w:rsidRPr="00EB3E7E" w:rsidRDefault="00FA6217" w:rsidP="00FA6217">
      <w:pPr>
        <w:ind w:left="567" w:right="-220"/>
        <w:jc w:val="both"/>
        <w:rPr>
          <w:rFonts w:ascii="Palatino Linotype" w:eastAsia="Palatino Linotype" w:hAnsi="Palatino Linotype" w:cs="Palatino Linotype"/>
          <w:i/>
        </w:rPr>
      </w:pPr>
      <w:r w:rsidRPr="00EB3E7E">
        <w:rPr>
          <w:rFonts w:ascii="Palatino Linotype" w:eastAsia="Palatino Linotype" w:hAnsi="Palatino Linotype" w:cs="Palatino Linotype"/>
          <w:i/>
        </w:rPr>
        <w:t>2) Que se trate de información registrada en cualquier soporte documental, que en ejercicio de las atribuciones conferidas, sea administrada por los Sujetos Obligados, y</w:t>
      </w:r>
    </w:p>
    <w:p w:rsidR="00FA6217" w:rsidRPr="00EB3E7E" w:rsidRDefault="00FA6217" w:rsidP="00FA6217">
      <w:pPr>
        <w:ind w:left="567" w:right="-220"/>
        <w:jc w:val="both"/>
        <w:rPr>
          <w:rFonts w:ascii="Palatino Linotype" w:eastAsia="Palatino Linotype" w:hAnsi="Palatino Linotype" w:cs="Palatino Linotype"/>
          <w:i/>
        </w:rPr>
      </w:pPr>
      <w:r w:rsidRPr="00EB3E7E">
        <w:rPr>
          <w:rFonts w:ascii="Palatino Linotype" w:eastAsia="Palatino Linotype" w:hAnsi="Palatino Linotype" w:cs="Palatino Linotype"/>
          <w:i/>
        </w:rPr>
        <w:t>3) Que se trate de información registrada en cualquier soporte documental, que en ejercicio de las atribuciones conferidas, se encuentre en posesión de los Sujetos Obligados.”</w:t>
      </w:r>
    </w:p>
    <w:p w:rsidR="00FA6217" w:rsidRPr="00EB3E7E" w:rsidRDefault="00FA6217" w:rsidP="00FA6217">
      <w:pPr>
        <w:tabs>
          <w:tab w:val="left" w:pos="851"/>
        </w:tabs>
        <w:spacing w:line="360" w:lineRule="auto"/>
        <w:ind w:left="567" w:right="-220"/>
        <w:rPr>
          <w:rFonts w:ascii="Palatino Linotype" w:eastAsia="Palatino Linotype" w:hAnsi="Palatino Linotype" w:cs="Palatino Linotype"/>
        </w:rPr>
      </w:pPr>
      <w:r w:rsidRPr="00EB3E7E">
        <w:rPr>
          <w:rFonts w:ascii="Palatino Linotype" w:eastAsia="Palatino Linotype" w:hAnsi="Palatino Linotype" w:cs="Palatino Linotype"/>
        </w:rPr>
        <w:t>(Énfasis Añadido)</w:t>
      </w:r>
    </w:p>
    <w:p w:rsidR="00FA6217" w:rsidRPr="00EB3E7E" w:rsidRDefault="00FA6217" w:rsidP="00FA6217">
      <w:pPr>
        <w:numPr>
          <w:ilvl w:val="0"/>
          <w:numId w:val="2"/>
        </w:numPr>
        <w:spacing w:line="360" w:lineRule="auto"/>
        <w:ind w:left="0" w:right="-787" w:firstLine="0"/>
        <w:jc w:val="both"/>
        <w:rPr>
          <w:color w:val="000000"/>
        </w:rPr>
      </w:pPr>
      <w:r w:rsidRPr="00EB3E7E">
        <w:rPr>
          <w:rFonts w:ascii="Palatino Linotype" w:eastAsia="Palatino Linotype" w:hAnsi="Palatino Linotype" w:cs="Palatino Linotype"/>
          <w:color w:val="000000"/>
        </w:rPr>
        <w:lastRenderedPageBreak/>
        <w:t xml:space="preserve">Por su parte </w:t>
      </w:r>
      <w:r w:rsidRPr="00EB3E7E">
        <w:rPr>
          <w:rFonts w:ascii="Palatino Linotype" w:eastAsia="Palatino Linotype" w:hAnsi="Palatino Linotype" w:cs="Palatino Linotype"/>
        </w:rPr>
        <w:t>los</w:t>
      </w:r>
      <w:r w:rsidRPr="00EB3E7E">
        <w:rPr>
          <w:rFonts w:ascii="Palatino Linotype" w:eastAsia="Palatino Linotype" w:hAnsi="Palatino Linotype" w:cs="Palatino Linotype"/>
          <w:color w:val="000000"/>
        </w:rPr>
        <w:t xml:space="preserve"> artículos 160 y 166, de la Ley local en la materia, que se reproduce de la siguiente </w:t>
      </w:r>
      <w:r w:rsidRPr="00EB3E7E">
        <w:rPr>
          <w:rFonts w:ascii="Palatino Linotype" w:eastAsia="Palatino Linotype" w:hAnsi="Palatino Linotype" w:cs="Palatino Linotype"/>
        </w:rPr>
        <w:t>forma</w:t>
      </w:r>
      <w:r w:rsidRPr="00EB3E7E">
        <w:rPr>
          <w:rFonts w:ascii="Palatino Linotype" w:eastAsia="Palatino Linotype" w:hAnsi="Palatino Linotype" w:cs="Palatino Linotype"/>
          <w:color w:val="000000"/>
        </w:rPr>
        <w:t>:</w:t>
      </w:r>
    </w:p>
    <w:p w:rsidR="00FA6217" w:rsidRPr="00EB3E7E" w:rsidRDefault="00FA6217" w:rsidP="00FA6217">
      <w:pPr>
        <w:spacing w:line="360" w:lineRule="auto"/>
        <w:ind w:right="-787"/>
        <w:jc w:val="both"/>
        <w:rPr>
          <w:color w:val="000000"/>
        </w:rPr>
      </w:pPr>
    </w:p>
    <w:p w:rsidR="00FA6217" w:rsidRPr="00EB3E7E" w:rsidRDefault="00FA6217" w:rsidP="00FA6217">
      <w:pPr>
        <w:ind w:left="566" w:right="-220"/>
        <w:jc w:val="both"/>
        <w:rPr>
          <w:rFonts w:ascii="Palatino Linotype" w:eastAsia="Palatino Linotype" w:hAnsi="Palatino Linotype" w:cs="Palatino Linotype"/>
          <w:i/>
        </w:rPr>
      </w:pPr>
      <w:r w:rsidRPr="00EB3E7E">
        <w:rPr>
          <w:rFonts w:ascii="Palatino Linotype" w:eastAsia="Palatino Linotype" w:hAnsi="Palatino Linotype" w:cs="Palatino Linotype"/>
          <w:i/>
        </w:rPr>
        <w:t>“</w:t>
      </w:r>
      <w:r w:rsidRPr="00EB3E7E">
        <w:rPr>
          <w:rFonts w:ascii="Palatino Linotype" w:eastAsia="Palatino Linotype" w:hAnsi="Palatino Linotype" w:cs="Palatino Linotype"/>
          <w:b/>
          <w:i/>
        </w:rPr>
        <w:t>Artículo 160.</w:t>
      </w:r>
      <w:r w:rsidRPr="00EB3E7E">
        <w:rPr>
          <w:rFonts w:ascii="Palatino Linotype" w:eastAsia="Palatino Linotype" w:hAnsi="Palatino Linotype" w:cs="Palatino Linotype"/>
          <w:i/>
        </w:rPr>
        <w:t xml:space="preserve"> </w:t>
      </w:r>
      <w:r w:rsidRPr="00EB3E7E">
        <w:rPr>
          <w:rFonts w:ascii="Palatino Linotype" w:eastAsia="Palatino Linotype" w:hAnsi="Palatino Linotype" w:cs="Palatino Linotype"/>
          <w:i/>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sidRPr="00EB3E7E">
        <w:rPr>
          <w:rFonts w:ascii="Palatino Linotype" w:eastAsia="Palatino Linotype" w:hAnsi="Palatino Linotype" w:cs="Palatino Linotype"/>
          <w:i/>
        </w:rPr>
        <w:t>.</w:t>
      </w:r>
    </w:p>
    <w:p w:rsidR="00FA6217" w:rsidRPr="00EB3E7E" w:rsidRDefault="00FA6217" w:rsidP="00FA6217">
      <w:pPr>
        <w:ind w:left="566" w:right="-220"/>
        <w:jc w:val="both"/>
        <w:rPr>
          <w:rFonts w:ascii="Palatino Linotype" w:eastAsia="Palatino Linotype" w:hAnsi="Palatino Linotype" w:cs="Palatino Linotype"/>
          <w:i/>
        </w:rPr>
      </w:pPr>
    </w:p>
    <w:p w:rsidR="00FA6217" w:rsidRPr="00EB3E7E" w:rsidRDefault="00FA6217" w:rsidP="00FA6217">
      <w:pPr>
        <w:ind w:left="566" w:right="-220"/>
        <w:jc w:val="both"/>
        <w:rPr>
          <w:rFonts w:ascii="Palatino Linotype" w:eastAsia="Palatino Linotype" w:hAnsi="Palatino Linotype" w:cs="Palatino Linotype"/>
          <w:i/>
        </w:rPr>
      </w:pPr>
      <w:r w:rsidRPr="00EB3E7E">
        <w:rPr>
          <w:rFonts w:ascii="Palatino Linotype" w:eastAsia="Palatino Linotype" w:hAnsi="Palatino Linotype" w:cs="Palatino Linotype"/>
          <w:i/>
        </w:rPr>
        <w:t>En caso que la información solicitada consista en bases de datos se deberá privilegiar la entrega de la misma en formatos abiertos.</w:t>
      </w:r>
    </w:p>
    <w:p w:rsidR="00FA6217" w:rsidRPr="00EB3E7E" w:rsidRDefault="00FA6217" w:rsidP="00FA6217">
      <w:pPr>
        <w:ind w:left="566" w:right="-220"/>
        <w:jc w:val="both"/>
        <w:rPr>
          <w:rFonts w:ascii="Palatino Linotype" w:eastAsia="Palatino Linotype" w:hAnsi="Palatino Linotype" w:cs="Palatino Linotype"/>
          <w:i/>
          <w:u w:val="single"/>
        </w:rPr>
      </w:pPr>
      <w:r w:rsidRPr="00EB3E7E">
        <w:rPr>
          <w:rFonts w:ascii="Palatino Linotype" w:eastAsia="Palatino Linotype" w:hAnsi="Palatino Linotype" w:cs="Palatino Linotype"/>
          <w:b/>
          <w:i/>
        </w:rPr>
        <w:t>Artículo 166.</w:t>
      </w:r>
      <w:r w:rsidRPr="00EB3E7E">
        <w:rPr>
          <w:rFonts w:ascii="Palatino Linotype" w:eastAsia="Palatino Linotype" w:hAnsi="Palatino Linotype" w:cs="Palatino Linotype"/>
          <w:i/>
        </w:rPr>
        <w:t xml:space="preserve"> </w:t>
      </w:r>
      <w:r w:rsidRPr="00EB3E7E">
        <w:rPr>
          <w:rFonts w:ascii="Palatino Linotype" w:eastAsia="Palatino Linotype" w:hAnsi="Palatino Linotype" w:cs="Palatino Linotype"/>
          <w:i/>
          <w:u w:val="single"/>
        </w:rPr>
        <w:t>La obligación de acceso a la información pública se tendrá por cumplida cuando el solicitante tenga a su disposición la información requerida, o cuando realice la consulta de la misma en el lugar en el que ésta se localice.</w:t>
      </w:r>
    </w:p>
    <w:p w:rsidR="00FA6217" w:rsidRPr="00EB3E7E" w:rsidRDefault="00FA6217" w:rsidP="00FA6217">
      <w:pPr>
        <w:spacing w:line="360" w:lineRule="auto"/>
        <w:ind w:left="566" w:right="-220"/>
        <w:jc w:val="both"/>
        <w:rPr>
          <w:rFonts w:ascii="Palatino Linotype" w:eastAsia="Palatino Linotype" w:hAnsi="Palatino Linotype" w:cs="Palatino Linotype"/>
        </w:rPr>
      </w:pPr>
      <w:r w:rsidRPr="00EB3E7E">
        <w:rPr>
          <w:rFonts w:ascii="Palatino Linotype" w:eastAsia="Palatino Linotype" w:hAnsi="Palatino Linotype" w:cs="Palatino Linotype"/>
        </w:rPr>
        <w:t>(Énfasis añadido)</w:t>
      </w:r>
    </w:p>
    <w:p w:rsidR="00FA6217" w:rsidRPr="00EB3E7E" w:rsidRDefault="00FA6217" w:rsidP="00FA6217">
      <w:pPr>
        <w:ind w:right="-787"/>
        <w:jc w:val="both"/>
        <w:rPr>
          <w:rFonts w:ascii="Palatino Linotype" w:eastAsia="Palatino Linotype" w:hAnsi="Palatino Linotype" w:cs="Palatino Linotype"/>
        </w:rPr>
      </w:pPr>
    </w:p>
    <w:p w:rsidR="00FA6217" w:rsidRPr="00EB3E7E" w:rsidRDefault="00FA6217" w:rsidP="00FA6217">
      <w:pPr>
        <w:numPr>
          <w:ilvl w:val="0"/>
          <w:numId w:val="2"/>
        </w:numPr>
        <w:spacing w:line="360" w:lineRule="auto"/>
        <w:ind w:left="0" w:right="-787" w:firstLine="0"/>
        <w:jc w:val="both"/>
        <w:rPr>
          <w:color w:val="000000"/>
        </w:rPr>
      </w:pPr>
      <w:r w:rsidRPr="00EB3E7E">
        <w:rPr>
          <w:rFonts w:ascii="Palatino Linotype" w:eastAsia="Palatino Linotype" w:hAnsi="Palatino Linotype" w:cs="Palatino Linotype"/>
          <w:color w:val="000000"/>
        </w:rPr>
        <w:t xml:space="preserve">Así que la obligación de los Sujetos Obligados de dar acceso a la información pública que generen, </w:t>
      </w:r>
      <w:r w:rsidRPr="00EB3E7E">
        <w:rPr>
          <w:rFonts w:ascii="Palatino Linotype" w:eastAsia="Palatino Linotype" w:hAnsi="Palatino Linotype" w:cs="Palatino Linotype"/>
        </w:rPr>
        <w:t>administren</w:t>
      </w:r>
      <w:r w:rsidRPr="00EB3E7E">
        <w:rPr>
          <w:rFonts w:ascii="Palatino Linotype" w:eastAsia="Palatino Linotype" w:hAnsi="Palatino Linotype" w:cs="Palatino Linotype"/>
          <w:color w:val="000000"/>
        </w:rPr>
        <w:t xml:space="preserve"> o posean, se tendrá por cumplida cuando el solicitante tenga a su disposición la información requerida, o cuando realice la consulta de la misma en el lugar que ésta se localice, siempre y cuando así resultare procedente.</w:t>
      </w:r>
    </w:p>
    <w:p w:rsidR="00FA6217" w:rsidRPr="00EB3E7E" w:rsidRDefault="00FA6217" w:rsidP="00FA6217">
      <w:pPr>
        <w:spacing w:line="360" w:lineRule="auto"/>
        <w:ind w:right="-787"/>
        <w:jc w:val="both"/>
        <w:rPr>
          <w:color w:val="000000"/>
        </w:rPr>
      </w:pPr>
    </w:p>
    <w:p w:rsidR="00FA6217" w:rsidRPr="00EB3E7E" w:rsidRDefault="00FA6217" w:rsidP="00E3253B">
      <w:pPr>
        <w:numPr>
          <w:ilvl w:val="0"/>
          <w:numId w:val="2"/>
        </w:numPr>
        <w:spacing w:line="360" w:lineRule="auto"/>
        <w:ind w:left="0" w:right="-787" w:firstLine="0"/>
        <w:jc w:val="both"/>
        <w:rPr>
          <w:rFonts w:ascii="Palatino Linotype" w:eastAsia="Palatino Linotype" w:hAnsi="Palatino Linotype" w:cs="Palatino Linotype"/>
        </w:rPr>
      </w:pPr>
      <w:r w:rsidRPr="00EB3E7E">
        <w:rPr>
          <w:rFonts w:ascii="Palatino Linotype" w:eastAsia="Palatino Linotype" w:hAnsi="Palatino Linotype" w:cs="Palatino Linotype"/>
        </w:rPr>
        <w:t xml:space="preserve">Ahora bien, es de recordar que el particular solicitó tener acceso a la información siguiente: </w:t>
      </w:r>
      <w:r w:rsidRPr="00EB3E7E">
        <w:rPr>
          <w:rFonts w:ascii="Palatino Linotype" w:eastAsia="Palatino Linotype" w:hAnsi="Palatino Linotype" w:cs="Palatino Linotype"/>
          <w:i/>
          <w:u w:val="single"/>
        </w:rPr>
        <w:t>De la servidora pública referida en la solicitud de información: 1) ¿Por qué se ausento en días laborables de su lugar de trabajo, específicamente los días 1, 2 y 3 de Octubre del año 2025? Y 2) ¿Se hicieron sus descuentos y deducciones correspondientes?</w:t>
      </w:r>
      <w:r w:rsidR="00E3253B" w:rsidRPr="00EB3E7E">
        <w:rPr>
          <w:rFonts w:ascii="Palatino Linotype" w:eastAsia="Palatino Linotype" w:hAnsi="Palatino Linotype" w:cs="Palatino Linotype"/>
        </w:rPr>
        <w:t>, en respuesta la Titular de la Dirección de Servicios Públicos, refirió que el requerimiento corresponde  a un derecho de petición y no un derecho de acceso a la información. Asimismo señala que para presentar quejas sobre conductas internas de los servidores públicos puede acudir al Órgano Interno de Control</w:t>
      </w:r>
      <w:r w:rsidR="00A643E5" w:rsidRPr="00EB3E7E">
        <w:rPr>
          <w:rFonts w:ascii="Palatino Linotype" w:eastAsia="Palatino Linotype" w:hAnsi="Palatino Linotype" w:cs="Palatino Linotype"/>
        </w:rPr>
        <w:t xml:space="preserve">, en </w:t>
      </w:r>
      <w:r w:rsidR="00A643E5" w:rsidRPr="00EB3E7E">
        <w:rPr>
          <w:rFonts w:ascii="Palatino Linotype" w:eastAsia="Palatino Linotype" w:hAnsi="Palatino Linotype" w:cs="Palatino Linotype"/>
        </w:rPr>
        <w:lastRenderedPageBreak/>
        <w:t>consecuencia el recurrente se dolió porque considero que la respuesta proporcionada no guarda relación con lo solicitado, posteriormente las partes fueron omisas en realizar las manifestaciones que a su derecho conviniera y asistiera.</w:t>
      </w:r>
    </w:p>
    <w:p w:rsidR="007A26F5" w:rsidRPr="00EB3E7E" w:rsidRDefault="007A26F5" w:rsidP="007A26F5">
      <w:pPr>
        <w:spacing w:line="360" w:lineRule="auto"/>
        <w:ind w:right="-787"/>
        <w:jc w:val="both"/>
        <w:rPr>
          <w:rFonts w:ascii="Palatino Linotype" w:eastAsia="Palatino Linotype" w:hAnsi="Palatino Linotype" w:cs="Palatino Linotype"/>
        </w:rPr>
      </w:pPr>
    </w:p>
    <w:p w:rsidR="007A26F5" w:rsidRPr="00EB3E7E" w:rsidRDefault="007A26F5" w:rsidP="007A26F5">
      <w:pPr>
        <w:numPr>
          <w:ilvl w:val="0"/>
          <w:numId w:val="2"/>
        </w:numPr>
        <w:spacing w:line="360" w:lineRule="auto"/>
        <w:ind w:left="0" w:right="-787" w:firstLine="0"/>
        <w:jc w:val="both"/>
        <w:rPr>
          <w:rFonts w:ascii="Palatino Linotype" w:eastAsia="Palatino Linotype" w:hAnsi="Palatino Linotype" w:cs="Palatino Linotype"/>
          <w:i/>
          <w:u w:val="single"/>
        </w:rPr>
      </w:pPr>
      <w:r w:rsidRPr="00EB3E7E">
        <w:rPr>
          <w:rFonts w:ascii="Palatino Linotype" w:eastAsia="Palatino Linotype" w:hAnsi="Palatino Linotype" w:cs="Palatino Linotype"/>
        </w:rPr>
        <w:t xml:space="preserve"> De lo expuesto</w:t>
      </w:r>
      <w:r w:rsidR="00EA2191" w:rsidRPr="00EB3E7E">
        <w:rPr>
          <w:rFonts w:ascii="Palatino Linotype" w:eastAsia="Palatino Linotype" w:hAnsi="Palatino Linotype" w:cs="Palatino Linotype"/>
        </w:rPr>
        <w:t>,</w:t>
      </w:r>
      <w:r w:rsidRPr="00EB3E7E">
        <w:rPr>
          <w:rFonts w:ascii="Palatino Linotype" w:eastAsia="Palatino Linotype" w:hAnsi="Palatino Linotype" w:cs="Palatino Linotype"/>
        </w:rPr>
        <w:t xml:space="preserve"> en relación al punto de solicitud </w:t>
      </w:r>
      <w:r w:rsidRPr="00EB3E7E">
        <w:rPr>
          <w:rFonts w:ascii="Palatino Linotype" w:eastAsia="Palatino Linotype" w:hAnsi="Palatino Linotype" w:cs="Palatino Linotype"/>
          <w:i/>
          <w:u w:val="single"/>
        </w:rPr>
        <w:t>De la servidora pública referida en la solicitud de información: 1) ¿Por qué se ausento en días laborables de su lugar de trabajo, específicamente los días 1, 2 y 3 de Octubre del año 2025?</w:t>
      </w:r>
      <w:r w:rsidRPr="00EB3E7E">
        <w:rPr>
          <w:rFonts w:ascii="Palatino Linotype" w:eastAsia="Palatino Linotype" w:hAnsi="Palatino Linotype" w:cs="Palatino Linotype"/>
          <w:u w:val="single"/>
        </w:rPr>
        <w:t xml:space="preserve">, </w:t>
      </w:r>
      <w:r w:rsidRPr="00EB3E7E">
        <w:rPr>
          <w:rFonts w:ascii="Palatino Linotype" w:eastAsia="Palatino Linotype" w:hAnsi="Palatino Linotype" w:cs="Palatino Linotype"/>
        </w:rPr>
        <w:t xml:space="preserve">se advierte que no constituyen un derecho de acceso a la información y por lo tanto no es atendible mediante una solicitud de acceso a la información pública, porque se tratan de una petición, situación que conlleva a afirmar que se está en presencia del ejercicio del </w:t>
      </w:r>
      <w:r w:rsidRPr="00EB3E7E">
        <w:rPr>
          <w:rFonts w:ascii="Palatino Linotype" w:eastAsia="Palatino Linotype" w:hAnsi="Palatino Linotype" w:cs="Palatino Linotype"/>
          <w:b/>
        </w:rPr>
        <w:t>derecho de petición.</w:t>
      </w:r>
    </w:p>
    <w:p w:rsidR="007A26F5" w:rsidRPr="00EB3E7E" w:rsidRDefault="007A26F5" w:rsidP="007A26F5">
      <w:pPr>
        <w:spacing w:line="360" w:lineRule="auto"/>
        <w:ind w:right="49"/>
        <w:jc w:val="both"/>
        <w:rPr>
          <w:rFonts w:ascii="Palatino Linotype" w:eastAsia="Palatino Linotype" w:hAnsi="Palatino Linotype" w:cs="Palatino Linotype"/>
        </w:rPr>
      </w:pPr>
    </w:p>
    <w:p w:rsidR="007A26F5" w:rsidRPr="00EB3E7E" w:rsidRDefault="007A26F5" w:rsidP="007A26F5">
      <w:pPr>
        <w:numPr>
          <w:ilvl w:val="0"/>
          <w:numId w:val="2"/>
        </w:numPr>
        <w:spacing w:line="360" w:lineRule="auto"/>
        <w:ind w:left="0" w:right="-787" w:firstLine="0"/>
        <w:jc w:val="both"/>
      </w:pPr>
      <w:r w:rsidRPr="00EB3E7E">
        <w:rPr>
          <w:rFonts w:ascii="Palatino Linotype" w:hAnsi="Palatino Linotype" w:cs="Tahoma"/>
          <w:bCs/>
          <w:lang w:val="es-ES" w:eastAsia="en-US"/>
        </w:rPr>
        <w:t>En</w:t>
      </w:r>
      <w:r w:rsidRPr="00EB3E7E">
        <w:rPr>
          <w:rFonts w:ascii="Palatino Linotype" w:eastAsia="Palatino Linotype" w:hAnsi="Palatino Linotype" w:cs="Palatino Linotype"/>
        </w:rPr>
        <w:t xml:space="preserve"> ese sentido, es importante diferenciar lo que se entiende por derecho de petición y por derecho de acceso a la información pública.</w:t>
      </w:r>
    </w:p>
    <w:p w:rsidR="007A26F5" w:rsidRPr="00EB3E7E" w:rsidRDefault="007A26F5" w:rsidP="007A26F5">
      <w:pPr>
        <w:spacing w:before="240" w:after="240" w:line="360" w:lineRule="auto"/>
        <w:ind w:left="1134" w:right="-574"/>
        <w:jc w:val="both"/>
        <w:rPr>
          <w:rFonts w:ascii="Palatino Linotype" w:eastAsia="Palatino Linotype" w:hAnsi="Palatino Linotype" w:cs="Palatino Linotype"/>
          <w:b/>
        </w:rPr>
      </w:pPr>
      <w:r w:rsidRPr="00EB3E7E">
        <w:rPr>
          <w:rFonts w:ascii="Palatino Linotype" w:eastAsia="Palatino Linotype" w:hAnsi="Palatino Linotype" w:cs="Palatino Linotype"/>
          <w:b/>
        </w:rPr>
        <w:t>Derecho de Petición:</w:t>
      </w:r>
    </w:p>
    <w:p w:rsidR="007A26F5" w:rsidRPr="00EB3E7E" w:rsidRDefault="007A26F5" w:rsidP="007A26F5">
      <w:pPr>
        <w:spacing w:before="240" w:after="240" w:line="360" w:lineRule="auto"/>
        <w:ind w:left="1134" w:right="-574"/>
        <w:jc w:val="both"/>
        <w:rPr>
          <w:rFonts w:ascii="Palatino Linotype" w:eastAsia="Palatino Linotype" w:hAnsi="Palatino Linotype" w:cs="Palatino Linotype"/>
        </w:rPr>
      </w:pPr>
      <w:r w:rsidRPr="00EB3E7E">
        <w:rPr>
          <w:rFonts w:ascii="Palatino Linotype" w:eastAsia="Palatino Linotype" w:hAnsi="Palatino Linotype" w:cs="Palatino Linotype"/>
        </w:rPr>
        <w:t>El Doctor Ignacio Burgoa Orihuela refiere que derecho de petición: "...</w:t>
      </w:r>
      <w:r w:rsidRPr="00EB3E7E">
        <w:rPr>
          <w:rFonts w:ascii="Palatino Linotype" w:eastAsia="Palatino Linotype" w:hAnsi="Palatino Linotype" w:cs="Palatino Linotype"/>
          <w:i/>
        </w:rPr>
        <w:t>es un Derecho Público subjetivo individual de la Garantía Respectiva Consagrada en al Artículo 8 de la Ley Fundamental. En tal virtud, la persona tiene la facultad de acudir a cualquier autoridad, formulando una solicitud o instancia escrito de cualquier índole, la cual adopta, especialmente, el carácter de simple petición administrativa, acción o recurso, etc.</w:t>
      </w:r>
      <w:r w:rsidRPr="00EB3E7E">
        <w:rPr>
          <w:rFonts w:ascii="Palatino Linotype" w:eastAsia="Palatino Linotype" w:hAnsi="Palatino Linotype" w:cs="Palatino Linotype"/>
        </w:rPr>
        <w:t>"</w:t>
      </w:r>
      <w:r w:rsidRPr="00EB3E7E">
        <w:rPr>
          <w:rFonts w:ascii="Palatino Linotype" w:eastAsia="Palatino Linotype" w:hAnsi="Palatino Linotype" w:cs="Palatino Linotype"/>
          <w:vertAlign w:val="superscript"/>
        </w:rPr>
        <w:footnoteReference w:id="1"/>
      </w:r>
      <w:r w:rsidRPr="00EB3E7E">
        <w:rPr>
          <w:rFonts w:ascii="Palatino Linotype" w:eastAsia="Palatino Linotype" w:hAnsi="Palatino Linotype" w:cs="Palatino Linotype"/>
        </w:rPr>
        <w:t>(Sic)</w:t>
      </w:r>
    </w:p>
    <w:p w:rsidR="007A26F5" w:rsidRPr="00EB3E7E" w:rsidRDefault="007A26F5" w:rsidP="007A26F5">
      <w:pPr>
        <w:pBdr>
          <w:top w:val="nil"/>
          <w:left w:val="nil"/>
          <w:bottom w:val="nil"/>
          <w:right w:val="nil"/>
          <w:between w:val="nil"/>
        </w:pBdr>
        <w:spacing w:before="240" w:after="360" w:line="360" w:lineRule="auto"/>
        <w:ind w:left="1134" w:right="-574"/>
        <w:jc w:val="both"/>
        <w:rPr>
          <w:rFonts w:ascii="Palatino Linotype" w:eastAsia="Palatino Linotype" w:hAnsi="Palatino Linotype" w:cs="Palatino Linotype"/>
          <w:i/>
          <w:color w:val="000000"/>
        </w:rPr>
      </w:pPr>
      <w:r w:rsidRPr="00EB3E7E">
        <w:rPr>
          <w:rFonts w:ascii="Palatino Linotype" w:eastAsia="Palatino Linotype" w:hAnsi="Palatino Linotype" w:cs="Palatino Linotype"/>
          <w:color w:val="000000"/>
        </w:rPr>
        <w:lastRenderedPageBreak/>
        <w:t xml:space="preserve">Por su parte, David Cienfuegos Salgado, concibe al derecho de petición como </w:t>
      </w:r>
      <w:r w:rsidRPr="00EB3E7E">
        <w:rPr>
          <w:rFonts w:ascii="Palatino Linotype" w:eastAsia="Palatino Linotype" w:hAnsi="Palatino Linotype" w:cs="Palatino Linotype"/>
          <w:i/>
          <w:color w:val="000000"/>
        </w:rPr>
        <w:t>“el derecho de toda persona a ser escuchado por quienes ejercen el poder público.</w:t>
      </w:r>
      <w:r w:rsidRPr="00EB3E7E">
        <w:rPr>
          <w:rFonts w:ascii="Palatino Linotype" w:eastAsia="Palatino Linotype" w:hAnsi="Palatino Linotype" w:cs="Palatino Linotype"/>
          <w:i/>
          <w:color w:val="000000"/>
          <w:vertAlign w:val="superscript"/>
        </w:rPr>
        <w:t xml:space="preserve"> </w:t>
      </w:r>
      <w:r w:rsidRPr="00EB3E7E">
        <w:rPr>
          <w:rFonts w:ascii="Palatino Linotype" w:eastAsia="Palatino Linotype" w:hAnsi="Palatino Linotype" w:cs="Palatino Linotype"/>
          <w:i/>
          <w:color w:val="000000"/>
          <w:vertAlign w:val="superscript"/>
        </w:rPr>
        <w:footnoteReference w:id="2"/>
      </w:r>
      <w:r w:rsidRPr="00EB3E7E">
        <w:rPr>
          <w:rFonts w:ascii="Palatino Linotype" w:eastAsia="Palatino Linotype" w:hAnsi="Palatino Linotype" w:cs="Palatino Linotype"/>
          <w:i/>
          <w:color w:val="000000"/>
        </w:rPr>
        <w:t xml:space="preserve">” (Sic) </w:t>
      </w:r>
    </w:p>
    <w:p w:rsidR="007A26F5" w:rsidRPr="00EB3E7E" w:rsidRDefault="007A26F5" w:rsidP="007A26F5">
      <w:pPr>
        <w:numPr>
          <w:ilvl w:val="0"/>
          <w:numId w:val="2"/>
        </w:numPr>
        <w:spacing w:line="360" w:lineRule="auto"/>
        <w:ind w:left="0" w:right="-787" w:firstLine="0"/>
        <w:jc w:val="both"/>
      </w:pPr>
      <w:r w:rsidRPr="00EB3E7E">
        <w:rPr>
          <w:rFonts w:ascii="Palatino Linotype" w:eastAsia="Palatino Linotype" w:hAnsi="Palatino Linotype" w:cs="Palatino Linotype"/>
        </w:rPr>
        <w:t xml:space="preserve">De </w:t>
      </w:r>
      <w:r w:rsidRPr="00EB3E7E">
        <w:rPr>
          <w:rFonts w:ascii="Palatino Linotype" w:eastAsia="Palatino Linotype" w:hAnsi="Palatino Linotype" w:cs="Palatino Linotype"/>
          <w:color w:val="000000"/>
        </w:rPr>
        <w:t>la</w:t>
      </w:r>
      <w:r w:rsidRPr="00EB3E7E">
        <w:rPr>
          <w:rFonts w:ascii="Palatino Linotype" w:eastAsia="Palatino Linotype" w:hAnsi="Palatino Linotype" w:cs="Palatino Linotype"/>
        </w:rPr>
        <w:t xml:space="preserve"> misma manera, Migue Carbonell en su libro “Los derechos fundamentales” refiere que el derecho de petición se ha entendido de dos distintas maneras, a saber: como un derecho fundamental de participación política ya que permite a los particulares trasladar a las autoridades sus inquietudes, quejas, sugerencias y requerimientos en cualquier materia o asunto; y como una forma específica de la libertad de expresión, en tanto que permite expresarse frente a las autoridades. De igual manera que el derecho de petición se traduce en la obligación de todos los funcionarios y autoridades de permitir a los ciudadanos de dirigirse a ellos en demanda de lo que deseen expresar o solicitar y responder de dicha demanda por escrito, de forma congruente y en un plazo breve.</w:t>
      </w:r>
      <w:r w:rsidRPr="00EB3E7E">
        <w:rPr>
          <w:rFonts w:ascii="Palatino Linotype" w:eastAsia="Palatino Linotype" w:hAnsi="Palatino Linotype" w:cs="Palatino Linotype"/>
          <w:vertAlign w:val="superscript"/>
        </w:rPr>
        <w:footnoteReference w:id="3"/>
      </w:r>
    </w:p>
    <w:p w:rsidR="007A26F5" w:rsidRPr="00EB3E7E" w:rsidRDefault="007A26F5" w:rsidP="007A26F5">
      <w:pPr>
        <w:spacing w:line="360" w:lineRule="auto"/>
        <w:ind w:right="49"/>
        <w:jc w:val="both"/>
        <w:rPr>
          <w:rFonts w:ascii="Palatino Linotype" w:eastAsia="Palatino Linotype" w:hAnsi="Palatino Linotype" w:cs="Palatino Linotype"/>
        </w:rPr>
      </w:pPr>
    </w:p>
    <w:p w:rsidR="007A26F5" w:rsidRPr="00EB3E7E" w:rsidRDefault="007A26F5" w:rsidP="007A26F5">
      <w:pPr>
        <w:spacing w:line="360" w:lineRule="auto"/>
        <w:ind w:right="49"/>
        <w:jc w:val="both"/>
        <w:rPr>
          <w:rFonts w:ascii="Palatino Linotype" w:eastAsia="Palatino Linotype" w:hAnsi="Palatino Linotype" w:cs="Palatino Linotype"/>
          <w:b/>
        </w:rPr>
      </w:pPr>
      <w:r w:rsidRPr="00EB3E7E">
        <w:rPr>
          <w:rFonts w:ascii="Palatino Linotype" w:eastAsia="Palatino Linotype" w:hAnsi="Palatino Linotype" w:cs="Palatino Linotype"/>
          <w:b/>
        </w:rPr>
        <w:t>Derecho de Acceso a la Información Pública:</w:t>
      </w:r>
    </w:p>
    <w:p w:rsidR="007A26F5" w:rsidRPr="00EB3E7E" w:rsidRDefault="007A26F5" w:rsidP="007A26F5">
      <w:pPr>
        <w:numPr>
          <w:ilvl w:val="0"/>
          <w:numId w:val="2"/>
        </w:numPr>
        <w:spacing w:line="360" w:lineRule="auto"/>
        <w:ind w:left="0" w:right="-787" w:firstLine="0"/>
        <w:jc w:val="both"/>
        <w:rPr>
          <w:color w:val="000000"/>
        </w:rPr>
      </w:pPr>
      <w:r w:rsidRPr="00EB3E7E">
        <w:rPr>
          <w:rFonts w:ascii="Palatino Linotype" w:eastAsia="Palatino Linotype" w:hAnsi="Palatino Linotype" w:cs="Palatino Linotype"/>
        </w:rPr>
        <w:t>Asimismo</w:t>
      </w:r>
      <w:r w:rsidRPr="00EB3E7E">
        <w:rPr>
          <w:rFonts w:ascii="Palatino Linotype" w:eastAsia="Palatino Linotype" w:hAnsi="Palatino Linotype" w:cs="Palatino Linotype"/>
          <w:color w:val="000000"/>
        </w:rPr>
        <w:t xml:space="preserve">, el autor anteriormente citado, indica que el derecho de acceso a la información pública es el derecho de conocer la información de carácter público que se genera o está en posesión de los órganos del poder público o de los sujetos que utilizan o se benefician con recursos </w:t>
      </w:r>
      <w:r w:rsidRPr="00EB3E7E">
        <w:rPr>
          <w:rFonts w:ascii="Palatino Linotype" w:eastAsia="Palatino Linotype" w:hAnsi="Palatino Linotype" w:cs="Palatino Linotype"/>
        </w:rPr>
        <w:t>provenientes</w:t>
      </w:r>
      <w:r w:rsidRPr="00EB3E7E">
        <w:rPr>
          <w:rFonts w:ascii="Palatino Linotype" w:eastAsia="Palatino Linotype" w:hAnsi="Palatino Linotype" w:cs="Palatino Linotype"/>
          <w:color w:val="000000"/>
        </w:rPr>
        <w:t xml:space="preserve"> del Estado, es el derecho que tienen los ciudadanos para acceder a documentos y datos que obren en el poder del gobierno.</w:t>
      </w:r>
    </w:p>
    <w:p w:rsidR="007A26F5" w:rsidRPr="00EB3E7E" w:rsidRDefault="007A26F5" w:rsidP="007A26F5">
      <w:pPr>
        <w:pBdr>
          <w:top w:val="nil"/>
          <w:left w:val="nil"/>
          <w:bottom w:val="nil"/>
          <w:right w:val="nil"/>
          <w:between w:val="nil"/>
        </w:pBdr>
        <w:spacing w:line="360" w:lineRule="auto"/>
        <w:ind w:left="93" w:right="49"/>
        <w:rPr>
          <w:color w:val="000000"/>
        </w:rPr>
      </w:pPr>
    </w:p>
    <w:p w:rsidR="007A26F5" w:rsidRPr="00EB3E7E" w:rsidRDefault="007A26F5" w:rsidP="007A26F5">
      <w:pPr>
        <w:numPr>
          <w:ilvl w:val="0"/>
          <w:numId w:val="2"/>
        </w:numPr>
        <w:spacing w:line="360" w:lineRule="auto"/>
        <w:ind w:left="0" w:right="-787" w:firstLine="0"/>
        <w:jc w:val="both"/>
        <w:rPr>
          <w:color w:val="000000"/>
        </w:rPr>
      </w:pPr>
      <w:r w:rsidRPr="00EB3E7E">
        <w:rPr>
          <w:rFonts w:ascii="Palatino Linotype" w:eastAsia="Palatino Linotype" w:hAnsi="Palatino Linotype" w:cs="Palatino Linotype"/>
          <w:color w:val="000000"/>
        </w:rPr>
        <w:lastRenderedPageBreak/>
        <w:t xml:space="preserve">Por su parte Ernesto Villanueva define al derecho de acceso a la información pública como la </w:t>
      </w:r>
      <w:r w:rsidRPr="00EB3E7E">
        <w:rPr>
          <w:rFonts w:ascii="Palatino Linotype" w:eastAsia="Palatino Linotype" w:hAnsi="Palatino Linotype" w:cs="Palatino Linotype"/>
        </w:rPr>
        <w:t>prerrogativa</w:t>
      </w:r>
      <w:r w:rsidRPr="00EB3E7E">
        <w:rPr>
          <w:rFonts w:ascii="Palatino Linotype" w:eastAsia="Palatino Linotype" w:hAnsi="Palatino Linotype" w:cs="Palatino Linotype"/>
          <w:color w:val="000000"/>
        </w:rPr>
        <w:t xml:space="preserve"> de la persona para acceder a datos, registros y todo tipo de informaciones en poder de las entidades públicas y empresas privadas que ejercen gasto público o cumplen funciones de autoridad, con las excepciones taxativas que establezca la ley en una sociedad democrática.</w:t>
      </w:r>
      <w:r w:rsidRPr="00EB3E7E">
        <w:rPr>
          <w:rFonts w:ascii="Palatino Linotype" w:eastAsia="Palatino Linotype" w:hAnsi="Palatino Linotype" w:cs="Palatino Linotype"/>
          <w:color w:val="000000"/>
          <w:vertAlign w:val="superscript"/>
        </w:rPr>
        <w:footnoteReference w:id="4"/>
      </w:r>
    </w:p>
    <w:p w:rsidR="007A26F5" w:rsidRPr="00EB3E7E" w:rsidRDefault="007A26F5" w:rsidP="007A26F5">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7A26F5" w:rsidRPr="00EB3E7E" w:rsidRDefault="007A26F5" w:rsidP="007A26F5">
      <w:pPr>
        <w:numPr>
          <w:ilvl w:val="0"/>
          <w:numId w:val="2"/>
        </w:numPr>
        <w:spacing w:line="360" w:lineRule="auto"/>
        <w:ind w:left="0" w:right="-787" w:firstLine="0"/>
        <w:jc w:val="both"/>
        <w:rPr>
          <w:color w:val="000000"/>
        </w:rPr>
      </w:pPr>
      <w:r w:rsidRPr="00EB3E7E">
        <w:rPr>
          <w:rFonts w:ascii="Palatino Linotype" w:eastAsia="Palatino Linotype" w:hAnsi="Palatino Linotype" w:cs="Palatino Linotype"/>
          <w:color w:val="000000"/>
        </w:rPr>
        <w:t xml:space="preserve">Del mismo modo, para diferenciar el derecho de petición del derecho de acceso a la información pública, resulta conveniente citar a José Guadalupe Robles, quien conceptualiza el </w:t>
      </w:r>
      <w:r w:rsidRPr="00EB3E7E">
        <w:rPr>
          <w:rFonts w:ascii="Palatino Linotype" w:eastAsia="Palatino Linotype" w:hAnsi="Palatino Linotype" w:cs="Palatino Linotype"/>
        </w:rPr>
        <w:t>derecho</w:t>
      </w:r>
      <w:r w:rsidRPr="00EB3E7E">
        <w:rPr>
          <w:rFonts w:ascii="Palatino Linotype" w:eastAsia="Palatino Linotype" w:hAnsi="Palatino Linotype" w:cs="Palatino Linotype"/>
          <w:color w:val="000000"/>
        </w:rPr>
        <w:t xml:space="preserve"> a la información como "un derecho fundamental tanto de carácter individual como colectivo, cuyas limitaciones deben estar establecidas en la ley, así corno una garantía de que la información sea tramitada con claridad y objetividad, por cuanto a que es un bien jurídico que coadyuva al desarrollo de las personas y a la formación de opinión pública de calidad para poder participar y luego influir en la vida pública.”</w:t>
      </w:r>
      <w:r w:rsidRPr="00EB3E7E">
        <w:rPr>
          <w:rFonts w:ascii="Palatino Linotype" w:eastAsia="Palatino Linotype" w:hAnsi="Palatino Linotype" w:cs="Palatino Linotype"/>
          <w:color w:val="000000"/>
          <w:vertAlign w:val="superscript"/>
        </w:rPr>
        <w:footnoteReference w:id="5"/>
      </w:r>
    </w:p>
    <w:p w:rsidR="007A26F5" w:rsidRPr="00EB3E7E" w:rsidRDefault="007A26F5" w:rsidP="007A26F5">
      <w:pPr>
        <w:spacing w:line="360" w:lineRule="auto"/>
        <w:ind w:right="49"/>
        <w:jc w:val="both"/>
        <w:rPr>
          <w:rFonts w:ascii="Palatino Linotype" w:eastAsia="Palatino Linotype" w:hAnsi="Palatino Linotype" w:cs="Palatino Linotype"/>
          <w:color w:val="000000"/>
        </w:rPr>
      </w:pPr>
    </w:p>
    <w:p w:rsidR="007A26F5" w:rsidRPr="00EB3E7E" w:rsidRDefault="007A26F5" w:rsidP="007A26F5">
      <w:pPr>
        <w:numPr>
          <w:ilvl w:val="0"/>
          <w:numId w:val="2"/>
        </w:numPr>
        <w:spacing w:line="360" w:lineRule="auto"/>
        <w:ind w:left="0" w:right="-787" w:firstLine="0"/>
        <w:jc w:val="both"/>
        <w:rPr>
          <w:color w:val="000000"/>
        </w:rPr>
      </w:pPr>
      <w:r w:rsidRPr="00EB3E7E">
        <w:rPr>
          <w:rFonts w:ascii="Palatino Linotype" w:eastAsia="Palatino Linotype" w:hAnsi="Palatino Linotype" w:cs="Palatino Linotype"/>
          <w:color w:val="000000"/>
        </w:rPr>
        <w:t>De ahí que, para entender los alcances de la información pública se considera importante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7A26F5" w:rsidRPr="00EB3E7E" w:rsidRDefault="007A26F5" w:rsidP="007A26F5">
      <w:pPr>
        <w:ind w:left="567" w:right="-574"/>
        <w:jc w:val="both"/>
        <w:rPr>
          <w:rFonts w:ascii="Palatino Linotype" w:eastAsia="Palatino Linotype" w:hAnsi="Palatino Linotype" w:cs="Palatino Linotype"/>
          <w:b/>
          <w:i/>
        </w:rPr>
      </w:pPr>
      <w:r w:rsidRPr="00EB3E7E">
        <w:rPr>
          <w:rFonts w:ascii="Palatino Linotype" w:eastAsia="Palatino Linotype" w:hAnsi="Palatino Linotype" w:cs="Palatino Linotype"/>
          <w:b/>
          <w:i/>
        </w:rPr>
        <w:t>“CRITERIO 0002-11</w:t>
      </w:r>
    </w:p>
    <w:p w:rsidR="007A26F5" w:rsidRPr="00EB3E7E" w:rsidRDefault="007A26F5" w:rsidP="007A26F5">
      <w:pPr>
        <w:ind w:left="567" w:right="-574"/>
        <w:jc w:val="both"/>
        <w:rPr>
          <w:rFonts w:ascii="Palatino Linotype" w:eastAsia="Palatino Linotype" w:hAnsi="Palatino Linotype" w:cs="Palatino Linotype"/>
          <w:i/>
        </w:rPr>
      </w:pPr>
      <w:r w:rsidRPr="00EB3E7E">
        <w:rPr>
          <w:rFonts w:ascii="Palatino Linotype" w:eastAsia="Palatino Linotype" w:hAnsi="Palatino Linotype" w:cs="Palatino Linotype"/>
          <w:b/>
          <w:i/>
        </w:rPr>
        <w:t xml:space="preserve">INFORMACIÓN PÚBLICA, CONCEPTO DE, EN MATERIA DE TRANSPARENCIA. INTERPRETACIÓN TEMÁTICA DE LOS ARTÍCULOS 2, FRACCIÓN V, XV, Y XVI, </w:t>
      </w:r>
      <w:r w:rsidRPr="00EB3E7E">
        <w:rPr>
          <w:rFonts w:ascii="Palatino Linotype" w:eastAsia="Palatino Linotype" w:hAnsi="Palatino Linotype" w:cs="Palatino Linotype"/>
          <w:b/>
          <w:i/>
        </w:rPr>
        <w:lastRenderedPageBreak/>
        <w:t>32, 4,11 Y 41.</w:t>
      </w:r>
      <w:r w:rsidRPr="00EB3E7E">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7A26F5" w:rsidRPr="00EB3E7E" w:rsidRDefault="007A26F5" w:rsidP="007A26F5">
      <w:pPr>
        <w:ind w:left="567" w:right="-574"/>
        <w:jc w:val="both"/>
        <w:rPr>
          <w:rFonts w:ascii="Palatino Linotype" w:eastAsia="Palatino Linotype" w:hAnsi="Palatino Linotype" w:cs="Palatino Linotype"/>
          <w:i/>
        </w:rPr>
      </w:pPr>
      <w:r w:rsidRPr="00EB3E7E">
        <w:rPr>
          <w:rFonts w:ascii="Palatino Linotype" w:eastAsia="Palatino Linotype" w:hAnsi="Palatino Linotype" w:cs="Palatino Linotype"/>
          <w:i/>
        </w:rPr>
        <w:t>En consecuencia el acceso a la información se refiere a que se cumplan cualquiera de los siguientes tres supuestos:</w:t>
      </w:r>
    </w:p>
    <w:p w:rsidR="007A26F5" w:rsidRPr="00EB3E7E" w:rsidRDefault="007A26F5" w:rsidP="007A26F5">
      <w:pPr>
        <w:ind w:left="567" w:right="-574"/>
        <w:jc w:val="both"/>
        <w:rPr>
          <w:rFonts w:ascii="Palatino Linotype" w:eastAsia="Palatino Linotype" w:hAnsi="Palatino Linotype" w:cs="Palatino Linotype"/>
          <w:i/>
        </w:rPr>
      </w:pPr>
      <w:r w:rsidRPr="00EB3E7E">
        <w:rPr>
          <w:rFonts w:ascii="Palatino Linotype" w:eastAsia="Palatino Linotype" w:hAnsi="Palatino Linotype" w:cs="Palatino Linotype"/>
          <w:i/>
        </w:rPr>
        <w:t>Que se trate de información registrada en cualquier soporte documental, que en ejercicio de las atribuciones conferidas, sea generada por los Sujetos Obligados;</w:t>
      </w:r>
    </w:p>
    <w:p w:rsidR="007A26F5" w:rsidRPr="00EB3E7E" w:rsidRDefault="007A26F5" w:rsidP="007A26F5">
      <w:pPr>
        <w:ind w:left="567" w:right="-574"/>
        <w:jc w:val="both"/>
        <w:rPr>
          <w:rFonts w:ascii="Palatino Linotype" w:eastAsia="Palatino Linotype" w:hAnsi="Palatino Linotype" w:cs="Palatino Linotype"/>
          <w:i/>
        </w:rPr>
      </w:pPr>
      <w:r w:rsidRPr="00EB3E7E">
        <w:rPr>
          <w:rFonts w:ascii="Palatino Linotype" w:eastAsia="Palatino Linotype" w:hAnsi="Palatino Linotype" w:cs="Palatino Linotype"/>
          <w:i/>
        </w:rPr>
        <w:t>Que se trate de información registrada en cualquier soporte documental, que en ejercicio de las atribuciones conferidas, sea administrada por los Sujetos Obligados, y</w:t>
      </w:r>
    </w:p>
    <w:p w:rsidR="007A26F5" w:rsidRPr="00EB3E7E" w:rsidRDefault="007A26F5" w:rsidP="007A26F5">
      <w:pPr>
        <w:ind w:left="567" w:right="-574"/>
        <w:jc w:val="both"/>
        <w:rPr>
          <w:rFonts w:ascii="Palatino Linotype" w:eastAsia="Palatino Linotype" w:hAnsi="Palatino Linotype" w:cs="Palatino Linotype"/>
          <w:i/>
        </w:rPr>
      </w:pPr>
      <w:r w:rsidRPr="00EB3E7E">
        <w:rPr>
          <w:rFonts w:ascii="Palatino Linotype" w:eastAsia="Palatino Linotype" w:hAnsi="Palatino Linotype" w:cs="Palatino Linotype"/>
          <w:i/>
        </w:rPr>
        <w:t>Que se trate de información registrada en cualquier soporte documental, que en ejercicio de las atribuciones conferidas, se encuentre en posesión de los Sujetos Obligados.”(Sic)</w:t>
      </w:r>
    </w:p>
    <w:p w:rsidR="007A26F5" w:rsidRPr="00EB3E7E" w:rsidRDefault="007A26F5" w:rsidP="007A26F5">
      <w:pPr>
        <w:ind w:left="567" w:right="49"/>
        <w:jc w:val="both"/>
        <w:rPr>
          <w:rFonts w:ascii="Palatino Linotype" w:eastAsia="Palatino Linotype" w:hAnsi="Palatino Linotype" w:cs="Palatino Linotype"/>
          <w:i/>
          <w:color w:val="000000"/>
        </w:rPr>
      </w:pPr>
    </w:p>
    <w:p w:rsidR="007A26F5" w:rsidRPr="00EB3E7E" w:rsidRDefault="007A26F5" w:rsidP="007A26F5">
      <w:pPr>
        <w:numPr>
          <w:ilvl w:val="0"/>
          <w:numId w:val="2"/>
        </w:numPr>
        <w:spacing w:line="360" w:lineRule="auto"/>
        <w:ind w:left="0" w:right="-787" w:firstLine="0"/>
        <w:jc w:val="both"/>
        <w:rPr>
          <w:color w:val="000000"/>
        </w:rPr>
      </w:pPr>
      <w:r w:rsidRPr="00EB3E7E">
        <w:rPr>
          <w:rFonts w:ascii="Palatino Linotype" w:eastAsia="Palatino Linotype" w:hAnsi="Palatino Linotype" w:cs="Palatino Linotype"/>
          <w:color w:val="000000"/>
        </w:rPr>
        <w:t xml:space="preserve">De lo anterior se puede concluir que la </w:t>
      </w:r>
      <w:r w:rsidRPr="00EB3E7E">
        <w:rPr>
          <w:rFonts w:ascii="Palatino Linotype" w:eastAsia="Palatino Linotype" w:hAnsi="Palatino Linotype" w:cs="Palatino Linotype"/>
          <w:b/>
          <w:color w:val="000000"/>
        </w:rPr>
        <w:t xml:space="preserve">distinción entre el derecho de petición y el derecho de acceso a la información </w:t>
      </w:r>
      <w:r w:rsidRPr="00EB3E7E">
        <w:rPr>
          <w:rFonts w:ascii="Palatino Linotype" w:eastAsia="Palatino Linotype" w:hAnsi="Palatino Linotype" w:cs="Palatino Linotype"/>
          <w:color w:val="000000"/>
        </w:rPr>
        <w:t>descansa, principalmente, en que la pretensión del peticionario consiste generalmente en obligar a la autoridad responsable a que actúe en el sentido de contestar lo solicitado, mientras que en el derecho de acceso a la información pública la pretensión radica en que se permita el acceso a datos y todo tipo de documentación que tenga el carácter de información pública, que sea generada, administrada o se encuentre en posesión de los considerados Sujetos Obligados por la Ley de la Materia.</w:t>
      </w:r>
    </w:p>
    <w:p w:rsidR="007A26F5" w:rsidRPr="00EB3E7E" w:rsidRDefault="007A26F5" w:rsidP="007A26F5">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7A26F5" w:rsidRPr="00EB3E7E" w:rsidRDefault="007A26F5" w:rsidP="007A26F5">
      <w:pPr>
        <w:numPr>
          <w:ilvl w:val="0"/>
          <w:numId w:val="2"/>
        </w:numPr>
        <w:spacing w:line="360" w:lineRule="auto"/>
        <w:ind w:left="0" w:right="-787" w:firstLine="0"/>
        <w:jc w:val="both"/>
        <w:rPr>
          <w:rFonts w:ascii="Palatino Linotype" w:eastAsia="Palatino Linotype" w:hAnsi="Palatino Linotype" w:cs="Palatino Linotype"/>
          <w:i/>
          <w:color w:val="000000"/>
        </w:rPr>
      </w:pPr>
      <w:r w:rsidRPr="00EB3E7E">
        <w:rPr>
          <w:rFonts w:ascii="Palatino Linotype" w:eastAsia="Palatino Linotype" w:hAnsi="Palatino Linotype" w:cs="Palatino Linotype"/>
          <w:color w:val="000000"/>
        </w:rPr>
        <w:t xml:space="preserve">Con base a lo anterior, tenemos que el </w:t>
      </w:r>
      <w:r w:rsidR="009E03EF" w:rsidRPr="00EB3E7E">
        <w:rPr>
          <w:rFonts w:ascii="Palatino Linotype" w:eastAsia="Palatino Linotype" w:hAnsi="Palatino Linotype" w:cs="Palatino Linotype"/>
          <w:color w:val="000000"/>
        </w:rPr>
        <w:t>particular</w:t>
      </w:r>
      <w:r w:rsidRPr="00EB3E7E">
        <w:rPr>
          <w:rFonts w:ascii="Palatino Linotype" w:eastAsia="Palatino Linotype" w:hAnsi="Palatino Linotype" w:cs="Palatino Linotype"/>
          <w:color w:val="000000"/>
        </w:rPr>
        <w:t xml:space="preserve"> en su solicitud de información pretende ejercer un derecho de petición y no el derecho de acceso a la información pública, por los razonamiento ya expuesto; por consiguiente, la entrega de una razón o la respuesta a </w:t>
      </w:r>
      <w:r w:rsidRPr="00EB3E7E">
        <w:rPr>
          <w:rFonts w:ascii="Palatino Linotype" w:eastAsia="Palatino Linotype" w:hAnsi="Palatino Linotype" w:cs="Palatino Linotype"/>
        </w:rPr>
        <w:t>cuestionamientos</w:t>
      </w:r>
      <w:r w:rsidRPr="00EB3E7E">
        <w:rPr>
          <w:rFonts w:ascii="Palatino Linotype" w:eastAsia="Palatino Linotype" w:hAnsi="Palatino Linotype" w:cs="Palatino Linotype"/>
          <w:color w:val="000000"/>
        </w:rPr>
        <w:t xml:space="preserve"> que no encuentren soporte documental alguno, por parte de los Sujetos Obligados no es algo que la Ley de la Materia </w:t>
      </w:r>
      <w:r w:rsidRPr="00EB3E7E">
        <w:rPr>
          <w:rFonts w:ascii="Palatino Linotype" w:eastAsia="Palatino Linotype" w:hAnsi="Palatino Linotype" w:cs="Palatino Linotype"/>
        </w:rPr>
        <w:t>establece</w:t>
      </w:r>
      <w:r w:rsidRPr="00EB3E7E">
        <w:rPr>
          <w:rFonts w:ascii="Palatino Linotype" w:eastAsia="Palatino Linotype" w:hAnsi="Palatino Linotype" w:cs="Palatino Linotype"/>
          <w:color w:val="000000"/>
        </w:rPr>
        <w:t xml:space="preserve"> como atribución,  derecho o facultad; pues ello implicaría emitir un juicio de valor referente a cuestionamientos realizados, los cuales como ha quedado explicado, al constituir interrogantes, inquietudes, quejas y </w:t>
      </w:r>
      <w:r w:rsidRPr="00EB3E7E">
        <w:rPr>
          <w:rFonts w:ascii="Palatino Linotype" w:eastAsia="Palatino Linotype" w:hAnsi="Palatino Linotype" w:cs="Palatino Linotype"/>
          <w:color w:val="000000"/>
        </w:rPr>
        <w:lastRenderedPageBreak/>
        <w:t>manifestaciones resultan estar encaminadas a ser satisfechas en ejercicio del derecho de petición.</w:t>
      </w:r>
    </w:p>
    <w:p w:rsidR="007A26F5" w:rsidRPr="00EB3E7E" w:rsidRDefault="007A26F5" w:rsidP="007A26F5">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7A26F5" w:rsidRPr="00EB3E7E" w:rsidRDefault="007A26F5" w:rsidP="007A26F5">
      <w:pPr>
        <w:numPr>
          <w:ilvl w:val="0"/>
          <w:numId w:val="2"/>
        </w:numPr>
        <w:spacing w:line="360" w:lineRule="auto"/>
        <w:ind w:left="0" w:right="-787" w:firstLine="0"/>
        <w:jc w:val="both"/>
        <w:rPr>
          <w:b/>
          <w:color w:val="000000"/>
        </w:rPr>
      </w:pPr>
      <w:r w:rsidRPr="00EB3E7E">
        <w:rPr>
          <w:rFonts w:ascii="Palatino Linotype" w:eastAsia="Palatino Linotype" w:hAnsi="Palatino Linotype" w:cs="Palatino Linotype"/>
          <w:color w:val="000000"/>
        </w:rPr>
        <w:t xml:space="preserve">Además, es de resaltar que este Instituto de Transparencia como Organismo Garante de difusión, protección y respeto al derecho de acceso a la información pública y a la protección de datos personales, conforme a su naturaleza jurídica y a sus atribuciones previstas en los artículos 29, 36 y 179 de la Ley de Transparencia y Acceso a la Información Pública del Estado de México y Municipios, es competente para resolver los recursos de revisión, cuando se niegue la información solicitada, se clasifique la información solicitada, se declare la inexistencia de lo solicitado, el Sujeto Obligado se declare incompetente para atender la solicitud de información, se entregue la información incompleta, se entregue información que no corresponda a lo solicitado, no se dé respuesta a la solicitud, se notifique o se ponga a disposición la información en un formato o modalidad distinto al solicitado, incomprensible o no accesible, respecto de los costos o tiempos de entrega de la información, cuando no se dé trámite a la solicitud, no se permita la consulta directa de la solicitud, se fundamente o motive deficientemente, y/o cuando se oriente a un trámite en específico; todo en ejercicio del derecho de acceso a la información pública, no así cuando se trate de un derecho de petición ejercido por un gobernado; en consecuencia, </w:t>
      </w:r>
      <w:r w:rsidRPr="00EB3E7E">
        <w:rPr>
          <w:rFonts w:ascii="Palatino Linotype" w:eastAsia="Palatino Linotype" w:hAnsi="Palatino Linotype" w:cs="Palatino Linotype"/>
          <w:b/>
          <w:color w:val="000000"/>
        </w:rPr>
        <w:t>este Instinto no tiene atribuciones para pronunciarse respecto a las manifestaciones expuestas por el particular.</w:t>
      </w:r>
    </w:p>
    <w:p w:rsidR="000D6938" w:rsidRPr="00EB3E7E" w:rsidRDefault="000D6938" w:rsidP="009E03EF">
      <w:pPr>
        <w:spacing w:line="360" w:lineRule="auto"/>
        <w:ind w:right="-787"/>
        <w:jc w:val="both"/>
        <w:rPr>
          <w:rFonts w:ascii="Palatino Linotype" w:eastAsia="Palatino Linotype" w:hAnsi="Palatino Linotype" w:cs="Palatino Linotype"/>
        </w:rPr>
      </w:pPr>
    </w:p>
    <w:p w:rsidR="00880EB8" w:rsidRPr="00EB3E7E" w:rsidRDefault="009E03EF" w:rsidP="00433085">
      <w:pPr>
        <w:numPr>
          <w:ilvl w:val="0"/>
          <w:numId w:val="2"/>
        </w:numPr>
        <w:spacing w:line="360" w:lineRule="auto"/>
        <w:ind w:left="0" w:right="-787" w:firstLine="0"/>
        <w:jc w:val="both"/>
        <w:rPr>
          <w:rFonts w:ascii="Palatino Linotype" w:eastAsia="Palatino Linotype" w:hAnsi="Palatino Linotype" w:cs="Palatino Linotype"/>
          <w:i/>
        </w:rPr>
      </w:pPr>
      <w:r w:rsidRPr="00EB3E7E">
        <w:rPr>
          <w:rFonts w:ascii="Palatino Linotype" w:eastAsia="Palatino Linotype" w:hAnsi="Palatino Linotype" w:cs="Palatino Linotype"/>
          <w:color w:val="000000"/>
        </w:rPr>
        <w:t>Ahora</w:t>
      </w:r>
      <w:r w:rsidRPr="00EB3E7E">
        <w:rPr>
          <w:rFonts w:ascii="Palatino Linotype" w:eastAsia="Palatino Linotype" w:hAnsi="Palatino Linotype" w:cs="Palatino Linotype"/>
        </w:rPr>
        <w:t xml:space="preserve"> bien, es de precisar que en lo que respecta al punto de solicitud </w:t>
      </w:r>
      <w:r w:rsidRPr="00EB3E7E">
        <w:rPr>
          <w:rFonts w:ascii="Palatino Linotype" w:eastAsia="Palatino Linotype" w:hAnsi="Palatino Linotype" w:cs="Palatino Linotype"/>
          <w:i/>
          <w:u w:val="single"/>
        </w:rPr>
        <w:t xml:space="preserve">De la servidora pública </w:t>
      </w:r>
      <w:r w:rsidR="006F2A08" w:rsidRPr="00EB3E7E">
        <w:rPr>
          <w:rFonts w:ascii="Palatino Linotype" w:eastAsia="Palatino Linotype" w:hAnsi="Palatino Linotype" w:cs="Palatino Linotype"/>
          <w:i/>
          <w:u w:val="single"/>
        </w:rPr>
        <w:t>referida en la solicitud de información sobre los días de inasistencia</w:t>
      </w:r>
      <w:r w:rsidRPr="00EB3E7E">
        <w:rPr>
          <w:rFonts w:ascii="Palatino Linotype" w:eastAsia="Palatino Linotype" w:hAnsi="Palatino Linotype" w:cs="Palatino Linotype"/>
          <w:i/>
          <w:u w:val="single"/>
        </w:rPr>
        <w:t>: ¿Se hicieron sus descuentos y deducciones correspondientes?</w:t>
      </w:r>
      <w:r w:rsidRPr="00EB3E7E">
        <w:rPr>
          <w:rFonts w:ascii="Palatino Linotype" w:eastAsia="Palatino Linotype" w:hAnsi="Palatino Linotype" w:cs="Palatino Linotype"/>
          <w:b/>
          <w:i/>
          <w:color w:val="000000"/>
        </w:rPr>
        <w:t xml:space="preserve">, </w:t>
      </w:r>
      <w:r w:rsidRPr="00EB3E7E">
        <w:rPr>
          <w:rFonts w:ascii="Palatino Linotype" w:eastAsia="Palatino Linotype" w:hAnsi="Palatino Linotype" w:cs="Palatino Linotype"/>
          <w:color w:val="000000"/>
        </w:rPr>
        <w:t xml:space="preserve">es obligación de los Sujetos Obligados dar a las solicitudes una interpretación que les dé una expresión documental, ya que para que el derecho de acceso a </w:t>
      </w:r>
      <w:r w:rsidRPr="00EB3E7E">
        <w:rPr>
          <w:rFonts w:ascii="Palatino Linotype" w:eastAsia="Palatino Linotype" w:hAnsi="Palatino Linotype" w:cs="Palatino Linotype"/>
          <w:color w:val="000000"/>
        </w:rPr>
        <w:lastRenderedPageBreak/>
        <w:t xml:space="preserve">la información pública de los particulares se satisfaga completamente, es necesario que se les brinde el acceso a datos, registros y todo tipo de información pública que conste en documentos, ya sea generados o que se encuentre en posesión de las autoridades, por tal motivo, privilegiando el principio de máxima publicidad, en el presente caso, y de la interpretación se la solicitud se logra dilucidar que se </w:t>
      </w:r>
      <w:r w:rsidRPr="00EB3E7E">
        <w:rPr>
          <w:rFonts w:ascii="Palatino Linotype" w:eastAsia="Palatino Linotype" w:hAnsi="Palatino Linotype" w:cs="Palatino Linotype"/>
          <w:b/>
          <w:color w:val="000000"/>
        </w:rPr>
        <w:t>deberá proceder a la entrega del soporte documental en donde conste</w:t>
      </w:r>
      <w:r w:rsidR="006F2A08" w:rsidRPr="00EB3E7E">
        <w:rPr>
          <w:rFonts w:ascii="Palatino Linotype" w:eastAsia="Palatino Linotype" w:hAnsi="Palatino Linotype" w:cs="Palatino Linotype"/>
          <w:b/>
          <w:color w:val="000000"/>
        </w:rPr>
        <w:t>n descuentos o deducciones por inasistencias los días 1, 2 y 3 de Octubre del año 2025</w:t>
      </w:r>
      <w:r w:rsidRPr="00EB3E7E">
        <w:rPr>
          <w:rFonts w:ascii="Palatino Linotype" w:eastAsia="Palatino Linotype" w:hAnsi="Palatino Linotype" w:cs="Palatino Linotype"/>
          <w:b/>
          <w:color w:val="000000"/>
        </w:rPr>
        <w:t xml:space="preserve">, </w:t>
      </w:r>
      <w:r w:rsidRPr="00EB3E7E">
        <w:rPr>
          <w:rFonts w:ascii="Palatino Linotype" w:eastAsia="Palatino Linotype" w:hAnsi="Palatino Linotype" w:cs="Palatino Linotype"/>
          <w:color w:val="000000"/>
        </w:rPr>
        <w:t>toda vez que</w:t>
      </w:r>
      <w:r w:rsidR="006F2A08" w:rsidRPr="00EB3E7E">
        <w:rPr>
          <w:rFonts w:ascii="Palatino Linotype" w:eastAsia="Palatino Linotype" w:hAnsi="Palatino Linotype" w:cs="Palatino Linotype"/>
          <w:color w:val="000000"/>
        </w:rPr>
        <w:t>,</w:t>
      </w:r>
      <w:r w:rsidRPr="00EB3E7E">
        <w:rPr>
          <w:rFonts w:ascii="Palatino Linotype" w:eastAsia="Palatino Linotype" w:hAnsi="Palatino Linotype" w:cs="Palatino Linotype"/>
          <w:color w:val="000000"/>
        </w:rPr>
        <w:t xml:space="preserve"> se bien la solicitud de información está basada en manifestaciones subjetivas, de la misma se puede obtener la expresión documental a la</w:t>
      </w:r>
      <w:r w:rsidR="006F2A08" w:rsidRPr="00EB3E7E">
        <w:rPr>
          <w:rFonts w:ascii="Palatino Linotype" w:eastAsia="Palatino Linotype" w:hAnsi="Palatino Linotype" w:cs="Palatino Linotype"/>
          <w:color w:val="000000"/>
        </w:rPr>
        <w:t xml:space="preserve"> que se refiere el solicitante.</w:t>
      </w:r>
    </w:p>
    <w:p w:rsidR="009E03EF" w:rsidRPr="00EB3E7E" w:rsidRDefault="009E03EF" w:rsidP="009E03EF">
      <w:pPr>
        <w:spacing w:line="360" w:lineRule="auto"/>
        <w:jc w:val="both"/>
        <w:rPr>
          <w:rFonts w:ascii="Palatino Linotype" w:eastAsia="Palatino Linotype" w:hAnsi="Palatino Linotype" w:cs="Palatino Linotype"/>
          <w:color w:val="000000"/>
        </w:rPr>
      </w:pPr>
    </w:p>
    <w:p w:rsidR="009E03EF" w:rsidRPr="00EB3E7E" w:rsidRDefault="009E03EF" w:rsidP="00433085">
      <w:pPr>
        <w:numPr>
          <w:ilvl w:val="0"/>
          <w:numId w:val="2"/>
        </w:numPr>
        <w:spacing w:line="360" w:lineRule="auto"/>
        <w:ind w:left="0" w:right="-787" w:firstLine="0"/>
        <w:jc w:val="both"/>
        <w:rPr>
          <w:rFonts w:ascii="Palatino Linotype" w:eastAsia="Palatino Linotype" w:hAnsi="Palatino Linotype" w:cs="Palatino Linotype"/>
          <w:color w:val="000000"/>
        </w:rPr>
      </w:pPr>
      <w:r w:rsidRPr="00EB3E7E">
        <w:rPr>
          <w:rFonts w:ascii="Palatino Linotype" w:eastAsia="Palatino Linotype" w:hAnsi="Palatino Linotype" w:cs="Palatino Linotype"/>
          <w:color w:val="000000"/>
        </w:rPr>
        <w:t xml:space="preserve">Como sustento a lo anterior resulta aplicable el Criterio 16/17, emitido por el Instituto Nacional de Transparencia, Acceso a la Información y Protección de Datos Personales, INAI, establece lo siguiente: </w:t>
      </w:r>
    </w:p>
    <w:p w:rsidR="009E03EF" w:rsidRPr="00EB3E7E" w:rsidRDefault="009E03EF" w:rsidP="009E03EF">
      <w:pPr>
        <w:pBdr>
          <w:top w:val="nil"/>
          <w:left w:val="nil"/>
          <w:bottom w:val="nil"/>
          <w:right w:val="nil"/>
          <w:between w:val="nil"/>
        </w:pBdr>
        <w:tabs>
          <w:tab w:val="left" w:pos="7938"/>
        </w:tabs>
        <w:ind w:left="1134" w:right="900"/>
        <w:jc w:val="both"/>
        <w:rPr>
          <w:rFonts w:ascii="Palatino Linotype" w:eastAsia="Palatino Linotype" w:hAnsi="Palatino Linotype" w:cs="Palatino Linotype"/>
          <w:i/>
          <w:color w:val="000000"/>
        </w:rPr>
      </w:pPr>
      <w:r w:rsidRPr="00EB3E7E">
        <w:rPr>
          <w:rFonts w:ascii="Palatino Linotype" w:eastAsia="Palatino Linotype" w:hAnsi="Palatino Linotype" w:cs="Palatino Linotype"/>
          <w:i/>
          <w:color w:val="000000"/>
        </w:rPr>
        <w:t xml:space="preserve"> “</w:t>
      </w:r>
      <w:r w:rsidRPr="00EB3E7E">
        <w:rPr>
          <w:rFonts w:ascii="Palatino Linotype" w:eastAsia="Palatino Linotype" w:hAnsi="Palatino Linotype" w:cs="Palatino Linotype"/>
          <w:b/>
          <w:i/>
          <w:color w:val="000000"/>
        </w:rPr>
        <w:t>Expresión documental</w:t>
      </w:r>
      <w:r w:rsidRPr="00EB3E7E">
        <w:rPr>
          <w:rFonts w:ascii="Palatino Linotype" w:eastAsia="Palatino Linotype" w:hAnsi="Palatino Linotype" w:cs="Palatino Linotype"/>
          <w:i/>
          <w:color w:val="000000"/>
        </w:rPr>
        <w:t>. Cuando los particulares presenten solicitudes de acceso a la información sin identificar de forma precisa la documentación que pudiera contener la información de su interés, o bien, la solicitud constituya una consulta, pero la respuesta pudiera obrar en algún documento en poder de los sujetos obligados, éstos deben dar a dichas solicitudes una interpretación que les otorgue una expresión documental.”</w:t>
      </w:r>
    </w:p>
    <w:p w:rsidR="009E03EF" w:rsidRPr="00EB3E7E" w:rsidRDefault="009E03EF" w:rsidP="009E03EF">
      <w:pPr>
        <w:pBdr>
          <w:top w:val="nil"/>
          <w:left w:val="nil"/>
          <w:bottom w:val="nil"/>
          <w:right w:val="nil"/>
          <w:between w:val="nil"/>
        </w:pBdr>
        <w:tabs>
          <w:tab w:val="left" w:pos="7938"/>
        </w:tabs>
        <w:ind w:left="1134" w:right="900"/>
        <w:jc w:val="both"/>
        <w:rPr>
          <w:rFonts w:ascii="Palatino Linotype" w:eastAsia="Palatino Linotype" w:hAnsi="Palatino Linotype" w:cs="Palatino Linotype"/>
          <w:i/>
          <w:color w:val="000000"/>
        </w:rPr>
      </w:pPr>
    </w:p>
    <w:p w:rsidR="009E03EF" w:rsidRPr="00EB3E7E" w:rsidRDefault="009E03EF" w:rsidP="00433085">
      <w:pPr>
        <w:numPr>
          <w:ilvl w:val="0"/>
          <w:numId w:val="2"/>
        </w:numPr>
        <w:spacing w:line="360" w:lineRule="auto"/>
        <w:ind w:left="0" w:right="-787" w:firstLine="0"/>
        <w:jc w:val="both"/>
        <w:rPr>
          <w:rFonts w:ascii="Palatino Linotype" w:eastAsia="Palatino Linotype" w:hAnsi="Palatino Linotype" w:cs="Palatino Linotype"/>
          <w:color w:val="000000"/>
        </w:rPr>
      </w:pPr>
      <w:r w:rsidRPr="00EB3E7E">
        <w:rPr>
          <w:rFonts w:ascii="Palatino Linotype" w:eastAsia="Palatino Linotype" w:hAnsi="Palatino Linotype" w:cs="Palatino Linotype"/>
          <w:color w:val="000000"/>
        </w:rPr>
        <w:t xml:space="preserve">Lo anterior en virtud de que el </w:t>
      </w:r>
      <w:r w:rsidRPr="00EB3E7E">
        <w:rPr>
          <w:rFonts w:ascii="Palatino Linotype" w:eastAsia="Palatino Linotype" w:hAnsi="Palatino Linotype" w:cs="Palatino Linotype"/>
          <w:b/>
          <w:color w:val="000000"/>
        </w:rPr>
        <w:t>Sujeto Obligado</w:t>
      </w:r>
      <w:r w:rsidRPr="00EB3E7E">
        <w:rPr>
          <w:rFonts w:ascii="Palatino Linotype" w:eastAsia="Palatino Linotype" w:hAnsi="Palatino Linotype" w:cs="Palatino Linotype"/>
          <w:color w:val="000000"/>
        </w:rPr>
        <w:t xml:space="preserve"> se encuentra constreñido a documentar todo acto que derive del ejercicio sus facultades, competencias o funciones, considerando desde su origen la eventual publicidad y reutilización de la información que generen, según lo dispuesto en los artículos 18, 24 fracción XXII y 160 párrafo primero de la Ley de la Materia, que son del tenor literal siguiente:</w:t>
      </w:r>
    </w:p>
    <w:p w:rsidR="009E03EF" w:rsidRPr="00EB3E7E" w:rsidRDefault="009E03EF" w:rsidP="009E03EF">
      <w:pPr>
        <w:pBdr>
          <w:top w:val="nil"/>
          <w:left w:val="nil"/>
          <w:bottom w:val="nil"/>
          <w:right w:val="nil"/>
          <w:between w:val="nil"/>
        </w:pBdr>
        <w:spacing w:before="120" w:after="120"/>
        <w:ind w:left="1134" w:right="1134"/>
        <w:jc w:val="both"/>
        <w:rPr>
          <w:rFonts w:ascii="Palatino Linotype" w:eastAsia="Palatino Linotype" w:hAnsi="Palatino Linotype" w:cs="Palatino Linotype"/>
          <w:i/>
          <w:color w:val="000000"/>
        </w:rPr>
      </w:pPr>
      <w:r w:rsidRPr="00EB3E7E">
        <w:rPr>
          <w:rFonts w:ascii="Palatino Linotype" w:eastAsia="Palatino Linotype" w:hAnsi="Palatino Linotype" w:cs="Palatino Linotype"/>
          <w:i/>
          <w:color w:val="000000"/>
        </w:rPr>
        <w:lastRenderedPageBreak/>
        <w:t>“</w:t>
      </w:r>
      <w:r w:rsidRPr="00EB3E7E">
        <w:rPr>
          <w:rFonts w:ascii="Palatino Linotype" w:eastAsia="Palatino Linotype" w:hAnsi="Palatino Linotype" w:cs="Palatino Linotype"/>
          <w:b/>
          <w:i/>
          <w:color w:val="000000"/>
        </w:rPr>
        <w:t>Artículo 18</w:t>
      </w:r>
      <w:r w:rsidRPr="00EB3E7E">
        <w:rPr>
          <w:rFonts w:ascii="Palatino Linotype" w:eastAsia="Palatino Linotype" w:hAnsi="Palatino Linotype" w:cs="Palatino Linotype"/>
          <w:i/>
          <w:color w:val="000000"/>
        </w:rPr>
        <w:t>. Los sujetos obligados deberán documentar todo acto que derive del ejercicio de sus facultades, competencias o funciones, considerando desde su origen la eventual publicidad y reutilización de la información que generen.</w:t>
      </w:r>
    </w:p>
    <w:p w:rsidR="009E03EF" w:rsidRPr="00EB3E7E" w:rsidRDefault="009E03EF" w:rsidP="009E03EF">
      <w:pPr>
        <w:pBdr>
          <w:top w:val="nil"/>
          <w:left w:val="nil"/>
          <w:bottom w:val="nil"/>
          <w:right w:val="nil"/>
          <w:between w:val="nil"/>
        </w:pBdr>
        <w:spacing w:before="120" w:after="120"/>
        <w:ind w:left="1134" w:right="1134"/>
        <w:jc w:val="both"/>
        <w:rPr>
          <w:rFonts w:ascii="Palatino Linotype" w:eastAsia="Palatino Linotype" w:hAnsi="Palatino Linotype" w:cs="Palatino Linotype"/>
          <w:i/>
          <w:color w:val="000000"/>
        </w:rPr>
      </w:pPr>
      <w:r w:rsidRPr="00EB3E7E">
        <w:rPr>
          <w:rFonts w:ascii="Palatino Linotype" w:eastAsia="Palatino Linotype" w:hAnsi="Palatino Linotype" w:cs="Palatino Linotype"/>
          <w:i/>
          <w:color w:val="000000"/>
        </w:rPr>
        <w:t>…</w:t>
      </w:r>
    </w:p>
    <w:p w:rsidR="009E03EF" w:rsidRPr="00EB3E7E" w:rsidRDefault="009E03EF" w:rsidP="009E03EF">
      <w:pPr>
        <w:pBdr>
          <w:top w:val="nil"/>
          <w:left w:val="nil"/>
          <w:bottom w:val="nil"/>
          <w:right w:val="nil"/>
          <w:between w:val="nil"/>
        </w:pBdr>
        <w:spacing w:before="120" w:after="120"/>
        <w:ind w:left="1134" w:right="1134"/>
        <w:jc w:val="both"/>
        <w:rPr>
          <w:rFonts w:ascii="Palatino Linotype" w:eastAsia="Palatino Linotype" w:hAnsi="Palatino Linotype" w:cs="Palatino Linotype"/>
          <w:i/>
          <w:color w:val="000000"/>
        </w:rPr>
      </w:pPr>
      <w:r w:rsidRPr="00EB3E7E">
        <w:rPr>
          <w:rFonts w:ascii="Palatino Linotype" w:eastAsia="Palatino Linotype" w:hAnsi="Palatino Linotype" w:cs="Palatino Linotype"/>
          <w:b/>
          <w:i/>
          <w:color w:val="000000"/>
        </w:rPr>
        <w:t>Artículo 24</w:t>
      </w:r>
      <w:r w:rsidRPr="00EB3E7E">
        <w:rPr>
          <w:rFonts w:ascii="Palatino Linotype" w:eastAsia="Palatino Linotype" w:hAnsi="Palatino Linotype" w:cs="Palatino Linotype"/>
          <w:i/>
          <w:color w:val="000000"/>
        </w:rPr>
        <w:t>. Para el cumplimiento de los objetivos de esta Ley, los sujetos obligados deberán cumplir con las siguientes obligaciones, según corresponda, de acuerdo a su naturaleza:</w:t>
      </w:r>
    </w:p>
    <w:p w:rsidR="009E03EF" w:rsidRPr="00EB3E7E" w:rsidRDefault="009E03EF" w:rsidP="009E03EF">
      <w:pPr>
        <w:pBdr>
          <w:top w:val="nil"/>
          <w:left w:val="nil"/>
          <w:bottom w:val="nil"/>
          <w:right w:val="nil"/>
          <w:between w:val="nil"/>
        </w:pBdr>
        <w:spacing w:before="120" w:after="120"/>
        <w:ind w:left="1134" w:right="1134"/>
        <w:jc w:val="both"/>
        <w:rPr>
          <w:rFonts w:ascii="Palatino Linotype" w:eastAsia="Palatino Linotype" w:hAnsi="Palatino Linotype" w:cs="Palatino Linotype"/>
          <w:i/>
          <w:color w:val="000000"/>
        </w:rPr>
      </w:pPr>
      <w:r w:rsidRPr="00EB3E7E">
        <w:rPr>
          <w:rFonts w:ascii="Palatino Linotype" w:eastAsia="Palatino Linotype" w:hAnsi="Palatino Linotype" w:cs="Palatino Linotype"/>
          <w:b/>
          <w:i/>
          <w:color w:val="000000"/>
        </w:rPr>
        <w:t>XXII.</w:t>
      </w:r>
      <w:r w:rsidRPr="00EB3E7E">
        <w:rPr>
          <w:rFonts w:ascii="Palatino Linotype" w:eastAsia="Palatino Linotype" w:hAnsi="Palatino Linotype" w:cs="Palatino Linotype"/>
          <w:i/>
          <w:color w:val="000000"/>
        </w:rPr>
        <w:t xml:space="preserve"> Documentar todo acto que derive del ejercicio de sus facultades, competencias o funciones y abstenerse de destruirlos u ocultarlos, dentro de los que destacan los procesos deliberativos y de decisión definitiva;</w:t>
      </w:r>
    </w:p>
    <w:p w:rsidR="009E03EF" w:rsidRPr="00EB3E7E" w:rsidRDefault="009E03EF" w:rsidP="009E03EF">
      <w:pPr>
        <w:pBdr>
          <w:top w:val="nil"/>
          <w:left w:val="nil"/>
          <w:bottom w:val="nil"/>
          <w:right w:val="nil"/>
          <w:between w:val="nil"/>
        </w:pBdr>
        <w:spacing w:before="120" w:after="120"/>
        <w:ind w:left="1134" w:right="1134"/>
        <w:jc w:val="both"/>
        <w:rPr>
          <w:rFonts w:ascii="Palatino Linotype" w:eastAsia="Palatino Linotype" w:hAnsi="Palatino Linotype" w:cs="Palatino Linotype"/>
          <w:i/>
          <w:color w:val="000000"/>
        </w:rPr>
      </w:pPr>
      <w:r w:rsidRPr="00EB3E7E">
        <w:rPr>
          <w:rFonts w:ascii="Palatino Linotype" w:eastAsia="Palatino Linotype" w:hAnsi="Palatino Linotype" w:cs="Palatino Linotype"/>
          <w:i/>
          <w:color w:val="000000"/>
        </w:rPr>
        <w:t>…</w:t>
      </w:r>
    </w:p>
    <w:p w:rsidR="009E03EF" w:rsidRPr="00EB3E7E" w:rsidRDefault="009E03EF" w:rsidP="009E03EF">
      <w:pPr>
        <w:pBdr>
          <w:top w:val="nil"/>
          <w:left w:val="nil"/>
          <w:bottom w:val="nil"/>
          <w:right w:val="nil"/>
          <w:between w:val="nil"/>
        </w:pBdr>
        <w:spacing w:before="120" w:after="120"/>
        <w:ind w:left="1134" w:right="1134"/>
        <w:jc w:val="both"/>
        <w:rPr>
          <w:rFonts w:ascii="Palatino Linotype" w:eastAsia="Palatino Linotype" w:hAnsi="Palatino Linotype" w:cs="Palatino Linotype"/>
          <w:i/>
          <w:color w:val="000000"/>
        </w:rPr>
      </w:pPr>
      <w:r w:rsidRPr="00EB3E7E">
        <w:rPr>
          <w:rFonts w:ascii="Palatino Linotype" w:eastAsia="Palatino Linotype" w:hAnsi="Palatino Linotype" w:cs="Palatino Linotype"/>
          <w:b/>
          <w:i/>
          <w:color w:val="000000"/>
        </w:rPr>
        <w:t>Artículo 160.</w:t>
      </w:r>
      <w:r w:rsidRPr="00EB3E7E">
        <w:rPr>
          <w:rFonts w:ascii="Palatino Linotype" w:eastAsia="Palatino Linotype" w:hAnsi="Palatino Linotype" w:cs="Palatino Linotype"/>
          <w:i/>
          <w:color w:val="000000"/>
        </w:rPr>
        <w:t xml:space="preserve">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rsidR="00FA6217" w:rsidRPr="00EB3E7E" w:rsidRDefault="00FA6217" w:rsidP="00FA6217">
      <w:pPr>
        <w:spacing w:line="360" w:lineRule="auto"/>
        <w:ind w:right="-787"/>
        <w:jc w:val="both"/>
        <w:rPr>
          <w:rFonts w:ascii="Palatino Linotype" w:eastAsia="Palatino Linotype" w:hAnsi="Palatino Linotype" w:cs="Palatino Linotype"/>
          <w:color w:val="000000"/>
        </w:rPr>
      </w:pPr>
    </w:p>
    <w:p w:rsidR="00433085" w:rsidRPr="00EB3E7E" w:rsidRDefault="00433085" w:rsidP="00433085">
      <w:pPr>
        <w:numPr>
          <w:ilvl w:val="0"/>
          <w:numId w:val="2"/>
        </w:numPr>
        <w:spacing w:line="360" w:lineRule="auto"/>
        <w:ind w:left="0" w:right="-787" w:firstLine="0"/>
        <w:jc w:val="both"/>
        <w:rPr>
          <w:rFonts w:ascii="Palatino Linotype" w:hAnsi="Palatino Linotype" w:cs="Tahoma"/>
          <w:bCs/>
          <w:lang w:val="es-ES" w:eastAsia="en-US"/>
        </w:rPr>
      </w:pPr>
      <w:r w:rsidRPr="00EB3E7E">
        <w:rPr>
          <w:rFonts w:ascii="Palatino Linotype" w:eastAsia="Palatino Linotype" w:hAnsi="Palatino Linotype" w:cs="Palatino Linotype"/>
        </w:rPr>
        <w:t xml:space="preserve">En relación al a la información solicitada el documento en el que pudiera obrar la información requerida es el </w:t>
      </w:r>
      <w:r w:rsidRPr="00EB3E7E">
        <w:rPr>
          <w:rFonts w:ascii="Palatino Linotype" w:eastAsia="Palatino Linotype" w:hAnsi="Palatino Linotype" w:cs="Palatino Linotype"/>
          <w:b/>
        </w:rPr>
        <w:t>recibo de nómina</w:t>
      </w:r>
      <w:r w:rsidRPr="00EB3E7E">
        <w:rPr>
          <w:rFonts w:ascii="Palatino Linotype" w:eastAsia="Palatino Linotype" w:hAnsi="Palatino Linotype" w:cs="Palatino Linotype"/>
        </w:rPr>
        <w:t xml:space="preserve">, ya que la información es </w:t>
      </w:r>
      <w:r w:rsidRPr="00EB3E7E">
        <w:rPr>
          <w:rFonts w:ascii="Palatino Linotype" w:eastAsia="Palatino Linotype" w:hAnsi="Palatino Linotype" w:cs="Palatino Linotype"/>
          <w:color w:val="000000"/>
        </w:rPr>
        <w:t>específica</w:t>
      </w:r>
      <w:r w:rsidRPr="00EB3E7E">
        <w:rPr>
          <w:rFonts w:ascii="Palatino Linotype" w:eastAsia="Palatino Linotype" w:hAnsi="Palatino Linotype" w:cs="Palatino Linotype"/>
        </w:rPr>
        <w:t xml:space="preserve"> sobre una servidora pública; asimismo, </w:t>
      </w:r>
      <w:r w:rsidRPr="00EB3E7E">
        <w:rPr>
          <w:rFonts w:ascii="Palatino Linotype" w:hAnsi="Palatino Linotype" w:cs="Tahoma"/>
        </w:rPr>
        <w:t xml:space="preserve">cabe precisar que la </w:t>
      </w:r>
      <w:r w:rsidRPr="00EB3E7E">
        <w:rPr>
          <w:rFonts w:ascii="Palatino Linotype" w:hAnsi="Palatino Linotype" w:cs="Tahoma"/>
          <w:b/>
        </w:rPr>
        <w:t>lista de raya,</w:t>
      </w:r>
      <w:r w:rsidRPr="00EB3E7E">
        <w:rPr>
          <w:rFonts w:ascii="Palatino Linotype" w:hAnsi="Palatino Linotype" w:cs="Tahoma"/>
        </w:rPr>
        <w:t xml:space="preserve"> consiste en registros contables que contienen la relación de los trabajadores, en los que se asientan sus remuneraciones; pudiendo darse el caso que en las </w:t>
      </w:r>
      <w:r w:rsidRPr="00EB3E7E">
        <w:rPr>
          <w:rFonts w:ascii="Palatino Linotype" w:hAnsi="Palatino Linotype" w:cs="Tahoma"/>
          <w:b/>
        </w:rPr>
        <w:t xml:space="preserve">listas de raya únicamente se encuentren los </w:t>
      </w:r>
      <w:r w:rsidRPr="00EB3E7E">
        <w:rPr>
          <w:rFonts w:ascii="Palatino Linotype" w:hAnsi="Palatino Linotype" w:cs="Tahoma"/>
          <w:b/>
          <w:bCs/>
          <w:lang w:eastAsia="en-US"/>
        </w:rPr>
        <w:t>trabajadores contratados por determinado tiempo</w:t>
      </w:r>
      <w:r w:rsidRPr="00EB3E7E">
        <w:rPr>
          <w:rFonts w:ascii="Palatino Linotype" w:hAnsi="Palatino Linotype" w:cs="Tahoma"/>
          <w:bCs/>
          <w:lang w:eastAsia="en-US"/>
        </w:rPr>
        <w:t xml:space="preserve">; lo anterior, conforme al artículo 804, fracción II de la Ley Federal de Trabajo </w:t>
      </w:r>
      <w:r w:rsidRPr="00EB3E7E">
        <w:rPr>
          <w:rFonts w:ascii="Palatino Linotype" w:hAnsi="Palatino Linotype" w:cs="Tahoma"/>
          <w:bCs/>
          <w:lang w:val="es-ES" w:eastAsia="en-US"/>
        </w:rPr>
        <w:t xml:space="preserve">señala que el patrón tiene la obligación de conservar y en su caso exhibir en juicio los documentos consistentes en </w:t>
      </w:r>
      <w:r w:rsidRPr="00EB3E7E">
        <w:rPr>
          <w:rFonts w:ascii="Palatino Linotype" w:hAnsi="Palatino Linotype" w:cs="Tahoma"/>
          <w:b/>
          <w:bCs/>
          <w:lang w:val="es-ES" w:eastAsia="en-US"/>
        </w:rPr>
        <w:t>las listas de raya o nómina de personal</w:t>
      </w:r>
      <w:r w:rsidRPr="00EB3E7E">
        <w:rPr>
          <w:rFonts w:ascii="Palatino Linotype" w:hAnsi="Palatino Linotype" w:cs="Tahoma"/>
          <w:bCs/>
          <w:lang w:val="es-ES" w:eastAsia="en-US"/>
        </w:rPr>
        <w:t>, cuando se lleven en el centro de trabajo o recibos de pagos de salarios.</w:t>
      </w:r>
    </w:p>
    <w:p w:rsidR="00433085" w:rsidRPr="00EB3E7E" w:rsidRDefault="00433085" w:rsidP="006B320A">
      <w:pPr>
        <w:pBdr>
          <w:top w:val="nil"/>
          <w:left w:val="nil"/>
          <w:bottom w:val="nil"/>
          <w:right w:val="nil"/>
          <w:between w:val="nil"/>
        </w:pBdr>
        <w:tabs>
          <w:tab w:val="right" w:pos="1701"/>
        </w:tabs>
        <w:ind w:left="567" w:right="-716"/>
        <w:jc w:val="both"/>
        <w:rPr>
          <w:rFonts w:ascii="Palatino Linotype" w:eastAsia="Palatino Linotype" w:hAnsi="Palatino Linotype" w:cs="Palatino Linotype"/>
          <w:i/>
          <w:color w:val="000000"/>
        </w:rPr>
      </w:pPr>
      <w:r w:rsidRPr="00EB3E7E">
        <w:rPr>
          <w:rFonts w:ascii="Palatino Linotype" w:eastAsia="Palatino Linotype" w:hAnsi="Palatino Linotype" w:cs="Palatino Linotype"/>
          <w:i/>
          <w:color w:val="000000"/>
        </w:rPr>
        <w:lastRenderedPageBreak/>
        <w:t>“</w:t>
      </w:r>
      <w:r w:rsidRPr="00EB3E7E">
        <w:rPr>
          <w:rFonts w:ascii="Palatino Linotype" w:eastAsia="Palatino Linotype" w:hAnsi="Palatino Linotype" w:cs="Palatino Linotype"/>
          <w:b/>
          <w:i/>
          <w:color w:val="000000"/>
        </w:rPr>
        <w:t>Artículo 804.-</w:t>
      </w:r>
      <w:r w:rsidRPr="00EB3E7E">
        <w:rPr>
          <w:rFonts w:ascii="Palatino Linotype" w:eastAsia="Palatino Linotype" w:hAnsi="Palatino Linotype" w:cs="Palatino Linotype"/>
          <w:i/>
          <w:color w:val="000000"/>
        </w:rPr>
        <w:t xml:space="preserve"> El patrón tiene obligación de conservar y exhibir en juicio los documentos que a continuación se precisan:</w:t>
      </w:r>
    </w:p>
    <w:p w:rsidR="00433085" w:rsidRPr="00EB3E7E" w:rsidRDefault="00433085" w:rsidP="006B320A">
      <w:pPr>
        <w:pBdr>
          <w:top w:val="nil"/>
          <w:left w:val="nil"/>
          <w:bottom w:val="nil"/>
          <w:right w:val="nil"/>
          <w:between w:val="nil"/>
        </w:pBdr>
        <w:tabs>
          <w:tab w:val="right" w:pos="1701"/>
        </w:tabs>
        <w:ind w:left="567" w:right="-716"/>
        <w:jc w:val="both"/>
        <w:rPr>
          <w:rFonts w:ascii="Palatino Linotype" w:eastAsia="Palatino Linotype" w:hAnsi="Palatino Linotype" w:cs="Palatino Linotype"/>
          <w:i/>
          <w:color w:val="000000"/>
        </w:rPr>
      </w:pPr>
    </w:p>
    <w:p w:rsidR="00433085" w:rsidRPr="00EB3E7E" w:rsidRDefault="00433085" w:rsidP="006B320A">
      <w:pPr>
        <w:pBdr>
          <w:top w:val="nil"/>
          <w:left w:val="nil"/>
          <w:bottom w:val="nil"/>
          <w:right w:val="nil"/>
          <w:between w:val="nil"/>
        </w:pBdr>
        <w:tabs>
          <w:tab w:val="right" w:pos="1701"/>
        </w:tabs>
        <w:ind w:left="567" w:right="-716"/>
        <w:jc w:val="both"/>
        <w:rPr>
          <w:rFonts w:ascii="Palatino Linotype" w:eastAsia="Palatino Linotype" w:hAnsi="Palatino Linotype" w:cs="Palatino Linotype"/>
          <w:i/>
          <w:color w:val="000000"/>
        </w:rPr>
      </w:pPr>
      <w:r w:rsidRPr="00EB3E7E">
        <w:rPr>
          <w:rFonts w:ascii="Palatino Linotype" w:eastAsia="Palatino Linotype" w:hAnsi="Palatino Linotype" w:cs="Palatino Linotype"/>
          <w:b/>
          <w:i/>
          <w:color w:val="000000"/>
        </w:rPr>
        <w:t>I.</w:t>
      </w:r>
      <w:r w:rsidRPr="00EB3E7E">
        <w:rPr>
          <w:rFonts w:ascii="Palatino Linotype" w:eastAsia="Palatino Linotype" w:hAnsi="Palatino Linotype" w:cs="Palatino Linotype"/>
          <w:i/>
          <w:color w:val="000000"/>
        </w:rPr>
        <w:t xml:space="preserve"> </w:t>
      </w:r>
      <w:r w:rsidRPr="00EB3E7E">
        <w:rPr>
          <w:rFonts w:ascii="Palatino Linotype" w:eastAsia="Palatino Linotype" w:hAnsi="Palatino Linotype" w:cs="Palatino Linotype"/>
          <w:i/>
          <w:color w:val="000000"/>
        </w:rPr>
        <w:tab/>
        <w:t>Contratos individuales de trabajo que se celebren, cuando no exista contrato colectivo o contrato Ley aplicable;</w:t>
      </w:r>
    </w:p>
    <w:p w:rsidR="00433085" w:rsidRPr="00EB3E7E" w:rsidRDefault="00433085" w:rsidP="006B320A">
      <w:pPr>
        <w:pBdr>
          <w:top w:val="nil"/>
          <w:left w:val="nil"/>
          <w:bottom w:val="nil"/>
          <w:right w:val="nil"/>
          <w:between w:val="nil"/>
        </w:pBdr>
        <w:tabs>
          <w:tab w:val="right" w:pos="1701"/>
        </w:tabs>
        <w:ind w:left="567" w:right="-716"/>
        <w:jc w:val="both"/>
        <w:rPr>
          <w:rFonts w:ascii="Palatino Linotype" w:eastAsia="Palatino Linotype" w:hAnsi="Palatino Linotype" w:cs="Palatino Linotype"/>
          <w:i/>
          <w:color w:val="000000"/>
        </w:rPr>
      </w:pPr>
    </w:p>
    <w:p w:rsidR="00433085" w:rsidRPr="00EB3E7E" w:rsidRDefault="00433085" w:rsidP="006B320A">
      <w:pPr>
        <w:pBdr>
          <w:top w:val="nil"/>
          <w:left w:val="nil"/>
          <w:bottom w:val="nil"/>
          <w:right w:val="nil"/>
          <w:between w:val="nil"/>
        </w:pBdr>
        <w:tabs>
          <w:tab w:val="right" w:pos="1701"/>
        </w:tabs>
        <w:ind w:left="567" w:right="-716"/>
        <w:jc w:val="both"/>
        <w:rPr>
          <w:rFonts w:ascii="Palatino Linotype" w:eastAsia="Palatino Linotype" w:hAnsi="Palatino Linotype" w:cs="Palatino Linotype"/>
          <w:i/>
          <w:color w:val="000000"/>
        </w:rPr>
      </w:pPr>
      <w:r w:rsidRPr="00EB3E7E">
        <w:rPr>
          <w:rFonts w:ascii="Palatino Linotype" w:eastAsia="Palatino Linotype" w:hAnsi="Palatino Linotype" w:cs="Palatino Linotype"/>
          <w:b/>
          <w:i/>
          <w:color w:val="000000"/>
        </w:rPr>
        <w:t>II.</w:t>
      </w:r>
      <w:r w:rsidRPr="00EB3E7E">
        <w:rPr>
          <w:rFonts w:ascii="Palatino Linotype" w:eastAsia="Palatino Linotype" w:hAnsi="Palatino Linotype" w:cs="Palatino Linotype"/>
          <w:i/>
          <w:color w:val="000000"/>
        </w:rPr>
        <w:t xml:space="preserve"> </w:t>
      </w:r>
      <w:r w:rsidRPr="00EB3E7E">
        <w:rPr>
          <w:rFonts w:ascii="Palatino Linotype" w:eastAsia="Palatino Linotype" w:hAnsi="Palatino Linotype" w:cs="Palatino Linotype"/>
          <w:i/>
          <w:color w:val="000000"/>
        </w:rPr>
        <w:tab/>
      </w:r>
      <w:r w:rsidRPr="00EB3E7E">
        <w:rPr>
          <w:rFonts w:ascii="Palatino Linotype" w:eastAsia="Palatino Linotype" w:hAnsi="Palatino Linotype" w:cs="Palatino Linotype"/>
          <w:b/>
          <w:i/>
          <w:color w:val="000000"/>
        </w:rPr>
        <w:t>Listas de raya o nómina de personal</w:t>
      </w:r>
      <w:r w:rsidRPr="00EB3E7E">
        <w:rPr>
          <w:rFonts w:ascii="Palatino Linotype" w:eastAsia="Palatino Linotype" w:hAnsi="Palatino Linotype" w:cs="Palatino Linotype"/>
          <w:i/>
          <w:color w:val="000000"/>
        </w:rPr>
        <w:t>, cuando se lleven en el centro de trabajo; o recibos de pagos de salarios;</w:t>
      </w:r>
    </w:p>
    <w:p w:rsidR="00433085" w:rsidRPr="00EB3E7E" w:rsidRDefault="00433085" w:rsidP="006B320A">
      <w:pPr>
        <w:pBdr>
          <w:top w:val="nil"/>
          <w:left w:val="nil"/>
          <w:bottom w:val="nil"/>
          <w:right w:val="nil"/>
          <w:between w:val="nil"/>
        </w:pBdr>
        <w:tabs>
          <w:tab w:val="right" w:pos="1701"/>
        </w:tabs>
        <w:ind w:left="567" w:right="-716"/>
        <w:jc w:val="both"/>
        <w:rPr>
          <w:rFonts w:ascii="Palatino Linotype" w:eastAsia="Palatino Linotype" w:hAnsi="Palatino Linotype" w:cs="Palatino Linotype"/>
          <w:i/>
          <w:color w:val="000000"/>
        </w:rPr>
      </w:pPr>
    </w:p>
    <w:p w:rsidR="00433085" w:rsidRPr="00EB3E7E" w:rsidRDefault="00433085" w:rsidP="006B320A">
      <w:pPr>
        <w:pBdr>
          <w:top w:val="nil"/>
          <w:left w:val="nil"/>
          <w:bottom w:val="nil"/>
          <w:right w:val="nil"/>
          <w:between w:val="nil"/>
        </w:pBdr>
        <w:tabs>
          <w:tab w:val="right" w:pos="1701"/>
        </w:tabs>
        <w:ind w:left="567" w:right="-716"/>
        <w:jc w:val="both"/>
        <w:rPr>
          <w:rFonts w:ascii="Palatino Linotype" w:eastAsia="Palatino Linotype" w:hAnsi="Palatino Linotype" w:cs="Palatino Linotype"/>
          <w:i/>
          <w:color w:val="000000"/>
        </w:rPr>
      </w:pPr>
      <w:r w:rsidRPr="00EB3E7E">
        <w:rPr>
          <w:rFonts w:ascii="Palatino Linotype" w:eastAsia="Palatino Linotype" w:hAnsi="Palatino Linotype" w:cs="Palatino Linotype"/>
          <w:b/>
          <w:i/>
          <w:color w:val="000000"/>
        </w:rPr>
        <w:t>III.</w:t>
      </w:r>
      <w:r w:rsidRPr="00EB3E7E">
        <w:rPr>
          <w:rFonts w:ascii="Palatino Linotype" w:eastAsia="Palatino Linotype" w:hAnsi="Palatino Linotype" w:cs="Palatino Linotype"/>
          <w:i/>
          <w:color w:val="000000"/>
        </w:rPr>
        <w:t xml:space="preserve"> </w:t>
      </w:r>
      <w:r w:rsidRPr="00EB3E7E">
        <w:rPr>
          <w:rFonts w:ascii="Palatino Linotype" w:eastAsia="Palatino Linotype" w:hAnsi="Palatino Linotype" w:cs="Palatino Linotype"/>
          <w:i/>
          <w:color w:val="000000"/>
        </w:rPr>
        <w:tab/>
        <w:t>Controles de asistencia, cuando se lleven en el centro de trabajo;</w:t>
      </w:r>
    </w:p>
    <w:p w:rsidR="00433085" w:rsidRPr="00EB3E7E" w:rsidRDefault="00433085" w:rsidP="006B320A">
      <w:pPr>
        <w:pBdr>
          <w:top w:val="nil"/>
          <w:left w:val="nil"/>
          <w:bottom w:val="nil"/>
          <w:right w:val="nil"/>
          <w:between w:val="nil"/>
        </w:pBdr>
        <w:tabs>
          <w:tab w:val="right" w:pos="1701"/>
        </w:tabs>
        <w:ind w:left="567" w:right="-716"/>
        <w:jc w:val="both"/>
        <w:rPr>
          <w:rFonts w:ascii="Palatino Linotype" w:eastAsia="Palatino Linotype" w:hAnsi="Palatino Linotype" w:cs="Palatino Linotype"/>
          <w:i/>
          <w:color w:val="000000"/>
        </w:rPr>
      </w:pPr>
    </w:p>
    <w:p w:rsidR="00433085" w:rsidRPr="00EB3E7E" w:rsidRDefault="00433085" w:rsidP="006B320A">
      <w:pPr>
        <w:pBdr>
          <w:top w:val="nil"/>
          <w:left w:val="nil"/>
          <w:bottom w:val="nil"/>
          <w:right w:val="nil"/>
          <w:between w:val="nil"/>
        </w:pBdr>
        <w:tabs>
          <w:tab w:val="right" w:pos="1701"/>
        </w:tabs>
        <w:ind w:left="567" w:right="-716"/>
        <w:jc w:val="both"/>
        <w:rPr>
          <w:rFonts w:ascii="Palatino Linotype" w:eastAsia="Palatino Linotype" w:hAnsi="Palatino Linotype" w:cs="Palatino Linotype"/>
          <w:i/>
          <w:color w:val="000000"/>
        </w:rPr>
      </w:pPr>
      <w:r w:rsidRPr="00EB3E7E">
        <w:rPr>
          <w:rFonts w:ascii="Palatino Linotype" w:eastAsia="Palatino Linotype" w:hAnsi="Palatino Linotype" w:cs="Palatino Linotype"/>
          <w:b/>
          <w:i/>
          <w:color w:val="000000"/>
        </w:rPr>
        <w:t>IV.</w:t>
      </w:r>
      <w:r w:rsidRPr="00EB3E7E">
        <w:rPr>
          <w:rFonts w:ascii="Palatino Linotype" w:eastAsia="Palatino Linotype" w:hAnsi="Palatino Linotype" w:cs="Palatino Linotype"/>
          <w:i/>
          <w:color w:val="000000"/>
        </w:rPr>
        <w:t xml:space="preserve"> </w:t>
      </w:r>
      <w:r w:rsidRPr="00EB3E7E">
        <w:rPr>
          <w:rFonts w:ascii="Palatino Linotype" w:eastAsia="Palatino Linotype" w:hAnsi="Palatino Linotype" w:cs="Palatino Linotype"/>
          <w:i/>
          <w:color w:val="000000"/>
        </w:rPr>
        <w:tab/>
        <w:t>Comprobantes de pago de participación de utilidades, de vacaciones y de aguinaldos, así como las primas a que se refiere esta Ley, y pagos, aportaciones y cuotas de seguridad social; y</w:t>
      </w:r>
    </w:p>
    <w:p w:rsidR="00433085" w:rsidRPr="00EB3E7E" w:rsidRDefault="00433085" w:rsidP="006B320A">
      <w:pPr>
        <w:pBdr>
          <w:top w:val="nil"/>
          <w:left w:val="nil"/>
          <w:bottom w:val="nil"/>
          <w:right w:val="nil"/>
          <w:between w:val="nil"/>
        </w:pBdr>
        <w:tabs>
          <w:tab w:val="right" w:pos="1701"/>
        </w:tabs>
        <w:ind w:left="567" w:right="-716"/>
        <w:jc w:val="both"/>
        <w:rPr>
          <w:rFonts w:ascii="Palatino Linotype" w:eastAsia="Palatino Linotype" w:hAnsi="Palatino Linotype" w:cs="Palatino Linotype"/>
          <w:i/>
          <w:color w:val="000000"/>
        </w:rPr>
      </w:pPr>
    </w:p>
    <w:p w:rsidR="00433085" w:rsidRPr="00EB3E7E" w:rsidRDefault="00433085" w:rsidP="006B320A">
      <w:pPr>
        <w:pBdr>
          <w:top w:val="nil"/>
          <w:left w:val="nil"/>
          <w:bottom w:val="nil"/>
          <w:right w:val="nil"/>
          <w:between w:val="nil"/>
        </w:pBdr>
        <w:tabs>
          <w:tab w:val="right" w:pos="1701"/>
        </w:tabs>
        <w:ind w:left="567" w:right="-716"/>
        <w:jc w:val="both"/>
        <w:rPr>
          <w:rFonts w:ascii="Palatino Linotype" w:eastAsia="Palatino Linotype" w:hAnsi="Palatino Linotype" w:cs="Palatino Linotype"/>
          <w:i/>
          <w:color w:val="000000"/>
        </w:rPr>
      </w:pPr>
      <w:r w:rsidRPr="00EB3E7E">
        <w:rPr>
          <w:rFonts w:ascii="Palatino Linotype" w:eastAsia="Palatino Linotype" w:hAnsi="Palatino Linotype" w:cs="Palatino Linotype"/>
          <w:b/>
          <w:i/>
          <w:color w:val="000000"/>
        </w:rPr>
        <w:t>V.</w:t>
      </w:r>
      <w:r w:rsidRPr="00EB3E7E">
        <w:rPr>
          <w:rFonts w:ascii="Palatino Linotype" w:eastAsia="Palatino Linotype" w:hAnsi="Palatino Linotype" w:cs="Palatino Linotype"/>
          <w:i/>
          <w:color w:val="000000"/>
        </w:rPr>
        <w:t xml:space="preserve"> </w:t>
      </w:r>
      <w:r w:rsidRPr="00EB3E7E">
        <w:rPr>
          <w:rFonts w:ascii="Palatino Linotype" w:eastAsia="Palatino Linotype" w:hAnsi="Palatino Linotype" w:cs="Palatino Linotype"/>
          <w:i/>
          <w:color w:val="000000"/>
        </w:rPr>
        <w:tab/>
        <w:t>Los demás que señalen las leyes.</w:t>
      </w:r>
    </w:p>
    <w:p w:rsidR="00433085" w:rsidRPr="00EB3E7E" w:rsidRDefault="00433085" w:rsidP="006B320A">
      <w:pPr>
        <w:pBdr>
          <w:top w:val="nil"/>
          <w:left w:val="nil"/>
          <w:bottom w:val="nil"/>
          <w:right w:val="nil"/>
          <w:between w:val="nil"/>
        </w:pBdr>
        <w:tabs>
          <w:tab w:val="right" w:pos="1701"/>
        </w:tabs>
        <w:ind w:left="567" w:right="-716"/>
        <w:jc w:val="both"/>
        <w:rPr>
          <w:rFonts w:ascii="Palatino Linotype" w:eastAsia="Palatino Linotype" w:hAnsi="Palatino Linotype" w:cs="Palatino Linotype"/>
          <w:i/>
          <w:color w:val="000000"/>
        </w:rPr>
      </w:pPr>
      <w:r w:rsidRPr="00EB3E7E">
        <w:rPr>
          <w:rFonts w:ascii="Palatino Linotype" w:eastAsia="Palatino Linotype" w:hAnsi="Palatino Linotype" w:cs="Palatino Linotype"/>
          <w:i/>
          <w:color w:val="000000"/>
        </w:rPr>
        <w:t xml:space="preserve">Los documentos señalados en la fracción I deberán conservarse mientras dure la relación laboral y hasta un año después; los señalados en las fracciones II, III y IV, durante el último año y un año después de que se extinga la relación laboral; y los mencionados en la fracción V, conforme lo señalen las Leyes que los rijan”. </w:t>
      </w:r>
    </w:p>
    <w:p w:rsidR="00433085" w:rsidRPr="00EB3E7E" w:rsidRDefault="00433085" w:rsidP="00433085">
      <w:pPr>
        <w:spacing w:line="360" w:lineRule="auto"/>
        <w:ind w:right="-787"/>
        <w:jc w:val="both"/>
        <w:rPr>
          <w:rFonts w:ascii="Palatino Linotype" w:hAnsi="Palatino Linotype" w:cs="Tahoma"/>
          <w:bCs/>
          <w:lang w:val="es-ES" w:eastAsia="en-US"/>
        </w:rPr>
      </w:pPr>
    </w:p>
    <w:p w:rsidR="00433085" w:rsidRPr="00EB3E7E" w:rsidRDefault="00433085" w:rsidP="00433085">
      <w:pPr>
        <w:numPr>
          <w:ilvl w:val="0"/>
          <w:numId w:val="2"/>
        </w:numPr>
        <w:spacing w:line="360" w:lineRule="auto"/>
        <w:ind w:left="0" w:right="-787" w:firstLine="0"/>
        <w:jc w:val="both"/>
        <w:rPr>
          <w:rFonts w:ascii="Palatino Linotype" w:hAnsi="Palatino Linotype" w:cs="Tahoma"/>
          <w:bCs/>
          <w:lang w:eastAsia="en-US"/>
        </w:rPr>
      </w:pPr>
      <w:r w:rsidRPr="00EB3E7E">
        <w:rPr>
          <w:rFonts w:ascii="Palatino Linotype" w:eastAsia="Palatino Linotype" w:hAnsi="Palatino Linotype" w:cs="Palatino Linotype"/>
        </w:rPr>
        <w:t>En</w:t>
      </w:r>
      <w:r w:rsidRPr="00EB3E7E">
        <w:rPr>
          <w:rFonts w:ascii="Palatino Linotype" w:hAnsi="Palatino Linotype" w:cs="Tahoma"/>
        </w:rPr>
        <w:t xml:space="preserve"> ese </w:t>
      </w:r>
      <w:r w:rsidRPr="00EB3E7E">
        <w:rPr>
          <w:rFonts w:ascii="Palatino Linotype" w:eastAsia="Palatino Linotype" w:hAnsi="Palatino Linotype" w:cs="Palatino Linotype"/>
        </w:rPr>
        <w:t>orden</w:t>
      </w:r>
      <w:r w:rsidRPr="00EB3E7E">
        <w:rPr>
          <w:rFonts w:ascii="Palatino Linotype" w:hAnsi="Palatino Linotype" w:cs="Tahoma"/>
        </w:rPr>
        <w:t xml:space="preserve"> de ideas, el artículo 50 de la </w:t>
      </w:r>
      <w:r w:rsidRPr="00EB3E7E">
        <w:rPr>
          <w:rFonts w:ascii="Palatino Linotype" w:hAnsi="Palatino Linotype" w:cs="Tahoma"/>
          <w:bCs/>
          <w:lang w:eastAsia="en-US"/>
        </w:rPr>
        <w:t xml:space="preserve">Ley del Trabajo de los Servidores Públicos del Estado y Municipios, señala que el servidor público que se </w:t>
      </w:r>
      <w:r w:rsidRPr="00EB3E7E">
        <w:rPr>
          <w:rFonts w:ascii="Palatino Linotype" w:hAnsi="Palatino Linotype" w:cs="Tahoma"/>
          <w:b/>
          <w:bCs/>
          <w:lang w:eastAsia="en-US"/>
        </w:rPr>
        <w:t xml:space="preserve">encuentre en la lista de raya, </w:t>
      </w:r>
      <w:r w:rsidRPr="00EB3E7E">
        <w:rPr>
          <w:rFonts w:ascii="Palatino Linotype" w:hAnsi="Palatino Linotype" w:cs="Tahoma"/>
          <w:bCs/>
          <w:lang w:eastAsia="en-US"/>
        </w:rPr>
        <w:t>se obliga a cumplir con los deberes inherentes al puesto especificado en el contrato, nombramiento o formato único de Movimiento de Personal.</w:t>
      </w:r>
    </w:p>
    <w:p w:rsidR="00433085" w:rsidRPr="00EB3E7E" w:rsidRDefault="00433085" w:rsidP="00433085">
      <w:pPr>
        <w:pBdr>
          <w:top w:val="nil"/>
          <w:left w:val="nil"/>
          <w:bottom w:val="nil"/>
          <w:right w:val="nil"/>
          <w:between w:val="nil"/>
        </w:pBdr>
        <w:ind w:right="-716"/>
        <w:jc w:val="both"/>
        <w:rPr>
          <w:rFonts w:ascii="Palatino Linotype" w:eastAsia="Palatino Linotype" w:hAnsi="Palatino Linotype" w:cs="Palatino Linotype"/>
          <w:i/>
          <w:color w:val="000000"/>
        </w:rPr>
      </w:pPr>
    </w:p>
    <w:p w:rsidR="00433085" w:rsidRPr="00EB3E7E" w:rsidRDefault="00433085" w:rsidP="006B320A">
      <w:pPr>
        <w:pBdr>
          <w:top w:val="nil"/>
          <w:left w:val="nil"/>
          <w:bottom w:val="nil"/>
          <w:right w:val="nil"/>
          <w:between w:val="nil"/>
        </w:pBdr>
        <w:ind w:left="567" w:right="-716"/>
        <w:jc w:val="both"/>
        <w:rPr>
          <w:rFonts w:ascii="Palatino Linotype" w:eastAsia="Palatino Linotype" w:hAnsi="Palatino Linotype" w:cs="Palatino Linotype"/>
          <w:i/>
          <w:color w:val="000000"/>
        </w:rPr>
      </w:pPr>
      <w:r w:rsidRPr="00EB3E7E">
        <w:rPr>
          <w:rFonts w:ascii="Palatino Linotype" w:eastAsia="Palatino Linotype" w:hAnsi="Palatino Linotype" w:cs="Palatino Linotype"/>
          <w:b/>
          <w:i/>
          <w:color w:val="000000"/>
        </w:rPr>
        <w:t>ARTÍCULO 50</w:t>
      </w:r>
      <w:r w:rsidRPr="00EB3E7E">
        <w:rPr>
          <w:rFonts w:ascii="Palatino Linotype" w:eastAsia="Palatino Linotype" w:hAnsi="Palatino Linotype" w:cs="Palatino Linotype"/>
          <w:i/>
          <w:color w:val="000000"/>
        </w:rPr>
        <w:t>.- El nombramiento, contrato o formato único de Movimientos de Personal aceptado obliga al servidor público a cumplir con los deberes inherentes al puesto especificado en el mismo y a las consecuencias que sean conforme a la ley, al uso y a la buena fe.</w:t>
      </w:r>
    </w:p>
    <w:p w:rsidR="00433085" w:rsidRPr="00EB3E7E" w:rsidRDefault="00433085" w:rsidP="006B320A">
      <w:pPr>
        <w:pBdr>
          <w:top w:val="nil"/>
          <w:left w:val="nil"/>
          <w:bottom w:val="nil"/>
          <w:right w:val="nil"/>
          <w:between w:val="nil"/>
        </w:pBdr>
        <w:ind w:left="567" w:right="-716"/>
        <w:jc w:val="both"/>
        <w:rPr>
          <w:rFonts w:ascii="Palatino Linotype" w:eastAsia="Palatino Linotype" w:hAnsi="Palatino Linotype" w:cs="Palatino Linotype"/>
          <w:i/>
          <w:color w:val="000000"/>
        </w:rPr>
      </w:pPr>
    </w:p>
    <w:p w:rsidR="00433085" w:rsidRPr="00EB3E7E" w:rsidRDefault="00433085" w:rsidP="006B320A">
      <w:pPr>
        <w:pBdr>
          <w:top w:val="nil"/>
          <w:left w:val="nil"/>
          <w:bottom w:val="nil"/>
          <w:right w:val="nil"/>
          <w:between w:val="nil"/>
        </w:pBdr>
        <w:ind w:left="567" w:right="-716"/>
        <w:jc w:val="both"/>
        <w:rPr>
          <w:rFonts w:ascii="Palatino Linotype" w:eastAsia="Palatino Linotype" w:hAnsi="Palatino Linotype" w:cs="Palatino Linotype"/>
          <w:i/>
          <w:color w:val="000000"/>
        </w:rPr>
      </w:pPr>
      <w:r w:rsidRPr="00EB3E7E">
        <w:rPr>
          <w:rFonts w:ascii="Palatino Linotype" w:eastAsia="Palatino Linotype" w:hAnsi="Palatino Linotype" w:cs="Palatino Linotype"/>
          <w:b/>
          <w:i/>
          <w:color w:val="000000"/>
        </w:rPr>
        <w:t>Iguales consecuencias se generarán para todos los servidores públicos, cuando la relación de trabajo se formalice mediante un contrato o por encontrarse en lista de raya</w:t>
      </w:r>
      <w:r w:rsidRPr="00EB3E7E">
        <w:rPr>
          <w:rFonts w:ascii="Palatino Linotype" w:eastAsia="Palatino Linotype" w:hAnsi="Palatino Linotype" w:cs="Palatino Linotype"/>
          <w:i/>
          <w:color w:val="000000"/>
        </w:rPr>
        <w:t>.</w:t>
      </w:r>
    </w:p>
    <w:p w:rsidR="00433085" w:rsidRPr="00EB3E7E" w:rsidRDefault="00433085" w:rsidP="00433085">
      <w:pPr>
        <w:pBdr>
          <w:top w:val="nil"/>
          <w:left w:val="nil"/>
          <w:bottom w:val="nil"/>
          <w:right w:val="nil"/>
          <w:between w:val="nil"/>
        </w:pBdr>
        <w:ind w:right="-716"/>
        <w:jc w:val="both"/>
        <w:rPr>
          <w:rFonts w:ascii="Palatino Linotype" w:eastAsia="Palatino Linotype" w:hAnsi="Palatino Linotype" w:cs="Palatino Linotype"/>
          <w:i/>
          <w:color w:val="000000"/>
        </w:rPr>
      </w:pPr>
    </w:p>
    <w:p w:rsidR="00433085" w:rsidRPr="00EB3E7E" w:rsidRDefault="00433085" w:rsidP="00433085">
      <w:pPr>
        <w:numPr>
          <w:ilvl w:val="0"/>
          <w:numId w:val="2"/>
        </w:numPr>
        <w:spacing w:line="360" w:lineRule="auto"/>
        <w:ind w:left="0" w:right="-787" w:firstLine="0"/>
        <w:jc w:val="both"/>
        <w:rPr>
          <w:rFonts w:ascii="Palatino Linotype" w:eastAsia="Palatino Linotype" w:hAnsi="Palatino Linotype" w:cs="Palatino Linotype"/>
          <w:color w:val="000000"/>
        </w:rPr>
      </w:pPr>
      <w:r w:rsidRPr="00EB3E7E">
        <w:rPr>
          <w:rFonts w:ascii="Palatino Linotype" w:eastAsia="Palatino Linotype" w:hAnsi="Palatino Linotype" w:cs="Palatino Linotype"/>
          <w:color w:val="000000"/>
        </w:rPr>
        <w:lastRenderedPageBreak/>
        <w:t>Por su parte, el artículo 3°, fracción LXVIII, del Código Financiero del Estado de México y Municipios establece que la remuneración consiste en los pagos hechos por concepto de sueldo, compensaciones, gratificaciones, habitación, primas, comisiones, prestaciones en especie y cualquier otra percepción o prestación que se entregue a la persona servidora pública por su trabajo.</w:t>
      </w:r>
    </w:p>
    <w:p w:rsidR="00433085" w:rsidRPr="00EB3E7E" w:rsidRDefault="00433085" w:rsidP="00433085">
      <w:pPr>
        <w:pBdr>
          <w:top w:val="nil"/>
          <w:left w:val="nil"/>
          <w:bottom w:val="nil"/>
          <w:right w:val="nil"/>
          <w:between w:val="nil"/>
        </w:pBdr>
        <w:rPr>
          <w:rFonts w:ascii="Palatino Linotype" w:eastAsia="Palatino Linotype" w:hAnsi="Palatino Linotype" w:cs="Palatino Linotype"/>
          <w:color w:val="000000"/>
        </w:rPr>
      </w:pPr>
    </w:p>
    <w:p w:rsidR="00433085" w:rsidRPr="00EB3E7E" w:rsidRDefault="00433085" w:rsidP="00433085">
      <w:pPr>
        <w:numPr>
          <w:ilvl w:val="0"/>
          <w:numId w:val="2"/>
        </w:numPr>
        <w:spacing w:line="360" w:lineRule="auto"/>
        <w:ind w:left="0" w:right="-787" w:firstLine="0"/>
        <w:jc w:val="both"/>
        <w:rPr>
          <w:rFonts w:ascii="Palatino Linotype" w:eastAsia="Palatino Linotype" w:hAnsi="Palatino Linotype" w:cs="Palatino Linotype"/>
          <w:color w:val="000000"/>
        </w:rPr>
      </w:pPr>
      <w:r w:rsidRPr="00EB3E7E">
        <w:rPr>
          <w:rFonts w:ascii="Palatino Linotype" w:eastAsia="Palatino Linotype" w:hAnsi="Palatino Linotype" w:cs="Palatino Linotype"/>
          <w:color w:val="000000"/>
        </w:rPr>
        <w:t xml:space="preserve">De igual forma, la Ley del Trabajo de los Servidores Públicos del Estado y Municipios, en su artículo 220 K, establece los documentos que tiene la obligación de conservar el Sujeto Obligado, entre los que se encuentran los recibos de pagos: </w:t>
      </w:r>
    </w:p>
    <w:p w:rsidR="00433085" w:rsidRPr="00EB3E7E" w:rsidRDefault="00433085" w:rsidP="00433085">
      <w:pPr>
        <w:spacing w:line="360" w:lineRule="auto"/>
        <w:jc w:val="both"/>
        <w:rPr>
          <w:rFonts w:ascii="Palatino Linotype" w:eastAsia="Palatino Linotype" w:hAnsi="Palatino Linotype" w:cs="Palatino Linotype"/>
        </w:rPr>
      </w:pPr>
    </w:p>
    <w:p w:rsidR="00433085" w:rsidRPr="00EB3E7E" w:rsidRDefault="00433085" w:rsidP="006B320A">
      <w:pPr>
        <w:ind w:left="567" w:right="-716"/>
        <w:jc w:val="both"/>
        <w:rPr>
          <w:rFonts w:ascii="Palatino Linotype" w:eastAsia="Palatino Linotype" w:hAnsi="Palatino Linotype" w:cs="Palatino Linotype"/>
          <w:i/>
        </w:rPr>
      </w:pPr>
      <w:r w:rsidRPr="00EB3E7E">
        <w:rPr>
          <w:rFonts w:ascii="Palatino Linotype" w:eastAsia="Palatino Linotype" w:hAnsi="Palatino Linotype" w:cs="Palatino Linotype"/>
          <w:b/>
          <w:i/>
        </w:rPr>
        <w:t>ARTÍCULO 220 K.-</w:t>
      </w:r>
      <w:r w:rsidRPr="00EB3E7E">
        <w:rPr>
          <w:rFonts w:ascii="Palatino Linotype" w:eastAsia="Palatino Linotype" w:hAnsi="Palatino Linotype" w:cs="Palatino Linotype"/>
          <w:i/>
        </w:rPr>
        <w:t xml:space="preserve"> </w:t>
      </w:r>
      <w:r w:rsidRPr="00EB3E7E">
        <w:rPr>
          <w:rFonts w:ascii="Palatino Linotype" w:eastAsia="Palatino Linotype" w:hAnsi="Palatino Linotype" w:cs="Palatino Linotype"/>
          <w:b/>
          <w:i/>
        </w:rPr>
        <w:t>La institución o dependencia pública tiene la obligación de conservar y exhibir</w:t>
      </w:r>
      <w:r w:rsidRPr="00EB3E7E">
        <w:rPr>
          <w:rFonts w:ascii="Palatino Linotype" w:eastAsia="Palatino Linotype" w:hAnsi="Palatino Linotype" w:cs="Palatino Linotype"/>
          <w:i/>
        </w:rPr>
        <w:t xml:space="preserve"> en el proceso los documentos que a continuación se precisan:</w:t>
      </w:r>
    </w:p>
    <w:p w:rsidR="00433085" w:rsidRPr="00EB3E7E" w:rsidRDefault="00433085" w:rsidP="006B320A">
      <w:pPr>
        <w:ind w:left="567" w:right="-716"/>
        <w:jc w:val="both"/>
        <w:rPr>
          <w:rFonts w:ascii="Palatino Linotype" w:eastAsia="Palatino Linotype" w:hAnsi="Palatino Linotype" w:cs="Palatino Linotype"/>
          <w:i/>
        </w:rPr>
      </w:pPr>
      <w:r w:rsidRPr="00EB3E7E">
        <w:rPr>
          <w:rFonts w:ascii="Palatino Linotype" w:eastAsia="Palatino Linotype" w:hAnsi="Palatino Linotype" w:cs="Palatino Linotype"/>
          <w:i/>
        </w:rPr>
        <w:t>I. Contratos, Nombramientos o Formato Único de Movimientos de Personal, cuando no exista Convenio de condiciones generales de trabajo aplicable;</w:t>
      </w:r>
    </w:p>
    <w:p w:rsidR="00433085" w:rsidRPr="00EB3E7E" w:rsidRDefault="00433085" w:rsidP="006B320A">
      <w:pPr>
        <w:ind w:left="567" w:right="-716"/>
        <w:jc w:val="both"/>
        <w:rPr>
          <w:rFonts w:ascii="Palatino Linotype" w:eastAsia="Palatino Linotype" w:hAnsi="Palatino Linotype" w:cs="Palatino Linotype"/>
          <w:i/>
        </w:rPr>
      </w:pPr>
      <w:r w:rsidRPr="00EB3E7E">
        <w:rPr>
          <w:rFonts w:ascii="Palatino Linotype" w:eastAsia="Palatino Linotype" w:hAnsi="Palatino Linotype" w:cs="Palatino Linotype"/>
          <w:i/>
        </w:rPr>
        <w:t xml:space="preserve">II. </w:t>
      </w:r>
      <w:r w:rsidRPr="00EB3E7E">
        <w:rPr>
          <w:rFonts w:ascii="Palatino Linotype" w:eastAsia="Palatino Linotype" w:hAnsi="Palatino Linotype" w:cs="Palatino Linotype"/>
          <w:b/>
          <w:i/>
        </w:rPr>
        <w:t>Recibos de pagos</w:t>
      </w:r>
      <w:r w:rsidRPr="00EB3E7E">
        <w:rPr>
          <w:rFonts w:ascii="Palatino Linotype" w:eastAsia="Palatino Linotype" w:hAnsi="Palatino Linotype" w:cs="Palatino Linotype"/>
          <w:i/>
        </w:rPr>
        <w:t xml:space="preserve"> de salarios o las constancias documentales del pago de salario cuando sea por depósito o mediante información electrónica;</w:t>
      </w:r>
    </w:p>
    <w:p w:rsidR="00433085" w:rsidRPr="00EB3E7E" w:rsidRDefault="00433085" w:rsidP="006B320A">
      <w:pPr>
        <w:ind w:left="567" w:right="-716"/>
        <w:jc w:val="both"/>
        <w:rPr>
          <w:rFonts w:ascii="Palatino Linotype" w:eastAsia="Palatino Linotype" w:hAnsi="Palatino Linotype" w:cs="Palatino Linotype"/>
          <w:i/>
        </w:rPr>
      </w:pPr>
      <w:r w:rsidRPr="00EB3E7E">
        <w:rPr>
          <w:rFonts w:ascii="Palatino Linotype" w:eastAsia="Palatino Linotype" w:hAnsi="Palatino Linotype" w:cs="Palatino Linotype"/>
          <w:i/>
        </w:rPr>
        <w:t>III. Controles de asistencia o la información magnética o electrónica de asistencia de los servidores públicos;</w:t>
      </w:r>
    </w:p>
    <w:p w:rsidR="00433085" w:rsidRPr="00EB3E7E" w:rsidRDefault="00433085" w:rsidP="006B320A">
      <w:pPr>
        <w:ind w:left="567" w:right="-716"/>
        <w:jc w:val="both"/>
        <w:rPr>
          <w:rFonts w:ascii="Palatino Linotype" w:eastAsia="Palatino Linotype" w:hAnsi="Palatino Linotype" w:cs="Palatino Linotype"/>
          <w:i/>
        </w:rPr>
      </w:pPr>
      <w:r w:rsidRPr="00EB3E7E">
        <w:rPr>
          <w:rFonts w:ascii="Palatino Linotype" w:eastAsia="Palatino Linotype" w:hAnsi="Palatino Linotype" w:cs="Palatino Linotype"/>
          <w:i/>
        </w:rPr>
        <w:t>IV. Recibos o las constancias de depósito o del medio de información magnética o electrónica que sean utilizadas para el pago de salarios, prima vacacional, aguinaldo y demás prestaciones establecidas en la presente ley; y</w:t>
      </w:r>
    </w:p>
    <w:p w:rsidR="00433085" w:rsidRPr="00EB3E7E" w:rsidRDefault="00433085" w:rsidP="006B320A">
      <w:pPr>
        <w:ind w:left="567" w:right="-716"/>
        <w:jc w:val="both"/>
        <w:rPr>
          <w:rFonts w:ascii="Palatino Linotype" w:eastAsia="Palatino Linotype" w:hAnsi="Palatino Linotype" w:cs="Palatino Linotype"/>
          <w:i/>
        </w:rPr>
      </w:pPr>
      <w:r w:rsidRPr="00EB3E7E">
        <w:rPr>
          <w:rFonts w:ascii="Palatino Linotype" w:eastAsia="Palatino Linotype" w:hAnsi="Palatino Linotype" w:cs="Palatino Linotype"/>
          <w:i/>
        </w:rPr>
        <w:t>V. Los demás que señalen las leyes.</w:t>
      </w:r>
    </w:p>
    <w:p w:rsidR="00433085" w:rsidRPr="00EB3E7E" w:rsidRDefault="00433085" w:rsidP="006B320A">
      <w:pPr>
        <w:ind w:left="567" w:right="-716"/>
        <w:jc w:val="both"/>
        <w:rPr>
          <w:rFonts w:ascii="Palatino Linotype" w:eastAsia="Palatino Linotype" w:hAnsi="Palatino Linotype" w:cs="Palatino Linotype"/>
          <w:i/>
        </w:rPr>
      </w:pPr>
    </w:p>
    <w:p w:rsidR="00433085" w:rsidRPr="00EB3E7E" w:rsidRDefault="00433085" w:rsidP="006B320A">
      <w:pPr>
        <w:ind w:left="567" w:right="-716"/>
        <w:jc w:val="both"/>
        <w:rPr>
          <w:rFonts w:ascii="Palatino Linotype" w:eastAsia="Palatino Linotype" w:hAnsi="Palatino Linotype" w:cs="Palatino Linotype"/>
          <w:i/>
        </w:rPr>
      </w:pPr>
      <w:r w:rsidRPr="00EB3E7E">
        <w:rPr>
          <w:rFonts w:ascii="Palatino Linotype" w:eastAsia="Palatino Linotype" w:hAnsi="Palatino Linotype" w:cs="Palatino Linotype"/>
          <w:b/>
          <w:i/>
        </w:rPr>
        <w:t>Los documentos señalados</w:t>
      </w:r>
      <w:r w:rsidRPr="00EB3E7E">
        <w:rPr>
          <w:rFonts w:ascii="Palatino Linotype" w:eastAsia="Palatino Linotype" w:hAnsi="Palatino Linotype" w:cs="Palatino Linotype"/>
          <w:i/>
        </w:rPr>
        <w:t xml:space="preserve"> en la fracción I de este artículo, </w:t>
      </w:r>
      <w:r w:rsidRPr="00EB3E7E">
        <w:rPr>
          <w:rFonts w:ascii="Palatino Linotype" w:eastAsia="Palatino Linotype" w:hAnsi="Palatino Linotype" w:cs="Palatino Linotype"/>
          <w:b/>
          <w:i/>
        </w:rPr>
        <w:t>deberán conservarse</w:t>
      </w:r>
      <w:r w:rsidRPr="00EB3E7E">
        <w:rPr>
          <w:rFonts w:ascii="Palatino Linotype" w:eastAsia="Palatino Linotype" w:hAnsi="Palatino Linotype" w:cs="Palatino Linotype"/>
          <w:i/>
        </w:rPr>
        <w:t xml:space="preserve"> mientras dure la relación laboral y hasta un año después; los señalados por las fracciones II, III, IV </w:t>
      </w:r>
      <w:r w:rsidRPr="00EB3E7E">
        <w:rPr>
          <w:rFonts w:ascii="Palatino Linotype" w:eastAsia="Palatino Linotype" w:hAnsi="Palatino Linotype" w:cs="Palatino Linotype"/>
          <w:b/>
          <w:i/>
        </w:rPr>
        <w:t>durante el último año y un año después de que se extinga la relación laboral</w:t>
      </w:r>
      <w:r w:rsidRPr="00EB3E7E">
        <w:rPr>
          <w:rFonts w:ascii="Palatino Linotype" w:eastAsia="Palatino Linotype" w:hAnsi="Palatino Linotype" w:cs="Palatino Linotype"/>
          <w:i/>
        </w:rPr>
        <w:t xml:space="preserve">, y los mencionados en la fracción V, conforme lo señalen las leyes que los rijan. 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 </w:t>
      </w:r>
    </w:p>
    <w:p w:rsidR="00433085" w:rsidRPr="00EB3E7E" w:rsidRDefault="00433085" w:rsidP="00433085">
      <w:pPr>
        <w:spacing w:line="360" w:lineRule="auto"/>
        <w:jc w:val="both"/>
        <w:rPr>
          <w:rFonts w:ascii="Palatino Linotype" w:eastAsia="Palatino Linotype" w:hAnsi="Palatino Linotype" w:cs="Palatino Linotype"/>
        </w:rPr>
      </w:pPr>
    </w:p>
    <w:p w:rsidR="00433085" w:rsidRPr="00EB3E7E" w:rsidRDefault="00433085" w:rsidP="00433085">
      <w:pPr>
        <w:numPr>
          <w:ilvl w:val="0"/>
          <w:numId w:val="2"/>
        </w:numPr>
        <w:spacing w:line="360" w:lineRule="auto"/>
        <w:ind w:left="0" w:right="-787" w:firstLine="0"/>
        <w:jc w:val="both"/>
        <w:rPr>
          <w:rFonts w:ascii="Palatino Linotype" w:eastAsia="Palatino Linotype" w:hAnsi="Palatino Linotype" w:cs="Palatino Linotype"/>
          <w:b/>
          <w:color w:val="000000"/>
        </w:rPr>
      </w:pPr>
      <w:r w:rsidRPr="00EB3E7E">
        <w:rPr>
          <w:rFonts w:ascii="Palatino Linotype" w:eastAsia="Palatino Linotype" w:hAnsi="Palatino Linotype" w:cs="Palatino Linotype"/>
          <w:color w:val="000000"/>
        </w:rPr>
        <w:lastRenderedPageBreak/>
        <w:t xml:space="preserve">Del anterior precepto legal, se advierte que toda institución o dependencia pública del Estado de México debe conservar las constancias documentales del pago de salario cuando sea por depósito o mediante información electrónica, debe conservar dicha documentación durante el último año y un año después de que se extinga la relación laboral, </w:t>
      </w:r>
      <w:r w:rsidRPr="00EB3E7E">
        <w:rPr>
          <w:rFonts w:ascii="Palatino Linotype" w:eastAsia="Palatino Linotype" w:hAnsi="Palatino Linotype" w:cs="Palatino Linotype"/>
          <w:b/>
          <w:color w:val="000000"/>
        </w:rPr>
        <w:t>a través de los sistemas de digitalización o de información magnética o electrónica.</w:t>
      </w:r>
    </w:p>
    <w:p w:rsidR="00433085" w:rsidRPr="00EB3E7E" w:rsidRDefault="00433085" w:rsidP="00433085">
      <w:pPr>
        <w:spacing w:line="360" w:lineRule="auto"/>
        <w:ind w:right="-787"/>
        <w:jc w:val="both"/>
        <w:rPr>
          <w:rFonts w:ascii="Palatino Linotype" w:eastAsia="Palatino Linotype" w:hAnsi="Palatino Linotype" w:cs="Palatino Linotype"/>
          <w:b/>
          <w:color w:val="000000"/>
        </w:rPr>
      </w:pPr>
    </w:p>
    <w:p w:rsidR="00433085" w:rsidRPr="00EB3E7E" w:rsidRDefault="00433085" w:rsidP="00433085">
      <w:pPr>
        <w:numPr>
          <w:ilvl w:val="0"/>
          <w:numId w:val="2"/>
        </w:numPr>
        <w:spacing w:line="360" w:lineRule="auto"/>
        <w:ind w:left="0" w:right="-787" w:firstLine="0"/>
        <w:jc w:val="both"/>
        <w:rPr>
          <w:rFonts w:ascii="Palatino Linotype" w:eastAsia="Palatino Linotype" w:hAnsi="Palatino Linotype" w:cs="Palatino Linotype"/>
        </w:rPr>
      </w:pPr>
      <w:r w:rsidRPr="00EB3E7E">
        <w:rPr>
          <w:rFonts w:ascii="Palatino Linotype" w:eastAsia="Palatino Linotype" w:hAnsi="Palatino Linotype" w:cs="Palatino Linotype"/>
          <w:color w:val="000000"/>
        </w:rPr>
        <w:t>Aunado</w:t>
      </w:r>
      <w:r w:rsidRPr="00EB3E7E">
        <w:rPr>
          <w:rFonts w:ascii="Palatino Linotype" w:eastAsia="Palatino Linotype" w:hAnsi="Palatino Linotype" w:cs="Palatino Linotype"/>
        </w:rPr>
        <w:t xml:space="preserve"> a lo anterior, es necesario destacar que los artículos 342, 343, 344 y 345, del Código </w:t>
      </w:r>
      <w:r w:rsidRPr="00EB3E7E">
        <w:rPr>
          <w:rFonts w:ascii="Palatino Linotype" w:eastAsia="Palatino Linotype" w:hAnsi="Palatino Linotype" w:cs="Palatino Linotype"/>
          <w:color w:val="000000"/>
        </w:rPr>
        <w:t>Financiero</w:t>
      </w:r>
      <w:r w:rsidRPr="00EB3E7E">
        <w:rPr>
          <w:rFonts w:ascii="Palatino Linotype" w:eastAsia="Palatino Linotype" w:hAnsi="Palatino Linotype" w:cs="Palatino Linotype"/>
        </w:rPr>
        <w:t xml:space="preserve"> del Estado de México y Municipios, disponen el sistema y las políticas que deben seguirse para llevar el registro contable y presupuestal de las operaciones financieras que llevan a cabo los Municipios del Estado de México, en los siguientes términos:</w:t>
      </w:r>
    </w:p>
    <w:p w:rsidR="00433085" w:rsidRPr="00EB3E7E" w:rsidRDefault="00433085" w:rsidP="00433085">
      <w:pPr>
        <w:ind w:right="-788"/>
        <w:jc w:val="both"/>
        <w:rPr>
          <w:rFonts w:ascii="Palatino Linotype" w:eastAsia="Palatino Linotype" w:hAnsi="Palatino Linotype" w:cs="Palatino Linotype"/>
        </w:rPr>
      </w:pPr>
    </w:p>
    <w:p w:rsidR="00433085" w:rsidRPr="00EB3E7E" w:rsidRDefault="00433085" w:rsidP="00433085">
      <w:pPr>
        <w:ind w:left="567" w:right="-716"/>
        <w:jc w:val="both"/>
        <w:rPr>
          <w:rFonts w:ascii="Palatino Linotype" w:eastAsia="Palatino Linotype" w:hAnsi="Palatino Linotype" w:cs="Palatino Linotype"/>
          <w:i/>
        </w:rPr>
      </w:pPr>
      <w:r w:rsidRPr="00EB3E7E">
        <w:rPr>
          <w:rFonts w:ascii="Palatino Linotype" w:eastAsia="Palatino Linotype" w:hAnsi="Palatino Linotype" w:cs="Palatino Linotype"/>
          <w:b/>
          <w:i/>
        </w:rPr>
        <w:t>“Artículo 342</w:t>
      </w:r>
      <w:r w:rsidRPr="00EB3E7E">
        <w:rPr>
          <w:rFonts w:ascii="Palatino Linotype" w:eastAsia="Palatino Linotype" w:hAnsi="Palatino Linotype" w:cs="Palatino Linotype"/>
          <w:i/>
        </w:rPr>
        <w:t xml:space="preserve">.- El registro contable del efecto patrimonial y presupuestal de las operaciones financieras, se realizará conforme al sistema y a las disposiciones que se aprueben en materia de planeación, programación, presupuestación, evaluación y contabilidad gubernamental. </w:t>
      </w:r>
    </w:p>
    <w:p w:rsidR="00433085" w:rsidRPr="00EB3E7E" w:rsidRDefault="00433085" w:rsidP="00433085">
      <w:pPr>
        <w:ind w:left="567" w:right="-716"/>
        <w:jc w:val="both"/>
        <w:rPr>
          <w:rFonts w:ascii="Palatino Linotype" w:eastAsia="Palatino Linotype" w:hAnsi="Palatino Linotype" w:cs="Palatino Linotype"/>
          <w:i/>
        </w:rPr>
      </w:pPr>
    </w:p>
    <w:p w:rsidR="00433085" w:rsidRPr="00EB3E7E" w:rsidRDefault="00433085" w:rsidP="00433085">
      <w:pPr>
        <w:ind w:left="567" w:right="-716"/>
        <w:jc w:val="both"/>
        <w:rPr>
          <w:rFonts w:ascii="Palatino Linotype" w:eastAsia="Palatino Linotype" w:hAnsi="Palatino Linotype" w:cs="Palatino Linotype"/>
          <w:i/>
        </w:rPr>
      </w:pPr>
      <w:r w:rsidRPr="00EB3E7E">
        <w:rPr>
          <w:rFonts w:ascii="Palatino Linotype" w:eastAsia="Palatino Linotype" w:hAnsi="Palatino Linotype" w:cs="Palatino Linotype"/>
          <w:i/>
        </w:rPr>
        <w:t>En el caso de los municipios, el registro a que se refiere el párrafo anterior, se realizará conforme al sistema y a las disposiciones en materia de planeación, programación, presupuestación, evaluación y contabilidad gubernamental, que se aprueben en el marco del Sistema de Coordinación Hacendaria del Estado de México.</w:t>
      </w:r>
    </w:p>
    <w:p w:rsidR="00433085" w:rsidRPr="00EB3E7E" w:rsidRDefault="00433085" w:rsidP="00433085">
      <w:pPr>
        <w:ind w:left="567" w:right="-716"/>
        <w:jc w:val="both"/>
        <w:rPr>
          <w:rFonts w:ascii="Palatino Linotype" w:eastAsia="Palatino Linotype" w:hAnsi="Palatino Linotype" w:cs="Palatino Linotype"/>
          <w:i/>
        </w:rPr>
      </w:pPr>
    </w:p>
    <w:p w:rsidR="00433085" w:rsidRPr="00EB3E7E" w:rsidRDefault="00433085" w:rsidP="00433085">
      <w:pPr>
        <w:ind w:left="567" w:right="-716"/>
        <w:jc w:val="both"/>
        <w:rPr>
          <w:rFonts w:ascii="Palatino Linotype" w:eastAsia="Palatino Linotype" w:hAnsi="Palatino Linotype" w:cs="Palatino Linotype"/>
          <w:i/>
        </w:rPr>
      </w:pPr>
      <w:r w:rsidRPr="00EB3E7E">
        <w:rPr>
          <w:rFonts w:ascii="Palatino Linotype" w:eastAsia="Palatino Linotype" w:hAnsi="Palatino Linotype" w:cs="Palatino Linotype"/>
          <w:b/>
          <w:i/>
        </w:rPr>
        <w:t>Artículo 343</w:t>
      </w:r>
      <w:r w:rsidRPr="00EB3E7E">
        <w:rPr>
          <w:rFonts w:ascii="Palatino Linotype" w:eastAsia="Palatino Linotype" w:hAnsi="Palatino Linotype" w:cs="Palatino Linotype"/>
          <w:i/>
        </w:rPr>
        <w:t xml:space="preserve">.- El sistema de contabilidad debe diseñarse sobre base acumulativa total y operarse en forma que facilite la fiscalización de los activos, pasivos, ingresos, egresos y, en general, que posibilite medir la eficacia del gasto público, y contener las medidas de control interno que permitan verificar el registro de la totalidad de las operaciones financieras. </w:t>
      </w:r>
    </w:p>
    <w:p w:rsidR="00433085" w:rsidRPr="00EB3E7E" w:rsidRDefault="00433085" w:rsidP="00433085">
      <w:pPr>
        <w:ind w:left="567" w:right="-716"/>
        <w:jc w:val="both"/>
        <w:rPr>
          <w:rFonts w:ascii="Palatino Linotype" w:eastAsia="Palatino Linotype" w:hAnsi="Palatino Linotype" w:cs="Palatino Linotype"/>
          <w:i/>
        </w:rPr>
      </w:pPr>
    </w:p>
    <w:p w:rsidR="00433085" w:rsidRPr="00EB3E7E" w:rsidRDefault="00433085" w:rsidP="00433085">
      <w:pPr>
        <w:ind w:left="567" w:right="-716"/>
        <w:jc w:val="both"/>
        <w:rPr>
          <w:rFonts w:ascii="Palatino Linotype" w:eastAsia="Palatino Linotype" w:hAnsi="Palatino Linotype" w:cs="Palatino Linotype"/>
          <w:i/>
        </w:rPr>
      </w:pPr>
      <w:r w:rsidRPr="00EB3E7E">
        <w:rPr>
          <w:rFonts w:ascii="Palatino Linotype" w:eastAsia="Palatino Linotype" w:hAnsi="Palatino Linotype" w:cs="Palatino Linotype"/>
          <w:i/>
        </w:rPr>
        <w:t>El sistema de contabilidad sobre base acumulativa total, se sustentará en las normas emitidas por el Consejo Nacional de Armonización Contable.</w:t>
      </w:r>
    </w:p>
    <w:p w:rsidR="00433085" w:rsidRPr="00EB3E7E" w:rsidRDefault="00433085" w:rsidP="00433085">
      <w:pPr>
        <w:ind w:left="567" w:right="-716"/>
        <w:jc w:val="both"/>
        <w:rPr>
          <w:rFonts w:ascii="Palatino Linotype" w:eastAsia="Palatino Linotype" w:hAnsi="Palatino Linotype" w:cs="Palatino Linotype"/>
          <w:i/>
        </w:rPr>
      </w:pPr>
    </w:p>
    <w:p w:rsidR="00433085" w:rsidRPr="00EB3E7E" w:rsidRDefault="00433085" w:rsidP="00433085">
      <w:pPr>
        <w:ind w:left="567" w:right="-716"/>
        <w:jc w:val="both"/>
        <w:rPr>
          <w:rFonts w:ascii="Palatino Linotype" w:eastAsia="Palatino Linotype" w:hAnsi="Palatino Linotype" w:cs="Palatino Linotype"/>
          <w:i/>
        </w:rPr>
      </w:pPr>
      <w:r w:rsidRPr="00EB3E7E">
        <w:rPr>
          <w:rFonts w:ascii="Palatino Linotype" w:eastAsia="Palatino Linotype" w:hAnsi="Palatino Linotype" w:cs="Palatino Linotype"/>
          <w:b/>
          <w:i/>
        </w:rPr>
        <w:t>Artículo 344</w:t>
      </w:r>
      <w:r w:rsidRPr="00EB3E7E">
        <w:rPr>
          <w:rFonts w:ascii="Palatino Linotype" w:eastAsia="Palatino Linotype" w:hAnsi="Palatino Linotype" w:cs="Palatino Linotype"/>
          <w:i/>
        </w:rPr>
        <w:t xml:space="preserve">.- Los Entes Públicos, a través de cualquiera de sus unidades administrativas, de acuerdo con su naturaleza jurídica y según corresponda, registrarán contablemente el efecto patrimonial y presupuestal de las operaciones financieras que realicen, en el momento en que </w:t>
      </w:r>
      <w:r w:rsidRPr="00EB3E7E">
        <w:rPr>
          <w:rFonts w:ascii="Palatino Linotype" w:eastAsia="Palatino Linotype" w:hAnsi="Palatino Linotype" w:cs="Palatino Linotype"/>
          <w:i/>
        </w:rPr>
        <w:lastRenderedPageBreak/>
        <w:t xml:space="preserve">ocurran, con base en el sistema y políticas de registro establecidas, en el caso de los Municipios, se hará por la Tesorería. </w:t>
      </w:r>
    </w:p>
    <w:p w:rsidR="00433085" w:rsidRPr="00EB3E7E" w:rsidRDefault="00433085" w:rsidP="00433085">
      <w:pPr>
        <w:ind w:left="567" w:right="-716"/>
        <w:jc w:val="both"/>
        <w:rPr>
          <w:rFonts w:ascii="Palatino Linotype" w:eastAsia="Palatino Linotype" w:hAnsi="Palatino Linotype" w:cs="Palatino Linotype"/>
          <w:i/>
        </w:rPr>
      </w:pPr>
    </w:p>
    <w:p w:rsidR="00433085" w:rsidRPr="00EB3E7E" w:rsidRDefault="00433085" w:rsidP="00433085">
      <w:pPr>
        <w:ind w:left="567" w:right="-716"/>
        <w:jc w:val="both"/>
        <w:rPr>
          <w:rFonts w:ascii="Palatino Linotype" w:eastAsia="Palatino Linotype" w:hAnsi="Palatino Linotype" w:cs="Palatino Linotype"/>
          <w:i/>
        </w:rPr>
      </w:pPr>
      <w:r w:rsidRPr="00EB3E7E">
        <w:rPr>
          <w:rFonts w:ascii="Palatino Linotype" w:eastAsia="Palatino Linotype" w:hAnsi="Palatino Linotype" w:cs="Palatino Linotype"/>
          <w:i/>
        </w:rPr>
        <w:t xml:space="preserve">Todo registro contable y presupuestal deberá estar soportado con los documentos de registro, justificativos y comprobatorios originales, en copias certificadas o en medios electrónicos, según corresponda, los que deberán permanecer en custodia y conservación de los Entes Públicos ejecutores del gasto, a través de las unidades administrativas correspondientes de conformidad con las disposiciones aplicables y a disposición de los Órganos de Fiscalización locales y federales, de acuerdo a su naturaleza, así como de los órganos internos de control; por un término de 6 años, contados a partir del ejercicio presupuestal siguiente al que corresponda. En el caso de los Municipios, dicha obligación corresponderá a la Tesorería. </w:t>
      </w:r>
    </w:p>
    <w:p w:rsidR="00433085" w:rsidRPr="00EB3E7E" w:rsidRDefault="00433085" w:rsidP="00433085">
      <w:pPr>
        <w:ind w:left="567" w:right="-716"/>
        <w:jc w:val="both"/>
        <w:rPr>
          <w:rFonts w:ascii="Palatino Linotype" w:eastAsia="Palatino Linotype" w:hAnsi="Palatino Linotype" w:cs="Palatino Linotype"/>
          <w:i/>
        </w:rPr>
      </w:pPr>
    </w:p>
    <w:p w:rsidR="00433085" w:rsidRPr="00EB3E7E" w:rsidRDefault="00433085" w:rsidP="00433085">
      <w:pPr>
        <w:ind w:left="567" w:right="-716"/>
        <w:jc w:val="both"/>
        <w:rPr>
          <w:rFonts w:ascii="Palatino Linotype" w:eastAsia="Palatino Linotype" w:hAnsi="Palatino Linotype" w:cs="Palatino Linotype"/>
          <w:i/>
        </w:rPr>
      </w:pPr>
      <w:r w:rsidRPr="00EB3E7E">
        <w:rPr>
          <w:rFonts w:ascii="Palatino Linotype" w:eastAsia="Palatino Linotype" w:hAnsi="Palatino Linotype" w:cs="Palatino Linotype"/>
          <w:i/>
        </w:rPr>
        <w:t xml:space="preserve">Tratándose de documentos de carácter histórico, se estará a lo dispuesto por la legislación de la materia. </w:t>
      </w:r>
    </w:p>
    <w:p w:rsidR="00433085" w:rsidRPr="00EB3E7E" w:rsidRDefault="00433085" w:rsidP="00433085">
      <w:pPr>
        <w:ind w:left="567" w:right="-716"/>
        <w:jc w:val="both"/>
        <w:rPr>
          <w:rFonts w:ascii="Palatino Linotype" w:eastAsia="Palatino Linotype" w:hAnsi="Palatino Linotype" w:cs="Palatino Linotype"/>
          <w:i/>
        </w:rPr>
      </w:pPr>
    </w:p>
    <w:p w:rsidR="00433085" w:rsidRPr="00EB3E7E" w:rsidRDefault="00433085" w:rsidP="00433085">
      <w:pPr>
        <w:ind w:left="567" w:right="-716"/>
        <w:jc w:val="both"/>
        <w:rPr>
          <w:rFonts w:ascii="Palatino Linotype" w:eastAsia="Palatino Linotype" w:hAnsi="Palatino Linotype" w:cs="Palatino Linotype"/>
          <w:i/>
        </w:rPr>
      </w:pPr>
      <w:r w:rsidRPr="00EB3E7E">
        <w:rPr>
          <w:rFonts w:ascii="Palatino Linotype" w:eastAsia="Palatino Linotype" w:hAnsi="Palatino Linotype" w:cs="Palatino Linotype"/>
          <w:b/>
          <w:i/>
        </w:rPr>
        <w:t>Artículo 345</w:t>
      </w:r>
      <w:r w:rsidRPr="00EB3E7E">
        <w:rPr>
          <w:rFonts w:ascii="Palatino Linotype" w:eastAsia="Palatino Linotype" w:hAnsi="Palatino Linotype" w:cs="Palatino Linotype"/>
          <w:i/>
        </w:rPr>
        <w:t xml:space="preserve">.- Las Dependencias y sus unidades administrativas; deberán conservar la documentación contable del año en curso y la de ejercicios anteriores, cuyas cuentas públicas hayan sido revisadas y fiscalizadas y la remitirán al Archivo Contable Gubernamental en un plazo que no excederá de seis meses. Tratándose de los comprobantes fiscales digitales, estos deberán estar agregados en forma electrónica a cada póliza de registro contable. </w:t>
      </w:r>
    </w:p>
    <w:p w:rsidR="00433085" w:rsidRPr="00EB3E7E" w:rsidRDefault="00433085" w:rsidP="00433085">
      <w:pPr>
        <w:ind w:left="567" w:right="-716"/>
        <w:jc w:val="both"/>
        <w:rPr>
          <w:rFonts w:ascii="Palatino Linotype" w:eastAsia="Palatino Linotype" w:hAnsi="Palatino Linotype" w:cs="Palatino Linotype"/>
          <w:i/>
        </w:rPr>
      </w:pPr>
    </w:p>
    <w:p w:rsidR="00433085" w:rsidRPr="00EB3E7E" w:rsidRDefault="00433085" w:rsidP="00433085">
      <w:pPr>
        <w:ind w:left="567" w:right="-716"/>
        <w:jc w:val="both"/>
        <w:rPr>
          <w:rFonts w:ascii="Palatino Linotype" w:eastAsia="Palatino Linotype" w:hAnsi="Palatino Linotype" w:cs="Palatino Linotype"/>
          <w:i/>
        </w:rPr>
      </w:pPr>
      <w:r w:rsidRPr="00EB3E7E">
        <w:rPr>
          <w:rFonts w:ascii="Palatino Linotype" w:eastAsia="Palatino Linotype" w:hAnsi="Palatino Linotype" w:cs="Palatino Linotype"/>
          <w:i/>
        </w:rPr>
        <w:t xml:space="preserve">Los poderes Legislativo y Judicial, los Organismos Autónomos y las Entidades Públicas, de acuerdo con su naturaleza jurídica y según corresponda, deberán conservar la documentación contable del año en curso y la de ejercicios anteriores, cuyas cuentas públicas hayan sido revisadas y fiscalizadas, en sus propios Archivos Contables. Tratándose de los comprobantes fiscales digitales, estos deberán estar agregados en forma electrónica a cada póliza de registro contable. </w:t>
      </w:r>
    </w:p>
    <w:p w:rsidR="00433085" w:rsidRPr="00EB3E7E" w:rsidRDefault="00433085" w:rsidP="00433085">
      <w:pPr>
        <w:ind w:left="567" w:right="-716"/>
        <w:jc w:val="both"/>
        <w:rPr>
          <w:rFonts w:ascii="Palatino Linotype" w:eastAsia="Palatino Linotype" w:hAnsi="Palatino Linotype" w:cs="Palatino Linotype"/>
          <w:i/>
        </w:rPr>
      </w:pPr>
    </w:p>
    <w:p w:rsidR="00433085" w:rsidRPr="00EB3E7E" w:rsidRDefault="00433085" w:rsidP="00433085">
      <w:pPr>
        <w:ind w:left="567" w:right="-716"/>
        <w:jc w:val="both"/>
        <w:rPr>
          <w:rFonts w:ascii="Palatino Linotype" w:eastAsia="Palatino Linotype" w:hAnsi="Palatino Linotype" w:cs="Palatino Linotype"/>
          <w:i/>
        </w:rPr>
      </w:pPr>
      <w:r w:rsidRPr="00EB3E7E">
        <w:rPr>
          <w:rFonts w:ascii="Palatino Linotype" w:eastAsia="Palatino Linotype" w:hAnsi="Palatino Linotype" w:cs="Palatino Linotype"/>
          <w:i/>
        </w:rPr>
        <w:t>El plazo señalado en este artículo empezará a contar a partir de la publicación en el Periódico Oficial, del decreto correspondiente.”</w:t>
      </w:r>
    </w:p>
    <w:p w:rsidR="00433085" w:rsidRPr="00EB3E7E" w:rsidRDefault="00433085" w:rsidP="00433085">
      <w:pPr>
        <w:tabs>
          <w:tab w:val="left" w:pos="3374"/>
        </w:tabs>
        <w:spacing w:line="360" w:lineRule="auto"/>
        <w:ind w:right="-787"/>
        <w:rPr>
          <w:rFonts w:ascii="Palatino Linotype" w:eastAsia="Palatino Linotype" w:hAnsi="Palatino Linotype" w:cs="Palatino Linotype"/>
          <w:i/>
        </w:rPr>
      </w:pPr>
    </w:p>
    <w:p w:rsidR="00433085" w:rsidRPr="00EB3E7E" w:rsidRDefault="00433085" w:rsidP="00433085">
      <w:pPr>
        <w:numPr>
          <w:ilvl w:val="0"/>
          <w:numId w:val="2"/>
        </w:numPr>
        <w:spacing w:line="360" w:lineRule="auto"/>
        <w:ind w:left="0" w:right="-787" w:firstLine="0"/>
        <w:jc w:val="both"/>
        <w:rPr>
          <w:rFonts w:ascii="Palatino Linotype" w:eastAsia="Palatino Linotype" w:hAnsi="Palatino Linotype" w:cs="Palatino Linotype"/>
        </w:rPr>
      </w:pPr>
      <w:r w:rsidRPr="00EB3E7E">
        <w:rPr>
          <w:rFonts w:ascii="Palatino Linotype" w:eastAsia="Palatino Linotype" w:hAnsi="Palatino Linotype" w:cs="Palatino Linotype"/>
        </w:rPr>
        <w:t xml:space="preserve">De una interpretación sistemática de los artículos transcritos se desprende primeramente, que el registro contable del efecto patrimonial y presupuestal de las operaciones financieras que realice el Municipio se hace conforme al sistema y a las </w:t>
      </w:r>
      <w:r w:rsidRPr="00EB3E7E">
        <w:rPr>
          <w:rFonts w:ascii="Palatino Linotype" w:eastAsia="Palatino Linotype" w:hAnsi="Palatino Linotype" w:cs="Palatino Linotype"/>
        </w:rPr>
        <w:lastRenderedPageBreak/>
        <w:t xml:space="preserve">disposiciones </w:t>
      </w:r>
      <w:r w:rsidRPr="00EB3E7E">
        <w:rPr>
          <w:rFonts w:ascii="Palatino Linotype" w:eastAsia="Palatino Linotype" w:hAnsi="Palatino Linotype" w:cs="Palatino Linotype"/>
          <w:color w:val="000000"/>
        </w:rPr>
        <w:t>que</w:t>
      </w:r>
      <w:r w:rsidRPr="00EB3E7E">
        <w:rPr>
          <w:rFonts w:ascii="Palatino Linotype" w:eastAsia="Palatino Linotype" w:hAnsi="Palatino Linotype" w:cs="Palatino Linotype"/>
        </w:rPr>
        <w:t xml:space="preserve"> se aprueben en materia de planeación, programación, presupuestación, evaluación y contabilidad gubernamental.</w:t>
      </w:r>
    </w:p>
    <w:p w:rsidR="00433085" w:rsidRPr="00EB3E7E" w:rsidRDefault="00433085" w:rsidP="00433085">
      <w:pPr>
        <w:tabs>
          <w:tab w:val="left" w:pos="3374"/>
        </w:tabs>
        <w:spacing w:line="360" w:lineRule="auto"/>
        <w:ind w:right="-787"/>
        <w:rPr>
          <w:rFonts w:ascii="Palatino Linotype" w:eastAsia="Palatino Linotype" w:hAnsi="Palatino Linotype" w:cs="Palatino Linotype"/>
        </w:rPr>
      </w:pPr>
    </w:p>
    <w:p w:rsidR="00433085" w:rsidRPr="00EB3E7E" w:rsidRDefault="00433085" w:rsidP="00433085">
      <w:pPr>
        <w:numPr>
          <w:ilvl w:val="0"/>
          <w:numId w:val="2"/>
        </w:numPr>
        <w:spacing w:line="360" w:lineRule="auto"/>
        <w:ind w:left="0" w:right="-787" w:firstLine="0"/>
        <w:jc w:val="both"/>
        <w:rPr>
          <w:rFonts w:ascii="Palatino Linotype" w:eastAsia="Palatino Linotype" w:hAnsi="Palatino Linotype" w:cs="Palatino Linotype"/>
        </w:rPr>
      </w:pPr>
      <w:r w:rsidRPr="00EB3E7E">
        <w:rPr>
          <w:rFonts w:ascii="Palatino Linotype" w:eastAsia="Palatino Linotype" w:hAnsi="Palatino Linotype" w:cs="Palatino Linotype"/>
        </w:rPr>
        <w:t>Cabe destacar, que el ordenamiento legal en cita establece que todo registro contable y presupuestal deberá estar soportado con los documentos comprobatorios originales, los que deberán permanecer en custodia y conservación de las unidades administrativas competentes.</w:t>
      </w:r>
    </w:p>
    <w:p w:rsidR="00433085" w:rsidRPr="00EB3E7E" w:rsidRDefault="00433085" w:rsidP="00433085">
      <w:pPr>
        <w:tabs>
          <w:tab w:val="left" w:pos="3374"/>
        </w:tabs>
        <w:spacing w:line="360" w:lineRule="auto"/>
        <w:ind w:right="-787"/>
        <w:rPr>
          <w:rFonts w:ascii="Palatino Linotype" w:eastAsia="Palatino Linotype" w:hAnsi="Palatino Linotype" w:cs="Palatino Linotype"/>
        </w:rPr>
      </w:pPr>
    </w:p>
    <w:p w:rsidR="00433085" w:rsidRPr="00EB3E7E" w:rsidRDefault="00433085" w:rsidP="00433085">
      <w:pPr>
        <w:numPr>
          <w:ilvl w:val="0"/>
          <w:numId w:val="2"/>
        </w:numPr>
        <w:spacing w:line="360" w:lineRule="auto"/>
        <w:ind w:left="0" w:right="-787" w:firstLine="0"/>
        <w:jc w:val="both"/>
        <w:rPr>
          <w:rFonts w:ascii="Palatino Linotype" w:eastAsia="Palatino Linotype" w:hAnsi="Palatino Linotype" w:cs="Palatino Linotype"/>
        </w:rPr>
      </w:pPr>
      <w:r w:rsidRPr="00EB3E7E">
        <w:rPr>
          <w:rFonts w:ascii="Palatino Linotype" w:eastAsia="Palatino Linotype" w:hAnsi="Palatino Linotype" w:cs="Palatino Linotype"/>
        </w:rPr>
        <w:t xml:space="preserve">También es importante señalar que el Código Financiero del Estado de México y Municipios establece la obligación de los Municipios para llevar los registros contables y presupuestales, también lo es que dicho ordenamiento jurídico no establece que debemos entender por registro contable y presupuestal; sin embargo,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para el Desarrollo Técnico de las Haciendas Públicas (INDETEC) señalan las siguientes definiciones de las palabras registro contable y registro presupuestario: </w:t>
      </w:r>
    </w:p>
    <w:p w:rsidR="00433085" w:rsidRPr="00EB3E7E" w:rsidRDefault="00433085" w:rsidP="00433085">
      <w:pPr>
        <w:tabs>
          <w:tab w:val="left" w:pos="3374"/>
        </w:tabs>
        <w:ind w:left="567" w:right="-788"/>
        <w:rPr>
          <w:rFonts w:ascii="Palatino Linotype" w:eastAsia="Palatino Linotype" w:hAnsi="Palatino Linotype" w:cs="Palatino Linotype"/>
        </w:rPr>
      </w:pPr>
    </w:p>
    <w:p w:rsidR="00433085" w:rsidRPr="00EB3E7E" w:rsidRDefault="00433085" w:rsidP="00433085">
      <w:pPr>
        <w:tabs>
          <w:tab w:val="left" w:pos="3374"/>
        </w:tabs>
        <w:ind w:left="567" w:right="-788"/>
        <w:rPr>
          <w:rFonts w:ascii="Palatino Linotype" w:eastAsia="Palatino Linotype" w:hAnsi="Palatino Linotype" w:cs="Palatino Linotype"/>
          <w:i/>
        </w:rPr>
      </w:pPr>
      <w:r w:rsidRPr="00EB3E7E">
        <w:rPr>
          <w:rFonts w:ascii="Palatino Linotype" w:eastAsia="Palatino Linotype" w:hAnsi="Palatino Linotype" w:cs="Palatino Linotype"/>
          <w:i/>
        </w:rPr>
        <w:t>“</w:t>
      </w:r>
      <w:r w:rsidRPr="00EB3E7E">
        <w:rPr>
          <w:rFonts w:ascii="Palatino Linotype" w:eastAsia="Palatino Linotype" w:hAnsi="Palatino Linotype" w:cs="Palatino Linotype"/>
          <w:b/>
          <w:i/>
        </w:rPr>
        <w:t>REGISTRO CONTABLE</w:t>
      </w:r>
      <w:r w:rsidRPr="00EB3E7E">
        <w:rPr>
          <w:rFonts w:ascii="Palatino Linotype" w:eastAsia="Palatino Linotype" w:hAnsi="Palatino Linotype" w:cs="Palatino Linotype"/>
          <w:i/>
        </w:rPr>
        <w:t xml:space="preserve"> </w:t>
      </w:r>
    </w:p>
    <w:p w:rsidR="00433085" w:rsidRPr="00EB3E7E" w:rsidRDefault="00433085" w:rsidP="00433085">
      <w:pPr>
        <w:tabs>
          <w:tab w:val="left" w:pos="3374"/>
        </w:tabs>
        <w:ind w:left="567" w:right="-788"/>
        <w:rPr>
          <w:rFonts w:ascii="Palatino Linotype" w:eastAsia="Palatino Linotype" w:hAnsi="Palatino Linotype" w:cs="Palatino Linotype"/>
          <w:i/>
        </w:rPr>
      </w:pPr>
      <w:r w:rsidRPr="00EB3E7E">
        <w:rPr>
          <w:rFonts w:ascii="Palatino Linotype" w:eastAsia="Palatino Linotype" w:hAnsi="Palatino Linotype" w:cs="Palatino Linotype"/>
          <w:i/>
        </w:rPr>
        <w:t>Asiento que se realiza en los libros de contabilidad de las actividades relacionadas con el ingreso y egresos de un ente económico.”</w:t>
      </w:r>
    </w:p>
    <w:p w:rsidR="00433085" w:rsidRPr="00EB3E7E" w:rsidRDefault="00433085" w:rsidP="00433085">
      <w:pPr>
        <w:tabs>
          <w:tab w:val="left" w:pos="3374"/>
        </w:tabs>
        <w:ind w:left="567" w:right="-788"/>
        <w:rPr>
          <w:rFonts w:ascii="Palatino Linotype" w:eastAsia="Palatino Linotype" w:hAnsi="Palatino Linotype" w:cs="Palatino Linotype"/>
          <w:i/>
        </w:rPr>
      </w:pPr>
    </w:p>
    <w:p w:rsidR="00433085" w:rsidRPr="00EB3E7E" w:rsidRDefault="00433085" w:rsidP="00433085">
      <w:pPr>
        <w:tabs>
          <w:tab w:val="left" w:pos="3374"/>
        </w:tabs>
        <w:ind w:left="567" w:right="-788"/>
        <w:rPr>
          <w:rFonts w:ascii="Palatino Linotype" w:eastAsia="Palatino Linotype" w:hAnsi="Palatino Linotype" w:cs="Palatino Linotype"/>
          <w:i/>
        </w:rPr>
      </w:pPr>
      <w:r w:rsidRPr="00EB3E7E">
        <w:rPr>
          <w:rFonts w:ascii="Palatino Linotype" w:eastAsia="Palatino Linotype" w:hAnsi="Palatino Linotype" w:cs="Palatino Linotype"/>
          <w:i/>
        </w:rPr>
        <w:t>“</w:t>
      </w:r>
      <w:r w:rsidRPr="00EB3E7E">
        <w:rPr>
          <w:rFonts w:ascii="Palatino Linotype" w:eastAsia="Palatino Linotype" w:hAnsi="Palatino Linotype" w:cs="Palatino Linotype"/>
          <w:b/>
          <w:i/>
        </w:rPr>
        <w:t>REGISTRO PRESUPUESTARIO</w:t>
      </w:r>
    </w:p>
    <w:p w:rsidR="00433085" w:rsidRPr="00EB3E7E" w:rsidRDefault="00433085" w:rsidP="00433085">
      <w:pPr>
        <w:tabs>
          <w:tab w:val="left" w:pos="3374"/>
        </w:tabs>
        <w:ind w:left="567" w:right="-788"/>
        <w:rPr>
          <w:rFonts w:ascii="Palatino Linotype" w:eastAsia="Palatino Linotype" w:hAnsi="Palatino Linotype" w:cs="Palatino Linotype"/>
          <w:i/>
        </w:rPr>
      </w:pPr>
      <w:r w:rsidRPr="00EB3E7E">
        <w:rPr>
          <w:rFonts w:ascii="Palatino Linotype" w:eastAsia="Palatino Linotype" w:hAnsi="Palatino Linotype" w:cs="Palatino Linotype"/>
          <w:i/>
        </w:rPr>
        <w:t>Asiento contable de las erogaciones realizadas por las dependencias y entidades con relación a la asignación, modificación y ejercicio de los recursos presupuestarios que se les hayan autorizado.”</w:t>
      </w:r>
    </w:p>
    <w:p w:rsidR="00433085" w:rsidRPr="00EB3E7E" w:rsidRDefault="00433085" w:rsidP="00433085">
      <w:pPr>
        <w:tabs>
          <w:tab w:val="left" w:pos="3374"/>
        </w:tabs>
        <w:spacing w:line="360" w:lineRule="auto"/>
        <w:ind w:right="-787"/>
        <w:rPr>
          <w:rFonts w:ascii="Palatino Linotype" w:eastAsia="Palatino Linotype" w:hAnsi="Palatino Linotype" w:cs="Palatino Linotype"/>
        </w:rPr>
      </w:pPr>
    </w:p>
    <w:p w:rsidR="00433085" w:rsidRPr="00EB3E7E" w:rsidRDefault="00433085" w:rsidP="00433085">
      <w:pPr>
        <w:numPr>
          <w:ilvl w:val="0"/>
          <w:numId w:val="2"/>
        </w:numPr>
        <w:spacing w:line="360" w:lineRule="auto"/>
        <w:ind w:left="0" w:right="-787" w:firstLine="0"/>
        <w:jc w:val="both"/>
        <w:rPr>
          <w:rFonts w:ascii="Palatino Linotype" w:eastAsia="Palatino Linotype" w:hAnsi="Palatino Linotype" w:cs="Palatino Linotype"/>
        </w:rPr>
      </w:pPr>
      <w:r w:rsidRPr="00EB3E7E">
        <w:rPr>
          <w:rFonts w:ascii="Palatino Linotype" w:eastAsia="Palatino Linotype" w:hAnsi="Palatino Linotype" w:cs="Palatino Linotype"/>
        </w:rPr>
        <w:lastRenderedPageBreak/>
        <w:t xml:space="preserve">En aras de dar cumplimiento a lo dispuesto por la Ley General de Contabilidad Gubernamental, la Secretaría de Finanzas del Gobierno del Estado de México emitió el “Manual Único de Contabilidad Gubernamental para las Dependencias y Entidades Públicas del Gobierno y Municipios del Estado de México”, publicado en el Periódico Oficial del Gobierno del Estado de México “Gaceta del Gobierno” el dos de febrero de dos mil veinticuatro, el cual determina e implanta normas contables gubernamentales que cumplen con los preceptos establecidos en el Código Financiero del Estado de México y Municipios y cuyo objetivo es proporcionar a las entidades de la administración pública Estatal y Municipal, los elementos necesarios que les permitan contabilizar sus operaciones al establecer los criterios en materia de contabilidad gubernamental. </w:t>
      </w:r>
    </w:p>
    <w:p w:rsidR="00433085" w:rsidRPr="00EB3E7E" w:rsidRDefault="00433085" w:rsidP="00433085">
      <w:pPr>
        <w:tabs>
          <w:tab w:val="left" w:pos="3374"/>
        </w:tabs>
        <w:spacing w:line="360" w:lineRule="auto"/>
        <w:ind w:right="-787"/>
        <w:rPr>
          <w:rFonts w:ascii="Palatino Linotype" w:eastAsia="Palatino Linotype" w:hAnsi="Palatino Linotype" w:cs="Palatino Linotype"/>
        </w:rPr>
      </w:pPr>
    </w:p>
    <w:p w:rsidR="00433085" w:rsidRPr="00EB3E7E" w:rsidRDefault="00433085" w:rsidP="00433085">
      <w:pPr>
        <w:numPr>
          <w:ilvl w:val="0"/>
          <w:numId w:val="2"/>
        </w:numPr>
        <w:spacing w:line="360" w:lineRule="auto"/>
        <w:ind w:left="0" w:right="-787" w:firstLine="0"/>
        <w:jc w:val="both"/>
        <w:rPr>
          <w:rFonts w:ascii="Palatino Linotype" w:eastAsia="Palatino Linotype" w:hAnsi="Palatino Linotype" w:cs="Palatino Linotype"/>
        </w:rPr>
      </w:pPr>
      <w:r w:rsidRPr="00EB3E7E">
        <w:rPr>
          <w:rFonts w:ascii="Palatino Linotype" w:eastAsia="Palatino Linotype" w:hAnsi="Palatino Linotype" w:cs="Palatino Linotype"/>
        </w:rPr>
        <w:t>Este Manual constituye un fundamento esencial para sustentar el registro correcto de las operaciones, integrado por el catálogo de cuentas, su estructura, su instructivo, la guía contabilizadora y los criterios y lineamientos para el registro de las operaciones.</w:t>
      </w:r>
    </w:p>
    <w:p w:rsidR="00433085" w:rsidRPr="00EB3E7E" w:rsidRDefault="00433085" w:rsidP="00433085">
      <w:pPr>
        <w:tabs>
          <w:tab w:val="left" w:pos="3374"/>
        </w:tabs>
        <w:spacing w:line="360" w:lineRule="auto"/>
        <w:ind w:right="-787"/>
        <w:rPr>
          <w:rFonts w:ascii="Palatino Linotype" w:eastAsia="Palatino Linotype" w:hAnsi="Palatino Linotype" w:cs="Palatino Linotype"/>
        </w:rPr>
      </w:pPr>
    </w:p>
    <w:p w:rsidR="00433085" w:rsidRPr="00EB3E7E" w:rsidRDefault="00433085" w:rsidP="00433085">
      <w:pPr>
        <w:numPr>
          <w:ilvl w:val="0"/>
          <w:numId w:val="2"/>
        </w:numPr>
        <w:spacing w:line="360" w:lineRule="auto"/>
        <w:ind w:left="0" w:right="-787" w:firstLine="0"/>
        <w:jc w:val="both"/>
        <w:rPr>
          <w:rFonts w:ascii="Palatino Linotype" w:eastAsia="Palatino Linotype" w:hAnsi="Palatino Linotype" w:cs="Palatino Linotype"/>
        </w:rPr>
      </w:pPr>
      <w:r w:rsidRPr="00EB3E7E">
        <w:rPr>
          <w:rFonts w:ascii="Palatino Linotype" w:eastAsia="Palatino Linotype" w:hAnsi="Palatino Linotype" w:cs="Palatino Linotype"/>
        </w:rPr>
        <w:t xml:space="preserve">La Guía Contabilizadora contiene la descripción detallada de las principales operaciones; menciona los documentos fuente que respaldan cada operación, señala su periodicidad durante un ejercicio e incluye las cuentas a afectar tanto contable como presupuestalmente, es decir, su propósito es orientar el registro de las operaciones contables a quienes tienen la responsabilidad de su ejecución, así como para todos aquellos que requieran conocer los criterios que se utilizan en cada operación. </w:t>
      </w:r>
    </w:p>
    <w:p w:rsidR="00433085" w:rsidRPr="00EB3E7E" w:rsidRDefault="00433085" w:rsidP="00433085">
      <w:pPr>
        <w:tabs>
          <w:tab w:val="left" w:pos="3374"/>
        </w:tabs>
        <w:spacing w:line="360" w:lineRule="auto"/>
        <w:ind w:right="-787"/>
        <w:rPr>
          <w:rFonts w:ascii="Palatino Linotype" w:eastAsia="Palatino Linotype" w:hAnsi="Palatino Linotype" w:cs="Palatino Linotype"/>
        </w:rPr>
      </w:pPr>
    </w:p>
    <w:p w:rsidR="00433085" w:rsidRPr="00EB3E7E" w:rsidRDefault="00433085" w:rsidP="00433085">
      <w:pPr>
        <w:numPr>
          <w:ilvl w:val="0"/>
          <w:numId w:val="2"/>
        </w:numPr>
        <w:spacing w:line="360" w:lineRule="auto"/>
        <w:ind w:left="0" w:right="-787" w:firstLine="0"/>
        <w:jc w:val="both"/>
        <w:rPr>
          <w:rFonts w:ascii="Palatino Linotype" w:eastAsia="Palatino Linotype" w:hAnsi="Palatino Linotype" w:cs="Palatino Linotype"/>
        </w:rPr>
      </w:pPr>
      <w:r w:rsidRPr="00EB3E7E">
        <w:rPr>
          <w:rFonts w:ascii="Palatino Linotype" w:eastAsia="Palatino Linotype" w:hAnsi="Palatino Linotype" w:cs="Palatino Linotype"/>
        </w:rPr>
        <w:t xml:space="preserve">En esa virtud, el referido Manual Único de Contabilidad señala en el numeral 9, “Guía Contabilizadora para el Registro Contable y Presupuestal de Operaciones Específicas”, 9.3. </w:t>
      </w:r>
      <w:r w:rsidRPr="00EB3E7E">
        <w:rPr>
          <w:rFonts w:ascii="Palatino Linotype" w:eastAsia="Palatino Linotype" w:hAnsi="Palatino Linotype" w:cs="Palatino Linotype"/>
        </w:rPr>
        <w:lastRenderedPageBreak/>
        <w:t xml:space="preserve">“Municipios y sus Organismos Descentralizados”, en la cual se hace referencia directa al manejo de la nómina, como se aprecia de la siguiente imagen: </w:t>
      </w:r>
    </w:p>
    <w:p w:rsidR="00433085" w:rsidRPr="00EB3E7E" w:rsidRDefault="00433085" w:rsidP="00433085">
      <w:pPr>
        <w:tabs>
          <w:tab w:val="left" w:pos="3374"/>
        </w:tabs>
        <w:spacing w:line="360" w:lineRule="auto"/>
        <w:ind w:right="-787"/>
        <w:jc w:val="center"/>
        <w:rPr>
          <w:rFonts w:ascii="Palatino Linotype" w:eastAsia="Palatino Linotype" w:hAnsi="Palatino Linotype" w:cs="Palatino Linotype"/>
        </w:rPr>
      </w:pPr>
      <w:r w:rsidRPr="00EB3E7E">
        <w:rPr>
          <w:rFonts w:ascii="Palatino Linotype" w:eastAsia="Palatino Linotype" w:hAnsi="Palatino Linotype" w:cs="Palatino Linotype"/>
          <w:noProof/>
          <w:lang w:val="es-MX"/>
        </w:rPr>
        <w:drawing>
          <wp:inline distT="0" distB="0" distL="0" distR="0" wp14:anchorId="570B08B0" wp14:editId="5D592346">
            <wp:extent cx="5191125" cy="4086225"/>
            <wp:effectExtent l="0" t="0" r="9525" b="9525"/>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5204548" cy="4096791"/>
                    </a:xfrm>
                    <a:prstGeom prst="rect">
                      <a:avLst/>
                    </a:prstGeom>
                    <a:ln/>
                  </pic:spPr>
                </pic:pic>
              </a:graphicData>
            </a:graphic>
          </wp:inline>
        </w:drawing>
      </w:r>
    </w:p>
    <w:p w:rsidR="00433085" w:rsidRPr="00EB3E7E" w:rsidRDefault="00433085" w:rsidP="00433085">
      <w:pPr>
        <w:tabs>
          <w:tab w:val="left" w:pos="3374"/>
        </w:tabs>
        <w:spacing w:line="360" w:lineRule="auto"/>
        <w:ind w:right="-787"/>
        <w:rPr>
          <w:rFonts w:ascii="Palatino Linotype" w:eastAsia="Palatino Linotype" w:hAnsi="Palatino Linotype" w:cs="Palatino Linotype"/>
        </w:rPr>
      </w:pPr>
    </w:p>
    <w:p w:rsidR="00433085" w:rsidRPr="00EB3E7E" w:rsidRDefault="00433085" w:rsidP="00433085">
      <w:pPr>
        <w:numPr>
          <w:ilvl w:val="0"/>
          <w:numId w:val="2"/>
        </w:numPr>
        <w:spacing w:line="360" w:lineRule="auto"/>
        <w:ind w:left="0" w:right="-787" w:firstLine="0"/>
        <w:jc w:val="both"/>
        <w:rPr>
          <w:rFonts w:ascii="Palatino Linotype" w:eastAsia="Palatino Linotype" w:hAnsi="Palatino Linotype" w:cs="Palatino Linotype"/>
          <w:b/>
          <w:color w:val="000000"/>
        </w:rPr>
      </w:pPr>
      <w:r w:rsidRPr="00EB3E7E">
        <w:rPr>
          <w:rFonts w:ascii="Palatino Linotype" w:eastAsia="Palatino Linotype" w:hAnsi="Palatino Linotype" w:cs="Palatino Linotype"/>
          <w:color w:val="000000"/>
        </w:rPr>
        <w:t xml:space="preserve">Es de señalar </w:t>
      </w:r>
      <w:r w:rsidRPr="00EB3E7E">
        <w:rPr>
          <w:rFonts w:ascii="Palatino Linotype" w:eastAsia="Palatino Linotype" w:hAnsi="Palatino Linotype" w:cs="Palatino Linotype"/>
        </w:rPr>
        <w:t>que</w:t>
      </w:r>
      <w:r w:rsidRPr="00EB3E7E">
        <w:rPr>
          <w:rFonts w:ascii="Palatino Linotype" w:eastAsia="Palatino Linotype" w:hAnsi="Palatino Linotype" w:cs="Palatino Linotype"/>
          <w:color w:val="000000"/>
        </w:rPr>
        <w:t xml:space="preserve"> la información que se solicitó es de interés general y de alcance público, puesto que la ciudadanía tiene derecho a saber cuál es el gasto ejercido para el pago de remuneraciones por servicios personales al realizar las funciones públicas; esto es, su acceso permite transparentar la aplicación de los recursos públicos que son otorgados para el cumplimiento de sus funciones, ello conforme a lo dispuesto por los artículos 7 y 23, de la Ley de Transparencia y Acceso a la Información Pública del Estado de México y Municipios, que establece como deber de los Sujetos Obligados el hacer pública toda la información respecto a los montos y nombres de las personas a quienes se entreguen recursos públicos y con ello </w:t>
      </w:r>
      <w:r w:rsidRPr="00EB3E7E">
        <w:rPr>
          <w:rFonts w:ascii="Palatino Linotype" w:eastAsia="Palatino Linotype" w:hAnsi="Palatino Linotype" w:cs="Palatino Linotype"/>
          <w:color w:val="000000"/>
        </w:rPr>
        <w:lastRenderedPageBreak/>
        <w:t>transparentar la forma, términos, causas y finalidad en la disposición de esos recursos; precepto legal que es del tenor siguiente:</w:t>
      </w:r>
    </w:p>
    <w:p w:rsidR="00433085" w:rsidRPr="00EB3E7E" w:rsidRDefault="00433085" w:rsidP="00433085">
      <w:pPr>
        <w:spacing w:line="360" w:lineRule="auto"/>
        <w:ind w:right="-716"/>
        <w:jc w:val="both"/>
        <w:rPr>
          <w:rFonts w:ascii="Palatino Linotype" w:eastAsia="Palatino Linotype" w:hAnsi="Palatino Linotype" w:cs="Palatino Linotype"/>
        </w:rPr>
      </w:pPr>
    </w:p>
    <w:p w:rsidR="00433085" w:rsidRPr="00EB3E7E" w:rsidRDefault="00433085" w:rsidP="00A22D47">
      <w:pPr>
        <w:ind w:left="567" w:right="-716"/>
        <w:jc w:val="both"/>
        <w:rPr>
          <w:rFonts w:ascii="Palatino Linotype" w:eastAsia="Palatino Linotype" w:hAnsi="Palatino Linotype" w:cs="Palatino Linotype"/>
          <w:i/>
          <w:u w:val="single"/>
        </w:rPr>
      </w:pPr>
      <w:r w:rsidRPr="00EB3E7E">
        <w:rPr>
          <w:rFonts w:ascii="Palatino Linotype" w:eastAsia="Palatino Linotype" w:hAnsi="Palatino Linotype" w:cs="Palatino Linotype"/>
          <w:b/>
          <w:i/>
          <w:u w:val="single"/>
        </w:rPr>
        <w:t>“Artículo 7. El Estado de México garantizará el efectivo acceso de toda persona a la información en posesión de cualquier entidad,</w:t>
      </w:r>
      <w:r w:rsidRPr="00EB3E7E">
        <w:rPr>
          <w:rFonts w:ascii="Palatino Linotype" w:eastAsia="Palatino Linotype" w:hAnsi="Palatino Linotype" w:cs="Palatino Linotype"/>
          <w:i/>
        </w:rPr>
        <w:t xml:space="preserve"> autoridad, órgano y organismo de los poderes Ejecutivo, Legislativo y Judicial, órganos autónomos, partidos políticos, fideicomisos y fondos públicos, así como de cualquier persona física, jurídico colectiva o sindicato </w:t>
      </w:r>
      <w:r w:rsidRPr="00EB3E7E">
        <w:rPr>
          <w:rFonts w:ascii="Palatino Linotype" w:eastAsia="Palatino Linotype" w:hAnsi="Palatino Linotype" w:cs="Palatino Linotype"/>
          <w:b/>
          <w:i/>
          <w:u w:val="single"/>
        </w:rPr>
        <w:t>que reciba y ejerza recursos públicos</w:t>
      </w:r>
      <w:r w:rsidRPr="00EB3E7E">
        <w:rPr>
          <w:rFonts w:ascii="Palatino Linotype" w:eastAsia="Palatino Linotype" w:hAnsi="Palatino Linotype" w:cs="Palatino Linotype"/>
          <w:i/>
        </w:rPr>
        <w:t xml:space="preserve"> o realice actos de autoridad </w:t>
      </w:r>
      <w:r w:rsidRPr="00EB3E7E">
        <w:rPr>
          <w:rFonts w:ascii="Palatino Linotype" w:eastAsia="Palatino Linotype" w:hAnsi="Palatino Linotype" w:cs="Palatino Linotype"/>
          <w:b/>
          <w:i/>
          <w:u w:val="single"/>
        </w:rPr>
        <w:t>en el ámbito de competencia del Estado de México y sus municipios</w:t>
      </w:r>
      <w:r w:rsidRPr="00EB3E7E">
        <w:rPr>
          <w:rFonts w:ascii="Palatino Linotype" w:eastAsia="Palatino Linotype" w:hAnsi="Palatino Linotype" w:cs="Palatino Linotype"/>
          <w:i/>
          <w:u w:val="single"/>
        </w:rPr>
        <w:t>.</w:t>
      </w:r>
    </w:p>
    <w:p w:rsidR="00433085" w:rsidRPr="00EB3E7E" w:rsidRDefault="00433085" w:rsidP="00A22D47">
      <w:pPr>
        <w:ind w:left="567" w:right="-716"/>
        <w:jc w:val="both"/>
        <w:rPr>
          <w:rFonts w:ascii="Palatino Linotype" w:eastAsia="Palatino Linotype" w:hAnsi="Palatino Linotype" w:cs="Palatino Linotype"/>
          <w:i/>
          <w:u w:val="single"/>
        </w:rPr>
      </w:pPr>
    </w:p>
    <w:p w:rsidR="00433085" w:rsidRPr="00EB3E7E" w:rsidRDefault="00433085" w:rsidP="00A22D47">
      <w:pPr>
        <w:ind w:left="567" w:right="-716"/>
        <w:jc w:val="both"/>
        <w:rPr>
          <w:rFonts w:ascii="Palatino Linotype" w:eastAsia="Palatino Linotype" w:hAnsi="Palatino Linotype" w:cs="Palatino Linotype"/>
          <w:i/>
        </w:rPr>
      </w:pPr>
      <w:r w:rsidRPr="00EB3E7E">
        <w:rPr>
          <w:rFonts w:ascii="Palatino Linotype" w:eastAsia="Palatino Linotype" w:hAnsi="Palatino Linotype" w:cs="Palatino Linotype"/>
          <w:i/>
        </w:rPr>
        <w:t>Artículo 23. Son sujetos obligados a transparentar y permitir el acceso a su información y proteger los datos personales que obren en su poder:</w:t>
      </w:r>
    </w:p>
    <w:p w:rsidR="00433085" w:rsidRPr="00EB3E7E" w:rsidRDefault="00433085" w:rsidP="00A22D47">
      <w:pPr>
        <w:ind w:left="567" w:right="-716"/>
        <w:jc w:val="both"/>
        <w:rPr>
          <w:rFonts w:ascii="Palatino Linotype" w:eastAsia="Palatino Linotype" w:hAnsi="Palatino Linotype" w:cs="Palatino Linotype"/>
          <w:i/>
        </w:rPr>
      </w:pPr>
      <w:r w:rsidRPr="00EB3E7E">
        <w:rPr>
          <w:rFonts w:ascii="Palatino Linotype" w:eastAsia="Palatino Linotype" w:hAnsi="Palatino Linotype" w:cs="Palatino Linotype"/>
          <w:i/>
        </w:rPr>
        <w:t>(…)</w:t>
      </w:r>
    </w:p>
    <w:p w:rsidR="00433085" w:rsidRPr="00EB3E7E" w:rsidRDefault="00433085" w:rsidP="00A22D47">
      <w:pPr>
        <w:ind w:left="567" w:right="-716"/>
        <w:jc w:val="both"/>
        <w:rPr>
          <w:rFonts w:ascii="Palatino Linotype" w:eastAsia="Palatino Linotype" w:hAnsi="Palatino Linotype" w:cs="Palatino Linotype"/>
          <w:b/>
          <w:i/>
          <w:u w:val="single"/>
        </w:rPr>
      </w:pPr>
      <w:r w:rsidRPr="00EB3E7E">
        <w:rPr>
          <w:rFonts w:ascii="Palatino Linotype" w:eastAsia="Palatino Linotype" w:hAnsi="Palatino Linotype" w:cs="Palatino Linotype"/>
          <w:b/>
          <w:i/>
          <w:u w:val="single"/>
        </w:rPr>
        <w:t>IV. Los ayuntamientos y las dependencias, organismos, órganos y entidades de la administración municipal;</w:t>
      </w:r>
    </w:p>
    <w:p w:rsidR="00433085" w:rsidRPr="00EB3E7E" w:rsidRDefault="00433085" w:rsidP="00A22D47">
      <w:pPr>
        <w:ind w:left="567" w:right="-716"/>
        <w:jc w:val="both"/>
        <w:rPr>
          <w:rFonts w:ascii="Palatino Linotype" w:eastAsia="Palatino Linotype" w:hAnsi="Palatino Linotype" w:cs="Palatino Linotype"/>
          <w:i/>
        </w:rPr>
      </w:pPr>
      <w:r w:rsidRPr="00EB3E7E">
        <w:rPr>
          <w:rFonts w:ascii="Palatino Linotype" w:eastAsia="Palatino Linotype" w:hAnsi="Palatino Linotype" w:cs="Palatino Linotype"/>
          <w:i/>
        </w:rPr>
        <w:t>(…)</w:t>
      </w:r>
    </w:p>
    <w:p w:rsidR="00433085" w:rsidRPr="00EB3E7E" w:rsidRDefault="00433085" w:rsidP="00A22D47">
      <w:pPr>
        <w:ind w:left="567" w:right="-716"/>
        <w:jc w:val="both"/>
        <w:rPr>
          <w:rFonts w:ascii="Palatino Linotype" w:eastAsia="Palatino Linotype" w:hAnsi="Palatino Linotype" w:cs="Palatino Linotype"/>
          <w:b/>
          <w:i/>
          <w:u w:val="single"/>
        </w:rPr>
      </w:pPr>
      <w:r w:rsidRPr="00EB3E7E">
        <w:rPr>
          <w:rFonts w:ascii="Palatino Linotype" w:eastAsia="Palatino Linotype" w:hAnsi="Palatino Linotype" w:cs="Palatino Linotype"/>
          <w:b/>
          <w:i/>
          <w:u w:val="single"/>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rsidR="00433085" w:rsidRPr="00EB3E7E" w:rsidRDefault="00433085" w:rsidP="00A22D47">
      <w:pPr>
        <w:ind w:left="567" w:right="-716"/>
        <w:jc w:val="both"/>
        <w:rPr>
          <w:rFonts w:ascii="Palatino Linotype" w:eastAsia="Palatino Linotype" w:hAnsi="Palatino Linotype" w:cs="Palatino Linotype"/>
          <w:b/>
          <w:i/>
          <w:u w:val="single"/>
        </w:rPr>
      </w:pPr>
    </w:p>
    <w:p w:rsidR="00433085" w:rsidRPr="00EB3E7E" w:rsidRDefault="00433085" w:rsidP="00A22D47">
      <w:pPr>
        <w:ind w:left="567" w:right="-716"/>
        <w:jc w:val="both"/>
        <w:rPr>
          <w:rFonts w:ascii="Palatino Linotype" w:eastAsia="Palatino Linotype" w:hAnsi="Palatino Linotype" w:cs="Palatino Linotype"/>
          <w:b/>
          <w:i/>
        </w:rPr>
      </w:pPr>
      <w:r w:rsidRPr="00EB3E7E">
        <w:rPr>
          <w:rFonts w:ascii="Palatino Linotype" w:eastAsia="Palatino Linotype" w:hAnsi="Palatino Linotype" w:cs="Palatino Linotype"/>
          <w:i/>
        </w:rPr>
        <w:t>Los servidores públicos deberán transparentar sus acciones así como garantizar y respetar el derecho de acceso a la información pública.”</w:t>
      </w:r>
      <w:r w:rsidRPr="00EB3E7E">
        <w:rPr>
          <w:rFonts w:ascii="Palatino Linotype" w:eastAsia="Palatino Linotype" w:hAnsi="Palatino Linotype" w:cs="Palatino Linotype"/>
          <w:b/>
          <w:i/>
        </w:rPr>
        <w:t xml:space="preserve"> (Sic)</w:t>
      </w:r>
    </w:p>
    <w:p w:rsidR="00433085" w:rsidRPr="00EB3E7E" w:rsidRDefault="00433085" w:rsidP="00433085">
      <w:pPr>
        <w:spacing w:line="360" w:lineRule="auto"/>
        <w:jc w:val="both"/>
        <w:rPr>
          <w:rFonts w:ascii="Palatino Linotype" w:eastAsia="Palatino Linotype" w:hAnsi="Palatino Linotype" w:cs="Palatino Linotype"/>
        </w:rPr>
      </w:pPr>
    </w:p>
    <w:p w:rsidR="00433085" w:rsidRPr="00EB3E7E" w:rsidRDefault="00433085" w:rsidP="00433085">
      <w:pPr>
        <w:numPr>
          <w:ilvl w:val="0"/>
          <w:numId w:val="2"/>
        </w:numPr>
        <w:spacing w:line="360" w:lineRule="auto"/>
        <w:ind w:left="0" w:right="-787" w:firstLine="0"/>
        <w:jc w:val="both"/>
        <w:rPr>
          <w:rFonts w:ascii="Palatino Linotype" w:eastAsia="Palatino Linotype" w:hAnsi="Palatino Linotype" w:cs="Palatino Linotype"/>
          <w:color w:val="000000"/>
        </w:rPr>
      </w:pPr>
      <w:r w:rsidRPr="00EB3E7E">
        <w:rPr>
          <w:rFonts w:ascii="Palatino Linotype" w:eastAsia="Palatino Linotype" w:hAnsi="Palatino Linotype" w:cs="Palatino Linotype"/>
          <w:color w:val="000000"/>
        </w:rPr>
        <w:t xml:space="preserve">Sirve de sustento por analogía, para justificar la publicidad sobre los datos relativos a los montos por concepto de pago de las remuneraciones, los criterios </w:t>
      </w:r>
      <w:r w:rsidRPr="00EB3E7E">
        <w:rPr>
          <w:rFonts w:ascii="Palatino Linotype" w:eastAsia="Palatino Linotype" w:hAnsi="Palatino Linotype" w:cs="Palatino Linotype"/>
          <w:b/>
          <w:color w:val="000000"/>
        </w:rPr>
        <w:t>01/2003</w:t>
      </w:r>
      <w:r w:rsidRPr="00EB3E7E">
        <w:rPr>
          <w:rFonts w:ascii="Palatino Linotype" w:eastAsia="Palatino Linotype" w:hAnsi="Palatino Linotype" w:cs="Palatino Linotype"/>
          <w:color w:val="000000"/>
        </w:rPr>
        <w:t xml:space="preserve"> y </w:t>
      </w:r>
      <w:r w:rsidRPr="00EB3E7E">
        <w:rPr>
          <w:rFonts w:ascii="Palatino Linotype" w:eastAsia="Palatino Linotype" w:hAnsi="Palatino Linotype" w:cs="Palatino Linotype"/>
          <w:b/>
          <w:color w:val="000000"/>
        </w:rPr>
        <w:t>02/2003</w:t>
      </w:r>
      <w:r w:rsidRPr="00EB3E7E">
        <w:rPr>
          <w:rFonts w:ascii="Palatino Linotype" w:eastAsia="Palatino Linotype" w:hAnsi="Palatino Linotype" w:cs="Palatino Linotype"/>
          <w:color w:val="000000"/>
        </w:rPr>
        <w:t xml:space="preserve"> emitidos por el Comité de Acceso a la Información Pública y Protección de Datos Personales de la Suprema Corte de Justicia de la Nación que a continuación se citan: </w:t>
      </w:r>
    </w:p>
    <w:p w:rsidR="00433085" w:rsidRPr="00EB3E7E" w:rsidRDefault="00433085" w:rsidP="00433085">
      <w:pPr>
        <w:spacing w:line="360" w:lineRule="auto"/>
        <w:ind w:right="-716"/>
        <w:jc w:val="both"/>
        <w:rPr>
          <w:rFonts w:ascii="Palatino Linotype" w:eastAsia="Palatino Linotype" w:hAnsi="Palatino Linotype" w:cs="Palatino Linotype"/>
        </w:rPr>
      </w:pPr>
    </w:p>
    <w:p w:rsidR="00433085" w:rsidRPr="00EB3E7E" w:rsidRDefault="00433085" w:rsidP="00A22D47">
      <w:pPr>
        <w:ind w:left="567" w:right="-716"/>
        <w:rPr>
          <w:rFonts w:ascii="Palatino Linotype" w:eastAsia="Palatino Linotype" w:hAnsi="Palatino Linotype" w:cs="Palatino Linotype"/>
          <w:b/>
          <w:i/>
        </w:rPr>
      </w:pPr>
      <w:r w:rsidRPr="00EB3E7E">
        <w:rPr>
          <w:rFonts w:ascii="Palatino Linotype" w:eastAsia="Palatino Linotype" w:hAnsi="Palatino Linotype" w:cs="Palatino Linotype"/>
          <w:b/>
          <w:i/>
        </w:rPr>
        <w:t>“Criterio 01/2003.</w:t>
      </w:r>
    </w:p>
    <w:p w:rsidR="00433085" w:rsidRPr="00EB3E7E" w:rsidRDefault="00433085" w:rsidP="00A22D47">
      <w:pPr>
        <w:ind w:left="567" w:right="-716"/>
        <w:jc w:val="both"/>
        <w:rPr>
          <w:rFonts w:ascii="Palatino Linotype" w:eastAsia="Palatino Linotype" w:hAnsi="Palatino Linotype" w:cs="Palatino Linotype"/>
          <w:i/>
        </w:rPr>
      </w:pPr>
      <w:r w:rsidRPr="00EB3E7E">
        <w:rPr>
          <w:rFonts w:ascii="Palatino Linotype" w:eastAsia="Palatino Linotype" w:hAnsi="Palatino Linotype" w:cs="Palatino Linotype"/>
          <w:b/>
          <w:i/>
        </w:rPr>
        <w:lastRenderedPageBreak/>
        <w:t>INGRESOS DE LOS SERVIDORES PÚBLICOS. CONSTITUYEN INFORMACIÓN PÚBLICA AÚN Y CUANDO SU DIFUSIÓN PUEDE AFECTAR LA VIDA O LA SEGURIDAD DE AQUELLOS.</w:t>
      </w:r>
      <w:r w:rsidRPr="00EB3E7E">
        <w:rPr>
          <w:rFonts w:ascii="Palatino Linotype" w:eastAsia="Palatino Linotype" w:hAnsi="Palatino Linotype" w:cs="Palatino Linotype"/>
          <w:i/>
        </w:rPr>
        <w:t xml:space="preserve"> </w:t>
      </w:r>
    </w:p>
    <w:p w:rsidR="00433085" w:rsidRPr="00EB3E7E" w:rsidRDefault="00433085" w:rsidP="00A22D47">
      <w:pPr>
        <w:ind w:left="567" w:right="-716"/>
        <w:jc w:val="both"/>
        <w:rPr>
          <w:rFonts w:ascii="Palatino Linotype" w:eastAsia="Palatino Linotype" w:hAnsi="Palatino Linotype" w:cs="Palatino Linotype"/>
          <w:i/>
          <w:u w:val="single"/>
        </w:rPr>
      </w:pPr>
      <w:r w:rsidRPr="00EB3E7E">
        <w:rPr>
          <w:rFonts w:ascii="Palatino Linotype" w:eastAsia="Palatino Linotype" w:hAnsi="Palatino Linotype" w:cs="Palatino Linotype"/>
          <w:i/>
        </w:rPr>
        <w:t xml:space="preserve">Si bien el artículo 13, fracción IV, de la Ley Federal de Transparencia y  Acceso  a la información Pública Gubernamental establece que debe clasificarse como información confidencial la que conste en expedientes administrativos cuya difusión  pueda poner en riesgo la vida, la seguridad o la salud de cualquier persona, debe reconocerse que aun y  cuando en ese supuesto podría encuadrar la relativa a las percepciones ordinarias y extraordinaria de los servidores públicos, ello no obsta para reconocer que el legislador estableció en el artículo 7 de ese mismo ordenamiento que la referida información, como una obligación de trasparencia, </w:t>
      </w:r>
      <w:r w:rsidRPr="00EB3E7E">
        <w:rPr>
          <w:rFonts w:ascii="Palatino Linotype" w:eastAsia="Palatino Linotype" w:hAnsi="Palatino Linotype" w:cs="Palatino Linotype"/>
          <w:b/>
          <w:i/>
          <w:u w:val="single"/>
        </w:rPr>
        <w:t>deben publicarse en medios remotos o locales de comunicación electrónica, lo que se sustenta en el hecho de que el monto de todos los ingresos que recibe un servidor público por desarrollar las labores que les son encomendadas con motivo del desempeño del cargo respecto. Constituyen información pública, en tanto que se trata de erogaciones que realiza un órgano del Estado en base con los recursos que encuentran su origen en mayor medida en las contribuciones aportados por los gobernados</w:t>
      </w:r>
      <w:r w:rsidRPr="00EB3E7E">
        <w:rPr>
          <w:rFonts w:ascii="Palatino Linotype" w:eastAsia="Palatino Linotype" w:hAnsi="Palatino Linotype" w:cs="Palatino Linotype"/>
          <w:i/>
          <w:u w:val="single"/>
        </w:rPr>
        <w:t>…”</w:t>
      </w:r>
    </w:p>
    <w:p w:rsidR="00433085" w:rsidRPr="00EB3E7E" w:rsidRDefault="00433085" w:rsidP="00A22D47">
      <w:pPr>
        <w:ind w:left="567" w:right="-716"/>
        <w:jc w:val="both"/>
        <w:rPr>
          <w:rFonts w:ascii="Palatino Linotype" w:eastAsia="Palatino Linotype" w:hAnsi="Palatino Linotype" w:cs="Palatino Linotype"/>
          <w:i/>
        </w:rPr>
      </w:pPr>
    </w:p>
    <w:p w:rsidR="00433085" w:rsidRPr="00EB3E7E" w:rsidRDefault="00433085" w:rsidP="00A22D47">
      <w:pPr>
        <w:ind w:left="567" w:right="-716"/>
        <w:rPr>
          <w:rFonts w:ascii="Palatino Linotype" w:eastAsia="Palatino Linotype" w:hAnsi="Palatino Linotype" w:cs="Palatino Linotype"/>
          <w:b/>
          <w:i/>
        </w:rPr>
      </w:pPr>
      <w:r w:rsidRPr="00EB3E7E">
        <w:rPr>
          <w:rFonts w:ascii="Palatino Linotype" w:eastAsia="Palatino Linotype" w:hAnsi="Palatino Linotype" w:cs="Palatino Linotype"/>
          <w:b/>
          <w:i/>
        </w:rPr>
        <w:t>“Criterio 02/2003.</w:t>
      </w:r>
    </w:p>
    <w:p w:rsidR="00433085" w:rsidRPr="00EB3E7E" w:rsidRDefault="00433085" w:rsidP="00A22D47">
      <w:pPr>
        <w:ind w:left="567" w:right="-716"/>
        <w:jc w:val="both"/>
        <w:rPr>
          <w:rFonts w:ascii="Palatino Linotype" w:eastAsia="Palatino Linotype" w:hAnsi="Palatino Linotype" w:cs="Palatino Linotype"/>
          <w:i/>
        </w:rPr>
      </w:pPr>
      <w:r w:rsidRPr="00EB3E7E">
        <w:rPr>
          <w:rFonts w:ascii="Palatino Linotype" w:eastAsia="Palatino Linotype" w:hAnsi="Palatino Linotype" w:cs="Palatino Linotype"/>
          <w:b/>
          <w:i/>
        </w:rPr>
        <w:t>INGRESOS DE LOS SERVIDORES PÚBLICOS, SON INFORMACIÓN PÚBLICA AÚN Y CUANDO CONSTITUYEN DATOS PERSONALES QUE SE REFIEREN AL PATRIMONIO DE AQUÉLLOS.</w:t>
      </w:r>
      <w:r w:rsidRPr="00EB3E7E">
        <w:rPr>
          <w:rFonts w:ascii="Palatino Linotype" w:eastAsia="Palatino Linotype" w:hAnsi="Palatino Linotype" w:cs="Palatino Linotype"/>
          <w:i/>
        </w:rPr>
        <w:t xml:space="preserve"> </w:t>
      </w:r>
    </w:p>
    <w:p w:rsidR="00433085" w:rsidRPr="00EB3E7E" w:rsidRDefault="00433085" w:rsidP="00A22D47">
      <w:pPr>
        <w:ind w:left="567" w:right="-716"/>
        <w:jc w:val="both"/>
        <w:rPr>
          <w:rFonts w:ascii="Palatino Linotype" w:eastAsia="Palatino Linotype" w:hAnsi="Palatino Linotype" w:cs="Palatino Linotype"/>
          <w:b/>
          <w:i/>
        </w:rPr>
      </w:pPr>
      <w:r w:rsidRPr="00EB3E7E">
        <w:rPr>
          <w:rFonts w:ascii="Palatino Linotype" w:eastAsia="Palatino Linotype" w:hAnsi="Palatino Linotype" w:cs="Palatino Linotype"/>
          <w:i/>
        </w:rPr>
        <w:t xml:space="preserve">De la interpretación sistemática de lo previsto en los artículos 3º, fracción II; 7º, 9º y 18, fracción II, de la Ley Federal de Transparencia y Acceso a la Información Pública Gubernamental se advierte que no constituye información confidencial la relativa a los ingresos que reciben los servidores públicos, ya que aun y cuando se trata de datos personales relativos a su patrimonio, para su difusión no se requiere consentimiento de aquellos, </w:t>
      </w:r>
      <w:r w:rsidRPr="00EB3E7E">
        <w:rPr>
          <w:rFonts w:ascii="Palatino Linotype" w:eastAsia="Palatino Linotype" w:hAnsi="Palatino Linotype" w:cs="Palatino Linotype"/>
          <w:b/>
          <w:i/>
          <w:u w:val="single"/>
        </w:rPr>
        <w:t>lo que deriva del hecho de que en términos de los previsto en el citado ordenamiento deben ponerse a disposición del público a través de medios remotos o locales de comunicación electrónica, tanto el directorio de servidores públicos como las remuneraciones mensuales por puesto incluso</w:t>
      </w:r>
      <w:r w:rsidRPr="00EB3E7E">
        <w:rPr>
          <w:rFonts w:ascii="Palatino Linotype" w:eastAsia="Palatino Linotype" w:hAnsi="Palatino Linotype" w:cs="Palatino Linotype"/>
          <w:i/>
        </w:rPr>
        <w:t xml:space="preserve"> el sistema de compensación…” </w:t>
      </w:r>
      <w:r w:rsidRPr="00EB3E7E">
        <w:rPr>
          <w:rFonts w:ascii="Palatino Linotype" w:eastAsia="Palatino Linotype" w:hAnsi="Palatino Linotype" w:cs="Palatino Linotype"/>
          <w:b/>
          <w:i/>
        </w:rPr>
        <w:t>(Sic)</w:t>
      </w:r>
    </w:p>
    <w:p w:rsidR="00433085" w:rsidRPr="00EB3E7E" w:rsidRDefault="00433085" w:rsidP="00433085">
      <w:pPr>
        <w:spacing w:line="360" w:lineRule="auto"/>
        <w:jc w:val="both"/>
      </w:pPr>
    </w:p>
    <w:p w:rsidR="00433085" w:rsidRPr="00EB3E7E" w:rsidRDefault="00433085" w:rsidP="00433085">
      <w:pPr>
        <w:numPr>
          <w:ilvl w:val="0"/>
          <w:numId w:val="2"/>
        </w:numPr>
        <w:spacing w:line="360" w:lineRule="auto"/>
        <w:ind w:left="0" w:right="-787" w:firstLine="0"/>
        <w:jc w:val="both"/>
        <w:rPr>
          <w:rFonts w:ascii="Palatino Linotype" w:eastAsia="Palatino Linotype" w:hAnsi="Palatino Linotype" w:cs="Palatino Linotype"/>
          <w:color w:val="000000"/>
        </w:rPr>
      </w:pPr>
      <w:r w:rsidRPr="00EB3E7E">
        <w:rPr>
          <w:rFonts w:ascii="Palatino Linotype" w:eastAsia="Palatino Linotype" w:hAnsi="Palatino Linotype" w:cs="Palatino Linotype"/>
          <w:color w:val="000000"/>
        </w:rPr>
        <w:t xml:space="preserve">Robustece lo anterior, el artículo 92, fracción VIII, de la Ley de Transparencia y Acceso a la Información Pública del Estado de México y Municipios, señala: </w:t>
      </w:r>
    </w:p>
    <w:p w:rsidR="00433085" w:rsidRPr="00EB3E7E" w:rsidRDefault="00433085" w:rsidP="00433085">
      <w:pPr>
        <w:spacing w:line="360" w:lineRule="auto"/>
        <w:ind w:right="49"/>
        <w:jc w:val="both"/>
        <w:rPr>
          <w:rFonts w:ascii="Palatino Linotype" w:eastAsia="Palatino Linotype" w:hAnsi="Palatino Linotype" w:cs="Palatino Linotype"/>
        </w:rPr>
      </w:pPr>
    </w:p>
    <w:p w:rsidR="00433085" w:rsidRPr="00EB3E7E" w:rsidRDefault="00433085" w:rsidP="00A22D47">
      <w:pPr>
        <w:ind w:left="567" w:right="-716"/>
        <w:jc w:val="both"/>
        <w:rPr>
          <w:rFonts w:ascii="Palatino Linotype" w:eastAsia="Palatino Linotype" w:hAnsi="Palatino Linotype" w:cs="Palatino Linotype"/>
          <w:i/>
        </w:rPr>
      </w:pPr>
      <w:r w:rsidRPr="00EB3E7E">
        <w:rPr>
          <w:rFonts w:ascii="Palatino Linotype" w:eastAsia="Palatino Linotype" w:hAnsi="Palatino Linotype" w:cs="Palatino Linotype"/>
          <w:i/>
        </w:rPr>
        <w:lastRenderedPageBreak/>
        <w:t xml:space="preserve">“Artículo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w:t>
      </w:r>
    </w:p>
    <w:p w:rsidR="00433085" w:rsidRPr="00EB3E7E" w:rsidRDefault="00433085" w:rsidP="00A22D47">
      <w:pPr>
        <w:ind w:left="567" w:right="-716"/>
        <w:jc w:val="both"/>
        <w:rPr>
          <w:rFonts w:ascii="Palatino Linotype" w:eastAsia="Palatino Linotype" w:hAnsi="Palatino Linotype" w:cs="Palatino Linotype"/>
          <w:i/>
        </w:rPr>
      </w:pPr>
      <w:r w:rsidRPr="00EB3E7E">
        <w:rPr>
          <w:rFonts w:ascii="Palatino Linotype" w:eastAsia="Palatino Linotype" w:hAnsi="Palatino Linotype" w:cs="Palatino Linotype"/>
          <w:i/>
        </w:rPr>
        <w:t>(…)</w:t>
      </w:r>
    </w:p>
    <w:p w:rsidR="00433085" w:rsidRPr="00EB3E7E" w:rsidRDefault="00433085" w:rsidP="00A22D47">
      <w:pPr>
        <w:ind w:left="567" w:right="-716"/>
        <w:jc w:val="both"/>
        <w:rPr>
          <w:rFonts w:ascii="Palatino Linotype" w:eastAsia="Palatino Linotype" w:hAnsi="Palatino Linotype" w:cs="Palatino Linotype"/>
          <w:b/>
          <w:i/>
        </w:rPr>
      </w:pPr>
      <w:r w:rsidRPr="00EB3E7E">
        <w:rPr>
          <w:rFonts w:ascii="Palatino Linotype" w:eastAsia="Palatino Linotype" w:hAnsi="Palatino Linotype" w:cs="Palatino Linotype"/>
          <w:i/>
        </w:rPr>
        <w:t xml:space="preserve">VIII. La remuneración bruta y neta de todos los servidores públicos de base o de confianza, </w:t>
      </w:r>
      <w:r w:rsidRPr="00EB3E7E">
        <w:rPr>
          <w:rFonts w:ascii="Palatino Linotype" w:eastAsia="Palatino Linotype" w:hAnsi="Palatino Linotype" w:cs="Palatino Linotype"/>
          <w:b/>
          <w:i/>
        </w:rPr>
        <w:t>de todas las percepciones, incluyendo sueldos, prestaciones, gratificaciones, primas, comisiones, dietas, bonos, estímulos, ingresos y sistemas de compensación, señalando la periodicidad de dicha remuneración;”</w:t>
      </w:r>
    </w:p>
    <w:p w:rsidR="00433085" w:rsidRPr="00EB3E7E" w:rsidRDefault="00433085" w:rsidP="00433085">
      <w:pPr>
        <w:spacing w:line="360" w:lineRule="auto"/>
        <w:jc w:val="both"/>
      </w:pPr>
    </w:p>
    <w:p w:rsidR="00433085" w:rsidRPr="00EB3E7E" w:rsidRDefault="00433085" w:rsidP="00433085">
      <w:pPr>
        <w:numPr>
          <w:ilvl w:val="0"/>
          <w:numId w:val="2"/>
        </w:numPr>
        <w:spacing w:line="360" w:lineRule="auto"/>
        <w:ind w:left="0" w:right="-787" w:firstLine="0"/>
        <w:jc w:val="both"/>
        <w:rPr>
          <w:rFonts w:ascii="Palatino Linotype" w:eastAsia="Palatino Linotype" w:hAnsi="Palatino Linotype" w:cs="Palatino Linotype"/>
          <w:color w:val="000000"/>
        </w:rPr>
      </w:pPr>
      <w:r w:rsidRPr="00EB3E7E">
        <w:rPr>
          <w:rFonts w:ascii="Palatino Linotype" w:eastAsia="Palatino Linotype" w:hAnsi="Palatino Linotype" w:cs="Palatino Linotype"/>
          <w:color w:val="000000"/>
        </w:rPr>
        <w:t xml:space="preserve">En este sentido, la Ley de Transparencia y Acceso a la Información Pública del Estado de México y Municipios refiere que los Sujetos Obligados deberán tener disponible en medio impreso o electrónico, de manera permanente y actualizada, de forma sencilla, precisa y entendible para los particulares, las remuneraciones que perciban los servidores públicos de acuerdo con lo establecido en el Código Financiero del Estado de México y Municipios. En consecuencia, se determina que la información relativa a las percepciones es información pública. </w:t>
      </w:r>
    </w:p>
    <w:p w:rsidR="00A22D47" w:rsidRPr="00EB3E7E" w:rsidRDefault="00A22D47" w:rsidP="00A22D47">
      <w:pPr>
        <w:spacing w:line="360" w:lineRule="auto"/>
        <w:ind w:right="-787"/>
        <w:jc w:val="both"/>
        <w:rPr>
          <w:rFonts w:ascii="Palatino Linotype" w:eastAsia="Palatino Linotype" w:hAnsi="Palatino Linotype" w:cs="Palatino Linotype"/>
          <w:color w:val="000000"/>
        </w:rPr>
      </w:pPr>
    </w:p>
    <w:p w:rsidR="00433085" w:rsidRPr="00EB3E7E" w:rsidRDefault="00433085" w:rsidP="00433085">
      <w:pPr>
        <w:numPr>
          <w:ilvl w:val="0"/>
          <w:numId w:val="2"/>
        </w:numPr>
        <w:spacing w:line="360" w:lineRule="auto"/>
        <w:ind w:left="0" w:right="-787" w:firstLine="0"/>
        <w:jc w:val="both"/>
        <w:rPr>
          <w:rFonts w:ascii="Palatino Linotype" w:eastAsia="Palatino Linotype" w:hAnsi="Palatino Linotype" w:cs="Palatino Linotype"/>
          <w:color w:val="000000"/>
        </w:rPr>
      </w:pPr>
      <w:r w:rsidRPr="00EB3E7E">
        <w:rPr>
          <w:rFonts w:ascii="Palatino Linotype" w:eastAsia="Palatino Linotype" w:hAnsi="Palatino Linotype" w:cs="Palatino Linotype"/>
          <w:color w:val="000000"/>
        </w:rPr>
        <w:t xml:space="preserve">Ahora bien, </w:t>
      </w:r>
      <w:r w:rsidRPr="00EB3E7E">
        <w:rPr>
          <w:rFonts w:ascii="Palatino Linotype" w:eastAsia="Palatino Linotype" w:hAnsi="Palatino Linotype" w:cs="Palatino Linotype"/>
          <w:i/>
          <w:color w:val="000000"/>
        </w:rPr>
        <w:t>contrario sensu</w:t>
      </w:r>
      <w:r w:rsidRPr="00EB3E7E">
        <w:rPr>
          <w:rFonts w:ascii="Palatino Linotype" w:eastAsia="Palatino Linotype" w:hAnsi="Palatino Linotype" w:cs="Palatino Linotype"/>
          <w:color w:val="000000"/>
        </w:rPr>
        <w:t xml:space="preserve"> las deducciones también son consideradas información de interés público</w:t>
      </w:r>
      <w:r w:rsidR="00A22D47" w:rsidRPr="00EB3E7E">
        <w:rPr>
          <w:rFonts w:ascii="Palatino Linotype" w:eastAsia="Palatino Linotype" w:hAnsi="Palatino Linotype" w:cs="Palatino Linotype"/>
          <w:color w:val="000000"/>
        </w:rPr>
        <w:t xml:space="preserve">, a expiación de las </w:t>
      </w:r>
      <w:r w:rsidR="00A22D47" w:rsidRPr="00EB3E7E">
        <w:rPr>
          <w:rFonts w:ascii="Palatino Linotype" w:eastAsia="Palatino Linotype" w:hAnsi="Palatino Linotype" w:cs="Palatino Linotype"/>
        </w:rPr>
        <w:t>deducciones estrictamente personales, para el caso concreto, la Ley del Trabajo de los Servidores Públicos del Estado de México y Municipios refiere los conceptos por los que se pueden hacer descuentos o deducciones de sueldo:</w:t>
      </w:r>
    </w:p>
    <w:p w:rsidR="00A22D47" w:rsidRPr="00EB3E7E" w:rsidRDefault="00A22D47" w:rsidP="00A22D47">
      <w:pPr>
        <w:spacing w:line="360" w:lineRule="auto"/>
        <w:ind w:right="-787"/>
        <w:jc w:val="both"/>
        <w:rPr>
          <w:rFonts w:ascii="Palatino Linotype" w:eastAsia="Palatino Linotype" w:hAnsi="Palatino Linotype" w:cs="Palatino Linotype"/>
          <w:color w:val="000000"/>
        </w:rPr>
      </w:pPr>
    </w:p>
    <w:p w:rsidR="00A22D47" w:rsidRPr="00EB3E7E" w:rsidRDefault="00A22D47" w:rsidP="00A22D47">
      <w:pPr>
        <w:ind w:left="567" w:right="-716"/>
        <w:jc w:val="both"/>
        <w:rPr>
          <w:rFonts w:ascii="Palatino Linotype" w:eastAsia="Palatino Linotype" w:hAnsi="Palatino Linotype" w:cs="Palatino Linotype"/>
          <w:i/>
        </w:rPr>
      </w:pPr>
      <w:r w:rsidRPr="00EB3E7E">
        <w:rPr>
          <w:rFonts w:ascii="Palatino Linotype" w:eastAsia="Palatino Linotype" w:hAnsi="Palatino Linotype" w:cs="Palatino Linotype"/>
          <w:b/>
          <w:i/>
        </w:rPr>
        <w:t>ARTÍCULO 84</w:t>
      </w:r>
      <w:r w:rsidRPr="00EB3E7E">
        <w:rPr>
          <w:rFonts w:ascii="Palatino Linotype" w:eastAsia="Palatino Linotype" w:hAnsi="Palatino Linotype" w:cs="Palatino Linotype"/>
          <w:i/>
        </w:rPr>
        <w:t xml:space="preserve">. </w:t>
      </w:r>
      <w:r w:rsidRPr="00EB3E7E">
        <w:rPr>
          <w:rFonts w:ascii="Palatino Linotype" w:eastAsia="Palatino Linotype" w:hAnsi="Palatino Linotype" w:cs="Palatino Linotype"/>
          <w:b/>
          <w:i/>
        </w:rPr>
        <w:t>Sólo podrán hacerse retenciones, descuentos o deducciones al sueldo de los servidores públicos por concepto de:</w:t>
      </w:r>
      <w:r w:rsidRPr="00EB3E7E">
        <w:rPr>
          <w:rFonts w:ascii="Palatino Linotype" w:eastAsia="Palatino Linotype" w:hAnsi="Palatino Linotype" w:cs="Palatino Linotype"/>
          <w:i/>
        </w:rPr>
        <w:t xml:space="preserve"> </w:t>
      </w:r>
    </w:p>
    <w:p w:rsidR="00A22D47" w:rsidRPr="00EB3E7E" w:rsidRDefault="00A22D47" w:rsidP="00A22D47">
      <w:pPr>
        <w:ind w:left="567" w:right="-716"/>
        <w:jc w:val="both"/>
        <w:rPr>
          <w:rFonts w:ascii="Palatino Linotype" w:eastAsia="Palatino Linotype" w:hAnsi="Palatino Linotype" w:cs="Palatino Linotype"/>
          <w:i/>
        </w:rPr>
      </w:pPr>
    </w:p>
    <w:p w:rsidR="00A22D47" w:rsidRPr="00EB3E7E" w:rsidRDefault="00A22D47" w:rsidP="00A22D47">
      <w:pPr>
        <w:ind w:left="567" w:right="-716"/>
        <w:jc w:val="both"/>
        <w:rPr>
          <w:rFonts w:ascii="Palatino Linotype" w:eastAsia="Palatino Linotype" w:hAnsi="Palatino Linotype" w:cs="Palatino Linotype"/>
          <w:i/>
        </w:rPr>
      </w:pPr>
      <w:r w:rsidRPr="00EB3E7E">
        <w:rPr>
          <w:rFonts w:ascii="Palatino Linotype" w:eastAsia="Palatino Linotype" w:hAnsi="Palatino Linotype" w:cs="Palatino Linotype"/>
          <w:i/>
        </w:rPr>
        <w:t xml:space="preserve">I. Gravámenes fiscales relacionados con el sueldo; </w:t>
      </w:r>
    </w:p>
    <w:p w:rsidR="00A22D47" w:rsidRPr="00EB3E7E" w:rsidRDefault="00A22D47" w:rsidP="00A22D47">
      <w:pPr>
        <w:ind w:left="567" w:right="-716"/>
        <w:jc w:val="both"/>
        <w:rPr>
          <w:rFonts w:ascii="Palatino Linotype" w:eastAsia="Palatino Linotype" w:hAnsi="Palatino Linotype" w:cs="Palatino Linotype"/>
          <w:i/>
        </w:rPr>
      </w:pPr>
      <w:r w:rsidRPr="00EB3E7E">
        <w:rPr>
          <w:rFonts w:ascii="Palatino Linotype" w:eastAsia="Palatino Linotype" w:hAnsi="Palatino Linotype" w:cs="Palatino Linotype"/>
          <w:i/>
        </w:rPr>
        <w:lastRenderedPageBreak/>
        <w:t xml:space="preserve">II. Deudas contraídas con las instituciones públicas o dependencias por concepto de anticipos de sueldo, pagos hechos con exceso, errores o pérdidas debidamente comprobados; </w:t>
      </w:r>
    </w:p>
    <w:p w:rsidR="00A22D47" w:rsidRPr="00EB3E7E" w:rsidRDefault="00A22D47" w:rsidP="00A22D47">
      <w:pPr>
        <w:ind w:left="567" w:right="-716"/>
        <w:jc w:val="both"/>
        <w:rPr>
          <w:rFonts w:ascii="Palatino Linotype" w:eastAsia="Palatino Linotype" w:hAnsi="Palatino Linotype" w:cs="Palatino Linotype"/>
          <w:i/>
        </w:rPr>
      </w:pPr>
      <w:r w:rsidRPr="00EB3E7E">
        <w:rPr>
          <w:rFonts w:ascii="Palatino Linotype" w:eastAsia="Palatino Linotype" w:hAnsi="Palatino Linotype" w:cs="Palatino Linotype"/>
          <w:i/>
        </w:rPr>
        <w:t xml:space="preserve">III. Cuotas sindicales; </w:t>
      </w:r>
    </w:p>
    <w:p w:rsidR="00A22D47" w:rsidRPr="00EB3E7E" w:rsidRDefault="00A22D47" w:rsidP="00A22D47">
      <w:pPr>
        <w:ind w:left="567" w:right="-716"/>
        <w:jc w:val="both"/>
        <w:rPr>
          <w:rFonts w:ascii="Palatino Linotype" w:eastAsia="Palatino Linotype" w:hAnsi="Palatino Linotype" w:cs="Palatino Linotype"/>
          <w:i/>
        </w:rPr>
      </w:pPr>
      <w:r w:rsidRPr="00EB3E7E">
        <w:rPr>
          <w:rFonts w:ascii="Palatino Linotype" w:eastAsia="Palatino Linotype" w:hAnsi="Palatino Linotype" w:cs="Palatino Linotype"/>
          <w:i/>
        </w:rPr>
        <w:t xml:space="preserve">IV. Cuotas de aportación a fondos para la constitución de cooperativas y de cajas de ahorro, siempre que el servidor público hubiese manifestado previamente, de manera expresa, su conformidad; </w:t>
      </w:r>
    </w:p>
    <w:p w:rsidR="00A22D47" w:rsidRPr="00EB3E7E" w:rsidRDefault="00A22D47" w:rsidP="00A22D47">
      <w:pPr>
        <w:ind w:left="567" w:right="-716"/>
        <w:jc w:val="both"/>
        <w:rPr>
          <w:rFonts w:ascii="Palatino Linotype" w:eastAsia="Palatino Linotype" w:hAnsi="Palatino Linotype" w:cs="Palatino Linotype"/>
          <w:i/>
        </w:rPr>
      </w:pPr>
      <w:r w:rsidRPr="00EB3E7E">
        <w:rPr>
          <w:rFonts w:ascii="Palatino Linotype" w:eastAsia="Palatino Linotype" w:hAnsi="Palatino Linotype" w:cs="Palatino Linotype"/>
          <w:i/>
        </w:rPr>
        <w:t xml:space="preserve">V. Descuentos ordenados por el Instituto de Seguridad Social del Estado de México y Municipios, con motivo de cuotas y obligaciones contraídas con éste por los servidores públicos; </w:t>
      </w:r>
    </w:p>
    <w:p w:rsidR="00A22D47" w:rsidRPr="00EB3E7E" w:rsidRDefault="00A22D47" w:rsidP="00A22D47">
      <w:pPr>
        <w:ind w:left="567" w:right="-716"/>
        <w:jc w:val="both"/>
        <w:rPr>
          <w:rFonts w:ascii="Palatino Linotype" w:eastAsia="Palatino Linotype" w:hAnsi="Palatino Linotype" w:cs="Palatino Linotype"/>
          <w:i/>
        </w:rPr>
      </w:pPr>
      <w:r w:rsidRPr="00EB3E7E">
        <w:rPr>
          <w:rFonts w:ascii="Palatino Linotype" w:eastAsia="Palatino Linotype" w:hAnsi="Palatino Linotype" w:cs="Palatino Linotype"/>
          <w:i/>
        </w:rPr>
        <w:t xml:space="preserve">VI. Obligaciones a cargo del servidor público con las que haya consentido, derivadas de la adquisición o del uso de habitaciones consideradas como de interés social; </w:t>
      </w:r>
    </w:p>
    <w:p w:rsidR="00A22D47" w:rsidRPr="00EB3E7E" w:rsidRDefault="00A22D47" w:rsidP="00A22D47">
      <w:pPr>
        <w:ind w:left="567" w:right="-716"/>
        <w:jc w:val="both"/>
        <w:rPr>
          <w:rFonts w:ascii="Palatino Linotype" w:eastAsia="Palatino Linotype" w:hAnsi="Palatino Linotype" w:cs="Palatino Linotype"/>
          <w:b/>
          <w:i/>
        </w:rPr>
      </w:pPr>
      <w:r w:rsidRPr="00EB3E7E">
        <w:rPr>
          <w:rFonts w:ascii="Palatino Linotype" w:eastAsia="Palatino Linotype" w:hAnsi="Palatino Linotype" w:cs="Palatino Linotype"/>
          <w:b/>
          <w:i/>
        </w:rPr>
        <w:t xml:space="preserve">VII. Faltas de puntualidad o de asistencia injustificadas; </w:t>
      </w:r>
    </w:p>
    <w:p w:rsidR="00A22D47" w:rsidRPr="00EB3E7E" w:rsidRDefault="00A22D47" w:rsidP="00A22D47">
      <w:pPr>
        <w:ind w:left="567" w:right="-716"/>
        <w:jc w:val="both"/>
        <w:rPr>
          <w:rFonts w:ascii="Palatino Linotype" w:eastAsia="Palatino Linotype" w:hAnsi="Palatino Linotype" w:cs="Palatino Linotype"/>
          <w:i/>
        </w:rPr>
      </w:pPr>
      <w:r w:rsidRPr="00EB3E7E">
        <w:rPr>
          <w:rFonts w:ascii="Palatino Linotype" w:eastAsia="Palatino Linotype" w:hAnsi="Palatino Linotype" w:cs="Palatino Linotype"/>
          <w:i/>
        </w:rPr>
        <w:t xml:space="preserve">VIII. Pensiones alimenticias ordenadas por la autoridad judicial; o </w:t>
      </w:r>
    </w:p>
    <w:p w:rsidR="00A22D47" w:rsidRPr="00EB3E7E" w:rsidRDefault="00A22D47" w:rsidP="00A22D47">
      <w:pPr>
        <w:ind w:left="567" w:right="-716"/>
        <w:jc w:val="both"/>
        <w:rPr>
          <w:rFonts w:ascii="Palatino Linotype" w:eastAsia="Palatino Linotype" w:hAnsi="Palatino Linotype" w:cs="Palatino Linotype"/>
          <w:i/>
        </w:rPr>
      </w:pPr>
      <w:r w:rsidRPr="00EB3E7E">
        <w:rPr>
          <w:rFonts w:ascii="Palatino Linotype" w:eastAsia="Palatino Linotype" w:hAnsi="Palatino Linotype" w:cs="Palatino Linotype"/>
          <w:i/>
        </w:rPr>
        <w:t>IX. Cualquier otro convenido con instituciones de servicios y aceptado por el servidor público.</w:t>
      </w:r>
    </w:p>
    <w:p w:rsidR="00A22D47" w:rsidRPr="00EB3E7E" w:rsidRDefault="00A22D47" w:rsidP="00A22D47">
      <w:pPr>
        <w:ind w:left="567" w:right="-716"/>
        <w:jc w:val="both"/>
        <w:rPr>
          <w:rFonts w:ascii="Palatino Linotype" w:eastAsia="Palatino Linotype" w:hAnsi="Palatino Linotype" w:cs="Palatino Linotype"/>
          <w:i/>
        </w:rPr>
      </w:pPr>
      <w:r w:rsidRPr="00EB3E7E">
        <w:rPr>
          <w:rFonts w:ascii="Palatino Linotype" w:eastAsia="Palatino Linotype" w:hAnsi="Palatino Linotype" w:cs="Palatino Linotype"/>
          <w:i/>
        </w:rPr>
        <w:t>…</w:t>
      </w:r>
    </w:p>
    <w:p w:rsidR="00433085" w:rsidRPr="00EB3E7E" w:rsidRDefault="00433085" w:rsidP="00433085">
      <w:pPr>
        <w:spacing w:line="360" w:lineRule="auto"/>
        <w:ind w:right="-787"/>
        <w:jc w:val="both"/>
        <w:rPr>
          <w:rFonts w:ascii="Palatino Linotype" w:eastAsia="Palatino Linotype" w:hAnsi="Palatino Linotype" w:cs="Palatino Linotype"/>
          <w:color w:val="000000"/>
        </w:rPr>
      </w:pPr>
    </w:p>
    <w:p w:rsidR="004F0357" w:rsidRPr="00EB3E7E" w:rsidRDefault="004F0357" w:rsidP="004F0357">
      <w:pPr>
        <w:numPr>
          <w:ilvl w:val="0"/>
          <w:numId w:val="2"/>
        </w:numPr>
        <w:spacing w:line="360" w:lineRule="auto"/>
        <w:ind w:left="0" w:right="-787" w:firstLine="0"/>
        <w:jc w:val="both"/>
        <w:rPr>
          <w:rFonts w:ascii="Palatino Linotype" w:eastAsia="Palatino Linotype" w:hAnsi="Palatino Linotype" w:cs="Palatino Linotype"/>
          <w:color w:val="000000"/>
        </w:rPr>
      </w:pPr>
      <w:r w:rsidRPr="00EB3E7E">
        <w:rPr>
          <w:rFonts w:ascii="Palatino Linotype" w:eastAsia="Palatino Linotype" w:hAnsi="Palatino Linotype" w:cs="Palatino Linotype"/>
          <w:color w:val="000000"/>
        </w:rPr>
        <w:t xml:space="preserve">En este orden de ideas, se reitera que el Sujeto Obligado no emitió pronunciamiento respecto </w:t>
      </w:r>
      <w:r w:rsidRPr="00EB3E7E">
        <w:rPr>
          <w:rFonts w:ascii="Palatino Linotype" w:eastAsia="Palatino Linotype" w:hAnsi="Palatino Linotype" w:cs="Palatino Linotype"/>
          <w:i/>
          <w:u w:val="single"/>
        </w:rPr>
        <w:t>De la servidora pública referida en la solicitud de información sobre los días de inasistencia: ¿Se hicieron sus descuentos y deducciones correspondientes?</w:t>
      </w:r>
      <w:r w:rsidRPr="00EB3E7E">
        <w:rPr>
          <w:rFonts w:ascii="Palatino Linotype" w:eastAsia="Palatino Linotype" w:hAnsi="Palatino Linotype" w:cs="Palatino Linotype"/>
          <w:color w:val="000000"/>
        </w:rPr>
        <w:t xml:space="preserve">, por lo que deberá realizar una búsqueda exhaustiva y razonable en la unidad administrativa competente, con la finalidad de entregar la información que resulta de interés para </w:t>
      </w:r>
      <w:r w:rsidRPr="00EB3E7E">
        <w:rPr>
          <w:rFonts w:ascii="Palatino Linotype" w:eastAsia="Palatino Linotype" w:hAnsi="Palatino Linotype" w:cs="Palatino Linotype"/>
          <w:b/>
          <w:bCs/>
          <w:color w:val="000000"/>
        </w:rPr>
        <w:t>EL RECURRENTE</w:t>
      </w:r>
      <w:r w:rsidRPr="00EB3E7E">
        <w:rPr>
          <w:rFonts w:ascii="Palatino Linotype" w:eastAsia="Palatino Linotype" w:hAnsi="Palatino Linotype" w:cs="Palatino Linotype"/>
          <w:color w:val="000000"/>
        </w:rPr>
        <w:t>.</w:t>
      </w:r>
    </w:p>
    <w:p w:rsidR="004F0357" w:rsidRPr="00EB3E7E" w:rsidRDefault="004F0357" w:rsidP="004F0357">
      <w:pPr>
        <w:spacing w:line="360" w:lineRule="auto"/>
        <w:ind w:right="-787"/>
        <w:jc w:val="both"/>
        <w:rPr>
          <w:rFonts w:ascii="Palatino Linotype" w:eastAsia="Palatino Linotype" w:hAnsi="Palatino Linotype" w:cs="Palatino Linotype"/>
          <w:color w:val="000000"/>
        </w:rPr>
      </w:pPr>
    </w:p>
    <w:p w:rsidR="004F0357" w:rsidRPr="00EB3E7E" w:rsidRDefault="004F0357" w:rsidP="004F0357">
      <w:pPr>
        <w:numPr>
          <w:ilvl w:val="0"/>
          <w:numId w:val="2"/>
        </w:numPr>
        <w:spacing w:line="360" w:lineRule="auto"/>
        <w:ind w:left="0" w:right="-787" w:firstLine="0"/>
        <w:jc w:val="both"/>
        <w:rPr>
          <w:rFonts w:ascii="Palatino Linotype" w:eastAsia="Palatino Linotype" w:hAnsi="Palatino Linotype" w:cs="Palatino Linotype"/>
          <w:color w:val="000000"/>
        </w:rPr>
      </w:pPr>
      <w:r w:rsidRPr="00EB3E7E">
        <w:rPr>
          <w:rFonts w:ascii="Palatino Linotype" w:eastAsia="Palatino Linotype" w:hAnsi="Palatino Linotype" w:cs="Palatino Linotype"/>
        </w:rPr>
        <w:t>Resultando</w:t>
      </w:r>
      <w:r w:rsidRPr="00EB3E7E">
        <w:rPr>
          <w:rFonts w:ascii="Palatino Linotype" w:eastAsia="Palatino Linotype" w:hAnsi="Palatino Linotype" w:cs="Palatino Linotype"/>
          <w:color w:val="000000"/>
        </w:rPr>
        <w:t xml:space="preserve"> aplicable el Criterio orientador 02/17 emitido por el Pleno del Instituto Nacional de Transparencia y Acceso a la Información y Protección de Datos Personales, de título y texto siguientes:</w:t>
      </w:r>
    </w:p>
    <w:p w:rsidR="004F0357" w:rsidRPr="00EB3E7E" w:rsidRDefault="004F0357" w:rsidP="004F0357">
      <w:pPr>
        <w:spacing w:line="360" w:lineRule="auto"/>
        <w:rPr>
          <w:rFonts w:ascii="Palatino Linotype" w:eastAsia="Palatino Linotype" w:hAnsi="Palatino Linotype" w:cs="Palatino Linotype"/>
        </w:rPr>
      </w:pPr>
    </w:p>
    <w:p w:rsidR="004F0357" w:rsidRPr="00EB3E7E" w:rsidRDefault="004F0357" w:rsidP="004F0357">
      <w:pPr>
        <w:pBdr>
          <w:top w:val="nil"/>
          <w:left w:val="nil"/>
          <w:bottom w:val="nil"/>
          <w:right w:val="nil"/>
          <w:between w:val="nil"/>
        </w:pBdr>
        <w:ind w:left="567" w:right="-433"/>
        <w:jc w:val="both"/>
        <w:rPr>
          <w:rFonts w:ascii="Palatino Linotype" w:eastAsia="Palatino Linotype" w:hAnsi="Palatino Linotype" w:cs="Palatino Linotype"/>
          <w:i/>
          <w:iCs/>
        </w:rPr>
      </w:pPr>
      <w:r w:rsidRPr="00EB3E7E">
        <w:rPr>
          <w:rFonts w:ascii="Palatino Linotype" w:eastAsia="Palatino Linotype" w:hAnsi="Palatino Linotype" w:cs="Palatino Linotype"/>
          <w:b/>
          <w:bCs/>
          <w:i/>
          <w:iCs/>
        </w:rPr>
        <w:t xml:space="preserve"> “Congruencia y exhaustividad. Sus alcances para garantizar el derecho de acceso a la información. </w:t>
      </w:r>
      <w:r w:rsidRPr="00EB3E7E">
        <w:rPr>
          <w:rFonts w:ascii="Palatino Linotype" w:eastAsia="Palatino Linotype" w:hAnsi="Palatino Linotype" w:cs="Palatino Linotype"/>
          <w:i/>
          <w:iCs/>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EB3E7E">
        <w:rPr>
          <w:rFonts w:ascii="Palatino Linotype" w:eastAsia="Palatino Linotype" w:hAnsi="Palatino Linotype" w:cs="Palatino Linotype"/>
          <w:b/>
          <w:bCs/>
          <w:i/>
          <w:iCs/>
        </w:rPr>
        <w:t xml:space="preserve">la congruencia implica que exista concordancia entre el </w:t>
      </w:r>
      <w:r w:rsidRPr="00EB3E7E">
        <w:rPr>
          <w:rFonts w:ascii="Palatino Linotype" w:eastAsia="Palatino Linotype" w:hAnsi="Palatino Linotype" w:cs="Palatino Linotype"/>
          <w:b/>
          <w:bCs/>
          <w:i/>
          <w:iCs/>
        </w:rPr>
        <w:lastRenderedPageBreak/>
        <w:t>requerimiento formulado por el particular y la respuesta proporcionada por el sujeto obligado</w:t>
      </w:r>
      <w:r w:rsidRPr="00EB3E7E">
        <w:rPr>
          <w:rFonts w:ascii="Palatino Linotype" w:eastAsia="Palatino Linotype" w:hAnsi="Palatino Linotype" w:cs="Palatino Linotype"/>
          <w:i/>
          <w:iCs/>
        </w:rPr>
        <w:t xml:space="preserve">; mientras que </w:t>
      </w:r>
      <w:r w:rsidRPr="00EB3E7E">
        <w:rPr>
          <w:rFonts w:ascii="Palatino Linotype" w:eastAsia="Palatino Linotype" w:hAnsi="Palatino Linotype" w:cs="Palatino Linotype"/>
          <w:b/>
          <w:bCs/>
          <w:i/>
          <w:iCs/>
        </w:rPr>
        <w:t>la exhaustividad significa que dicha respuesta se refiera expresamente a cada uno de los puntos solicitados</w:t>
      </w:r>
      <w:r w:rsidRPr="00EB3E7E">
        <w:rPr>
          <w:rFonts w:ascii="Palatino Linotype" w:eastAsia="Palatino Linotype" w:hAnsi="Palatino Linotype" w:cs="Palatino Linotype"/>
          <w:i/>
          <w:iCs/>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rsidR="004F0357" w:rsidRPr="00EB3E7E" w:rsidRDefault="004F0357" w:rsidP="004F0357">
      <w:pPr>
        <w:spacing w:line="360" w:lineRule="auto"/>
        <w:ind w:right="-787"/>
        <w:jc w:val="both"/>
        <w:rPr>
          <w:rFonts w:ascii="Palatino Linotype" w:hAnsi="Palatino Linotype"/>
          <w:b/>
          <w:i/>
        </w:rPr>
      </w:pPr>
    </w:p>
    <w:p w:rsidR="00433085" w:rsidRPr="00EB3E7E" w:rsidRDefault="004F0357" w:rsidP="003F670A">
      <w:pPr>
        <w:numPr>
          <w:ilvl w:val="0"/>
          <w:numId w:val="2"/>
        </w:numPr>
        <w:spacing w:line="360" w:lineRule="auto"/>
        <w:ind w:left="0" w:right="-787" w:firstLine="0"/>
        <w:jc w:val="both"/>
        <w:rPr>
          <w:rFonts w:ascii="Palatino Linotype" w:hAnsi="Palatino Linotype"/>
          <w:b/>
          <w:i/>
        </w:rPr>
      </w:pPr>
      <w:r w:rsidRPr="00EB3E7E">
        <w:rPr>
          <w:rFonts w:ascii="Palatino Linotype" w:eastAsia="Palatino Linotype" w:hAnsi="Palatino Linotype" w:cs="Palatino Linotype"/>
          <w:lang w:val="es-MX"/>
        </w:rPr>
        <w:t xml:space="preserve"> </w:t>
      </w:r>
      <w:r w:rsidRPr="00EB3E7E">
        <w:rPr>
          <w:rFonts w:ascii="Palatino Linotype" w:eastAsia="Palatino Linotype" w:hAnsi="Palatino Linotype" w:cs="Palatino Linotype"/>
        </w:rPr>
        <w:t xml:space="preserve">Por lo anterior, este </w:t>
      </w:r>
      <w:r w:rsidRPr="00EB3E7E">
        <w:rPr>
          <w:rFonts w:ascii="Palatino Linotype" w:eastAsia="Palatino Linotype" w:hAnsi="Palatino Linotype" w:cs="Palatino Linotype"/>
          <w:color w:val="000000"/>
        </w:rPr>
        <w:t>Organismo</w:t>
      </w:r>
      <w:r w:rsidRPr="00EB3E7E">
        <w:rPr>
          <w:rFonts w:ascii="Palatino Linotype" w:eastAsia="Palatino Linotype" w:hAnsi="Palatino Linotype" w:cs="Palatino Linotype"/>
        </w:rPr>
        <w:t xml:space="preserve"> Garante, con la finalidad de garantizar el derecho humano de acceso a la información de la parte Recurrente, y a fin de reparar el agravio causado ante la omisión en que incurriera el Sujeto Obligado, ya que, como se señaló, su respuesta careció del principio de exhaustividad, por las consideraciones ya expuestas, se estima procedente</w:t>
      </w:r>
      <w:r w:rsidRPr="00EB3E7E">
        <w:rPr>
          <w:rFonts w:ascii="Palatino Linotype" w:eastAsia="Palatino Linotype" w:hAnsi="Palatino Linotype" w:cs="Palatino Linotype"/>
          <w:color w:val="000000"/>
        </w:rPr>
        <w:t xml:space="preserve"> </w:t>
      </w:r>
      <w:r w:rsidRPr="00EB3E7E">
        <w:rPr>
          <w:rFonts w:ascii="Palatino Linotype" w:eastAsia="Palatino Linotype" w:hAnsi="Palatino Linotype" w:cs="Palatino Linotype"/>
          <w:b/>
          <w:color w:val="000000"/>
        </w:rPr>
        <w:t>MODIFICAR</w:t>
      </w:r>
      <w:r w:rsidRPr="00EB3E7E">
        <w:rPr>
          <w:rFonts w:ascii="Palatino Linotype" w:eastAsia="Palatino Linotype" w:hAnsi="Palatino Linotype" w:cs="Palatino Linotype"/>
          <w:color w:val="000000"/>
        </w:rPr>
        <w:t xml:space="preserve"> la respuesta emitida por el Sujeto Obligado y </w:t>
      </w:r>
      <w:r w:rsidRPr="00EB3E7E">
        <w:rPr>
          <w:rFonts w:ascii="Palatino Linotype" w:eastAsia="Palatino Linotype" w:hAnsi="Palatino Linotype" w:cs="Palatino Linotype"/>
          <w:b/>
          <w:color w:val="000000"/>
        </w:rPr>
        <w:t>ORDENAR,</w:t>
      </w:r>
      <w:r w:rsidRPr="00EB3E7E">
        <w:rPr>
          <w:rFonts w:ascii="Palatino Linotype" w:eastAsia="Palatino Linotype" w:hAnsi="Palatino Linotype" w:cs="Palatino Linotype"/>
          <w:color w:val="000000"/>
        </w:rPr>
        <w:t xml:space="preserve"> previa búsqueda exhaustiva y razonable</w:t>
      </w:r>
      <w:r w:rsidRPr="00EB3E7E">
        <w:rPr>
          <w:rFonts w:ascii="Palatino Linotype" w:eastAsia="Palatino Linotype" w:hAnsi="Palatino Linotype" w:cs="Palatino Linotype"/>
          <w:b/>
          <w:color w:val="000000"/>
        </w:rPr>
        <w:t xml:space="preserve">, </w:t>
      </w:r>
      <w:r w:rsidRPr="00EB3E7E">
        <w:rPr>
          <w:rFonts w:ascii="Palatino Linotype" w:eastAsia="Palatino Linotype" w:hAnsi="Palatino Linotype" w:cs="Palatino Linotype"/>
          <w:color w:val="000000"/>
        </w:rPr>
        <w:t xml:space="preserve">de ser procedente en versión pública, se haga entrega </w:t>
      </w:r>
      <w:r w:rsidRPr="00EB3E7E">
        <w:rPr>
          <w:rFonts w:ascii="Palatino Linotype" w:hAnsi="Palatino Linotype"/>
        </w:rPr>
        <w:t xml:space="preserve">de la información siguiente: </w:t>
      </w:r>
      <w:r w:rsidRPr="00EB3E7E">
        <w:rPr>
          <w:rFonts w:ascii="Palatino Linotype" w:hAnsi="Palatino Linotype"/>
          <w:b/>
        </w:rPr>
        <w:t>el documento en el que conste o se advierta el descuento al sueldo de la servidora pública referida en la solicitud de información, por concepto de falta de asistencia injustificada los días 1, 2 y 3 de Octubre de 2025.</w:t>
      </w:r>
      <w:r w:rsidR="003F670A" w:rsidRPr="00EB3E7E">
        <w:rPr>
          <w:rFonts w:ascii="Palatino Linotype" w:hAnsi="Palatino Linotype"/>
          <w:b/>
          <w:i/>
        </w:rPr>
        <w:t xml:space="preserve"> </w:t>
      </w:r>
      <w:r w:rsidR="00433085" w:rsidRPr="00EB3E7E">
        <w:rPr>
          <w:rFonts w:ascii="Palatino Linotype" w:eastAsia="Palatino Linotype" w:hAnsi="Palatino Linotype" w:cs="Palatino Linotype"/>
        </w:rPr>
        <w:t xml:space="preserve">Para el caso de que el </w:t>
      </w:r>
      <w:r w:rsidR="00433085" w:rsidRPr="00EB3E7E">
        <w:rPr>
          <w:rFonts w:ascii="Palatino Linotype" w:eastAsia="Palatino Linotype" w:hAnsi="Palatino Linotype" w:cs="Palatino Linotype"/>
          <w:b/>
        </w:rPr>
        <w:t>SUJETO OBLIGADO</w:t>
      </w:r>
      <w:r w:rsidR="00433085" w:rsidRPr="00EB3E7E">
        <w:rPr>
          <w:rFonts w:ascii="Palatino Linotype" w:eastAsia="Palatino Linotype" w:hAnsi="Palatino Linotype" w:cs="Palatino Linotype"/>
        </w:rPr>
        <w:t xml:space="preserve">, luego de la búsqueda exhaustiva y razonable de la información ordenada, no se haya generado por no </w:t>
      </w:r>
      <w:r w:rsidR="003F670A" w:rsidRPr="00EB3E7E">
        <w:rPr>
          <w:rFonts w:ascii="Palatino Linotype" w:eastAsia="Palatino Linotype" w:hAnsi="Palatino Linotype" w:cs="Palatino Linotype"/>
        </w:rPr>
        <w:t>haber faltas de asistencia injustificadas los días referidos</w:t>
      </w:r>
      <w:r w:rsidR="00433085" w:rsidRPr="00EB3E7E">
        <w:rPr>
          <w:rFonts w:ascii="Palatino Linotype" w:eastAsia="Palatino Linotype" w:hAnsi="Palatino Linotype" w:cs="Palatino Linotype"/>
        </w:rPr>
        <w:t>, bastará que lo haga del conocimiento del RECURRENTE al momento de dar cumplimiento a la presente Resolución, en términos del artículo 19, párrafo segundo, de la Ley de Transparencia y Acceso a la Información Pública del Estado de México y Municipios.</w:t>
      </w:r>
    </w:p>
    <w:p w:rsidR="00433085" w:rsidRPr="00EB3E7E" w:rsidRDefault="00433085" w:rsidP="00433085">
      <w:pPr>
        <w:pBdr>
          <w:top w:val="nil"/>
          <w:left w:val="nil"/>
          <w:bottom w:val="nil"/>
          <w:right w:val="nil"/>
          <w:between w:val="nil"/>
        </w:pBdr>
        <w:spacing w:line="360" w:lineRule="auto"/>
        <w:ind w:right="567"/>
        <w:jc w:val="both"/>
        <w:rPr>
          <w:rFonts w:ascii="Palatino Linotype" w:eastAsia="Palatino Linotype" w:hAnsi="Palatino Linotype" w:cs="Palatino Linotype"/>
          <w:color w:val="000000"/>
        </w:rPr>
      </w:pPr>
    </w:p>
    <w:p w:rsidR="00433085" w:rsidRPr="00EB3E7E" w:rsidRDefault="00433085" w:rsidP="00570301">
      <w:pPr>
        <w:numPr>
          <w:ilvl w:val="0"/>
          <w:numId w:val="2"/>
        </w:numPr>
        <w:spacing w:line="360" w:lineRule="auto"/>
        <w:ind w:left="0" w:right="-787" w:firstLine="0"/>
        <w:jc w:val="both"/>
        <w:rPr>
          <w:rFonts w:ascii="Palatino Linotype" w:eastAsia="Palatino Linotype" w:hAnsi="Palatino Linotype" w:cs="Palatino Linotype"/>
          <w:color w:val="000000"/>
        </w:rPr>
      </w:pPr>
      <w:r w:rsidRPr="00EB3E7E">
        <w:rPr>
          <w:rFonts w:ascii="Palatino Linotype" w:eastAsia="Palatino Linotype" w:hAnsi="Palatino Linotype" w:cs="Palatino Linotype"/>
          <w:color w:val="000000"/>
        </w:rPr>
        <w:t xml:space="preserve">Derivado de lo anterior, es indispensable destacar que </w:t>
      </w:r>
      <w:r w:rsidR="00570301" w:rsidRPr="00EB3E7E">
        <w:rPr>
          <w:rFonts w:ascii="Palatino Linotype" w:eastAsia="Palatino Linotype" w:hAnsi="Palatino Linotype" w:cs="Palatino Linotype"/>
          <w:color w:val="000000"/>
        </w:rPr>
        <w:t xml:space="preserve">de </w:t>
      </w:r>
      <w:r w:rsidRPr="00EB3E7E">
        <w:rPr>
          <w:rFonts w:ascii="Palatino Linotype" w:eastAsia="Palatino Linotype" w:hAnsi="Palatino Linotype" w:cs="Palatino Linotype"/>
          <w:color w:val="000000"/>
        </w:rPr>
        <w:t xml:space="preserve">la información que se está ordenando su entrega a </w:t>
      </w:r>
      <w:r w:rsidRPr="00EB3E7E">
        <w:rPr>
          <w:rFonts w:ascii="Palatino Linotype" w:eastAsia="Palatino Linotype" w:hAnsi="Palatino Linotype" w:cs="Palatino Linotype"/>
          <w:b/>
          <w:color w:val="000000"/>
        </w:rPr>
        <w:t>EL RECURRENTE</w:t>
      </w:r>
      <w:r w:rsidRPr="00EB3E7E">
        <w:rPr>
          <w:rFonts w:ascii="Palatino Linotype" w:eastAsia="Palatino Linotype" w:hAnsi="Palatino Linotype" w:cs="Palatino Linotype"/>
          <w:color w:val="000000"/>
        </w:rPr>
        <w:t xml:space="preserve">, deberá </w:t>
      </w:r>
      <w:r w:rsidRPr="00EB3E7E">
        <w:rPr>
          <w:rFonts w:ascii="Palatino Linotype" w:eastAsia="Palatino Linotype" w:hAnsi="Palatino Linotype" w:cs="Palatino Linotype"/>
        </w:rPr>
        <w:t>realizar</w:t>
      </w:r>
      <w:r w:rsidRPr="00EB3E7E">
        <w:rPr>
          <w:rFonts w:ascii="Palatino Linotype" w:eastAsia="Palatino Linotype" w:hAnsi="Palatino Linotype" w:cs="Palatino Linotype"/>
          <w:color w:val="000000"/>
        </w:rPr>
        <w:t xml:space="preserve"> en su caso una versión pública, esto es, el</w:t>
      </w:r>
      <w:r w:rsidRPr="00EB3E7E">
        <w:rPr>
          <w:rFonts w:ascii="Palatino Linotype" w:eastAsia="Palatino Linotype" w:hAnsi="Palatino Linotype" w:cs="Palatino Linotype"/>
          <w:b/>
          <w:color w:val="000000"/>
        </w:rPr>
        <w:t xml:space="preserve"> SUJETO OBLIGADO</w:t>
      </w:r>
      <w:r w:rsidRPr="00EB3E7E">
        <w:rPr>
          <w:rFonts w:ascii="Palatino Linotype" w:eastAsia="Palatino Linotype" w:hAnsi="Palatino Linotype" w:cs="Palatino Linotype"/>
          <w:color w:val="000000"/>
        </w:rPr>
        <w:t xml:space="preserve"> omitirá, eliminará o suprimirá la información personal </w:t>
      </w:r>
    </w:p>
    <w:p w:rsidR="00433085" w:rsidRPr="00EB3E7E" w:rsidRDefault="00433085" w:rsidP="00433085">
      <w:pPr>
        <w:spacing w:line="360" w:lineRule="auto"/>
        <w:ind w:right="-787"/>
        <w:jc w:val="both"/>
        <w:rPr>
          <w:rFonts w:ascii="Palatino Linotype" w:eastAsia="Palatino Linotype" w:hAnsi="Palatino Linotype" w:cs="Palatino Linotype"/>
          <w:color w:val="000000"/>
        </w:rPr>
      </w:pPr>
    </w:p>
    <w:p w:rsidR="00433085" w:rsidRPr="00EB3E7E" w:rsidRDefault="00433085" w:rsidP="00433085">
      <w:pPr>
        <w:keepNext/>
        <w:keepLines/>
        <w:spacing w:after="160" w:line="360" w:lineRule="auto"/>
        <w:rPr>
          <w:rFonts w:ascii="Palatino Linotype" w:eastAsia="Palatino Linotype" w:hAnsi="Palatino Linotype" w:cs="Palatino Linotype"/>
          <w:b/>
          <w:color w:val="000000"/>
        </w:rPr>
      </w:pPr>
      <w:r w:rsidRPr="00EB3E7E">
        <w:rPr>
          <w:rFonts w:ascii="Palatino Linotype" w:eastAsia="Palatino Linotype" w:hAnsi="Palatino Linotype" w:cs="Palatino Linotype"/>
          <w:b/>
          <w:color w:val="000000"/>
        </w:rPr>
        <w:lastRenderedPageBreak/>
        <w:t>QUINTO. De la versión pública.</w:t>
      </w:r>
    </w:p>
    <w:p w:rsidR="00433085" w:rsidRPr="00EB3E7E" w:rsidRDefault="00433085" w:rsidP="00433085">
      <w:pPr>
        <w:keepNext/>
        <w:keepLines/>
        <w:numPr>
          <w:ilvl w:val="0"/>
          <w:numId w:val="12"/>
        </w:numPr>
        <w:tabs>
          <w:tab w:val="left" w:pos="284"/>
        </w:tabs>
        <w:spacing w:after="160" w:line="360" w:lineRule="auto"/>
        <w:rPr>
          <w:rFonts w:ascii="Palatino Linotype" w:eastAsia="Palatino Linotype" w:hAnsi="Palatino Linotype" w:cs="Palatino Linotype"/>
          <w:b/>
          <w:color w:val="000000"/>
        </w:rPr>
      </w:pPr>
      <w:r w:rsidRPr="00EB3E7E">
        <w:rPr>
          <w:rFonts w:ascii="Palatino Linotype" w:eastAsia="Palatino Linotype" w:hAnsi="Palatino Linotype" w:cs="Palatino Linotype"/>
          <w:b/>
          <w:color w:val="000000"/>
        </w:rPr>
        <w:t xml:space="preserve">Nociones generales. </w:t>
      </w:r>
    </w:p>
    <w:p w:rsidR="00433085" w:rsidRPr="00EB3E7E" w:rsidRDefault="00433085" w:rsidP="00745CAD">
      <w:pPr>
        <w:numPr>
          <w:ilvl w:val="0"/>
          <w:numId w:val="2"/>
        </w:numPr>
        <w:spacing w:line="360" w:lineRule="auto"/>
        <w:ind w:left="0" w:right="-787" w:firstLine="0"/>
        <w:jc w:val="both"/>
        <w:rPr>
          <w:rFonts w:ascii="Palatino Linotype" w:eastAsia="Palatino Linotype" w:hAnsi="Palatino Linotype" w:cs="Palatino Linotype"/>
        </w:rPr>
      </w:pPr>
      <w:r w:rsidRPr="00EB3E7E">
        <w:rPr>
          <w:rFonts w:ascii="Palatino Linotype" w:eastAsia="Palatino Linotype" w:hAnsi="Palatino Linotype" w:cs="Palatino Linotype"/>
        </w:rPr>
        <w:t xml:space="preserve">Debido a la información solicitada por el </w:t>
      </w:r>
      <w:r w:rsidRPr="00EB3E7E">
        <w:rPr>
          <w:rFonts w:ascii="Palatino Linotype" w:eastAsia="Palatino Linotype" w:hAnsi="Palatino Linotype" w:cs="Palatino Linotype"/>
          <w:b/>
        </w:rPr>
        <w:t>RECURRENTE</w:t>
      </w:r>
      <w:r w:rsidRPr="00EB3E7E">
        <w:rPr>
          <w:rFonts w:ascii="Palatino Linotype" w:eastAsia="Palatino Linotype" w:hAnsi="Palatino Linotype" w:cs="Palatino Linotype"/>
        </w:rPr>
        <w:t xml:space="preserve">, pudieran obran datos personales susceptibles de protegerse, así como información susceptible de clasificarse como confidencial,  por lo que, el </w:t>
      </w:r>
      <w:r w:rsidRPr="00EB3E7E">
        <w:rPr>
          <w:rFonts w:ascii="Palatino Linotype" w:eastAsia="Palatino Linotype" w:hAnsi="Palatino Linotype" w:cs="Palatino Linotype"/>
          <w:b/>
        </w:rPr>
        <w:t xml:space="preserve">SUJETO OBLIGADO </w:t>
      </w:r>
      <w:r w:rsidRPr="00EB3E7E">
        <w:rPr>
          <w:rFonts w:ascii="Palatino Linotype" w:eastAsia="Palatino Linotype" w:hAnsi="Palatino Linotype" w:cs="Palatino Linotype"/>
        </w:rPr>
        <w:t xml:space="preserve">deberá de hacer la adecuada versión pública, protegiendo los datos que no son susceptibles de ser proporcionados. </w:t>
      </w:r>
    </w:p>
    <w:p w:rsidR="00433085" w:rsidRPr="00EB3E7E" w:rsidRDefault="00433085" w:rsidP="00433085">
      <w:pPr>
        <w:tabs>
          <w:tab w:val="left" w:pos="0"/>
          <w:tab w:val="left" w:pos="284"/>
        </w:tabs>
        <w:spacing w:line="360" w:lineRule="auto"/>
        <w:ind w:right="49"/>
        <w:jc w:val="both"/>
        <w:rPr>
          <w:rFonts w:ascii="Palatino Linotype" w:eastAsia="Palatino Linotype" w:hAnsi="Palatino Linotype" w:cs="Palatino Linotype"/>
          <w:highlight w:val="yellow"/>
        </w:rPr>
      </w:pPr>
    </w:p>
    <w:p w:rsidR="00433085" w:rsidRPr="00EB3E7E" w:rsidRDefault="00433085" w:rsidP="00745CAD">
      <w:pPr>
        <w:numPr>
          <w:ilvl w:val="0"/>
          <w:numId w:val="2"/>
        </w:numPr>
        <w:spacing w:line="360" w:lineRule="auto"/>
        <w:ind w:left="0" w:right="-787" w:firstLine="0"/>
        <w:jc w:val="both"/>
        <w:rPr>
          <w:rFonts w:ascii="Palatino Linotype" w:eastAsia="Palatino Linotype" w:hAnsi="Palatino Linotype" w:cs="Palatino Linotype"/>
          <w:color w:val="000000"/>
        </w:rPr>
      </w:pPr>
      <w:r w:rsidRPr="00EB3E7E">
        <w:rPr>
          <w:rFonts w:ascii="Palatino Linotype" w:eastAsia="Palatino Linotype" w:hAnsi="Palatino Linotype" w:cs="Palatino Linotype"/>
          <w:color w:val="000000"/>
        </w:rPr>
        <w:t xml:space="preserve">No pasa </w:t>
      </w:r>
      <w:r w:rsidRPr="00EB3E7E">
        <w:rPr>
          <w:rFonts w:ascii="Palatino Linotype" w:eastAsia="Palatino Linotype" w:hAnsi="Palatino Linotype" w:cs="Palatino Linotype"/>
        </w:rPr>
        <w:t>desapercibido</w:t>
      </w:r>
      <w:r w:rsidRPr="00EB3E7E">
        <w:rPr>
          <w:rFonts w:ascii="Palatino Linotype" w:eastAsia="Palatino Linotype" w:hAnsi="Palatino Linotype" w:cs="Palatino Linotype"/>
          <w:color w:val="000000"/>
        </w:rPr>
        <w:t xml:space="preserve"> para este Órgano Garante que los sujetos obligados</w:t>
      </w:r>
      <w:r w:rsidRPr="00EB3E7E">
        <w:rPr>
          <w:rFonts w:ascii="Palatino Linotype" w:eastAsia="Palatino Linotype" w:hAnsi="Palatino Linotype" w:cs="Palatino Linotype"/>
          <w:b/>
          <w:color w:val="000000"/>
        </w:rPr>
        <w:t xml:space="preserve"> </w:t>
      </w:r>
      <w:r w:rsidRPr="00EB3E7E">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433085" w:rsidRPr="00EB3E7E" w:rsidRDefault="00433085" w:rsidP="00433085">
      <w:pPr>
        <w:tabs>
          <w:tab w:val="left" w:pos="284"/>
        </w:tabs>
        <w:spacing w:after="160" w:line="360" w:lineRule="auto"/>
        <w:ind w:right="49"/>
        <w:jc w:val="both"/>
        <w:rPr>
          <w:rFonts w:ascii="Palatino Linotype" w:eastAsia="Palatino Linotype" w:hAnsi="Palatino Linotype" w:cs="Palatino Linotype"/>
          <w:color w:val="000000"/>
        </w:rPr>
      </w:pPr>
    </w:p>
    <w:tbl>
      <w:tblPr>
        <w:tblW w:w="100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9"/>
        <w:gridCol w:w="7371"/>
      </w:tblGrid>
      <w:tr w:rsidR="00433085" w:rsidRPr="00EB3E7E" w:rsidTr="00EB3E7E">
        <w:tc>
          <w:tcPr>
            <w:tcW w:w="2689" w:type="dxa"/>
          </w:tcPr>
          <w:p w:rsidR="00433085" w:rsidRPr="00EB3E7E" w:rsidRDefault="00433085" w:rsidP="00EA4AE6">
            <w:pPr>
              <w:tabs>
                <w:tab w:val="left" w:pos="284"/>
              </w:tabs>
              <w:spacing w:line="360" w:lineRule="auto"/>
              <w:rPr>
                <w:rFonts w:ascii="Palatino Linotype" w:eastAsia="Palatino Linotype" w:hAnsi="Palatino Linotype" w:cs="Palatino Linotype"/>
                <w:b/>
              </w:rPr>
            </w:pPr>
            <w:r w:rsidRPr="00EB3E7E">
              <w:rPr>
                <w:rFonts w:ascii="Palatino Linotype" w:eastAsia="Palatino Linotype" w:hAnsi="Palatino Linotype" w:cs="Palatino Linotype"/>
                <w:b/>
              </w:rPr>
              <w:t>a) Requisitos previos.</w:t>
            </w:r>
          </w:p>
        </w:tc>
        <w:tc>
          <w:tcPr>
            <w:tcW w:w="7371" w:type="dxa"/>
          </w:tcPr>
          <w:p w:rsidR="00433085" w:rsidRPr="00EB3E7E" w:rsidRDefault="00433085" w:rsidP="00EA4AE6">
            <w:pPr>
              <w:tabs>
                <w:tab w:val="left" w:pos="284"/>
              </w:tabs>
              <w:spacing w:line="360" w:lineRule="auto"/>
              <w:ind w:right="49"/>
              <w:jc w:val="both"/>
              <w:rPr>
                <w:rFonts w:ascii="Palatino Linotype" w:eastAsia="Palatino Linotype" w:hAnsi="Palatino Linotype" w:cs="Palatino Linotype"/>
                <w:b/>
                <w:color w:val="000000"/>
              </w:rPr>
            </w:pPr>
            <w:r w:rsidRPr="00EB3E7E">
              <w:rPr>
                <w:rFonts w:ascii="Palatino Linotype" w:eastAsia="Palatino Linotype" w:hAnsi="Palatino Linotype" w:cs="Palatino Linotype"/>
                <w:b/>
                <w:color w:val="000000"/>
              </w:rPr>
              <w:t xml:space="preserve">Los artículos 100 y 122 de la Ley Estatal y de la Ley General, vigente a la fecha de la solicitud de información, respectivamente, señalan que si los Sujetos Obligados determinan que la información actualiza alguno de los supuestos de clasificación, es deber de los titulares de las áreas proponer su clasificación y no del Comité de Transparencia. </w:t>
            </w:r>
          </w:p>
          <w:p w:rsidR="00433085" w:rsidRPr="00EB3E7E" w:rsidRDefault="00433085" w:rsidP="00EA4AE6">
            <w:pPr>
              <w:tabs>
                <w:tab w:val="left" w:pos="284"/>
              </w:tabs>
              <w:spacing w:line="360" w:lineRule="auto"/>
              <w:ind w:right="49"/>
              <w:jc w:val="both"/>
              <w:rPr>
                <w:rFonts w:ascii="Palatino Linotype" w:eastAsia="Palatino Linotype" w:hAnsi="Palatino Linotype" w:cs="Palatino Linotype"/>
                <w:b/>
                <w:color w:val="000000"/>
              </w:rPr>
            </w:pPr>
            <w:r w:rsidRPr="00EB3E7E">
              <w:rPr>
                <w:rFonts w:ascii="Palatino Linotype" w:eastAsia="Palatino Linotype" w:hAnsi="Palatino Linotype" w:cs="Palatino Linotype"/>
                <w:b/>
                <w:color w:val="000000"/>
              </w:rPr>
              <w:t>Al hacerlo tienen que precisar de qué información se trata, señalando el supuesto de clasificación (confidencialidad o reserva).</w:t>
            </w:r>
          </w:p>
          <w:p w:rsidR="00433085" w:rsidRPr="00EB3E7E" w:rsidRDefault="00433085" w:rsidP="00EA4AE6">
            <w:pPr>
              <w:tabs>
                <w:tab w:val="left" w:pos="284"/>
              </w:tabs>
              <w:spacing w:line="360" w:lineRule="auto"/>
              <w:ind w:right="49"/>
              <w:jc w:val="both"/>
              <w:rPr>
                <w:rFonts w:ascii="Palatino Linotype" w:eastAsia="Palatino Linotype" w:hAnsi="Palatino Linotype" w:cs="Palatino Linotype"/>
                <w:b/>
                <w:color w:val="000000"/>
              </w:rPr>
            </w:pPr>
            <w:r w:rsidRPr="00EB3E7E">
              <w:rPr>
                <w:rFonts w:ascii="Palatino Linotype" w:eastAsia="Palatino Linotype" w:hAnsi="Palatino Linotype" w:cs="Palatino Linotype"/>
                <w:b/>
                <w:color w:val="000000"/>
              </w:rPr>
              <w:lastRenderedPageBreak/>
              <w:t>Además, se debe señalar el procedimiento, de los tres que establecen los artículos 132 y 106 de la Ley Estatal y General, respectivamente.</w:t>
            </w:r>
          </w:p>
          <w:p w:rsidR="00433085" w:rsidRPr="00EB3E7E" w:rsidRDefault="00433085" w:rsidP="00EA4AE6">
            <w:pPr>
              <w:tabs>
                <w:tab w:val="left" w:pos="284"/>
              </w:tabs>
              <w:spacing w:line="360" w:lineRule="auto"/>
              <w:jc w:val="both"/>
              <w:rPr>
                <w:rFonts w:ascii="Palatino Linotype" w:eastAsia="Palatino Linotype" w:hAnsi="Palatino Linotype" w:cs="Palatino Linotype"/>
                <w:b/>
              </w:rPr>
            </w:pPr>
            <w:r w:rsidRPr="00EB3E7E">
              <w:rPr>
                <w:rFonts w:ascii="Palatino Linotype" w:eastAsia="Palatino Linotype" w:hAnsi="Palatino Linotype" w:cs="Palatino Linotype"/>
                <w:b/>
                <w:color w:val="000000"/>
              </w:rPr>
              <w:t xml:space="preserve">El último de estos requisitos previos consiste en que no se pueden emitir acuerdos de carácter general ni particular, esto es, </w:t>
            </w:r>
            <w:r w:rsidRPr="00EB3E7E">
              <w:rPr>
                <w:rFonts w:ascii="Palatino Linotype" w:eastAsia="Palatino Linotype" w:hAnsi="Palatino Linotype" w:cs="Palatino Linotype"/>
                <w:b/>
                <w:color w:val="000000"/>
                <w:u w:val="single"/>
              </w:rPr>
              <w:t>no se puede hacer un acuerdo para clasificar de manera general todos los documentos de un expediente o área, sin</w:t>
            </w:r>
            <w:r w:rsidRPr="00EB3E7E">
              <w:rPr>
                <w:rFonts w:ascii="Palatino Linotype" w:eastAsia="Palatino Linotype" w:hAnsi="Palatino Linotype" w:cs="Palatino Linotype"/>
                <w:b/>
                <w:color w:val="000000"/>
              </w:rPr>
              <w:t xml:space="preserve"> individualizar su análisis y tampoco se puede hacer un acuerdo por cada dato que se vaya a clasificar dentro de un documento con diez datos, por ejemplo, susceptibles de ser clasificados.</w:t>
            </w:r>
          </w:p>
        </w:tc>
      </w:tr>
      <w:tr w:rsidR="00433085" w:rsidRPr="00EB3E7E" w:rsidTr="00EB3E7E">
        <w:tc>
          <w:tcPr>
            <w:tcW w:w="2689" w:type="dxa"/>
          </w:tcPr>
          <w:p w:rsidR="00433085" w:rsidRPr="00EB3E7E" w:rsidRDefault="00433085" w:rsidP="00EA4AE6">
            <w:pPr>
              <w:tabs>
                <w:tab w:val="left" w:pos="284"/>
              </w:tabs>
              <w:spacing w:line="360" w:lineRule="auto"/>
              <w:rPr>
                <w:rFonts w:ascii="Palatino Linotype" w:eastAsia="Palatino Linotype" w:hAnsi="Palatino Linotype" w:cs="Palatino Linotype"/>
                <w:b/>
              </w:rPr>
            </w:pPr>
            <w:r w:rsidRPr="00EB3E7E">
              <w:rPr>
                <w:rFonts w:ascii="Palatino Linotype" w:eastAsia="Palatino Linotype" w:hAnsi="Palatino Linotype" w:cs="Palatino Linotype"/>
                <w:b/>
              </w:rPr>
              <w:lastRenderedPageBreak/>
              <w:t>b) Supuestos de clasificación.</w:t>
            </w:r>
          </w:p>
        </w:tc>
        <w:tc>
          <w:tcPr>
            <w:tcW w:w="7371" w:type="dxa"/>
          </w:tcPr>
          <w:p w:rsidR="00433085" w:rsidRPr="00EB3E7E" w:rsidRDefault="00433085" w:rsidP="00EA4AE6">
            <w:pPr>
              <w:tabs>
                <w:tab w:val="left" w:pos="284"/>
              </w:tabs>
              <w:spacing w:line="360" w:lineRule="auto"/>
              <w:ind w:right="49"/>
              <w:jc w:val="both"/>
              <w:rPr>
                <w:rFonts w:ascii="Palatino Linotype" w:eastAsia="Palatino Linotype" w:hAnsi="Palatino Linotype" w:cs="Palatino Linotype"/>
                <w:color w:val="000000"/>
              </w:rPr>
            </w:pPr>
            <w:r w:rsidRPr="00EB3E7E">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433085" w:rsidRPr="00EB3E7E" w:rsidRDefault="00433085" w:rsidP="00EA4AE6">
            <w:pPr>
              <w:tabs>
                <w:tab w:val="left" w:pos="284"/>
              </w:tabs>
              <w:spacing w:line="360" w:lineRule="auto"/>
              <w:ind w:right="49"/>
              <w:jc w:val="both"/>
              <w:rPr>
                <w:rFonts w:ascii="Palatino Linotype" w:eastAsia="Palatino Linotype" w:hAnsi="Palatino Linotype" w:cs="Palatino Linotype"/>
                <w:color w:val="000000"/>
              </w:rPr>
            </w:pPr>
            <w:r w:rsidRPr="00EB3E7E">
              <w:rPr>
                <w:rFonts w:ascii="Palatino Linotype" w:eastAsia="Palatino Linotype" w:hAnsi="Palatino Linotype" w:cs="Palatino Linotype"/>
                <w:color w:val="000000"/>
              </w:rPr>
              <w:t>Los artículos 116 y 143 de la Ley Estatal y de la Ley General, vigente a la fecha de la solicitud de información, respectivamente, señalan los supuestos para que la información pueda ser clasificada como confidencial. Mientras que los artículos 105 y 130 de la Ley Estatal y de la Ley General, vigente a la fecha de la solicitud de información,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433085" w:rsidRPr="00EB3E7E" w:rsidRDefault="00433085" w:rsidP="00EA4AE6">
            <w:pPr>
              <w:tabs>
                <w:tab w:val="left" w:pos="284"/>
              </w:tabs>
              <w:spacing w:line="360" w:lineRule="auto"/>
              <w:jc w:val="both"/>
              <w:rPr>
                <w:rFonts w:ascii="Palatino Linotype" w:eastAsia="Palatino Linotype" w:hAnsi="Palatino Linotype" w:cs="Palatino Linotype"/>
              </w:rPr>
            </w:pPr>
            <w:r w:rsidRPr="00EB3E7E">
              <w:rPr>
                <w:rFonts w:ascii="Palatino Linotype" w:eastAsia="Palatino Linotype" w:hAnsi="Palatino Linotype" w:cs="Palatino Linotype"/>
                <w:color w:val="000000"/>
              </w:rPr>
              <w:lastRenderedPageBreak/>
              <w:t xml:space="preserve">El </w:t>
            </w:r>
            <w:r w:rsidRPr="00EB3E7E">
              <w:rPr>
                <w:rFonts w:ascii="Palatino Linotype" w:eastAsia="Palatino Linotype" w:hAnsi="Palatino Linotype" w:cs="Palatino Linotype"/>
                <w:b/>
                <w:color w:val="000000"/>
              </w:rPr>
              <w:t>Sujeto Obligado</w:t>
            </w:r>
            <w:r w:rsidRPr="00EB3E7E">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433085" w:rsidRPr="00EB3E7E" w:rsidTr="00EB3E7E">
        <w:tc>
          <w:tcPr>
            <w:tcW w:w="2689" w:type="dxa"/>
          </w:tcPr>
          <w:p w:rsidR="00433085" w:rsidRPr="00EB3E7E" w:rsidRDefault="00433085" w:rsidP="00EA4AE6">
            <w:pPr>
              <w:tabs>
                <w:tab w:val="left" w:pos="284"/>
              </w:tabs>
              <w:spacing w:line="360" w:lineRule="auto"/>
              <w:rPr>
                <w:rFonts w:ascii="Palatino Linotype" w:eastAsia="Palatino Linotype" w:hAnsi="Palatino Linotype" w:cs="Palatino Linotype"/>
                <w:b/>
              </w:rPr>
            </w:pPr>
            <w:r w:rsidRPr="00EB3E7E">
              <w:rPr>
                <w:rFonts w:ascii="Palatino Linotype" w:eastAsia="Palatino Linotype" w:hAnsi="Palatino Linotype" w:cs="Palatino Linotype"/>
                <w:b/>
              </w:rPr>
              <w:lastRenderedPageBreak/>
              <w:t>c) Formalidades para emitir el acuerdo de clasificación.</w:t>
            </w:r>
          </w:p>
        </w:tc>
        <w:tc>
          <w:tcPr>
            <w:tcW w:w="7371" w:type="dxa"/>
          </w:tcPr>
          <w:p w:rsidR="00433085" w:rsidRPr="00EB3E7E" w:rsidRDefault="00433085" w:rsidP="00EA4AE6">
            <w:pPr>
              <w:tabs>
                <w:tab w:val="left" w:pos="284"/>
              </w:tabs>
              <w:spacing w:line="360" w:lineRule="auto"/>
              <w:ind w:right="49"/>
              <w:jc w:val="both"/>
              <w:rPr>
                <w:rFonts w:ascii="Palatino Linotype" w:eastAsia="Palatino Linotype" w:hAnsi="Palatino Linotype" w:cs="Palatino Linotype"/>
                <w:color w:val="000000"/>
              </w:rPr>
            </w:pPr>
            <w:r w:rsidRPr="00EB3E7E">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433085" w:rsidRPr="00EB3E7E" w:rsidRDefault="00433085" w:rsidP="00EA4AE6">
            <w:pPr>
              <w:tabs>
                <w:tab w:val="left" w:pos="284"/>
              </w:tabs>
              <w:spacing w:line="360" w:lineRule="auto"/>
              <w:ind w:right="49"/>
              <w:jc w:val="both"/>
              <w:rPr>
                <w:rFonts w:ascii="Palatino Linotype" w:eastAsia="Palatino Linotype" w:hAnsi="Palatino Linotype" w:cs="Palatino Linotype"/>
                <w:color w:val="000000"/>
              </w:rPr>
            </w:pPr>
            <w:r w:rsidRPr="00EB3E7E">
              <w:rPr>
                <w:rFonts w:ascii="Palatino Linotype" w:eastAsia="Palatino Linotype" w:hAnsi="Palatino Linotype" w:cs="Palatino Linotype"/>
                <w:color w:val="000000"/>
              </w:rPr>
              <w:t xml:space="preserve">Es necesario que </w:t>
            </w:r>
            <w:r w:rsidRPr="00EB3E7E">
              <w:rPr>
                <w:rFonts w:ascii="Palatino Linotype" w:eastAsia="Palatino Linotype" w:hAnsi="Palatino Linotype" w:cs="Palatino Linotype"/>
                <w:b/>
                <w:color w:val="000000"/>
                <w:u w:val="single"/>
              </w:rPr>
              <w:t>el acto reúna con los requisitos elementales</w:t>
            </w:r>
            <w:r w:rsidRPr="00EB3E7E">
              <w:rPr>
                <w:rFonts w:ascii="Palatino Linotype" w:eastAsia="Palatino Linotype" w:hAnsi="Palatino Linotype" w:cs="Palatino Linotype"/>
                <w:color w:val="000000"/>
              </w:rPr>
              <w:t>, entre ellos, que la autoridad que va a emitir el acto de autoridad sea la legalmente facultada para ello.</w:t>
            </w:r>
          </w:p>
          <w:p w:rsidR="00433085" w:rsidRPr="00EB3E7E" w:rsidRDefault="00433085" w:rsidP="00EA4AE6">
            <w:pPr>
              <w:tabs>
                <w:tab w:val="left" w:pos="284"/>
              </w:tabs>
              <w:spacing w:line="360" w:lineRule="auto"/>
              <w:jc w:val="both"/>
              <w:rPr>
                <w:rFonts w:ascii="Palatino Linotype" w:eastAsia="Palatino Linotype" w:hAnsi="Palatino Linotype" w:cs="Palatino Linotype"/>
              </w:rPr>
            </w:pPr>
            <w:r w:rsidRPr="00EB3E7E">
              <w:rPr>
                <w:rFonts w:ascii="Palatino Linotype" w:eastAsia="Palatino Linotype" w:hAnsi="Palatino Linotype" w:cs="Palatino Linotype"/>
                <w:color w:val="000000"/>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433085" w:rsidRPr="00EB3E7E" w:rsidTr="00EB3E7E">
        <w:tc>
          <w:tcPr>
            <w:tcW w:w="2689" w:type="dxa"/>
          </w:tcPr>
          <w:p w:rsidR="00433085" w:rsidRPr="00EB3E7E" w:rsidRDefault="00433085" w:rsidP="00EA4AE6">
            <w:pPr>
              <w:tabs>
                <w:tab w:val="left" w:pos="284"/>
              </w:tabs>
              <w:spacing w:line="360" w:lineRule="auto"/>
              <w:rPr>
                <w:rFonts w:ascii="Palatino Linotype" w:eastAsia="Palatino Linotype" w:hAnsi="Palatino Linotype" w:cs="Palatino Linotype"/>
                <w:b/>
              </w:rPr>
            </w:pPr>
          </w:p>
          <w:p w:rsidR="00433085" w:rsidRPr="00EB3E7E" w:rsidRDefault="00433085" w:rsidP="00EA4AE6">
            <w:pPr>
              <w:tabs>
                <w:tab w:val="left" w:pos="284"/>
              </w:tabs>
              <w:spacing w:line="360" w:lineRule="auto"/>
              <w:jc w:val="both"/>
              <w:rPr>
                <w:rFonts w:ascii="Palatino Linotype" w:eastAsia="Palatino Linotype" w:hAnsi="Palatino Linotype" w:cs="Palatino Linotype"/>
                <w:b/>
              </w:rPr>
            </w:pPr>
            <w:r w:rsidRPr="00EB3E7E">
              <w:rPr>
                <w:rFonts w:ascii="Palatino Linotype" w:eastAsia="Palatino Linotype" w:hAnsi="Palatino Linotype" w:cs="Palatino Linotype"/>
                <w:b/>
                <w:color w:val="000000"/>
              </w:rPr>
              <w:t xml:space="preserve">d) Requisitos de fondo del acuerdo de clasificación. </w:t>
            </w:r>
          </w:p>
        </w:tc>
        <w:tc>
          <w:tcPr>
            <w:tcW w:w="7371" w:type="dxa"/>
          </w:tcPr>
          <w:p w:rsidR="00433085" w:rsidRPr="00EB3E7E" w:rsidRDefault="00433085" w:rsidP="00EA4AE6">
            <w:pPr>
              <w:tabs>
                <w:tab w:val="left" w:pos="284"/>
              </w:tabs>
              <w:spacing w:line="360" w:lineRule="auto"/>
              <w:ind w:right="49"/>
              <w:jc w:val="both"/>
              <w:rPr>
                <w:rFonts w:ascii="Palatino Linotype" w:eastAsia="Palatino Linotype" w:hAnsi="Palatino Linotype" w:cs="Palatino Linotype"/>
                <w:color w:val="000000"/>
              </w:rPr>
            </w:pPr>
            <w:r w:rsidRPr="00EB3E7E">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w:t>
            </w:r>
            <w:r w:rsidRPr="00EB3E7E">
              <w:rPr>
                <w:rFonts w:ascii="Palatino Linotype" w:eastAsia="Palatino Linotype" w:hAnsi="Palatino Linotype" w:cs="Palatino Linotype"/>
                <w:color w:val="000000"/>
              </w:rPr>
              <w:lastRenderedPageBreak/>
              <w:t xml:space="preserve">las restricciones, corresponde a los </w:t>
            </w:r>
            <w:r w:rsidRPr="00EB3E7E">
              <w:rPr>
                <w:rFonts w:ascii="Palatino Linotype" w:eastAsia="Palatino Linotype" w:hAnsi="Palatino Linotype" w:cs="Palatino Linotype"/>
                <w:b/>
                <w:color w:val="000000"/>
              </w:rPr>
              <w:t>Sujetos Obligados</w:t>
            </w:r>
            <w:r w:rsidRPr="00EB3E7E">
              <w:rPr>
                <w:rFonts w:ascii="Palatino Linotype" w:eastAsia="Palatino Linotype" w:hAnsi="Palatino Linotype" w:cs="Palatino Linotype"/>
                <w:color w:val="000000"/>
              </w:rPr>
              <w:t xml:space="preserve">, por lo que deberán fundar y motivar debidamente la clasificación. </w:t>
            </w:r>
          </w:p>
          <w:p w:rsidR="00433085" w:rsidRPr="00EB3E7E" w:rsidRDefault="00433085" w:rsidP="00EA4AE6">
            <w:pPr>
              <w:tabs>
                <w:tab w:val="left" w:pos="284"/>
              </w:tabs>
              <w:spacing w:line="360" w:lineRule="auto"/>
              <w:ind w:right="49"/>
              <w:jc w:val="both"/>
              <w:rPr>
                <w:rFonts w:ascii="Palatino Linotype" w:eastAsia="Palatino Linotype" w:hAnsi="Palatino Linotype" w:cs="Palatino Linotype"/>
                <w:color w:val="000000"/>
              </w:rPr>
            </w:pPr>
            <w:r w:rsidRPr="00EB3E7E">
              <w:rPr>
                <w:rFonts w:ascii="Palatino Linotype" w:eastAsia="Palatino Linotype" w:hAnsi="Palatino Linotype" w:cs="Palatino Linotype"/>
                <w:color w:val="000000"/>
              </w:rPr>
              <w:t xml:space="preserve">De lo anterior, se desprende que para una correcta </w:t>
            </w:r>
            <w:r w:rsidRPr="00EB3E7E">
              <w:rPr>
                <w:rFonts w:ascii="Palatino Linotype" w:eastAsia="Palatino Linotype" w:hAnsi="Palatino Linotype" w:cs="Palatino Linotype"/>
                <w:b/>
                <w:color w:val="000000"/>
              </w:rPr>
              <w:t>clasificación total o parcial</w:t>
            </w:r>
            <w:r w:rsidRPr="00EB3E7E">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433085" w:rsidRPr="00EB3E7E" w:rsidRDefault="00433085" w:rsidP="00EA4AE6">
            <w:pPr>
              <w:tabs>
                <w:tab w:val="left" w:pos="284"/>
              </w:tabs>
              <w:spacing w:line="360" w:lineRule="auto"/>
              <w:ind w:right="49"/>
              <w:jc w:val="both"/>
              <w:rPr>
                <w:rFonts w:ascii="Palatino Linotype" w:eastAsia="Palatino Linotype" w:hAnsi="Palatino Linotype" w:cs="Palatino Linotype"/>
                <w:color w:val="000000"/>
              </w:rPr>
            </w:pPr>
            <w:r w:rsidRPr="00EB3E7E">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433085" w:rsidRPr="00EB3E7E" w:rsidRDefault="00433085" w:rsidP="00EA4AE6">
            <w:pPr>
              <w:tabs>
                <w:tab w:val="left" w:pos="284"/>
              </w:tabs>
              <w:spacing w:line="360" w:lineRule="auto"/>
              <w:ind w:right="49"/>
              <w:jc w:val="both"/>
              <w:rPr>
                <w:rFonts w:ascii="Palatino Linotype" w:eastAsia="Palatino Linotype" w:hAnsi="Palatino Linotype" w:cs="Palatino Linotype"/>
                <w:color w:val="000000"/>
              </w:rPr>
            </w:pPr>
            <w:r w:rsidRPr="00EB3E7E">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433085" w:rsidRPr="00EB3E7E" w:rsidRDefault="00433085" w:rsidP="00EA4AE6">
            <w:pPr>
              <w:tabs>
                <w:tab w:val="left" w:pos="284"/>
              </w:tabs>
              <w:spacing w:line="360" w:lineRule="auto"/>
              <w:ind w:right="49"/>
              <w:jc w:val="both"/>
              <w:rPr>
                <w:rFonts w:ascii="Palatino Linotype" w:eastAsia="Palatino Linotype" w:hAnsi="Palatino Linotype" w:cs="Palatino Linotype"/>
                <w:color w:val="000000"/>
              </w:rPr>
            </w:pPr>
            <w:r w:rsidRPr="00EB3E7E">
              <w:rPr>
                <w:rFonts w:ascii="Palatino Linotype" w:eastAsia="Palatino Linotype" w:hAnsi="Palatino Linotype" w:cs="Palatino Linotype"/>
                <w:color w:val="000000"/>
              </w:rPr>
              <w:t xml:space="preserve">Ahora bien, </w:t>
            </w:r>
            <w:r w:rsidRPr="00EB3E7E">
              <w:rPr>
                <w:rFonts w:ascii="Palatino Linotype" w:eastAsia="Palatino Linotype" w:hAnsi="Palatino Linotype" w:cs="Palatino Linotype"/>
                <w:b/>
                <w:color w:val="000000"/>
                <w:u w:val="single"/>
              </w:rPr>
              <w:t>para cada caso además de fundar y motivar</w:t>
            </w:r>
            <w:r w:rsidRPr="00EB3E7E">
              <w:rPr>
                <w:rFonts w:ascii="Palatino Linotype" w:eastAsia="Palatino Linotype" w:hAnsi="Palatino Linotype" w:cs="Palatino Linotype"/>
                <w:color w:val="000000"/>
              </w:rPr>
              <w:t xml:space="preserve">, se debe identificar con claridad que datos contenidos en las documentales que son susceptibles de suprimirse, por ejemplo; Clave Única de Registro de Población (CURP), Registro Federal de Contribuyentes </w:t>
            </w:r>
            <w:r w:rsidRPr="00EB3E7E">
              <w:rPr>
                <w:rFonts w:ascii="Palatino Linotype" w:eastAsia="Palatino Linotype" w:hAnsi="Palatino Linotype" w:cs="Palatino Linotype"/>
                <w:color w:val="000000"/>
              </w:rPr>
              <w:lastRenderedPageBreak/>
              <w:t>(R.F.C.), claves de seguros, préstamos o descuentos personales, secretos bancario, fiduciario, industrial, comercial, fiscal, bursátil y postal, cuya titularidad corresponda a particulares, entre otros.</w:t>
            </w:r>
          </w:p>
        </w:tc>
      </w:tr>
      <w:tr w:rsidR="00433085" w:rsidRPr="00EB3E7E" w:rsidTr="00EB3E7E">
        <w:tc>
          <w:tcPr>
            <w:tcW w:w="2689" w:type="dxa"/>
          </w:tcPr>
          <w:p w:rsidR="00433085" w:rsidRPr="00EB3E7E" w:rsidRDefault="00433085" w:rsidP="00EA4AE6">
            <w:pPr>
              <w:tabs>
                <w:tab w:val="left" w:pos="284"/>
              </w:tabs>
              <w:spacing w:line="360" w:lineRule="auto"/>
              <w:ind w:right="49"/>
              <w:jc w:val="both"/>
              <w:rPr>
                <w:rFonts w:ascii="Palatino Linotype" w:eastAsia="Palatino Linotype" w:hAnsi="Palatino Linotype" w:cs="Palatino Linotype"/>
                <w:b/>
              </w:rPr>
            </w:pPr>
            <w:r w:rsidRPr="00EB3E7E">
              <w:rPr>
                <w:rFonts w:ascii="Palatino Linotype" w:eastAsia="Palatino Linotype" w:hAnsi="Palatino Linotype" w:cs="Palatino Linotype"/>
                <w:b/>
              </w:rPr>
              <w:lastRenderedPageBreak/>
              <w:t xml:space="preserve">e) Condiciones especiales de la clasificación de la información como confidencial. </w:t>
            </w:r>
          </w:p>
        </w:tc>
        <w:tc>
          <w:tcPr>
            <w:tcW w:w="7371" w:type="dxa"/>
          </w:tcPr>
          <w:p w:rsidR="00433085" w:rsidRPr="00EB3E7E" w:rsidRDefault="00433085" w:rsidP="00EA4AE6">
            <w:pPr>
              <w:tabs>
                <w:tab w:val="left" w:pos="284"/>
              </w:tabs>
              <w:spacing w:line="360" w:lineRule="auto"/>
              <w:ind w:right="49"/>
              <w:jc w:val="both"/>
              <w:rPr>
                <w:rFonts w:ascii="Palatino Linotype" w:eastAsia="Palatino Linotype" w:hAnsi="Palatino Linotype" w:cs="Palatino Linotype"/>
                <w:color w:val="000000"/>
              </w:rPr>
            </w:pPr>
            <w:r w:rsidRPr="00EB3E7E">
              <w:rPr>
                <w:rFonts w:ascii="Palatino Linotype" w:eastAsia="Palatino Linotype" w:hAnsi="Palatino Linotype" w:cs="Palatino Linotype"/>
                <w:color w:val="000000"/>
              </w:rPr>
              <w:t xml:space="preserve">Los artículos 148 y 120 de la Ley Estatal y de la Ley General, vigente a la fecha de la solicitud de información, respectivamente, establecen que aun tratándose de datos personales, se podrán proporcionar, incluso sin solicitar el consentimiento de su titular. </w:t>
            </w:r>
          </w:p>
          <w:p w:rsidR="00433085" w:rsidRPr="00EB3E7E" w:rsidRDefault="00433085" w:rsidP="00EA4AE6">
            <w:pPr>
              <w:tabs>
                <w:tab w:val="left" w:pos="284"/>
              </w:tabs>
              <w:spacing w:line="360" w:lineRule="auto"/>
              <w:ind w:right="49"/>
              <w:jc w:val="both"/>
              <w:rPr>
                <w:rFonts w:ascii="Palatino Linotype" w:eastAsia="Palatino Linotype" w:hAnsi="Palatino Linotype" w:cs="Palatino Linotype"/>
                <w:color w:val="000000"/>
              </w:rPr>
            </w:pPr>
            <w:r w:rsidRPr="00EB3E7E">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433085" w:rsidRPr="00EB3E7E" w:rsidRDefault="00433085" w:rsidP="00EA4AE6">
            <w:pPr>
              <w:tabs>
                <w:tab w:val="left" w:pos="284"/>
              </w:tabs>
              <w:spacing w:line="360" w:lineRule="auto"/>
              <w:rPr>
                <w:rFonts w:ascii="Palatino Linotype" w:eastAsia="Palatino Linotype" w:hAnsi="Palatino Linotype" w:cs="Palatino Linotype"/>
              </w:rPr>
            </w:pPr>
            <w:r w:rsidRPr="00EB3E7E">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433085" w:rsidRPr="00EB3E7E" w:rsidRDefault="00433085" w:rsidP="00433085">
      <w:pPr>
        <w:tabs>
          <w:tab w:val="left" w:pos="284"/>
        </w:tabs>
        <w:spacing w:line="360" w:lineRule="auto"/>
        <w:rPr>
          <w:rFonts w:ascii="Palatino Linotype" w:eastAsia="Palatino Linotype" w:hAnsi="Palatino Linotype" w:cs="Palatino Linotype"/>
          <w:color w:val="000000"/>
        </w:rPr>
      </w:pPr>
    </w:p>
    <w:p w:rsidR="00433085" w:rsidRPr="00EB3E7E" w:rsidRDefault="00433085" w:rsidP="00745CAD">
      <w:pPr>
        <w:numPr>
          <w:ilvl w:val="0"/>
          <w:numId w:val="2"/>
        </w:numPr>
        <w:spacing w:line="360" w:lineRule="auto"/>
        <w:ind w:left="0" w:right="-787" w:firstLine="0"/>
        <w:jc w:val="both"/>
        <w:rPr>
          <w:rFonts w:ascii="Palatino Linotype" w:eastAsia="Palatino Linotype" w:hAnsi="Palatino Linotype" w:cs="Palatino Linotype"/>
        </w:rPr>
      </w:pPr>
      <w:r w:rsidRPr="00EB3E7E">
        <w:rPr>
          <w:rFonts w:ascii="Palatino Linotype" w:eastAsia="Palatino Linotype" w:hAnsi="Palatino Linotype" w:cs="Palatino Linotype"/>
        </w:rPr>
        <w:t xml:space="preserve">Se debe de puntualizar que los recibos de nómina y/o comprobantes de pago de cualquier índole, contienen datos personales de los servidores públicos o empleados, que de hacerse públicos afectarían su intimidad y vida privada; es por ello que es criterio reiterado en las resoluciones de este Pleno que además de los datos especificados en la Ley de Transparencia y Acceso a la Información Pública del Estado de México y Municipios, se consideran confidenciales y por tanto deben testarse al momento de la elaboración de </w:t>
      </w:r>
      <w:r w:rsidRPr="00EB3E7E">
        <w:rPr>
          <w:rFonts w:ascii="Palatino Linotype" w:eastAsia="Palatino Linotype" w:hAnsi="Palatino Linotype" w:cs="Palatino Linotype"/>
        </w:rPr>
        <w:lastRenderedPageBreak/>
        <w:t>versiones públicas el Registro Federal de Contribuyentes (RFC), la Clave Única de Registro de Población (CURP), la Clave de cualquier tipo de seguridad social (ISSEMYM, u otros), y los descuentos y claves que se realicen por pensión alimenticia o deducciones estrictamente personales o de cualquier índole siempre que, no se encuentren relacionados con los impuestos o las cuotas por seguridad social, número de cuenta o cualquier otro dato que ponga en riesgo la vida, seguridad y salud de dichas personas.</w:t>
      </w:r>
    </w:p>
    <w:p w:rsidR="00433085" w:rsidRPr="00EB3E7E" w:rsidRDefault="00433085" w:rsidP="00433085">
      <w:pPr>
        <w:tabs>
          <w:tab w:val="left" w:pos="284"/>
        </w:tabs>
        <w:spacing w:line="360" w:lineRule="auto"/>
        <w:jc w:val="both"/>
        <w:rPr>
          <w:rFonts w:ascii="Palatino Linotype" w:eastAsia="Palatino Linotype" w:hAnsi="Palatino Linotype" w:cs="Palatino Linotype"/>
        </w:rPr>
      </w:pPr>
    </w:p>
    <w:p w:rsidR="00433085" w:rsidRPr="00EB3E7E" w:rsidRDefault="00433085" w:rsidP="00745CAD">
      <w:pPr>
        <w:numPr>
          <w:ilvl w:val="0"/>
          <w:numId w:val="2"/>
        </w:numPr>
        <w:spacing w:line="360" w:lineRule="auto"/>
        <w:ind w:left="0" w:right="-787" w:firstLine="0"/>
        <w:jc w:val="both"/>
        <w:rPr>
          <w:rFonts w:ascii="Palatino Linotype" w:eastAsia="Palatino Linotype" w:hAnsi="Palatino Linotype" w:cs="Palatino Linotype"/>
        </w:rPr>
      </w:pPr>
      <w:r w:rsidRPr="00EB3E7E">
        <w:rPr>
          <w:rFonts w:ascii="Palatino Linotype" w:eastAsia="Palatino Linotype" w:hAnsi="Palatino Linotype" w:cs="Palatino Linotype"/>
        </w:rPr>
        <w:t xml:space="preserve">Por cuanto hace al </w:t>
      </w:r>
      <w:r w:rsidRPr="00EB3E7E">
        <w:rPr>
          <w:rFonts w:ascii="Palatino Linotype" w:eastAsia="Palatino Linotype" w:hAnsi="Palatino Linotype" w:cs="Palatino Linotype"/>
          <w:b/>
        </w:rPr>
        <w:t>Registro Federal de Contribuyentes (RFC),</w:t>
      </w:r>
      <w:r w:rsidRPr="00EB3E7E">
        <w:rPr>
          <w:rFonts w:ascii="Palatino Linotype" w:eastAsia="Palatino Linotype" w:hAnsi="Palatino Linotype" w:cs="Palatino Linotype"/>
        </w:rPr>
        <w:t xml:space="preserve"> de las personas físicas, constituye un dato personal, pues se genera con caracteres alfanuméricos a partir del nombre y la fecha de nacimiento de cada persona, y finalmente la homoclave, por lo que para su obtención es necesario acreditar ante la autoridad fiscal previamente la identidad de la persona, su fecha de nacimiento, entre otros aspectos.</w:t>
      </w:r>
    </w:p>
    <w:p w:rsidR="00433085" w:rsidRPr="00EB3E7E" w:rsidRDefault="00433085" w:rsidP="00433085">
      <w:pPr>
        <w:tabs>
          <w:tab w:val="left" w:pos="284"/>
        </w:tabs>
        <w:spacing w:line="360" w:lineRule="auto"/>
        <w:jc w:val="both"/>
        <w:rPr>
          <w:rFonts w:ascii="Palatino Linotype" w:eastAsia="Palatino Linotype" w:hAnsi="Palatino Linotype" w:cs="Palatino Linotype"/>
        </w:rPr>
      </w:pPr>
    </w:p>
    <w:p w:rsidR="00433085" w:rsidRPr="00EB3E7E" w:rsidRDefault="00433085" w:rsidP="00745CAD">
      <w:pPr>
        <w:numPr>
          <w:ilvl w:val="0"/>
          <w:numId w:val="2"/>
        </w:numPr>
        <w:spacing w:line="360" w:lineRule="auto"/>
        <w:ind w:left="0" w:right="-787" w:firstLine="0"/>
        <w:jc w:val="both"/>
        <w:rPr>
          <w:rFonts w:ascii="Palatino Linotype" w:eastAsia="Palatino Linotype" w:hAnsi="Palatino Linotype" w:cs="Palatino Linotype"/>
        </w:rPr>
      </w:pPr>
      <w:r w:rsidRPr="00EB3E7E">
        <w:rPr>
          <w:rFonts w:ascii="Palatino Linotype" w:eastAsia="Palatino Linotype" w:hAnsi="Palatino Linotype" w:cs="Palatino Linotype"/>
        </w:rPr>
        <w:t>Ahora bien, las personas físicas tramitan su inscripción en el registro con el propósito de realizar —mediante esa clave de identificación— operaciones o actividades de naturaleza fiscal, la cual, les permite hacerse identificables respecto de una situación fiscal determinada.</w:t>
      </w:r>
    </w:p>
    <w:p w:rsidR="00433085" w:rsidRPr="00EB3E7E" w:rsidRDefault="00433085" w:rsidP="00433085">
      <w:pPr>
        <w:tabs>
          <w:tab w:val="left" w:pos="284"/>
        </w:tabs>
        <w:spacing w:line="360" w:lineRule="auto"/>
        <w:jc w:val="both"/>
        <w:rPr>
          <w:rFonts w:ascii="Palatino Linotype" w:eastAsia="Palatino Linotype" w:hAnsi="Palatino Linotype" w:cs="Palatino Linotype"/>
        </w:rPr>
      </w:pPr>
    </w:p>
    <w:p w:rsidR="00433085" w:rsidRPr="00EB3E7E" w:rsidRDefault="00433085" w:rsidP="00745CAD">
      <w:pPr>
        <w:numPr>
          <w:ilvl w:val="0"/>
          <w:numId w:val="2"/>
        </w:numPr>
        <w:spacing w:line="360" w:lineRule="auto"/>
        <w:ind w:left="0" w:right="-787" w:firstLine="0"/>
        <w:jc w:val="both"/>
        <w:rPr>
          <w:rFonts w:ascii="Palatino Linotype" w:eastAsia="Palatino Linotype" w:hAnsi="Palatino Linotype" w:cs="Palatino Linotype"/>
        </w:rPr>
      </w:pPr>
      <w:r w:rsidRPr="00EB3E7E">
        <w:rPr>
          <w:rFonts w:ascii="Palatino Linotype" w:eastAsia="Palatino Linotype" w:hAnsi="Palatino Linotype" w:cs="Palatino Linotype"/>
        </w:rPr>
        <w:t>Lo anterior es compartido por el entonces Instituto Federal de Acceso a la Información Pública y Protección de Datos Personales (IFAI) a través del Criterio orientador 19/17, el cual es del tenor literal siguiente:</w:t>
      </w:r>
    </w:p>
    <w:p w:rsidR="00433085" w:rsidRPr="00EB3E7E" w:rsidRDefault="00433085" w:rsidP="00433085">
      <w:pPr>
        <w:pBdr>
          <w:top w:val="nil"/>
          <w:left w:val="nil"/>
          <w:bottom w:val="nil"/>
          <w:right w:val="nil"/>
          <w:between w:val="nil"/>
        </w:pBdr>
        <w:spacing w:line="360" w:lineRule="auto"/>
        <w:jc w:val="both"/>
        <w:rPr>
          <w:rFonts w:ascii="Palatino Linotype" w:eastAsia="Palatino Linotype" w:hAnsi="Palatino Linotype" w:cs="Palatino Linotype"/>
        </w:rPr>
      </w:pPr>
    </w:p>
    <w:p w:rsidR="00433085" w:rsidRPr="00EB3E7E" w:rsidRDefault="00433085" w:rsidP="00433085">
      <w:pPr>
        <w:ind w:left="1134" w:right="-716"/>
        <w:jc w:val="both"/>
        <w:rPr>
          <w:rFonts w:ascii="Palatino Linotype" w:eastAsia="Palatino Linotype" w:hAnsi="Palatino Linotype" w:cs="Palatino Linotype"/>
          <w:i/>
        </w:rPr>
      </w:pPr>
      <w:r w:rsidRPr="00EB3E7E">
        <w:rPr>
          <w:rFonts w:ascii="Palatino Linotype" w:eastAsia="Palatino Linotype" w:hAnsi="Palatino Linotype" w:cs="Palatino Linotype"/>
          <w:b/>
          <w:i/>
        </w:rPr>
        <w:t>“Registro Federal de Contribuyentes (RFC) de personas físicas</w:t>
      </w:r>
      <w:r w:rsidRPr="00EB3E7E">
        <w:rPr>
          <w:rFonts w:ascii="Palatino Linotype" w:eastAsia="Palatino Linotype" w:hAnsi="Palatino Linotype" w:cs="Palatino Linotype"/>
          <w:i/>
        </w:rPr>
        <w:t>. El RFC es una clave de carácter fiscal, única e irrepetible, que permite identificar al titular, su edad y fecha de nacimiento, por lo que es un dato personal de carácter confidencial.”</w:t>
      </w:r>
    </w:p>
    <w:p w:rsidR="00433085" w:rsidRPr="00EB3E7E" w:rsidRDefault="00433085" w:rsidP="00433085">
      <w:pPr>
        <w:ind w:right="1106"/>
        <w:jc w:val="both"/>
        <w:rPr>
          <w:rFonts w:ascii="Palatino Linotype" w:eastAsia="Palatino Linotype" w:hAnsi="Palatino Linotype" w:cs="Palatino Linotype"/>
          <w:i/>
        </w:rPr>
      </w:pPr>
    </w:p>
    <w:p w:rsidR="00433085" w:rsidRPr="00EB3E7E" w:rsidRDefault="00433085" w:rsidP="00433085">
      <w:pPr>
        <w:ind w:left="567" w:right="900"/>
        <w:jc w:val="both"/>
        <w:rPr>
          <w:rFonts w:ascii="Palatino Linotype" w:eastAsia="Palatino Linotype" w:hAnsi="Palatino Linotype" w:cs="Palatino Linotype"/>
          <w:i/>
        </w:rPr>
      </w:pPr>
    </w:p>
    <w:p w:rsidR="00433085" w:rsidRPr="00EB3E7E" w:rsidRDefault="00433085" w:rsidP="00745CAD">
      <w:pPr>
        <w:numPr>
          <w:ilvl w:val="0"/>
          <w:numId w:val="2"/>
        </w:numPr>
        <w:spacing w:line="360" w:lineRule="auto"/>
        <w:ind w:left="0" w:right="-787" w:firstLine="0"/>
        <w:jc w:val="both"/>
        <w:rPr>
          <w:rFonts w:ascii="Palatino Linotype" w:eastAsia="Palatino Linotype" w:hAnsi="Palatino Linotype" w:cs="Palatino Linotype"/>
        </w:rPr>
      </w:pPr>
      <w:r w:rsidRPr="00EB3E7E">
        <w:rPr>
          <w:rFonts w:ascii="Palatino Linotype" w:eastAsia="Palatino Linotype" w:hAnsi="Palatino Linotype" w:cs="Palatino Linotype"/>
        </w:rPr>
        <w:lastRenderedPageBreak/>
        <w:t xml:space="preserve">Así, el </w:t>
      </w:r>
      <w:r w:rsidRPr="00EB3E7E">
        <w:rPr>
          <w:rFonts w:ascii="Palatino Linotype" w:eastAsia="Palatino Linotype" w:hAnsi="Palatino Linotype" w:cs="Palatino Linotype"/>
          <w:b/>
        </w:rPr>
        <w:t>Registro Federal de Contribuyentes, RFC</w:t>
      </w:r>
      <w:r w:rsidRPr="00EB3E7E">
        <w:rPr>
          <w:rFonts w:ascii="Palatino Linotype" w:eastAsia="Palatino Linotype" w:hAnsi="Palatino Linotype" w:cs="Palatino Linotype"/>
        </w:rPr>
        <w:t>, se vincula al nombre de su titular y permite identificar la edad de la persona, su fecha de nacimiento, así como su homoclave, la cual es única e irrepetible y determina la identificación de dicha persona para efectos fiscales, por lo que constituye un dato personal que concierne a una persona física identificada e identificable en términos de los artículos 3, fracción IX de la Ley de Transparencia y Acceso a la Información Pública del Estado de México y Municipios, y  4 fracciones XI y XII de la Ley de Protección de Datos Personales en Posesión de los Sujetos Obligados del Estado de México y Municipios.</w:t>
      </w:r>
    </w:p>
    <w:p w:rsidR="00433085" w:rsidRPr="00EB3E7E" w:rsidRDefault="00433085" w:rsidP="00433085">
      <w:pPr>
        <w:tabs>
          <w:tab w:val="left" w:pos="284"/>
        </w:tabs>
        <w:spacing w:line="360" w:lineRule="auto"/>
        <w:jc w:val="both"/>
        <w:rPr>
          <w:rFonts w:ascii="Palatino Linotype" w:eastAsia="Palatino Linotype" w:hAnsi="Palatino Linotype" w:cs="Palatino Linotype"/>
        </w:rPr>
      </w:pPr>
    </w:p>
    <w:p w:rsidR="00433085" w:rsidRPr="00EB3E7E" w:rsidRDefault="00433085" w:rsidP="00745CAD">
      <w:pPr>
        <w:numPr>
          <w:ilvl w:val="0"/>
          <w:numId w:val="2"/>
        </w:numPr>
        <w:spacing w:line="360" w:lineRule="auto"/>
        <w:ind w:left="0" w:right="-787" w:firstLine="0"/>
        <w:jc w:val="both"/>
        <w:rPr>
          <w:rFonts w:ascii="Palatino Linotype" w:eastAsia="Palatino Linotype" w:hAnsi="Palatino Linotype" w:cs="Palatino Linotype"/>
        </w:rPr>
      </w:pPr>
      <w:r w:rsidRPr="00EB3E7E">
        <w:rPr>
          <w:rFonts w:ascii="Palatino Linotype" w:eastAsia="Palatino Linotype" w:hAnsi="Palatino Linotype" w:cs="Palatino Linotype"/>
        </w:rPr>
        <w:t xml:space="preserve">De igual manera la </w:t>
      </w:r>
      <w:r w:rsidRPr="00EB3E7E">
        <w:rPr>
          <w:rFonts w:ascii="Palatino Linotype" w:eastAsia="Palatino Linotype" w:hAnsi="Palatino Linotype" w:cs="Palatino Linotype"/>
          <w:b/>
        </w:rPr>
        <w:t>Clave Única de Registro de Población (CURP),</w:t>
      </w:r>
      <w:r w:rsidRPr="00EB3E7E">
        <w:rPr>
          <w:rFonts w:ascii="Palatino Linotype" w:eastAsia="Palatino Linotype" w:hAnsi="Palatino Linotype" w:cs="Palatino Linotype"/>
        </w:rPr>
        <w:t xml:space="preserve"> constituye un dato personal, ya que tiene como finalidad registrar a cada una de las personas que integran la población del país, con datos que permitan certificar y acreditar fehacientemente su identidad, en virtud de que se integra por datos personales que únicamente le conciernen a un particular como son su fecha de nacimiento, su nombre, sus apellidos y su lugar de nacimiento; información que permite distinguirlo del resto de los habitantes, por tal motivo, se considera que es de carácter confidencial.</w:t>
      </w:r>
    </w:p>
    <w:p w:rsidR="00433085" w:rsidRPr="00EB3E7E" w:rsidRDefault="00433085" w:rsidP="00433085">
      <w:pPr>
        <w:tabs>
          <w:tab w:val="left" w:pos="284"/>
        </w:tabs>
        <w:spacing w:line="360" w:lineRule="auto"/>
        <w:jc w:val="both"/>
        <w:rPr>
          <w:rFonts w:ascii="Palatino Linotype" w:eastAsia="Palatino Linotype" w:hAnsi="Palatino Linotype" w:cs="Palatino Linotype"/>
        </w:rPr>
      </w:pPr>
    </w:p>
    <w:p w:rsidR="00433085" w:rsidRPr="00EB3E7E" w:rsidRDefault="00433085" w:rsidP="00745CAD">
      <w:pPr>
        <w:numPr>
          <w:ilvl w:val="0"/>
          <w:numId w:val="2"/>
        </w:numPr>
        <w:spacing w:line="360" w:lineRule="auto"/>
        <w:ind w:left="0" w:right="-787" w:firstLine="0"/>
        <w:jc w:val="both"/>
        <w:rPr>
          <w:rFonts w:ascii="Palatino Linotype" w:eastAsia="Palatino Linotype" w:hAnsi="Palatino Linotype" w:cs="Palatino Linotype"/>
        </w:rPr>
      </w:pPr>
      <w:r w:rsidRPr="00EB3E7E">
        <w:rPr>
          <w:rFonts w:ascii="Palatino Linotype" w:eastAsia="Palatino Linotype" w:hAnsi="Palatino Linotype" w:cs="Palatino Linotype"/>
        </w:rPr>
        <w:t xml:space="preserve">Argumento que es compartido por el Instituto Nacional de Transparencia, Acceso a la Información y Protección de Datos Personales, INAI, conforme al criterio orientador 18/17, el cual refiere: </w:t>
      </w:r>
    </w:p>
    <w:p w:rsidR="00433085" w:rsidRPr="00EB3E7E" w:rsidRDefault="00433085" w:rsidP="00433085">
      <w:pPr>
        <w:ind w:left="1134" w:right="-716"/>
        <w:jc w:val="both"/>
        <w:rPr>
          <w:rFonts w:ascii="Palatino Linotype" w:eastAsia="Palatino Linotype" w:hAnsi="Palatino Linotype" w:cs="Palatino Linotype"/>
          <w:i/>
        </w:rPr>
      </w:pPr>
      <w:r w:rsidRPr="00EB3E7E">
        <w:rPr>
          <w:rFonts w:ascii="Palatino Linotype" w:eastAsia="Palatino Linotype" w:hAnsi="Palatino Linotype" w:cs="Palatino Linotype"/>
          <w:b/>
          <w:i/>
        </w:rPr>
        <w:t xml:space="preserve">“Clave Única de Registro de Población (CURP). </w:t>
      </w:r>
      <w:r w:rsidRPr="00EB3E7E">
        <w:rPr>
          <w:rFonts w:ascii="Palatino Linotype" w:eastAsia="Palatino Linotype" w:hAnsi="Palatino Linotype" w:cs="Palatino Linotype"/>
          <w:i/>
        </w:rPr>
        <w:t>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rsidR="00433085" w:rsidRPr="00EB3E7E" w:rsidRDefault="00433085" w:rsidP="00745CAD">
      <w:pPr>
        <w:numPr>
          <w:ilvl w:val="0"/>
          <w:numId w:val="2"/>
        </w:numPr>
        <w:spacing w:line="360" w:lineRule="auto"/>
        <w:ind w:left="0" w:right="-787" w:firstLine="0"/>
        <w:jc w:val="both"/>
        <w:rPr>
          <w:rFonts w:ascii="Palatino Linotype" w:eastAsia="Palatino Linotype" w:hAnsi="Palatino Linotype" w:cs="Palatino Linotype"/>
        </w:rPr>
      </w:pPr>
      <w:r w:rsidRPr="00EB3E7E">
        <w:rPr>
          <w:rFonts w:ascii="Palatino Linotype" w:eastAsia="Palatino Linotype" w:hAnsi="Palatino Linotype" w:cs="Palatino Linotype"/>
        </w:rPr>
        <w:lastRenderedPageBreak/>
        <w:t xml:space="preserve">Por cuanto hace a la </w:t>
      </w:r>
      <w:r w:rsidRPr="00EB3E7E">
        <w:rPr>
          <w:rFonts w:ascii="Palatino Linotype" w:eastAsia="Palatino Linotype" w:hAnsi="Palatino Linotype" w:cs="Palatino Linotype"/>
          <w:b/>
        </w:rPr>
        <w:t>Clave de cualquier tipo de seguridad social (ISSEMyM, u otros</w:t>
      </w:r>
      <w:r w:rsidRPr="00EB3E7E">
        <w:rPr>
          <w:rFonts w:ascii="Palatino Linotype" w:eastAsia="Palatino Linotype" w:hAnsi="Palatino Linotype" w:cs="Palatino Linotype"/>
        </w:rPr>
        <w:t>), está integrado por una secuencia de números con los que se identifica a los trabajadores que cubren las cuotas respectivas, asimismo, lo identifica con la fuente de trabajo; por lo que al ser una clave de identificación de los trabajadores, constituye información confidencial, dato que únicamente le atañe al servidor público, por lo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rsidR="00433085" w:rsidRPr="00EB3E7E" w:rsidRDefault="00433085" w:rsidP="00433085">
      <w:pPr>
        <w:tabs>
          <w:tab w:val="left" w:pos="284"/>
        </w:tabs>
        <w:spacing w:line="360" w:lineRule="auto"/>
        <w:jc w:val="both"/>
        <w:rPr>
          <w:rFonts w:ascii="Palatino Linotype" w:eastAsia="Palatino Linotype" w:hAnsi="Palatino Linotype" w:cs="Palatino Linotype"/>
        </w:rPr>
      </w:pPr>
    </w:p>
    <w:p w:rsidR="00433085" w:rsidRPr="00EB3E7E" w:rsidRDefault="00433085" w:rsidP="00745CAD">
      <w:pPr>
        <w:numPr>
          <w:ilvl w:val="0"/>
          <w:numId w:val="2"/>
        </w:numPr>
        <w:spacing w:line="360" w:lineRule="auto"/>
        <w:ind w:left="0" w:right="-787" w:firstLine="0"/>
        <w:jc w:val="both"/>
        <w:rPr>
          <w:rFonts w:ascii="Palatino Linotype" w:eastAsia="Palatino Linotype" w:hAnsi="Palatino Linotype" w:cs="Palatino Linotype"/>
        </w:rPr>
      </w:pPr>
      <w:r w:rsidRPr="00EB3E7E">
        <w:rPr>
          <w:rFonts w:ascii="Palatino Linotype" w:eastAsia="Palatino Linotype" w:hAnsi="Palatino Linotype" w:cs="Palatino Linotype"/>
        </w:rPr>
        <w:t>Respecto de los préstamos o descuentos de carácter personal, estos no deben tener relación con la prestación del servicio; es decir, son confidenciales los préstamos o descuentos que se le hagan a la persona en los que no se involucren instituciones públicas, en virtud de no favorecer en la transparencia y rendición de cuentas, sino, por el contrario, con ello se violentaba la protección de información confidencial, porque incide en la intimidad de un individuo identificado.</w:t>
      </w:r>
    </w:p>
    <w:p w:rsidR="00433085" w:rsidRPr="00EB3E7E" w:rsidRDefault="00433085" w:rsidP="00433085">
      <w:pPr>
        <w:tabs>
          <w:tab w:val="left" w:pos="284"/>
        </w:tabs>
        <w:spacing w:line="360" w:lineRule="auto"/>
        <w:jc w:val="both"/>
        <w:rPr>
          <w:rFonts w:ascii="Palatino Linotype" w:eastAsia="Palatino Linotype" w:hAnsi="Palatino Linotype" w:cs="Palatino Linotype"/>
        </w:rPr>
      </w:pPr>
    </w:p>
    <w:p w:rsidR="00433085" w:rsidRPr="00EB3E7E" w:rsidRDefault="00433085" w:rsidP="00745CAD">
      <w:pPr>
        <w:numPr>
          <w:ilvl w:val="0"/>
          <w:numId w:val="2"/>
        </w:numPr>
        <w:spacing w:line="360" w:lineRule="auto"/>
        <w:ind w:left="0" w:right="-787" w:firstLine="0"/>
        <w:jc w:val="both"/>
        <w:rPr>
          <w:rFonts w:ascii="Palatino Linotype" w:eastAsia="Palatino Linotype" w:hAnsi="Palatino Linotype" w:cs="Palatino Linotype"/>
        </w:rPr>
      </w:pPr>
      <w:r w:rsidRPr="00EB3E7E">
        <w:rPr>
          <w:rFonts w:ascii="Palatino Linotype" w:eastAsia="Palatino Linotype" w:hAnsi="Palatino Linotype" w:cs="Palatino Linotype"/>
        </w:rPr>
        <w:t xml:space="preserve"> Con base en lo expuesto, se insiste que los datos mencionados, que como se ha dicho, deben ser clasificados como confidenciales por tratarse de información privada, toda vez que los datos personales son irrenunciables, intransferibles e indelegables, por lo tanto los sujetos obligados no deben hacer entrega de éstos a persona ajena a su titular, sobre todo cuando traiga implícita que se ponga en riesgo la vida o integridad de una persona.</w:t>
      </w:r>
    </w:p>
    <w:p w:rsidR="00433085" w:rsidRPr="00EB3E7E" w:rsidRDefault="00433085" w:rsidP="00433085">
      <w:pPr>
        <w:tabs>
          <w:tab w:val="left" w:pos="284"/>
        </w:tabs>
        <w:spacing w:line="360" w:lineRule="auto"/>
        <w:jc w:val="both"/>
        <w:rPr>
          <w:rFonts w:ascii="Palatino Linotype" w:eastAsia="Palatino Linotype" w:hAnsi="Palatino Linotype" w:cs="Palatino Linotype"/>
        </w:rPr>
      </w:pPr>
    </w:p>
    <w:p w:rsidR="00433085" w:rsidRPr="00EB3E7E" w:rsidRDefault="00433085" w:rsidP="00745CAD">
      <w:pPr>
        <w:numPr>
          <w:ilvl w:val="0"/>
          <w:numId w:val="2"/>
        </w:numPr>
        <w:spacing w:line="360" w:lineRule="auto"/>
        <w:ind w:left="0" w:right="-787" w:firstLine="0"/>
        <w:jc w:val="both"/>
        <w:rPr>
          <w:rFonts w:ascii="Palatino Linotype" w:eastAsia="Palatino Linotype" w:hAnsi="Palatino Linotype" w:cs="Palatino Linotype"/>
        </w:rPr>
      </w:pPr>
      <w:r w:rsidRPr="00EB3E7E">
        <w:rPr>
          <w:rFonts w:ascii="Palatino Linotype" w:eastAsia="Palatino Linotype" w:hAnsi="Palatino Linotype" w:cs="Palatino Linotype"/>
        </w:rPr>
        <w:lastRenderedPageBreak/>
        <w:t>Sirven de sustento a lo anterior, las tesis jurisprudenciales P. LX/2000 y 2a. XLIII/2008 emitidas por el Peno y la Segunda Sala de la Suprema Corte de Justicia de la Nación, respectivamente, que son del tenor literal siguiente:</w:t>
      </w:r>
    </w:p>
    <w:p w:rsidR="00433085" w:rsidRPr="00EB3E7E" w:rsidRDefault="00433085" w:rsidP="00433085">
      <w:pPr>
        <w:pBdr>
          <w:top w:val="nil"/>
          <w:left w:val="nil"/>
          <w:bottom w:val="nil"/>
          <w:right w:val="nil"/>
          <w:between w:val="nil"/>
        </w:pBdr>
        <w:spacing w:line="360" w:lineRule="auto"/>
        <w:ind w:right="-858"/>
        <w:jc w:val="both"/>
        <w:rPr>
          <w:rFonts w:ascii="Palatino Linotype" w:eastAsia="Palatino Linotype" w:hAnsi="Palatino Linotype" w:cs="Palatino Linotype"/>
        </w:rPr>
      </w:pPr>
    </w:p>
    <w:p w:rsidR="00433085" w:rsidRPr="00EB3E7E" w:rsidRDefault="00433085" w:rsidP="00745CAD">
      <w:pPr>
        <w:ind w:left="567" w:right="-858"/>
        <w:jc w:val="both"/>
        <w:rPr>
          <w:rFonts w:ascii="Palatino Linotype" w:eastAsia="Palatino Linotype" w:hAnsi="Palatino Linotype" w:cs="Palatino Linotype"/>
          <w:i/>
        </w:rPr>
      </w:pPr>
      <w:r w:rsidRPr="00EB3E7E">
        <w:rPr>
          <w:rFonts w:ascii="Palatino Linotype" w:eastAsia="Palatino Linotype" w:hAnsi="Palatino Linotype" w:cs="Palatino Linotype"/>
          <w:b/>
          <w:i/>
        </w:rPr>
        <w:t xml:space="preserve">“DERECHO A LA INFORMACIÓN. SU EJERCICIO SE ENCUENTRA LIMITADO TANTO POR LOS INTERESES NACIONALES Y DE LA SOCIEDAD, COMO POR LOS DERECHOS DE TERCEROS. </w:t>
      </w:r>
      <w:r w:rsidRPr="00EB3E7E">
        <w:rPr>
          <w:rFonts w:ascii="Palatino Linotype" w:eastAsia="Palatino Linotype" w:hAnsi="Palatino Linotype" w:cs="Palatino Linotype"/>
          <w:i/>
        </w:rPr>
        <w:t xml:space="preserve">El derecho a la información consagrado en la última parte del artículo 6o. de la Constitución Federal no es absoluto, sino que, como toda garantía, se halla sujeto a limitaciones o excepciones que se sustentan, fundamentalmente, en la protección de la seguridad nacional y en el respeto tanto a los intereses de la sociedad como a los derechos de los gobernados, limitaciones que, incluso, han dado origen a la figura jurídica del secreto de información que se conoce en la doctrina como "reserva de información" o "secreto burocrático". En estas condiciones, al encontrarse obligado el Estado, como sujeto pasivo de la citada garantía, a velar por dichos intereses, con apego a las normas constitucionales y legales, el mencionado derecho no puede ser garantizado indiscriminadamente, sino que el respeto a su ejercicio encuentra excepciones que lo regulan y a su vez lo garantizan, en atención a la materia a que se refiera; así, en cuanto a la seguridad nacional, se tienen normas que, por un lado, </w:t>
      </w:r>
      <w:r w:rsidRPr="00EB3E7E">
        <w:rPr>
          <w:rFonts w:ascii="Palatino Linotype" w:eastAsia="Palatino Linotype" w:hAnsi="Palatino Linotype" w:cs="Palatino Linotype"/>
          <w:b/>
          <w:i/>
        </w:rPr>
        <w:t>restringen el acceso a la información en esta materia, en razón de que su conocimiento público puede generar daños a los intereses nacionales y, por el otro, sancionan la inobservancia de esa reserva</w:t>
      </w:r>
      <w:r w:rsidRPr="00EB3E7E">
        <w:rPr>
          <w:rFonts w:ascii="Palatino Linotype" w:eastAsia="Palatino Linotype" w:hAnsi="Palatino Linotype" w:cs="Palatino Linotype"/>
          <w:i/>
        </w:rPr>
        <w:t xml:space="preserve">; por lo que hace al interés social, se cuenta con normas que tienden a proteger la averiguación de los delitos, la salud y la moral públicas, </w:t>
      </w:r>
      <w:r w:rsidRPr="00EB3E7E">
        <w:rPr>
          <w:rFonts w:ascii="Palatino Linotype" w:eastAsia="Palatino Linotype" w:hAnsi="Palatino Linotype" w:cs="Palatino Linotype"/>
          <w:b/>
          <w:i/>
        </w:rPr>
        <w:t>mientras que por lo que respecta a la protección de la persona existen normas que protegen el derecho a la vida o a la privacidad de los gobernados</w:t>
      </w:r>
      <w:r w:rsidRPr="00EB3E7E">
        <w:rPr>
          <w:rFonts w:ascii="Palatino Linotype" w:eastAsia="Palatino Linotype" w:hAnsi="Palatino Linotype" w:cs="Palatino Linotype"/>
          <w:i/>
        </w:rPr>
        <w:t>.”</w:t>
      </w:r>
    </w:p>
    <w:p w:rsidR="00433085" w:rsidRPr="00EB3E7E" w:rsidRDefault="00433085" w:rsidP="00745CAD">
      <w:pPr>
        <w:ind w:left="567" w:right="-858"/>
        <w:jc w:val="both"/>
        <w:rPr>
          <w:rFonts w:ascii="Palatino Linotype" w:eastAsia="Palatino Linotype" w:hAnsi="Palatino Linotype" w:cs="Palatino Linotype"/>
          <w:i/>
        </w:rPr>
      </w:pPr>
    </w:p>
    <w:p w:rsidR="00433085" w:rsidRPr="00EB3E7E" w:rsidRDefault="00433085" w:rsidP="00745CAD">
      <w:pPr>
        <w:ind w:left="567" w:right="-858"/>
        <w:jc w:val="both"/>
        <w:rPr>
          <w:rFonts w:ascii="Palatino Linotype" w:eastAsia="Palatino Linotype" w:hAnsi="Palatino Linotype" w:cs="Palatino Linotype"/>
          <w:i/>
        </w:rPr>
      </w:pPr>
      <w:r w:rsidRPr="00EB3E7E">
        <w:rPr>
          <w:rFonts w:ascii="Palatino Linotype" w:eastAsia="Palatino Linotype" w:hAnsi="Palatino Linotype" w:cs="Palatino Linotype"/>
          <w:b/>
          <w:i/>
        </w:rPr>
        <w:t xml:space="preserve">“TRANSPARENCIA Y ACCESO A LA INFORMACIÓN PÚBLICA GUBERNAMENTAL. EL ARTÍCULO 14, FRACCIÓN I, DE LA LEY FEDERAL RELATIVA, NO VIOLA LA GARANTÍA DE ACCESO A LA INFORMACIÓN. </w:t>
      </w:r>
      <w:r w:rsidRPr="00EB3E7E">
        <w:rPr>
          <w:rFonts w:ascii="Palatino Linotype" w:eastAsia="Palatino Linotype" w:hAnsi="Palatino Linotype" w:cs="Palatino Linotype"/>
          <w:i/>
        </w:rPr>
        <w:t xml:space="preserve">El Tribunal en Pleno de la Suprema Corte de Justicia de la Nación en la tesis P. LX/2000 de rubro: "DERECHO A LA INFORMACIÓN. SU EJERCICIO SE ENCUENTRA LIMITADO TANTO POR LOS INTERESES NACIONALES Y DE LA SOCIEDAD, COMO POR LOS DERECHOS DE TERCEROS.", publicada en el Semanario Judicial de la Federación y su Gaceta, Novena Época, Tomo XI, abril de 2000, página 74, estableció que el ejercicio del derecho a la información no es irrestricto, sino que tiene límites que se sustentan en la protección de la seguridad nacional y en el respeto a los intereses de la sociedad y a los derechos de los gobernados, en atención a la materia de que se trate. En ese sentido, el citado precepto, al remitir a diversas </w:t>
      </w:r>
      <w:r w:rsidRPr="00EB3E7E">
        <w:rPr>
          <w:rFonts w:ascii="Palatino Linotype" w:eastAsia="Palatino Linotype" w:hAnsi="Palatino Linotype" w:cs="Palatino Linotype"/>
          <w:i/>
        </w:rPr>
        <w:lastRenderedPageBreak/>
        <w:t xml:space="preserve">normas ordinarias que establezcan restricciones a la información, no viola la garantía de acceso a la información contenida en el artículo 6o. de la Constitución Política de los Estados Unidos Mexicanos, porque es jurídicamente adecuado que en las leyes reguladoras de cada materia, </w:t>
      </w:r>
      <w:r w:rsidRPr="00EB3E7E">
        <w:rPr>
          <w:rFonts w:ascii="Palatino Linotype" w:eastAsia="Palatino Linotype" w:hAnsi="Palatino Linotype" w:cs="Palatino Linotype"/>
          <w:b/>
          <w:i/>
        </w:rPr>
        <w:t>el legislador federal o local establezca las restricciones correspondientes y clasifique a determinados datos como confidenciales o reservados, con la condición de que tales límites atiendan a intereses públicos o de los particulares y encuentren justificación racional en función del bien jurídico a proteger, es decir, que exista proporcionalidad y congruencia entre el derecho fundamental de que se trata y la razón que motive la restricción legislativa correspondiente,</w:t>
      </w:r>
      <w:r w:rsidRPr="00EB3E7E">
        <w:rPr>
          <w:rFonts w:ascii="Palatino Linotype" w:eastAsia="Palatino Linotype" w:hAnsi="Palatino Linotype" w:cs="Palatino Linotype"/>
          <w:i/>
        </w:rPr>
        <w:t xml:space="preserve"> la cual debe ser adecuada y necesaria para alcanzar el fin perseguido, de manera que las ventajas obtenidas con la reserva compensen el sacrificio que ésta implique para los titulares de la garantía individual mencionada o para la sociedad en general.”</w:t>
      </w:r>
    </w:p>
    <w:p w:rsidR="00433085" w:rsidRPr="00EB3E7E" w:rsidRDefault="00433085" w:rsidP="00433085">
      <w:pPr>
        <w:ind w:left="1134" w:right="-929"/>
        <w:jc w:val="both"/>
        <w:rPr>
          <w:rFonts w:ascii="Palatino Linotype" w:eastAsia="Palatino Linotype" w:hAnsi="Palatino Linotype" w:cs="Palatino Linotype"/>
          <w:i/>
        </w:rPr>
      </w:pPr>
    </w:p>
    <w:p w:rsidR="00433085" w:rsidRPr="00EB3E7E" w:rsidRDefault="00433085" w:rsidP="00745CAD">
      <w:pPr>
        <w:numPr>
          <w:ilvl w:val="0"/>
          <w:numId w:val="2"/>
        </w:numPr>
        <w:spacing w:line="360" w:lineRule="auto"/>
        <w:ind w:left="0" w:right="-787" w:firstLine="0"/>
        <w:jc w:val="both"/>
        <w:rPr>
          <w:rFonts w:ascii="Palatino Linotype" w:eastAsia="Palatino Linotype" w:hAnsi="Palatino Linotype" w:cs="Palatino Linotype"/>
        </w:rPr>
      </w:pPr>
      <w:r w:rsidRPr="00EB3E7E">
        <w:rPr>
          <w:rFonts w:ascii="Palatino Linotype" w:eastAsia="Palatino Linotype" w:hAnsi="Palatino Linotype" w:cs="Palatino Linotype"/>
        </w:rPr>
        <w:t>También, el número de cuenta bancario, conforme al el Criterio orientador 10/17 emitido por el Pleno del Instituto Nacional de Transparencia, Acceso a la Información y Protección de Datos Personales se establece lo siguiente:</w:t>
      </w:r>
    </w:p>
    <w:p w:rsidR="00433085" w:rsidRPr="00EB3E7E" w:rsidRDefault="00433085" w:rsidP="00433085">
      <w:pPr>
        <w:pBdr>
          <w:top w:val="nil"/>
          <w:left w:val="nil"/>
          <w:bottom w:val="nil"/>
          <w:right w:val="nil"/>
          <w:between w:val="nil"/>
        </w:pBdr>
        <w:spacing w:line="360" w:lineRule="auto"/>
        <w:jc w:val="both"/>
        <w:rPr>
          <w:rFonts w:ascii="Palatino Linotype" w:eastAsia="Palatino Linotype" w:hAnsi="Palatino Linotype" w:cs="Palatino Linotype"/>
        </w:rPr>
      </w:pPr>
    </w:p>
    <w:p w:rsidR="00433085" w:rsidRPr="00EB3E7E" w:rsidRDefault="00433085" w:rsidP="00433085">
      <w:pPr>
        <w:shd w:val="clear" w:color="auto" w:fill="FFFFFF"/>
        <w:ind w:left="1134" w:right="-716"/>
        <w:jc w:val="both"/>
        <w:rPr>
          <w:rFonts w:ascii="Palatino Linotype" w:eastAsia="Palatino Linotype" w:hAnsi="Palatino Linotype" w:cs="Palatino Linotype"/>
        </w:rPr>
      </w:pPr>
      <w:r w:rsidRPr="00EB3E7E">
        <w:rPr>
          <w:rFonts w:ascii="Palatino Linotype" w:eastAsia="Palatino Linotype" w:hAnsi="Palatino Linotype" w:cs="Palatino Linotype"/>
        </w:rPr>
        <w:t>“</w:t>
      </w:r>
      <w:r w:rsidRPr="00EB3E7E">
        <w:rPr>
          <w:rFonts w:ascii="Palatino Linotype" w:eastAsia="Palatino Linotype" w:hAnsi="Palatino Linotype" w:cs="Palatino Linotype"/>
          <w:b/>
          <w:i/>
        </w:rPr>
        <w:t>Cuentas bancarias y/o CLABE interbancaria de personas físicas y morales privadas.</w:t>
      </w:r>
      <w:r w:rsidRPr="00EB3E7E">
        <w:rPr>
          <w:rFonts w:ascii="Palatino Linotype" w:eastAsia="Palatino Linotype" w:hAnsi="Palatino Linotype" w:cs="Palatino Linotype"/>
          <w:i/>
        </w:rPr>
        <w:t xml:space="preserve">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r w:rsidRPr="00EB3E7E">
        <w:rPr>
          <w:rFonts w:ascii="Palatino Linotype" w:eastAsia="Palatino Linotype" w:hAnsi="Palatino Linotype" w:cs="Palatino Linotype"/>
        </w:rPr>
        <w:t>.”</w:t>
      </w:r>
    </w:p>
    <w:p w:rsidR="00433085" w:rsidRPr="00EB3E7E" w:rsidRDefault="00433085" w:rsidP="00433085">
      <w:pPr>
        <w:ind w:left="1134" w:right="-929"/>
        <w:jc w:val="both"/>
        <w:rPr>
          <w:rFonts w:ascii="Palatino Linotype" w:eastAsia="Palatino Linotype" w:hAnsi="Palatino Linotype" w:cs="Palatino Linotype"/>
        </w:rPr>
      </w:pPr>
    </w:p>
    <w:p w:rsidR="00433085" w:rsidRPr="00EB3E7E" w:rsidRDefault="00433085" w:rsidP="00745CAD">
      <w:pPr>
        <w:numPr>
          <w:ilvl w:val="0"/>
          <w:numId w:val="2"/>
        </w:numPr>
        <w:spacing w:line="360" w:lineRule="auto"/>
        <w:ind w:left="0" w:right="-787" w:firstLine="0"/>
        <w:jc w:val="both"/>
        <w:rPr>
          <w:rFonts w:ascii="Palatino Linotype" w:eastAsia="Palatino Linotype" w:hAnsi="Palatino Linotype" w:cs="Palatino Linotype"/>
        </w:rPr>
      </w:pPr>
      <w:r w:rsidRPr="00EB3E7E">
        <w:rPr>
          <w:rFonts w:ascii="Palatino Linotype" w:eastAsia="Palatino Linotype" w:hAnsi="Palatino Linotype" w:cs="Palatino Linotype"/>
        </w:rPr>
        <w:t xml:space="preserve">Esta cuenta es de uso personal y no guarda relación con el servicio público ni con los recursos públicos, ya que es elección del trabajador determinar si desea que su sueldo se pague de manera directa o a través de depósito bancario en la institución de crédito de su elección. De tal suerte, el número de cuenta bancario lo proporciona el servidor público o empleado al Sujeto Obligado, con el único fin de que realicen los depósitos de su sueldo, por lo que este número constituye información confidencial al pertenecer exclusivamente al ámbito de la vida </w:t>
      </w:r>
      <w:r w:rsidRPr="00EB3E7E">
        <w:rPr>
          <w:rFonts w:ascii="Palatino Linotype" w:eastAsia="Palatino Linotype" w:hAnsi="Palatino Linotype" w:cs="Palatino Linotype"/>
        </w:rPr>
        <w:lastRenderedPageBreak/>
        <w:t>privada del trabajador y procede su eliminación de conformidad con el artículo 143, fracción I de la Ley de Transparencia y Acceso a la Información Pública del Estado de México y Municipios.</w:t>
      </w:r>
    </w:p>
    <w:p w:rsidR="00433085" w:rsidRPr="00EB3E7E" w:rsidRDefault="00433085" w:rsidP="00433085">
      <w:pPr>
        <w:spacing w:line="360" w:lineRule="auto"/>
        <w:jc w:val="both"/>
        <w:rPr>
          <w:rFonts w:ascii="Palatino Linotype" w:eastAsia="Palatino Linotype" w:hAnsi="Palatino Linotype" w:cs="Palatino Linotype"/>
        </w:rPr>
      </w:pPr>
    </w:p>
    <w:p w:rsidR="00433085" w:rsidRPr="00EB3E7E" w:rsidRDefault="00433085" w:rsidP="00745CAD">
      <w:pPr>
        <w:numPr>
          <w:ilvl w:val="0"/>
          <w:numId w:val="2"/>
        </w:numPr>
        <w:spacing w:line="360" w:lineRule="auto"/>
        <w:ind w:left="0" w:right="-787" w:firstLine="0"/>
        <w:jc w:val="both"/>
        <w:rPr>
          <w:rFonts w:ascii="Palatino Linotype" w:eastAsia="Palatino Linotype" w:hAnsi="Palatino Linotype" w:cs="Palatino Linotype"/>
        </w:rPr>
      </w:pPr>
      <w:r w:rsidRPr="00EB3E7E">
        <w:rPr>
          <w:rFonts w:ascii="Palatino Linotype" w:eastAsia="Palatino Linotype" w:hAnsi="Palatino Linotype" w:cs="Palatino Linotype"/>
        </w:rPr>
        <w:t xml:space="preserve">El </w:t>
      </w:r>
      <w:r w:rsidRPr="00EB3E7E">
        <w:rPr>
          <w:rFonts w:ascii="Palatino Linotype" w:eastAsia="Palatino Linotype" w:hAnsi="Palatino Linotype" w:cs="Palatino Linotype"/>
          <w:b/>
        </w:rPr>
        <w:t>Código de barras bidimensional (QR</w:t>
      </w:r>
      <w:r w:rsidRPr="00EB3E7E">
        <w:rPr>
          <w:rFonts w:ascii="Palatino Linotype" w:eastAsia="Palatino Linotype" w:hAnsi="Palatino Linotype" w:cs="Palatino Linotype"/>
        </w:rPr>
        <w:t xml:space="preserve">), resulta necesario señalar que los comprobantes fiscales digitales por Internet, deben de incluir un código bidimensional conforme al formato QR Code (Quick Response Code), el cual contiene el Registro Federal de Contribuyentes del receptor, del emisor, o de ambos; lo anterior, conforme al Anexo 20 de la Resolución Miscelánea Fiscal para 2022, localizada en la página electrónica  </w:t>
      </w:r>
      <w:hyperlink r:id="rId10">
        <w:r w:rsidRPr="00EB3E7E">
          <w:rPr>
            <w:rFonts w:ascii="Palatino Linotype" w:eastAsia="Palatino Linotype" w:hAnsi="Palatino Linotype" w:cs="Palatino Linotype"/>
            <w:color w:val="0563C1"/>
            <w:u w:val="single"/>
          </w:rPr>
          <w:t>http://omawww.sat.gob.mx/tramitesyservicios/paginas/documentos/anexo20_2022.pdf</w:t>
        </w:r>
      </w:hyperlink>
      <w:r w:rsidRPr="00EB3E7E">
        <w:rPr>
          <w:rFonts w:ascii="Palatino Linotype" w:eastAsia="Palatino Linotype" w:hAnsi="Palatino Linotype" w:cs="Palatino Linotype"/>
        </w:rPr>
        <w:t xml:space="preserve"> . Incluso con la captura de dicho código, a través de la aplicación móvil del Servicio de Administración Tributaria, permite el acceso al Registro Federal de Contribuyentes, como del Sujeto Obligado, como de la persona física o moral correspondiente.</w:t>
      </w:r>
    </w:p>
    <w:p w:rsidR="00433085" w:rsidRPr="00EB3E7E" w:rsidRDefault="00433085" w:rsidP="00433085">
      <w:pPr>
        <w:tabs>
          <w:tab w:val="left" w:pos="284"/>
        </w:tabs>
        <w:spacing w:line="360" w:lineRule="auto"/>
        <w:ind w:right="-1071"/>
        <w:jc w:val="both"/>
        <w:rPr>
          <w:rFonts w:ascii="Palatino Linotype" w:eastAsia="Palatino Linotype" w:hAnsi="Palatino Linotype" w:cs="Palatino Linotype"/>
        </w:rPr>
      </w:pPr>
    </w:p>
    <w:p w:rsidR="00433085" w:rsidRPr="00EB3E7E" w:rsidRDefault="00433085" w:rsidP="00745CAD">
      <w:pPr>
        <w:numPr>
          <w:ilvl w:val="0"/>
          <w:numId w:val="2"/>
        </w:numPr>
        <w:spacing w:line="360" w:lineRule="auto"/>
        <w:ind w:left="0" w:right="-787" w:firstLine="0"/>
        <w:jc w:val="both"/>
        <w:rPr>
          <w:rFonts w:ascii="Palatino Linotype" w:eastAsia="Palatino Linotype" w:hAnsi="Palatino Linotype" w:cs="Palatino Linotype"/>
        </w:rPr>
      </w:pPr>
      <w:r w:rsidRPr="00EB3E7E">
        <w:rPr>
          <w:rFonts w:ascii="Palatino Linotype" w:eastAsia="Palatino Linotype" w:hAnsi="Palatino Linotype" w:cs="Palatino Linotype"/>
        </w:rPr>
        <w:t>De tales circunstancias, se considera que se actualiza la causal de clasificación prevista en el artículo 143, fracción I de la Ley de la materia, toda vez que el Registro Federal de Contribuyentes corresponde a los servidores públicos, pues como se señaló en párrafos anteriores el mismo hace identificable o identificada al mismo.</w:t>
      </w:r>
    </w:p>
    <w:p w:rsidR="00433085" w:rsidRPr="00EB3E7E" w:rsidRDefault="00433085" w:rsidP="00433085">
      <w:pPr>
        <w:tabs>
          <w:tab w:val="left" w:pos="284"/>
        </w:tabs>
        <w:spacing w:line="360" w:lineRule="auto"/>
        <w:jc w:val="both"/>
        <w:rPr>
          <w:rFonts w:ascii="Palatino Linotype" w:eastAsia="Palatino Linotype" w:hAnsi="Palatino Linotype" w:cs="Palatino Linotype"/>
        </w:rPr>
      </w:pPr>
    </w:p>
    <w:p w:rsidR="00433085" w:rsidRPr="00EB3E7E" w:rsidRDefault="00433085" w:rsidP="00745CAD">
      <w:pPr>
        <w:numPr>
          <w:ilvl w:val="0"/>
          <w:numId w:val="2"/>
        </w:numPr>
        <w:spacing w:line="360" w:lineRule="auto"/>
        <w:ind w:left="0" w:right="-787" w:firstLine="0"/>
        <w:jc w:val="both"/>
        <w:rPr>
          <w:rFonts w:ascii="Palatino Linotype" w:eastAsia="Palatino Linotype" w:hAnsi="Palatino Linotype" w:cs="Palatino Linotype"/>
        </w:rPr>
      </w:pPr>
      <w:r w:rsidRPr="00EB3E7E">
        <w:rPr>
          <w:rFonts w:ascii="Palatino Linotype" w:eastAsia="Palatino Linotype" w:hAnsi="Palatino Linotype" w:cs="Palatino Linotype"/>
        </w:rPr>
        <w:t xml:space="preserve">Por otra parte y respecto a la clave de seguridad social y en su caso clave o número del servidor público –trabajador-, en virtud de que su divulgación no aporta a la transparencia o a la rendición de cuentas y sí provoca una transgresión a la vida privada e intimidad de la persona, esta información también resulta ser de carácter confidencial; siendo aplicable como </w:t>
      </w:r>
      <w:r w:rsidRPr="00EB3E7E">
        <w:rPr>
          <w:rFonts w:ascii="Palatino Linotype" w:eastAsia="Palatino Linotype" w:hAnsi="Palatino Linotype" w:cs="Palatino Linotype"/>
        </w:rPr>
        <w:lastRenderedPageBreak/>
        <w:t>orientador el criterio orientador número 15/10 emitido por el entonces Instituto Federal de Transparencia y Acceso a la Información (INAI), cuyo texto y sentido literal es el siguiente:</w:t>
      </w:r>
    </w:p>
    <w:p w:rsidR="00433085" w:rsidRPr="00EB3E7E" w:rsidRDefault="00433085" w:rsidP="00433085">
      <w:pPr>
        <w:pBdr>
          <w:top w:val="nil"/>
          <w:left w:val="nil"/>
          <w:bottom w:val="nil"/>
          <w:right w:val="nil"/>
          <w:between w:val="nil"/>
        </w:pBdr>
        <w:spacing w:line="360" w:lineRule="auto"/>
        <w:jc w:val="both"/>
        <w:rPr>
          <w:rFonts w:ascii="Palatino Linotype" w:eastAsia="Palatino Linotype" w:hAnsi="Palatino Linotype" w:cs="Palatino Linotype"/>
        </w:rPr>
      </w:pPr>
    </w:p>
    <w:p w:rsidR="00433085" w:rsidRPr="00EB3E7E" w:rsidRDefault="00433085" w:rsidP="006B320A">
      <w:pPr>
        <w:shd w:val="clear" w:color="auto" w:fill="FFFFFF"/>
        <w:tabs>
          <w:tab w:val="left" w:pos="7938"/>
        </w:tabs>
        <w:ind w:left="567" w:right="-716"/>
        <w:jc w:val="both"/>
        <w:rPr>
          <w:rFonts w:ascii="Palatino Linotype" w:eastAsia="Palatino Linotype" w:hAnsi="Palatino Linotype" w:cs="Palatino Linotype"/>
          <w:i/>
          <w:color w:val="222222"/>
        </w:rPr>
      </w:pPr>
      <w:r w:rsidRPr="00EB3E7E">
        <w:rPr>
          <w:rFonts w:ascii="Palatino Linotype" w:eastAsia="Palatino Linotype" w:hAnsi="Palatino Linotype" w:cs="Palatino Linotype"/>
          <w:b/>
          <w:i/>
          <w:color w:val="222222"/>
        </w:rPr>
        <w:t>“El número de ficha de identificación única de los trabajadores es información de carácter confidencial.</w:t>
      </w:r>
      <w:r w:rsidRPr="00EB3E7E">
        <w:rPr>
          <w:rFonts w:ascii="Palatino Linotype" w:eastAsia="Palatino Linotype" w:hAnsi="Palatino Linotype" w:cs="Palatino Linotype"/>
          <w:i/>
          <w:color w:val="222222"/>
        </w:rPr>
        <w:t> </w:t>
      </w:r>
      <w:r w:rsidRPr="00EB3E7E">
        <w:rPr>
          <w:rFonts w:ascii="Palatino Linotype" w:eastAsia="Palatino Linotype" w:hAnsi="Palatino Linotype" w:cs="Palatino Linotype"/>
          <w:i/>
          <w:color w:val="222222"/>
          <w:u w:val="single"/>
        </w:rPr>
        <w:t>En los casos en que el número de trabajador o ficha de identificación única constituya un elemento por medio del cual los trabajadores puedan acceder a un sistema de datos o información de la dependencia o entidad, para hacer uso de diversos servicios, como la presentación de consultas relacionadas con su situación laboral particular</w:t>
      </w:r>
      <w:r w:rsidRPr="00EB3E7E">
        <w:rPr>
          <w:rFonts w:ascii="Palatino Linotype" w:eastAsia="Palatino Linotype" w:hAnsi="Palatino Linotype" w:cs="Palatino Linotype"/>
          <w:i/>
          <w:color w:val="222222"/>
        </w:rPr>
        <w:t>, </w:t>
      </w:r>
      <w:r w:rsidRPr="00EB3E7E">
        <w:rPr>
          <w:rFonts w:ascii="Palatino Linotype" w:eastAsia="Palatino Linotype" w:hAnsi="Palatino Linotype" w:cs="Palatino Linotype"/>
          <w:i/>
          <w:color w:val="222222"/>
          <w:u w:val="single"/>
        </w:rPr>
        <w:t>dicha información es susceptible de clasificarse con el carácter de confidencial</w:t>
      </w:r>
      <w:r w:rsidRPr="00EB3E7E">
        <w:rPr>
          <w:rFonts w:ascii="Palatino Linotype" w:eastAsia="Palatino Linotype" w:hAnsi="Palatino Linotype" w:cs="Palatino Linotype"/>
          <w:i/>
          <w:color w:val="222222"/>
        </w:rPr>
        <w:t>, en términos de lo establecido en el artículo 18, fracción II de la Ley Federal de Transparencia y Acceso a la Información Pública Gubernamental, en virtud de que a través de la misma es posible conocer información personal de su titular.”</w:t>
      </w:r>
    </w:p>
    <w:p w:rsidR="00433085" w:rsidRPr="00EB3E7E" w:rsidRDefault="00433085" w:rsidP="00433085">
      <w:pPr>
        <w:shd w:val="clear" w:color="auto" w:fill="FFFFFF"/>
        <w:ind w:right="541"/>
        <w:jc w:val="both"/>
        <w:rPr>
          <w:rFonts w:ascii="Palatino Linotype" w:eastAsia="Palatino Linotype" w:hAnsi="Palatino Linotype" w:cs="Palatino Linotype"/>
          <w:i/>
          <w:color w:val="222222"/>
        </w:rPr>
      </w:pPr>
    </w:p>
    <w:p w:rsidR="00433085" w:rsidRPr="00EB3E7E" w:rsidRDefault="00433085" w:rsidP="00433085">
      <w:pPr>
        <w:shd w:val="clear" w:color="auto" w:fill="FFFFFF"/>
        <w:ind w:left="1134" w:right="1106"/>
        <w:jc w:val="both"/>
        <w:rPr>
          <w:rFonts w:ascii="Palatino Linotype" w:eastAsia="Palatino Linotype" w:hAnsi="Palatino Linotype" w:cs="Palatino Linotype"/>
          <w:i/>
          <w:color w:val="222222"/>
        </w:rPr>
      </w:pPr>
    </w:p>
    <w:p w:rsidR="00433085" w:rsidRPr="00EB3E7E" w:rsidRDefault="00433085" w:rsidP="00745CAD">
      <w:pPr>
        <w:numPr>
          <w:ilvl w:val="0"/>
          <w:numId w:val="2"/>
        </w:numPr>
        <w:spacing w:line="360" w:lineRule="auto"/>
        <w:ind w:left="0" w:right="-787" w:firstLine="0"/>
        <w:jc w:val="both"/>
        <w:rPr>
          <w:rFonts w:ascii="Palatino Linotype" w:eastAsia="Palatino Linotype" w:hAnsi="Palatino Linotype" w:cs="Palatino Linotype"/>
        </w:rPr>
      </w:pPr>
      <w:r w:rsidRPr="00EB3E7E">
        <w:rPr>
          <w:rFonts w:ascii="Palatino Linotype" w:eastAsia="Palatino Linotype" w:hAnsi="Palatino Linotype" w:cs="Palatino Linotype"/>
        </w:rPr>
        <w:t xml:space="preserve">Ahora bien, también es necesario indicar que </w:t>
      </w:r>
      <w:r w:rsidRPr="00EB3E7E">
        <w:rPr>
          <w:rFonts w:ascii="Palatino Linotype" w:eastAsia="Palatino Linotype" w:hAnsi="Palatino Linotype" w:cs="Palatino Linotype"/>
          <w:b/>
        </w:rPr>
        <w:t>hay información</w:t>
      </w:r>
      <w:r w:rsidRPr="00EB3E7E">
        <w:rPr>
          <w:rFonts w:ascii="Palatino Linotype" w:eastAsia="Palatino Linotype" w:hAnsi="Palatino Linotype" w:cs="Palatino Linotype"/>
        </w:rPr>
        <w:t xml:space="preserve"> dentro de los recibos de nómina </w:t>
      </w:r>
      <w:r w:rsidRPr="00EB3E7E">
        <w:rPr>
          <w:rFonts w:ascii="Palatino Linotype" w:eastAsia="Palatino Linotype" w:hAnsi="Palatino Linotype" w:cs="Palatino Linotype"/>
          <w:b/>
        </w:rPr>
        <w:t>que no contienen datos personales</w:t>
      </w:r>
      <w:r w:rsidRPr="00EB3E7E">
        <w:rPr>
          <w:rFonts w:ascii="Palatino Linotype" w:eastAsia="Palatino Linotype" w:hAnsi="Palatino Linotype" w:cs="Palatino Linotype"/>
        </w:rPr>
        <w:t xml:space="preserve">, mismos que deberá tener en cuenta el </w:t>
      </w:r>
      <w:r w:rsidRPr="00EB3E7E">
        <w:rPr>
          <w:rFonts w:ascii="Palatino Linotype" w:eastAsia="Palatino Linotype" w:hAnsi="Palatino Linotype" w:cs="Palatino Linotype"/>
          <w:b/>
        </w:rPr>
        <w:t xml:space="preserve">SUJETO OBLIGADO </w:t>
      </w:r>
      <w:r w:rsidRPr="00EB3E7E">
        <w:rPr>
          <w:rFonts w:ascii="Palatino Linotype" w:eastAsia="Palatino Linotype" w:hAnsi="Palatino Linotype" w:cs="Palatino Linotype"/>
        </w:rPr>
        <w:t>para el entrega de los recibos de nómina que se ordenan en el presenta recurso de revisión.</w:t>
      </w:r>
    </w:p>
    <w:p w:rsidR="00433085" w:rsidRPr="00EB3E7E" w:rsidRDefault="00433085" w:rsidP="00433085">
      <w:pPr>
        <w:tabs>
          <w:tab w:val="left" w:pos="284"/>
        </w:tabs>
        <w:jc w:val="both"/>
        <w:rPr>
          <w:rFonts w:ascii="Palatino Linotype" w:eastAsia="Palatino Linotype" w:hAnsi="Palatino Linotype" w:cs="Palatino Linotype"/>
        </w:rPr>
      </w:pPr>
    </w:p>
    <w:p w:rsidR="00433085" w:rsidRPr="00EB3E7E" w:rsidRDefault="00433085" w:rsidP="00745CAD">
      <w:pPr>
        <w:numPr>
          <w:ilvl w:val="0"/>
          <w:numId w:val="2"/>
        </w:numPr>
        <w:spacing w:line="360" w:lineRule="auto"/>
        <w:ind w:left="0" w:right="-787" w:firstLine="0"/>
        <w:jc w:val="both"/>
        <w:rPr>
          <w:rFonts w:ascii="Palatino Linotype" w:eastAsia="Palatino Linotype" w:hAnsi="Palatino Linotype" w:cs="Palatino Linotype"/>
        </w:rPr>
      </w:pPr>
      <w:r w:rsidRPr="00EB3E7E">
        <w:rPr>
          <w:rFonts w:ascii="Palatino Linotype" w:eastAsia="Palatino Linotype" w:hAnsi="Palatino Linotype" w:cs="Palatino Linotype"/>
        </w:rPr>
        <w:t xml:space="preserve">Por cuanto hace </w:t>
      </w:r>
      <w:r w:rsidRPr="00EB3E7E">
        <w:rPr>
          <w:rFonts w:ascii="Palatino Linotype" w:eastAsia="Palatino Linotype" w:hAnsi="Palatino Linotype" w:cs="Palatino Linotype"/>
          <w:b/>
        </w:rPr>
        <w:t>al Folio Fiscal</w:t>
      </w:r>
      <w:r w:rsidRPr="00EB3E7E">
        <w:rPr>
          <w:rFonts w:ascii="Palatino Linotype" w:eastAsia="Palatino Linotype" w:hAnsi="Palatino Linotype" w:cs="Palatino Linotype"/>
        </w:rPr>
        <w:t>, cabe precisar que conforme a la Resolución Miscelánea Fiscal para 2025, el folio fiscal es un dato que deben contener los CDFI por concepto de nómina. Dicho dato es un identificador individual de cada factura o comprobante electrónico. El objetivo del Folio es prevenir los fraudes o falsificaciones, ya que contiene códigos o claves únicas de cada comprobante fiscal, de tal manera que se puede comprobar si la factura fue certificada por el SAT. El Folio Fiscal está compuesto por 32 dígitos hexadecimales, mostrados en 5 grupos separados por guiones.</w:t>
      </w:r>
    </w:p>
    <w:p w:rsidR="00433085" w:rsidRPr="00EB3E7E" w:rsidRDefault="00433085" w:rsidP="00433085">
      <w:pPr>
        <w:jc w:val="both"/>
        <w:rPr>
          <w:rFonts w:ascii="Palatino Linotype" w:eastAsia="Palatino Linotype" w:hAnsi="Palatino Linotype" w:cs="Palatino Linotype"/>
        </w:rPr>
      </w:pPr>
    </w:p>
    <w:p w:rsidR="00433085" w:rsidRPr="00EB3E7E" w:rsidRDefault="00433085" w:rsidP="00745CAD">
      <w:pPr>
        <w:numPr>
          <w:ilvl w:val="0"/>
          <w:numId w:val="2"/>
        </w:numPr>
        <w:spacing w:line="360" w:lineRule="auto"/>
        <w:ind w:left="0" w:right="-787" w:firstLine="0"/>
        <w:jc w:val="both"/>
        <w:rPr>
          <w:rFonts w:ascii="Palatino Linotype" w:eastAsia="Palatino Linotype" w:hAnsi="Palatino Linotype" w:cs="Palatino Linotype"/>
        </w:rPr>
      </w:pPr>
      <w:r w:rsidRPr="00EB3E7E">
        <w:rPr>
          <w:rFonts w:ascii="Palatino Linotype" w:eastAsia="Palatino Linotype" w:hAnsi="Palatino Linotype" w:cs="Palatino Linotype"/>
        </w:rPr>
        <w:lastRenderedPageBreak/>
        <w:t>La Guía de llenado del comprobante del recibo de pago de nómina y su complemento Aplicable para la versión 4.0 del CFDI y el complemento de nómina versión 1.2. muestra la Representación gráfica del CFDI por concepto de nómina en donde se aprecia el Folio Fiscal:</w:t>
      </w:r>
    </w:p>
    <w:p w:rsidR="00433085" w:rsidRDefault="00433085" w:rsidP="00433085">
      <w:pPr>
        <w:jc w:val="center"/>
        <w:rPr>
          <w:rFonts w:ascii="Palatino Linotype" w:eastAsia="Palatino Linotype" w:hAnsi="Palatino Linotype" w:cs="Palatino Linotype"/>
        </w:rPr>
      </w:pPr>
      <w:r w:rsidRPr="00EB3E7E">
        <w:rPr>
          <w:rFonts w:ascii="Palatino Linotype" w:eastAsia="Palatino Linotype" w:hAnsi="Palatino Linotype" w:cs="Palatino Linotype"/>
          <w:noProof/>
          <w:lang w:val="es-MX"/>
        </w:rPr>
        <w:drawing>
          <wp:inline distT="0" distB="0" distL="0" distR="0" wp14:anchorId="3FAB1E61" wp14:editId="22B942EF">
            <wp:extent cx="4513132" cy="815998"/>
            <wp:effectExtent l="0" t="0" r="0" b="0"/>
            <wp:docPr id="1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4513132" cy="815998"/>
                    </a:xfrm>
                    <a:prstGeom prst="rect">
                      <a:avLst/>
                    </a:prstGeom>
                    <a:ln/>
                  </pic:spPr>
                </pic:pic>
              </a:graphicData>
            </a:graphic>
          </wp:inline>
        </w:drawing>
      </w:r>
    </w:p>
    <w:p w:rsidR="00EB3E7E" w:rsidRPr="00EB3E7E" w:rsidRDefault="00EB3E7E" w:rsidP="00433085">
      <w:pPr>
        <w:jc w:val="center"/>
        <w:rPr>
          <w:rFonts w:ascii="Palatino Linotype" w:eastAsia="Palatino Linotype" w:hAnsi="Palatino Linotype" w:cs="Palatino Linotype"/>
        </w:rPr>
      </w:pPr>
    </w:p>
    <w:p w:rsidR="00433085" w:rsidRPr="00EB3E7E" w:rsidRDefault="00433085" w:rsidP="00745CAD">
      <w:pPr>
        <w:numPr>
          <w:ilvl w:val="0"/>
          <w:numId w:val="2"/>
        </w:numPr>
        <w:spacing w:line="360" w:lineRule="auto"/>
        <w:ind w:left="0" w:right="-787" w:firstLine="0"/>
        <w:jc w:val="both"/>
        <w:rPr>
          <w:rFonts w:ascii="Palatino Linotype" w:eastAsia="Palatino Linotype" w:hAnsi="Palatino Linotype" w:cs="Palatino Linotype"/>
        </w:rPr>
      </w:pPr>
      <w:r w:rsidRPr="00EB3E7E">
        <w:rPr>
          <w:rFonts w:ascii="Palatino Linotype" w:eastAsia="Palatino Linotype" w:hAnsi="Palatino Linotype" w:cs="Palatino Linotype"/>
        </w:rPr>
        <w:t>El Anexo 20 Guía de llenado de los comprobantes fiscales digitales por Internet, actualizado al 08 de marzo del 2023, señala que se debe registrar el folio fiscal (UUID) de un comprobante fiscal relacionado con el presente comprobante. Ejemplo: UUID= 5FB2822E-396D-4725-8521-CDC4BDD20CCF</w:t>
      </w:r>
    </w:p>
    <w:p w:rsidR="00433085" w:rsidRPr="00EB3E7E" w:rsidRDefault="00433085" w:rsidP="00433085">
      <w:pPr>
        <w:spacing w:line="360" w:lineRule="auto"/>
        <w:ind w:right="-787"/>
        <w:jc w:val="both"/>
        <w:rPr>
          <w:rFonts w:ascii="Palatino Linotype" w:eastAsia="Palatino Linotype" w:hAnsi="Palatino Linotype" w:cs="Palatino Linotype"/>
        </w:rPr>
      </w:pPr>
    </w:p>
    <w:p w:rsidR="00433085" w:rsidRPr="00EB3E7E" w:rsidRDefault="00433085" w:rsidP="00745CAD">
      <w:pPr>
        <w:numPr>
          <w:ilvl w:val="0"/>
          <w:numId w:val="2"/>
        </w:numPr>
        <w:spacing w:line="360" w:lineRule="auto"/>
        <w:ind w:left="0" w:right="-787" w:firstLine="0"/>
        <w:jc w:val="both"/>
        <w:rPr>
          <w:rFonts w:ascii="Palatino Linotype" w:eastAsia="Palatino Linotype" w:hAnsi="Palatino Linotype" w:cs="Palatino Linotype"/>
        </w:rPr>
      </w:pPr>
      <w:r w:rsidRPr="00EB3E7E">
        <w:rPr>
          <w:rFonts w:ascii="Palatino Linotype" w:eastAsia="Palatino Linotype" w:hAnsi="Palatino Linotype" w:cs="Palatino Linotype"/>
        </w:rPr>
        <w:t>En ese contexto, el folio fiscal, no contiene datos personales y tampoco se puede obtener información confidencial con el mismo, pues solamente es un identificador del emisor, del cual su transparencia ayuda a legitimar que el documento cumple con todos los requisitos establecidos en la normatividad aplicable, sin necesidad de algún dato personal, por lo que, no se actualiza la clasificación, en términos del artículo 143, fracción I de la Ley de la materia.</w:t>
      </w:r>
    </w:p>
    <w:p w:rsidR="00433085" w:rsidRPr="00EB3E7E" w:rsidRDefault="00433085" w:rsidP="00433085">
      <w:pPr>
        <w:spacing w:line="360" w:lineRule="auto"/>
        <w:ind w:right="-929"/>
        <w:jc w:val="both"/>
        <w:rPr>
          <w:rFonts w:ascii="Palatino Linotype" w:eastAsia="Palatino Linotype" w:hAnsi="Palatino Linotype" w:cs="Palatino Linotype"/>
          <w:b/>
        </w:rPr>
      </w:pPr>
    </w:p>
    <w:p w:rsidR="00433085" w:rsidRPr="00EB3E7E" w:rsidRDefault="00433085" w:rsidP="00745CAD">
      <w:pPr>
        <w:numPr>
          <w:ilvl w:val="0"/>
          <w:numId w:val="2"/>
        </w:numPr>
        <w:spacing w:line="360" w:lineRule="auto"/>
        <w:ind w:left="0" w:right="-787" w:firstLine="0"/>
        <w:jc w:val="both"/>
        <w:rPr>
          <w:rFonts w:ascii="Palatino Linotype" w:eastAsia="Palatino Linotype" w:hAnsi="Palatino Linotype" w:cs="Palatino Linotype"/>
        </w:rPr>
      </w:pPr>
      <w:r w:rsidRPr="00EB3E7E">
        <w:rPr>
          <w:rFonts w:ascii="Palatino Linotype" w:eastAsia="Palatino Linotype" w:hAnsi="Palatino Linotype" w:cs="Palatino Linotype"/>
        </w:rPr>
        <w:t>En esa línea de estudio,</w:t>
      </w:r>
      <w:r w:rsidRPr="00EB3E7E">
        <w:rPr>
          <w:rFonts w:ascii="Palatino Linotype" w:eastAsia="Palatino Linotype" w:hAnsi="Palatino Linotype" w:cs="Palatino Linotype"/>
          <w:b/>
        </w:rPr>
        <w:t xml:space="preserve"> las cadenas originales y sellos digitales</w:t>
      </w:r>
      <w:r w:rsidRPr="00EB3E7E">
        <w:rPr>
          <w:rFonts w:ascii="Palatino Linotype" w:eastAsia="Palatino Linotype" w:hAnsi="Palatino Linotype" w:cs="Palatino Linotype"/>
        </w:rPr>
        <w:t>, tienen una secuencia de generación, determinados con base en el Anexo 20 de la Resolución Miscelánea Fiscal para 2022, que precisa los datos de los que se componen los elementos de seguridad y se puntualiza que dicha información está encriptada.</w:t>
      </w:r>
    </w:p>
    <w:p w:rsidR="00433085" w:rsidRPr="00EB3E7E" w:rsidRDefault="00433085" w:rsidP="00433085">
      <w:pPr>
        <w:ind w:left="1134" w:right="-220"/>
        <w:jc w:val="both"/>
        <w:rPr>
          <w:rFonts w:ascii="Palatino Linotype" w:eastAsia="Palatino Linotype" w:hAnsi="Palatino Linotype" w:cs="Palatino Linotype"/>
          <w:i/>
        </w:rPr>
      </w:pPr>
      <w:r w:rsidRPr="00EB3E7E">
        <w:rPr>
          <w:rFonts w:ascii="Palatino Linotype" w:eastAsia="Palatino Linotype" w:hAnsi="Palatino Linotype" w:cs="Palatino Linotype"/>
          <w:i/>
        </w:rPr>
        <w:t>“Elementos utilizados en la generación de Sellos Digitales:</w:t>
      </w:r>
    </w:p>
    <w:p w:rsidR="00433085" w:rsidRPr="00EB3E7E" w:rsidRDefault="00433085" w:rsidP="00433085">
      <w:pPr>
        <w:ind w:left="1134" w:right="-220"/>
        <w:jc w:val="both"/>
        <w:rPr>
          <w:rFonts w:ascii="Palatino Linotype" w:eastAsia="Palatino Linotype" w:hAnsi="Palatino Linotype" w:cs="Palatino Linotype"/>
          <w:i/>
        </w:rPr>
      </w:pPr>
      <w:r w:rsidRPr="00EB3E7E">
        <w:rPr>
          <w:rFonts w:ascii="Palatino Linotype" w:eastAsia="Palatino Linotype" w:hAnsi="Palatino Linotype" w:cs="Palatino Linotype"/>
          <w:i/>
        </w:rPr>
        <w:t>•</w:t>
      </w:r>
      <w:r w:rsidRPr="00EB3E7E">
        <w:rPr>
          <w:rFonts w:ascii="Palatino Linotype" w:eastAsia="Palatino Linotype" w:hAnsi="Palatino Linotype" w:cs="Palatino Linotype"/>
          <w:i/>
        </w:rPr>
        <w:tab/>
        <w:t>Cadena Original del elemento a sellar.</w:t>
      </w:r>
    </w:p>
    <w:p w:rsidR="00433085" w:rsidRPr="00EB3E7E" w:rsidRDefault="00433085" w:rsidP="00433085">
      <w:pPr>
        <w:ind w:left="1134" w:right="-220"/>
        <w:jc w:val="both"/>
        <w:rPr>
          <w:rFonts w:ascii="Palatino Linotype" w:eastAsia="Palatino Linotype" w:hAnsi="Palatino Linotype" w:cs="Palatino Linotype"/>
          <w:i/>
        </w:rPr>
      </w:pPr>
      <w:r w:rsidRPr="00EB3E7E">
        <w:rPr>
          <w:rFonts w:ascii="Palatino Linotype" w:eastAsia="Palatino Linotype" w:hAnsi="Palatino Linotype" w:cs="Palatino Linotype"/>
          <w:i/>
        </w:rPr>
        <w:t>•</w:t>
      </w:r>
      <w:r w:rsidRPr="00EB3E7E">
        <w:rPr>
          <w:rFonts w:ascii="Palatino Linotype" w:eastAsia="Palatino Linotype" w:hAnsi="Palatino Linotype" w:cs="Palatino Linotype"/>
          <w:i/>
        </w:rPr>
        <w:tab/>
        <w:t>Certificado de Sello Digital y su correspondiente clave privada.</w:t>
      </w:r>
    </w:p>
    <w:p w:rsidR="00433085" w:rsidRPr="00EB3E7E" w:rsidRDefault="00433085" w:rsidP="00433085">
      <w:pPr>
        <w:ind w:left="1134" w:right="-220"/>
        <w:jc w:val="both"/>
        <w:rPr>
          <w:rFonts w:ascii="Palatino Linotype" w:eastAsia="Palatino Linotype" w:hAnsi="Palatino Linotype" w:cs="Palatino Linotype"/>
          <w:i/>
        </w:rPr>
      </w:pPr>
      <w:r w:rsidRPr="00EB3E7E">
        <w:rPr>
          <w:rFonts w:ascii="Palatino Linotype" w:eastAsia="Palatino Linotype" w:hAnsi="Palatino Linotype" w:cs="Palatino Linotype"/>
          <w:i/>
        </w:rPr>
        <w:t>•</w:t>
      </w:r>
      <w:r w:rsidRPr="00EB3E7E">
        <w:rPr>
          <w:rFonts w:ascii="Palatino Linotype" w:eastAsia="Palatino Linotype" w:hAnsi="Palatino Linotype" w:cs="Palatino Linotype"/>
          <w:i/>
        </w:rPr>
        <w:tab/>
        <w:t>Algoritmos de criptografía de clave pública para firma electrónica avanzada.</w:t>
      </w:r>
    </w:p>
    <w:p w:rsidR="00433085" w:rsidRPr="00EB3E7E" w:rsidRDefault="00433085" w:rsidP="00433085">
      <w:pPr>
        <w:ind w:left="1134" w:right="-220"/>
        <w:jc w:val="both"/>
        <w:rPr>
          <w:rFonts w:ascii="Palatino Linotype" w:eastAsia="Palatino Linotype" w:hAnsi="Palatino Linotype" w:cs="Palatino Linotype"/>
          <w:i/>
        </w:rPr>
      </w:pPr>
      <w:r w:rsidRPr="00EB3E7E">
        <w:rPr>
          <w:rFonts w:ascii="Palatino Linotype" w:eastAsia="Palatino Linotype" w:hAnsi="Palatino Linotype" w:cs="Palatino Linotype"/>
          <w:i/>
        </w:rPr>
        <w:lastRenderedPageBreak/>
        <w:t>•</w:t>
      </w:r>
      <w:r w:rsidRPr="00EB3E7E">
        <w:rPr>
          <w:rFonts w:ascii="Palatino Linotype" w:eastAsia="Palatino Linotype" w:hAnsi="Palatino Linotype" w:cs="Palatino Linotype"/>
          <w:i/>
        </w:rPr>
        <w:tab/>
        <w:t>Especificaciones de conversión de la firma electrónica avanzada a Base 64.</w:t>
      </w:r>
    </w:p>
    <w:p w:rsidR="00433085" w:rsidRPr="00EB3E7E" w:rsidRDefault="00433085" w:rsidP="00433085">
      <w:pPr>
        <w:ind w:left="1134" w:right="-220"/>
        <w:jc w:val="both"/>
        <w:rPr>
          <w:rFonts w:ascii="Palatino Linotype" w:eastAsia="Palatino Linotype" w:hAnsi="Palatino Linotype" w:cs="Palatino Linotype"/>
          <w:i/>
        </w:rPr>
      </w:pPr>
      <w:r w:rsidRPr="00EB3E7E">
        <w:rPr>
          <w:rFonts w:ascii="Palatino Linotype" w:eastAsia="Palatino Linotype" w:hAnsi="Palatino Linotype" w:cs="Palatino Linotype"/>
          <w:i/>
        </w:rPr>
        <w:t>Para la generación de sellos digitales se utiliza criptografía de clave pública aplicada a una cadena original.</w:t>
      </w:r>
    </w:p>
    <w:p w:rsidR="00433085" w:rsidRPr="00EB3E7E" w:rsidRDefault="00433085" w:rsidP="00433085">
      <w:pPr>
        <w:ind w:left="1134" w:right="-220"/>
        <w:jc w:val="both"/>
        <w:rPr>
          <w:rFonts w:ascii="Palatino Linotype" w:eastAsia="Palatino Linotype" w:hAnsi="Palatino Linotype" w:cs="Palatino Linotype"/>
          <w:b/>
          <w:i/>
        </w:rPr>
      </w:pPr>
      <w:r w:rsidRPr="00EB3E7E">
        <w:rPr>
          <w:rFonts w:ascii="Palatino Linotype" w:eastAsia="Palatino Linotype" w:hAnsi="Palatino Linotype" w:cs="Palatino Linotype"/>
          <w:b/>
          <w:i/>
        </w:rPr>
        <w:t>Criptografía de la Clave Pública</w:t>
      </w:r>
    </w:p>
    <w:p w:rsidR="00433085" w:rsidRPr="00EB3E7E" w:rsidRDefault="00433085" w:rsidP="00433085">
      <w:pPr>
        <w:ind w:left="1134" w:right="-220"/>
        <w:jc w:val="both"/>
        <w:rPr>
          <w:rFonts w:ascii="Palatino Linotype" w:eastAsia="Palatino Linotype" w:hAnsi="Palatino Linotype" w:cs="Palatino Linotype"/>
          <w:i/>
        </w:rPr>
      </w:pPr>
      <w:r w:rsidRPr="00EB3E7E">
        <w:rPr>
          <w:rFonts w:ascii="Palatino Linotype" w:eastAsia="Palatino Linotype" w:hAnsi="Palatino Linotype" w:cs="Palatino Linotype"/>
          <w:i/>
        </w:rPr>
        <w:t>La criptografía de Clave Pública se basa en la generación de una pareja de números muy grandes relacionados entre sí, de tal manera que una operación de encripción sobre un mensaje tomando como clave de encripción a uno de los dos números, produce un mensaje alterado en su significado que sólo puede ser devuelto a su estado original mediante la operación de desencripción correspondiente tomando como clave de desencripción al otro número de la pareja.”</w:t>
      </w:r>
    </w:p>
    <w:p w:rsidR="00433085" w:rsidRPr="00EB3E7E" w:rsidRDefault="00433085" w:rsidP="00433085">
      <w:pPr>
        <w:ind w:left="1134" w:right="-1071"/>
        <w:jc w:val="both"/>
        <w:rPr>
          <w:rFonts w:ascii="Palatino Linotype" w:eastAsia="Palatino Linotype" w:hAnsi="Palatino Linotype" w:cs="Palatino Linotype"/>
          <w:i/>
        </w:rPr>
      </w:pPr>
    </w:p>
    <w:p w:rsidR="00433085" w:rsidRPr="00EB3E7E" w:rsidRDefault="00433085" w:rsidP="00433085">
      <w:pPr>
        <w:ind w:right="-1071"/>
        <w:jc w:val="both"/>
        <w:rPr>
          <w:rFonts w:ascii="Palatino Linotype" w:eastAsia="Palatino Linotype" w:hAnsi="Palatino Linotype" w:cs="Palatino Linotype"/>
          <w:i/>
        </w:rPr>
      </w:pPr>
    </w:p>
    <w:p w:rsidR="00433085" w:rsidRPr="00EB3E7E" w:rsidRDefault="00433085" w:rsidP="00745CAD">
      <w:pPr>
        <w:numPr>
          <w:ilvl w:val="0"/>
          <w:numId w:val="2"/>
        </w:numPr>
        <w:spacing w:line="360" w:lineRule="auto"/>
        <w:ind w:left="0" w:right="-787" w:firstLine="0"/>
        <w:jc w:val="both"/>
        <w:rPr>
          <w:rFonts w:ascii="Palatino Linotype" w:eastAsia="Palatino Linotype" w:hAnsi="Palatino Linotype" w:cs="Palatino Linotype"/>
        </w:rPr>
      </w:pPr>
      <w:r w:rsidRPr="00EB3E7E">
        <w:rPr>
          <w:rFonts w:ascii="Palatino Linotype" w:eastAsia="Palatino Linotype" w:hAnsi="Palatino Linotype" w:cs="Palatino Linotype"/>
        </w:rPr>
        <w:t xml:space="preserve">Es decir, por sí solos </w:t>
      </w:r>
      <w:r w:rsidRPr="00EB3E7E">
        <w:rPr>
          <w:rFonts w:ascii="Palatino Linotype" w:eastAsia="Palatino Linotype" w:hAnsi="Palatino Linotype" w:cs="Palatino Linotype"/>
          <w:b/>
        </w:rPr>
        <w:t>las cadenas originales y los sellos originales no contienen datos personales confidenciales</w:t>
      </w:r>
      <w:r w:rsidRPr="00EB3E7E">
        <w:rPr>
          <w:rFonts w:ascii="Palatino Linotype" w:eastAsia="Palatino Linotype" w:hAnsi="Palatino Linotype" w:cs="Palatino Linotype"/>
        </w:rPr>
        <w:t>, por lo que se considera que no actualizan el supuesto de confidencialidad previsto en el artículo 143, fracción I, de la Ley de Transparencia y Acceso a la Información Pública del Estado de México y Municipios y, por el contrario, son información que permite corroborar la legitimidad de la factura, de ser el caso, por lo que guardan el carácter de público.</w:t>
      </w:r>
    </w:p>
    <w:p w:rsidR="00433085" w:rsidRPr="00EB3E7E" w:rsidRDefault="00433085" w:rsidP="00433085">
      <w:pPr>
        <w:pBdr>
          <w:top w:val="nil"/>
          <w:left w:val="nil"/>
          <w:bottom w:val="nil"/>
          <w:right w:val="nil"/>
          <w:between w:val="nil"/>
        </w:pBdr>
        <w:spacing w:line="360" w:lineRule="auto"/>
        <w:ind w:right="-1071"/>
        <w:jc w:val="both"/>
        <w:rPr>
          <w:rFonts w:ascii="Palatino Linotype" w:eastAsia="Palatino Linotype" w:hAnsi="Palatino Linotype" w:cs="Palatino Linotype"/>
        </w:rPr>
      </w:pPr>
    </w:p>
    <w:p w:rsidR="00433085" w:rsidRPr="00EB3E7E" w:rsidRDefault="00433085" w:rsidP="00745CAD">
      <w:pPr>
        <w:numPr>
          <w:ilvl w:val="0"/>
          <w:numId w:val="2"/>
        </w:numPr>
        <w:spacing w:line="360" w:lineRule="auto"/>
        <w:ind w:left="0" w:right="-787" w:firstLine="0"/>
        <w:jc w:val="both"/>
        <w:rPr>
          <w:rFonts w:ascii="Palatino Linotype" w:eastAsia="Palatino Linotype" w:hAnsi="Palatino Linotype" w:cs="Palatino Linotype"/>
        </w:rPr>
      </w:pPr>
      <w:r w:rsidRPr="00EB3E7E">
        <w:rPr>
          <w:rFonts w:ascii="Palatino Linotype" w:eastAsia="Palatino Linotype" w:hAnsi="Palatino Linotype" w:cs="Palatino Linotype"/>
        </w:rPr>
        <w:t>Cabe señalar que, en algunos casos, las cadenas originales y sellos digitales, se pueden conformar de datos confidenciales, tales como el Registro Federal de Contribuyentes o la Clave Única de Registro de Población o las deducciones personales; por lo que, en su caso actualizarán actualiza la clasificación, en términos del artículo 143, fracción I, de la Ley de la materia.</w:t>
      </w:r>
    </w:p>
    <w:p w:rsidR="00433085" w:rsidRPr="00EB3E7E" w:rsidRDefault="00433085" w:rsidP="00433085">
      <w:pPr>
        <w:spacing w:line="360" w:lineRule="auto"/>
        <w:ind w:right="-1071"/>
        <w:jc w:val="both"/>
        <w:rPr>
          <w:rFonts w:ascii="Palatino Linotype" w:eastAsia="Palatino Linotype" w:hAnsi="Palatino Linotype" w:cs="Palatino Linotype"/>
          <w:b/>
        </w:rPr>
      </w:pPr>
    </w:p>
    <w:p w:rsidR="00433085" w:rsidRPr="00EB3E7E" w:rsidRDefault="00433085" w:rsidP="00745CAD">
      <w:pPr>
        <w:numPr>
          <w:ilvl w:val="0"/>
          <w:numId w:val="2"/>
        </w:numPr>
        <w:spacing w:line="360" w:lineRule="auto"/>
        <w:ind w:left="0" w:right="-787" w:firstLine="0"/>
        <w:jc w:val="both"/>
        <w:rPr>
          <w:rFonts w:ascii="Palatino Linotype" w:eastAsia="Palatino Linotype" w:hAnsi="Palatino Linotype" w:cs="Palatino Linotype"/>
        </w:rPr>
      </w:pPr>
      <w:r w:rsidRPr="00EB3E7E">
        <w:rPr>
          <w:rFonts w:ascii="Palatino Linotype" w:eastAsia="Palatino Linotype" w:hAnsi="Palatino Linotype" w:cs="Palatino Linotype"/>
        </w:rPr>
        <w:t xml:space="preserve">Por otra parte, por lo que hace al </w:t>
      </w:r>
      <w:r w:rsidRPr="00EB3E7E">
        <w:rPr>
          <w:rFonts w:ascii="Palatino Linotype" w:eastAsia="Palatino Linotype" w:hAnsi="Palatino Linotype" w:cs="Palatino Linotype"/>
          <w:b/>
        </w:rPr>
        <w:t>número de serie de los certificados de Sello Digitales del emisor y del Servicio de Administración Tributaria</w:t>
      </w:r>
      <w:r w:rsidRPr="00EB3E7E">
        <w:rPr>
          <w:rFonts w:ascii="Palatino Linotype" w:eastAsia="Palatino Linotype" w:hAnsi="Palatino Linotype" w:cs="Palatino Linotype"/>
        </w:rPr>
        <w:t xml:space="preserve">, el Anexo 20 de la Resolución Miscelánea Fiscal para 2022, precisa que es un atributo requerido para expresar el número de </w:t>
      </w:r>
      <w:r w:rsidRPr="00EB3E7E">
        <w:rPr>
          <w:rFonts w:ascii="Palatino Linotype" w:eastAsia="Palatino Linotype" w:hAnsi="Palatino Linotype" w:cs="Palatino Linotype"/>
        </w:rPr>
        <w:lastRenderedPageBreak/>
        <w:t>serie del certificado de sello digital que ampara al comprobante, de acuerdo con el acuse correspondiente a 20 posiciones otorgado por el sistema del SAT.</w:t>
      </w:r>
    </w:p>
    <w:p w:rsidR="00433085" w:rsidRPr="00EB3E7E" w:rsidRDefault="00433085" w:rsidP="00433085">
      <w:pPr>
        <w:spacing w:line="360" w:lineRule="auto"/>
        <w:ind w:right="-787"/>
        <w:jc w:val="both"/>
        <w:rPr>
          <w:rFonts w:ascii="Palatino Linotype" w:eastAsia="Palatino Linotype" w:hAnsi="Palatino Linotype" w:cs="Palatino Linotype"/>
        </w:rPr>
      </w:pPr>
    </w:p>
    <w:p w:rsidR="00433085" w:rsidRPr="00EB3E7E" w:rsidRDefault="00433085" w:rsidP="00745CAD">
      <w:pPr>
        <w:numPr>
          <w:ilvl w:val="0"/>
          <w:numId w:val="2"/>
        </w:numPr>
        <w:spacing w:line="360" w:lineRule="auto"/>
        <w:ind w:left="0" w:right="-787" w:firstLine="0"/>
        <w:jc w:val="both"/>
        <w:rPr>
          <w:rFonts w:ascii="Palatino Linotype" w:eastAsia="Palatino Linotype" w:hAnsi="Palatino Linotype" w:cs="Palatino Linotype"/>
        </w:rPr>
      </w:pPr>
      <w:r w:rsidRPr="00EB3E7E">
        <w:rPr>
          <w:rFonts w:ascii="Palatino Linotype" w:eastAsia="Palatino Linotype" w:hAnsi="Palatino Linotype" w:cs="Palatino Linotype"/>
        </w:rPr>
        <w:t xml:space="preserve">Cómo se logra observar, </w:t>
      </w:r>
      <w:r w:rsidRPr="00EB3E7E">
        <w:rPr>
          <w:rFonts w:ascii="Palatino Linotype" w:eastAsia="Palatino Linotype" w:hAnsi="Palatino Linotype" w:cs="Palatino Linotype"/>
          <w:b/>
        </w:rPr>
        <w:t>los números de serie del certificado de sello digital no contiene datos personales</w:t>
      </w:r>
      <w:r w:rsidRPr="00EB3E7E">
        <w:rPr>
          <w:rFonts w:ascii="Palatino Linotype" w:eastAsia="Palatino Linotype" w:hAnsi="Palatino Linotype" w:cs="Palatino Linotype"/>
        </w:rPr>
        <w:t xml:space="preserve"> y con dichos dígitos tampoco se puede obtener información de carácter confidencial, por lo que, tampoco actualizan la causal de clasificación, establecida en el artículo 143, fracción I, de la Ley de Transparencia y Acceso a la Información Pública del Estado de México y Municipios. Máxime que permite corroborar la legitimidad a la factura, pues amparan la utilización de los certificados de sellos digitales válidos.</w:t>
      </w:r>
    </w:p>
    <w:p w:rsidR="00433085" w:rsidRPr="00EB3E7E" w:rsidRDefault="00433085" w:rsidP="00433085">
      <w:pPr>
        <w:pBdr>
          <w:top w:val="nil"/>
          <w:left w:val="nil"/>
          <w:bottom w:val="nil"/>
          <w:right w:val="nil"/>
          <w:between w:val="nil"/>
        </w:pBdr>
        <w:spacing w:line="360" w:lineRule="auto"/>
        <w:ind w:right="-1071"/>
        <w:jc w:val="both"/>
        <w:rPr>
          <w:rFonts w:ascii="Palatino Linotype" w:eastAsia="Palatino Linotype" w:hAnsi="Palatino Linotype" w:cs="Palatino Linotype"/>
        </w:rPr>
      </w:pPr>
    </w:p>
    <w:p w:rsidR="00433085" w:rsidRPr="00EB3E7E" w:rsidRDefault="00433085" w:rsidP="00745CAD">
      <w:pPr>
        <w:numPr>
          <w:ilvl w:val="0"/>
          <w:numId w:val="2"/>
        </w:numPr>
        <w:spacing w:line="360" w:lineRule="auto"/>
        <w:ind w:left="0" w:right="-787" w:firstLine="0"/>
        <w:jc w:val="both"/>
        <w:rPr>
          <w:rFonts w:ascii="Palatino Linotype" w:eastAsia="Palatino Linotype" w:hAnsi="Palatino Linotype" w:cs="Palatino Linotype"/>
        </w:rPr>
      </w:pPr>
      <w:r w:rsidRPr="00EB3E7E">
        <w:rPr>
          <w:rFonts w:ascii="Palatino Linotype" w:eastAsia="Palatino Linotype" w:hAnsi="Palatino Linotype" w:cs="Palatino Linotype"/>
        </w:rPr>
        <w:t xml:space="preserve">Ahora bien, por lo que hace al </w:t>
      </w:r>
      <w:r w:rsidRPr="00EB3E7E">
        <w:rPr>
          <w:rFonts w:ascii="Palatino Linotype" w:eastAsia="Palatino Linotype" w:hAnsi="Palatino Linotype" w:cs="Palatino Linotype"/>
          <w:b/>
        </w:rPr>
        <w:t>número de serie y folio interno</w:t>
      </w:r>
      <w:r w:rsidRPr="00EB3E7E">
        <w:rPr>
          <w:rFonts w:ascii="Palatino Linotype" w:eastAsia="Palatino Linotype" w:hAnsi="Palatino Linotype" w:cs="Palatino Linotype"/>
        </w:rPr>
        <w:t>, la Guía de llenado del CFDI global versión 4.0 del CFDI, emitida por el Servicio de Administración Tributaria prevé́ que es el número que utiliza el contribuyente para control interno de su información; mientras que el segundo es el número de control que se le asigna al comprobante; por lo que no se advierte que contenga datos confidenciales de los servidores públicos y por lo tanto, no actualizan la causal de clasificación establecida en el artículo 143, fracción I, de la Ley de Transparencia y Acceso a la Información Pública del Estado de México y Municipios.</w:t>
      </w:r>
    </w:p>
    <w:p w:rsidR="00433085" w:rsidRPr="00EB3E7E" w:rsidRDefault="00433085" w:rsidP="00433085">
      <w:pPr>
        <w:spacing w:line="360" w:lineRule="auto"/>
        <w:ind w:right="-1071"/>
        <w:jc w:val="both"/>
        <w:rPr>
          <w:rFonts w:ascii="Palatino Linotype" w:eastAsia="Palatino Linotype" w:hAnsi="Palatino Linotype" w:cs="Palatino Linotype"/>
        </w:rPr>
      </w:pPr>
    </w:p>
    <w:p w:rsidR="00433085" w:rsidRPr="00EB3E7E" w:rsidRDefault="00433085" w:rsidP="00745CAD">
      <w:pPr>
        <w:numPr>
          <w:ilvl w:val="0"/>
          <w:numId w:val="2"/>
        </w:numPr>
        <w:spacing w:line="360" w:lineRule="auto"/>
        <w:ind w:left="0" w:right="-787" w:firstLine="0"/>
        <w:jc w:val="both"/>
        <w:rPr>
          <w:rFonts w:ascii="Palatino Linotype" w:eastAsia="Palatino Linotype" w:hAnsi="Palatino Linotype" w:cs="Palatino Linotype"/>
        </w:rPr>
      </w:pPr>
      <w:r w:rsidRPr="00EB3E7E">
        <w:rPr>
          <w:rFonts w:ascii="Palatino Linotype" w:eastAsia="Palatino Linotype" w:hAnsi="Palatino Linotype" w:cs="Palatino Linotype"/>
        </w:rPr>
        <w:t xml:space="preserve">Además, por lo que hace a la </w:t>
      </w:r>
      <w:r w:rsidRPr="00EB3E7E">
        <w:rPr>
          <w:rFonts w:ascii="Palatino Linotype" w:eastAsia="Palatino Linotype" w:hAnsi="Palatino Linotype" w:cs="Palatino Linotype"/>
          <w:b/>
        </w:rPr>
        <w:t>fecha y hora de emisión y certificación</w:t>
      </w:r>
      <w:r w:rsidRPr="00EB3E7E">
        <w:rPr>
          <w:rFonts w:ascii="Palatino Linotype" w:eastAsia="Palatino Linotype" w:hAnsi="Palatino Linotype" w:cs="Palatino Linotype"/>
        </w:rPr>
        <w:t>, la Guía de llenado del CFDI global versión 4.0 del CFDI, previamente referida, establece que los datos mencionados corresponden a la fecha y hora de emisión y certificación del comprobante fiscal, los cuales se expresan de la siguiente manera: AAAA-MM-DDThh:mm:ss.</w:t>
      </w:r>
    </w:p>
    <w:p w:rsidR="00433085" w:rsidRPr="00EB3E7E" w:rsidRDefault="00433085" w:rsidP="00433085">
      <w:pPr>
        <w:spacing w:line="360" w:lineRule="auto"/>
        <w:ind w:right="-1071"/>
        <w:jc w:val="both"/>
        <w:rPr>
          <w:rFonts w:ascii="Palatino Linotype" w:eastAsia="Palatino Linotype" w:hAnsi="Palatino Linotype" w:cs="Palatino Linotype"/>
        </w:rPr>
      </w:pPr>
    </w:p>
    <w:p w:rsidR="00433085" w:rsidRPr="00EB3E7E" w:rsidRDefault="00433085" w:rsidP="00745CAD">
      <w:pPr>
        <w:numPr>
          <w:ilvl w:val="0"/>
          <w:numId w:val="2"/>
        </w:numPr>
        <w:spacing w:line="360" w:lineRule="auto"/>
        <w:ind w:left="0" w:right="-787" w:firstLine="0"/>
        <w:jc w:val="both"/>
        <w:rPr>
          <w:rFonts w:ascii="Palatino Linotype" w:eastAsia="Palatino Linotype" w:hAnsi="Palatino Linotype" w:cs="Palatino Linotype"/>
        </w:rPr>
      </w:pPr>
      <w:r w:rsidRPr="00EB3E7E">
        <w:rPr>
          <w:rFonts w:ascii="Palatino Linotype" w:eastAsia="Palatino Linotype" w:hAnsi="Palatino Linotype" w:cs="Palatino Linotype"/>
        </w:rPr>
        <w:lastRenderedPageBreak/>
        <w:t>Conforme a lo anterior, se logra observar que la fecha y hora de emisión, no contienen información que, dé acceso a datos personales, ni contiene datos confidenciales, por lo que, se considera que no actualiza la causal de clasificación establecida en el artículo 143, fracción I, de la Ley de Transparencia y Acceso a la Información Pública del Estado de México y Municipios.</w:t>
      </w:r>
    </w:p>
    <w:p w:rsidR="00433085" w:rsidRPr="00EB3E7E" w:rsidRDefault="00433085" w:rsidP="00433085">
      <w:pPr>
        <w:spacing w:line="360" w:lineRule="auto"/>
        <w:ind w:right="-1071"/>
        <w:jc w:val="both"/>
        <w:rPr>
          <w:rFonts w:ascii="Palatino Linotype" w:eastAsia="Palatino Linotype" w:hAnsi="Palatino Linotype" w:cs="Palatino Linotype"/>
        </w:rPr>
      </w:pPr>
    </w:p>
    <w:p w:rsidR="00433085" w:rsidRPr="00EB3E7E" w:rsidRDefault="00433085" w:rsidP="00745CAD">
      <w:pPr>
        <w:numPr>
          <w:ilvl w:val="0"/>
          <w:numId w:val="2"/>
        </w:numPr>
        <w:spacing w:line="360" w:lineRule="auto"/>
        <w:ind w:left="0" w:right="-787" w:firstLine="0"/>
        <w:jc w:val="both"/>
        <w:rPr>
          <w:rFonts w:ascii="Palatino Linotype" w:eastAsia="Palatino Linotype" w:hAnsi="Palatino Linotype" w:cs="Palatino Linotype"/>
        </w:rPr>
      </w:pPr>
      <w:r w:rsidRPr="00EB3E7E">
        <w:rPr>
          <w:rFonts w:ascii="Palatino Linotype" w:eastAsia="Palatino Linotype" w:hAnsi="Palatino Linotype" w:cs="Palatino Linotype"/>
        </w:rPr>
        <w:t>Conforme a lo anterior, se logra observar que el lugar de emisión, no contienen información que, dé acceso a datos personales, ni contiene datos confidenciales, por lo que, se considera que no actualiza la causal de clasificación establecida en el artículo 143, fracción I, de la Ley de Transparencia y Acceso a la Información Pública del Estado de México y Municipios.</w:t>
      </w:r>
    </w:p>
    <w:p w:rsidR="00433085" w:rsidRPr="00EB3E7E" w:rsidRDefault="00433085" w:rsidP="00433085">
      <w:pPr>
        <w:rPr>
          <w:rFonts w:ascii="Palatino Linotype" w:eastAsia="Palatino Linotype" w:hAnsi="Palatino Linotype" w:cs="Palatino Linotype"/>
        </w:rPr>
      </w:pPr>
    </w:p>
    <w:p w:rsidR="00433085" w:rsidRPr="00EB3E7E" w:rsidRDefault="00433085" w:rsidP="00745CAD">
      <w:pPr>
        <w:numPr>
          <w:ilvl w:val="0"/>
          <w:numId w:val="2"/>
        </w:numPr>
        <w:spacing w:line="360" w:lineRule="auto"/>
        <w:ind w:left="0" w:right="-787" w:firstLine="0"/>
        <w:jc w:val="both"/>
        <w:rPr>
          <w:rFonts w:ascii="Palatino Linotype" w:eastAsia="Palatino Linotype" w:hAnsi="Palatino Linotype" w:cs="Palatino Linotype"/>
        </w:rPr>
      </w:pPr>
      <w:r w:rsidRPr="00EB3E7E">
        <w:rPr>
          <w:rFonts w:ascii="Palatino Linotype" w:eastAsia="Palatino Linotype" w:hAnsi="Palatino Linotype" w:cs="Palatino Linotype"/>
        </w:rPr>
        <w:t xml:space="preserve">En ese sentido, el </w:t>
      </w:r>
      <w:r w:rsidRPr="00EB3E7E">
        <w:rPr>
          <w:rFonts w:ascii="Palatino Linotype" w:eastAsia="Palatino Linotype" w:hAnsi="Palatino Linotype" w:cs="Palatino Linotype"/>
          <w:b/>
        </w:rPr>
        <w:t>SUJETO OBLIGADO</w:t>
      </w:r>
      <w:r w:rsidRPr="00EB3E7E">
        <w:rPr>
          <w:rFonts w:ascii="Palatino Linotype" w:eastAsia="Palatino Linotype" w:hAnsi="Palatino Linotype" w:cs="Palatino Linotype"/>
        </w:rPr>
        <w:t xml:space="preserve"> deberá de emitir el Acuerdo del Comité de Transparencia, </w:t>
      </w:r>
      <w:r w:rsidRPr="00EB3E7E">
        <w:rPr>
          <w:rFonts w:ascii="Palatino Linotype" w:hAnsi="Palatino Linotype"/>
          <w:color w:val="000000"/>
        </w:rPr>
        <w:t>mediante</w:t>
      </w:r>
      <w:r w:rsidRPr="00EB3E7E">
        <w:rPr>
          <w:rFonts w:ascii="Palatino Linotype" w:eastAsia="Palatino Linotype" w:hAnsi="Palatino Linotype" w:cs="Palatino Linotype"/>
        </w:rPr>
        <w:t xml:space="preserve"> el cual de manera fundada y motivada establezca las razones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rsidR="00433085" w:rsidRPr="00EB3E7E" w:rsidRDefault="00433085" w:rsidP="00433085">
      <w:pPr>
        <w:tabs>
          <w:tab w:val="left" w:pos="284"/>
        </w:tabs>
        <w:spacing w:line="360" w:lineRule="auto"/>
        <w:ind w:right="276"/>
        <w:jc w:val="both"/>
        <w:rPr>
          <w:rFonts w:ascii="Palatino Linotype" w:eastAsia="Palatino Linotype" w:hAnsi="Palatino Linotype" w:cs="Palatino Linotype"/>
          <w:color w:val="000000"/>
        </w:rPr>
      </w:pPr>
    </w:p>
    <w:p w:rsidR="00433085" w:rsidRPr="00EB3E7E" w:rsidRDefault="00433085" w:rsidP="00745CAD">
      <w:pPr>
        <w:numPr>
          <w:ilvl w:val="0"/>
          <w:numId w:val="2"/>
        </w:numPr>
        <w:spacing w:line="360" w:lineRule="auto"/>
        <w:ind w:left="0" w:right="-787" w:firstLine="0"/>
        <w:jc w:val="both"/>
        <w:rPr>
          <w:rFonts w:ascii="Palatino Linotype" w:eastAsia="Palatino Linotype" w:hAnsi="Palatino Linotype" w:cs="Palatino Linotype"/>
          <w:color w:val="000000"/>
        </w:rPr>
      </w:pPr>
      <w:r w:rsidRPr="00EB3E7E">
        <w:rPr>
          <w:rFonts w:ascii="Palatino Linotype" w:eastAsia="Palatino Linotype" w:hAnsi="Palatino Linotype" w:cs="Palatino Linotype"/>
        </w:rPr>
        <w:t xml:space="preserve">Derivado de lo establecido en párrafos anteriores, si el </w:t>
      </w:r>
      <w:r w:rsidRPr="00EB3E7E">
        <w:rPr>
          <w:rFonts w:ascii="Palatino Linotype" w:eastAsia="Palatino Linotype" w:hAnsi="Palatino Linotype" w:cs="Palatino Linotype"/>
          <w:b/>
        </w:rPr>
        <w:t>SUJETO OBLIGADO</w:t>
      </w:r>
      <w:r w:rsidRPr="00EB3E7E">
        <w:rPr>
          <w:rFonts w:ascii="Palatino Linotype" w:eastAsia="Palatino Linotype" w:hAnsi="Palatino Linotype" w:cs="Palatino Linotype"/>
        </w:rPr>
        <w:t xml:space="preserve"> incumple con estas formalidades y entrega la información sin proteger los datos personales o testando datos considerados como públicos incumple con lo que estipulan las disposiciones legales </w:t>
      </w:r>
      <w:r w:rsidRPr="00EB3E7E">
        <w:rPr>
          <w:rFonts w:ascii="Palatino Linotype" w:eastAsia="Palatino Linotype" w:hAnsi="Palatino Linotype" w:cs="Palatino Linotype"/>
        </w:rPr>
        <w:lastRenderedPageBreak/>
        <w:t>establecidas, asimismo que si entrega un documento testado sin el debido acuerdo de clasificación.</w:t>
      </w:r>
    </w:p>
    <w:p w:rsidR="00433085" w:rsidRPr="00EB3E7E" w:rsidRDefault="00433085" w:rsidP="00433085">
      <w:pPr>
        <w:spacing w:line="360" w:lineRule="auto"/>
        <w:jc w:val="both"/>
        <w:rPr>
          <w:color w:val="000000"/>
        </w:rPr>
      </w:pPr>
    </w:p>
    <w:p w:rsidR="00D333A5" w:rsidRPr="00EB3E7E" w:rsidRDefault="00D333A5" w:rsidP="00D333A5">
      <w:pPr>
        <w:numPr>
          <w:ilvl w:val="0"/>
          <w:numId w:val="2"/>
        </w:numPr>
        <w:spacing w:line="360" w:lineRule="auto"/>
        <w:ind w:left="0" w:right="-787" w:firstLine="0"/>
        <w:jc w:val="both"/>
        <w:rPr>
          <w:rFonts w:ascii="Palatino Linotype" w:eastAsia="Palatino Linotype" w:hAnsi="Palatino Linotype" w:cs="Palatino Linotype"/>
          <w:color w:val="000000"/>
        </w:rPr>
      </w:pPr>
      <w:r w:rsidRPr="00EB3E7E">
        <w:rPr>
          <w:rFonts w:ascii="Palatino Linotype" w:eastAsia="Palatino Linotype" w:hAnsi="Palatino Linotype" w:cs="Palatino Linotype"/>
          <w:color w:val="000000"/>
        </w:rPr>
        <w:t xml:space="preserve">Por lo expuesto, y con fundamento en lo prescrito en los artículos 5, párrafos cuadragésimo </w:t>
      </w:r>
      <w:r w:rsidRPr="00EB3E7E">
        <w:rPr>
          <w:rFonts w:ascii="Palatino Linotype" w:eastAsia="Palatino Linotype" w:hAnsi="Palatino Linotype" w:cs="Palatino Linotype"/>
        </w:rPr>
        <w:t>cuarto</w:t>
      </w:r>
      <w:r w:rsidRPr="00EB3E7E">
        <w:rPr>
          <w:rFonts w:ascii="Palatino Linotype" w:eastAsia="Palatino Linotype" w:hAnsi="Palatino Linotype" w:cs="Palatino Linotype"/>
          <w:color w:val="000000"/>
        </w:rPr>
        <w:t xml:space="preserve">, cuadragésimo quinto y cuadragésimo sexto, fracciones IV y V, de la Constitución </w:t>
      </w:r>
      <w:r w:rsidRPr="00EB3E7E">
        <w:rPr>
          <w:rFonts w:ascii="Palatino Linotype" w:eastAsia="Palatino Linotype" w:hAnsi="Palatino Linotype" w:cs="Palatino Linotype"/>
        </w:rPr>
        <w:t>Política</w:t>
      </w:r>
      <w:r w:rsidRPr="00EB3E7E">
        <w:rPr>
          <w:rFonts w:ascii="Palatino Linotype" w:eastAsia="Palatino Linotype" w:hAnsi="Palatino Linotype" w:cs="Palatino Linotype"/>
          <w:color w:val="000000"/>
        </w:rPr>
        <w:t xml:space="preserve"> del Estado Libre y Soberano de México; 2, fracción II; 29, 36 fracciones I y II; 176, 178, 179, 181 y 185 de la Ley de Transparencia y Acceso a la Información Pública del Estado de México y Municipios, este Pleno:</w:t>
      </w:r>
    </w:p>
    <w:p w:rsidR="00433085" w:rsidRPr="00EB3E7E" w:rsidRDefault="00433085" w:rsidP="00433085">
      <w:pPr>
        <w:ind w:right="278"/>
        <w:rPr>
          <w:rFonts w:ascii="Palatino Linotype" w:eastAsia="Palatino Linotype" w:hAnsi="Palatino Linotype" w:cs="Palatino Linotype"/>
        </w:rPr>
      </w:pPr>
    </w:p>
    <w:p w:rsidR="00433085" w:rsidRPr="00EB3E7E" w:rsidRDefault="00433085" w:rsidP="00433085">
      <w:pPr>
        <w:spacing w:line="360" w:lineRule="auto"/>
        <w:ind w:right="276"/>
        <w:jc w:val="center"/>
        <w:rPr>
          <w:rFonts w:ascii="Palatino Linotype" w:eastAsia="Palatino Linotype" w:hAnsi="Palatino Linotype" w:cs="Palatino Linotype"/>
          <w:b/>
        </w:rPr>
      </w:pPr>
      <w:r w:rsidRPr="00EB3E7E">
        <w:rPr>
          <w:rFonts w:ascii="Palatino Linotype" w:eastAsia="Palatino Linotype" w:hAnsi="Palatino Linotype" w:cs="Palatino Linotype"/>
          <w:b/>
        </w:rPr>
        <w:t>R E S U E L V E</w:t>
      </w:r>
    </w:p>
    <w:p w:rsidR="00433085" w:rsidRPr="00EB3E7E" w:rsidRDefault="00433085" w:rsidP="00433085">
      <w:pPr>
        <w:spacing w:line="360" w:lineRule="auto"/>
        <w:ind w:right="-787"/>
        <w:jc w:val="center"/>
        <w:rPr>
          <w:rFonts w:ascii="Palatino Linotype" w:eastAsia="Palatino Linotype" w:hAnsi="Palatino Linotype" w:cs="Palatino Linotype"/>
          <w:b/>
        </w:rPr>
      </w:pPr>
    </w:p>
    <w:p w:rsidR="00D333A5" w:rsidRPr="00EB3E7E" w:rsidRDefault="00D333A5" w:rsidP="00D333A5">
      <w:pPr>
        <w:spacing w:line="360" w:lineRule="auto"/>
        <w:ind w:right="-858"/>
        <w:jc w:val="both"/>
        <w:rPr>
          <w:rFonts w:ascii="Palatino Linotype" w:eastAsia="Palatino Linotype" w:hAnsi="Palatino Linotype" w:cs="Palatino Linotype"/>
        </w:rPr>
      </w:pPr>
      <w:r w:rsidRPr="00EB3E7E">
        <w:rPr>
          <w:rFonts w:ascii="Palatino Linotype" w:eastAsia="Palatino Linotype" w:hAnsi="Palatino Linotype" w:cs="Palatino Linotype"/>
          <w:b/>
        </w:rPr>
        <w:t>PRIMERO</w:t>
      </w:r>
      <w:r w:rsidRPr="00EB3E7E">
        <w:rPr>
          <w:rFonts w:ascii="Palatino Linotype" w:eastAsia="Palatino Linotype" w:hAnsi="Palatino Linotype" w:cs="Palatino Linotype"/>
        </w:rPr>
        <w:t xml:space="preserve">. Resultan </w:t>
      </w:r>
      <w:r w:rsidRPr="00EB3E7E">
        <w:rPr>
          <w:rFonts w:ascii="Palatino Linotype" w:eastAsia="Palatino Linotype" w:hAnsi="Palatino Linotype" w:cs="Palatino Linotype"/>
          <w:b/>
        </w:rPr>
        <w:t>PARCIALMENTE</w:t>
      </w:r>
      <w:r w:rsidRPr="00EB3E7E">
        <w:rPr>
          <w:rFonts w:ascii="Palatino Linotype" w:eastAsia="Palatino Linotype" w:hAnsi="Palatino Linotype" w:cs="Palatino Linotype"/>
        </w:rPr>
        <w:t xml:space="preserve"> </w:t>
      </w:r>
      <w:r w:rsidRPr="00EB3E7E">
        <w:rPr>
          <w:rFonts w:ascii="Palatino Linotype" w:eastAsia="Palatino Linotype" w:hAnsi="Palatino Linotype" w:cs="Palatino Linotype"/>
          <w:b/>
        </w:rPr>
        <w:t>FUNDADAS</w:t>
      </w:r>
      <w:r w:rsidRPr="00EB3E7E">
        <w:rPr>
          <w:rFonts w:ascii="Palatino Linotype" w:eastAsia="Palatino Linotype" w:hAnsi="Palatino Linotype" w:cs="Palatino Linotype"/>
        </w:rPr>
        <w:t xml:space="preserve"> las razones o motivos de inconformidad hechos valer en el Recursos de Revisión </w:t>
      </w:r>
      <w:r w:rsidRPr="00EB3E7E">
        <w:rPr>
          <w:rFonts w:ascii="Palatino Linotype" w:eastAsia="Palatino Linotype" w:hAnsi="Palatino Linotype" w:cs="Palatino Linotype"/>
          <w:b/>
        </w:rPr>
        <w:t xml:space="preserve">12808/INFOEM/IP/RR/2025 </w:t>
      </w:r>
      <w:r w:rsidRPr="00EB3E7E">
        <w:rPr>
          <w:rFonts w:ascii="Palatino Linotype" w:eastAsia="Palatino Linotype" w:hAnsi="Palatino Linotype" w:cs="Palatino Linotype"/>
        </w:rPr>
        <w:t xml:space="preserve">en términos del Considerando </w:t>
      </w:r>
      <w:r w:rsidRPr="00EB3E7E">
        <w:rPr>
          <w:rFonts w:ascii="Palatino Linotype" w:eastAsia="Palatino Linotype" w:hAnsi="Palatino Linotype" w:cs="Palatino Linotype"/>
          <w:b/>
        </w:rPr>
        <w:t xml:space="preserve">CUARTO y QUINTO </w:t>
      </w:r>
      <w:r w:rsidRPr="00EB3E7E">
        <w:rPr>
          <w:rFonts w:ascii="Palatino Linotype" w:eastAsia="Palatino Linotype" w:hAnsi="Palatino Linotype" w:cs="Palatino Linotype"/>
        </w:rPr>
        <w:t xml:space="preserve">de la presente resolución. </w:t>
      </w:r>
    </w:p>
    <w:p w:rsidR="00D333A5" w:rsidRPr="00EB3E7E" w:rsidRDefault="00D333A5" w:rsidP="00D333A5">
      <w:pPr>
        <w:spacing w:line="360" w:lineRule="auto"/>
        <w:ind w:right="-858"/>
        <w:jc w:val="both"/>
        <w:rPr>
          <w:rFonts w:ascii="Palatino Linotype" w:eastAsia="Palatino Linotype" w:hAnsi="Palatino Linotype" w:cs="Palatino Linotype"/>
        </w:rPr>
      </w:pPr>
    </w:p>
    <w:p w:rsidR="00D333A5" w:rsidRPr="00EB3E7E" w:rsidRDefault="00D333A5" w:rsidP="00D333A5">
      <w:pPr>
        <w:spacing w:line="360" w:lineRule="auto"/>
        <w:ind w:right="-858"/>
        <w:jc w:val="both"/>
        <w:rPr>
          <w:rFonts w:ascii="Palatino Linotype" w:eastAsia="Palatino Linotype" w:hAnsi="Palatino Linotype" w:cs="Palatino Linotype"/>
        </w:rPr>
      </w:pPr>
      <w:bookmarkStart w:id="7" w:name="_heading=h.26in1rg" w:colFirst="0" w:colLast="0"/>
      <w:bookmarkEnd w:id="7"/>
      <w:r w:rsidRPr="00EB3E7E">
        <w:rPr>
          <w:rFonts w:ascii="Palatino Linotype" w:eastAsia="Palatino Linotype" w:hAnsi="Palatino Linotype" w:cs="Palatino Linotype"/>
          <w:b/>
        </w:rPr>
        <w:t xml:space="preserve">SEGUNDO. </w:t>
      </w:r>
      <w:r w:rsidRPr="00EB3E7E">
        <w:rPr>
          <w:rFonts w:ascii="Palatino Linotype" w:eastAsia="Palatino Linotype" w:hAnsi="Palatino Linotype" w:cs="Palatino Linotype"/>
        </w:rPr>
        <w:t xml:space="preserve">Se </w:t>
      </w:r>
      <w:r w:rsidRPr="00EB3E7E">
        <w:rPr>
          <w:rFonts w:ascii="Palatino Linotype" w:eastAsia="Palatino Linotype" w:hAnsi="Palatino Linotype" w:cs="Palatino Linotype"/>
          <w:b/>
        </w:rPr>
        <w:t xml:space="preserve">MODIFICA </w:t>
      </w:r>
      <w:r w:rsidRPr="00EB3E7E">
        <w:rPr>
          <w:rFonts w:ascii="Palatino Linotype" w:eastAsia="Palatino Linotype" w:hAnsi="Palatino Linotype" w:cs="Palatino Linotype"/>
        </w:rPr>
        <w:t xml:space="preserve">la respuesta emitida por el </w:t>
      </w:r>
      <w:r w:rsidRPr="00EB3E7E">
        <w:rPr>
          <w:rFonts w:ascii="Palatino Linotype" w:eastAsia="Palatino Linotype" w:hAnsi="Palatino Linotype" w:cs="Palatino Linotype"/>
          <w:b/>
        </w:rPr>
        <w:t>Ayuntamiento de Juchitepec,</w:t>
      </w:r>
      <w:r w:rsidRPr="00EB3E7E">
        <w:rPr>
          <w:rFonts w:ascii="Palatino Linotype" w:eastAsia="Palatino Linotype" w:hAnsi="Palatino Linotype" w:cs="Palatino Linotype"/>
        </w:rPr>
        <w:t xml:space="preserve"> a la solicitud de información pública registrada con el número</w:t>
      </w:r>
      <w:r w:rsidRPr="00EB3E7E">
        <w:rPr>
          <w:rFonts w:ascii="Palatino Linotype" w:eastAsia="Palatino Linotype" w:hAnsi="Palatino Linotype" w:cs="Palatino Linotype"/>
          <w:b/>
        </w:rPr>
        <w:t xml:space="preserve"> 00411/JUCHITE/IP/2025 </w:t>
      </w:r>
      <w:r w:rsidRPr="00EB3E7E">
        <w:rPr>
          <w:rFonts w:ascii="Palatino Linotype" w:eastAsia="Palatino Linotype" w:hAnsi="Palatino Linotype" w:cs="Palatino Linotype"/>
        </w:rPr>
        <w:t xml:space="preserve">y se </w:t>
      </w:r>
      <w:r w:rsidRPr="00EB3E7E">
        <w:rPr>
          <w:rFonts w:ascii="Palatino Linotype" w:eastAsia="Palatino Linotype" w:hAnsi="Palatino Linotype" w:cs="Palatino Linotype"/>
          <w:b/>
        </w:rPr>
        <w:t>ORDENA</w:t>
      </w:r>
      <w:r w:rsidRPr="00EB3E7E">
        <w:rPr>
          <w:rFonts w:ascii="Palatino Linotype" w:eastAsia="Palatino Linotype" w:hAnsi="Palatino Linotype" w:cs="Palatino Linotype"/>
        </w:rPr>
        <w:t xml:space="preserve"> entregar vía Sistema de Acceso a la Información Mexiquense </w:t>
      </w:r>
      <w:r w:rsidRPr="00EB3E7E">
        <w:rPr>
          <w:rFonts w:ascii="Palatino Linotype" w:eastAsia="Palatino Linotype" w:hAnsi="Palatino Linotype" w:cs="Palatino Linotype"/>
          <w:b/>
        </w:rPr>
        <w:t xml:space="preserve">(SAIMEX), </w:t>
      </w:r>
      <w:r w:rsidRPr="00EB3E7E">
        <w:rPr>
          <w:rFonts w:ascii="Palatino Linotype" w:eastAsia="Palatino Linotype" w:hAnsi="Palatino Linotype" w:cs="Palatino Linotype"/>
        </w:rPr>
        <w:t>previa búsqueda exhaustiva y razonable,</w:t>
      </w:r>
      <w:r w:rsidRPr="00EB3E7E">
        <w:rPr>
          <w:rFonts w:ascii="Palatino Linotype" w:eastAsia="Palatino Linotype" w:hAnsi="Palatino Linotype" w:cs="Palatino Linotype"/>
          <w:b/>
        </w:rPr>
        <w:t xml:space="preserve"> </w:t>
      </w:r>
      <w:r w:rsidRPr="00EB3E7E">
        <w:rPr>
          <w:rFonts w:ascii="Palatino Linotype" w:eastAsia="Palatino Linotype" w:hAnsi="Palatino Linotype" w:cs="Palatino Linotype"/>
        </w:rPr>
        <w:t>de ser procedente en versión pública, la siguiente información:</w:t>
      </w:r>
    </w:p>
    <w:p w:rsidR="00D333A5" w:rsidRPr="00EB3E7E" w:rsidRDefault="00D333A5" w:rsidP="00D333A5">
      <w:pPr>
        <w:spacing w:line="360" w:lineRule="auto"/>
        <w:ind w:right="-858"/>
        <w:jc w:val="both"/>
        <w:rPr>
          <w:rFonts w:ascii="Palatino Linotype" w:eastAsia="Palatino Linotype" w:hAnsi="Palatino Linotype" w:cs="Palatino Linotype"/>
        </w:rPr>
      </w:pPr>
    </w:p>
    <w:p w:rsidR="00D333A5" w:rsidRPr="00EB3E7E" w:rsidRDefault="003551EB" w:rsidP="003551EB">
      <w:pPr>
        <w:pStyle w:val="Prrafodelista"/>
        <w:numPr>
          <w:ilvl w:val="0"/>
          <w:numId w:val="18"/>
        </w:numPr>
        <w:spacing w:line="360" w:lineRule="auto"/>
        <w:ind w:right="-858"/>
        <w:jc w:val="both"/>
        <w:rPr>
          <w:rFonts w:ascii="Palatino Linotype" w:eastAsia="Palatino Linotype" w:hAnsi="Palatino Linotype" w:cs="Palatino Linotype"/>
          <w:b/>
        </w:rPr>
      </w:pPr>
      <w:r w:rsidRPr="00EB3E7E">
        <w:rPr>
          <w:rFonts w:ascii="Palatino Linotype" w:hAnsi="Palatino Linotype"/>
          <w:b/>
        </w:rPr>
        <w:t>Documento en el que conste o se advierta el descuento al sueldo de la servidora pública referida en la solicitud de información, por concepto de falta de asistencia injustificada los días 1, 2 y 3 de Octubre de 2025.</w:t>
      </w:r>
    </w:p>
    <w:p w:rsidR="003551EB" w:rsidRPr="00EB3E7E" w:rsidRDefault="003551EB" w:rsidP="003551EB">
      <w:pPr>
        <w:pStyle w:val="Prrafodelista"/>
        <w:spacing w:line="360" w:lineRule="auto"/>
        <w:ind w:right="-858"/>
        <w:jc w:val="both"/>
        <w:rPr>
          <w:rFonts w:ascii="Palatino Linotype" w:eastAsia="Palatino Linotype" w:hAnsi="Palatino Linotype" w:cs="Palatino Linotype"/>
          <w:b/>
        </w:rPr>
      </w:pPr>
    </w:p>
    <w:p w:rsidR="00D333A5" w:rsidRPr="00EB3E7E" w:rsidRDefault="00D333A5" w:rsidP="00D333A5">
      <w:pPr>
        <w:spacing w:line="360" w:lineRule="auto"/>
        <w:ind w:left="567" w:right="-6"/>
        <w:jc w:val="both"/>
        <w:rPr>
          <w:rFonts w:ascii="Palatino Linotype" w:eastAsia="Palatino Linotype" w:hAnsi="Palatino Linotype" w:cs="Palatino Linotype"/>
        </w:rPr>
      </w:pPr>
      <w:r w:rsidRPr="00EB3E7E">
        <w:rPr>
          <w:rFonts w:ascii="Palatino Linotype" w:eastAsia="Palatino Linotype" w:hAnsi="Palatino Linotype" w:cs="Palatino Linotype"/>
        </w:rPr>
        <w:lastRenderedPageBreak/>
        <w:t xml:space="preserve">Para efecto de lo anterior, </w:t>
      </w:r>
      <w:r w:rsidR="003551EB" w:rsidRPr="00EB3E7E">
        <w:rPr>
          <w:rFonts w:ascii="Palatino Linotype" w:eastAsia="Palatino Linotype" w:hAnsi="Palatino Linotype" w:cs="Palatino Linotype"/>
        </w:rPr>
        <w:t xml:space="preserve">de ser procedente </w:t>
      </w:r>
      <w:r w:rsidRPr="00EB3E7E">
        <w:rPr>
          <w:rFonts w:ascii="Palatino Linotype" w:eastAsia="Palatino Linotype" w:hAnsi="Palatino Linotype" w:cs="Palatino Linotype"/>
        </w:rPr>
        <w:t xml:space="preserv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 la parte </w:t>
      </w:r>
      <w:r w:rsidRPr="00EB3E7E">
        <w:rPr>
          <w:rFonts w:ascii="Palatino Linotype" w:eastAsia="Palatino Linotype" w:hAnsi="Palatino Linotype" w:cs="Palatino Linotype"/>
          <w:b/>
        </w:rPr>
        <w:t>RECURRENTE</w:t>
      </w:r>
      <w:r w:rsidR="003551EB" w:rsidRPr="00EB3E7E">
        <w:rPr>
          <w:rFonts w:ascii="Palatino Linotype" w:eastAsia="Palatino Linotype" w:hAnsi="Palatino Linotype" w:cs="Palatino Linotype"/>
        </w:rPr>
        <w:t>.</w:t>
      </w:r>
    </w:p>
    <w:p w:rsidR="00374D87" w:rsidRPr="00EB3E7E" w:rsidRDefault="00374D87" w:rsidP="00D333A5">
      <w:pPr>
        <w:spacing w:line="360" w:lineRule="auto"/>
        <w:ind w:left="567" w:right="-6"/>
        <w:jc w:val="both"/>
        <w:rPr>
          <w:rFonts w:ascii="Palatino Linotype" w:eastAsia="Palatino Linotype" w:hAnsi="Palatino Linotype" w:cs="Palatino Linotype"/>
        </w:rPr>
      </w:pPr>
    </w:p>
    <w:p w:rsidR="00374D87" w:rsidRPr="00EB3E7E" w:rsidRDefault="00374D87" w:rsidP="00374D87">
      <w:pPr>
        <w:spacing w:line="360" w:lineRule="auto"/>
        <w:ind w:left="567" w:right="-6"/>
        <w:jc w:val="both"/>
        <w:rPr>
          <w:rFonts w:ascii="Palatino Linotype" w:hAnsi="Palatino Linotype"/>
          <w:b/>
          <w:i/>
        </w:rPr>
      </w:pPr>
      <w:r w:rsidRPr="00EB3E7E">
        <w:rPr>
          <w:rFonts w:ascii="Palatino Linotype" w:eastAsia="Palatino Linotype" w:hAnsi="Palatino Linotype" w:cs="Palatino Linotype"/>
        </w:rPr>
        <w:t xml:space="preserve">Para el caso de que el </w:t>
      </w:r>
      <w:r w:rsidRPr="00EB3E7E">
        <w:rPr>
          <w:rFonts w:ascii="Palatino Linotype" w:eastAsia="Palatino Linotype" w:hAnsi="Palatino Linotype" w:cs="Palatino Linotype"/>
          <w:b/>
        </w:rPr>
        <w:t>SUJETO OBLIGADO</w:t>
      </w:r>
      <w:r w:rsidRPr="00EB3E7E">
        <w:rPr>
          <w:rFonts w:ascii="Palatino Linotype" w:eastAsia="Palatino Linotype" w:hAnsi="Palatino Linotype" w:cs="Palatino Linotype"/>
        </w:rPr>
        <w:t>, luego de la búsqueda exhaustiva y razonable de la información ordenada, no se haya generado por no haber faltas de asistencia injustificadas los días referidos, bastará que lo haga del conocimiento del RECURRENTE al momento de dar cumplimiento a la presente Resolución, en términos del artículo 19, párrafo segundo, de la Ley de Transparencia y Acceso a la Información Pública del Estado de México y Municipios.</w:t>
      </w:r>
    </w:p>
    <w:p w:rsidR="00D333A5" w:rsidRPr="00EB3E7E" w:rsidRDefault="00D333A5" w:rsidP="00D333A5">
      <w:pPr>
        <w:spacing w:line="360" w:lineRule="auto"/>
        <w:ind w:right="-858"/>
        <w:jc w:val="both"/>
        <w:rPr>
          <w:rFonts w:ascii="Palatino Linotype" w:eastAsia="Palatino Linotype" w:hAnsi="Palatino Linotype" w:cs="Palatino Linotype"/>
        </w:rPr>
      </w:pPr>
    </w:p>
    <w:p w:rsidR="00D333A5" w:rsidRPr="00EB3E7E" w:rsidRDefault="00D333A5" w:rsidP="00D333A5">
      <w:pPr>
        <w:tabs>
          <w:tab w:val="left" w:pos="8080"/>
        </w:tabs>
        <w:spacing w:line="360" w:lineRule="auto"/>
        <w:ind w:right="49"/>
        <w:jc w:val="both"/>
        <w:rPr>
          <w:rFonts w:ascii="Palatino Linotype" w:eastAsia="Palatino Linotype" w:hAnsi="Palatino Linotype" w:cs="Palatino Linotype"/>
          <w:b/>
        </w:rPr>
      </w:pPr>
      <w:r w:rsidRPr="00EB3E7E">
        <w:rPr>
          <w:rFonts w:ascii="Palatino Linotype" w:eastAsia="Palatino Linotype" w:hAnsi="Palatino Linotype" w:cs="Palatino Linotype"/>
          <w:b/>
        </w:rPr>
        <w:t xml:space="preserve">TERCERO. NOTIFÍQUESE </w:t>
      </w:r>
      <w:r w:rsidRPr="00EB3E7E">
        <w:rPr>
          <w:rFonts w:ascii="Palatino Linotype" w:eastAsia="Palatino Linotype" w:hAnsi="Palatino Linotype" w:cs="Palatino Linotype"/>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EB3E7E">
        <w:rPr>
          <w:rFonts w:ascii="Palatino Linotype" w:eastAsia="Palatino Linotype" w:hAnsi="Palatino Linotype" w:cs="Palatino Linotype"/>
          <w:b/>
        </w:rPr>
        <w:t>dé cumplimiento a lo ordenado dentro del plazo de diez días hábiles,</w:t>
      </w:r>
      <w:r w:rsidRPr="00EB3E7E">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w:t>
      </w:r>
      <w:r w:rsidRPr="00EB3E7E">
        <w:rPr>
          <w:rFonts w:ascii="Palatino Linotype" w:eastAsia="Palatino Linotype" w:hAnsi="Palatino Linotype" w:cs="Palatino Linotype"/>
        </w:rPr>
        <w:lastRenderedPageBreak/>
        <w:t>artículos 198, 200, fracción III; 214, 215 y 216 de la Ley  de Transparencia y Acceso a la Información Pública del Estado de México y Municipios</w:t>
      </w:r>
    </w:p>
    <w:p w:rsidR="00D333A5" w:rsidRPr="00EB3E7E" w:rsidRDefault="00D333A5" w:rsidP="00D333A5">
      <w:pPr>
        <w:tabs>
          <w:tab w:val="left" w:pos="8080"/>
        </w:tabs>
        <w:spacing w:line="360" w:lineRule="auto"/>
        <w:ind w:right="49"/>
        <w:jc w:val="both"/>
        <w:rPr>
          <w:rFonts w:ascii="Palatino Linotype" w:eastAsia="Palatino Linotype" w:hAnsi="Palatino Linotype" w:cs="Palatino Linotype"/>
        </w:rPr>
      </w:pPr>
    </w:p>
    <w:p w:rsidR="00D333A5" w:rsidRPr="00EB3E7E" w:rsidRDefault="00D333A5" w:rsidP="00D333A5">
      <w:pPr>
        <w:spacing w:line="360" w:lineRule="auto"/>
        <w:jc w:val="both"/>
        <w:rPr>
          <w:rFonts w:ascii="Palatino Linotype" w:eastAsia="Palatino Linotype" w:hAnsi="Palatino Linotype" w:cs="Palatino Linotype"/>
        </w:rPr>
      </w:pPr>
      <w:r w:rsidRPr="00EB3E7E">
        <w:rPr>
          <w:rFonts w:ascii="Palatino Linotype" w:eastAsia="Palatino Linotype" w:hAnsi="Palatino Linotype" w:cs="Palatino Linotype"/>
          <w:b/>
        </w:rPr>
        <w:t xml:space="preserve">CUARTO. </w:t>
      </w:r>
      <w:r w:rsidRPr="00EB3E7E">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EB3E7E">
        <w:rPr>
          <w:rFonts w:ascii="Palatino Linotype" w:eastAsia="Palatino Linotype" w:hAnsi="Palatino Linotype" w:cs="Palatino Linotype"/>
          <w:b/>
        </w:rPr>
        <w:t>SUJETO OBLIGADO</w:t>
      </w:r>
      <w:r w:rsidRPr="00EB3E7E">
        <w:rPr>
          <w:rFonts w:ascii="Palatino Linotype" w:eastAsia="Palatino Linotype" w:hAnsi="Palatino Linotype" w:cs="Palatino Linotype"/>
        </w:rPr>
        <w:t xml:space="preserve"> de manera fundada y motivada, podrá solicitar una ampliación de plazo para el cumplimiento de la presente resolución.</w:t>
      </w:r>
    </w:p>
    <w:p w:rsidR="00D333A5" w:rsidRPr="00EB3E7E" w:rsidRDefault="00D333A5" w:rsidP="00D333A5">
      <w:pPr>
        <w:spacing w:line="360" w:lineRule="auto"/>
        <w:ind w:right="-858"/>
        <w:jc w:val="both"/>
        <w:rPr>
          <w:rFonts w:ascii="Palatino Linotype" w:eastAsia="Palatino Linotype" w:hAnsi="Palatino Linotype" w:cs="Palatino Linotype"/>
        </w:rPr>
      </w:pPr>
    </w:p>
    <w:p w:rsidR="00D333A5" w:rsidRPr="00EB3E7E" w:rsidRDefault="00D333A5" w:rsidP="00D333A5">
      <w:pPr>
        <w:spacing w:line="360" w:lineRule="auto"/>
        <w:ind w:right="4"/>
        <w:jc w:val="both"/>
        <w:rPr>
          <w:rFonts w:ascii="Palatino Linotype" w:eastAsia="Palatino Linotype" w:hAnsi="Palatino Linotype" w:cs="Palatino Linotype"/>
        </w:rPr>
      </w:pPr>
      <w:r w:rsidRPr="00EB3E7E">
        <w:rPr>
          <w:rFonts w:ascii="Palatino Linotype" w:eastAsia="Palatino Linotype" w:hAnsi="Palatino Linotype" w:cs="Palatino Linotype"/>
          <w:b/>
        </w:rPr>
        <w:t>QUINTO. NOTIFÍQUESE</w:t>
      </w:r>
      <w:r w:rsidRPr="00EB3E7E">
        <w:rPr>
          <w:rFonts w:ascii="Palatino Linotype" w:eastAsia="Palatino Linotype" w:hAnsi="Palatino Linotype" w:cs="Palatino Linotype"/>
        </w:rPr>
        <w:t xml:space="preserve"> la presente resolución a la parte </w:t>
      </w:r>
      <w:r w:rsidRPr="00EB3E7E">
        <w:rPr>
          <w:rFonts w:ascii="Palatino Linotype" w:eastAsia="Palatino Linotype" w:hAnsi="Palatino Linotype" w:cs="Palatino Linotype"/>
          <w:b/>
        </w:rPr>
        <w:t>Recurrente</w:t>
      </w:r>
      <w:r w:rsidRPr="00EB3E7E">
        <w:rPr>
          <w:rFonts w:ascii="Palatino Linotype" w:eastAsia="Palatino Linotype" w:hAnsi="Palatino Linotype" w:cs="Palatino Linotype"/>
        </w:rPr>
        <w:t xml:space="preserve"> a través del Sistema de Acceso a la Información Mexiquense </w:t>
      </w:r>
      <w:r w:rsidRPr="00EB3E7E">
        <w:rPr>
          <w:rFonts w:ascii="Palatino Linotype" w:eastAsia="Palatino Linotype" w:hAnsi="Palatino Linotype" w:cs="Palatino Linotype"/>
          <w:b/>
        </w:rPr>
        <w:t>(SAIMEX)</w:t>
      </w:r>
      <w:r w:rsidRPr="00EB3E7E">
        <w:rPr>
          <w:rFonts w:ascii="Palatino Linotype" w:eastAsia="Palatino Linotype" w:hAnsi="Palatino Linotype" w:cs="Palatino Linotype"/>
        </w:rPr>
        <w:t xml:space="preserve"> y hágase de su conocimiento que, en caso de considerar que la misma le causa algún perjuicio, podrá promover el Juicio de Amparo en los términos de las leyes aplicables, de acuerdo con lo estipulado por el artículo 196 de la Ley de Transparencia y Acceso a la Información Pública del Estado de México y Municipios.</w:t>
      </w:r>
    </w:p>
    <w:p w:rsidR="00402A3B" w:rsidRPr="00EB3E7E" w:rsidRDefault="00402A3B" w:rsidP="00402A3B">
      <w:pPr>
        <w:shd w:val="clear" w:color="auto" w:fill="FFFFFF"/>
        <w:spacing w:line="360" w:lineRule="auto"/>
        <w:ind w:right="-716"/>
        <w:jc w:val="both"/>
        <w:rPr>
          <w:rFonts w:ascii="Palatino Linotype" w:eastAsia="Palatino Linotype" w:hAnsi="Palatino Linotype" w:cs="Palatino Linotype"/>
          <w:color w:val="000000" w:themeColor="text1"/>
        </w:rPr>
      </w:pPr>
    </w:p>
    <w:p w:rsidR="00D95C71" w:rsidRPr="00EB3E7E" w:rsidRDefault="00D95C71" w:rsidP="00D95C71">
      <w:pPr>
        <w:spacing w:before="240" w:after="240" w:line="360" w:lineRule="auto"/>
        <w:ind w:firstLine="1"/>
        <w:jc w:val="both"/>
        <w:rPr>
          <w:rFonts w:ascii="Palatino Linotype" w:hAnsi="Palatino Linotype"/>
        </w:rPr>
      </w:pPr>
      <w:bookmarkStart w:id="8" w:name="_Hlk99014733"/>
      <w:r w:rsidRPr="00EB3E7E">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CUARTA SESIÓN ORDINARIA, CELEBRADA EL VEINTIDÓS (22) DE ABRIL DE DOS MIL VEINTISÉIS, ANTE EL SECRETARIO TÉCNICO DEL PLENO </w:t>
      </w:r>
      <w:r w:rsidRPr="00EB3E7E">
        <w:rPr>
          <w:rFonts w:ascii="Palatino Linotype" w:hAnsi="Palatino Linotype" w:cs="Palatino Linotype"/>
          <w:color w:val="000000" w:themeColor="text1"/>
        </w:rPr>
        <w:t>ALEXIS TAPIA RAMÍREZ.</w:t>
      </w:r>
    </w:p>
    <w:bookmarkEnd w:id="8"/>
    <w:p w:rsidR="00185E28" w:rsidRPr="00EB3E7E" w:rsidRDefault="00185E28">
      <w:pPr>
        <w:spacing w:before="240" w:after="240" w:line="360" w:lineRule="auto"/>
        <w:ind w:right="-787"/>
        <w:jc w:val="both"/>
        <w:rPr>
          <w:rFonts w:ascii="Palatino Linotype" w:eastAsia="Palatino Linotype" w:hAnsi="Palatino Linotype" w:cs="Palatino Linotype"/>
        </w:rPr>
      </w:pPr>
    </w:p>
    <w:p w:rsidR="00185E28" w:rsidRPr="00EB3E7E" w:rsidRDefault="00185E28">
      <w:pPr>
        <w:rPr>
          <w:rFonts w:ascii="Palatino Linotype" w:eastAsia="Palatino Linotype" w:hAnsi="Palatino Linotype" w:cs="Palatino Linotype"/>
        </w:rPr>
      </w:pPr>
    </w:p>
    <w:p w:rsidR="00185E28" w:rsidRPr="00EB3E7E" w:rsidRDefault="00185E28">
      <w:pPr>
        <w:spacing w:line="360" w:lineRule="auto"/>
        <w:ind w:right="-787"/>
        <w:rPr>
          <w:rFonts w:ascii="Palatino Linotype" w:eastAsia="Palatino Linotype" w:hAnsi="Palatino Linotype" w:cs="Palatino Linotype"/>
        </w:rPr>
      </w:pPr>
    </w:p>
    <w:p w:rsidR="00185E28" w:rsidRPr="00EB3E7E" w:rsidRDefault="00185E28">
      <w:pPr>
        <w:spacing w:line="360" w:lineRule="auto"/>
        <w:ind w:right="-787"/>
        <w:rPr>
          <w:rFonts w:ascii="Palatino Linotype" w:eastAsia="Palatino Linotype" w:hAnsi="Palatino Linotype" w:cs="Palatino Linotype"/>
        </w:rPr>
      </w:pPr>
    </w:p>
    <w:p w:rsidR="00185E28" w:rsidRPr="00EB3E7E" w:rsidRDefault="00185E28">
      <w:pPr>
        <w:spacing w:line="360" w:lineRule="auto"/>
        <w:ind w:right="-787"/>
        <w:rPr>
          <w:rFonts w:ascii="Palatino Linotype" w:eastAsia="Palatino Linotype" w:hAnsi="Palatino Linotype" w:cs="Palatino Linotype"/>
        </w:rPr>
      </w:pPr>
    </w:p>
    <w:p w:rsidR="00185E28" w:rsidRPr="00EB3E7E" w:rsidRDefault="00444197">
      <w:pPr>
        <w:tabs>
          <w:tab w:val="left" w:pos="3374"/>
        </w:tabs>
        <w:spacing w:line="360" w:lineRule="auto"/>
        <w:ind w:right="-787"/>
        <w:rPr>
          <w:rFonts w:ascii="Palatino Linotype" w:eastAsia="Palatino Linotype" w:hAnsi="Palatino Linotype" w:cs="Palatino Linotype"/>
        </w:rPr>
      </w:pPr>
      <w:bookmarkStart w:id="9" w:name="_heading=h.lnxbz9" w:colFirst="0" w:colLast="0"/>
      <w:bookmarkEnd w:id="9"/>
      <w:r w:rsidRPr="00EB3E7E">
        <w:rPr>
          <w:rFonts w:ascii="Palatino Linotype" w:eastAsia="Palatino Linotype" w:hAnsi="Palatino Linotype" w:cs="Palatino Linotype"/>
        </w:rPr>
        <w:tab/>
      </w:r>
    </w:p>
    <w:sectPr w:rsidR="00185E28" w:rsidRPr="00EB3E7E">
      <w:headerReference w:type="even" r:id="rId12"/>
      <w:headerReference w:type="default" r:id="rId13"/>
      <w:footerReference w:type="default" r:id="rId14"/>
      <w:headerReference w:type="first" r:id="rId15"/>
      <w:footerReference w:type="first" r:id="rId16"/>
      <w:pgSz w:w="12240" w:h="15840"/>
      <w:pgMar w:top="2268" w:right="1474"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4943" w:rsidRDefault="00054943">
      <w:r>
        <w:separator/>
      </w:r>
    </w:p>
  </w:endnote>
  <w:endnote w:type="continuationSeparator" w:id="0">
    <w:p w:rsidR="00054943" w:rsidRDefault="00054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4AE6" w:rsidRPr="00EB3E7E" w:rsidRDefault="00EA4AE6">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EB3E7E">
      <w:rPr>
        <w:rFonts w:ascii="Palatino Linotype" w:eastAsia="Palatino Linotype" w:hAnsi="Palatino Linotype" w:cs="Palatino Linotype"/>
        <w:color w:val="000000"/>
        <w:sz w:val="22"/>
        <w:szCs w:val="20"/>
      </w:rPr>
      <w:t xml:space="preserve">Página </w:t>
    </w:r>
    <w:r w:rsidRPr="00EB3E7E">
      <w:rPr>
        <w:rFonts w:ascii="Palatino Linotype" w:eastAsia="Palatino Linotype" w:hAnsi="Palatino Linotype" w:cs="Palatino Linotype"/>
        <w:color w:val="000000"/>
        <w:sz w:val="22"/>
        <w:szCs w:val="20"/>
      </w:rPr>
      <w:fldChar w:fldCharType="begin"/>
    </w:r>
    <w:r w:rsidRPr="00EB3E7E">
      <w:rPr>
        <w:rFonts w:ascii="Palatino Linotype" w:eastAsia="Palatino Linotype" w:hAnsi="Palatino Linotype" w:cs="Palatino Linotype"/>
        <w:color w:val="000000"/>
        <w:sz w:val="22"/>
        <w:szCs w:val="20"/>
      </w:rPr>
      <w:instrText>PAGE</w:instrText>
    </w:r>
    <w:r w:rsidRPr="00EB3E7E">
      <w:rPr>
        <w:rFonts w:ascii="Palatino Linotype" w:eastAsia="Palatino Linotype" w:hAnsi="Palatino Linotype" w:cs="Palatino Linotype"/>
        <w:color w:val="000000"/>
        <w:sz w:val="22"/>
        <w:szCs w:val="20"/>
      </w:rPr>
      <w:fldChar w:fldCharType="separate"/>
    </w:r>
    <w:r w:rsidR="00C64BEE">
      <w:rPr>
        <w:rFonts w:ascii="Palatino Linotype" w:eastAsia="Palatino Linotype" w:hAnsi="Palatino Linotype" w:cs="Palatino Linotype"/>
        <w:noProof/>
        <w:color w:val="000000"/>
        <w:sz w:val="22"/>
        <w:szCs w:val="20"/>
      </w:rPr>
      <w:t>21</w:t>
    </w:r>
    <w:r w:rsidRPr="00EB3E7E">
      <w:rPr>
        <w:rFonts w:ascii="Palatino Linotype" w:eastAsia="Palatino Linotype" w:hAnsi="Palatino Linotype" w:cs="Palatino Linotype"/>
        <w:color w:val="000000"/>
        <w:sz w:val="22"/>
        <w:szCs w:val="20"/>
      </w:rPr>
      <w:fldChar w:fldCharType="end"/>
    </w:r>
    <w:r w:rsidRPr="00EB3E7E">
      <w:rPr>
        <w:rFonts w:ascii="Palatino Linotype" w:eastAsia="Palatino Linotype" w:hAnsi="Palatino Linotype" w:cs="Palatino Linotype"/>
        <w:color w:val="000000"/>
        <w:sz w:val="22"/>
        <w:szCs w:val="20"/>
      </w:rPr>
      <w:t xml:space="preserve"> de </w:t>
    </w:r>
    <w:r w:rsidRPr="00EB3E7E">
      <w:rPr>
        <w:rFonts w:ascii="Palatino Linotype" w:eastAsia="Palatino Linotype" w:hAnsi="Palatino Linotype" w:cs="Palatino Linotype"/>
        <w:color w:val="000000"/>
        <w:sz w:val="22"/>
        <w:szCs w:val="20"/>
      </w:rPr>
      <w:fldChar w:fldCharType="begin"/>
    </w:r>
    <w:r w:rsidRPr="00EB3E7E">
      <w:rPr>
        <w:rFonts w:ascii="Palatino Linotype" w:eastAsia="Palatino Linotype" w:hAnsi="Palatino Linotype" w:cs="Palatino Linotype"/>
        <w:color w:val="000000"/>
        <w:sz w:val="22"/>
        <w:szCs w:val="20"/>
      </w:rPr>
      <w:instrText>NUMPAGES</w:instrText>
    </w:r>
    <w:r w:rsidRPr="00EB3E7E">
      <w:rPr>
        <w:rFonts w:ascii="Palatino Linotype" w:eastAsia="Palatino Linotype" w:hAnsi="Palatino Linotype" w:cs="Palatino Linotype"/>
        <w:color w:val="000000"/>
        <w:sz w:val="22"/>
        <w:szCs w:val="20"/>
      </w:rPr>
      <w:fldChar w:fldCharType="separate"/>
    </w:r>
    <w:r w:rsidR="00C64BEE">
      <w:rPr>
        <w:rFonts w:ascii="Palatino Linotype" w:eastAsia="Palatino Linotype" w:hAnsi="Palatino Linotype" w:cs="Palatino Linotype"/>
        <w:noProof/>
        <w:color w:val="000000"/>
        <w:sz w:val="22"/>
        <w:szCs w:val="20"/>
      </w:rPr>
      <w:t>50</w:t>
    </w:r>
    <w:r w:rsidRPr="00EB3E7E">
      <w:rPr>
        <w:rFonts w:ascii="Palatino Linotype" w:eastAsia="Palatino Linotype" w:hAnsi="Palatino Linotype" w:cs="Palatino Linotype"/>
        <w:color w:val="000000"/>
        <w:sz w:val="22"/>
        <w:szCs w:val="20"/>
      </w:rPr>
      <w:fldChar w:fldCharType="end"/>
    </w:r>
  </w:p>
  <w:p w:rsidR="00EA4AE6" w:rsidRDefault="00EA4AE6">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4AE6" w:rsidRPr="00EB3E7E" w:rsidRDefault="00EA4AE6">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EB3E7E">
      <w:rPr>
        <w:rFonts w:ascii="Palatino Linotype" w:eastAsia="Palatino Linotype" w:hAnsi="Palatino Linotype" w:cs="Palatino Linotype"/>
        <w:color w:val="000000"/>
        <w:sz w:val="22"/>
        <w:szCs w:val="20"/>
      </w:rPr>
      <w:t xml:space="preserve">Página </w:t>
    </w:r>
    <w:r w:rsidRPr="00EB3E7E">
      <w:rPr>
        <w:rFonts w:ascii="Palatino Linotype" w:eastAsia="Palatino Linotype" w:hAnsi="Palatino Linotype" w:cs="Palatino Linotype"/>
        <w:color w:val="000000"/>
        <w:sz w:val="22"/>
        <w:szCs w:val="20"/>
      </w:rPr>
      <w:fldChar w:fldCharType="begin"/>
    </w:r>
    <w:r w:rsidRPr="00EB3E7E">
      <w:rPr>
        <w:rFonts w:ascii="Palatino Linotype" w:eastAsia="Palatino Linotype" w:hAnsi="Palatino Linotype" w:cs="Palatino Linotype"/>
        <w:color w:val="000000"/>
        <w:sz w:val="22"/>
        <w:szCs w:val="20"/>
      </w:rPr>
      <w:instrText>PAGE</w:instrText>
    </w:r>
    <w:r w:rsidRPr="00EB3E7E">
      <w:rPr>
        <w:rFonts w:ascii="Palatino Linotype" w:eastAsia="Palatino Linotype" w:hAnsi="Palatino Linotype" w:cs="Palatino Linotype"/>
        <w:color w:val="000000"/>
        <w:sz w:val="22"/>
        <w:szCs w:val="20"/>
      </w:rPr>
      <w:fldChar w:fldCharType="separate"/>
    </w:r>
    <w:r w:rsidR="00C64BEE">
      <w:rPr>
        <w:rFonts w:ascii="Palatino Linotype" w:eastAsia="Palatino Linotype" w:hAnsi="Palatino Linotype" w:cs="Palatino Linotype"/>
        <w:noProof/>
        <w:color w:val="000000"/>
        <w:sz w:val="22"/>
        <w:szCs w:val="20"/>
      </w:rPr>
      <w:t>1</w:t>
    </w:r>
    <w:r w:rsidRPr="00EB3E7E">
      <w:rPr>
        <w:rFonts w:ascii="Palatino Linotype" w:eastAsia="Palatino Linotype" w:hAnsi="Palatino Linotype" w:cs="Palatino Linotype"/>
        <w:color w:val="000000"/>
        <w:sz w:val="22"/>
        <w:szCs w:val="20"/>
      </w:rPr>
      <w:fldChar w:fldCharType="end"/>
    </w:r>
    <w:r w:rsidRPr="00EB3E7E">
      <w:rPr>
        <w:rFonts w:ascii="Palatino Linotype" w:eastAsia="Palatino Linotype" w:hAnsi="Palatino Linotype" w:cs="Palatino Linotype"/>
        <w:color w:val="000000"/>
        <w:sz w:val="22"/>
        <w:szCs w:val="20"/>
      </w:rPr>
      <w:t xml:space="preserve"> de </w:t>
    </w:r>
    <w:r w:rsidRPr="00EB3E7E">
      <w:rPr>
        <w:rFonts w:ascii="Palatino Linotype" w:eastAsia="Palatino Linotype" w:hAnsi="Palatino Linotype" w:cs="Palatino Linotype"/>
        <w:color w:val="000000"/>
        <w:sz w:val="22"/>
        <w:szCs w:val="20"/>
      </w:rPr>
      <w:fldChar w:fldCharType="begin"/>
    </w:r>
    <w:r w:rsidRPr="00EB3E7E">
      <w:rPr>
        <w:rFonts w:ascii="Palatino Linotype" w:eastAsia="Palatino Linotype" w:hAnsi="Palatino Linotype" w:cs="Palatino Linotype"/>
        <w:color w:val="000000"/>
        <w:sz w:val="22"/>
        <w:szCs w:val="20"/>
      </w:rPr>
      <w:instrText>NUMPAGES</w:instrText>
    </w:r>
    <w:r w:rsidRPr="00EB3E7E">
      <w:rPr>
        <w:rFonts w:ascii="Palatino Linotype" w:eastAsia="Palatino Linotype" w:hAnsi="Palatino Linotype" w:cs="Palatino Linotype"/>
        <w:color w:val="000000"/>
        <w:sz w:val="22"/>
        <w:szCs w:val="20"/>
      </w:rPr>
      <w:fldChar w:fldCharType="separate"/>
    </w:r>
    <w:r w:rsidR="00C64BEE">
      <w:rPr>
        <w:rFonts w:ascii="Palatino Linotype" w:eastAsia="Palatino Linotype" w:hAnsi="Palatino Linotype" w:cs="Palatino Linotype"/>
        <w:noProof/>
        <w:color w:val="000000"/>
        <w:sz w:val="22"/>
        <w:szCs w:val="20"/>
      </w:rPr>
      <w:t>50</w:t>
    </w:r>
    <w:r w:rsidRPr="00EB3E7E">
      <w:rPr>
        <w:rFonts w:ascii="Palatino Linotype" w:eastAsia="Palatino Linotype" w:hAnsi="Palatino Linotype" w:cs="Palatino Linotype"/>
        <w:color w:val="000000"/>
        <w:sz w:val="22"/>
        <w:szCs w:val="20"/>
      </w:rPr>
      <w:fldChar w:fldCharType="end"/>
    </w:r>
  </w:p>
  <w:p w:rsidR="00EA4AE6" w:rsidRPr="00EB3E7E" w:rsidRDefault="00EA4AE6">
    <w:pPr>
      <w:pBdr>
        <w:top w:val="nil"/>
        <w:left w:val="nil"/>
        <w:bottom w:val="nil"/>
        <w:right w:val="nil"/>
        <w:between w:val="nil"/>
      </w:pBdr>
      <w:tabs>
        <w:tab w:val="center" w:pos="4419"/>
        <w:tab w:val="right" w:pos="8838"/>
      </w:tabs>
      <w:rPr>
        <w:color w:val="000000"/>
        <w:sz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4943" w:rsidRDefault="00054943">
      <w:r>
        <w:separator/>
      </w:r>
    </w:p>
  </w:footnote>
  <w:footnote w:type="continuationSeparator" w:id="0">
    <w:p w:rsidR="00054943" w:rsidRDefault="00054943">
      <w:r>
        <w:continuationSeparator/>
      </w:r>
    </w:p>
  </w:footnote>
  <w:footnote w:id="1">
    <w:p w:rsidR="00EA4AE6" w:rsidRDefault="00EA4AE6" w:rsidP="007A26F5">
      <w:pPr>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 xml:space="preserve"> BURGOA ORIHUELA Ignacio. Diccionario De Derecho Constitucional, Garantías y Amparo. Ed. Porrúa, S.A., México. 1992, p.115.</w:t>
      </w:r>
    </w:p>
  </w:footnote>
  <w:footnote w:id="2">
    <w:p w:rsidR="00EA4AE6" w:rsidRDefault="00EA4AE6" w:rsidP="007A26F5">
      <w:pPr>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 xml:space="preserve"> CIENFUEGOS SALGADO David. El Derecho de Petición en México. Ed. Instituto de Investigaciones Jurídica UNAM. México 2004. p. 31</w:t>
      </w:r>
    </w:p>
  </w:footnote>
  <w:footnote w:id="3">
    <w:p w:rsidR="00EA4AE6" w:rsidRDefault="00EA4AE6" w:rsidP="007A26F5">
      <w:pPr>
        <w:spacing w:before="240" w:after="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 xml:space="preserve"> Carbonell, M. (2004). Los Derechos Fundamentales (Primera Edición ed.), México: Instituto de investigaciones Jurídicas.</w:t>
      </w:r>
    </w:p>
  </w:footnote>
  <w:footnote w:id="4">
    <w:p w:rsidR="00EA4AE6" w:rsidRDefault="00EA4AE6" w:rsidP="007A26F5">
      <w:pPr>
        <w:pBdr>
          <w:top w:val="nil"/>
          <w:left w:val="nil"/>
          <w:bottom w:val="nil"/>
          <w:right w:val="nil"/>
          <w:between w:val="nil"/>
        </w:pBdr>
        <w:spacing w:line="198" w:lineRule="auto"/>
        <w:ind w:left="93"/>
        <w:rPr>
          <w:rFonts w:ascii="Palatino Linotype" w:eastAsia="Palatino Linotype" w:hAnsi="Palatino Linotype" w:cs="Palatino Linotype"/>
          <w:color w:val="000000"/>
          <w:sz w:val="16"/>
          <w:szCs w:val="16"/>
        </w:rPr>
      </w:pPr>
      <w:r>
        <w:rPr>
          <w:vertAlign w:val="superscript"/>
        </w:rPr>
        <w:footnoteRef/>
      </w:r>
      <w:r>
        <w:rPr>
          <w:color w:val="000000"/>
          <w:sz w:val="23"/>
          <w:szCs w:val="23"/>
        </w:rPr>
        <w:t xml:space="preserve"> </w:t>
      </w:r>
      <w:r>
        <w:rPr>
          <w:rFonts w:ascii="Palatino Linotype" w:eastAsia="Palatino Linotype" w:hAnsi="Palatino Linotype" w:cs="Palatino Linotype"/>
          <w:color w:val="000000"/>
          <w:sz w:val="16"/>
          <w:szCs w:val="16"/>
        </w:rPr>
        <w:t>VILLANUEVA VILLANUEVA Ernesto, Derecho de la Información, Ed, Porrúa S.A., México. 2006, pág.270.</w:t>
      </w:r>
    </w:p>
  </w:footnote>
  <w:footnote w:id="5">
    <w:p w:rsidR="00EA4AE6" w:rsidRDefault="00EA4AE6" w:rsidP="007A26F5">
      <w:pPr>
        <w:pBdr>
          <w:top w:val="nil"/>
          <w:left w:val="nil"/>
          <w:bottom w:val="nil"/>
          <w:right w:val="nil"/>
          <w:between w:val="nil"/>
        </w:pBdr>
        <w:ind w:right="96"/>
        <w:jc w:val="both"/>
        <w:rPr>
          <w:rFonts w:ascii="Palatino Linotype" w:eastAsia="Palatino Linotype" w:hAnsi="Palatino Linotype" w:cs="Palatino Linotype"/>
          <w:color w:val="000000"/>
          <w:sz w:val="16"/>
          <w:szCs w:val="16"/>
        </w:rPr>
      </w:pPr>
      <w:r>
        <w:rPr>
          <w:vertAlign w:val="superscript"/>
        </w:rPr>
        <w:footnoteRef/>
      </w:r>
      <w:r>
        <w:rPr>
          <w:color w:val="000000"/>
          <w:sz w:val="23"/>
          <w:szCs w:val="23"/>
        </w:rPr>
        <w:t xml:space="preserve"> </w:t>
      </w:r>
      <w:r>
        <w:rPr>
          <w:rFonts w:ascii="Palatino Linotype" w:eastAsia="Palatino Linotype" w:hAnsi="Palatino Linotype" w:cs="Palatino Linotype"/>
          <w:color w:val="000000"/>
          <w:sz w:val="16"/>
          <w:szCs w:val="16"/>
        </w:rPr>
        <w:t>ROBLES HERNÁNDEZ José Guadalupe. Derecho de la Información y Comunicación Pública. Ed.Universidad de Occidente de México, 2004, pág.72.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4AE6" w:rsidRDefault="00054943">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1"/>
      <w:tblW w:w="6945" w:type="dxa"/>
      <w:tblInd w:w="3686" w:type="dxa"/>
      <w:tblLayout w:type="fixed"/>
      <w:tblLook w:val="0400" w:firstRow="0" w:lastRow="0" w:firstColumn="0" w:lastColumn="0" w:noHBand="0" w:noVBand="1"/>
    </w:tblPr>
    <w:tblGrid>
      <w:gridCol w:w="2693"/>
      <w:gridCol w:w="4252"/>
    </w:tblGrid>
    <w:tr w:rsidR="00EA4AE6" w:rsidTr="00EB3E7E">
      <w:trPr>
        <w:trHeight w:val="227"/>
      </w:trPr>
      <w:tc>
        <w:tcPr>
          <w:tcW w:w="2693" w:type="dxa"/>
        </w:tcPr>
        <w:p w:rsidR="00EA4AE6" w:rsidRPr="00EB3E7E" w:rsidRDefault="00EA4AE6" w:rsidP="00D268A3">
          <w:pPr>
            <w:jc w:val="right"/>
            <w:rPr>
              <w:rFonts w:ascii="Palatino Linotype" w:eastAsia="Palatino Linotype" w:hAnsi="Palatino Linotype" w:cs="Palatino Linotype"/>
              <w:b/>
              <w:szCs w:val="22"/>
            </w:rPr>
          </w:pPr>
          <w:r w:rsidRPr="00EB3E7E">
            <w:rPr>
              <w:rFonts w:ascii="Palatino Linotype" w:eastAsia="Palatino Linotype" w:hAnsi="Palatino Linotype" w:cs="Palatino Linotype"/>
              <w:b/>
              <w:szCs w:val="22"/>
            </w:rPr>
            <w:t>Recurso de Revisión:</w:t>
          </w:r>
        </w:p>
      </w:tc>
      <w:tc>
        <w:tcPr>
          <w:tcW w:w="4252" w:type="dxa"/>
        </w:tcPr>
        <w:p w:rsidR="00EA4AE6" w:rsidRPr="00EB3E7E" w:rsidRDefault="00EA4AE6" w:rsidP="00D268A3">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EB3E7E">
            <w:rPr>
              <w:rFonts w:ascii="Palatino Linotype" w:eastAsia="Palatino Linotype" w:hAnsi="Palatino Linotype" w:cs="Palatino Linotype"/>
              <w:color w:val="000000"/>
              <w:szCs w:val="22"/>
            </w:rPr>
            <w:t>12808/INFOEM/IP/RR/2025</w:t>
          </w:r>
        </w:p>
      </w:tc>
    </w:tr>
    <w:tr w:rsidR="00EA4AE6" w:rsidTr="00EB3E7E">
      <w:trPr>
        <w:trHeight w:val="342"/>
      </w:trPr>
      <w:tc>
        <w:tcPr>
          <w:tcW w:w="2693" w:type="dxa"/>
        </w:tcPr>
        <w:p w:rsidR="00EA4AE6" w:rsidRPr="00EB3E7E" w:rsidRDefault="00EA4AE6" w:rsidP="00D268A3">
          <w:pPr>
            <w:jc w:val="right"/>
            <w:rPr>
              <w:rFonts w:ascii="Palatino Linotype" w:eastAsia="Palatino Linotype" w:hAnsi="Palatino Linotype" w:cs="Palatino Linotype"/>
              <w:b/>
              <w:szCs w:val="22"/>
            </w:rPr>
          </w:pPr>
          <w:r w:rsidRPr="00EB3E7E">
            <w:rPr>
              <w:rFonts w:ascii="Palatino Linotype" w:eastAsia="Palatino Linotype" w:hAnsi="Palatino Linotype" w:cs="Palatino Linotype"/>
              <w:b/>
              <w:szCs w:val="22"/>
            </w:rPr>
            <w:t>Sujeto Obligado:</w:t>
          </w:r>
        </w:p>
      </w:tc>
      <w:tc>
        <w:tcPr>
          <w:tcW w:w="4252" w:type="dxa"/>
        </w:tcPr>
        <w:p w:rsidR="00EA4AE6" w:rsidRPr="00EB3E7E" w:rsidRDefault="00EA4AE6" w:rsidP="00D268A3">
          <w:pPr>
            <w:pBdr>
              <w:top w:val="nil"/>
              <w:left w:val="nil"/>
              <w:bottom w:val="nil"/>
              <w:right w:val="nil"/>
              <w:between w:val="nil"/>
            </w:pBdr>
            <w:tabs>
              <w:tab w:val="right" w:pos="8838"/>
            </w:tabs>
            <w:jc w:val="both"/>
            <w:rPr>
              <w:rFonts w:ascii="Palatino Linotype" w:eastAsia="Palatino Linotype" w:hAnsi="Palatino Linotype" w:cs="Palatino Linotype"/>
              <w:color w:val="000000"/>
              <w:szCs w:val="22"/>
              <w:highlight w:val="green"/>
            </w:rPr>
          </w:pPr>
          <w:r w:rsidRPr="00EB3E7E">
            <w:rPr>
              <w:rFonts w:ascii="Palatino Linotype" w:eastAsia="Palatino Linotype" w:hAnsi="Palatino Linotype" w:cs="Palatino Linotype"/>
              <w:color w:val="000000"/>
              <w:szCs w:val="22"/>
            </w:rPr>
            <w:t>Ayuntamiento de Juchitepec</w:t>
          </w:r>
        </w:p>
      </w:tc>
    </w:tr>
    <w:tr w:rsidR="00EA4AE6" w:rsidTr="00EB3E7E">
      <w:trPr>
        <w:trHeight w:val="342"/>
      </w:trPr>
      <w:tc>
        <w:tcPr>
          <w:tcW w:w="2693" w:type="dxa"/>
        </w:tcPr>
        <w:p w:rsidR="00EA4AE6" w:rsidRPr="00EB3E7E" w:rsidRDefault="00EA4AE6" w:rsidP="00D268A3">
          <w:pPr>
            <w:jc w:val="right"/>
            <w:rPr>
              <w:rFonts w:ascii="Palatino Linotype" w:eastAsia="Palatino Linotype" w:hAnsi="Palatino Linotype" w:cs="Palatino Linotype"/>
              <w:b/>
              <w:szCs w:val="22"/>
            </w:rPr>
          </w:pPr>
          <w:r w:rsidRPr="00EB3E7E">
            <w:rPr>
              <w:rFonts w:ascii="Palatino Linotype" w:eastAsia="Palatino Linotype" w:hAnsi="Palatino Linotype" w:cs="Palatino Linotype"/>
              <w:b/>
              <w:szCs w:val="22"/>
            </w:rPr>
            <w:t>Comisionada Ponente:</w:t>
          </w:r>
        </w:p>
      </w:tc>
      <w:tc>
        <w:tcPr>
          <w:tcW w:w="4252" w:type="dxa"/>
        </w:tcPr>
        <w:p w:rsidR="00EA4AE6" w:rsidRPr="00EB3E7E" w:rsidRDefault="00EA4AE6" w:rsidP="00D268A3">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EB3E7E">
            <w:rPr>
              <w:rFonts w:ascii="Palatino Linotype" w:eastAsia="Palatino Linotype" w:hAnsi="Palatino Linotype" w:cs="Palatino Linotype"/>
              <w:color w:val="000000"/>
              <w:szCs w:val="22"/>
            </w:rPr>
            <w:t>María del Rosario Mejía Ayala</w:t>
          </w:r>
        </w:p>
      </w:tc>
    </w:tr>
  </w:tbl>
  <w:p w:rsidR="00EA4AE6" w:rsidRDefault="00054943">
    <w:pPr>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style="position:absolute;margin-left:-64.65pt;margin-top:-130.45pt;width:609.4pt;height:793.75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1"/>
      <w:tblW w:w="6945" w:type="dxa"/>
      <w:tblInd w:w="3686" w:type="dxa"/>
      <w:tblLayout w:type="fixed"/>
      <w:tblLook w:val="0400" w:firstRow="0" w:lastRow="0" w:firstColumn="0" w:lastColumn="0" w:noHBand="0" w:noVBand="1"/>
    </w:tblPr>
    <w:tblGrid>
      <w:gridCol w:w="2693"/>
      <w:gridCol w:w="4252"/>
    </w:tblGrid>
    <w:tr w:rsidR="00EA4AE6" w:rsidTr="00EB3E7E">
      <w:trPr>
        <w:trHeight w:val="227"/>
      </w:trPr>
      <w:tc>
        <w:tcPr>
          <w:tcW w:w="2693" w:type="dxa"/>
        </w:tcPr>
        <w:p w:rsidR="00EA4AE6" w:rsidRPr="00EB3E7E" w:rsidRDefault="00EA4AE6">
          <w:pPr>
            <w:jc w:val="right"/>
            <w:rPr>
              <w:rFonts w:ascii="Palatino Linotype" w:eastAsia="Palatino Linotype" w:hAnsi="Palatino Linotype" w:cs="Palatino Linotype"/>
              <w:b/>
              <w:szCs w:val="22"/>
            </w:rPr>
          </w:pPr>
          <w:r w:rsidRPr="00EB3E7E">
            <w:rPr>
              <w:rFonts w:ascii="Palatino Linotype" w:eastAsia="Palatino Linotype" w:hAnsi="Palatino Linotype" w:cs="Palatino Linotype"/>
              <w:b/>
              <w:szCs w:val="22"/>
            </w:rPr>
            <w:t>Recurso de Revisión:</w:t>
          </w:r>
        </w:p>
      </w:tc>
      <w:tc>
        <w:tcPr>
          <w:tcW w:w="4252" w:type="dxa"/>
        </w:tcPr>
        <w:p w:rsidR="00EA4AE6" w:rsidRPr="00EB3E7E" w:rsidRDefault="00EA4AE6">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EB3E7E">
            <w:rPr>
              <w:rFonts w:ascii="Palatino Linotype" w:eastAsia="Palatino Linotype" w:hAnsi="Palatino Linotype" w:cs="Palatino Linotype"/>
              <w:color w:val="000000"/>
              <w:szCs w:val="22"/>
            </w:rPr>
            <w:t>12808/INFOEM/IP/RR/2025</w:t>
          </w:r>
        </w:p>
      </w:tc>
    </w:tr>
    <w:tr w:rsidR="00EA4AE6" w:rsidTr="00EB3E7E">
      <w:trPr>
        <w:trHeight w:val="242"/>
      </w:trPr>
      <w:tc>
        <w:tcPr>
          <w:tcW w:w="2693" w:type="dxa"/>
        </w:tcPr>
        <w:p w:rsidR="00EA4AE6" w:rsidRPr="00EB3E7E" w:rsidRDefault="00EA4AE6">
          <w:pPr>
            <w:jc w:val="right"/>
            <w:rPr>
              <w:rFonts w:ascii="Palatino Linotype" w:eastAsia="Palatino Linotype" w:hAnsi="Palatino Linotype" w:cs="Palatino Linotype"/>
              <w:b/>
              <w:szCs w:val="22"/>
            </w:rPr>
          </w:pPr>
          <w:r w:rsidRPr="00EB3E7E">
            <w:rPr>
              <w:rFonts w:ascii="Palatino Linotype" w:eastAsia="Palatino Linotype" w:hAnsi="Palatino Linotype" w:cs="Palatino Linotype"/>
              <w:b/>
              <w:szCs w:val="22"/>
            </w:rPr>
            <w:t>Recurrente:</w:t>
          </w:r>
        </w:p>
      </w:tc>
      <w:tc>
        <w:tcPr>
          <w:tcW w:w="4252" w:type="dxa"/>
        </w:tcPr>
        <w:p w:rsidR="00EA4AE6" w:rsidRPr="00EB3E7E" w:rsidRDefault="00C64BEE" w:rsidP="00460BB2">
          <w:pPr>
            <w:tabs>
              <w:tab w:val="right" w:pos="8838"/>
            </w:tabs>
            <w:jc w:val="both"/>
          </w:pPr>
          <w:r>
            <w:rPr>
              <w:rFonts w:ascii="Palatino Linotype" w:eastAsia="Palatino Linotype" w:hAnsi="Palatino Linotype" w:cs="Palatino Linotype"/>
              <w:color w:val="000000"/>
              <w:szCs w:val="22"/>
            </w:rPr>
            <w:t>XXXX</w:t>
          </w:r>
        </w:p>
      </w:tc>
    </w:tr>
    <w:tr w:rsidR="00EA4AE6" w:rsidTr="00EB3E7E">
      <w:trPr>
        <w:trHeight w:val="342"/>
      </w:trPr>
      <w:tc>
        <w:tcPr>
          <w:tcW w:w="2693" w:type="dxa"/>
        </w:tcPr>
        <w:p w:rsidR="00EA4AE6" w:rsidRPr="00EB3E7E" w:rsidRDefault="00EA4AE6">
          <w:pPr>
            <w:jc w:val="right"/>
            <w:rPr>
              <w:rFonts w:ascii="Palatino Linotype" w:eastAsia="Palatino Linotype" w:hAnsi="Palatino Linotype" w:cs="Palatino Linotype"/>
              <w:b/>
              <w:szCs w:val="22"/>
            </w:rPr>
          </w:pPr>
          <w:r w:rsidRPr="00EB3E7E">
            <w:rPr>
              <w:rFonts w:ascii="Palatino Linotype" w:eastAsia="Palatino Linotype" w:hAnsi="Palatino Linotype" w:cs="Palatino Linotype"/>
              <w:b/>
              <w:szCs w:val="22"/>
            </w:rPr>
            <w:t>Sujeto Obligado:</w:t>
          </w:r>
        </w:p>
      </w:tc>
      <w:tc>
        <w:tcPr>
          <w:tcW w:w="4252" w:type="dxa"/>
        </w:tcPr>
        <w:p w:rsidR="00EA4AE6" w:rsidRPr="00EB3E7E" w:rsidRDefault="00EA4AE6">
          <w:pPr>
            <w:pBdr>
              <w:top w:val="nil"/>
              <w:left w:val="nil"/>
              <w:bottom w:val="nil"/>
              <w:right w:val="nil"/>
              <w:between w:val="nil"/>
            </w:pBdr>
            <w:tabs>
              <w:tab w:val="right" w:pos="8838"/>
            </w:tabs>
            <w:jc w:val="both"/>
            <w:rPr>
              <w:rFonts w:ascii="Palatino Linotype" w:eastAsia="Palatino Linotype" w:hAnsi="Palatino Linotype" w:cs="Palatino Linotype"/>
              <w:color w:val="000000"/>
              <w:szCs w:val="22"/>
              <w:highlight w:val="green"/>
            </w:rPr>
          </w:pPr>
          <w:r w:rsidRPr="00EB3E7E">
            <w:rPr>
              <w:rFonts w:ascii="Palatino Linotype" w:eastAsia="Palatino Linotype" w:hAnsi="Palatino Linotype" w:cs="Palatino Linotype"/>
              <w:color w:val="000000"/>
              <w:szCs w:val="22"/>
            </w:rPr>
            <w:t>Ayuntamiento de Juchitepec</w:t>
          </w:r>
        </w:p>
      </w:tc>
    </w:tr>
    <w:tr w:rsidR="00EA4AE6" w:rsidTr="00EB3E7E">
      <w:trPr>
        <w:trHeight w:val="342"/>
      </w:trPr>
      <w:tc>
        <w:tcPr>
          <w:tcW w:w="2693" w:type="dxa"/>
        </w:tcPr>
        <w:p w:rsidR="00EA4AE6" w:rsidRPr="00EB3E7E" w:rsidRDefault="00EA4AE6">
          <w:pPr>
            <w:jc w:val="right"/>
            <w:rPr>
              <w:rFonts w:ascii="Palatino Linotype" w:eastAsia="Palatino Linotype" w:hAnsi="Palatino Linotype" w:cs="Palatino Linotype"/>
              <w:b/>
              <w:szCs w:val="22"/>
            </w:rPr>
          </w:pPr>
          <w:r w:rsidRPr="00EB3E7E">
            <w:rPr>
              <w:rFonts w:ascii="Palatino Linotype" w:eastAsia="Palatino Linotype" w:hAnsi="Palatino Linotype" w:cs="Palatino Linotype"/>
              <w:b/>
              <w:szCs w:val="22"/>
            </w:rPr>
            <w:t>Comisionada Ponente:</w:t>
          </w:r>
        </w:p>
      </w:tc>
      <w:tc>
        <w:tcPr>
          <w:tcW w:w="4252" w:type="dxa"/>
        </w:tcPr>
        <w:p w:rsidR="00EA4AE6" w:rsidRPr="00EB3E7E" w:rsidRDefault="00EA4AE6">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EB3E7E">
            <w:rPr>
              <w:rFonts w:ascii="Palatino Linotype" w:eastAsia="Palatino Linotype" w:hAnsi="Palatino Linotype" w:cs="Palatino Linotype"/>
              <w:color w:val="000000"/>
              <w:szCs w:val="22"/>
            </w:rPr>
            <w:t>María del Rosario Mejía Ayala</w:t>
          </w:r>
        </w:p>
      </w:tc>
    </w:tr>
  </w:tbl>
  <w:p w:rsidR="00EA4AE6" w:rsidRDefault="00054943">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style="position:absolute;margin-left:-84.55pt;margin-top:-118.65pt;width:609.4pt;height:793.75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B6368"/>
    <w:multiLevelType w:val="multilevel"/>
    <w:tmpl w:val="D7B01A7E"/>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decimal"/>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CE7888"/>
    <w:multiLevelType w:val="multilevel"/>
    <w:tmpl w:val="0F20B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14032D"/>
    <w:multiLevelType w:val="multilevel"/>
    <w:tmpl w:val="FAEA839C"/>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3" w15:restartNumberingAfterBreak="0">
    <w:nsid w:val="1BCC1CED"/>
    <w:multiLevelType w:val="hybridMultilevel"/>
    <w:tmpl w:val="E16EB406"/>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0EB20D8"/>
    <w:multiLevelType w:val="multilevel"/>
    <w:tmpl w:val="8C52C572"/>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decimal"/>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3C31FA9"/>
    <w:multiLevelType w:val="hybridMultilevel"/>
    <w:tmpl w:val="59440E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B9D3BB6"/>
    <w:multiLevelType w:val="multilevel"/>
    <w:tmpl w:val="0F20B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1F51A25"/>
    <w:multiLevelType w:val="hybridMultilevel"/>
    <w:tmpl w:val="8662031E"/>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8" w15:restartNumberingAfterBreak="0">
    <w:nsid w:val="48952E2A"/>
    <w:multiLevelType w:val="hybridMultilevel"/>
    <w:tmpl w:val="9716B086"/>
    <w:lvl w:ilvl="0" w:tplc="080A0015">
      <w:start w:val="1"/>
      <w:numFmt w:val="upperLetter"/>
      <w:lvlText w:val="%1."/>
      <w:lvlJc w:val="left"/>
      <w:pPr>
        <w:ind w:left="720" w:hanging="360"/>
      </w:pPr>
    </w:lvl>
    <w:lvl w:ilvl="1" w:tplc="080A0011">
      <w:start w:val="1"/>
      <w:numFmt w:val="decimal"/>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A706C64"/>
    <w:multiLevelType w:val="hybridMultilevel"/>
    <w:tmpl w:val="0EB6C60C"/>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0" w15:restartNumberingAfterBreak="0">
    <w:nsid w:val="55EA367F"/>
    <w:multiLevelType w:val="multilevel"/>
    <w:tmpl w:val="E68C3BB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8CC580E"/>
    <w:multiLevelType w:val="multilevel"/>
    <w:tmpl w:val="A942F5D4"/>
    <w:lvl w:ilvl="0">
      <w:start w:val="1"/>
      <w:numFmt w:val="bullet"/>
      <w:pStyle w:val="Listaconvietas2"/>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F5E35BB"/>
    <w:multiLevelType w:val="multilevel"/>
    <w:tmpl w:val="02B2ACA0"/>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3" w15:restartNumberingAfterBreak="0">
    <w:nsid w:val="727B3499"/>
    <w:multiLevelType w:val="multilevel"/>
    <w:tmpl w:val="17824A86"/>
    <w:lvl w:ilvl="0">
      <w:start w:val="1"/>
      <w:numFmt w:val="decimal"/>
      <w:lvlText w:val="%1."/>
      <w:lvlJc w:val="left"/>
      <w:pPr>
        <w:ind w:left="2629"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4C73819"/>
    <w:multiLevelType w:val="hybridMultilevel"/>
    <w:tmpl w:val="C8D42978"/>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5" w15:restartNumberingAfterBreak="0">
    <w:nsid w:val="7C435A25"/>
    <w:multiLevelType w:val="multilevel"/>
    <w:tmpl w:val="C0064242"/>
    <w:lvl w:ilvl="0">
      <w:start w:val="1"/>
      <w:numFmt w:val="decimal"/>
      <w:lvlText w:val="%1."/>
      <w:lvlJc w:val="left"/>
      <w:pPr>
        <w:ind w:left="1495" w:hanging="360"/>
      </w:pPr>
      <w:rPr>
        <w:rFonts w:ascii="Palatino Linotype" w:eastAsia="Palatino Linotype" w:hAnsi="Palatino Linotype" w:cs="Palatino Linotype"/>
        <w:b/>
        <w:i w:val="0"/>
        <w:color w:val="000000"/>
        <w:sz w:val="24"/>
        <w:szCs w:val="24"/>
      </w:rPr>
    </w:lvl>
    <w:lvl w:ilvl="1">
      <w:start w:val="1"/>
      <w:numFmt w:val="decimal"/>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D5D3B83"/>
    <w:multiLevelType w:val="multilevel"/>
    <w:tmpl w:val="87CC4508"/>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FAF3AF7"/>
    <w:multiLevelType w:val="multilevel"/>
    <w:tmpl w:val="8D768C9C"/>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2"/>
  </w:num>
  <w:num w:numId="2">
    <w:abstractNumId w:val="13"/>
  </w:num>
  <w:num w:numId="3">
    <w:abstractNumId w:val="11"/>
  </w:num>
  <w:num w:numId="4">
    <w:abstractNumId w:val="2"/>
  </w:num>
  <w:num w:numId="5">
    <w:abstractNumId w:val="9"/>
  </w:num>
  <w:num w:numId="6">
    <w:abstractNumId w:val="14"/>
  </w:num>
  <w:num w:numId="7">
    <w:abstractNumId w:val="7"/>
  </w:num>
  <w:num w:numId="8">
    <w:abstractNumId w:val="17"/>
  </w:num>
  <w:num w:numId="9">
    <w:abstractNumId w:val="4"/>
  </w:num>
  <w:num w:numId="10">
    <w:abstractNumId w:val="15"/>
  </w:num>
  <w:num w:numId="11">
    <w:abstractNumId w:val="6"/>
  </w:num>
  <w:num w:numId="12">
    <w:abstractNumId w:val="10"/>
  </w:num>
  <w:num w:numId="13">
    <w:abstractNumId w:val="1"/>
  </w:num>
  <w:num w:numId="14">
    <w:abstractNumId w:val="0"/>
  </w:num>
  <w:num w:numId="15">
    <w:abstractNumId w:val="16"/>
  </w:num>
  <w:num w:numId="16">
    <w:abstractNumId w:val="5"/>
  </w:num>
  <w:num w:numId="17">
    <w:abstractNumId w:val="8"/>
  </w:num>
  <w:num w:numId="18">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E28"/>
    <w:rsid w:val="00007FBA"/>
    <w:rsid w:val="000179A1"/>
    <w:rsid w:val="00020C6B"/>
    <w:rsid w:val="0002581C"/>
    <w:rsid w:val="00051962"/>
    <w:rsid w:val="00051DAB"/>
    <w:rsid w:val="0005258F"/>
    <w:rsid w:val="00054943"/>
    <w:rsid w:val="00055E5F"/>
    <w:rsid w:val="00073556"/>
    <w:rsid w:val="00073920"/>
    <w:rsid w:val="000753B1"/>
    <w:rsid w:val="00081C6D"/>
    <w:rsid w:val="00083172"/>
    <w:rsid w:val="000835C9"/>
    <w:rsid w:val="00085C67"/>
    <w:rsid w:val="000912E2"/>
    <w:rsid w:val="000A7B5E"/>
    <w:rsid w:val="000B1EC2"/>
    <w:rsid w:val="000C092F"/>
    <w:rsid w:val="000D6938"/>
    <w:rsid w:val="000E2E9E"/>
    <w:rsid w:val="000E3EAD"/>
    <w:rsid w:val="000E50AD"/>
    <w:rsid w:val="000E6836"/>
    <w:rsid w:val="000E68E9"/>
    <w:rsid w:val="000E6B49"/>
    <w:rsid w:val="000F5314"/>
    <w:rsid w:val="000F6C2C"/>
    <w:rsid w:val="000F7291"/>
    <w:rsid w:val="00116F28"/>
    <w:rsid w:val="00121ED5"/>
    <w:rsid w:val="001347E9"/>
    <w:rsid w:val="00134E5B"/>
    <w:rsid w:val="00141C38"/>
    <w:rsid w:val="00154C67"/>
    <w:rsid w:val="001559A4"/>
    <w:rsid w:val="00156949"/>
    <w:rsid w:val="001619FE"/>
    <w:rsid w:val="0016204F"/>
    <w:rsid w:val="001670DD"/>
    <w:rsid w:val="00172486"/>
    <w:rsid w:val="00175D26"/>
    <w:rsid w:val="00176AE6"/>
    <w:rsid w:val="001776C9"/>
    <w:rsid w:val="001843D1"/>
    <w:rsid w:val="00184ABD"/>
    <w:rsid w:val="001852B6"/>
    <w:rsid w:val="00185A39"/>
    <w:rsid w:val="00185E28"/>
    <w:rsid w:val="00187585"/>
    <w:rsid w:val="00193D56"/>
    <w:rsid w:val="00195D9D"/>
    <w:rsid w:val="001A42C7"/>
    <w:rsid w:val="001A666C"/>
    <w:rsid w:val="001C1CA1"/>
    <w:rsid w:val="001C6829"/>
    <w:rsid w:val="001D6FFC"/>
    <w:rsid w:val="001E47DC"/>
    <w:rsid w:val="001F2C64"/>
    <w:rsid w:val="001F6A48"/>
    <w:rsid w:val="00206E03"/>
    <w:rsid w:val="00207910"/>
    <w:rsid w:val="002138CD"/>
    <w:rsid w:val="00214647"/>
    <w:rsid w:val="002342E4"/>
    <w:rsid w:val="00240D61"/>
    <w:rsid w:val="0024778A"/>
    <w:rsid w:val="002519FC"/>
    <w:rsid w:val="00254D43"/>
    <w:rsid w:val="0025503D"/>
    <w:rsid w:val="00264F2C"/>
    <w:rsid w:val="0026621B"/>
    <w:rsid w:val="002717D4"/>
    <w:rsid w:val="00271C36"/>
    <w:rsid w:val="0027237E"/>
    <w:rsid w:val="002758B7"/>
    <w:rsid w:val="00275988"/>
    <w:rsid w:val="002865FB"/>
    <w:rsid w:val="00290457"/>
    <w:rsid w:val="00295E51"/>
    <w:rsid w:val="002A00DE"/>
    <w:rsid w:val="002A2542"/>
    <w:rsid w:val="002B678D"/>
    <w:rsid w:val="002C6ECB"/>
    <w:rsid w:val="002E468A"/>
    <w:rsid w:val="00306921"/>
    <w:rsid w:val="00314431"/>
    <w:rsid w:val="00316495"/>
    <w:rsid w:val="003166C7"/>
    <w:rsid w:val="00320110"/>
    <w:rsid w:val="00323BA6"/>
    <w:rsid w:val="00324215"/>
    <w:rsid w:val="00334425"/>
    <w:rsid w:val="00340EA0"/>
    <w:rsid w:val="003464D2"/>
    <w:rsid w:val="00346BB2"/>
    <w:rsid w:val="00354CD0"/>
    <w:rsid w:val="003551EB"/>
    <w:rsid w:val="00357818"/>
    <w:rsid w:val="00360FA6"/>
    <w:rsid w:val="003654B0"/>
    <w:rsid w:val="0036569B"/>
    <w:rsid w:val="00374D87"/>
    <w:rsid w:val="00376301"/>
    <w:rsid w:val="00380EAB"/>
    <w:rsid w:val="0038505A"/>
    <w:rsid w:val="0038653F"/>
    <w:rsid w:val="00386B04"/>
    <w:rsid w:val="00391CE3"/>
    <w:rsid w:val="00395F41"/>
    <w:rsid w:val="003A4B93"/>
    <w:rsid w:val="003B1CE0"/>
    <w:rsid w:val="003B460E"/>
    <w:rsid w:val="003C2EB4"/>
    <w:rsid w:val="003C3B5A"/>
    <w:rsid w:val="003C7646"/>
    <w:rsid w:val="003D53F6"/>
    <w:rsid w:val="003E2C45"/>
    <w:rsid w:val="003E30BA"/>
    <w:rsid w:val="003E630D"/>
    <w:rsid w:val="003F107C"/>
    <w:rsid w:val="003F41DA"/>
    <w:rsid w:val="003F670A"/>
    <w:rsid w:val="00400D61"/>
    <w:rsid w:val="00402A3B"/>
    <w:rsid w:val="00403C32"/>
    <w:rsid w:val="004054DD"/>
    <w:rsid w:val="00406390"/>
    <w:rsid w:val="0040789E"/>
    <w:rsid w:val="00410678"/>
    <w:rsid w:val="00413C28"/>
    <w:rsid w:val="004145F4"/>
    <w:rsid w:val="00414BA4"/>
    <w:rsid w:val="004157A8"/>
    <w:rsid w:val="00423880"/>
    <w:rsid w:val="00430E8A"/>
    <w:rsid w:val="00432FCA"/>
    <w:rsid w:val="00433085"/>
    <w:rsid w:val="004347D1"/>
    <w:rsid w:val="00435020"/>
    <w:rsid w:val="00437BAE"/>
    <w:rsid w:val="00437DB3"/>
    <w:rsid w:val="00443443"/>
    <w:rsid w:val="00444197"/>
    <w:rsid w:val="00452231"/>
    <w:rsid w:val="00453C0E"/>
    <w:rsid w:val="00453E47"/>
    <w:rsid w:val="00460BB2"/>
    <w:rsid w:val="004621F4"/>
    <w:rsid w:val="00483EA9"/>
    <w:rsid w:val="00487BC6"/>
    <w:rsid w:val="004A0A71"/>
    <w:rsid w:val="004A1432"/>
    <w:rsid w:val="004A2F08"/>
    <w:rsid w:val="004B4520"/>
    <w:rsid w:val="004B46CB"/>
    <w:rsid w:val="004B70B2"/>
    <w:rsid w:val="004C0D28"/>
    <w:rsid w:val="004C13E7"/>
    <w:rsid w:val="004C2823"/>
    <w:rsid w:val="004D082B"/>
    <w:rsid w:val="004E20FC"/>
    <w:rsid w:val="004E38B9"/>
    <w:rsid w:val="004E3FC7"/>
    <w:rsid w:val="004F0357"/>
    <w:rsid w:val="005015FF"/>
    <w:rsid w:val="00511188"/>
    <w:rsid w:val="00512034"/>
    <w:rsid w:val="00522151"/>
    <w:rsid w:val="00531422"/>
    <w:rsid w:val="00534035"/>
    <w:rsid w:val="00536199"/>
    <w:rsid w:val="00542E04"/>
    <w:rsid w:val="00544E82"/>
    <w:rsid w:val="00552829"/>
    <w:rsid w:val="005563B0"/>
    <w:rsid w:val="00557A23"/>
    <w:rsid w:val="00570301"/>
    <w:rsid w:val="00570B8B"/>
    <w:rsid w:val="00586947"/>
    <w:rsid w:val="005919EE"/>
    <w:rsid w:val="005A03BD"/>
    <w:rsid w:val="005A41F3"/>
    <w:rsid w:val="005B7648"/>
    <w:rsid w:val="005C0D59"/>
    <w:rsid w:val="005C113C"/>
    <w:rsid w:val="005C6A09"/>
    <w:rsid w:val="005E01E6"/>
    <w:rsid w:val="005E0640"/>
    <w:rsid w:val="005E19A8"/>
    <w:rsid w:val="005F5513"/>
    <w:rsid w:val="006048A5"/>
    <w:rsid w:val="00605415"/>
    <w:rsid w:val="006267D4"/>
    <w:rsid w:val="00630436"/>
    <w:rsid w:val="00630A93"/>
    <w:rsid w:val="00632430"/>
    <w:rsid w:val="006330C3"/>
    <w:rsid w:val="00634EAF"/>
    <w:rsid w:val="00641FCF"/>
    <w:rsid w:val="006439DA"/>
    <w:rsid w:val="00643A8F"/>
    <w:rsid w:val="0064467B"/>
    <w:rsid w:val="00647962"/>
    <w:rsid w:val="00651657"/>
    <w:rsid w:val="00652A6E"/>
    <w:rsid w:val="006637E1"/>
    <w:rsid w:val="00663928"/>
    <w:rsid w:val="00670AFC"/>
    <w:rsid w:val="00671560"/>
    <w:rsid w:val="006717BD"/>
    <w:rsid w:val="006724E9"/>
    <w:rsid w:val="006736CC"/>
    <w:rsid w:val="00680E7B"/>
    <w:rsid w:val="00683E11"/>
    <w:rsid w:val="00685E2C"/>
    <w:rsid w:val="006904EF"/>
    <w:rsid w:val="006914A4"/>
    <w:rsid w:val="0069232C"/>
    <w:rsid w:val="00694DFE"/>
    <w:rsid w:val="00695BB2"/>
    <w:rsid w:val="006A233A"/>
    <w:rsid w:val="006A47DE"/>
    <w:rsid w:val="006B1566"/>
    <w:rsid w:val="006B320A"/>
    <w:rsid w:val="006B4F3A"/>
    <w:rsid w:val="006B7756"/>
    <w:rsid w:val="006C0D5F"/>
    <w:rsid w:val="006C1A40"/>
    <w:rsid w:val="006E5EC5"/>
    <w:rsid w:val="006E6D64"/>
    <w:rsid w:val="006F0941"/>
    <w:rsid w:val="006F0BB7"/>
    <w:rsid w:val="006F2A08"/>
    <w:rsid w:val="006F3F1E"/>
    <w:rsid w:val="006F5EC4"/>
    <w:rsid w:val="006F799C"/>
    <w:rsid w:val="0070201F"/>
    <w:rsid w:val="0070644A"/>
    <w:rsid w:val="00710581"/>
    <w:rsid w:val="00712129"/>
    <w:rsid w:val="0071333C"/>
    <w:rsid w:val="0071625B"/>
    <w:rsid w:val="00720497"/>
    <w:rsid w:val="007267DB"/>
    <w:rsid w:val="00726ADF"/>
    <w:rsid w:val="00741B22"/>
    <w:rsid w:val="00745CAD"/>
    <w:rsid w:val="00745D52"/>
    <w:rsid w:val="00751215"/>
    <w:rsid w:val="00763776"/>
    <w:rsid w:val="007650F2"/>
    <w:rsid w:val="0077079A"/>
    <w:rsid w:val="00774D02"/>
    <w:rsid w:val="00782232"/>
    <w:rsid w:val="007927D5"/>
    <w:rsid w:val="007A26F5"/>
    <w:rsid w:val="007A5917"/>
    <w:rsid w:val="007B1F89"/>
    <w:rsid w:val="007B347F"/>
    <w:rsid w:val="007B4FD5"/>
    <w:rsid w:val="007B6576"/>
    <w:rsid w:val="007C69B5"/>
    <w:rsid w:val="007E2878"/>
    <w:rsid w:val="007E3903"/>
    <w:rsid w:val="007E6222"/>
    <w:rsid w:val="007E7EEF"/>
    <w:rsid w:val="007F0F1C"/>
    <w:rsid w:val="007F1860"/>
    <w:rsid w:val="007F4D44"/>
    <w:rsid w:val="007F6ED5"/>
    <w:rsid w:val="007F7923"/>
    <w:rsid w:val="008001BA"/>
    <w:rsid w:val="00802704"/>
    <w:rsid w:val="008034E5"/>
    <w:rsid w:val="0080443A"/>
    <w:rsid w:val="00807930"/>
    <w:rsid w:val="00807F18"/>
    <w:rsid w:val="008159FE"/>
    <w:rsid w:val="00816127"/>
    <w:rsid w:val="00832AA4"/>
    <w:rsid w:val="0085226B"/>
    <w:rsid w:val="00853619"/>
    <w:rsid w:val="0088074D"/>
    <w:rsid w:val="00880EB8"/>
    <w:rsid w:val="00882FCF"/>
    <w:rsid w:val="00883771"/>
    <w:rsid w:val="008874E8"/>
    <w:rsid w:val="00887BB6"/>
    <w:rsid w:val="008A18BA"/>
    <w:rsid w:val="008A1BD5"/>
    <w:rsid w:val="008B244C"/>
    <w:rsid w:val="008B6368"/>
    <w:rsid w:val="008B6681"/>
    <w:rsid w:val="008D2FCE"/>
    <w:rsid w:val="008D7DA3"/>
    <w:rsid w:val="008E2B6C"/>
    <w:rsid w:val="008F36FC"/>
    <w:rsid w:val="008F3BC9"/>
    <w:rsid w:val="008F65AB"/>
    <w:rsid w:val="008F68CD"/>
    <w:rsid w:val="008F6EDA"/>
    <w:rsid w:val="00902309"/>
    <w:rsid w:val="00906D81"/>
    <w:rsid w:val="00907F01"/>
    <w:rsid w:val="00915929"/>
    <w:rsid w:val="00916F87"/>
    <w:rsid w:val="009233F4"/>
    <w:rsid w:val="009255B3"/>
    <w:rsid w:val="00927CCF"/>
    <w:rsid w:val="00931C4A"/>
    <w:rsid w:val="00933EC5"/>
    <w:rsid w:val="00943077"/>
    <w:rsid w:val="00947CA3"/>
    <w:rsid w:val="009554A3"/>
    <w:rsid w:val="009615F6"/>
    <w:rsid w:val="009670EE"/>
    <w:rsid w:val="009674A4"/>
    <w:rsid w:val="00971092"/>
    <w:rsid w:val="00987865"/>
    <w:rsid w:val="009A2032"/>
    <w:rsid w:val="009A2E34"/>
    <w:rsid w:val="009B3B47"/>
    <w:rsid w:val="009B4B1F"/>
    <w:rsid w:val="009B5106"/>
    <w:rsid w:val="009D0D27"/>
    <w:rsid w:val="009D0D46"/>
    <w:rsid w:val="009D0E3B"/>
    <w:rsid w:val="009D1471"/>
    <w:rsid w:val="009D4566"/>
    <w:rsid w:val="009D65C4"/>
    <w:rsid w:val="009E03EF"/>
    <w:rsid w:val="009E5887"/>
    <w:rsid w:val="009F2ACF"/>
    <w:rsid w:val="009F54F2"/>
    <w:rsid w:val="009F7008"/>
    <w:rsid w:val="00A00FCF"/>
    <w:rsid w:val="00A011C9"/>
    <w:rsid w:val="00A07B63"/>
    <w:rsid w:val="00A21B61"/>
    <w:rsid w:val="00A21C3A"/>
    <w:rsid w:val="00A22D47"/>
    <w:rsid w:val="00A27BAF"/>
    <w:rsid w:val="00A3063D"/>
    <w:rsid w:val="00A33D77"/>
    <w:rsid w:val="00A43974"/>
    <w:rsid w:val="00A622C9"/>
    <w:rsid w:val="00A62340"/>
    <w:rsid w:val="00A6381D"/>
    <w:rsid w:val="00A643E5"/>
    <w:rsid w:val="00A660D2"/>
    <w:rsid w:val="00A71365"/>
    <w:rsid w:val="00A7758F"/>
    <w:rsid w:val="00A77706"/>
    <w:rsid w:val="00A77C2E"/>
    <w:rsid w:val="00A8112B"/>
    <w:rsid w:val="00A82E27"/>
    <w:rsid w:val="00A84269"/>
    <w:rsid w:val="00A86EA6"/>
    <w:rsid w:val="00A87633"/>
    <w:rsid w:val="00A9188A"/>
    <w:rsid w:val="00A94363"/>
    <w:rsid w:val="00AA70DE"/>
    <w:rsid w:val="00AB2712"/>
    <w:rsid w:val="00AB3388"/>
    <w:rsid w:val="00AB33CE"/>
    <w:rsid w:val="00AB4884"/>
    <w:rsid w:val="00AB51C8"/>
    <w:rsid w:val="00AB53D1"/>
    <w:rsid w:val="00AD2F24"/>
    <w:rsid w:val="00AE4D98"/>
    <w:rsid w:val="00AE7E94"/>
    <w:rsid w:val="00AF195C"/>
    <w:rsid w:val="00AF31C1"/>
    <w:rsid w:val="00AF5CCD"/>
    <w:rsid w:val="00AF5E42"/>
    <w:rsid w:val="00AF6BBD"/>
    <w:rsid w:val="00B06625"/>
    <w:rsid w:val="00B11429"/>
    <w:rsid w:val="00B11858"/>
    <w:rsid w:val="00B11F80"/>
    <w:rsid w:val="00B245CB"/>
    <w:rsid w:val="00B25291"/>
    <w:rsid w:val="00B25FE9"/>
    <w:rsid w:val="00B34C13"/>
    <w:rsid w:val="00B35A42"/>
    <w:rsid w:val="00B35E72"/>
    <w:rsid w:val="00B378AB"/>
    <w:rsid w:val="00B37AA9"/>
    <w:rsid w:val="00B4019F"/>
    <w:rsid w:val="00B45146"/>
    <w:rsid w:val="00B467B0"/>
    <w:rsid w:val="00B5308B"/>
    <w:rsid w:val="00B73DD0"/>
    <w:rsid w:val="00B822E4"/>
    <w:rsid w:val="00B82D66"/>
    <w:rsid w:val="00B86CE0"/>
    <w:rsid w:val="00B86F9E"/>
    <w:rsid w:val="00B879F0"/>
    <w:rsid w:val="00B93963"/>
    <w:rsid w:val="00B95999"/>
    <w:rsid w:val="00B97E3A"/>
    <w:rsid w:val="00BA1DAD"/>
    <w:rsid w:val="00BA3212"/>
    <w:rsid w:val="00BB4989"/>
    <w:rsid w:val="00BC2A86"/>
    <w:rsid w:val="00BC3084"/>
    <w:rsid w:val="00BC3C6A"/>
    <w:rsid w:val="00BC5709"/>
    <w:rsid w:val="00BD03FA"/>
    <w:rsid w:val="00BD1A56"/>
    <w:rsid w:val="00BE0C46"/>
    <w:rsid w:val="00BE219A"/>
    <w:rsid w:val="00BE41A0"/>
    <w:rsid w:val="00BE62D9"/>
    <w:rsid w:val="00BE632D"/>
    <w:rsid w:val="00BF3F6D"/>
    <w:rsid w:val="00BF58DB"/>
    <w:rsid w:val="00BF69D0"/>
    <w:rsid w:val="00C00259"/>
    <w:rsid w:val="00C02927"/>
    <w:rsid w:val="00C05084"/>
    <w:rsid w:val="00C074CB"/>
    <w:rsid w:val="00C14CC8"/>
    <w:rsid w:val="00C16504"/>
    <w:rsid w:val="00C23AB9"/>
    <w:rsid w:val="00C24D47"/>
    <w:rsid w:val="00C32F6F"/>
    <w:rsid w:val="00C372AC"/>
    <w:rsid w:val="00C4369B"/>
    <w:rsid w:val="00C459EB"/>
    <w:rsid w:val="00C46E9E"/>
    <w:rsid w:val="00C503F6"/>
    <w:rsid w:val="00C62067"/>
    <w:rsid w:val="00C62F75"/>
    <w:rsid w:val="00C64BEE"/>
    <w:rsid w:val="00C6620D"/>
    <w:rsid w:val="00C805DA"/>
    <w:rsid w:val="00C84A19"/>
    <w:rsid w:val="00C85DE4"/>
    <w:rsid w:val="00C86E83"/>
    <w:rsid w:val="00C914B8"/>
    <w:rsid w:val="00C92294"/>
    <w:rsid w:val="00C949F1"/>
    <w:rsid w:val="00C95149"/>
    <w:rsid w:val="00C96B59"/>
    <w:rsid w:val="00C97B44"/>
    <w:rsid w:val="00CA2B01"/>
    <w:rsid w:val="00CA3CCA"/>
    <w:rsid w:val="00CA46FC"/>
    <w:rsid w:val="00CA4A59"/>
    <w:rsid w:val="00CB2C7E"/>
    <w:rsid w:val="00CB2D54"/>
    <w:rsid w:val="00CB3097"/>
    <w:rsid w:val="00CB3936"/>
    <w:rsid w:val="00CB5681"/>
    <w:rsid w:val="00CD104D"/>
    <w:rsid w:val="00CE6CEE"/>
    <w:rsid w:val="00CF0E94"/>
    <w:rsid w:val="00D057D3"/>
    <w:rsid w:val="00D05834"/>
    <w:rsid w:val="00D07083"/>
    <w:rsid w:val="00D11C3F"/>
    <w:rsid w:val="00D14BEC"/>
    <w:rsid w:val="00D16605"/>
    <w:rsid w:val="00D220C2"/>
    <w:rsid w:val="00D22B23"/>
    <w:rsid w:val="00D23B90"/>
    <w:rsid w:val="00D246A9"/>
    <w:rsid w:val="00D268A3"/>
    <w:rsid w:val="00D333A5"/>
    <w:rsid w:val="00D334D7"/>
    <w:rsid w:val="00D34C5E"/>
    <w:rsid w:val="00D3763D"/>
    <w:rsid w:val="00D43EE7"/>
    <w:rsid w:val="00D724A3"/>
    <w:rsid w:val="00D7307D"/>
    <w:rsid w:val="00D73939"/>
    <w:rsid w:val="00D76844"/>
    <w:rsid w:val="00D86930"/>
    <w:rsid w:val="00D92D61"/>
    <w:rsid w:val="00D93784"/>
    <w:rsid w:val="00D95C71"/>
    <w:rsid w:val="00DA5B28"/>
    <w:rsid w:val="00DA6C85"/>
    <w:rsid w:val="00DB508C"/>
    <w:rsid w:val="00DB5A82"/>
    <w:rsid w:val="00DB60BE"/>
    <w:rsid w:val="00DC561D"/>
    <w:rsid w:val="00DD0538"/>
    <w:rsid w:val="00DD2327"/>
    <w:rsid w:val="00DD7C4B"/>
    <w:rsid w:val="00DE0BCA"/>
    <w:rsid w:val="00DE4B87"/>
    <w:rsid w:val="00DE4E1D"/>
    <w:rsid w:val="00DE650F"/>
    <w:rsid w:val="00DE76DF"/>
    <w:rsid w:val="00DF0025"/>
    <w:rsid w:val="00DF034B"/>
    <w:rsid w:val="00DF0BED"/>
    <w:rsid w:val="00E00775"/>
    <w:rsid w:val="00E02009"/>
    <w:rsid w:val="00E03A05"/>
    <w:rsid w:val="00E11D44"/>
    <w:rsid w:val="00E26209"/>
    <w:rsid w:val="00E303A0"/>
    <w:rsid w:val="00E3253B"/>
    <w:rsid w:val="00E61E31"/>
    <w:rsid w:val="00E6362A"/>
    <w:rsid w:val="00E65336"/>
    <w:rsid w:val="00E65D7A"/>
    <w:rsid w:val="00E67834"/>
    <w:rsid w:val="00E70F24"/>
    <w:rsid w:val="00E71954"/>
    <w:rsid w:val="00E80CF4"/>
    <w:rsid w:val="00E8588C"/>
    <w:rsid w:val="00E90840"/>
    <w:rsid w:val="00E914F4"/>
    <w:rsid w:val="00E963E5"/>
    <w:rsid w:val="00EA2191"/>
    <w:rsid w:val="00EA4AE6"/>
    <w:rsid w:val="00EA649F"/>
    <w:rsid w:val="00EA7120"/>
    <w:rsid w:val="00EB3E7E"/>
    <w:rsid w:val="00EC1B2A"/>
    <w:rsid w:val="00EC668A"/>
    <w:rsid w:val="00ED05D3"/>
    <w:rsid w:val="00ED07CA"/>
    <w:rsid w:val="00ED2174"/>
    <w:rsid w:val="00ED672F"/>
    <w:rsid w:val="00ED69B5"/>
    <w:rsid w:val="00EE1E30"/>
    <w:rsid w:val="00EE3A3B"/>
    <w:rsid w:val="00EE4DAC"/>
    <w:rsid w:val="00EE60AF"/>
    <w:rsid w:val="00EF067A"/>
    <w:rsid w:val="00EF2F52"/>
    <w:rsid w:val="00F011D8"/>
    <w:rsid w:val="00F153A5"/>
    <w:rsid w:val="00F20161"/>
    <w:rsid w:val="00F212A5"/>
    <w:rsid w:val="00F31843"/>
    <w:rsid w:val="00F479AB"/>
    <w:rsid w:val="00F5062A"/>
    <w:rsid w:val="00F559F6"/>
    <w:rsid w:val="00F60AD5"/>
    <w:rsid w:val="00F626CD"/>
    <w:rsid w:val="00F636CB"/>
    <w:rsid w:val="00F72ADC"/>
    <w:rsid w:val="00F72B8D"/>
    <w:rsid w:val="00F73D32"/>
    <w:rsid w:val="00F84E59"/>
    <w:rsid w:val="00F87C80"/>
    <w:rsid w:val="00F90DE8"/>
    <w:rsid w:val="00F9372C"/>
    <w:rsid w:val="00FA0AD0"/>
    <w:rsid w:val="00FA1D2F"/>
    <w:rsid w:val="00FA47B4"/>
    <w:rsid w:val="00FA6217"/>
    <w:rsid w:val="00FA71D3"/>
    <w:rsid w:val="00FB1745"/>
    <w:rsid w:val="00FB2FD4"/>
    <w:rsid w:val="00FB5676"/>
    <w:rsid w:val="00FB5893"/>
    <w:rsid w:val="00FC0E3F"/>
    <w:rsid w:val="00FC1839"/>
    <w:rsid w:val="00FC239B"/>
    <w:rsid w:val="00FC2B47"/>
    <w:rsid w:val="00FC4800"/>
    <w:rsid w:val="00FC50A5"/>
    <w:rsid w:val="00FC5286"/>
    <w:rsid w:val="00FD7375"/>
    <w:rsid w:val="00FD780D"/>
    <w:rsid w:val="00FD7DA8"/>
    <w:rsid w:val="00FE0FC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4D4B8858-B6AB-456D-9982-EA4728508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character" w:customStyle="1" w:styleId="Ttulo1Car">
    <w:name w:val="Título 1 Car"/>
    <w:basedOn w:val="Fuentedeprrafopredeter"/>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aliases w:val="Francesa Car,INAI Car"/>
    <w:link w:val="Sinespaciado"/>
    <w:uiPriority w:val="1"/>
    <w:locked/>
    <w:rsid w:val="00893F39"/>
    <w:rPr>
      <w:rFonts w:ascii="Times New Roman" w:eastAsia="Times New Roman" w:hAnsi="Times New Roman" w:cs="Times New Roman"/>
    </w:rPr>
  </w:style>
  <w:style w:type="paragraph" w:styleId="Sinespaciado">
    <w:name w:val="No Spacing"/>
    <w:aliases w:val="Francesa,INAI"/>
    <w:link w:val="SinespaciadoCar"/>
    <w:uiPriority w:val="1"/>
    <w:qFormat/>
    <w:rsid w:val="00893F39"/>
    <w:rPr>
      <w:rFonts w:ascii="Times New Roman" w:eastAsia="Times New Roman" w:hAnsi="Times New Roman" w:cs="Times New Roman"/>
    </w:rPr>
  </w:style>
  <w:style w:type="table" w:customStyle="1" w:styleId="13">
    <w:name w:val="13"/>
    <w:basedOn w:val="TableNormal1"/>
    <w:tblPr>
      <w:tblStyleRowBandSize w:val="1"/>
      <w:tblStyleColBandSize w:val="1"/>
      <w:tblCellMar>
        <w:left w:w="70" w:type="dxa"/>
        <w:right w:w="70" w:type="dxa"/>
      </w:tblCellMar>
    </w:tblPr>
  </w:style>
  <w:style w:type="table" w:customStyle="1" w:styleId="12">
    <w:name w:val="12"/>
    <w:basedOn w:val="TableNormal1"/>
    <w:tblPr>
      <w:tblStyleRowBandSize w:val="1"/>
      <w:tblStyleColBandSize w:val="1"/>
      <w:tblCellMar>
        <w:left w:w="70" w:type="dxa"/>
        <w:right w:w="70" w:type="dxa"/>
      </w:tblCellMar>
    </w:tblPr>
  </w:style>
  <w:style w:type="table" w:customStyle="1" w:styleId="11">
    <w:name w:val="11"/>
    <w:basedOn w:val="TableNormal1"/>
    <w:tblPr>
      <w:tblStyleRowBandSize w:val="1"/>
      <w:tblStyleColBandSize w:val="1"/>
      <w:tblCellMar>
        <w:left w:w="115" w:type="dxa"/>
        <w:right w:w="115" w:type="dxa"/>
      </w:tblCellMar>
    </w:tblPr>
  </w:style>
  <w:style w:type="table" w:customStyle="1" w:styleId="10">
    <w:name w:val="10"/>
    <w:basedOn w:val="TableNormal1"/>
    <w:tblPr>
      <w:tblStyleRowBandSize w:val="1"/>
      <w:tblStyleColBandSize w:val="1"/>
      <w:tblCellMar>
        <w:left w:w="70" w:type="dxa"/>
        <w:right w:w="70" w:type="dxa"/>
      </w:tblCellMar>
    </w:tblPr>
  </w:style>
  <w:style w:type="table" w:customStyle="1" w:styleId="9">
    <w:name w:val="9"/>
    <w:basedOn w:val="TableNormal1"/>
    <w:tblPr>
      <w:tblStyleRowBandSize w:val="1"/>
      <w:tblStyleColBandSize w:val="1"/>
      <w:tblCellMar>
        <w:left w:w="70" w:type="dxa"/>
        <w:right w:w="70" w:type="dxa"/>
      </w:tblCellMar>
    </w:tblPr>
  </w:style>
  <w:style w:type="paragraph" w:styleId="Listaconvietas2">
    <w:name w:val="List Bullet 2"/>
    <w:basedOn w:val="Normal"/>
    <w:uiPriority w:val="99"/>
    <w:unhideWhenUsed/>
    <w:qFormat/>
    <w:rsid w:val="00F91287"/>
    <w:pPr>
      <w:numPr>
        <w:numId w:val="3"/>
      </w:numPr>
      <w:contextualSpacing/>
    </w:pPr>
    <w:rPr>
      <w:rFonts w:ascii="Times New Roman" w:eastAsia="Times New Roman" w:hAnsi="Times New Roman" w:cs="Times New Roman"/>
      <w:sz w:val="20"/>
      <w:szCs w:val="20"/>
    </w:rPr>
  </w:style>
  <w:style w:type="table" w:customStyle="1" w:styleId="8">
    <w:name w:val="8"/>
    <w:basedOn w:val="TableNormal2"/>
    <w:tblPr>
      <w:tblStyleRowBandSize w:val="1"/>
      <w:tblStyleColBandSize w:val="1"/>
      <w:tblCellMar>
        <w:left w:w="115" w:type="dxa"/>
        <w:right w:w="115" w:type="dxa"/>
      </w:tblCellMar>
    </w:tblPr>
  </w:style>
  <w:style w:type="table" w:customStyle="1" w:styleId="7">
    <w:name w:val="7"/>
    <w:basedOn w:val="TableNormal2"/>
    <w:tblPr>
      <w:tblStyleRowBandSize w:val="1"/>
      <w:tblStyleColBandSize w:val="1"/>
      <w:tblCellMar>
        <w:left w:w="115" w:type="dxa"/>
        <w:right w:w="115" w:type="dxa"/>
      </w:tblCellMar>
    </w:tblPr>
  </w:style>
  <w:style w:type="table" w:customStyle="1" w:styleId="6">
    <w:name w:val="6"/>
    <w:basedOn w:val="TableNormal2"/>
    <w:tblPr>
      <w:tblStyleRowBandSize w:val="1"/>
      <w:tblStyleColBandSize w:val="1"/>
      <w:tblCellMar>
        <w:left w:w="70" w:type="dxa"/>
        <w:right w:w="70" w:type="dxa"/>
      </w:tblCellMar>
    </w:tblPr>
  </w:style>
  <w:style w:type="table" w:customStyle="1" w:styleId="5">
    <w:name w:val="5"/>
    <w:basedOn w:val="TableNormal2"/>
    <w:tblPr>
      <w:tblStyleRowBandSize w:val="1"/>
      <w:tblStyleColBandSize w:val="1"/>
      <w:tblCellMar>
        <w:left w:w="70" w:type="dxa"/>
        <w:right w:w="70" w:type="dxa"/>
      </w:tblCellMar>
    </w:tblPr>
  </w:style>
  <w:style w:type="paragraph" w:styleId="NormalWeb">
    <w:name w:val="Normal (Web)"/>
    <w:basedOn w:val="Normal"/>
    <w:uiPriority w:val="99"/>
    <w:rsid w:val="003400CB"/>
    <w:pPr>
      <w:spacing w:before="100" w:beforeAutospacing="1" w:after="100" w:afterAutospacing="1"/>
    </w:pPr>
    <w:rPr>
      <w:rFonts w:ascii="Times New Roman" w:eastAsia="Times New Roman" w:hAnsi="Times New Roman" w:cs="Times New Roman"/>
      <w:lang w:val="es-ES"/>
    </w:rPr>
  </w:style>
  <w:style w:type="paragraph" w:customStyle="1" w:styleId="Citas">
    <w:name w:val="Citas"/>
    <w:basedOn w:val="Normal"/>
    <w:qFormat/>
    <w:rsid w:val="00177B12"/>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customStyle="1" w:styleId="infoemcitas">
    <w:name w:val="infoem citas"/>
    <w:basedOn w:val="Normal"/>
    <w:qFormat/>
    <w:rsid w:val="00177B12"/>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0"/>
    <w:tblPr>
      <w:tblStyleRowBandSize w:val="1"/>
      <w:tblStyleColBandSize w:val="1"/>
      <w:tblCellMar>
        <w:left w:w="115" w:type="dxa"/>
        <w:right w:w="115" w:type="dxa"/>
      </w:tblCellMar>
    </w:tblPr>
  </w:style>
  <w:style w:type="table" w:customStyle="1" w:styleId="3">
    <w:name w:val="3"/>
    <w:basedOn w:val="TableNormal0"/>
    <w:tblPr>
      <w:tblStyleRowBandSize w:val="1"/>
      <w:tblStyleColBandSize w:val="1"/>
      <w:tblCellMar>
        <w:left w:w="115" w:type="dxa"/>
        <w:right w:w="115" w:type="dxa"/>
      </w:tblCellMar>
    </w:tblPr>
  </w:style>
  <w:style w:type="table" w:customStyle="1" w:styleId="2">
    <w:name w:val="2"/>
    <w:basedOn w:val="TableNormal0"/>
    <w:tblPr>
      <w:tblStyleRowBandSize w:val="1"/>
      <w:tblStyleColBandSize w:val="1"/>
      <w:tblCellMar>
        <w:left w:w="70" w:type="dxa"/>
        <w:right w:w="70" w:type="dxa"/>
      </w:tblCellMar>
    </w:tblPr>
  </w:style>
  <w:style w:type="table" w:customStyle="1" w:styleId="1">
    <w:name w:val="1"/>
    <w:basedOn w:val="TableNormal0"/>
    <w:tblPr>
      <w:tblStyleRowBandSize w:val="1"/>
      <w:tblStyleColBandSize w:val="1"/>
      <w:tblCellMar>
        <w:left w:w="70" w:type="dxa"/>
        <w:right w:w="70" w:type="dxa"/>
      </w:tblCellMar>
    </w:tblPr>
  </w:style>
  <w:style w:type="paragraph" w:customStyle="1" w:styleId="Default">
    <w:name w:val="Default"/>
    <w:rsid w:val="002C6ECB"/>
    <w:pPr>
      <w:autoSpaceDE w:val="0"/>
      <w:autoSpaceDN w:val="0"/>
      <w:adjustRightInd w:val="0"/>
    </w:pPr>
    <w:rPr>
      <w:rFonts w:ascii="Arial" w:eastAsiaTheme="minorHAnsi" w:hAnsi="Arial" w:cs="Arial"/>
      <w:color w:val="000000"/>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976060">
      <w:bodyDiv w:val="1"/>
      <w:marLeft w:val="0"/>
      <w:marRight w:val="0"/>
      <w:marTop w:val="0"/>
      <w:marBottom w:val="0"/>
      <w:divBdr>
        <w:top w:val="none" w:sz="0" w:space="0" w:color="auto"/>
        <w:left w:val="none" w:sz="0" w:space="0" w:color="auto"/>
        <w:bottom w:val="none" w:sz="0" w:space="0" w:color="auto"/>
        <w:right w:val="none" w:sz="0" w:space="0" w:color="auto"/>
      </w:divBdr>
    </w:div>
    <w:div w:id="158078811">
      <w:bodyDiv w:val="1"/>
      <w:marLeft w:val="0"/>
      <w:marRight w:val="0"/>
      <w:marTop w:val="0"/>
      <w:marBottom w:val="0"/>
      <w:divBdr>
        <w:top w:val="none" w:sz="0" w:space="0" w:color="auto"/>
        <w:left w:val="none" w:sz="0" w:space="0" w:color="auto"/>
        <w:bottom w:val="none" w:sz="0" w:space="0" w:color="auto"/>
        <w:right w:val="none" w:sz="0" w:space="0" w:color="auto"/>
      </w:divBdr>
    </w:div>
    <w:div w:id="223880382">
      <w:bodyDiv w:val="1"/>
      <w:marLeft w:val="0"/>
      <w:marRight w:val="0"/>
      <w:marTop w:val="0"/>
      <w:marBottom w:val="0"/>
      <w:divBdr>
        <w:top w:val="none" w:sz="0" w:space="0" w:color="auto"/>
        <w:left w:val="none" w:sz="0" w:space="0" w:color="auto"/>
        <w:bottom w:val="none" w:sz="0" w:space="0" w:color="auto"/>
        <w:right w:val="none" w:sz="0" w:space="0" w:color="auto"/>
      </w:divBdr>
    </w:div>
    <w:div w:id="236866567">
      <w:bodyDiv w:val="1"/>
      <w:marLeft w:val="0"/>
      <w:marRight w:val="0"/>
      <w:marTop w:val="0"/>
      <w:marBottom w:val="0"/>
      <w:divBdr>
        <w:top w:val="none" w:sz="0" w:space="0" w:color="auto"/>
        <w:left w:val="none" w:sz="0" w:space="0" w:color="auto"/>
        <w:bottom w:val="none" w:sz="0" w:space="0" w:color="auto"/>
        <w:right w:val="none" w:sz="0" w:space="0" w:color="auto"/>
      </w:divBdr>
    </w:div>
    <w:div w:id="472870383">
      <w:bodyDiv w:val="1"/>
      <w:marLeft w:val="0"/>
      <w:marRight w:val="0"/>
      <w:marTop w:val="0"/>
      <w:marBottom w:val="0"/>
      <w:divBdr>
        <w:top w:val="none" w:sz="0" w:space="0" w:color="auto"/>
        <w:left w:val="none" w:sz="0" w:space="0" w:color="auto"/>
        <w:bottom w:val="none" w:sz="0" w:space="0" w:color="auto"/>
        <w:right w:val="none" w:sz="0" w:space="0" w:color="auto"/>
      </w:divBdr>
    </w:div>
    <w:div w:id="494762981">
      <w:bodyDiv w:val="1"/>
      <w:marLeft w:val="0"/>
      <w:marRight w:val="0"/>
      <w:marTop w:val="0"/>
      <w:marBottom w:val="0"/>
      <w:divBdr>
        <w:top w:val="none" w:sz="0" w:space="0" w:color="auto"/>
        <w:left w:val="none" w:sz="0" w:space="0" w:color="auto"/>
        <w:bottom w:val="none" w:sz="0" w:space="0" w:color="auto"/>
        <w:right w:val="none" w:sz="0" w:space="0" w:color="auto"/>
      </w:divBdr>
    </w:div>
    <w:div w:id="523443172">
      <w:bodyDiv w:val="1"/>
      <w:marLeft w:val="0"/>
      <w:marRight w:val="0"/>
      <w:marTop w:val="0"/>
      <w:marBottom w:val="0"/>
      <w:divBdr>
        <w:top w:val="none" w:sz="0" w:space="0" w:color="auto"/>
        <w:left w:val="none" w:sz="0" w:space="0" w:color="auto"/>
        <w:bottom w:val="none" w:sz="0" w:space="0" w:color="auto"/>
        <w:right w:val="none" w:sz="0" w:space="0" w:color="auto"/>
      </w:divBdr>
    </w:div>
    <w:div w:id="561599115">
      <w:bodyDiv w:val="1"/>
      <w:marLeft w:val="0"/>
      <w:marRight w:val="0"/>
      <w:marTop w:val="0"/>
      <w:marBottom w:val="0"/>
      <w:divBdr>
        <w:top w:val="none" w:sz="0" w:space="0" w:color="auto"/>
        <w:left w:val="none" w:sz="0" w:space="0" w:color="auto"/>
        <w:bottom w:val="none" w:sz="0" w:space="0" w:color="auto"/>
        <w:right w:val="none" w:sz="0" w:space="0" w:color="auto"/>
      </w:divBdr>
    </w:div>
    <w:div w:id="624235562">
      <w:bodyDiv w:val="1"/>
      <w:marLeft w:val="0"/>
      <w:marRight w:val="0"/>
      <w:marTop w:val="0"/>
      <w:marBottom w:val="0"/>
      <w:divBdr>
        <w:top w:val="none" w:sz="0" w:space="0" w:color="auto"/>
        <w:left w:val="none" w:sz="0" w:space="0" w:color="auto"/>
        <w:bottom w:val="none" w:sz="0" w:space="0" w:color="auto"/>
        <w:right w:val="none" w:sz="0" w:space="0" w:color="auto"/>
      </w:divBdr>
    </w:div>
    <w:div w:id="773094235">
      <w:bodyDiv w:val="1"/>
      <w:marLeft w:val="0"/>
      <w:marRight w:val="0"/>
      <w:marTop w:val="0"/>
      <w:marBottom w:val="0"/>
      <w:divBdr>
        <w:top w:val="none" w:sz="0" w:space="0" w:color="auto"/>
        <w:left w:val="none" w:sz="0" w:space="0" w:color="auto"/>
        <w:bottom w:val="none" w:sz="0" w:space="0" w:color="auto"/>
        <w:right w:val="none" w:sz="0" w:space="0" w:color="auto"/>
      </w:divBdr>
    </w:div>
    <w:div w:id="781609119">
      <w:bodyDiv w:val="1"/>
      <w:marLeft w:val="0"/>
      <w:marRight w:val="0"/>
      <w:marTop w:val="0"/>
      <w:marBottom w:val="0"/>
      <w:divBdr>
        <w:top w:val="none" w:sz="0" w:space="0" w:color="auto"/>
        <w:left w:val="none" w:sz="0" w:space="0" w:color="auto"/>
        <w:bottom w:val="none" w:sz="0" w:space="0" w:color="auto"/>
        <w:right w:val="none" w:sz="0" w:space="0" w:color="auto"/>
      </w:divBdr>
    </w:div>
    <w:div w:id="838080843">
      <w:bodyDiv w:val="1"/>
      <w:marLeft w:val="0"/>
      <w:marRight w:val="0"/>
      <w:marTop w:val="0"/>
      <w:marBottom w:val="0"/>
      <w:divBdr>
        <w:top w:val="none" w:sz="0" w:space="0" w:color="auto"/>
        <w:left w:val="none" w:sz="0" w:space="0" w:color="auto"/>
        <w:bottom w:val="none" w:sz="0" w:space="0" w:color="auto"/>
        <w:right w:val="none" w:sz="0" w:space="0" w:color="auto"/>
      </w:divBdr>
    </w:div>
    <w:div w:id="878974772">
      <w:bodyDiv w:val="1"/>
      <w:marLeft w:val="0"/>
      <w:marRight w:val="0"/>
      <w:marTop w:val="0"/>
      <w:marBottom w:val="0"/>
      <w:divBdr>
        <w:top w:val="none" w:sz="0" w:space="0" w:color="auto"/>
        <w:left w:val="none" w:sz="0" w:space="0" w:color="auto"/>
        <w:bottom w:val="none" w:sz="0" w:space="0" w:color="auto"/>
        <w:right w:val="none" w:sz="0" w:space="0" w:color="auto"/>
      </w:divBdr>
    </w:div>
    <w:div w:id="1057433977">
      <w:bodyDiv w:val="1"/>
      <w:marLeft w:val="0"/>
      <w:marRight w:val="0"/>
      <w:marTop w:val="0"/>
      <w:marBottom w:val="0"/>
      <w:divBdr>
        <w:top w:val="none" w:sz="0" w:space="0" w:color="auto"/>
        <w:left w:val="none" w:sz="0" w:space="0" w:color="auto"/>
        <w:bottom w:val="none" w:sz="0" w:space="0" w:color="auto"/>
        <w:right w:val="none" w:sz="0" w:space="0" w:color="auto"/>
      </w:divBdr>
    </w:div>
    <w:div w:id="1086659013">
      <w:bodyDiv w:val="1"/>
      <w:marLeft w:val="0"/>
      <w:marRight w:val="0"/>
      <w:marTop w:val="0"/>
      <w:marBottom w:val="0"/>
      <w:divBdr>
        <w:top w:val="none" w:sz="0" w:space="0" w:color="auto"/>
        <w:left w:val="none" w:sz="0" w:space="0" w:color="auto"/>
        <w:bottom w:val="none" w:sz="0" w:space="0" w:color="auto"/>
        <w:right w:val="none" w:sz="0" w:space="0" w:color="auto"/>
      </w:divBdr>
    </w:div>
    <w:div w:id="1339766749">
      <w:bodyDiv w:val="1"/>
      <w:marLeft w:val="0"/>
      <w:marRight w:val="0"/>
      <w:marTop w:val="0"/>
      <w:marBottom w:val="0"/>
      <w:divBdr>
        <w:top w:val="none" w:sz="0" w:space="0" w:color="auto"/>
        <w:left w:val="none" w:sz="0" w:space="0" w:color="auto"/>
        <w:bottom w:val="none" w:sz="0" w:space="0" w:color="auto"/>
        <w:right w:val="none" w:sz="0" w:space="0" w:color="auto"/>
      </w:divBdr>
    </w:div>
    <w:div w:id="1590576575">
      <w:bodyDiv w:val="1"/>
      <w:marLeft w:val="0"/>
      <w:marRight w:val="0"/>
      <w:marTop w:val="0"/>
      <w:marBottom w:val="0"/>
      <w:divBdr>
        <w:top w:val="none" w:sz="0" w:space="0" w:color="auto"/>
        <w:left w:val="none" w:sz="0" w:space="0" w:color="auto"/>
        <w:bottom w:val="none" w:sz="0" w:space="0" w:color="auto"/>
        <w:right w:val="none" w:sz="0" w:space="0" w:color="auto"/>
      </w:divBdr>
    </w:div>
    <w:div w:id="1714387216">
      <w:bodyDiv w:val="1"/>
      <w:marLeft w:val="0"/>
      <w:marRight w:val="0"/>
      <w:marTop w:val="0"/>
      <w:marBottom w:val="0"/>
      <w:divBdr>
        <w:top w:val="none" w:sz="0" w:space="0" w:color="auto"/>
        <w:left w:val="none" w:sz="0" w:space="0" w:color="auto"/>
        <w:bottom w:val="none" w:sz="0" w:space="0" w:color="auto"/>
        <w:right w:val="none" w:sz="0" w:space="0" w:color="auto"/>
      </w:divBdr>
      <w:divsChild>
        <w:div w:id="885066578">
          <w:marLeft w:val="0"/>
          <w:marRight w:val="0"/>
          <w:marTop w:val="0"/>
          <w:marBottom w:val="0"/>
          <w:divBdr>
            <w:top w:val="none" w:sz="0" w:space="0" w:color="auto"/>
            <w:left w:val="none" w:sz="0" w:space="0" w:color="auto"/>
            <w:bottom w:val="none" w:sz="0" w:space="0" w:color="auto"/>
            <w:right w:val="none" w:sz="0" w:space="0" w:color="auto"/>
          </w:divBdr>
        </w:div>
        <w:div w:id="1569416141">
          <w:marLeft w:val="0"/>
          <w:marRight w:val="0"/>
          <w:marTop w:val="0"/>
          <w:marBottom w:val="0"/>
          <w:divBdr>
            <w:top w:val="none" w:sz="0" w:space="0" w:color="auto"/>
            <w:left w:val="none" w:sz="0" w:space="0" w:color="auto"/>
            <w:bottom w:val="none" w:sz="0" w:space="0" w:color="auto"/>
            <w:right w:val="none" w:sz="0" w:space="0" w:color="auto"/>
          </w:divBdr>
        </w:div>
      </w:divsChild>
    </w:div>
    <w:div w:id="2049835999">
      <w:bodyDiv w:val="1"/>
      <w:marLeft w:val="0"/>
      <w:marRight w:val="0"/>
      <w:marTop w:val="0"/>
      <w:marBottom w:val="0"/>
      <w:divBdr>
        <w:top w:val="none" w:sz="0" w:space="0" w:color="auto"/>
        <w:left w:val="none" w:sz="0" w:space="0" w:color="auto"/>
        <w:bottom w:val="none" w:sz="0" w:space="0" w:color="auto"/>
        <w:right w:val="none" w:sz="0" w:space="0" w:color="auto"/>
      </w:divBdr>
      <w:divsChild>
        <w:div w:id="214857082">
          <w:marLeft w:val="0"/>
          <w:marRight w:val="0"/>
          <w:marTop w:val="0"/>
          <w:marBottom w:val="0"/>
          <w:divBdr>
            <w:top w:val="none" w:sz="0" w:space="0" w:color="auto"/>
            <w:left w:val="none" w:sz="0" w:space="0" w:color="auto"/>
            <w:bottom w:val="none" w:sz="0" w:space="0" w:color="auto"/>
            <w:right w:val="none" w:sz="0" w:space="0" w:color="auto"/>
          </w:divBdr>
        </w:div>
        <w:div w:id="2015373535">
          <w:marLeft w:val="0"/>
          <w:marRight w:val="0"/>
          <w:marTop w:val="0"/>
          <w:marBottom w:val="0"/>
          <w:divBdr>
            <w:top w:val="none" w:sz="0" w:space="0" w:color="auto"/>
            <w:left w:val="none" w:sz="0" w:space="0" w:color="auto"/>
            <w:bottom w:val="none" w:sz="0" w:space="0" w:color="auto"/>
            <w:right w:val="none" w:sz="0" w:space="0" w:color="auto"/>
          </w:divBdr>
        </w:div>
      </w:divsChild>
    </w:div>
    <w:div w:id="2100787390">
      <w:bodyDiv w:val="1"/>
      <w:marLeft w:val="0"/>
      <w:marRight w:val="0"/>
      <w:marTop w:val="0"/>
      <w:marBottom w:val="0"/>
      <w:divBdr>
        <w:top w:val="none" w:sz="0" w:space="0" w:color="auto"/>
        <w:left w:val="none" w:sz="0" w:space="0" w:color="auto"/>
        <w:bottom w:val="none" w:sz="0" w:space="0" w:color="auto"/>
        <w:right w:val="none" w:sz="0" w:space="0" w:color="auto"/>
      </w:divBdr>
    </w:div>
    <w:div w:id="2108385054">
      <w:bodyDiv w:val="1"/>
      <w:marLeft w:val="0"/>
      <w:marRight w:val="0"/>
      <w:marTop w:val="0"/>
      <w:marBottom w:val="0"/>
      <w:divBdr>
        <w:top w:val="none" w:sz="0" w:space="0" w:color="auto"/>
        <w:left w:val="none" w:sz="0" w:space="0" w:color="auto"/>
        <w:bottom w:val="none" w:sz="0" w:space="0" w:color="auto"/>
        <w:right w:val="none" w:sz="0" w:space="0" w:color="auto"/>
      </w:divBdr>
    </w:div>
    <w:div w:id="21337468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omawww.sat.gob.mx/tramitesyservicios/paginas/documentos/anexo20_2022.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FkCHT/2Zt0hLkcCqFt+R8xWR+w==">CgMxLjAyCGguZ2pkZ3hzMgloLjMwajB6bGwyCWguMWZvYjl0ZTIJaC4zem55c2g3MgloLjJldDkycDAyCWguMXQzaDVzZjIOaC44Z2tqZDNxNGltMHMyCWguMWtzdjR1djIJaC4zcmRjcmpuMghoLmxueGJ6OTgAciExZ2Q5c1o3UXk4UndtaDllVFhuTDFBWTBiTHNuOFVQTUo=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50</Pages>
  <Words>13182</Words>
  <Characters>72503</Characters>
  <Application>Microsoft Office Word</Application>
  <DocSecurity>0</DocSecurity>
  <Lines>604</Lines>
  <Paragraphs>171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85514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Belen Sanchez Estrada</dc:creator>
  <cp:keywords/>
  <dc:description/>
  <cp:lastModifiedBy>Cuenta Microsoft</cp:lastModifiedBy>
  <cp:revision>35</cp:revision>
  <dcterms:created xsi:type="dcterms:W3CDTF">2026-04-13T23:51:00Z</dcterms:created>
  <dcterms:modified xsi:type="dcterms:W3CDTF">2026-05-06T18:20:00Z</dcterms:modified>
</cp:coreProperties>
</file>