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BBE" w:rsidRPr="0003468C" w:rsidRDefault="009C0C68" w:rsidP="0003468C">
      <w:pPr>
        <w:tabs>
          <w:tab w:val="left" w:pos="3465"/>
        </w:tabs>
        <w:spacing w:line="360" w:lineRule="auto"/>
        <w:ind w:right="-425"/>
        <w:jc w:val="both"/>
        <w:rPr>
          <w:rFonts w:ascii="Palatino Linotype" w:eastAsia="Palatino Linotype" w:hAnsi="Palatino Linotype" w:cs="Palatino Linotype"/>
          <w:b/>
          <w:bCs/>
          <w:sz w:val="24"/>
          <w:szCs w:val="24"/>
        </w:rPr>
      </w:pPr>
      <w:bookmarkStart w:id="0" w:name="_GoBack"/>
      <w:bookmarkEnd w:id="0"/>
      <w:r w:rsidRPr="0003468C">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w:t>
      </w:r>
      <w:r w:rsidR="0003468C">
        <w:rPr>
          <w:rFonts w:ascii="Palatino Linotype" w:eastAsia="Palatino Linotype" w:hAnsi="Palatino Linotype" w:cs="Palatino Linotype"/>
          <w:sz w:val="24"/>
          <w:szCs w:val="24"/>
        </w:rPr>
        <w:t xml:space="preserve"> fecha</w:t>
      </w:r>
      <w:r w:rsidRPr="0003468C">
        <w:rPr>
          <w:rFonts w:ascii="Palatino Linotype" w:eastAsia="Palatino Linotype" w:hAnsi="Palatino Linotype" w:cs="Palatino Linotype"/>
          <w:sz w:val="24"/>
          <w:szCs w:val="24"/>
        </w:rPr>
        <w:t xml:space="preserve"> </w:t>
      </w:r>
      <w:r w:rsidRPr="0003468C">
        <w:rPr>
          <w:rFonts w:ascii="Palatino Linotype" w:eastAsia="Palatino Linotype" w:hAnsi="Palatino Linotype" w:cs="Palatino Linotype"/>
          <w:b/>
          <w:bCs/>
          <w:sz w:val="24"/>
          <w:szCs w:val="24"/>
        </w:rPr>
        <w:t xml:space="preserve">once </w:t>
      </w:r>
      <w:r w:rsidR="0003468C">
        <w:rPr>
          <w:rFonts w:ascii="Palatino Linotype" w:eastAsia="Palatino Linotype" w:hAnsi="Palatino Linotype" w:cs="Palatino Linotype"/>
          <w:b/>
          <w:bCs/>
          <w:sz w:val="24"/>
          <w:szCs w:val="24"/>
        </w:rPr>
        <w:t xml:space="preserve">(11) </w:t>
      </w:r>
      <w:r w:rsidRPr="0003468C">
        <w:rPr>
          <w:rFonts w:ascii="Palatino Linotype" w:eastAsia="Palatino Linotype" w:hAnsi="Palatino Linotype" w:cs="Palatino Linotype"/>
          <w:b/>
          <w:bCs/>
          <w:sz w:val="24"/>
          <w:szCs w:val="24"/>
        </w:rPr>
        <w:t>de marzo de dos mil veintiséis.</w:t>
      </w:r>
    </w:p>
    <w:p w:rsidR="007C7BBE" w:rsidRPr="0003468C" w:rsidRDefault="007C7BBE" w:rsidP="0003468C">
      <w:pPr>
        <w:tabs>
          <w:tab w:val="left" w:pos="3465"/>
        </w:tabs>
        <w:spacing w:line="360" w:lineRule="auto"/>
        <w:ind w:right="-425"/>
        <w:jc w:val="both"/>
        <w:rPr>
          <w:rFonts w:ascii="Palatino Linotype" w:eastAsia="Palatino Linotype" w:hAnsi="Palatino Linotype" w:cs="Palatino Linotype"/>
          <w:b/>
          <w:bCs/>
          <w:sz w:val="24"/>
          <w:szCs w:val="24"/>
        </w:rPr>
      </w:pPr>
      <w:bookmarkStart w:id="1" w:name="_heading=h.8p3ay374jxt5" w:colFirst="0" w:colLast="0"/>
      <w:bookmarkEnd w:id="1"/>
    </w:p>
    <w:p w:rsidR="007C7BBE" w:rsidRPr="0003468C" w:rsidRDefault="009C0C68" w:rsidP="0003468C">
      <w:pPr>
        <w:spacing w:line="360" w:lineRule="auto"/>
        <w:ind w:right="-425"/>
        <w:jc w:val="both"/>
        <w:rPr>
          <w:rFonts w:ascii="Palatino Linotype" w:eastAsia="Palatino Linotype" w:hAnsi="Palatino Linotype" w:cs="Palatino Linotype"/>
          <w:b/>
          <w:bCs/>
          <w:sz w:val="24"/>
          <w:szCs w:val="24"/>
        </w:rPr>
      </w:pPr>
      <w:r w:rsidRPr="0003468C">
        <w:rPr>
          <w:rFonts w:ascii="Palatino Linotype" w:eastAsia="Palatino Linotype" w:hAnsi="Palatino Linotype" w:cs="Palatino Linotype"/>
          <w:b/>
          <w:bCs/>
          <w:sz w:val="24"/>
          <w:szCs w:val="24"/>
        </w:rPr>
        <w:t>VISTO</w:t>
      </w:r>
      <w:r w:rsidRPr="0003468C">
        <w:rPr>
          <w:rFonts w:ascii="Palatino Linotype" w:eastAsia="Palatino Linotype" w:hAnsi="Palatino Linotype" w:cs="Palatino Linotype"/>
          <w:sz w:val="24"/>
          <w:szCs w:val="24"/>
        </w:rPr>
        <w:t xml:space="preserve"> el expediente electrónico formado con motivo del recurso de revisión</w:t>
      </w:r>
      <w:r w:rsidRPr="0003468C">
        <w:rPr>
          <w:rFonts w:ascii="Palatino Linotype" w:eastAsia="Palatino Linotype" w:hAnsi="Palatino Linotype" w:cs="Palatino Linotype"/>
          <w:b/>
          <w:bCs/>
          <w:sz w:val="24"/>
          <w:szCs w:val="24"/>
        </w:rPr>
        <w:t xml:space="preserve"> 08043/INFOEM/IP/RR/2025</w:t>
      </w:r>
      <w:r w:rsidRPr="0003468C">
        <w:rPr>
          <w:rFonts w:ascii="Palatino Linotype" w:eastAsia="Palatino Linotype" w:hAnsi="Palatino Linotype" w:cs="Palatino Linotype"/>
          <w:sz w:val="24"/>
          <w:szCs w:val="24"/>
        </w:rPr>
        <w:t>,</w:t>
      </w:r>
      <w:r w:rsidRPr="0003468C">
        <w:rPr>
          <w:rFonts w:ascii="Palatino Linotype" w:eastAsia="Palatino Linotype" w:hAnsi="Palatino Linotype" w:cs="Palatino Linotype"/>
          <w:b/>
          <w:bCs/>
          <w:sz w:val="24"/>
          <w:szCs w:val="24"/>
        </w:rPr>
        <w:t xml:space="preserve"> </w:t>
      </w:r>
      <w:r w:rsidRPr="0003468C">
        <w:rPr>
          <w:rFonts w:ascii="Palatino Linotype" w:eastAsia="Palatino Linotype" w:hAnsi="Palatino Linotype" w:cs="Palatino Linotype"/>
          <w:sz w:val="24"/>
          <w:szCs w:val="24"/>
        </w:rPr>
        <w:t>promovido por</w:t>
      </w:r>
      <w:r w:rsidRPr="0003468C">
        <w:rPr>
          <w:rFonts w:ascii="Palatino Linotype" w:eastAsia="Palatino Linotype" w:hAnsi="Palatino Linotype" w:cs="Palatino Linotype"/>
          <w:b/>
          <w:bCs/>
          <w:sz w:val="24"/>
          <w:szCs w:val="24"/>
        </w:rPr>
        <w:t xml:space="preserve"> </w:t>
      </w:r>
      <w:r w:rsidR="00E04DF3">
        <w:rPr>
          <w:rFonts w:ascii="Palatino Linotype" w:eastAsia="Palatino Linotype" w:hAnsi="Palatino Linotype" w:cs="Palatino Linotype"/>
          <w:b/>
          <w:bCs/>
          <w:sz w:val="24"/>
          <w:szCs w:val="24"/>
        </w:rPr>
        <w:t>XXXX,</w:t>
      </w:r>
      <w:r w:rsidRPr="0003468C">
        <w:rPr>
          <w:rFonts w:ascii="Palatino Linotype" w:eastAsia="Palatino Linotype" w:hAnsi="Palatino Linotype" w:cs="Palatino Linotype"/>
          <w:sz w:val="24"/>
          <w:szCs w:val="24"/>
        </w:rPr>
        <w:t xml:space="preserve"> a quien en lo sucesivo se le identificará como </w:t>
      </w:r>
      <w:r w:rsidRPr="0003468C">
        <w:rPr>
          <w:rFonts w:ascii="Palatino Linotype" w:eastAsia="Palatino Linotype" w:hAnsi="Palatino Linotype" w:cs="Palatino Linotype"/>
          <w:b/>
          <w:bCs/>
          <w:sz w:val="24"/>
          <w:szCs w:val="24"/>
        </w:rPr>
        <w:t>EL RECURRENTE</w:t>
      </w:r>
      <w:r w:rsidRPr="0003468C">
        <w:rPr>
          <w:rFonts w:ascii="Palatino Linotype" w:eastAsia="Palatino Linotype" w:hAnsi="Palatino Linotype" w:cs="Palatino Linotype"/>
          <w:sz w:val="24"/>
          <w:szCs w:val="24"/>
        </w:rPr>
        <w:t xml:space="preserve">, en contra de la respuesta del </w:t>
      </w:r>
      <w:r w:rsidRPr="0003468C">
        <w:rPr>
          <w:rFonts w:ascii="Palatino Linotype" w:eastAsia="Palatino Linotype" w:hAnsi="Palatino Linotype" w:cs="Palatino Linotype"/>
          <w:b/>
          <w:bCs/>
          <w:sz w:val="24"/>
          <w:szCs w:val="24"/>
        </w:rPr>
        <w:t xml:space="preserve"> </w:t>
      </w:r>
      <w:r w:rsidR="00876285" w:rsidRPr="0003468C">
        <w:rPr>
          <w:rFonts w:ascii="Palatino Linotype" w:eastAsia="Palatino Linotype" w:hAnsi="Palatino Linotype" w:cs="Palatino Linotype"/>
          <w:b/>
          <w:bCs/>
          <w:color w:val="000000"/>
          <w:sz w:val="24"/>
          <w:szCs w:val="24"/>
        </w:rPr>
        <w:t>Ayuntamiento de Atizapán de Zaragoza</w:t>
      </w:r>
      <w:r w:rsidRPr="0003468C">
        <w:rPr>
          <w:rFonts w:ascii="Palatino Linotype" w:eastAsia="Palatino Linotype" w:hAnsi="Palatino Linotype" w:cs="Palatino Linotype"/>
          <w:b/>
          <w:bCs/>
          <w:sz w:val="24"/>
          <w:szCs w:val="24"/>
        </w:rPr>
        <w:t xml:space="preserve">, </w:t>
      </w:r>
      <w:r w:rsidRPr="0003468C">
        <w:rPr>
          <w:rFonts w:ascii="Palatino Linotype" w:eastAsia="Palatino Linotype" w:hAnsi="Palatino Linotype" w:cs="Palatino Linotype"/>
          <w:sz w:val="24"/>
          <w:szCs w:val="24"/>
        </w:rPr>
        <w:t xml:space="preserve">en </w:t>
      </w:r>
      <w:r w:rsidR="0003468C">
        <w:rPr>
          <w:rFonts w:ascii="Palatino Linotype" w:eastAsia="Palatino Linotype" w:hAnsi="Palatino Linotype" w:cs="Palatino Linotype"/>
          <w:sz w:val="24"/>
          <w:szCs w:val="24"/>
        </w:rPr>
        <w:t>adelante</w:t>
      </w:r>
      <w:r w:rsidRPr="0003468C">
        <w:rPr>
          <w:rFonts w:ascii="Palatino Linotype" w:eastAsia="Palatino Linotype" w:hAnsi="Palatino Linotype" w:cs="Palatino Linotype"/>
          <w:sz w:val="24"/>
          <w:szCs w:val="24"/>
        </w:rPr>
        <w:t xml:space="preserve"> el</w:t>
      </w:r>
      <w:r w:rsidRPr="0003468C">
        <w:rPr>
          <w:rFonts w:ascii="Palatino Linotype" w:eastAsia="Palatino Linotype" w:hAnsi="Palatino Linotype" w:cs="Palatino Linotype"/>
          <w:b/>
          <w:bCs/>
          <w:sz w:val="24"/>
          <w:szCs w:val="24"/>
        </w:rPr>
        <w:t xml:space="preserve"> SUJETO OBLIGADO</w:t>
      </w:r>
      <w:r w:rsidRPr="0003468C">
        <w:rPr>
          <w:rFonts w:ascii="Palatino Linotype" w:eastAsia="Palatino Linotype" w:hAnsi="Palatino Linotype" w:cs="Palatino Linotype"/>
          <w:sz w:val="24"/>
          <w:szCs w:val="24"/>
        </w:rPr>
        <w:t>, se procede a dictar la presente resolución, con base en los siguientes:</w:t>
      </w:r>
    </w:p>
    <w:p w:rsidR="007C7BBE" w:rsidRPr="0003468C" w:rsidRDefault="007C7BBE" w:rsidP="0003468C">
      <w:pPr>
        <w:spacing w:line="360" w:lineRule="auto"/>
        <w:ind w:right="-425"/>
        <w:jc w:val="both"/>
        <w:rPr>
          <w:rFonts w:ascii="Palatino Linotype" w:eastAsia="Palatino Linotype" w:hAnsi="Palatino Linotype" w:cs="Palatino Linotype"/>
          <w:b/>
          <w:bCs/>
          <w:sz w:val="24"/>
          <w:szCs w:val="24"/>
        </w:rPr>
      </w:pPr>
    </w:p>
    <w:p w:rsidR="007C7BBE" w:rsidRDefault="009C0C68" w:rsidP="0003468C">
      <w:pPr>
        <w:pStyle w:val="Ttulo1"/>
        <w:spacing w:before="0" w:line="360" w:lineRule="auto"/>
        <w:ind w:right="-425"/>
        <w:jc w:val="center"/>
        <w:rPr>
          <w:rFonts w:ascii="Palatino Linotype" w:eastAsia="Palatino Linotype" w:hAnsi="Palatino Linotype" w:cs="Palatino Linotype"/>
          <w:b/>
          <w:bCs/>
          <w:color w:val="000000"/>
          <w:sz w:val="24"/>
          <w:szCs w:val="24"/>
        </w:rPr>
      </w:pPr>
      <w:bookmarkStart w:id="2" w:name="_heading=h.fd1kmlwr8y1m" w:colFirst="0" w:colLast="0"/>
      <w:bookmarkEnd w:id="2"/>
      <w:r w:rsidRPr="0003468C">
        <w:rPr>
          <w:rFonts w:ascii="Palatino Linotype" w:eastAsia="Palatino Linotype" w:hAnsi="Palatino Linotype" w:cs="Palatino Linotype"/>
          <w:b/>
          <w:bCs/>
          <w:color w:val="000000"/>
          <w:sz w:val="24"/>
          <w:szCs w:val="24"/>
        </w:rPr>
        <w:t>A</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N</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T</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E</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C</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E</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D</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E</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N</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T</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E</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S</w:t>
      </w:r>
    </w:p>
    <w:p w:rsidR="0003468C" w:rsidRPr="0003468C" w:rsidRDefault="0003468C" w:rsidP="0003468C"/>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El</w:t>
      </w:r>
      <w:r w:rsidRPr="0003468C">
        <w:rPr>
          <w:rFonts w:ascii="Palatino Linotype" w:eastAsia="Palatino Linotype" w:hAnsi="Palatino Linotype" w:cs="Palatino Linotype"/>
          <w:b/>
          <w:bCs/>
          <w:color w:val="000000"/>
          <w:sz w:val="24"/>
          <w:szCs w:val="24"/>
        </w:rPr>
        <w:t xml:space="preserve"> once de junio de dos mil veinticinco, </w:t>
      </w:r>
      <w:r w:rsidRPr="0003468C">
        <w:rPr>
          <w:rFonts w:ascii="Palatino Linotype" w:eastAsia="Palatino Linotype" w:hAnsi="Palatino Linotype" w:cs="Palatino Linotype"/>
          <w:color w:val="000000"/>
          <w:sz w:val="24"/>
          <w:szCs w:val="24"/>
        </w:rPr>
        <w:t xml:space="preserve">se presentó ante el </w:t>
      </w:r>
      <w:r w:rsidRPr="0003468C">
        <w:rPr>
          <w:rFonts w:ascii="Palatino Linotype" w:eastAsia="Palatino Linotype" w:hAnsi="Palatino Linotype" w:cs="Palatino Linotype"/>
          <w:b/>
          <w:bCs/>
          <w:color w:val="000000"/>
          <w:sz w:val="24"/>
          <w:szCs w:val="24"/>
        </w:rPr>
        <w:t>SUJETO OBLIGADO</w:t>
      </w:r>
      <w:r w:rsidRPr="0003468C">
        <w:rPr>
          <w:rFonts w:ascii="Palatino Linotype" w:eastAsia="Palatino Linotype" w:hAnsi="Palatino Linotype" w:cs="Palatino Linotype"/>
          <w:color w:val="000000"/>
          <w:sz w:val="24"/>
          <w:szCs w:val="24"/>
        </w:rPr>
        <w:t xml:space="preserve"> a través del Sistema de Acceso la Información Mexiquense, la solicitud de información pública registrada con el número</w:t>
      </w:r>
      <w:r w:rsidRPr="0003468C">
        <w:rPr>
          <w:rFonts w:ascii="Palatino Linotype" w:eastAsia="Palatino Linotype" w:hAnsi="Palatino Linotype" w:cs="Palatino Linotype"/>
          <w:b/>
          <w:bCs/>
          <w:color w:val="000000"/>
          <w:sz w:val="24"/>
          <w:szCs w:val="24"/>
        </w:rPr>
        <w:t xml:space="preserve"> 00363/ATIZARA/IP/2025; </w:t>
      </w:r>
      <w:r w:rsidR="0003468C">
        <w:rPr>
          <w:rFonts w:ascii="Palatino Linotype" w:eastAsia="Palatino Linotype" w:hAnsi="Palatino Linotype" w:cs="Palatino Linotype"/>
          <w:color w:val="000000"/>
          <w:sz w:val="24"/>
          <w:szCs w:val="24"/>
        </w:rPr>
        <w:t>en la que</w:t>
      </w:r>
      <w:r w:rsidRPr="0003468C">
        <w:rPr>
          <w:rFonts w:ascii="Palatino Linotype" w:eastAsia="Palatino Linotype" w:hAnsi="Palatino Linotype" w:cs="Palatino Linotype"/>
          <w:color w:val="000000"/>
          <w:sz w:val="24"/>
          <w:szCs w:val="24"/>
        </w:rPr>
        <w:t xml:space="preserve"> se solicitó la siguiente información:</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pBdr>
          <w:top w:val="nil"/>
          <w:left w:val="nil"/>
          <w:bottom w:val="nil"/>
          <w:right w:val="nil"/>
          <w:between w:val="nil"/>
        </w:pBdr>
        <w:spacing w:after="0" w:line="276" w:lineRule="auto"/>
        <w:ind w:left="426"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w:t>
      </w:r>
      <w:r w:rsidRPr="0003468C">
        <w:rPr>
          <w:rFonts w:ascii="Palatino Linotype" w:eastAsia="Palatino Linotype" w:hAnsi="Palatino Linotype" w:cs="Palatino Linotype"/>
          <w:i/>
          <w:iCs/>
          <w:color w:val="000000"/>
          <w:sz w:val="24"/>
          <w:szCs w:val="24"/>
        </w:rPr>
        <w:tab/>
        <w:t xml:space="preserve">Con fundamento a lo dispuesto por los Artículos 1, 6 párrafos Segundo, Cuarto Inciso A Fracción I de la Constitución Política de los Estados Unidos Mexicanos; 1, 5 párrafos Veintisiete y Treinta y cinco Fracción I de la Constitución Política del Estado Libre y Soberano de México; 1, 2 fracción II, 3 fracciones XI y XXII, 4, 7, 10, 11, 75, 76 y 92 fracción LII de la Ley de Transparencia y Acceso a la Información Pública del Estado de México y Municipios; solicito me proporcionen </w:t>
      </w:r>
      <w:r w:rsidRPr="0003468C">
        <w:rPr>
          <w:rFonts w:ascii="Palatino Linotype" w:eastAsia="Palatino Linotype" w:hAnsi="Palatino Linotype" w:cs="Palatino Linotype"/>
          <w:i/>
          <w:iCs/>
          <w:color w:val="000000"/>
          <w:sz w:val="24"/>
          <w:szCs w:val="24"/>
          <w:u w:val="single"/>
        </w:rPr>
        <w:t xml:space="preserve">Bitácoras de Reparación o Mantenimiento de Bienes Muebles (Vehículos) y anexos que respalden dichas reparaciones y/o mantenimientos de los años fiscales 2023 y 2024 del vehículo Marca Nissan, Tipo URVAN 15 PASAJEROS, con número de serie JN1BE6DS3L9038673 y </w:t>
      </w:r>
      <w:r w:rsidRPr="0003468C">
        <w:rPr>
          <w:rFonts w:ascii="Palatino Linotype" w:eastAsia="Palatino Linotype" w:hAnsi="Palatino Linotype" w:cs="Palatino Linotype"/>
          <w:i/>
          <w:iCs/>
          <w:color w:val="000000"/>
          <w:sz w:val="24"/>
          <w:szCs w:val="24"/>
          <w:u w:val="single"/>
        </w:rPr>
        <w:lastRenderedPageBreak/>
        <w:t>número económico AD-311 propiedad del Municipio de Atizapán de Zaragoza. De igual manera solicito me proporcionen "Bitácoras de consumo de Gasolina/Diesel” de los años fiscales 2023 y 2024, del vehículo Marca Nissan, Tipo URVAN 15 PASAJEROS, con número de serie JN1BE6DS3L9038673 y número económico AD-311 propiedad del Municipio de Atizapán de Zaragoza..</w:t>
      </w:r>
      <w:r w:rsidRPr="0003468C">
        <w:rPr>
          <w:rFonts w:ascii="Palatino Linotype" w:eastAsia="Palatino Linotype" w:hAnsi="Palatino Linotype" w:cs="Palatino Linotype"/>
          <w:i/>
          <w:iCs/>
          <w:color w:val="000000"/>
          <w:sz w:val="24"/>
          <w:szCs w:val="24"/>
        </w:rPr>
        <w:t>”(Sic)</w:t>
      </w:r>
    </w:p>
    <w:p w:rsidR="007C7BBE" w:rsidRPr="0003468C" w:rsidRDefault="007C7BBE" w:rsidP="0003468C">
      <w:pPr>
        <w:pBdr>
          <w:top w:val="nil"/>
          <w:left w:val="nil"/>
          <w:bottom w:val="nil"/>
          <w:right w:val="nil"/>
          <w:between w:val="nil"/>
        </w:pBdr>
        <w:spacing w:after="0" w:line="360" w:lineRule="auto"/>
        <w:ind w:left="426" w:right="-425"/>
        <w:jc w:val="center"/>
        <w:rPr>
          <w:rFonts w:ascii="Palatino Linotype" w:eastAsia="Palatino Linotype" w:hAnsi="Palatino Linotype" w:cs="Palatino Linotype"/>
          <w:i/>
          <w:iCs/>
          <w:color w:val="000000"/>
          <w:sz w:val="24"/>
          <w:szCs w:val="24"/>
        </w:rPr>
      </w:pPr>
    </w:p>
    <w:p w:rsidR="007C7BBE" w:rsidRPr="0003468C" w:rsidRDefault="009C0C68" w:rsidP="0003468C">
      <w:pPr>
        <w:numPr>
          <w:ilvl w:val="0"/>
          <w:numId w:val="9"/>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Se eligió como modalidad de entrega de la información: A través del </w:t>
      </w:r>
      <w:r w:rsidRPr="0003468C">
        <w:rPr>
          <w:rFonts w:ascii="Palatino Linotype" w:eastAsia="Palatino Linotype" w:hAnsi="Palatino Linotype" w:cs="Palatino Linotype"/>
          <w:b/>
          <w:bCs/>
          <w:color w:val="000000"/>
          <w:sz w:val="24"/>
          <w:szCs w:val="24"/>
        </w:rPr>
        <w:t>SAIMEX.</w:t>
      </w:r>
    </w:p>
    <w:p w:rsidR="0003468C" w:rsidRPr="0003468C" w:rsidRDefault="0003468C" w:rsidP="0003468C">
      <w:pPr>
        <w:pBdr>
          <w:top w:val="nil"/>
          <w:left w:val="nil"/>
          <w:bottom w:val="nil"/>
          <w:right w:val="nil"/>
          <w:between w:val="nil"/>
        </w:pBdr>
        <w:spacing w:after="0" w:line="360" w:lineRule="auto"/>
        <w:ind w:left="851"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color w:val="000000"/>
          <w:sz w:val="24"/>
          <w:szCs w:val="24"/>
        </w:rPr>
        <w:t xml:space="preserve">El </w:t>
      </w:r>
      <w:r w:rsidRPr="0003468C">
        <w:rPr>
          <w:rFonts w:ascii="Palatino Linotype" w:eastAsia="Palatino Linotype" w:hAnsi="Palatino Linotype" w:cs="Palatino Linotype"/>
          <w:b/>
          <w:bCs/>
          <w:color w:val="000000"/>
          <w:sz w:val="24"/>
          <w:szCs w:val="24"/>
        </w:rPr>
        <w:t>dos de julio de dos mil veinticinco,</w:t>
      </w:r>
      <w:r w:rsidRPr="0003468C">
        <w:rPr>
          <w:rFonts w:ascii="Palatino Linotype" w:eastAsia="Palatino Linotype" w:hAnsi="Palatino Linotype" w:cs="Palatino Linotype"/>
          <w:color w:val="000000"/>
          <w:sz w:val="24"/>
          <w:szCs w:val="24"/>
        </w:rPr>
        <w:t xml:space="preserve"> el </w:t>
      </w:r>
      <w:r w:rsidRPr="0003468C">
        <w:rPr>
          <w:rFonts w:ascii="Palatino Linotype" w:eastAsia="Palatino Linotype" w:hAnsi="Palatino Linotype" w:cs="Palatino Linotype"/>
          <w:b/>
          <w:bCs/>
          <w:color w:val="000000"/>
          <w:sz w:val="24"/>
          <w:szCs w:val="24"/>
        </w:rPr>
        <w:t xml:space="preserve">SUJETO OBLIGADO, </w:t>
      </w:r>
      <w:r w:rsidRPr="0003468C">
        <w:rPr>
          <w:rFonts w:ascii="Palatino Linotype" w:eastAsia="Palatino Linotype" w:hAnsi="Palatino Linotype" w:cs="Palatino Linotype"/>
          <w:color w:val="000000"/>
          <w:sz w:val="24"/>
          <w:szCs w:val="24"/>
        </w:rPr>
        <w:t>dio respuesta a través del archivo siguiente:</w:t>
      </w:r>
    </w:p>
    <w:p w:rsidR="007C7BBE" w:rsidRPr="0003468C" w:rsidRDefault="009C0C68" w:rsidP="0003468C">
      <w:pPr>
        <w:numPr>
          <w:ilvl w:val="0"/>
          <w:numId w:val="5"/>
        </w:numPr>
        <w:pBdr>
          <w:top w:val="nil"/>
          <w:left w:val="nil"/>
          <w:bottom w:val="nil"/>
          <w:right w:val="nil"/>
          <w:between w:val="nil"/>
        </w:pBdr>
        <w:spacing w:after="0" w:line="276" w:lineRule="auto"/>
        <w:ind w:left="709" w:right="-425"/>
        <w:jc w:val="both"/>
        <w:rPr>
          <w:rFonts w:ascii="Palatino Linotype" w:eastAsia="Palatino Linotype" w:hAnsi="Palatino Linotype" w:cs="Palatino Linotype"/>
          <w:b/>
          <w:bCs/>
          <w:color w:val="000000"/>
          <w:sz w:val="24"/>
          <w:szCs w:val="24"/>
        </w:rPr>
      </w:pPr>
      <w:r w:rsidRPr="0003468C">
        <w:rPr>
          <w:rFonts w:ascii="Palatino Linotype" w:eastAsia="Palatino Linotype" w:hAnsi="Palatino Linotype" w:cs="Palatino Linotype"/>
          <w:b/>
          <w:bCs/>
          <w:color w:val="000000"/>
          <w:sz w:val="24"/>
          <w:szCs w:val="24"/>
        </w:rPr>
        <w:t xml:space="preserve">363 bitac.pdf: </w:t>
      </w:r>
      <w:r w:rsidRPr="0003468C">
        <w:rPr>
          <w:rFonts w:ascii="Palatino Linotype" w:eastAsia="Palatino Linotype" w:hAnsi="Palatino Linotype" w:cs="Palatino Linotype"/>
          <w:color w:val="000000"/>
          <w:sz w:val="24"/>
          <w:szCs w:val="24"/>
        </w:rPr>
        <w:t>Bitácora de reparación y mantenimiento de los años 2023 y 2024, de la camioneta referida en la solicitud de información.</w:t>
      </w:r>
    </w:p>
    <w:p w:rsidR="007C7BBE" w:rsidRPr="0003468C" w:rsidRDefault="009C0C68" w:rsidP="0003468C">
      <w:pPr>
        <w:numPr>
          <w:ilvl w:val="0"/>
          <w:numId w:val="5"/>
        </w:numPr>
        <w:pBdr>
          <w:top w:val="nil"/>
          <w:left w:val="nil"/>
          <w:bottom w:val="nil"/>
          <w:right w:val="nil"/>
          <w:between w:val="nil"/>
        </w:pBdr>
        <w:spacing w:after="0" w:line="276" w:lineRule="auto"/>
        <w:ind w:left="709"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color w:val="000000"/>
          <w:sz w:val="24"/>
          <w:szCs w:val="24"/>
        </w:rPr>
        <w:t xml:space="preserve">363.pdf: </w:t>
      </w:r>
      <w:r w:rsidRPr="0003468C">
        <w:rPr>
          <w:rFonts w:ascii="Palatino Linotype" w:eastAsia="Palatino Linotype" w:hAnsi="Palatino Linotype" w:cs="Palatino Linotype"/>
          <w:color w:val="000000"/>
          <w:sz w:val="24"/>
          <w:szCs w:val="24"/>
        </w:rPr>
        <w:t xml:space="preserve">Oficio firmado por el Subdirector de Control Vehicular, por el que </w:t>
      </w:r>
      <w:r w:rsidRPr="0003468C">
        <w:rPr>
          <w:rFonts w:ascii="Palatino Linotype" w:eastAsia="Palatino Linotype" w:hAnsi="Palatino Linotype" w:cs="Palatino Linotype"/>
          <w:sz w:val="24"/>
          <w:szCs w:val="24"/>
        </w:rPr>
        <w:t>informó</w:t>
      </w:r>
      <w:r w:rsidRPr="0003468C">
        <w:rPr>
          <w:rFonts w:ascii="Palatino Linotype" w:eastAsia="Palatino Linotype" w:hAnsi="Palatino Linotype" w:cs="Palatino Linotype"/>
          <w:color w:val="000000"/>
          <w:sz w:val="24"/>
          <w:szCs w:val="24"/>
        </w:rPr>
        <w:t xml:space="preserve"> que se </w:t>
      </w:r>
      <w:r w:rsidRPr="0003468C">
        <w:rPr>
          <w:rFonts w:ascii="Palatino Linotype" w:eastAsia="Palatino Linotype" w:hAnsi="Palatino Linotype" w:cs="Palatino Linotype"/>
          <w:i/>
          <w:iCs/>
          <w:color w:val="000000"/>
          <w:sz w:val="24"/>
          <w:szCs w:val="24"/>
        </w:rPr>
        <w:t xml:space="preserve">anexa al presente la Bitácora de Reparación y Mantenimiento de los años 2023 y 2024, de la unidad identificada con el número económico AD-311, lo anterior, dando del debido cumplimiento a lo instado en la solicitud </w:t>
      </w:r>
      <w:r w:rsidRPr="0003468C">
        <w:rPr>
          <w:rFonts w:ascii="Palatino Linotype" w:eastAsia="Palatino Linotype" w:hAnsi="Palatino Linotype" w:cs="Palatino Linotype"/>
          <w:i/>
          <w:iCs/>
          <w:sz w:val="24"/>
          <w:szCs w:val="24"/>
        </w:rPr>
        <w:t>pública</w:t>
      </w:r>
      <w:r w:rsidRPr="0003468C">
        <w:rPr>
          <w:rFonts w:ascii="Palatino Linotype" w:eastAsia="Palatino Linotype" w:hAnsi="Palatino Linotype" w:cs="Palatino Linotype"/>
          <w:i/>
          <w:iCs/>
          <w:color w:val="000000"/>
          <w:sz w:val="24"/>
          <w:szCs w:val="24"/>
        </w:rPr>
        <w:t xml:space="preserve"> que nos ocupа.</w:t>
      </w:r>
    </w:p>
    <w:p w:rsidR="007C7BBE" w:rsidRPr="0003468C" w:rsidRDefault="007C7BBE" w:rsidP="0003468C">
      <w:pPr>
        <w:pBdr>
          <w:top w:val="nil"/>
          <w:left w:val="nil"/>
          <w:bottom w:val="nil"/>
          <w:right w:val="nil"/>
          <w:between w:val="nil"/>
        </w:pBdr>
        <w:spacing w:after="0" w:line="240" w:lineRule="auto"/>
        <w:ind w:left="709" w:right="-425"/>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after="0" w:line="276" w:lineRule="auto"/>
        <w:ind w:left="709"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No se realiza el testado de las firmas, por las razones expuestas con anterioridad.</w:t>
      </w:r>
    </w:p>
    <w:p w:rsidR="007C7BBE" w:rsidRPr="0003468C" w:rsidRDefault="007C7BBE" w:rsidP="0003468C">
      <w:pPr>
        <w:ind w:right="-425"/>
        <w:rPr>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color w:val="000000"/>
          <w:sz w:val="24"/>
          <w:szCs w:val="24"/>
        </w:rPr>
        <w:t xml:space="preserve">Inconforme con lo anterior, el </w:t>
      </w:r>
      <w:r w:rsidRPr="0003468C">
        <w:rPr>
          <w:rFonts w:ascii="Palatino Linotype" w:eastAsia="Palatino Linotype" w:hAnsi="Palatino Linotype" w:cs="Palatino Linotype"/>
          <w:b/>
          <w:bCs/>
          <w:color w:val="000000"/>
          <w:sz w:val="24"/>
          <w:szCs w:val="24"/>
        </w:rPr>
        <w:t>dos de julio de dos mil veinticinco</w:t>
      </w:r>
      <w:r w:rsidRPr="0003468C">
        <w:rPr>
          <w:rFonts w:ascii="Palatino Linotype" w:eastAsia="Palatino Linotype" w:hAnsi="Palatino Linotype" w:cs="Palatino Linotype"/>
          <w:color w:val="000000"/>
          <w:sz w:val="24"/>
          <w:szCs w:val="24"/>
        </w:rPr>
        <w:t xml:space="preserve">, el hoy </w:t>
      </w:r>
      <w:r w:rsidRPr="0003468C">
        <w:rPr>
          <w:rFonts w:ascii="Palatino Linotype" w:eastAsia="Palatino Linotype" w:hAnsi="Palatino Linotype" w:cs="Palatino Linotype"/>
          <w:b/>
          <w:bCs/>
          <w:color w:val="000000"/>
          <w:sz w:val="24"/>
          <w:szCs w:val="24"/>
        </w:rPr>
        <w:t xml:space="preserve">RECURRENTE, </w:t>
      </w:r>
      <w:r w:rsidRPr="0003468C">
        <w:rPr>
          <w:rFonts w:ascii="Palatino Linotype" w:eastAsia="Palatino Linotype" w:hAnsi="Palatino Linotype" w:cs="Palatino Linotype"/>
          <w:color w:val="000000"/>
          <w:sz w:val="24"/>
          <w:szCs w:val="24"/>
        </w:rPr>
        <w:t xml:space="preserve">interpuso recurso de revisión en contra de la respuesta emitida por el </w:t>
      </w:r>
      <w:r w:rsidRPr="0003468C">
        <w:rPr>
          <w:rFonts w:ascii="Palatino Linotype" w:eastAsia="Palatino Linotype" w:hAnsi="Palatino Linotype" w:cs="Palatino Linotype"/>
          <w:b/>
          <w:bCs/>
          <w:color w:val="000000"/>
          <w:sz w:val="24"/>
          <w:szCs w:val="24"/>
        </w:rPr>
        <w:t>SUJETO OBLIGADO</w:t>
      </w:r>
      <w:r w:rsidRPr="0003468C">
        <w:rPr>
          <w:rFonts w:ascii="Palatino Linotype" w:eastAsia="Palatino Linotype" w:hAnsi="Palatino Linotype" w:cs="Palatino Linotype"/>
          <w:color w:val="000000"/>
          <w:sz w:val="24"/>
          <w:szCs w:val="24"/>
        </w:rPr>
        <w:t>, manifestando las siguientes razones o motivos de inconformidad:</w:t>
      </w:r>
    </w:p>
    <w:p w:rsidR="007C7BBE" w:rsidRPr="0003468C" w:rsidRDefault="007C7BBE" w:rsidP="0003468C">
      <w:pPr>
        <w:pBdr>
          <w:top w:val="nil"/>
          <w:left w:val="nil"/>
          <w:bottom w:val="nil"/>
          <w:right w:val="nil"/>
          <w:between w:val="nil"/>
        </w:pBdr>
        <w:tabs>
          <w:tab w:val="left" w:pos="0"/>
        </w:tabs>
        <w:spacing w:after="0" w:line="360" w:lineRule="auto"/>
        <w:ind w:right="-425"/>
        <w:jc w:val="both"/>
        <w:rPr>
          <w:rFonts w:ascii="Palatino Linotype" w:eastAsia="Palatino Linotype" w:hAnsi="Palatino Linotype" w:cs="Palatino Linotype"/>
          <w:i/>
          <w:iCs/>
          <w:color w:val="000000"/>
          <w:sz w:val="24"/>
          <w:szCs w:val="24"/>
        </w:rPr>
      </w:pPr>
    </w:p>
    <w:p w:rsidR="007C7BBE" w:rsidRPr="0003468C" w:rsidRDefault="0003468C" w:rsidP="0003468C">
      <w:pPr>
        <w:numPr>
          <w:ilvl w:val="0"/>
          <w:numId w:val="9"/>
        </w:numPr>
        <w:pBdr>
          <w:top w:val="nil"/>
          <w:left w:val="nil"/>
          <w:bottom w:val="nil"/>
          <w:right w:val="nil"/>
          <w:between w:val="nil"/>
        </w:pBdr>
        <w:spacing w:after="0" w:line="276" w:lineRule="auto"/>
        <w:ind w:left="851" w:right="-425"/>
        <w:jc w:val="both"/>
        <w:rPr>
          <w:rFonts w:ascii="Palatino Linotype" w:eastAsia="Palatino Linotype" w:hAnsi="Palatino Linotype" w:cs="Palatino Linotype"/>
          <w:i/>
          <w:iCs/>
          <w:color w:val="000000"/>
          <w:sz w:val="24"/>
          <w:szCs w:val="24"/>
        </w:rPr>
      </w:pPr>
      <w:bookmarkStart w:id="3" w:name="_heading=h.49hs6c8z8m88" w:colFirst="0" w:colLast="0"/>
      <w:bookmarkEnd w:id="3"/>
      <w:r w:rsidRPr="0003468C">
        <w:rPr>
          <w:rFonts w:ascii="Palatino Linotype" w:eastAsia="Palatino Linotype" w:hAnsi="Palatino Linotype" w:cs="Palatino Linotype"/>
          <w:b/>
          <w:bCs/>
          <w:color w:val="000000"/>
          <w:sz w:val="24"/>
          <w:szCs w:val="24"/>
        </w:rPr>
        <w:t>ACTO IMPUGNADO</w:t>
      </w:r>
      <w:r w:rsidR="009C0C68" w:rsidRPr="0003468C">
        <w:rPr>
          <w:rFonts w:ascii="Palatino Linotype" w:eastAsia="Palatino Linotype" w:hAnsi="Palatino Linotype" w:cs="Palatino Linotype"/>
          <w:b/>
          <w:bCs/>
          <w:color w:val="000000"/>
          <w:sz w:val="24"/>
          <w:szCs w:val="24"/>
        </w:rPr>
        <w:t xml:space="preserve">: </w:t>
      </w:r>
      <w:r w:rsidR="009C0C68" w:rsidRPr="0003468C">
        <w:rPr>
          <w:rFonts w:ascii="Palatino Linotype" w:eastAsia="Palatino Linotype" w:hAnsi="Palatino Linotype" w:cs="Palatino Linotype"/>
          <w:i/>
          <w:iCs/>
          <w:color w:val="000000"/>
          <w:sz w:val="24"/>
          <w:szCs w:val="24"/>
        </w:rPr>
        <w:t>“Respuesta del Sujeto Obligado”</w:t>
      </w:r>
    </w:p>
    <w:p w:rsidR="007C7BBE" w:rsidRPr="0003468C" w:rsidRDefault="007C7BBE" w:rsidP="0003468C">
      <w:pPr>
        <w:pBdr>
          <w:top w:val="nil"/>
          <w:left w:val="nil"/>
          <w:bottom w:val="nil"/>
          <w:right w:val="nil"/>
          <w:between w:val="nil"/>
        </w:pBdr>
        <w:spacing w:after="0" w:line="360" w:lineRule="auto"/>
        <w:ind w:left="851" w:right="-425" w:hanging="142"/>
        <w:jc w:val="both"/>
        <w:rPr>
          <w:rFonts w:ascii="Palatino Linotype" w:eastAsia="Palatino Linotype" w:hAnsi="Palatino Linotype" w:cs="Palatino Linotype"/>
          <w:i/>
          <w:iCs/>
          <w:color w:val="000000"/>
          <w:sz w:val="24"/>
          <w:szCs w:val="24"/>
        </w:rPr>
      </w:pPr>
    </w:p>
    <w:p w:rsidR="007C7BBE" w:rsidRPr="0003468C" w:rsidRDefault="0003468C" w:rsidP="0003468C">
      <w:pPr>
        <w:numPr>
          <w:ilvl w:val="0"/>
          <w:numId w:val="9"/>
        </w:numPr>
        <w:pBdr>
          <w:top w:val="nil"/>
          <w:left w:val="nil"/>
          <w:bottom w:val="nil"/>
          <w:right w:val="nil"/>
          <w:between w:val="nil"/>
        </w:pBdr>
        <w:spacing w:after="0" w:line="276" w:lineRule="auto"/>
        <w:ind w:left="851" w:right="-425"/>
        <w:jc w:val="both"/>
        <w:rPr>
          <w:rFonts w:ascii="Palatino Linotype" w:eastAsia="Palatino Linotype" w:hAnsi="Palatino Linotype" w:cs="Palatino Linotype"/>
          <w:i/>
          <w:iCs/>
          <w:color w:val="000000"/>
          <w:sz w:val="24"/>
          <w:szCs w:val="24"/>
        </w:rPr>
      </w:pPr>
      <w:bookmarkStart w:id="4" w:name="_heading=h.374h0wenf6yo" w:colFirst="0" w:colLast="0"/>
      <w:bookmarkEnd w:id="4"/>
      <w:r w:rsidRPr="0003468C">
        <w:rPr>
          <w:rFonts w:ascii="Palatino Linotype" w:eastAsia="Palatino Linotype" w:hAnsi="Palatino Linotype" w:cs="Palatino Linotype"/>
          <w:b/>
          <w:bCs/>
          <w:color w:val="000000"/>
          <w:sz w:val="24"/>
          <w:szCs w:val="24"/>
        </w:rPr>
        <w:t>RAZONES O MOTIVOS DE INCONFORMIDAD</w:t>
      </w:r>
      <w:r w:rsidR="009C0C68" w:rsidRPr="0003468C">
        <w:rPr>
          <w:rFonts w:ascii="Palatino Linotype" w:eastAsia="Palatino Linotype" w:hAnsi="Palatino Linotype" w:cs="Palatino Linotype"/>
          <w:b/>
          <w:bCs/>
          <w:color w:val="000000"/>
          <w:sz w:val="24"/>
          <w:szCs w:val="24"/>
        </w:rPr>
        <w:t>: “</w:t>
      </w:r>
      <w:r w:rsidR="009C0C68" w:rsidRPr="0003468C">
        <w:rPr>
          <w:rFonts w:ascii="Palatino Linotype" w:eastAsia="Palatino Linotype" w:hAnsi="Palatino Linotype" w:cs="Palatino Linotype"/>
          <w:i/>
          <w:iCs/>
          <w:color w:val="000000"/>
          <w:sz w:val="24"/>
          <w:szCs w:val="24"/>
        </w:rPr>
        <w:t xml:space="preserve">De acuerdo a lo dispuesto por el Artículo 11 de la Ley de Transparencia y Acceso a la Información de Estado de México y </w:t>
      </w:r>
      <w:r w:rsidR="009C0C68" w:rsidRPr="0003468C">
        <w:rPr>
          <w:rFonts w:ascii="Palatino Linotype" w:eastAsia="Palatino Linotype" w:hAnsi="Palatino Linotype" w:cs="Palatino Linotype"/>
          <w:i/>
          <w:iCs/>
          <w:color w:val="000000"/>
          <w:sz w:val="24"/>
          <w:szCs w:val="24"/>
        </w:rPr>
        <w:lastRenderedPageBreak/>
        <w:t>Municipios que a la letra dice: "Artículo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El sujeto obligado remite y/o envía la información solicitada incompleta, en virtud de que se le requirió “Bitácoras de Reparación o Mantenimiento de Bienes Muebles (Vehículos) y anexos que respalden dichas reparaciones y/o mantenimientos de los años fiscales 2023 y 2024 del vehículo Marca Nissan, Tipo URVAN 15 PASAJEROS, con número de serie JN1BE6DS3L9038673 y número económico AD-311 propiedad del Municipio de Atizapán de Zaragoza. De igual manera solicito me proporcionen "Bitácoras de consumo de Gasolina/Diesel” de los años fiscales 2023 y 2024, del vehículo Marca Nissan, Tipo URVAN 15 PASAJEROS, con número de serie JN1BE6DS3L9038673 y número económico AD-311 propiedad del Municipio de Atizapán de Zaragoza”; sin embargo al hacer una revisión de los Archivos que adjunta el sujeto obligado como respuesta denominados 363 y 363 bitac, estos no incluyen toda la información solicitada, es decir, se encuentra incompleta, en virtud de que faltan anexos que respalden las reparaciones y/o mantenimientos descritas en las Bitácoras de Reparación y Mantenimiento. De igual manera no incluyen Bitácoras de consumo de Gasolina/Diesel” de los años fiscales 2023 y 2024 del vehículo que nos ocupa que emite sujeto obligado. Se adjuntan archivos emitidos por el Sujeto Obligado para mayor referencia.”</w:t>
      </w:r>
    </w:p>
    <w:p w:rsidR="007C7BBE" w:rsidRPr="0003468C" w:rsidRDefault="007C7BBE" w:rsidP="0003468C">
      <w:pPr>
        <w:pBdr>
          <w:top w:val="nil"/>
          <w:left w:val="nil"/>
          <w:bottom w:val="nil"/>
          <w:right w:val="nil"/>
          <w:between w:val="nil"/>
        </w:pBdr>
        <w:spacing w:after="0" w:line="240" w:lineRule="auto"/>
        <w:ind w:left="720" w:right="-425"/>
        <w:rPr>
          <w:rFonts w:ascii="Palatino Linotype" w:eastAsia="Palatino Linotype" w:hAnsi="Palatino Linotype" w:cs="Palatino Linotype"/>
          <w:i/>
          <w:iCs/>
          <w:color w:val="000000"/>
          <w:sz w:val="24"/>
          <w:szCs w:val="24"/>
        </w:rPr>
      </w:pPr>
    </w:p>
    <w:p w:rsidR="007C7BBE" w:rsidRPr="0003468C" w:rsidRDefault="009C0C68" w:rsidP="0003468C">
      <w:pPr>
        <w:numPr>
          <w:ilvl w:val="0"/>
          <w:numId w:val="6"/>
        </w:numPr>
        <w:spacing w:line="360" w:lineRule="auto"/>
        <w:ind w:left="0" w:right="-425" w:firstLine="0"/>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Al recurso de revisión, se adjuntaron los archivos </w:t>
      </w:r>
      <w:hyperlink r:id="rId8">
        <w:r w:rsidRPr="0003468C">
          <w:rPr>
            <w:rFonts w:ascii="Palatino Linotype" w:eastAsia="Palatino Linotype" w:hAnsi="Palatino Linotype" w:cs="Palatino Linotype"/>
            <w:i/>
            <w:iCs/>
            <w:color w:val="000000"/>
            <w:sz w:val="24"/>
            <w:szCs w:val="24"/>
          </w:rPr>
          <w:t>363.pdf</w:t>
        </w:r>
      </w:hyperlink>
      <w:r w:rsidRPr="0003468C">
        <w:rPr>
          <w:rFonts w:ascii="Palatino Linotype" w:eastAsia="Palatino Linotype" w:hAnsi="Palatino Linotype" w:cs="Palatino Linotype"/>
          <w:i/>
          <w:iCs/>
          <w:sz w:val="24"/>
          <w:szCs w:val="24"/>
        </w:rPr>
        <w:t xml:space="preserve"> y </w:t>
      </w:r>
      <w:hyperlink r:id="rId9">
        <w:r w:rsidRPr="0003468C">
          <w:rPr>
            <w:rFonts w:ascii="Palatino Linotype" w:eastAsia="Palatino Linotype" w:hAnsi="Palatino Linotype" w:cs="Palatino Linotype"/>
            <w:i/>
            <w:iCs/>
            <w:color w:val="000000"/>
            <w:sz w:val="24"/>
            <w:szCs w:val="24"/>
          </w:rPr>
          <w:t>363 bitac.pdf</w:t>
        </w:r>
      </w:hyperlink>
      <w:r w:rsidRPr="0003468C">
        <w:rPr>
          <w:rFonts w:ascii="Palatino Linotype" w:eastAsia="Palatino Linotype" w:hAnsi="Palatino Linotype" w:cs="Palatino Linotype"/>
          <w:i/>
          <w:iCs/>
          <w:sz w:val="24"/>
          <w:szCs w:val="24"/>
        </w:rPr>
        <w:t>,</w:t>
      </w:r>
      <w:r w:rsidRPr="0003468C">
        <w:rPr>
          <w:rFonts w:ascii="Palatino Linotype" w:eastAsia="Palatino Linotype" w:hAnsi="Palatino Linotype" w:cs="Palatino Linotype"/>
          <w:sz w:val="24"/>
          <w:szCs w:val="24"/>
        </w:rPr>
        <w:t xml:space="preserve"> </w:t>
      </w:r>
      <w:r w:rsidRPr="0003468C">
        <w:rPr>
          <w:rFonts w:ascii="Palatino Linotype" w:eastAsia="Palatino Linotype" w:hAnsi="Palatino Linotype" w:cs="Palatino Linotype"/>
          <w:color w:val="000000"/>
          <w:sz w:val="24"/>
          <w:szCs w:val="24"/>
        </w:rPr>
        <w:t xml:space="preserve">correspondientes a las respuestas proporcionadas por el </w:t>
      </w:r>
      <w:r w:rsidRPr="0003468C">
        <w:rPr>
          <w:rFonts w:ascii="Palatino Linotype" w:eastAsia="Palatino Linotype" w:hAnsi="Palatino Linotype" w:cs="Palatino Linotype"/>
          <w:b/>
          <w:bCs/>
          <w:color w:val="000000"/>
          <w:sz w:val="24"/>
          <w:szCs w:val="24"/>
        </w:rPr>
        <w:t xml:space="preserve">SUJETO OBLIGADO. </w:t>
      </w:r>
    </w:p>
    <w:p w:rsidR="007C7BBE" w:rsidRPr="0003468C" w:rsidRDefault="0003468C"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color w:val="000000"/>
          <w:sz w:val="24"/>
          <w:szCs w:val="24"/>
        </w:rPr>
        <w:t>La Comisionada p</w:t>
      </w:r>
      <w:r w:rsidR="009C0C68" w:rsidRPr="0003468C">
        <w:rPr>
          <w:rFonts w:ascii="Palatino Linotype" w:eastAsia="Palatino Linotype" w:hAnsi="Palatino Linotype" w:cs="Palatino Linotype"/>
          <w:color w:val="000000"/>
          <w:sz w:val="24"/>
          <w:szCs w:val="24"/>
        </w:rPr>
        <w:t>onente con fundamento en lo dispuesto por el artículo 185 fracción II de la ley de la materia, a través del acuerdo de admisión notificado el</w:t>
      </w:r>
      <w:r w:rsidR="009C0C68" w:rsidRPr="0003468C">
        <w:rPr>
          <w:rFonts w:ascii="Palatino Linotype" w:eastAsia="Palatino Linotype" w:hAnsi="Palatino Linotype" w:cs="Palatino Linotype"/>
          <w:b/>
          <w:bCs/>
          <w:color w:val="000000"/>
          <w:sz w:val="24"/>
          <w:szCs w:val="24"/>
        </w:rPr>
        <w:t xml:space="preserve"> cuatro de julio de dos mil veinticinco</w:t>
      </w:r>
      <w:r w:rsidR="009C0C68" w:rsidRPr="0003468C">
        <w:rPr>
          <w:rFonts w:ascii="Palatino Linotype" w:eastAsia="Palatino Linotype" w:hAnsi="Palatino Linotype" w:cs="Palatino Linotype"/>
          <w:color w:val="000000"/>
          <w:sz w:val="24"/>
          <w:szCs w:val="24"/>
        </w:rPr>
        <w:t xml:space="preserve">, puso a disposición de las partes el expediente electrónico vía </w:t>
      </w:r>
      <w:r w:rsidR="009C0C68" w:rsidRPr="0003468C">
        <w:rPr>
          <w:rFonts w:ascii="Palatino Linotype" w:eastAsia="Palatino Linotype" w:hAnsi="Palatino Linotype" w:cs="Palatino Linotype"/>
          <w:b/>
          <w:bCs/>
          <w:color w:val="000000"/>
          <w:sz w:val="24"/>
          <w:szCs w:val="24"/>
        </w:rPr>
        <w:t xml:space="preserve">SAIMEX </w:t>
      </w:r>
      <w:r w:rsidR="009C0C68" w:rsidRPr="0003468C">
        <w:rPr>
          <w:rFonts w:ascii="Palatino Linotype" w:eastAsia="Palatino Linotype" w:hAnsi="Palatino Linotype" w:cs="Palatino Linotype"/>
          <w:color w:val="000000"/>
          <w:sz w:val="24"/>
          <w:szCs w:val="24"/>
        </w:rPr>
        <w:t xml:space="preserve">a efecto de que en un plazo máximo de siete días manifestaran lo que a su derecho conviniera, </w:t>
      </w:r>
      <w:r w:rsidR="009C0C68" w:rsidRPr="0003468C">
        <w:rPr>
          <w:rFonts w:ascii="Palatino Linotype" w:eastAsia="Palatino Linotype" w:hAnsi="Palatino Linotype" w:cs="Palatino Linotype"/>
          <w:color w:val="000000"/>
          <w:sz w:val="24"/>
          <w:szCs w:val="24"/>
        </w:rPr>
        <w:lastRenderedPageBreak/>
        <w:t xml:space="preserve">ofrecieran pruebas y alegatos según corresponda a los casos concretos, y el </w:t>
      </w:r>
      <w:r w:rsidR="009C0C68" w:rsidRPr="0003468C">
        <w:rPr>
          <w:rFonts w:ascii="Palatino Linotype" w:eastAsia="Palatino Linotype" w:hAnsi="Palatino Linotype" w:cs="Palatino Linotype"/>
          <w:b/>
          <w:bCs/>
          <w:color w:val="000000"/>
          <w:sz w:val="24"/>
          <w:szCs w:val="24"/>
        </w:rPr>
        <w:t>SUJETO OBLIGADO</w:t>
      </w:r>
      <w:r w:rsidR="009C0C68" w:rsidRPr="0003468C">
        <w:rPr>
          <w:rFonts w:ascii="Palatino Linotype" w:eastAsia="Palatino Linotype" w:hAnsi="Palatino Linotype" w:cs="Palatino Linotype"/>
          <w:color w:val="000000"/>
          <w:sz w:val="24"/>
          <w:szCs w:val="24"/>
        </w:rPr>
        <w:t xml:space="preserve"> presentará el Informe Justificado procedente.</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i/>
          <w:iCs/>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El </w:t>
      </w:r>
      <w:r w:rsidRPr="0003468C">
        <w:rPr>
          <w:rFonts w:ascii="Palatino Linotype" w:eastAsia="Palatino Linotype" w:hAnsi="Palatino Linotype" w:cs="Palatino Linotype"/>
          <w:b/>
          <w:bCs/>
          <w:color w:val="000000"/>
          <w:sz w:val="24"/>
          <w:szCs w:val="24"/>
        </w:rPr>
        <w:t xml:space="preserve">SUJETO OBLIGADO, </w:t>
      </w:r>
      <w:r w:rsidRPr="0003468C">
        <w:rPr>
          <w:rFonts w:ascii="Palatino Linotype" w:eastAsia="Palatino Linotype" w:hAnsi="Palatino Linotype" w:cs="Palatino Linotype"/>
          <w:color w:val="000000"/>
          <w:sz w:val="24"/>
          <w:szCs w:val="24"/>
        </w:rPr>
        <w:t xml:space="preserve">el </w:t>
      </w:r>
      <w:r w:rsidRPr="0003468C">
        <w:rPr>
          <w:rFonts w:ascii="Palatino Linotype" w:eastAsia="Palatino Linotype" w:hAnsi="Palatino Linotype" w:cs="Palatino Linotype"/>
          <w:b/>
          <w:bCs/>
          <w:color w:val="000000"/>
          <w:sz w:val="24"/>
          <w:szCs w:val="24"/>
        </w:rPr>
        <w:t xml:space="preserve">diez de julio de dos mil veinticinco, </w:t>
      </w:r>
      <w:r w:rsidRPr="0003468C">
        <w:rPr>
          <w:rFonts w:ascii="Palatino Linotype" w:eastAsia="Palatino Linotype" w:hAnsi="Palatino Linotype" w:cs="Palatino Linotype"/>
          <w:color w:val="000000"/>
          <w:sz w:val="24"/>
          <w:szCs w:val="24"/>
        </w:rPr>
        <w:t>rindió informe justificado a través de los archivos siguientes:</w:t>
      </w:r>
    </w:p>
    <w:p w:rsidR="007C7BBE" w:rsidRPr="0003468C" w:rsidRDefault="00157BF3" w:rsidP="0003468C">
      <w:pPr>
        <w:numPr>
          <w:ilvl w:val="0"/>
          <w:numId w:val="7"/>
        </w:numPr>
        <w:pBdr>
          <w:top w:val="nil"/>
          <w:left w:val="nil"/>
          <w:bottom w:val="nil"/>
          <w:right w:val="nil"/>
          <w:between w:val="nil"/>
        </w:pBdr>
        <w:spacing w:after="0" w:line="240" w:lineRule="auto"/>
        <w:ind w:left="0" w:right="-425" w:firstLine="0"/>
        <w:jc w:val="both"/>
        <w:rPr>
          <w:rFonts w:ascii="Palatino Linotype" w:eastAsia="Palatino Linotype" w:hAnsi="Palatino Linotype" w:cs="Palatino Linotype"/>
          <w:b/>
          <w:bCs/>
          <w:color w:val="000000"/>
          <w:sz w:val="24"/>
          <w:szCs w:val="24"/>
        </w:rPr>
      </w:pPr>
      <w:hyperlink r:id="rId10">
        <w:r w:rsidR="009C0C68" w:rsidRPr="0003468C">
          <w:rPr>
            <w:rFonts w:ascii="Palatino Linotype" w:eastAsia="Palatino Linotype" w:hAnsi="Palatino Linotype" w:cs="Palatino Linotype"/>
            <w:b/>
            <w:bCs/>
            <w:color w:val="000000"/>
            <w:sz w:val="24"/>
            <w:szCs w:val="24"/>
          </w:rPr>
          <w:t>[Untitled]_2025071014392520.pdf</w:t>
        </w:r>
      </w:hyperlink>
      <w:r w:rsidR="009C0C68" w:rsidRPr="0003468C">
        <w:rPr>
          <w:rFonts w:ascii="Palatino Linotype" w:eastAsia="Palatino Linotype" w:hAnsi="Palatino Linotype" w:cs="Palatino Linotype"/>
          <w:b/>
          <w:bCs/>
          <w:color w:val="000000"/>
          <w:sz w:val="24"/>
          <w:szCs w:val="24"/>
        </w:rPr>
        <w:t xml:space="preserve">: </w:t>
      </w:r>
      <w:r w:rsidR="009C0C68" w:rsidRPr="0003468C">
        <w:rPr>
          <w:rFonts w:ascii="Palatino Linotype" w:eastAsia="Palatino Linotype" w:hAnsi="Palatino Linotype" w:cs="Palatino Linotype"/>
          <w:color w:val="000000"/>
          <w:sz w:val="24"/>
          <w:szCs w:val="24"/>
        </w:rPr>
        <w:t xml:space="preserve">Informe Justificado, firmado por el Director de Administración, por el que informo que de acuerdo a sus funciones y atribuciones, derivado de un error involuntario no se envió la evidencia de las reparaciones: </w:t>
      </w:r>
    </w:p>
    <w:p w:rsidR="007C7BBE" w:rsidRPr="0003468C" w:rsidRDefault="009C0C68" w:rsidP="0003468C">
      <w:pPr>
        <w:numPr>
          <w:ilvl w:val="0"/>
          <w:numId w:val="7"/>
        </w:numPr>
        <w:pBdr>
          <w:top w:val="nil"/>
          <w:left w:val="nil"/>
          <w:bottom w:val="nil"/>
          <w:right w:val="nil"/>
          <w:between w:val="nil"/>
        </w:pBdr>
        <w:spacing w:after="0" w:line="240" w:lineRule="auto"/>
        <w:ind w:left="1276"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Vale de entrada y salida del almacén de balatas</w:t>
      </w:r>
    </w:p>
    <w:p w:rsidR="007C7BBE" w:rsidRPr="0003468C" w:rsidRDefault="009C0C68" w:rsidP="0003468C">
      <w:pPr>
        <w:numPr>
          <w:ilvl w:val="0"/>
          <w:numId w:val="7"/>
        </w:numPr>
        <w:pBdr>
          <w:top w:val="nil"/>
          <w:left w:val="nil"/>
          <w:bottom w:val="nil"/>
          <w:right w:val="nil"/>
          <w:between w:val="nil"/>
        </w:pBdr>
        <w:spacing w:after="0" w:line="240" w:lineRule="auto"/>
        <w:ind w:left="1276" w:right="-425" w:firstLine="0"/>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i/>
          <w:iCs/>
          <w:color w:val="000000"/>
          <w:sz w:val="24"/>
          <w:szCs w:val="24"/>
        </w:rPr>
        <w:t>Vale de entrada y salida del almacén de baterías</w:t>
      </w:r>
    </w:p>
    <w:p w:rsidR="007C7BBE" w:rsidRPr="0003468C" w:rsidRDefault="009C0C68" w:rsidP="0003468C">
      <w:pPr>
        <w:numPr>
          <w:ilvl w:val="0"/>
          <w:numId w:val="7"/>
        </w:numPr>
        <w:pBdr>
          <w:top w:val="nil"/>
          <w:left w:val="nil"/>
          <w:bottom w:val="nil"/>
          <w:right w:val="nil"/>
          <w:between w:val="nil"/>
        </w:pBdr>
        <w:spacing w:after="0" w:line="240" w:lineRule="auto"/>
        <w:ind w:left="1276"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Carta entrega de unidad reparada</w:t>
      </w:r>
    </w:p>
    <w:p w:rsidR="007C7BBE" w:rsidRPr="0003468C" w:rsidRDefault="009C0C68" w:rsidP="0003468C">
      <w:pPr>
        <w:numPr>
          <w:ilvl w:val="0"/>
          <w:numId w:val="7"/>
        </w:numPr>
        <w:pBdr>
          <w:top w:val="nil"/>
          <w:left w:val="nil"/>
          <w:bottom w:val="nil"/>
          <w:right w:val="nil"/>
          <w:between w:val="nil"/>
        </w:pBdr>
        <w:spacing w:after="0" w:line="240" w:lineRule="auto"/>
        <w:ind w:left="1276"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Fotografías</w:t>
      </w:r>
    </w:p>
    <w:p w:rsidR="007C7BBE" w:rsidRPr="0003468C" w:rsidRDefault="009C0C68" w:rsidP="0003468C">
      <w:pPr>
        <w:numPr>
          <w:ilvl w:val="0"/>
          <w:numId w:val="7"/>
        </w:numPr>
        <w:pBdr>
          <w:top w:val="nil"/>
          <w:left w:val="nil"/>
          <w:bottom w:val="nil"/>
          <w:right w:val="nil"/>
          <w:between w:val="nil"/>
        </w:pBdr>
        <w:spacing w:after="0" w:line="240" w:lineRule="auto"/>
        <w:ind w:left="1276"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Carta entrega de reparación</w:t>
      </w:r>
    </w:p>
    <w:p w:rsidR="007C7BBE" w:rsidRPr="0003468C" w:rsidRDefault="007C7BBE" w:rsidP="0003468C">
      <w:pPr>
        <w:pBdr>
          <w:top w:val="nil"/>
          <w:left w:val="nil"/>
          <w:bottom w:val="nil"/>
          <w:right w:val="nil"/>
          <w:between w:val="nil"/>
        </w:pBdr>
        <w:spacing w:after="0" w:line="240" w:lineRule="auto"/>
        <w:ind w:left="720" w:right="-425"/>
        <w:jc w:val="both"/>
        <w:rPr>
          <w:rFonts w:ascii="Palatino Linotype" w:eastAsia="Palatino Linotype" w:hAnsi="Palatino Linotype" w:cs="Palatino Linotype"/>
          <w:color w:val="000000"/>
          <w:sz w:val="24"/>
          <w:szCs w:val="24"/>
        </w:rPr>
      </w:pPr>
    </w:p>
    <w:p w:rsidR="007C7BBE" w:rsidRPr="0003468C" w:rsidRDefault="009C0C68" w:rsidP="0003468C">
      <w:pPr>
        <w:pBdr>
          <w:top w:val="nil"/>
          <w:left w:val="nil"/>
          <w:bottom w:val="nil"/>
          <w:right w:val="nil"/>
          <w:between w:val="nil"/>
        </w:pBdr>
        <w:spacing w:after="0" w:line="240" w:lineRule="auto"/>
        <w:ind w:right="-425"/>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En cuanto a las bitácoras de Gasolina/Diésel, informó que no es atribución. </w:t>
      </w:r>
    </w:p>
    <w:p w:rsidR="007C7BBE" w:rsidRDefault="007C7BBE" w:rsidP="0003468C">
      <w:pPr>
        <w:pBdr>
          <w:top w:val="nil"/>
          <w:left w:val="nil"/>
          <w:bottom w:val="nil"/>
          <w:right w:val="nil"/>
          <w:between w:val="nil"/>
        </w:pBdr>
        <w:spacing w:after="0" w:line="240" w:lineRule="auto"/>
        <w:ind w:left="720" w:right="-425"/>
        <w:jc w:val="both"/>
        <w:rPr>
          <w:rFonts w:ascii="Palatino Linotype" w:eastAsia="Palatino Linotype" w:hAnsi="Palatino Linotype" w:cs="Palatino Linotype"/>
          <w:b/>
          <w:bCs/>
          <w:sz w:val="24"/>
          <w:szCs w:val="24"/>
        </w:rPr>
      </w:pPr>
    </w:p>
    <w:p w:rsidR="0003468C" w:rsidRPr="0003468C" w:rsidRDefault="0003468C" w:rsidP="0003468C">
      <w:pPr>
        <w:pBdr>
          <w:top w:val="nil"/>
          <w:left w:val="nil"/>
          <w:bottom w:val="nil"/>
          <w:right w:val="nil"/>
          <w:between w:val="nil"/>
        </w:pBdr>
        <w:spacing w:after="0" w:line="240" w:lineRule="auto"/>
        <w:ind w:left="720" w:right="-425"/>
        <w:jc w:val="both"/>
        <w:rPr>
          <w:rFonts w:ascii="Palatino Linotype" w:eastAsia="Palatino Linotype" w:hAnsi="Palatino Linotype" w:cs="Palatino Linotype"/>
          <w:b/>
          <w:bCs/>
          <w:sz w:val="24"/>
          <w:szCs w:val="24"/>
        </w:rPr>
      </w:pPr>
    </w:p>
    <w:p w:rsidR="007C7BBE"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El </w:t>
      </w:r>
      <w:r w:rsidRPr="0003468C">
        <w:rPr>
          <w:rFonts w:ascii="Palatino Linotype" w:eastAsia="Palatino Linotype" w:hAnsi="Palatino Linotype" w:cs="Palatino Linotype"/>
          <w:b/>
          <w:bCs/>
          <w:color w:val="000000"/>
          <w:sz w:val="24"/>
          <w:szCs w:val="24"/>
        </w:rPr>
        <w:t xml:space="preserve">PARTICULAR </w:t>
      </w:r>
      <w:r w:rsidRPr="0003468C">
        <w:rPr>
          <w:rFonts w:ascii="Palatino Linotype" w:eastAsia="Palatino Linotype" w:hAnsi="Palatino Linotype" w:cs="Palatino Linotype"/>
          <w:color w:val="000000"/>
          <w:sz w:val="24"/>
          <w:szCs w:val="24"/>
        </w:rPr>
        <w:t>fue omiso en realizar manifestación alguna que a su derecho conviniera.</w:t>
      </w:r>
    </w:p>
    <w:p w:rsidR="0003468C" w:rsidRPr="0003468C" w:rsidRDefault="0003468C"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b/>
          <w:bCs/>
          <w:color w:val="000000"/>
          <w:sz w:val="24"/>
          <w:szCs w:val="24"/>
        </w:rPr>
      </w:pPr>
      <w:r w:rsidRPr="0003468C">
        <w:rPr>
          <w:rFonts w:ascii="Palatino Linotype" w:eastAsia="Palatino Linotype" w:hAnsi="Palatino Linotype" w:cs="Palatino Linotype"/>
          <w:color w:val="000000"/>
          <w:sz w:val="24"/>
          <w:szCs w:val="24"/>
        </w:rPr>
        <w:t xml:space="preserve">El </w:t>
      </w:r>
      <w:r w:rsidRPr="0003468C">
        <w:rPr>
          <w:rFonts w:ascii="Palatino Linotype" w:eastAsia="Palatino Linotype" w:hAnsi="Palatino Linotype" w:cs="Palatino Linotype"/>
          <w:b/>
          <w:bCs/>
          <w:color w:val="000000"/>
          <w:sz w:val="24"/>
          <w:szCs w:val="24"/>
        </w:rPr>
        <w:t>cuatro de marzo de dos mil veintiséis,</w:t>
      </w:r>
      <w:r w:rsidRPr="0003468C">
        <w:rPr>
          <w:rFonts w:ascii="Palatino Linotype" w:eastAsia="Palatino Linotype" w:hAnsi="Palatino Linotype" w:cs="Palatino Linotype"/>
          <w:color w:val="000000"/>
          <w:sz w:val="24"/>
          <w:szCs w:val="24"/>
        </w:rPr>
        <w:t xml:space="preserve"> se amplió el término para resolver el recurso de revisión que nos ocupa.</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b/>
          <w:bCs/>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b/>
          <w:bCs/>
          <w:color w:val="000000"/>
          <w:sz w:val="24"/>
          <w:szCs w:val="24"/>
        </w:rPr>
      </w:pPr>
      <w:bookmarkStart w:id="5" w:name="_heading=h.ukcie8z2lykd" w:colFirst="0" w:colLast="0"/>
      <w:bookmarkEnd w:id="5"/>
      <w:r w:rsidRPr="0003468C">
        <w:rPr>
          <w:rFonts w:ascii="Palatino Linotype" w:eastAsia="Palatino Linotype" w:hAnsi="Palatino Linotype" w:cs="Palatino Linotype"/>
          <w:color w:val="000000"/>
          <w:sz w:val="24"/>
          <w:szCs w:val="24"/>
        </w:rPr>
        <w:t xml:space="preserve">Mediante acuerdo de </w:t>
      </w:r>
      <w:r w:rsidRPr="0003468C">
        <w:rPr>
          <w:rFonts w:ascii="Palatino Linotype" w:eastAsia="Palatino Linotype" w:hAnsi="Palatino Linotype" w:cs="Palatino Linotype"/>
          <w:b/>
          <w:bCs/>
          <w:color w:val="000000"/>
          <w:sz w:val="24"/>
          <w:szCs w:val="24"/>
        </w:rPr>
        <w:t xml:space="preserve">once de marzo de dos mil veintiséis, </w:t>
      </w:r>
      <w:r w:rsidRPr="0003468C">
        <w:rPr>
          <w:rFonts w:ascii="Palatino Linotype" w:eastAsia="Palatino Linotype" w:hAnsi="Palatino Linotype" w:cs="Palatino Linotype"/>
          <w:color w:val="000000"/>
          <w:sz w:val="24"/>
          <w:szCs w:val="24"/>
        </w:rPr>
        <w:t>se  decretó el cierre de instrucción, por lo que no habiendo más que hacer constar, y</w:t>
      </w:r>
      <w:r w:rsidR="0003468C">
        <w:rPr>
          <w:rFonts w:ascii="Palatino Linotype" w:eastAsia="Palatino Linotype" w:hAnsi="Palatino Linotype" w:cs="Palatino Linotype"/>
          <w:color w:val="000000"/>
          <w:sz w:val="24"/>
          <w:szCs w:val="24"/>
        </w:rPr>
        <w:t xml:space="preserve"> -----------------------------------------</w:t>
      </w:r>
    </w:p>
    <w:p w:rsidR="0003468C" w:rsidRDefault="0003468C" w:rsidP="0003468C">
      <w:pPr>
        <w:pStyle w:val="Prrafodelista"/>
        <w:rPr>
          <w:rFonts w:ascii="Palatino Linotype" w:eastAsia="Palatino Linotype" w:hAnsi="Palatino Linotype" w:cs="Palatino Linotype"/>
          <w:b/>
          <w:bCs/>
          <w:color w:val="000000"/>
        </w:rPr>
      </w:pPr>
    </w:p>
    <w:p w:rsidR="0003468C" w:rsidRPr="0003468C" w:rsidRDefault="0003468C"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b/>
          <w:bCs/>
          <w:color w:val="000000"/>
          <w:sz w:val="24"/>
          <w:szCs w:val="24"/>
        </w:rPr>
      </w:pPr>
    </w:p>
    <w:p w:rsidR="007C7BBE" w:rsidRPr="0003468C" w:rsidRDefault="009C0C68" w:rsidP="0003468C">
      <w:pPr>
        <w:pBdr>
          <w:top w:val="nil"/>
          <w:left w:val="nil"/>
          <w:bottom w:val="nil"/>
          <w:right w:val="nil"/>
          <w:between w:val="nil"/>
        </w:pBdr>
        <w:spacing w:after="0" w:line="360" w:lineRule="auto"/>
        <w:ind w:right="-425"/>
        <w:jc w:val="center"/>
        <w:rPr>
          <w:rFonts w:ascii="Palatino Linotype" w:eastAsia="Palatino Linotype" w:hAnsi="Palatino Linotype" w:cs="Palatino Linotype"/>
          <w:b/>
          <w:bCs/>
          <w:color w:val="000000"/>
          <w:sz w:val="24"/>
          <w:szCs w:val="24"/>
        </w:rPr>
      </w:pPr>
      <w:r w:rsidRPr="0003468C">
        <w:rPr>
          <w:rFonts w:ascii="Palatino Linotype" w:eastAsia="Palatino Linotype" w:hAnsi="Palatino Linotype" w:cs="Palatino Linotype"/>
          <w:b/>
          <w:bCs/>
          <w:color w:val="000000"/>
          <w:sz w:val="24"/>
          <w:szCs w:val="24"/>
        </w:rPr>
        <w:lastRenderedPageBreak/>
        <w:t>C</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O</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N</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S</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I</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D</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E</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R</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A</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N</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D</w:t>
      </w:r>
      <w:r w:rsid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t>O</w:t>
      </w:r>
      <w:r w:rsidR="0003468C">
        <w:rPr>
          <w:rFonts w:ascii="Palatino Linotype" w:eastAsia="Palatino Linotype" w:hAnsi="Palatino Linotype" w:cs="Palatino Linotype"/>
          <w:b/>
          <w:bCs/>
          <w:color w:val="000000"/>
          <w:sz w:val="24"/>
          <w:szCs w:val="24"/>
        </w:rPr>
        <w:t xml:space="preserve"> </w:t>
      </w:r>
    </w:p>
    <w:p w:rsidR="007C7BBE" w:rsidRPr="0003468C" w:rsidRDefault="007C7BBE" w:rsidP="0003468C">
      <w:pPr>
        <w:pBdr>
          <w:top w:val="nil"/>
          <w:left w:val="nil"/>
          <w:bottom w:val="nil"/>
          <w:right w:val="nil"/>
          <w:between w:val="nil"/>
        </w:pBdr>
        <w:spacing w:after="0" w:line="360" w:lineRule="auto"/>
        <w:ind w:right="-425"/>
        <w:jc w:val="center"/>
        <w:rPr>
          <w:rFonts w:ascii="Palatino Linotype" w:eastAsia="Palatino Linotype" w:hAnsi="Palatino Linotype" w:cs="Palatino Linotype"/>
          <w:b/>
          <w:bCs/>
          <w:color w:val="000000"/>
          <w:sz w:val="24"/>
          <w:szCs w:val="24"/>
        </w:rPr>
      </w:pPr>
    </w:p>
    <w:p w:rsidR="007C7BBE" w:rsidRPr="0003468C" w:rsidRDefault="009C0C68" w:rsidP="0003468C">
      <w:pPr>
        <w:pStyle w:val="Ttulo2"/>
        <w:spacing w:before="0" w:line="360" w:lineRule="auto"/>
        <w:ind w:right="-425"/>
        <w:rPr>
          <w:rFonts w:ascii="Palatino Linotype" w:eastAsia="Palatino Linotype" w:hAnsi="Palatino Linotype" w:cs="Palatino Linotype"/>
          <w:b/>
          <w:bCs/>
          <w:color w:val="000000"/>
          <w:sz w:val="24"/>
          <w:szCs w:val="24"/>
        </w:rPr>
      </w:pPr>
      <w:bookmarkStart w:id="6" w:name="_heading=h.e2s1b6snqbfv" w:colFirst="0" w:colLast="0"/>
      <w:bookmarkEnd w:id="6"/>
      <w:r w:rsidRPr="0003468C">
        <w:rPr>
          <w:rFonts w:ascii="Palatino Linotype" w:eastAsia="Palatino Linotype" w:hAnsi="Palatino Linotype" w:cs="Palatino Linotype"/>
          <w:b/>
          <w:bCs/>
          <w:color w:val="000000"/>
          <w:sz w:val="24"/>
          <w:szCs w:val="24"/>
        </w:rPr>
        <w:t>PRIMERO. De la competencia</w:t>
      </w: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pStyle w:val="Ttulo2"/>
        <w:spacing w:before="0" w:line="360" w:lineRule="auto"/>
        <w:ind w:right="-425"/>
        <w:rPr>
          <w:rFonts w:ascii="Palatino Linotype" w:eastAsia="Palatino Linotype" w:hAnsi="Palatino Linotype" w:cs="Palatino Linotype"/>
          <w:b/>
          <w:bCs/>
          <w:color w:val="000000"/>
          <w:sz w:val="24"/>
          <w:szCs w:val="24"/>
        </w:rPr>
      </w:pPr>
      <w:bookmarkStart w:id="7" w:name="_heading=h.5njjh9w1h65j" w:colFirst="0" w:colLast="0"/>
      <w:bookmarkEnd w:id="7"/>
      <w:r w:rsidRPr="0003468C">
        <w:rPr>
          <w:rFonts w:ascii="Palatino Linotype" w:eastAsia="Palatino Linotype" w:hAnsi="Palatino Linotype" w:cs="Palatino Linotype"/>
          <w:b/>
          <w:bCs/>
          <w:color w:val="000000"/>
          <w:sz w:val="24"/>
          <w:szCs w:val="24"/>
        </w:rPr>
        <w:t>SEGUNDO. De la oportunidad y procedencia.</w:t>
      </w: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El medio de impugnación fue presentado a través del </w:t>
      </w:r>
      <w:r w:rsidRPr="0003468C">
        <w:rPr>
          <w:rFonts w:ascii="Palatino Linotype" w:eastAsia="Palatino Linotype" w:hAnsi="Palatino Linotype" w:cs="Palatino Linotype"/>
          <w:b/>
          <w:bCs/>
          <w:color w:val="000000"/>
          <w:sz w:val="24"/>
          <w:szCs w:val="24"/>
        </w:rPr>
        <w:t>SAIMEX,</w:t>
      </w:r>
      <w:r w:rsidRPr="0003468C">
        <w:rPr>
          <w:rFonts w:ascii="Palatino Linotype" w:eastAsia="Palatino Linotype" w:hAnsi="Palatino Linotype" w:cs="Palatino Linotype"/>
          <w:color w:val="000000"/>
          <w:sz w:val="24"/>
          <w:szCs w:val="24"/>
        </w:rPr>
        <w:t xml:space="preserve"> en el formato previamente aprobado para tal efecto y dentro del plazo legal de quince días hábiles otorgados; para el caso en particular es de señalar que el </w:t>
      </w:r>
      <w:r w:rsidRPr="0003468C">
        <w:rPr>
          <w:rFonts w:ascii="Palatino Linotype" w:eastAsia="Palatino Linotype" w:hAnsi="Palatino Linotype" w:cs="Palatino Linotype"/>
          <w:b/>
          <w:bCs/>
          <w:color w:val="000000"/>
          <w:sz w:val="24"/>
          <w:szCs w:val="24"/>
        </w:rPr>
        <w:t>SUJETO OBLIGADO</w:t>
      </w:r>
      <w:r w:rsidRPr="0003468C">
        <w:rPr>
          <w:rFonts w:ascii="Palatino Linotype" w:eastAsia="Palatino Linotype" w:hAnsi="Palatino Linotype" w:cs="Palatino Linotype"/>
          <w:color w:val="000000"/>
          <w:sz w:val="24"/>
          <w:szCs w:val="24"/>
        </w:rPr>
        <w:t xml:space="preserve"> dio respuesta el </w:t>
      </w:r>
      <w:r w:rsidRPr="0003468C">
        <w:rPr>
          <w:rFonts w:ascii="Palatino Linotype" w:eastAsia="Palatino Linotype" w:hAnsi="Palatino Linotype" w:cs="Palatino Linotype"/>
          <w:b/>
          <w:bCs/>
          <w:color w:val="000000"/>
          <w:sz w:val="24"/>
          <w:szCs w:val="24"/>
        </w:rPr>
        <w:t>dos de julio de dos mil veinticinco</w:t>
      </w:r>
      <w:r w:rsidRPr="0003468C">
        <w:rPr>
          <w:rFonts w:ascii="Palatino Linotype" w:eastAsia="Palatino Linotype" w:hAnsi="Palatino Linotype" w:cs="Palatino Linotype"/>
          <w:color w:val="000000"/>
          <w:sz w:val="24"/>
          <w:szCs w:val="24"/>
        </w:rPr>
        <w:t>, de tal forma que el plazo para interponer el recurso de revisión transcurrió del</w:t>
      </w:r>
      <w:r w:rsidRPr="0003468C">
        <w:rPr>
          <w:rFonts w:ascii="Palatino Linotype" w:eastAsia="Palatino Linotype" w:hAnsi="Palatino Linotype" w:cs="Palatino Linotype"/>
          <w:b/>
          <w:bCs/>
          <w:color w:val="000000"/>
          <w:sz w:val="24"/>
          <w:szCs w:val="24"/>
        </w:rPr>
        <w:t xml:space="preserve"> tres de julio al seis de agosto de dos mil veinticinco</w:t>
      </w:r>
      <w:r w:rsidRPr="0003468C">
        <w:rPr>
          <w:rFonts w:ascii="Palatino Linotype" w:eastAsia="Palatino Linotype" w:hAnsi="Palatino Linotype" w:cs="Palatino Linotype"/>
          <w:color w:val="000000"/>
          <w:sz w:val="24"/>
          <w:szCs w:val="24"/>
        </w:rPr>
        <w:t xml:space="preserve">; en consecuencia, el ahora </w:t>
      </w:r>
      <w:r w:rsidRPr="0003468C">
        <w:rPr>
          <w:rFonts w:ascii="Palatino Linotype" w:eastAsia="Palatino Linotype" w:hAnsi="Palatino Linotype" w:cs="Palatino Linotype"/>
          <w:b/>
          <w:bCs/>
          <w:color w:val="000000"/>
          <w:sz w:val="24"/>
          <w:szCs w:val="24"/>
        </w:rPr>
        <w:t>RECURRENTE</w:t>
      </w:r>
      <w:r w:rsidRPr="0003468C">
        <w:rPr>
          <w:rFonts w:ascii="Palatino Linotype" w:eastAsia="Palatino Linotype" w:hAnsi="Palatino Linotype" w:cs="Palatino Linotype"/>
          <w:color w:val="000000"/>
          <w:sz w:val="24"/>
          <w:szCs w:val="24"/>
        </w:rPr>
        <w:t xml:space="preserve"> presentó su inconformidad el </w:t>
      </w:r>
      <w:r w:rsidRPr="0003468C">
        <w:rPr>
          <w:rFonts w:ascii="Palatino Linotype" w:eastAsia="Palatino Linotype" w:hAnsi="Palatino Linotype" w:cs="Palatino Linotype"/>
          <w:b/>
          <w:bCs/>
          <w:color w:val="000000"/>
          <w:sz w:val="24"/>
          <w:szCs w:val="24"/>
        </w:rPr>
        <w:t>dos de julio de dos mil veinticinco</w:t>
      </w:r>
      <w:r w:rsidRPr="0003468C">
        <w:rPr>
          <w:rFonts w:ascii="Palatino Linotype" w:eastAsia="Palatino Linotype" w:hAnsi="Palatino Linotype" w:cs="Palatino Linotype"/>
          <w:color w:val="000000"/>
          <w:sz w:val="24"/>
          <w:szCs w:val="24"/>
        </w:rPr>
        <w:t>; por lo que se estima que la inconformidad se presentó dentro del lapso legalmente establecido para tal efecto.</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C7BBE" w:rsidRPr="0003468C" w:rsidRDefault="007C7BBE" w:rsidP="0003468C">
      <w:pPr>
        <w:spacing w:line="360" w:lineRule="auto"/>
        <w:ind w:right="-425"/>
        <w:jc w:val="both"/>
        <w:rPr>
          <w:rFonts w:ascii="Palatino Linotype" w:eastAsia="Palatino Linotype" w:hAnsi="Palatino Linotype" w:cs="Palatino Linotype"/>
          <w:sz w:val="24"/>
          <w:szCs w:val="24"/>
        </w:rPr>
      </w:pPr>
    </w:p>
    <w:p w:rsidR="007C7BBE" w:rsidRPr="0003468C" w:rsidRDefault="009C0C68" w:rsidP="0003468C">
      <w:pPr>
        <w:pStyle w:val="Ttulo2"/>
        <w:spacing w:before="0" w:line="360" w:lineRule="auto"/>
        <w:ind w:right="-425"/>
        <w:rPr>
          <w:color w:val="000000"/>
          <w:sz w:val="24"/>
          <w:szCs w:val="24"/>
        </w:rPr>
      </w:pPr>
      <w:r w:rsidRPr="0003468C">
        <w:rPr>
          <w:rFonts w:ascii="Palatino Linotype" w:eastAsia="Palatino Linotype" w:hAnsi="Palatino Linotype" w:cs="Palatino Linotype"/>
          <w:b/>
          <w:bCs/>
          <w:color w:val="000000"/>
          <w:sz w:val="24"/>
          <w:szCs w:val="24"/>
        </w:rPr>
        <w:t>TERCERO. Del planteamiento de la Litis.</w:t>
      </w: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b/>
          <w:bCs/>
          <w:color w:val="000000"/>
          <w:sz w:val="24"/>
          <w:szCs w:val="24"/>
        </w:rPr>
      </w:pPr>
      <w:r w:rsidRPr="0003468C">
        <w:rPr>
          <w:rFonts w:ascii="Palatino Linotype" w:eastAsia="Palatino Linotype" w:hAnsi="Palatino Linotype" w:cs="Palatino Linotype"/>
          <w:color w:val="000000"/>
          <w:sz w:val="24"/>
          <w:szCs w:val="24"/>
        </w:rPr>
        <w:t>De las constancias en el expediente al rubro indicado, se desprende que el particular solicitó la información que a continuación se desagrega:</w:t>
      </w:r>
    </w:p>
    <w:p w:rsidR="007C7BBE" w:rsidRPr="0003468C" w:rsidRDefault="007878D0" w:rsidP="0003468C">
      <w:pPr>
        <w:numPr>
          <w:ilvl w:val="0"/>
          <w:numId w:val="3"/>
        </w:numPr>
        <w:pBdr>
          <w:top w:val="nil"/>
          <w:left w:val="nil"/>
          <w:bottom w:val="nil"/>
          <w:right w:val="nil"/>
          <w:between w:val="nil"/>
        </w:pBdr>
        <w:spacing w:after="0" w:line="276" w:lineRule="auto"/>
        <w:ind w:right="-42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B</w:t>
      </w:r>
      <w:r w:rsidR="009C0C68" w:rsidRPr="0003468C">
        <w:rPr>
          <w:rFonts w:ascii="Palatino Linotype" w:eastAsia="Palatino Linotype" w:hAnsi="Palatino Linotype" w:cs="Palatino Linotype"/>
          <w:color w:val="000000"/>
          <w:sz w:val="24"/>
          <w:szCs w:val="24"/>
        </w:rPr>
        <w:t>itácoras de Reparación o Mantenimiento de Bienes Muebles (Vehículos) y anexos que respalden dichas reparaciones y/o mantenimientos de los años fiscales 2023 y 2024 del vehículo Marca Nissan, Tipo URVAN 15 PASAJEROS, con número de serie JN1BE6DS3L9038673 y número económico AD-311 propiedad del Municipio de Atizapán de Zaragoza.</w:t>
      </w:r>
    </w:p>
    <w:p w:rsidR="007C7BBE" w:rsidRPr="0003468C" w:rsidRDefault="009C0C68" w:rsidP="0003468C">
      <w:pPr>
        <w:numPr>
          <w:ilvl w:val="0"/>
          <w:numId w:val="3"/>
        </w:numPr>
        <w:pBdr>
          <w:top w:val="nil"/>
          <w:left w:val="nil"/>
          <w:bottom w:val="nil"/>
          <w:right w:val="nil"/>
          <w:between w:val="nil"/>
        </w:pBdr>
        <w:spacing w:after="0" w:line="276" w:lineRule="auto"/>
        <w:ind w:right="-425"/>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"Bitácoras de consumo de Gasolina/Diesel” de los años fiscales 2023 y 2024, del vehículo Marca Nissan, Tipo URVAN 15 PASAJEROS, con número de serie JN1BE6DS3L9038673 y número económico AD-311 propiedad del Municipio de Atizapán de Zaragoza.</w:t>
      </w:r>
    </w:p>
    <w:p w:rsidR="007C7BBE" w:rsidRPr="0003468C" w:rsidRDefault="007C7BBE" w:rsidP="0003468C">
      <w:pPr>
        <w:pBdr>
          <w:top w:val="nil"/>
          <w:left w:val="nil"/>
          <w:bottom w:val="nil"/>
          <w:right w:val="nil"/>
          <w:between w:val="nil"/>
        </w:pBdr>
        <w:spacing w:after="0" w:line="276" w:lineRule="auto"/>
        <w:ind w:left="720"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color w:val="000000"/>
          <w:sz w:val="24"/>
          <w:szCs w:val="24"/>
        </w:rPr>
        <w:t xml:space="preserve">En respuesta, el </w:t>
      </w:r>
      <w:r w:rsidRPr="0003468C">
        <w:rPr>
          <w:rFonts w:ascii="Palatino Linotype" w:eastAsia="Palatino Linotype" w:hAnsi="Palatino Linotype" w:cs="Palatino Linotype"/>
          <w:b/>
          <w:bCs/>
          <w:color w:val="000000"/>
          <w:sz w:val="24"/>
          <w:szCs w:val="24"/>
        </w:rPr>
        <w:t xml:space="preserve">SUJETO OBLIGADO, </w:t>
      </w:r>
      <w:r w:rsidRPr="0003468C">
        <w:rPr>
          <w:rFonts w:ascii="Palatino Linotype" w:eastAsia="Palatino Linotype" w:hAnsi="Palatino Linotype" w:cs="Palatino Linotype"/>
          <w:color w:val="000000"/>
          <w:sz w:val="24"/>
          <w:szCs w:val="24"/>
        </w:rPr>
        <w:t xml:space="preserve">se pronunció como quedó referido en el numeral 2. </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b/>
          <w:bCs/>
          <w:i/>
          <w:iCs/>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Inconforme con la respuesta proporcionada por el </w:t>
      </w:r>
      <w:r w:rsidRPr="0003468C">
        <w:rPr>
          <w:rFonts w:ascii="Palatino Linotype" w:eastAsia="Palatino Linotype" w:hAnsi="Palatino Linotype" w:cs="Palatino Linotype"/>
          <w:b/>
          <w:bCs/>
          <w:color w:val="000000"/>
          <w:sz w:val="24"/>
          <w:szCs w:val="24"/>
        </w:rPr>
        <w:t xml:space="preserve">SUJETO OBLIGADO, </w:t>
      </w:r>
      <w:r w:rsidRPr="0003468C">
        <w:rPr>
          <w:rFonts w:ascii="Palatino Linotype" w:eastAsia="Palatino Linotype" w:hAnsi="Palatino Linotype" w:cs="Palatino Linotype"/>
          <w:color w:val="000000"/>
          <w:sz w:val="24"/>
          <w:szCs w:val="24"/>
        </w:rPr>
        <w:t>éste interpuso recurso de revisión arguyendo la negativa de la información solicitada.</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En dichas condiciones, la </w:t>
      </w:r>
      <w:r w:rsidRPr="0003468C">
        <w:rPr>
          <w:rFonts w:ascii="Palatino Linotype" w:eastAsia="Palatino Linotype" w:hAnsi="Palatino Linotype" w:cs="Palatino Linotype"/>
          <w:i/>
          <w:iCs/>
          <w:color w:val="000000"/>
          <w:sz w:val="24"/>
          <w:szCs w:val="24"/>
        </w:rPr>
        <w:t>Litis</w:t>
      </w:r>
      <w:r w:rsidRPr="0003468C">
        <w:rPr>
          <w:rFonts w:ascii="Palatino Linotype" w:eastAsia="Palatino Linotype" w:hAnsi="Palatino Linotype" w:cs="Palatino Linotype"/>
          <w:color w:val="000000"/>
          <w:sz w:val="24"/>
          <w:szCs w:val="24"/>
        </w:rPr>
        <w:t xml:space="preserve"> a resolver en este recurso se circunscribe a determinar si se actualizan las causales de procedencia previstas en el artículo 179, </w:t>
      </w:r>
      <w:r w:rsidRPr="0003468C">
        <w:rPr>
          <w:rFonts w:ascii="Palatino Linotype" w:eastAsia="Palatino Linotype" w:hAnsi="Palatino Linotype" w:cs="Palatino Linotype"/>
          <w:b/>
          <w:bCs/>
          <w:color w:val="000000"/>
          <w:sz w:val="24"/>
          <w:szCs w:val="24"/>
        </w:rPr>
        <w:t xml:space="preserve">fracción V </w:t>
      </w:r>
      <w:r w:rsidRPr="0003468C">
        <w:rPr>
          <w:rFonts w:ascii="Palatino Linotype" w:eastAsia="Palatino Linotype" w:hAnsi="Palatino Linotype" w:cs="Palatino Linotype"/>
          <w:color w:val="000000"/>
          <w:sz w:val="24"/>
          <w:szCs w:val="24"/>
        </w:rPr>
        <w:t>de la Ley</w:t>
      </w:r>
      <w:r w:rsidRP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b/>
          <w:bCs/>
          <w:color w:val="000000"/>
          <w:sz w:val="24"/>
          <w:szCs w:val="24"/>
        </w:rPr>
        <w:lastRenderedPageBreak/>
        <w:t xml:space="preserve">de Transparencia y Acceso a la Información Pública del Estado de </w:t>
      </w:r>
      <w:r w:rsidRPr="0003468C">
        <w:rPr>
          <w:rFonts w:ascii="Palatino Linotype" w:eastAsia="Palatino Linotype" w:hAnsi="Palatino Linotype" w:cs="Palatino Linotype"/>
          <w:color w:val="000000"/>
          <w:sz w:val="24"/>
          <w:szCs w:val="24"/>
        </w:rPr>
        <w:t>México</w:t>
      </w:r>
      <w:r w:rsidRPr="0003468C">
        <w:rPr>
          <w:rFonts w:ascii="Palatino Linotype" w:eastAsia="Palatino Linotype" w:hAnsi="Palatino Linotype" w:cs="Palatino Linotype"/>
          <w:b/>
          <w:bCs/>
          <w:color w:val="000000"/>
          <w:sz w:val="24"/>
          <w:szCs w:val="24"/>
        </w:rPr>
        <w:t xml:space="preserve"> y Municipios</w:t>
      </w:r>
      <w:r w:rsidRPr="0003468C">
        <w:rPr>
          <w:rFonts w:ascii="Palatino Linotype" w:eastAsia="Palatino Linotype" w:hAnsi="Palatino Linotype" w:cs="Palatino Linotype"/>
          <w:color w:val="000000"/>
          <w:sz w:val="24"/>
          <w:szCs w:val="24"/>
        </w:rPr>
        <w:t xml:space="preserve">; fracción que determina la hipótesis jurídica relativa a la entrega de información incompleta;; contexto del cual se dolió </w:t>
      </w:r>
      <w:r w:rsidRPr="0003468C">
        <w:rPr>
          <w:rFonts w:ascii="Palatino Linotype" w:eastAsia="Palatino Linotype" w:hAnsi="Palatino Linotype" w:cs="Palatino Linotype"/>
          <w:b/>
          <w:bCs/>
          <w:color w:val="000000"/>
          <w:sz w:val="24"/>
          <w:szCs w:val="24"/>
        </w:rPr>
        <w:t xml:space="preserve">EL RECURRENTE </w:t>
      </w:r>
      <w:r w:rsidRPr="0003468C">
        <w:rPr>
          <w:rFonts w:ascii="Palatino Linotype" w:eastAsia="Palatino Linotype" w:hAnsi="Palatino Linotype" w:cs="Palatino Linotype"/>
          <w:color w:val="000000"/>
          <w:sz w:val="24"/>
          <w:szCs w:val="24"/>
        </w:rPr>
        <w:t>al momento de interponer su inconformidad.</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De modo tal que el presente recurso de revisión se abocara en determinar si el </w:t>
      </w:r>
      <w:r w:rsidRPr="0003468C">
        <w:rPr>
          <w:rFonts w:ascii="Palatino Linotype" w:eastAsia="Palatino Linotype" w:hAnsi="Palatino Linotype" w:cs="Palatino Linotype"/>
          <w:b/>
          <w:bCs/>
          <w:color w:val="000000"/>
          <w:sz w:val="24"/>
          <w:szCs w:val="24"/>
        </w:rPr>
        <w:t>SUJETO OBLIGADO</w:t>
      </w:r>
      <w:r w:rsidRPr="0003468C">
        <w:rPr>
          <w:rFonts w:ascii="Palatino Linotype" w:eastAsia="Palatino Linotype" w:hAnsi="Palatino Linotype" w:cs="Palatino Linotype"/>
          <w:color w:val="000000"/>
          <w:sz w:val="24"/>
          <w:szCs w:val="24"/>
        </w:rPr>
        <w:t xml:space="preserve"> con su respuesta ciertamente actualizan las causales de procedencia</w:t>
      </w:r>
      <w:r w:rsidRP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color w:val="000000"/>
          <w:sz w:val="24"/>
          <w:szCs w:val="24"/>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7C7BBE" w:rsidRPr="0003468C" w:rsidRDefault="007C7BBE" w:rsidP="0003468C">
      <w:pPr>
        <w:pBdr>
          <w:top w:val="nil"/>
          <w:left w:val="nil"/>
          <w:bottom w:val="nil"/>
          <w:right w:val="nil"/>
          <w:between w:val="nil"/>
        </w:pBdr>
        <w:tabs>
          <w:tab w:val="left" w:pos="426"/>
          <w:tab w:val="left" w:pos="567"/>
        </w:tabs>
        <w:spacing w:line="360" w:lineRule="auto"/>
        <w:ind w:right="-425"/>
        <w:jc w:val="both"/>
        <w:rPr>
          <w:rFonts w:ascii="Palatino Linotype" w:eastAsia="Palatino Linotype" w:hAnsi="Palatino Linotype" w:cs="Palatino Linotype"/>
          <w:b/>
          <w:bCs/>
          <w:color w:val="000000"/>
          <w:sz w:val="24"/>
          <w:szCs w:val="24"/>
        </w:rPr>
      </w:pPr>
    </w:p>
    <w:p w:rsidR="007C7BBE" w:rsidRPr="0003468C" w:rsidRDefault="009C0C68" w:rsidP="0003468C">
      <w:pPr>
        <w:pStyle w:val="Ttulo2"/>
        <w:spacing w:before="0" w:line="360" w:lineRule="auto"/>
        <w:ind w:right="-425"/>
        <w:rPr>
          <w:rFonts w:ascii="Palatino Linotype" w:eastAsia="Palatino Linotype" w:hAnsi="Palatino Linotype" w:cs="Palatino Linotype"/>
          <w:b/>
          <w:bCs/>
          <w:color w:val="000000"/>
          <w:sz w:val="24"/>
          <w:szCs w:val="24"/>
        </w:rPr>
      </w:pPr>
      <w:r w:rsidRPr="0003468C">
        <w:rPr>
          <w:rFonts w:ascii="Palatino Linotype" w:eastAsia="Palatino Linotype" w:hAnsi="Palatino Linotype" w:cs="Palatino Linotype"/>
          <w:b/>
          <w:bCs/>
          <w:color w:val="000000"/>
          <w:sz w:val="24"/>
          <w:szCs w:val="24"/>
        </w:rPr>
        <w:t>CUARTO. Del estudio y resolución del asunto.</w:t>
      </w: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Acotada la </w:t>
      </w:r>
      <w:r w:rsidRPr="0003468C">
        <w:rPr>
          <w:rFonts w:ascii="Palatino Linotype" w:eastAsia="Palatino Linotype" w:hAnsi="Palatino Linotype" w:cs="Palatino Linotype"/>
          <w:i/>
          <w:iCs/>
          <w:color w:val="000000"/>
          <w:sz w:val="24"/>
          <w:szCs w:val="24"/>
        </w:rPr>
        <w:t>Litis</w:t>
      </w:r>
      <w:r w:rsidRPr="0003468C">
        <w:rPr>
          <w:rFonts w:ascii="Palatino Linotype" w:eastAsia="Palatino Linotype" w:hAnsi="Palatino Linotype" w:cs="Palatino Linotype"/>
          <w:color w:val="000000"/>
          <w:sz w:val="24"/>
          <w:szCs w:val="24"/>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7C7BBE" w:rsidRPr="0003468C" w:rsidRDefault="007C7BBE" w:rsidP="0003468C">
      <w:pPr>
        <w:pBdr>
          <w:top w:val="nil"/>
          <w:left w:val="nil"/>
          <w:bottom w:val="nil"/>
          <w:right w:val="nil"/>
          <w:between w:val="nil"/>
        </w:pBdr>
        <w:tabs>
          <w:tab w:val="left" w:pos="426"/>
          <w:tab w:val="left" w:pos="567"/>
        </w:tabs>
        <w:spacing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Por su parte, la Ley General de Transparencia y Acceso a la Información Pública, dispone en su artículo 70 que la información que corresponde a las Obligaciones de Transparencia debe estar disponible para cualquier persona de manera permanente y </w:t>
      </w:r>
      <w:r w:rsidRPr="0003468C">
        <w:rPr>
          <w:rFonts w:ascii="Palatino Linotype" w:eastAsia="Palatino Linotype" w:hAnsi="Palatino Linotype" w:cs="Palatino Linotype"/>
          <w:color w:val="000000"/>
          <w:sz w:val="24"/>
          <w:szCs w:val="24"/>
        </w:rPr>
        <w:lastRenderedPageBreak/>
        <w:t>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7C7BBE" w:rsidRPr="0003468C" w:rsidRDefault="007C7BBE" w:rsidP="0003468C">
      <w:pPr>
        <w:spacing w:line="360" w:lineRule="auto"/>
        <w:ind w:right="-425"/>
        <w:jc w:val="both"/>
        <w:rPr>
          <w:rFonts w:ascii="Palatino Linotype" w:eastAsia="Palatino Linotype" w:hAnsi="Palatino Linotype" w:cs="Palatino Linotype"/>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7C7BBE" w:rsidRPr="0003468C" w:rsidRDefault="007C7BBE" w:rsidP="0003468C">
      <w:pPr>
        <w:pBdr>
          <w:top w:val="nil"/>
          <w:left w:val="nil"/>
          <w:bottom w:val="nil"/>
          <w:right w:val="nil"/>
          <w:between w:val="nil"/>
        </w:pBdr>
        <w:spacing w:line="360" w:lineRule="auto"/>
        <w:ind w:left="708" w:right="-425"/>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C7BBE" w:rsidRPr="0003468C" w:rsidRDefault="007C7BBE" w:rsidP="0003468C">
      <w:pPr>
        <w:spacing w:line="360" w:lineRule="auto"/>
        <w:ind w:right="-425"/>
        <w:rPr>
          <w:rFonts w:ascii="Palatino Linotype" w:eastAsia="Palatino Linotype" w:hAnsi="Palatino Linotype" w:cs="Palatino Linotype"/>
          <w:sz w:val="24"/>
          <w:szCs w:val="24"/>
        </w:rPr>
      </w:pPr>
    </w:p>
    <w:p w:rsidR="007C7BBE" w:rsidRPr="0003468C" w:rsidRDefault="009C0C68" w:rsidP="0003468C">
      <w:pPr>
        <w:numPr>
          <w:ilvl w:val="0"/>
          <w:numId w:val="10"/>
        </w:numPr>
        <w:pBdr>
          <w:top w:val="nil"/>
          <w:left w:val="nil"/>
          <w:bottom w:val="nil"/>
          <w:right w:val="nil"/>
          <w:between w:val="nil"/>
        </w:pBdr>
        <w:spacing w:after="0" w:line="360" w:lineRule="auto"/>
        <w:ind w:right="-425"/>
        <w:jc w:val="both"/>
        <w:rPr>
          <w:rFonts w:ascii="Palatino Linotype" w:eastAsia="Palatino Linotype" w:hAnsi="Palatino Linotype" w:cs="Palatino Linotype"/>
          <w:b/>
          <w:bCs/>
          <w:color w:val="000000"/>
          <w:sz w:val="24"/>
          <w:szCs w:val="24"/>
        </w:rPr>
      </w:pPr>
      <w:r w:rsidRPr="0003468C">
        <w:rPr>
          <w:rFonts w:ascii="Palatino Linotype" w:eastAsia="Palatino Linotype" w:hAnsi="Palatino Linotype" w:cs="Palatino Linotype"/>
          <w:b/>
          <w:bCs/>
          <w:color w:val="000000"/>
          <w:sz w:val="24"/>
          <w:szCs w:val="24"/>
        </w:rPr>
        <w:t>Estudio de fondo</w:t>
      </w: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Acotada la </w:t>
      </w:r>
      <w:r w:rsidRPr="0003468C">
        <w:rPr>
          <w:rFonts w:ascii="Palatino Linotype" w:eastAsia="Palatino Linotype" w:hAnsi="Palatino Linotype" w:cs="Palatino Linotype"/>
          <w:i/>
          <w:iCs/>
          <w:color w:val="000000"/>
          <w:sz w:val="24"/>
          <w:szCs w:val="24"/>
        </w:rPr>
        <w:t>Litis</w:t>
      </w:r>
      <w:r w:rsidRPr="0003468C">
        <w:rPr>
          <w:rFonts w:ascii="Palatino Linotype" w:eastAsia="Palatino Linotype" w:hAnsi="Palatino Linotype" w:cs="Palatino Linotype"/>
          <w:color w:val="000000"/>
          <w:sz w:val="24"/>
          <w:szCs w:val="24"/>
        </w:rPr>
        <w:t xml:space="preserve"> del presente asunto, primeramente, respecto los motivos de inconformidad, se observa que el ahora </w:t>
      </w:r>
      <w:r w:rsidRPr="0003468C">
        <w:rPr>
          <w:rFonts w:ascii="Palatino Linotype" w:eastAsia="Palatino Linotype" w:hAnsi="Palatino Linotype" w:cs="Palatino Linotype"/>
          <w:b/>
          <w:bCs/>
          <w:color w:val="000000"/>
          <w:sz w:val="24"/>
          <w:szCs w:val="24"/>
        </w:rPr>
        <w:t xml:space="preserve">RECURRENTE, </w:t>
      </w:r>
      <w:r w:rsidRPr="0003468C">
        <w:rPr>
          <w:rFonts w:ascii="Palatino Linotype" w:eastAsia="Palatino Linotype" w:hAnsi="Palatino Linotype" w:cs="Palatino Linotype"/>
          <w:color w:val="000000"/>
          <w:sz w:val="24"/>
          <w:szCs w:val="24"/>
        </w:rPr>
        <w:t xml:space="preserve">de dolió derivado de que no se hizo </w:t>
      </w:r>
      <w:r w:rsidRPr="0003468C">
        <w:rPr>
          <w:rFonts w:ascii="Palatino Linotype" w:eastAsia="Palatino Linotype" w:hAnsi="Palatino Linotype" w:cs="Palatino Linotype"/>
          <w:color w:val="000000"/>
          <w:sz w:val="24"/>
          <w:szCs w:val="24"/>
        </w:rPr>
        <w:lastRenderedPageBreak/>
        <w:t xml:space="preserve">entrega de los anexos que respalden las reparaciones y/o mantenimientos de la bitácoras remitidas en respuesta y de que no se remitieron las Bitácoras de consumo de Gasolina/Diesel” de los años fiscales 2023 y 2024, por lo que se considera que, respecto a la información de la cual se hizo entrega (bitácoras de reparación/mantenimiento) </w:t>
      </w:r>
      <w:r w:rsidRPr="0003468C">
        <w:rPr>
          <w:rFonts w:ascii="Palatino Linotype" w:eastAsia="Palatino Linotype" w:hAnsi="Palatino Linotype" w:cs="Palatino Linotype"/>
          <w:sz w:val="24"/>
          <w:szCs w:val="24"/>
        </w:rPr>
        <w:t xml:space="preserve">se tiene como actos consentidos, 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rsidR="007C7BBE" w:rsidRPr="0003468C" w:rsidRDefault="007C7BBE" w:rsidP="0003468C">
      <w:pPr>
        <w:spacing w:after="0" w:line="360" w:lineRule="auto"/>
        <w:ind w:right="-425"/>
        <w:jc w:val="both"/>
        <w:rPr>
          <w:rFonts w:ascii="Palatino Linotype" w:eastAsia="Palatino Linotype" w:hAnsi="Palatino Linotype" w:cs="Palatino Linotype"/>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sz w:val="24"/>
          <w:szCs w:val="24"/>
        </w:rPr>
      </w:pPr>
      <w:r w:rsidRPr="0003468C">
        <w:rPr>
          <w:rFonts w:ascii="Palatino Linotype" w:eastAsia="Palatino Linotype" w:hAnsi="Palatino Linotype" w:cs="Palatino Linotype"/>
          <w:sz w:val="24"/>
          <w:szCs w:val="24"/>
        </w:rPr>
        <w:t>Sirve de sustento, la tesis jurisprudencial número VI.3o.C. J/60, publicada en el Semanario Judicial de la Federación y su Gaceta bajo el número de registro 176,608 que a la letra dice:</w:t>
      </w:r>
    </w:p>
    <w:p w:rsidR="007C7BBE" w:rsidRPr="0003468C" w:rsidRDefault="009C0C68" w:rsidP="0003468C">
      <w:pPr>
        <w:tabs>
          <w:tab w:val="left" w:pos="851"/>
        </w:tabs>
        <w:spacing w:after="0" w:line="360" w:lineRule="auto"/>
        <w:ind w:left="502" w:right="-425"/>
        <w:jc w:val="both"/>
        <w:rPr>
          <w:rFonts w:ascii="Palatino Linotype" w:eastAsia="Palatino Linotype" w:hAnsi="Palatino Linotype" w:cs="Palatino Linotype"/>
          <w:i/>
          <w:iCs/>
          <w:sz w:val="24"/>
          <w:szCs w:val="24"/>
        </w:rPr>
      </w:pPr>
      <w:r w:rsidRPr="0003468C">
        <w:rPr>
          <w:rFonts w:ascii="Palatino Linotype" w:eastAsia="Palatino Linotype" w:hAnsi="Palatino Linotype" w:cs="Palatino Linotype"/>
          <w:b/>
          <w:bCs/>
          <w:i/>
          <w:iCs/>
          <w:sz w:val="24"/>
          <w:szCs w:val="24"/>
        </w:rPr>
        <w:t xml:space="preserve">“ACTOS CONSENTIDOS. SON LOS QUE NO SE IMPUGNAN MEDIANTE EL RECURSO IDÓNEO. </w:t>
      </w:r>
      <w:r w:rsidRPr="0003468C">
        <w:rPr>
          <w:rFonts w:ascii="Palatino Linotype" w:eastAsia="Palatino Linotype" w:hAnsi="Palatino Linotype" w:cs="Palatino Linotype"/>
          <w:i/>
          <w:iCs/>
          <w:sz w:val="24"/>
          <w:szCs w:val="24"/>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C7BBE" w:rsidRPr="0003468C" w:rsidRDefault="007C7BBE" w:rsidP="0003468C">
      <w:pPr>
        <w:spacing w:after="0" w:line="360" w:lineRule="auto"/>
        <w:ind w:left="502" w:right="-425"/>
        <w:jc w:val="both"/>
        <w:rPr>
          <w:rFonts w:ascii="Palatino Linotype" w:eastAsia="Palatino Linotype" w:hAnsi="Palatino Linotype" w:cs="Palatino Linotype"/>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sz w:val="24"/>
          <w:szCs w:val="24"/>
        </w:rPr>
      </w:pPr>
      <w:r w:rsidRPr="0003468C">
        <w:rPr>
          <w:rFonts w:ascii="Palatino Linotype" w:eastAsia="Palatino Linotype" w:hAnsi="Palatino Linotype" w:cs="Palatino Linotype"/>
          <w:sz w:val="24"/>
          <w:szCs w:val="24"/>
        </w:rPr>
        <w:t xml:space="preserve">De la interpretación del criterio antes citado, se advierte que cuando el particular impugnó la respuesta del </w:t>
      </w:r>
      <w:r w:rsidRPr="0003468C">
        <w:rPr>
          <w:rFonts w:ascii="Palatino Linotype" w:eastAsia="Palatino Linotype" w:hAnsi="Palatino Linotype" w:cs="Palatino Linotype"/>
          <w:b/>
          <w:bCs/>
          <w:sz w:val="24"/>
          <w:szCs w:val="24"/>
        </w:rPr>
        <w:t>SUJETO OBLIGADO</w:t>
      </w:r>
      <w:r w:rsidRPr="0003468C">
        <w:rPr>
          <w:rFonts w:ascii="Palatino Linotype" w:eastAsia="Palatino Linotype" w:hAnsi="Palatino Linotype" w:cs="Palatino Linotype"/>
          <w:sz w:val="24"/>
          <w:szCs w:val="24"/>
        </w:rPr>
        <w:t xml:space="preserve">, no expresó razón o motivo de inconformidad en contra de todos los rubros solicitados, por tanto estos deben declararse atendidos, pues se entiende que </w:t>
      </w:r>
      <w:r w:rsidRPr="0003468C">
        <w:rPr>
          <w:rFonts w:ascii="Palatino Linotype" w:eastAsia="Palatino Linotype" w:hAnsi="Palatino Linotype" w:cs="Palatino Linotype"/>
          <w:b/>
          <w:bCs/>
          <w:sz w:val="24"/>
          <w:szCs w:val="24"/>
        </w:rPr>
        <w:t>EL RECURRENTE</w:t>
      </w:r>
      <w:r w:rsidRPr="0003468C">
        <w:rPr>
          <w:rFonts w:ascii="Palatino Linotype" w:eastAsia="Palatino Linotype" w:hAnsi="Palatino Linotype" w:cs="Palatino Linotype"/>
          <w:sz w:val="24"/>
          <w:szCs w:val="24"/>
        </w:rPr>
        <w:t xml:space="preserve"> está conforme con la respuesta proporcionada por </w:t>
      </w:r>
      <w:r w:rsidRPr="0003468C">
        <w:rPr>
          <w:rFonts w:ascii="Palatino Linotype" w:eastAsia="Palatino Linotype" w:hAnsi="Palatino Linotype" w:cs="Palatino Linotype"/>
          <w:b/>
          <w:bCs/>
          <w:sz w:val="24"/>
          <w:szCs w:val="24"/>
        </w:rPr>
        <w:t>EL SUJETO OBLIGADO,</w:t>
      </w:r>
      <w:r w:rsidRPr="0003468C">
        <w:rPr>
          <w:rFonts w:ascii="Palatino Linotype" w:eastAsia="Palatino Linotype" w:hAnsi="Palatino Linotype" w:cs="Palatino Linotype"/>
          <w:sz w:val="24"/>
          <w:szCs w:val="24"/>
        </w:rPr>
        <w:t xml:space="preserve"> al no contravenir la misma. </w:t>
      </w: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sz w:val="24"/>
          <w:szCs w:val="24"/>
        </w:rPr>
      </w:pPr>
      <w:r w:rsidRPr="0003468C">
        <w:rPr>
          <w:rFonts w:ascii="Palatino Linotype" w:eastAsia="Palatino Linotype" w:hAnsi="Palatino Linotype" w:cs="Palatino Linotype"/>
          <w:sz w:val="24"/>
          <w:szCs w:val="24"/>
        </w:rPr>
        <w:lastRenderedPageBreak/>
        <w:t>Atento a ello, es importante traer a contexto la Tesis Jurisprudencial Número 3ª./J.7/91, Publicada en el Semanario Judicial de la Federación y su Gaceta bajo el número de registro 174,177, que establece lo siguiente:</w:t>
      </w:r>
    </w:p>
    <w:p w:rsidR="007C7BBE" w:rsidRPr="0003468C" w:rsidRDefault="009C0C68" w:rsidP="0003468C">
      <w:pPr>
        <w:tabs>
          <w:tab w:val="left" w:pos="7937"/>
          <w:tab w:val="left" w:pos="8222"/>
        </w:tabs>
        <w:spacing w:after="0" w:line="360" w:lineRule="auto"/>
        <w:ind w:left="502" w:right="-425"/>
        <w:jc w:val="both"/>
        <w:rPr>
          <w:rFonts w:ascii="Palatino Linotype" w:eastAsia="Palatino Linotype" w:hAnsi="Palatino Linotype" w:cs="Palatino Linotype"/>
          <w:i/>
          <w:iCs/>
          <w:sz w:val="24"/>
          <w:szCs w:val="24"/>
        </w:rPr>
      </w:pPr>
      <w:r w:rsidRPr="0003468C">
        <w:rPr>
          <w:rFonts w:ascii="Palatino Linotype" w:eastAsia="Palatino Linotype" w:hAnsi="Palatino Linotype" w:cs="Palatino Linotype"/>
          <w:b/>
          <w:bCs/>
          <w:i/>
          <w:iCs/>
          <w:sz w:val="24"/>
          <w:szCs w:val="24"/>
        </w:rPr>
        <w:t xml:space="preserve">“REVISIÓN EN AMPARO. LOS RESOLUTIVOS NO COMBATIDOS DEBEN DECLARARSE FIRMES. </w:t>
      </w:r>
      <w:r w:rsidRPr="0003468C">
        <w:rPr>
          <w:rFonts w:ascii="Palatino Linotype" w:eastAsia="Palatino Linotype" w:hAnsi="Palatino Linotype" w:cs="Palatino Linotype"/>
          <w:i/>
          <w:iCs/>
          <w:sz w:val="24"/>
          <w:szCs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C7BBE" w:rsidRPr="0003468C" w:rsidRDefault="007C7BBE" w:rsidP="0003468C">
      <w:pPr>
        <w:tabs>
          <w:tab w:val="left" w:pos="7937"/>
          <w:tab w:val="left" w:pos="8222"/>
        </w:tabs>
        <w:spacing w:after="0" w:line="360" w:lineRule="auto"/>
        <w:ind w:right="-425"/>
        <w:jc w:val="both"/>
        <w:rPr>
          <w:rFonts w:ascii="Palatino Linotype" w:eastAsia="Palatino Linotype" w:hAnsi="Palatino Linotype" w:cs="Palatino Linotype"/>
          <w:i/>
          <w:iCs/>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i/>
          <w:iCs/>
          <w:sz w:val="24"/>
          <w:szCs w:val="24"/>
        </w:rPr>
      </w:pPr>
      <w:r w:rsidRPr="0003468C">
        <w:rPr>
          <w:rFonts w:ascii="Palatino Linotype" w:eastAsia="Palatino Linotype" w:hAnsi="Palatino Linotype" w:cs="Palatino Linotype"/>
          <w:sz w:val="24"/>
          <w:szCs w:val="24"/>
        </w:rPr>
        <w:t xml:space="preserve">Ahora bien, </w:t>
      </w:r>
      <w:r w:rsidRPr="0003468C">
        <w:rPr>
          <w:rFonts w:ascii="Palatino Linotype" w:eastAsia="Palatino Linotype" w:hAnsi="Palatino Linotype" w:cs="Palatino Linotype"/>
          <w:color w:val="000000"/>
          <w:sz w:val="24"/>
          <w:szCs w:val="24"/>
        </w:rPr>
        <w:t>respecto la fuente obligacional, relativa a las bitácoras,  se refiere lo siguiente:</w:t>
      </w:r>
    </w:p>
    <w:p w:rsidR="007C7BBE" w:rsidRPr="0003468C" w:rsidRDefault="009C0C68" w:rsidP="0003468C">
      <w:pPr>
        <w:pBdr>
          <w:top w:val="nil"/>
          <w:left w:val="nil"/>
          <w:bottom w:val="nil"/>
          <w:right w:val="nil"/>
          <w:between w:val="nil"/>
        </w:pBdr>
        <w:spacing w:after="0" w:line="360" w:lineRule="auto"/>
        <w:ind w:right="-425"/>
        <w:jc w:val="center"/>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BANDO MUNICIPAL</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ARTÍCULO 36.-</w:t>
      </w:r>
      <w:r w:rsidRPr="0003468C">
        <w:rPr>
          <w:rFonts w:ascii="Palatino Linotype" w:eastAsia="Palatino Linotype" w:hAnsi="Palatino Linotype" w:cs="Palatino Linotype"/>
          <w:i/>
          <w:iCs/>
          <w:color w:val="000000"/>
          <w:sz w:val="24"/>
          <w:szCs w:val="24"/>
        </w:rPr>
        <w:t xml:space="preserve"> Para el ejercicio de sus atribuciones, el H. Ayuntamiento se auxiliará de las siguientes dependencias, mismas que realizarán sus funciones bajo los principios de austeridad, igualdad, equidad, honestidad, respeto, transparencia y calidad, de conformidad con el presente Bando Municipal, el Reglamento Orgánico de la Administración Pública Municipal de Atizapán de Zaragoza y demás ordenamientos legales que apruebe el H. Ayuntamiento o que sean aplicables.</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DE LAS DEPENDENCIAS MUNICIPALES CENTRALIZADAS:</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III. Tesorería Municipal;</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VI. Dirección de Administración;</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lastRenderedPageBreak/>
        <w:t xml:space="preserve">SECCIÓN TERCERA </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De la Tesorería Municipal</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 xml:space="preserve">ARTÍCULO 49.- </w:t>
      </w:r>
      <w:r w:rsidRPr="0003468C">
        <w:rPr>
          <w:rFonts w:ascii="Palatino Linotype" w:eastAsia="Palatino Linotype" w:hAnsi="Palatino Linotype" w:cs="Palatino Linotype"/>
          <w:i/>
          <w:iCs/>
          <w:color w:val="000000"/>
          <w:sz w:val="24"/>
          <w:szCs w:val="24"/>
        </w:rPr>
        <w:t xml:space="preserve">La Tesorería Municipal, en términos de la Ley Orgánica Municipal del Estado de México es la Dependencia encargada de la Administración de la Hacienda Pública Municipal, de conformidad con las disposiciones legales aplicables, que le facultan para establecer políticas de administración de las finanzas públicas, garantizando equilibrio, disciplina presupuestaria y capacidad administrativa, contribuyendo a la viabilidad financiera necesaria para la consolidación de los planes, programas y proyectos de la Administración Municipal. </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 xml:space="preserve">El H. Ayuntamiento, a través de la Tesorería Municipal por conducto de la Subdirección de Normatividad y Verificación, en estricto apego a las atribuciones conferidas, tendrá en todo momento la facultad de regular, inspeccionar, supervisar, verificar y en su caso sancionar, que se cumpla con los requisitos para ejercer la actividad comercial, de prestación de servicios o industrial, estacionamientos, puestos fijos, semifijos, ambulantes en vía pública y en mercados públicos municipales y privados. Así como la publicidad impresa, sonorización, perifoneo en la vía pública, que promuevan la venta de bienes o servicios; además del uso, la instalación, explotación, colocación y distribución de anuncios o cualquier elemento publicitario, previa la autorización por parte de la Dirección General de Ordenamiento Territorial y Desarrollo Urbano tratándose de estructuras que soporten estos. </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Los permisionarios y/o administradores de estacionamiento de plazas y centros comerciales, tiendas departamentales, tiendas de autoservicio y/o supermercados deberán proporcionar a sus clientes al menos treinta minutos de estacionamiento sin ningún costo.</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SECCIÓN SEXTA</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 xml:space="preserve"> De la Dirección de Administración</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 xml:space="preserve"> ARTÍCULO 52.- </w:t>
      </w:r>
      <w:r w:rsidRPr="0003468C">
        <w:rPr>
          <w:rFonts w:ascii="Palatino Linotype" w:eastAsia="Palatino Linotype" w:hAnsi="Palatino Linotype" w:cs="Palatino Linotype"/>
          <w:i/>
          <w:iCs/>
          <w:color w:val="000000"/>
          <w:sz w:val="24"/>
          <w:szCs w:val="24"/>
        </w:rPr>
        <w:t xml:space="preserve">A la Dirección de Administración le corresponde planear, establecer y difundir entre las dependencias de la Administración Pública Municipal, las políticas, procedimientos y estrategias necesarias para la adquisición, contratación, organización, control y aprovechamiento eficiente de los recursos humanos, materiales, tecnológicos y de servicios generales que se proporcionan a las dependencias y unidades administrativas de </w:t>
      </w:r>
      <w:r w:rsidRPr="0003468C">
        <w:rPr>
          <w:rFonts w:ascii="Palatino Linotype" w:eastAsia="Palatino Linotype" w:hAnsi="Palatino Linotype" w:cs="Palatino Linotype"/>
          <w:i/>
          <w:iCs/>
          <w:color w:val="000000"/>
          <w:sz w:val="24"/>
          <w:szCs w:val="24"/>
        </w:rPr>
        <w:lastRenderedPageBreak/>
        <w:t>todas las adscripciones, para satisfacer las necesidades generales que constituyen el objeto de los servicios y la función pública.</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REGLAMENTO ORGANICO MUNICIPAL DE ATIZAPÁN DE ZARAGOZA</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 xml:space="preserve">ARTÍCULO 17.- </w:t>
      </w:r>
      <w:r w:rsidRPr="0003468C">
        <w:rPr>
          <w:rFonts w:ascii="Palatino Linotype" w:eastAsia="Palatino Linotype" w:hAnsi="Palatino Linotype" w:cs="Palatino Linotype"/>
          <w:i/>
          <w:iCs/>
          <w:color w:val="000000"/>
          <w:sz w:val="24"/>
          <w:szCs w:val="24"/>
        </w:rPr>
        <w:t>A los Coordinadores Administrativos les corresponden las siguientes funciones, en el ámbito de la dependencia a la que pertenecen:</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u w:val="single"/>
        </w:rPr>
      </w:pPr>
      <w:r w:rsidRPr="0003468C">
        <w:rPr>
          <w:rFonts w:ascii="Palatino Linotype" w:eastAsia="Palatino Linotype" w:hAnsi="Palatino Linotype" w:cs="Palatino Linotype"/>
          <w:i/>
          <w:iCs/>
          <w:color w:val="000000"/>
          <w:sz w:val="24"/>
          <w:szCs w:val="24"/>
        </w:rPr>
        <w:t xml:space="preserve">IX. </w:t>
      </w:r>
      <w:r w:rsidRPr="0003468C">
        <w:rPr>
          <w:rFonts w:ascii="Palatino Linotype" w:eastAsia="Palatino Linotype" w:hAnsi="Palatino Linotype" w:cs="Palatino Linotype"/>
          <w:i/>
          <w:iCs/>
          <w:color w:val="000000"/>
          <w:sz w:val="24"/>
          <w:szCs w:val="24"/>
          <w:u w:val="single"/>
        </w:rPr>
        <w:t>Llevar el control y registro del consumo de gasolina de las unidades vehiculares que sus dependencias tengan asignadas.</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center"/>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CAPÍTULO V</w:t>
      </w:r>
    </w:p>
    <w:p w:rsidR="007C7BBE" w:rsidRPr="0003468C" w:rsidRDefault="009C0C68" w:rsidP="0003468C">
      <w:pPr>
        <w:pBdr>
          <w:top w:val="nil"/>
          <w:left w:val="nil"/>
          <w:bottom w:val="nil"/>
          <w:right w:val="nil"/>
          <w:between w:val="nil"/>
        </w:pBdr>
        <w:spacing w:after="0" w:line="240" w:lineRule="auto"/>
        <w:ind w:left="993" w:right="-425"/>
        <w:jc w:val="center"/>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DE LA DIRECCIÓN DE ADMINISTRACIÓN</w:t>
      </w:r>
    </w:p>
    <w:p w:rsidR="007C7BBE" w:rsidRPr="0003468C" w:rsidRDefault="007C7BBE" w:rsidP="0003468C">
      <w:pPr>
        <w:pBdr>
          <w:top w:val="nil"/>
          <w:left w:val="nil"/>
          <w:bottom w:val="nil"/>
          <w:right w:val="nil"/>
          <w:between w:val="nil"/>
        </w:pBdr>
        <w:spacing w:after="0" w:line="240" w:lineRule="auto"/>
        <w:ind w:left="993" w:right="-425"/>
        <w:jc w:val="center"/>
        <w:rPr>
          <w:rFonts w:ascii="Palatino Linotype" w:eastAsia="Palatino Linotype" w:hAnsi="Palatino Linotype" w:cs="Palatino Linotype"/>
          <w:b/>
          <w:bCs/>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 xml:space="preserve"> ARTÍCULO 30.-</w:t>
      </w:r>
      <w:r w:rsidRPr="0003468C">
        <w:rPr>
          <w:rFonts w:ascii="Palatino Linotype" w:eastAsia="Palatino Linotype" w:hAnsi="Palatino Linotype" w:cs="Palatino Linotype"/>
          <w:i/>
          <w:iCs/>
          <w:color w:val="000000"/>
          <w:sz w:val="24"/>
          <w:szCs w:val="24"/>
        </w:rPr>
        <w:t xml:space="preserve"> Las atribuciones de la Dirección de Administración, serán ejercidas por su Titular, para el cumplimiento de las mismas tendrá las siguientes facultades, ellas independientemente de las contenidas en las demás disposiciones legales o reglamentarias aplicables a la materia:</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u w:val="single"/>
        </w:rPr>
      </w:pPr>
      <w:r w:rsidRPr="0003468C">
        <w:rPr>
          <w:rFonts w:ascii="Palatino Linotype" w:eastAsia="Palatino Linotype" w:hAnsi="Palatino Linotype" w:cs="Palatino Linotype"/>
          <w:i/>
          <w:iCs/>
          <w:color w:val="000000"/>
          <w:sz w:val="24"/>
          <w:szCs w:val="24"/>
          <w:u w:val="single"/>
        </w:rPr>
        <w:t>XI. Controlar y asegurar el parque vehicular de la Administración Pública Municipal, vigilando que el personal responsable del resguardo de la unidad, cumpla con la normatividad relativa al uso de vehículos, así como también el correcto suministro de energéticos, incluyendo las unidades en comodato.</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u w:val="single"/>
        </w:rPr>
      </w:pPr>
      <w:r w:rsidRPr="0003468C">
        <w:rPr>
          <w:rFonts w:ascii="Palatino Linotype" w:eastAsia="Palatino Linotype" w:hAnsi="Palatino Linotype" w:cs="Palatino Linotype"/>
          <w:i/>
          <w:iCs/>
          <w:color w:val="000000"/>
          <w:sz w:val="24"/>
          <w:szCs w:val="24"/>
          <w:u w:val="single"/>
        </w:rPr>
        <w:t>…</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u w:val="single"/>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ARTÍCULO 31.- Para el estudio, planeación y despacho de los asuntos de su competencia la Dirección de Administración, se integrará de la siguiente manera:</w:t>
      </w:r>
    </w:p>
    <w:p w:rsidR="007C7BBE" w:rsidRPr="0003468C" w:rsidRDefault="007C7BBE"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 xml:space="preserve">V. Subdirección de Administración y Control </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a) Departamento Operativo.</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u w:val="single"/>
        </w:rPr>
      </w:pPr>
      <w:r w:rsidRPr="0003468C">
        <w:rPr>
          <w:rFonts w:ascii="Palatino Linotype" w:eastAsia="Palatino Linotype" w:hAnsi="Palatino Linotype" w:cs="Palatino Linotype"/>
          <w:i/>
          <w:iCs/>
          <w:color w:val="000000"/>
          <w:sz w:val="24"/>
          <w:szCs w:val="24"/>
        </w:rPr>
        <w:t xml:space="preserve"> b) </w:t>
      </w:r>
      <w:r w:rsidRPr="0003468C">
        <w:rPr>
          <w:rFonts w:ascii="Palatino Linotype" w:eastAsia="Palatino Linotype" w:hAnsi="Palatino Linotype" w:cs="Palatino Linotype"/>
          <w:i/>
          <w:iCs/>
          <w:color w:val="000000"/>
          <w:sz w:val="24"/>
          <w:szCs w:val="24"/>
          <w:u w:val="single"/>
        </w:rPr>
        <w:t>Departamento de Administración Vehicular.</w:t>
      </w:r>
    </w:p>
    <w:p w:rsidR="007C7BBE" w:rsidRPr="0003468C" w:rsidRDefault="009C0C68" w:rsidP="0003468C">
      <w:pPr>
        <w:pBdr>
          <w:top w:val="nil"/>
          <w:left w:val="nil"/>
          <w:bottom w:val="nil"/>
          <w:right w:val="nil"/>
          <w:between w:val="nil"/>
        </w:pBdr>
        <w:spacing w:after="0" w:line="240" w:lineRule="auto"/>
        <w:ind w:left="993" w:right="-425"/>
        <w:jc w:val="both"/>
        <w:rPr>
          <w:rFonts w:ascii="Palatino Linotype" w:eastAsia="Palatino Linotype" w:hAnsi="Palatino Linotype" w:cs="Palatino Linotype"/>
          <w:i/>
          <w:iCs/>
          <w:color w:val="000000"/>
          <w:sz w:val="24"/>
          <w:szCs w:val="24"/>
          <w:u w:val="single"/>
        </w:rPr>
      </w:pPr>
      <w:r w:rsidRPr="0003468C">
        <w:rPr>
          <w:rFonts w:ascii="Palatino Linotype" w:eastAsia="Palatino Linotype" w:hAnsi="Palatino Linotype" w:cs="Palatino Linotype"/>
          <w:i/>
          <w:iCs/>
          <w:color w:val="000000"/>
          <w:sz w:val="24"/>
          <w:szCs w:val="24"/>
        </w:rPr>
        <w:t>…</w:t>
      </w:r>
    </w:p>
    <w:p w:rsidR="007C7BBE" w:rsidRPr="0003468C" w:rsidRDefault="007C7BBE" w:rsidP="0003468C">
      <w:pPr>
        <w:pBdr>
          <w:top w:val="nil"/>
          <w:left w:val="nil"/>
          <w:bottom w:val="nil"/>
          <w:right w:val="nil"/>
          <w:between w:val="nil"/>
        </w:pBdr>
        <w:spacing w:after="0" w:line="360" w:lineRule="auto"/>
        <w:ind w:right="-425"/>
        <w:jc w:val="center"/>
        <w:rPr>
          <w:rFonts w:ascii="Palatino Linotype" w:eastAsia="Palatino Linotype" w:hAnsi="Palatino Linotype" w:cs="Palatino Linotype"/>
          <w:b/>
          <w:bCs/>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i/>
          <w:iCs/>
          <w:color w:val="000000"/>
          <w:sz w:val="24"/>
          <w:szCs w:val="24"/>
          <w:u w:val="single"/>
        </w:rPr>
      </w:pPr>
      <w:r w:rsidRPr="0003468C">
        <w:rPr>
          <w:rFonts w:ascii="Palatino Linotype" w:eastAsia="Palatino Linotype" w:hAnsi="Palatino Linotype" w:cs="Palatino Linotype"/>
          <w:color w:val="000000"/>
          <w:sz w:val="24"/>
          <w:szCs w:val="24"/>
        </w:rPr>
        <w:lastRenderedPageBreak/>
        <w:t>De lo anterior, se observa que la Dirección de Administración es el área encargada de generar, poseer y/o administrar la información solicitada, ya que como lo refiere el Reglamento, entre sus funciones y atribuciones se encuentran las de controlar y asegurar el parque vehicular de la Administración Pública Municipal, vigilando que el personal responsable del resguardo de la unidad, cumpla con la normatividad relativa al uso de vehículos, así como también el correcto suministro de energéticos, incluyendo las unidades en comodato.</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i/>
          <w:iCs/>
          <w:color w:val="000000"/>
          <w:sz w:val="24"/>
          <w:szCs w:val="24"/>
          <w:u w:val="single"/>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Precisado lo anterior, respecto los </w:t>
      </w:r>
      <w:r w:rsidRPr="0003468C">
        <w:rPr>
          <w:rFonts w:ascii="Palatino Linotype" w:eastAsia="Palatino Linotype" w:hAnsi="Palatino Linotype" w:cs="Palatino Linotype"/>
          <w:b/>
          <w:bCs/>
          <w:color w:val="000000"/>
          <w:sz w:val="24"/>
          <w:szCs w:val="24"/>
        </w:rPr>
        <w:t xml:space="preserve">anexos </w:t>
      </w:r>
      <w:r w:rsidRPr="0003468C">
        <w:rPr>
          <w:rFonts w:ascii="Palatino Linotype" w:eastAsia="Palatino Linotype" w:hAnsi="Palatino Linotype" w:cs="Palatino Linotype"/>
          <w:color w:val="000000"/>
          <w:sz w:val="24"/>
          <w:szCs w:val="24"/>
        </w:rPr>
        <w:t xml:space="preserve">de los cuales no se hizo entrega y que son motivo de inconformidad, se advierte que, el  </w:t>
      </w:r>
      <w:r w:rsidRPr="0003468C">
        <w:rPr>
          <w:rFonts w:ascii="Palatino Linotype" w:eastAsia="Palatino Linotype" w:hAnsi="Palatino Linotype" w:cs="Palatino Linotype"/>
          <w:b/>
          <w:bCs/>
          <w:color w:val="000000"/>
          <w:sz w:val="24"/>
          <w:szCs w:val="24"/>
        </w:rPr>
        <w:t xml:space="preserve">SUJETO OBLIGADO, </w:t>
      </w:r>
      <w:r w:rsidRPr="0003468C">
        <w:rPr>
          <w:rFonts w:ascii="Palatino Linotype" w:eastAsia="Palatino Linotype" w:hAnsi="Palatino Linotype" w:cs="Palatino Linotype"/>
          <w:color w:val="000000"/>
          <w:sz w:val="24"/>
          <w:szCs w:val="24"/>
        </w:rPr>
        <w:t>a través del Informe Justificado correspondiente, hizo de conocimiento que, derivado de un error involuntario, no se hizo entrega de las mismas, sin embargo, después de haberse realizado una búsqueda exhaustiva y razonable, este remitió la “</w:t>
      </w:r>
      <w:r w:rsidRPr="0003468C">
        <w:rPr>
          <w:rFonts w:ascii="Palatino Linotype" w:eastAsia="Palatino Linotype" w:hAnsi="Palatino Linotype" w:cs="Palatino Linotype"/>
          <w:i/>
          <w:iCs/>
          <w:color w:val="000000"/>
          <w:sz w:val="24"/>
          <w:szCs w:val="24"/>
        </w:rPr>
        <w:t xml:space="preserve">evidencia de las reparaciones” </w:t>
      </w:r>
      <w:r w:rsidRPr="0003468C">
        <w:rPr>
          <w:rFonts w:ascii="Palatino Linotype" w:eastAsia="Palatino Linotype" w:hAnsi="Palatino Linotype" w:cs="Palatino Linotype"/>
          <w:color w:val="000000"/>
          <w:sz w:val="24"/>
          <w:szCs w:val="24"/>
        </w:rPr>
        <w:t>siguientes:</w:t>
      </w:r>
    </w:p>
    <w:p w:rsidR="007C7BBE" w:rsidRPr="0003468C" w:rsidRDefault="009C0C68" w:rsidP="0003468C">
      <w:pPr>
        <w:numPr>
          <w:ilvl w:val="0"/>
          <w:numId w:val="7"/>
        </w:numPr>
        <w:pBdr>
          <w:top w:val="nil"/>
          <w:left w:val="nil"/>
          <w:bottom w:val="nil"/>
          <w:right w:val="nil"/>
          <w:between w:val="nil"/>
        </w:pBdr>
        <w:spacing w:after="0" w:line="240" w:lineRule="auto"/>
        <w:ind w:left="1276"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Vale de entrada y salida del almacén de balatas</w:t>
      </w:r>
    </w:p>
    <w:p w:rsidR="007C7BBE" w:rsidRPr="0003468C" w:rsidRDefault="009C0C68" w:rsidP="0003468C">
      <w:pPr>
        <w:numPr>
          <w:ilvl w:val="0"/>
          <w:numId w:val="7"/>
        </w:numPr>
        <w:pBdr>
          <w:top w:val="nil"/>
          <w:left w:val="nil"/>
          <w:bottom w:val="nil"/>
          <w:right w:val="nil"/>
          <w:between w:val="nil"/>
        </w:pBdr>
        <w:spacing w:after="0" w:line="240" w:lineRule="auto"/>
        <w:ind w:left="1276" w:right="-425" w:firstLine="0"/>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i/>
          <w:iCs/>
          <w:color w:val="000000"/>
          <w:sz w:val="24"/>
          <w:szCs w:val="24"/>
        </w:rPr>
        <w:t>Vale de entrada y salida del almacén de baterías</w:t>
      </w:r>
    </w:p>
    <w:p w:rsidR="007C7BBE" w:rsidRPr="0003468C" w:rsidRDefault="009C0C68" w:rsidP="0003468C">
      <w:pPr>
        <w:numPr>
          <w:ilvl w:val="0"/>
          <w:numId w:val="7"/>
        </w:numPr>
        <w:pBdr>
          <w:top w:val="nil"/>
          <w:left w:val="nil"/>
          <w:bottom w:val="nil"/>
          <w:right w:val="nil"/>
          <w:between w:val="nil"/>
        </w:pBdr>
        <w:spacing w:after="0" w:line="240" w:lineRule="auto"/>
        <w:ind w:left="1276"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Carta entrega de unidad reparada</w:t>
      </w:r>
    </w:p>
    <w:p w:rsidR="007C7BBE" w:rsidRPr="0003468C" w:rsidRDefault="009C0C68" w:rsidP="0003468C">
      <w:pPr>
        <w:numPr>
          <w:ilvl w:val="0"/>
          <w:numId w:val="7"/>
        </w:numPr>
        <w:pBdr>
          <w:top w:val="nil"/>
          <w:left w:val="nil"/>
          <w:bottom w:val="nil"/>
          <w:right w:val="nil"/>
          <w:between w:val="nil"/>
        </w:pBdr>
        <w:spacing w:after="0" w:line="240" w:lineRule="auto"/>
        <w:ind w:left="1276"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Fotografías</w:t>
      </w:r>
    </w:p>
    <w:p w:rsidR="007C7BBE" w:rsidRPr="0003468C" w:rsidRDefault="009C0C68" w:rsidP="0003468C">
      <w:pPr>
        <w:numPr>
          <w:ilvl w:val="0"/>
          <w:numId w:val="7"/>
        </w:numPr>
        <w:pBdr>
          <w:top w:val="nil"/>
          <w:left w:val="nil"/>
          <w:bottom w:val="nil"/>
          <w:right w:val="nil"/>
          <w:between w:val="nil"/>
        </w:pBdr>
        <w:spacing w:after="0" w:line="240" w:lineRule="auto"/>
        <w:ind w:left="1276"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Carta entrega de reparación</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Con lo anterior, se considera que se tiene subsanada la omisión del </w:t>
      </w:r>
      <w:r w:rsidRPr="0003468C">
        <w:rPr>
          <w:rFonts w:ascii="Palatino Linotype" w:eastAsia="Palatino Linotype" w:hAnsi="Palatino Linotype" w:cs="Palatino Linotype"/>
          <w:b/>
          <w:bCs/>
          <w:color w:val="000000"/>
          <w:sz w:val="24"/>
          <w:szCs w:val="24"/>
        </w:rPr>
        <w:t xml:space="preserve">SUJETO OBLIGADO, </w:t>
      </w:r>
      <w:r w:rsidRPr="0003468C">
        <w:rPr>
          <w:rFonts w:ascii="Palatino Linotype" w:eastAsia="Palatino Linotype" w:hAnsi="Palatino Linotype" w:cs="Palatino Linotype"/>
          <w:color w:val="000000"/>
          <w:sz w:val="24"/>
          <w:szCs w:val="24"/>
        </w:rPr>
        <w:t>y en consecuencia, por colmado el rubro en comento.</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Por lo que hace a las </w:t>
      </w:r>
      <w:r w:rsidRPr="0003468C">
        <w:rPr>
          <w:rFonts w:ascii="Palatino Linotype" w:eastAsia="Palatino Linotype" w:hAnsi="Palatino Linotype" w:cs="Palatino Linotype"/>
          <w:b/>
          <w:bCs/>
          <w:color w:val="000000"/>
          <w:sz w:val="24"/>
          <w:szCs w:val="24"/>
        </w:rPr>
        <w:t xml:space="preserve">bitácoras de gasolina/diésel, </w:t>
      </w:r>
      <w:r w:rsidRPr="0003468C">
        <w:rPr>
          <w:rFonts w:ascii="Palatino Linotype" w:eastAsia="Palatino Linotype" w:hAnsi="Palatino Linotype" w:cs="Palatino Linotype"/>
          <w:color w:val="000000"/>
          <w:sz w:val="24"/>
          <w:szCs w:val="24"/>
        </w:rPr>
        <w:t xml:space="preserve">se observa que no existió pronunciamiento por parte del </w:t>
      </w:r>
      <w:r w:rsidRPr="0003468C">
        <w:rPr>
          <w:rFonts w:ascii="Palatino Linotype" w:eastAsia="Palatino Linotype" w:hAnsi="Palatino Linotype" w:cs="Palatino Linotype"/>
          <w:b/>
          <w:bCs/>
          <w:color w:val="000000"/>
          <w:sz w:val="24"/>
          <w:szCs w:val="24"/>
        </w:rPr>
        <w:t xml:space="preserve">SUJETO OBLIGADO, </w:t>
      </w:r>
      <w:r w:rsidRPr="0003468C">
        <w:rPr>
          <w:rFonts w:ascii="Palatino Linotype" w:eastAsia="Palatino Linotype" w:hAnsi="Palatino Linotype" w:cs="Palatino Linotype"/>
          <w:color w:val="000000"/>
          <w:sz w:val="24"/>
          <w:szCs w:val="24"/>
        </w:rPr>
        <w:t xml:space="preserve">dentro de la respuesta, no obstante, dentro de la etapa de manifestaciones, el Director de Administración hizo de conocimiento </w:t>
      </w:r>
      <w:r w:rsidRPr="0003468C">
        <w:rPr>
          <w:rFonts w:ascii="Palatino Linotype" w:eastAsia="Palatino Linotype" w:hAnsi="Palatino Linotype" w:cs="Palatino Linotype"/>
          <w:color w:val="000000"/>
          <w:sz w:val="24"/>
          <w:szCs w:val="24"/>
        </w:rPr>
        <w:lastRenderedPageBreak/>
        <w:t>que dicha información es competencia de la Tesorería, sin embargo, dicha aseveración deviene incorrecta, pues como ya quedó asentado, es la Dirección de Administración a través del Departamento de Administración Vehicular, de manera enunciativa más no limitativa es la encargada de generar, poseer y/o administrar la información solicitada, ya que si bien es cierto, de acuerdo al Bando Municipal, la Tesorera Municipal tiene como función controlar lo relativo a los suministros como en el caso que nos ocupa, lo es la gasolina, este únicamente autoriza y/o realiza el pago de la misma y no así es la encargada del control y registro del consumo de las unidades vehiculares asignadas al Ayuntamiento de Atizapán de Zaragoza.</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Lo anterior, permite tener elementos suficientes y pertinentes para ordenar la búsqueda exhaustiva y razonable dentro de los archivos del </w:t>
      </w:r>
      <w:r w:rsidRPr="0003468C">
        <w:rPr>
          <w:rFonts w:ascii="Palatino Linotype" w:eastAsia="Palatino Linotype" w:hAnsi="Palatino Linotype" w:cs="Palatino Linotype"/>
          <w:b/>
          <w:bCs/>
          <w:color w:val="000000"/>
          <w:sz w:val="24"/>
          <w:szCs w:val="24"/>
        </w:rPr>
        <w:t xml:space="preserve">SUJETO OBLIGADO, </w:t>
      </w:r>
      <w:r w:rsidRPr="0003468C">
        <w:rPr>
          <w:rFonts w:ascii="Palatino Linotype" w:eastAsia="Palatino Linotype" w:hAnsi="Palatino Linotype" w:cs="Palatino Linotype"/>
          <w:color w:val="000000"/>
          <w:sz w:val="24"/>
          <w:szCs w:val="24"/>
        </w:rPr>
        <w:t xml:space="preserve">a efecto de que se haga entrega de las </w:t>
      </w:r>
      <w:r w:rsidRPr="0003468C">
        <w:rPr>
          <w:rFonts w:ascii="Palatino Linotype" w:eastAsia="Palatino Linotype" w:hAnsi="Palatino Linotype" w:cs="Palatino Linotype"/>
          <w:b/>
          <w:bCs/>
          <w:color w:val="000000"/>
          <w:sz w:val="24"/>
          <w:szCs w:val="24"/>
        </w:rPr>
        <w:t xml:space="preserve">bitácoras de gasolina/diésel </w:t>
      </w:r>
      <w:r w:rsidRPr="0003468C">
        <w:rPr>
          <w:rFonts w:ascii="Palatino Linotype" w:eastAsia="Palatino Linotype" w:hAnsi="Palatino Linotype" w:cs="Palatino Linotype"/>
          <w:color w:val="000000"/>
          <w:sz w:val="24"/>
          <w:szCs w:val="24"/>
        </w:rPr>
        <w:t>de los años dos mil veintitrés y dos mil veinticuatro, de ser procedente en versión pública.</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Lo anterior, con fundamento en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007C7BBE" w:rsidRPr="0003468C" w:rsidRDefault="007C7BBE" w:rsidP="0003468C">
      <w:pPr>
        <w:spacing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lastRenderedPageBreak/>
        <w:t>Además, debemos tomar en cuenta los artículos 4 y 12, de la Ley de Transparencia y Acceso a la Información Pública del Estado de México y Municipios, los cuales establecen lo siguiente:</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Artículo 4.</w:t>
      </w:r>
      <w:r w:rsidRPr="0003468C">
        <w:rPr>
          <w:rFonts w:ascii="Palatino Linotype" w:eastAsia="Palatino Linotype" w:hAnsi="Palatino Linotype" w:cs="Palatino Linotype"/>
          <w:i/>
          <w:iCs/>
          <w:color w:val="000000"/>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Los sujetos obligados deben poner en práctica, políticas y programas de acceso a la información que se apeguen a criterios de publicidad, veracidad, oportunidad, precisión y suficiencia en beneficio de los solicitantes.</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Artículo 12.</w:t>
      </w:r>
      <w:r w:rsidRPr="0003468C">
        <w:rPr>
          <w:rFonts w:ascii="Palatino Linotype" w:eastAsia="Palatino Linotype" w:hAnsi="Palatino Linotype" w:cs="Palatino Linotype"/>
          <w:i/>
          <w:iCs/>
          <w:color w:val="000000"/>
          <w:sz w:val="24"/>
          <w:szCs w:val="24"/>
        </w:rPr>
        <w:t xml:space="preserve"> Quienes generen, recopilen, administren, manejen, procesen, archiven o conserven información pública serán responsables de la misma en los términos de las disposiciones jurídicas aplicables. </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C7BBE" w:rsidRPr="0003468C" w:rsidRDefault="007C7BBE" w:rsidP="0003468C">
      <w:pPr>
        <w:spacing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7C7BBE" w:rsidRPr="0003468C" w:rsidRDefault="007C7BBE" w:rsidP="0003468C">
      <w:pPr>
        <w:spacing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ACCESO A LA INFORMACIÓN. IMPLICACIÓN DEL PRINCIPIO DE MÁXIMA PUBLICIDAD EN EL DERECHO FUNDAMENTAL RELATIVO.</w:t>
      </w:r>
      <w:r w:rsidRPr="0003468C">
        <w:rPr>
          <w:rFonts w:ascii="Palatino Linotype" w:eastAsia="Palatino Linotype" w:hAnsi="Palatino Linotype" w:cs="Palatino Linotype"/>
          <w:i/>
          <w:iCs/>
          <w:color w:val="000000"/>
          <w:sz w:val="24"/>
          <w:szCs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w:t>
      </w:r>
      <w:r w:rsidRPr="0003468C">
        <w:rPr>
          <w:rFonts w:ascii="Palatino Linotype" w:eastAsia="Palatino Linotype" w:hAnsi="Palatino Linotype" w:cs="Palatino Linotype"/>
          <w:i/>
          <w:iCs/>
          <w:color w:val="000000"/>
          <w:sz w:val="24"/>
          <w:szCs w:val="24"/>
        </w:rPr>
        <w:lastRenderedPageBreak/>
        <w:t>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7C7BBE"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 xml:space="preserve"> </w:t>
      </w: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Como se ha señalado, los Sujetos Obligados deberán proporcionar toda la información que se encuentre en su posesión bajo los estándares más altos de transparencia y máxima publicidad. </w:t>
      </w:r>
    </w:p>
    <w:p w:rsidR="007C7BBE" w:rsidRPr="0003468C" w:rsidRDefault="007C7BBE" w:rsidP="0003468C">
      <w:pPr>
        <w:spacing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Es pertinente enfatizar lo que respecto al derecho de acceso a la información pública, refiere el artículo 6° de la Constitución Política de los Estados Unidos Mexicanos, que en su parte conducente señala:</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lastRenderedPageBreak/>
        <w:t>“Artículo 6o.</w:t>
      </w:r>
      <w:r w:rsidRPr="0003468C">
        <w:rPr>
          <w:rFonts w:ascii="Palatino Linotype" w:eastAsia="Palatino Linotype" w:hAnsi="Palatino Linotype" w:cs="Palatino Linotype"/>
          <w:i/>
          <w:iCs/>
          <w:color w:val="000000"/>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Toda persona tiene derecho al libre acceso a información plural y oportuna, así como a buscar, recibir y difundir información e ideas de toda índole por cualquier medio de expresión.</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Para efectos de lo dispuesto en el presente artículo se observará lo siguiente:</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numPr>
          <w:ilvl w:val="4"/>
          <w:numId w:val="4"/>
        </w:numPr>
        <w:pBdr>
          <w:top w:val="nil"/>
          <w:left w:val="nil"/>
          <w:bottom w:val="nil"/>
          <w:right w:val="nil"/>
          <w:between w:val="nil"/>
        </w:pBdr>
        <w:spacing w:after="0" w:line="360" w:lineRule="auto"/>
        <w:ind w:left="567"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Para el ejercicio del derecho de acceso a la información, la Federación, los Estados y el Distrito Federal, en el ámbito de sus respectivas competencias, se regirán por los siguientes principios y bases:</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w:t>
      </w:r>
      <w:r w:rsidRPr="0003468C">
        <w:rPr>
          <w:rFonts w:ascii="Palatino Linotype" w:eastAsia="Palatino Linotype" w:hAnsi="Palatino Linotype" w:cs="Palatino Linotype"/>
          <w:i/>
          <w:iCs/>
          <w:color w:val="000000"/>
          <w:sz w:val="24"/>
          <w:szCs w:val="24"/>
        </w:rPr>
        <w:lastRenderedPageBreak/>
        <w:t>ejercicio de sus facultades, competencias o funciones, la ley determinará los supuestos específicos bajo los cuales procederá la declaración de inexistencia de la información.</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La información que se refiere a la vida privada y los datos personales será protegida en los términos y con las excepciones que fijen las leyes.</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Toda persona, sin necesidad de acreditar interés alguno o justificar su utilización, tendrá acceso gratuito a la información pública, a sus datos personales o a la rectificación de éstos.</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Se establecerán mecanismos de acceso a la información y procedimientos de revisión expeditos que se sustanciarán ante los organismos autónomos especializados e imparciales que establece esta Constitución.</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Las leyes determinarán la manera en que los sujetos obligados deberán hacer pública la información relativa a los recursos públicos que entreguen a personas físicas o morales.</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lastRenderedPageBreak/>
        <w:t>La inobservancia a las disposiciones en materia de acceso a la información pública será sancionada en los términos que dispongan las leyes.</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La ley establecerá aquella información que se considere reservada o confidencial.”</w:t>
      </w:r>
    </w:p>
    <w:p w:rsidR="007C7BBE" w:rsidRPr="0003468C" w:rsidRDefault="007C7BBE" w:rsidP="0003468C">
      <w:pPr>
        <w:spacing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b/>
          <w:bCs/>
          <w:i/>
          <w:iCs/>
          <w:color w:val="000000"/>
          <w:sz w:val="24"/>
          <w:szCs w:val="24"/>
        </w:rPr>
      </w:pPr>
      <w:r w:rsidRPr="0003468C">
        <w:rPr>
          <w:rFonts w:ascii="Palatino Linotype" w:eastAsia="Palatino Linotype" w:hAnsi="Palatino Linotype" w:cs="Palatino Linotype"/>
          <w:b/>
          <w:bCs/>
          <w:i/>
          <w:iCs/>
          <w:color w:val="000000"/>
          <w:sz w:val="24"/>
          <w:szCs w:val="24"/>
        </w:rPr>
        <w:t xml:space="preserve">“Artículo 5. … </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El derecho a la información será garantizado por el Estado</w:t>
      </w:r>
      <w:r w:rsidRPr="0003468C">
        <w:rPr>
          <w:rFonts w:ascii="Palatino Linotype" w:eastAsia="Palatino Linotype" w:hAnsi="Palatino Linotype" w:cs="Palatino Linotype"/>
          <w:i/>
          <w:iCs/>
          <w:color w:val="000000"/>
          <w:sz w:val="24"/>
          <w:szCs w:val="24"/>
        </w:rPr>
        <w:t xml:space="preserve">. La ley establecerá las previsiones que permitan asegurar la protección, el respeto y la difusión de este derecho. </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lastRenderedPageBreak/>
        <w:t>Este derecho se regirá por los principios y bases siguientes:</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numPr>
          <w:ilvl w:val="3"/>
          <w:numId w:val="4"/>
        </w:numPr>
        <w:pBdr>
          <w:top w:val="nil"/>
          <w:left w:val="nil"/>
          <w:bottom w:val="nil"/>
          <w:right w:val="nil"/>
          <w:between w:val="nil"/>
        </w:pBdr>
        <w:spacing w:after="0" w:line="360" w:lineRule="auto"/>
        <w:ind w:left="567"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Toda la información en posesión de cualquier autoridad</w:t>
      </w:r>
      <w:r w:rsidRPr="0003468C">
        <w:rPr>
          <w:rFonts w:ascii="Palatino Linotype" w:eastAsia="Palatino Linotype" w:hAnsi="Palatino Linotype" w:cs="Palatino Linotype"/>
          <w:i/>
          <w:iCs/>
          <w:color w:val="000000"/>
          <w:sz w:val="24"/>
          <w:szCs w:val="24"/>
        </w:rPr>
        <w:t xml:space="preserve">, entidad, órgano y organismos de los Poderes Ejecutivo, Legislativo y Judicial, órganos autónomos, partidos políticos, fideicomisos y fondos públicos estatales y municipales, </w:t>
      </w:r>
      <w:r w:rsidRPr="0003468C">
        <w:rPr>
          <w:rFonts w:ascii="Palatino Linotype" w:eastAsia="Palatino Linotype" w:hAnsi="Palatino Linotype" w:cs="Palatino Linotype"/>
          <w:b/>
          <w:bCs/>
          <w:i/>
          <w:iCs/>
          <w:color w:val="000000"/>
          <w:sz w:val="24"/>
          <w:szCs w:val="24"/>
        </w:rPr>
        <w:t>así como del gobierno y de la administración pública municipal y sus organismos descentralizados</w:t>
      </w:r>
      <w:r w:rsidRPr="0003468C">
        <w:rPr>
          <w:rFonts w:ascii="Palatino Linotype" w:eastAsia="Palatino Linotype" w:hAnsi="Palatino Linotype" w:cs="Palatino Linotype"/>
          <w:i/>
          <w:iCs/>
          <w:color w:val="000000"/>
          <w:sz w:val="24"/>
          <w:szCs w:val="24"/>
        </w:rPr>
        <w:t xml:space="preserve">, asimismo de cualquier persona física, jurídica colectiva o sindicato que reciba y ejerza recursos públicos o realice actos de autoridad en el ámbito estatal y municipal, </w:t>
      </w:r>
      <w:r w:rsidRPr="0003468C">
        <w:rPr>
          <w:rFonts w:ascii="Palatino Linotype" w:eastAsia="Palatino Linotype" w:hAnsi="Palatino Linotype" w:cs="Palatino Linotype"/>
          <w:b/>
          <w:bCs/>
          <w:i/>
          <w:iCs/>
          <w:color w:val="000000"/>
          <w:sz w:val="24"/>
          <w:szCs w:val="24"/>
        </w:rPr>
        <w:t>es pública</w:t>
      </w:r>
      <w:r w:rsidRPr="0003468C">
        <w:rPr>
          <w:rFonts w:ascii="Palatino Linotype" w:eastAsia="Palatino Linotype" w:hAnsi="Palatino Linotype" w:cs="Palatino Linotype"/>
          <w:i/>
          <w:iCs/>
          <w:color w:val="000000"/>
          <w:sz w:val="24"/>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C7BBE" w:rsidRPr="0003468C" w:rsidRDefault="009C0C68" w:rsidP="0003468C">
      <w:pPr>
        <w:numPr>
          <w:ilvl w:val="3"/>
          <w:numId w:val="4"/>
        </w:numPr>
        <w:pBdr>
          <w:top w:val="nil"/>
          <w:left w:val="nil"/>
          <w:bottom w:val="nil"/>
          <w:right w:val="nil"/>
          <w:between w:val="nil"/>
        </w:pBdr>
        <w:spacing w:after="0" w:line="360" w:lineRule="auto"/>
        <w:ind w:left="567"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La información referente a la intimidad de la vida privada y la imagen de las personas será protegida a través de un marco jurídico rígido de tratamiento y manejo de datos personales, con las excepciones que establezca la ley reglamentaria.</w:t>
      </w:r>
    </w:p>
    <w:p w:rsidR="007C7BBE" w:rsidRPr="0003468C" w:rsidRDefault="009C0C68" w:rsidP="0003468C">
      <w:pPr>
        <w:numPr>
          <w:ilvl w:val="3"/>
          <w:numId w:val="4"/>
        </w:numPr>
        <w:pBdr>
          <w:top w:val="nil"/>
          <w:left w:val="nil"/>
          <w:bottom w:val="nil"/>
          <w:right w:val="nil"/>
          <w:between w:val="nil"/>
        </w:pBdr>
        <w:spacing w:after="0" w:line="360" w:lineRule="auto"/>
        <w:ind w:left="567"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Toda persona, sin necesidad de acreditar interés alguno o justificar su utilización, tendrá acceso gratuito a la información pública, a sus datos personales o a la rectificación de éstos.</w:t>
      </w:r>
    </w:p>
    <w:p w:rsidR="007C7BBE" w:rsidRPr="0003468C" w:rsidRDefault="009C0C68" w:rsidP="0003468C">
      <w:pPr>
        <w:numPr>
          <w:ilvl w:val="3"/>
          <w:numId w:val="4"/>
        </w:numPr>
        <w:pBdr>
          <w:top w:val="nil"/>
          <w:left w:val="nil"/>
          <w:bottom w:val="nil"/>
          <w:right w:val="nil"/>
          <w:between w:val="nil"/>
        </w:pBdr>
        <w:spacing w:after="0" w:line="360" w:lineRule="auto"/>
        <w:ind w:left="567"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Se establecerán mecanismos de acceso a la información y procedimientos de revisión expeditos que se sustanciarán ante el organismo autónomo especializado e imparcial que establece esta Constitución.</w:t>
      </w:r>
    </w:p>
    <w:p w:rsidR="007C7BBE" w:rsidRPr="0003468C" w:rsidRDefault="009C0C68" w:rsidP="0003468C">
      <w:pPr>
        <w:numPr>
          <w:ilvl w:val="3"/>
          <w:numId w:val="4"/>
        </w:numPr>
        <w:pBdr>
          <w:top w:val="nil"/>
          <w:left w:val="nil"/>
          <w:bottom w:val="nil"/>
          <w:right w:val="nil"/>
          <w:between w:val="nil"/>
        </w:pBdr>
        <w:spacing w:after="0" w:line="360" w:lineRule="auto"/>
        <w:ind w:left="567"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 xml:space="preserve">Los procedimientos de acceso a la información pública, de acceso, corrección y supresión de datos personales, así como los recursos de revisión derivados de los mismos, podrán tramitarse </w:t>
      </w:r>
      <w:r w:rsidRPr="0003468C">
        <w:rPr>
          <w:rFonts w:ascii="Palatino Linotype" w:eastAsia="Palatino Linotype" w:hAnsi="Palatino Linotype" w:cs="Palatino Linotype"/>
          <w:i/>
          <w:iCs/>
          <w:color w:val="000000"/>
          <w:sz w:val="24"/>
          <w:szCs w:val="24"/>
        </w:rPr>
        <w:lastRenderedPageBreak/>
        <w:t>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C7BBE" w:rsidRPr="0003468C" w:rsidRDefault="009C0C68" w:rsidP="0003468C">
      <w:pPr>
        <w:numPr>
          <w:ilvl w:val="3"/>
          <w:numId w:val="4"/>
        </w:numPr>
        <w:pBdr>
          <w:top w:val="nil"/>
          <w:left w:val="nil"/>
          <w:bottom w:val="nil"/>
          <w:right w:val="nil"/>
          <w:between w:val="nil"/>
        </w:pBdr>
        <w:spacing w:after="0" w:line="360" w:lineRule="auto"/>
        <w:ind w:left="567"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Los sujetos obligados deberán preservar sus documentos en archivos administrativos actualizados y publicarán, a través de los medios electrónicos disponibles, la información completa y actualizada sobre el ejercicio de los recursos públicos</w:t>
      </w:r>
      <w:r w:rsidRPr="0003468C">
        <w:rPr>
          <w:rFonts w:ascii="Palatino Linotype" w:eastAsia="Palatino Linotype" w:hAnsi="Palatino Linotype" w:cs="Palatino Linotype"/>
          <w:i/>
          <w:iCs/>
          <w:color w:val="000000"/>
          <w:sz w:val="24"/>
          <w:szCs w:val="24"/>
        </w:rPr>
        <w:t xml:space="preserve"> y los indicadores que permitan rendir cuenta del cumplimiento de sus objetivos y los resultados obtenidos.</w:t>
      </w:r>
    </w:p>
    <w:p w:rsidR="007C7BBE" w:rsidRPr="0003468C" w:rsidRDefault="009C0C68" w:rsidP="0003468C">
      <w:pPr>
        <w:numPr>
          <w:ilvl w:val="3"/>
          <w:numId w:val="4"/>
        </w:numPr>
        <w:pBdr>
          <w:top w:val="nil"/>
          <w:left w:val="nil"/>
          <w:bottom w:val="nil"/>
          <w:right w:val="nil"/>
          <w:between w:val="nil"/>
        </w:pBdr>
        <w:spacing w:after="0" w:line="360" w:lineRule="auto"/>
        <w:ind w:left="567" w:right="-425" w:firstLine="0"/>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La ley reglamentaria, determinará la manera en que los sujetos obligados deberán hacer pública la información relativa a los recursos públicos que entreguen a personas físicas o jurídicas colectivas.”</w:t>
      </w:r>
    </w:p>
    <w:p w:rsidR="007C7BBE" w:rsidRPr="0003468C" w:rsidRDefault="007C7BBE" w:rsidP="0003468C">
      <w:pPr>
        <w:pBdr>
          <w:top w:val="nil"/>
          <w:left w:val="nil"/>
          <w:bottom w:val="nil"/>
          <w:right w:val="nil"/>
          <w:between w:val="nil"/>
        </w:pBdr>
        <w:spacing w:after="0"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Adicional, tenemos que la Ley de Transparencia y Acceso a la Información Pública del Estado de México y Municipios, prevé en su artículo 23 fracción I, lo siguiente:</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b/>
          <w:bCs/>
          <w:i/>
          <w:iCs/>
          <w:color w:val="000000"/>
          <w:sz w:val="24"/>
          <w:szCs w:val="24"/>
        </w:rPr>
        <w:t>“Artículo 23.</w:t>
      </w:r>
      <w:r w:rsidRPr="0003468C">
        <w:rPr>
          <w:rFonts w:ascii="Palatino Linotype" w:eastAsia="Palatino Linotype" w:hAnsi="Palatino Linotype" w:cs="Palatino Linotype"/>
          <w:i/>
          <w:iCs/>
          <w:color w:val="000000"/>
          <w:sz w:val="24"/>
          <w:szCs w:val="24"/>
        </w:rPr>
        <w:t xml:space="preserve"> Son sujetos obligados a transparentar y permitir el acceso a su información y proteger los datos personales que obren en su poder:</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 xml:space="preserve">I. El Poder Ejecutivo del Estado de México, las dependencias, organismos auxiliares, órganos, entidades, fideicomisos y fondos públicos, así como la Fiscalía General de Justicia del Estado de México; </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w:t>
      </w: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C7BBE" w:rsidRPr="0003468C" w:rsidRDefault="007C7BBE" w:rsidP="0003468C">
      <w:pPr>
        <w:spacing w:line="360" w:lineRule="auto"/>
        <w:ind w:left="567" w:right="-425"/>
        <w:jc w:val="both"/>
        <w:rPr>
          <w:rFonts w:ascii="Palatino Linotype" w:eastAsia="Palatino Linotype" w:hAnsi="Palatino Linotype" w:cs="Palatino Linotype"/>
          <w:i/>
          <w:iCs/>
          <w:color w:val="000000"/>
          <w:sz w:val="24"/>
          <w:szCs w:val="24"/>
        </w:rPr>
      </w:pPr>
    </w:p>
    <w:p w:rsidR="007C7BBE" w:rsidRPr="0003468C" w:rsidRDefault="009C0C68" w:rsidP="0003468C">
      <w:pPr>
        <w:pBdr>
          <w:top w:val="nil"/>
          <w:left w:val="nil"/>
          <w:bottom w:val="nil"/>
          <w:right w:val="nil"/>
          <w:between w:val="nil"/>
        </w:pBdr>
        <w:spacing w:line="360" w:lineRule="auto"/>
        <w:ind w:left="567" w:right="-425"/>
        <w:jc w:val="both"/>
        <w:rPr>
          <w:rFonts w:ascii="Palatino Linotype" w:eastAsia="Palatino Linotype" w:hAnsi="Palatino Linotype" w:cs="Palatino Linotype"/>
          <w:i/>
          <w:iCs/>
          <w:color w:val="000000"/>
          <w:sz w:val="24"/>
          <w:szCs w:val="24"/>
        </w:rPr>
      </w:pPr>
      <w:r w:rsidRPr="0003468C">
        <w:rPr>
          <w:rFonts w:ascii="Palatino Linotype" w:eastAsia="Palatino Linotype" w:hAnsi="Palatino Linotype" w:cs="Palatino Linotype"/>
          <w:i/>
          <w:iCs/>
          <w:color w:val="000000"/>
          <w:sz w:val="24"/>
          <w:szCs w:val="24"/>
        </w:rPr>
        <w:t>Los servidores públicos deberán transparentar sus acciones así como garantizar y respetar el derecho de acceso a la información pública.”</w:t>
      </w:r>
    </w:p>
    <w:p w:rsidR="007C7BBE" w:rsidRPr="0003468C" w:rsidRDefault="007C7BBE" w:rsidP="0003468C">
      <w:pPr>
        <w:spacing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Por lo anterior, es de referir que, el </w:t>
      </w:r>
      <w:r w:rsidRPr="0003468C">
        <w:rPr>
          <w:rFonts w:ascii="Palatino Linotype" w:eastAsia="Palatino Linotype" w:hAnsi="Palatino Linotype" w:cs="Palatino Linotype"/>
          <w:b/>
          <w:bCs/>
          <w:color w:val="000000"/>
          <w:sz w:val="24"/>
          <w:szCs w:val="24"/>
        </w:rPr>
        <w:t>Ayuntamiento de Atizapán de Zaragoza</w:t>
      </w:r>
      <w:r w:rsidRPr="0003468C">
        <w:rPr>
          <w:rFonts w:ascii="Palatino Linotype" w:eastAsia="Palatino Linotype" w:hAnsi="Palatino Linotype" w:cs="Palatino Linotype"/>
          <w:color w:val="000000"/>
          <w:sz w:val="24"/>
          <w:szCs w:val="24"/>
        </w:rPr>
        <w:t>, al ser un Sujeto Obligado comprendido por la Legislación Local en materia de Transparencia, se encuentra obligado a hacer pública toda aquella información que genere, administre o posea.</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pBdr>
          <w:top w:val="nil"/>
          <w:left w:val="nil"/>
          <w:bottom w:val="nil"/>
          <w:right w:val="nil"/>
          <w:between w:val="nil"/>
        </w:pBdr>
        <w:tabs>
          <w:tab w:val="left" w:pos="851"/>
        </w:tabs>
        <w:spacing w:line="360" w:lineRule="auto"/>
        <w:ind w:right="-425"/>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b/>
          <w:bCs/>
          <w:color w:val="000000"/>
          <w:sz w:val="24"/>
          <w:szCs w:val="24"/>
        </w:rPr>
        <w:t>QUINTO. De la versión pública.</w:t>
      </w:r>
    </w:p>
    <w:p w:rsidR="007C7BBE" w:rsidRPr="0003468C" w:rsidRDefault="009C0C68" w:rsidP="0003468C">
      <w:pPr>
        <w:numPr>
          <w:ilvl w:val="0"/>
          <w:numId w:val="2"/>
        </w:numPr>
        <w:pBdr>
          <w:top w:val="nil"/>
          <w:left w:val="nil"/>
          <w:bottom w:val="nil"/>
          <w:right w:val="nil"/>
          <w:between w:val="nil"/>
        </w:pBdr>
        <w:tabs>
          <w:tab w:val="left" w:pos="851"/>
        </w:tabs>
        <w:spacing w:line="360" w:lineRule="auto"/>
        <w:ind w:right="-425"/>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b/>
          <w:bCs/>
          <w:color w:val="000000"/>
          <w:sz w:val="24"/>
          <w:szCs w:val="24"/>
        </w:rPr>
        <w:t xml:space="preserve">Nociones generales. </w:t>
      </w: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Debe destacarse que, debido a la naturaleza de la información solicitada</w:t>
      </w:r>
      <w:r w:rsidRPr="0003468C">
        <w:rPr>
          <w:rFonts w:ascii="Palatino Linotype" w:eastAsia="Palatino Linotype" w:hAnsi="Palatino Linotype" w:cs="Palatino Linotype"/>
          <w:b/>
          <w:bCs/>
          <w:color w:val="000000"/>
          <w:sz w:val="24"/>
          <w:szCs w:val="24"/>
        </w:rPr>
        <w:t xml:space="preserve">, </w:t>
      </w:r>
      <w:r w:rsidRPr="0003468C">
        <w:rPr>
          <w:rFonts w:ascii="Palatino Linotype" w:eastAsia="Palatino Linotype" w:hAnsi="Palatino Linotype" w:cs="Palatino Linotype"/>
          <w:color w:val="000000"/>
          <w:sz w:val="24"/>
          <w:szCs w:val="24"/>
        </w:rPr>
        <w:t xml:space="preserve">eventualmente pudiera obrar datos personales susceptibles de protegerse, el </w:t>
      </w:r>
      <w:r w:rsidRPr="0003468C">
        <w:rPr>
          <w:rFonts w:ascii="Palatino Linotype" w:eastAsia="Palatino Linotype" w:hAnsi="Palatino Linotype" w:cs="Palatino Linotype"/>
          <w:b/>
          <w:bCs/>
          <w:color w:val="000000"/>
          <w:sz w:val="24"/>
          <w:szCs w:val="24"/>
        </w:rPr>
        <w:t xml:space="preserve">SUJETO </w:t>
      </w:r>
      <w:r w:rsidRPr="0003468C">
        <w:rPr>
          <w:rFonts w:ascii="Palatino Linotype" w:eastAsia="Palatino Linotype" w:hAnsi="Palatino Linotype" w:cs="Palatino Linotype"/>
          <w:b/>
          <w:bCs/>
          <w:color w:val="000000"/>
          <w:sz w:val="24"/>
          <w:szCs w:val="24"/>
        </w:rPr>
        <w:lastRenderedPageBreak/>
        <w:t xml:space="preserve">OBLIGADO </w:t>
      </w:r>
      <w:r w:rsidRPr="0003468C">
        <w:rPr>
          <w:rFonts w:ascii="Palatino Linotype" w:eastAsia="Palatino Linotype" w:hAnsi="Palatino Linotype" w:cs="Palatino Linotype"/>
          <w:color w:val="000000"/>
          <w:sz w:val="24"/>
          <w:szCs w:val="24"/>
        </w:rPr>
        <w:t xml:space="preserve">deberá de hacer la adecuada versión pública, protegiendo los datos que no son susceptibles de ser proporcionados. </w:t>
      </w:r>
    </w:p>
    <w:p w:rsidR="007C7BBE" w:rsidRPr="0003468C" w:rsidRDefault="007C7BBE" w:rsidP="0003468C">
      <w:pPr>
        <w:pBdr>
          <w:top w:val="nil"/>
          <w:left w:val="nil"/>
          <w:bottom w:val="nil"/>
          <w:right w:val="nil"/>
          <w:between w:val="nil"/>
        </w:pBdr>
        <w:spacing w:after="0"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No pasa desapercibido para este Órgano Garante que los Sujetos Obligados 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7C7BBE" w:rsidRPr="0003468C" w:rsidRDefault="007C7BBE" w:rsidP="0003468C">
      <w:pPr>
        <w:pBdr>
          <w:top w:val="nil"/>
          <w:left w:val="nil"/>
          <w:bottom w:val="nil"/>
          <w:right w:val="nil"/>
          <w:between w:val="nil"/>
        </w:pBdr>
        <w:tabs>
          <w:tab w:val="left" w:pos="851"/>
        </w:tabs>
        <w:spacing w:line="360" w:lineRule="auto"/>
        <w:ind w:right="-425"/>
        <w:jc w:val="both"/>
        <w:rPr>
          <w:rFonts w:ascii="Palatino Linotype" w:eastAsia="Palatino Linotype" w:hAnsi="Palatino Linotype" w:cs="Palatino Linotype"/>
          <w:color w:val="000000"/>
          <w:sz w:val="24"/>
          <w:szCs w:val="24"/>
        </w:rPr>
      </w:pPr>
    </w:p>
    <w:tbl>
      <w:tblPr>
        <w:tblStyle w:val="a"/>
        <w:tblW w:w="9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7087"/>
      </w:tblGrid>
      <w:tr w:rsidR="007C7BBE" w:rsidRPr="0003468C" w:rsidTr="0003468C">
        <w:tc>
          <w:tcPr>
            <w:tcW w:w="2809" w:type="dxa"/>
            <w:vAlign w:val="center"/>
          </w:tcPr>
          <w:p w:rsidR="007C7BBE" w:rsidRPr="0003468C" w:rsidRDefault="009C0C68" w:rsidP="0003468C">
            <w:pPr>
              <w:pBdr>
                <w:top w:val="nil"/>
                <w:left w:val="nil"/>
                <w:bottom w:val="nil"/>
                <w:right w:val="nil"/>
                <w:between w:val="nil"/>
              </w:pBdr>
              <w:spacing w:line="240" w:lineRule="auto"/>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a) Requisitos previos.</w:t>
            </w:r>
          </w:p>
        </w:tc>
        <w:tc>
          <w:tcPr>
            <w:tcW w:w="7087" w:type="dxa"/>
          </w:tcPr>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Al hacerlo tienen que precisar de qué información se trata, señalando el supuesto de clasificación (confidencialidad o reserva).</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Además, se debe señalar el procedimiento, de los tres que establecen los artículos 132 y 106 de la Ley Estatal y General vigente al momento de interponer la solicitud de información, respectivamente.</w:t>
            </w:r>
          </w:p>
          <w:p w:rsidR="007C7BBE" w:rsidRPr="0003468C" w:rsidRDefault="007C7BBE"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El último de estos requisitos previos consiste en que no se pueden emitir acuerdos de carácter general ni particular, esto es, </w:t>
            </w:r>
            <w:r w:rsidRPr="0003468C">
              <w:rPr>
                <w:rFonts w:ascii="Palatino Linotype" w:eastAsia="Palatino Linotype" w:hAnsi="Palatino Linotype" w:cs="Palatino Linotype"/>
                <w:color w:val="000000"/>
                <w:sz w:val="24"/>
                <w:szCs w:val="24"/>
                <w:u w:val="single"/>
              </w:rPr>
              <w:t>no se puede hacer un acuerdo para clasificar de manera general todos los documentos de un expediente o área, sin</w:t>
            </w:r>
            <w:r w:rsidRPr="0003468C">
              <w:rPr>
                <w:rFonts w:ascii="Palatino Linotype" w:eastAsia="Palatino Linotype" w:hAnsi="Palatino Linotype" w:cs="Palatino Linotype"/>
                <w:color w:val="000000"/>
                <w:sz w:val="24"/>
                <w:szCs w:val="24"/>
              </w:rPr>
              <w:t xml:space="preserve"> individualizar su análisis y tampoco se puede hacer un acuerdo por cada dato que </w:t>
            </w:r>
            <w:r w:rsidRPr="0003468C">
              <w:rPr>
                <w:rFonts w:ascii="Palatino Linotype" w:eastAsia="Palatino Linotype" w:hAnsi="Palatino Linotype" w:cs="Palatino Linotype"/>
                <w:color w:val="000000"/>
                <w:sz w:val="24"/>
                <w:szCs w:val="24"/>
              </w:rPr>
              <w:lastRenderedPageBreak/>
              <w:t>se vaya a clasificar dentro de un documento con diez datos, por ejemplo, susceptibles de ser clasificados.</w:t>
            </w:r>
          </w:p>
        </w:tc>
      </w:tr>
      <w:tr w:rsidR="007C7BBE" w:rsidRPr="0003468C" w:rsidTr="0003468C">
        <w:tc>
          <w:tcPr>
            <w:tcW w:w="2809" w:type="dxa"/>
            <w:vAlign w:val="center"/>
          </w:tcPr>
          <w:p w:rsidR="007C7BBE" w:rsidRPr="0003468C" w:rsidRDefault="009C0C68" w:rsidP="0003468C">
            <w:pPr>
              <w:pBdr>
                <w:top w:val="nil"/>
                <w:left w:val="nil"/>
                <w:bottom w:val="nil"/>
                <w:right w:val="nil"/>
                <w:between w:val="nil"/>
              </w:pBdr>
              <w:spacing w:line="240" w:lineRule="auto"/>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lastRenderedPageBreak/>
              <w:t>b) Supuestos de clasificación.</w:t>
            </w:r>
          </w:p>
        </w:tc>
        <w:tc>
          <w:tcPr>
            <w:tcW w:w="7087" w:type="dxa"/>
          </w:tcPr>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Las disposiciones constitucionales y legales en la materia establecen los dos supuestos generales para clasificar la información: por reserva y por confidencialidad.</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El </w:t>
            </w:r>
            <w:r w:rsidRPr="0003468C">
              <w:rPr>
                <w:rFonts w:ascii="Palatino Linotype" w:eastAsia="Palatino Linotype" w:hAnsi="Palatino Linotype" w:cs="Palatino Linotype"/>
                <w:b/>
                <w:bCs/>
                <w:color w:val="000000"/>
                <w:sz w:val="24"/>
                <w:szCs w:val="24"/>
              </w:rPr>
              <w:t>Sujeto Obligado</w:t>
            </w:r>
            <w:r w:rsidRPr="0003468C">
              <w:rPr>
                <w:rFonts w:ascii="Palatino Linotype" w:eastAsia="Palatino Linotype" w:hAnsi="Palatino Linotype" w:cs="Palatino Linotype"/>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C7BBE" w:rsidRPr="0003468C" w:rsidTr="0003468C">
        <w:tc>
          <w:tcPr>
            <w:tcW w:w="2809" w:type="dxa"/>
            <w:vAlign w:val="center"/>
          </w:tcPr>
          <w:p w:rsidR="007C7BBE" w:rsidRPr="0003468C" w:rsidRDefault="009C0C68" w:rsidP="0003468C">
            <w:pPr>
              <w:pBdr>
                <w:top w:val="nil"/>
                <w:left w:val="nil"/>
                <w:bottom w:val="nil"/>
                <w:right w:val="nil"/>
                <w:between w:val="nil"/>
              </w:pBdr>
              <w:spacing w:line="240" w:lineRule="auto"/>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c) Formalidades para emitir el acuerdo de clasificación.</w:t>
            </w:r>
          </w:p>
        </w:tc>
        <w:tc>
          <w:tcPr>
            <w:tcW w:w="7087" w:type="dxa"/>
          </w:tcPr>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El Comité de Transparencia, según lo dispuesto en los artículos cuenta con las facultades para aprobar, modificar o revocar la clasificación de la información que haya propuesto. </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Es necesario que </w:t>
            </w:r>
            <w:r w:rsidRPr="0003468C">
              <w:rPr>
                <w:rFonts w:ascii="Palatino Linotype" w:eastAsia="Palatino Linotype" w:hAnsi="Palatino Linotype" w:cs="Palatino Linotype"/>
                <w:b/>
                <w:bCs/>
                <w:color w:val="000000"/>
                <w:sz w:val="24"/>
                <w:szCs w:val="24"/>
                <w:u w:val="single"/>
              </w:rPr>
              <w:t>el acto reúna con los requisitos elementales</w:t>
            </w:r>
            <w:r w:rsidRPr="0003468C">
              <w:rPr>
                <w:rFonts w:ascii="Palatino Linotype" w:eastAsia="Palatino Linotype" w:hAnsi="Palatino Linotype" w:cs="Palatino Linotype"/>
                <w:color w:val="000000"/>
                <w:sz w:val="24"/>
                <w:szCs w:val="24"/>
              </w:rPr>
              <w:t>, entre ellos, que la autoridad que va a emitir el acto de autoridad sea la legalmente facultada para ello.</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w:t>
            </w:r>
            <w:r w:rsidRPr="0003468C">
              <w:rPr>
                <w:rFonts w:ascii="Palatino Linotype" w:eastAsia="Palatino Linotype" w:hAnsi="Palatino Linotype" w:cs="Palatino Linotype"/>
                <w:color w:val="000000"/>
                <w:sz w:val="24"/>
                <w:szCs w:val="24"/>
              </w:rPr>
              <w:lastRenderedPageBreak/>
              <w:t>agenda de los asuntos a tratar en las sesiones, se insiste, a partir de las decisiones adoptadas previamente por los titulares de áreas y que son sujetas a control, en primera instancia, por el Comité de Transparencia.</w:t>
            </w:r>
          </w:p>
        </w:tc>
      </w:tr>
      <w:tr w:rsidR="007C7BBE" w:rsidRPr="0003468C" w:rsidTr="0003468C">
        <w:tc>
          <w:tcPr>
            <w:tcW w:w="2809" w:type="dxa"/>
            <w:vAlign w:val="center"/>
          </w:tcPr>
          <w:p w:rsidR="007C7BBE" w:rsidRPr="0003468C" w:rsidRDefault="007C7BBE" w:rsidP="0003468C">
            <w:pPr>
              <w:pBdr>
                <w:top w:val="nil"/>
                <w:left w:val="nil"/>
                <w:bottom w:val="nil"/>
                <w:right w:val="nil"/>
                <w:between w:val="nil"/>
              </w:pBdr>
              <w:spacing w:line="240" w:lineRule="auto"/>
              <w:rPr>
                <w:rFonts w:ascii="Palatino Linotype" w:eastAsia="Palatino Linotype" w:hAnsi="Palatino Linotype" w:cs="Palatino Linotype"/>
                <w:color w:val="000000"/>
                <w:sz w:val="24"/>
                <w:szCs w:val="24"/>
              </w:rPr>
            </w:pPr>
          </w:p>
          <w:p w:rsidR="007C7BBE" w:rsidRPr="0003468C" w:rsidRDefault="009C0C68" w:rsidP="0003468C">
            <w:pPr>
              <w:pBdr>
                <w:top w:val="nil"/>
                <w:left w:val="nil"/>
                <w:bottom w:val="nil"/>
                <w:right w:val="nil"/>
                <w:between w:val="nil"/>
              </w:pBdr>
              <w:spacing w:line="240" w:lineRule="auto"/>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d) Requisitos de fondo del acuerdo de clasificación. </w:t>
            </w:r>
          </w:p>
        </w:tc>
        <w:tc>
          <w:tcPr>
            <w:tcW w:w="7087" w:type="dxa"/>
          </w:tcPr>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3468C">
              <w:rPr>
                <w:rFonts w:ascii="Palatino Linotype" w:eastAsia="Palatino Linotype" w:hAnsi="Palatino Linotype" w:cs="Palatino Linotype"/>
                <w:b/>
                <w:bCs/>
                <w:color w:val="000000"/>
                <w:sz w:val="24"/>
                <w:szCs w:val="24"/>
              </w:rPr>
              <w:t>Sujetos Obligados</w:t>
            </w:r>
            <w:r w:rsidRPr="0003468C">
              <w:rPr>
                <w:rFonts w:ascii="Palatino Linotype" w:eastAsia="Palatino Linotype" w:hAnsi="Palatino Linotype" w:cs="Palatino Linotype"/>
                <w:color w:val="000000"/>
                <w:sz w:val="24"/>
                <w:szCs w:val="24"/>
              </w:rPr>
              <w:t xml:space="preserve">, por lo que deberán fundar y motivar debidamente la clasificación. </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De lo anterior, se desprende que para una correcta </w:t>
            </w:r>
            <w:r w:rsidRPr="0003468C">
              <w:rPr>
                <w:rFonts w:ascii="Palatino Linotype" w:eastAsia="Palatino Linotype" w:hAnsi="Palatino Linotype" w:cs="Palatino Linotype"/>
                <w:b/>
                <w:bCs/>
                <w:color w:val="000000"/>
                <w:sz w:val="24"/>
                <w:szCs w:val="24"/>
              </w:rPr>
              <w:t>clasificación total o parcial</w:t>
            </w:r>
            <w:r w:rsidRPr="0003468C">
              <w:rPr>
                <w:rFonts w:ascii="Palatino Linotype" w:eastAsia="Palatino Linotype" w:hAnsi="Palatino Linotype" w:cs="Palatino Linotype"/>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En ese mismo sentido, el numeral trigésimo tercero fracción V de los Lineamientos Generales, precisa que para motivar la clasificación se deben acreditar las circunstancias de tiempo, modo y lugar.</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Ahora bien, </w:t>
            </w:r>
            <w:r w:rsidRPr="0003468C">
              <w:rPr>
                <w:rFonts w:ascii="Palatino Linotype" w:eastAsia="Palatino Linotype" w:hAnsi="Palatino Linotype" w:cs="Palatino Linotype"/>
                <w:b/>
                <w:bCs/>
                <w:color w:val="000000"/>
                <w:sz w:val="24"/>
                <w:szCs w:val="24"/>
                <w:u w:val="single"/>
              </w:rPr>
              <w:t>para cada caso además de fundar y motivar</w:t>
            </w:r>
            <w:r w:rsidRPr="0003468C">
              <w:rPr>
                <w:rFonts w:ascii="Palatino Linotype" w:eastAsia="Palatino Linotype" w:hAnsi="Palatino Linotype" w:cs="Palatino Linotype"/>
                <w:color w:val="000000"/>
                <w:sz w:val="24"/>
                <w:szCs w:val="24"/>
              </w:rPr>
              <w:t xml:space="preserve">, se debe identificar con claridad que datos contenidos en las documentales que son susceptibles de suprimirse, por ejemplo; Clave Única de Registro de Población (CURP), Registro Federal </w:t>
            </w:r>
            <w:r w:rsidRPr="0003468C">
              <w:rPr>
                <w:rFonts w:ascii="Palatino Linotype" w:eastAsia="Palatino Linotype" w:hAnsi="Palatino Linotype" w:cs="Palatino Linotype"/>
                <w:color w:val="000000"/>
                <w:sz w:val="24"/>
                <w:szCs w:val="24"/>
              </w:rPr>
              <w:lastRenderedPageBreak/>
              <w:t>de Contribuyentes (R.F.C.), claves de seguros, préstamos o descuentos personales, secretos bancario, fiduciario, industrial, comercial, fiscal, bursátil y postal, cuya titularidad corresponda a particulares, entre otros.</w:t>
            </w:r>
          </w:p>
        </w:tc>
      </w:tr>
      <w:tr w:rsidR="007C7BBE" w:rsidRPr="0003468C" w:rsidTr="0003468C">
        <w:tc>
          <w:tcPr>
            <w:tcW w:w="2809" w:type="dxa"/>
            <w:vAlign w:val="center"/>
          </w:tcPr>
          <w:p w:rsidR="007C7BBE" w:rsidRPr="0003468C" w:rsidRDefault="009C0C68" w:rsidP="0003468C">
            <w:pPr>
              <w:pBdr>
                <w:top w:val="nil"/>
                <w:left w:val="nil"/>
                <w:bottom w:val="nil"/>
                <w:right w:val="nil"/>
                <w:between w:val="nil"/>
              </w:pBdr>
              <w:spacing w:line="240" w:lineRule="auto"/>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lastRenderedPageBreak/>
              <w:t xml:space="preserve">e) Condiciones especiales de la clasificación de la información como confidencial. </w:t>
            </w:r>
          </w:p>
        </w:tc>
        <w:tc>
          <w:tcPr>
            <w:tcW w:w="7087" w:type="dxa"/>
          </w:tcPr>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C7BBE" w:rsidRPr="0003468C" w:rsidRDefault="009C0C68" w:rsidP="0003468C">
            <w:pPr>
              <w:pBdr>
                <w:top w:val="nil"/>
                <w:left w:val="nil"/>
                <w:bottom w:val="nil"/>
                <w:right w:val="nil"/>
                <w:between w:val="nil"/>
              </w:pBdr>
              <w:tabs>
                <w:tab w:val="left" w:pos="851"/>
              </w:tabs>
              <w:spacing w:line="240" w:lineRule="auto"/>
              <w:jc w:val="both"/>
              <w:rPr>
                <w:rFonts w:ascii="Palatino Linotype" w:eastAsia="Palatino Linotype" w:hAnsi="Palatino Linotype" w:cs="Palatino Linotype"/>
                <w:color w:val="000000"/>
                <w:sz w:val="24"/>
                <w:szCs w:val="24"/>
              </w:rPr>
            </w:pPr>
            <w:r w:rsidRPr="0003468C">
              <w:rPr>
                <w:rFonts w:ascii="Palatino Linotype" w:eastAsia="Palatino Linotype" w:hAnsi="Palatino Linotype" w:cs="Palatino Linotype"/>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7C7BBE" w:rsidRPr="0003468C" w:rsidRDefault="007C7BBE" w:rsidP="0003468C">
      <w:pPr>
        <w:pBdr>
          <w:top w:val="nil"/>
          <w:left w:val="nil"/>
          <w:bottom w:val="nil"/>
          <w:right w:val="nil"/>
          <w:between w:val="nil"/>
        </w:pBdr>
        <w:tabs>
          <w:tab w:val="left" w:pos="851"/>
        </w:tabs>
        <w:spacing w:line="360" w:lineRule="auto"/>
        <w:ind w:right="-425"/>
        <w:jc w:val="both"/>
        <w:rPr>
          <w:rFonts w:ascii="Palatino Linotype" w:eastAsia="Palatino Linotype" w:hAnsi="Palatino Linotype" w:cs="Palatino Linotype"/>
          <w:color w:val="000000"/>
          <w:sz w:val="24"/>
          <w:szCs w:val="24"/>
        </w:rPr>
      </w:pPr>
    </w:p>
    <w:p w:rsidR="007C7BBE" w:rsidRPr="0003468C" w:rsidRDefault="009C0C68" w:rsidP="0003468C">
      <w:pPr>
        <w:numPr>
          <w:ilvl w:val="0"/>
          <w:numId w:val="1"/>
        </w:numPr>
        <w:pBdr>
          <w:top w:val="nil"/>
          <w:left w:val="nil"/>
          <w:bottom w:val="nil"/>
          <w:right w:val="nil"/>
          <w:between w:val="nil"/>
        </w:pBdr>
        <w:spacing w:after="0" w:line="360" w:lineRule="auto"/>
        <w:ind w:left="0" w:right="-425" w:firstLine="0"/>
        <w:jc w:val="both"/>
        <w:rPr>
          <w:rFonts w:ascii="Palatino Linotype" w:eastAsia="Palatino Linotype" w:hAnsi="Palatino Linotype" w:cs="Palatino Linotype"/>
          <w:color w:val="000000"/>
          <w:sz w:val="24"/>
          <w:szCs w:val="24"/>
        </w:rPr>
      </w:pPr>
      <w:bookmarkStart w:id="8" w:name="_heading=h.tyjcwt" w:colFirst="0" w:colLast="0"/>
      <w:bookmarkEnd w:id="8"/>
      <w:r w:rsidRPr="0003468C">
        <w:rPr>
          <w:rFonts w:ascii="Palatino Linotype" w:eastAsia="Palatino Linotype" w:hAnsi="Palatino Linotype" w:cs="Palatino Linotype"/>
          <w:color w:val="000000"/>
          <w:sz w:val="24"/>
          <w:szCs w:val="24"/>
        </w:rPr>
        <w:t xml:space="preserve">Por lo anteriormente expuesto y fundado, este </w:t>
      </w:r>
      <w:r w:rsidRPr="0003468C">
        <w:rPr>
          <w:rFonts w:ascii="Palatino Linotype" w:eastAsia="Palatino Linotype" w:hAnsi="Palatino Linotype" w:cs="Palatino Linotype"/>
          <w:b/>
          <w:bCs/>
          <w:color w:val="000000"/>
          <w:sz w:val="24"/>
          <w:szCs w:val="24"/>
        </w:rPr>
        <w:t>ÓRGANO GARANTE</w:t>
      </w:r>
      <w:r w:rsidRPr="0003468C">
        <w:rPr>
          <w:rFonts w:ascii="Palatino Linotype" w:eastAsia="Palatino Linotype" w:hAnsi="Palatino Linotype" w:cs="Palatino Linotype"/>
          <w:color w:val="000000"/>
          <w:sz w:val="24"/>
          <w:szCs w:val="24"/>
        </w:rPr>
        <w:t xml:space="preserve"> emite los siguientes:</w:t>
      </w:r>
    </w:p>
    <w:p w:rsidR="007C7BBE" w:rsidRPr="0003468C" w:rsidRDefault="009C0C68" w:rsidP="0003468C">
      <w:pPr>
        <w:pStyle w:val="Ttulo1"/>
        <w:spacing w:before="0" w:line="360" w:lineRule="auto"/>
        <w:ind w:right="-425"/>
        <w:jc w:val="center"/>
        <w:rPr>
          <w:rFonts w:ascii="Palatino Linotype" w:eastAsia="Palatino Linotype" w:hAnsi="Palatino Linotype" w:cs="Palatino Linotype"/>
          <w:b/>
          <w:bCs/>
          <w:color w:val="000000"/>
          <w:sz w:val="24"/>
          <w:szCs w:val="24"/>
        </w:rPr>
      </w:pPr>
      <w:r w:rsidRPr="0003468C">
        <w:rPr>
          <w:rFonts w:ascii="Palatino Linotype" w:eastAsia="Palatino Linotype" w:hAnsi="Palatino Linotype" w:cs="Palatino Linotype"/>
          <w:b/>
          <w:bCs/>
          <w:color w:val="000000"/>
          <w:sz w:val="24"/>
          <w:szCs w:val="24"/>
        </w:rPr>
        <w:t>R E S O L U T I V O S</w:t>
      </w:r>
    </w:p>
    <w:p w:rsidR="007C7BBE" w:rsidRPr="0003468C" w:rsidRDefault="007C7BBE" w:rsidP="0003468C">
      <w:pPr>
        <w:spacing w:line="360" w:lineRule="auto"/>
        <w:ind w:right="-425"/>
        <w:rPr>
          <w:rFonts w:ascii="Palatino Linotype" w:eastAsia="Palatino Linotype" w:hAnsi="Palatino Linotype" w:cs="Palatino Linotype"/>
          <w:sz w:val="24"/>
          <w:szCs w:val="24"/>
        </w:rPr>
      </w:pPr>
    </w:p>
    <w:p w:rsidR="007C7BBE" w:rsidRPr="0003468C" w:rsidRDefault="009C0C68" w:rsidP="0003468C">
      <w:pPr>
        <w:spacing w:line="360" w:lineRule="auto"/>
        <w:ind w:right="-425"/>
        <w:jc w:val="both"/>
        <w:rPr>
          <w:rFonts w:ascii="Palatino Linotype" w:eastAsia="Palatino Linotype" w:hAnsi="Palatino Linotype" w:cs="Palatino Linotype"/>
          <w:sz w:val="24"/>
          <w:szCs w:val="24"/>
        </w:rPr>
      </w:pPr>
      <w:r w:rsidRPr="0003468C">
        <w:rPr>
          <w:rFonts w:ascii="Palatino Linotype" w:eastAsia="Palatino Linotype" w:hAnsi="Palatino Linotype" w:cs="Palatino Linotype"/>
          <w:b/>
          <w:bCs/>
          <w:sz w:val="24"/>
          <w:szCs w:val="24"/>
        </w:rPr>
        <w:t>PRIMERO</w:t>
      </w:r>
      <w:r w:rsidRPr="0003468C">
        <w:rPr>
          <w:rFonts w:ascii="Palatino Linotype" w:eastAsia="Palatino Linotype" w:hAnsi="Palatino Linotype" w:cs="Palatino Linotype"/>
          <w:sz w:val="24"/>
          <w:szCs w:val="24"/>
        </w:rPr>
        <w:t xml:space="preserve">. Resultan parcialmente fundadas las razones o motivos de inconformidad hechos valer en el Recurso de Revisión </w:t>
      </w:r>
      <w:r w:rsidRPr="0003468C">
        <w:rPr>
          <w:rFonts w:ascii="Palatino Linotype" w:eastAsia="Palatino Linotype" w:hAnsi="Palatino Linotype" w:cs="Palatino Linotype"/>
          <w:b/>
          <w:bCs/>
          <w:sz w:val="24"/>
          <w:szCs w:val="24"/>
        </w:rPr>
        <w:t>08043/INFOEM/IP/RR/2025</w:t>
      </w:r>
      <w:r w:rsidRPr="0003468C">
        <w:rPr>
          <w:rFonts w:ascii="Palatino Linotype" w:eastAsia="Palatino Linotype" w:hAnsi="Palatino Linotype" w:cs="Palatino Linotype"/>
          <w:sz w:val="24"/>
          <w:szCs w:val="24"/>
        </w:rPr>
        <w:t>,</w:t>
      </w:r>
      <w:r w:rsidRPr="0003468C">
        <w:rPr>
          <w:rFonts w:ascii="Palatino Linotype" w:eastAsia="Palatino Linotype" w:hAnsi="Palatino Linotype" w:cs="Palatino Linotype"/>
          <w:b/>
          <w:bCs/>
          <w:sz w:val="24"/>
          <w:szCs w:val="24"/>
        </w:rPr>
        <w:t xml:space="preserve"> </w:t>
      </w:r>
      <w:r w:rsidRPr="0003468C">
        <w:rPr>
          <w:rFonts w:ascii="Palatino Linotype" w:eastAsia="Palatino Linotype" w:hAnsi="Palatino Linotype" w:cs="Palatino Linotype"/>
          <w:sz w:val="24"/>
          <w:szCs w:val="24"/>
        </w:rPr>
        <w:t>en términos del Considerando Cuarto y Quinto de la presente Resolución.</w:t>
      </w:r>
    </w:p>
    <w:p w:rsidR="007C7BBE" w:rsidRPr="0003468C" w:rsidRDefault="007C7BBE" w:rsidP="0003468C">
      <w:pPr>
        <w:spacing w:line="360" w:lineRule="auto"/>
        <w:ind w:right="-425"/>
        <w:jc w:val="both"/>
        <w:rPr>
          <w:rFonts w:ascii="Palatino Linotype" w:eastAsia="Palatino Linotype" w:hAnsi="Palatino Linotype" w:cs="Palatino Linotype"/>
          <w:sz w:val="24"/>
          <w:szCs w:val="24"/>
        </w:rPr>
      </w:pPr>
    </w:p>
    <w:p w:rsidR="007C7BBE" w:rsidRPr="0003468C" w:rsidRDefault="009C0C68" w:rsidP="0003468C">
      <w:pPr>
        <w:spacing w:line="360" w:lineRule="auto"/>
        <w:ind w:right="-425"/>
        <w:jc w:val="both"/>
        <w:rPr>
          <w:rFonts w:ascii="Palatino Linotype" w:eastAsia="Palatino Linotype" w:hAnsi="Palatino Linotype" w:cs="Palatino Linotype"/>
          <w:sz w:val="24"/>
          <w:szCs w:val="24"/>
        </w:rPr>
      </w:pPr>
      <w:bookmarkStart w:id="9" w:name="_heading=h.2s8eyo1" w:colFirst="0" w:colLast="0"/>
      <w:bookmarkEnd w:id="9"/>
      <w:r w:rsidRPr="0003468C">
        <w:rPr>
          <w:rFonts w:ascii="Palatino Linotype" w:eastAsia="Palatino Linotype" w:hAnsi="Palatino Linotype" w:cs="Palatino Linotype"/>
          <w:b/>
          <w:bCs/>
          <w:sz w:val="24"/>
          <w:szCs w:val="24"/>
        </w:rPr>
        <w:lastRenderedPageBreak/>
        <w:t xml:space="preserve">SEGUNDO. Se MODIFICA </w:t>
      </w:r>
      <w:r w:rsidRPr="0003468C">
        <w:rPr>
          <w:rFonts w:ascii="Palatino Linotype" w:eastAsia="Palatino Linotype" w:hAnsi="Palatino Linotype" w:cs="Palatino Linotype"/>
          <w:sz w:val="24"/>
          <w:szCs w:val="24"/>
        </w:rPr>
        <w:t>la respuesta emitida por el</w:t>
      </w:r>
      <w:r w:rsidRPr="0003468C">
        <w:rPr>
          <w:rFonts w:ascii="Palatino Linotype" w:eastAsia="Palatino Linotype" w:hAnsi="Palatino Linotype" w:cs="Palatino Linotype"/>
          <w:b/>
          <w:bCs/>
          <w:sz w:val="24"/>
          <w:szCs w:val="24"/>
        </w:rPr>
        <w:t xml:space="preserve"> Ayuntamiento de Atizapán de Zaragoza </w:t>
      </w:r>
      <w:r w:rsidRPr="0003468C">
        <w:rPr>
          <w:rFonts w:ascii="Palatino Linotype" w:eastAsia="Palatino Linotype" w:hAnsi="Palatino Linotype" w:cs="Palatino Linotype"/>
          <w:sz w:val="24"/>
          <w:szCs w:val="24"/>
        </w:rPr>
        <w:t>y se</w:t>
      </w:r>
      <w:r w:rsidRPr="0003468C">
        <w:rPr>
          <w:rFonts w:ascii="Palatino Linotype" w:eastAsia="Palatino Linotype" w:hAnsi="Palatino Linotype" w:cs="Palatino Linotype"/>
          <w:b/>
          <w:bCs/>
          <w:sz w:val="24"/>
          <w:szCs w:val="24"/>
        </w:rPr>
        <w:t xml:space="preserve"> ORDENA </w:t>
      </w:r>
      <w:r w:rsidRPr="0003468C">
        <w:rPr>
          <w:rFonts w:ascii="Palatino Linotype" w:eastAsia="Palatino Linotype" w:hAnsi="Palatino Linotype" w:cs="Palatino Linotype"/>
          <w:sz w:val="24"/>
          <w:szCs w:val="24"/>
        </w:rPr>
        <w:t>entregar, previa búsqueda exhaustiva y razonable, de ser procedente en versión pública, lo siguiente:</w:t>
      </w:r>
    </w:p>
    <w:p w:rsidR="007C7BBE" w:rsidRPr="0003468C" w:rsidRDefault="009C0C68" w:rsidP="0003468C">
      <w:pPr>
        <w:numPr>
          <w:ilvl w:val="0"/>
          <w:numId w:val="8"/>
        </w:numPr>
        <w:pBdr>
          <w:top w:val="nil"/>
          <w:left w:val="nil"/>
          <w:bottom w:val="nil"/>
          <w:right w:val="nil"/>
          <w:between w:val="nil"/>
        </w:pBdr>
        <w:spacing w:after="0" w:line="276" w:lineRule="auto"/>
        <w:ind w:right="-425"/>
        <w:jc w:val="both"/>
        <w:rPr>
          <w:rFonts w:ascii="Palatino Linotype" w:eastAsia="Palatino Linotype" w:hAnsi="Palatino Linotype" w:cs="Palatino Linotype"/>
          <w:b/>
          <w:bCs/>
          <w:color w:val="000000"/>
          <w:sz w:val="24"/>
          <w:szCs w:val="24"/>
        </w:rPr>
      </w:pPr>
      <w:r w:rsidRPr="0003468C">
        <w:rPr>
          <w:rFonts w:ascii="Palatino Linotype" w:eastAsia="Palatino Linotype" w:hAnsi="Palatino Linotype" w:cs="Palatino Linotype"/>
          <w:b/>
          <w:bCs/>
          <w:color w:val="000000"/>
          <w:sz w:val="24"/>
          <w:szCs w:val="24"/>
        </w:rPr>
        <w:t>Bitácoras de consumo de Gasolina/Diésel, de los años fiscales dos mil veintitrés y dos mil veinticuatro, del vehículo referido en la solicitud de información.</w:t>
      </w:r>
    </w:p>
    <w:p w:rsidR="007C7BBE" w:rsidRPr="0003468C" w:rsidRDefault="007C7BBE" w:rsidP="0003468C">
      <w:pPr>
        <w:pBdr>
          <w:top w:val="nil"/>
          <w:left w:val="nil"/>
          <w:bottom w:val="nil"/>
          <w:right w:val="nil"/>
          <w:between w:val="nil"/>
        </w:pBdr>
        <w:spacing w:after="0" w:line="276" w:lineRule="auto"/>
        <w:ind w:right="-425"/>
        <w:jc w:val="both"/>
        <w:rPr>
          <w:rFonts w:ascii="Palatino Linotype" w:eastAsia="Palatino Linotype" w:hAnsi="Palatino Linotype" w:cs="Palatino Linotype"/>
          <w:b/>
          <w:bCs/>
          <w:color w:val="000000"/>
          <w:sz w:val="24"/>
          <w:szCs w:val="24"/>
        </w:rPr>
      </w:pPr>
    </w:p>
    <w:p w:rsidR="007C7BBE" w:rsidRPr="0003468C" w:rsidRDefault="009C0C68" w:rsidP="0003468C">
      <w:pPr>
        <w:spacing w:line="360" w:lineRule="auto"/>
        <w:ind w:right="-425"/>
        <w:jc w:val="both"/>
        <w:rPr>
          <w:rFonts w:ascii="Palatino Linotype" w:eastAsia="Palatino Linotype" w:hAnsi="Palatino Linotype" w:cs="Palatino Linotype"/>
          <w:b/>
          <w:bCs/>
          <w:sz w:val="24"/>
          <w:szCs w:val="24"/>
        </w:rPr>
      </w:pPr>
      <w:r w:rsidRPr="0003468C">
        <w:rPr>
          <w:rFonts w:ascii="Palatino Linotype" w:eastAsia="Palatino Linotype" w:hAnsi="Palatino Linotype" w:cs="Palatino Linotype"/>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3468C">
        <w:rPr>
          <w:rFonts w:ascii="Palatino Linotype" w:eastAsia="Palatino Linotype" w:hAnsi="Palatino Linotype" w:cs="Palatino Linotype"/>
          <w:b/>
          <w:bCs/>
          <w:sz w:val="24"/>
          <w:szCs w:val="24"/>
        </w:rPr>
        <w:t>RECURRENTE.</w:t>
      </w:r>
    </w:p>
    <w:p w:rsidR="007C7BBE" w:rsidRPr="0003468C" w:rsidRDefault="007C7BBE" w:rsidP="0003468C">
      <w:pPr>
        <w:spacing w:line="360" w:lineRule="auto"/>
        <w:ind w:right="-425"/>
        <w:jc w:val="both"/>
        <w:rPr>
          <w:rFonts w:ascii="Palatino Linotype" w:eastAsia="Palatino Linotype" w:hAnsi="Palatino Linotype" w:cs="Palatino Linotype"/>
          <w:b/>
          <w:bCs/>
          <w:sz w:val="24"/>
          <w:szCs w:val="24"/>
        </w:rPr>
      </w:pPr>
    </w:p>
    <w:p w:rsidR="007C7BBE" w:rsidRPr="0003468C" w:rsidRDefault="009C0C68" w:rsidP="0003468C">
      <w:pPr>
        <w:spacing w:line="360" w:lineRule="auto"/>
        <w:ind w:right="-425"/>
        <w:jc w:val="both"/>
        <w:rPr>
          <w:rFonts w:ascii="Palatino Linotype" w:eastAsia="Palatino Linotype" w:hAnsi="Palatino Linotype" w:cs="Palatino Linotype"/>
          <w:sz w:val="24"/>
          <w:szCs w:val="24"/>
        </w:rPr>
      </w:pPr>
      <w:r w:rsidRPr="0003468C">
        <w:rPr>
          <w:rFonts w:ascii="Palatino Linotype" w:eastAsia="Palatino Linotype" w:hAnsi="Palatino Linotype" w:cs="Palatino Linotype"/>
          <w:b/>
          <w:bCs/>
          <w:sz w:val="24"/>
          <w:szCs w:val="24"/>
        </w:rPr>
        <w:t xml:space="preserve">TERCERO. Notifíquese </w:t>
      </w:r>
      <w:r w:rsidRPr="0003468C">
        <w:rPr>
          <w:rFonts w:ascii="Palatino Linotype" w:eastAsia="Palatino Linotype" w:hAnsi="Palatino Linotype" w:cs="Palatino Linotype"/>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3468C">
        <w:rPr>
          <w:rFonts w:ascii="Palatino Linotype" w:eastAsia="Palatino Linotype" w:hAnsi="Palatino Linotype" w:cs="Palatino Linotype"/>
          <w:b/>
          <w:bCs/>
          <w:sz w:val="24"/>
          <w:szCs w:val="24"/>
        </w:rPr>
        <w:t>dé cumplimiento a lo ordenado dentro del plazo de diez días hábiles,</w:t>
      </w:r>
      <w:r w:rsidRPr="0003468C">
        <w:rPr>
          <w:rFonts w:ascii="Palatino Linotype" w:eastAsia="Palatino Linotype" w:hAnsi="Palatino Linotype" w:cs="Palatino Linotype"/>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C7BBE" w:rsidRPr="0003468C" w:rsidRDefault="007C7BBE" w:rsidP="0003468C">
      <w:pPr>
        <w:spacing w:line="360" w:lineRule="auto"/>
        <w:ind w:right="-425"/>
        <w:jc w:val="both"/>
        <w:rPr>
          <w:rFonts w:ascii="Palatino Linotype" w:eastAsia="Palatino Linotype" w:hAnsi="Palatino Linotype" w:cs="Palatino Linotype"/>
          <w:sz w:val="24"/>
          <w:szCs w:val="24"/>
        </w:rPr>
      </w:pPr>
    </w:p>
    <w:p w:rsidR="007C7BBE" w:rsidRPr="0003468C" w:rsidRDefault="009C0C68" w:rsidP="0003468C">
      <w:pPr>
        <w:spacing w:line="360" w:lineRule="auto"/>
        <w:ind w:right="-425"/>
        <w:jc w:val="both"/>
        <w:rPr>
          <w:rFonts w:ascii="Palatino Linotype" w:eastAsia="Palatino Linotype" w:hAnsi="Palatino Linotype" w:cs="Palatino Linotype"/>
          <w:sz w:val="24"/>
          <w:szCs w:val="24"/>
        </w:rPr>
      </w:pPr>
      <w:r w:rsidRPr="0003468C">
        <w:rPr>
          <w:rFonts w:ascii="Palatino Linotype" w:eastAsia="Palatino Linotype" w:hAnsi="Palatino Linotype" w:cs="Palatino Linotype"/>
          <w:b/>
          <w:bCs/>
          <w:sz w:val="24"/>
          <w:szCs w:val="24"/>
        </w:rPr>
        <w:lastRenderedPageBreak/>
        <w:t xml:space="preserve">CUARTO. </w:t>
      </w:r>
      <w:r w:rsidRPr="0003468C">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03468C">
        <w:rPr>
          <w:rFonts w:ascii="Palatino Linotype" w:eastAsia="Palatino Linotype" w:hAnsi="Palatino Linotype" w:cs="Palatino Linotype"/>
          <w:b/>
          <w:bCs/>
          <w:sz w:val="24"/>
          <w:szCs w:val="24"/>
        </w:rPr>
        <w:t>Sujeto Obligado</w:t>
      </w:r>
      <w:r w:rsidRPr="0003468C">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7C7BBE" w:rsidRPr="0003468C" w:rsidRDefault="007C7BBE" w:rsidP="0003468C">
      <w:pPr>
        <w:spacing w:line="360" w:lineRule="auto"/>
        <w:ind w:right="-425"/>
        <w:jc w:val="both"/>
        <w:rPr>
          <w:rFonts w:ascii="Palatino Linotype" w:eastAsia="Palatino Linotype" w:hAnsi="Palatino Linotype" w:cs="Palatino Linotype"/>
          <w:sz w:val="24"/>
          <w:szCs w:val="24"/>
        </w:rPr>
      </w:pPr>
    </w:p>
    <w:p w:rsidR="007C7BBE" w:rsidRPr="0003468C" w:rsidRDefault="009C0C68" w:rsidP="0003468C">
      <w:pPr>
        <w:tabs>
          <w:tab w:val="left" w:pos="8080"/>
        </w:tabs>
        <w:spacing w:line="360" w:lineRule="auto"/>
        <w:ind w:right="-425"/>
        <w:jc w:val="both"/>
        <w:rPr>
          <w:rFonts w:ascii="Palatino Linotype" w:eastAsia="Palatino Linotype" w:hAnsi="Palatino Linotype" w:cs="Palatino Linotype"/>
          <w:sz w:val="24"/>
          <w:szCs w:val="24"/>
        </w:rPr>
      </w:pPr>
      <w:bookmarkStart w:id="10" w:name="_heading=h.17dp8vu" w:colFirst="0" w:colLast="0"/>
      <w:bookmarkEnd w:id="10"/>
      <w:r w:rsidRPr="0003468C">
        <w:rPr>
          <w:rFonts w:ascii="Palatino Linotype" w:eastAsia="Palatino Linotype" w:hAnsi="Palatino Linotype" w:cs="Palatino Linotype"/>
          <w:b/>
          <w:bCs/>
          <w:sz w:val="24"/>
          <w:szCs w:val="24"/>
        </w:rPr>
        <w:t xml:space="preserve">QUINTO. </w:t>
      </w:r>
      <w:r w:rsidRPr="0003468C">
        <w:rPr>
          <w:rFonts w:ascii="Palatino Linotype" w:eastAsia="Palatino Linotype" w:hAnsi="Palatino Linotype" w:cs="Palatino Linotype"/>
          <w:sz w:val="24"/>
          <w:szCs w:val="24"/>
        </w:rPr>
        <w:t xml:space="preserve">Notifíquese al </w:t>
      </w:r>
      <w:r w:rsidRPr="0003468C">
        <w:rPr>
          <w:rFonts w:ascii="Palatino Linotype" w:eastAsia="Palatino Linotype" w:hAnsi="Palatino Linotype" w:cs="Palatino Linotype"/>
          <w:b/>
          <w:bCs/>
          <w:sz w:val="24"/>
          <w:szCs w:val="24"/>
        </w:rPr>
        <w:t>Recurrente</w:t>
      </w:r>
      <w:r w:rsidRPr="0003468C">
        <w:rPr>
          <w:rFonts w:ascii="Palatino Linotype" w:eastAsia="Palatino Linotype" w:hAnsi="Palatino Linotype" w:cs="Palatino Linotype"/>
          <w:sz w:val="24"/>
          <w:szCs w:val="24"/>
        </w:rPr>
        <w:t xml:space="preserve"> la presente resolución, vía </w:t>
      </w:r>
      <w:r w:rsidRPr="0003468C">
        <w:rPr>
          <w:rFonts w:ascii="Palatino Linotype" w:eastAsia="Palatino Linotype" w:hAnsi="Palatino Linotype" w:cs="Palatino Linotype"/>
          <w:b/>
          <w:bCs/>
          <w:sz w:val="24"/>
          <w:szCs w:val="24"/>
        </w:rPr>
        <w:t>SAIMEX</w:t>
      </w:r>
      <w:r w:rsidRPr="0003468C">
        <w:rPr>
          <w:rFonts w:ascii="Palatino Linotype" w:eastAsia="Palatino Linotype" w:hAnsi="Palatino Linotype" w:cs="Palatino Linotype"/>
          <w:sz w:val="24"/>
          <w:szCs w:val="24"/>
        </w:rPr>
        <w:t>.</w:t>
      </w:r>
    </w:p>
    <w:p w:rsidR="007C7BBE" w:rsidRPr="0003468C" w:rsidRDefault="007C7BBE" w:rsidP="0003468C">
      <w:pPr>
        <w:tabs>
          <w:tab w:val="left" w:pos="8080"/>
        </w:tabs>
        <w:spacing w:line="360" w:lineRule="auto"/>
        <w:ind w:right="-425"/>
        <w:jc w:val="both"/>
        <w:rPr>
          <w:rFonts w:ascii="Palatino Linotype" w:eastAsia="Palatino Linotype" w:hAnsi="Palatino Linotype" w:cs="Palatino Linotype"/>
          <w:sz w:val="24"/>
          <w:szCs w:val="24"/>
        </w:rPr>
      </w:pPr>
    </w:p>
    <w:p w:rsidR="007C7BBE" w:rsidRPr="0003468C" w:rsidRDefault="009C0C68" w:rsidP="0003468C">
      <w:pPr>
        <w:spacing w:line="360" w:lineRule="auto"/>
        <w:ind w:right="-425"/>
        <w:jc w:val="both"/>
        <w:rPr>
          <w:rFonts w:ascii="Palatino Linotype" w:eastAsia="Palatino Linotype" w:hAnsi="Palatino Linotype" w:cs="Palatino Linotype"/>
          <w:sz w:val="24"/>
          <w:szCs w:val="24"/>
        </w:rPr>
      </w:pPr>
      <w:r w:rsidRPr="0003468C">
        <w:rPr>
          <w:rFonts w:ascii="Palatino Linotype" w:eastAsia="Palatino Linotype" w:hAnsi="Palatino Linotype" w:cs="Palatino Linotype"/>
          <w:b/>
          <w:bCs/>
          <w:sz w:val="24"/>
          <w:szCs w:val="24"/>
        </w:rPr>
        <w:t xml:space="preserve">SEXTO. </w:t>
      </w:r>
      <w:r w:rsidRPr="0003468C">
        <w:rPr>
          <w:rFonts w:ascii="Palatino Linotype" w:eastAsia="Palatino Linotype" w:hAnsi="Palatino Linotype" w:cs="Palatino Linotype"/>
          <w:sz w:val="24"/>
          <w:szCs w:val="24"/>
        </w:rPr>
        <w:t>Se hace del conocimiento del</w:t>
      </w:r>
      <w:r w:rsidRPr="0003468C">
        <w:rPr>
          <w:rFonts w:ascii="Palatino Linotype" w:eastAsia="Palatino Linotype" w:hAnsi="Palatino Linotype" w:cs="Palatino Linotype"/>
          <w:b/>
          <w:bCs/>
          <w:sz w:val="24"/>
          <w:szCs w:val="24"/>
        </w:rPr>
        <w:t xml:space="preserve"> Recurrente </w:t>
      </w:r>
      <w:r w:rsidRPr="0003468C">
        <w:rPr>
          <w:rFonts w:ascii="Palatino Linotype" w:eastAsia="Palatino Linotype" w:hAnsi="Palatino Linotype" w:cs="Palatino Linotype"/>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7C7BBE" w:rsidRPr="0003468C" w:rsidRDefault="007C7BBE" w:rsidP="0003468C">
      <w:pPr>
        <w:spacing w:line="360" w:lineRule="auto"/>
        <w:ind w:right="-425"/>
        <w:jc w:val="both"/>
        <w:rPr>
          <w:rFonts w:ascii="Palatino Linotype" w:eastAsia="Palatino Linotype" w:hAnsi="Palatino Linotype" w:cs="Palatino Linotype"/>
          <w:sz w:val="24"/>
          <w:szCs w:val="24"/>
        </w:rPr>
      </w:pPr>
    </w:p>
    <w:p w:rsidR="00876285" w:rsidRPr="0003468C" w:rsidRDefault="00876285" w:rsidP="0003468C">
      <w:pPr>
        <w:spacing w:before="240" w:after="240" w:line="360" w:lineRule="auto"/>
        <w:ind w:right="-425" w:firstLine="1"/>
        <w:jc w:val="both"/>
        <w:rPr>
          <w:rFonts w:ascii="Palatino Linotype" w:hAnsi="Palatino Linotype"/>
          <w:sz w:val="24"/>
          <w:szCs w:val="24"/>
        </w:rPr>
      </w:pPr>
      <w:bookmarkStart w:id="11" w:name="_Hlk99014733"/>
      <w:r w:rsidRPr="0003468C">
        <w:rPr>
          <w:rFonts w:ascii="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03468C">
        <w:rPr>
          <w:rFonts w:ascii="Palatino Linotype" w:hAnsi="Palatino Linotype" w:cs="Palatino Linotype"/>
          <w:color w:val="000000" w:themeColor="text1"/>
          <w:sz w:val="24"/>
          <w:szCs w:val="24"/>
        </w:rPr>
        <w:t>ALEXIS TAPIA RAMÍREZ.</w:t>
      </w:r>
    </w:p>
    <w:bookmarkEnd w:id="11"/>
    <w:p w:rsidR="007C7BBE" w:rsidRPr="0003468C" w:rsidRDefault="007C7BBE"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p w:rsidR="00DF4198" w:rsidRPr="0003468C" w:rsidRDefault="00DF4198" w:rsidP="0003468C">
      <w:pPr>
        <w:ind w:right="-425"/>
        <w:rPr>
          <w:sz w:val="24"/>
          <w:szCs w:val="24"/>
        </w:rPr>
      </w:pPr>
    </w:p>
    <w:sectPr w:rsidR="00DF4198" w:rsidRPr="0003468C" w:rsidSect="0003468C">
      <w:headerReference w:type="even" r:id="rId11"/>
      <w:headerReference w:type="default" r:id="rId12"/>
      <w:footerReference w:type="default" r:id="rId13"/>
      <w:headerReference w:type="first" r:id="rId14"/>
      <w:footerReference w:type="first" r:id="rId15"/>
      <w:pgSz w:w="12240" w:h="15840"/>
      <w:pgMar w:top="2268" w:right="1183"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BF3" w:rsidRDefault="00157BF3">
      <w:pPr>
        <w:spacing w:after="0" w:line="240" w:lineRule="auto"/>
      </w:pPr>
      <w:r>
        <w:separator/>
      </w:r>
    </w:p>
  </w:endnote>
  <w:endnote w:type="continuationSeparator" w:id="0">
    <w:p w:rsidR="00157BF3" w:rsidRDefault="00157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207E56AA-D88B-4E7E-9DC7-A2C038D56490}"/>
    <w:embedBold r:id="rId2" w:fontKey="{B95267CE-B5FC-4CB3-8483-8CAF082C2ED2}"/>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E294368A-1685-43D6-8FAD-90EEE32ECA0E}"/>
    <w:embedBold r:id="rId4" w:fontKey="{FF9A30E6-BB5B-42F9-AF6A-039451CBD8D7}"/>
    <w:embedItalic r:id="rId5" w:fontKey="{F8F271D1-14FE-456C-9473-88A4E2853EE6}"/>
    <w:embedBoldItalic r:id="rId6" w:fontKey="{FAB3A5B2-76A1-4068-958B-2D6BB0635A8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1FBD6EDC-E4AF-416A-8717-F8C3C361D15B}"/>
    <w:embedBold r:id="rId8" w:fontKey="{356F943D-7B90-471F-97F6-17973D3532F1}"/>
  </w:font>
  <w:font w:name="Georgia">
    <w:panose1 w:val="02040502050405020303"/>
    <w:charset w:val="00"/>
    <w:family w:val="roman"/>
    <w:pitch w:val="variable"/>
    <w:sig w:usb0="00000287" w:usb1="00000000" w:usb2="00000000" w:usb3="00000000" w:csb0="0000009F" w:csb1="00000000"/>
    <w:embedItalic r:id="rId9" w:fontKey="{081121E4-6F78-431A-8DF1-292DA7D9AF62}"/>
  </w:font>
  <w:font w:name="Calibri Light">
    <w:panose1 w:val="020F0302020204030204"/>
    <w:charset w:val="00"/>
    <w:family w:val="swiss"/>
    <w:pitch w:val="variable"/>
    <w:sig w:usb0="E4002EFF" w:usb1="C200247B" w:usb2="00000009" w:usb3="00000000" w:csb0="000001FF" w:csb1="00000000"/>
    <w:embedRegular r:id="rId10" w:fontKey="{47EF149E-34A4-4EEF-A605-3FFA98BE41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BE" w:rsidRPr="0003468C" w:rsidRDefault="009C0C6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Cs w:val="20"/>
      </w:rPr>
    </w:pPr>
    <w:r w:rsidRPr="0003468C">
      <w:rPr>
        <w:rFonts w:ascii="Palatino Linotype" w:eastAsia="Palatino Linotype" w:hAnsi="Palatino Linotype" w:cs="Palatino Linotype"/>
        <w:b/>
        <w:color w:val="000000"/>
        <w:szCs w:val="20"/>
      </w:rPr>
      <w:t xml:space="preserve">Página </w:t>
    </w:r>
    <w:r w:rsidRPr="0003468C">
      <w:rPr>
        <w:rFonts w:ascii="Palatino Linotype" w:eastAsia="Palatino Linotype" w:hAnsi="Palatino Linotype" w:cs="Palatino Linotype"/>
        <w:b/>
        <w:color w:val="000000"/>
        <w:szCs w:val="20"/>
      </w:rPr>
      <w:fldChar w:fldCharType="begin"/>
    </w:r>
    <w:r w:rsidRPr="0003468C">
      <w:rPr>
        <w:rFonts w:ascii="Palatino Linotype" w:eastAsia="Palatino Linotype" w:hAnsi="Palatino Linotype" w:cs="Palatino Linotype"/>
        <w:b/>
        <w:color w:val="000000"/>
        <w:szCs w:val="20"/>
      </w:rPr>
      <w:instrText>PAGE</w:instrText>
    </w:r>
    <w:r w:rsidRPr="0003468C">
      <w:rPr>
        <w:rFonts w:ascii="Palatino Linotype" w:eastAsia="Palatino Linotype" w:hAnsi="Palatino Linotype" w:cs="Palatino Linotype"/>
        <w:b/>
        <w:color w:val="000000"/>
        <w:szCs w:val="20"/>
      </w:rPr>
      <w:fldChar w:fldCharType="separate"/>
    </w:r>
    <w:r w:rsidR="00E04DF3">
      <w:rPr>
        <w:rFonts w:ascii="Palatino Linotype" w:eastAsia="Palatino Linotype" w:hAnsi="Palatino Linotype" w:cs="Palatino Linotype"/>
        <w:b/>
        <w:noProof/>
        <w:color w:val="000000"/>
        <w:szCs w:val="20"/>
      </w:rPr>
      <w:t>21</w:t>
    </w:r>
    <w:r w:rsidRPr="0003468C">
      <w:rPr>
        <w:rFonts w:ascii="Palatino Linotype" w:eastAsia="Palatino Linotype" w:hAnsi="Palatino Linotype" w:cs="Palatino Linotype"/>
        <w:b/>
        <w:color w:val="000000"/>
        <w:szCs w:val="20"/>
      </w:rPr>
      <w:fldChar w:fldCharType="end"/>
    </w:r>
    <w:r w:rsidRPr="0003468C">
      <w:rPr>
        <w:rFonts w:ascii="Palatino Linotype" w:eastAsia="Palatino Linotype" w:hAnsi="Palatino Linotype" w:cs="Palatino Linotype"/>
        <w:b/>
        <w:color w:val="000000"/>
        <w:szCs w:val="20"/>
      </w:rPr>
      <w:t xml:space="preserve"> de </w:t>
    </w:r>
    <w:r w:rsidRPr="0003468C">
      <w:rPr>
        <w:rFonts w:ascii="Palatino Linotype" w:eastAsia="Palatino Linotype" w:hAnsi="Palatino Linotype" w:cs="Palatino Linotype"/>
        <w:b/>
        <w:color w:val="000000"/>
        <w:szCs w:val="20"/>
      </w:rPr>
      <w:fldChar w:fldCharType="begin"/>
    </w:r>
    <w:r w:rsidRPr="0003468C">
      <w:rPr>
        <w:rFonts w:ascii="Palatino Linotype" w:eastAsia="Palatino Linotype" w:hAnsi="Palatino Linotype" w:cs="Palatino Linotype"/>
        <w:b/>
        <w:color w:val="000000"/>
        <w:szCs w:val="20"/>
      </w:rPr>
      <w:instrText>NUMPAGES</w:instrText>
    </w:r>
    <w:r w:rsidRPr="0003468C">
      <w:rPr>
        <w:rFonts w:ascii="Palatino Linotype" w:eastAsia="Palatino Linotype" w:hAnsi="Palatino Linotype" w:cs="Palatino Linotype"/>
        <w:b/>
        <w:color w:val="000000"/>
        <w:szCs w:val="20"/>
      </w:rPr>
      <w:fldChar w:fldCharType="separate"/>
    </w:r>
    <w:r w:rsidR="00E04DF3">
      <w:rPr>
        <w:rFonts w:ascii="Palatino Linotype" w:eastAsia="Palatino Linotype" w:hAnsi="Palatino Linotype" w:cs="Palatino Linotype"/>
        <w:b/>
        <w:noProof/>
        <w:color w:val="000000"/>
        <w:szCs w:val="20"/>
      </w:rPr>
      <w:t>30</w:t>
    </w:r>
    <w:r w:rsidRPr="0003468C">
      <w:rPr>
        <w:rFonts w:ascii="Palatino Linotype" w:eastAsia="Palatino Linotype" w:hAnsi="Palatino Linotype" w:cs="Palatino Linotype"/>
        <w:b/>
        <w:color w:val="000000"/>
        <w:szCs w:val="20"/>
      </w:rPr>
      <w:fldChar w:fldCharType="end"/>
    </w:r>
  </w:p>
  <w:p w:rsidR="007C7BBE" w:rsidRDefault="007C7BBE">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BE" w:rsidRPr="0003468C" w:rsidRDefault="009C0C6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Cs w:val="20"/>
      </w:rPr>
    </w:pPr>
    <w:r w:rsidRPr="0003468C">
      <w:rPr>
        <w:rFonts w:ascii="Palatino Linotype" w:eastAsia="Palatino Linotype" w:hAnsi="Palatino Linotype" w:cs="Palatino Linotype"/>
        <w:b/>
        <w:color w:val="000000"/>
        <w:szCs w:val="20"/>
      </w:rPr>
      <w:t xml:space="preserve">Página </w:t>
    </w:r>
    <w:r w:rsidRPr="0003468C">
      <w:rPr>
        <w:rFonts w:ascii="Palatino Linotype" w:eastAsia="Palatino Linotype" w:hAnsi="Palatino Linotype" w:cs="Palatino Linotype"/>
        <w:b/>
        <w:color w:val="000000"/>
        <w:szCs w:val="20"/>
      </w:rPr>
      <w:fldChar w:fldCharType="begin"/>
    </w:r>
    <w:r w:rsidRPr="0003468C">
      <w:rPr>
        <w:rFonts w:ascii="Palatino Linotype" w:eastAsia="Palatino Linotype" w:hAnsi="Palatino Linotype" w:cs="Palatino Linotype"/>
        <w:b/>
        <w:color w:val="000000"/>
        <w:szCs w:val="20"/>
      </w:rPr>
      <w:instrText>PAGE</w:instrText>
    </w:r>
    <w:r w:rsidRPr="0003468C">
      <w:rPr>
        <w:rFonts w:ascii="Palatino Linotype" w:eastAsia="Palatino Linotype" w:hAnsi="Palatino Linotype" w:cs="Palatino Linotype"/>
        <w:b/>
        <w:color w:val="000000"/>
        <w:szCs w:val="20"/>
      </w:rPr>
      <w:fldChar w:fldCharType="separate"/>
    </w:r>
    <w:r w:rsidR="00E04DF3">
      <w:rPr>
        <w:rFonts w:ascii="Palatino Linotype" w:eastAsia="Palatino Linotype" w:hAnsi="Palatino Linotype" w:cs="Palatino Linotype"/>
        <w:b/>
        <w:noProof/>
        <w:color w:val="000000"/>
        <w:szCs w:val="20"/>
      </w:rPr>
      <w:t>1</w:t>
    </w:r>
    <w:r w:rsidRPr="0003468C">
      <w:rPr>
        <w:rFonts w:ascii="Palatino Linotype" w:eastAsia="Palatino Linotype" w:hAnsi="Palatino Linotype" w:cs="Palatino Linotype"/>
        <w:b/>
        <w:color w:val="000000"/>
        <w:szCs w:val="20"/>
      </w:rPr>
      <w:fldChar w:fldCharType="end"/>
    </w:r>
    <w:r w:rsidRPr="0003468C">
      <w:rPr>
        <w:rFonts w:ascii="Palatino Linotype" w:eastAsia="Palatino Linotype" w:hAnsi="Palatino Linotype" w:cs="Palatino Linotype"/>
        <w:b/>
        <w:color w:val="000000"/>
        <w:szCs w:val="20"/>
      </w:rPr>
      <w:t xml:space="preserve"> de </w:t>
    </w:r>
    <w:r w:rsidRPr="0003468C">
      <w:rPr>
        <w:rFonts w:ascii="Palatino Linotype" w:eastAsia="Palatino Linotype" w:hAnsi="Palatino Linotype" w:cs="Palatino Linotype"/>
        <w:b/>
        <w:color w:val="000000"/>
        <w:szCs w:val="20"/>
      </w:rPr>
      <w:fldChar w:fldCharType="begin"/>
    </w:r>
    <w:r w:rsidRPr="0003468C">
      <w:rPr>
        <w:rFonts w:ascii="Palatino Linotype" w:eastAsia="Palatino Linotype" w:hAnsi="Palatino Linotype" w:cs="Palatino Linotype"/>
        <w:b/>
        <w:color w:val="000000"/>
        <w:szCs w:val="20"/>
      </w:rPr>
      <w:instrText>NUMPAGES</w:instrText>
    </w:r>
    <w:r w:rsidRPr="0003468C">
      <w:rPr>
        <w:rFonts w:ascii="Palatino Linotype" w:eastAsia="Palatino Linotype" w:hAnsi="Palatino Linotype" w:cs="Palatino Linotype"/>
        <w:b/>
        <w:color w:val="000000"/>
        <w:szCs w:val="20"/>
      </w:rPr>
      <w:fldChar w:fldCharType="separate"/>
    </w:r>
    <w:r w:rsidR="00E04DF3">
      <w:rPr>
        <w:rFonts w:ascii="Palatino Linotype" w:eastAsia="Palatino Linotype" w:hAnsi="Palatino Linotype" w:cs="Palatino Linotype"/>
        <w:b/>
        <w:noProof/>
        <w:color w:val="000000"/>
        <w:szCs w:val="20"/>
      </w:rPr>
      <w:t>30</w:t>
    </w:r>
    <w:r w:rsidRPr="0003468C">
      <w:rPr>
        <w:rFonts w:ascii="Palatino Linotype" w:eastAsia="Palatino Linotype" w:hAnsi="Palatino Linotype" w:cs="Palatino Linotype"/>
        <w:b/>
        <w:color w:val="000000"/>
        <w:szCs w:val="20"/>
      </w:rPr>
      <w:fldChar w:fldCharType="end"/>
    </w:r>
  </w:p>
  <w:p w:rsidR="007C7BBE" w:rsidRDefault="007C7BBE">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BF3" w:rsidRDefault="00157BF3">
      <w:pPr>
        <w:spacing w:after="0" w:line="240" w:lineRule="auto"/>
      </w:pPr>
      <w:r>
        <w:separator/>
      </w:r>
    </w:p>
  </w:footnote>
  <w:footnote w:type="continuationSeparator" w:id="0">
    <w:p w:rsidR="00157BF3" w:rsidRDefault="00157B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BE" w:rsidRDefault="00157BF3">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796" w:type="dxa"/>
      <w:tblInd w:w="2694" w:type="dxa"/>
      <w:tblLayout w:type="fixed"/>
      <w:tblLook w:val="0400" w:firstRow="0" w:lastRow="0" w:firstColumn="0" w:lastColumn="0" w:noHBand="0" w:noVBand="1"/>
    </w:tblPr>
    <w:tblGrid>
      <w:gridCol w:w="2976"/>
      <w:gridCol w:w="4820"/>
    </w:tblGrid>
    <w:tr w:rsidR="007C7BBE" w:rsidTr="0003468C">
      <w:trPr>
        <w:trHeight w:val="227"/>
      </w:trPr>
      <w:tc>
        <w:tcPr>
          <w:tcW w:w="2976" w:type="dxa"/>
          <w:vAlign w:val="center"/>
        </w:tcPr>
        <w:p w:rsidR="007C7BBE" w:rsidRPr="0003468C" w:rsidRDefault="009C0C68">
          <w:pPr>
            <w:spacing w:after="0" w:line="240" w:lineRule="auto"/>
            <w:ind w:right="34"/>
            <w:jc w:val="right"/>
            <w:rPr>
              <w:rFonts w:ascii="Palatino Linotype" w:eastAsia="Palatino Linotype" w:hAnsi="Palatino Linotype" w:cs="Palatino Linotype"/>
              <w:b/>
              <w:bCs/>
              <w:sz w:val="24"/>
            </w:rPr>
          </w:pPr>
          <w:r w:rsidRPr="0003468C">
            <w:rPr>
              <w:rFonts w:ascii="Palatino Linotype" w:eastAsia="Palatino Linotype" w:hAnsi="Palatino Linotype" w:cs="Palatino Linotype"/>
              <w:b/>
              <w:bCs/>
              <w:sz w:val="24"/>
            </w:rPr>
            <w:t>Recurso de Revisión:</w:t>
          </w:r>
        </w:p>
      </w:tc>
      <w:tc>
        <w:tcPr>
          <w:tcW w:w="4820" w:type="dxa"/>
          <w:vAlign w:val="center"/>
        </w:tcPr>
        <w:p w:rsidR="007C7BBE" w:rsidRPr="0003468C" w:rsidRDefault="009C0C68" w:rsidP="0003468C">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rPr>
          </w:pPr>
          <w:r w:rsidRPr="0003468C">
            <w:rPr>
              <w:rFonts w:ascii="Palatino Linotype" w:eastAsia="Palatino Linotype" w:hAnsi="Palatino Linotype" w:cs="Palatino Linotype"/>
              <w:bCs/>
              <w:color w:val="000000"/>
              <w:sz w:val="24"/>
            </w:rPr>
            <w:t>08043/INFOEM/IP/RR/2025</w:t>
          </w:r>
        </w:p>
      </w:tc>
    </w:tr>
    <w:tr w:rsidR="007C7BBE" w:rsidTr="0003468C">
      <w:trPr>
        <w:trHeight w:val="242"/>
      </w:trPr>
      <w:tc>
        <w:tcPr>
          <w:tcW w:w="2976" w:type="dxa"/>
          <w:vAlign w:val="center"/>
        </w:tcPr>
        <w:p w:rsidR="007C7BBE" w:rsidRPr="0003468C" w:rsidRDefault="009C0C68">
          <w:pPr>
            <w:spacing w:after="0" w:line="240" w:lineRule="auto"/>
            <w:ind w:right="34"/>
            <w:jc w:val="right"/>
            <w:rPr>
              <w:rFonts w:ascii="Palatino Linotype" w:eastAsia="Palatino Linotype" w:hAnsi="Palatino Linotype" w:cs="Palatino Linotype"/>
              <w:b/>
              <w:bCs/>
              <w:sz w:val="24"/>
            </w:rPr>
          </w:pPr>
          <w:r w:rsidRPr="0003468C">
            <w:rPr>
              <w:rFonts w:ascii="Palatino Linotype" w:eastAsia="Palatino Linotype" w:hAnsi="Palatino Linotype" w:cs="Palatino Linotype"/>
              <w:b/>
              <w:bCs/>
              <w:sz w:val="24"/>
            </w:rPr>
            <w:t>Sujeto Obligado:</w:t>
          </w:r>
        </w:p>
      </w:tc>
      <w:tc>
        <w:tcPr>
          <w:tcW w:w="4820" w:type="dxa"/>
          <w:vAlign w:val="center"/>
        </w:tcPr>
        <w:p w:rsidR="007C7BBE" w:rsidRPr="0003468C" w:rsidRDefault="009C0C68" w:rsidP="0003468C">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rPr>
          </w:pPr>
          <w:r w:rsidRPr="0003468C">
            <w:rPr>
              <w:rFonts w:ascii="Palatino Linotype" w:eastAsia="Palatino Linotype" w:hAnsi="Palatino Linotype" w:cs="Palatino Linotype"/>
              <w:bCs/>
              <w:color w:val="000000"/>
              <w:sz w:val="24"/>
            </w:rPr>
            <w:t>Ayuntamiento de Atizapán de Zaragoza</w:t>
          </w:r>
        </w:p>
      </w:tc>
    </w:tr>
    <w:tr w:rsidR="007C7BBE" w:rsidTr="0003468C">
      <w:trPr>
        <w:trHeight w:val="342"/>
      </w:trPr>
      <w:tc>
        <w:tcPr>
          <w:tcW w:w="2976" w:type="dxa"/>
          <w:vAlign w:val="center"/>
        </w:tcPr>
        <w:p w:rsidR="007C7BBE" w:rsidRPr="0003468C" w:rsidRDefault="009C0C68">
          <w:pPr>
            <w:spacing w:after="0" w:line="240" w:lineRule="auto"/>
            <w:ind w:right="34"/>
            <w:jc w:val="right"/>
            <w:rPr>
              <w:rFonts w:ascii="Palatino Linotype" w:eastAsia="Palatino Linotype" w:hAnsi="Palatino Linotype" w:cs="Palatino Linotype"/>
              <w:b/>
              <w:bCs/>
              <w:sz w:val="24"/>
            </w:rPr>
          </w:pPr>
          <w:r w:rsidRPr="0003468C">
            <w:rPr>
              <w:rFonts w:ascii="Palatino Linotype" w:eastAsia="Palatino Linotype" w:hAnsi="Palatino Linotype" w:cs="Palatino Linotype"/>
              <w:b/>
              <w:bCs/>
              <w:sz w:val="24"/>
            </w:rPr>
            <w:t>Comisionada Ponente:</w:t>
          </w:r>
        </w:p>
      </w:tc>
      <w:tc>
        <w:tcPr>
          <w:tcW w:w="4820" w:type="dxa"/>
          <w:vAlign w:val="center"/>
        </w:tcPr>
        <w:p w:rsidR="007C7BBE" w:rsidRPr="0003468C" w:rsidRDefault="009C0C68" w:rsidP="0003468C">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rPr>
          </w:pPr>
          <w:r w:rsidRPr="0003468C">
            <w:rPr>
              <w:rFonts w:ascii="Palatino Linotype" w:eastAsia="Palatino Linotype" w:hAnsi="Palatino Linotype" w:cs="Palatino Linotype"/>
              <w:bCs/>
              <w:color w:val="000000"/>
              <w:sz w:val="24"/>
            </w:rPr>
            <w:t>María del Rosario Mejía Ayala</w:t>
          </w:r>
        </w:p>
      </w:tc>
    </w:tr>
  </w:tbl>
  <w:p w:rsidR="007C7BBE" w:rsidRDefault="00157BF3">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9.55pt;margin-top:-122.3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513" w:type="dxa"/>
      <w:tblInd w:w="2552" w:type="dxa"/>
      <w:tblLayout w:type="fixed"/>
      <w:tblLook w:val="0400" w:firstRow="0" w:lastRow="0" w:firstColumn="0" w:lastColumn="0" w:noHBand="0" w:noVBand="1"/>
    </w:tblPr>
    <w:tblGrid>
      <w:gridCol w:w="2977"/>
      <w:gridCol w:w="4536"/>
    </w:tblGrid>
    <w:tr w:rsidR="007C7BBE" w:rsidRPr="0003468C" w:rsidTr="0003468C">
      <w:trPr>
        <w:trHeight w:val="227"/>
      </w:trPr>
      <w:tc>
        <w:tcPr>
          <w:tcW w:w="2977" w:type="dxa"/>
          <w:vAlign w:val="center"/>
        </w:tcPr>
        <w:p w:rsidR="007C7BBE" w:rsidRPr="0003468C" w:rsidRDefault="009C0C68">
          <w:pPr>
            <w:spacing w:after="0" w:line="240" w:lineRule="auto"/>
            <w:jc w:val="right"/>
            <w:rPr>
              <w:rFonts w:ascii="Palatino Linotype" w:eastAsia="Palatino Linotype" w:hAnsi="Palatino Linotype" w:cs="Palatino Linotype"/>
              <w:b/>
              <w:bCs/>
              <w:sz w:val="24"/>
            </w:rPr>
          </w:pPr>
          <w:r w:rsidRPr="0003468C">
            <w:rPr>
              <w:rFonts w:ascii="Palatino Linotype" w:eastAsia="Palatino Linotype" w:hAnsi="Palatino Linotype" w:cs="Palatino Linotype"/>
              <w:b/>
              <w:bCs/>
              <w:sz w:val="24"/>
            </w:rPr>
            <w:t>Recurso de Revisión:</w:t>
          </w:r>
        </w:p>
      </w:tc>
      <w:tc>
        <w:tcPr>
          <w:tcW w:w="4536" w:type="dxa"/>
          <w:vAlign w:val="center"/>
        </w:tcPr>
        <w:p w:rsidR="007C7BBE" w:rsidRPr="0003468C" w:rsidRDefault="009C0C68" w:rsidP="0003468C">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rPr>
          </w:pPr>
          <w:r w:rsidRPr="0003468C">
            <w:rPr>
              <w:rFonts w:ascii="Palatino Linotype" w:eastAsia="Palatino Linotype" w:hAnsi="Palatino Linotype" w:cs="Palatino Linotype"/>
              <w:bCs/>
              <w:color w:val="000000"/>
              <w:sz w:val="24"/>
            </w:rPr>
            <w:t>08043/INFOEM/IP/RR/2025</w:t>
          </w:r>
        </w:p>
      </w:tc>
    </w:tr>
    <w:tr w:rsidR="007C7BBE" w:rsidRPr="0003468C" w:rsidTr="0003468C">
      <w:trPr>
        <w:trHeight w:val="242"/>
      </w:trPr>
      <w:tc>
        <w:tcPr>
          <w:tcW w:w="2977" w:type="dxa"/>
          <w:vAlign w:val="center"/>
        </w:tcPr>
        <w:p w:rsidR="007C7BBE" w:rsidRPr="0003468C" w:rsidRDefault="009C0C68">
          <w:pPr>
            <w:spacing w:after="0" w:line="240" w:lineRule="auto"/>
            <w:jc w:val="right"/>
            <w:rPr>
              <w:rFonts w:ascii="Palatino Linotype" w:eastAsia="Palatino Linotype" w:hAnsi="Palatino Linotype" w:cs="Palatino Linotype"/>
              <w:b/>
              <w:bCs/>
              <w:sz w:val="24"/>
            </w:rPr>
          </w:pPr>
          <w:r w:rsidRPr="0003468C">
            <w:rPr>
              <w:rFonts w:ascii="Palatino Linotype" w:eastAsia="Palatino Linotype" w:hAnsi="Palatino Linotype" w:cs="Palatino Linotype"/>
              <w:b/>
              <w:bCs/>
              <w:sz w:val="24"/>
            </w:rPr>
            <w:t>Recurrente:</w:t>
          </w:r>
        </w:p>
      </w:tc>
      <w:tc>
        <w:tcPr>
          <w:tcW w:w="4536" w:type="dxa"/>
        </w:tcPr>
        <w:p w:rsidR="007C7BBE" w:rsidRPr="0003468C" w:rsidRDefault="00E04DF3" w:rsidP="0003468C">
          <w:pPr>
            <w:pBdr>
              <w:top w:val="nil"/>
              <w:left w:val="nil"/>
              <w:bottom w:val="nil"/>
              <w:right w:val="nil"/>
              <w:between w:val="nil"/>
            </w:pBdr>
            <w:tabs>
              <w:tab w:val="right" w:pos="8838"/>
              <w:tab w:val="left" w:pos="521"/>
            </w:tabs>
            <w:spacing w:after="0" w:line="240" w:lineRule="auto"/>
            <w:rPr>
              <w:rFonts w:ascii="Palatino Linotype" w:eastAsia="Palatino Linotype" w:hAnsi="Palatino Linotype" w:cs="Palatino Linotype"/>
              <w:bCs/>
              <w:color w:val="000000"/>
              <w:sz w:val="24"/>
            </w:rPr>
          </w:pPr>
          <w:r>
            <w:rPr>
              <w:rFonts w:ascii="Palatino Linotype" w:eastAsia="Palatino Linotype" w:hAnsi="Palatino Linotype" w:cs="Palatino Linotype"/>
              <w:bCs/>
              <w:color w:val="000000"/>
              <w:sz w:val="24"/>
            </w:rPr>
            <w:t>XXXX</w:t>
          </w:r>
        </w:p>
      </w:tc>
    </w:tr>
    <w:tr w:rsidR="007C7BBE" w:rsidRPr="0003468C" w:rsidTr="0003468C">
      <w:trPr>
        <w:trHeight w:val="342"/>
      </w:trPr>
      <w:tc>
        <w:tcPr>
          <w:tcW w:w="2977" w:type="dxa"/>
          <w:vAlign w:val="center"/>
        </w:tcPr>
        <w:p w:rsidR="007C7BBE" w:rsidRPr="0003468C" w:rsidRDefault="009C0C68">
          <w:pPr>
            <w:spacing w:after="0" w:line="240" w:lineRule="auto"/>
            <w:jc w:val="right"/>
            <w:rPr>
              <w:rFonts w:ascii="Palatino Linotype" w:eastAsia="Palatino Linotype" w:hAnsi="Palatino Linotype" w:cs="Palatino Linotype"/>
              <w:b/>
              <w:bCs/>
              <w:sz w:val="24"/>
            </w:rPr>
          </w:pPr>
          <w:r w:rsidRPr="0003468C">
            <w:rPr>
              <w:rFonts w:ascii="Palatino Linotype" w:eastAsia="Palatino Linotype" w:hAnsi="Palatino Linotype" w:cs="Palatino Linotype"/>
              <w:b/>
              <w:bCs/>
              <w:sz w:val="24"/>
            </w:rPr>
            <w:t>Sujeto Obligado:</w:t>
          </w:r>
        </w:p>
      </w:tc>
      <w:tc>
        <w:tcPr>
          <w:tcW w:w="4536" w:type="dxa"/>
          <w:vAlign w:val="center"/>
        </w:tcPr>
        <w:p w:rsidR="007C7BBE" w:rsidRPr="0003468C" w:rsidRDefault="009C0C68" w:rsidP="0003468C">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rPr>
          </w:pPr>
          <w:r w:rsidRPr="0003468C">
            <w:rPr>
              <w:rFonts w:ascii="Palatino Linotype" w:eastAsia="Palatino Linotype" w:hAnsi="Palatino Linotype" w:cs="Palatino Linotype"/>
              <w:bCs/>
              <w:color w:val="000000"/>
              <w:sz w:val="24"/>
            </w:rPr>
            <w:t>Ayuntamiento de Atizapán de Zaragoza</w:t>
          </w:r>
        </w:p>
      </w:tc>
    </w:tr>
    <w:tr w:rsidR="007C7BBE" w:rsidRPr="0003468C" w:rsidTr="0003468C">
      <w:trPr>
        <w:trHeight w:val="342"/>
      </w:trPr>
      <w:tc>
        <w:tcPr>
          <w:tcW w:w="2977" w:type="dxa"/>
          <w:vAlign w:val="center"/>
        </w:tcPr>
        <w:p w:rsidR="007C7BBE" w:rsidRPr="0003468C" w:rsidRDefault="009C0C68">
          <w:pPr>
            <w:spacing w:after="0" w:line="240" w:lineRule="auto"/>
            <w:jc w:val="right"/>
            <w:rPr>
              <w:rFonts w:ascii="Palatino Linotype" w:eastAsia="Palatino Linotype" w:hAnsi="Palatino Linotype" w:cs="Palatino Linotype"/>
              <w:b/>
              <w:bCs/>
              <w:sz w:val="24"/>
            </w:rPr>
          </w:pPr>
          <w:r w:rsidRPr="0003468C">
            <w:rPr>
              <w:rFonts w:ascii="Palatino Linotype" w:eastAsia="Palatino Linotype" w:hAnsi="Palatino Linotype" w:cs="Palatino Linotype"/>
              <w:b/>
              <w:bCs/>
              <w:sz w:val="24"/>
            </w:rPr>
            <w:t>Comisionada Ponente:</w:t>
          </w:r>
        </w:p>
      </w:tc>
      <w:tc>
        <w:tcPr>
          <w:tcW w:w="4536" w:type="dxa"/>
          <w:vAlign w:val="center"/>
        </w:tcPr>
        <w:p w:rsidR="007C7BBE" w:rsidRPr="0003468C" w:rsidRDefault="009C0C68" w:rsidP="0003468C">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rPr>
          </w:pPr>
          <w:r w:rsidRPr="0003468C">
            <w:rPr>
              <w:rFonts w:ascii="Palatino Linotype" w:eastAsia="Palatino Linotype" w:hAnsi="Palatino Linotype" w:cs="Palatino Linotype"/>
              <w:bCs/>
              <w:color w:val="000000"/>
              <w:sz w:val="24"/>
            </w:rPr>
            <w:t>María del Rosario Mejía Ayala</w:t>
          </w:r>
        </w:p>
      </w:tc>
    </w:tr>
  </w:tbl>
  <w:p w:rsidR="007C7BBE" w:rsidRDefault="00157BF3">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19.3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F07E9"/>
    <w:multiLevelType w:val="multilevel"/>
    <w:tmpl w:val="38929CFA"/>
    <w:lvl w:ilvl="0">
      <w:start w:val="1"/>
      <w:numFmt w:val="bullet"/>
      <w:pStyle w:val="Listaconvietas2"/>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BCC0496"/>
    <w:multiLevelType w:val="multilevel"/>
    <w:tmpl w:val="5D1C98E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00654F"/>
    <w:multiLevelType w:val="multilevel"/>
    <w:tmpl w:val="9D94ABE8"/>
    <w:lvl w:ilvl="0">
      <w:start w:val="1"/>
      <w:numFmt w:val="bullet"/>
      <w:lvlText w:val="●"/>
      <w:lvlJc w:val="left"/>
      <w:pPr>
        <w:ind w:left="720" w:hanging="360"/>
      </w:pPr>
      <w:rPr>
        <w:rFonts w:ascii="Noto Sans Symbols" w:eastAsia="Noto Sans Symbols" w:hAnsi="Noto Sans Symbols" w:cs="Noto Sans Symbols"/>
        <w:b/>
        <w:bC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B24BAD"/>
    <w:multiLevelType w:val="multilevel"/>
    <w:tmpl w:val="D3480C6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4" w15:restartNumberingAfterBreak="0">
    <w:nsid w:val="29375900"/>
    <w:multiLevelType w:val="multilevel"/>
    <w:tmpl w:val="2902B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6512FB"/>
    <w:multiLevelType w:val="multilevel"/>
    <w:tmpl w:val="C9622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1C5573"/>
    <w:multiLevelType w:val="multilevel"/>
    <w:tmpl w:val="CD2EE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2B5FD9"/>
    <w:multiLevelType w:val="multilevel"/>
    <w:tmpl w:val="C2CCA204"/>
    <w:lvl w:ilvl="0">
      <w:start w:val="1"/>
      <w:numFmt w:val="decimal"/>
      <w:lvlText w:val="%1."/>
      <w:lvlJc w:val="left"/>
      <w:pPr>
        <w:ind w:left="720" w:hanging="360"/>
      </w:pPr>
      <w:rPr>
        <w:b/>
        <w:bCs/>
        <w:i w:val="0"/>
        <w:iCs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DF43CC"/>
    <w:multiLevelType w:val="multilevel"/>
    <w:tmpl w:val="490CC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1E93FD9"/>
    <w:multiLevelType w:val="multilevel"/>
    <w:tmpl w:val="74404F2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9"/>
  </w:num>
  <w:num w:numId="3">
    <w:abstractNumId w:val="5"/>
  </w:num>
  <w:num w:numId="4">
    <w:abstractNumId w:val="7"/>
  </w:num>
  <w:num w:numId="5">
    <w:abstractNumId w:val="0"/>
  </w:num>
  <w:num w:numId="6">
    <w:abstractNumId w:val="8"/>
  </w:num>
  <w:num w:numId="7">
    <w:abstractNumId w:val="4"/>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BBE"/>
    <w:rsid w:val="0003468C"/>
    <w:rsid w:val="00157BF3"/>
    <w:rsid w:val="002422F7"/>
    <w:rsid w:val="00482DEF"/>
    <w:rsid w:val="006A662A"/>
    <w:rsid w:val="007878D0"/>
    <w:rsid w:val="007C7BBE"/>
    <w:rsid w:val="00876285"/>
    <w:rsid w:val="00976236"/>
    <w:rsid w:val="009C0C68"/>
    <w:rsid w:val="00DF4198"/>
    <w:rsid w:val="00E04D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171EDD9-3331-4146-BDE1-E3D51A15D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line="240" w:lineRule="auto"/>
      <w:outlineLvl w:val="0"/>
    </w:pPr>
    <w:rPr>
      <w:color w:val="2E75B5"/>
      <w:sz w:val="32"/>
      <w:szCs w:val="32"/>
    </w:rPr>
  </w:style>
  <w:style w:type="paragraph" w:styleId="Ttulo2">
    <w:name w:val="heading 2"/>
    <w:basedOn w:val="Normal"/>
    <w:next w:val="Normal"/>
    <w:pPr>
      <w:keepNext/>
      <w:keepLines/>
      <w:spacing w:before="40" w:after="0" w:line="240" w:lineRule="auto"/>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rsid w:val="008A5F25"/>
    <w:rPr>
      <w:rFonts w:ascii="Calibri" w:eastAsia="Calibri" w:hAnsi="Calibri" w:cs="Calibri"/>
      <w:color w:val="2E75B5"/>
      <w:sz w:val="32"/>
      <w:szCs w:val="32"/>
      <w:lang w:eastAsia="es-MX"/>
    </w:rPr>
  </w:style>
  <w:style w:type="character" w:customStyle="1" w:styleId="Ttulo2Car">
    <w:name w:val="Título 2 Car"/>
    <w:basedOn w:val="Fuentedeprrafopredeter"/>
    <w:rsid w:val="008A5F25"/>
    <w:rPr>
      <w:rFonts w:ascii="Calibri" w:eastAsia="Calibri" w:hAnsi="Calibri" w:cs="Calibri"/>
      <w:color w:val="2E75B5"/>
      <w:sz w:val="26"/>
      <w:szCs w:val="26"/>
      <w:lang w:eastAsia="es-MX"/>
    </w:rPr>
  </w:style>
  <w:style w:type="character" w:customStyle="1" w:styleId="Ttulo3Car">
    <w:name w:val="Título 3 Car"/>
    <w:basedOn w:val="Fuentedeprrafopredeter"/>
    <w:rsid w:val="008A5F25"/>
    <w:rPr>
      <w:rFonts w:ascii="Calibri" w:eastAsia="Calibri" w:hAnsi="Calibri" w:cs="Calibri"/>
      <w:b/>
      <w:bCs/>
      <w:sz w:val="28"/>
      <w:szCs w:val="28"/>
      <w:lang w:eastAsia="es-MX"/>
    </w:rPr>
  </w:style>
  <w:style w:type="character" w:customStyle="1" w:styleId="Ttulo4Car">
    <w:name w:val="Título 4 Car"/>
    <w:basedOn w:val="Fuentedeprrafopredeter"/>
    <w:rsid w:val="008A5F25"/>
    <w:rPr>
      <w:rFonts w:ascii="Calibri" w:eastAsia="Calibri" w:hAnsi="Calibri" w:cs="Calibri"/>
      <w:b/>
      <w:bCs/>
      <w:sz w:val="24"/>
      <w:szCs w:val="24"/>
      <w:lang w:eastAsia="es-MX"/>
    </w:rPr>
  </w:style>
  <w:style w:type="character" w:customStyle="1" w:styleId="Ttulo5Car">
    <w:name w:val="Título 5 Car"/>
    <w:basedOn w:val="Fuentedeprrafopredeter"/>
    <w:rsid w:val="008A5F25"/>
    <w:rPr>
      <w:rFonts w:ascii="Calibri" w:eastAsia="Calibri" w:hAnsi="Calibri" w:cs="Calibri"/>
      <w:b/>
      <w:bCs/>
      <w:lang w:eastAsia="es-MX"/>
    </w:rPr>
  </w:style>
  <w:style w:type="character" w:customStyle="1" w:styleId="Ttulo6Car">
    <w:name w:val="Título 6 Car"/>
    <w:basedOn w:val="Fuentedeprrafopredeter"/>
    <w:rsid w:val="008A5F25"/>
    <w:rPr>
      <w:rFonts w:ascii="Calibri" w:eastAsia="Calibri" w:hAnsi="Calibri" w:cs="Calibri"/>
      <w:b/>
      <w:bCs/>
      <w:sz w:val="20"/>
      <w:szCs w:val="20"/>
      <w:lang w:eastAsia="es-MX"/>
    </w:rPr>
  </w:style>
  <w:style w:type="character" w:customStyle="1" w:styleId="PuestoCar">
    <w:name w:val="Puesto Car"/>
    <w:basedOn w:val="Fuentedeprrafopredeter"/>
    <w:rsid w:val="008A5F25"/>
    <w:rPr>
      <w:rFonts w:ascii="Calibri" w:eastAsia="Calibri" w:hAnsi="Calibri" w:cs="Calibri"/>
      <w:b/>
      <w:bCs/>
      <w:sz w:val="72"/>
      <w:szCs w:val="72"/>
      <w:lang w:eastAsia="es-MX"/>
    </w:rPr>
  </w:style>
  <w:style w:type="paragraph" w:styleId="Encabezado">
    <w:name w:val="header"/>
    <w:basedOn w:val="Normal"/>
    <w:link w:val="EncabezadoCar"/>
    <w:uiPriority w:val="99"/>
    <w:unhideWhenUsed/>
    <w:rsid w:val="008A5F25"/>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8A5F25"/>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8A5F25"/>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8A5F25"/>
    <w:rPr>
      <w:rFonts w:ascii="Calibri" w:eastAsiaTheme="minorEastAsia" w:hAnsi="Calibri" w:cs="Calibri"/>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A5F25"/>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A5F25"/>
    <w:rPr>
      <w:rFonts w:ascii="Calibri" w:eastAsiaTheme="minorEastAsia" w:hAnsi="Calibri" w:cs="Calibri"/>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8A5F25"/>
    <w:rPr>
      <w:color w:val="0563C1" w:themeColor="hyperlink"/>
      <w:u w:val="single"/>
    </w:rPr>
  </w:style>
  <w:style w:type="paragraph" w:styleId="Sinespaciado">
    <w:name w:val="No Spacing"/>
    <w:aliases w:val="Francesa,INAI"/>
    <w:link w:val="SinespaciadoCar"/>
    <w:uiPriority w:val="1"/>
    <w:qFormat/>
    <w:rsid w:val="008A5F25"/>
    <w:pPr>
      <w:spacing w:after="0" w:line="240" w:lineRule="auto"/>
    </w:pPr>
  </w:style>
  <w:style w:type="character" w:customStyle="1" w:styleId="SinespaciadoCar">
    <w:name w:val="Sin espaciado Car"/>
    <w:aliases w:val="Francesa Car,INAI Car"/>
    <w:link w:val="Sinespaciado"/>
    <w:uiPriority w:val="1"/>
    <w:qFormat/>
    <w:locked/>
    <w:rsid w:val="008A5F25"/>
    <w:rPr>
      <w:rFonts w:ascii="Calibri" w:eastAsia="Calibri" w:hAnsi="Calibri" w:cs="Calibri"/>
      <w:lang w:eastAsia="es-MX"/>
    </w:rPr>
  </w:style>
  <w:style w:type="paragraph" w:styleId="Listaconvietas2">
    <w:name w:val="List Bullet 2"/>
    <w:basedOn w:val="Normal"/>
    <w:uiPriority w:val="99"/>
    <w:unhideWhenUsed/>
    <w:qFormat/>
    <w:rsid w:val="008A5F25"/>
    <w:pPr>
      <w:numPr>
        <w:numId w:val="5"/>
      </w:numPr>
      <w:spacing w:after="0" w:line="240" w:lineRule="auto"/>
      <w:contextualSpacing/>
    </w:pPr>
    <w:rPr>
      <w:rFonts w:ascii="Times New Roman" w:eastAsia="Times New Roman" w:hAnsi="Times New Roman" w:cs="Times New Roman"/>
      <w:sz w:val="20"/>
      <w:szCs w:val="20"/>
    </w:rPr>
  </w:style>
  <w:style w:type="table" w:styleId="Tablaconcuadrcula">
    <w:name w:val="Table Grid"/>
    <w:basedOn w:val="Tablanormal"/>
    <w:uiPriority w:val="39"/>
    <w:rsid w:val="008A5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A5F2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A5F25"/>
    <w:pPr>
      <w:spacing w:after="0" w:line="240" w:lineRule="auto"/>
    </w:pPr>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A5F25"/>
    <w:rPr>
      <w:rFonts w:ascii="Calibri" w:eastAsia="Calibri" w:hAnsi="Calibri" w:cs="Calibri"/>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A5F25"/>
    <w:rPr>
      <w:vertAlign w:val="superscript"/>
    </w:rPr>
  </w:style>
  <w:style w:type="character" w:customStyle="1" w:styleId="SubttuloCar">
    <w:name w:val="Subtítulo Car"/>
    <w:basedOn w:val="Fuentedeprrafopredeter"/>
    <w:rsid w:val="008A5F25"/>
    <w:rPr>
      <w:rFonts w:ascii="Georgia" w:eastAsia="Georgia" w:hAnsi="Georgia" w:cs="Georgia"/>
      <w:i/>
      <w:iCs/>
      <w:color w:val="666666"/>
      <w:sz w:val="48"/>
      <w:szCs w:val="48"/>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95312.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aimex.org.mx/saimex/solicitud/downloadAttach/2504207.page" TargetMode="External"/><Relationship Id="rId4" Type="http://schemas.openxmlformats.org/officeDocument/2006/relationships/settings" Target="settings.xml"/><Relationship Id="rId9" Type="http://schemas.openxmlformats.org/officeDocument/2006/relationships/hyperlink" Target="https://saimex.org.mx/saimex/solicitud/downloadAttach/2495313.pag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vmDrlP3F269T+hh4R2zsycZuCA==">CgMxLjAyDmguOHAzYXkzNzRqeHQ1Mg5oLmZkMWttbHdyOHkxbTIOaC40OWhzNmM4ejhtODgyDmguMzc0aDB3ZW5mNnlvMg5oLnVrY2llOHoybHlrZDIOaC5lMnMxYjZzbnFiZnYyDmguNW5qamg5dzFoNjVqMghoLnR5amN3dDIJaC4yczhleW8xMgloLjE3ZHA4dnU4AHIhMXQ2V1NNQnBvSVplSWQxZmhfYkZlZGhfem9fSEc2Rnpi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7257</Words>
  <Characters>39916</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7</cp:revision>
  <cp:lastPrinted>2026-03-12T23:14:00Z</cp:lastPrinted>
  <dcterms:created xsi:type="dcterms:W3CDTF">2026-03-04T18:58:00Z</dcterms:created>
  <dcterms:modified xsi:type="dcterms:W3CDTF">2026-03-20T20:12:00Z</dcterms:modified>
</cp:coreProperties>
</file>