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A02CC6" w14:textId="77777777" w:rsidR="009B26BC" w:rsidRPr="007C3AF1" w:rsidRDefault="009B26BC" w:rsidP="007911EC">
      <w:pPr>
        <w:pStyle w:val="TtuloTDC"/>
        <w:spacing w:line="360" w:lineRule="auto"/>
        <w:jc w:val="both"/>
        <w:rPr>
          <w:rFonts w:eastAsia="Times New Roman" w:cs="Times New Roman"/>
          <w:b w:val="0"/>
          <w:color w:val="FF0000"/>
          <w:szCs w:val="22"/>
          <w:lang w:val="es-ES" w:eastAsia="es-ES"/>
        </w:rPr>
      </w:pPr>
    </w:p>
    <w:sdt>
      <w:sdtPr>
        <w:rPr>
          <w:rFonts w:ascii="Times New Roman" w:eastAsia="Times New Roman" w:hAnsi="Times New Roman" w:cs="Times New Roman"/>
          <w:b w:val="0"/>
          <w:color w:val="FF0000"/>
          <w:sz w:val="20"/>
          <w:szCs w:val="22"/>
          <w:lang w:val="es-ES" w:eastAsia="es-ES"/>
        </w:rPr>
        <w:id w:val="309064069"/>
        <w:docPartObj>
          <w:docPartGallery w:val="Table of Contents"/>
          <w:docPartUnique/>
        </w:docPartObj>
      </w:sdtPr>
      <w:sdtEndPr>
        <w:rPr>
          <w:bCs/>
          <w:szCs w:val="20"/>
        </w:rPr>
      </w:sdtEndPr>
      <w:sdtContent>
        <w:p w14:paraId="25C7F9DF" w14:textId="39B2319E" w:rsidR="007935E5" w:rsidRPr="007C3AF1" w:rsidRDefault="007935E5" w:rsidP="007911EC">
          <w:pPr>
            <w:pStyle w:val="TtuloTDC"/>
            <w:spacing w:line="360" w:lineRule="auto"/>
            <w:rPr>
              <w:b w:val="0"/>
              <w:bCs/>
              <w:color w:val="auto"/>
              <w:szCs w:val="22"/>
              <w:lang w:val="es-ES"/>
            </w:rPr>
          </w:pPr>
          <w:r w:rsidRPr="007C3AF1">
            <w:rPr>
              <w:b w:val="0"/>
              <w:bCs/>
              <w:color w:val="auto"/>
              <w:szCs w:val="22"/>
              <w:lang w:val="es-ES"/>
            </w:rPr>
            <w:t xml:space="preserve">RESOLUCIÓN DEL RECURSO DE REVISIÓN </w:t>
          </w:r>
          <w:r w:rsidR="007C3AF1" w:rsidRPr="007C3AF1">
            <w:rPr>
              <w:b w:val="0"/>
              <w:bCs/>
              <w:color w:val="auto"/>
              <w:szCs w:val="22"/>
              <w:lang w:val="es-ES"/>
            </w:rPr>
            <w:t>01151</w:t>
          </w:r>
          <w:r w:rsidR="007E4295" w:rsidRPr="007C3AF1">
            <w:rPr>
              <w:b w:val="0"/>
              <w:bCs/>
              <w:color w:val="auto"/>
              <w:szCs w:val="22"/>
              <w:lang w:val="es-ES"/>
            </w:rPr>
            <w:t>/INFOEM/IP/RR/202</w:t>
          </w:r>
          <w:r w:rsidR="007C3AF1" w:rsidRPr="007C3AF1">
            <w:rPr>
              <w:b w:val="0"/>
              <w:bCs/>
              <w:color w:val="auto"/>
              <w:szCs w:val="22"/>
              <w:lang w:val="es-ES"/>
            </w:rPr>
            <w:t>6</w:t>
          </w:r>
        </w:p>
        <w:p w14:paraId="569CD10F" w14:textId="77777777" w:rsidR="00684330" w:rsidRPr="007C3AF1" w:rsidRDefault="00684330" w:rsidP="007911EC">
          <w:pPr>
            <w:spacing w:line="360" w:lineRule="auto"/>
            <w:rPr>
              <w:color w:val="FF0000"/>
              <w:lang w:val="es-ES" w:eastAsia="es-MX"/>
            </w:rPr>
          </w:pPr>
        </w:p>
        <w:p w14:paraId="7436A2C6" w14:textId="77777777" w:rsidR="006A4526" w:rsidRPr="00305732" w:rsidRDefault="006A4526" w:rsidP="007911EC">
          <w:pPr>
            <w:spacing w:line="360" w:lineRule="auto"/>
            <w:rPr>
              <w:rFonts w:ascii="Palatino Linotype" w:hAnsi="Palatino Linotype"/>
              <w:color w:val="FF0000"/>
              <w:sz w:val="22"/>
              <w:szCs w:val="22"/>
              <w:lang w:val="es-ES" w:eastAsia="es-MX"/>
            </w:rPr>
          </w:pPr>
        </w:p>
        <w:p w14:paraId="3425BCA2" w14:textId="77777777" w:rsidR="00305732" w:rsidRPr="00305732" w:rsidRDefault="007935E5">
          <w:pPr>
            <w:pStyle w:val="TDC1"/>
            <w:rPr>
              <w:rFonts w:ascii="Palatino Linotype" w:eastAsiaTheme="minorEastAsia" w:hAnsi="Palatino Linotype" w:cstheme="minorBidi"/>
              <w:noProof/>
              <w:sz w:val="22"/>
              <w:szCs w:val="22"/>
              <w:lang w:eastAsia="es-MX"/>
            </w:rPr>
          </w:pPr>
          <w:r w:rsidRPr="00305732">
            <w:rPr>
              <w:rFonts w:ascii="Palatino Linotype" w:hAnsi="Palatino Linotype"/>
              <w:bCs/>
              <w:color w:val="FF0000"/>
              <w:sz w:val="22"/>
              <w:szCs w:val="22"/>
            </w:rPr>
            <w:fldChar w:fldCharType="begin"/>
          </w:r>
          <w:r w:rsidRPr="00305732">
            <w:rPr>
              <w:rFonts w:ascii="Palatino Linotype" w:hAnsi="Palatino Linotype"/>
              <w:bCs/>
              <w:color w:val="FF0000"/>
              <w:sz w:val="22"/>
              <w:szCs w:val="22"/>
            </w:rPr>
            <w:instrText xml:space="preserve"> TOC \o "1-3" \h \z \u </w:instrText>
          </w:r>
          <w:r w:rsidRPr="00305732">
            <w:rPr>
              <w:rFonts w:ascii="Palatino Linotype" w:hAnsi="Palatino Linotype"/>
              <w:bCs/>
              <w:color w:val="FF0000"/>
              <w:sz w:val="22"/>
              <w:szCs w:val="22"/>
            </w:rPr>
            <w:fldChar w:fldCharType="separate"/>
          </w:r>
          <w:hyperlink w:anchor="_Toc223615222" w:history="1">
            <w:r w:rsidR="00305732" w:rsidRPr="00305732">
              <w:rPr>
                <w:rStyle w:val="Hipervnculo"/>
                <w:rFonts w:ascii="Palatino Linotype" w:hAnsi="Palatino Linotype"/>
                <w:noProof/>
                <w:sz w:val="22"/>
                <w:szCs w:val="22"/>
              </w:rPr>
              <w:t>A N T E C E D E N T E S</w:t>
            </w:r>
            <w:r w:rsidR="00305732" w:rsidRPr="00305732">
              <w:rPr>
                <w:rFonts w:ascii="Palatino Linotype" w:hAnsi="Palatino Linotype"/>
                <w:noProof/>
                <w:webHidden/>
                <w:sz w:val="22"/>
                <w:szCs w:val="22"/>
              </w:rPr>
              <w:tab/>
            </w:r>
            <w:r w:rsidR="00305732" w:rsidRPr="00305732">
              <w:rPr>
                <w:rFonts w:ascii="Palatino Linotype" w:hAnsi="Palatino Linotype"/>
                <w:noProof/>
                <w:webHidden/>
                <w:sz w:val="22"/>
                <w:szCs w:val="22"/>
              </w:rPr>
              <w:fldChar w:fldCharType="begin"/>
            </w:r>
            <w:r w:rsidR="00305732" w:rsidRPr="00305732">
              <w:rPr>
                <w:rFonts w:ascii="Palatino Linotype" w:hAnsi="Palatino Linotype"/>
                <w:noProof/>
                <w:webHidden/>
                <w:sz w:val="22"/>
                <w:szCs w:val="22"/>
              </w:rPr>
              <w:instrText xml:space="preserve"> PAGEREF _Toc223615222 \h </w:instrText>
            </w:r>
            <w:r w:rsidR="00305732" w:rsidRPr="00305732">
              <w:rPr>
                <w:rFonts w:ascii="Palatino Linotype" w:hAnsi="Palatino Linotype"/>
                <w:noProof/>
                <w:webHidden/>
                <w:sz w:val="22"/>
                <w:szCs w:val="22"/>
              </w:rPr>
            </w:r>
            <w:r w:rsidR="00305732" w:rsidRPr="00305732">
              <w:rPr>
                <w:rFonts w:ascii="Palatino Linotype" w:hAnsi="Palatino Linotype"/>
                <w:noProof/>
                <w:webHidden/>
                <w:sz w:val="22"/>
                <w:szCs w:val="22"/>
              </w:rPr>
              <w:fldChar w:fldCharType="separate"/>
            </w:r>
            <w:r w:rsidR="0013648D">
              <w:rPr>
                <w:rFonts w:ascii="Palatino Linotype" w:hAnsi="Palatino Linotype"/>
                <w:noProof/>
                <w:webHidden/>
                <w:sz w:val="22"/>
                <w:szCs w:val="22"/>
              </w:rPr>
              <w:t>2</w:t>
            </w:r>
            <w:r w:rsidR="00305732" w:rsidRPr="00305732">
              <w:rPr>
                <w:rFonts w:ascii="Palatino Linotype" w:hAnsi="Palatino Linotype"/>
                <w:noProof/>
                <w:webHidden/>
                <w:sz w:val="22"/>
                <w:szCs w:val="22"/>
              </w:rPr>
              <w:fldChar w:fldCharType="end"/>
            </w:r>
          </w:hyperlink>
        </w:p>
        <w:p w14:paraId="26C27084" w14:textId="77777777" w:rsidR="00305732" w:rsidRPr="00305732" w:rsidRDefault="00000000">
          <w:pPr>
            <w:pStyle w:val="TDC2"/>
            <w:tabs>
              <w:tab w:val="right" w:leader="dot" w:pos="9034"/>
            </w:tabs>
            <w:rPr>
              <w:rFonts w:ascii="Palatino Linotype" w:eastAsiaTheme="minorEastAsia" w:hAnsi="Palatino Linotype" w:cstheme="minorBidi"/>
              <w:noProof/>
              <w:sz w:val="22"/>
              <w:szCs w:val="22"/>
              <w:lang w:eastAsia="es-MX"/>
            </w:rPr>
          </w:pPr>
          <w:hyperlink w:anchor="_Toc223615223" w:history="1">
            <w:r w:rsidR="00305732" w:rsidRPr="00305732">
              <w:rPr>
                <w:rStyle w:val="Hipervnculo"/>
                <w:rFonts w:ascii="Palatino Linotype" w:hAnsi="Palatino Linotype"/>
                <w:noProof/>
                <w:sz w:val="22"/>
                <w:szCs w:val="22"/>
              </w:rPr>
              <w:t>I. Presentación de la solicitud de información</w:t>
            </w:r>
            <w:r w:rsidR="00305732" w:rsidRPr="00305732">
              <w:rPr>
                <w:rFonts w:ascii="Palatino Linotype" w:hAnsi="Palatino Linotype"/>
                <w:noProof/>
                <w:webHidden/>
                <w:sz w:val="22"/>
                <w:szCs w:val="22"/>
              </w:rPr>
              <w:tab/>
            </w:r>
            <w:r w:rsidR="00305732" w:rsidRPr="00305732">
              <w:rPr>
                <w:rFonts w:ascii="Palatino Linotype" w:hAnsi="Palatino Linotype"/>
                <w:noProof/>
                <w:webHidden/>
                <w:sz w:val="22"/>
                <w:szCs w:val="22"/>
              </w:rPr>
              <w:fldChar w:fldCharType="begin"/>
            </w:r>
            <w:r w:rsidR="00305732" w:rsidRPr="00305732">
              <w:rPr>
                <w:rFonts w:ascii="Palatino Linotype" w:hAnsi="Palatino Linotype"/>
                <w:noProof/>
                <w:webHidden/>
                <w:sz w:val="22"/>
                <w:szCs w:val="22"/>
              </w:rPr>
              <w:instrText xml:space="preserve"> PAGEREF _Toc223615223 \h </w:instrText>
            </w:r>
            <w:r w:rsidR="00305732" w:rsidRPr="00305732">
              <w:rPr>
                <w:rFonts w:ascii="Palatino Linotype" w:hAnsi="Palatino Linotype"/>
                <w:noProof/>
                <w:webHidden/>
                <w:sz w:val="22"/>
                <w:szCs w:val="22"/>
              </w:rPr>
            </w:r>
            <w:r w:rsidR="00305732" w:rsidRPr="00305732">
              <w:rPr>
                <w:rFonts w:ascii="Palatino Linotype" w:hAnsi="Palatino Linotype"/>
                <w:noProof/>
                <w:webHidden/>
                <w:sz w:val="22"/>
                <w:szCs w:val="22"/>
              </w:rPr>
              <w:fldChar w:fldCharType="separate"/>
            </w:r>
            <w:r w:rsidR="0013648D">
              <w:rPr>
                <w:rFonts w:ascii="Palatino Linotype" w:hAnsi="Palatino Linotype"/>
                <w:noProof/>
                <w:webHidden/>
                <w:sz w:val="22"/>
                <w:szCs w:val="22"/>
              </w:rPr>
              <w:t>2</w:t>
            </w:r>
            <w:r w:rsidR="00305732" w:rsidRPr="00305732">
              <w:rPr>
                <w:rFonts w:ascii="Palatino Linotype" w:hAnsi="Palatino Linotype"/>
                <w:noProof/>
                <w:webHidden/>
                <w:sz w:val="22"/>
                <w:szCs w:val="22"/>
              </w:rPr>
              <w:fldChar w:fldCharType="end"/>
            </w:r>
          </w:hyperlink>
        </w:p>
        <w:p w14:paraId="0C632D61" w14:textId="77777777" w:rsidR="00305732" w:rsidRPr="00305732" w:rsidRDefault="00000000">
          <w:pPr>
            <w:pStyle w:val="TDC2"/>
            <w:tabs>
              <w:tab w:val="right" w:leader="dot" w:pos="9034"/>
            </w:tabs>
            <w:rPr>
              <w:rFonts w:ascii="Palatino Linotype" w:eastAsiaTheme="minorEastAsia" w:hAnsi="Palatino Linotype" w:cstheme="minorBidi"/>
              <w:noProof/>
              <w:sz w:val="22"/>
              <w:szCs w:val="22"/>
              <w:lang w:eastAsia="es-MX"/>
            </w:rPr>
          </w:pPr>
          <w:hyperlink w:anchor="_Toc223615224" w:history="1">
            <w:r w:rsidR="00305732" w:rsidRPr="00305732">
              <w:rPr>
                <w:rStyle w:val="Hipervnculo"/>
                <w:rFonts w:ascii="Palatino Linotype" w:hAnsi="Palatino Linotype"/>
                <w:noProof/>
                <w:sz w:val="22"/>
                <w:szCs w:val="22"/>
              </w:rPr>
              <w:t>II.  Respuesta del Sujeto Obligado</w:t>
            </w:r>
            <w:r w:rsidR="00305732" w:rsidRPr="00305732">
              <w:rPr>
                <w:rFonts w:ascii="Palatino Linotype" w:hAnsi="Palatino Linotype"/>
                <w:noProof/>
                <w:webHidden/>
                <w:sz w:val="22"/>
                <w:szCs w:val="22"/>
              </w:rPr>
              <w:tab/>
            </w:r>
            <w:r w:rsidR="00305732" w:rsidRPr="00305732">
              <w:rPr>
                <w:rFonts w:ascii="Palatino Linotype" w:hAnsi="Palatino Linotype"/>
                <w:noProof/>
                <w:webHidden/>
                <w:sz w:val="22"/>
                <w:szCs w:val="22"/>
              </w:rPr>
              <w:fldChar w:fldCharType="begin"/>
            </w:r>
            <w:r w:rsidR="00305732" w:rsidRPr="00305732">
              <w:rPr>
                <w:rFonts w:ascii="Palatino Linotype" w:hAnsi="Palatino Linotype"/>
                <w:noProof/>
                <w:webHidden/>
                <w:sz w:val="22"/>
                <w:szCs w:val="22"/>
              </w:rPr>
              <w:instrText xml:space="preserve"> PAGEREF _Toc223615224 \h </w:instrText>
            </w:r>
            <w:r w:rsidR="00305732" w:rsidRPr="00305732">
              <w:rPr>
                <w:rFonts w:ascii="Palatino Linotype" w:hAnsi="Palatino Linotype"/>
                <w:noProof/>
                <w:webHidden/>
                <w:sz w:val="22"/>
                <w:szCs w:val="22"/>
              </w:rPr>
            </w:r>
            <w:r w:rsidR="00305732" w:rsidRPr="00305732">
              <w:rPr>
                <w:rFonts w:ascii="Palatino Linotype" w:hAnsi="Palatino Linotype"/>
                <w:noProof/>
                <w:webHidden/>
                <w:sz w:val="22"/>
                <w:szCs w:val="22"/>
              </w:rPr>
              <w:fldChar w:fldCharType="separate"/>
            </w:r>
            <w:r w:rsidR="0013648D">
              <w:rPr>
                <w:rFonts w:ascii="Palatino Linotype" w:hAnsi="Palatino Linotype"/>
                <w:noProof/>
                <w:webHidden/>
                <w:sz w:val="22"/>
                <w:szCs w:val="22"/>
              </w:rPr>
              <w:t>3</w:t>
            </w:r>
            <w:r w:rsidR="00305732" w:rsidRPr="00305732">
              <w:rPr>
                <w:rFonts w:ascii="Palatino Linotype" w:hAnsi="Palatino Linotype"/>
                <w:noProof/>
                <w:webHidden/>
                <w:sz w:val="22"/>
                <w:szCs w:val="22"/>
              </w:rPr>
              <w:fldChar w:fldCharType="end"/>
            </w:r>
          </w:hyperlink>
        </w:p>
        <w:p w14:paraId="53D0A945" w14:textId="77777777" w:rsidR="00305732" w:rsidRPr="00305732" w:rsidRDefault="00000000">
          <w:pPr>
            <w:pStyle w:val="TDC2"/>
            <w:tabs>
              <w:tab w:val="right" w:leader="dot" w:pos="9034"/>
            </w:tabs>
            <w:rPr>
              <w:rFonts w:ascii="Palatino Linotype" w:eastAsiaTheme="minorEastAsia" w:hAnsi="Palatino Linotype" w:cstheme="minorBidi"/>
              <w:noProof/>
              <w:sz w:val="22"/>
              <w:szCs w:val="22"/>
              <w:lang w:eastAsia="es-MX"/>
            </w:rPr>
          </w:pPr>
          <w:hyperlink w:anchor="_Toc223615225" w:history="1">
            <w:r w:rsidR="00305732" w:rsidRPr="00305732">
              <w:rPr>
                <w:rStyle w:val="Hipervnculo"/>
                <w:rFonts w:ascii="Palatino Linotype" w:hAnsi="Palatino Linotype"/>
                <w:noProof/>
                <w:sz w:val="22"/>
                <w:szCs w:val="22"/>
                <w:lang w:eastAsia="en-US"/>
              </w:rPr>
              <w:t>III. Interposición del Recurso de Revisión</w:t>
            </w:r>
            <w:r w:rsidR="00305732" w:rsidRPr="00305732">
              <w:rPr>
                <w:rFonts w:ascii="Palatino Linotype" w:hAnsi="Palatino Linotype"/>
                <w:noProof/>
                <w:webHidden/>
                <w:sz w:val="22"/>
                <w:szCs w:val="22"/>
              </w:rPr>
              <w:tab/>
            </w:r>
            <w:r w:rsidR="00305732" w:rsidRPr="00305732">
              <w:rPr>
                <w:rFonts w:ascii="Palatino Linotype" w:hAnsi="Palatino Linotype"/>
                <w:noProof/>
                <w:webHidden/>
                <w:sz w:val="22"/>
                <w:szCs w:val="22"/>
              </w:rPr>
              <w:fldChar w:fldCharType="begin"/>
            </w:r>
            <w:r w:rsidR="00305732" w:rsidRPr="00305732">
              <w:rPr>
                <w:rFonts w:ascii="Palatino Linotype" w:hAnsi="Palatino Linotype"/>
                <w:noProof/>
                <w:webHidden/>
                <w:sz w:val="22"/>
                <w:szCs w:val="22"/>
              </w:rPr>
              <w:instrText xml:space="preserve"> PAGEREF _Toc223615225 \h </w:instrText>
            </w:r>
            <w:r w:rsidR="00305732" w:rsidRPr="00305732">
              <w:rPr>
                <w:rFonts w:ascii="Palatino Linotype" w:hAnsi="Palatino Linotype"/>
                <w:noProof/>
                <w:webHidden/>
                <w:sz w:val="22"/>
                <w:szCs w:val="22"/>
              </w:rPr>
            </w:r>
            <w:r w:rsidR="00305732" w:rsidRPr="00305732">
              <w:rPr>
                <w:rFonts w:ascii="Palatino Linotype" w:hAnsi="Palatino Linotype"/>
                <w:noProof/>
                <w:webHidden/>
                <w:sz w:val="22"/>
                <w:szCs w:val="22"/>
              </w:rPr>
              <w:fldChar w:fldCharType="separate"/>
            </w:r>
            <w:r w:rsidR="0013648D">
              <w:rPr>
                <w:rFonts w:ascii="Palatino Linotype" w:hAnsi="Palatino Linotype"/>
                <w:noProof/>
                <w:webHidden/>
                <w:sz w:val="22"/>
                <w:szCs w:val="22"/>
              </w:rPr>
              <w:t>3</w:t>
            </w:r>
            <w:r w:rsidR="00305732" w:rsidRPr="00305732">
              <w:rPr>
                <w:rFonts w:ascii="Palatino Linotype" w:hAnsi="Palatino Linotype"/>
                <w:noProof/>
                <w:webHidden/>
                <w:sz w:val="22"/>
                <w:szCs w:val="22"/>
              </w:rPr>
              <w:fldChar w:fldCharType="end"/>
            </w:r>
          </w:hyperlink>
        </w:p>
        <w:p w14:paraId="06FA9D67" w14:textId="77777777" w:rsidR="00305732" w:rsidRPr="00305732" w:rsidRDefault="00000000">
          <w:pPr>
            <w:pStyle w:val="TDC2"/>
            <w:tabs>
              <w:tab w:val="right" w:leader="dot" w:pos="9034"/>
            </w:tabs>
            <w:rPr>
              <w:rFonts w:ascii="Palatino Linotype" w:eastAsiaTheme="minorEastAsia" w:hAnsi="Palatino Linotype" w:cstheme="minorBidi"/>
              <w:noProof/>
              <w:sz w:val="22"/>
              <w:szCs w:val="22"/>
              <w:lang w:eastAsia="es-MX"/>
            </w:rPr>
          </w:pPr>
          <w:hyperlink w:anchor="_Toc223615226" w:history="1">
            <w:r w:rsidR="00305732" w:rsidRPr="00305732">
              <w:rPr>
                <w:rStyle w:val="Hipervnculo"/>
                <w:rFonts w:ascii="Palatino Linotype" w:hAnsi="Palatino Linotype"/>
                <w:noProof/>
                <w:sz w:val="22"/>
                <w:szCs w:val="22"/>
                <w:lang w:eastAsia="en-US"/>
              </w:rPr>
              <w:t>IV. Trámite del Recurso de Revisión ante el Instituto</w:t>
            </w:r>
            <w:r w:rsidR="00305732" w:rsidRPr="00305732">
              <w:rPr>
                <w:rFonts w:ascii="Palatino Linotype" w:hAnsi="Palatino Linotype"/>
                <w:noProof/>
                <w:webHidden/>
                <w:sz w:val="22"/>
                <w:szCs w:val="22"/>
              </w:rPr>
              <w:tab/>
            </w:r>
            <w:r w:rsidR="00305732" w:rsidRPr="00305732">
              <w:rPr>
                <w:rFonts w:ascii="Palatino Linotype" w:hAnsi="Palatino Linotype"/>
                <w:noProof/>
                <w:webHidden/>
                <w:sz w:val="22"/>
                <w:szCs w:val="22"/>
              </w:rPr>
              <w:fldChar w:fldCharType="begin"/>
            </w:r>
            <w:r w:rsidR="00305732" w:rsidRPr="00305732">
              <w:rPr>
                <w:rFonts w:ascii="Palatino Linotype" w:hAnsi="Palatino Linotype"/>
                <w:noProof/>
                <w:webHidden/>
                <w:sz w:val="22"/>
                <w:szCs w:val="22"/>
              </w:rPr>
              <w:instrText xml:space="preserve"> PAGEREF _Toc223615226 \h </w:instrText>
            </w:r>
            <w:r w:rsidR="00305732" w:rsidRPr="00305732">
              <w:rPr>
                <w:rFonts w:ascii="Palatino Linotype" w:hAnsi="Palatino Linotype"/>
                <w:noProof/>
                <w:webHidden/>
                <w:sz w:val="22"/>
                <w:szCs w:val="22"/>
              </w:rPr>
            </w:r>
            <w:r w:rsidR="00305732" w:rsidRPr="00305732">
              <w:rPr>
                <w:rFonts w:ascii="Palatino Linotype" w:hAnsi="Palatino Linotype"/>
                <w:noProof/>
                <w:webHidden/>
                <w:sz w:val="22"/>
                <w:szCs w:val="22"/>
              </w:rPr>
              <w:fldChar w:fldCharType="separate"/>
            </w:r>
            <w:r w:rsidR="0013648D">
              <w:rPr>
                <w:rFonts w:ascii="Palatino Linotype" w:hAnsi="Palatino Linotype"/>
                <w:noProof/>
                <w:webHidden/>
                <w:sz w:val="22"/>
                <w:szCs w:val="22"/>
              </w:rPr>
              <w:t>4</w:t>
            </w:r>
            <w:r w:rsidR="00305732" w:rsidRPr="00305732">
              <w:rPr>
                <w:rFonts w:ascii="Palatino Linotype" w:hAnsi="Palatino Linotype"/>
                <w:noProof/>
                <w:webHidden/>
                <w:sz w:val="22"/>
                <w:szCs w:val="22"/>
              </w:rPr>
              <w:fldChar w:fldCharType="end"/>
            </w:r>
          </w:hyperlink>
        </w:p>
        <w:p w14:paraId="57752A05" w14:textId="77777777" w:rsidR="00305732" w:rsidRPr="00305732" w:rsidRDefault="00000000">
          <w:pPr>
            <w:pStyle w:val="TDC1"/>
            <w:rPr>
              <w:rFonts w:ascii="Palatino Linotype" w:eastAsiaTheme="minorEastAsia" w:hAnsi="Palatino Linotype" w:cstheme="minorBidi"/>
              <w:noProof/>
              <w:sz w:val="22"/>
              <w:szCs w:val="22"/>
              <w:lang w:eastAsia="es-MX"/>
            </w:rPr>
          </w:pPr>
          <w:hyperlink w:anchor="_Toc223615227" w:history="1">
            <w:r w:rsidR="00305732" w:rsidRPr="00305732">
              <w:rPr>
                <w:rStyle w:val="Hipervnculo"/>
                <w:rFonts w:ascii="Palatino Linotype" w:hAnsi="Palatino Linotype"/>
                <w:noProof/>
                <w:sz w:val="22"/>
                <w:szCs w:val="22"/>
                <w:lang w:val="es-ES"/>
              </w:rPr>
              <w:t>C O N S I D E R A N D O S</w:t>
            </w:r>
            <w:r w:rsidR="00305732" w:rsidRPr="00305732">
              <w:rPr>
                <w:rFonts w:ascii="Palatino Linotype" w:hAnsi="Palatino Linotype"/>
                <w:noProof/>
                <w:webHidden/>
                <w:sz w:val="22"/>
                <w:szCs w:val="22"/>
              </w:rPr>
              <w:tab/>
            </w:r>
            <w:r w:rsidR="00305732" w:rsidRPr="00305732">
              <w:rPr>
                <w:rFonts w:ascii="Palatino Linotype" w:hAnsi="Palatino Linotype"/>
                <w:noProof/>
                <w:webHidden/>
                <w:sz w:val="22"/>
                <w:szCs w:val="22"/>
              </w:rPr>
              <w:fldChar w:fldCharType="begin"/>
            </w:r>
            <w:r w:rsidR="00305732" w:rsidRPr="00305732">
              <w:rPr>
                <w:rFonts w:ascii="Palatino Linotype" w:hAnsi="Palatino Linotype"/>
                <w:noProof/>
                <w:webHidden/>
                <w:sz w:val="22"/>
                <w:szCs w:val="22"/>
              </w:rPr>
              <w:instrText xml:space="preserve"> PAGEREF _Toc223615227 \h </w:instrText>
            </w:r>
            <w:r w:rsidR="00305732" w:rsidRPr="00305732">
              <w:rPr>
                <w:rFonts w:ascii="Palatino Linotype" w:hAnsi="Palatino Linotype"/>
                <w:noProof/>
                <w:webHidden/>
                <w:sz w:val="22"/>
                <w:szCs w:val="22"/>
              </w:rPr>
            </w:r>
            <w:r w:rsidR="00305732" w:rsidRPr="00305732">
              <w:rPr>
                <w:rFonts w:ascii="Palatino Linotype" w:hAnsi="Palatino Linotype"/>
                <w:noProof/>
                <w:webHidden/>
                <w:sz w:val="22"/>
                <w:szCs w:val="22"/>
              </w:rPr>
              <w:fldChar w:fldCharType="separate"/>
            </w:r>
            <w:r w:rsidR="0013648D">
              <w:rPr>
                <w:rFonts w:ascii="Palatino Linotype" w:hAnsi="Palatino Linotype"/>
                <w:noProof/>
                <w:webHidden/>
                <w:sz w:val="22"/>
                <w:szCs w:val="22"/>
              </w:rPr>
              <w:t>6</w:t>
            </w:r>
            <w:r w:rsidR="00305732" w:rsidRPr="00305732">
              <w:rPr>
                <w:rFonts w:ascii="Palatino Linotype" w:hAnsi="Palatino Linotype"/>
                <w:noProof/>
                <w:webHidden/>
                <w:sz w:val="22"/>
                <w:szCs w:val="22"/>
              </w:rPr>
              <w:fldChar w:fldCharType="end"/>
            </w:r>
          </w:hyperlink>
        </w:p>
        <w:p w14:paraId="44D9E519" w14:textId="77777777" w:rsidR="00305732" w:rsidRPr="00305732" w:rsidRDefault="00000000">
          <w:pPr>
            <w:pStyle w:val="TDC2"/>
            <w:tabs>
              <w:tab w:val="right" w:leader="dot" w:pos="9034"/>
            </w:tabs>
            <w:rPr>
              <w:rFonts w:ascii="Palatino Linotype" w:eastAsiaTheme="minorEastAsia" w:hAnsi="Palatino Linotype" w:cstheme="minorBidi"/>
              <w:noProof/>
              <w:sz w:val="22"/>
              <w:szCs w:val="22"/>
              <w:lang w:eastAsia="es-MX"/>
            </w:rPr>
          </w:pPr>
          <w:hyperlink w:anchor="_Toc223615228" w:history="1">
            <w:r w:rsidR="00305732" w:rsidRPr="00305732">
              <w:rPr>
                <w:rStyle w:val="Hipervnculo"/>
                <w:rFonts w:ascii="Palatino Linotype" w:eastAsia="Calibri" w:hAnsi="Palatino Linotype"/>
                <w:noProof/>
                <w:sz w:val="22"/>
                <w:szCs w:val="22"/>
                <w:lang w:val="es-ES" w:eastAsia="es-MX"/>
              </w:rPr>
              <w:t xml:space="preserve">PRIMERO. </w:t>
            </w:r>
            <w:r w:rsidR="00305732" w:rsidRPr="00305732">
              <w:rPr>
                <w:rStyle w:val="Hipervnculo"/>
                <w:rFonts w:ascii="Palatino Linotype" w:hAnsi="Palatino Linotype"/>
                <w:noProof/>
                <w:sz w:val="22"/>
                <w:szCs w:val="22"/>
                <w:lang w:val="es-ES"/>
              </w:rPr>
              <w:t>Competencia</w:t>
            </w:r>
            <w:r w:rsidR="00305732" w:rsidRPr="00305732">
              <w:rPr>
                <w:rFonts w:ascii="Palatino Linotype" w:hAnsi="Palatino Linotype"/>
                <w:noProof/>
                <w:webHidden/>
                <w:sz w:val="22"/>
                <w:szCs w:val="22"/>
              </w:rPr>
              <w:tab/>
            </w:r>
            <w:r w:rsidR="00305732" w:rsidRPr="00305732">
              <w:rPr>
                <w:rFonts w:ascii="Palatino Linotype" w:hAnsi="Palatino Linotype"/>
                <w:noProof/>
                <w:webHidden/>
                <w:sz w:val="22"/>
                <w:szCs w:val="22"/>
              </w:rPr>
              <w:fldChar w:fldCharType="begin"/>
            </w:r>
            <w:r w:rsidR="00305732" w:rsidRPr="00305732">
              <w:rPr>
                <w:rFonts w:ascii="Palatino Linotype" w:hAnsi="Palatino Linotype"/>
                <w:noProof/>
                <w:webHidden/>
                <w:sz w:val="22"/>
                <w:szCs w:val="22"/>
              </w:rPr>
              <w:instrText xml:space="preserve"> PAGEREF _Toc223615228 \h </w:instrText>
            </w:r>
            <w:r w:rsidR="00305732" w:rsidRPr="00305732">
              <w:rPr>
                <w:rFonts w:ascii="Palatino Linotype" w:hAnsi="Palatino Linotype"/>
                <w:noProof/>
                <w:webHidden/>
                <w:sz w:val="22"/>
                <w:szCs w:val="22"/>
              </w:rPr>
            </w:r>
            <w:r w:rsidR="00305732" w:rsidRPr="00305732">
              <w:rPr>
                <w:rFonts w:ascii="Palatino Linotype" w:hAnsi="Palatino Linotype"/>
                <w:noProof/>
                <w:webHidden/>
                <w:sz w:val="22"/>
                <w:szCs w:val="22"/>
              </w:rPr>
              <w:fldChar w:fldCharType="separate"/>
            </w:r>
            <w:r w:rsidR="0013648D">
              <w:rPr>
                <w:rFonts w:ascii="Palatino Linotype" w:hAnsi="Palatino Linotype"/>
                <w:noProof/>
                <w:webHidden/>
                <w:sz w:val="22"/>
                <w:szCs w:val="22"/>
              </w:rPr>
              <w:t>6</w:t>
            </w:r>
            <w:r w:rsidR="00305732" w:rsidRPr="00305732">
              <w:rPr>
                <w:rFonts w:ascii="Palatino Linotype" w:hAnsi="Palatino Linotype"/>
                <w:noProof/>
                <w:webHidden/>
                <w:sz w:val="22"/>
                <w:szCs w:val="22"/>
              </w:rPr>
              <w:fldChar w:fldCharType="end"/>
            </w:r>
          </w:hyperlink>
        </w:p>
        <w:p w14:paraId="7636BD68" w14:textId="77777777" w:rsidR="00305732" w:rsidRPr="00305732" w:rsidRDefault="00000000">
          <w:pPr>
            <w:pStyle w:val="TDC2"/>
            <w:tabs>
              <w:tab w:val="right" w:leader="dot" w:pos="9034"/>
            </w:tabs>
            <w:rPr>
              <w:rFonts w:ascii="Palatino Linotype" w:eastAsiaTheme="minorEastAsia" w:hAnsi="Palatino Linotype" w:cstheme="minorBidi"/>
              <w:noProof/>
              <w:sz w:val="22"/>
              <w:szCs w:val="22"/>
              <w:lang w:eastAsia="es-MX"/>
            </w:rPr>
          </w:pPr>
          <w:hyperlink w:anchor="_Toc223615229" w:history="1">
            <w:r w:rsidR="00305732" w:rsidRPr="00305732">
              <w:rPr>
                <w:rStyle w:val="Hipervnculo"/>
                <w:rFonts w:ascii="Palatino Linotype" w:eastAsia="Calibri" w:hAnsi="Palatino Linotype"/>
                <w:noProof/>
                <w:sz w:val="22"/>
                <w:szCs w:val="22"/>
                <w:lang w:val="es-ES" w:eastAsia="es-MX"/>
              </w:rPr>
              <w:t xml:space="preserve">SEGUNDO. </w:t>
            </w:r>
            <w:r w:rsidR="00305732" w:rsidRPr="00305732">
              <w:rPr>
                <w:rStyle w:val="Hipervnculo"/>
                <w:rFonts w:ascii="Palatino Linotype" w:hAnsi="Palatino Linotype"/>
                <w:noProof/>
                <w:sz w:val="22"/>
                <w:szCs w:val="22"/>
                <w:lang w:val="es-ES"/>
              </w:rPr>
              <w:t>Causales de improcedencia y Sobreseimiento</w:t>
            </w:r>
            <w:r w:rsidR="00305732" w:rsidRPr="00305732">
              <w:rPr>
                <w:rFonts w:ascii="Palatino Linotype" w:hAnsi="Palatino Linotype"/>
                <w:noProof/>
                <w:webHidden/>
                <w:sz w:val="22"/>
                <w:szCs w:val="22"/>
              </w:rPr>
              <w:tab/>
            </w:r>
            <w:r w:rsidR="00305732" w:rsidRPr="00305732">
              <w:rPr>
                <w:rFonts w:ascii="Palatino Linotype" w:hAnsi="Palatino Linotype"/>
                <w:noProof/>
                <w:webHidden/>
                <w:sz w:val="22"/>
                <w:szCs w:val="22"/>
              </w:rPr>
              <w:fldChar w:fldCharType="begin"/>
            </w:r>
            <w:r w:rsidR="00305732" w:rsidRPr="00305732">
              <w:rPr>
                <w:rFonts w:ascii="Palatino Linotype" w:hAnsi="Palatino Linotype"/>
                <w:noProof/>
                <w:webHidden/>
                <w:sz w:val="22"/>
                <w:szCs w:val="22"/>
              </w:rPr>
              <w:instrText xml:space="preserve"> PAGEREF _Toc223615229 \h </w:instrText>
            </w:r>
            <w:r w:rsidR="00305732" w:rsidRPr="00305732">
              <w:rPr>
                <w:rFonts w:ascii="Palatino Linotype" w:hAnsi="Palatino Linotype"/>
                <w:noProof/>
                <w:webHidden/>
                <w:sz w:val="22"/>
                <w:szCs w:val="22"/>
              </w:rPr>
            </w:r>
            <w:r w:rsidR="00305732" w:rsidRPr="00305732">
              <w:rPr>
                <w:rFonts w:ascii="Palatino Linotype" w:hAnsi="Palatino Linotype"/>
                <w:noProof/>
                <w:webHidden/>
                <w:sz w:val="22"/>
                <w:szCs w:val="22"/>
              </w:rPr>
              <w:fldChar w:fldCharType="separate"/>
            </w:r>
            <w:r w:rsidR="0013648D">
              <w:rPr>
                <w:rFonts w:ascii="Palatino Linotype" w:hAnsi="Palatino Linotype"/>
                <w:noProof/>
                <w:webHidden/>
                <w:sz w:val="22"/>
                <w:szCs w:val="22"/>
              </w:rPr>
              <w:t>6</w:t>
            </w:r>
            <w:r w:rsidR="00305732" w:rsidRPr="00305732">
              <w:rPr>
                <w:rFonts w:ascii="Palatino Linotype" w:hAnsi="Palatino Linotype"/>
                <w:noProof/>
                <w:webHidden/>
                <w:sz w:val="22"/>
                <w:szCs w:val="22"/>
              </w:rPr>
              <w:fldChar w:fldCharType="end"/>
            </w:r>
          </w:hyperlink>
        </w:p>
        <w:p w14:paraId="2D0D2A01" w14:textId="77777777" w:rsidR="00305732" w:rsidRPr="00305732" w:rsidRDefault="00000000">
          <w:pPr>
            <w:pStyle w:val="TDC2"/>
            <w:tabs>
              <w:tab w:val="right" w:leader="dot" w:pos="9034"/>
            </w:tabs>
            <w:rPr>
              <w:rFonts w:ascii="Palatino Linotype" w:eastAsiaTheme="minorEastAsia" w:hAnsi="Palatino Linotype" w:cstheme="minorBidi"/>
              <w:noProof/>
              <w:sz w:val="22"/>
              <w:szCs w:val="22"/>
              <w:lang w:eastAsia="es-MX"/>
            </w:rPr>
          </w:pPr>
          <w:hyperlink w:anchor="_Toc223615230" w:history="1">
            <w:r w:rsidR="00305732" w:rsidRPr="00305732">
              <w:rPr>
                <w:rStyle w:val="Hipervnculo"/>
                <w:rFonts w:ascii="Palatino Linotype" w:hAnsi="Palatino Linotype"/>
                <w:noProof/>
                <w:sz w:val="22"/>
                <w:szCs w:val="22"/>
                <w:lang w:val="es-ES"/>
              </w:rPr>
              <w:t>TERCERO. Determinación de la Controversia</w:t>
            </w:r>
            <w:r w:rsidR="00305732" w:rsidRPr="00305732">
              <w:rPr>
                <w:rFonts w:ascii="Palatino Linotype" w:hAnsi="Palatino Linotype"/>
                <w:noProof/>
                <w:webHidden/>
                <w:sz w:val="22"/>
                <w:szCs w:val="22"/>
              </w:rPr>
              <w:tab/>
            </w:r>
            <w:r w:rsidR="00305732" w:rsidRPr="00305732">
              <w:rPr>
                <w:rFonts w:ascii="Palatino Linotype" w:hAnsi="Palatino Linotype"/>
                <w:noProof/>
                <w:webHidden/>
                <w:sz w:val="22"/>
                <w:szCs w:val="22"/>
              </w:rPr>
              <w:fldChar w:fldCharType="begin"/>
            </w:r>
            <w:r w:rsidR="00305732" w:rsidRPr="00305732">
              <w:rPr>
                <w:rFonts w:ascii="Palatino Linotype" w:hAnsi="Palatino Linotype"/>
                <w:noProof/>
                <w:webHidden/>
                <w:sz w:val="22"/>
                <w:szCs w:val="22"/>
              </w:rPr>
              <w:instrText xml:space="preserve"> PAGEREF _Toc223615230 \h </w:instrText>
            </w:r>
            <w:r w:rsidR="00305732" w:rsidRPr="00305732">
              <w:rPr>
                <w:rFonts w:ascii="Palatino Linotype" w:hAnsi="Palatino Linotype"/>
                <w:noProof/>
                <w:webHidden/>
                <w:sz w:val="22"/>
                <w:szCs w:val="22"/>
              </w:rPr>
            </w:r>
            <w:r w:rsidR="00305732" w:rsidRPr="00305732">
              <w:rPr>
                <w:rFonts w:ascii="Palatino Linotype" w:hAnsi="Palatino Linotype"/>
                <w:noProof/>
                <w:webHidden/>
                <w:sz w:val="22"/>
                <w:szCs w:val="22"/>
              </w:rPr>
              <w:fldChar w:fldCharType="separate"/>
            </w:r>
            <w:r w:rsidR="0013648D">
              <w:rPr>
                <w:rFonts w:ascii="Palatino Linotype" w:hAnsi="Palatino Linotype"/>
                <w:noProof/>
                <w:webHidden/>
                <w:sz w:val="22"/>
                <w:szCs w:val="22"/>
              </w:rPr>
              <w:t>13</w:t>
            </w:r>
            <w:r w:rsidR="00305732" w:rsidRPr="00305732">
              <w:rPr>
                <w:rFonts w:ascii="Palatino Linotype" w:hAnsi="Palatino Linotype"/>
                <w:noProof/>
                <w:webHidden/>
                <w:sz w:val="22"/>
                <w:szCs w:val="22"/>
              </w:rPr>
              <w:fldChar w:fldCharType="end"/>
            </w:r>
          </w:hyperlink>
        </w:p>
        <w:p w14:paraId="6D113F81" w14:textId="77777777" w:rsidR="00305732" w:rsidRPr="00305732" w:rsidRDefault="00000000">
          <w:pPr>
            <w:pStyle w:val="TDC2"/>
            <w:tabs>
              <w:tab w:val="right" w:leader="dot" w:pos="9034"/>
            </w:tabs>
            <w:rPr>
              <w:rFonts w:ascii="Palatino Linotype" w:eastAsiaTheme="minorEastAsia" w:hAnsi="Palatino Linotype" w:cstheme="minorBidi"/>
              <w:noProof/>
              <w:sz w:val="22"/>
              <w:szCs w:val="22"/>
              <w:lang w:eastAsia="es-MX"/>
            </w:rPr>
          </w:pPr>
          <w:hyperlink w:anchor="_Toc223615231" w:history="1">
            <w:r w:rsidR="00305732" w:rsidRPr="00305732">
              <w:rPr>
                <w:rStyle w:val="Hipervnculo"/>
                <w:rFonts w:ascii="Palatino Linotype" w:hAnsi="Palatino Linotype"/>
                <w:noProof/>
                <w:sz w:val="22"/>
                <w:szCs w:val="22"/>
                <w:lang w:val="es-ES"/>
              </w:rPr>
              <w:t xml:space="preserve">CUARTO. </w:t>
            </w:r>
            <w:r w:rsidR="00305732" w:rsidRPr="00305732">
              <w:rPr>
                <w:rStyle w:val="Hipervnculo"/>
                <w:rFonts w:ascii="Palatino Linotype" w:hAnsi="Palatino Linotype"/>
                <w:noProof/>
                <w:sz w:val="22"/>
                <w:szCs w:val="22"/>
              </w:rPr>
              <w:t>Marco normativo aplicable en materia de transparencia y acceso a la información pública</w:t>
            </w:r>
            <w:r w:rsidR="00305732" w:rsidRPr="00305732">
              <w:rPr>
                <w:rFonts w:ascii="Palatino Linotype" w:hAnsi="Palatino Linotype"/>
                <w:noProof/>
                <w:webHidden/>
                <w:sz w:val="22"/>
                <w:szCs w:val="22"/>
              </w:rPr>
              <w:tab/>
            </w:r>
            <w:r w:rsidR="00305732" w:rsidRPr="00305732">
              <w:rPr>
                <w:rFonts w:ascii="Palatino Linotype" w:hAnsi="Palatino Linotype"/>
                <w:noProof/>
                <w:webHidden/>
                <w:sz w:val="22"/>
                <w:szCs w:val="22"/>
              </w:rPr>
              <w:fldChar w:fldCharType="begin"/>
            </w:r>
            <w:r w:rsidR="00305732" w:rsidRPr="00305732">
              <w:rPr>
                <w:rFonts w:ascii="Palatino Linotype" w:hAnsi="Palatino Linotype"/>
                <w:noProof/>
                <w:webHidden/>
                <w:sz w:val="22"/>
                <w:szCs w:val="22"/>
              </w:rPr>
              <w:instrText xml:space="preserve"> PAGEREF _Toc223615231 \h </w:instrText>
            </w:r>
            <w:r w:rsidR="00305732" w:rsidRPr="00305732">
              <w:rPr>
                <w:rFonts w:ascii="Palatino Linotype" w:hAnsi="Palatino Linotype"/>
                <w:noProof/>
                <w:webHidden/>
                <w:sz w:val="22"/>
                <w:szCs w:val="22"/>
              </w:rPr>
            </w:r>
            <w:r w:rsidR="00305732" w:rsidRPr="00305732">
              <w:rPr>
                <w:rFonts w:ascii="Palatino Linotype" w:hAnsi="Palatino Linotype"/>
                <w:noProof/>
                <w:webHidden/>
                <w:sz w:val="22"/>
                <w:szCs w:val="22"/>
              </w:rPr>
              <w:fldChar w:fldCharType="separate"/>
            </w:r>
            <w:r w:rsidR="0013648D">
              <w:rPr>
                <w:rFonts w:ascii="Palatino Linotype" w:hAnsi="Palatino Linotype"/>
                <w:noProof/>
                <w:webHidden/>
                <w:sz w:val="22"/>
                <w:szCs w:val="22"/>
              </w:rPr>
              <w:t>14</w:t>
            </w:r>
            <w:r w:rsidR="00305732" w:rsidRPr="00305732">
              <w:rPr>
                <w:rFonts w:ascii="Palatino Linotype" w:hAnsi="Palatino Linotype"/>
                <w:noProof/>
                <w:webHidden/>
                <w:sz w:val="22"/>
                <w:szCs w:val="22"/>
              </w:rPr>
              <w:fldChar w:fldCharType="end"/>
            </w:r>
          </w:hyperlink>
        </w:p>
        <w:p w14:paraId="49BE1B38" w14:textId="77777777" w:rsidR="00305732" w:rsidRPr="00305732" w:rsidRDefault="00000000">
          <w:pPr>
            <w:pStyle w:val="TDC2"/>
            <w:tabs>
              <w:tab w:val="right" w:leader="dot" w:pos="9034"/>
            </w:tabs>
            <w:rPr>
              <w:rFonts w:ascii="Palatino Linotype" w:eastAsiaTheme="minorEastAsia" w:hAnsi="Palatino Linotype" w:cstheme="minorBidi"/>
              <w:noProof/>
              <w:sz w:val="22"/>
              <w:szCs w:val="22"/>
              <w:lang w:eastAsia="es-MX"/>
            </w:rPr>
          </w:pPr>
          <w:hyperlink w:anchor="_Toc223615232" w:history="1">
            <w:r w:rsidR="00305732" w:rsidRPr="00305732">
              <w:rPr>
                <w:rStyle w:val="Hipervnculo"/>
                <w:rFonts w:ascii="Palatino Linotype" w:hAnsi="Palatino Linotype"/>
                <w:noProof/>
                <w:sz w:val="22"/>
                <w:szCs w:val="22"/>
                <w:lang w:val="es-ES"/>
              </w:rPr>
              <w:t>QUINTO. Estudio de Fondo</w:t>
            </w:r>
            <w:r w:rsidR="00305732" w:rsidRPr="00305732">
              <w:rPr>
                <w:rFonts w:ascii="Palatino Linotype" w:hAnsi="Palatino Linotype"/>
                <w:noProof/>
                <w:webHidden/>
                <w:sz w:val="22"/>
                <w:szCs w:val="22"/>
              </w:rPr>
              <w:tab/>
            </w:r>
            <w:r w:rsidR="00305732" w:rsidRPr="00305732">
              <w:rPr>
                <w:rFonts w:ascii="Palatino Linotype" w:hAnsi="Palatino Linotype"/>
                <w:noProof/>
                <w:webHidden/>
                <w:sz w:val="22"/>
                <w:szCs w:val="22"/>
              </w:rPr>
              <w:fldChar w:fldCharType="begin"/>
            </w:r>
            <w:r w:rsidR="00305732" w:rsidRPr="00305732">
              <w:rPr>
                <w:rFonts w:ascii="Palatino Linotype" w:hAnsi="Palatino Linotype"/>
                <w:noProof/>
                <w:webHidden/>
                <w:sz w:val="22"/>
                <w:szCs w:val="22"/>
              </w:rPr>
              <w:instrText xml:space="preserve"> PAGEREF _Toc223615232 \h </w:instrText>
            </w:r>
            <w:r w:rsidR="00305732" w:rsidRPr="00305732">
              <w:rPr>
                <w:rFonts w:ascii="Palatino Linotype" w:hAnsi="Palatino Linotype"/>
                <w:noProof/>
                <w:webHidden/>
                <w:sz w:val="22"/>
                <w:szCs w:val="22"/>
              </w:rPr>
            </w:r>
            <w:r w:rsidR="00305732" w:rsidRPr="00305732">
              <w:rPr>
                <w:rFonts w:ascii="Palatino Linotype" w:hAnsi="Palatino Linotype"/>
                <w:noProof/>
                <w:webHidden/>
                <w:sz w:val="22"/>
                <w:szCs w:val="22"/>
              </w:rPr>
              <w:fldChar w:fldCharType="separate"/>
            </w:r>
            <w:r w:rsidR="0013648D">
              <w:rPr>
                <w:rFonts w:ascii="Palatino Linotype" w:hAnsi="Palatino Linotype"/>
                <w:noProof/>
                <w:webHidden/>
                <w:sz w:val="22"/>
                <w:szCs w:val="22"/>
              </w:rPr>
              <w:t>16</w:t>
            </w:r>
            <w:r w:rsidR="00305732" w:rsidRPr="00305732">
              <w:rPr>
                <w:rFonts w:ascii="Palatino Linotype" w:hAnsi="Palatino Linotype"/>
                <w:noProof/>
                <w:webHidden/>
                <w:sz w:val="22"/>
                <w:szCs w:val="22"/>
              </w:rPr>
              <w:fldChar w:fldCharType="end"/>
            </w:r>
          </w:hyperlink>
        </w:p>
        <w:p w14:paraId="1D2707CA" w14:textId="77777777" w:rsidR="00305732" w:rsidRPr="00305732" w:rsidRDefault="00000000">
          <w:pPr>
            <w:pStyle w:val="TDC2"/>
            <w:tabs>
              <w:tab w:val="right" w:leader="dot" w:pos="9034"/>
            </w:tabs>
            <w:rPr>
              <w:rFonts w:ascii="Palatino Linotype" w:eastAsiaTheme="minorEastAsia" w:hAnsi="Palatino Linotype" w:cstheme="minorBidi"/>
              <w:noProof/>
              <w:sz w:val="22"/>
              <w:szCs w:val="22"/>
              <w:lang w:eastAsia="es-MX"/>
            </w:rPr>
          </w:pPr>
          <w:hyperlink w:anchor="_Toc223615233" w:history="1">
            <w:r w:rsidR="00305732" w:rsidRPr="00305732">
              <w:rPr>
                <w:rStyle w:val="Hipervnculo"/>
                <w:rFonts w:ascii="Palatino Linotype" w:hAnsi="Palatino Linotype"/>
                <w:noProof/>
                <w:sz w:val="22"/>
                <w:szCs w:val="22"/>
              </w:rPr>
              <w:t>SEXTO. Decisión</w:t>
            </w:r>
            <w:r w:rsidR="00305732" w:rsidRPr="00305732">
              <w:rPr>
                <w:rFonts w:ascii="Palatino Linotype" w:hAnsi="Palatino Linotype"/>
                <w:noProof/>
                <w:webHidden/>
                <w:sz w:val="22"/>
                <w:szCs w:val="22"/>
              </w:rPr>
              <w:tab/>
            </w:r>
            <w:r w:rsidR="00305732" w:rsidRPr="00305732">
              <w:rPr>
                <w:rFonts w:ascii="Palatino Linotype" w:hAnsi="Palatino Linotype"/>
                <w:noProof/>
                <w:webHidden/>
                <w:sz w:val="22"/>
                <w:szCs w:val="22"/>
              </w:rPr>
              <w:fldChar w:fldCharType="begin"/>
            </w:r>
            <w:r w:rsidR="00305732" w:rsidRPr="00305732">
              <w:rPr>
                <w:rFonts w:ascii="Palatino Linotype" w:hAnsi="Palatino Linotype"/>
                <w:noProof/>
                <w:webHidden/>
                <w:sz w:val="22"/>
                <w:szCs w:val="22"/>
              </w:rPr>
              <w:instrText xml:space="preserve"> PAGEREF _Toc223615233 \h </w:instrText>
            </w:r>
            <w:r w:rsidR="00305732" w:rsidRPr="00305732">
              <w:rPr>
                <w:rFonts w:ascii="Palatino Linotype" w:hAnsi="Palatino Linotype"/>
                <w:noProof/>
                <w:webHidden/>
                <w:sz w:val="22"/>
                <w:szCs w:val="22"/>
              </w:rPr>
            </w:r>
            <w:r w:rsidR="00305732" w:rsidRPr="00305732">
              <w:rPr>
                <w:rFonts w:ascii="Palatino Linotype" w:hAnsi="Palatino Linotype"/>
                <w:noProof/>
                <w:webHidden/>
                <w:sz w:val="22"/>
                <w:szCs w:val="22"/>
              </w:rPr>
              <w:fldChar w:fldCharType="separate"/>
            </w:r>
            <w:r w:rsidR="0013648D">
              <w:rPr>
                <w:rFonts w:ascii="Palatino Linotype" w:hAnsi="Palatino Linotype"/>
                <w:noProof/>
                <w:webHidden/>
                <w:sz w:val="22"/>
                <w:szCs w:val="22"/>
              </w:rPr>
              <w:t>32</w:t>
            </w:r>
            <w:r w:rsidR="00305732" w:rsidRPr="00305732">
              <w:rPr>
                <w:rFonts w:ascii="Palatino Linotype" w:hAnsi="Palatino Linotype"/>
                <w:noProof/>
                <w:webHidden/>
                <w:sz w:val="22"/>
                <w:szCs w:val="22"/>
              </w:rPr>
              <w:fldChar w:fldCharType="end"/>
            </w:r>
          </w:hyperlink>
        </w:p>
        <w:p w14:paraId="7D629F0E" w14:textId="77777777" w:rsidR="00305732" w:rsidRPr="00305732" w:rsidRDefault="00000000">
          <w:pPr>
            <w:pStyle w:val="TDC2"/>
            <w:tabs>
              <w:tab w:val="right" w:leader="dot" w:pos="9034"/>
            </w:tabs>
            <w:rPr>
              <w:rFonts w:ascii="Palatino Linotype" w:eastAsiaTheme="minorEastAsia" w:hAnsi="Palatino Linotype" w:cstheme="minorBidi"/>
              <w:noProof/>
              <w:sz w:val="22"/>
              <w:szCs w:val="22"/>
              <w:lang w:eastAsia="es-MX"/>
            </w:rPr>
          </w:pPr>
          <w:hyperlink w:anchor="_Toc223615234" w:history="1">
            <w:r w:rsidR="00305732" w:rsidRPr="00305732">
              <w:rPr>
                <w:rStyle w:val="Hipervnculo"/>
                <w:rFonts w:ascii="Palatino Linotype" w:hAnsi="Palatino Linotype"/>
                <w:noProof/>
                <w:sz w:val="22"/>
                <w:szCs w:val="22"/>
              </w:rPr>
              <w:t>SÉPTIMO. Vista a la Secretaría</w:t>
            </w:r>
            <w:r w:rsidR="00305732" w:rsidRPr="00305732">
              <w:rPr>
                <w:rStyle w:val="Hipervnculo"/>
                <w:rFonts w:ascii="Palatino Linotype" w:hAnsi="Palatino Linotype"/>
                <w:noProof/>
                <w:sz w:val="22"/>
                <w:szCs w:val="22"/>
                <w:lang w:val="x-none"/>
              </w:rPr>
              <w:t xml:space="preserve"> Técnica del </w:t>
            </w:r>
            <w:r w:rsidR="00305732" w:rsidRPr="00305732">
              <w:rPr>
                <w:rStyle w:val="Hipervnculo"/>
                <w:rFonts w:ascii="Palatino Linotype" w:hAnsi="Palatino Linotype"/>
                <w:noProof/>
                <w:sz w:val="22"/>
                <w:szCs w:val="22"/>
              </w:rPr>
              <w:t>Pleno</w:t>
            </w:r>
            <w:r w:rsidR="00305732" w:rsidRPr="00305732">
              <w:rPr>
                <w:rFonts w:ascii="Palatino Linotype" w:hAnsi="Palatino Linotype"/>
                <w:noProof/>
                <w:webHidden/>
                <w:sz w:val="22"/>
                <w:szCs w:val="22"/>
              </w:rPr>
              <w:tab/>
            </w:r>
            <w:r w:rsidR="00305732" w:rsidRPr="00305732">
              <w:rPr>
                <w:rFonts w:ascii="Palatino Linotype" w:hAnsi="Palatino Linotype"/>
                <w:noProof/>
                <w:webHidden/>
                <w:sz w:val="22"/>
                <w:szCs w:val="22"/>
              </w:rPr>
              <w:fldChar w:fldCharType="begin"/>
            </w:r>
            <w:r w:rsidR="00305732" w:rsidRPr="00305732">
              <w:rPr>
                <w:rFonts w:ascii="Palatino Linotype" w:hAnsi="Palatino Linotype"/>
                <w:noProof/>
                <w:webHidden/>
                <w:sz w:val="22"/>
                <w:szCs w:val="22"/>
              </w:rPr>
              <w:instrText xml:space="preserve"> PAGEREF _Toc223615234 \h </w:instrText>
            </w:r>
            <w:r w:rsidR="00305732" w:rsidRPr="00305732">
              <w:rPr>
                <w:rFonts w:ascii="Palatino Linotype" w:hAnsi="Palatino Linotype"/>
                <w:noProof/>
                <w:webHidden/>
                <w:sz w:val="22"/>
                <w:szCs w:val="22"/>
              </w:rPr>
            </w:r>
            <w:r w:rsidR="00305732" w:rsidRPr="00305732">
              <w:rPr>
                <w:rFonts w:ascii="Palatino Linotype" w:hAnsi="Palatino Linotype"/>
                <w:noProof/>
                <w:webHidden/>
                <w:sz w:val="22"/>
                <w:szCs w:val="22"/>
              </w:rPr>
              <w:fldChar w:fldCharType="separate"/>
            </w:r>
            <w:r w:rsidR="0013648D">
              <w:rPr>
                <w:rFonts w:ascii="Palatino Linotype" w:hAnsi="Palatino Linotype"/>
                <w:noProof/>
                <w:webHidden/>
                <w:sz w:val="22"/>
                <w:szCs w:val="22"/>
              </w:rPr>
              <w:t>32</w:t>
            </w:r>
            <w:r w:rsidR="00305732" w:rsidRPr="00305732">
              <w:rPr>
                <w:rFonts w:ascii="Palatino Linotype" w:hAnsi="Palatino Linotype"/>
                <w:noProof/>
                <w:webHidden/>
                <w:sz w:val="22"/>
                <w:szCs w:val="22"/>
              </w:rPr>
              <w:fldChar w:fldCharType="end"/>
            </w:r>
          </w:hyperlink>
        </w:p>
        <w:p w14:paraId="4B7CD1A6" w14:textId="77777777" w:rsidR="00305732" w:rsidRPr="00305732" w:rsidRDefault="00000000">
          <w:pPr>
            <w:pStyle w:val="TDC1"/>
            <w:rPr>
              <w:rFonts w:ascii="Palatino Linotype" w:eastAsiaTheme="minorEastAsia" w:hAnsi="Palatino Linotype" w:cstheme="minorBidi"/>
              <w:noProof/>
              <w:sz w:val="22"/>
              <w:szCs w:val="22"/>
              <w:lang w:eastAsia="es-MX"/>
            </w:rPr>
          </w:pPr>
          <w:hyperlink w:anchor="_Toc223615235" w:history="1">
            <w:r w:rsidR="00305732" w:rsidRPr="00305732">
              <w:rPr>
                <w:rStyle w:val="Hipervnculo"/>
                <w:rFonts w:ascii="Palatino Linotype" w:hAnsi="Palatino Linotype"/>
                <w:noProof/>
                <w:sz w:val="22"/>
                <w:szCs w:val="22"/>
              </w:rPr>
              <w:t>R E S U E L V E</w:t>
            </w:r>
            <w:r w:rsidR="00305732" w:rsidRPr="00305732">
              <w:rPr>
                <w:rFonts w:ascii="Palatino Linotype" w:hAnsi="Palatino Linotype"/>
                <w:noProof/>
                <w:webHidden/>
                <w:sz w:val="22"/>
                <w:szCs w:val="22"/>
              </w:rPr>
              <w:tab/>
            </w:r>
            <w:r w:rsidR="00305732" w:rsidRPr="00305732">
              <w:rPr>
                <w:rFonts w:ascii="Palatino Linotype" w:hAnsi="Palatino Linotype"/>
                <w:noProof/>
                <w:webHidden/>
                <w:sz w:val="22"/>
                <w:szCs w:val="22"/>
              </w:rPr>
              <w:fldChar w:fldCharType="begin"/>
            </w:r>
            <w:r w:rsidR="00305732" w:rsidRPr="00305732">
              <w:rPr>
                <w:rFonts w:ascii="Palatino Linotype" w:hAnsi="Palatino Linotype"/>
                <w:noProof/>
                <w:webHidden/>
                <w:sz w:val="22"/>
                <w:szCs w:val="22"/>
              </w:rPr>
              <w:instrText xml:space="preserve"> PAGEREF _Toc223615235 \h </w:instrText>
            </w:r>
            <w:r w:rsidR="00305732" w:rsidRPr="00305732">
              <w:rPr>
                <w:rFonts w:ascii="Palatino Linotype" w:hAnsi="Palatino Linotype"/>
                <w:noProof/>
                <w:webHidden/>
                <w:sz w:val="22"/>
                <w:szCs w:val="22"/>
              </w:rPr>
            </w:r>
            <w:r w:rsidR="00305732" w:rsidRPr="00305732">
              <w:rPr>
                <w:rFonts w:ascii="Palatino Linotype" w:hAnsi="Palatino Linotype"/>
                <w:noProof/>
                <w:webHidden/>
                <w:sz w:val="22"/>
                <w:szCs w:val="22"/>
              </w:rPr>
              <w:fldChar w:fldCharType="separate"/>
            </w:r>
            <w:r w:rsidR="0013648D">
              <w:rPr>
                <w:rFonts w:ascii="Palatino Linotype" w:hAnsi="Palatino Linotype"/>
                <w:noProof/>
                <w:webHidden/>
                <w:sz w:val="22"/>
                <w:szCs w:val="22"/>
              </w:rPr>
              <w:t>34</w:t>
            </w:r>
            <w:r w:rsidR="00305732" w:rsidRPr="00305732">
              <w:rPr>
                <w:rFonts w:ascii="Palatino Linotype" w:hAnsi="Palatino Linotype"/>
                <w:noProof/>
                <w:webHidden/>
                <w:sz w:val="22"/>
                <w:szCs w:val="22"/>
              </w:rPr>
              <w:fldChar w:fldCharType="end"/>
            </w:r>
          </w:hyperlink>
        </w:p>
        <w:p w14:paraId="03C9AFF7" w14:textId="529B548C" w:rsidR="007935E5" w:rsidRPr="007C3AF1" w:rsidRDefault="007935E5" w:rsidP="007911EC">
          <w:pPr>
            <w:spacing w:line="360" w:lineRule="auto"/>
            <w:jc w:val="both"/>
            <w:rPr>
              <w:color w:val="FF0000"/>
            </w:rPr>
          </w:pPr>
          <w:r w:rsidRPr="00305732">
            <w:rPr>
              <w:rFonts w:ascii="Palatino Linotype" w:hAnsi="Palatino Linotype"/>
              <w:bCs/>
              <w:color w:val="FF0000"/>
              <w:sz w:val="22"/>
              <w:szCs w:val="22"/>
              <w:lang w:val="es-ES"/>
            </w:rPr>
            <w:fldChar w:fldCharType="end"/>
          </w:r>
        </w:p>
      </w:sdtContent>
    </w:sdt>
    <w:p w14:paraId="0ED4147D" w14:textId="31C1882C" w:rsidR="00F82637" w:rsidRPr="007C3AF1" w:rsidRDefault="007935E5" w:rsidP="007911EC">
      <w:pPr>
        <w:spacing w:line="360" w:lineRule="auto"/>
        <w:jc w:val="both"/>
        <w:rPr>
          <w:rFonts w:ascii="Palatino Linotype" w:eastAsiaTheme="minorHAnsi" w:hAnsi="Palatino Linotype" w:cs="Tahoma"/>
          <w:bCs/>
          <w:color w:val="FF0000"/>
          <w:sz w:val="22"/>
          <w:szCs w:val="22"/>
          <w:lang w:eastAsia="en-US"/>
        </w:rPr>
      </w:pPr>
      <w:r w:rsidRPr="007C3AF1">
        <w:rPr>
          <w:rFonts w:ascii="Palatino Linotype" w:eastAsiaTheme="minorHAnsi" w:hAnsi="Palatino Linotype" w:cs="Tahoma"/>
          <w:bCs/>
          <w:color w:val="FF0000"/>
          <w:sz w:val="22"/>
          <w:szCs w:val="22"/>
          <w:lang w:eastAsia="en-US"/>
        </w:rPr>
        <w:br w:type="column"/>
      </w:r>
      <w:r w:rsidR="00F82637" w:rsidRPr="007C3AF1">
        <w:rPr>
          <w:rFonts w:ascii="Palatino Linotype" w:eastAsiaTheme="minorHAnsi" w:hAnsi="Palatino Linotype" w:cs="Tahoma"/>
          <w:bCs/>
          <w:sz w:val="22"/>
          <w:szCs w:val="22"/>
          <w:lang w:eastAsia="en-US"/>
        </w:rPr>
        <w:lastRenderedPageBreak/>
        <w:t xml:space="preserve">Resolución del Pleno del Instituto de Transparencia, Acceso a la Información Pública y </w:t>
      </w:r>
      <w:r w:rsidR="00F82637" w:rsidRPr="007C3AF1">
        <w:rPr>
          <w:rFonts w:ascii="Palatino Linotype" w:hAnsi="Palatino Linotype" w:cs="Tahoma"/>
          <w:bCs/>
          <w:sz w:val="22"/>
          <w:szCs w:val="22"/>
        </w:rPr>
        <w:t>Protección de Datos Personales del Estado de México y Municipios, con domicilio en Metepec, Estado de México, de fecha</w:t>
      </w:r>
      <w:r w:rsidR="007934D0" w:rsidRPr="007C3AF1">
        <w:rPr>
          <w:rFonts w:ascii="Palatino Linotype" w:hAnsi="Palatino Linotype" w:cs="Tahoma"/>
          <w:bCs/>
          <w:sz w:val="22"/>
          <w:szCs w:val="22"/>
        </w:rPr>
        <w:t xml:space="preserve"> cinco de </w:t>
      </w:r>
      <w:r w:rsidR="007C3AF1" w:rsidRPr="007C3AF1">
        <w:rPr>
          <w:rFonts w:ascii="Palatino Linotype" w:hAnsi="Palatino Linotype" w:cs="Tahoma"/>
          <w:bCs/>
          <w:sz w:val="22"/>
          <w:szCs w:val="22"/>
        </w:rPr>
        <w:t>marzo</w:t>
      </w:r>
      <w:r w:rsidR="007934D0" w:rsidRPr="007C3AF1">
        <w:rPr>
          <w:rFonts w:ascii="Palatino Linotype" w:hAnsi="Palatino Linotype" w:cs="Tahoma"/>
          <w:bCs/>
          <w:sz w:val="22"/>
          <w:szCs w:val="22"/>
        </w:rPr>
        <w:t xml:space="preserve"> de dos mil veintiséis.</w:t>
      </w:r>
    </w:p>
    <w:p w14:paraId="7922BAAD" w14:textId="77777777" w:rsidR="00F82637" w:rsidRPr="007C3AF1" w:rsidRDefault="00F82637" w:rsidP="007911EC">
      <w:pPr>
        <w:spacing w:line="360" w:lineRule="auto"/>
        <w:ind w:left="708" w:hanging="708"/>
        <w:jc w:val="both"/>
        <w:rPr>
          <w:rFonts w:ascii="Palatino Linotype" w:eastAsiaTheme="minorHAnsi" w:hAnsi="Palatino Linotype" w:cstheme="minorBidi"/>
          <w:color w:val="FF0000"/>
          <w:sz w:val="22"/>
          <w:szCs w:val="22"/>
          <w:lang w:eastAsia="en-US"/>
        </w:rPr>
      </w:pPr>
    </w:p>
    <w:p w14:paraId="446072B0" w14:textId="1344C475" w:rsidR="00F82637" w:rsidRPr="007C3AF1" w:rsidRDefault="00F82637" w:rsidP="007911EC">
      <w:pPr>
        <w:spacing w:line="360" w:lineRule="auto"/>
        <w:jc w:val="both"/>
        <w:rPr>
          <w:rFonts w:ascii="Palatino Linotype" w:eastAsiaTheme="minorHAnsi" w:hAnsi="Palatino Linotype" w:cstheme="minorBidi"/>
          <w:sz w:val="22"/>
          <w:szCs w:val="22"/>
          <w:lang w:eastAsia="en-US"/>
        </w:rPr>
      </w:pPr>
      <w:r w:rsidRPr="007C3AF1">
        <w:rPr>
          <w:rFonts w:ascii="Palatino Linotype" w:eastAsiaTheme="minorHAnsi" w:hAnsi="Palatino Linotype" w:cstheme="minorBidi"/>
          <w:b/>
          <w:bCs/>
          <w:sz w:val="22"/>
          <w:szCs w:val="22"/>
          <w:lang w:eastAsia="en-US"/>
        </w:rPr>
        <w:t xml:space="preserve">VISTO </w:t>
      </w:r>
      <w:r w:rsidRPr="007C3AF1">
        <w:rPr>
          <w:rFonts w:ascii="Palatino Linotype" w:eastAsiaTheme="minorHAnsi" w:hAnsi="Palatino Linotype" w:cstheme="minorBidi"/>
          <w:bCs/>
          <w:sz w:val="22"/>
          <w:szCs w:val="22"/>
          <w:lang w:eastAsia="en-US"/>
        </w:rPr>
        <w:t xml:space="preserve">el expediente conformado con motivo del Recurso de Revisión </w:t>
      </w:r>
      <w:r w:rsidR="007C3AF1" w:rsidRPr="0058536E">
        <w:rPr>
          <w:rFonts w:ascii="Palatino Linotype" w:eastAsiaTheme="minorHAnsi" w:hAnsi="Palatino Linotype" w:cstheme="minorBidi"/>
          <w:b/>
          <w:bCs/>
          <w:sz w:val="22"/>
          <w:szCs w:val="22"/>
          <w:lang w:eastAsia="en-US"/>
        </w:rPr>
        <w:t>01151</w:t>
      </w:r>
      <w:r w:rsidR="007E4295" w:rsidRPr="0058536E">
        <w:rPr>
          <w:rFonts w:ascii="Palatino Linotype" w:eastAsiaTheme="minorHAnsi" w:hAnsi="Palatino Linotype" w:cstheme="minorBidi"/>
          <w:b/>
          <w:bCs/>
          <w:sz w:val="22"/>
          <w:szCs w:val="22"/>
          <w:lang w:eastAsia="en-US"/>
        </w:rPr>
        <w:t>/INFOEM/IP/RR/202</w:t>
      </w:r>
      <w:r w:rsidR="007C3AF1" w:rsidRPr="0058536E">
        <w:rPr>
          <w:rFonts w:ascii="Palatino Linotype" w:eastAsiaTheme="minorHAnsi" w:hAnsi="Palatino Linotype" w:cstheme="minorBidi"/>
          <w:b/>
          <w:bCs/>
          <w:sz w:val="22"/>
          <w:szCs w:val="22"/>
          <w:lang w:eastAsia="en-US"/>
        </w:rPr>
        <w:t>6</w:t>
      </w:r>
      <w:r w:rsidRPr="007C3AF1">
        <w:rPr>
          <w:rFonts w:ascii="Palatino Linotype" w:eastAsiaTheme="minorHAnsi" w:hAnsi="Palatino Linotype" w:cstheme="minorBidi"/>
          <w:sz w:val="22"/>
          <w:szCs w:val="22"/>
          <w:lang w:eastAsia="en-US"/>
        </w:rPr>
        <w:t>, inter</w:t>
      </w:r>
      <w:r w:rsidR="001723FE" w:rsidRPr="007C3AF1">
        <w:rPr>
          <w:rFonts w:ascii="Palatino Linotype" w:eastAsiaTheme="minorHAnsi" w:hAnsi="Palatino Linotype" w:cstheme="minorBidi"/>
          <w:sz w:val="22"/>
          <w:szCs w:val="22"/>
          <w:lang w:eastAsia="en-US"/>
        </w:rPr>
        <w:t xml:space="preserve">puesto </w:t>
      </w:r>
      <w:r w:rsidR="007F28D2" w:rsidRPr="007C3AF1">
        <w:rPr>
          <w:rFonts w:ascii="Palatino Linotype" w:eastAsiaTheme="minorHAnsi" w:hAnsi="Palatino Linotype" w:cstheme="minorBidi"/>
          <w:sz w:val="22"/>
          <w:szCs w:val="22"/>
          <w:lang w:eastAsia="en-US"/>
        </w:rPr>
        <w:t>por</w:t>
      </w:r>
      <w:r w:rsidR="00C06734" w:rsidRPr="007C3AF1">
        <w:rPr>
          <w:rFonts w:ascii="Palatino Linotype" w:eastAsiaTheme="minorHAnsi" w:hAnsi="Palatino Linotype" w:cstheme="minorBidi"/>
          <w:sz w:val="22"/>
          <w:szCs w:val="22"/>
          <w:lang w:eastAsia="en-US"/>
        </w:rPr>
        <w:t xml:space="preserve"> </w:t>
      </w:r>
      <w:r w:rsidR="007C3AF1" w:rsidRPr="00AE49A4">
        <w:rPr>
          <w:rFonts w:ascii="Palatino Linotype" w:eastAsiaTheme="minorHAnsi" w:hAnsi="Palatino Linotype" w:cstheme="minorBidi"/>
          <w:sz w:val="22"/>
          <w:szCs w:val="22"/>
          <w:highlight w:val="black"/>
          <w:lang w:eastAsia="en-US"/>
        </w:rPr>
        <w:t>X</w:t>
      </w:r>
      <w:r w:rsidR="00AE49A4" w:rsidRPr="00AE49A4">
        <w:rPr>
          <w:rFonts w:ascii="Palatino Linotype" w:eastAsia="Calibri" w:hAnsi="Palatino Linotype" w:cs="Tahoma"/>
          <w:sz w:val="22"/>
          <w:szCs w:val="22"/>
          <w:highlight w:val="black"/>
          <w:lang w:eastAsia="en-US"/>
        </w:rPr>
        <w:t xml:space="preserve"> </w:t>
      </w:r>
      <w:r w:rsidR="00AE49A4" w:rsidRPr="00AE49A4">
        <w:rPr>
          <w:rFonts w:ascii="Palatino Linotype" w:eastAsia="Calibri" w:hAnsi="Palatino Linotype" w:cs="Tahoma"/>
          <w:sz w:val="22"/>
          <w:szCs w:val="22"/>
          <w:highlight w:val="black"/>
          <w:lang w:eastAsia="en-US"/>
        </w:rPr>
        <w:t>XXXXXX</w:t>
      </w:r>
      <w:r w:rsidR="007934D0" w:rsidRPr="007C3AF1">
        <w:rPr>
          <w:rFonts w:ascii="Arial" w:hAnsi="Arial" w:cs="Arial"/>
          <w:b/>
          <w:bCs/>
          <w:sz w:val="15"/>
          <w:szCs w:val="15"/>
          <w:shd w:val="clear" w:color="auto" w:fill="F7F7F8"/>
        </w:rPr>
        <w:t xml:space="preserve">, </w:t>
      </w:r>
      <w:r w:rsidR="00BA0893" w:rsidRPr="007C3AF1">
        <w:rPr>
          <w:rFonts w:ascii="Palatino Linotype" w:eastAsiaTheme="minorHAnsi" w:hAnsi="Palatino Linotype" w:cstheme="minorBidi"/>
          <w:sz w:val="22"/>
          <w:szCs w:val="22"/>
          <w:lang w:eastAsia="en-US"/>
        </w:rPr>
        <w:t xml:space="preserve">en lo sucesivo </w:t>
      </w:r>
      <w:r w:rsidR="00281735" w:rsidRPr="007C3AF1">
        <w:rPr>
          <w:rFonts w:ascii="Palatino Linotype" w:eastAsiaTheme="minorHAnsi" w:hAnsi="Palatino Linotype" w:cstheme="minorBidi"/>
          <w:sz w:val="22"/>
          <w:szCs w:val="22"/>
          <w:lang w:eastAsia="en-US"/>
        </w:rPr>
        <w:t xml:space="preserve">persona </w:t>
      </w:r>
      <w:r w:rsidRPr="007C3AF1">
        <w:rPr>
          <w:rFonts w:ascii="Palatino Linotype" w:eastAsiaTheme="minorHAnsi" w:hAnsi="Palatino Linotype" w:cs="Tahoma"/>
          <w:sz w:val="22"/>
          <w:szCs w:val="22"/>
          <w:lang w:eastAsia="en-US"/>
        </w:rPr>
        <w:t>Recurrente o Particular</w:t>
      </w:r>
      <w:r w:rsidRPr="007C3AF1">
        <w:rPr>
          <w:rFonts w:ascii="Palatino Linotype" w:eastAsiaTheme="minorHAnsi" w:hAnsi="Palatino Linotype" w:cstheme="minorBidi"/>
          <w:sz w:val="22"/>
          <w:szCs w:val="22"/>
          <w:lang w:eastAsia="en-US"/>
        </w:rPr>
        <w:t xml:space="preserve">, en contra de la </w:t>
      </w:r>
      <w:r w:rsidR="003B4F63" w:rsidRPr="007C3AF1">
        <w:rPr>
          <w:rFonts w:ascii="Palatino Linotype" w:eastAsiaTheme="minorHAnsi" w:hAnsi="Palatino Linotype" w:cstheme="minorBidi"/>
          <w:sz w:val="22"/>
          <w:szCs w:val="22"/>
          <w:lang w:eastAsia="en-US"/>
        </w:rPr>
        <w:t xml:space="preserve">falta de </w:t>
      </w:r>
      <w:r w:rsidRPr="007C3AF1">
        <w:rPr>
          <w:rFonts w:ascii="Palatino Linotype" w:eastAsiaTheme="minorHAnsi" w:hAnsi="Palatino Linotype" w:cstheme="minorBidi"/>
          <w:sz w:val="22"/>
          <w:szCs w:val="22"/>
          <w:lang w:eastAsia="en-US"/>
        </w:rPr>
        <w:t xml:space="preserve">respuesta del Sujeto Obligado, </w:t>
      </w:r>
      <w:r w:rsidR="007E4295" w:rsidRPr="0058536E">
        <w:rPr>
          <w:rFonts w:ascii="Palatino Linotype" w:eastAsia="Calibri" w:hAnsi="Palatino Linotype" w:cs="Tahoma"/>
          <w:b/>
          <w:bCs/>
          <w:sz w:val="22"/>
          <w:szCs w:val="22"/>
          <w:lang w:eastAsia="en-US"/>
        </w:rPr>
        <w:t xml:space="preserve">Ayuntamiento </w:t>
      </w:r>
      <w:r w:rsidR="007C3AF1" w:rsidRPr="0058536E">
        <w:rPr>
          <w:rFonts w:ascii="Palatino Linotype" w:eastAsia="Calibri" w:hAnsi="Palatino Linotype" w:cs="Tahoma"/>
          <w:b/>
          <w:bCs/>
          <w:sz w:val="22"/>
          <w:szCs w:val="22"/>
          <w:lang w:eastAsia="en-US"/>
        </w:rPr>
        <w:t>de Valle de Chalco Solidaridad</w:t>
      </w:r>
      <w:r w:rsidRPr="007C3AF1">
        <w:rPr>
          <w:rFonts w:ascii="Palatino Linotype" w:eastAsiaTheme="minorHAnsi" w:hAnsi="Palatino Linotype" w:cstheme="minorBidi"/>
          <w:sz w:val="22"/>
          <w:szCs w:val="22"/>
          <w:lang w:eastAsia="en-US"/>
        </w:rPr>
        <w:t xml:space="preserve">, a la solicitud de </w:t>
      </w:r>
      <w:r w:rsidR="007E4295" w:rsidRPr="007C3AF1">
        <w:rPr>
          <w:rFonts w:ascii="Palatino Linotype" w:eastAsiaTheme="minorHAnsi" w:hAnsi="Palatino Linotype" w:cstheme="minorBidi"/>
          <w:sz w:val="22"/>
          <w:szCs w:val="22"/>
          <w:lang w:eastAsia="en-US"/>
        </w:rPr>
        <w:t xml:space="preserve">acceso a la información pública </w:t>
      </w:r>
      <w:r w:rsidR="007C3AF1" w:rsidRPr="007C3AF1">
        <w:rPr>
          <w:rFonts w:ascii="Palatino Linotype" w:eastAsia="Calibri" w:hAnsi="Palatino Linotype" w:cs="Tahoma"/>
          <w:bCs/>
          <w:sz w:val="22"/>
          <w:szCs w:val="22"/>
          <w:lang w:eastAsia="en-US"/>
        </w:rPr>
        <w:t>00364/VACHASO/IP/2025</w:t>
      </w:r>
      <w:r w:rsidRPr="007C3AF1">
        <w:rPr>
          <w:rFonts w:ascii="Palatino Linotype" w:eastAsiaTheme="minorHAnsi" w:hAnsi="Palatino Linotype" w:cstheme="minorBidi"/>
          <w:sz w:val="22"/>
          <w:szCs w:val="22"/>
          <w:lang w:eastAsia="en-US"/>
        </w:rPr>
        <w:t>, se emite la presente Resolución, con base en los Antecedentes y Considerandos que a continuación</w:t>
      </w:r>
      <w:r w:rsidRPr="007C3AF1">
        <w:rPr>
          <w:rFonts w:ascii="Palatino Linotype" w:eastAsiaTheme="minorHAnsi" w:hAnsi="Palatino Linotype" w:cstheme="minorBidi"/>
          <w:bCs/>
          <w:sz w:val="22"/>
          <w:szCs w:val="22"/>
          <w:lang w:eastAsia="en-US"/>
        </w:rPr>
        <w:t xml:space="preserve"> se exponen:</w:t>
      </w:r>
    </w:p>
    <w:p w14:paraId="38162D29" w14:textId="77777777" w:rsidR="008F4B45" w:rsidRPr="007C3AF1" w:rsidRDefault="008F4B45" w:rsidP="007911EC">
      <w:pPr>
        <w:pStyle w:val="Subttulo"/>
        <w:spacing w:after="0" w:line="360" w:lineRule="auto"/>
        <w:rPr>
          <w:color w:val="auto"/>
        </w:rPr>
      </w:pPr>
    </w:p>
    <w:p w14:paraId="45CF508A" w14:textId="6496B8EC" w:rsidR="008F4B45" w:rsidRPr="007C3AF1" w:rsidRDefault="003F5E0D" w:rsidP="007911EC">
      <w:pPr>
        <w:pStyle w:val="Ttulo1"/>
        <w:rPr>
          <w:color w:val="auto"/>
        </w:rPr>
      </w:pPr>
      <w:bookmarkStart w:id="0" w:name="_Toc223615222"/>
      <w:r w:rsidRPr="007C3AF1">
        <w:rPr>
          <w:color w:val="auto"/>
        </w:rPr>
        <w:t>A N T E C E D E N T E S</w:t>
      </w:r>
      <w:bookmarkEnd w:id="0"/>
    </w:p>
    <w:p w14:paraId="3D51A562" w14:textId="77777777" w:rsidR="008F4B45" w:rsidRPr="007C3AF1" w:rsidRDefault="008F4B45" w:rsidP="007911EC">
      <w:pPr>
        <w:pStyle w:val="ResolucinV"/>
        <w:rPr>
          <w:color w:val="FF0000"/>
        </w:rPr>
      </w:pPr>
    </w:p>
    <w:p w14:paraId="07539392" w14:textId="0541120D" w:rsidR="00F469B3" w:rsidRPr="007C3AF1" w:rsidRDefault="00F469B3" w:rsidP="007911EC">
      <w:pPr>
        <w:pStyle w:val="Ttulo2"/>
        <w:rPr>
          <w:color w:val="auto"/>
        </w:rPr>
      </w:pPr>
      <w:bookmarkStart w:id="1" w:name="_Toc223615223"/>
      <w:r w:rsidRPr="007C3AF1">
        <w:rPr>
          <w:color w:val="auto"/>
        </w:rPr>
        <w:t>I. Presentación de la solicitud de información</w:t>
      </w:r>
      <w:bookmarkEnd w:id="1"/>
    </w:p>
    <w:p w14:paraId="2C510854" w14:textId="77777777" w:rsidR="00F469B3" w:rsidRPr="007C3AF1" w:rsidRDefault="00F469B3" w:rsidP="007911EC">
      <w:pPr>
        <w:tabs>
          <w:tab w:val="left" w:pos="567"/>
        </w:tabs>
        <w:spacing w:line="360" w:lineRule="auto"/>
        <w:jc w:val="both"/>
        <w:rPr>
          <w:rFonts w:ascii="Palatino Linotype" w:hAnsi="Palatino Linotype" w:cs="Tahoma"/>
          <w:sz w:val="22"/>
          <w:szCs w:val="22"/>
        </w:rPr>
      </w:pPr>
    </w:p>
    <w:p w14:paraId="0F999651" w14:textId="58C7FA21" w:rsidR="00253EAE" w:rsidRPr="007C3AF1" w:rsidRDefault="00542F88" w:rsidP="007911EC">
      <w:pPr>
        <w:autoSpaceDE w:val="0"/>
        <w:autoSpaceDN w:val="0"/>
        <w:adjustRightInd w:val="0"/>
        <w:spacing w:line="360" w:lineRule="auto"/>
        <w:jc w:val="both"/>
        <w:rPr>
          <w:rFonts w:ascii="Palatino Linotype" w:eastAsiaTheme="minorHAnsi" w:hAnsi="Palatino Linotype" w:cs="Tahoma"/>
          <w:sz w:val="22"/>
          <w:szCs w:val="22"/>
          <w:lang w:eastAsia="en-US"/>
        </w:rPr>
      </w:pPr>
      <w:r w:rsidRPr="007C3AF1">
        <w:rPr>
          <w:rFonts w:ascii="Palatino Linotype" w:eastAsiaTheme="minorHAnsi" w:hAnsi="Palatino Linotype" w:cs="Tahoma"/>
          <w:sz w:val="22"/>
          <w:szCs w:val="22"/>
          <w:lang w:eastAsia="en-US"/>
        </w:rPr>
        <w:t xml:space="preserve">El </w:t>
      </w:r>
      <w:r w:rsidR="007C3AF1" w:rsidRPr="007C3AF1">
        <w:rPr>
          <w:rFonts w:ascii="Palatino Linotype" w:eastAsiaTheme="minorHAnsi" w:hAnsi="Palatino Linotype" w:cs="Tahoma"/>
          <w:sz w:val="22"/>
          <w:szCs w:val="22"/>
          <w:lang w:eastAsia="en-US"/>
        </w:rPr>
        <w:t xml:space="preserve">veintisiete de </w:t>
      </w:r>
      <w:r w:rsidR="007934D0" w:rsidRPr="007C3AF1">
        <w:rPr>
          <w:rFonts w:ascii="Palatino Linotype" w:eastAsiaTheme="minorHAnsi" w:hAnsi="Palatino Linotype" w:cs="Tahoma"/>
          <w:sz w:val="22"/>
          <w:szCs w:val="22"/>
          <w:lang w:eastAsia="en-US"/>
        </w:rPr>
        <w:t xml:space="preserve">noviembre de dos </w:t>
      </w:r>
      <w:r w:rsidR="00BA0893" w:rsidRPr="007C3AF1">
        <w:rPr>
          <w:rFonts w:ascii="Palatino Linotype" w:eastAsiaTheme="minorHAnsi" w:hAnsi="Palatino Linotype" w:cs="Tahoma"/>
          <w:sz w:val="22"/>
          <w:szCs w:val="22"/>
          <w:lang w:eastAsia="en-US"/>
        </w:rPr>
        <w:t>mil veinticinco</w:t>
      </w:r>
      <w:r w:rsidR="009C4785" w:rsidRPr="007C3AF1">
        <w:rPr>
          <w:rFonts w:ascii="Palatino Linotype" w:hAnsi="Palatino Linotype" w:cs="Tahoma"/>
          <w:sz w:val="22"/>
          <w:szCs w:val="22"/>
        </w:rPr>
        <w:t>,</w:t>
      </w:r>
      <w:r w:rsidR="00253EAE" w:rsidRPr="007C3AF1">
        <w:rPr>
          <w:rFonts w:ascii="Palatino Linotype" w:hAnsi="Palatino Linotype" w:cs="Tahoma"/>
          <w:sz w:val="22"/>
          <w:szCs w:val="22"/>
        </w:rPr>
        <w:t xml:space="preserve"> el Particular presentó una solicitud de acceso a la información pública, a través del Sistema de Acceso a la Información Mexiquense (SAIMEX), ante el</w:t>
      </w:r>
      <w:r w:rsidR="003E16CF" w:rsidRPr="007C3AF1">
        <w:rPr>
          <w:rFonts w:ascii="Palatino Linotype" w:eastAsia="Calibri" w:hAnsi="Palatino Linotype" w:cs="Tahoma"/>
          <w:sz w:val="22"/>
          <w:szCs w:val="22"/>
          <w:lang w:eastAsia="en-US"/>
        </w:rPr>
        <w:t xml:space="preserve"> </w:t>
      </w:r>
      <w:r w:rsidR="007E4295" w:rsidRPr="007C3AF1">
        <w:rPr>
          <w:rFonts w:ascii="Palatino Linotype" w:eastAsia="Calibri" w:hAnsi="Palatino Linotype" w:cs="Tahoma"/>
          <w:bCs/>
          <w:sz w:val="22"/>
          <w:szCs w:val="22"/>
          <w:lang w:eastAsia="en-US"/>
        </w:rPr>
        <w:t xml:space="preserve">Ayuntamiento de </w:t>
      </w:r>
      <w:r w:rsidR="007C3AF1" w:rsidRPr="007C3AF1">
        <w:rPr>
          <w:rFonts w:ascii="Palatino Linotype" w:eastAsia="Calibri" w:hAnsi="Palatino Linotype" w:cs="Tahoma"/>
          <w:bCs/>
          <w:sz w:val="22"/>
          <w:szCs w:val="22"/>
          <w:lang w:eastAsia="en-US"/>
        </w:rPr>
        <w:t>Valle de Chalco Solidaridad</w:t>
      </w:r>
      <w:r w:rsidR="00253EAE" w:rsidRPr="007C3AF1">
        <w:rPr>
          <w:rFonts w:ascii="Palatino Linotype" w:hAnsi="Palatino Linotype"/>
          <w:bCs/>
          <w:sz w:val="22"/>
          <w:szCs w:val="22"/>
        </w:rPr>
        <w:t>,</w:t>
      </w:r>
      <w:r w:rsidR="00253EAE" w:rsidRPr="007C3AF1">
        <w:rPr>
          <w:rFonts w:ascii="Palatino Linotype" w:hAnsi="Palatino Linotype" w:cs="Tahoma"/>
          <w:bCs/>
          <w:sz w:val="22"/>
          <w:szCs w:val="22"/>
        </w:rPr>
        <w:t xml:space="preserve"> en los siguientes términos:</w:t>
      </w:r>
    </w:p>
    <w:p w14:paraId="122865B0" w14:textId="77777777" w:rsidR="00253EAE" w:rsidRPr="007C3AF1" w:rsidRDefault="00253EAE" w:rsidP="007911EC">
      <w:pPr>
        <w:autoSpaceDE w:val="0"/>
        <w:autoSpaceDN w:val="0"/>
        <w:adjustRightInd w:val="0"/>
        <w:spacing w:line="360" w:lineRule="auto"/>
        <w:jc w:val="both"/>
        <w:rPr>
          <w:rFonts w:ascii="Palatino Linotype" w:hAnsi="Palatino Linotype" w:cs="Tahoma"/>
          <w:bCs/>
          <w:color w:val="FF0000"/>
          <w:sz w:val="22"/>
          <w:szCs w:val="22"/>
        </w:rPr>
      </w:pPr>
    </w:p>
    <w:p w14:paraId="32D1D69F" w14:textId="752B2ACF" w:rsidR="00253EAE" w:rsidRPr="007C3AF1" w:rsidRDefault="003A796B" w:rsidP="007911EC">
      <w:pPr>
        <w:tabs>
          <w:tab w:val="left" w:pos="4667"/>
        </w:tabs>
        <w:spacing w:line="360" w:lineRule="auto"/>
        <w:ind w:left="567" w:right="567"/>
        <w:jc w:val="both"/>
        <w:rPr>
          <w:rFonts w:ascii="Palatino Linotype" w:hAnsi="Palatino Linotype" w:cs="Tahoma"/>
          <w:b/>
          <w:bCs/>
          <w:i/>
        </w:rPr>
      </w:pPr>
      <w:r w:rsidRPr="007C3AF1">
        <w:rPr>
          <w:rFonts w:ascii="Palatino Linotype" w:hAnsi="Palatino Linotype" w:cs="Tahoma"/>
          <w:b/>
          <w:bCs/>
          <w:i/>
        </w:rPr>
        <w:t>“</w:t>
      </w:r>
      <w:r w:rsidR="00253EAE" w:rsidRPr="007C3AF1">
        <w:rPr>
          <w:rFonts w:ascii="Palatino Linotype" w:hAnsi="Palatino Linotype" w:cs="Tahoma"/>
          <w:b/>
          <w:bCs/>
          <w:i/>
        </w:rPr>
        <w:t>DESCRIPCIÓN CLARA Y PRECISA DE LA INFORMACIÓN SOLICITADA</w:t>
      </w:r>
    </w:p>
    <w:p w14:paraId="372368C1" w14:textId="0104A1F0" w:rsidR="00253EAE" w:rsidRPr="007C3AF1" w:rsidRDefault="007C3AF1" w:rsidP="007911EC">
      <w:pPr>
        <w:spacing w:line="360" w:lineRule="auto"/>
        <w:ind w:left="567" w:right="567"/>
        <w:jc w:val="both"/>
        <w:rPr>
          <w:rFonts w:ascii="Palatino Linotype" w:hAnsi="Palatino Linotype" w:cs="Arial"/>
          <w:bCs/>
          <w:i/>
          <w:iCs/>
        </w:rPr>
      </w:pPr>
      <w:r w:rsidRPr="007C3AF1">
        <w:rPr>
          <w:rFonts w:ascii="Palatino Linotype" w:hAnsi="Palatino Linotype" w:cs="Arial"/>
          <w:bCs/>
          <w:i/>
          <w:iCs/>
        </w:rPr>
        <w:t xml:space="preserve">Solicito saber por qué no se les dio liquidación a los empleados dados de baja en el periodo de administración del Lic. Armando García Méndez específicamente del año 2020, 2021 y 2022 </w:t>
      </w:r>
      <w:proofErr w:type="spellStart"/>
      <w:r w:rsidRPr="007C3AF1">
        <w:rPr>
          <w:rFonts w:ascii="Palatino Linotype" w:hAnsi="Palatino Linotype" w:cs="Arial"/>
          <w:bCs/>
          <w:i/>
          <w:iCs/>
        </w:rPr>
        <w:t>asi</w:t>
      </w:r>
      <w:proofErr w:type="spellEnd"/>
      <w:r w:rsidRPr="007C3AF1">
        <w:rPr>
          <w:rFonts w:ascii="Palatino Linotype" w:hAnsi="Palatino Linotype" w:cs="Arial"/>
          <w:bCs/>
          <w:i/>
          <w:iCs/>
        </w:rPr>
        <w:t xml:space="preserve"> como nombres completos de las personas que corrieron en los periodos antes mencionados y documento firmado por ellos mismos en donde se vea que recibieron liquidación si es que recibieron alguna y si no lo recibieron solicito saber el motivo de por qué no se recibió.</w:t>
      </w:r>
      <w:r w:rsidR="009E1F55" w:rsidRPr="007C3AF1">
        <w:rPr>
          <w:rFonts w:ascii="Palatino Linotype" w:hAnsi="Palatino Linotype" w:cs="Arial"/>
          <w:bCs/>
          <w:i/>
          <w:iCs/>
        </w:rPr>
        <w:t>”</w:t>
      </w:r>
      <w:r w:rsidR="00071CAE" w:rsidRPr="007C3AF1">
        <w:rPr>
          <w:rFonts w:ascii="Palatino Linotype" w:hAnsi="Palatino Linotype" w:cs="Arial"/>
          <w:bCs/>
          <w:i/>
          <w:iCs/>
        </w:rPr>
        <w:t xml:space="preserve"> </w:t>
      </w:r>
      <w:r w:rsidR="00253EAE" w:rsidRPr="007C3AF1">
        <w:rPr>
          <w:rFonts w:ascii="Palatino Linotype" w:hAnsi="Palatino Linotype" w:cs="Arial"/>
          <w:bCs/>
          <w:i/>
          <w:iCs/>
        </w:rPr>
        <w:t>(Sic.)</w:t>
      </w:r>
    </w:p>
    <w:p w14:paraId="233A1DFE" w14:textId="2D10F550" w:rsidR="00AD776C" w:rsidRDefault="00AD776C" w:rsidP="007911EC">
      <w:pPr>
        <w:tabs>
          <w:tab w:val="left" w:pos="2712"/>
        </w:tabs>
        <w:spacing w:line="360" w:lineRule="auto"/>
        <w:ind w:right="567"/>
        <w:jc w:val="both"/>
        <w:rPr>
          <w:rFonts w:ascii="Palatino Linotype" w:hAnsi="Palatino Linotype" w:cs="Tahoma"/>
          <w:bCs/>
          <w:i/>
          <w:color w:val="FF0000"/>
        </w:rPr>
      </w:pPr>
    </w:p>
    <w:p w14:paraId="7A46B092" w14:textId="77777777" w:rsidR="00D05EFE" w:rsidRDefault="00D05EFE" w:rsidP="007911EC">
      <w:pPr>
        <w:tabs>
          <w:tab w:val="left" w:pos="2712"/>
        </w:tabs>
        <w:spacing w:line="360" w:lineRule="auto"/>
        <w:ind w:right="567"/>
        <w:jc w:val="both"/>
        <w:rPr>
          <w:rFonts w:ascii="Palatino Linotype" w:hAnsi="Palatino Linotype" w:cs="Tahoma"/>
          <w:bCs/>
          <w:i/>
          <w:color w:val="FF0000"/>
        </w:rPr>
      </w:pPr>
    </w:p>
    <w:p w14:paraId="328702F2" w14:textId="318B7756" w:rsidR="00253EAE" w:rsidRPr="007C3AF1" w:rsidRDefault="003A796B" w:rsidP="007911EC">
      <w:pPr>
        <w:tabs>
          <w:tab w:val="left" w:pos="4667"/>
        </w:tabs>
        <w:spacing w:line="360" w:lineRule="auto"/>
        <w:ind w:left="567" w:right="567"/>
        <w:jc w:val="both"/>
        <w:rPr>
          <w:rFonts w:ascii="Palatino Linotype" w:hAnsi="Palatino Linotype" w:cs="Tahoma"/>
          <w:b/>
          <w:bCs/>
          <w:i/>
          <w:iCs/>
        </w:rPr>
      </w:pPr>
      <w:r w:rsidRPr="007C3AF1">
        <w:rPr>
          <w:rFonts w:ascii="Palatino Linotype" w:hAnsi="Palatino Linotype" w:cs="Tahoma"/>
          <w:b/>
          <w:bCs/>
          <w:i/>
          <w:iCs/>
        </w:rPr>
        <w:lastRenderedPageBreak/>
        <w:t>“</w:t>
      </w:r>
      <w:r w:rsidR="00253EAE" w:rsidRPr="007C3AF1">
        <w:rPr>
          <w:rFonts w:ascii="Palatino Linotype" w:hAnsi="Palatino Linotype" w:cs="Tahoma"/>
          <w:b/>
          <w:bCs/>
          <w:i/>
          <w:iCs/>
        </w:rPr>
        <w:t>MODALIDAD DE ENTREGA</w:t>
      </w:r>
    </w:p>
    <w:p w14:paraId="0088BDE8" w14:textId="4E6DDB9C" w:rsidR="00253EAE" w:rsidRDefault="00253EAE" w:rsidP="007911EC">
      <w:pPr>
        <w:spacing w:line="360" w:lineRule="auto"/>
        <w:ind w:left="567" w:right="567"/>
        <w:jc w:val="both"/>
        <w:rPr>
          <w:rFonts w:ascii="Palatino Linotype" w:hAnsi="Palatino Linotype" w:cs="Arial"/>
          <w:bCs/>
          <w:i/>
          <w:iCs/>
        </w:rPr>
      </w:pPr>
      <w:r w:rsidRPr="007C3AF1">
        <w:rPr>
          <w:rFonts w:ascii="Palatino Linotype" w:hAnsi="Palatino Linotype" w:cs="Arial"/>
          <w:bCs/>
          <w:i/>
          <w:iCs/>
        </w:rPr>
        <w:t xml:space="preserve">A través del SAIMEX” </w:t>
      </w:r>
    </w:p>
    <w:p w14:paraId="5B2B75D8" w14:textId="77777777" w:rsidR="007C3AF1" w:rsidRPr="007C3AF1" w:rsidRDefault="007C3AF1" w:rsidP="007911EC">
      <w:pPr>
        <w:spacing w:line="360" w:lineRule="auto"/>
        <w:ind w:left="567" w:right="567"/>
        <w:jc w:val="both"/>
        <w:rPr>
          <w:rFonts w:ascii="Palatino Linotype" w:hAnsi="Palatino Linotype" w:cs="Arial"/>
          <w:bCs/>
          <w:i/>
          <w:iCs/>
        </w:rPr>
      </w:pPr>
    </w:p>
    <w:p w14:paraId="4A453407" w14:textId="2D5DBA9D" w:rsidR="00F469B3" w:rsidRPr="007C3AF1" w:rsidRDefault="00D06218" w:rsidP="007911EC">
      <w:pPr>
        <w:pStyle w:val="Ttulo2"/>
        <w:rPr>
          <w:color w:val="auto"/>
        </w:rPr>
      </w:pPr>
      <w:bookmarkStart w:id="2" w:name="_Toc223615224"/>
      <w:r>
        <w:rPr>
          <w:color w:val="auto"/>
        </w:rPr>
        <w:t>II</w:t>
      </w:r>
      <w:r w:rsidR="00D519BC" w:rsidRPr="007C3AF1">
        <w:rPr>
          <w:color w:val="auto"/>
        </w:rPr>
        <w:t xml:space="preserve">. </w:t>
      </w:r>
      <w:r w:rsidR="00F469B3" w:rsidRPr="007C3AF1">
        <w:rPr>
          <w:color w:val="auto"/>
        </w:rPr>
        <w:t xml:space="preserve"> Respuesta del Sujeto Obligado</w:t>
      </w:r>
      <w:bookmarkEnd w:id="2"/>
    </w:p>
    <w:p w14:paraId="4ED48BC3" w14:textId="77777777" w:rsidR="0053216F" w:rsidRPr="007C3AF1" w:rsidRDefault="0053216F" w:rsidP="007911EC">
      <w:pPr>
        <w:spacing w:line="360" w:lineRule="auto"/>
        <w:jc w:val="both"/>
        <w:rPr>
          <w:rFonts w:ascii="Palatino Linotype" w:eastAsiaTheme="minorHAnsi" w:hAnsi="Palatino Linotype" w:cstheme="minorBidi"/>
          <w:sz w:val="22"/>
          <w:szCs w:val="22"/>
          <w:lang w:eastAsia="en-US"/>
        </w:rPr>
      </w:pPr>
    </w:p>
    <w:p w14:paraId="0B1EC5E0" w14:textId="377D9603" w:rsidR="003942CB" w:rsidRPr="007C3AF1" w:rsidRDefault="003942CB" w:rsidP="007911EC">
      <w:pPr>
        <w:spacing w:line="360" w:lineRule="auto"/>
        <w:jc w:val="both"/>
        <w:rPr>
          <w:rFonts w:ascii="Palatino Linotype" w:eastAsiaTheme="minorHAnsi" w:hAnsi="Palatino Linotype" w:cstheme="minorBidi"/>
          <w:sz w:val="22"/>
          <w:szCs w:val="22"/>
          <w:lang w:eastAsia="en-US"/>
        </w:rPr>
      </w:pPr>
      <w:r w:rsidRPr="007C3AF1">
        <w:rPr>
          <w:rFonts w:ascii="Palatino Linotype" w:eastAsiaTheme="minorHAnsi" w:hAnsi="Palatino Linotype" w:cstheme="minorBidi"/>
          <w:sz w:val="22"/>
          <w:szCs w:val="22"/>
          <w:lang w:eastAsia="en-US"/>
        </w:rPr>
        <w:t>De conformidad con el artículo 1</w:t>
      </w:r>
      <w:r w:rsidR="007934D0" w:rsidRPr="007C3AF1">
        <w:rPr>
          <w:rFonts w:ascii="Palatino Linotype" w:eastAsiaTheme="minorHAnsi" w:hAnsi="Palatino Linotype" w:cstheme="minorBidi"/>
          <w:sz w:val="22"/>
          <w:szCs w:val="22"/>
          <w:lang w:eastAsia="en-US"/>
        </w:rPr>
        <w:t>63</w:t>
      </w:r>
      <w:r w:rsidRPr="007C3AF1">
        <w:rPr>
          <w:rFonts w:ascii="Palatino Linotype" w:eastAsiaTheme="minorHAnsi" w:hAnsi="Palatino Linotype" w:cstheme="minorBidi"/>
          <w:sz w:val="22"/>
          <w:szCs w:val="22"/>
          <w:lang w:eastAsia="en-US"/>
        </w:rPr>
        <w:t>, párrafo primero de la Ley de Transparencia y Acceso a</w:t>
      </w:r>
    </w:p>
    <w:p w14:paraId="72793F33" w14:textId="739A5C65" w:rsidR="003942CB" w:rsidRPr="007C3AF1" w:rsidRDefault="003942CB" w:rsidP="007911EC">
      <w:pPr>
        <w:spacing w:line="360" w:lineRule="auto"/>
        <w:jc w:val="both"/>
        <w:rPr>
          <w:rFonts w:ascii="Palatino Linotype" w:eastAsiaTheme="minorHAnsi" w:hAnsi="Palatino Linotype" w:cstheme="minorBidi"/>
          <w:sz w:val="22"/>
          <w:szCs w:val="22"/>
          <w:lang w:eastAsia="en-US"/>
        </w:rPr>
      </w:pPr>
      <w:r w:rsidRPr="007C3AF1">
        <w:rPr>
          <w:rFonts w:ascii="Palatino Linotype" w:eastAsiaTheme="minorHAnsi" w:hAnsi="Palatino Linotype" w:cstheme="minorBidi"/>
          <w:sz w:val="22"/>
          <w:szCs w:val="22"/>
          <w:lang w:eastAsia="en-US"/>
        </w:rPr>
        <w:t>la Información Pública del Estado de México y Municipios, el Sujeto Obligado debió dar contestación a la solicitud de acceso a la información; sin embargo, de las constancias que obran en el expediente electrónico del Sistema de Acceso a la Información Mexiquense (SAIMEX), se advierte que el</w:t>
      </w:r>
      <w:r w:rsidR="003E16CF" w:rsidRPr="007C3AF1">
        <w:rPr>
          <w:rFonts w:ascii="Palatino Linotype" w:eastAsia="Calibri" w:hAnsi="Palatino Linotype" w:cs="Tahoma"/>
          <w:b/>
          <w:bCs/>
          <w:sz w:val="22"/>
          <w:szCs w:val="22"/>
          <w:lang w:eastAsia="en-US"/>
        </w:rPr>
        <w:t xml:space="preserve"> </w:t>
      </w:r>
      <w:r w:rsidR="007E4295" w:rsidRPr="007C3AF1">
        <w:rPr>
          <w:rFonts w:ascii="Palatino Linotype" w:eastAsia="Calibri" w:hAnsi="Palatino Linotype" w:cs="Tahoma"/>
          <w:b/>
          <w:bCs/>
          <w:sz w:val="22"/>
          <w:szCs w:val="22"/>
          <w:lang w:eastAsia="en-US"/>
        </w:rPr>
        <w:t xml:space="preserve">Ayuntamiento de </w:t>
      </w:r>
      <w:r w:rsidR="007C3AF1">
        <w:rPr>
          <w:rFonts w:ascii="Palatino Linotype" w:eastAsia="Calibri" w:hAnsi="Palatino Linotype" w:cs="Tahoma"/>
          <w:b/>
          <w:bCs/>
          <w:sz w:val="22"/>
          <w:szCs w:val="22"/>
          <w:lang w:eastAsia="en-US"/>
        </w:rPr>
        <w:t>Valle de Chalco Solidaridad</w:t>
      </w:r>
      <w:r w:rsidRPr="007C3AF1">
        <w:rPr>
          <w:rFonts w:ascii="Palatino Linotype" w:eastAsiaTheme="minorHAnsi" w:hAnsi="Palatino Linotype" w:cstheme="minorBidi"/>
          <w:sz w:val="22"/>
          <w:szCs w:val="22"/>
          <w:lang w:eastAsia="en-US"/>
        </w:rPr>
        <w:t xml:space="preserve">, omitió dar respuesta a la solicitud de información, por lo que se </w:t>
      </w:r>
      <w:r w:rsidRPr="007C3AF1">
        <w:rPr>
          <w:rFonts w:ascii="Palatino Linotype" w:eastAsiaTheme="minorHAnsi" w:hAnsi="Palatino Linotype" w:cstheme="minorBidi"/>
          <w:b/>
          <w:sz w:val="22"/>
          <w:szCs w:val="22"/>
          <w:lang w:eastAsia="en-US"/>
        </w:rPr>
        <w:t>configura la negativa ficta</w:t>
      </w:r>
      <w:r w:rsidRPr="007C3AF1">
        <w:rPr>
          <w:rFonts w:ascii="Palatino Linotype" w:eastAsiaTheme="minorHAnsi" w:hAnsi="Palatino Linotype" w:cstheme="minorBidi"/>
          <w:sz w:val="22"/>
          <w:szCs w:val="22"/>
          <w:lang w:eastAsia="en-US"/>
        </w:rPr>
        <w:t xml:space="preserve"> a entregar información, prevista, en los artículos 166, párrafo cuarto y 178, párrafo segundo de la Ley de Transparencia y Acceso a la Información Pública del Estado de México y Municipios.</w:t>
      </w:r>
    </w:p>
    <w:p w14:paraId="1F0AEEFF" w14:textId="77777777" w:rsidR="003942CB" w:rsidRPr="007C3AF1" w:rsidRDefault="003942CB" w:rsidP="007911EC">
      <w:pPr>
        <w:spacing w:line="360" w:lineRule="auto"/>
        <w:jc w:val="both"/>
        <w:rPr>
          <w:rFonts w:ascii="Palatino Linotype" w:hAnsi="Palatino Linotype" w:cs="Tahoma"/>
          <w:bCs/>
          <w:iCs/>
          <w:color w:val="FF0000"/>
          <w:sz w:val="22"/>
          <w:szCs w:val="22"/>
        </w:rPr>
      </w:pPr>
    </w:p>
    <w:p w14:paraId="6E7C6651" w14:textId="6D2427DF" w:rsidR="00F469B3" w:rsidRPr="007C3AF1" w:rsidRDefault="00D06218" w:rsidP="007911EC">
      <w:pPr>
        <w:pStyle w:val="Ttulo2"/>
        <w:rPr>
          <w:color w:val="auto"/>
          <w:lang w:eastAsia="en-US"/>
        </w:rPr>
      </w:pPr>
      <w:bookmarkStart w:id="3" w:name="_Toc223615225"/>
      <w:r>
        <w:rPr>
          <w:color w:val="auto"/>
          <w:lang w:eastAsia="en-US"/>
        </w:rPr>
        <w:t>III</w:t>
      </w:r>
      <w:r w:rsidR="00F469B3" w:rsidRPr="007C3AF1">
        <w:rPr>
          <w:color w:val="auto"/>
          <w:lang w:eastAsia="en-US"/>
        </w:rPr>
        <w:t>. Interposición del Recurso de Revisión</w:t>
      </w:r>
      <w:bookmarkEnd w:id="3"/>
    </w:p>
    <w:p w14:paraId="356E2604" w14:textId="77777777" w:rsidR="00F469B3" w:rsidRPr="007C3AF1" w:rsidRDefault="00F469B3" w:rsidP="007911EC">
      <w:pPr>
        <w:spacing w:line="360" w:lineRule="auto"/>
        <w:jc w:val="both"/>
        <w:rPr>
          <w:rFonts w:ascii="Palatino Linotype" w:eastAsiaTheme="minorHAnsi" w:hAnsi="Palatino Linotype" w:cstheme="minorBidi"/>
          <w:b/>
          <w:bCs/>
          <w:color w:val="FF0000"/>
          <w:sz w:val="22"/>
          <w:szCs w:val="22"/>
          <w:lang w:eastAsia="en-US"/>
        </w:rPr>
      </w:pPr>
    </w:p>
    <w:p w14:paraId="5DB53334" w14:textId="33181015" w:rsidR="00F469B3" w:rsidRPr="007C3AF1" w:rsidRDefault="00B4118B" w:rsidP="007911EC">
      <w:pPr>
        <w:spacing w:line="360" w:lineRule="auto"/>
        <w:jc w:val="both"/>
        <w:rPr>
          <w:rFonts w:ascii="Palatino Linotype" w:eastAsiaTheme="minorHAnsi" w:hAnsi="Palatino Linotype" w:cs="Tahoma"/>
          <w:sz w:val="22"/>
          <w:szCs w:val="22"/>
          <w:lang w:eastAsia="en-US"/>
        </w:rPr>
      </w:pPr>
      <w:r w:rsidRPr="007C3AF1">
        <w:rPr>
          <w:rFonts w:ascii="Palatino Linotype" w:eastAsiaTheme="minorHAnsi" w:hAnsi="Palatino Linotype" w:cs="Tahoma"/>
          <w:sz w:val="22"/>
          <w:szCs w:val="22"/>
          <w:lang w:eastAsia="en-US"/>
        </w:rPr>
        <w:t>El</w:t>
      </w:r>
      <w:r w:rsidR="00F469B3" w:rsidRPr="007C3AF1">
        <w:rPr>
          <w:rFonts w:ascii="Palatino Linotype" w:eastAsiaTheme="minorHAnsi" w:hAnsi="Palatino Linotype" w:cs="Tahoma"/>
          <w:sz w:val="22"/>
          <w:szCs w:val="22"/>
          <w:lang w:eastAsia="en-US"/>
        </w:rPr>
        <w:t xml:space="preserve"> </w:t>
      </w:r>
      <w:r w:rsidR="007C3AF1" w:rsidRPr="007C3AF1">
        <w:rPr>
          <w:rFonts w:ascii="Palatino Linotype" w:eastAsiaTheme="minorHAnsi" w:hAnsi="Palatino Linotype" w:cs="Tahoma"/>
          <w:sz w:val="22"/>
          <w:szCs w:val="22"/>
          <w:lang w:eastAsia="en-US"/>
        </w:rPr>
        <w:t xml:space="preserve">veintiocho de enero de dos mil veintiséis, </w:t>
      </w:r>
      <w:r w:rsidR="00F469B3" w:rsidRPr="007C3AF1">
        <w:rPr>
          <w:rFonts w:ascii="Palatino Linotype" w:eastAsiaTheme="minorHAnsi" w:hAnsi="Palatino Linotype" w:cs="Tahoma"/>
          <w:sz w:val="22"/>
          <w:szCs w:val="22"/>
          <w:lang w:val="es-ES" w:eastAsia="en-US"/>
        </w:rPr>
        <w:t xml:space="preserve">el Particular interpuso un Recurso de Revisión ante este Instituto, a través del Sistema de Acceso a la Información Mexiquense (SAIMEX), en contra de la </w:t>
      </w:r>
      <w:r w:rsidR="00542F88" w:rsidRPr="007C3AF1">
        <w:rPr>
          <w:rFonts w:ascii="Palatino Linotype" w:eastAsiaTheme="minorHAnsi" w:hAnsi="Palatino Linotype" w:cs="Tahoma"/>
          <w:sz w:val="22"/>
          <w:szCs w:val="22"/>
          <w:lang w:val="es-ES" w:eastAsia="en-US"/>
        </w:rPr>
        <w:t xml:space="preserve">falta de </w:t>
      </w:r>
      <w:r w:rsidR="00F469B3" w:rsidRPr="007C3AF1">
        <w:rPr>
          <w:rFonts w:ascii="Palatino Linotype" w:eastAsiaTheme="minorHAnsi" w:hAnsi="Palatino Linotype" w:cs="Tahoma"/>
          <w:sz w:val="22"/>
          <w:szCs w:val="22"/>
          <w:lang w:val="es-ES" w:eastAsia="en-US"/>
        </w:rPr>
        <w:t>respuesta por el</w:t>
      </w:r>
      <w:r w:rsidR="00542F88" w:rsidRPr="007C3AF1">
        <w:rPr>
          <w:rFonts w:ascii="Palatino Linotype" w:eastAsia="Calibri" w:hAnsi="Palatino Linotype" w:cs="Tahoma"/>
          <w:sz w:val="22"/>
          <w:szCs w:val="22"/>
          <w:lang w:eastAsia="en-US"/>
        </w:rPr>
        <w:t xml:space="preserve"> Sujeto Obligado</w:t>
      </w:r>
      <w:r w:rsidR="00F469B3" w:rsidRPr="007C3AF1">
        <w:rPr>
          <w:rFonts w:ascii="Palatino Linotype" w:eastAsiaTheme="minorHAnsi" w:hAnsi="Palatino Linotype" w:cs="Tahoma"/>
          <w:sz w:val="22"/>
          <w:szCs w:val="22"/>
          <w:lang w:val="es-ES" w:eastAsia="en-US"/>
        </w:rPr>
        <w:t>, a la solicitud de información</w:t>
      </w:r>
      <w:r w:rsidR="00EB0141" w:rsidRPr="007C3AF1">
        <w:rPr>
          <w:rFonts w:ascii="Palatino Linotype" w:eastAsiaTheme="minorHAnsi" w:hAnsi="Palatino Linotype" w:cs="Tahoma"/>
          <w:sz w:val="22"/>
          <w:szCs w:val="22"/>
          <w:lang w:val="es-ES" w:eastAsia="en-US"/>
        </w:rPr>
        <w:t>,</w:t>
      </w:r>
      <w:r w:rsidR="00F469B3" w:rsidRPr="007C3AF1">
        <w:rPr>
          <w:rFonts w:ascii="Palatino Linotype" w:eastAsiaTheme="minorHAnsi" w:hAnsi="Palatino Linotype" w:cs="Tahoma"/>
          <w:sz w:val="22"/>
          <w:szCs w:val="22"/>
          <w:lang w:val="es-ES" w:eastAsia="en-US"/>
        </w:rPr>
        <w:t xml:space="preserve"> en los siguientes términos: </w:t>
      </w:r>
    </w:p>
    <w:p w14:paraId="0B7A443C" w14:textId="77777777" w:rsidR="00F469B3" w:rsidRPr="007C3AF1" w:rsidRDefault="00F469B3" w:rsidP="007911EC">
      <w:pPr>
        <w:autoSpaceDE w:val="0"/>
        <w:autoSpaceDN w:val="0"/>
        <w:adjustRightInd w:val="0"/>
        <w:spacing w:line="360" w:lineRule="auto"/>
        <w:jc w:val="both"/>
        <w:rPr>
          <w:rFonts w:ascii="Palatino Linotype" w:eastAsiaTheme="minorHAnsi" w:hAnsi="Palatino Linotype" w:cs="Tahoma"/>
          <w:color w:val="FF0000"/>
          <w:sz w:val="22"/>
          <w:szCs w:val="22"/>
          <w:lang w:eastAsia="en-US"/>
        </w:rPr>
      </w:pPr>
    </w:p>
    <w:p w14:paraId="6C986C50" w14:textId="562B1865" w:rsidR="00F469B3" w:rsidRPr="007C3AF1" w:rsidRDefault="00A90989" w:rsidP="007911EC">
      <w:pPr>
        <w:spacing w:line="360" w:lineRule="auto"/>
        <w:ind w:left="567" w:right="567"/>
        <w:jc w:val="both"/>
        <w:rPr>
          <w:rFonts w:ascii="Palatino Linotype" w:eastAsiaTheme="minorHAnsi" w:hAnsi="Palatino Linotype" w:cstheme="minorBidi"/>
          <w:bCs/>
          <w:i/>
          <w:lang w:eastAsia="en-US"/>
        </w:rPr>
      </w:pPr>
      <w:r w:rsidRPr="007C3AF1">
        <w:rPr>
          <w:rFonts w:ascii="Palatino Linotype" w:eastAsiaTheme="minorHAnsi" w:hAnsi="Palatino Linotype" w:cstheme="minorBidi"/>
          <w:b/>
          <w:bCs/>
          <w:i/>
          <w:lang w:eastAsia="en-US"/>
        </w:rPr>
        <w:t>“</w:t>
      </w:r>
      <w:r w:rsidR="00F469B3" w:rsidRPr="007C3AF1">
        <w:rPr>
          <w:rFonts w:ascii="Palatino Linotype" w:eastAsiaTheme="minorHAnsi" w:hAnsi="Palatino Linotype" w:cstheme="minorBidi"/>
          <w:b/>
          <w:bCs/>
          <w:i/>
          <w:lang w:eastAsia="en-US"/>
        </w:rPr>
        <w:t>ACTO IMPUGNADO</w:t>
      </w:r>
    </w:p>
    <w:p w14:paraId="78A25ACF" w14:textId="62DC6065" w:rsidR="00C61B22" w:rsidRPr="007C3AF1" w:rsidRDefault="007C3AF1" w:rsidP="007911EC">
      <w:pPr>
        <w:spacing w:line="360" w:lineRule="auto"/>
        <w:ind w:left="567" w:right="567"/>
        <w:jc w:val="both"/>
        <w:rPr>
          <w:rFonts w:ascii="Palatino Linotype" w:hAnsi="Palatino Linotype"/>
          <w:i/>
        </w:rPr>
      </w:pPr>
      <w:r w:rsidRPr="007C3AF1">
        <w:rPr>
          <w:rFonts w:ascii="Palatino Linotype" w:hAnsi="Palatino Linotype"/>
          <w:i/>
        </w:rPr>
        <w:t>No se ha dado respuesta a la solicitud 00364/VACHASO/IP/2025</w:t>
      </w:r>
      <w:r w:rsidR="00F469B3" w:rsidRPr="007C3AF1">
        <w:rPr>
          <w:rFonts w:ascii="Palatino Linotype" w:hAnsi="Palatino Linotype"/>
          <w:i/>
        </w:rPr>
        <w:t>”</w:t>
      </w:r>
      <w:r w:rsidR="00C61B22" w:rsidRPr="007C3AF1">
        <w:rPr>
          <w:rFonts w:ascii="Palatino Linotype" w:hAnsi="Palatino Linotype"/>
          <w:i/>
        </w:rPr>
        <w:t xml:space="preserve"> (Sic.)</w:t>
      </w:r>
    </w:p>
    <w:p w14:paraId="344FD83C" w14:textId="77777777" w:rsidR="00474ED7" w:rsidRPr="007C3AF1" w:rsidRDefault="00474ED7" w:rsidP="007911EC">
      <w:pPr>
        <w:spacing w:line="360" w:lineRule="auto"/>
        <w:ind w:right="567"/>
        <w:jc w:val="both"/>
        <w:rPr>
          <w:rFonts w:ascii="Palatino Linotype" w:eastAsiaTheme="minorHAnsi" w:hAnsi="Palatino Linotype" w:cstheme="minorBidi"/>
          <w:i/>
          <w:color w:val="FF0000"/>
          <w:lang w:eastAsia="en-US"/>
        </w:rPr>
      </w:pPr>
    </w:p>
    <w:p w14:paraId="20859BF5" w14:textId="7947B27B" w:rsidR="00EB0141" w:rsidRPr="007C3AF1" w:rsidRDefault="00A90989" w:rsidP="007911EC">
      <w:pPr>
        <w:spacing w:line="360" w:lineRule="auto"/>
        <w:ind w:left="567" w:right="567"/>
        <w:rPr>
          <w:rFonts w:ascii="Palatino Linotype" w:hAnsi="Palatino Linotype" w:cs="Tahoma"/>
          <w:b/>
          <w:bCs/>
          <w:i/>
        </w:rPr>
      </w:pPr>
      <w:r w:rsidRPr="007C3AF1">
        <w:rPr>
          <w:rFonts w:ascii="Palatino Linotype" w:hAnsi="Palatino Linotype" w:cs="Tahoma"/>
          <w:b/>
          <w:bCs/>
          <w:i/>
        </w:rPr>
        <w:t>“</w:t>
      </w:r>
      <w:r w:rsidR="00EB0141" w:rsidRPr="007C3AF1">
        <w:rPr>
          <w:rFonts w:ascii="Palatino Linotype" w:hAnsi="Palatino Linotype" w:cs="Tahoma"/>
          <w:b/>
          <w:bCs/>
          <w:i/>
        </w:rPr>
        <w:t>RAZONES O MOTIVOS DE LA INCONFORMIDAD</w:t>
      </w:r>
    </w:p>
    <w:p w14:paraId="1FCD9373" w14:textId="277CBB61" w:rsidR="00EB0141" w:rsidRPr="007C3AF1" w:rsidRDefault="007C3AF1" w:rsidP="007911EC">
      <w:pPr>
        <w:spacing w:line="360" w:lineRule="auto"/>
        <w:ind w:left="567" w:right="567"/>
        <w:jc w:val="both"/>
        <w:rPr>
          <w:rFonts w:ascii="Palatino Linotype" w:hAnsi="Palatino Linotype"/>
          <w:i/>
        </w:rPr>
      </w:pPr>
      <w:r w:rsidRPr="007C3AF1">
        <w:rPr>
          <w:rFonts w:ascii="Palatino Linotype" w:hAnsi="Palatino Linotype"/>
          <w:i/>
        </w:rPr>
        <w:t>Ya paso el tiempo de prórroga para dar respuesta a la solicitud antes mencionada</w:t>
      </w:r>
      <w:r w:rsidR="00EB0141" w:rsidRPr="007C3AF1">
        <w:rPr>
          <w:rFonts w:ascii="Palatino Linotype" w:hAnsi="Palatino Linotype"/>
          <w:i/>
        </w:rPr>
        <w:t>”</w:t>
      </w:r>
      <w:r w:rsidR="000D19A5" w:rsidRPr="007C3AF1">
        <w:rPr>
          <w:rFonts w:ascii="Palatino Linotype" w:hAnsi="Palatino Linotype"/>
          <w:i/>
        </w:rPr>
        <w:t xml:space="preserve"> (Sic.)</w:t>
      </w:r>
    </w:p>
    <w:p w14:paraId="4C492E62" w14:textId="77777777" w:rsidR="006A2935" w:rsidRPr="007C3AF1" w:rsidRDefault="006A2935" w:rsidP="007911EC">
      <w:pPr>
        <w:spacing w:line="360" w:lineRule="auto"/>
        <w:ind w:left="567" w:right="567"/>
        <w:rPr>
          <w:rFonts w:ascii="Palatino Linotype" w:hAnsi="Palatino Linotype"/>
          <w:i/>
          <w:color w:val="FF0000"/>
        </w:rPr>
      </w:pPr>
    </w:p>
    <w:p w14:paraId="2FFD3A79" w14:textId="63F085CF" w:rsidR="00F469B3" w:rsidRPr="007C3AF1" w:rsidRDefault="00D06218" w:rsidP="007911EC">
      <w:pPr>
        <w:pStyle w:val="Ttulo2"/>
        <w:rPr>
          <w:color w:val="auto"/>
          <w:lang w:eastAsia="en-US"/>
        </w:rPr>
      </w:pPr>
      <w:bookmarkStart w:id="4" w:name="_Toc223615226"/>
      <w:r>
        <w:rPr>
          <w:color w:val="auto"/>
          <w:lang w:eastAsia="en-US"/>
        </w:rPr>
        <w:lastRenderedPageBreak/>
        <w:t>IV</w:t>
      </w:r>
      <w:r w:rsidR="00F469B3" w:rsidRPr="007C3AF1">
        <w:rPr>
          <w:color w:val="auto"/>
          <w:lang w:eastAsia="en-US"/>
        </w:rPr>
        <w:t>. Trámite del Recurso de Revisión ante el Instituto</w:t>
      </w:r>
      <w:bookmarkEnd w:id="4"/>
    </w:p>
    <w:p w14:paraId="7F62FC39" w14:textId="77777777" w:rsidR="00320CBA" w:rsidRPr="007C3AF1" w:rsidRDefault="00320CBA" w:rsidP="007911EC">
      <w:pPr>
        <w:spacing w:line="360" w:lineRule="auto"/>
        <w:jc w:val="both"/>
        <w:rPr>
          <w:rFonts w:ascii="Palatino Linotype" w:eastAsiaTheme="minorHAnsi" w:hAnsi="Palatino Linotype" w:cstheme="minorBidi"/>
          <w:b/>
          <w:bCs/>
          <w:sz w:val="22"/>
          <w:szCs w:val="22"/>
          <w:lang w:eastAsia="en-US"/>
        </w:rPr>
      </w:pPr>
    </w:p>
    <w:p w14:paraId="74144DA6" w14:textId="214AA09C" w:rsidR="00F469B3" w:rsidRPr="007C3AF1" w:rsidRDefault="00F469B3" w:rsidP="007911EC">
      <w:pPr>
        <w:spacing w:line="360" w:lineRule="auto"/>
        <w:jc w:val="both"/>
        <w:rPr>
          <w:rFonts w:ascii="Palatino Linotype" w:eastAsia="Batang" w:hAnsi="Palatino Linotype" w:cs="Tahoma"/>
          <w:bCs/>
          <w:sz w:val="22"/>
          <w:szCs w:val="22"/>
        </w:rPr>
      </w:pPr>
      <w:r w:rsidRPr="007C3AF1">
        <w:rPr>
          <w:rFonts w:ascii="Palatino Linotype" w:eastAsiaTheme="minorHAnsi" w:hAnsi="Palatino Linotype" w:cstheme="minorBidi"/>
          <w:b/>
          <w:bCs/>
          <w:sz w:val="22"/>
          <w:szCs w:val="22"/>
          <w:lang w:eastAsia="en-US"/>
        </w:rPr>
        <w:t xml:space="preserve">a) Turno del Recurso de Revisión. </w:t>
      </w:r>
      <w:r w:rsidRPr="007C3AF1">
        <w:rPr>
          <w:rFonts w:ascii="Palatino Linotype" w:eastAsiaTheme="minorHAnsi" w:hAnsi="Palatino Linotype" w:cstheme="minorBidi"/>
          <w:sz w:val="22"/>
          <w:szCs w:val="22"/>
          <w:lang w:eastAsia="en-US"/>
        </w:rPr>
        <w:t>El</w:t>
      </w:r>
      <w:r w:rsidR="007C3AF1" w:rsidRPr="007C3AF1">
        <w:rPr>
          <w:rFonts w:ascii="Palatino Linotype" w:eastAsiaTheme="minorHAnsi" w:hAnsi="Palatino Linotype" w:cstheme="minorBidi"/>
          <w:sz w:val="22"/>
          <w:szCs w:val="22"/>
          <w:lang w:eastAsia="en-US"/>
        </w:rPr>
        <w:t xml:space="preserve"> veintiocho de enero de dos mil veintiséis</w:t>
      </w:r>
      <w:r w:rsidRPr="007C3AF1">
        <w:rPr>
          <w:rFonts w:ascii="Palatino Linotype" w:eastAsia="Batang" w:hAnsi="Palatino Linotype" w:cs="Tahoma"/>
          <w:bCs/>
          <w:sz w:val="22"/>
          <w:szCs w:val="22"/>
        </w:rPr>
        <w:t xml:space="preserve">, el </w:t>
      </w:r>
      <w:r w:rsidRPr="007C3AF1">
        <w:rPr>
          <w:rFonts w:ascii="Palatino Linotype" w:hAnsi="Palatino Linotype" w:cs="Tahoma"/>
          <w:sz w:val="22"/>
          <w:szCs w:val="22"/>
          <w:lang w:val="es-ES"/>
        </w:rPr>
        <w:t>Sistema de Acceso a la Información Mexiquense (SAIMEX),</w:t>
      </w:r>
      <w:r w:rsidRPr="007C3AF1">
        <w:rPr>
          <w:rFonts w:ascii="Palatino Linotype" w:eastAsia="Batang" w:hAnsi="Palatino Linotype" w:cs="Tahoma"/>
          <w:bCs/>
          <w:sz w:val="22"/>
          <w:szCs w:val="22"/>
        </w:rPr>
        <w:t xml:space="preserve"> asignó el número de expediente </w:t>
      </w:r>
      <w:r w:rsidR="007C3AF1" w:rsidRPr="007C3AF1">
        <w:rPr>
          <w:rFonts w:ascii="Palatino Linotype" w:eastAsia="Batang" w:hAnsi="Palatino Linotype" w:cs="Tahoma"/>
          <w:b/>
          <w:bCs/>
          <w:sz w:val="22"/>
          <w:szCs w:val="22"/>
        </w:rPr>
        <w:t>01151</w:t>
      </w:r>
      <w:r w:rsidR="00C61B22" w:rsidRPr="007C3AF1">
        <w:rPr>
          <w:rFonts w:ascii="Palatino Linotype" w:eastAsia="Batang" w:hAnsi="Palatino Linotype" w:cs="Tahoma"/>
          <w:b/>
          <w:bCs/>
          <w:sz w:val="22"/>
          <w:szCs w:val="22"/>
        </w:rPr>
        <w:t>/INFOEM/IP/RR/202</w:t>
      </w:r>
      <w:r w:rsidR="007C3AF1" w:rsidRPr="007C3AF1">
        <w:rPr>
          <w:rFonts w:ascii="Palatino Linotype" w:eastAsia="Batang" w:hAnsi="Palatino Linotype" w:cs="Tahoma"/>
          <w:b/>
          <w:bCs/>
          <w:sz w:val="22"/>
          <w:szCs w:val="22"/>
        </w:rPr>
        <w:t>6</w:t>
      </w:r>
      <w:r w:rsidRPr="007C3AF1">
        <w:rPr>
          <w:rFonts w:ascii="Palatino Linotype" w:eastAsia="Batang" w:hAnsi="Palatino Linotype" w:cs="Tahoma"/>
          <w:bCs/>
          <w:sz w:val="22"/>
          <w:szCs w:val="22"/>
        </w:rPr>
        <w:t xml:space="preserve">, al </w:t>
      </w:r>
      <w:r w:rsidR="002464DA" w:rsidRPr="007C3AF1">
        <w:rPr>
          <w:rFonts w:ascii="Palatino Linotype" w:eastAsia="Batang" w:hAnsi="Palatino Linotype" w:cs="Tahoma"/>
          <w:bCs/>
          <w:sz w:val="22"/>
          <w:szCs w:val="22"/>
        </w:rPr>
        <w:t>M</w:t>
      </w:r>
      <w:r w:rsidRPr="007C3AF1">
        <w:rPr>
          <w:rFonts w:ascii="Palatino Linotype" w:eastAsia="Batang" w:hAnsi="Palatino Linotype" w:cs="Tahoma"/>
          <w:bCs/>
          <w:sz w:val="22"/>
          <w:szCs w:val="22"/>
        </w:rPr>
        <w:t xml:space="preserve">edio de </w:t>
      </w:r>
      <w:r w:rsidR="002464DA" w:rsidRPr="007C3AF1">
        <w:rPr>
          <w:rFonts w:ascii="Palatino Linotype" w:eastAsia="Batang" w:hAnsi="Palatino Linotype" w:cs="Tahoma"/>
          <w:bCs/>
          <w:sz w:val="22"/>
          <w:szCs w:val="22"/>
        </w:rPr>
        <w:t>I</w:t>
      </w:r>
      <w:r w:rsidRPr="007C3AF1">
        <w:rPr>
          <w:rFonts w:ascii="Palatino Linotype" w:eastAsia="Batang" w:hAnsi="Palatino Linotype" w:cs="Tahoma"/>
          <w:bCs/>
          <w:sz w:val="22"/>
          <w:szCs w:val="22"/>
        </w:rPr>
        <w:t xml:space="preserve">mpugnación que nos ocupa, con base en el sistema aprobado por el Pleno de este </w:t>
      </w:r>
      <w:r w:rsidR="00A31139" w:rsidRPr="007C3AF1">
        <w:rPr>
          <w:rFonts w:ascii="Palatino Linotype" w:eastAsia="Batang" w:hAnsi="Palatino Linotype" w:cs="Tahoma"/>
          <w:bCs/>
          <w:sz w:val="22"/>
          <w:szCs w:val="22"/>
        </w:rPr>
        <w:t>Organismo</w:t>
      </w:r>
      <w:r w:rsidRPr="007C3AF1">
        <w:rPr>
          <w:rFonts w:ascii="Palatino Linotype" w:eastAsia="Batang" w:hAnsi="Palatino Linotype" w:cs="Tahoma"/>
          <w:bCs/>
          <w:sz w:val="22"/>
          <w:szCs w:val="22"/>
        </w:rPr>
        <w:t xml:space="preserve"> Garante y lo turnó al Comisionado Ponente Luis Gustavo Parra Noriega, para los efectos del artículo 185, fracción I de la Ley de Transparencia y Acceso a la Información Pública del Estado de México y Municipios.</w:t>
      </w:r>
    </w:p>
    <w:p w14:paraId="77CF11B9" w14:textId="77777777" w:rsidR="00E06C17" w:rsidRPr="007C3AF1" w:rsidRDefault="00E06C17" w:rsidP="007911EC">
      <w:pPr>
        <w:spacing w:line="360" w:lineRule="auto"/>
        <w:jc w:val="both"/>
        <w:rPr>
          <w:rFonts w:ascii="Palatino Linotype" w:eastAsia="Batang" w:hAnsi="Palatino Linotype" w:cs="Tahoma"/>
          <w:b/>
          <w:bCs/>
          <w:color w:val="FF0000"/>
          <w:sz w:val="22"/>
          <w:szCs w:val="22"/>
        </w:rPr>
      </w:pPr>
    </w:p>
    <w:p w14:paraId="26883477" w14:textId="6AC344F2" w:rsidR="00F469B3" w:rsidRPr="007C3AF1" w:rsidRDefault="006C349C" w:rsidP="007911EC">
      <w:pPr>
        <w:spacing w:line="360" w:lineRule="auto"/>
        <w:jc w:val="both"/>
        <w:rPr>
          <w:rFonts w:ascii="Palatino Linotype" w:eastAsia="Batang" w:hAnsi="Palatino Linotype" w:cs="Tahoma"/>
          <w:bCs/>
          <w:sz w:val="22"/>
          <w:szCs w:val="22"/>
        </w:rPr>
      </w:pPr>
      <w:r w:rsidRPr="007C3AF1">
        <w:rPr>
          <w:rFonts w:ascii="Palatino Linotype" w:eastAsia="Batang" w:hAnsi="Palatino Linotype" w:cs="Tahoma"/>
          <w:b/>
          <w:bCs/>
          <w:sz w:val="22"/>
          <w:szCs w:val="22"/>
        </w:rPr>
        <w:t>b</w:t>
      </w:r>
      <w:r w:rsidR="00F469B3" w:rsidRPr="007C3AF1">
        <w:rPr>
          <w:rFonts w:ascii="Palatino Linotype" w:eastAsia="Batang" w:hAnsi="Palatino Linotype" w:cs="Tahoma"/>
          <w:b/>
          <w:bCs/>
          <w:sz w:val="22"/>
          <w:szCs w:val="22"/>
        </w:rPr>
        <w:t xml:space="preserve">) Admisión del </w:t>
      </w:r>
      <w:r w:rsidR="00F469B3" w:rsidRPr="007C3AF1">
        <w:rPr>
          <w:rFonts w:ascii="Palatino Linotype" w:hAnsi="Palatino Linotype" w:cs="Tahoma"/>
          <w:b/>
          <w:sz w:val="22"/>
          <w:szCs w:val="22"/>
        </w:rPr>
        <w:t>Recurso de Revisión</w:t>
      </w:r>
      <w:r w:rsidR="00F469B3" w:rsidRPr="007C3AF1">
        <w:rPr>
          <w:rFonts w:ascii="Palatino Linotype" w:eastAsia="Batang" w:hAnsi="Palatino Linotype" w:cs="Tahoma"/>
          <w:b/>
          <w:bCs/>
          <w:sz w:val="22"/>
          <w:szCs w:val="22"/>
          <w:lang w:val="es-ES_tradnl"/>
        </w:rPr>
        <w:t xml:space="preserve">. </w:t>
      </w:r>
      <w:r w:rsidR="000D19A5" w:rsidRPr="007C3AF1">
        <w:rPr>
          <w:rFonts w:ascii="Palatino Linotype" w:eastAsia="Batang" w:hAnsi="Palatino Linotype" w:cs="Tahoma"/>
          <w:bCs/>
          <w:sz w:val="22"/>
          <w:szCs w:val="22"/>
        </w:rPr>
        <w:t>El</w:t>
      </w:r>
      <w:r w:rsidR="007C3AF1" w:rsidRPr="007C3AF1">
        <w:rPr>
          <w:rFonts w:ascii="Palatino Linotype" w:eastAsia="Batang" w:hAnsi="Palatino Linotype" w:cs="Tahoma"/>
          <w:bCs/>
          <w:sz w:val="22"/>
          <w:szCs w:val="22"/>
        </w:rPr>
        <w:t xml:space="preserve"> tres de febrero de dos mil veintiséis</w:t>
      </w:r>
      <w:r w:rsidR="007F4178" w:rsidRPr="007C3AF1">
        <w:rPr>
          <w:rFonts w:ascii="Palatino Linotype" w:eastAsia="Batang" w:hAnsi="Palatino Linotype" w:cs="Tahoma"/>
          <w:bCs/>
          <w:sz w:val="22"/>
          <w:szCs w:val="22"/>
        </w:rPr>
        <w:t xml:space="preserve">, </w:t>
      </w:r>
      <w:r w:rsidR="00F469B3" w:rsidRPr="007C3AF1">
        <w:rPr>
          <w:rFonts w:ascii="Palatino Linotype" w:eastAsia="Batang" w:hAnsi="Palatino Linotype" w:cs="Tahoma"/>
          <w:bCs/>
          <w:sz w:val="22"/>
          <w:szCs w:val="22"/>
          <w:lang w:val="es-ES_tradnl"/>
        </w:rPr>
        <w:t xml:space="preserve">se acordó la admisión del Recurso de Revisión interpuesto por </w:t>
      </w:r>
      <w:r w:rsidR="00393C64" w:rsidRPr="007C3AF1">
        <w:rPr>
          <w:rFonts w:ascii="Palatino Linotype" w:eastAsia="Batang" w:hAnsi="Palatino Linotype" w:cs="Tahoma"/>
          <w:bCs/>
          <w:sz w:val="22"/>
          <w:szCs w:val="22"/>
          <w:lang w:val="es-ES_tradnl"/>
        </w:rPr>
        <w:t>la persona</w:t>
      </w:r>
      <w:r w:rsidR="00F469B3" w:rsidRPr="007C3AF1">
        <w:rPr>
          <w:rFonts w:ascii="Palatino Linotype" w:eastAsia="Batang" w:hAnsi="Palatino Linotype" w:cs="Tahoma"/>
          <w:bCs/>
          <w:sz w:val="22"/>
          <w:szCs w:val="22"/>
          <w:lang w:val="es-ES_tradnl"/>
        </w:rPr>
        <w:t xml:space="preserve"> Recurrente en contra del Sujeto Obligado, en términos del artículo 185, fracciones I y II de la Ley de Transparencia y Acceso a la Información Pública del Estado de México y Municipios, el cual fue notificado a las partes el</w:t>
      </w:r>
      <w:r w:rsidR="00D949A5">
        <w:rPr>
          <w:rFonts w:ascii="Palatino Linotype" w:eastAsia="Batang" w:hAnsi="Palatino Linotype" w:cs="Tahoma"/>
          <w:bCs/>
          <w:sz w:val="22"/>
          <w:szCs w:val="22"/>
          <w:lang w:val="es-ES_tradnl"/>
        </w:rPr>
        <w:t xml:space="preserve"> mismo día</w:t>
      </w:r>
      <w:r w:rsidR="00F469B3" w:rsidRPr="007C3AF1">
        <w:rPr>
          <w:rFonts w:ascii="Palatino Linotype" w:eastAsia="Batang" w:hAnsi="Palatino Linotype" w:cs="Tahoma"/>
          <w:bCs/>
          <w:sz w:val="22"/>
          <w:szCs w:val="22"/>
          <w:lang w:val="es-ES_tradnl"/>
        </w:rPr>
        <w:t>, a través del Sistema de Acceso a la Información Mexiquense (SAIMEX), en el que se les otorgó un plazo de siete días hábiles posteriores a la misma, para que manifestaran lo que a su derecho conviniera y formularan alegatos.</w:t>
      </w:r>
    </w:p>
    <w:p w14:paraId="525192B2" w14:textId="77777777" w:rsidR="00F469B3" w:rsidRPr="007C3AF1" w:rsidRDefault="00F469B3" w:rsidP="007911EC">
      <w:pPr>
        <w:spacing w:line="360" w:lineRule="auto"/>
        <w:jc w:val="both"/>
        <w:rPr>
          <w:rFonts w:ascii="Palatino Linotype" w:eastAsia="Batang" w:hAnsi="Palatino Linotype" w:cs="Tahoma"/>
          <w:bCs/>
          <w:color w:val="FF0000"/>
          <w:sz w:val="22"/>
          <w:szCs w:val="22"/>
          <w:lang w:val="es-ES_tradnl"/>
        </w:rPr>
      </w:pPr>
    </w:p>
    <w:p w14:paraId="038B9670" w14:textId="36F45956" w:rsidR="007C3AF1" w:rsidRDefault="006C349C" w:rsidP="007911EC">
      <w:pPr>
        <w:spacing w:line="360" w:lineRule="auto"/>
        <w:jc w:val="both"/>
        <w:rPr>
          <w:rFonts w:ascii="Palatino Linotype" w:hAnsi="Palatino Linotype" w:cs="Tahoma"/>
          <w:sz w:val="22"/>
          <w:szCs w:val="22"/>
          <w:lang w:val="es-ES_tradnl"/>
        </w:rPr>
      </w:pPr>
      <w:r w:rsidRPr="007C3AF1">
        <w:rPr>
          <w:rFonts w:ascii="Palatino Linotype" w:hAnsi="Palatino Linotype" w:cs="Tahoma"/>
          <w:b/>
          <w:sz w:val="22"/>
          <w:szCs w:val="22"/>
        </w:rPr>
        <w:t>c</w:t>
      </w:r>
      <w:r w:rsidR="00F469B3" w:rsidRPr="007C3AF1">
        <w:rPr>
          <w:rFonts w:ascii="Palatino Linotype" w:hAnsi="Palatino Linotype" w:cs="Tahoma"/>
          <w:b/>
          <w:sz w:val="22"/>
          <w:szCs w:val="22"/>
        </w:rPr>
        <w:t>)</w:t>
      </w:r>
      <w:r w:rsidR="00A31139" w:rsidRPr="007C3AF1">
        <w:rPr>
          <w:rFonts w:ascii="Palatino Linotype" w:hAnsi="Palatino Linotype" w:cs="Tahoma"/>
          <w:sz w:val="22"/>
          <w:szCs w:val="22"/>
          <w:lang w:val="es-ES_tradnl"/>
        </w:rPr>
        <w:t xml:space="preserve"> </w:t>
      </w:r>
      <w:r w:rsidR="006C5B2A" w:rsidRPr="007C3AF1">
        <w:rPr>
          <w:rFonts w:ascii="Palatino Linotype" w:hAnsi="Palatino Linotype" w:cs="Tahoma"/>
          <w:b/>
          <w:sz w:val="22"/>
          <w:szCs w:val="22"/>
          <w:lang w:val="es-ES_tradnl"/>
        </w:rPr>
        <w:t xml:space="preserve">Informe Justificado. </w:t>
      </w:r>
      <w:r w:rsidR="006C5B2A" w:rsidRPr="007C3AF1">
        <w:rPr>
          <w:rFonts w:ascii="Palatino Linotype" w:hAnsi="Palatino Linotype" w:cs="Tahoma"/>
          <w:sz w:val="22"/>
          <w:szCs w:val="22"/>
          <w:lang w:val="es-ES_tradnl"/>
        </w:rPr>
        <w:t>El</w:t>
      </w:r>
      <w:r w:rsidR="007F4178" w:rsidRPr="007C3AF1">
        <w:rPr>
          <w:rFonts w:ascii="Palatino Linotype" w:hAnsi="Palatino Linotype" w:cs="Tahoma"/>
          <w:sz w:val="22"/>
          <w:szCs w:val="22"/>
          <w:lang w:val="es-ES_tradnl"/>
        </w:rPr>
        <w:t xml:space="preserve"> </w:t>
      </w:r>
      <w:r w:rsidR="00D949A5">
        <w:rPr>
          <w:rFonts w:ascii="Palatino Linotype" w:hAnsi="Palatino Linotype" w:cs="Tahoma"/>
          <w:sz w:val="22"/>
          <w:szCs w:val="22"/>
          <w:lang w:val="es-ES_tradnl"/>
        </w:rPr>
        <w:t>cinco</w:t>
      </w:r>
      <w:r w:rsidR="007C3AF1" w:rsidRPr="007C3AF1">
        <w:rPr>
          <w:rFonts w:ascii="Palatino Linotype" w:hAnsi="Palatino Linotype" w:cs="Tahoma"/>
          <w:sz w:val="22"/>
          <w:szCs w:val="22"/>
          <w:lang w:val="es-ES_tradnl"/>
        </w:rPr>
        <w:t xml:space="preserve"> de febrero </w:t>
      </w:r>
      <w:r w:rsidR="007F4178" w:rsidRPr="007C3AF1">
        <w:rPr>
          <w:rFonts w:ascii="Palatino Linotype" w:hAnsi="Palatino Linotype" w:cs="Tahoma"/>
          <w:sz w:val="22"/>
          <w:szCs w:val="22"/>
          <w:lang w:val="es-ES_tradnl"/>
        </w:rPr>
        <w:t xml:space="preserve">de dos mil veintiséis, </w:t>
      </w:r>
      <w:r w:rsidR="006C5B2A" w:rsidRPr="007C3AF1">
        <w:rPr>
          <w:rFonts w:ascii="Palatino Linotype" w:hAnsi="Palatino Linotype" w:cs="Tahoma"/>
          <w:sz w:val="22"/>
          <w:szCs w:val="22"/>
          <w:lang w:val="es-ES_tradnl"/>
        </w:rPr>
        <w:t>se recibió, a través del Sistema de Acceso a la Información Mexiquense (SAIMEX), el Informe Justificado del Sujeto Obligado, a través</w:t>
      </w:r>
      <w:r w:rsidR="005A500C" w:rsidRPr="007C3AF1">
        <w:rPr>
          <w:rFonts w:ascii="Palatino Linotype" w:hAnsi="Palatino Linotype" w:cs="Tahoma"/>
          <w:sz w:val="22"/>
          <w:szCs w:val="22"/>
          <w:lang w:val="es-ES_tradnl"/>
        </w:rPr>
        <w:t xml:space="preserve"> </w:t>
      </w:r>
      <w:r w:rsidR="007C3AF1">
        <w:rPr>
          <w:rFonts w:ascii="Palatino Linotype" w:hAnsi="Palatino Linotype" w:cs="Tahoma"/>
          <w:sz w:val="22"/>
          <w:szCs w:val="22"/>
          <w:lang w:val="es-ES_tradnl"/>
        </w:rPr>
        <w:t>de la digitalización de los siguientes documentos:</w:t>
      </w:r>
    </w:p>
    <w:p w14:paraId="6114EB5E" w14:textId="77777777" w:rsidR="007C3AF1" w:rsidRDefault="007C3AF1" w:rsidP="007911EC">
      <w:pPr>
        <w:spacing w:line="360" w:lineRule="auto"/>
        <w:jc w:val="both"/>
        <w:rPr>
          <w:rFonts w:ascii="Palatino Linotype" w:hAnsi="Palatino Linotype" w:cs="Tahoma"/>
          <w:sz w:val="22"/>
          <w:szCs w:val="22"/>
          <w:lang w:val="es-ES_tradnl"/>
        </w:rPr>
      </w:pPr>
    </w:p>
    <w:p w14:paraId="133AA972" w14:textId="7F89D1BD" w:rsidR="007C3AF1" w:rsidRDefault="00D949A5" w:rsidP="007911EC">
      <w:pPr>
        <w:spacing w:line="360" w:lineRule="auto"/>
        <w:jc w:val="both"/>
        <w:rPr>
          <w:rFonts w:ascii="Palatino Linotype" w:hAnsi="Palatino Linotype" w:cs="Tahoma"/>
          <w:sz w:val="22"/>
          <w:szCs w:val="22"/>
          <w:lang w:val="es-ES_tradnl"/>
        </w:rPr>
      </w:pPr>
      <w:r>
        <w:rPr>
          <w:rFonts w:ascii="Palatino Linotype" w:hAnsi="Palatino Linotype" w:cs="Tahoma"/>
          <w:sz w:val="22"/>
          <w:szCs w:val="22"/>
          <w:lang w:val="es-ES_tradnl"/>
        </w:rPr>
        <w:t xml:space="preserve">i. Oficio </w:t>
      </w:r>
      <w:r w:rsidRPr="00D949A5">
        <w:rPr>
          <w:rFonts w:ascii="Palatino Linotype" w:hAnsi="Palatino Linotype" w:cs="Tahoma"/>
          <w:sz w:val="22"/>
          <w:szCs w:val="22"/>
          <w:lang w:val="es-ES_tradnl"/>
        </w:rPr>
        <w:t>MVC</w:t>
      </w:r>
      <w:r>
        <w:rPr>
          <w:rFonts w:ascii="Palatino Linotype" w:hAnsi="Palatino Linotype" w:cs="Tahoma"/>
          <w:sz w:val="22"/>
          <w:szCs w:val="22"/>
          <w:lang w:val="es-ES_tradnl"/>
        </w:rPr>
        <w:t>HS/TM</w:t>
      </w:r>
      <w:r w:rsidRPr="00D949A5">
        <w:rPr>
          <w:rFonts w:ascii="Palatino Linotype" w:hAnsi="Palatino Linotype" w:cs="Tahoma"/>
          <w:sz w:val="22"/>
          <w:szCs w:val="22"/>
          <w:lang w:val="es-ES_tradnl"/>
        </w:rPr>
        <w:t>/DCONT/1</w:t>
      </w:r>
      <w:r>
        <w:rPr>
          <w:rFonts w:ascii="Palatino Linotype" w:hAnsi="Palatino Linotype" w:cs="Tahoma"/>
          <w:sz w:val="22"/>
          <w:szCs w:val="22"/>
          <w:lang w:val="es-ES_tradnl"/>
        </w:rPr>
        <w:t xml:space="preserve">2/169/2025 del </w:t>
      </w:r>
      <w:r w:rsidRPr="00D949A5">
        <w:rPr>
          <w:rFonts w:ascii="Palatino Linotype" w:hAnsi="Palatino Linotype" w:cs="Tahoma"/>
          <w:sz w:val="22"/>
          <w:szCs w:val="22"/>
          <w:lang w:val="es-ES_tradnl"/>
        </w:rPr>
        <w:t>veinticuatro</w:t>
      </w:r>
      <w:r>
        <w:rPr>
          <w:rFonts w:ascii="Palatino Linotype" w:hAnsi="Palatino Linotype" w:cs="Tahoma"/>
          <w:sz w:val="22"/>
          <w:szCs w:val="22"/>
          <w:lang w:val="es-ES_tradnl"/>
        </w:rPr>
        <w:t xml:space="preserve"> de diciembre de dos mil veinticinco, suscrito por el Jefe de Departamento de Contabilidad, dirigido al Director Jurídico del H. Ayuntamiento, por medio del cual se menciona lo siguiente:</w:t>
      </w:r>
    </w:p>
    <w:p w14:paraId="3E09B2ED" w14:textId="77777777" w:rsidR="00D949A5" w:rsidRDefault="00D949A5" w:rsidP="007911EC">
      <w:pPr>
        <w:spacing w:line="360" w:lineRule="auto"/>
        <w:jc w:val="both"/>
        <w:rPr>
          <w:rFonts w:ascii="Palatino Linotype" w:hAnsi="Palatino Linotype" w:cs="Tahoma"/>
          <w:sz w:val="22"/>
          <w:szCs w:val="22"/>
          <w:lang w:val="es-ES_tradnl"/>
        </w:rPr>
      </w:pPr>
    </w:p>
    <w:p w14:paraId="6AB40C11" w14:textId="44B56EDB" w:rsidR="00D949A5" w:rsidRPr="00D949A5" w:rsidRDefault="00D949A5" w:rsidP="007911EC">
      <w:pPr>
        <w:spacing w:line="360" w:lineRule="auto"/>
        <w:ind w:left="567" w:right="567"/>
        <w:jc w:val="both"/>
        <w:rPr>
          <w:rFonts w:ascii="Palatino Linotype" w:hAnsi="Palatino Linotype"/>
          <w:i/>
        </w:rPr>
      </w:pPr>
      <w:r>
        <w:rPr>
          <w:rFonts w:ascii="Palatino Linotype" w:hAnsi="Palatino Linotype"/>
          <w:i/>
        </w:rPr>
        <w:lastRenderedPageBreak/>
        <w:t>“…</w:t>
      </w:r>
      <w:r w:rsidRPr="00D949A5">
        <w:rPr>
          <w:rFonts w:ascii="Palatino Linotype" w:hAnsi="Palatino Linotype"/>
          <w:i/>
        </w:rPr>
        <w:t>Por lo anterior y en alcance de dar cumplimiento a lo solicitado le remito 3 copias s</w:t>
      </w:r>
      <w:r>
        <w:rPr>
          <w:rFonts w:ascii="Palatino Linotype" w:hAnsi="Palatino Linotype"/>
          <w:i/>
        </w:rPr>
        <w:t>i</w:t>
      </w:r>
      <w:r w:rsidRPr="00D949A5">
        <w:rPr>
          <w:rFonts w:ascii="Palatino Linotype" w:hAnsi="Palatino Linotype"/>
          <w:i/>
        </w:rPr>
        <w:t>mples de los finiquitos registrados, mismas que se anexan al presente documento</w:t>
      </w:r>
      <w:r>
        <w:rPr>
          <w:rFonts w:ascii="Palatino Linotype" w:hAnsi="Palatino Linotype"/>
          <w:i/>
        </w:rPr>
        <w:t>…” (Sic)</w:t>
      </w:r>
    </w:p>
    <w:p w14:paraId="5F92B4DA" w14:textId="77777777" w:rsidR="007C3AF1" w:rsidRDefault="007C3AF1" w:rsidP="007911EC">
      <w:pPr>
        <w:spacing w:line="360" w:lineRule="auto"/>
        <w:jc w:val="both"/>
        <w:rPr>
          <w:rFonts w:ascii="Palatino Linotype" w:hAnsi="Palatino Linotype" w:cs="Tahoma"/>
          <w:sz w:val="22"/>
          <w:szCs w:val="22"/>
          <w:lang w:val="es-ES_tradnl"/>
        </w:rPr>
      </w:pPr>
    </w:p>
    <w:p w14:paraId="12D24857" w14:textId="281A0A07" w:rsidR="000E769C" w:rsidRPr="007911EC" w:rsidRDefault="000E769C" w:rsidP="007911EC">
      <w:pPr>
        <w:spacing w:line="360" w:lineRule="auto"/>
        <w:jc w:val="both"/>
        <w:rPr>
          <w:rFonts w:ascii="Palatino Linotype" w:hAnsi="Palatino Linotype"/>
          <w:sz w:val="22"/>
          <w:szCs w:val="22"/>
        </w:rPr>
      </w:pPr>
      <w:r w:rsidRPr="007911EC">
        <w:rPr>
          <w:rFonts w:ascii="Palatino Linotype" w:hAnsi="Palatino Linotype" w:cs="Tahoma"/>
          <w:sz w:val="22"/>
          <w:szCs w:val="22"/>
          <w:lang w:val="es-ES_tradnl"/>
        </w:rPr>
        <w:t>ii. Oficio VCHS/DIR-JUR/OFIC/048/2026 del cuatro de febrero de dos mil veintiséis, suscrito por</w:t>
      </w:r>
      <w:r w:rsidRPr="007911EC">
        <w:rPr>
          <w:sz w:val="22"/>
          <w:szCs w:val="22"/>
        </w:rPr>
        <w:t xml:space="preserve"> </w:t>
      </w:r>
      <w:r w:rsidRPr="007911EC">
        <w:rPr>
          <w:rFonts w:ascii="Palatino Linotype" w:hAnsi="Palatino Linotype"/>
          <w:sz w:val="22"/>
          <w:szCs w:val="22"/>
        </w:rPr>
        <w:t xml:space="preserve">la Encargada de Despacho de la Dirección </w:t>
      </w:r>
      <w:r w:rsidR="00BF7006" w:rsidRPr="007911EC">
        <w:rPr>
          <w:rFonts w:ascii="Palatino Linotype" w:hAnsi="Palatino Linotype"/>
          <w:sz w:val="22"/>
          <w:szCs w:val="22"/>
        </w:rPr>
        <w:t>Jurídica, dirigido al Titular de la Unidad de Transparencia, por medio del cual se menciona que se remitía la información encontrada en relación con la solicitud de información.</w:t>
      </w:r>
    </w:p>
    <w:p w14:paraId="28684892" w14:textId="77777777" w:rsidR="00BF7006" w:rsidRPr="007911EC" w:rsidRDefault="00BF7006" w:rsidP="007911EC">
      <w:pPr>
        <w:spacing w:line="360" w:lineRule="auto"/>
        <w:jc w:val="both"/>
        <w:rPr>
          <w:rFonts w:ascii="Palatino Linotype" w:hAnsi="Palatino Linotype"/>
          <w:sz w:val="22"/>
          <w:szCs w:val="22"/>
        </w:rPr>
      </w:pPr>
    </w:p>
    <w:p w14:paraId="0D59A473" w14:textId="79A7FC89" w:rsidR="00BF7006" w:rsidRPr="007911EC" w:rsidRDefault="00C70458" w:rsidP="007911EC">
      <w:pPr>
        <w:spacing w:line="360" w:lineRule="auto"/>
        <w:jc w:val="both"/>
        <w:rPr>
          <w:rFonts w:ascii="Palatino Linotype" w:hAnsi="Palatino Linotype"/>
          <w:sz w:val="22"/>
          <w:szCs w:val="22"/>
        </w:rPr>
      </w:pPr>
      <w:r w:rsidRPr="007911EC">
        <w:rPr>
          <w:rFonts w:ascii="Palatino Linotype" w:hAnsi="Palatino Linotype"/>
          <w:sz w:val="22"/>
          <w:szCs w:val="22"/>
        </w:rPr>
        <w:t xml:space="preserve">iii. </w:t>
      </w:r>
      <w:r w:rsidR="00E020C4" w:rsidRPr="007911EC">
        <w:rPr>
          <w:rFonts w:ascii="Palatino Linotype" w:hAnsi="Palatino Linotype"/>
          <w:sz w:val="22"/>
          <w:szCs w:val="22"/>
        </w:rPr>
        <w:t>Oficio VCHS/DIR-JUR/OFIC/787/2025 del doce de diciembre de dos mil veinticinco, suscrito por el Director de Jurídico, dirigido a la Tesorera Municipal, por medio del cual se realiza el turno del requerimiento informativo.</w:t>
      </w:r>
    </w:p>
    <w:p w14:paraId="7C8C3E19" w14:textId="77777777" w:rsidR="00E020C4" w:rsidRPr="007911EC" w:rsidRDefault="00E020C4" w:rsidP="007911EC">
      <w:pPr>
        <w:spacing w:line="360" w:lineRule="auto"/>
        <w:jc w:val="both"/>
        <w:rPr>
          <w:rFonts w:ascii="Palatino Linotype" w:hAnsi="Palatino Linotype"/>
          <w:sz w:val="22"/>
          <w:szCs w:val="22"/>
        </w:rPr>
      </w:pPr>
    </w:p>
    <w:p w14:paraId="00618AC1" w14:textId="48BA8C7A" w:rsidR="00E020C4" w:rsidRPr="007911EC" w:rsidRDefault="00E020C4" w:rsidP="007911EC">
      <w:pPr>
        <w:spacing w:line="360" w:lineRule="auto"/>
        <w:jc w:val="both"/>
        <w:rPr>
          <w:rFonts w:ascii="Palatino Linotype" w:hAnsi="Palatino Linotype"/>
          <w:sz w:val="22"/>
          <w:szCs w:val="22"/>
        </w:rPr>
      </w:pPr>
      <w:r w:rsidRPr="007911EC">
        <w:rPr>
          <w:rFonts w:ascii="Palatino Linotype" w:hAnsi="Palatino Linotype"/>
          <w:sz w:val="22"/>
          <w:szCs w:val="22"/>
        </w:rPr>
        <w:t>iv. Oficio VCHS/DIR-JUR/OFIC/794/2025 del veinte diciembre de dos mil veinticinco, suscrito por el Director de Jurídico, dirigido a la Tesorera Municipal, por medio del cual se solicita se remita la información solicitada.</w:t>
      </w:r>
    </w:p>
    <w:p w14:paraId="7406F430" w14:textId="77777777" w:rsidR="00DC6BA1" w:rsidRPr="007911EC" w:rsidRDefault="00DC6BA1" w:rsidP="007911EC">
      <w:pPr>
        <w:spacing w:line="360" w:lineRule="auto"/>
        <w:jc w:val="both"/>
        <w:rPr>
          <w:rFonts w:ascii="Palatino Linotype" w:hAnsi="Palatino Linotype"/>
          <w:sz w:val="22"/>
          <w:szCs w:val="22"/>
        </w:rPr>
      </w:pPr>
    </w:p>
    <w:p w14:paraId="65532169" w14:textId="75CB201A" w:rsidR="0089445C" w:rsidRPr="007911EC" w:rsidRDefault="00DC6BA1" w:rsidP="007911EC">
      <w:pPr>
        <w:spacing w:line="360" w:lineRule="auto"/>
        <w:jc w:val="both"/>
        <w:rPr>
          <w:rFonts w:ascii="Palatino Linotype" w:hAnsi="Palatino Linotype"/>
          <w:sz w:val="22"/>
          <w:szCs w:val="22"/>
        </w:rPr>
      </w:pPr>
      <w:r w:rsidRPr="007911EC">
        <w:rPr>
          <w:rFonts w:ascii="Palatino Linotype" w:hAnsi="Palatino Linotype"/>
          <w:sz w:val="22"/>
          <w:szCs w:val="22"/>
        </w:rPr>
        <w:t>v. Relación donde constan los listados de finiquitos pagados en dos mil veinte, dos mil veintiuno y dos mil veintidós.</w:t>
      </w:r>
    </w:p>
    <w:p w14:paraId="45BC1F1E" w14:textId="77777777" w:rsidR="00DC6BA1" w:rsidRPr="00FF2EB2" w:rsidRDefault="00DC6BA1" w:rsidP="007911EC">
      <w:pPr>
        <w:spacing w:line="360" w:lineRule="auto"/>
        <w:jc w:val="both"/>
        <w:rPr>
          <w:rFonts w:ascii="Palatino Linotype" w:hAnsi="Palatino Linotype"/>
        </w:rPr>
      </w:pPr>
    </w:p>
    <w:p w14:paraId="193C5D46" w14:textId="3A9F7931" w:rsidR="00947608" w:rsidRPr="00FF2EB2" w:rsidRDefault="006C5B2A" w:rsidP="007911EC">
      <w:pPr>
        <w:spacing w:line="360" w:lineRule="auto"/>
        <w:jc w:val="both"/>
        <w:rPr>
          <w:rFonts w:ascii="Palatino Linotype" w:hAnsi="Palatino Linotype" w:cs="Tahoma"/>
          <w:bCs/>
          <w:i/>
          <w:lang w:val="es-ES"/>
        </w:rPr>
      </w:pPr>
      <w:r w:rsidRPr="00FF2EB2">
        <w:rPr>
          <w:rFonts w:ascii="Palatino Linotype" w:hAnsi="Palatino Linotype" w:cs="Tahoma"/>
          <w:b/>
          <w:sz w:val="22"/>
          <w:szCs w:val="22"/>
          <w:lang w:val="es-ES_tradnl"/>
        </w:rPr>
        <w:t xml:space="preserve">d) Vista del Informe Justificado. </w:t>
      </w:r>
      <w:r w:rsidR="00B07AC2" w:rsidRPr="00FF2EB2">
        <w:rPr>
          <w:rFonts w:ascii="Palatino Linotype" w:hAnsi="Palatino Linotype" w:cs="Tahoma"/>
          <w:sz w:val="22"/>
          <w:szCs w:val="22"/>
          <w:lang w:val="es-ES_tradnl"/>
        </w:rPr>
        <w:t xml:space="preserve">El </w:t>
      </w:r>
      <w:r w:rsidR="00FF2EB2" w:rsidRPr="00FF2EB2">
        <w:rPr>
          <w:rFonts w:ascii="Palatino Linotype" w:hAnsi="Palatino Linotype" w:cs="Tahoma"/>
          <w:sz w:val="22"/>
          <w:szCs w:val="22"/>
          <w:lang w:val="es-ES_tradnl"/>
        </w:rPr>
        <w:t>veinticinco de febrero</w:t>
      </w:r>
      <w:r w:rsidR="00E92ADE" w:rsidRPr="00FF2EB2">
        <w:rPr>
          <w:rFonts w:ascii="Palatino Linotype" w:hAnsi="Palatino Linotype" w:cs="Tahoma"/>
          <w:sz w:val="22"/>
          <w:szCs w:val="22"/>
          <w:lang w:val="es-ES_tradnl"/>
        </w:rPr>
        <w:t xml:space="preserve"> </w:t>
      </w:r>
      <w:r w:rsidRPr="00FF2EB2">
        <w:rPr>
          <w:rFonts w:ascii="Palatino Linotype" w:hAnsi="Palatino Linotype" w:cs="Tahoma"/>
          <w:sz w:val="22"/>
          <w:szCs w:val="22"/>
          <w:lang w:val="es-ES_tradnl"/>
        </w:rPr>
        <w:t xml:space="preserve">de dos mil </w:t>
      </w:r>
      <w:r w:rsidR="00E92ADE" w:rsidRPr="00FF2EB2">
        <w:rPr>
          <w:rFonts w:ascii="Palatino Linotype" w:hAnsi="Palatino Linotype" w:cs="Tahoma"/>
          <w:sz w:val="22"/>
          <w:szCs w:val="22"/>
          <w:lang w:val="es-ES_tradnl"/>
        </w:rPr>
        <w:t>veintiséis</w:t>
      </w:r>
      <w:r w:rsidRPr="00FF2EB2">
        <w:rPr>
          <w:rFonts w:ascii="Palatino Linotype" w:hAnsi="Palatino Linotype" w:cs="Tahoma"/>
          <w:sz w:val="22"/>
          <w:szCs w:val="22"/>
          <w:lang w:val="es-ES_tradnl"/>
        </w:rPr>
        <w:t>, se dictó acuerdo mediante el cual se puso a la vista del Particular el Informe Justificado, entregado por el Sujeto Obligado, así como el documento adjunto, el cual fue notificado a las partes, a través del Sistema de Acceso a la Información Mexiquense (SAIMEX).</w:t>
      </w:r>
    </w:p>
    <w:p w14:paraId="0BB47E08" w14:textId="3BD3176E" w:rsidR="00947608" w:rsidRPr="00FF2EB2" w:rsidRDefault="00947608" w:rsidP="007911EC">
      <w:pPr>
        <w:spacing w:line="360" w:lineRule="auto"/>
        <w:contextualSpacing/>
        <w:jc w:val="both"/>
        <w:rPr>
          <w:rFonts w:ascii="Palatino Linotype" w:hAnsi="Palatino Linotype" w:cs="Tahoma"/>
          <w:b/>
          <w:sz w:val="22"/>
          <w:szCs w:val="28"/>
          <w:lang w:val="es-ES_tradnl"/>
        </w:rPr>
      </w:pPr>
    </w:p>
    <w:p w14:paraId="155868CD" w14:textId="74915648" w:rsidR="008F4B45" w:rsidRPr="00FF2EB2" w:rsidRDefault="00FF2EB2" w:rsidP="007911EC">
      <w:pPr>
        <w:spacing w:line="360" w:lineRule="auto"/>
        <w:jc w:val="both"/>
        <w:rPr>
          <w:rFonts w:ascii="Palatino Linotype" w:hAnsi="Palatino Linotype"/>
          <w:sz w:val="22"/>
          <w:szCs w:val="22"/>
        </w:rPr>
      </w:pPr>
      <w:r w:rsidRPr="00FF2EB2">
        <w:rPr>
          <w:rFonts w:ascii="Palatino Linotype" w:hAnsi="Palatino Linotype"/>
          <w:b/>
          <w:sz w:val="22"/>
          <w:szCs w:val="22"/>
        </w:rPr>
        <w:t>e</w:t>
      </w:r>
      <w:r w:rsidR="000553B4" w:rsidRPr="00FF2EB2">
        <w:rPr>
          <w:rFonts w:ascii="Palatino Linotype" w:hAnsi="Palatino Linotype"/>
          <w:b/>
          <w:sz w:val="22"/>
          <w:szCs w:val="22"/>
        </w:rPr>
        <w:t xml:space="preserve">) </w:t>
      </w:r>
      <w:r w:rsidR="0063734D" w:rsidRPr="00FF2EB2">
        <w:rPr>
          <w:rFonts w:ascii="Palatino Linotype" w:hAnsi="Palatino Linotype"/>
          <w:b/>
          <w:sz w:val="22"/>
          <w:szCs w:val="22"/>
        </w:rPr>
        <w:t>Cierre de instrucción.</w:t>
      </w:r>
      <w:r w:rsidR="00763D85" w:rsidRPr="00FF2EB2">
        <w:rPr>
          <w:rFonts w:ascii="Palatino Linotype" w:hAnsi="Palatino Linotype"/>
          <w:b/>
          <w:sz w:val="22"/>
          <w:szCs w:val="22"/>
        </w:rPr>
        <w:t xml:space="preserve"> </w:t>
      </w:r>
      <w:r w:rsidR="008F4B45" w:rsidRPr="00FF2EB2">
        <w:rPr>
          <w:rFonts w:ascii="Palatino Linotype" w:hAnsi="Palatino Linotype"/>
          <w:sz w:val="22"/>
          <w:szCs w:val="22"/>
        </w:rPr>
        <w:t>El</w:t>
      </w:r>
      <w:r w:rsidR="003E16CF" w:rsidRPr="00FF2EB2">
        <w:rPr>
          <w:rFonts w:ascii="Palatino Linotype" w:hAnsi="Palatino Linotype"/>
          <w:sz w:val="22"/>
          <w:szCs w:val="22"/>
        </w:rPr>
        <w:t xml:space="preserve"> </w:t>
      </w:r>
      <w:proofErr w:type="spellStart"/>
      <w:r w:rsidR="00D06218">
        <w:rPr>
          <w:rFonts w:ascii="Palatino Linotype" w:hAnsi="Palatino Linotype"/>
          <w:sz w:val="22"/>
          <w:szCs w:val="22"/>
        </w:rPr>
        <w:t>cUATRO</w:t>
      </w:r>
      <w:proofErr w:type="spellEnd"/>
      <w:r w:rsidRPr="00FF2EB2">
        <w:rPr>
          <w:rFonts w:ascii="Palatino Linotype" w:hAnsi="Palatino Linotype"/>
          <w:sz w:val="22"/>
          <w:szCs w:val="22"/>
        </w:rPr>
        <w:t xml:space="preserve"> de marzo </w:t>
      </w:r>
      <w:r w:rsidR="00E92ADE" w:rsidRPr="00FF2EB2">
        <w:rPr>
          <w:rFonts w:ascii="Palatino Linotype" w:hAnsi="Palatino Linotype"/>
          <w:sz w:val="22"/>
          <w:szCs w:val="22"/>
        </w:rPr>
        <w:t>de dos mil veintiséis</w:t>
      </w:r>
      <w:r w:rsidR="008F4B45" w:rsidRPr="00FF2EB2">
        <w:rPr>
          <w:rFonts w:ascii="Palatino Linotype" w:hAnsi="Palatino Linotype"/>
          <w:sz w:val="22"/>
          <w:szCs w:val="22"/>
        </w:rPr>
        <w:t xml:space="preserve">, al no existir diligencias pendientes por desahogar, se emitió el acuerdo por medio del cual se declaró cerrada la </w:t>
      </w:r>
      <w:r w:rsidR="008F4B45" w:rsidRPr="00FF2EB2">
        <w:rPr>
          <w:rFonts w:ascii="Palatino Linotype" w:hAnsi="Palatino Linotype"/>
          <w:sz w:val="22"/>
          <w:szCs w:val="22"/>
        </w:rPr>
        <w:lastRenderedPageBreak/>
        <w:t xml:space="preserve">instrucción y, se pasó el expediente a resolución, en términos de lo dispuesto en los artículos 185, fracciones VI y VIII, de la Ley de Transparencia y Acceso a la Información Pública del Estado de México y Municipios; acto que fue notificado a las partes, a través del Sistema de Acceso a la Información Mexiquense (SAIMEX). </w:t>
      </w:r>
    </w:p>
    <w:p w14:paraId="7BB94FD2" w14:textId="77777777" w:rsidR="008F4B45" w:rsidRPr="00FF2EB2" w:rsidRDefault="008F4B45" w:rsidP="007911EC">
      <w:pPr>
        <w:spacing w:line="360" w:lineRule="auto"/>
        <w:contextualSpacing/>
        <w:jc w:val="both"/>
        <w:rPr>
          <w:rFonts w:ascii="Palatino Linotype" w:hAnsi="Palatino Linotype" w:cs="Tahoma"/>
          <w:b/>
          <w:sz w:val="18"/>
          <w:szCs w:val="22"/>
        </w:rPr>
      </w:pPr>
    </w:p>
    <w:p w14:paraId="353F8859" w14:textId="0D17D196" w:rsidR="004F3A02" w:rsidRPr="00FF2EB2" w:rsidRDefault="008F4B45" w:rsidP="007911EC">
      <w:pPr>
        <w:spacing w:line="360" w:lineRule="auto"/>
        <w:contextualSpacing/>
        <w:jc w:val="both"/>
        <w:rPr>
          <w:rFonts w:ascii="Palatino Linotype" w:hAnsi="Palatino Linotype" w:cs="Tahoma"/>
          <w:sz w:val="22"/>
          <w:szCs w:val="22"/>
        </w:rPr>
      </w:pPr>
      <w:r w:rsidRPr="00FF2EB2">
        <w:rPr>
          <w:rFonts w:ascii="Palatino Linotype" w:hAnsi="Palatino Linotype" w:cs="Tahoma"/>
          <w:sz w:val="22"/>
          <w:szCs w:val="22"/>
        </w:rPr>
        <w:t xml:space="preserve">En razón de que fue debidamente sustanciado el expediente electrónico y no existe diligencia pendiente de desahogo, se emite la Resolución que conforme a Derecho proceda, de acuerdo con los siguientes: </w:t>
      </w:r>
    </w:p>
    <w:p w14:paraId="711B402C" w14:textId="77777777" w:rsidR="00E155C6" w:rsidRPr="00FF2EB2" w:rsidRDefault="00E155C6" w:rsidP="007911EC">
      <w:pPr>
        <w:spacing w:line="360" w:lineRule="auto"/>
        <w:contextualSpacing/>
        <w:jc w:val="both"/>
        <w:rPr>
          <w:rFonts w:ascii="Palatino Linotype" w:hAnsi="Palatino Linotype" w:cs="Tahoma"/>
          <w:sz w:val="22"/>
          <w:szCs w:val="22"/>
        </w:rPr>
      </w:pPr>
    </w:p>
    <w:p w14:paraId="615EA163" w14:textId="77777777" w:rsidR="004F3A02" w:rsidRPr="00FF2EB2" w:rsidRDefault="004F3A02" w:rsidP="007911EC">
      <w:pPr>
        <w:pStyle w:val="Ttulo1"/>
        <w:rPr>
          <w:color w:val="auto"/>
          <w:lang w:val="es-ES"/>
        </w:rPr>
      </w:pPr>
      <w:bookmarkStart w:id="5" w:name="_Toc223615227"/>
      <w:r w:rsidRPr="00FF2EB2">
        <w:rPr>
          <w:color w:val="auto"/>
          <w:lang w:val="es-ES"/>
        </w:rPr>
        <w:t>C O N S I D E R A N D O S</w:t>
      </w:r>
      <w:bookmarkEnd w:id="5"/>
    </w:p>
    <w:p w14:paraId="066231C1" w14:textId="77777777" w:rsidR="004F3A02" w:rsidRPr="00FF2EB2" w:rsidRDefault="004F3A02" w:rsidP="007911EC">
      <w:pPr>
        <w:spacing w:line="360" w:lineRule="auto"/>
        <w:jc w:val="both"/>
        <w:rPr>
          <w:rFonts w:ascii="Palatino Linotype" w:hAnsi="Palatino Linotype" w:cs="Tahoma"/>
          <w:b/>
          <w:sz w:val="22"/>
          <w:lang w:val="es-ES"/>
        </w:rPr>
      </w:pPr>
    </w:p>
    <w:p w14:paraId="001B63FA" w14:textId="77777777" w:rsidR="004F3A02" w:rsidRDefault="004F3A02" w:rsidP="007911EC">
      <w:pPr>
        <w:pStyle w:val="Ttulo2"/>
        <w:rPr>
          <w:color w:val="auto"/>
          <w:lang w:val="es-ES"/>
        </w:rPr>
      </w:pPr>
      <w:bookmarkStart w:id="6" w:name="_Toc223615228"/>
      <w:r w:rsidRPr="00FF2EB2">
        <w:rPr>
          <w:rFonts w:eastAsia="Calibri"/>
          <w:color w:val="auto"/>
          <w:lang w:val="es-ES" w:eastAsia="es-MX"/>
        </w:rPr>
        <w:t xml:space="preserve">PRIMERO. </w:t>
      </w:r>
      <w:r w:rsidRPr="00FF2EB2">
        <w:rPr>
          <w:color w:val="auto"/>
          <w:lang w:val="es-ES"/>
        </w:rPr>
        <w:t>Competencia</w:t>
      </w:r>
      <w:bookmarkEnd w:id="6"/>
    </w:p>
    <w:p w14:paraId="56506AFE" w14:textId="77777777" w:rsidR="00FF2EB2" w:rsidRPr="00FF2EB2" w:rsidRDefault="00FF2EB2" w:rsidP="007911EC">
      <w:pPr>
        <w:spacing w:line="360" w:lineRule="auto"/>
        <w:rPr>
          <w:lang w:val="es-ES"/>
        </w:rPr>
      </w:pPr>
    </w:p>
    <w:p w14:paraId="35D71D67" w14:textId="36772734" w:rsidR="004F3A02" w:rsidRPr="00FF2EB2" w:rsidRDefault="00FF2EB2" w:rsidP="007911EC">
      <w:pPr>
        <w:spacing w:line="360" w:lineRule="auto"/>
        <w:contextualSpacing/>
        <w:jc w:val="both"/>
        <w:rPr>
          <w:rFonts w:ascii="Palatino Linotype" w:hAnsi="Palatino Linotype" w:cs="Tahoma"/>
          <w:sz w:val="22"/>
          <w:szCs w:val="22"/>
        </w:rPr>
      </w:pPr>
      <w:r w:rsidRPr="00FF2EB2">
        <w:rPr>
          <w:rFonts w:ascii="Palatino Linotype" w:hAnsi="Palatino Linotype" w:cs="Tahoma"/>
          <w:sz w:val="22"/>
          <w:szCs w:val="22"/>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57A46968" w14:textId="77777777" w:rsidR="00BA5927" w:rsidRPr="007C3AF1" w:rsidRDefault="00BA5927" w:rsidP="007911EC">
      <w:pPr>
        <w:spacing w:line="360" w:lineRule="auto"/>
        <w:jc w:val="both"/>
        <w:rPr>
          <w:rFonts w:ascii="Palatino Linotype" w:eastAsia="Palatino Linotype" w:hAnsi="Palatino Linotype" w:cs="Palatino Linotype"/>
          <w:color w:val="FF0000"/>
          <w:sz w:val="22"/>
          <w:szCs w:val="22"/>
          <w:lang w:eastAsia="es-MX"/>
        </w:rPr>
      </w:pPr>
    </w:p>
    <w:p w14:paraId="33C93B21" w14:textId="2243BBF1" w:rsidR="00DA08C5" w:rsidRPr="00FF2EB2" w:rsidRDefault="00DA08C5" w:rsidP="007911EC">
      <w:pPr>
        <w:pStyle w:val="Ttulo2"/>
        <w:rPr>
          <w:color w:val="auto"/>
          <w:lang w:val="es-ES"/>
        </w:rPr>
      </w:pPr>
      <w:bookmarkStart w:id="7" w:name="_Toc223615229"/>
      <w:r w:rsidRPr="00FF2EB2">
        <w:rPr>
          <w:rFonts w:eastAsia="Calibri"/>
          <w:color w:val="auto"/>
          <w:lang w:val="es-ES" w:eastAsia="es-MX"/>
        </w:rPr>
        <w:t xml:space="preserve">SEGUNDO. </w:t>
      </w:r>
      <w:r w:rsidRPr="00FF2EB2">
        <w:rPr>
          <w:color w:val="auto"/>
          <w:lang w:val="es-ES"/>
        </w:rPr>
        <w:t xml:space="preserve">Causales de improcedencia </w:t>
      </w:r>
      <w:r w:rsidR="00F93859" w:rsidRPr="00FF2EB2">
        <w:rPr>
          <w:color w:val="auto"/>
          <w:lang w:val="es-ES"/>
        </w:rPr>
        <w:t>y Sobreseimiento</w:t>
      </w:r>
      <w:bookmarkEnd w:id="7"/>
    </w:p>
    <w:p w14:paraId="39E19200" w14:textId="77777777" w:rsidR="00BA5927" w:rsidRPr="007C3AF1" w:rsidRDefault="00BA5927" w:rsidP="007911EC">
      <w:pPr>
        <w:autoSpaceDE w:val="0"/>
        <w:autoSpaceDN w:val="0"/>
        <w:adjustRightInd w:val="0"/>
        <w:spacing w:line="360" w:lineRule="auto"/>
        <w:contextualSpacing/>
        <w:jc w:val="both"/>
        <w:rPr>
          <w:rFonts w:ascii="Palatino Linotype" w:hAnsi="Palatino Linotype" w:cs="Tahoma"/>
          <w:color w:val="FF0000"/>
          <w:sz w:val="22"/>
          <w:szCs w:val="22"/>
          <w:lang w:val="es-ES"/>
        </w:rPr>
      </w:pPr>
    </w:p>
    <w:p w14:paraId="5128E1A6" w14:textId="77777777" w:rsidR="00DA08C5" w:rsidRPr="00FF2EB2" w:rsidRDefault="00DA08C5" w:rsidP="007911EC">
      <w:pPr>
        <w:autoSpaceDE w:val="0"/>
        <w:autoSpaceDN w:val="0"/>
        <w:adjustRightInd w:val="0"/>
        <w:spacing w:line="360" w:lineRule="auto"/>
        <w:contextualSpacing/>
        <w:jc w:val="both"/>
        <w:rPr>
          <w:rFonts w:ascii="Palatino Linotype" w:hAnsi="Palatino Linotype" w:cs="Tahoma"/>
          <w:sz w:val="22"/>
          <w:szCs w:val="22"/>
          <w:lang w:val="es-ES"/>
        </w:rPr>
      </w:pPr>
      <w:r w:rsidRPr="00FF2EB2">
        <w:rPr>
          <w:rFonts w:ascii="Palatino Linotype" w:hAnsi="Palatino Linotype" w:cs="Tahoma"/>
          <w:sz w:val="22"/>
          <w:szCs w:val="22"/>
          <w:lang w:val="es-ES"/>
        </w:rPr>
        <w:lastRenderedPageBreak/>
        <w:t xml:space="preserve">De las constancias que forma parte del Recurso de Revisión que se analiza, se advierte que previo al estudio del fondo de la </w:t>
      </w:r>
      <w:r w:rsidRPr="00FF2EB2">
        <w:rPr>
          <w:rFonts w:ascii="Palatino Linotype" w:hAnsi="Palatino Linotype" w:cs="Tahoma"/>
          <w:i/>
          <w:sz w:val="22"/>
          <w:szCs w:val="22"/>
          <w:lang w:val="es-ES"/>
        </w:rPr>
        <w:t>litis</w:t>
      </w:r>
      <w:r w:rsidRPr="00FF2EB2">
        <w:rPr>
          <w:rFonts w:ascii="Palatino Linotype" w:hAnsi="Palatino Linotype" w:cs="Tahoma"/>
          <w:sz w:val="22"/>
          <w:szCs w:val="22"/>
          <w:lang w:val="es-ES"/>
        </w:rPr>
        <w:t>, es necesario estudiar las causales de improcedencia y sobreseimiento que se adviertan, para determinar lo que en Derecho proceda.</w:t>
      </w:r>
    </w:p>
    <w:p w14:paraId="28656C6E" w14:textId="77777777" w:rsidR="00DA08C5" w:rsidRPr="007C3AF1" w:rsidRDefault="00DA08C5" w:rsidP="007911EC">
      <w:pPr>
        <w:autoSpaceDE w:val="0"/>
        <w:autoSpaceDN w:val="0"/>
        <w:adjustRightInd w:val="0"/>
        <w:spacing w:line="360" w:lineRule="auto"/>
        <w:contextualSpacing/>
        <w:jc w:val="both"/>
        <w:rPr>
          <w:rFonts w:ascii="Palatino Linotype" w:hAnsi="Palatino Linotype" w:cs="Tahoma"/>
          <w:color w:val="FF0000"/>
          <w:sz w:val="22"/>
          <w:szCs w:val="22"/>
          <w:lang w:val="es-ES"/>
        </w:rPr>
      </w:pPr>
    </w:p>
    <w:p w14:paraId="55FD8A9B" w14:textId="77777777" w:rsidR="00DA08C5" w:rsidRPr="00FF2EB2" w:rsidRDefault="00DA08C5" w:rsidP="007911EC">
      <w:pPr>
        <w:spacing w:line="360" w:lineRule="auto"/>
        <w:contextualSpacing/>
        <w:jc w:val="both"/>
        <w:rPr>
          <w:rFonts w:ascii="Palatino Linotype" w:hAnsi="Palatino Linotype"/>
          <w:b/>
          <w:sz w:val="22"/>
          <w:szCs w:val="22"/>
          <w:lang w:val="es-ES"/>
        </w:rPr>
      </w:pPr>
      <w:r w:rsidRPr="00FF2EB2">
        <w:rPr>
          <w:rFonts w:ascii="Palatino Linotype" w:hAnsi="Palatino Linotype"/>
          <w:b/>
          <w:sz w:val="22"/>
          <w:szCs w:val="22"/>
          <w:lang w:val="es-ES"/>
        </w:rPr>
        <w:t>Causales de improcedencia</w:t>
      </w:r>
    </w:p>
    <w:p w14:paraId="7ABB438E" w14:textId="77777777" w:rsidR="00DA08C5" w:rsidRPr="00FF2EB2" w:rsidRDefault="00DA08C5" w:rsidP="007911EC">
      <w:pPr>
        <w:spacing w:line="360" w:lineRule="auto"/>
        <w:contextualSpacing/>
        <w:jc w:val="both"/>
        <w:rPr>
          <w:rFonts w:ascii="Palatino Linotype" w:hAnsi="Palatino Linotype"/>
          <w:sz w:val="22"/>
          <w:szCs w:val="22"/>
        </w:rPr>
      </w:pPr>
    </w:p>
    <w:p w14:paraId="7D1BAA53" w14:textId="77777777" w:rsidR="00DA08C5" w:rsidRPr="00FF2EB2" w:rsidRDefault="00DA08C5" w:rsidP="007911EC">
      <w:pPr>
        <w:spacing w:line="360" w:lineRule="auto"/>
        <w:contextualSpacing/>
        <w:jc w:val="both"/>
        <w:rPr>
          <w:rFonts w:ascii="Palatino Linotype" w:hAnsi="Palatino Linotype" w:cs="Tahoma"/>
          <w:sz w:val="22"/>
          <w:szCs w:val="22"/>
        </w:rPr>
      </w:pPr>
      <w:r w:rsidRPr="00FF2EB2">
        <w:rPr>
          <w:rFonts w:ascii="Palatino Linotype" w:hAnsi="Palatino Linotype" w:cs="Tahoma"/>
          <w:sz w:val="22"/>
          <w:szCs w:val="22"/>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29622937" w14:textId="77777777" w:rsidR="00DA08C5" w:rsidRPr="00FF2EB2" w:rsidRDefault="00DA08C5" w:rsidP="007911EC">
      <w:pPr>
        <w:spacing w:line="360" w:lineRule="auto"/>
        <w:contextualSpacing/>
        <w:jc w:val="both"/>
        <w:rPr>
          <w:rFonts w:ascii="Palatino Linotype" w:hAnsi="Palatino Linotype" w:cs="Tahoma"/>
          <w:sz w:val="22"/>
          <w:szCs w:val="22"/>
        </w:rPr>
      </w:pPr>
    </w:p>
    <w:p w14:paraId="35D3EE96" w14:textId="17683495" w:rsidR="00DA08C5" w:rsidRPr="00FF2EB2" w:rsidRDefault="00DA08C5" w:rsidP="007911EC">
      <w:pPr>
        <w:spacing w:line="360" w:lineRule="auto"/>
        <w:contextualSpacing/>
        <w:jc w:val="both"/>
        <w:rPr>
          <w:rFonts w:ascii="Palatino Linotype" w:hAnsi="Palatino Linotype" w:cs="Tahoma"/>
          <w:sz w:val="22"/>
          <w:szCs w:val="22"/>
        </w:rPr>
      </w:pPr>
      <w:r w:rsidRPr="00FF2EB2">
        <w:rPr>
          <w:rFonts w:ascii="Palatino Linotype" w:hAnsi="Palatino Linotype" w:cs="Tahoma"/>
          <w:sz w:val="22"/>
          <w:szCs w:val="22"/>
        </w:rPr>
        <w:t>En el presente caso, </w:t>
      </w:r>
      <w:r w:rsidRPr="00FF2EB2">
        <w:rPr>
          <w:rFonts w:ascii="Palatino Linotype" w:hAnsi="Palatino Linotype" w:cs="Tahoma"/>
          <w:b/>
          <w:bCs/>
          <w:sz w:val="22"/>
          <w:szCs w:val="22"/>
        </w:rPr>
        <w:t>no se actualiza ninguna de las causales de improcedencia</w:t>
      </w:r>
      <w:r w:rsidRPr="00FF2EB2">
        <w:rPr>
          <w:rFonts w:ascii="Palatino Linotype" w:hAnsi="Palatino Linotype" w:cs="Tahoma"/>
          <w:sz w:val="22"/>
          <w:szCs w:val="22"/>
        </w:rPr>
        <w:t> establecidas en el ordenamiento jurídico previamente señalado, toda vez que: este Instituto no tiene conocimiento de que se encuentre en trámite algún medio de defensa presentado por la p</w:t>
      </w:r>
      <w:r w:rsidR="00FE57F3" w:rsidRPr="00FF2EB2">
        <w:rPr>
          <w:rFonts w:ascii="Palatino Linotype" w:hAnsi="Palatino Linotype" w:cs="Tahoma"/>
          <w:sz w:val="22"/>
          <w:szCs w:val="22"/>
        </w:rPr>
        <w:t>ersona</w:t>
      </w:r>
      <w:r w:rsidRPr="00FF2EB2">
        <w:rPr>
          <w:rFonts w:ascii="Palatino Linotype" w:hAnsi="Palatino Linotype" w:cs="Tahoma"/>
          <w:sz w:val="22"/>
          <w:szCs w:val="22"/>
        </w:rPr>
        <w:t xml:space="preserve"> Recurrente ante otra instancia; no existió prevención alguna; la veracidad de la respuesta no formó parte del agravio; ni se realizó una consulta o ampliación a los alcances del requerimiento informativo.</w:t>
      </w:r>
    </w:p>
    <w:p w14:paraId="3C222CC0" w14:textId="77777777" w:rsidR="00BA5927" w:rsidRPr="00FF2EB2" w:rsidRDefault="00BA5927" w:rsidP="007911EC">
      <w:pPr>
        <w:spacing w:line="360" w:lineRule="auto"/>
        <w:contextualSpacing/>
        <w:jc w:val="both"/>
        <w:rPr>
          <w:rFonts w:ascii="Palatino Linotype" w:hAnsi="Palatino Linotype" w:cs="Tahoma"/>
          <w:sz w:val="22"/>
          <w:szCs w:val="22"/>
          <w:lang w:val="es-ES"/>
        </w:rPr>
      </w:pPr>
    </w:p>
    <w:p w14:paraId="4747B52D" w14:textId="2DA81BDF" w:rsidR="00DA08C5" w:rsidRPr="00FF2EB2" w:rsidRDefault="00DA08C5" w:rsidP="007911EC">
      <w:pPr>
        <w:spacing w:line="360" w:lineRule="auto"/>
        <w:contextualSpacing/>
        <w:jc w:val="both"/>
        <w:rPr>
          <w:rFonts w:ascii="Palatino Linotype" w:hAnsi="Palatino Linotype" w:cs="Tahoma"/>
          <w:sz w:val="22"/>
          <w:szCs w:val="22"/>
          <w:lang w:val="es-ES"/>
        </w:rPr>
      </w:pPr>
      <w:r w:rsidRPr="00FF2EB2">
        <w:rPr>
          <w:rFonts w:ascii="Palatino Linotype" w:hAnsi="Palatino Linotype" w:cs="Tahoma"/>
          <w:sz w:val="22"/>
          <w:szCs w:val="22"/>
          <w:lang w:val="es-ES"/>
        </w:rPr>
        <w:t xml:space="preserve">Además, de que el Medios de Impugnación fue presentado en tiempo, toda vez que ante la ausencia de la respuesta del Ente Recurrido, se constituyó la </w:t>
      </w:r>
      <w:r w:rsidRPr="00FF2EB2">
        <w:rPr>
          <w:rFonts w:ascii="Palatino Linotype" w:hAnsi="Palatino Linotype" w:cs="Tahoma"/>
          <w:b/>
          <w:sz w:val="22"/>
          <w:szCs w:val="22"/>
          <w:lang w:val="es-ES"/>
        </w:rPr>
        <w:t>negativa ficta</w:t>
      </w:r>
      <w:r w:rsidRPr="00FF2EB2">
        <w:rPr>
          <w:rFonts w:ascii="Palatino Linotype" w:hAnsi="Palatino Linotype" w:cs="Tahoma"/>
          <w:sz w:val="22"/>
          <w:szCs w:val="22"/>
          <w:lang w:val="es-ES"/>
        </w:rPr>
        <w:t xml:space="preserve">, que genera la posibilidad de los particulares de interponer un recurso de revisión ante tal omisión, </w:t>
      </w:r>
      <w:r w:rsidRPr="00FF2EB2">
        <w:rPr>
          <w:rFonts w:ascii="Palatino Linotype" w:hAnsi="Palatino Linotype" w:cs="Tahoma"/>
          <w:sz w:val="22"/>
          <w:szCs w:val="22"/>
          <w:u w:val="single"/>
          <w:lang w:val="es-ES"/>
        </w:rPr>
        <w:t>en cualquier momento</w:t>
      </w:r>
      <w:r w:rsidRPr="00FF2EB2">
        <w:rPr>
          <w:rFonts w:ascii="Palatino Linotype" w:hAnsi="Palatino Linotype" w:cs="Tahoma"/>
          <w:sz w:val="22"/>
          <w:szCs w:val="22"/>
          <w:lang w:val="es-ES"/>
        </w:rPr>
        <w:t xml:space="preserve">; por lo que, no es necesario determinar una temporalidad respecto del </w:t>
      </w:r>
      <w:r w:rsidRPr="00FF2EB2">
        <w:rPr>
          <w:rFonts w:ascii="Palatino Linotype" w:hAnsi="Palatino Linotype" w:cs="Tahoma"/>
          <w:sz w:val="22"/>
          <w:szCs w:val="22"/>
          <w:lang w:val="es-ES"/>
        </w:rPr>
        <w:lastRenderedPageBreak/>
        <w:t>momento de presentación, conforme a lo establecido en los artículos 166 y 178, párrafo segundo de la Ley de Transparencia y Acceso a la Información Pública del Estado de México y los Municipios.</w:t>
      </w:r>
    </w:p>
    <w:p w14:paraId="70292495" w14:textId="77777777" w:rsidR="009A3007" w:rsidRPr="00FF2EB2" w:rsidRDefault="009A3007" w:rsidP="007911EC">
      <w:pPr>
        <w:spacing w:line="360" w:lineRule="auto"/>
        <w:contextualSpacing/>
        <w:jc w:val="both"/>
        <w:rPr>
          <w:rFonts w:ascii="Palatino Linotype" w:hAnsi="Palatino Linotype" w:cs="Tahoma"/>
          <w:sz w:val="22"/>
          <w:szCs w:val="22"/>
          <w:lang w:val="es-ES"/>
        </w:rPr>
      </w:pPr>
    </w:p>
    <w:p w14:paraId="24FE5C30" w14:textId="77777777" w:rsidR="00DA08C5" w:rsidRPr="00FF2EB2" w:rsidRDefault="00DA08C5" w:rsidP="007911EC">
      <w:pPr>
        <w:spacing w:line="360" w:lineRule="auto"/>
        <w:contextualSpacing/>
        <w:jc w:val="both"/>
        <w:rPr>
          <w:rFonts w:ascii="Palatino Linotype" w:hAnsi="Palatino Linotype" w:cs="Tahoma"/>
          <w:bCs/>
          <w:sz w:val="22"/>
          <w:szCs w:val="22"/>
          <w:lang w:val="es-ES"/>
        </w:rPr>
      </w:pPr>
      <w:r w:rsidRPr="00FF2EB2">
        <w:rPr>
          <w:rFonts w:ascii="Palatino Linotype" w:hAnsi="Palatino Linotype" w:cs="Tahoma"/>
          <w:sz w:val="22"/>
          <w:szCs w:val="22"/>
          <w:lang w:val="es-ES"/>
        </w:rPr>
        <w:t>Conforme a lo anterior, se actualiza la causal de procedencia señalada en el artículo 179, fracción VII, de la Ley de la materia</w:t>
      </w:r>
      <w:r w:rsidRPr="00FF2EB2">
        <w:rPr>
          <w:rFonts w:ascii="Palatino Linotype" w:hAnsi="Palatino Linotype" w:cs="Tahoma"/>
          <w:bCs/>
          <w:sz w:val="22"/>
          <w:szCs w:val="22"/>
          <w:lang w:val="es-ES"/>
        </w:rPr>
        <w:t>, toda vez que el Solicitante se inconformó con la falta de respuesta a su solicitud de acceso a información pública.</w:t>
      </w:r>
    </w:p>
    <w:p w14:paraId="1AD964AC" w14:textId="77777777" w:rsidR="00505111" w:rsidRPr="00FF2EB2" w:rsidRDefault="00505111" w:rsidP="007911EC">
      <w:pPr>
        <w:spacing w:line="360" w:lineRule="auto"/>
        <w:contextualSpacing/>
        <w:jc w:val="both"/>
        <w:rPr>
          <w:rFonts w:ascii="Palatino Linotype" w:hAnsi="Palatino Linotype" w:cs="Tahoma"/>
          <w:bCs/>
          <w:sz w:val="22"/>
          <w:szCs w:val="22"/>
          <w:lang w:val="es-ES"/>
        </w:rPr>
      </w:pPr>
    </w:p>
    <w:p w14:paraId="51E80A00" w14:textId="77777777" w:rsidR="00F93859" w:rsidRPr="00FF2EB2" w:rsidRDefault="00F93859" w:rsidP="007911EC">
      <w:pPr>
        <w:spacing w:line="360" w:lineRule="auto"/>
        <w:jc w:val="both"/>
        <w:rPr>
          <w:rFonts w:ascii="Palatino Linotype" w:hAnsi="Palatino Linotype" w:cs="Tahoma"/>
          <w:b/>
          <w:bCs/>
          <w:sz w:val="22"/>
          <w:szCs w:val="22"/>
        </w:rPr>
      </w:pPr>
      <w:r w:rsidRPr="00FF2EB2">
        <w:rPr>
          <w:rFonts w:ascii="Palatino Linotype" w:hAnsi="Palatino Linotype" w:cs="Tahoma"/>
          <w:b/>
          <w:bCs/>
          <w:sz w:val="22"/>
          <w:szCs w:val="22"/>
        </w:rPr>
        <w:t>Causales de sobreseimiento</w:t>
      </w:r>
    </w:p>
    <w:p w14:paraId="4DD47685" w14:textId="77777777" w:rsidR="00F93859" w:rsidRPr="007C3AF1" w:rsidRDefault="00F93859" w:rsidP="007911EC">
      <w:pPr>
        <w:spacing w:line="360" w:lineRule="auto"/>
        <w:jc w:val="both"/>
        <w:rPr>
          <w:rFonts w:ascii="Palatino Linotype" w:hAnsi="Palatino Linotype" w:cs="Tahoma"/>
          <w:bCs/>
          <w:color w:val="FF0000"/>
          <w:sz w:val="22"/>
          <w:szCs w:val="22"/>
        </w:rPr>
      </w:pPr>
    </w:p>
    <w:p w14:paraId="66B7B899" w14:textId="77777777" w:rsidR="00FF2EB2" w:rsidRPr="00FF2EB2" w:rsidRDefault="00FF2EB2" w:rsidP="007911EC">
      <w:pPr>
        <w:spacing w:line="360" w:lineRule="auto"/>
        <w:jc w:val="both"/>
        <w:rPr>
          <w:rFonts w:ascii="Palatino Linotype" w:eastAsia="Palatino Linotype" w:hAnsi="Palatino Linotype" w:cs="Palatino Linotype"/>
          <w:color w:val="000000"/>
          <w:sz w:val="22"/>
          <w:szCs w:val="22"/>
          <w:lang w:eastAsia="es-MX"/>
        </w:rPr>
      </w:pPr>
      <w:r w:rsidRPr="00FF2EB2">
        <w:rPr>
          <w:rFonts w:ascii="Palatino Linotype" w:eastAsia="Palatino Linotype" w:hAnsi="Palatino Linotype" w:cs="Palatino Linotype"/>
          <w:color w:val="000000"/>
          <w:sz w:val="22"/>
          <w:szCs w:val="22"/>
          <w:lang w:eastAsia="es-MX"/>
        </w:rPr>
        <w:t>Por ser de previo y especial pronunciamiento, este Instituto analiza si se actualiza alguna causal de sobreseimiento.</w:t>
      </w:r>
    </w:p>
    <w:p w14:paraId="3131B0E1" w14:textId="77777777" w:rsidR="00FF2EB2" w:rsidRPr="00FF2EB2" w:rsidRDefault="00FF2EB2" w:rsidP="007911EC">
      <w:pPr>
        <w:spacing w:line="360" w:lineRule="auto"/>
        <w:jc w:val="both"/>
        <w:rPr>
          <w:rFonts w:ascii="Palatino Linotype" w:eastAsia="Palatino Linotype" w:hAnsi="Palatino Linotype" w:cs="Palatino Linotype"/>
          <w:color w:val="000000"/>
          <w:sz w:val="22"/>
          <w:szCs w:val="22"/>
          <w:lang w:eastAsia="es-MX"/>
        </w:rPr>
      </w:pPr>
    </w:p>
    <w:p w14:paraId="5A5B85C6" w14:textId="77777777" w:rsidR="00FF2EB2" w:rsidRPr="00FF2EB2" w:rsidRDefault="00FF2EB2" w:rsidP="007911EC">
      <w:pPr>
        <w:spacing w:line="360" w:lineRule="auto"/>
        <w:jc w:val="both"/>
        <w:rPr>
          <w:rFonts w:ascii="Palatino Linotype" w:eastAsia="Palatino Linotype" w:hAnsi="Palatino Linotype" w:cs="Palatino Linotype"/>
          <w:color w:val="000000"/>
          <w:sz w:val="22"/>
          <w:szCs w:val="22"/>
          <w:lang w:eastAsia="es-MX"/>
        </w:rPr>
      </w:pPr>
      <w:r w:rsidRPr="00FF2EB2">
        <w:rPr>
          <w:rFonts w:ascii="Palatino Linotype" w:eastAsia="Palatino Linotype" w:hAnsi="Palatino Linotype" w:cs="Palatino Linotype"/>
          <w:color w:val="000000"/>
          <w:sz w:val="22"/>
          <w:szCs w:val="22"/>
          <w:lang w:eastAsia="es-MX"/>
        </w:rPr>
        <w:t>El artículo 192 de la Ley Transparencia y Acceso a la Información Pública del Estado de México y Municipios, señala las causales por las cuales se puede sobreseer en todo o en parte el Recurso de Revisión; así, del análisis realizado por este Instituto, se advierte que</w:t>
      </w:r>
      <w:r w:rsidRPr="00FF2EB2">
        <w:rPr>
          <w:rFonts w:ascii="Palatino Linotype" w:eastAsia="Palatino Linotype" w:hAnsi="Palatino Linotype" w:cs="Palatino Linotype"/>
          <w:b/>
          <w:color w:val="000000"/>
          <w:sz w:val="22"/>
          <w:szCs w:val="22"/>
          <w:lang w:eastAsia="es-MX"/>
        </w:rPr>
        <w:t xml:space="preserve"> no se configuran las causales establecidas en las fracciones I, II, III, y V, </w:t>
      </w:r>
      <w:r w:rsidRPr="00FF2EB2">
        <w:rPr>
          <w:rFonts w:ascii="Palatino Linotype" w:eastAsia="Palatino Linotype" w:hAnsi="Palatino Linotype" w:cs="Palatino Linotype"/>
          <w:color w:val="000000"/>
          <w:sz w:val="22"/>
          <w:szCs w:val="22"/>
          <w:lang w:eastAsia="es-MX"/>
        </w:rPr>
        <w:t>toda vez que no hay constancias en el expediente en que se actúa, de que el Recurrente se haya desistido, fallecido, que el Sujeto Obligado hubiese modificado o revocado el acto impugnado o bien, haya quedado sin materia.</w:t>
      </w:r>
    </w:p>
    <w:p w14:paraId="0427D533" w14:textId="77777777" w:rsidR="00FF2EB2" w:rsidRPr="00FF2EB2" w:rsidRDefault="00FF2EB2" w:rsidP="007911EC">
      <w:pPr>
        <w:spacing w:line="360" w:lineRule="auto"/>
        <w:jc w:val="both"/>
        <w:rPr>
          <w:rFonts w:ascii="Palatino Linotype" w:eastAsia="Palatino Linotype" w:hAnsi="Palatino Linotype" w:cs="Palatino Linotype"/>
          <w:color w:val="000000"/>
          <w:sz w:val="22"/>
          <w:szCs w:val="22"/>
          <w:lang w:eastAsia="es-MX"/>
        </w:rPr>
      </w:pPr>
    </w:p>
    <w:p w14:paraId="072AB7F5" w14:textId="77777777" w:rsidR="00FF2EB2" w:rsidRPr="00FF2EB2" w:rsidRDefault="00FF2EB2" w:rsidP="007911EC">
      <w:pPr>
        <w:spacing w:line="360" w:lineRule="auto"/>
        <w:jc w:val="both"/>
        <w:rPr>
          <w:rFonts w:ascii="Palatino Linotype" w:eastAsia="Palatino Linotype" w:hAnsi="Palatino Linotype" w:cs="Palatino Linotype"/>
          <w:color w:val="000000"/>
          <w:sz w:val="22"/>
          <w:szCs w:val="22"/>
          <w:lang w:eastAsia="es-MX"/>
        </w:rPr>
      </w:pPr>
      <w:r w:rsidRPr="00FF2EB2">
        <w:rPr>
          <w:rFonts w:ascii="Palatino Linotype" w:eastAsia="Palatino Linotype" w:hAnsi="Palatino Linotype" w:cs="Palatino Linotype"/>
          <w:color w:val="000000"/>
          <w:sz w:val="22"/>
          <w:szCs w:val="22"/>
          <w:lang w:eastAsia="es-MX"/>
        </w:rPr>
        <w:t>No obstante, por lo que hace a la hipótesis prevista en el artículo 192, fracción IV</w:t>
      </w:r>
      <w:r w:rsidRPr="00FF2EB2">
        <w:rPr>
          <w:rFonts w:ascii="Palatino Linotype" w:eastAsia="Palatino Linotype" w:hAnsi="Palatino Linotype" w:cs="Palatino Linotype"/>
          <w:b/>
          <w:color w:val="000000"/>
          <w:sz w:val="22"/>
          <w:szCs w:val="22"/>
          <w:lang w:eastAsia="es-MX"/>
        </w:rPr>
        <w:t>,</w:t>
      </w:r>
      <w:r w:rsidRPr="00FF2EB2">
        <w:rPr>
          <w:rFonts w:ascii="Palatino Linotype" w:eastAsia="Palatino Linotype" w:hAnsi="Palatino Linotype" w:cs="Palatino Linotype"/>
          <w:color w:val="000000"/>
          <w:sz w:val="22"/>
          <w:szCs w:val="22"/>
          <w:lang w:eastAsia="es-MX"/>
        </w:rPr>
        <w:t xml:space="preserve"> a saber, que, una vez admitido el Recurso de Revisión, aparezca alguna causal de improcedencia en términos de la presente Ley, resulta necesario traer a colación el artículo 191, fracción VI, del ordenamiento jurídico referido, que establecen lo siguiente:</w:t>
      </w:r>
    </w:p>
    <w:p w14:paraId="0CDFEED9" w14:textId="77777777" w:rsidR="00FF2EB2" w:rsidRPr="00FF2EB2" w:rsidRDefault="00FF2EB2" w:rsidP="007911EC">
      <w:pPr>
        <w:spacing w:line="360" w:lineRule="auto"/>
        <w:jc w:val="both"/>
        <w:rPr>
          <w:rFonts w:ascii="Palatino Linotype" w:eastAsia="Palatino Linotype" w:hAnsi="Palatino Linotype" w:cs="Palatino Linotype"/>
          <w:color w:val="000000"/>
          <w:sz w:val="22"/>
          <w:szCs w:val="22"/>
          <w:lang w:eastAsia="es-MX"/>
        </w:rPr>
      </w:pPr>
    </w:p>
    <w:p w14:paraId="05DAC132" w14:textId="77777777" w:rsidR="00FF2EB2" w:rsidRPr="00FF2EB2" w:rsidRDefault="00FF2EB2" w:rsidP="007911EC">
      <w:pPr>
        <w:spacing w:line="360" w:lineRule="auto"/>
        <w:ind w:left="567" w:right="567"/>
        <w:jc w:val="both"/>
        <w:rPr>
          <w:rFonts w:ascii="Palatino Linotype" w:eastAsia="Palatino Linotype" w:hAnsi="Palatino Linotype" w:cs="Palatino Linotype"/>
          <w:i/>
          <w:color w:val="000000"/>
          <w:lang w:eastAsia="es-MX"/>
        </w:rPr>
      </w:pPr>
      <w:r w:rsidRPr="00FF2EB2">
        <w:rPr>
          <w:rFonts w:ascii="Palatino Linotype" w:eastAsia="Palatino Linotype" w:hAnsi="Palatino Linotype" w:cs="Palatino Linotype"/>
          <w:b/>
          <w:i/>
          <w:color w:val="000000"/>
          <w:lang w:eastAsia="es-MX"/>
        </w:rPr>
        <w:lastRenderedPageBreak/>
        <w:t>“Artículo 191.</w:t>
      </w:r>
      <w:r w:rsidRPr="00FF2EB2">
        <w:rPr>
          <w:rFonts w:ascii="Palatino Linotype" w:eastAsia="Palatino Linotype" w:hAnsi="Palatino Linotype" w:cs="Palatino Linotype"/>
          <w:i/>
          <w:color w:val="000000"/>
          <w:lang w:eastAsia="es-MX"/>
        </w:rPr>
        <w:t xml:space="preserve"> El recurso será desechado por improcedente cuando:</w:t>
      </w:r>
    </w:p>
    <w:p w14:paraId="34323DC8" w14:textId="77777777" w:rsidR="00FF2EB2" w:rsidRPr="00FF2EB2" w:rsidRDefault="00FF2EB2" w:rsidP="007911EC">
      <w:pPr>
        <w:spacing w:line="360" w:lineRule="auto"/>
        <w:ind w:left="567" w:right="567"/>
        <w:jc w:val="both"/>
        <w:rPr>
          <w:rFonts w:ascii="Palatino Linotype" w:eastAsia="Palatino Linotype" w:hAnsi="Palatino Linotype" w:cs="Palatino Linotype"/>
          <w:i/>
          <w:color w:val="000000"/>
          <w:lang w:eastAsia="es-MX"/>
        </w:rPr>
      </w:pPr>
      <w:r w:rsidRPr="00FF2EB2">
        <w:rPr>
          <w:rFonts w:ascii="Palatino Linotype" w:eastAsia="Palatino Linotype" w:hAnsi="Palatino Linotype" w:cs="Palatino Linotype"/>
          <w:i/>
          <w:color w:val="000000"/>
          <w:lang w:eastAsia="es-MX"/>
        </w:rPr>
        <w:t>…</w:t>
      </w:r>
    </w:p>
    <w:p w14:paraId="0678F85A" w14:textId="77777777" w:rsidR="00FF2EB2" w:rsidRPr="00FF2EB2" w:rsidRDefault="00FF2EB2" w:rsidP="007911EC">
      <w:pPr>
        <w:spacing w:line="360" w:lineRule="auto"/>
        <w:ind w:left="567" w:right="567"/>
        <w:jc w:val="both"/>
        <w:rPr>
          <w:rFonts w:ascii="Palatino Linotype" w:eastAsia="Palatino Linotype" w:hAnsi="Palatino Linotype" w:cs="Palatino Linotype"/>
          <w:i/>
          <w:color w:val="000000"/>
          <w:lang w:eastAsia="es-MX"/>
        </w:rPr>
      </w:pPr>
      <w:r w:rsidRPr="00FF2EB2">
        <w:rPr>
          <w:rFonts w:ascii="Palatino Linotype" w:eastAsia="Palatino Linotype" w:hAnsi="Palatino Linotype" w:cs="Palatino Linotype"/>
          <w:i/>
          <w:color w:val="000000"/>
          <w:lang w:eastAsia="es-MX"/>
        </w:rPr>
        <w:t>VI. Se trate de una consulta, o trámite en específico; y</w:t>
      </w:r>
    </w:p>
    <w:p w14:paraId="69DC4E3D" w14:textId="77777777" w:rsidR="00FF2EB2" w:rsidRPr="00FF2EB2" w:rsidRDefault="00FF2EB2" w:rsidP="007911EC">
      <w:pPr>
        <w:spacing w:line="360" w:lineRule="auto"/>
        <w:ind w:left="567" w:right="567"/>
        <w:jc w:val="both"/>
        <w:rPr>
          <w:rFonts w:ascii="Palatino Linotype" w:eastAsia="Palatino Linotype" w:hAnsi="Palatino Linotype" w:cs="Palatino Linotype"/>
          <w:i/>
          <w:color w:val="000000"/>
          <w:lang w:eastAsia="es-MX"/>
        </w:rPr>
      </w:pPr>
      <w:r w:rsidRPr="00FF2EB2">
        <w:rPr>
          <w:rFonts w:ascii="Palatino Linotype" w:eastAsia="Palatino Linotype" w:hAnsi="Palatino Linotype" w:cs="Palatino Linotype"/>
          <w:i/>
          <w:color w:val="000000"/>
          <w:lang w:eastAsia="es-MX"/>
        </w:rPr>
        <w:t>....”</w:t>
      </w:r>
    </w:p>
    <w:p w14:paraId="43B2672E" w14:textId="77777777" w:rsidR="00FF2EB2" w:rsidRPr="00FF2EB2" w:rsidRDefault="00FF2EB2" w:rsidP="007911EC">
      <w:pPr>
        <w:spacing w:line="360" w:lineRule="auto"/>
        <w:jc w:val="both"/>
        <w:rPr>
          <w:rFonts w:ascii="Palatino Linotype" w:eastAsia="Palatino Linotype" w:hAnsi="Palatino Linotype" w:cs="Palatino Linotype"/>
          <w:color w:val="000000"/>
          <w:sz w:val="22"/>
          <w:szCs w:val="22"/>
          <w:lang w:eastAsia="es-MX"/>
        </w:rPr>
      </w:pPr>
    </w:p>
    <w:p w14:paraId="2E2D3491" w14:textId="77777777" w:rsidR="00FF2EB2" w:rsidRPr="00FF2EB2" w:rsidRDefault="00FF2EB2" w:rsidP="007911EC">
      <w:pPr>
        <w:spacing w:line="360" w:lineRule="auto"/>
        <w:jc w:val="both"/>
        <w:rPr>
          <w:rFonts w:ascii="Palatino Linotype" w:eastAsia="Palatino Linotype" w:hAnsi="Palatino Linotype" w:cs="Palatino Linotype"/>
          <w:color w:val="000000"/>
          <w:sz w:val="22"/>
          <w:szCs w:val="22"/>
          <w:lang w:eastAsia="es-MX"/>
        </w:rPr>
      </w:pPr>
      <w:r w:rsidRPr="00FF2EB2">
        <w:rPr>
          <w:rFonts w:ascii="Palatino Linotype" w:eastAsia="Palatino Linotype" w:hAnsi="Palatino Linotype" w:cs="Palatino Linotype"/>
          <w:color w:val="000000"/>
          <w:sz w:val="22"/>
          <w:szCs w:val="22"/>
          <w:lang w:eastAsia="es-MX"/>
        </w:rPr>
        <w:t>Conforme a lo anterior, se logra vislumbrar que la fracción VI del artículo 191, de la Ley de Transparencia y Acceso a la Información Pública del Estado de México y Municipios, precisa que el Recurso de Revisión será desechado por improcedente, cuando lo solicitado se trate de una consulta.</w:t>
      </w:r>
    </w:p>
    <w:p w14:paraId="174664E3" w14:textId="77777777" w:rsidR="00FF2EB2" w:rsidRPr="00FF2EB2" w:rsidRDefault="00FF2EB2" w:rsidP="007911EC">
      <w:pPr>
        <w:spacing w:line="360" w:lineRule="auto"/>
        <w:jc w:val="both"/>
        <w:rPr>
          <w:rFonts w:ascii="Palatino Linotype" w:eastAsia="Palatino Linotype" w:hAnsi="Palatino Linotype" w:cs="Palatino Linotype"/>
          <w:color w:val="000000"/>
          <w:sz w:val="22"/>
          <w:szCs w:val="22"/>
          <w:lang w:eastAsia="es-MX"/>
        </w:rPr>
      </w:pPr>
    </w:p>
    <w:p w14:paraId="02991383" w14:textId="77777777" w:rsidR="00FF2EB2" w:rsidRPr="00FF2EB2" w:rsidRDefault="00FF2EB2" w:rsidP="007911EC">
      <w:pPr>
        <w:tabs>
          <w:tab w:val="left" w:pos="4962"/>
        </w:tabs>
        <w:spacing w:line="360" w:lineRule="auto"/>
        <w:jc w:val="both"/>
        <w:rPr>
          <w:rFonts w:ascii="Palatino Linotype" w:eastAsia="Palatino Linotype" w:hAnsi="Palatino Linotype" w:cs="Palatino Linotype"/>
          <w:color w:val="000000"/>
          <w:sz w:val="22"/>
          <w:szCs w:val="22"/>
          <w:lang w:eastAsia="es-MX"/>
        </w:rPr>
      </w:pPr>
      <w:r w:rsidRPr="00FF2EB2">
        <w:rPr>
          <w:rFonts w:ascii="Palatino Linotype" w:eastAsia="Palatino Linotype" w:hAnsi="Palatino Linotype" w:cs="Palatino Linotype"/>
          <w:color w:val="000000"/>
          <w:sz w:val="22"/>
          <w:szCs w:val="22"/>
          <w:lang w:eastAsia="es-MX"/>
        </w:rPr>
        <w:t>En ese orden de ideas, de las constancias que obran en el expediente respectivo, se advierte que la parte Recurrente, pretende conocer lo siguiente:</w:t>
      </w:r>
    </w:p>
    <w:p w14:paraId="1D769879" w14:textId="77777777" w:rsidR="00FF2EB2" w:rsidRDefault="00FF2EB2" w:rsidP="007911EC">
      <w:pPr>
        <w:spacing w:line="360" w:lineRule="auto"/>
        <w:contextualSpacing/>
        <w:jc w:val="both"/>
        <w:rPr>
          <w:rFonts w:ascii="Palatino Linotype" w:hAnsi="Palatino Linotype" w:cs="Tahoma"/>
          <w:bCs/>
          <w:color w:val="FF0000"/>
          <w:sz w:val="22"/>
          <w:szCs w:val="22"/>
        </w:rPr>
      </w:pPr>
    </w:p>
    <w:p w14:paraId="1C24D2BC" w14:textId="4151CF86" w:rsidR="00FF2EB2" w:rsidRPr="007C3AF1" w:rsidRDefault="00FF2EB2" w:rsidP="007911EC">
      <w:pPr>
        <w:spacing w:line="360" w:lineRule="auto"/>
        <w:ind w:left="567" w:right="567"/>
        <w:jc w:val="both"/>
        <w:rPr>
          <w:rFonts w:ascii="Palatino Linotype" w:hAnsi="Palatino Linotype" w:cs="Arial"/>
          <w:bCs/>
          <w:i/>
          <w:iCs/>
        </w:rPr>
      </w:pPr>
      <w:r>
        <w:rPr>
          <w:rFonts w:ascii="Palatino Linotype" w:hAnsi="Palatino Linotype" w:cs="Arial"/>
          <w:bCs/>
          <w:i/>
          <w:iCs/>
        </w:rPr>
        <w:t>“</w:t>
      </w:r>
      <w:r w:rsidRPr="00FF2EB2">
        <w:rPr>
          <w:rFonts w:ascii="Palatino Linotype" w:hAnsi="Palatino Linotype" w:cs="Arial"/>
          <w:b/>
          <w:i/>
          <w:iCs/>
        </w:rPr>
        <w:t>Solicito saber por qué no se les dio liquidación a los empleados dados de baja en el periodo de administración del Lic. Armando García Méndez</w:t>
      </w:r>
      <w:r w:rsidRPr="007C3AF1">
        <w:rPr>
          <w:rFonts w:ascii="Palatino Linotype" w:hAnsi="Palatino Linotype" w:cs="Arial"/>
          <w:bCs/>
          <w:i/>
          <w:iCs/>
        </w:rPr>
        <w:t xml:space="preserve"> </w:t>
      </w:r>
      <w:r w:rsidR="007911EC">
        <w:rPr>
          <w:rFonts w:ascii="Palatino Linotype" w:hAnsi="Palatino Linotype" w:cs="Arial"/>
          <w:bCs/>
          <w:i/>
          <w:iCs/>
        </w:rPr>
        <w:t>…</w:t>
      </w:r>
      <w:r w:rsidRPr="00FF2EB2">
        <w:rPr>
          <w:rFonts w:ascii="Palatino Linotype" w:hAnsi="Palatino Linotype" w:cs="Arial"/>
          <w:b/>
          <w:i/>
          <w:iCs/>
        </w:rPr>
        <w:t xml:space="preserve"> y si no lo recibieron solicito saber el motivo de por qué no se recibió.</w:t>
      </w:r>
      <w:r w:rsidRPr="007C3AF1">
        <w:rPr>
          <w:rFonts w:ascii="Palatino Linotype" w:hAnsi="Palatino Linotype" w:cs="Arial"/>
          <w:bCs/>
          <w:i/>
          <w:iCs/>
        </w:rPr>
        <w:t>” (Sic.)</w:t>
      </w:r>
    </w:p>
    <w:p w14:paraId="255A7DEC" w14:textId="77777777" w:rsidR="00FF2EB2" w:rsidRDefault="00FF2EB2" w:rsidP="007911EC">
      <w:pPr>
        <w:spacing w:line="360" w:lineRule="auto"/>
        <w:contextualSpacing/>
        <w:jc w:val="both"/>
        <w:rPr>
          <w:rFonts w:ascii="Palatino Linotype" w:hAnsi="Palatino Linotype" w:cs="Tahoma"/>
          <w:bCs/>
          <w:color w:val="FF0000"/>
          <w:sz w:val="22"/>
          <w:szCs w:val="22"/>
        </w:rPr>
      </w:pPr>
    </w:p>
    <w:p w14:paraId="19F3D13F" w14:textId="3D45A274" w:rsidR="00FF2EB2" w:rsidRDefault="00FF2EB2" w:rsidP="007911EC">
      <w:pPr>
        <w:spacing w:line="360" w:lineRule="auto"/>
        <w:jc w:val="both"/>
        <w:rPr>
          <w:rFonts w:ascii="Palatino Linotype" w:eastAsia="Palatino Linotype" w:hAnsi="Palatino Linotype" w:cs="Palatino Linotype"/>
          <w:sz w:val="22"/>
          <w:szCs w:val="22"/>
          <w:lang w:eastAsia="es-MX"/>
        </w:rPr>
      </w:pPr>
      <w:r w:rsidRPr="00FF2EB2">
        <w:rPr>
          <w:rFonts w:ascii="Palatino Linotype" w:eastAsia="Palatino Linotype" w:hAnsi="Palatino Linotype" w:cs="Palatino Linotype"/>
          <w:sz w:val="22"/>
          <w:szCs w:val="22"/>
          <w:lang w:eastAsia="es-MX"/>
        </w:rPr>
        <w:t>Ahora bien, de lo solicitado por la Persona Recurrente, se advierte que pretende conocer razones, aclaraciones o motivos por los que tienen lugar ciertas situaciones, que corresponden a peticiones que no son atendibles en el ejercicio de nuestra materia, dado que se trata de</w:t>
      </w:r>
      <w:r>
        <w:rPr>
          <w:rFonts w:ascii="Palatino Linotype" w:eastAsia="Palatino Linotype" w:hAnsi="Palatino Linotype" w:cs="Palatino Linotype"/>
          <w:sz w:val="22"/>
          <w:szCs w:val="22"/>
          <w:lang w:eastAsia="es-MX"/>
        </w:rPr>
        <w:t xml:space="preserve"> </w:t>
      </w:r>
      <w:r>
        <w:rPr>
          <w:rFonts w:ascii="Palatino Linotype" w:eastAsia="Palatino Linotype" w:hAnsi="Palatino Linotype" w:cs="Palatino Linotype"/>
          <w:b/>
          <w:bCs/>
          <w:sz w:val="22"/>
          <w:szCs w:val="22"/>
          <w:lang w:eastAsia="es-MX"/>
        </w:rPr>
        <w:t xml:space="preserve">cuestionamientos </w:t>
      </w:r>
      <w:r w:rsidRPr="00FF2EB2">
        <w:rPr>
          <w:rFonts w:ascii="Palatino Linotype" w:eastAsia="Palatino Linotype" w:hAnsi="Palatino Linotype" w:cs="Palatino Linotype"/>
          <w:b/>
          <w:sz w:val="22"/>
          <w:szCs w:val="22"/>
          <w:lang w:eastAsia="es-MX"/>
        </w:rPr>
        <w:t>que requiere</w:t>
      </w:r>
      <w:r>
        <w:rPr>
          <w:rFonts w:ascii="Palatino Linotype" w:eastAsia="Palatino Linotype" w:hAnsi="Palatino Linotype" w:cs="Palatino Linotype"/>
          <w:b/>
          <w:sz w:val="22"/>
          <w:szCs w:val="22"/>
          <w:lang w:eastAsia="es-MX"/>
        </w:rPr>
        <w:t>n</w:t>
      </w:r>
      <w:r w:rsidRPr="00FF2EB2">
        <w:rPr>
          <w:rFonts w:ascii="Palatino Linotype" w:eastAsia="Palatino Linotype" w:hAnsi="Palatino Linotype" w:cs="Palatino Linotype"/>
          <w:b/>
          <w:sz w:val="22"/>
          <w:szCs w:val="22"/>
          <w:lang w:eastAsia="es-MX"/>
        </w:rPr>
        <w:t xml:space="preserve"> la elaboración de explicaciones y justificaciones,</w:t>
      </w:r>
      <w:r w:rsidRPr="00FF2EB2">
        <w:rPr>
          <w:rFonts w:ascii="Palatino Linotype" w:eastAsia="Palatino Linotype" w:hAnsi="Palatino Linotype" w:cs="Palatino Linotype"/>
          <w:sz w:val="22"/>
          <w:szCs w:val="22"/>
          <w:lang w:eastAsia="es-MX"/>
        </w:rPr>
        <w:t xml:space="preserve"> lo cual, es inatendible en el ejercicio del derecho de acceso a la información pública y a la transparencia.</w:t>
      </w:r>
    </w:p>
    <w:p w14:paraId="7B56E784" w14:textId="77777777" w:rsidR="007911EC" w:rsidRPr="00FF2EB2" w:rsidRDefault="007911EC" w:rsidP="007911EC">
      <w:pPr>
        <w:spacing w:line="360" w:lineRule="auto"/>
        <w:jc w:val="both"/>
        <w:rPr>
          <w:rFonts w:ascii="Palatino Linotype" w:eastAsia="Palatino Linotype" w:hAnsi="Palatino Linotype" w:cs="Palatino Linotype"/>
          <w:b/>
          <w:bCs/>
          <w:sz w:val="22"/>
          <w:szCs w:val="22"/>
          <w:lang w:eastAsia="es-MX"/>
        </w:rPr>
      </w:pPr>
    </w:p>
    <w:p w14:paraId="36AAB1D8" w14:textId="77777777" w:rsidR="00FF2EB2" w:rsidRPr="00FF2EB2" w:rsidRDefault="00FF2EB2" w:rsidP="007911EC">
      <w:pPr>
        <w:spacing w:line="360" w:lineRule="auto"/>
        <w:jc w:val="both"/>
        <w:rPr>
          <w:rFonts w:ascii="Palatino Linotype" w:eastAsia="Palatino Linotype" w:hAnsi="Palatino Linotype" w:cs="Palatino Linotype"/>
          <w:b/>
          <w:sz w:val="22"/>
          <w:szCs w:val="22"/>
          <w:lang w:eastAsia="es-MX"/>
        </w:rPr>
      </w:pPr>
      <w:r w:rsidRPr="00FF2EB2">
        <w:rPr>
          <w:rFonts w:ascii="Palatino Linotype" w:eastAsia="Palatino Linotype" w:hAnsi="Palatino Linotype" w:cs="Palatino Linotype"/>
          <w:color w:val="000000"/>
          <w:sz w:val="22"/>
          <w:szCs w:val="22"/>
          <w:lang w:eastAsia="es-MX"/>
        </w:rPr>
        <w:t xml:space="preserve">Al respecto, </w:t>
      </w:r>
      <w:r w:rsidRPr="00FF2EB2">
        <w:rPr>
          <w:rFonts w:ascii="Palatino Linotype" w:eastAsia="Palatino Linotype" w:hAnsi="Palatino Linotype" w:cs="Palatino Linotype"/>
          <w:sz w:val="22"/>
          <w:szCs w:val="22"/>
          <w:lang w:eastAsia="es-MX"/>
        </w:rPr>
        <w:t xml:space="preserve">mediante el derecho de acceso a la información pública, los solicitantes pueden acceder a toda aquella información generada por los Sujetos Obligados, es decir, la ciudadanía puede allegarse de aquellos documentos que obren en los archivos por las dependencias </w:t>
      </w:r>
      <w:r w:rsidRPr="00FF2EB2">
        <w:rPr>
          <w:rFonts w:ascii="Palatino Linotype" w:eastAsia="Palatino Linotype" w:hAnsi="Palatino Linotype" w:cs="Palatino Linotype"/>
          <w:sz w:val="22"/>
          <w:szCs w:val="22"/>
          <w:lang w:eastAsia="es-MX"/>
        </w:rPr>
        <w:lastRenderedPageBreak/>
        <w:t>gubernamentales. Lo anterior, se robustece pues de conformidad con los 12, 24, último párrafo, y 160 de la Ley de Transparencia y Acceso a la Información Pública del Estado de México y Municipios, los Sujetos Obligados sólo entregarán la información que obre en sus archivos y no estarán obligados a procesarla, resumirla, efectuar cálculos o practicar investigaciones.</w:t>
      </w:r>
    </w:p>
    <w:p w14:paraId="4D75836F" w14:textId="77777777" w:rsidR="00FF2EB2" w:rsidRPr="00FF2EB2" w:rsidRDefault="00FF2EB2" w:rsidP="007911EC">
      <w:pPr>
        <w:tabs>
          <w:tab w:val="left" w:pos="4962"/>
        </w:tabs>
        <w:spacing w:line="360" w:lineRule="auto"/>
        <w:jc w:val="both"/>
        <w:rPr>
          <w:rFonts w:ascii="Palatino Linotype" w:eastAsia="Palatino Linotype" w:hAnsi="Palatino Linotype" w:cs="Palatino Linotype"/>
          <w:color w:val="000000"/>
          <w:sz w:val="22"/>
          <w:szCs w:val="22"/>
          <w:lang w:eastAsia="es-MX"/>
        </w:rPr>
      </w:pPr>
    </w:p>
    <w:p w14:paraId="30401C9B" w14:textId="77777777" w:rsidR="00FF2EB2" w:rsidRPr="00FF2EB2" w:rsidRDefault="00FF2EB2" w:rsidP="007911EC">
      <w:pPr>
        <w:tabs>
          <w:tab w:val="left" w:pos="4962"/>
        </w:tabs>
        <w:spacing w:line="360" w:lineRule="auto"/>
        <w:jc w:val="both"/>
        <w:rPr>
          <w:rFonts w:ascii="Palatino Linotype" w:eastAsia="Palatino Linotype" w:hAnsi="Palatino Linotype" w:cs="Palatino Linotype"/>
          <w:sz w:val="22"/>
          <w:szCs w:val="22"/>
          <w:lang w:eastAsia="es-MX"/>
        </w:rPr>
      </w:pPr>
      <w:r w:rsidRPr="00FF2EB2">
        <w:rPr>
          <w:rFonts w:ascii="Palatino Linotype" w:eastAsia="Palatino Linotype" w:hAnsi="Palatino Linotype" w:cs="Palatino Linotype"/>
          <w:sz w:val="22"/>
          <w:szCs w:val="22"/>
          <w:lang w:eastAsia="es-MX"/>
        </w:rPr>
        <w:t xml:space="preserve">De esta manera, el derecho de acceso a la información pública se satisface en aquellos casos en que se entregue la documentación en el que conste la información solicitada, sin necesidad de elaborar documentos </w:t>
      </w:r>
      <w:r w:rsidRPr="00FF2EB2">
        <w:rPr>
          <w:rFonts w:ascii="Palatino Linotype" w:eastAsia="Palatino Linotype" w:hAnsi="Palatino Linotype" w:cs="Palatino Linotype"/>
          <w:i/>
          <w:sz w:val="22"/>
          <w:szCs w:val="22"/>
          <w:lang w:eastAsia="es-MX"/>
        </w:rPr>
        <w:t>ad hoc</w:t>
      </w:r>
      <w:r w:rsidRPr="00FF2EB2">
        <w:rPr>
          <w:rFonts w:ascii="Palatino Linotype" w:eastAsia="Palatino Linotype" w:hAnsi="Palatino Linotype" w:cs="Palatino Linotype"/>
          <w:sz w:val="22"/>
          <w:szCs w:val="22"/>
          <w:lang w:eastAsia="es-MX"/>
        </w:rPr>
        <w:t>; lo cual, toma sustento en el artículo 160 de la Ley de Transparencia y Acceso a la Información Pública del Estado de México y Municipios, el cual refiere que los Sujetos Obligados deberán entregar la información que obre en sus archivos.</w:t>
      </w:r>
    </w:p>
    <w:p w14:paraId="269633A3" w14:textId="77777777" w:rsidR="00FF2EB2" w:rsidRPr="00FF2EB2" w:rsidRDefault="00FF2EB2" w:rsidP="007911EC">
      <w:pPr>
        <w:tabs>
          <w:tab w:val="left" w:pos="4962"/>
        </w:tabs>
        <w:spacing w:line="360" w:lineRule="auto"/>
        <w:jc w:val="both"/>
        <w:rPr>
          <w:rFonts w:ascii="Palatino Linotype" w:eastAsia="Palatino Linotype" w:hAnsi="Palatino Linotype" w:cs="Palatino Linotype"/>
          <w:sz w:val="22"/>
          <w:szCs w:val="22"/>
          <w:lang w:eastAsia="es-MX"/>
        </w:rPr>
      </w:pPr>
    </w:p>
    <w:p w14:paraId="6B47B912" w14:textId="77777777" w:rsidR="00FF2EB2" w:rsidRPr="00FF2EB2" w:rsidRDefault="00FF2EB2" w:rsidP="007911EC">
      <w:pPr>
        <w:tabs>
          <w:tab w:val="left" w:pos="4962"/>
        </w:tabs>
        <w:spacing w:line="360" w:lineRule="auto"/>
        <w:jc w:val="both"/>
        <w:rPr>
          <w:rFonts w:ascii="Palatino Linotype" w:eastAsia="Palatino Linotype" w:hAnsi="Palatino Linotype" w:cs="Palatino Linotype"/>
          <w:sz w:val="22"/>
          <w:szCs w:val="22"/>
          <w:lang w:eastAsia="es-MX"/>
        </w:rPr>
      </w:pPr>
      <w:r w:rsidRPr="00FF2EB2">
        <w:rPr>
          <w:rFonts w:ascii="Palatino Linotype" w:eastAsia="Palatino Linotype" w:hAnsi="Palatino Linotype" w:cs="Palatino Linotype"/>
          <w:sz w:val="22"/>
          <w:szCs w:val="22"/>
          <w:lang w:eastAsia="es-MX"/>
        </w:rPr>
        <w:t xml:space="preserve">Además, resulta aplicable el Criterio 03/17 del entonces Instituto Nacional de Transparencia, Acceso a la Información y Protección de Datos Personales: </w:t>
      </w:r>
      <w:r w:rsidRPr="00FF2EB2">
        <w:rPr>
          <w:rFonts w:ascii="Palatino Linotype" w:eastAsia="Palatino Linotype" w:hAnsi="Palatino Linotype" w:cs="Palatino Linotype"/>
          <w:b/>
          <w:i/>
          <w:sz w:val="22"/>
          <w:szCs w:val="22"/>
          <w:lang w:eastAsia="es-MX"/>
        </w:rPr>
        <w:t xml:space="preserve">No existe obligación de elaborar documentos ad hoc para atender las solicitudes de acceso a la información.; </w:t>
      </w:r>
      <w:r w:rsidRPr="00FF2EB2">
        <w:rPr>
          <w:rFonts w:ascii="Palatino Linotype" w:eastAsia="Palatino Linotype" w:hAnsi="Palatino Linotype" w:cs="Palatino Linotype"/>
          <w:sz w:val="22"/>
          <w:szCs w:val="22"/>
          <w:lang w:eastAsia="es-MX"/>
        </w:rPr>
        <w:t xml:space="preserve">en el que se precisa que de conformidad con los artículos 129 de la entonces Ley General de Transparencia y Acceso a la Información Pública y 130, párrafo cuarto, de la entonces Ley Federal de Transparencia y Acceso a la Información Pública, los Sujetos Obligados deben dar acceso a los documentos que se encuentren en sus archivos y que estén obligados a documentar conforme a sus facultades o funciones, de acuerdo a las características físicas de la información o del lugar donde se encuentre; de forma tal, que los Sujetos Obligados garantizan el derecho de acceso a la información al proporcionar la información que obre en sus archivos, sin que ello implique que deban generar documentos nuevos. </w:t>
      </w:r>
    </w:p>
    <w:p w14:paraId="3993E4F8" w14:textId="77777777" w:rsidR="00FF2EB2" w:rsidRPr="00FF2EB2" w:rsidRDefault="00FF2EB2" w:rsidP="007911EC">
      <w:pPr>
        <w:tabs>
          <w:tab w:val="left" w:pos="4962"/>
        </w:tabs>
        <w:spacing w:line="360" w:lineRule="auto"/>
        <w:jc w:val="both"/>
        <w:rPr>
          <w:rFonts w:ascii="Palatino Linotype" w:eastAsia="Palatino Linotype" w:hAnsi="Palatino Linotype" w:cs="Palatino Linotype"/>
          <w:sz w:val="22"/>
          <w:szCs w:val="22"/>
          <w:lang w:eastAsia="es-MX"/>
        </w:rPr>
      </w:pPr>
      <w:r w:rsidRPr="00FF2EB2">
        <w:rPr>
          <w:rFonts w:ascii="Palatino Linotype" w:eastAsia="Palatino Linotype" w:hAnsi="Palatino Linotype" w:cs="Palatino Linotype"/>
          <w:i/>
          <w:sz w:val="22"/>
          <w:szCs w:val="22"/>
          <w:lang w:eastAsia="es-MX"/>
        </w:rPr>
        <w:t xml:space="preserve"> </w:t>
      </w:r>
    </w:p>
    <w:p w14:paraId="79C3DAA1" w14:textId="77777777" w:rsidR="00FF2EB2" w:rsidRPr="00FF2EB2" w:rsidRDefault="00FF2EB2" w:rsidP="007911EC">
      <w:pPr>
        <w:spacing w:line="360" w:lineRule="auto"/>
        <w:jc w:val="both"/>
        <w:rPr>
          <w:rFonts w:ascii="Palatino Linotype" w:eastAsia="Palatino Linotype" w:hAnsi="Palatino Linotype" w:cs="Palatino Linotype"/>
          <w:sz w:val="22"/>
          <w:szCs w:val="22"/>
          <w:lang w:eastAsia="es-MX"/>
        </w:rPr>
      </w:pPr>
      <w:r w:rsidRPr="00FF2EB2">
        <w:rPr>
          <w:rFonts w:ascii="Palatino Linotype" w:eastAsia="Palatino Linotype" w:hAnsi="Palatino Linotype" w:cs="Palatino Linotype"/>
          <w:sz w:val="22"/>
          <w:szCs w:val="22"/>
          <w:lang w:eastAsia="es-MX"/>
        </w:rPr>
        <w:lastRenderedPageBreak/>
        <w:t>Por ello, los Sujetos Obligados únicamente se encuentran obligados a proporcionar los documentos que den cuenta de la información solicitada, como obren en sus archivos, sin tener que elaborarlos a las necesidades de la parte Recurrente.</w:t>
      </w:r>
    </w:p>
    <w:p w14:paraId="69A738D7" w14:textId="77777777" w:rsidR="00FF2EB2" w:rsidRPr="00FF2EB2" w:rsidRDefault="00FF2EB2" w:rsidP="007911EC">
      <w:pPr>
        <w:tabs>
          <w:tab w:val="left" w:pos="4962"/>
        </w:tabs>
        <w:spacing w:line="360" w:lineRule="auto"/>
        <w:jc w:val="both"/>
        <w:rPr>
          <w:rFonts w:ascii="Palatino Linotype" w:eastAsia="Palatino Linotype" w:hAnsi="Palatino Linotype" w:cs="Palatino Linotype"/>
          <w:color w:val="000000"/>
          <w:sz w:val="22"/>
          <w:szCs w:val="22"/>
          <w:lang w:eastAsia="es-MX"/>
        </w:rPr>
      </w:pPr>
    </w:p>
    <w:p w14:paraId="4F3C6EBD" w14:textId="77777777" w:rsidR="00FF2EB2" w:rsidRPr="00FF2EB2" w:rsidRDefault="00FF2EB2" w:rsidP="007911EC">
      <w:pPr>
        <w:tabs>
          <w:tab w:val="left" w:pos="4962"/>
        </w:tabs>
        <w:spacing w:line="360" w:lineRule="auto"/>
        <w:jc w:val="both"/>
        <w:rPr>
          <w:rFonts w:ascii="Palatino Linotype" w:eastAsia="Palatino Linotype" w:hAnsi="Palatino Linotype" w:cs="Palatino Linotype"/>
          <w:color w:val="000000"/>
          <w:sz w:val="22"/>
          <w:szCs w:val="22"/>
          <w:lang w:eastAsia="es-MX"/>
        </w:rPr>
      </w:pPr>
      <w:r w:rsidRPr="00FF2EB2">
        <w:rPr>
          <w:rFonts w:ascii="Palatino Linotype" w:eastAsia="Palatino Linotype" w:hAnsi="Palatino Linotype" w:cs="Palatino Linotype"/>
          <w:color w:val="000000"/>
          <w:sz w:val="22"/>
          <w:szCs w:val="22"/>
          <w:lang w:eastAsia="es-MX"/>
        </w:rPr>
        <w:t>Así pues, los cuestionamientos formulados por la parte Recurrente, tienen otra naturaleza, y pueden tratarse de una consulta que implique el ejercicio de un derecho de petición y no de acceso a la información pública; puesto que pretenden obtener explicaciones o razonamientos que no obran en un documento ya existente.</w:t>
      </w:r>
    </w:p>
    <w:p w14:paraId="5C71324F" w14:textId="77777777" w:rsidR="00FF2EB2" w:rsidRPr="00FF2EB2" w:rsidRDefault="00FF2EB2" w:rsidP="007911EC">
      <w:pPr>
        <w:tabs>
          <w:tab w:val="left" w:pos="4962"/>
        </w:tabs>
        <w:spacing w:line="360" w:lineRule="auto"/>
        <w:jc w:val="both"/>
        <w:rPr>
          <w:rFonts w:ascii="Palatino Linotype" w:eastAsia="Palatino Linotype" w:hAnsi="Palatino Linotype" w:cs="Palatino Linotype"/>
          <w:color w:val="000000"/>
          <w:sz w:val="22"/>
          <w:szCs w:val="22"/>
          <w:lang w:eastAsia="es-MX"/>
        </w:rPr>
      </w:pPr>
    </w:p>
    <w:p w14:paraId="7DA3DEE1" w14:textId="77777777" w:rsidR="00FF2EB2" w:rsidRPr="00FF2EB2" w:rsidRDefault="00FF2EB2" w:rsidP="007911EC">
      <w:pPr>
        <w:tabs>
          <w:tab w:val="left" w:pos="4962"/>
        </w:tabs>
        <w:spacing w:line="360" w:lineRule="auto"/>
        <w:jc w:val="both"/>
        <w:rPr>
          <w:rFonts w:ascii="Palatino Linotype" w:eastAsia="Palatino Linotype" w:hAnsi="Palatino Linotype" w:cs="Palatino Linotype"/>
          <w:i/>
          <w:color w:val="000000"/>
          <w:sz w:val="22"/>
          <w:szCs w:val="22"/>
          <w:lang w:eastAsia="es-MX"/>
        </w:rPr>
      </w:pPr>
      <w:r w:rsidRPr="00FF2EB2">
        <w:rPr>
          <w:rFonts w:ascii="Palatino Linotype" w:eastAsia="Palatino Linotype" w:hAnsi="Palatino Linotype" w:cs="Palatino Linotype"/>
          <w:color w:val="000000"/>
          <w:sz w:val="22"/>
          <w:szCs w:val="22"/>
          <w:lang w:eastAsia="es-MX"/>
        </w:rPr>
        <w:t xml:space="preserve">En ese tenor, por lo que respecta a la definición del derecho de petición se tiene que el Doctor Ignacio Burgoa Orihuela refiere que </w:t>
      </w:r>
      <w:r w:rsidRPr="00FF2EB2">
        <w:rPr>
          <w:rFonts w:ascii="Palatino Linotype" w:eastAsia="Palatino Linotype" w:hAnsi="Palatino Linotype" w:cs="Palatino Linotype"/>
          <w:i/>
          <w:color w:val="000000"/>
          <w:sz w:val="22"/>
          <w:szCs w:val="22"/>
          <w:lang w:eastAsia="es-MX"/>
        </w:rPr>
        <w:t xml:space="preserve">“es un Derecho Público subjetivo individual de la Garantía Respectiva Consagrada en el artículo 8 de la Ley Fundamental. En tal virtud, la persona tiene la facultad de acudir a cualquier autoridad, formulando una solicitud o instancia </w:t>
      </w:r>
      <w:r w:rsidRPr="00FF2EB2">
        <w:rPr>
          <w:rFonts w:ascii="Palatino Linotype" w:eastAsia="Palatino Linotype" w:hAnsi="Palatino Linotype" w:cs="Palatino Linotype"/>
          <w:i/>
          <w:sz w:val="22"/>
          <w:szCs w:val="22"/>
          <w:lang w:eastAsia="es-MX"/>
        </w:rPr>
        <w:t>escrita</w:t>
      </w:r>
      <w:r w:rsidRPr="00FF2EB2">
        <w:rPr>
          <w:rFonts w:ascii="Palatino Linotype" w:eastAsia="Palatino Linotype" w:hAnsi="Palatino Linotype" w:cs="Palatino Linotype"/>
          <w:i/>
          <w:color w:val="000000"/>
          <w:sz w:val="22"/>
          <w:szCs w:val="22"/>
          <w:lang w:eastAsia="es-MX"/>
        </w:rPr>
        <w:t xml:space="preserve"> de cualquier índole, la cual adopta, específicamente, el carácter de simple petición administrativa, acción o recurso, etc.”. </w:t>
      </w:r>
    </w:p>
    <w:p w14:paraId="12AA6A4F" w14:textId="77777777" w:rsidR="00FF2EB2" w:rsidRPr="00FF2EB2" w:rsidRDefault="00FF2EB2" w:rsidP="007911EC">
      <w:pPr>
        <w:tabs>
          <w:tab w:val="left" w:pos="4962"/>
        </w:tabs>
        <w:spacing w:line="360" w:lineRule="auto"/>
        <w:jc w:val="both"/>
        <w:rPr>
          <w:rFonts w:ascii="Palatino Linotype" w:eastAsia="Palatino Linotype" w:hAnsi="Palatino Linotype" w:cs="Palatino Linotype"/>
          <w:color w:val="000000"/>
          <w:sz w:val="22"/>
          <w:szCs w:val="22"/>
          <w:lang w:eastAsia="es-MX"/>
        </w:rPr>
      </w:pPr>
    </w:p>
    <w:p w14:paraId="2EBD02E3" w14:textId="77777777" w:rsidR="00FF2EB2" w:rsidRPr="00FF2EB2" w:rsidRDefault="00FF2EB2" w:rsidP="007911EC">
      <w:pPr>
        <w:spacing w:line="360" w:lineRule="auto"/>
        <w:jc w:val="both"/>
        <w:rPr>
          <w:rFonts w:ascii="Palatino Linotype" w:eastAsia="Palatino Linotype" w:hAnsi="Palatino Linotype" w:cs="Palatino Linotype"/>
          <w:sz w:val="22"/>
          <w:szCs w:val="22"/>
          <w:lang w:eastAsia="es-MX"/>
        </w:rPr>
      </w:pPr>
      <w:r w:rsidRPr="00FF2EB2">
        <w:rPr>
          <w:rFonts w:ascii="Palatino Linotype" w:eastAsia="Palatino Linotype" w:hAnsi="Palatino Linotype" w:cs="Palatino Linotype"/>
          <w:sz w:val="22"/>
          <w:szCs w:val="22"/>
          <w:lang w:eastAsia="es-MX"/>
        </w:rPr>
        <w:t xml:space="preserve">Lo anterior toma relevancia, pues según Trujillo, Humberto (2019), en el </w:t>
      </w:r>
      <w:r w:rsidRPr="00FF2EB2">
        <w:rPr>
          <w:rFonts w:ascii="Palatino Linotype" w:eastAsia="Palatino Linotype" w:hAnsi="Palatino Linotype" w:cs="Palatino Linotype"/>
          <w:i/>
          <w:sz w:val="22"/>
          <w:szCs w:val="22"/>
          <w:lang w:eastAsia="es-MX"/>
        </w:rPr>
        <w:t>“Diccionario de Transparencia y Acceso a la Información Pública</w:t>
      </w:r>
      <w:r w:rsidRPr="00FF2EB2">
        <w:rPr>
          <w:rFonts w:ascii="Palatino Linotype" w:eastAsia="Palatino Linotype" w:hAnsi="Palatino Linotype" w:cs="Palatino Linotype"/>
          <w:sz w:val="22"/>
          <w:szCs w:val="22"/>
          <w:lang w:eastAsia="es-MX"/>
        </w:rPr>
        <w:t>” (p. 122), el derecho de petición, es una prerrogativa constitucional que tienen las personas para solicitar o reclamar a las autoridades públicas; por lo que, las instancias deben recibirlas y realizar una respuesta. Además, la Jurisprudencia XXI.1o.P.A. J/27, de los Tribunales Colegiados de Circuito, localizada en la página 1406, del Semanario Judicial de la Federación y su Gaceta, Tomo XXXIII, marzo 2011, Novena Época, que establece lo siguiente:</w:t>
      </w:r>
    </w:p>
    <w:p w14:paraId="24247C0F" w14:textId="77777777" w:rsidR="00FF2EB2" w:rsidRPr="00FF2EB2" w:rsidRDefault="00FF2EB2" w:rsidP="007911EC">
      <w:pPr>
        <w:spacing w:line="360" w:lineRule="auto"/>
        <w:jc w:val="both"/>
        <w:rPr>
          <w:rFonts w:ascii="Palatino Linotype" w:eastAsia="Palatino Linotype" w:hAnsi="Palatino Linotype" w:cs="Palatino Linotype"/>
          <w:sz w:val="22"/>
          <w:szCs w:val="22"/>
          <w:lang w:eastAsia="es-MX"/>
        </w:rPr>
      </w:pPr>
    </w:p>
    <w:p w14:paraId="26B80AC4" w14:textId="77777777" w:rsidR="00FF2EB2" w:rsidRPr="00FF2EB2" w:rsidRDefault="00FF2EB2" w:rsidP="007911EC">
      <w:pPr>
        <w:spacing w:line="360" w:lineRule="auto"/>
        <w:ind w:left="567" w:right="709"/>
        <w:jc w:val="both"/>
        <w:rPr>
          <w:rFonts w:ascii="Palatino Linotype" w:eastAsia="Palatino Linotype" w:hAnsi="Palatino Linotype" w:cs="Palatino Linotype"/>
          <w:i/>
          <w:lang w:eastAsia="es-MX"/>
        </w:rPr>
      </w:pPr>
      <w:r w:rsidRPr="00FF2EB2">
        <w:rPr>
          <w:rFonts w:ascii="Palatino Linotype" w:eastAsia="Palatino Linotype" w:hAnsi="Palatino Linotype" w:cs="Palatino Linotype"/>
          <w:b/>
          <w:i/>
          <w:lang w:eastAsia="es-MX"/>
        </w:rPr>
        <w:t xml:space="preserve">“DERECHO DE PETICIÓN. SUS ELEMENTOS. </w:t>
      </w:r>
      <w:r w:rsidRPr="00FF2EB2">
        <w:rPr>
          <w:rFonts w:ascii="Palatino Linotype" w:eastAsia="Palatino Linotype" w:hAnsi="Palatino Linotype" w:cs="Palatino Linotype"/>
          <w:i/>
          <w:lang w:eastAsia="es-MX"/>
        </w:rPr>
        <w:t xml:space="preserve">El denominado "derecho de petición", acorde con los criterios de los tribunales del Poder Judicial de la Federación, es la garantía individual consagrada en el artículo 8o. de la Constitución Política de los Estados Unidos </w:t>
      </w:r>
      <w:r w:rsidRPr="00FF2EB2">
        <w:rPr>
          <w:rFonts w:ascii="Palatino Linotype" w:eastAsia="Palatino Linotype" w:hAnsi="Palatino Linotype" w:cs="Palatino Linotype"/>
          <w:i/>
          <w:lang w:eastAsia="es-MX"/>
        </w:rPr>
        <w:lastRenderedPageBreak/>
        <w:t>Mexicanos, en función de la cual cualquier gobernado que presente una petición ante una autoridad, tiene derecho a recibir una respuesta. Así, su ejercicio por el particular y la correlativa obligación de la autoridad de producir una respuesta, se caracterizan por los elementos siguientes: A. La petición: debe formularse de manera pacífica y respetuosa, dirigirse a una autoridad y recabarse la constancia de que fue entregada; además de que el peticionario ha de proporcionar el domicilio para recibir la respuesta. B. La respuesta: la autoridad debe emitir un acuerdo en breve término, entendiéndose por éste el que racionalmente se requiera para estudiar la petición y acordarla, que tendrá que ser congruente con la petición y la autoridad debe notificar el acuerdo recaído a la petición en forma personal al gobernado en el domicilio que señaló para tales efectos, sin que exista obligación de resolver en determinado sentido, esto es, el ejercicio del derecho de petición no constriñe a la autoridad ante quien se formuló, a que provea de conformidad lo solicitado por el promovente, sino que está en libertad de resolver de conformidad con los ordenamientos que resulten aplicables al caso, y la respuesta o trámite que se dé a la petición debe ser comunicada precisamente por la autoridad ante quien se ejercitó el derecho, y no por otra diversa.”</w:t>
      </w:r>
    </w:p>
    <w:p w14:paraId="7D81C755" w14:textId="77777777" w:rsidR="00FF2EB2" w:rsidRPr="00FF2EB2" w:rsidRDefault="00FF2EB2" w:rsidP="007911EC">
      <w:pPr>
        <w:spacing w:line="360" w:lineRule="auto"/>
        <w:jc w:val="both"/>
        <w:rPr>
          <w:rFonts w:ascii="Palatino Linotype" w:eastAsia="Palatino Linotype" w:hAnsi="Palatino Linotype" w:cs="Palatino Linotype"/>
          <w:lang w:eastAsia="es-MX"/>
        </w:rPr>
      </w:pPr>
    </w:p>
    <w:p w14:paraId="76C908AD" w14:textId="77777777" w:rsidR="00FF2EB2" w:rsidRPr="00FF2EB2" w:rsidRDefault="00FF2EB2" w:rsidP="007911EC">
      <w:pPr>
        <w:spacing w:line="360" w:lineRule="auto"/>
        <w:jc w:val="both"/>
        <w:rPr>
          <w:rFonts w:ascii="Palatino Linotype" w:eastAsia="Palatino Linotype" w:hAnsi="Palatino Linotype" w:cs="Palatino Linotype"/>
          <w:sz w:val="22"/>
          <w:szCs w:val="22"/>
          <w:lang w:eastAsia="es-MX"/>
        </w:rPr>
      </w:pPr>
      <w:r w:rsidRPr="00FF2EB2">
        <w:rPr>
          <w:rFonts w:ascii="Palatino Linotype" w:eastAsia="Palatino Linotype" w:hAnsi="Palatino Linotype" w:cs="Palatino Linotype"/>
          <w:sz w:val="22"/>
          <w:szCs w:val="22"/>
          <w:lang w:eastAsia="es-MX"/>
        </w:rPr>
        <w:t>De la Jurisprudencia citada, se advierte que el derecho de petición, es una prerrogativa individual consagrada en el artículo 8° de la Constitución Política de los Estados Unidos Mexicanos, con el fin de que cualquier ciudadano o persona, presente una petición de manera pacífica y respetuosa (pregunta, consulta, duda, acción, entre otros), ante una autoridad, por lo que, tiene derecho de recibir una respuesta.</w:t>
      </w:r>
    </w:p>
    <w:p w14:paraId="195EDE58" w14:textId="77777777" w:rsidR="00FF2EB2" w:rsidRPr="00FF2EB2" w:rsidRDefault="00FF2EB2" w:rsidP="007911EC">
      <w:pPr>
        <w:tabs>
          <w:tab w:val="left" w:pos="4962"/>
        </w:tabs>
        <w:spacing w:line="360" w:lineRule="auto"/>
        <w:jc w:val="both"/>
        <w:rPr>
          <w:rFonts w:ascii="Palatino Linotype" w:eastAsia="Palatino Linotype" w:hAnsi="Palatino Linotype" w:cs="Palatino Linotype"/>
          <w:color w:val="000000"/>
          <w:sz w:val="22"/>
          <w:szCs w:val="22"/>
          <w:lang w:eastAsia="es-MX"/>
        </w:rPr>
      </w:pPr>
    </w:p>
    <w:p w14:paraId="6784956E" w14:textId="77777777" w:rsidR="00FF2EB2" w:rsidRPr="00FF2EB2" w:rsidRDefault="00FF2EB2" w:rsidP="007911EC">
      <w:pPr>
        <w:tabs>
          <w:tab w:val="left" w:pos="4962"/>
        </w:tabs>
        <w:spacing w:line="360" w:lineRule="auto"/>
        <w:jc w:val="both"/>
        <w:rPr>
          <w:rFonts w:ascii="Palatino Linotype" w:eastAsia="Palatino Linotype" w:hAnsi="Palatino Linotype" w:cs="Palatino Linotype"/>
          <w:color w:val="000000"/>
          <w:sz w:val="22"/>
          <w:szCs w:val="22"/>
          <w:lang w:eastAsia="es-MX"/>
        </w:rPr>
      </w:pPr>
      <w:r w:rsidRPr="00FF2EB2">
        <w:rPr>
          <w:rFonts w:ascii="Palatino Linotype" w:eastAsia="Palatino Linotype" w:hAnsi="Palatino Linotype" w:cs="Palatino Linotype"/>
          <w:color w:val="000000"/>
          <w:sz w:val="22"/>
          <w:szCs w:val="22"/>
          <w:lang w:eastAsia="es-MX"/>
        </w:rPr>
        <w:t xml:space="preserve">Por otra parte, el derecho de acceso a la información pública, es aquel, en el que, los Particulares pueden solicitar información referente a aquellos documentos que, en ejercicio de sus atribuciones, reflejen la toma de decisiones de los Sujetos Obligados o de aquellos que por cualquier motivo reciban, administren o apliquen recursos públicos, y está previsto en el artículo 6° de la Constitución Política de los Estados Unidos Mexicanos. </w:t>
      </w:r>
    </w:p>
    <w:p w14:paraId="64659764" w14:textId="77777777" w:rsidR="00FF2EB2" w:rsidRPr="00FF2EB2" w:rsidRDefault="00FF2EB2" w:rsidP="007911EC">
      <w:pPr>
        <w:spacing w:line="360" w:lineRule="auto"/>
        <w:jc w:val="both"/>
        <w:rPr>
          <w:rFonts w:ascii="Palatino Linotype" w:eastAsia="Palatino Linotype" w:hAnsi="Palatino Linotype" w:cs="Palatino Linotype"/>
          <w:sz w:val="22"/>
          <w:szCs w:val="22"/>
          <w:lang w:eastAsia="es-MX"/>
        </w:rPr>
      </w:pPr>
    </w:p>
    <w:p w14:paraId="286DCFE4" w14:textId="77777777" w:rsidR="00FF2EB2" w:rsidRPr="00FF2EB2" w:rsidRDefault="00FF2EB2" w:rsidP="007911EC">
      <w:pPr>
        <w:tabs>
          <w:tab w:val="left" w:pos="4962"/>
        </w:tabs>
        <w:spacing w:line="360" w:lineRule="auto"/>
        <w:jc w:val="both"/>
        <w:rPr>
          <w:rFonts w:ascii="Palatino Linotype" w:eastAsia="Palatino Linotype" w:hAnsi="Palatino Linotype" w:cs="Palatino Linotype"/>
          <w:color w:val="000000"/>
          <w:sz w:val="22"/>
          <w:szCs w:val="22"/>
          <w:lang w:eastAsia="es-MX"/>
        </w:rPr>
      </w:pPr>
      <w:r w:rsidRPr="00FF2EB2">
        <w:rPr>
          <w:rFonts w:ascii="Palatino Linotype" w:eastAsia="Palatino Linotype" w:hAnsi="Palatino Linotype" w:cs="Palatino Linotype"/>
          <w:color w:val="000000"/>
          <w:sz w:val="22"/>
          <w:szCs w:val="22"/>
          <w:lang w:eastAsia="es-MX"/>
        </w:rPr>
        <w:lastRenderedPageBreak/>
        <w:t>En consecuencia, lo solicitado no pertenece al derecho de acceso a la información sino al derecho de petición, ya que de derivan cuestionamientos, cuya única respuesta implica que se procese la información y se emita un pronunciamiento específico; por lo que, corresponden a una consulta.</w:t>
      </w:r>
    </w:p>
    <w:p w14:paraId="17CD1B46" w14:textId="77777777" w:rsidR="00FF2EB2" w:rsidRPr="00FF2EB2" w:rsidRDefault="00FF2EB2" w:rsidP="007911EC">
      <w:pPr>
        <w:tabs>
          <w:tab w:val="left" w:pos="4962"/>
        </w:tabs>
        <w:spacing w:line="360" w:lineRule="auto"/>
        <w:jc w:val="both"/>
        <w:rPr>
          <w:rFonts w:ascii="Palatino Linotype" w:eastAsia="Palatino Linotype" w:hAnsi="Palatino Linotype" w:cs="Palatino Linotype"/>
          <w:color w:val="000000"/>
          <w:sz w:val="22"/>
          <w:szCs w:val="22"/>
          <w:lang w:eastAsia="es-MX"/>
        </w:rPr>
      </w:pPr>
    </w:p>
    <w:p w14:paraId="329BFDCF" w14:textId="77777777" w:rsidR="00FF2EB2" w:rsidRPr="00FF2EB2" w:rsidRDefault="00FF2EB2" w:rsidP="007911EC">
      <w:pPr>
        <w:tabs>
          <w:tab w:val="left" w:pos="4962"/>
        </w:tabs>
        <w:spacing w:line="360" w:lineRule="auto"/>
        <w:jc w:val="both"/>
        <w:rPr>
          <w:rFonts w:ascii="Palatino Linotype" w:eastAsia="Palatino Linotype" w:hAnsi="Palatino Linotype" w:cs="Palatino Linotype"/>
          <w:color w:val="000000"/>
          <w:sz w:val="22"/>
          <w:szCs w:val="22"/>
          <w:lang w:eastAsia="es-MX"/>
        </w:rPr>
      </w:pPr>
      <w:r w:rsidRPr="00FF2EB2">
        <w:rPr>
          <w:rFonts w:ascii="Palatino Linotype" w:eastAsia="Palatino Linotype" w:hAnsi="Palatino Linotype" w:cs="Palatino Linotype"/>
          <w:color w:val="000000"/>
          <w:sz w:val="22"/>
          <w:szCs w:val="22"/>
          <w:lang w:eastAsia="es-MX"/>
        </w:rPr>
        <w:t>En atención a lo anterior, se actualiza la causal de improcedencia previsto en el artículo 191 fracción VI de la Ley de Transparencia y Acceso a la Información Pública del Estado de México y Municipios; que implica que el Recurso de Revisión será improcedente cuando se trate de una consulta.</w:t>
      </w:r>
    </w:p>
    <w:p w14:paraId="087F4094" w14:textId="77777777" w:rsidR="00FF2EB2" w:rsidRDefault="00FF2EB2" w:rsidP="007911EC">
      <w:pPr>
        <w:spacing w:line="360" w:lineRule="auto"/>
        <w:contextualSpacing/>
        <w:jc w:val="both"/>
        <w:rPr>
          <w:rFonts w:ascii="Palatino Linotype" w:hAnsi="Palatino Linotype" w:cs="Tahoma"/>
          <w:bCs/>
          <w:color w:val="FF0000"/>
          <w:sz w:val="22"/>
          <w:szCs w:val="22"/>
        </w:rPr>
      </w:pPr>
    </w:p>
    <w:p w14:paraId="766A5392" w14:textId="081A413F" w:rsidR="00FF2EB2" w:rsidRPr="00FF2EB2" w:rsidRDefault="00FF2EB2" w:rsidP="007911EC">
      <w:pPr>
        <w:tabs>
          <w:tab w:val="left" w:pos="4962"/>
        </w:tabs>
        <w:spacing w:line="360" w:lineRule="auto"/>
        <w:jc w:val="both"/>
        <w:rPr>
          <w:rFonts w:ascii="Palatino Linotype" w:eastAsia="Palatino Linotype" w:hAnsi="Palatino Linotype" w:cs="Palatino Linotype"/>
          <w:color w:val="000000"/>
          <w:sz w:val="22"/>
          <w:szCs w:val="22"/>
          <w:lang w:eastAsia="es-MX"/>
        </w:rPr>
      </w:pPr>
      <w:r w:rsidRPr="00FF2EB2">
        <w:rPr>
          <w:rFonts w:ascii="Palatino Linotype" w:eastAsia="Palatino Linotype" w:hAnsi="Palatino Linotype" w:cs="Palatino Linotype"/>
          <w:color w:val="000000"/>
          <w:sz w:val="22"/>
          <w:szCs w:val="22"/>
          <w:lang w:eastAsia="es-MX"/>
        </w:rPr>
        <w:t>Por tanto, se actualiza</w:t>
      </w:r>
      <w:r>
        <w:rPr>
          <w:rFonts w:ascii="Palatino Linotype" w:eastAsia="Palatino Linotype" w:hAnsi="Palatino Linotype" w:cs="Palatino Linotype"/>
          <w:color w:val="000000"/>
          <w:sz w:val="22"/>
          <w:szCs w:val="22"/>
          <w:lang w:eastAsia="es-MX"/>
        </w:rPr>
        <w:t xml:space="preserve"> parcialmente</w:t>
      </w:r>
      <w:r w:rsidRPr="00FF2EB2">
        <w:rPr>
          <w:rFonts w:ascii="Palatino Linotype" w:eastAsia="Palatino Linotype" w:hAnsi="Palatino Linotype" w:cs="Palatino Linotype"/>
          <w:color w:val="000000"/>
          <w:sz w:val="22"/>
          <w:szCs w:val="22"/>
          <w:lang w:eastAsia="es-MX"/>
        </w:rPr>
        <w:t xml:space="preserve"> el supuesto previsto en el artículo 192 fracción VI de la Ley de Transparencia y Acceso a la Información Pública del Estado de México y Municipios; que señala, como una causa de sobreseimiento que, una vez admitido un Recurso de Revisión aparezca una causal de improcedencia; </w:t>
      </w:r>
      <w:r w:rsidRPr="00FF2EB2">
        <w:rPr>
          <w:rFonts w:ascii="Palatino Linotype" w:eastAsia="Palatino Linotype" w:hAnsi="Palatino Linotype" w:cs="Palatino Linotype"/>
          <w:b/>
          <w:color w:val="000000"/>
          <w:sz w:val="22"/>
          <w:szCs w:val="22"/>
          <w:lang w:eastAsia="es-MX"/>
        </w:rPr>
        <w:t>en el caso concreto, que la parte Recurrente formuló una consulta como solicitud de información.</w:t>
      </w:r>
      <w:r w:rsidRPr="00FF2EB2">
        <w:rPr>
          <w:rFonts w:ascii="Palatino Linotype" w:eastAsia="Palatino Linotype" w:hAnsi="Palatino Linotype" w:cs="Palatino Linotype"/>
          <w:color w:val="000000"/>
          <w:sz w:val="22"/>
          <w:szCs w:val="22"/>
          <w:lang w:eastAsia="es-MX"/>
        </w:rPr>
        <w:t xml:space="preserve"> </w:t>
      </w:r>
    </w:p>
    <w:p w14:paraId="03930AB7" w14:textId="77777777" w:rsidR="00FF2EB2" w:rsidRDefault="00FF2EB2" w:rsidP="007911EC">
      <w:pPr>
        <w:spacing w:line="360" w:lineRule="auto"/>
        <w:contextualSpacing/>
        <w:jc w:val="both"/>
        <w:rPr>
          <w:rFonts w:ascii="Palatino Linotype" w:hAnsi="Palatino Linotype" w:cs="Tahoma"/>
          <w:bCs/>
          <w:color w:val="FF0000"/>
          <w:sz w:val="22"/>
          <w:szCs w:val="22"/>
        </w:rPr>
      </w:pPr>
    </w:p>
    <w:p w14:paraId="6FF568C6" w14:textId="7A021E7A" w:rsidR="007B03E9" w:rsidRPr="00FF2EB2" w:rsidRDefault="00FF2EB2" w:rsidP="007911EC">
      <w:pPr>
        <w:tabs>
          <w:tab w:val="left" w:pos="4962"/>
        </w:tabs>
        <w:spacing w:line="360" w:lineRule="auto"/>
        <w:jc w:val="both"/>
        <w:rPr>
          <w:rFonts w:ascii="Palatino Linotype" w:eastAsia="Palatino Linotype" w:hAnsi="Palatino Linotype" w:cs="Palatino Linotype"/>
          <w:color w:val="000000"/>
          <w:sz w:val="22"/>
          <w:szCs w:val="22"/>
          <w:lang w:eastAsia="es-MX"/>
        </w:rPr>
      </w:pPr>
      <w:r w:rsidRPr="00FF2EB2">
        <w:rPr>
          <w:rFonts w:ascii="Palatino Linotype" w:eastAsia="Palatino Linotype" w:hAnsi="Palatino Linotype" w:cs="Palatino Linotype"/>
          <w:color w:val="000000"/>
          <w:sz w:val="22"/>
          <w:szCs w:val="22"/>
          <w:lang w:eastAsia="es-MX"/>
        </w:rPr>
        <w:t xml:space="preserve">En conclusión, es procedente </w:t>
      </w:r>
      <w:r w:rsidRPr="00FF2EB2">
        <w:rPr>
          <w:rFonts w:ascii="Palatino Linotype" w:eastAsia="Palatino Linotype" w:hAnsi="Palatino Linotype" w:cs="Palatino Linotype"/>
          <w:b/>
          <w:color w:val="000000"/>
          <w:sz w:val="22"/>
          <w:szCs w:val="22"/>
          <w:lang w:eastAsia="es-MX"/>
        </w:rPr>
        <w:t xml:space="preserve">SOBRESEER </w:t>
      </w:r>
      <w:r>
        <w:rPr>
          <w:rFonts w:ascii="Palatino Linotype" w:eastAsia="Palatino Linotype" w:hAnsi="Palatino Linotype" w:cs="Palatino Linotype"/>
          <w:b/>
          <w:color w:val="000000"/>
          <w:sz w:val="22"/>
          <w:szCs w:val="22"/>
          <w:lang w:eastAsia="es-MX"/>
        </w:rPr>
        <w:t xml:space="preserve">PARCIALMENTE </w:t>
      </w:r>
      <w:r w:rsidRPr="00FF2EB2">
        <w:rPr>
          <w:rFonts w:ascii="Palatino Linotype" w:eastAsia="Palatino Linotype" w:hAnsi="Palatino Linotype" w:cs="Palatino Linotype"/>
          <w:color w:val="000000"/>
          <w:sz w:val="22"/>
          <w:szCs w:val="22"/>
          <w:lang w:eastAsia="es-MX"/>
        </w:rPr>
        <w:t xml:space="preserve">el Recurso de Revisión, en atención a que, </w:t>
      </w:r>
      <w:r>
        <w:rPr>
          <w:rFonts w:ascii="Palatino Linotype" w:eastAsia="Palatino Linotype" w:hAnsi="Palatino Linotype" w:cs="Palatino Linotype"/>
          <w:color w:val="000000"/>
          <w:sz w:val="22"/>
          <w:szCs w:val="22"/>
          <w:lang w:eastAsia="es-MX"/>
        </w:rPr>
        <w:t xml:space="preserve">y únicamente se entrera al fondo respecto de los nombres completos de las personas que corrieron durante </w:t>
      </w:r>
      <w:r w:rsidRPr="00FF2EB2">
        <w:rPr>
          <w:rFonts w:ascii="Palatino Linotype" w:eastAsia="Palatino Linotype" w:hAnsi="Palatino Linotype" w:cs="Palatino Linotype"/>
          <w:sz w:val="22"/>
          <w:szCs w:val="22"/>
          <w:lang w:eastAsia="es-MX"/>
        </w:rPr>
        <w:t>2020, 2021 y 2022 y el documento firmado por los mismos de que recibieron liquidación</w:t>
      </w:r>
      <w:r w:rsidR="007B03E9" w:rsidRPr="00FF2EB2">
        <w:rPr>
          <w:rFonts w:ascii="Palatino Linotype" w:eastAsiaTheme="minorHAnsi" w:hAnsi="Palatino Linotype" w:cstheme="minorBidi"/>
          <w:sz w:val="22"/>
          <w:szCs w:val="22"/>
          <w:lang w:eastAsia="en-US"/>
        </w:rPr>
        <w:t>; toda vez que no ha quedado sin materia la totalidad del Recurso de Revisión, se considera entrar al fondo del asunto.</w:t>
      </w:r>
    </w:p>
    <w:p w14:paraId="695E21DB" w14:textId="77777777" w:rsidR="00BA5927" w:rsidRPr="007C3AF1" w:rsidRDefault="00BA5927" w:rsidP="007911EC">
      <w:pPr>
        <w:spacing w:line="360" w:lineRule="auto"/>
        <w:jc w:val="both"/>
        <w:rPr>
          <w:rFonts w:ascii="Palatino Linotype" w:hAnsi="Palatino Linotype" w:cs="Tahoma"/>
          <w:bCs/>
          <w:color w:val="FF0000"/>
          <w:sz w:val="22"/>
          <w:szCs w:val="22"/>
        </w:rPr>
      </w:pPr>
    </w:p>
    <w:p w14:paraId="000C8B81" w14:textId="77777777" w:rsidR="00F93859" w:rsidRPr="00BC099A" w:rsidRDefault="00F93859" w:rsidP="007911EC">
      <w:pPr>
        <w:pStyle w:val="Ttulo2"/>
        <w:rPr>
          <w:color w:val="auto"/>
          <w:lang w:val="es-ES"/>
        </w:rPr>
      </w:pPr>
      <w:bookmarkStart w:id="8" w:name="_Toc223615230"/>
      <w:r w:rsidRPr="00BC099A">
        <w:rPr>
          <w:color w:val="auto"/>
          <w:lang w:val="es-ES"/>
        </w:rPr>
        <w:t>TERCERO. Determinación de la Controversia</w:t>
      </w:r>
      <w:bookmarkEnd w:id="8"/>
    </w:p>
    <w:p w14:paraId="7C507C79" w14:textId="77777777" w:rsidR="00F93859" w:rsidRPr="007C3AF1" w:rsidRDefault="00F93859" w:rsidP="007911EC">
      <w:pPr>
        <w:autoSpaceDE w:val="0"/>
        <w:autoSpaceDN w:val="0"/>
        <w:adjustRightInd w:val="0"/>
        <w:spacing w:line="360" w:lineRule="auto"/>
        <w:jc w:val="both"/>
        <w:rPr>
          <w:rFonts w:ascii="Palatino Linotype" w:eastAsia="Calibri" w:hAnsi="Palatino Linotype" w:cs="Tahoma"/>
          <w:color w:val="FF0000"/>
          <w:sz w:val="22"/>
          <w:szCs w:val="22"/>
          <w:lang w:val="es-ES" w:eastAsia="es-MX"/>
        </w:rPr>
      </w:pPr>
    </w:p>
    <w:p w14:paraId="46113EA0" w14:textId="36C012F1" w:rsidR="00E92ADE" w:rsidRPr="00003542" w:rsidRDefault="00F93859" w:rsidP="007911EC">
      <w:pPr>
        <w:tabs>
          <w:tab w:val="left" w:pos="4962"/>
        </w:tabs>
        <w:spacing w:line="360" w:lineRule="auto"/>
        <w:jc w:val="both"/>
        <w:rPr>
          <w:rFonts w:ascii="Palatino Linotype" w:eastAsia="Calibri" w:hAnsi="Palatino Linotype" w:cs="Tahoma"/>
          <w:sz w:val="22"/>
          <w:szCs w:val="22"/>
          <w:lang w:val="es-ES" w:eastAsia="es-MX"/>
        </w:rPr>
      </w:pPr>
      <w:r w:rsidRPr="00003542">
        <w:rPr>
          <w:rFonts w:ascii="Palatino Linotype" w:eastAsia="Calibri" w:hAnsi="Palatino Linotype" w:cs="Tahoma"/>
          <w:sz w:val="22"/>
          <w:szCs w:val="22"/>
          <w:lang w:val="es-ES" w:eastAsia="es-MX"/>
        </w:rPr>
        <w:t xml:space="preserve">Con el objeto de ilustrar la controversia planteada, resulta conveniente precisar, que una vez realizado el estudio de las constancias que integran el expediente en que se actúa, se desprende </w:t>
      </w:r>
      <w:r w:rsidRPr="00003542">
        <w:rPr>
          <w:rFonts w:ascii="Palatino Linotype" w:eastAsia="Calibri" w:hAnsi="Palatino Linotype" w:cs="Tahoma"/>
          <w:sz w:val="22"/>
          <w:szCs w:val="22"/>
          <w:lang w:val="es-ES" w:eastAsia="es-MX"/>
        </w:rPr>
        <w:lastRenderedPageBreak/>
        <w:t>que el Particular requirió</w:t>
      </w:r>
      <w:r w:rsidR="00BC099A" w:rsidRPr="00003542">
        <w:rPr>
          <w:rFonts w:ascii="Palatino Linotype" w:eastAsia="Calibri" w:hAnsi="Palatino Linotype" w:cs="Tahoma"/>
          <w:sz w:val="22"/>
          <w:szCs w:val="22"/>
          <w:lang w:val="es-ES" w:eastAsia="es-MX"/>
        </w:rPr>
        <w:t>, del primero de enero de dos mil veinte al treinta y uno de diciembre de dos mil veintidós, lo siguiente:</w:t>
      </w:r>
    </w:p>
    <w:p w14:paraId="1CB24232" w14:textId="77777777" w:rsidR="00BC099A" w:rsidRPr="00003542" w:rsidRDefault="00BC099A" w:rsidP="007911EC">
      <w:pPr>
        <w:tabs>
          <w:tab w:val="left" w:pos="4962"/>
        </w:tabs>
        <w:spacing w:line="360" w:lineRule="auto"/>
        <w:contextualSpacing/>
        <w:jc w:val="both"/>
        <w:rPr>
          <w:rFonts w:ascii="Palatino Linotype" w:eastAsia="Calibri" w:hAnsi="Palatino Linotype" w:cs="Tahoma"/>
          <w:sz w:val="22"/>
          <w:szCs w:val="22"/>
          <w:lang w:val="es-ES" w:eastAsia="es-MX"/>
        </w:rPr>
      </w:pPr>
    </w:p>
    <w:p w14:paraId="0E7FE2C3" w14:textId="76F04758" w:rsidR="00BC099A" w:rsidRPr="00003542" w:rsidRDefault="00BC099A" w:rsidP="007911EC">
      <w:pPr>
        <w:pStyle w:val="Prrafodelista"/>
        <w:numPr>
          <w:ilvl w:val="0"/>
          <w:numId w:val="24"/>
        </w:numPr>
        <w:tabs>
          <w:tab w:val="left" w:pos="4962"/>
        </w:tabs>
        <w:spacing w:line="360" w:lineRule="auto"/>
        <w:jc w:val="both"/>
        <w:rPr>
          <w:rFonts w:ascii="Palatino Linotype" w:eastAsia="Palatino Linotype" w:hAnsi="Palatino Linotype" w:cs="Palatino Linotype"/>
          <w:szCs w:val="22"/>
          <w:lang w:eastAsia="es-MX"/>
        </w:rPr>
      </w:pPr>
      <w:r w:rsidRPr="00003542">
        <w:rPr>
          <w:rFonts w:ascii="Palatino Linotype" w:eastAsia="Palatino Linotype" w:hAnsi="Palatino Linotype" w:cs="Palatino Linotype"/>
          <w:szCs w:val="22"/>
          <w:lang w:eastAsia="es-MX"/>
        </w:rPr>
        <w:t xml:space="preserve">Nombres completos de las personas que </w:t>
      </w:r>
      <w:r w:rsidR="007911EC">
        <w:rPr>
          <w:rFonts w:ascii="Palatino Linotype" w:eastAsia="Palatino Linotype" w:hAnsi="Palatino Linotype" w:cs="Palatino Linotype"/>
          <w:szCs w:val="22"/>
          <w:lang w:eastAsia="es-MX"/>
        </w:rPr>
        <w:t>despidieron, y</w:t>
      </w:r>
    </w:p>
    <w:p w14:paraId="7954233D" w14:textId="52CCD49A" w:rsidR="00BC099A" w:rsidRPr="00003542" w:rsidRDefault="00BC099A" w:rsidP="007911EC">
      <w:pPr>
        <w:pStyle w:val="Prrafodelista"/>
        <w:numPr>
          <w:ilvl w:val="0"/>
          <w:numId w:val="24"/>
        </w:numPr>
        <w:tabs>
          <w:tab w:val="left" w:pos="4962"/>
        </w:tabs>
        <w:spacing w:line="360" w:lineRule="auto"/>
        <w:jc w:val="both"/>
        <w:rPr>
          <w:rFonts w:ascii="Palatino Linotype" w:eastAsia="Calibri" w:hAnsi="Palatino Linotype" w:cs="Tahoma"/>
          <w:szCs w:val="22"/>
          <w:lang w:val="es-ES" w:eastAsia="es-MX"/>
        </w:rPr>
      </w:pPr>
      <w:r w:rsidRPr="00003542">
        <w:rPr>
          <w:rFonts w:ascii="Palatino Linotype" w:eastAsia="Palatino Linotype" w:hAnsi="Palatino Linotype" w:cs="Palatino Linotype"/>
          <w:szCs w:val="22"/>
          <w:lang w:eastAsia="es-MX"/>
        </w:rPr>
        <w:t>El documento firmado por los mismos de que recibieron liquidación</w:t>
      </w:r>
    </w:p>
    <w:p w14:paraId="3D1F6666" w14:textId="77777777" w:rsidR="005F4B24" w:rsidRPr="007C3AF1" w:rsidRDefault="005F4B24" w:rsidP="007911EC">
      <w:pPr>
        <w:tabs>
          <w:tab w:val="left" w:pos="4962"/>
        </w:tabs>
        <w:spacing w:line="360" w:lineRule="auto"/>
        <w:contextualSpacing/>
        <w:jc w:val="both"/>
        <w:rPr>
          <w:rFonts w:ascii="Palatino Linotype" w:eastAsia="Calibri" w:hAnsi="Palatino Linotype" w:cs="Tahoma"/>
          <w:color w:val="FF0000"/>
          <w:sz w:val="22"/>
          <w:szCs w:val="22"/>
          <w:lang w:eastAsia="es-MX"/>
        </w:rPr>
      </w:pPr>
    </w:p>
    <w:p w14:paraId="684B2C39" w14:textId="77A4805A" w:rsidR="00823F3D" w:rsidRPr="007C3AF1" w:rsidRDefault="00F93859" w:rsidP="007911EC">
      <w:pPr>
        <w:pStyle w:val="NormalWeb"/>
        <w:spacing w:after="0" w:line="360" w:lineRule="auto"/>
        <w:ind w:right="-28"/>
        <w:rPr>
          <w:rFonts w:ascii="Palatino Linotype" w:hAnsi="Palatino Linotype" w:cs="Tahoma"/>
          <w:color w:val="FF0000"/>
          <w:sz w:val="22"/>
          <w:szCs w:val="22"/>
          <w:lang w:val="es-ES"/>
        </w:rPr>
      </w:pPr>
      <w:r w:rsidRPr="003C2F6C">
        <w:rPr>
          <w:rFonts w:ascii="Palatino Linotype" w:hAnsi="Palatino Linotype" w:cs="Tahoma"/>
          <w:bCs/>
          <w:iCs/>
          <w:color w:val="auto"/>
          <w:sz w:val="22"/>
          <w:szCs w:val="22"/>
          <w:lang w:val="es-ES"/>
        </w:rPr>
        <w:t>Ante la falta de respuesta del Ente Recurrido</w:t>
      </w:r>
      <w:r w:rsidR="005F4B24" w:rsidRPr="003C2F6C">
        <w:rPr>
          <w:rFonts w:ascii="Palatino Linotype" w:hAnsi="Palatino Linotype" w:cs="Tahoma"/>
          <w:bCs/>
          <w:iCs/>
          <w:color w:val="auto"/>
          <w:sz w:val="22"/>
          <w:szCs w:val="22"/>
          <w:lang w:val="es-ES"/>
        </w:rPr>
        <w:t xml:space="preserve">, </w:t>
      </w:r>
      <w:r w:rsidRPr="003C2F6C">
        <w:rPr>
          <w:rFonts w:ascii="Palatino Linotype" w:hAnsi="Palatino Linotype" w:cs="Tahoma"/>
          <w:bCs/>
          <w:iCs/>
          <w:color w:val="auto"/>
          <w:sz w:val="22"/>
          <w:szCs w:val="22"/>
          <w:lang w:val="es-ES"/>
        </w:rPr>
        <w:t>el Particular, justamente se inconformó</w:t>
      </w:r>
      <w:r w:rsidR="005F4B24" w:rsidRPr="003C2F6C">
        <w:rPr>
          <w:rFonts w:ascii="Palatino Linotype" w:hAnsi="Palatino Linotype" w:cs="Tahoma"/>
          <w:bCs/>
          <w:iCs/>
          <w:color w:val="auto"/>
          <w:sz w:val="22"/>
          <w:szCs w:val="22"/>
          <w:lang w:val="es-ES"/>
        </w:rPr>
        <w:t xml:space="preserve"> por la falta de entrega de la información</w:t>
      </w:r>
      <w:r w:rsidRPr="003C2F6C">
        <w:rPr>
          <w:rFonts w:ascii="Palatino Linotype" w:hAnsi="Palatino Linotype" w:cs="Tahoma"/>
          <w:bCs/>
          <w:iCs/>
          <w:color w:val="auto"/>
          <w:sz w:val="22"/>
          <w:szCs w:val="22"/>
          <w:lang w:val="es-ES"/>
        </w:rPr>
        <w:t>, lo cual se actualiza el supuesto previsto en el artículo 179, fracción VII, de la Ley de Transparencia y Acceso a la Información Pública del Estado de México y Municipios</w:t>
      </w:r>
      <w:r w:rsidRPr="003C2F6C">
        <w:rPr>
          <w:rFonts w:ascii="Palatino Linotype" w:hAnsi="Palatino Linotype" w:cs="Tahoma"/>
          <w:bCs/>
          <w:iCs/>
          <w:color w:val="auto"/>
          <w:sz w:val="22"/>
          <w:szCs w:val="22"/>
          <w:shd w:val="clear" w:color="auto" w:fill="FFFFFF"/>
        </w:rPr>
        <w:t xml:space="preserve">. </w:t>
      </w:r>
      <w:r w:rsidRPr="003C2F6C">
        <w:rPr>
          <w:rFonts w:ascii="Palatino Linotype" w:hAnsi="Palatino Linotype" w:cs="Tahoma"/>
          <w:color w:val="auto"/>
          <w:sz w:val="22"/>
          <w:szCs w:val="22"/>
          <w:lang w:val="es-ES"/>
        </w:rPr>
        <w:t xml:space="preserve">Así las cosas, una vez admitido y notificado el Recurso de Revisión a las partes, </w:t>
      </w:r>
      <w:r w:rsidR="00F054B0" w:rsidRPr="003C2F6C">
        <w:rPr>
          <w:rFonts w:ascii="Palatino Linotype" w:hAnsi="Palatino Linotype" w:cs="Tahoma"/>
          <w:color w:val="auto"/>
          <w:sz w:val="22"/>
          <w:szCs w:val="22"/>
          <w:lang w:val="es-ES"/>
        </w:rPr>
        <w:t xml:space="preserve">el Sujeto Obligado </w:t>
      </w:r>
      <w:r w:rsidR="00823F3D" w:rsidRPr="003C2F6C">
        <w:rPr>
          <w:rFonts w:ascii="Palatino Linotype" w:hAnsi="Palatino Linotype" w:cs="Tahoma"/>
          <w:color w:val="auto"/>
          <w:sz w:val="22"/>
          <w:szCs w:val="22"/>
          <w:lang w:val="es-ES"/>
        </w:rPr>
        <w:t>a través de</w:t>
      </w:r>
      <w:r w:rsidR="0093344C">
        <w:rPr>
          <w:rFonts w:ascii="Palatino Linotype" w:hAnsi="Palatino Linotype" w:cs="Tahoma"/>
          <w:color w:val="auto"/>
          <w:sz w:val="22"/>
          <w:szCs w:val="22"/>
          <w:lang w:val="es-ES"/>
        </w:rPr>
        <w:t xml:space="preserve">l </w:t>
      </w:r>
      <w:r w:rsidR="0093344C">
        <w:rPr>
          <w:rFonts w:ascii="Palatino Linotype" w:hAnsi="Palatino Linotype" w:cs="Tahoma"/>
          <w:sz w:val="22"/>
          <w:szCs w:val="22"/>
          <w:lang w:val="es-ES_tradnl"/>
        </w:rPr>
        <w:t>Jefe de Departamento de Contabilidad</w:t>
      </w:r>
      <w:r w:rsidR="00BE2E32">
        <w:rPr>
          <w:rFonts w:ascii="Palatino Linotype" w:hAnsi="Palatino Linotype" w:cs="Tahoma"/>
          <w:sz w:val="22"/>
          <w:szCs w:val="22"/>
          <w:lang w:val="es-ES_tradnl"/>
        </w:rPr>
        <w:t xml:space="preserve"> de la Tesorería Municipal</w:t>
      </w:r>
      <w:r w:rsidR="0093344C">
        <w:rPr>
          <w:rFonts w:ascii="Palatino Linotype" w:hAnsi="Palatino Linotype" w:cs="Tahoma"/>
          <w:sz w:val="22"/>
          <w:szCs w:val="22"/>
          <w:lang w:val="es-ES_tradnl"/>
        </w:rPr>
        <w:t xml:space="preserve"> una relación de </w:t>
      </w:r>
      <w:r w:rsidR="0093344C" w:rsidRPr="00FF2EB2">
        <w:rPr>
          <w:rFonts w:ascii="Palatino Linotype" w:hAnsi="Palatino Linotype"/>
          <w:color w:val="auto"/>
        </w:rPr>
        <w:t>donde constan los listados de finiquitos pagados en dos mil veinte, dos mil veintiuno y dos mil veintidós.</w:t>
      </w:r>
    </w:p>
    <w:p w14:paraId="0BEDBBE9" w14:textId="77777777" w:rsidR="006342F4" w:rsidRPr="007C3AF1" w:rsidRDefault="006342F4" w:rsidP="007911EC">
      <w:pPr>
        <w:pStyle w:val="NormalWeb"/>
        <w:spacing w:after="0" w:line="360" w:lineRule="auto"/>
        <w:ind w:right="-28"/>
        <w:rPr>
          <w:rFonts w:ascii="Palatino Linotype" w:hAnsi="Palatino Linotype" w:cs="Tahoma"/>
          <w:color w:val="FF0000"/>
          <w:sz w:val="22"/>
          <w:szCs w:val="22"/>
          <w:lang w:val="es-ES"/>
        </w:rPr>
      </w:pPr>
    </w:p>
    <w:p w14:paraId="0510944C" w14:textId="4DF9E7C9" w:rsidR="00F93859" w:rsidRPr="0093344C" w:rsidRDefault="00F93859" w:rsidP="007911EC">
      <w:pPr>
        <w:tabs>
          <w:tab w:val="left" w:pos="4962"/>
        </w:tabs>
        <w:spacing w:line="360" w:lineRule="auto"/>
        <w:jc w:val="both"/>
        <w:rPr>
          <w:rFonts w:ascii="Palatino Linotype" w:eastAsia="Calibri" w:hAnsi="Palatino Linotype" w:cs="Tahoma"/>
          <w:bCs/>
          <w:sz w:val="22"/>
          <w:szCs w:val="22"/>
        </w:rPr>
      </w:pPr>
      <w:r w:rsidRPr="0093344C">
        <w:rPr>
          <w:rFonts w:ascii="Palatino Linotype" w:eastAsia="Calibri" w:hAnsi="Palatino Linotype" w:cs="Tahoma"/>
          <w:iCs/>
          <w:sz w:val="22"/>
          <w:szCs w:val="22"/>
          <w:lang w:val="es-ES" w:eastAsia="es-ES_tradnl"/>
        </w:rPr>
        <w:t>Lo anterior, se desprende de las documentales que obran en el expediente de referencia, materia de la presente resolución, consistente en: la solicitud de acceso a la información</w:t>
      </w:r>
      <w:r w:rsidR="00870678" w:rsidRPr="0093344C">
        <w:rPr>
          <w:rFonts w:ascii="Palatino Linotype" w:eastAsia="Calibri" w:hAnsi="Palatino Linotype" w:cs="Tahoma"/>
          <w:iCs/>
          <w:sz w:val="22"/>
          <w:szCs w:val="22"/>
          <w:lang w:val="es-ES" w:eastAsia="es-ES_tradnl"/>
        </w:rPr>
        <w:t xml:space="preserve">, </w:t>
      </w:r>
      <w:r w:rsidRPr="0093344C">
        <w:rPr>
          <w:rFonts w:ascii="Palatino Linotype" w:eastAsia="Calibri" w:hAnsi="Palatino Linotype" w:cs="Tahoma"/>
          <w:iCs/>
          <w:sz w:val="22"/>
          <w:szCs w:val="22"/>
          <w:lang w:eastAsia="es-ES_tradnl"/>
        </w:rPr>
        <w:t xml:space="preserve">el escrito </w:t>
      </w:r>
      <w:proofErr w:type="spellStart"/>
      <w:r w:rsidRPr="0093344C">
        <w:rPr>
          <w:rFonts w:ascii="Palatino Linotype" w:eastAsia="Calibri" w:hAnsi="Palatino Linotype" w:cs="Tahoma"/>
          <w:iCs/>
          <w:sz w:val="22"/>
          <w:szCs w:val="22"/>
          <w:lang w:eastAsia="es-ES_tradnl"/>
        </w:rPr>
        <w:t>recursal</w:t>
      </w:r>
      <w:proofErr w:type="spellEnd"/>
      <w:r w:rsidR="00870678" w:rsidRPr="0093344C">
        <w:rPr>
          <w:rFonts w:ascii="Palatino Linotype" w:eastAsia="Calibri" w:hAnsi="Palatino Linotype" w:cs="Tahoma"/>
          <w:iCs/>
          <w:sz w:val="22"/>
          <w:szCs w:val="22"/>
          <w:lang w:eastAsia="es-ES_tradnl"/>
        </w:rPr>
        <w:t xml:space="preserve"> y el Informe Justificado</w:t>
      </w:r>
      <w:r w:rsidRPr="0093344C">
        <w:rPr>
          <w:rFonts w:ascii="Palatino Linotype" w:eastAsia="Calibri" w:hAnsi="Palatino Linotype" w:cs="Tahoma"/>
          <w:iCs/>
          <w:sz w:val="22"/>
          <w:szCs w:val="22"/>
          <w:lang w:eastAsia="es-ES_tradnl"/>
        </w:rPr>
        <w:t xml:space="preserve">; </w:t>
      </w:r>
      <w:r w:rsidRPr="0093344C">
        <w:rPr>
          <w:rFonts w:ascii="Palatino Linotype" w:eastAsia="Calibri" w:hAnsi="Palatino Linotype" w:cs="Tahoma"/>
          <w:bCs/>
          <w:sz w:val="22"/>
          <w:szCs w:val="22"/>
        </w:rPr>
        <w:t>instrumentales que se toman en cuenta a efecto de resolver el presente medio de impugnación, conforme a lo dispuesto por el artículo 185, fracción IV, de la Ley de Transparencia y Acceso a la Información Pública del Estado de México y Municipios.</w:t>
      </w:r>
    </w:p>
    <w:p w14:paraId="1F33EADC" w14:textId="77777777" w:rsidR="00BA5927" w:rsidRPr="007C3AF1" w:rsidRDefault="00BA5927" w:rsidP="007911EC">
      <w:pPr>
        <w:tabs>
          <w:tab w:val="left" w:pos="4962"/>
        </w:tabs>
        <w:spacing w:line="360" w:lineRule="auto"/>
        <w:jc w:val="both"/>
        <w:rPr>
          <w:rFonts w:ascii="Palatino Linotype" w:eastAsia="Calibri" w:hAnsi="Palatino Linotype" w:cs="Tahoma"/>
          <w:bCs/>
          <w:color w:val="FF0000"/>
          <w:sz w:val="22"/>
          <w:szCs w:val="22"/>
        </w:rPr>
      </w:pPr>
    </w:p>
    <w:p w14:paraId="2C4E6C77" w14:textId="77777777" w:rsidR="00F93859" w:rsidRPr="0093344C" w:rsidRDefault="00F93859" w:rsidP="007911EC">
      <w:pPr>
        <w:pStyle w:val="Ttulo2"/>
        <w:jc w:val="both"/>
        <w:rPr>
          <w:color w:val="auto"/>
        </w:rPr>
      </w:pPr>
      <w:bookmarkStart w:id="9" w:name="_Toc223615231"/>
      <w:r w:rsidRPr="0093344C">
        <w:rPr>
          <w:color w:val="auto"/>
          <w:lang w:val="es-ES"/>
        </w:rPr>
        <w:t xml:space="preserve">CUARTO. </w:t>
      </w:r>
      <w:r w:rsidRPr="0093344C">
        <w:rPr>
          <w:color w:val="auto"/>
        </w:rPr>
        <w:t>Marco normativo aplicable en materia de transparencia y acceso a la información pública</w:t>
      </w:r>
      <w:bookmarkEnd w:id="9"/>
    </w:p>
    <w:p w14:paraId="46E96098" w14:textId="77777777" w:rsidR="00BA5927" w:rsidRPr="0093344C" w:rsidRDefault="00BA5927" w:rsidP="007911EC">
      <w:pPr>
        <w:spacing w:line="360" w:lineRule="auto"/>
        <w:jc w:val="both"/>
        <w:rPr>
          <w:rFonts w:ascii="Palatino Linotype" w:hAnsi="Palatino Linotype" w:cs="Tahoma"/>
          <w:sz w:val="22"/>
          <w:szCs w:val="22"/>
        </w:rPr>
      </w:pPr>
    </w:p>
    <w:p w14:paraId="6C744EA8" w14:textId="5A4C947D" w:rsidR="00BA5927" w:rsidRPr="0093344C" w:rsidRDefault="00BA5927" w:rsidP="007911EC">
      <w:pPr>
        <w:spacing w:line="360" w:lineRule="auto"/>
        <w:jc w:val="both"/>
        <w:rPr>
          <w:rFonts w:ascii="Palatino Linotype" w:hAnsi="Palatino Linotype" w:cs="Tahoma"/>
          <w:sz w:val="22"/>
          <w:szCs w:val="22"/>
        </w:rPr>
      </w:pPr>
      <w:r w:rsidRPr="0093344C">
        <w:rPr>
          <w:rFonts w:ascii="Palatino Linotype" w:hAnsi="Palatino Linotype" w:cs="Tahoma"/>
          <w:sz w:val="22"/>
          <w:szCs w:val="22"/>
        </w:rPr>
        <w:lastRenderedPageBreak/>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44FA864E" w14:textId="77777777" w:rsidR="00BA5927" w:rsidRPr="0093344C" w:rsidRDefault="00BA5927" w:rsidP="007911EC">
      <w:pPr>
        <w:spacing w:line="360" w:lineRule="auto"/>
        <w:jc w:val="both"/>
        <w:rPr>
          <w:rFonts w:ascii="Palatino Linotype" w:hAnsi="Palatino Linotype" w:cs="Tahoma"/>
          <w:sz w:val="22"/>
          <w:szCs w:val="22"/>
        </w:rPr>
      </w:pPr>
    </w:p>
    <w:p w14:paraId="59FF412A" w14:textId="77777777" w:rsidR="00BA5927" w:rsidRPr="0093344C" w:rsidRDefault="00BA5927" w:rsidP="007911EC">
      <w:pPr>
        <w:spacing w:line="360" w:lineRule="auto"/>
        <w:jc w:val="both"/>
        <w:rPr>
          <w:rFonts w:ascii="Palatino Linotype" w:hAnsi="Palatino Linotype" w:cs="Tahoma"/>
          <w:sz w:val="22"/>
          <w:szCs w:val="22"/>
        </w:rPr>
      </w:pPr>
      <w:r w:rsidRPr="0093344C">
        <w:rPr>
          <w:rFonts w:ascii="Palatino Linotype" w:hAnsi="Palatino Linotype" w:cs="Tahoma"/>
          <w:sz w:val="22"/>
          <w:szCs w:val="22"/>
        </w:rPr>
        <w:t>La Ley General de Transparencia y Acceso a la Información Pública, dispone en su artículo 70, la información que se considera corresponde a las Obligaciones de Transparencia, la cual debe estar disponible para cualquier persona de manera permanente y actualizada.</w:t>
      </w:r>
    </w:p>
    <w:p w14:paraId="3073D880" w14:textId="77777777" w:rsidR="00BA5927" w:rsidRPr="0093344C" w:rsidRDefault="00BA5927" w:rsidP="007911EC">
      <w:pPr>
        <w:spacing w:line="360" w:lineRule="auto"/>
        <w:jc w:val="both"/>
        <w:rPr>
          <w:rFonts w:ascii="Palatino Linotype" w:hAnsi="Palatino Linotype" w:cs="Tahoma"/>
          <w:sz w:val="22"/>
          <w:szCs w:val="22"/>
        </w:rPr>
      </w:pPr>
    </w:p>
    <w:p w14:paraId="67458415" w14:textId="77777777" w:rsidR="00BA5927" w:rsidRPr="0093344C" w:rsidRDefault="00BA5927" w:rsidP="007911EC">
      <w:pPr>
        <w:spacing w:line="360" w:lineRule="auto"/>
        <w:jc w:val="both"/>
        <w:rPr>
          <w:rFonts w:ascii="Palatino Linotype" w:hAnsi="Palatino Linotype" w:cs="Tahoma"/>
          <w:sz w:val="22"/>
          <w:szCs w:val="22"/>
        </w:rPr>
      </w:pPr>
      <w:r w:rsidRPr="0093344C">
        <w:rPr>
          <w:rFonts w:ascii="Palatino Linotype" w:hAnsi="Palatino Linotype" w:cs="Tahoma"/>
          <w:sz w:val="22"/>
          <w:szCs w:val="22"/>
        </w:rPr>
        <w:t>Por su parte,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70E914CF" w14:textId="77777777" w:rsidR="00BA5927" w:rsidRPr="0093344C" w:rsidRDefault="00BA5927" w:rsidP="007911EC">
      <w:pPr>
        <w:spacing w:line="360" w:lineRule="auto"/>
        <w:jc w:val="both"/>
        <w:rPr>
          <w:rFonts w:ascii="Palatino Linotype" w:hAnsi="Palatino Linotype" w:cs="Tahoma"/>
          <w:iCs/>
          <w:sz w:val="22"/>
          <w:szCs w:val="22"/>
        </w:rPr>
      </w:pPr>
    </w:p>
    <w:p w14:paraId="38D03AB7" w14:textId="77777777" w:rsidR="00BA5927" w:rsidRPr="0093344C" w:rsidRDefault="00BA5927" w:rsidP="007911EC">
      <w:pPr>
        <w:spacing w:line="360" w:lineRule="auto"/>
        <w:jc w:val="both"/>
        <w:rPr>
          <w:rFonts w:ascii="Palatino Linotype" w:hAnsi="Palatino Linotype" w:cs="Tahoma"/>
          <w:iCs/>
          <w:sz w:val="22"/>
          <w:szCs w:val="22"/>
        </w:rPr>
      </w:pPr>
      <w:r w:rsidRPr="0093344C">
        <w:rPr>
          <w:rFonts w:ascii="Palatino Linotype" w:hAnsi="Palatino Linotype" w:cs="Tahoma"/>
          <w:iCs/>
          <w:sz w:val="22"/>
          <w:szCs w:val="22"/>
        </w:rPr>
        <w:t>En ese sentido, la Ley de Transparencia y Acceso a la Información Pública del Estado de México y Municipios (Reglamentaria del artículo 5° de la Constitución Local), establece lo siguiente:</w:t>
      </w:r>
    </w:p>
    <w:p w14:paraId="30C33E7D" w14:textId="77777777" w:rsidR="009C44AA" w:rsidRPr="0093344C" w:rsidRDefault="009C44AA" w:rsidP="007911EC">
      <w:pPr>
        <w:spacing w:line="360" w:lineRule="auto"/>
        <w:jc w:val="both"/>
        <w:rPr>
          <w:rFonts w:ascii="Palatino Linotype" w:hAnsi="Palatino Linotype" w:cs="Tahoma"/>
          <w:iCs/>
          <w:sz w:val="22"/>
          <w:szCs w:val="22"/>
        </w:rPr>
      </w:pPr>
    </w:p>
    <w:p w14:paraId="666CD1C7" w14:textId="77777777" w:rsidR="00E716DD" w:rsidRPr="0093344C" w:rsidRDefault="00E716DD" w:rsidP="007911EC">
      <w:pPr>
        <w:spacing w:line="360" w:lineRule="auto"/>
        <w:jc w:val="both"/>
        <w:rPr>
          <w:rFonts w:ascii="Palatino Linotype" w:hAnsi="Palatino Linotype" w:cs="Tahoma"/>
          <w:iCs/>
          <w:sz w:val="22"/>
          <w:szCs w:val="22"/>
        </w:rPr>
      </w:pPr>
      <w:r w:rsidRPr="0093344C">
        <w:rPr>
          <w:rFonts w:ascii="Palatino Linotype" w:hAnsi="Palatino Linotype" w:cs="Tahoma"/>
          <w:iCs/>
          <w:sz w:val="22"/>
          <w:szCs w:val="22"/>
        </w:rPr>
        <w:t>El artículo 12, que, quienes generen, recopilen, administren, manejen, procesen, archiven o conserven información pública serán responsables de la misma.</w:t>
      </w:r>
    </w:p>
    <w:p w14:paraId="3587C284" w14:textId="77777777" w:rsidR="00B06E23" w:rsidRPr="0093344C" w:rsidRDefault="00B06E23" w:rsidP="007911EC">
      <w:pPr>
        <w:spacing w:line="360" w:lineRule="auto"/>
        <w:jc w:val="both"/>
        <w:rPr>
          <w:rFonts w:ascii="Palatino Linotype" w:hAnsi="Palatino Linotype" w:cs="Tahoma"/>
          <w:iCs/>
          <w:sz w:val="22"/>
          <w:szCs w:val="22"/>
        </w:rPr>
      </w:pPr>
    </w:p>
    <w:p w14:paraId="0338B81A" w14:textId="77777777" w:rsidR="00E716DD" w:rsidRPr="0093344C" w:rsidRDefault="00E716DD" w:rsidP="007911EC">
      <w:pPr>
        <w:spacing w:line="360" w:lineRule="auto"/>
        <w:jc w:val="both"/>
        <w:rPr>
          <w:rFonts w:ascii="Palatino Linotype" w:hAnsi="Palatino Linotype" w:cs="Tahoma"/>
          <w:iCs/>
          <w:sz w:val="22"/>
          <w:szCs w:val="22"/>
        </w:rPr>
      </w:pPr>
      <w:r w:rsidRPr="0093344C">
        <w:rPr>
          <w:rFonts w:ascii="Palatino Linotype" w:hAnsi="Palatino Linotype" w:cs="Tahoma"/>
          <w:iCs/>
          <w:sz w:val="22"/>
          <w:szCs w:val="22"/>
        </w:rPr>
        <w:t>El artículo 18, que, los Sujetos Obligados deberán documentar todo acto que derive del ejercicio de sus facultades, competencias o funciones, considerando desde su origen la eventual publicidad y reutilización de la información que generen.</w:t>
      </w:r>
    </w:p>
    <w:p w14:paraId="31FB63BC" w14:textId="77777777" w:rsidR="00E716DD" w:rsidRPr="0093344C" w:rsidRDefault="00E716DD" w:rsidP="007911EC">
      <w:pPr>
        <w:spacing w:line="360" w:lineRule="auto"/>
        <w:jc w:val="both"/>
        <w:rPr>
          <w:rFonts w:ascii="Palatino Linotype" w:hAnsi="Palatino Linotype" w:cs="Tahoma"/>
          <w:iCs/>
          <w:sz w:val="22"/>
          <w:szCs w:val="22"/>
        </w:rPr>
      </w:pPr>
    </w:p>
    <w:p w14:paraId="142DF62C" w14:textId="77777777" w:rsidR="00E716DD" w:rsidRPr="0093344C" w:rsidRDefault="00E716DD" w:rsidP="007911EC">
      <w:pPr>
        <w:spacing w:line="360" w:lineRule="auto"/>
        <w:jc w:val="both"/>
        <w:rPr>
          <w:rFonts w:ascii="Palatino Linotype" w:hAnsi="Palatino Linotype" w:cs="Tahoma"/>
          <w:iCs/>
          <w:sz w:val="22"/>
          <w:szCs w:val="22"/>
        </w:rPr>
      </w:pPr>
      <w:r w:rsidRPr="0093344C">
        <w:rPr>
          <w:rFonts w:ascii="Palatino Linotype" w:hAnsi="Palatino Linotype" w:cs="Tahoma"/>
          <w:iCs/>
          <w:sz w:val="22"/>
          <w:szCs w:val="22"/>
        </w:rPr>
        <w:lastRenderedPageBreak/>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4249BC6B" w14:textId="77777777" w:rsidR="00E716DD" w:rsidRPr="0093344C" w:rsidRDefault="00E716DD" w:rsidP="007911EC">
      <w:pPr>
        <w:spacing w:line="360" w:lineRule="auto"/>
        <w:jc w:val="both"/>
        <w:rPr>
          <w:rFonts w:ascii="Palatino Linotype" w:hAnsi="Palatino Linotype" w:cs="Tahoma"/>
          <w:iCs/>
          <w:sz w:val="22"/>
          <w:szCs w:val="22"/>
          <w:lang w:val="es-ES"/>
        </w:rPr>
      </w:pPr>
    </w:p>
    <w:p w14:paraId="21CE24D2" w14:textId="77777777" w:rsidR="00E716DD" w:rsidRPr="0093344C" w:rsidRDefault="00E716DD" w:rsidP="007911EC">
      <w:pPr>
        <w:pStyle w:val="Ttulo2"/>
        <w:rPr>
          <w:color w:val="auto"/>
          <w:lang w:val="es-ES"/>
        </w:rPr>
      </w:pPr>
      <w:bookmarkStart w:id="10" w:name="_Toc223615232"/>
      <w:r w:rsidRPr="0093344C">
        <w:rPr>
          <w:color w:val="auto"/>
          <w:lang w:val="es-ES"/>
        </w:rPr>
        <w:t>QUINTO. Estudio de Fondo</w:t>
      </w:r>
      <w:bookmarkEnd w:id="10"/>
    </w:p>
    <w:p w14:paraId="7C675EDB" w14:textId="77777777" w:rsidR="00E716DD" w:rsidRPr="007C3AF1" w:rsidRDefault="00E716DD" w:rsidP="007911EC">
      <w:pPr>
        <w:spacing w:line="360" w:lineRule="auto"/>
        <w:jc w:val="both"/>
        <w:rPr>
          <w:rFonts w:ascii="Palatino Linotype" w:hAnsi="Palatino Linotype" w:cs="Tahoma"/>
          <w:iCs/>
          <w:color w:val="FF0000"/>
          <w:sz w:val="22"/>
          <w:szCs w:val="22"/>
          <w:lang w:val="es-ES"/>
        </w:rPr>
      </w:pPr>
    </w:p>
    <w:p w14:paraId="24AEFE35" w14:textId="0F18EE62" w:rsidR="00E716DD" w:rsidRPr="0093344C" w:rsidRDefault="00E716DD" w:rsidP="007911EC">
      <w:pPr>
        <w:spacing w:line="360" w:lineRule="auto"/>
        <w:jc w:val="both"/>
        <w:rPr>
          <w:rFonts w:ascii="Palatino Linotype" w:eastAsia="Calibri" w:hAnsi="Palatino Linotype" w:cs="Tahoma"/>
          <w:sz w:val="22"/>
          <w:szCs w:val="22"/>
          <w:lang w:eastAsia="en-US"/>
        </w:rPr>
      </w:pPr>
      <w:r w:rsidRPr="0093344C">
        <w:rPr>
          <w:rFonts w:ascii="Palatino Linotype" w:hAnsi="Palatino Linotype" w:cs="Tahoma"/>
          <w:iCs/>
          <w:sz w:val="22"/>
          <w:szCs w:val="22"/>
        </w:rPr>
        <w:t xml:space="preserve">Expuestas las posturas de las partes, se procede al análisis del agravio hecho valer por la persona Recurrente, concerniente a la falta de respuesta del </w:t>
      </w:r>
      <w:r w:rsidR="007E4295" w:rsidRPr="0093344C">
        <w:rPr>
          <w:rFonts w:ascii="Palatino Linotype" w:eastAsia="Calibri" w:hAnsi="Palatino Linotype" w:cs="Tahoma"/>
          <w:sz w:val="22"/>
          <w:szCs w:val="22"/>
          <w:lang w:eastAsia="en-US"/>
        </w:rPr>
        <w:t xml:space="preserve">Ayuntamiento de </w:t>
      </w:r>
      <w:r w:rsidR="0093344C" w:rsidRPr="0093344C">
        <w:rPr>
          <w:rFonts w:ascii="Palatino Linotype" w:eastAsia="Calibri" w:hAnsi="Palatino Linotype" w:cs="Tahoma"/>
          <w:sz w:val="22"/>
          <w:szCs w:val="22"/>
          <w:lang w:eastAsia="en-US"/>
        </w:rPr>
        <w:t xml:space="preserve">Valle de Chalco Solidaridad </w:t>
      </w:r>
      <w:r w:rsidRPr="0093344C">
        <w:rPr>
          <w:rFonts w:ascii="Palatino Linotype" w:hAnsi="Palatino Linotype" w:cs="Tahoma"/>
          <w:iCs/>
          <w:sz w:val="22"/>
          <w:szCs w:val="22"/>
        </w:rPr>
        <w:t>a la solicitud de información.</w:t>
      </w:r>
    </w:p>
    <w:p w14:paraId="685AFA76" w14:textId="77777777" w:rsidR="00E716DD" w:rsidRPr="007C3AF1" w:rsidRDefault="00E716DD" w:rsidP="007911EC">
      <w:pPr>
        <w:spacing w:line="360" w:lineRule="auto"/>
        <w:jc w:val="both"/>
        <w:rPr>
          <w:rFonts w:ascii="Palatino Linotype" w:hAnsi="Palatino Linotype" w:cs="Tahoma"/>
          <w:iCs/>
          <w:color w:val="FF0000"/>
          <w:sz w:val="22"/>
          <w:szCs w:val="22"/>
        </w:rPr>
      </w:pPr>
    </w:p>
    <w:p w14:paraId="05477E73" w14:textId="77777777" w:rsidR="00E716DD" w:rsidRPr="0093344C" w:rsidRDefault="00E716DD" w:rsidP="007911EC">
      <w:pPr>
        <w:spacing w:line="360" w:lineRule="auto"/>
        <w:jc w:val="both"/>
        <w:rPr>
          <w:rFonts w:ascii="Palatino Linotype" w:hAnsi="Palatino Linotype" w:cs="Tahoma"/>
          <w:iCs/>
          <w:sz w:val="22"/>
          <w:szCs w:val="22"/>
        </w:rPr>
      </w:pPr>
      <w:r w:rsidRPr="0093344C">
        <w:rPr>
          <w:rFonts w:ascii="Palatino Linotype" w:hAnsi="Palatino Linotype" w:cs="Tahoma"/>
          <w:iCs/>
          <w:sz w:val="22"/>
          <w:szCs w:val="22"/>
        </w:rPr>
        <w:t>En principio, es de suma importancia señalar los objetivos de la Ley de Transparencia y Acceso a la Información Pública del Estado de México y Municipios, en relación con la obligación de acceso por parte de los Sujetos Obligados, lo cuales se encuentran establecidos en el artículo 2° de dicho ordenamiento jurídico y son los siguientes:</w:t>
      </w:r>
    </w:p>
    <w:p w14:paraId="22CAC5BD" w14:textId="77777777" w:rsidR="00E716DD" w:rsidRPr="0093344C" w:rsidRDefault="00E716DD" w:rsidP="007911EC">
      <w:pPr>
        <w:spacing w:line="360" w:lineRule="auto"/>
        <w:jc w:val="both"/>
        <w:rPr>
          <w:rFonts w:ascii="Palatino Linotype" w:hAnsi="Palatino Linotype" w:cs="Tahoma"/>
          <w:iCs/>
          <w:sz w:val="22"/>
          <w:szCs w:val="22"/>
        </w:rPr>
      </w:pPr>
    </w:p>
    <w:p w14:paraId="5810B3D5" w14:textId="77777777" w:rsidR="00E716DD" w:rsidRPr="0093344C" w:rsidRDefault="00E716DD" w:rsidP="007911EC">
      <w:pPr>
        <w:numPr>
          <w:ilvl w:val="0"/>
          <w:numId w:val="2"/>
        </w:numPr>
        <w:spacing w:line="360" w:lineRule="auto"/>
        <w:jc w:val="both"/>
        <w:rPr>
          <w:rFonts w:ascii="Palatino Linotype" w:hAnsi="Palatino Linotype" w:cs="Tahoma"/>
          <w:iCs/>
          <w:sz w:val="22"/>
          <w:szCs w:val="22"/>
        </w:rPr>
      </w:pPr>
      <w:r w:rsidRPr="0093344C">
        <w:rPr>
          <w:rFonts w:ascii="Palatino Linotype" w:hAnsi="Palatino Linotype" w:cs="Tahoma"/>
          <w:iCs/>
          <w:sz w:val="22"/>
          <w:szCs w:val="22"/>
        </w:rPr>
        <w:t>Proveer lo necesario para garantizar a toda persona el derecho de acceso a la información pública, a través de procedimientos sencillos, expeditos, oportunos y gratuitos;</w:t>
      </w:r>
    </w:p>
    <w:p w14:paraId="6A79A7E8" w14:textId="77777777" w:rsidR="003A796B" w:rsidRPr="0093344C" w:rsidRDefault="003A796B" w:rsidP="007911EC">
      <w:pPr>
        <w:spacing w:line="360" w:lineRule="auto"/>
        <w:ind w:left="720"/>
        <w:jc w:val="both"/>
        <w:rPr>
          <w:rFonts w:ascii="Palatino Linotype" w:hAnsi="Palatino Linotype" w:cs="Tahoma"/>
          <w:iCs/>
          <w:sz w:val="22"/>
          <w:szCs w:val="22"/>
        </w:rPr>
      </w:pPr>
    </w:p>
    <w:p w14:paraId="27E57A7B" w14:textId="77777777" w:rsidR="00E716DD" w:rsidRPr="0093344C" w:rsidRDefault="00E716DD" w:rsidP="007911EC">
      <w:pPr>
        <w:numPr>
          <w:ilvl w:val="0"/>
          <w:numId w:val="2"/>
        </w:numPr>
        <w:spacing w:line="360" w:lineRule="auto"/>
        <w:jc w:val="both"/>
        <w:rPr>
          <w:rFonts w:ascii="Palatino Linotype" w:hAnsi="Palatino Linotype" w:cs="Tahoma"/>
          <w:iCs/>
          <w:sz w:val="22"/>
          <w:szCs w:val="22"/>
        </w:rPr>
      </w:pPr>
      <w:r w:rsidRPr="0093344C">
        <w:rPr>
          <w:rFonts w:ascii="Palatino Linotype" w:hAnsi="Palatino Linotype" w:cs="Tahoma"/>
          <w:iCs/>
          <w:sz w:val="22"/>
          <w:szCs w:val="22"/>
        </w:rPr>
        <w:t>Transparentar la gestión pública, mediante la difusión de la información generada por los Sujetos Obligados, y</w:t>
      </w:r>
    </w:p>
    <w:p w14:paraId="36D4BC00" w14:textId="77777777" w:rsidR="003A796B" w:rsidRPr="0093344C" w:rsidRDefault="003A796B" w:rsidP="007911EC">
      <w:pPr>
        <w:pStyle w:val="Prrafodelista"/>
        <w:spacing w:line="360" w:lineRule="auto"/>
        <w:rPr>
          <w:rFonts w:ascii="Palatino Linotype" w:hAnsi="Palatino Linotype" w:cs="Tahoma"/>
          <w:iCs/>
          <w:szCs w:val="22"/>
        </w:rPr>
      </w:pPr>
    </w:p>
    <w:p w14:paraId="5B30FD99" w14:textId="77777777" w:rsidR="00E716DD" w:rsidRPr="0093344C" w:rsidRDefault="00E716DD" w:rsidP="007911EC">
      <w:pPr>
        <w:numPr>
          <w:ilvl w:val="0"/>
          <w:numId w:val="2"/>
        </w:numPr>
        <w:spacing w:line="360" w:lineRule="auto"/>
        <w:jc w:val="both"/>
        <w:rPr>
          <w:rFonts w:ascii="Palatino Linotype" w:hAnsi="Palatino Linotype" w:cs="Tahoma"/>
          <w:iCs/>
          <w:sz w:val="22"/>
          <w:szCs w:val="22"/>
        </w:rPr>
      </w:pPr>
      <w:r w:rsidRPr="0093344C">
        <w:rPr>
          <w:rFonts w:ascii="Palatino Linotype" w:hAnsi="Palatino Linotype" w:cs="Tahoma"/>
          <w:iCs/>
          <w:sz w:val="22"/>
          <w:szCs w:val="22"/>
        </w:rPr>
        <w:t>Promover, fomentar y difundir la cultura de la transparencia en el ejercicio de la función pública, el acceso a la información y la participación ciudadana, así como, la rendición de cuentas.</w:t>
      </w:r>
    </w:p>
    <w:p w14:paraId="017DAD94" w14:textId="77777777" w:rsidR="00E716DD" w:rsidRPr="0093344C" w:rsidRDefault="00E716DD" w:rsidP="007911EC">
      <w:pPr>
        <w:spacing w:line="360" w:lineRule="auto"/>
        <w:jc w:val="both"/>
        <w:rPr>
          <w:rFonts w:ascii="Palatino Linotype" w:hAnsi="Palatino Linotype" w:cs="Tahoma"/>
          <w:iCs/>
          <w:sz w:val="22"/>
          <w:szCs w:val="22"/>
        </w:rPr>
      </w:pPr>
    </w:p>
    <w:p w14:paraId="4D78B5D2" w14:textId="77777777" w:rsidR="00E716DD" w:rsidRPr="0093344C" w:rsidRDefault="00E716DD" w:rsidP="007911EC">
      <w:pPr>
        <w:spacing w:line="360" w:lineRule="auto"/>
        <w:jc w:val="both"/>
        <w:rPr>
          <w:rFonts w:ascii="Palatino Linotype" w:hAnsi="Palatino Linotype" w:cs="Tahoma"/>
          <w:iCs/>
          <w:sz w:val="22"/>
          <w:szCs w:val="22"/>
        </w:rPr>
      </w:pPr>
      <w:r w:rsidRPr="0093344C">
        <w:rPr>
          <w:rFonts w:ascii="Palatino Linotype" w:hAnsi="Palatino Linotype" w:cs="Tahoma"/>
          <w:iCs/>
          <w:sz w:val="22"/>
          <w:szCs w:val="22"/>
        </w:rPr>
        <w:t>Conforme a lo anterior, se deprende que los objetivos de la Ley de la materia, son establecer las bases que regirán las formas para garantizar el derecho de acceso a la información, mediante procesos sencillos y expeditos, la promoción, fomentación y difusión de la cultura de transparencia y la rendición de cuentas, a través de establecimiento de políticas públicas y mecanismos que garanticen la publicidad de información oportuna, verificable, comprensible, actualizada y completa.</w:t>
      </w:r>
    </w:p>
    <w:p w14:paraId="2AE415D4" w14:textId="77777777" w:rsidR="00E716DD" w:rsidRPr="0093344C" w:rsidRDefault="00E716DD" w:rsidP="007911EC">
      <w:pPr>
        <w:spacing w:line="360" w:lineRule="auto"/>
        <w:jc w:val="both"/>
        <w:rPr>
          <w:rFonts w:ascii="Palatino Linotype" w:hAnsi="Palatino Linotype" w:cs="Tahoma"/>
          <w:iCs/>
          <w:sz w:val="22"/>
          <w:szCs w:val="22"/>
        </w:rPr>
      </w:pPr>
    </w:p>
    <w:p w14:paraId="0B263179" w14:textId="77777777" w:rsidR="00E716DD" w:rsidRPr="0093344C" w:rsidRDefault="00E716DD" w:rsidP="007911EC">
      <w:pPr>
        <w:spacing w:line="360" w:lineRule="auto"/>
        <w:jc w:val="both"/>
        <w:rPr>
          <w:rFonts w:ascii="Palatino Linotype" w:hAnsi="Palatino Linotype" w:cs="Tahoma"/>
          <w:iCs/>
          <w:sz w:val="22"/>
          <w:szCs w:val="22"/>
        </w:rPr>
      </w:pPr>
      <w:r w:rsidRPr="0093344C">
        <w:rPr>
          <w:rFonts w:ascii="Palatino Linotype" w:hAnsi="Palatino Linotype" w:cs="Tahoma"/>
          <w:iCs/>
          <w:sz w:val="22"/>
          <w:szCs w:val="22"/>
        </w:rPr>
        <w:t>En ese orden de ideas, para la atención de las solicitudes de acceso a la información, debe privilegiarse el principio de máxima publicidad el cual dispone que toda la información en posesión de los sujetos obligados será pública, completa, oportuna y accesible, sujeta a un claro régimen de excepciones que deberán estar definidas y ser legítimas y estrictamente necesarias en una sociedad democrática.</w:t>
      </w:r>
    </w:p>
    <w:p w14:paraId="53449F0F" w14:textId="77777777" w:rsidR="00E716DD" w:rsidRPr="0093344C" w:rsidRDefault="00E716DD" w:rsidP="007911EC">
      <w:pPr>
        <w:spacing w:line="360" w:lineRule="auto"/>
        <w:jc w:val="both"/>
        <w:rPr>
          <w:rFonts w:ascii="Palatino Linotype" w:hAnsi="Palatino Linotype" w:cs="Tahoma"/>
          <w:iCs/>
          <w:sz w:val="22"/>
          <w:szCs w:val="22"/>
        </w:rPr>
      </w:pPr>
    </w:p>
    <w:p w14:paraId="0A96F3D2" w14:textId="77777777" w:rsidR="00E716DD" w:rsidRPr="0093344C" w:rsidRDefault="00E716DD" w:rsidP="007911EC">
      <w:pPr>
        <w:spacing w:line="360" w:lineRule="auto"/>
        <w:jc w:val="both"/>
        <w:rPr>
          <w:rFonts w:ascii="Palatino Linotype" w:hAnsi="Palatino Linotype" w:cs="Tahoma"/>
          <w:iCs/>
          <w:sz w:val="22"/>
          <w:szCs w:val="22"/>
        </w:rPr>
      </w:pPr>
      <w:r w:rsidRPr="0093344C">
        <w:rPr>
          <w:rFonts w:ascii="Palatino Linotype" w:hAnsi="Palatino Linotype" w:cs="Tahoma"/>
          <w:iCs/>
          <w:sz w:val="22"/>
          <w:szCs w:val="22"/>
        </w:rPr>
        <w:t>Para lograr lo anterior, los Sujetos Obligados deben seguir el procedimiento para la atención a las solicitudes de acceso a la información, establecido en los artículos 151, 159, 160, 162, 163, 164, 165 y 166, de la Ley de Transparencia y Acceso a la Información Pública del Estado de México y Municipios, el cual es el siguiente:</w:t>
      </w:r>
    </w:p>
    <w:p w14:paraId="143619E8" w14:textId="77777777" w:rsidR="009A3007" w:rsidRPr="0093344C" w:rsidRDefault="009A3007" w:rsidP="007911EC">
      <w:pPr>
        <w:spacing w:line="360" w:lineRule="auto"/>
        <w:jc w:val="both"/>
        <w:rPr>
          <w:rFonts w:ascii="Palatino Linotype" w:hAnsi="Palatino Linotype" w:cs="Tahoma"/>
          <w:iCs/>
          <w:sz w:val="22"/>
          <w:szCs w:val="22"/>
        </w:rPr>
      </w:pPr>
    </w:p>
    <w:p w14:paraId="167E06A5" w14:textId="77777777" w:rsidR="00E716DD" w:rsidRPr="0093344C" w:rsidRDefault="00E716DD" w:rsidP="007911EC">
      <w:pPr>
        <w:numPr>
          <w:ilvl w:val="0"/>
          <w:numId w:val="3"/>
        </w:numPr>
        <w:spacing w:line="360" w:lineRule="auto"/>
        <w:jc w:val="both"/>
        <w:rPr>
          <w:rFonts w:ascii="Palatino Linotype" w:hAnsi="Palatino Linotype" w:cs="Tahoma"/>
          <w:iCs/>
          <w:sz w:val="22"/>
          <w:szCs w:val="22"/>
        </w:rPr>
      </w:pPr>
      <w:r w:rsidRPr="0093344C">
        <w:rPr>
          <w:rFonts w:ascii="Palatino Linotype" w:hAnsi="Palatino Linotype" w:cs="Tahoma"/>
          <w:iCs/>
          <w:sz w:val="22"/>
          <w:szCs w:val="22"/>
        </w:rPr>
        <w:t>Las Unidades de Transparencia de los Sujetos Obligados deben garantizar las medidas y condiciones de accesibilidad para que toda persona puede ejercer el derecho de acceso a la información; por lo que, son las responsables de hacer las notificaciones correspondientes, además de llevar a cabo de todas las gestiones necesarias para facilitar el acceso de la información;</w:t>
      </w:r>
    </w:p>
    <w:p w14:paraId="2EF28D30" w14:textId="77777777" w:rsidR="00BA5927" w:rsidRPr="0093344C" w:rsidRDefault="00BA5927" w:rsidP="007911EC">
      <w:pPr>
        <w:spacing w:line="360" w:lineRule="auto"/>
        <w:ind w:left="720"/>
        <w:jc w:val="both"/>
        <w:rPr>
          <w:rFonts w:ascii="Palatino Linotype" w:hAnsi="Palatino Linotype" w:cs="Tahoma"/>
          <w:iCs/>
          <w:sz w:val="22"/>
          <w:szCs w:val="22"/>
        </w:rPr>
      </w:pPr>
    </w:p>
    <w:p w14:paraId="37A816FA" w14:textId="16BEC6ED" w:rsidR="00E716DD" w:rsidRDefault="00E716DD" w:rsidP="007911EC">
      <w:pPr>
        <w:numPr>
          <w:ilvl w:val="0"/>
          <w:numId w:val="3"/>
        </w:numPr>
        <w:spacing w:line="360" w:lineRule="auto"/>
        <w:jc w:val="both"/>
        <w:rPr>
          <w:rFonts w:ascii="Palatino Linotype" w:hAnsi="Palatino Linotype" w:cs="Tahoma"/>
          <w:iCs/>
          <w:sz w:val="22"/>
          <w:szCs w:val="22"/>
        </w:rPr>
      </w:pPr>
      <w:r w:rsidRPr="0093344C">
        <w:rPr>
          <w:rFonts w:ascii="Palatino Linotype" w:hAnsi="Palatino Linotype" w:cs="Tahoma"/>
          <w:iCs/>
          <w:sz w:val="22"/>
          <w:szCs w:val="22"/>
        </w:rPr>
        <w:lastRenderedPageBreak/>
        <w:t>Los Sujetos Obligados podrán requerirle a los Solicitantes, que complementen, corrijan o amplíen su solicitud de información, cuando resulten los datos proporcionados insuficientes, incorrectos, incompletos o erróneos; solicitar dicha aclaración, interrumpirá el plazo para dar respuesta y comenzará a computarse el día siguiente al desahogo de esta</w:t>
      </w:r>
      <w:r w:rsidR="001A7D1C" w:rsidRPr="0093344C">
        <w:rPr>
          <w:rFonts w:ascii="Palatino Linotype" w:hAnsi="Palatino Linotype" w:cs="Tahoma"/>
          <w:iCs/>
          <w:sz w:val="22"/>
          <w:szCs w:val="22"/>
        </w:rPr>
        <w:t>;</w:t>
      </w:r>
    </w:p>
    <w:p w14:paraId="3520A3B4" w14:textId="77777777" w:rsidR="007911EC" w:rsidRDefault="007911EC" w:rsidP="007911EC">
      <w:pPr>
        <w:pStyle w:val="Prrafodelista"/>
        <w:spacing w:line="360" w:lineRule="auto"/>
        <w:rPr>
          <w:rFonts w:ascii="Palatino Linotype" w:hAnsi="Palatino Linotype" w:cs="Tahoma"/>
          <w:iCs/>
          <w:szCs w:val="22"/>
        </w:rPr>
      </w:pPr>
    </w:p>
    <w:p w14:paraId="29733BD8" w14:textId="40350B0E" w:rsidR="00E716DD" w:rsidRPr="0093344C" w:rsidRDefault="00E716DD" w:rsidP="007911EC">
      <w:pPr>
        <w:numPr>
          <w:ilvl w:val="0"/>
          <w:numId w:val="3"/>
        </w:numPr>
        <w:spacing w:line="360" w:lineRule="auto"/>
        <w:jc w:val="both"/>
        <w:rPr>
          <w:rFonts w:ascii="Palatino Linotype" w:hAnsi="Palatino Linotype" w:cs="Tahoma"/>
          <w:iCs/>
          <w:sz w:val="22"/>
          <w:szCs w:val="22"/>
        </w:rPr>
      </w:pPr>
      <w:r w:rsidRPr="0093344C">
        <w:rPr>
          <w:rFonts w:ascii="Palatino Linotype" w:hAnsi="Palatino Linotype" w:cs="Tahoma"/>
          <w:iCs/>
          <w:sz w:val="22"/>
          <w:szCs w:val="22"/>
        </w:rPr>
        <w:t>Las respuestas a los requerimientos informativos deberán notificarse al interesado en el menor tiempo posible, que no podrá exceder quince días, contados a partir del día siguiente a la presentación de ésta. Excepcionalmente, el plazo referido podrá ampliarse por siete días hábiles más, cuando existan razones fundadas y motivadas, a través del Comité de Transparencia;</w:t>
      </w:r>
    </w:p>
    <w:p w14:paraId="65FA4B4C" w14:textId="77777777" w:rsidR="00BA5927" w:rsidRPr="0093344C" w:rsidRDefault="00BA5927" w:rsidP="007911EC">
      <w:pPr>
        <w:pStyle w:val="Prrafodelista"/>
        <w:spacing w:line="360" w:lineRule="auto"/>
        <w:rPr>
          <w:rFonts w:ascii="Palatino Linotype" w:hAnsi="Palatino Linotype" w:cs="Tahoma"/>
          <w:iCs/>
          <w:szCs w:val="22"/>
        </w:rPr>
      </w:pPr>
    </w:p>
    <w:p w14:paraId="51C1EBAF" w14:textId="77777777" w:rsidR="00E716DD" w:rsidRPr="0093344C" w:rsidRDefault="00E716DD" w:rsidP="007911EC">
      <w:pPr>
        <w:numPr>
          <w:ilvl w:val="0"/>
          <w:numId w:val="3"/>
        </w:numPr>
        <w:spacing w:line="360" w:lineRule="auto"/>
        <w:jc w:val="both"/>
        <w:rPr>
          <w:rFonts w:ascii="Palatino Linotype" w:hAnsi="Palatino Linotype" w:cs="Tahoma"/>
          <w:iCs/>
          <w:sz w:val="22"/>
          <w:szCs w:val="22"/>
        </w:rPr>
      </w:pPr>
      <w:r w:rsidRPr="0093344C">
        <w:rPr>
          <w:rFonts w:ascii="Palatino Linotype" w:hAnsi="Palatino Linotype" w:cs="Tahoma"/>
          <w:iCs/>
          <w:sz w:val="22"/>
          <w:szCs w:val="22"/>
        </w:rPr>
        <w:t>Las Unidades de Transparencia garantizarán que las solicitudes se turnen a todas las áreas competentes que cuenten con la información o deban tenerla de acuerdo a sus facultades, funciones y atribuciones, para que realicen una búsqueda exhaustiva y razonable de la documentación solicitada, con el fin de que proporcionen las expresiones documentales que se encuentren en sus archivos o que estén constreñidos a elaborar;</w:t>
      </w:r>
    </w:p>
    <w:p w14:paraId="35E5328C" w14:textId="77777777" w:rsidR="007935E5" w:rsidRPr="0093344C" w:rsidRDefault="007935E5" w:rsidP="007911EC">
      <w:pPr>
        <w:spacing w:line="360" w:lineRule="auto"/>
        <w:rPr>
          <w:rFonts w:ascii="Palatino Linotype" w:hAnsi="Palatino Linotype" w:cs="Tahoma"/>
          <w:iCs/>
          <w:szCs w:val="22"/>
        </w:rPr>
      </w:pPr>
    </w:p>
    <w:p w14:paraId="76EF5205" w14:textId="2E3FA03E" w:rsidR="00E716DD" w:rsidRPr="0093344C" w:rsidRDefault="00E716DD" w:rsidP="007911EC">
      <w:pPr>
        <w:numPr>
          <w:ilvl w:val="0"/>
          <w:numId w:val="3"/>
        </w:numPr>
        <w:spacing w:line="360" w:lineRule="auto"/>
        <w:jc w:val="both"/>
        <w:rPr>
          <w:rFonts w:ascii="Palatino Linotype" w:hAnsi="Palatino Linotype" w:cs="Tahoma"/>
          <w:iCs/>
          <w:sz w:val="22"/>
          <w:szCs w:val="22"/>
        </w:rPr>
      </w:pPr>
      <w:r w:rsidRPr="0093344C">
        <w:rPr>
          <w:rFonts w:ascii="Palatino Linotype" w:hAnsi="Palatino Linotype" w:cs="Tahoma"/>
          <w:iCs/>
          <w:sz w:val="22"/>
          <w:szCs w:val="22"/>
        </w:rPr>
        <w:t>El acceso se dará en la modalidad de entrega y en su caso, de envío elegido por el solicitante, cuando no pueda entregarse en dicha modalidad, el Sujeto Obligado deberá ofrecer otras; por lo cual, deberá fundamentar y motivar la necesidad de modificar el medio de entrega, y</w:t>
      </w:r>
    </w:p>
    <w:p w14:paraId="44CC2E9D" w14:textId="77777777" w:rsidR="00BA5927" w:rsidRPr="0093344C" w:rsidRDefault="00BA5927" w:rsidP="007911EC">
      <w:pPr>
        <w:pStyle w:val="Prrafodelista"/>
        <w:spacing w:line="360" w:lineRule="auto"/>
        <w:rPr>
          <w:rFonts w:ascii="Palatino Linotype" w:hAnsi="Palatino Linotype" w:cs="Tahoma"/>
          <w:iCs/>
          <w:szCs w:val="22"/>
        </w:rPr>
      </w:pPr>
    </w:p>
    <w:p w14:paraId="385CBACE" w14:textId="73CE4B51" w:rsidR="00E716DD" w:rsidRPr="0093344C" w:rsidRDefault="00E716DD" w:rsidP="007911EC">
      <w:pPr>
        <w:numPr>
          <w:ilvl w:val="0"/>
          <w:numId w:val="3"/>
        </w:numPr>
        <w:spacing w:line="360" w:lineRule="auto"/>
        <w:jc w:val="both"/>
        <w:rPr>
          <w:rFonts w:ascii="Palatino Linotype" w:hAnsi="Palatino Linotype" w:cs="Tahoma"/>
          <w:iCs/>
          <w:sz w:val="22"/>
          <w:szCs w:val="22"/>
        </w:rPr>
      </w:pPr>
      <w:r w:rsidRPr="0093344C">
        <w:rPr>
          <w:rFonts w:ascii="Palatino Linotype" w:hAnsi="Palatino Linotype" w:cs="Tahoma"/>
          <w:iCs/>
          <w:sz w:val="22"/>
          <w:szCs w:val="22"/>
        </w:rPr>
        <w:t xml:space="preserve">Las Unidades de Transparencia, tendrán disponible la información requerida durante un plazo mínimo de sesenta días hábiles, contados a partir de que el solicitante hubiere </w:t>
      </w:r>
      <w:r w:rsidRPr="0093344C">
        <w:rPr>
          <w:rFonts w:ascii="Palatino Linotype" w:hAnsi="Palatino Linotype" w:cs="Tahoma"/>
          <w:iCs/>
          <w:sz w:val="22"/>
          <w:szCs w:val="22"/>
        </w:rPr>
        <w:lastRenderedPageBreak/>
        <w:t>realizado, en su caso, el pago respectivo, el cual deberá efectuarse en un plazo no mayor a treinta días hábiles; por lo que, una vez trascurrida dicha temporalidad, los Sujetos Obligados darán por concluida la solicitud y procederán de ser el caso, a la destrucción del material.</w:t>
      </w:r>
    </w:p>
    <w:p w14:paraId="587751CB" w14:textId="77777777" w:rsidR="00E716DD" w:rsidRPr="0093344C" w:rsidRDefault="00E716DD" w:rsidP="007911EC">
      <w:pPr>
        <w:spacing w:line="360" w:lineRule="auto"/>
        <w:jc w:val="both"/>
        <w:rPr>
          <w:rFonts w:ascii="Palatino Linotype" w:hAnsi="Palatino Linotype" w:cs="Tahoma"/>
          <w:iCs/>
          <w:sz w:val="22"/>
          <w:szCs w:val="22"/>
        </w:rPr>
      </w:pPr>
    </w:p>
    <w:p w14:paraId="15391486" w14:textId="26B70CE7" w:rsidR="005A1E4C" w:rsidRPr="0093344C" w:rsidRDefault="00E716DD" w:rsidP="007911EC">
      <w:pPr>
        <w:spacing w:line="360" w:lineRule="auto"/>
        <w:jc w:val="both"/>
        <w:rPr>
          <w:rFonts w:ascii="Palatino Linotype" w:eastAsia="Calibri" w:hAnsi="Palatino Linotype" w:cs="Tahoma"/>
          <w:sz w:val="22"/>
          <w:szCs w:val="22"/>
          <w:lang w:eastAsia="en-US"/>
        </w:rPr>
      </w:pPr>
      <w:r w:rsidRPr="0093344C">
        <w:rPr>
          <w:rFonts w:ascii="Palatino Linotype" w:hAnsi="Palatino Linotype" w:cs="Tahoma"/>
          <w:iCs/>
          <w:sz w:val="22"/>
          <w:szCs w:val="22"/>
        </w:rPr>
        <w:t>Una vez establecido lo anterior, es de indicar que el agravio del Particular consistió en que, a la fecha de interposición del Recurso de Revisión, el</w:t>
      </w:r>
      <w:r w:rsidR="009A3007" w:rsidRPr="0093344C">
        <w:rPr>
          <w:rFonts w:ascii="Palatino Linotype" w:eastAsia="Calibri" w:hAnsi="Palatino Linotype" w:cs="Tahoma"/>
          <w:sz w:val="22"/>
          <w:szCs w:val="22"/>
          <w:lang w:eastAsia="en-US"/>
        </w:rPr>
        <w:t xml:space="preserve"> </w:t>
      </w:r>
      <w:r w:rsidR="007E4295" w:rsidRPr="0093344C">
        <w:rPr>
          <w:rFonts w:ascii="Palatino Linotype" w:eastAsia="Calibri" w:hAnsi="Palatino Linotype" w:cs="Tahoma"/>
          <w:sz w:val="22"/>
          <w:szCs w:val="22"/>
          <w:lang w:eastAsia="en-US"/>
        </w:rPr>
        <w:t>Ayuntamiento de</w:t>
      </w:r>
      <w:r w:rsidR="0093344C">
        <w:rPr>
          <w:rFonts w:ascii="Palatino Linotype" w:eastAsia="Calibri" w:hAnsi="Palatino Linotype" w:cs="Tahoma"/>
          <w:sz w:val="22"/>
          <w:szCs w:val="22"/>
          <w:lang w:eastAsia="en-US"/>
        </w:rPr>
        <w:t xml:space="preserve"> Valle de Chalco Solidaridad</w:t>
      </w:r>
      <w:r w:rsidRPr="0093344C">
        <w:rPr>
          <w:rFonts w:ascii="Palatino Linotype" w:hAnsi="Palatino Linotype" w:cs="Tahoma"/>
          <w:iCs/>
          <w:sz w:val="22"/>
          <w:szCs w:val="22"/>
        </w:rPr>
        <w:t xml:space="preserve">, no había registrado respuesta al requerimiento de acceso a la información, el cual se presentó, el </w:t>
      </w:r>
      <w:r w:rsidR="00B84FDD" w:rsidRPr="0093344C">
        <w:rPr>
          <w:rFonts w:ascii="Palatino Linotype" w:hAnsi="Palatino Linotype" w:cs="Tahoma"/>
          <w:iCs/>
          <w:sz w:val="22"/>
          <w:szCs w:val="22"/>
        </w:rPr>
        <w:t>veinti</w:t>
      </w:r>
      <w:r w:rsidR="0093344C">
        <w:rPr>
          <w:rFonts w:ascii="Palatino Linotype" w:hAnsi="Palatino Linotype" w:cs="Tahoma"/>
          <w:iCs/>
          <w:sz w:val="22"/>
          <w:szCs w:val="22"/>
        </w:rPr>
        <w:t>siete</w:t>
      </w:r>
      <w:r w:rsidR="00B84FDD" w:rsidRPr="0093344C">
        <w:rPr>
          <w:rFonts w:ascii="Palatino Linotype" w:hAnsi="Palatino Linotype" w:cs="Tahoma"/>
          <w:iCs/>
          <w:sz w:val="22"/>
          <w:szCs w:val="22"/>
        </w:rPr>
        <w:t xml:space="preserve"> de noviembre de dos mil veinticinco.</w:t>
      </w:r>
    </w:p>
    <w:p w14:paraId="5D7A501D" w14:textId="77777777" w:rsidR="00BA5927" w:rsidRPr="007C3AF1" w:rsidRDefault="00BA5927" w:rsidP="007911EC">
      <w:pPr>
        <w:spacing w:line="360" w:lineRule="auto"/>
        <w:jc w:val="both"/>
        <w:rPr>
          <w:rFonts w:ascii="Palatino Linotype" w:hAnsi="Palatino Linotype" w:cs="Tahoma"/>
          <w:iCs/>
          <w:color w:val="FF0000"/>
          <w:sz w:val="22"/>
          <w:szCs w:val="22"/>
        </w:rPr>
      </w:pPr>
    </w:p>
    <w:p w14:paraId="24C19C3E" w14:textId="2217E22B" w:rsidR="00E716DD" w:rsidRPr="0093344C" w:rsidRDefault="00E716DD" w:rsidP="007911EC">
      <w:pPr>
        <w:spacing w:line="360" w:lineRule="auto"/>
        <w:jc w:val="both"/>
        <w:rPr>
          <w:rFonts w:ascii="Palatino Linotype" w:hAnsi="Palatino Linotype" w:cs="Tahoma"/>
          <w:iCs/>
          <w:sz w:val="22"/>
          <w:szCs w:val="22"/>
        </w:rPr>
      </w:pPr>
      <w:r w:rsidRPr="0093344C">
        <w:rPr>
          <w:rFonts w:ascii="Palatino Linotype" w:hAnsi="Palatino Linotype" w:cs="Tahoma"/>
          <w:iCs/>
          <w:sz w:val="22"/>
          <w:szCs w:val="22"/>
        </w:rPr>
        <w:t xml:space="preserve">En ese orden de ideas, el plazo con el que contaba el Sujeto Obligado para emitir contestación al requerimiento </w:t>
      </w:r>
      <w:r w:rsidR="006D2B83" w:rsidRPr="0093344C">
        <w:rPr>
          <w:rFonts w:ascii="Palatino Linotype" w:hAnsi="Palatino Linotype" w:cs="Tahoma"/>
          <w:iCs/>
          <w:sz w:val="22"/>
          <w:szCs w:val="22"/>
        </w:rPr>
        <w:t>informativo</w:t>
      </w:r>
      <w:r w:rsidRPr="0093344C">
        <w:rPr>
          <w:rFonts w:ascii="Palatino Linotype" w:hAnsi="Palatino Linotype" w:cs="Tahoma"/>
          <w:iCs/>
          <w:sz w:val="22"/>
          <w:szCs w:val="22"/>
        </w:rPr>
        <w:t xml:space="preserve"> comenzó a correr el </w:t>
      </w:r>
      <w:r w:rsidR="0093344C" w:rsidRPr="0093344C">
        <w:rPr>
          <w:rFonts w:ascii="Palatino Linotype" w:hAnsi="Palatino Linotype" w:cs="Tahoma"/>
          <w:iCs/>
          <w:sz w:val="22"/>
          <w:szCs w:val="22"/>
        </w:rPr>
        <w:t xml:space="preserve">veintiocho de noviembre y feneció el dieciocho de diciembre de dos mil veinticinco; </w:t>
      </w:r>
      <w:r w:rsidRPr="0093344C">
        <w:rPr>
          <w:rFonts w:ascii="Palatino Linotype" w:hAnsi="Palatino Linotype" w:cs="Tahoma"/>
          <w:iCs/>
          <w:sz w:val="22"/>
          <w:szCs w:val="22"/>
        </w:rPr>
        <w:t>lo anterior, sin contar los días,</w:t>
      </w:r>
      <w:r w:rsidR="00F46DAD" w:rsidRPr="0093344C">
        <w:rPr>
          <w:rFonts w:ascii="Palatino Linotype" w:hAnsi="Palatino Linotype" w:cs="Tahoma"/>
          <w:iCs/>
          <w:sz w:val="22"/>
          <w:szCs w:val="22"/>
        </w:rPr>
        <w:t xml:space="preserve"> </w:t>
      </w:r>
      <w:r w:rsidR="0093344C" w:rsidRPr="0093344C">
        <w:rPr>
          <w:rFonts w:ascii="Palatino Linotype" w:hAnsi="Palatino Linotype" w:cs="Tahoma"/>
          <w:iCs/>
          <w:sz w:val="22"/>
          <w:szCs w:val="22"/>
        </w:rPr>
        <w:t xml:space="preserve">veintinueve y treinta de noviembre, seis, siete, trece y catorce de diciembre </w:t>
      </w:r>
      <w:r w:rsidR="00F90CB9" w:rsidRPr="0093344C">
        <w:rPr>
          <w:rFonts w:ascii="Palatino Linotype" w:hAnsi="Palatino Linotype" w:cs="Tahoma"/>
          <w:iCs/>
          <w:sz w:val="22"/>
          <w:szCs w:val="22"/>
        </w:rPr>
        <w:t>de dos mil veinticinco</w:t>
      </w:r>
      <w:r w:rsidRPr="0093344C">
        <w:rPr>
          <w:rFonts w:ascii="Palatino Linotype" w:hAnsi="Palatino Linotype" w:cs="Tahoma"/>
          <w:iCs/>
          <w:sz w:val="22"/>
          <w:szCs w:val="22"/>
        </w:rPr>
        <w:t xml:space="preserve">, de conformidad con </w:t>
      </w:r>
      <w:r w:rsidR="002464DA" w:rsidRPr="0093344C">
        <w:rPr>
          <w:rFonts w:ascii="Palatino Linotype" w:hAnsi="Palatino Linotype" w:cs="Tahoma"/>
          <w:iCs/>
          <w:sz w:val="22"/>
          <w:szCs w:val="22"/>
        </w:rPr>
        <w:t>los</w:t>
      </w:r>
      <w:r w:rsidR="009C44AA" w:rsidRPr="0093344C">
        <w:rPr>
          <w:rFonts w:ascii="Palatino Linotype" w:hAnsi="Palatino Linotype" w:cs="Tahoma"/>
          <w:iCs/>
          <w:sz w:val="22"/>
          <w:szCs w:val="22"/>
        </w:rPr>
        <w:t xml:space="preserve"> artículo,</w:t>
      </w:r>
      <w:r w:rsidRPr="0093344C">
        <w:rPr>
          <w:rFonts w:ascii="Palatino Linotype" w:hAnsi="Palatino Linotype" w:cs="Tahoma"/>
          <w:iCs/>
          <w:sz w:val="22"/>
          <w:szCs w:val="22"/>
        </w:rPr>
        <w:t xml:space="preserve"> 3°, fracción X</w:t>
      </w:r>
      <w:r w:rsidR="002464DA" w:rsidRPr="0093344C">
        <w:rPr>
          <w:rFonts w:ascii="Palatino Linotype" w:hAnsi="Palatino Linotype" w:cs="Tahoma"/>
          <w:iCs/>
          <w:sz w:val="22"/>
          <w:szCs w:val="22"/>
        </w:rPr>
        <w:t xml:space="preserve"> y 159</w:t>
      </w:r>
      <w:r w:rsidR="009C44AA" w:rsidRPr="0093344C">
        <w:rPr>
          <w:rFonts w:ascii="Palatino Linotype" w:hAnsi="Palatino Linotype" w:cs="Tahoma"/>
          <w:iCs/>
          <w:sz w:val="22"/>
          <w:szCs w:val="22"/>
        </w:rPr>
        <w:t xml:space="preserve">, </w:t>
      </w:r>
      <w:r w:rsidRPr="0093344C">
        <w:rPr>
          <w:rFonts w:ascii="Palatino Linotype" w:hAnsi="Palatino Linotype" w:cs="Tahoma"/>
          <w:iCs/>
          <w:sz w:val="22"/>
          <w:szCs w:val="22"/>
        </w:rPr>
        <w:t xml:space="preserve">de la Ley de Transparencia y Acceso a la Información Pública del Estado de México y Municipios y </w:t>
      </w:r>
      <w:bookmarkStart w:id="11" w:name="_Hlk65786947"/>
      <w:r w:rsidRPr="0093344C">
        <w:rPr>
          <w:rFonts w:ascii="Palatino Linotype" w:hAnsi="Palatino Linotype" w:cs="Tahoma"/>
          <w:iCs/>
          <w:sz w:val="22"/>
          <w:szCs w:val="22"/>
        </w:rPr>
        <w:t xml:space="preserve">el </w:t>
      </w:r>
      <w:r w:rsidRPr="0093344C">
        <w:rPr>
          <w:rFonts w:ascii="Palatino Linotype" w:hAnsi="Palatino Linotype" w:cs="Tahoma"/>
          <w:iCs/>
          <w:sz w:val="22"/>
          <w:szCs w:val="22"/>
          <w:lang w:val="es-ES"/>
        </w:rPr>
        <w:t xml:space="preserve">Calendario Oficial en Materia de Transparencia, Acceso a la Información Pública y Protección de Datos Personales del Estado de México y Municipios, así como de laborales </w:t>
      </w:r>
      <w:r w:rsidR="00FA3058" w:rsidRPr="0093344C">
        <w:rPr>
          <w:rFonts w:ascii="Palatino Linotype" w:hAnsi="Palatino Linotype" w:cs="Tahoma"/>
          <w:iCs/>
          <w:sz w:val="22"/>
          <w:szCs w:val="22"/>
          <w:lang w:val="es-ES"/>
        </w:rPr>
        <w:t>de este Instituto, para el año</w:t>
      </w:r>
      <w:r w:rsidRPr="0093344C">
        <w:rPr>
          <w:rFonts w:ascii="Palatino Linotype" w:hAnsi="Palatino Linotype" w:cs="Tahoma"/>
          <w:iCs/>
          <w:sz w:val="22"/>
          <w:szCs w:val="22"/>
          <w:lang w:val="es-ES"/>
        </w:rPr>
        <w:t xml:space="preserve"> dos mil veinticinco.</w:t>
      </w:r>
    </w:p>
    <w:bookmarkEnd w:id="11"/>
    <w:p w14:paraId="3293CCFE" w14:textId="6D9F1832" w:rsidR="00E716DD" w:rsidRPr="007C3AF1" w:rsidRDefault="00E716DD" w:rsidP="007911EC">
      <w:pPr>
        <w:spacing w:line="360" w:lineRule="auto"/>
        <w:jc w:val="both"/>
        <w:rPr>
          <w:rFonts w:ascii="Palatino Linotype" w:hAnsi="Palatino Linotype" w:cs="Tahoma"/>
          <w:iCs/>
          <w:color w:val="FF0000"/>
          <w:sz w:val="22"/>
          <w:szCs w:val="22"/>
        </w:rPr>
      </w:pPr>
    </w:p>
    <w:p w14:paraId="6B2BF746" w14:textId="0E72C9E6" w:rsidR="00E716DD" w:rsidRPr="0093344C" w:rsidRDefault="00E716DD" w:rsidP="007911EC">
      <w:pPr>
        <w:spacing w:line="360" w:lineRule="auto"/>
        <w:jc w:val="both"/>
        <w:rPr>
          <w:rFonts w:ascii="Palatino Linotype" w:hAnsi="Palatino Linotype" w:cs="Tahoma"/>
          <w:iCs/>
          <w:sz w:val="22"/>
          <w:szCs w:val="22"/>
          <w:lang w:val="es-ES"/>
        </w:rPr>
      </w:pPr>
      <w:r w:rsidRPr="0093344C">
        <w:rPr>
          <w:rFonts w:ascii="Palatino Linotype" w:hAnsi="Palatino Linotype" w:cs="Tahoma"/>
          <w:iCs/>
          <w:sz w:val="22"/>
          <w:szCs w:val="22"/>
        </w:rPr>
        <w:t xml:space="preserve">Así, este Instituto verificó que, en efecto, no se registró respuesta a la solicitud de información de la persona Recurrente, en el </w:t>
      </w:r>
      <w:r w:rsidRPr="0093344C">
        <w:rPr>
          <w:rFonts w:ascii="Palatino Linotype" w:hAnsi="Palatino Linotype" w:cs="Tahoma"/>
          <w:iCs/>
          <w:sz w:val="22"/>
          <w:szCs w:val="22"/>
          <w:lang w:val="es-ES"/>
        </w:rPr>
        <w:t>Sistema de Acceso a la Información Mexiquense (SAIMEX), tal como se observa a continuación:</w:t>
      </w:r>
    </w:p>
    <w:p w14:paraId="1982490B" w14:textId="77777777" w:rsidR="00B84FDD" w:rsidRPr="0093344C" w:rsidRDefault="00B84FDD" w:rsidP="007911EC">
      <w:pPr>
        <w:spacing w:line="360" w:lineRule="auto"/>
        <w:jc w:val="both"/>
        <w:rPr>
          <w:rFonts w:ascii="Palatino Linotype" w:hAnsi="Palatino Linotype" w:cs="Tahoma"/>
          <w:iCs/>
          <w:sz w:val="22"/>
          <w:szCs w:val="22"/>
          <w:lang w:val="es-ES"/>
        </w:rPr>
      </w:pPr>
    </w:p>
    <w:p w14:paraId="618AFCB0" w14:textId="7A0BF2D4" w:rsidR="00B07AC2" w:rsidRPr="007C3AF1" w:rsidRDefault="0093344C" w:rsidP="007911EC">
      <w:pPr>
        <w:spacing w:line="360" w:lineRule="auto"/>
        <w:jc w:val="center"/>
        <w:rPr>
          <w:rFonts w:ascii="Palatino Linotype" w:hAnsi="Palatino Linotype" w:cs="Tahoma"/>
          <w:iCs/>
          <w:color w:val="FF0000"/>
          <w:sz w:val="22"/>
          <w:szCs w:val="22"/>
          <w:lang w:val="es-ES"/>
        </w:rPr>
      </w:pPr>
      <w:r>
        <w:rPr>
          <w:rFonts w:ascii="Palatino Linotype" w:hAnsi="Palatino Linotype" w:cs="Tahoma"/>
          <w:iCs/>
          <w:noProof/>
          <w:color w:val="FF0000"/>
          <w:sz w:val="22"/>
          <w:szCs w:val="22"/>
          <w:lang w:eastAsia="es-MX"/>
        </w:rPr>
        <w:lastRenderedPageBreak/>
        <w:drawing>
          <wp:inline distT="0" distB="0" distL="0" distR="0" wp14:anchorId="7399CA5D" wp14:editId="671DB740">
            <wp:extent cx="3761740" cy="1926590"/>
            <wp:effectExtent l="0" t="0" r="0" b="0"/>
            <wp:docPr id="14066218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1740" cy="1926590"/>
                    </a:xfrm>
                    <a:prstGeom prst="rect">
                      <a:avLst/>
                    </a:prstGeom>
                    <a:noFill/>
                  </pic:spPr>
                </pic:pic>
              </a:graphicData>
            </a:graphic>
          </wp:inline>
        </w:drawing>
      </w:r>
    </w:p>
    <w:p w14:paraId="61DE628E" w14:textId="77777777" w:rsidR="00FF1B03" w:rsidRPr="007C3AF1" w:rsidRDefault="00FF1B03" w:rsidP="007911EC">
      <w:pPr>
        <w:spacing w:line="360" w:lineRule="auto"/>
        <w:jc w:val="center"/>
        <w:rPr>
          <w:rFonts w:ascii="Palatino Linotype" w:hAnsi="Palatino Linotype" w:cs="Tahoma"/>
          <w:iCs/>
          <w:color w:val="FF0000"/>
          <w:sz w:val="22"/>
          <w:szCs w:val="22"/>
          <w:lang w:val="es-ES"/>
        </w:rPr>
      </w:pPr>
    </w:p>
    <w:p w14:paraId="689A8383" w14:textId="58C3E5F8" w:rsidR="009C787D" w:rsidRPr="00C82C65" w:rsidRDefault="00E716DD" w:rsidP="007911EC">
      <w:pPr>
        <w:tabs>
          <w:tab w:val="left" w:pos="4962"/>
        </w:tabs>
        <w:spacing w:line="360" w:lineRule="auto"/>
        <w:jc w:val="both"/>
        <w:rPr>
          <w:rFonts w:ascii="Palatino Linotype" w:eastAsia="Calibri" w:hAnsi="Palatino Linotype" w:cs="Tahoma"/>
          <w:sz w:val="22"/>
        </w:rPr>
      </w:pPr>
      <w:r w:rsidRPr="00C82C65">
        <w:rPr>
          <w:rFonts w:ascii="Palatino Linotype" w:hAnsi="Palatino Linotype" w:cs="Tahoma"/>
          <w:iCs/>
          <w:sz w:val="22"/>
          <w:szCs w:val="22"/>
        </w:rPr>
        <w:t>Conforme a lo anterior, se colige que, tal como lo precisó la persona Recurrente, el</w:t>
      </w:r>
      <w:r w:rsidR="00E932E9" w:rsidRPr="00C82C65">
        <w:rPr>
          <w:rFonts w:ascii="Palatino Linotype" w:eastAsia="Calibri" w:hAnsi="Palatino Linotype" w:cs="Tahoma"/>
          <w:sz w:val="22"/>
          <w:szCs w:val="22"/>
          <w:lang w:eastAsia="en-US"/>
        </w:rPr>
        <w:t xml:space="preserve"> </w:t>
      </w:r>
      <w:r w:rsidR="007E4295" w:rsidRPr="00C82C65">
        <w:rPr>
          <w:rFonts w:ascii="Palatino Linotype" w:eastAsia="Calibri" w:hAnsi="Palatino Linotype" w:cs="Tahoma"/>
          <w:sz w:val="22"/>
          <w:szCs w:val="22"/>
          <w:lang w:eastAsia="en-US"/>
        </w:rPr>
        <w:t>Ayuntamiento</w:t>
      </w:r>
      <w:r w:rsidR="00FF1B03" w:rsidRPr="00C82C65">
        <w:rPr>
          <w:rFonts w:ascii="Palatino Linotype" w:eastAsia="Calibri" w:hAnsi="Palatino Linotype" w:cs="Tahoma"/>
          <w:sz w:val="22"/>
          <w:szCs w:val="22"/>
          <w:lang w:eastAsia="en-US"/>
        </w:rPr>
        <w:t xml:space="preserve"> </w:t>
      </w:r>
      <w:r w:rsidR="00C82C65" w:rsidRPr="00C82C65">
        <w:rPr>
          <w:rFonts w:ascii="Palatino Linotype" w:eastAsia="Calibri" w:hAnsi="Palatino Linotype" w:cs="Tahoma"/>
          <w:sz w:val="22"/>
          <w:szCs w:val="22"/>
          <w:lang w:eastAsia="en-US"/>
        </w:rPr>
        <w:t>de Valle de Chalco Solidaridad</w:t>
      </w:r>
      <w:r w:rsidRPr="00C82C65">
        <w:rPr>
          <w:rFonts w:ascii="Palatino Linotype" w:hAnsi="Palatino Linotype" w:cs="Tahoma"/>
          <w:iCs/>
          <w:sz w:val="22"/>
          <w:szCs w:val="22"/>
        </w:rPr>
        <w:t xml:space="preserve">, no emitió respuesta para dar contestación a la solicitud de acceso a la información pública, dentro de los plazos establecidos en el artículo 163, de la Ley de Transparencia y Acceso a la Información Pública del Estado de México y Municipios, pues tenía hasta el </w:t>
      </w:r>
      <w:r w:rsidR="00ED0EEF" w:rsidRPr="00C82C65">
        <w:rPr>
          <w:rFonts w:ascii="Palatino Linotype" w:hAnsi="Palatino Linotype" w:cs="Tahoma"/>
          <w:iCs/>
          <w:sz w:val="22"/>
          <w:szCs w:val="22"/>
        </w:rPr>
        <w:t>d</w:t>
      </w:r>
      <w:r w:rsidR="00C82C65">
        <w:rPr>
          <w:rFonts w:ascii="Palatino Linotype" w:hAnsi="Palatino Linotype" w:cs="Tahoma"/>
          <w:iCs/>
          <w:sz w:val="22"/>
          <w:szCs w:val="22"/>
        </w:rPr>
        <w:t>ieciocho</w:t>
      </w:r>
      <w:r w:rsidR="00ED0EEF" w:rsidRPr="00C82C65">
        <w:rPr>
          <w:rFonts w:ascii="Palatino Linotype" w:hAnsi="Palatino Linotype" w:cs="Tahoma"/>
          <w:iCs/>
          <w:sz w:val="22"/>
          <w:szCs w:val="22"/>
        </w:rPr>
        <w:t xml:space="preserve"> de diciembre </w:t>
      </w:r>
      <w:r w:rsidRPr="00C82C65">
        <w:rPr>
          <w:rFonts w:ascii="Palatino Linotype" w:hAnsi="Palatino Linotype" w:cs="Tahoma"/>
          <w:iCs/>
          <w:sz w:val="22"/>
          <w:szCs w:val="22"/>
        </w:rPr>
        <w:t>de dos mil veintic</w:t>
      </w:r>
      <w:r w:rsidR="00F90CB9" w:rsidRPr="00C82C65">
        <w:rPr>
          <w:rFonts w:ascii="Palatino Linotype" w:hAnsi="Palatino Linotype" w:cs="Tahoma"/>
          <w:iCs/>
          <w:sz w:val="22"/>
          <w:szCs w:val="22"/>
        </w:rPr>
        <w:t>inco</w:t>
      </w:r>
      <w:r w:rsidRPr="00C82C65">
        <w:rPr>
          <w:rFonts w:ascii="Palatino Linotype" w:hAnsi="Palatino Linotype" w:cs="Tahoma"/>
          <w:iCs/>
          <w:sz w:val="22"/>
          <w:szCs w:val="22"/>
        </w:rPr>
        <w:t xml:space="preserve">, para realizar dicha situación, por lo que es evidente que el agravio es </w:t>
      </w:r>
      <w:r w:rsidRPr="00C82C65">
        <w:rPr>
          <w:rFonts w:ascii="Palatino Linotype" w:hAnsi="Palatino Linotype" w:cs="Tahoma"/>
          <w:b/>
          <w:bCs/>
          <w:iCs/>
          <w:sz w:val="22"/>
          <w:szCs w:val="22"/>
        </w:rPr>
        <w:t>FUNDADO</w:t>
      </w:r>
      <w:r w:rsidRPr="00C82C65">
        <w:rPr>
          <w:rFonts w:ascii="Palatino Linotype" w:hAnsi="Palatino Linotype" w:cs="Tahoma"/>
          <w:iCs/>
          <w:sz w:val="22"/>
          <w:szCs w:val="22"/>
        </w:rPr>
        <w:t xml:space="preserve">. </w:t>
      </w:r>
      <w:r w:rsidR="009C787D" w:rsidRPr="00C82C65">
        <w:rPr>
          <w:rFonts w:ascii="Palatino Linotype" w:eastAsia="Calibri" w:hAnsi="Palatino Linotype" w:cs="Tahoma"/>
          <w:sz w:val="22"/>
        </w:rPr>
        <w:t>No obstante, durante la substanciación del Medio de Impugnación, el Ente Recurrido emitió contestación, por lo que se procede a su análisis, para lo cual es necesario contextualizar la solicitud de información.</w:t>
      </w:r>
    </w:p>
    <w:p w14:paraId="1D22A41E" w14:textId="77777777" w:rsidR="007B03E9" w:rsidRPr="007C3AF1" w:rsidRDefault="007B03E9" w:rsidP="007911EC">
      <w:pPr>
        <w:tabs>
          <w:tab w:val="left" w:pos="4962"/>
        </w:tabs>
        <w:spacing w:line="360" w:lineRule="auto"/>
        <w:jc w:val="both"/>
        <w:rPr>
          <w:rFonts w:ascii="Palatino Linotype" w:eastAsia="Calibri" w:hAnsi="Palatino Linotype" w:cs="Tahoma"/>
          <w:color w:val="FF0000"/>
          <w:sz w:val="22"/>
        </w:rPr>
      </w:pPr>
    </w:p>
    <w:p w14:paraId="1A3C91FE" w14:textId="6BE26F80" w:rsidR="00C82C65" w:rsidRPr="00C82C65" w:rsidRDefault="00352AFC" w:rsidP="007911EC">
      <w:pPr>
        <w:tabs>
          <w:tab w:val="left" w:pos="4962"/>
        </w:tabs>
        <w:spacing w:line="360" w:lineRule="auto"/>
        <w:jc w:val="both"/>
        <w:rPr>
          <w:rFonts w:ascii="Palatino Linotype" w:eastAsia="Calibri" w:hAnsi="Palatino Linotype" w:cs="Tahoma"/>
          <w:sz w:val="22"/>
        </w:rPr>
      </w:pPr>
      <w:r w:rsidRPr="00C82C65">
        <w:rPr>
          <w:rFonts w:ascii="Palatino Linotype" w:eastAsia="Calibri" w:hAnsi="Palatino Linotype" w:cs="Tahoma"/>
          <w:sz w:val="22"/>
        </w:rPr>
        <w:t xml:space="preserve">Sobre el tema, </w:t>
      </w:r>
      <w:bookmarkStart w:id="12" w:name="_Hlk220429122"/>
      <w:r w:rsidR="00C82C65">
        <w:rPr>
          <w:rFonts w:ascii="Palatino Linotype" w:eastAsia="Calibri" w:hAnsi="Palatino Linotype" w:cs="Tahoma"/>
          <w:sz w:val="22"/>
        </w:rPr>
        <w:t xml:space="preserve">los artículos </w:t>
      </w:r>
      <w:r w:rsidR="00C82C65" w:rsidRPr="00C82C65">
        <w:rPr>
          <w:rFonts w:ascii="Palatino Linotype" w:eastAsia="Calibri" w:hAnsi="Palatino Linotype" w:cs="Tahoma"/>
          <w:sz w:val="22"/>
        </w:rPr>
        <w:t xml:space="preserve">92, 93 y 95 de la Ley del Trabajo de los Servidores Públicos del Estado y Municipios, precisa que el servidor público o la institución pública, como lo es el Ayuntamiento de </w:t>
      </w:r>
      <w:r w:rsidR="00C82C65">
        <w:rPr>
          <w:rFonts w:ascii="Palatino Linotype" w:eastAsia="Calibri" w:hAnsi="Palatino Linotype" w:cs="Tahoma"/>
          <w:sz w:val="22"/>
        </w:rPr>
        <w:t>Valle de Chalco Solidaridad</w:t>
      </w:r>
      <w:r w:rsidR="00C82C65" w:rsidRPr="00C82C65">
        <w:rPr>
          <w:rFonts w:ascii="Palatino Linotype" w:eastAsia="Calibri" w:hAnsi="Palatino Linotype" w:cs="Tahoma"/>
          <w:sz w:val="22"/>
        </w:rPr>
        <w:t>, podrán rescindir en cualquier tiempo, por causa justificada, la relación laboral; para lo cual, deberá dar aviso por escrito al servidor público de manera personal, la fecha y causa de baj</w:t>
      </w:r>
      <w:r w:rsidR="00C82C65">
        <w:rPr>
          <w:rFonts w:ascii="Palatino Linotype" w:eastAsia="Calibri" w:hAnsi="Palatino Linotype" w:cs="Tahoma"/>
          <w:sz w:val="22"/>
        </w:rPr>
        <w:t>a.</w:t>
      </w:r>
    </w:p>
    <w:p w14:paraId="074F2E98" w14:textId="77777777" w:rsidR="00C82C65" w:rsidRPr="00C82C65" w:rsidRDefault="00C82C65" w:rsidP="007911EC">
      <w:pPr>
        <w:tabs>
          <w:tab w:val="left" w:pos="4962"/>
        </w:tabs>
        <w:spacing w:line="360" w:lineRule="auto"/>
        <w:jc w:val="both"/>
        <w:rPr>
          <w:rFonts w:ascii="Palatino Linotype" w:eastAsia="Calibri" w:hAnsi="Palatino Linotype" w:cs="Tahoma"/>
          <w:sz w:val="22"/>
        </w:rPr>
      </w:pPr>
    </w:p>
    <w:p w14:paraId="415E9648" w14:textId="2AE6FACE" w:rsidR="00C82C65" w:rsidRDefault="00C82C65" w:rsidP="007911EC">
      <w:pPr>
        <w:tabs>
          <w:tab w:val="left" w:pos="4962"/>
        </w:tabs>
        <w:spacing w:line="360" w:lineRule="auto"/>
        <w:jc w:val="both"/>
        <w:rPr>
          <w:rFonts w:ascii="Palatino Linotype" w:eastAsia="Calibri" w:hAnsi="Palatino Linotype" w:cs="Tahoma"/>
          <w:sz w:val="22"/>
        </w:rPr>
      </w:pPr>
      <w:r w:rsidRPr="00C82C65">
        <w:rPr>
          <w:rFonts w:ascii="Palatino Linotype" w:eastAsia="Calibri" w:hAnsi="Palatino Linotype" w:cs="Tahoma"/>
          <w:sz w:val="22"/>
        </w:rPr>
        <w:t xml:space="preserve">En ese orden de ideas, conforme al aparato de Preguntas Frecuentes, de la página oficial de la Secretaría del Trabajo del Estado de México (consultada el tres de abril de dos mil veinticinco, en la liga electrónica </w:t>
      </w:r>
      <w:hyperlink r:id="rId9" w:history="1">
        <w:r w:rsidRPr="00DC2AA1">
          <w:rPr>
            <w:rStyle w:val="Hipervnculo"/>
            <w:rFonts w:ascii="Palatino Linotype" w:eastAsia="Calibri" w:hAnsi="Palatino Linotype" w:cs="Tahoma"/>
            <w:sz w:val="22"/>
          </w:rPr>
          <w:t>https://strabajo.edomex.gob.mx/faqs</w:t>
        </w:r>
      </w:hyperlink>
      <w:r>
        <w:rPr>
          <w:rFonts w:ascii="Palatino Linotype" w:eastAsia="Calibri" w:hAnsi="Palatino Linotype" w:cs="Tahoma"/>
          <w:sz w:val="22"/>
        </w:rPr>
        <w:t xml:space="preserve"> </w:t>
      </w:r>
      <w:r w:rsidRPr="00C82C65">
        <w:rPr>
          <w:rFonts w:ascii="Palatino Linotype" w:eastAsia="Calibri" w:hAnsi="Palatino Linotype" w:cs="Tahoma"/>
          <w:sz w:val="22"/>
        </w:rPr>
        <w:t xml:space="preserve">), cuando un servidor público es </w:t>
      </w:r>
      <w:r w:rsidRPr="00C82C65">
        <w:rPr>
          <w:rFonts w:ascii="Palatino Linotype" w:eastAsia="Calibri" w:hAnsi="Palatino Linotype" w:cs="Tahoma"/>
          <w:sz w:val="22"/>
        </w:rPr>
        <w:lastRenderedPageBreak/>
        <w:t>despedido injustificadamente, puede solicitar una liquidación que consiste en una indemnización, conformaba por tres meses de salario, prima de antigüedad, vacaciones, prima vacacional y aguinaldo proporcional; así como, de las prestaciones que se hayan generado.</w:t>
      </w:r>
    </w:p>
    <w:p w14:paraId="368B1537" w14:textId="77777777" w:rsidR="00C82C65" w:rsidRDefault="00C82C65" w:rsidP="007911EC">
      <w:pPr>
        <w:tabs>
          <w:tab w:val="left" w:pos="4962"/>
        </w:tabs>
        <w:spacing w:line="360" w:lineRule="auto"/>
        <w:jc w:val="both"/>
        <w:rPr>
          <w:rFonts w:ascii="Palatino Linotype" w:eastAsia="Calibri" w:hAnsi="Palatino Linotype" w:cs="Tahoma"/>
          <w:sz w:val="22"/>
        </w:rPr>
      </w:pPr>
    </w:p>
    <w:p w14:paraId="3DA9BC58" w14:textId="62A765AC" w:rsidR="00C82C65" w:rsidRDefault="00C82C65" w:rsidP="007911EC">
      <w:pPr>
        <w:tabs>
          <w:tab w:val="left" w:pos="4962"/>
        </w:tabs>
        <w:spacing w:line="360" w:lineRule="auto"/>
        <w:jc w:val="both"/>
        <w:rPr>
          <w:rFonts w:ascii="Palatino Linotype" w:eastAsia="Calibri" w:hAnsi="Palatino Linotype" w:cs="Tahoma"/>
          <w:sz w:val="22"/>
        </w:rPr>
      </w:pPr>
      <w:r w:rsidRPr="00C82C65">
        <w:rPr>
          <w:rFonts w:ascii="Palatino Linotype" w:eastAsia="Calibri" w:hAnsi="Palatino Linotype" w:cs="Tahoma"/>
          <w:sz w:val="22"/>
        </w:rPr>
        <w:t>Asimismo, el artículo 96 y 97 de la Ley del Trabajo de los Servidores Públicos del Estado y Municipios, precisa que, cuando el servidor público considere injustificada la causa de rescisión de la relación laboral, o bien lo injustificado del despido podrá solicitar la indemnización de tres meses de salario base, veinte días por cada año de servicios, así como los salarios vencidos desde la fecha del despido hasta por un periodo máximo de doce meses, independientemente del tiempo que dure el proceso, o que se le reinstale en el trabajo que desempeñaba con el pago de los salarios vencidos desde la fecha del despido hasta por un periodo máximo de doce meses.</w:t>
      </w:r>
    </w:p>
    <w:p w14:paraId="0E5C3656" w14:textId="77777777" w:rsidR="00C82C65" w:rsidRDefault="00C82C65" w:rsidP="007911EC">
      <w:pPr>
        <w:tabs>
          <w:tab w:val="left" w:pos="4962"/>
        </w:tabs>
        <w:spacing w:line="360" w:lineRule="auto"/>
        <w:jc w:val="both"/>
        <w:rPr>
          <w:rFonts w:ascii="Palatino Linotype" w:eastAsia="Calibri" w:hAnsi="Palatino Linotype" w:cs="Tahoma"/>
          <w:sz w:val="22"/>
        </w:rPr>
      </w:pPr>
    </w:p>
    <w:p w14:paraId="6671CC31" w14:textId="7F8907F9" w:rsidR="00C82C65" w:rsidRDefault="00C82C65" w:rsidP="007911EC">
      <w:pPr>
        <w:tabs>
          <w:tab w:val="left" w:pos="4962"/>
        </w:tabs>
        <w:spacing w:line="360" w:lineRule="auto"/>
        <w:jc w:val="both"/>
        <w:rPr>
          <w:rFonts w:ascii="Palatino Linotype" w:eastAsia="Calibri" w:hAnsi="Palatino Linotype" w:cs="Tahoma"/>
          <w:sz w:val="22"/>
        </w:rPr>
      </w:pPr>
      <w:r w:rsidRPr="00C82C65">
        <w:rPr>
          <w:rFonts w:ascii="Palatino Linotype" w:eastAsia="Calibri" w:hAnsi="Palatino Linotype" w:cs="Tahoma"/>
          <w:sz w:val="22"/>
        </w:rPr>
        <w:t xml:space="preserve">Conforme a lo anterior, el Ayuntamiento de </w:t>
      </w:r>
      <w:r>
        <w:rPr>
          <w:rFonts w:ascii="Palatino Linotype" w:eastAsia="Calibri" w:hAnsi="Palatino Linotype" w:cs="Tahoma"/>
          <w:sz w:val="22"/>
        </w:rPr>
        <w:t>Valle de Chalco Solidaridad</w:t>
      </w:r>
      <w:r w:rsidRPr="00C82C65">
        <w:rPr>
          <w:rFonts w:ascii="Palatino Linotype" w:eastAsia="Calibri" w:hAnsi="Palatino Linotype" w:cs="Tahoma"/>
          <w:sz w:val="22"/>
        </w:rPr>
        <w:t xml:space="preserve"> tiene competencia para conocer de la información peticionada, pues para la terminación laboral entre sus servidores públicos, puede realizar el pago liquidación, en atención al caso en concreto.</w:t>
      </w:r>
    </w:p>
    <w:p w14:paraId="0E416CF8" w14:textId="77777777" w:rsidR="005D51B5" w:rsidRDefault="005D51B5" w:rsidP="007911EC">
      <w:pPr>
        <w:tabs>
          <w:tab w:val="left" w:pos="4962"/>
        </w:tabs>
        <w:spacing w:line="360" w:lineRule="auto"/>
        <w:jc w:val="both"/>
        <w:rPr>
          <w:rFonts w:ascii="Palatino Linotype" w:eastAsia="Calibri" w:hAnsi="Palatino Linotype" w:cs="Tahoma"/>
          <w:sz w:val="22"/>
        </w:rPr>
      </w:pPr>
    </w:p>
    <w:p w14:paraId="7313FFA2" w14:textId="4B556608" w:rsidR="005D51B5" w:rsidRDefault="009A4D33" w:rsidP="007911EC">
      <w:pPr>
        <w:tabs>
          <w:tab w:val="left" w:pos="4962"/>
        </w:tabs>
        <w:spacing w:line="360" w:lineRule="auto"/>
        <w:jc w:val="both"/>
        <w:rPr>
          <w:rFonts w:ascii="Palatino Linotype" w:eastAsia="Calibri" w:hAnsi="Palatino Linotype" w:cs="Tahoma"/>
          <w:sz w:val="22"/>
        </w:rPr>
      </w:pPr>
      <w:r>
        <w:rPr>
          <w:rFonts w:ascii="Palatino Linotype" w:eastAsia="Calibri" w:hAnsi="Palatino Linotype" w:cs="Tahoma"/>
          <w:sz w:val="22"/>
        </w:rPr>
        <w:t xml:space="preserve">En relación con lo anterior el artículo 70 del Bando Municipal de Valle de Chalco Solidaridad administración dos mil veinticinco, dos mil veintisiete establece que la Dirección de Jurídico es la encargada de defender los intereses jurídicos del </w:t>
      </w:r>
      <w:r w:rsidRPr="009A4D33">
        <w:rPr>
          <w:rFonts w:ascii="Palatino Linotype" w:eastAsia="Calibri" w:hAnsi="Palatino Linotype" w:cs="Tahoma"/>
          <w:sz w:val="22"/>
        </w:rPr>
        <w:t>Ayuntamiento, que se deriven del ejercicio de sus funciones, ante cualquier instancia; prioritariamente cuando se señale al Ejecutivo Municipal pero no limitativamente  cuando  se  vea  inmerso  el  Síndico  y  Regidores</w:t>
      </w:r>
      <w:r>
        <w:rPr>
          <w:rFonts w:ascii="Palatino Linotype" w:eastAsia="Calibri" w:hAnsi="Palatino Linotype" w:cs="Tahoma"/>
          <w:sz w:val="22"/>
        </w:rPr>
        <w:t xml:space="preserve"> </w:t>
      </w:r>
      <w:r w:rsidRPr="009A4D33">
        <w:rPr>
          <w:rFonts w:ascii="Palatino Linotype" w:eastAsia="Calibri" w:hAnsi="Palatino Linotype" w:cs="Tahoma"/>
          <w:sz w:val="22"/>
        </w:rPr>
        <w:t>Apoyará a las unidades administrativas, emitiendo su opinión jurídica  y  proponiendo  alternativas  de  solución,  cuando  así  lo  requier</w:t>
      </w:r>
      <w:r>
        <w:rPr>
          <w:rFonts w:ascii="Palatino Linotype" w:eastAsia="Calibri" w:hAnsi="Palatino Linotype" w:cs="Tahoma"/>
          <w:sz w:val="22"/>
        </w:rPr>
        <w:t>en</w:t>
      </w:r>
      <w:r w:rsidRPr="009A4D33">
        <w:rPr>
          <w:rFonts w:ascii="Palatino Linotype" w:eastAsia="Calibri" w:hAnsi="Palatino Linotype" w:cs="Tahoma"/>
          <w:sz w:val="22"/>
        </w:rPr>
        <w:t xml:space="preserve">  en  todos  los  asuntos  del  orden  legal  sin  invadir  esferas  de  competencia,  asumiendo  cada  área  su  responsabilidad  legal.</w:t>
      </w:r>
    </w:p>
    <w:p w14:paraId="2D610B4B" w14:textId="77777777" w:rsidR="009A4D33" w:rsidRDefault="009A4D33" w:rsidP="007911EC">
      <w:pPr>
        <w:tabs>
          <w:tab w:val="left" w:pos="4962"/>
        </w:tabs>
        <w:spacing w:line="360" w:lineRule="auto"/>
        <w:jc w:val="both"/>
        <w:rPr>
          <w:rFonts w:ascii="Palatino Linotype" w:eastAsia="Calibri" w:hAnsi="Palatino Linotype" w:cs="Tahoma"/>
          <w:sz w:val="22"/>
        </w:rPr>
      </w:pPr>
    </w:p>
    <w:p w14:paraId="7DF0652D" w14:textId="0B225D10" w:rsidR="009A4D33" w:rsidRDefault="009A4D33" w:rsidP="007911EC">
      <w:pPr>
        <w:tabs>
          <w:tab w:val="left" w:pos="4962"/>
        </w:tabs>
        <w:spacing w:line="360" w:lineRule="auto"/>
        <w:jc w:val="both"/>
        <w:rPr>
          <w:rFonts w:ascii="Palatino Linotype" w:eastAsia="Calibri" w:hAnsi="Palatino Linotype" w:cs="Tahoma"/>
          <w:sz w:val="22"/>
        </w:rPr>
      </w:pPr>
      <w:r>
        <w:rPr>
          <w:rFonts w:ascii="Palatino Linotype" w:eastAsia="Calibri" w:hAnsi="Palatino Linotype" w:cs="Tahoma"/>
          <w:sz w:val="22"/>
        </w:rPr>
        <w:lastRenderedPageBreak/>
        <w:t xml:space="preserve">Así mismo el artículo 71 del Bando en comento establece que la Dirección de Jurídico dentro de sus funciones se encara entre otras cosas de </w:t>
      </w:r>
      <w:r w:rsidRPr="00EC0D64">
        <w:rPr>
          <w:rFonts w:ascii="Palatino Linotype" w:eastAsia="Calibri" w:hAnsi="Palatino Linotype" w:cs="Tahoma"/>
          <w:b/>
          <w:bCs/>
          <w:sz w:val="22"/>
        </w:rPr>
        <w:t>atender los conflictos laborales que se susciten ante el órgano jurisdiccional con motivo de los despidos, bajas, remociones y cualquier movimiento laboral</w:t>
      </w:r>
      <w:r w:rsidRPr="009A4D33">
        <w:rPr>
          <w:rFonts w:ascii="Palatino Linotype" w:eastAsia="Calibri" w:hAnsi="Palatino Linotype" w:cs="Tahoma"/>
          <w:sz w:val="22"/>
        </w:rPr>
        <w:t xml:space="preserve"> que demanden los servidores Públicos</w:t>
      </w:r>
      <w:r>
        <w:rPr>
          <w:rFonts w:ascii="Palatino Linotype" w:eastAsia="Calibri" w:hAnsi="Palatino Linotype" w:cs="Tahoma"/>
          <w:sz w:val="22"/>
        </w:rPr>
        <w:t>.</w:t>
      </w:r>
    </w:p>
    <w:p w14:paraId="672BA984" w14:textId="77777777" w:rsidR="00EC0D64" w:rsidRDefault="00EC0D64" w:rsidP="007911EC">
      <w:pPr>
        <w:tabs>
          <w:tab w:val="left" w:pos="4962"/>
        </w:tabs>
        <w:spacing w:line="360" w:lineRule="auto"/>
        <w:jc w:val="both"/>
        <w:rPr>
          <w:rFonts w:ascii="Palatino Linotype" w:eastAsia="Calibri" w:hAnsi="Palatino Linotype" w:cs="Tahoma"/>
          <w:sz w:val="22"/>
        </w:rPr>
      </w:pPr>
    </w:p>
    <w:p w14:paraId="2556C49F" w14:textId="2FED166B" w:rsidR="00EC0D64" w:rsidRDefault="00EC0D64" w:rsidP="007911EC">
      <w:pPr>
        <w:tabs>
          <w:tab w:val="left" w:pos="4962"/>
        </w:tabs>
        <w:spacing w:line="360" w:lineRule="auto"/>
        <w:jc w:val="both"/>
        <w:rPr>
          <w:rFonts w:ascii="Palatino Linotype" w:eastAsia="Calibri" w:hAnsi="Palatino Linotype" w:cs="Tahoma"/>
          <w:sz w:val="22"/>
        </w:rPr>
      </w:pPr>
      <w:r>
        <w:rPr>
          <w:rFonts w:ascii="Palatino Linotype" w:eastAsia="Calibri" w:hAnsi="Palatino Linotype" w:cs="Tahoma"/>
          <w:sz w:val="22"/>
        </w:rPr>
        <w:t xml:space="preserve">En ese sentido, el artículo 198 del Bando Municipal establece que la Tesorería Municipal es </w:t>
      </w:r>
      <w:r w:rsidRPr="00EC0D64">
        <w:rPr>
          <w:rFonts w:ascii="Palatino Linotype" w:eastAsia="Calibri" w:hAnsi="Palatino Linotype" w:cs="Tahoma"/>
          <w:sz w:val="22"/>
        </w:rPr>
        <w:t>la dependencia encargada de la recaudación de los ingresos municipales y la administración   de   la   Hacienda   Pública   Municipal, responsable   de realizar y verificar las erogaciones y funciones requeridas por el H.  Ayuntamiento</w:t>
      </w:r>
      <w:r>
        <w:rPr>
          <w:rFonts w:ascii="Palatino Linotype" w:eastAsia="Calibri" w:hAnsi="Palatino Linotype" w:cs="Tahoma"/>
          <w:sz w:val="22"/>
        </w:rPr>
        <w:t>.</w:t>
      </w:r>
    </w:p>
    <w:p w14:paraId="4F8E5AB5" w14:textId="77777777" w:rsidR="00EC0D64" w:rsidRDefault="00EC0D64" w:rsidP="007911EC">
      <w:pPr>
        <w:tabs>
          <w:tab w:val="left" w:pos="4962"/>
        </w:tabs>
        <w:spacing w:line="360" w:lineRule="auto"/>
        <w:jc w:val="both"/>
        <w:rPr>
          <w:rFonts w:ascii="Palatino Linotype" w:eastAsia="Calibri" w:hAnsi="Palatino Linotype" w:cs="Tahoma"/>
          <w:sz w:val="22"/>
        </w:rPr>
      </w:pPr>
    </w:p>
    <w:p w14:paraId="0710A927" w14:textId="05EE2829" w:rsidR="00DB673F" w:rsidRDefault="00DB673F" w:rsidP="007911EC">
      <w:pPr>
        <w:tabs>
          <w:tab w:val="left" w:pos="4962"/>
        </w:tabs>
        <w:spacing w:line="360" w:lineRule="auto"/>
        <w:jc w:val="both"/>
        <w:rPr>
          <w:rFonts w:ascii="Palatino Linotype" w:eastAsia="Calibri" w:hAnsi="Palatino Linotype" w:cs="Tahoma"/>
          <w:sz w:val="22"/>
        </w:rPr>
      </w:pPr>
      <w:r>
        <w:rPr>
          <w:rFonts w:ascii="Palatino Linotype" w:eastAsia="Calibri" w:hAnsi="Palatino Linotype" w:cs="Tahoma"/>
          <w:sz w:val="22"/>
        </w:rPr>
        <w:t xml:space="preserve">En esa misma consecución de ideas, la Ley Orgánica Municipal del Estado de México en sus artículo 93 y 95 establece que la  </w:t>
      </w:r>
      <w:r w:rsidRPr="00DB673F">
        <w:rPr>
          <w:rFonts w:ascii="Palatino Linotype" w:eastAsia="Calibri" w:hAnsi="Palatino Linotype" w:cs="Tahoma"/>
          <w:sz w:val="22"/>
        </w:rPr>
        <w:t>tesorería municipal es el órgano encargado de la recaudación de los ingresos municipales y responsable de realizar las erogaciones que haga el ayuntamiento</w:t>
      </w:r>
      <w:r>
        <w:rPr>
          <w:rFonts w:ascii="Palatino Linotype" w:eastAsia="Calibri" w:hAnsi="Palatino Linotype" w:cs="Tahoma"/>
          <w:sz w:val="22"/>
        </w:rPr>
        <w:t xml:space="preserve">, la cual dentro de sus atribuciones se encarga entre otras cosas de </w:t>
      </w:r>
      <w:r w:rsidRPr="00DB673F">
        <w:rPr>
          <w:rFonts w:ascii="Palatino Linotype" w:eastAsia="Calibri" w:hAnsi="Palatino Linotype" w:cs="Tahoma"/>
          <w:sz w:val="22"/>
        </w:rPr>
        <w:t xml:space="preserve">proporcionar para la formulación del proyecto de Presupuesto de Egresos Municipales la información financiera relativa a la solución o en su caso, </w:t>
      </w:r>
      <w:r w:rsidRPr="00DB673F">
        <w:rPr>
          <w:rFonts w:ascii="Palatino Linotype" w:eastAsia="Calibri" w:hAnsi="Palatino Linotype" w:cs="Tahoma"/>
          <w:b/>
          <w:bCs/>
          <w:sz w:val="22"/>
        </w:rPr>
        <w:t>el pago de los litigios laborales</w:t>
      </w:r>
      <w:r>
        <w:rPr>
          <w:rFonts w:ascii="Palatino Linotype" w:eastAsia="Calibri" w:hAnsi="Palatino Linotype" w:cs="Tahoma"/>
          <w:b/>
          <w:bCs/>
          <w:sz w:val="22"/>
        </w:rPr>
        <w:t>.</w:t>
      </w:r>
    </w:p>
    <w:p w14:paraId="35B70C3F" w14:textId="77777777" w:rsidR="00EC0D64" w:rsidRDefault="00EC0D64" w:rsidP="007911EC">
      <w:pPr>
        <w:tabs>
          <w:tab w:val="left" w:pos="4962"/>
        </w:tabs>
        <w:spacing w:line="360" w:lineRule="auto"/>
        <w:jc w:val="both"/>
        <w:rPr>
          <w:rFonts w:ascii="Palatino Linotype" w:eastAsia="Calibri" w:hAnsi="Palatino Linotype" w:cs="Tahoma"/>
          <w:sz w:val="22"/>
        </w:rPr>
      </w:pPr>
    </w:p>
    <w:bookmarkEnd w:id="12"/>
    <w:p w14:paraId="4FB438AB" w14:textId="23B6B07C" w:rsidR="00003542" w:rsidRPr="007911EC" w:rsidRDefault="009C787D" w:rsidP="007911EC">
      <w:pPr>
        <w:tabs>
          <w:tab w:val="left" w:pos="4962"/>
        </w:tabs>
        <w:spacing w:line="360" w:lineRule="auto"/>
        <w:jc w:val="both"/>
        <w:rPr>
          <w:rFonts w:ascii="Palatino Linotype" w:eastAsia="Calibri" w:hAnsi="Palatino Linotype" w:cs="Tahoma"/>
          <w:sz w:val="22"/>
          <w:szCs w:val="22"/>
          <w:lang w:val="es-ES" w:eastAsia="es-MX"/>
        </w:rPr>
      </w:pPr>
      <w:r w:rsidRPr="007911EC">
        <w:rPr>
          <w:rFonts w:ascii="Palatino Linotype" w:hAnsi="Palatino Linotype"/>
          <w:sz w:val="22"/>
          <w:szCs w:val="22"/>
        </w:rPr>
        <w:t>Conforme a lo expuesto, se logra vislumbrar que la pretensión de la persona Recurrente es</w:t>
      </w:r>
      <w:r w:rsidR="000D5C21" w:rsidRPr="007911EC">
        <w:rPr>
          <w:rFonts w:ascii="Palatino Linotype" w:hAnsi="Palatino Linotype"/>
          <w:sz w:val="22"/>
          <w:szCs w:val="22"/>
        </w:rPr>
        <w:t xml:space="preserve"> obtener</w:t>
      </w:r>
      <w:r w:rsidR="00D4408C" w:rsidRPr="007911EC">
        <w:rPr>
          <w:rFonts w:ascii="Palatino Linotype" w:hAnsi="Palatino Linotype"/>
          <w:sz w:val="22"/>
          <w:szCs w:val="22"/>
        </w:rPr>
        <w:t xml:space="preserve"> </w:t>
      </w:r>
      <w:r w:rsidR="007911EC">
        <w:rPr>
          <w:rFonts w:ascii="Palatino Linotype" w:hAnsi="Palatino Linotype"/>
          <w:sz w:val="22"/>
          <w:szCs w:val="22"/>
        </w:rPr>
        <w:t xml:space="preserve">respecto a los servidores públicos que fueron despedidos </w:t>
      </w:r>
      <w:r w:rsidR="00003542" w:rsidRPr="007911EC">
        <w:rPr>
          <w:rFonts w:ascii="Palatino Linotype" w:eastAsia="Calibri" w:hAnsi="Palatino Linotype" w:cs="Tahoma"/>
          <w:sz w:val="22"/>
          <w:szCs w:val="22"/>
          <w:lang w:val="es-ES" w:eastAsia="es-MX"/>
        </w:rPr>
        <w:t>del primero de enero de dos mil veinte al treinta y uno de diciembre de dos mil veintidós, lo siguiente:</w:t>
      </w:r>
    </w:p>
    <w:p w14:paraId="4FEECAD7" w14:textId="77777777" w:rsidR="00003542" w:rsidRPr="00BC099A" w:rsidRDefault="00003542" w:rsidP="007911EC">
      <w:pPr>
        <w:tabs>
          <w:tab w:val="left" w:pos="4962"/>
        </w:tabs>
        <w:spacing w:line="360" w:lineRule="auto"/>
        <w:contextualSpacing/>
        <w:jc w:val="both"/>
        <w:rPr>
          <w:rFonts w:ascii="Palatino Linotype" w:eastAsia="Calibri" w:hAnsi="Palatino Linotype" w:cs="Tahoma"/>
          <w:sz w:val="22"/>
          <w:szCs w:val="22"/>
          <w:lang w:val="es-ES" w:eastAsia="es-MX"/>
        </w:rPr>
      </w:pPr>
    </w:p>
    <w:p w14:paraId="16E88854" w14:textId="0EF396D2" w:rsidR="00003542" w:rsidRDefault="007911EC" w:rsidP="007911EC">
      <w:pPr>
        <w:pStyle w:val="Prrafodelista"/>
        <w:numPr>
          <w:ilvl w:val="0"/>
          <w:numId w:val="24"/>
        </w:numPr>
        <w:tabs>
          <w:tab w:val="left" w:pos="4962"/>
        </w:tabs>
        <w:spacing w:line="360" w:lineRule="auto"/>
        <w:jc w:val="both"/>
        <w:rPr>
          <w:rFonts w:ascii="Palatino Linotype" w:eastAsia="Palatino Linotype" w:hAnsi="Palatino Linotype" w:cs="Palatino Linotype"/>
          <w:szCs w:val="22"/>
          <w:lang w:eastAsia="es-MX"/>
        </w:rPr>
      </w:pPr>
      <w:r>
        <w:rPr>
          <w:rFonts w:ascii="Palatino Linotype" w:eastAsia="Palatino Linotype" w:hAnsi="Palatino Linotype" w:cs="Palatino Linotype"/>
          <w:szCs w:val="22"/>
          <w:lang w:eastAsia="es-MX"/>
        </w:rPr>
        <w:t xml:space="preserve">El nombre completo y </w:t>
      </w:r>
    </w:p>
    <w:p w14:paraId="5C8CB241" w14:textId="77777777" w:rsidR="007911EC" w:rsidRPr="00BC099A" w:rsidRDefault="007911EC" w:rsidP="007911EC">
      <w:pPr>
        <w:pStyle w:val="Prrafodelista"/>
        <w:tabs>
          <w:tab w:val="left" w:pos="4962"/>
        </w:tabs>
        <w:spacing w:line="360" w:lineRule="auto"/>
        <w:jc w:val="both"/>
        <w:rPr>
          <w:rFonts w:ascii="Palatino Linotype" w:eastAsia="Palatino Linotype" w:hAnsi="Palatino Linotype" w:cs="Palatino Linotype"/>
          <w:szCs w:val="22"/>
          <w:lang w:eastAsia="es-MX"/>
        </w:rPr>
      </w:pPr>
    </w:p>
    <w:p w14:paraId="71C2B968" w14:textId="68C99885" w:rsidR="00003542" w:rsidRPr="00BC099A" w:rsidRDefault="00003542" w:rsidP="007911EC">
      <w:pPr>
        <w:pStyle w:val="Prrafodelista"/>
        <w:numPr>
          <w:ilvl w:val="0"/>
          <w:numId w:val="24"/>
        </w:numPr>
        <w:tabs>
          <w:tab w:val="left" w:pos="4962"/>
        </w:tabs>
        <w:spacing w:line="360" w:lineRule="auto"/>
        <w:jc w:val="both"/>
        <w:rPr>
          <w:rFonts w:ascii="Palatino Linotype" w:eastAsia="Calibri" w:hAnsi="Palatino Linotype" w:cs="Tahoma"/>
          <w:szCs w:val="22"/>
          <w:lang w:val="es-ES" w:eastAsia="es-MX"/>
        </w:rPr>
      </w:pPr>
      <w:r w:rsidRPr="00BC099A">
        <w:rPr>
          <w:rFonts w:ascii="Palatino Linotype" w:eastAsia="Palatino Linotype" w:hAnsi="Palatino Linotype" w:cs="Palatino Linotype"/>
          <w:szCs w:val="22"/>
          <w:lang w:eastAsia="es-MX"/>
        </w:rPr>
        <w:t xml:space="preserve">El documento firmado </w:t>
      </w:r>
      <w:r w:rsidR="007911EC">
        <w:rPr>
          <w:rFonts w:ascii="Palatino Linotype" w:eastAsia="Palatino Linotype" w:hAnsi="Palatino Linotype" w:cs="Palatino Linotype"/>
          <w:szCs w:val="22"/>
          <w:lang w:eastAsia="es-MX"/>
        </w:rPr>
        <w:t xml:space="preserve">que acredita la recepción de </w:t>
      </w:r>
      <w:r w:rsidR="007911EC" w:rsidRPr="00BC099A">
        <w:rPr>
          <w:rFonts w:ascii="Palatino Linotype" w:eastAsia="Palatino Linotype" w:hAnsi="Palatino Linotype" w:cs="Palatino Linotype"/>
          <w:szCs w:val="22"/>
          <w:lang w:eastAsia="es-MX"/>
        </w:rPr>
        <w:t>la</w:t>
      </w:r>
      <w:r w:rsidRPr="00BC099A">
        <w:rPr>
          <w:rFonts w:ascii="Palatino Linotype" w:eastAsia="Palatino Linotype" w:hAnsi="Palatino Linotype" w:cs="Palatino Linotype"/>
          <w:szCs w:val="22"/>
          <w:lang w:eastAsia="es-MX"/>
        </w:rPr>
        <w:t xml:space="preserve"> liquidación</w:t>
      </w:r>
      <w:r w:rsidR="007911EC">
        <w:rPr>
          <w:rFonts w:ascii="Palatino Linotype" w:eastAsia="Palatino Linotype" w:hAnsi="Palatino Linotype" w:cs="Palatino Linotype"/>
          <w:szCs w:val="22"/>
          <w:lang w:eastAsia="es-MX"/>
        </w:rPr>
        <w:t>.</w:t>
      </w:r>
    </w:p>
    <w:p w14:paraId="6E21AE79" w14:textId="564FC224" w:rsidR="00D4408C" w:rsidRPr="007911EC" w:rsidRDefault="00D4408C" w:rsidP="007911EC">
      <w:pPr>
        <w:tabs>
          <w:tab w:val="left" w:pos="2280"/>
        </w:tabs>
        <w:spacing w:line="360" w:lineRule="auto"/>
        <w:jc w:val="both"/>
        <w:rPr>
          <w:rFonts w:ascii="Palatino Linotype" w:hAnsi="Palatino Linotype"/>
          <w:sz w:val="22"/>
          <w:lang w:val="es-ES"/>
        </w:rPr>
      </w:pPr>
    </w:p>
    <w:p w14:paraId="7449FA03" w14:textId="77777777" w:rsidR="009C787D" w:rsidRPr="007C3AF1" w:rsidRDefault="009C787D" w:rsidP="007911EC">
      <w:pPr>
        <w:tabs>
          <w:tab w:val="left" w:pos="4962"/>
        </w:tabs>
        <w:spacing w:line="360" w:lineRule="auto"/>
        <w:contextualSpacing/>
        <w:jc w:val="both"/>
        <w:rPr>
          <w:rFonts w:ascii="Palatino Linotype" w:eastAsia="Calibri" w:hAnsi="Palatino Linotype" w:cs="Tahoma"/>
          <w:color w:val="FF0000"/>
          <w:sz w:val="22"/>
          <w:szCs w:val="22"/>
          <w:lang w:val="es-ES" w:eastAsia="es-MX"/>
        </w:rPr>
      </w:pPr>
    </w:p>
    <w:p w14:paraId="02DE6C00" w14:textId="39D144E7" w:rsidR="00870C32" w:rsidRPr="005E4BBB" w:rsidRDefault="00870C32" w:rsidP="007911EC">
      <w:pPr>
        <w:spacing w:line="360" w:lineRule="auto"/>
        <w:jc w:val="both"/>
        <w:rPr>
          <w:rFonts w:ascii="Palatino Linotype" w:hAnsi="Palatino Linotype"/>
          <w:sz w:val="22"/>
          <w:szCs w:val="22"/>
        </w:rPr>
      </w:pPr>
      <w:r w:rsidRPr="00003542">
        <w:rPr>
          <w:rFonts w:ascii="Palatino Linotype" w:hAnsi="Palatino Linotype"/>
          <w:sz w:val="22"/>
        </w:rPr>
        <w:lastRenderedPageBreak/>
        <w:t>Así, se procede analizar la información proporcionada por el Sujeto Obligado, para lo cual, cabe señalar que este, turnó la solicitud de información, a la</w:t>
      </w:r>
      <w:r w:rsidR="0020799E" w:rsidRPr="00003542">
        <w:rPr>
          <w:rFonts w:ascii="Palatino Linotype" w:hAnsi="Palatino Linotype"/>
          <w:sz w:val="22"/>
        </w:rPr>
        <w:t xml:space="preserve"> </w:t>
      </w:r>
      <w:r w:rsidR="00003542">
        <w:rPr>
          <w:rFonts w:ascii="Palatino Linotype" w:hAnsi="Palatino Linotype"/>
          <w:sz w:val="22"/>
        </w:rPr>
        <w:t xml:space="preserve">Tesorería Municipal y la Dirección </w:t>
      </w:r>
      <w:r w:rsidR="00003542" w:rsidRPr="00003542">
        <w:rPr>
          <w:rFonts w:ascii="Palatino Linotype" w:hAnsi="Palatino Linotype"/>
          <w:sz w:val="22"/>
        </w:rPr>
        <w:t>Jurídica</w:t>
      </w:r>
      <w:r w:rsidRPr="00003542">
        <w:rPr>
          <w:rFonts w:ascii="Palatino Linotype" w:hAnsi="Palatino Linotype"/>
          <w:sz w:val="22"/>
        </w:rPr>
        <w:t xml:space="preserve">; por lo que, es oportuno hacer referencia al </w:t>
      </w:r>
      <w:r w:rsidRPr="00003542">
        <w:rPr>
          <w:rFonts w:ascii="Palatino Linotype" w:hAnsi="Palatino Linotype"/>
          <w:b/>
          <w:sz w:val="22"/>
        </w:rPr>
        <w:t>procedimiento de búsqueda que deben de seguir los Sujetos Obligados para localizar la información</w:t>
      </w:r>
      <w:r w:rsidRPr="00003542">
        <w:rPr>
          <w:rFonts w:ascii="Palatino Linotype" w:hAnsi="Palatino Linotype"/>
          <w:sz w:val="22"/>
        </w:rPr>
        <w:t xml:space="preserve">, el cual se encuentra previsto en el artículo 162 de la Ley de Transparencia y Acceso a la Información Pública del Estado de </w:t>
      </w:r>
      <w:r w:rsidRPr="005E4BBB">
        <w:rPr>
          <w:rFonts w:ascii="Palatino Linotype" w:hAnsi="Palatino Linotype"/>
          <w:sz w:val="22"/>
          <w:szCs w:val="22"/>
        </w:rPr>
        <w:t>México y Municipios, el cual establece que las Unidades de Transparencia garantizarán que las solicitudes de acceso a la información se turnen a todas las áreas competentes que cuenten con la información o deban tenerla, con el objeto de que dichas áreas realicen una búsqueda exhaustiva y razonable de la información requerido.</w:t>
      </w:r>
    </w:p>
    <w:p w14:paraId="6E99D464" w14:textId="57256C32" w:rsidR="00870C32" w:rsidRPr="005E4BBB" w:rsidRDefault="00870C32" w:rsidP="007911EC">
      <w:pPr>
        <w:spacing w:line="360" w:lineRule="auto"/>
        <w:jc w:val="both"/>
        <w:rPr>
          <w:rFonts w:ascii="Palatino Linotype" w:hAnsi="Palatino Linotype"/>
          <w:sz w:val="22"/>
          <w:szCs w:val="22"/>
        </w:rPr>
      </w:pPr>
    </w:p>
    <w:p w14:paraId="522B39BC" w14:textId="6CDEC765" w:rsidR="00003542" w:rsidRPr="005E4BBB" w:rsidRDefault="00870C32" w:rsidP="007911EC">
      <w:pPr>
        <w:spacing w:line="360" w:lineRule="auto"/>
        <w:ind w:right="-93"/>
        <w:jc w:val="both"/>
        <w:rPr>
          <w:rFonts w:ascii="Palatino Linotype" w:hAnsi="Palatino Linotype"/>
          <w:color w:val="FF0000"/>
          <w:sz w:val="22"/>
          <w:szCs w:val="22"/>
        </w:rPr>
      </w:pPr>
      <w:r w:rsidRPr="005E4BBB">
        <w:rPr>
          <w:rFonts w:ascii="Palatino Linotype" w:hAnsi="Palatino Linotype"/>
          <w:sz w:val="22"/>
          <w:szCs w:val="22"/>
        </w:rPr>
        <w:t xml:space="preserve">Así y de lo plasmado en párrafos anteriores, se advierte que el Sujeto Obligado cumplió con el procedimiento de búsqueda referido, pues </w:t>
      </w:r>
      <w:r w:rsidR="00003542" w:rsidRPr="005E4BBB">
        <w:rPr>
          <w:rFonts w:ascii="Palatino Linotype" w:hAnsi="Palatino Linotype"/>
          <w:sz w:val="22"/>
          <w:szCs w:val="22"/>
        </w:rPr>
        <w:t>turnó el requerimiento informativo a las áreas competentes para conocer de lo solicitado.</w:t>
      </w:r>
    </w:p>
    <w:p w14:paraId="05BC4A0D" w14:textId="77777777" w:rsidR="00003542" w:rsidRPr="005E4BBB" w:rsidRDefault="00003542" w:rsidP="007911EC">
      <w:pPr>
        <w:spacing w:line="360" w:lineRule="auto"/>
        <w:ind w:right="-93"/>
        <w:jc w:val="both"/>
        <w:rPr>
          <w:rFonts w:ascii="Palatino Linotype" w:hAnsi="Palatino Linotype"/>
          <w:sz w:val="22"/>
          <w:szCs w:val="22"/>
        </w:rPr>
      </w:pPr>
    </w:p>
    <w:p w14:paraId="069F0C49" w14:textId="77777777" w:rsidR="00003542" w:rsidRPr="005E4BBB" w:rsidRDefault="00870C32" w:rsidP="007911EC">
      <w:pPr>
        <w:pStyle w:val="NormalWeb"/>
        <w:spacing w:after="0" w:line="360" w:lineRule="auto"/>
        <w:ind w:right="-28"/>
        <w:rPr>
          <w:rFonts w:ascii="Palatino Linotype" w:hAnsi="Palatino Linotype" w:cs="Tahoma"/>
          <w:color w:val="FF0000"/>
          <w:sz w:val="22"/>
          <w:szCs w:val="22"/>
          <w:lang w:val="es-ES"/>
        </w:rPr>
      </w:pPr>
      <w:r w:rsidRPr="005E4BBB">
        <w:rPr>
          <w:rFonts w:ascii="Palatino Linotype" w:eastAsia="Calibri" w:hAnsi="Palatino Linotype" w:cs="Tahoma"/>
          <w:bCs/>
          <w:color w:val="auto"/>
          <w:sz w:val="22"/>
          <w:szCs w:val="22"/>
        </w:rPr>
        <w:t xml:space="preserve">Ahora bien, en Informe Justificado, </w:t>
      </w:r>
      <w:r w:rsidR="00003542" w:rsidRPr="005E4BBB">
        <w:rPr>
          <w:rFonts w:ascii="Palatino Linotype" w:eastAsia="Calibri" w:hAnsi="Palatino Linotype" w:cs="Tahoma"/>
          <w:bCs/>
          <w:color w:val="auto"/>
          <w:sz w:val="22"/>
          <w:szCs w:val="22"/>
        </w:rPr>
        <w:t xml:space="preserve">el </w:t>
      </w:r>
      <w:r w:rsidR="00003542" w:rsidRPr="005E4BBB">
        <w:rPr>
          <w:rFonts w:ascii="Palatino Linotype" w:hAnsi="Palatino Linotype" w:cs="Tahoma"/>
          <w:sz w:val="22"/>
          <w:szCs w:val="22"/>
          <w:lang w:val="es-ES_tradnl"/>
        </w:rPr>
        <w:t xml:space="preserve">Departamento de Contabilidad de la Tesorería Municipal una relación de </w:t>
      </w:r>
      <w:r w:rsidR="00003542" w:rsidRPr="005E4BBB">
        <w:rPr>
          <w:rFonts w:ascii="Palatino Linotype" w:hAnsi="Palatino Linotype"/>
          <w:color w:val="auto"/>
          <w:sz w:val="22"/>
          <w:szCs w:val="22"/>
        </w:rPr>
        <w:t>donde constan los listados de finiquitos pagados en dos mil veinte, dos mil veintiuno y dos mil veintidós.</w:t>
      </w:r>
    </w:p>
    <w:p w14:paraId="0B859BC2" w14:textId="1EA70F48" w:rsidR="00003542" w:rsidRPr="005E4BBB" w:rsidRDefault="00003542" w:rsidP="007911EC">
      <w:pPr>
        <w:pStyle w:val="NormalWeb"/>
        <w:spacing w:after="0" w:line="360" w:lineRule="auto"/>
        <w:ind w:right="-28"/>
        <w:rPr>
          <w:rFonts w:ascii="Palatino Linotype" w:eastAsia="Calibri" w:hAnsi="Palatino Linotype" w:cs="Tahoma"/>
          <w:bCs/>
          <w:color w:val="auto"/>
          <w:sz w:val="22"/>
          <w:szCs w:val="22"/>
        </w:rPr>
      </w:pPr>
    </w:p>
    <w:p w14:paraId="7E9EA114" w14:textId="0678FFCD" w:rsidR="00003542" w:rsidRPr="005E4BBB" w:rsidRDefault="00003542" w:rsidP="007911EC">
      <w:pPr>
        <w:pStyle w:val="NormalWeb"/>
        <w:spacing w:after="0" w:line="360" w:lineRule="auto"/>
        <w:ind w:right="-28"/>
        <w:rPr>
          <w:rFonts w:ascii="Palatino Linotype" w:hAnsi="Palatino Linotype"/>
          <w:color w:val="auto"/>
          <w:sz w:val="22"/>
          <w:szCs w:val="22"/>
        </w:rPr>
      </w:pPr>
      <w:r w:rsidRPr="005E4BBB">
        <w:rPr>
          <w:rFonts w:ascii="Palatino Linotype" w:hAnsi="Palatino Linotype"/>
          <w:color w:val="auto"/>
          <w:sz w:val="22"/>
          <w:szCs w:val="22"/>
        </w:rPr>
        <w:t>Conforme a lo anterior, se logra vislumbrar que el Sujeto Obligado proporcionó información que no corresponde con lo solicitado, pues la pretensión del Particular versa en obtener los documentos donde consten los nombres de las personas que fueron despedidas por el Ayuntamiento, durante el periodo solicitado, así como los documentos que acreditan la recepción del pago de las liquidaciones pagadas a dichos servidores públicos.</w:t>
      </w:r>
    </w:p>
    <w:p w14:paraId="777C6A8A" w14:textId="77777777" w:rsidR="00003542" w:rsidRDefault="00003542" w:rsidP="007911EC">
      <w:pPr>
        <w:pStyle w:val="NormalWeb"/>
        <w:spacing w:after="0" w:line="360" w:lineRule="auto"/>
        <w:ind w:right="-28"/>
        <w:rPr>
          <w:rFonts w:ascii="Palatino Linotype" w:eastAsia="Calibri" w:hAnsi="Palatino Linotype" w:cs="Tahoma"/>
          <w:bCs/>
          <w:color w:val="FF0000"/>
          <w:sz w:val="22"/>
          <w:szCs w:val="22"/>
        </w:rPr>
      </w:pPr>
    </w:p>
    <w:p w14:paraId="34B4CCC3" w14:textId="77777777" w:rsidR="007B03E9" w:rsidRPr="007C3AF1" w:rsidRDefault="007B03E9" w:rsidP="007911EC">
      <w:pPr>
        <w:pStyle w:val="NormalWeb"/>
        <w:spacing w:after="0" w:line="360" w:lineRule="auto"/>
        <w:ind w:right="-28"/>
        <w:rPr>
          <w:rFonts w:ascii="Palatino Linotype" w:hAnsi="Palatino Linotype"/>
          <w:color w:val="FF0000"/>
          <w:sz w:val="22"/>
        </w:rPr>
      </w:pPr>
    </w:p>
    <w:p w14:paraId="53BCE3ED" w14:textId="166BB997" w:rsidR="00003542" w:rsidRPr="00003542" w:rsidRDefault="001950A3" w:rsidP="007911EC">
      <w:pPr>
        <w:pStyle w:val="NormalWeb"/>
        <w:spacing w:after="0" w:line="360" w:lineRule="auto"/>
        <w:ind w:right="-28"/>
        <w:rPr>
          <w:rFonts w:ascii="Palatino Linotype" w:hAnsi="Palatino Linotype"/>
          <w:color w:val="auto"/>
        </w:rPr>
      </w:pPr>
      <w:r w:rsidRPr="00003542">
        <w:rPr>
          <w:rFonts w:ascii="Palatino Linotype" w:eastAsia="Calibri" w:hAnsi="Palatino Linotype" w:cs="Tahoma"/>
          <w:color w:val="auto"/>
          <w:sz w:val="22"/>
          <w:szCs w:val="22"/>
        </w:rPr>
        <w:lastRenderedPageBreak/>
        <w:t>Por lo que</w:t>
      </w:r>
      <w:r w:rsidR="003B6ED0" w:rsidRPr="00003542">
        <w:rPr>
          <w:rFonts w:ascii="Palatino Linotype" w:eastAsia="Calibri" w:hAnsi="Palatino Linotype" w:cs="Tahoma"/>
          <w:color w:val="auto"/>
          <w:sz w:val="22"/>
          <w:szCs w:val="22"/>
        </w:rPr>
        <w:t xml:space="preserve">, para atender al requerimiento en análisis, el Sujeto Obligado, deberá realizar una búsqueda exhaustiva y razonable en las unidades administrativas competentes, entre las cuales no podrá omitir a la </w:t>
      </w:r>
      <w:r w:rsidR="00003542">
        <w:rPr>
          <w:rFonts w:ascii="Palatino Linotype" w:eastAsia="Calibri" w:hAnsi="Palatino Linotype" w:cs="Tahoma"/>
          <w:color w:val="auto"/>
          <w:sz w:val="22"/>
          <w:szCs w:val="22"/>
        </w:rPr>
        <w:t>Tesorería Municipal y la Dirección de Jurídico</w:t>
      </w:r>
      <w:r w:rsidR="003B6ED0" w:rsidRPr="00003542">
        <w:rPr>
          <w:rFonts w:ascii="Palatino Linotype" w:eastAsia="Calibri" w:hAnsi="Palatino Linotype" w:cs="Tahoma"/>
          <w:color w:val="auto"/>
          <w:sz w:val="22"/>
          <w:szCs w:val="22"/>
        </w:rPr>
        <w:t xml:space="preserve">, en términos del artículo 162 de la Ley de Transparencia y Acceso a la Información Pública del Estado de México y Municipios, a efecto de que </w:t>
      </w:r>
      <w:r w:rsidRPr="00003542">
        <w:rPr>
          <w:rFonts w:ascii="Palatino Linotype" w:eastAsia="Calibri" w:hAnsi="Palatino Linotype" w:cs="Tahoma"/>
          <w:color w:val="auto"/>
          <w:sz w:val="22"/>
          <w:szCs w:val="22"/>
        </w:rPr>
        <w:t xml:space="preserve">proporcione </w:t>
      </w:r>
      <w:r w:rsidR="00003542">
        <w:rPr>
          <w:rFonts w:ascii="Palatino Linotype" w:eastAsia="Calibri" w:hAnsi="Palatino Linotype" w:cs="Tahoma"/>
          <w:color w:val="auto"/>
          <w:sz w:val="22"/>
          <w:szCs w:val="22"/>
        </w:rPr>
        <w:t xml:space="preserve">del </w:t>
      </w:r>
      <w:r w:rsidR="00003542" w:rsidRPr="00003542">
        <w:rPr>
          <w:rFonts w:ascii="Palatino Linotype" w:eastAsia="Calibri" w:hAnsi="Palatino Linotype" w:cs="Tahoma"/>
          <w:color w:val="auto"/>
          <w:sz w:val="22"/>
          <w:szCs w:val="22"/>
        </w:rPr>
        <w:t xml:space="preserve">periodo que comprende del primero de enero de dos mil veinte al treinta y uno de diciembre de dos mil veinticinco, </w:t>
      </w:r>
      <w:r w:rsidR="00003542" w:rsidRPr="00003542">
        <w:rPr>
          <w:rFonts w:ascii="Palatino Linotype" w:hAnsi="Palatino Linotype"/>
          <w:color w:val="auto"/>
          <w:sz w:val="22"/>
          <w:szCs w:val="22"/>
        </w:rPr>
        <w:t>los documentos donde consten los nombres de las personas que fueron despedidas por el Ayuntamiento, así como los documentos que acreditan la recepción del pago de las liquidaciones pagadas a dichos servidores públicos.</w:t>
      </w:r>
    </w:p>
    <w:p w14:paraId="0AFA4226" w14:textId="77777777" w:rsidR="001950A3" w:rsidRPr="007C3AF1" w:rsidRDefault="001950A3" w:rsidP="007911EC">
      <w:pPr>
        <w:pStyle w:val="NormalWeb"/>
        <w:spacing w:after="0" w:line="360" w:lineRule="auto"/>
        <w:ind w:right="-28"/>
        <w:rPr>
          <w:rFonts w:ascii="Palatino Linotype" w:eastAsia="Calibri" w:hAnsi="Palatino Linotype" w:cs="Tahoma"/>
          <w:color w:val="FF0000"/>
          <w:sz w:val="22"/>
          <w:szCs w:val="22"/>
        </w:rPr>
      </w:pPr>
    </w:p>
    <w:p w14:paraId="0D94D961" w14:textId="06349547" w:rsidR="003B6ED0" w:rsidRPr="005E4BBB" w:rsidRDefault="001950A3" w:rsidP="007911EC">
      <w:pPr>
        <w:pStyle w:val="NormalWeb"/>
        <w:spacing w:after="0" w:line="360" w:lineRule="auto"/>
        <w:ind w:right="-28"/>
        <w:rPr>
          <w:rFonts w:ascii="Palatino Linotype" w:hAnsi="Palatino Linotype"/>
          <w:color w:val="auto"/>
          <w:sz w:val="22"/>
        </w:rPr>
      </w:pPr>
      <w:r w:rsidRPr="005E4BBB">
        <w:rPr>
          <w:rFonts w:ascii="Palatino Linotype" w:eastAsia="Calibri" w:hAnsi="Palatino Linotype" w:cs="Tahoma"/>
          <w:color w:val="auto"/>
          <w:sz w:val="22"/>
          <w:szCs w:val="22"/>
        </w:rPr>
        <w:t>D</w:t>
      </w:r>
      <w:r w:rsidR="003B6ED0" w:rsidRPr="005E4BBB">
        <w:rPr>
          <w:rFonts w:ascii="Palatino Linotype" w:eastAsia="Calibri" w:hAnsi="Palatino Linotype" w:cs="Tahoma"/>
          <w:color w:val="auto"/>
          <w:sz w:val="22"/>
          <w:szCs w:val="22"/>
        </w:rPr>
        <w:t>icha situación toma sustento en el artículo 12 de la Ley de Transparencia y Acceso a la Información Pública del Estado de México y Municipios, que establece que los Sujetos Obligados sólo están constreñidos a proporcionar la información pública que obre en sus archivos, en el estado en que esta se encuentre; por lo que, la entrega no comprende el procesamiento de la misma, ni presentarla conforme al interés del Solicitante.</w:t>
      </w:r>
    </w:p>
    <w:p w14:paraId="22640D72" w14:textId="77777777" w:rsidR="003B6ED0" w:rsidRPr="005E4BBB" w:rsidRDefault="003B6ED0" w:rsidP="007911EC">
      <w:pPr>
        <w:spacing w:line="360" w:lineRule="auto"/>
        <w:ind w:right="-93"/>
        <w:jc w:val="both"/>
        <w:rPr>
          <w:rFonts w:ascii="Palatino Linotype" w:eastAsia="Calibri" w:hAnsi="Palatino Linotype" w:cs="Tahoma"/>
          <w:sz w:val="22"/>
          <w:szCs w:val="22"/>
        </w:rPr>
      </w:pPr>
    </w:p>
    <w:p w14:paraId="73649285" w14:textId="77777777" w:rsidR="003B6ED0" w:rsidRPr="005E4BBB" w:rsidRDefault="003B6ED0" w:rsidP="007911EC">
      <w:pPr>
        <w:spacing w:line="360" w:lineRule="auto"/>
        <w:ind w:right="-93"/>
        <w:jc w:val="both"/>
        <w:rPr>
          <w:rFonts w:ascii="Palatino Linotype" w:eastAsia="Calibri" w:hAnsi="Palatino Linotype" w:cs="Tahoma"/>
          <w:sz w:val="22"/>
          <w:szCs w:val="22"/>
        </w:rPr>
      </w:pPr>
      <w:r w:rsidRPr="005E4BBB">
        <w:rPr>
          <w:rFonts w:ascii="Palatino Linotype" w:eastAsia="Calibri" w:hAnsi="Palatino Linotype" w:cs="Tahoma"/>
          <w:sz w:val="22"/>
          <w:szCs w:val="22"/>
        </w:rPr>
        <w:t xml:space="preserve">De esta manera, el derecho de acceso a la información pública se satisface en aquellos casos en que se entregue el soporte documental en el que conste la información solicitada, sin necesidad de elaborar documentos </w:t>
      </w:r>
      <w:r w:rsidRPr="005E4BBB">
        <w:rPr>
          <w:rFonts w:ascii="Palatino Linotype" w:eastAsia="Calibri" w:hAnsi="Palatino Linotype" w:cs="Tahoma"/>
          <w:i/>
          <w:sz w:val="22"/>
          <w:szCs w:val="22"/>
        </w:rPr>
        <w:t>ad hoc</w:t>
      </w:r>
      <w:r w:rsidRPr="005E4BBB">
        <w:rPr>
          <w:rFonts w:ascii="Palatino Linotype" w:eastAsia="Calibri" w:hAnsi="Palatino Linotype" w:cs="Tahoma"/>
          <w:sz w:val="22"/>
          <w:szCs w:val="22"/>
        </w:rPr>
        <w:t>; lo cual, de conformidad con en el artículo 160 de la Ley de Transparencia y Acceso a la Información Pública del Estado de México y Municipios, el cual refiere que los sujetos obligados deberán entregar la información que obre en sus archivos.</w:t>
      </w:r>
    </w:p>
    <w:p w14:paraId="7455FCC9" w14:textId="77777777" w:rsidR="003B6ED0" w:rsidRPr="005E4BBB" w:rsidRDefault="003B6ED0" w:rsidP="007911EC">
      <w:pPr>
        <w:spacing w:line="360" w:lineRule="auto"/>
        <w:ind w:right="-93"/>
        <w:jc w:val="both"/>
        <w:rPr>
          <w:rFonts w:ascii="Palatino Linotype" w:eastAsia="Calibri" w:hAnsi="Palatino Linotype" w:cs="Tahoma"/>
          <w:sz w:val="22"/>
          <w:szCs w:val="22"/>
        </w:rPr>
      </w:pPr>
    </w:p>
    <w:p w14:paraId="2E1B19D4" w14:textId="1111637B" w:rsidR="00161C66" w:rsidRDefault="003B6ED0" w:rsidP="007911EC">
      <w:pPr>
        <w:spacing w:line="360" w:lineRule="auto"/>
        <w:ind w:right="-93"/>
        <w:jc w:val="both"/>
        <w:rPr>
          <w:rFonts w:ascii="Palatino Linotype" w:hAnsi="Palatino Linotype"/>
          <w:sz w:val="22"/>
        </w:rPr>
      </w:pPr>
      <w:r w:rsidRPr="005E4BBB">
        <w:rPr>
          <w:rFonts w:ascii="Palatino Linotype" w:eastAsia="Calibri" w:hAnsi="Palatino Linotype" w:cs="Tahoma"/>
          <w:sz w:val="22"/>
          <w:szCs w:val="22"/>
        </w:rPr>
        <w:t xml:space="preserve">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w:t>
      </w:r>
      <w:r w:rsidR="007B03E9" w:rsidRPr="005E4BBB">
        <w:rPr>
          <w:rFonts w:ascii="Palatino Linotype" w:eastAsia="Calibri" w:hAnsi="Palatino Linotype" w:cs="Tahoma"/>
          <w:sz w:val="22"/>
          <w:szCs w:val="22"/>
        </w:rPr>
        <w:t>los</w:t>
      </w:r>
      <w:r w:rsidR="00161C66" w:rsidRPr="005E4BBB">
        <w:rPr>
          <w:rFonts w:ascii="Palatino Linotype" w:hAnsi="Palatino Linotype"/>
          <w:sz w:val="22"/>
        </w:rPr>
        <w:t xml:space="preserve"> documento</w:t>
      </w:r>
      <w:r w:rsidR="007B03E9" w:rsidRPr="005E4BBB">
        <w:rPr>
          <w:rFonts w:ascii="Palatino Linotype" w:hAnsi="Palatino Linotype"/>
          <w:sz w:val="22"/>
        </w:rPr>
        <w:t>s</w:t>
      </w:r>
      <w:r w:rsidR="00161C66" w:rsidRPr="005E4BBB">
        <w:rPr>
          <w:rFonts w:ascii="Palatino Linotype" w:hAnsi="Palatino Linotype"/>
          <w:sz w:val="22"/>
        </w:rPr>
        <w:t xml:space="preserve"> </w:t>
      </w:r>
      <w:r w:rsidR="005E4BBB" w:rsidRPr="005E4BBB">
        <w:rPr>
          <w:rFonts w:ascii="Palatino Linotype" w:hAnsi="Palatino Linotype"/>
          <w:sz w:val="22"/>
        </w:rPr>
        <w:t>que den cuenta de lo solicitado.</w:t>
      </w:r>
    </w:p>
    <w:p w14:paraId="79856BFA" w14:textId="665132B6" w:rsidR="007911EC" w:rsidRDefault="007911EC" w:rsidP="007911EC">
      <w:pPr>
        <w:spacing w:line="360" w:lineRule="auto"/>
        <w:ind w:right="-93"/>
        <w:jc w:val="both"/>
        <w:rPr>
          <w:rFonts w:ascii="Palatino Linotype" w:hAnsi="Palatino Linotype"/>
          <w:sz w:val="22"/>
        </w:rPr>
      </w:pPr>
      <w:r>
        <w:rPr>
          <w:rFonts w:ascii="Palatino Linotype" w:hAnsi="Palatino Linotype"/>
          <w:sz w:val="22"/>
        </w:rPr>
        <w:lastRenderedPageBreak/>
        <w:t>Ahora bien, para el caso de que en alguno de los año o periodo no haya despedido alguna persona, deberá hacerlo del conocimiento de la parte Recurrente, de manera clara y precisa, en términos del artículo 19, párrafo segundo, de la Ley de Transparencia y Acceso a la Información Pública del Estado de México y Municipios.</w:t>
      </w:r>
    </w:p>
    <w:p w14:paraId="39AD2BD7" w14:textId="77777777" w:rsidR="007911EC" w:rsidRPr="007C3AF1" w:rsidRDefault="007911EC" w:rsidP="007911EC">
      <w:pPr>
        <w:spacing w:line="360" w:lineRule="auto"/>
        <w:ind w:right="-93"/>
        <w:jc w:val="both"/>
        <w:rPr>
          <w:rFonts w:ascii="Palatino Linotype" w:hAnsi="Palatino Linotype"/>
          <w:color w:val="FF0000"/>
          <w:sz w:val="22"/>
          <w:szCs w:val="22"/>
        </w:rPr>
      </w:pPr>
    </w:p>
    <w:p w14:paraId="751CCF88" w14:textId="288918D4" w:rsidR="00161C66" w:rsidRPr="005E4BBB" w:rsidRDefault="005E4BBB" w:rsidP="007911EC">
      <w:pPr>
        <w:spacing w:line="360" w:lineRule="auto"/>
        <w:ind w:right="-28"/>
        <w:jc w:val="both"/>
        <w:rPr>
          <w:rFonts w:ascii="Palatino Linotype" w:hAnsi="Palatino Linotype"/>
          <w:sz w:val="22"/>
          <w:szCs w:val="22"/>
        </w:rPr>
      </w:pPr>
      <w:r w:rsidRPr="005E4BBB">
        <w:rPr>
          <w:rFonts w:ascii="Palatino Linotype" w:hAnsi="Palatino Linotype"/>
          <w:sz w:val="22"/>
          <w:szCs w:val="22"/>
        </w:rPr>
        <w:t>Ahora bien, no pasa desapercibido que los documentos que dan cuenta de lo solicitado pudieran contener de manera enunciativa más no limitativa, los siguientes datos:</w:t>
      </w:r>
    </w:p>
    <w:p w14:paraId="2257304B" w14:textId="77777777" w:rsidR="005E4BBB" w:rsidRPr="005E4BBB" w:rsidRDefault="005E4BBB" w:rsidP="007911EC">
      <w:pPr>
        <w:spacing w:line="360" w:lineRule="auto"/>
        <w:ind w:right="-28"/>
        <w:contextualSpacing/>
        <w:jc w:val="both"/>
        <w:rPr>
          <w:rFonts w:ascii="Palatino Linotype" w:hAnsi="Palatino Linotype"/>
          <w:bCs/>
          <w:sz w:val="22"/>
          <w:szCs w:val="22"/>
        </w:rPr>
      </w:pPr>
    </w:p>
    <w:p w14:paraId="05E45FE7" w14:textId="77777777" w:rsidR="005E4BBB" w:rsidRPr="005E4BBB" w:rsidRDefault="005E4BBB" w:rsidP="007911EC">
      <w:pPr>
        <w:numPr>
          <w:ilvl w:val="0"/>
          <w:numId w:val="25"/>
        </w:num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Clave Única de Registro de Población (CURP);</w:t>
      </w:r>
    </w:p>
    <w:p w14:paraId="65855FE3" w14:textId="77777777" w:rsidR="005E4BBB" w:rsidRDefault="005E4BBB" w:rsidP="007911EC">
      <w:pPr>
        <w:numPr>
          <w:ilvl w:val="0"/>
          <w:numId w:val="25"/>
        </w:num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Registro Federal de Contribuyentes del servidor público (RFC);</w:t>
      </w:r>
    </w:p>
    <w:p w14:paraId="13C27DA8" w14:textId="2CA8DF25" w:rsidR="0061331A" w:rsidRPr="005E4BBB" w:rsidRDefault="005E4BBB" w:rsidP="007911EC">
      <w:pPr>
        <w:numPr>
          <w:ilvl w:val="0"/>
          <w:numId w:val="25"/>
        </w:numPr>
        <w:spacing w:line="360" w:lineRule="auto"/>
        <w:jc w:val="both"/>
        <w:rPr>
          <w:rFonts w:ascii="Palatino Linotype" w:eastAsia="Palatino Linotype" w:hAnsi="Palatino Linotype" w:cs="Palatino Linotype"/>
          <w:sz w:val="22"/>
          <w:szCs w:val="22"/>
          <w:lang w:eastAsia="es-MX"/>
        </w:rPr>
      </w:pPr>
      <w:r w:rsidRPr="005E4BBB">
        <w:rPr>
          <w:rFonts w:ascii="Palatino Linotype" w:hAnsi="Palatino Linotype"/>
          <w:sz w:val="22"/>
          <w:szCs w:val="22"/>
        </w:rPr>
        <w:t>Domicilio Particular</w:t>
      </w:r>
    </w:p>
    <w:p w14:paraId="46F9717B" w14:textId="77777777" w:rsidR="007911EC" w:rsidRDefault="007911EC" w:rsidP="007911EC">
      <w:pPr>
        <w:spacing w:line="360" w:lineRule="auto"/>
        <w:ind w:right="-28"/>
        <w:jc w:val="both"/>
        <w:rPr>
          <w:rFonts w:ascii="Palatino Linotype" w:eastAsia="Palatino Linotype" w:hAnsi="Palatino Linotype" w:cs="Palatino Linotype"/>
          <w:color w:val="000000"/>
          <w:sz w:val="22"/>
          <w:szCs w:val="22"/>
          <w:lang w:eastAsia="es-MX"/>
        </w:rPr>
      </w:pPr>
    </w:p>
    <w:p w14:paraId="74FC6DC3" w14:textId="51FBE127" w:rsidR="005E4BBB" w:rsidRPr="005E4BBB" w:rsidRDefault="005E4BBB" w:rsidP="007911EC">
      <w:pPr>
        <w:spacing w:line="360" w:lineRule="auto"/>
        <w:ind w:right="-28"/>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Al respecto, cabe mencionar que el artículo 143, fracción I, de la Ley previamente citada, establece que la información privada y los datos personales, concernientes a una persona física o jurídica colectiva identificada o identificable son confidenciales.</w:t>
      </w:r>
    </w:p>
    <w:p w14:paraId="130BBD97"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p>
    <w:p w14:paraId="44750520"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58526A1A"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p>
    <w:p w14:paraId="6CBD3A3D"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lastRenderedPageBreak/>
        <w:t>En términos de lo expuesto, la documentación y aquellos datos que se consideren confidenciales, serán una limitante del derecho de acceso a la información, siempre y cuando:</w:t>
      </w:r>
    </w:p>
    <w:p w14:paraId="32702B59"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p>
    <w:p w14:paraId="143BD279" w14:textId="77777777" w:rsidR="005E4BBB" w:rsidRPr="005E4BBB" w:rsidRDefault="005E4BBB" w:rsidP="007911EC">
      <w:pPr>
        <w:numPr>
          <w:ilvl w:val="0"/>
          <w:numId w:val="26"/>
        </w:num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 xml:space="preserve">Se trate de datos personales o información privada; esto es, información concerniente a una persona física o jurídico colectiva y que esta sea identificada o identificable. </w:t>
      </w:r>
    </w:p>
    <w:p w14:paraId="560616F7" w14:textId="77777777" w:rsidR="005E4BBB" w:rsidRPr="005E4BBB" w:rsidRDefault="005E4BBB" w:rsidP="007911EC">
      <w:pPr>
        <w:numPr>
          <w:ilvl w:val="0"/>
          <w:numId w:val="26"/>
        </w:num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 xml:space="preserve">Para la difusión de los datos, se requiera el consentimiento del titular. </w:t>
      </w:r>
    </w:p>
    <w:p w14:paraId="42ABE59C"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p>
    <w:p w14:paraId="57947061"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w:t>
      </w:r>
    </w:p>
    <w:p w14:paraId="74A829DA"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p>
    <w:p w14:paraId="725A909F"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Bajo dicha circunstancia, se analizarán si los datos mencionados, deben ser considerados confidenciales, en términos del artículo 143, fracción I, de la Ley de Transparencia y Acceso a la Información Pública del Estado de México y Municipios, o públicos.</w:t>
      </w:r>
    </w:p>
    <w:p w14:paraId="176B0A7E" w14:textId="77777777" w:rsidR="005E4BBB" w:rsidRPr="005E4BBB" w:rsidRDefault="005E4BBB" w:rsidP="007911EC">
      <w:pPr>
        <w:spacing w:line="360" w:lineRule="auto"/>
        <w:ind w:right="-28"/>
        <w:jc w:val="both"/>
        <w:rPr>
          <w:rFonts w:ascii="Palatino Linotype" w:eastAsia="Palatino Linotype" w:hAnsi="Palatino Linotype" w:cs="Palatino Linotype"/>
          <w:sz w:val="22"/>
          <w:szCs w:val="22"/>
          <w:lang w:eastAsia="es-MX"/>
        </w:rPr>
      </w:pPr>
    </w:p>
    <w:p w14:paraId="007E3874" w14:textId="77777777" w:rsidR="005E4BBB" w:rsidRPr="005E4BBB" w:rsidRDefault="005E4BBB" w:rsidP="007911EC">
      <w:pPr>
        <w:numPr>
          <w:ilvl w:val="0"/>
          <w:numId w:val="27"/>
        </w:numPr>
        <w:spacing w:line="360" w:lineRule="auto"/>
        <w:jc w:val="both"/>
        <w:rPr>
          <w:rFonts w:ascii="Palatino Linotype" w:eastAsia="Palatino Linotype" w:hAnsi="Palatino Linotype" w:cs="Palatino Linotype"/>
          <w:b/>
          <w:color w:val="000000"/>
          <w:sz w:val="22"/>
          <w:szCs w:val="22"/>
          <w:lang w:eastAsia="es-MX"/>
        </w:rPr>
      </w:pPr>
      <w:r w:rsidRPr="005E4BBB">
        <w:rPr>
          <w:rFonts w:ascii="Palatino Linotype" w:eastAsia="Palatino Linotype" w:hAnsi="Palatino Linotype" w:cs="Palatino Linotype"/>
          <w:b/>
          <w:color w:val="000000"/>
          <w:sz w:val="22"/>
          <w:szCs w:val="22"/>
          <w:lang w:eastAsia="es-MX"/>
        </w:rPr>
        <w:t>Clave Única de Registro de Población (CURP)</w:t>
      </w:r>
    </w:p>
    <w:p w14:paraId="054861DB"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p>
    <w:p w14:paraId="44DECC60"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 xml:space="preserve">El artículo 36 de la Constitución Política de los Estados Unidos Mexicanos, dispone la obligación de los ciudadanos de inscribirse en el Registro Nacional de Ciudadanos; además, el diverso 85 de la Ley General de Población, prevé que corresponde a la Secretaría de </w:t>
      </w:r>
      <w:r w:rsidRPr="005E4BBB">
        <w:rPr>
          <w:rFonts w:ascii="Palatino Linotype" w:eastAsia="Palatino Linotype" w:hAnsi="Palatino Linotype" w:cs="Palatino Linotype"/>
          <w:color w:val="000000"/>
          <w:sz w:val="22"/>
          <w:szCs w:val="22"/>
          <w:lang w:eastAsia="es-MX"/>
        </w:rPr>
        <w:lastRenderedPageBreak/>
        <w:t>Gobernación el registro y acreditación de la identidad de todas las personas residentes en el país y de los nacionales que residan en el extranjero.</w:t>
      </w:r>
    </w:p>
    <w:p w14:paraId="32535E98"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p>
    <w:p w14:paraId="4360AE08"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6F014750"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p>
    <w:p w14:paraId="1F19C32C" w14:textId="7167E61E"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 xml:space="preserve">En ese orden de ideas, la Secretaría de Gobernación en las direcciones </w:t>
      </w:r>
      <w:hyperlink r:id="rId10" w:history="1">
        <w:r w:rsidRPr="005E4BBB">
          <w:rPr>
            <w:rFonts w:ascii="Palatino Linotype" w:eastAsia="Palatino Linotype" w:hAnsi="Palatino Linotype" w:cs="Palatino Linotype"/>
            <w:color w:val="0563C1"/>
            <w:sz w:val="22"/>
            <w:szCs w:val="22"/>
            <w:u w:val="single"/>
            <w:lang w:eastAsia="es-MX"/>
          </w:rPr>
          <w:t>https://consultas.curp.gob.mx/CurpSP/html/informacionecurpPS.html</w:t>
        </w:r>
      </w:hyperlink>
      <w:r w:rsidRPr="005E4BBB">
        <w:rPr>
          <w:rFonts w:ascii="Palatino Linotype" w:eastAsia="Palatino Linotype" w:hAnsi="Palatino Linotype" w:cs="Palatino Linotype"/>
          <w:color w:val="000000"/>
          <w:sz w:val="22"/>
          <w:szCs w:val="22"/>
          <w:lang w:eastAsia="es-MX"/>
        </w:rPr>
        <w:t xml:space="preserve"> y </w:t>
      </w:r>
      <w:hyperlink r:id="rId11" w:history="1">
        <w:r w:rsidRPr="005E4BBB">
          <w:rPr>
            <w:rFonts w:ascii="Palatino Linotype" w:eastAsia="Palatino Linotype" w:hAnsi="Palatino Linotype" w:cs="Palatino Linotype"/>
            <w:color w:val="0563C1"/>
            <w:sz w:val="22"/>
            <w:szCs w:val="22"/>
            <w:u w:val="single"/>
            <w:lang w:eastAsia="es-MX"/>
          </w:rPr>
          <w:t>https://www.gob.mx/segob/renapo/acciones-y-programas/clave-unica-de-registro-de-poblacion-curp-142226</w:t>
        </w:r>
      </w:hyperlink>
      <w:r w:rsidRPr="005E4BBB">
        <w:rPr>
          <w:rFonts w:ascii="Palatino Linotype" w:eastAsia="Palatino Linotype" w:hAnsi="Palatino Linotype" w:cs="Palatino Linotype"/>
          <w:color w:val="000000"/>
          <w:sz w:val="22"/>
          <w:szCs w:val="22"/>
          <w:lang w:eastAsia="es-MX"/>
        </w:rPr>
        <w:t xml:space="preserve"> (consultadas el</w:t>
      </w:r>
      <w:r>
        <w:rPr>
          <w:rFonts w:ascii="Palatino Linotype" w:eastAsia="Palatino Linotype" w:hAnsi="Palatino Linotype" w:cs="Palatino Linotype"/>
          <w:color w:val="000000"/>
          <w:sz w:val="22"/>
          <w:szCs w:val="22"/>
          <w:lang w:eastAsia="es-MX"/>
        </w:rPr>
        <w:t xml:space="preserve"> veintiséis de febrero de dos mil veintiséis</w:t>
      </w:r>
      <w:r w:rsidRPr="005E4BBB">
        <w:rPr>
          <w:rFonts w:ascii="Palatino Linotype" w:eastAsia="Palatino Linotype" w:hAnsi="Palatino Linotype" w:cs="Palatino Linotype"/>
          <w:color w:val="000000"/>
          <w:sz w:val="22"/>
          <w:szCs w:val="22"/>
          <w:lang w:eastAsia="es-MX"/>
        </w:rPr>
        <w:t xml:space="preserve">), estableció que la Clave Única del Registro de Población, es un instrumento de registro que se asigna a todas las personas que viven en el territorio nacional, así como a los mexicanos que residen en el extranjero y se compone de dieciocho elementos, representados por letras y números, que </w:t>
      </w:r>
      <w:r w:rsidRPr="005E4BBB">
        <w:rPr>
          <w:rFonts w:ascii="Palatino Linotype" w:eastAsia="Palatino Linotype" w:hAnsi="Palatino Linotype" w:cs="Palatino Linotype"/>
          <w:b/>
          <w:color w:val="000000"/>
          <w:sz w:val="22"/>
          <w:szCs w:val="22"/>
          <w:lang w:eastAsia="es-MX"/>
        </w:rPr>
        <w:t>se generan a partir de los datos contenidos en el documento probatorio de la identidad</w:t>
      </w:r>
      <w:r w:rsidRPr="005E4BBB">
        <w:rPr>
          <w:rFonts w:ascii="Palatino Linotype" w:eastAsia="Palatino Linotype" w:hAnsi="Palatino Linotype" w:cs="Palatino Linotype"/>
          <w:color w:val="000000"/>
          <w:sz w:val="22"/>
          <w:szCs w:val="22"/>
          <w:lang w:eastAsia="es-MX"/>
        </w:rPr>
        <w:t xml:space="preserve"> </w:t>
      </w:r>
      <w:r w:rsidRPr="005E4BBB">
        <w:rPr>
          <w:rFonts w:ascii="Palatino Linotype" w:eastAsia="Palatino Linotype" w:hAnsi="Palatino Linotype" w:cs="Palatino Linotype"/>
          <w:b/>
          <w:color w:val="000000"/>
          <w:sz w:val="22"/>
          <w:szCs w:val="22"/>
          <w:lang w:eastAsia="es-MX"/>
        </w:rPr>
        <w:t xml:space="preserve">del interesado </w:t>
      </w:r>
      <w:r w:rsidRPr="005E4BBB">
        <w:rPr>
          <w:rFonts w:ascii="Palatino Linotype" w:eastAsia="Palatino Linotype" w:hAnsi="Palatino Linotype" w:cs="Palatino Linotype"/>
          <w:color w:val="000000"/>
          <w:sz w:val="22"/>
          <w:szCs w:val="22"/>
          <w:lang w:eastAsia="es-MX"/>
        </w:rPr>
        <w:t>(acta de nacimiento, carta de naturalización o documento migratorio) de la siguiente forma:</w:t>
      </w:r>
    </w:p>
    <w:p w14:paraId="3A61333F"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p>
    <w:p w14:paraId="3DF7BD92" w14:textId="77777777" w:rsidR="005E4BBB" w:rsidRPr="005E4BBB" w:rsidRDefault="005E4BBB" w:rsidP="007911EC">
      <w:pPr>
        <w:numPr>
          <w:ilvl w:val="0"/>
          <w:numId w:val="28"/>
        </w:num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El primero y segundo apellidos, así como al nombre de pila;</w:t>
      </w:r>
    </w:p>
    <w:p w14:paraId="64306107" w14:textId="77777777" w:rsidR="005E4BBB" w:rsidRPr="005E4BBB" w:rsidRDefault="005E4BBB" w:rsidP="007911EC">
      <w:pPr>
        <w:numPr>
          <w:ilvl w:val="0"/>
          <w:numId w:val="28"/>
        </w:num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La fecha de nacimiento;</w:t>
      </w:r>
    </w:p>
    <w:p w14:paraId="2F074553" w14:textId="77777777" w:rsidR="005E4BBB" w:rsidRPr="005E4BBB" w:rsidRDefault="005E4BBB" w:rsidP="007911EC">
      <w:pPr>
        <w:numPr>
          <w:ilvl w:val="0"/>
          <w:numId w:val="28"/>
        </w:num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El sexo, y</w:t>
      </w:r>
    </w:p>
    <w:p w14:paraId="44FB5DB0" w14:textId="77777777" w:rsidR="005E4BBB" w:rsidRPr="005E4BBB" w:rsidRDefault="005E4BBB" w:rsidP="007911EC">
      <w:pPr>
        <w:numPr>
          <w:ilvl w:val="0"/>
          <w:numId w:val="28"/>
        </w:num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La entidad federativa de nacimiento.</w:t>
      </w:r>
    </w:p>
    <w:p w14:paraId="7A460F49"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p>
    <w:p w14:paraId="6CC5685D"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lastRenderedPageBreak/>
        <w:t>Los dos últimos elementos de la Clave Única de Registro de Población evitan la duplicidad de la Clave y garantizan su correcta integración.</w:t>
      </w:r>
    </w:p>
    <w:p w14:paraId="6C41B9EF"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p>
    <w:p w14:paraId="3086F34C"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44306C9F"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p>
    <w:p w14:paraId="10C3EA94"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Situación que se robustece, con el Criterio Orientador, de la Segunda Época, con número de registro SO/018/2017, emitido por el entonces Instituto Nacional de Transparencia, Acceso a la Información y Protección de Datos Personales, vigente a la fecha de la solicitud, que establece lo siguiente:</w:t>
      </w:r>
    </w:p>
    <w:p w14:paraId="470AE8F0" w14:textId="77777777" w:rsidR="005E4BBB" w:rsidRPr="005E4BBB" w:rsidRDefault="005E4BBB" w:rsidP="007911EC">
      <w:pPr>
        <w:spacing w:line="360" w:lineRule="auto"/>
        <w:ind w:left="567" w:right="567"/>
        <w:jc w:val="both"/>
        <w:rPr>
          <w:rFonts w:ascii="Palatino Linotype" w:eastAsia="Palatino Linotype" w:hAnsi="Palatino Linotype" w:cs="Palatino Linotype"/>
          <w:color w:val="000000"/>
          <w:lang w:eastAsia="es-MX"/>
        </w:rPr>
      </w:pPr>
    </w:p>
    <w:p w14:paraId="0897095F" w14:textId="77777777" w:rsidR="005E4BBB" w:rsidRPr="005E4BBB" w:rsidRDefault="005E4BBB" w:rsidP="007911EC">
      <w:pPr>
        <w:spacing w:line="360" w:lineRule="auto"/>
        <w:ind w:left="567" w:right="567"/>
        <w:jc w:val="both"/>
        <w:rPr>
          <w:rFonts w:ascii="Palatino Linotype" w:eastAsia="Palatino Linotype" w:hAnsi="Palatino Linotype" w:cs="Palatino Linotype"/>
          <w:i/>
          <w:color w:val="000000"/>
          <w:lang w:eastAsia="es-MX"/>
        </w:rPr>
      </w:pPr>
      <w:r w:rsidRPr="005E4BBB">
        <w:rPr>
          <w:rFonts w:ascii="Palatino Linotype" w:eastAsia="Palatino Linotype" w:hAnsi="Palatino Linotype" w:cs="Palatino Linotype"/>
          <w:b/>
          <w:i/>
          <w:color w:val="000000"/>
          <w:lang w:eastAsia="es-MX"/>
        </w:rPr>
        <w:t xml:space="preserve">“Clave Única de Registro de Población (CURP). </w:t>
      </w:r>
      <w:r w:rsidRPr="005E4BBB">
        <w:rPr>
          <w:rFonts w:ascii="Palatino Linotype" w:eastAsia="Palatino Linotype" w:hAnsi="Palatino Linotype" w:cs="Palatino Linotype"/>
          <w:i/>
          <w:color w:val="000000"/>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254F2E3F"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p>
    <w:p w14:paraId="69ADEB38"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 xml:space="preserve">De acuerdo con lo anterior, resulta procedente la clasificación de la Clave Única de Registro de Población, por tratarse de un dato personal confidencial, en términos del artículo 143, fracción I, de la Ley de Transparencia y Acceso a la Información Pública del Estado de México y Municipios. </w:t>
      </w:r>
    </w:p>
    <w:p w14:paraId="5025B65C"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p>
    <w:p w14:paraId="51D1BA4B" w14:textId="77777777" w:rsidR="005E4BBB" w:rsidRPr="005E4BBB" w:rsidRDefault="005E4BBB" w:rsidP="007911EC">
      <w:pPr>
        <w:numPr>
          <w:ilvl w:val="0"/>
          <w:numId w:val="27"/>
        </w:numPr>
        <w:spacing w:line="360" w:lineRule="auto"/>
        <w:jc w:val="both"/>
        <w:rPr>
          <w:rFonts w:ascii="Palatino Linotype" w:eastAsia="Palatino Linotype" w:hAnsi="Palatino Linotype" w:cs="Palatino Linotype"/>
          <w:b/>
          <w:color w:val="000000"/>
          <w:sz w:val="22"/>
          <w:szCs w:val="22"/>
          <w:lang w:eastAsia="es-MX"/>
        </w:rPr>
      </w:pPr>
      <w:r w:rsidRPr="005E4BBB">
        <w:rPr>
          <w:rFonts w:ascii="Palatino Linotype" w:eastAsia="Palatino Linotype" w:hAnsi="Palatino Linotype" w:cs="Palatino Linotype"/>
          <w:b/>
          <w:color w:val="000000"/>
          <w:sz w:val="22"/>
          <w:szCs w:val="22"/>
          <w:lang w:eastAsia="es-MX"/>
        </w:rPr>
        <w:t>Registro Federal de Contribuyentes (RFC)</w:t>
      </w:r>
    </w:p>
    <w:p w14:paraId="75E4A509"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p>
    <w:p w14:paraId="5F9C49A5"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09C2370E"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p>
    <w:p w14:paraId="7AC6CE14"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 xml:space="preserve">De acuerdo a lo establecido en el artículo en comento, esta clave se compone de trece caracteres alfanuméricos, con datos obtenidos de los apellidos, nombre(s), fecha de nacimiento del titular, más una </w:t>
      </w:r>
      <w:proofErr w:type="spellStart"/>
      <w:r w:rsidRPr="005E4BBB">
        <w:rPr>
          <w:rFonts w:ascii="Palatino Linotype" w:eastAsia="Palatino Linotype" w:hAnsi="Palatino Linotype" w:cs="Palatino Linotype"/>
          <w:color w:val="000000"/>
          <w:sz w:val="22"/>
          <w:szCs w:val="22"/>
          <w:lang w:eastAsia="es-MX"/>
        </w:rPr>
        <w:t>homoclave</w:t>
      </w:r>
      <w:proofErr w:type="spellEnd"/>
      <w:r w:rsidRPr="005E4BBB">
        <w:rPr>
          <w:rFonts w:ascii="Palatino Linotype" w:eastAsia="Palatino Linotype" w:hAnsi="Palatino Linotype" w:cs="Palatino Linotype"/>
          <w:color w:val="000000"/>
          <w:sz w:val="22"/>
          <w:szCs w:val="22"/>
          <w:lang w:eastAsia="es-MX"/>
        </w:rPr>
        <w:t xml:space="preserve"> que establece el sistema automático del Servicio de Administración Tributaria.</w:t>
      </w:r>
    </w:p>
    <w:p w14:paraId="37DCC5BC"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p>
    <w:p w14:paraId="2B9A8980"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6299C2EC"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p>
    <w:p w14:paraId="3FD7C641"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 xml:space="preserve">Así, el Registro Federal de Contribuyentes, es un dato personal, ya que hace a las personas físicas identificas e identificables, además de que las relaciona como contribuyentes de las autoridades fiscales. Es de destacar que dicho dato únicamente sirve para efectos fiscales y pago de contribuciones, por lo que se trata de un dato relevante únicamente para las personas involucrada, en el pago de estos, en el presente caso, del pago del Impuesto Sobre el Producto del Trabajo. </w:t>
      </w:r>
    </w:p>
    <w:p w14:paraId="53DD8261"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p>
    <w:p w14:paraId="73DFAA1D"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lastRenderedPageBreak/>
        <w:t>Lo anterior, resulta congruente con el Criterio Orientador, de la Segunda Época, con número de registro SO/019/2017, emitido por el entonces Instituto Nacional de Transparencia, Acceso a la Información y Protección de Datos Personales, vigente a la fecha de la solicitud, en el cual se señala lo siguiente:</w:t>
      </w:r>
    </w:p>
    <w:p w14:paraId="668E036F" w14:textId="77777777" w:rsidR="005E4BBB" w:rsidRPr="005E4BBB" w:rsidRDefault="005E4BBB" w:rsidP="007911EC">
      <w:pPr>
        <w:spacing w:line="360" w:lineRule="auto"/>
        <w:jc w:val="both"/>
        <w:rPr>
          <w:rFonts w:ascii="Palatino Linotype" w:eastAsia="Palatino Linotype" w:hAnsi="Palatino Linotype" w:cs="Palatino Linotype"/>
          <w:color w:val="000000"/>
          <w:sz w:val="22"/>
          <w:szCs w:val="22"/>
          <w:lang w:eastAsia="es-MX"/>
        </w:rPr>
      </w:pPr>
    </w:p>
    <w:p w14:paraId="71269E8D" w14:textId="77777777" w:rsidR="005E4BBB" w:rsidRPr="005E4BBB" w:rsidRDefault="005E4BBB" w:rsidP="007911EC">
      <w:pPr>
        <w:spacing w:line="360" w:lineRule="auto"/>
        <w:ind w:left="567" w:right="567"/>
        <w:jc w:val="both"/>
        <w:rPr>
          <w:rFonts w:ascii="Palatino Linotype" w:eastAsia="Palatino Linotype" w:hAnsi="Palatino Linotype" w:cs="Palatino Linotype"/>
          <w:i/>
          <w:color w:val="000000"/>
          <w:lang w:eastAsia="es-MX"/>
        </w:rPr>
      </w:pPr>
      <w:r w:rsidRPr="005E4BBB">
        <w:rPr>
          <w:rFonts w:ascii="Palatino Linotype" w:eastAsia="Palatino Linotype" w:hAnsi="Palatino Linotype" w:cs="Palatino Linotype"/>
          <w:b/>
          <w:i/>
          <w:color w:val="000000"/>
          <w:lang w:eastAsia="es-MX"/>
        </w:rPr>
        <w:t>“Registro Federal de Contribuyentes (RFC) de personas físicas.</w:t>
      </w:r>
      <w:r w:rsidRPr="005E4BBB">
        <w:rPr>
          <w:rFonts w:ascii="Palatino Linotype" w:eastAsia="Palatino Linotype" w:hAnsi="Palatino Linotype" w:cs="Palatino Linotype"/>
          <w:i/>
          <w:color w:val="000000"/>
          <w:lang w:eastAsia="es-MX"/>
        </w:rPr>
        <w:t xml:space="preserve"> El RFC es una clave de carácter fiscal, única e irrepetible, que permite identificar al titular, su edad y fecha de nacimiento, por lo que es un dato personal de carácter confidencial.”</w:t>
      </w:r>
    </w:p>
    <w:p w14:paraId="719D7045" w14:textId="77777777" w:rsidR="005E4BBB" w:rsidRPr="005E4BBB" w:rsidRDefault="005E4BBB" w:rsidP="007911EC">
      <w:pPr>
        <w:spacing w:line="360" w:lineRule="auto"/>
        <w:ind w:left="567" w:right="567"/>
        <w:jc w:val="both"/>
        <w:rPr>
          <w:rFonts w:ascii="Palatino Linotype" w:eastAsia="Palatino Linotype" w:hAnsi="Palatino Linotype" w:cs="Palatino Linotype"/>
          <w:i/>
          <w:color w:val="000000"/>
          <w:lang w:eastAsia="es-MX"/>
        </w:rPr>
      </w:pPr>
    </w:p>
    <w:p w14:paraId="3FE8FA62" w14:textId="77777777" w:rsidR="005E4BBB" w:rsidRDefault="005E4BBB" w:rsidP="007911EC">
      <w:pPr>
        <w:spacing w:line="360" w:lineRule="auto"/>
        <w:jc w:val="both"/>
        <w:rPr>
          <w:rFonts w:ascii="Palatino Linotype" w:eastAsia="Palatino Linotype" w:hAnsi="Palatino Linotype" w:cs="Palatino Linotype"/>
          <w:color w:val="000000"/>
          <w:sz w:val="22"/>
          <w:szCs w:val="22"/>
          <w:lang w:eastAsia="es-MX"/>
        </w:rPr>
      </w:pPr>
      <w:r w:rsidRPr="005E4BBB">
        <w:rPr>
          <w:rFonts w:ascii="Palatino Linotype" w:eastAsia="Palatino Linotype" w:hAnsi="Palatino Linotype" w:cs="Palatino Linotype"/>
          <w:color w:val="000000"/>
          <w:sz w:val="22"/>
          <w:szCs w:val="22"/>
          <w:lang w:eastAsia="es-MX"/>
        </w:rPr>
        <w:t>De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w:t>
      </w:r>
    </w:p>
    <w:p w14:paraId="4A32D5D6" w14:textId="77777777" w:rsidR="007911EC" w:rsidRPr="005E4BBB" w:rsidRDefault="007911EC" w:rsidP="007911EC">
      <w:pPr>
        <w:spacing w:line="360" w:lineRule="auto"/>
        <w:jc w:val="both"/>
        <w:rPr>
          <w:rFonts w:ascii="Palatino Linotype" w:eastAsia="Palatino Linotype" w:hAnsi="Palatino Linotype" w:cs="Palatino Linotype"/>
          <w:color w:val="000000"/>
          <w:sz w:val="22"/>
          <w:szCs w:val="22"/>
          <w:lang w:eastAsia="es-MX"/>
        </w:rPr>
      </w:pPr>
    </w:p>
    <w:p w14:paraId="74160A38" w14:textId="66D25F29" w:rsidR="005E4BBB" w:rsidRPr="005E4BBB" w:rsidRDefault="005E4BBB" w:rsidP="007911EC">
      <w:pPr>
        <w:numPr>
          <w:ilvl w:val="0"/>
          <w:numId w:val="14"/>
        </w:numPr>
        <w:spacing w:line="360" w:lineRule="auto"/>
        <w:contextualSpacing/>
        <w:jc w:val="both"/>
        <w:rPr>
          <w:rFonts w:ascii="Palatino Linotype" w:eastAsia="Calibri" w:hAnsi="Palatino Linotype" w:cs="Tahoma"/>
          <w:b/>
          <w:bCs/>
          <w:color w:val="000000"/>
          <w:sz w:val="22"/>
          <w:szCs w:val="22"/>
          <w:lang w:eastAsia="es-MX"/>
        </w:rPr>
      </w:pPr>
      <w:r w:rsidRPr="005E4BBB">
        <w:rPr>
          <w:rFonts w:ascii="Palatino Linotype" w:eastAsia="Calibri" w:hAnsi="Palatino Linotype" w:cs="Tahoma"/>
          <w:b/>
          <w:bCs/>
          <w:color w:val="000000"/>
          <w:sz w:val="22"/>
          <w:szCs w:val="22"/>
          <w:lang w:eastAsia="es-MX"/>
        </w:rPr>
        <w:t>Domicilio particular</w:t>
      </w:r>
    </w:p>
    <w:p w14:paraId="0C92F88A" w14:textId="77777777" w:rsidR="005E4BBB" w:rsidRPr="005E4BBB" w:rsidRDefault="005E4BBB" w:rsidP="007911EC">
      <w:pPr>
        <w:spacing w:line="360" w:lineRule="auto"/>
        <w:jc w:val="both"/>
        <w:rPr>
          <w:rFonts w:ascii="Palatino Linotype" w:eastAsia="Palatino Linotype" w:hAnsi="Palatino Linotype" w:cs="Palatino Linotype"/>
          <w:bCs/>
          <w:iCs/>
          <w:color w:val="000000"/>
          <w:sz w:val="22"/>
          <w:szCs w:val="22"/>
          <w:lang w:eastAsia="es-MX"/>
        </w:rPr>
      </w:pPr>
    </w:p>
    <w:p w14:paraId="7D5572B6" w14:textId="77777777" w:rsidR="005E4BBB" w:rsidRPr="005E4BBB" w:rsidRDefault="005E4BBB" w:rsidP="007911EC">
      <w:pPr>
        <w:spacing w:line="360" w:lineRule="auto"/>
        <w:jc w:val="both"/>
        <w:rPr>
          <w:rFonts w:ascii="Palatino Linotype" w:eastAsia="Palatino Linotype" w:hAnsi="Palatino Linotype" w:cs="Palatino Linotype"/>
          <w:bCs/>
          <w:iCs/>
          <w:color w:val="000000"/>
          <w:sz w:val="22"/>
          <w:szCs w:val="22"/>
          <w:lang w:eastAsia="es-MX"/>
        </w:rPr>
      </w:pPr>
      <w:r w:rsidRPr="005E4BBB">
        <w:rPr>
          <w:rFonts w:ascii="Palatino Linotype" w:eastAsia="Palatino Linotype" w:hAnsi="Palatino Linotype" w:cs="Palatino Linotype"/>
          <w:bCs/>
          <w:iCs/>
          <w:color w:val="000000"/>
          <w:sz w:val="22"/>
          <w:szCs w:val="22"/>
          <w:lang w:eastAsia="es-MX"/>
        </w:rPr>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521EB33E" w14:textId="77777777" w:rsidR="005E4BBB" w:rsidRPr="005E4BBB" w:rsidRDefault="005E4BBB" w:rsidP="007911EC">
      <w:pPr>
        <w:spacing w:line="360" w:lineRule="auto"/>
        <w:jc w:val="both"/>
        <w:rPr>
          <w:rFonts w:ascii="Palatino Linotype" w:eastAsia="Palatino Linotype" w:hAnsi="Palatino Linotype" w:cs="Palatino Linotype"/>
          <w:bCs/>
          <w:iCs/>
          <w:color w:val="000000"/>
          <w:sz w:val="22"/>
          <w:szCs w:val="22"/>
          <w:lang w:eastAsia="es-MX"/>
        </w:rPr>
      </w:pPr>
    </w:p>
    <w:p w14:paraId="7ECF2690" w14:textId="77777777" w:rsidR="005E4BBB" w:rsidRPr="005E4BBB" w:rsidRDefault="005E4BBB" w:rsidP="007911EC">
      <w:pPr>
        <w:spacing w:line="360" w:lineRule="auto"/>
        <w:jc w:val="both"/>
        <w:rPr>
          <w:rFonts w:ascii="Palatino Linotype" w:eastAsia="Palatino Linotype" w:hAnsi="Palatino Linotype" w:cs="Palatino Linotype"/>
          <w:bCs/>
          <w:iCs/>
          <w:color w:val="000000"/>
          <w:sz w:val="22"/>
          <w:szCs w:val="22"/>
          <w:lang w:eastAsia="es-MX"/>
        </w:rPr>
      </w:pPr>
      <w:r w:rsidRPr="005E4BBB">
        <w:rPr>
          <w:rFonts w:ascii="Palatino Linotype" w:eastAsia="Palatino Linotype" w:hAnsi="Palatino Linotype" w:cs="Palatino Linotype"/>
          <w:bCs/>
          <w:iCs/>
          <w:color w:val="000000"/>
          <w:sz w:val="22"/>
          <w:szCs w:val="22"/>
          <w:lang w:eastAsia="es-MX"/>
        </w:rPr>
        <w:t>De la misma manera, lo establece el artículo 29 del Código Civil Federal, al precisar que el domicilio de personas físicas, es el lugar donde residen habitualmente, el lugar del centro principal de sus negocios, donde residan o el lugar donde se encuentren.</w:t>
      </w:r>
    </w:p>
    <w:p w14:paraId="6C0768BB" w14:textId="77777777" w:rsidR="005E4BBB" w:rsidRPr="005E4BBB" w:rsidRDefault="005E4BBB" w:rsidP="007911EC">
      <w:pPr>
        <w:spacing w:line="360" w:lineRule="auto"/>
        <w:jc w:val="both"/>
        <w:rPr>
          <w:rFonts w:ascii="Palatino Linotype" w:eastAsia="Palatino Linotype" w:hAnsi="Palatino Linotype" w:cs="Palatino Linotype"/>
          <w:bCs/>
          <w:iCs/>
          <w:color w:val="000000"/>
          <w:sz w:val="22"/>
          <w:szCs w:val="22"/>
          <w:lang w:eastAsia="es-MX"/>
        </w:rPr>
      </w:pPr>
    </w:p>
    <w:p w14:paraId="7349C90A" w14:textId="77777777" w:rsidR="005E4BBB" w:rsidRPr="005E4BBB" w:rsidRDefault="005E4BBB" w:rsidP="007911EC">
      <w:pPr>
        <w:spacing w:line="360" w:lineRule="auto"/>
        <w:jc w:val="both"/>
        <w:rPr>
          <w:rFonts w:ascii="Palatino Linotype" w:eastAsia="Palatino Linotype" w:hAnsi="Palatino Linotype" w:cs="Palatino Linotype"/>
          <w:bCs/>
          <w:iCs/>
          <w:color w:val="000000"/>
          <w:sz w:val="22"/>
          <w:szCs w:val="22"/>
          <w:lang w:eastAsia="es-MX"/>
        </w:rPr>
      </w:pPr>
      <w:r w:rsidRPr="005E4BBB">
        <w:rPr>
          <w:rFonts w:ascii="Palatino Linotype" w:eastAsia="Palatino Linotype" w:hAnsi="Palatino Linotype" w:cs="Palatino Linotype"/>
          <w:bCs/>
          <w:iCs/>
          <w:color w:val="000000"/>
          <w:sz w:val="22"/>
          <w:szCs w:val="22"/>
          <w:lang w:eastAsia="es-MX"/>
        </w:rPr>
        <w:lastRenderedPageBreak/>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14:paraId="70B26F41" w14:textId="77777777" w:rsidR="005E4BBB" w:rsidRPr="005E4BBB" w:rsidRDefault="005E4BBB" w:rsidP="007911EC">
      <w:pPr>
        <w:spacing w:line="360" w:lineRule="auto"/>
        <w:jc w:val="both"/>
        <w:rPr>
          <w:rFonts w:ascii="Palatino Linotype" w:eastAsia="Palatino Linotype" w:hAnsi="Palatino Linotype" w:cs="Palatino Linotype"/>
          <w:bCs/>
          <w:iCs/>
          <w:color w:val="000000"/>
          <w:sz w:val="22"/>
          <w:szCs w:val="22"/>
          <w:lang w:eastAsia="es-MX"/>
        </w:rPr>
      </w:pPr>
    </w:p>
    <w:p w14:paraId="0862FCBD" w14:textId="77777777" w:rsidR="005E4BBB" w:rsidRPr="005E4BBB" w:rsidRDefault="005E4BBB" w:rsidP="007911EC">
      <w:pPr>
        <w:spacing w:line="360" w:lineRule="auto"/>
        <w:jc w:val="both"/>
        <w:rPr>
          <w:rFonts w:ascii="Palatino Linotype" w:eastAsia="Palatino Linotype" w:hAnsi="Palatino Linotype" w:cs="Palatino Linotype"/>
          <w:bCs/>
          <w:iCs/>
          <w:color w:val="000000"/>
          <w:sz w:val="22"/>
          <w:szCs w:val="22"/>
          <w:lang w:eastAsia="es-MX"/>
        </w:rPr>
      </w:pPr>
      <w:r w:rsidRPr="005E4BBB">
        <w:rPr>
          <w:rFonts w:ascii="Palatino Linotype" w:eastAsia="Palatino Linotype" w:hAnsi="Palatino Linotype" w:cs="Palatino Linotype"/>
          <w:bCs/>
          <w:iCs/>
          <w:color w:val="000000"/>
          <w:sz w:val="22"/>
          <w:szCs w:val="22"/>
          <w:lang w:eastAsia="es-MX"/>
        </w:rPr>
        <w:t>La misma suerte corre el comprobante de domicilio, pues mediante este se acredita que la servidora pública vive donde señala en los documentos que entrega; sin embargo, es de señalar que este documento guarda la naturaleza de privado, pues no abona en nada a la transparencia, ni rinde cuentas de la forma de actuar de la trabajadora, al contrario, la hace ubicable en su carácter de particular, por lo que, se concluye que el comprobante guarda la naturaleza de privado.</w:t>
      </w:r>
    </w:p>
    <w:p w14:paraId="58869655" w14:textId="77777777" w:rsidR="005E4BBB" w:rsidRPr="005E4BBB" w:rsidRDefault="005E4BBB" w:rsidP="007911EC">
      <w:pPr>
        <w:spacing w:line="360" w:lineRule="auto"/>
        <w:jc w:val="both"/>
        <w:rPr>
          <w:rFonts w:ascii="Palatino Linotype" w:eastAsia="Palatino Linotype" w:hAnsi="Palatino Linotype" w:cs="Palatino Linotype"/>
          <w:bCs/>
          <w:iCs/>
          <w:color w:val="000000"/>
          <w:sz w:val="22"/>
          <w:szCs w:val="22"/>
          <w:lang w:eastAsia="es-MX"/>
        </w:rPr>
      </w:pPr>
    </w:p>
    <w:p w14:paraId="45A31322" w14:textId="3977A01E" w:rsidR="005E4BBB" w:rsidRDefault="005E4BBB" w:rsidP="007911EC">
      <w:pPr>
        <w:spacing w:line="360" w:lineRule="auto"/>
        <w:jc w:val="both"/>
        <w:rPr>
          <w:rFonts w:ascii="Palatino Linotype" w:eastAsia="Palatino Linotype" w:hAnsi="Palatino Linotype" w:cs="Palatino Linotype"/>
          <w:bCs/>
          <w:iCs/>
          <w:color w:val="000000"/>
          <w:sz w:val="22"/>
          <w:szCs w:val="22"/>
          <w:lang w:eastAsia="es-MX"/>
        </w:rPr>
      </w:pPr>
      <w:r w:rsidRPr="005E4BBB">
        <w:rPr>
          <w:rFonts w:ascii="Palatino Linotype" w:eastAsia="Palatino Linotype" w:hAnsi="Palatino Linotype" w:cs="Palatino Linotype"/>
          <w:bCs/>
          <w:iCs/>
          <w:color w:val="000000"/>
          <w:sz w:val="22"/>
          <w:szCs w:val="22"/>
          <w:lang w:eastAsia="es-MX"/>
        </w:rPr>
        <w:t>Por lo tanto, se actualiza la clasificación del domicilio, de conformidad con la fracción I, del artículo 143 de la Ley de Transparencia y Acceso a la Información Pública del Estado de México y Municipios.</w:t>
      </w:r>
    </w:p>
    <w:p w14:paraId="70DAC78D" w14:textId="77777777" w:rsidR="005E4BBB" w:rsidRDefault="005E4BBB" w:rsidP="007911EC">
      <w:pPr>
        <w:spacing w:line="360" w:lineRule="auto"/>
        <w:jc w:val="both"/>
      </w:pPr>
    </w:p>
    <w:p w14:paraId="52734944" w14:textId="326F3F43" w:rsidR="005E4BBB" w:rsidRDefault="005E4BBB" w:rsidP="007911EC">
      <w:pPr>
        <w:spacing w:line="360" w:lineRule="auto"/>
        <w:jc w:val="both"/>
        <w:rPr>
          <w:rFonts w:ascii="Palatino Linotype" w:eastAsia="Palatino Linotype" w:hAnsi="Palatino Linotype" w:cs="Palatino Linotype"/>
          <w:bCs/>
          <w:iCs/>
          <w:color w:val="000000"/>
          <w:sz w:val="22"/>
          <w:szCs w:val="22"/>
          <w:lang w:eastAsia="es-MX"/>
        </w:rPr>
      </w:pPr>
      <w:r w:rsidRPr="005E4BBB">
        <w:rPr>
          <w:rFonts w:ascii="Palatino Linotype" w:eastAsia="Palatino Linotype" w:hAnsi="Palatino Linotype" w:cs="Palatino Linotype"/>
          <w:bCs/>
          <w:iCs/>
          <w:color w:val="000000"/>
          <w:sz w:val="22"/>
          <w:szCs w:val="22"/>
          <w:lang w:eastAsia="es-MX"/>
        </w:rPr>
        <w:t>Por lo que, para atender el requerimiento deberá proporcionar los documentos señalados en la presente Resolución, en versión pública, tomando en consideración los datos analizados previamente; 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1C0DA442" w14:textId="77777777" w:rsidR="005E4BBB" w:rsidRPr="005E4BBB" w:rsidRDefault="005E4BBB" w:rsidP="007911EC">
      <w:pPr>
        <w:spacing w:line="360" w:lineRule="auto"/>
        <w:jc w:val="both"/>
        <w:rPr>
          <w:rFonts w:ascii="Palatino Linotype" w:eastAsia="Palatino Linotype" w:hAnsi="Palatino Linotype" w:cs="Palatino Linotype"/>
          <w:bCs/>
          <w:iCs/>
          <w:color w:val="000000"/>
          <w:sz w:val="22"/>
          <w:szCs w:val="22"/>
          <w:lang w:eastAsia="es-MX"/>
        </w:rPr>
      </w:pPr>
    </w:p>
    <w:p w14:paraId="5B220687" w14:textId="45A57D78" w:rsidR="001C6B9A" w:rsidRPr="005E4BBB" w:rsidRDefault="001C6B9A" w:rsidP="007911EC">
      <w:pPr>
        <w:pStyle w:val="Ttulo2"/>
        <w:rPr>
          <w:color w:val="auto"/>
        </w:rPr>
      </w:pPr>
      <w:bookmarkStart w:id="13" w:name="_Toc223615233"/>
      <w:r w:rsidRPr="005E4BBB">
        <w:rPr>
          <w:color w:val="auto"/>
        </w:rPr>
        <w:lastRenderedPageBreak/>
        <w:t>SEXTO. Decisión</w:t>
      </w:r>
      <w:bookmarkEnd w:id="13"/>
    </w:p>
    <w:p w14:paraId="43614774" w14:textId="77777777" w:rsidR="001C6B9A" w:rsidRPr="007C3AF1" w:rsidRDefault="001C6B9A" w:rsidP="007911EC">
      <w:pPr>
        <w:spacing w:line="360" w:lineRule="auto"/>
        <w:jc w:val="both"/>
        <w:rPr>
          <w:rFonts w:ascii="Palatino Linotype" w:hAnsi="Palatino Linotype" w:cs="Tahoma"/>
          <w:color w:val="FF0000"/>
          <w:sz w:val="22"/>
          <w:szCs w:val="22"/>
        </w:rPr>
      </w:pPr>
    </w:p>
    <w:p w14:paraId="05FF01E3" w14:textId="022A52AF" w:rsidR="001C6B9A" w:rsidRPr="005E4BBB" w:rsidRDefault="001C6B9A" w:rsidP="007911EC">
      <w:pPr>
        <w:spacing w:line="360" w:lineRule="auto"/>
        <w:jc w:val="both"/>
        <w:rPr>
          <w:rFonts w:ascii="Palatino Linotype" w:hAnsi="Palatino Linotype" w:cs="Tahoma"/>
          <w:sz w:val="22"/>
          <w:szCs w:val="22"/>
        </w:rPr>
      </w:pPr>
      <w:r w:rsidRPr="005E4BBB">
        <w:rPr>
          <w:rFonts w:ascii="Palatino Linotype" w:hAnsi="Palatino Linotype" w:cs="Tahoma"/>
          <w:sz w:val="22"/>
          <w:szCs w:val="22"/>
        </w:rPr>
        <w:t xml:space="preserve">Con fundamento en el artículo 186, fracción IV, de la Ley de Transparencia y Acceso a la Información Pública del Estado de México y Municipios, este Instituto considera procedente </w:t>
      </w:r>
      <w:r w:rsidRPr="005E4BBB">
        <w:rPr>
          <w:rFonts w:ascii="Palatino Linotype" w:hAnsi="Palatino Linotype" w:cs="Tahoma"/>
          <w:b/>
          <w:bCs/>
          <w:sz w:val="22"/>
          <w:szCs w:val="22"/>
        </w:rPr>
        <w:t>ORDENAR</w:t>
      </w:r>
      <w:r w:rsidRPr="005E4BBB">
        <w:rPr>
          <w:rFonts w:ascii="Palatino Linotype" w:hAnsi="Palatino Linotype" w:cs="Tahoma"/>
          <w:sz w:val="22"/>
          <w:szCs w:val="22"/>
        </w:rPr>
        <w:t xml:space="preserve"> </w:t>
      </w:r>
      <w:r w:rsidR="00B7564C" w:rsidRPr="005E4BBB">
        <w:rPr>
          <w:rFonts w:ascii="Palatino Linotype" w:hAnsi="Palatino Linotype" w:cs="Tahoma"/>
          <w:sz w:val="22"/>
          <w:szCs w:val="22"/>
        </w:rPr>
        <w:t xml:space="preserve">al </w:t>
      </w:r>
      <w:r w:rsidR="007E4295" w:rsidRPr="005E4BBB">
        <w:rPr>
          <w:rFonts w:ascii="Palatino Linotype" w:hAnsi="Palatino Linotype" w:cs="Tahoma"/>
          <w:sz w:val="22"/>
          <w:szCs w:val="22"/>
        </w:rPr>
        <w:t xml:space="preserve">Ayuntamiento de </w:t>
      </w:r>
      <w:r w:rsidR="005E4BBB">
        <w:rPr>
          <w:rFonts w:ascii="Palatino Linotype" w:hAnsi="Palatino Linotype" w:cs="Tahoma"/>
          <w:sz w:val="22"/>
          <w:szCs w:val="22"/>
        </w:rPr>
        <w:t>Valle de Chalco Solidaridad</w:t>
      </w:r>
      <w:r w:rsidR="00B7564C" w:rsidRPr="005E4BBB">
        <w:rPr>
          <w:rFonts w:ascii="Palatino Linotype" w:hAnsi="Palatino Linotype" w:cs="Tahoma"/>
          <w:sz w:val="22"/>
          <w:szCs w:val="22"/>
        </w:rPr>
        <w:t xml:space="preserve">, a efecto de que, </w:t>
      </w:r>
      <w:r w:rsidR="00B7564C" w:rsidRPr="005E4BBB">
        <w:rPr>
          <w:rFonts w:ascii="Palatino Linotype" w:eastAsia="Calibri" w:hAnsi="Palatino Linotype" w:cs="Tahoma"/>
          <w:sz w:val="22"/>
          <w:szCs w:val="22"/>
        </w:rPr>
        <w:t>previa búsqueda exhaustiva y razonable, en los archivos de las unidades administrativas competentes, entregue, en su caso en versión pública, la información solicitada.</w:t>
      </w:r>
    </w:p>
    <w:p w14:paraId="1F7F2430" w14:textId="77777777" w:rsidR="00895942" w:rsidRPr="007C3AF1" w:rsidRDefault="00895942" w:rsidP="007911EC">
      <w:pPr>
        <w:spacing w:line="360" w:lineRule="auto"/>
        <w:jc w:val="both"/>
        <w:rPr>
          <w:rFonts w:ascii="Palatino Linotype" w:hAnsi="Palatino Linotype" w:cs="Tahoma"/>
          <w:bCs/>
          <w:iCs/>
          <w:color w:val="FF0000"/>
          <w:sz w:val="22"/>
          <w:szCs w:val="22"/>
          <w:lang w:val="es-ES"/>
        </w:rPr>
      </w:pPr>
    </w:p>
    <w:p w14:paraId="6CA777EF" w14:textId="77777777" w:rsidR="00895942" w:rsidRPr="005E4BBB" w:rsidRDefault="00895942" w:rsidP="007911EC">
      <w:pPr>
        <w:pStyle w:val="Ttulo2"/>
        <w:rPr>
          <w:color w:val="auto"/>
        </w:rPr>
      </w:pPr>
      <w:bookmarkStart w:id="14" w:name="_Toc223615234"/>
      <w:r w:rsidRPr="005E4BBB">
        <w:rPr>
          <w:color w:val="auto"/>
        </w:rPr>
        <w:t>SÉPTIMO. Vista a la Secretaría</w:t>
      </w:r>
      <w:r w:rsidRPr="005E4BBB">
        <w:rPr>
          <w:color w:val="auto"/>
          <w:lang w:val="x-none"/>
        </w:rPr>
        <w:t xml:space="preserve"> Técnica del </w:t>
      </w:r>
      <w:r w:rsidRPr="005E4BBB">
        <w:rPr>
          <w:color w:val="auto"/>
        </w:rPr>
        <w:t>Pleno</w:t>
      </w:r>
      <w:bookmarkEnd w:id="14"/>
    </w:p>
    <w:p w14:paraId="6FB0ED01" w14:textId="77777777" w:rsidR="00895942" w:rsidRPr="005E4BBB" w:rsidRDefault="00895942" w:rsidP="007911EC">
      <w:pPr>
        <w:spacing w:line="360" w:lineRule="auto"/>
        <w:jc w:val="both"/>
        <w:rPr>
          <w:rFonts w:ascii="Palatino Linotype" w:hAnsi="Palatino Linotype" w:cs="Tahoma"/>
          <w:bCs/>
          <w:sz w:val="22"/>
          <w:szCs w:val="22"/>
        </w:rPr>
      </w:pPr>
    </w:p>
    <w:p w14:paraId="2CAC85A1" w14:textId="1DE08E07" w:rsidR="00895942" w:rsidRPr="005E4BBB" w:rsidRDefault="00895942" w:rsidP="007911EC">
      <w:pPr>
        <w:spacing w:line="360" w:lineRule="auto"/>
        <w:ind w:right="-93"/>
        <w:jc w:val="both"/>
        <w:rPr>
          <w:rFonts w:ascii="Palatino Linotype" w:eastAsia="Calibri" w:hAnsi="Palatino Linotype" w:cs="Tahoma"/>
          <w:sz w:val="22"/>
          <w:szCs w:val="22"/>
          <w:lang w:eastAsia="en-US"/>
        </w:rPr>
      </w:pPr>
      <w:r w:rsidRPr="005E4BBB">
        <w:rPr>
          <w:rFonts w:ascii="Palatino Linotype" w:hAnsi="Palatino Linotype" w:cs="Tahoma"/>
          <w:sz w:val="22"/>
          <w:szCs w:val="22"/>
        </w:rPr>
        <w:t xml:space="preserve">En el caso en estudio, como ha quedado señalado que el </w:t>
      </w:r>
      <w:r w:rsidR="007E4295" w:rsidRPr="005E4BBB">
        <w:rPr>
          <w:rFonts w:ascii="Palatino Linotype" w:eastAsia="Calibri" w:hAnsi="Palatino Linotype" w:cs="Tahoma"/>
          <w:sz w:val="22"/>
          <w:szCs w:val="22"/>
          <w:lang w:eastAsia="en-US"/>
        </w:rPr>
        <w:t xml:space="preserve">Ayuntamiento de </w:t>
      </w:r>
      <w:r w:rsidR="005E4BBB" w:rsidRPr="005E4BBB">
        <w:rPr>
          <w:rFonts w:ascii="Palatino Linotype" w:eastAsia="Calibri" w:hAnsi="Palatino Linotype" w:cs="Tahoma"/>
          <w:sz w:val="22"/>
          <w:szCs w:val="22"/>
          <w:lang w:eastAsia="en-US"/>
        </w:rPr>
        <w:t xml:space="preserve">Valle de Chalco Solidaridad </w:t>
      </w:r>
      <w:r w:rsidRPr="005E4BBB">
        <w:rPr>
          <w:rFonts w:ascii="Palatino Linotype" w:hAnsi="Palatino Linotype" w:cs="Tahoma"/>
          <w:sz w:val="22"/>
          <w:szCs w:val="22"/>
        </w:rPr>
        <w:t>omitió dar respuesta en el plazo señalado en el artículo 163 de la Ley de Transparencia y Acceso a la Información Pública del Estado de México y Municipios. Al respecto, el artículo 36, fracción X, del ordenamiento jurídico en cita, establece que es atribución de este Instituto hacer del conocimiento del Órgano Interno de Control o equivalente de cada Sujeto Obligado las infracciones a esta Ley.</w:t>
      </w:r>
      <w:r w:rsidRPr="005E4BBB">
        <w:rPr>
          <w:rFonts w:ascii="Palatino Linotype" w:eastAsia="Calibri" w:hAnsi="Palatino Linotype" w:cs="Tahoma"/>
          <w:bCs/>
          <w:sz w:val="22"/>
          <w:szCs w:val="22"/>
          <w:lang w:eastAsia="en-US"/>
        </w:rPr>
        <w:t xml:space="preserve"> </w:t>
      </w:r>
    </w:p>
    <w:p w14:paraId="718F409C" w14:textId="77777777" w:rsidR="00895942" w:rsidRPr="005E4BBB" w:rsidRDefault="00895942" w:rsidP="007911EC">
      <w:pPr>
        <w:spacing w:line="360" w:lineRule="auto"/>
        <w:ind w:right="-93"/>
        <w:jc w:val="both"/>
        <w:rPr>
          <w:rFonts w:ascii="Palatino Linotype" w:eastAsia="Calibri" w:hAnsi="Palatino Linotype" w:cs="Tahoma"/>
          <w:bCs/>
          <w:sz w:val="22"/>
          <w:szCs w:val="22"/>
          <w:lang w:eastAsia="en-US"/>
        </w:rPr>
      </w:pPr>
    </w:p>
    <w:p w14:paraId="1FAE99AF" w14:textId="77777777" w:rsidR="00895942" w:rsidRPr="005E4BBB" w:rsidRDefault="00895942" w:rsidP="007911EC">
      <w:pPr>
        <w:spacing w:line="360" w:lineRule="auto"/>
        <w:ind w:right="-93"/>
        <w:jc w:val="both"/>
        <w:rPr>
          <w:rFonts w:ascii="Palatino Linotype" w:eastAsia="Calibri" w:hAnsi="Palatino Linotype" w:cs="Tahoma"/>
          <w:bCs/>
          <w:sz w:val="22"/>
          <w:szCs w:val="22"/>
          <w:lang w:eastAsia="en-US"/>
        </w:rPr>
      </w:pPr>
      <w:r w:rsidRPr="005E4BBB">
        <w:rPr>
          <w:rFonts w:ascii="Palatino Linotype" w:eastAsia="Calibri" w:hAnsi="Palatino Linotype" w:cs="Tahoma"/>
          <w:bCs/>
          <w:sz w:val="22"/>
          <w:szCs w:val="22"/>
          <w:lang w:eastAsia="en-US"/>
        </w:rPr>
        <w:t xml:space="preserve">En ese sentido, de conformidad con lo previsto en el artículo 222, fracción II, de dicho ordenamiento, son causas de responsabilidad administrativa los incumplimientos de las obligaciones establecida en la Ley de la materia, entre otras conductas, la falta de respuesta a las solicitudes de información en los plazos señalados, a saber, dentro de los quince días siguientes a la presentación del requerimiento. </w:t>
      </w:r>
    </w:p>
    <w:p w14:paraId="084A8F8A" w14:textId="77777777" w:rsidR="00895942" w:rsidRPr="005E4BBB" w:rsidRDefault="00895942" w:rsidP="007911EC">
      <w:pPr>
        <w:spacing w:line="360" w:lineRule="auto"/>
        <w:ind w:right="-93"/>
        <w:jc w:val="both"/>
        <w:rPr>
          <w:rFonts w:ascii="Palatino Linotype" w:eastAsia="Calibri" w:hAnsi="Palatino Linotype" w:cs="Tahoma"/>
          <w:bCs/>
          <w:sz w:val="22"/>
          <w:szCs w:val="22"/>
          <w:lang w:eastAsia="en-US"/>
        </w:rPr>
      </w:pPr>
    </w:p>
    <w:p w14:paraId="2F71671E" w14:textId="77777777" w:rsidR="00895942" w:rsidRPr="005E4BBB" w:rsidRDefault="00895942" w:rsidP="007911EC">
      <w:pPr>
        <w:spacing w:line="360" w:lineRule="auto"/>
        <w:ind w:right="-93"/>
        <w:jc w:val="both"/>
        <w:rPr>
          <w:rFonts w:ascii="Palatino Linotype" w:eastAsia="Calibri" w:hAnsi="Palatino Linotype" w:cs="Tahoma"/>
          <w:bCs/>
          <w:sz w:val="22"/>
          <w:szCs w:val="22"/>
          <w:lang w:eastAsia="en-US"/>
        </w:rPr>
      </w:pPr>
      <w:r w:rsidRPr="005E4BBB">
        <w:rPr>
          <w:rFonts w:ascii="Palatino Linotype" w:eastAsia="Calibri" w:hAnsi="Palatino Linotype" w:cs="Tahoma"/>
          <w:bCs/>
          <w:sz w:val="22"/>
          <w:szCs w:val="22"/>
          <w:lang w:eastAsia="en-US"/>
        </w:rPr>
        <w:t xml:space="preserve">Por su parte, el artículo 223 de la Ley de Transparencia y Acceso a la Información Pública del Estado de México y Municipios, prevé que este Instituto deberá dar vista al Área Competente, </w:t>
      </w:r>
      <w:r w:rsidRPr="005E4BBB">
        <w:rPr>
          <w:rFonts w:ascii="Palatino Linotype" w:eastAsia="Calibri" w:hAnsi="Palatino Linotype" w:cs="Tahoma"/>
          <w:bCs/>
          <w:sz w:val="22"/>
          <w:szCs w:val="22"/>
          <w:lang w:eastAsia="en-US"/>
        </w:rPr>
        <w:lastRenderedPageBreak/>
        <w:t xml:space="preserve">con el fin de que determine el grado de responsabilidad de los servidores públicos que incumplan con las obligaciones establecidas en la Ley. </w:t>
      </w:r>
    </w:p>
    <w:p w14:paraId="2C8DB667" w14:textId="77777777" w:rsidR="00895942" w:rsidRPr="005E4BBB" w:rsidRDefault="00895942" w:rsidP="007911EC">
      <w:pPr>
        <w:spacing w:line="360" w:lineRule="auto"/>
        <w:ind w:right="-93"/>
        <w:jc w:val="both"/>
        <w:rPr>
          <w:rFonts w:ascii="Palatino Linotype" w:eastAsia="Calibri" w:hAnsi="Palatino Linotype" w:cs="Tahoma"/>
          <w:bCs/>
          <w:sz w:val="22"/>
          <w:szCs w:val="22"/>
          <w:lang w:eastAsia="en-US"/>
        </w:rPr>
      </w:pPr>
    </w:p>
    <w:p w14:paraId="539B525A" w14:textId="77777777" w:rsidR="00895942" w:rsidRPr="005E4BBB" w:rsidRDefault="00895942" w:rsidP="007911EC">
      <w:pPr>
        <w:spacing w:line="360" w:lineRule="auto"/>
        <w:ind w:right="-93"/>
        <w:jc w:val="both"/>
        <w:rPr>
          <w:rFonts w:ascii="Palatino Linotype" w:eastAsia="Calibri" w:hAnsi="Palatino Linotype" w:cs="Tahoma"/>
          <w:bCs/>
          <w:sz w:val="22"/>
          <w:szCs w:val="22"/>
          <w:lang w:eastAsia="en-US"/>
        </w:rPr>
      </w:pPr>
      <w:r w:rsidRPr="005E4BBB">
        <w:rPr>
          <w:rFonts w:ascii="Palatino Linotype" w:eastAsia="Calibri" w:hAnsi="Palatino Linotype" w:cs="Tahoma"/>
          <w:bCs/>
          <w:sz w:val="22"/>
          <w:szCs w:val="22"/>
          <w:lang w:eastAsia="en-US"/>
        </w:rPr>
        <w:t xml:space="preserve">En ese contexto, la fracción XXVII, del artículo 19, del Reglamento Interior del Instituto de Transparencia, Acceso a la Información Pública y Protección de Datos Personales del Estado de México y Municipios, establece que es función de la Secretaría Técnica del Pleno, remitir al Órgano Interno de Control de los Sujetos Obligados, las presuntas infracciones cometidas en el marco de la Ley de la materia, para la promoción de responsabilidades y sanciones. </w:t>
      </w:r>
    </w:p>
    <w:p w14:paraId="41A6098F" w14:textId="77777777" w:rsidR="003A796B" w:rsidRPr="005E4BBB" w:rsidRDefault="003A796B" w:rsidP="007911EC">
      <w:pPr>
        <w:spacing w:line="360" w:lineRule="auto"/>
        <w:ind w:right="-93"/>
        <w:jc w:val="both"/>
        <w:rPr>
          <w:rFonts w:ascii="Palatino Linotype" w:eastAsia="Calibri" w:hAnsi="Palatino Linotype" w:cs="Tahoma"/>
          <w:bCs/>
          <w:sz w:val="22"/>
          <w:szCs w:val="22"/>
          <w:lang w:eastAsia="en-US"/>
        </w:rPr>
      </w:pPr>
    </w:p>
    <w:p w14:paraId="5B94F233" w14:textId="77777777" w:rsidR="00895942" w:rsidRPr="005E4BBB" w:rsidRDefault="00895942" w:rsidP="007911EC">
      <w:pPr>
        <w:spacing w:line="360" w:lineRule="auto"/>
        <w:ind w:right="-93"/>
        <w:jc w:val="both"/>
        <w:rPr>
          <w:rFonts w:ascii="Palatino Linotype" w:eastAsia="Calibri" w:hAnsi="Palatino Linotype" w:cs="Tahoma"/>
          <w:bCs/>
          <w:sz w:val="22"/>
          <w:szCs w:val="22"/>
          <w:lang w:eastAsia="en-US"/>
        </w:rPr>
      </w:pPr>
      <w:r w:rsidRPr="005E4BBB">
        <w:rPr>
          <w:rFonts w:ascii="Palatino Linotype" w:eastAsia="Calibri" w:hAnsi="Palatino Linotype" w:cs="Tahoma"/>
          <w:bCs/>
          <w:sz w:val="22"/>
          <w:szCs w:val="22"/>
          <w:lang w:eastAsia="en-US"/>
        </w:rPr>
        <w:t xml:space="preserve">Sobre el particular, si bien, la presente resolución no tiene por objetivo investigar y determinar posibles violaciones al derecho de acceso a la información, toda vez que este Organismo Autónomo, advirtió la falta de respuesta del Sujeto Obligado, se considera procedente dar vista </w:t>
      </w:r>
      <w:r w:rsidRPr="005E4BBB">
        <w:rPr>
          <w:rFonts w:ascii="Palatino Linotype" w:eastAsia="Calibri" w:hAnsi="Palatino Linotype" w:cs="Tahoma"/>
          <w:bCs/>
          <w:sz w:val="22"/>
          <w:szCs w:val="22"/>
          <w:lang w:val="es-ES_tradnl" w:eastAsia="en-US"/>
        </w:rPr>
        <w:t>a la Secretaría Técnica de este Instituto</w:t>
      </w:r>
      <w:r w:rsidRPr="005E4BBB">
        <w:rPr>
          <w:rFonts w:ascii="Palatino Linotype" w:eastAsia="Calibri" w:hAnsi="Palatino Linotype" w:cs="Tahoma"/>
          <w:bCs/>
          <w:sz w:val="22"/>
          <w:szCs w:val="22"/>
          <w:lang w:eastAsia="en-US"/>
        </w:rPr>
        <w:t>, para que realice lo conducente.</w:t>
      </w:r>
    </w:p>
    <w:p w14:paraId="17EF86B7" w14:textId="77777777" w:rsidR="00895942" w:rsidRPr="005E4BBB" w:rsidRDefault="00895942" w:rsidP="007911EC">
      <w:pPr>
        <w:spacing w:line="360" w:lineRule="auto"/>
        <w:jc w:val="both"/>
        <w:rPr>
          <w:rFonts w:ascii="Palatino Linotype" w:hAnsi="Palatino Linotype" w:cs="Tahoma"/>
          <w:bCs/>
          <w:iCs/>
          <w:sz w:val="22"/>
          <w:szCs w:val="22"/>
          <w:lang w:val="es-ES"/>
        </w:rPr>
      </w:pPr>
    </w:p>
    <w:p w14:paraId="6DD9A6AA" w14:textId="77777777" w:rsidR="00FF7C33" w:rsidRDefault="00FF7C33" w:rsidP="007911EC">
      <w:pPr>
        <w:spacing w:line="360" w:lineRule="auto"/>
        <w:jc w:val="both"/>
        <w:rPr>
          <w:rFonts w:ascii="Palatino Linotype" w:hAnsi="Palatino Linotype" w:cs="Tahoma"/>
          <w:b/>
          <w:bCs/>
          <w:iCs/>
          <w:sz w:val="22"/>
          <w:szCs w:val="22"/>
          <w:lang w:val="es-ES"/>
        </w:rPr>
      </w:pPr>
      <w:r w:rsidRPr="005E4BBB">
        <w:rPr>
          <w:rFonts w:ascii="Palatino Linotype" w:hAnsi="Palatino Linotype" w:cs="Tahoma"/>
          <w:b/>
          <w:bCs/>
          <w:iCs/>
          <w:sz w:val="22"/>
          <w:szCs w:val="22"/>
          <w:lang w:val="es-ES"/>
        </w:rPr>
        <w:t>Términos de la Resolución para conocimiento del Particular</w:t>
      </w:r>
    </w:p>
    <w:p w14:paraId="3E70BA50" w14:textId="77777777" w:rsidR="005E4BBB" w:rsidRPr="005E4BBB" w:rsidRDefault="005E4BBB" w:rsidP="007911EC">
      <w:pPr>
        <w:spacing w:line="360" w:lineRule="auto"/>
        <w:jc w:val="both"/>
        <w:rPr>
          <w:rFonts w:ascii="Palatino Linotype" w:hAnsi="Palatino Linotype" w:cs="Tahoma"/>
          <w:b/>
          <w:bCs/>
          <w:iCs/>
          <w:sz w:val="22"/>
          <w:szCs w:val="22"/>
          <w:lang w:val="es-ES"/>
        </w:rPr>
      </w:pPr>
    </w:p>
    <w:p w14:paraId="599D8082" w14:textId="77777777" w:rsidR="007911EC" w:rsidRDefault="00FF7C33" w:rsidP="007911EC">
      <w:pPr>
        <w:spacing w:line="360" w:lineRule="auto"/>
        <w:jc w:val="both"/>
        <w:rPr>
          <w:rFonts w:ascii="Palatino Linotype" w:hAnsi="Palatino Linotype" w:cs="Tahoma"/>
          <w:bCs/>
          <w:iCs/>
          <w:sz w:val="22"/>
          <w:szCs w:val="22"/>
          <w:lang w:val="es-ES"/>
        </w:rPr>
      </w:pPr>
      <w:r w:rsidRPr="005E4BBB">
        <w:rPr>
          <w:rFonts w:ascii="Palatino Linotype" w:hAnsi="Palatino Linotype" w:cs="Tahoma"/>
          <w:bCs/>
          <w:iCs/>
          <w:sz w:val="22"/>
          <w:szCs w:val="22"/>
          <w:lang w:val="es-ES"/>
        </w:rPr>
        <w:t xml:space="preserve">Se le hace del conocimiento al Particular, que, en el presente caso, se le da la razón, pues </w:t>
      </w:r>
      <w:r w:rsidRPr="005E4BBB">
        <w:rPr>
          <w:rFonts w:ascii="Palatino Linotype" w:hAnsi="Palatino Linotype" w:cs="Tahoma"/>
          <w:bCs/>
          <w:iCs/>
          <w:sz w:val="22"/>
          <w:szCs w:val="22"/>
        </w:rPr>
        <w:t xml:space="preserve">el </w:t>
      </w:r>
      <w:r w:rsidR="000268D8" w:rsidRPr="005E4BBB">
        <w:rPr>
          <w:rFonts w:ascii="Palatino Linotype" w:hAnsi="Palatino Linotype" w:cs="Tahoma"/>
          <w:bCs/>
          <w:iCs/>
          <w:sz w:val="22"/>
          <w:szCs w:val="22"/>
        </w:rPr>
        <w:t>Sujeto Obligado</w:t>
      </w:r>
      <w:r w:rsidRPr="005E4BBB">
        <w:rPr>
          <w:rFonts w:ascii="Palatino Linotype" w:hAnsi="Palatino Linotype" w:cs="Tahoma"/>
          <w:bCs/>
          <w:iCs/>
          <w:sz w:val="22"/>
          <w:szCs w:val="22"/>
        </w:rPr>
        <w:t xml:space="preserve"> </w:t>
      </w:r>
      <w:r w:rsidRPr="005E4BBB">
        <w:rPr>
          <w:rFonts w:ascii="Palatino Linotype" w:hAnsi="Palatino Linotype" w:cs="Tahoma"/>
          <w:bCs/>
          <w:iCs/>
          <w:sz w:val="22"/>
          <w:szCs w:val="22"/>
          <w:lang w:val="es-ES"/>
        </w:rPr>
        <w:t xml:space="preserve">no emitió contestación </w:t>
      </w:r>
      <w:r w:rsidR="00372534" w:rsidRPr="005E4BBB">
        <w:rPr>
          <w:rFonts w:ascii="Palatino Linotype" w:hAnsi="Palatino Linotype" w:cs="Tahoma"/>
          <w:bCs/>
          <w:iCs/>
          <w:sz w:val="22"/>
          <w:szCs w:val="22"/>
          <w:lang w:val="es-ES"/>
        </w:rPr>
        <w:t xml:space="preserve">alguna, </w:t>
      </w:r>
      <w:r w:rsidR="006C0B63" w:rsidRPr="005E4BBB">
        <w:rPr>
          <w:rFonts w:ascii="Palatino Linotype" w:hAnsi="Palatino Linotype" w:cs="Tahoma"/>
          <w:bCs/>
          <w:iCs/>
          <w:sz w:val="22"/>
          <w:szCs w:val="22"/>
          <w:lang w:val="es-ES"/>
        </w:rPr>
        <w:t xml:space="preserve">y si bien, durante la sustanciación emitió respuesta, no entregó la información solicitada, </w:t>
      </w:r>
      <w:r w:rsidR="00372534" w:rsidRPr="005E4BBB">
        <w:rPr>
          <w:rFonts w:ascii="Palatino Linotype" w:hAnsi="Palatino Linotype" w:cs="Tahoma"/>
          <w:bCs/>
          <w:iCs/>
          <w:sz w:val="22"/>
          <w:szCs w:val="22"/>
          <w:lang w:val="es-ES"/>
        </w:rPr>
        <w:t xml:space="preserve">por lo que, deberá </w:t>
      </w:r>
      <w:r w:rsidR="006C0B63" w:rsidRPr="005E4BBB">
        <w:rPr>
          <w:rFonts w:ascii="Palatino Linotype" w:hAnsi="Palatino Linotype" w:cs="Tahoma"/>
          <w:bCs/>
          <w:iCs/>
          <w:sz w:val="22"/>
          <w:szCs w:val="22"/>
          <w:lang w:val="es-ES"/>
        </w:rPr>
        <w:t>hacer entrega de la información.</w:t>
      </w:r>
      <w:r w:rsidR="0069582F" w:rsidRPr="005E4BBB">
        <w:rPr>
          <w:rFonts w:ascii="Palatino Linotype" w:hAnsi="Palatino Linotype" w:cs="Tahoma"/>
          <w:bCs/>
          <w:iCs/>
          <w:sz w:val="22"/>
          <w:szCs w:val="22"/>
          <w:lang w:val="es-ES"/>
        </w:rPr>
        <w:t xml:space="preserve"> </w:t>
      </w:r>
    </w:p>
    <w:p w14:paraId="66174489" w14:textId="77777777" w:rsidR="007911EC" w:rsidRDefault="007911EC" w:rsidP="007911EC">
      <w:pPr>
        <w:spacing w:line="360" w:lineRule="auto"/>
        <w:jc w:val="both"/>
        <w:rPr>
          <w:rFonts w:ascii="Palatino Linotype" w:hAnsi="Palatino Linotype" w:cs="Tahoma"/>
          <w:bCs/>
          <w:iCs/>
          <w:sz w:val="22"/>
          <w:szCs w:val="22"/>
          <w:lang w:val="es-ES"/>
        </w:rPr>
      </w:pPr>
    </w:p>
    <w:p w14:paraId="44AA22FE" w14:textId="0A57D1C6" w:rsidR="00F57883" w:rsidRPr="005E4BBB" w:rsidRDefault="00FF7C33" w:rsidP="007911EC">
      <w:pPr>
        <w:spacing w:line="360" w:lineRule="auto"/>
        <w:jc w:val="both"/>
        <w:rPr>
          <w:rFonts w:ascii="Palatino Linotype" w:eastAsia="Calibri" w:hAnsi="Palatino Linotype"/>
          <w:sz w:val="22"/>
          <w:szCs w:val="22"/>
          <w:lang w:eastAsia="en-US"/>
        </w:rPr>
      </w:pPr>
      <w:r w:rsidRPr="005E4BBB">
        <w:rPr>
          <w:rFonts w:ascii="Palatino Linotype" w:hAnsi="Palatino Linotype" w:cs="Tahoma"/>
          <w:bCs/>
          <w:iCs/>
          <w:sz w:val="22"/>
          <w:szCs w:val="22"/>
        </w:rPr>
        <w:t>Además, se le informa que, de conformidad con lo establecido en el artículo 179, párrafo segundo, de la Ley de Transparencia y Acceso a la Información Pública del Estado de México y Municipios, tiene derecho a interponer nuevamente Recurso de Revisión ante este Instituto, por la respuesta que dé el Sujeto Obligado, en cumplimiento a esta Resolución</w:t>
      </w:r>
      <w:r w:rsidR="0069582F" w:rsidRPr="005E4BBB">
        <w:rPr>
          <w:rFonts w:ascii="Palatino Linotype" w:hAnsi="Palatino Linotype" w:cs="Tahoma"/>
          <w:bCs/>
          <w:iCs/>
          <w:sz w:val="22"/>
          <w:szCs w:val="22"/>
        </w:rPr>
        <w:t>;</w:t>
      </w:r>
      <w:r w:rsidR="00F57883" w:rsidRPr="005E4BBB">
        <w:rPr>
          <w:rFonts w:ascii="Palatino Linotype" w:eastAsia="Calibri" w:hAnsi="Palatino Linotype"/>
          <w:sz w:val="22"/>
          <w:szCs w:val="22"/>
          <w:lang w:eastAsia="en-US"/>
        </w:rPr>
        <w:t xml:space="preserve"> la labor de este </w:t>
      </w:r>
      <w:r w:rsidR="00F57883" w:rsidRPr="005E4BBB">
        <w:rPr>
          <w:rFonts w:ascii="Palatino Linotype" w:eastAsia="Calibri" w:hAnsi="Palatino Linotype"/>
          <w:sz w:val="22"/>
          <w:szCs w:val="22"/>
          <w:lang w:eastAsia="en-US"/>
        </w:rPr>
        <w:lastRenderedPageBreak/>
        <w:t>Instituto, es apoyar a la población a acceder a la información pública y garantizar la protección de los datos personales.</w:t>
      </w:r>
    </w:p>
    <w:p w14:paraId="212CCDB8" w14:textId="77777777" w:rsidR="0069582F" w:rsidRPr="007C3AF1" w:rsidRDefault="0069582F" w:rsidP="007911EC">
      <w:pPr>
        <w:spacing w:line="360" w:lineRule="auto"/>
        <w:jc w:val="both"/>
        <w:rPr>
          <w:rFonts w:ascii="Palatino Linotype" w:eastAsia="Calibri" w:hAnsi="Palatino Linotype"/>
          <w:color w:val="FF0000"/>
          <w:sz w:val="22"/>
          <w:szCs w:val="22"/>
          <w:lang w:eastAsia="en-US"/>
        </w:rPr>
      </w:pPr>
    </w:p>
    <w:p w14:paraId="4AEFC75A" w14:textId="77777777" w:rsidR="00FF7C33" w:rsidRPr="005E4BBB" w:rsidRDefault="00FF7C33" w:rsidP="007911EC">
      <w:pPr>
        <w:spacing w:line="360" w:lineRule="auto"/>
        <w:jc w:val="both"/>
        <w:rPr>
          <w:rFonts w:ascii="Palatino Linotype" w:hAnsi="Palatino Linotype" w:cs="Tahoma"/>
          <w:bCs/>
          <w:iCs/>
          <w:sz w:val="22"/>
          <w:szCs w:val="22"/>
        </w:rPr>
      </w:pPr>
      <w:r w:rsidRPr="005E4BBB">
        <w:rPr>
          <w:rFonts w:ascii="Palatino Linotype" w:hAnsi="Palatino Linotype" w:cs="Tahoma"/>
          <w:bCs/>
          <w:iCs/>
          <w:sz w:val="22"/>
          <w:szCs w:val="22"/>
        </w:rPr>
        <w:t>Por lo expuesto y fundado, este Pleno:</w:t>
      </w:r>
    </w:p>
    <w:p w14:paraId="2A3C222A" w14:textId="77777777" w:rsidR="003A796B" w:rsidRPr="005E4BBB" w:rsidRDefault="003A796B" w:rsidP="007911EC">
      <w:pPr>
        <w:spacing w:line="360" w:lineRule="auto"/>
        <w:jc w:val="both"/>
        <w:rPr>
          <w:rFonts w:ascii="Palatino Linotype" w:hAnsi="Palatino Linotype" w:cs="Tahoma"/>
          <w:bCs/>
          <w:iCs/>
          <w:sz w:val="22"/>
          <w:szCs w:val="22"/>
        </w:rPr>
      </w:pPr>
    </w:p>
    <w:p w14:paraId="31431AD7" w14:textId="77777777" w:rsidR="00FF7C33" w:rsidRPr="005E4BBB" w:rsidRDefault="00FF7C33" w:rsidP="007911EC">
      <w:pPr>
        <w:pStyle w:val="Ttulo1"/>
        <w:rPr>
          <w:color w:val="auto"/>
        </w:rPr>
      </w:pPr>
      <w:bookmarkStart w:id="15" w:name="_Toc223615235"/>
      <w:r w:rsidRPr="005E4BBB">
        <w:rPr>
          <w:color w:val="auto"/>
        </w:rPr>
        <w:t>R E S U E L V E</w:t>
      </w:r>
      <w:bookmarkEnd w:id="15"/>
    </w:p>
    <w:p w14:paraId="39DB2FA1" w14:textId="77777777" w:rsidR="00F57883" w:rsidRPr="005E4BBB" w:rsidRDefault="00F57883" w:rsidP="007911EC">
      <w:pPr>
        <w:spacing w:line="360" w:lineRule="auto"/>
        <w:jc w:val="both"/>
        <w:rPr>
          <w:rFonts w:ascii="Palatino Linotype" w:hAnsi="Palatino Linotype" w:cs="Tahoma"/>
          <w:b/>
          <w:bCs/>
          <w:iCs/>
          <w:sz w:val="22"/>
          <w:szCs w:val="22"/>
        </w:rPr>
      </w:pPr>
    </w:p>
    <w:p w14:paraId="46E6C462" w14:textId="5E84FD74" w:rsidR="00FF7C33" w:rsidRPr="007C3AF1" w:rsidRDefault="00FF7C33" w:rsidP="007911EC">
      <w:pPr>
        <w:spacing w:line="360" w:lineRule="auto"/>
        <w:jc w:val="both"/>
        <w:rPr>
          <w:rFonts w:ascii="Palatino Linotype" w:hAnsi="Palatino Linotype" w:cs="Tahoma"/>
          <w:bCs/>
          <w:iCs/>
          <w:color w:val="FF0000"/>
          <w:sz w:val="22"/>
          <w:szCs w:val="22"/>
        </w:rPr>
      </w:pPr>
      <w:r w:rsidRPr="005E4BBB">
        <w:rPr>
          <w:rFonts w:ascii="Palatino Linotype" w:hAnsi="Palatino Linotype" w:cs="Tahoma"/>
          <w:b/>
          <w:bCs/>
          <w:iCs/>
          <w:sz w:val="22"/>
          <w:szCs w:val="22"/>
        </w:rPr>
        <w:t xml:space="preserve">PRIMERO. </w:t>
      </w:r>
      <w:r w:rsidRPr="005E4BBB">
        <w:rPr>
          <w:rFonts w:ascii="Palatino Linotype" w:hAnsi="Palatino Linotype" w:cs="Tahoma"/>
          <w:bCs/>
          <w:iCs/>
          <w:sz w:val="22"/>
          <w:szCs w:val="22"/>
        </w:rPr>
        <w:t xml:space="preserve">Resultan </w:t>
      </w:r>
      <w:r w:rsidRPr="005E4BBB">
        <w:rPr>
          <w:rFonts w:ascii="Palatino Linotype" w:hAnsi="Palatino Linotype" w:cs="Tahoma"/>
          <w:b/>
          <w:bCs/>
          <w:iCs/>
          <w:sz w:val="22"/>
          <w:szCs w:val="22"/>
        </w:rPr>
        <w:t>FUNDADAS</w:t>
      </w:r>
      <w:r w:rsidRPr="005E4BBB">
        <w:rPr>
          <w:rFonts w:ascii="Palatino Linotype" w:hAnsi="Palatino Linotype" w:cs="Tahoma"/>
          <w:bCs/>
          <w:iCs/>
          <w:sz w:val="22"/>
          <w:szCs w:val="22"/>
        </w:rPr>
        <w:t xml:space="preserve"> las razones o motivos de inconformidad hechos valer por el Partic</w:t>
      </w:r>
      <w:r w:rsidR="0085485C" w:rsidRPr="005E4BBB">
        <w:rPr>
          <w:rFonts w:ascii="Palatino Linotype" w:hAnsi="Palatino Linotype" w:cs="Tahoma"/>
          <w:bCs/>
          <w:iCs/>
          <w:sz w:val="22"/>
          <w:szCs w:val="22"/>
        </w:rPr>
        <w:t xml:space="preserve">ular en el Recurso de </w:t>
      </w:r>
      <w:r w:rsidR="00161C66" w:rsidRPr="005E4BBB">
        <w:rPr>
          <w:rFonts w:ascii="Palatino Linotype" w:hAnsi="Palatino Linotype" w:cs="Tahoma"/>
          <w:bCs/>
          <w:iCs/>
          <w:sz w:val="22"/>
          <w:szCs w:val="22"/>
        </w:rPr>
        <w:t xml:space="preserve">Revisión </w:t>
      </w:r>
      <w:r w:rsidR="005E4BBB" w:rsidRPr="005E4BBB">
        <w:rPr>
          <w:rFonts w:ascii="Palatino Linotype" w:hAnsi="Palatino Linotype" w:cs="Tahoma"/>
          <w:bCs/>
          <w:iCs/>
          <w:sz w:val="22"/>
          <w:szCs w:val="22"/>
        </w:rPr>
        <w:t>00364/VACHASO/IP/2025</w:t>
      </w:r>
      <w:r w:rsidRPr="005E4BBB">
        <w:rPr>
          <w:rFonts w:ascii="Palatino Linotype" w:hAnsi="Palatino Linotype" w:cs="Tahoma"/>
          <w:bCs/>
          <w:iCs/>
          <w:sz w:val="22"/>
          <w:szCs w:val="22"/>
        </w:rPr>
        <w:t>,</w:t>
      </w:r>
      <w:r w:rsidRPr="005E4BBB">
        <w:rPr>
          <w:rFonts w:ascii="Palatino Linotype" w:hAnsi="Palatino Linotype" w:cs="Tahoma"/>
          <w:b/>
          <w:bCs/>
          <w:iCs/>
          <w:sz w:val="22"/>
          <w:szCs w:val="22"/>
        </w:rPr>
        <w:t xml:space="preserve"> </w:t>
      </w:r>
      <w:r w:rsidRPr="005E4BBB">
        <w:rPr>
          <w:rFonts w:ascii="Palatino Linotype" w:hAnsi="Palatino Linotype" w:cs="Tahoma"/>
          <w:bCs/>
          <w:iCs/>
          <w:sz w:val="22"/>
          <w:szCs w:val="22"/>
        </w:rPr>
        <w:t>en términos de los considerandos QUINTO y SEXTO de la presente Resolución.</w:t>
      </w:r>
    </w:p>
    <w:p w14:paraId="0B1A73AD" w14:textId="77777777" w:rsidR="00B06E23" w:rsidRPr="007C3AF1" w:rsidRDefault="00B06E23" w:rsidP="007911EC">
      <w:pPr>
        <w:spacing w:line="360" w:lineRule="auto"/>
        <w:jc w:val="both"/>
        <w:rPr>
          <w:rFonts w:ascii="Palatino Linotype" w:hAnsi="Palatino Linotype" w:cs="Tahoma"/>
          <w:bCs/>
          <w:iCs/>
          <w:color w:val="FF0000"/>
          <w:sz w:val="22"/>
          <w:szCs w:val="22"/>
        </w:rPr>
      </w:pPr>
    </w:p>
    <w:p w14:paraId="5BBD6CB5" w14:textId="77777777" w:rsidR="007911EC" w:rsidRPr="007911EC" w:rsidRDefault="00FB7667" w:rsidP="007911EC">
      <w:pPr>
        <w:tabs>
          <w:tab w:val="left" w:pos="4962"/>
        </w:tabs>
        <w:spacing w:line="360" w:lineRule="auto"/>
        <w:jc w:val="both"/>
        <w:rPr>
          <w:rFonts w:ascii="Palatino Linotype" w:eastAsia="Calibri" w:hAnsi="Palatino Linotype" w:cs="Tahoma"/>
          <w:sz w:val="22"/>
          <w:szCs w:val="22"/>
          <w:lang w:val="es-ES" w:eastAsia="es-MX"/>
        </w:rPr>
      </w:pPr>
      <w:r w:rsidRPr="005E4BBB">
        <w:rPr>
          <w:rFonts w:ascii="Palatino Linotype" w:hAnsi="Palatino Linotype" w:cs="Tahoma"/>
          <w:b/>
          <w:bCs/>
          <w:iCs/>
          <w:sz w:val="22"/>
          <w:szCs w:val="22"/>
          <w:lang w:val="es-ES"/>
        </w:rPr>
        <w:t xml:space="preserve">SEGUNDO. </w:t>
      </w:r>
      <w:r w:rsidRPr="005E4BBB">
        <w:rPr>
          <w:rFonts w:ascii="Palatino Linotype" w:hAnsi="Palatino Linotype" w:cs="Tahoma"/>
          <w:bCs/>
          <w:iCs/>
          <w:sz w:val="22"/>
          <w:szCs w:val="22"/>
          <w:lang w:val="es-ES"/>
        </w:rPr>
        <w:t>Se</w:t>
      </w:r>
      <w:r w:rsidRPr="005E4BBB">
        <w:rPr>
          <w:rFonts w:ascii="Palatino Linotype" w:hAnsi="Palatino Linotype" w:cs="Tahoma"/>
          <w:b/>
          <w:bCs/>
          <w:iCs/>
          <w:sz w:val="22"/>
          <w:szCs w:val="22"/>
          <w:lang w:val="es-ES"/>
        </w:rPr>
        <w:t xml:space="preserve"> ORDENA </w:t>
      </w:r>
      <w:r w:rsidRPr="005E4BBB">
        <w:rPr>
          <w:rFonts w:ascii="Palatino Linotype" w:hAnsi="Palatino Linotype" w:cs="Tahoma"/>
          <w:bCs/>
          <w:iCs/>
          <w:sz w:val="22"/>
          <w:szCs w:val="22"/>
          <w:lang w:val="es-ES"/>
        </w:rPr>
        <w:t xml:space="preserve">al Sujeto Obligado, </w:t>
      </w:r>
      <w:r w:rsidR="00B566DA" w:rsidRPr="005E4BBB">
        <w:rPr>
          <w:rFonts w:ascii="Palatino Linotype" w:hAnsi="Palatino Linotype" w:cs="Tahoma"/>
          <w:sz w:val="22"/>
          <w:szCs w:val="22"/>
        </w:rPr>
        <w:t xml:space="preserve">a efecto de que, </w:t>
      </w:r>
      <w:r w:rsidR="00B566DA" w:rsidRPr="005E4BBB">
        <w:rPr>
          <w:rFonts w:ascii="Palatino Linotype" w:eastAsia="Calibri" w:hAnsi="Palatino Linotype" w:cs="Tahoma"/>
          <w:sz w:val="22"/>
          <w:szCs w:val="22"/>
        </w:rPr>
        <w:t xml:space="preserve">previa búsqueda exhaustiva y razonable, en los archivos de las unidades administrativas competentes, entregue </w:t>
      </w:r>
      <w:r w:rsidR="00B566DA" w:rsidRPr="005E4BBB">
        <w:rPr>
          <w:rFonts w:ascii="Palatino Linotype" w:hAnsi="Palatino Linotype" w:cs="Tahoma"/>
          <w:bCs/>
          <w:sz w:val="22"/>
          <w:szCs w:val="22"/>
        </w:rPr>
        <w:t>a través del Sistema de Acceso a la Información Mexiquense (SAIMEX),</w:t>
      </w:r>
      <w:r w:rsidR="00B566DA" w:rsidRPr="005E4BBB">
        <w:rPr>
          <w:rFonts w:ascii="Palatino Linotype" w:eastAsia="Calibri" w:hAnsi="Palatino Linotype" w:cs="Tahoma"/>
          <w:sz w:val="22"/>
          <w:szCs w:val="22"/>
        </w:rPr>
        <w:t xml:space="preserve"> en su caso</w:t>
      </w:r>
      <w:r w:rsidR="0069582F" w:rsidRPr="005E4BBB">
        <w:rPr>
          <w:rFonts w:ascii="Palatino Linotype" w:eastAsia="Calibri" w:hAnsi="Palatino Linotype" w:cs="Tahoma"/>
          <w:sz w:val="22"/>
          <w:szCs w:val="22"/>
        </w:rPr>
        <w:t>,</w:t>
      </w:r>
      <w:r w:rsidR="00B566DA" w:rsidRPr="005E4BBB">
        <w:rPr>
          <w:rFonts w:ascii="Palatino Linotype" w:eastAsia="Calibri" w:hAnsi="Palatino Linotype" w:cs="Tahoma"/>
          <w:sz w:val="22"/>
          <w:szCs w:val="22"/>
        </w:rPr>
        <w:t xml:space="preserve"> en versión pública</w:t>
      </w:r>
      <w:r w:rsidR="00B566DA" w:rsidRPr="005E4BBB">
        <w:rPr>
          <w:rFonts w:ascii="Palatino Linotype" w:hAnsi="Palatino Linotype"/>
          <w:sz w:val="22"/>
          <w:szCs w:val="22"/>
        </w:rPr>
        <w:t xml:space="preserve">, </w:t>
      </w:r>
      <w:r w:rsidR="007911EC">
        <w:rPr>
          <w:rFonts w:ascii="Palatino Linotype" w:hAnsi="Palatino Linotype"/>
          <w:sz w:val="22"/>
          <w:szCs w:val="22"/>
        </w:rPr>
        <w:t xml:space="preserve">los servidores públicos que fueron despedidos </w:t>
      </w:r>
      <w:r w:rsidR="007911EC" w:rsidRPr="007911EC">
        <w:rPr>
          <w:rFonts w:ascii="Palatino Linotype" w:eastAsia="Calibri" w:hAnsi="Palatino Linotype" w:cs="Tahoma"/>
          <w:sz w:val="22"/>
          <w:szCs w:val="22"/>
          <w:lang w:val="es-ES" w:eastAsia="es-MX"/>
        </w:rPr>
        <w:t>del primero de enero de dos mil veinte al treinta y uno de diciembre de dos mil veintidós, lo siguiente:</w:t>
      </w:r>
    </w:p>
    <w:p w14:paraId="0D004B40" w14:textId="77777777" w:rsidR="007911EC" w:rsidRPr="00BC099A" w:rsidRDefault="007911EC" w:rsidP="007911EC">
      <w:pPr>
        <w:tabs>
          <w:tab w:val="left" w:pos="4962"/>
        </w:tabs>
        <w:spacing w:line="360" w:lineRule="auto"/>
        <w:contextualSpacing/>
        <w:jc w:val="both"/>
        <w:rPr>
          <w:rFonts w:ascii="Palatino Linotype" w:eastAsia="Calibri" w:hAnsi="Palatino Linotype" w:cs="Tahoma"/>
          <w:sz w:val="22"/>
          <w:szCs w:val="22"/>
          <w:lang w:val="es-ES" w:eastAsia="es-MX"/>
        </w:rPr>
      </w:pPr>
    </w:p>
    <w:p w14:paraId="5F539484" w14:textId="77777777" w:rsidR="007911EC" w:rsidRDefault="007911EC" w:rsidP="007911EC">
      <w:pPr>
        <w:pStyle w:val="Prrafodelista"/>
        <w:numPr>
          <w:ilvl w:val="0"/>
          <w:numId w:val="24"/>
        </w:numPr>
        <w:tabs>
          <w:tab w:val="left" w:pos="4962"/>
        </w:tabs>
        <w:spacing w:line="360" w:lineRule="auto"/>
        <w:jc w:val="both"/>
        <w:rPr>
          <w:rFonts w:ascii="Palatino Linotype" w:eastAsia="Palatino Linotype" w:hAnsi="Palatino Linotype" w:cs="Palatino Linotype"/>
          <w:szCs w:val="22"/>
          <w:lang w:eastAsia="es-MX"/>
        </w:rPr>
      </w:pPr>
      <w:r>
        <w:rPr>
          <w:rFonts w:ascii="Palatino Linotype" w:eastAsia="Palatino Linotype" w:hAnsi="Palatino Linotype" w:cs="Palatino Linotype"/>
          <w:szCs w:val="22"/>
          <w:lang w:eastAsia="es-MX"/>
        </w:rPr>
        <w:t xml:space="preserve">El nombre completo y </w:t>
      </w:r>
    </w:p>
    <w:p w14:paraId="467B922B" w14:textId="77777777" w:rsidR="007911EC" w:rsidRPr="00BC099A" w:rsidRDefault="007911EC" w:rsidP="007911EC">
      <w:pPr>
        <w:pStyle w:val="Prrafodelista"/>
        <w:numPr>
          <w:ilvl w:val="0"/>
          <w:numId w:val="24"/>
        </w:numPr>
        <w:tabs>
          <w:tab w:val="left" w:pos="4962"/>
        </w:tabs>
        <w:spacing w:line="360" w:lineRule="auto"/>
        <w:jc w:val="both"/>
        <w:rPr>
          <w:rFonts w:ascii="Palatino Linotype" w:eastAsia="Calibri" w:hAnsi="Palatino Linotype" w:cs="Tahoma"/>
          <w:szCs w:val="22"/>
          <w:lang w:val="es-ES" w:eastAsia="es-MX"/>
        </w:rPr>
      </w:pPr>
      <w:r w:rsidRPr="00BC099A">
        <w:rPr>
          <w:rFonts w:ascii="Palatino Linotype" w:eastAsia="Palatino Linotype" w:hAnsi="Palatino Linotype" w:cs="Palatino Linotype"/>
          <w:szCs w:val="22"/>
          <w:lang w:eastAsia="es-MX"/>
        </w:rPr>
        <w:t xml:space="preserve">El documento firmado </w:t>
      </w:r>
      <w:r>
        <w:rPr>
          <w:rFonts w:ascii="Palatino Linotype" w:eastAsia="Palatino Linotype" w:hAnsi="Palatino Linotype" w:cs="Palatino Linotype"/>
          <w:szCs w:val="22"/>
          <w:lang w:eastAsia="es-MX"/>
        </w:rPr>
        <w:t xml:space="preserve">que acredita la recepción de </w:t>
      </w:r>
      <w:r w:rsidRPr="00BC099A">
        <w:rPr>
          <w:rFonts w:ascii="Palatino Linotype" w:eastAsia="Palatino Linotype" w:hAnsi="Palatino Linotype" w:cs="Palatino Linotype"/>
          <w:szCs w:val="22"/>
          <w:lang w:eastAsia="es-MX"/>
        </w:rPr>
        <w:t>la liquidación</w:t>
      </w:r>
      <w:r>
        <w:rPr>
          <w:rFonts w:ascii="Palatino Linotype" w:eastAsia="Palatino Linotype" w:hAnsi="Palatino Linotype" w:cs="Palatino Linotype"/>
          <w:szCs w:val="22"/>
          <w:lang w:eastAsia="es-MX"/>
        </w:rPr>
        <w:t>.</w:t>
      </w:r>
    </w:p>
    <w:p w14:paraId="2CD67B74" w14:textId="0DA3596F" w:rsidR="00161C66" w:rsidRPr="007911EC" w:rsidRDefault="00161C66" w:rsidP="007911EC">
      <w:pPr>
        <w:spacing w:line="360" w:lineRule="auto"/>
        <w:jc w:val="both"/>
        <w:rPr>
          <w:rFonts w:ascii="Palatino Linotype" w:eastAsia="Calibri" w:hAnsi="Palatino Linotype" w:cs="Tahoma"/>
          <w:color w:val="FF0000"/>
          <w:sz w:val="22"/>
          <w:szCs w:val="22"/>
          <w:lang w:val="es-ES"/>
        </w:rPr>
      </w:pPr>
    </w:p>
    <w:p w14:paraId="53ABF9CA" w14:textId="77777777" w:rsidR="006E71F2" w:rsidRDefault="006E71F2" w:rsidP="007911EC">
      <w:pPr>
        <w:spacing w:line="360" w:lineRule="auto"/>
        <w:jc w:val="both"/>
        <w:rPr>
          <w:rFonts w:ascii="Palatino Linotype" w:hAnsi="Palatino Linotype" w:cs="Tahoma"/>
          <w:bCs/>
          <w:iCs/>
          <w:sz w:val="22"/>
          <w:szCs w:val="22"/>
        </w:rPr>
      </w:pPr>
      <w:r w:rsidRPr="005D55DE">
        <w:rPr>
          <w:rFonts w:ascii="Palatino Linotype" w:hAnsi="Palatino Linotype" w:cs="Tahoma"/>
          <w:bCs/>
          <w:iCs/>
          <w:sz w:val="22"/>
          <w:szCs w:val="22"/>
        </w:rPr>
        <w:t>Además, de ser necesario, deberá proporcionar el Acuerdo de Clasificación donde el Comité de Transparencia, confirme la eliminación de los datos confidenciales, en la versión pública, de conformidad con los artículos 49, fracciones II y VIII y 132, fracción II de la Ley de Transparencia y Acceso a la Información Pública del Estado de México y Municipios.</w:t>
      </w:r>
    </w:p>
    <w:p w14:paraId="5AA25010" w14:textId="77777777" w:rsidR="005D55DE" w:rsidRPr="005D55DE" w:rsidRDefault="005D55DE" w:rsidP="007911EC">
      <w:pPr>
        <w:spacing w:line="360" w:lineRule="auto"/>
        <w:jc w:val="both"/>
        <w:rPr>
          <w:rFonts w:ascii="Palatino Linotype" w:hAnsi="Palatino Linotype" w:cs="Tahoma"/>
          <w:bCs/>
          <w:iCs/>
          <w:sz w:val="22"/>
          <w:szCs w:val="22"/>
        </w:rPr>
      </w:pPr>
    </w:p>
    <w:p w14:paraId="08EA7079" w14:textId="4633A102" w:rsidR="00E26B53" w:rsidRDefault="005D55DE" w:rsidP="007911EC">
      <w:pPr>
        <w:spacing w:line="360" w:lineRule="auto"/>
        <w:jc w:val="both"/>
        <w:rPr>
          <w:rFonts w:ascii="Palatino Linotype" w:hAnsi="Palatino Linotype" w:cs="Tahoma"/>
          <w:bCs/>
          <w:iCs/>
          <w:sz w:val="22"/>
          <w:szCs w:val="22"/>
        </w:rPr>
      </w:pPr>
      <w:r w:rsidRPr="005D55DE">
        <w:rPr>
          <w:rFonts w:ascii="Palatino Linotype" w:hAnsi="Palatino Linotype" w:cs="Tahoma"/>
          <w:bCs/>
          <w:iCs/>
          <w:sz w:val="22"/>
          <w:szCs w:val="22"/>
        </w:rPr>
        <w:lastRenderedPageBreak/>
        <w:t xml:space="preserve">Para el caso que, </w:t>
      </w:r>
      <w:r w:rsidR="007911EC">
        <w:rPr>
          <w:rFonts w:ascii="Palatino Linotype" w:hAnsi="Palatino Linotype" w:cs="Tahoma"/>
          <w:bCs/>
          <w:iCs/>
          <w:sz w:val="22"/>
          <w:szCs w:val="22"/>
        </w:rPr>
        <w:t>de que en algún año o periodo no haya despedido alguna persona</w:t>
      </w:r>
      <w:r>
        <w:rPr>
          <w:rFonts w:ascii="Palatino Linotype" w:hAnsi="Palatino Linotype" w:cs="Tahoma"/>
          <w:bCs/>
          <w:iCs/>
          <w:sz w:val="22"/>
          <w:szCs w:val="22"/>
        </w:rPr>
        <w:t xml:space="preserve">, </w:t>
      </w:r>
      <w:r w:rsidRPr="005D55DE">
        <w:rPr>
          <w:rFonts w:ascii="Palatino Linotype" w:hAnsi="Palatino Linotype" w:cs="Tahoma"/>
          <w:bCs/>
          <w:iCs/>
          <w:sz w:val="22"/>
          <w:szCs w:val="22"/>
        </w:rPr>
        <w:t>deberá hacerlo del conocimiento de la persona Recurrente, de manera clara y precisa.</w:t>
      </w:r>
    </w:p>
    <w:p w14:paraId="0CD68C27" w14:textId="77777777" w:rsidR="005D55DE" w:rsidRPr="005D55DE" w:rsidRDefault="005D55DE" w:rsidP="007911EC">
      <w:pPr>
        <w:spacing w:line="360" w:lineRule="auto"/>
        <w:jc w:val="both"/>
        <w:rPr>
          <w:rFonts w:ascii="Palatino Linotype" w:hAnsi="Palatino Linotype" w:cs="Tahoma"/>
          <w:bCs/>
          <w:iCs/>
          <w:sz w:val="22"/>
          <w:szCs w:val="22"/>
        </w:rPr>
      </w:pPr>
    </w:p>
    <w:p w14:paraId="2F31FE73" w14:textId="77777777" w:rsidR="00FF7C33" w:rsidRPr="005D55DE" w:rsidRDefault="00FF7C33" w:rsidP="007911EC">
      <w:pPr>
        <w:spacing w:line="360" w:lineRule="auto"/>
        <w:jc w:val="both"/>
        <w:rPr>
          <w:rFonts w:ascii="Palatino Linotype" w:hAnsi="Palatino Linotype" w:cs="Tahoma"/>
          <w:bCs/>
          <w:iCs/>
          <w:sz w:val="22"/>
          <w:szCs w:val="22"/>
          <w:lang w:val="es-ES_tradnl"/>
        </w:rPr>
      </w:pPr>
      <w:r w:rsidRPr="005D55DE">
        <w:rPr>
          <w:rFonts w:ascii="Palatino Linotype" w:hAnsi="Palatino Linotype" w:cs="Tahoma"/>
          <w:b/>
          <w:bCs/>
          <w:iCs/>
          <w:sz w:val="22"/>
          <w:szCs w:val="22"/>
          <w:lang w:val="es-ES"/>
        </w:rPr>
        <w:t>TERCERO</w:t>
      </w:r>
      <w:r w:rsidRPr="005D55DE">
        <w:rPr>
          <w:rFonts w:ascii="Palatino Linotype" w:hAnsi="Palatino Linotype" w:cs="Tahoma"/>
          <w:b/>
          <w:bCs/>
          <w:iCs/>
          <w:sz w:val="22"/>
          <w:szCs w:val="22"/>
        </w:rPr>
        <w:t xml:space="preserve">. </w:t>
      </w:r>
      <w:r w:rsidRPr="005D55DE">
        <w:rPr>
          <w:rFonts w:ascii="Palatino Linotype" w:hAnsi="Palatino Linotype" w:cs="Tahoma"/>
          <w:bCs/>
          <w:iCs/>
          <w:sz w:val="22"/>
          <w:szCs w:val="22"/>
          <w:lang w:val="es-ES_tradnl"/>
        </w:rPr>
        <w:t xml:space="preserve">Con fundamento en el artículo 179, párrafo segundo, de la Ley de Transparencia y Acceso a la Información Pública del Estado de México y Municipios, se hace del conocimiento de la persona Recurrente que tiene derecho a interponer nuevamente Recurso de Revisión ante este Instituto, por la respuesta que dé el Sujeto Obligado, en cumplimiento a esta Resolución.  </w:t>
      </w:r>
    </w:p>
    <w:p w14:paraId="2BFB54E0" w14:textId="77777777" w:rsidR="00FF7C33" w:rsidRPr="005D55DE" w:rsidRDefault="00FF7C33" w:rsidP="007911EC">
      <w:pPr>
        <w:spacing w:line="360" w:lineRule="auto"/>
        <w:jc w:val="both"/>
        <w:rPr>
          <w:rFonts w:ascii="Palatino Linotype" w:hAnsi="Palatino Linotype" w:cs="Tahoma"/>
          <w:bCs/>
          <w:iCs/>
          <w:sz w:val="22"/>
          <w:szCs w:val="22"/>
        </w:rPr>
      </w:pPr>
    </w:p>
    <w:p w14:paraId="63F3D9B5" w14:textId="77777777" w:rsidR="00FF7C33" w:rsidRPr="005D55DE" w:rsidRDefault="00FF7C33" w:rsidP="007911EC">
      <w:pPr>
        <w:spacing w:line="360" w:lineRule="auto"/>
        <w:jc w:val="both"/>
        <w:rPr>
          <w:rFonts w:ascii="Palatino Linotype" w:hAnsi="Palatino Linotype" w:cs="Tahoma"/>
          <w:bCs/>
          <w:iCs/>
          <w:sz w:val="22"/>
          <w:szCs w:val="22"/>
        </w:rPr>
      </w:pPr>
      <w:r w:rsidRPr="005D55DE">
        <w:rPr>
          <w:rFonts w:ascii="Palatino Linotype" w:hAnsi="Palatino Linotype" w:cs="Tahoma"/>
          <w:b/>
          <w:bCs/>
          <w:iCs/>
          <w:sz w:val="22"/>
          <w:szCs w:val="22"/>
        </w:rPr>
        <w:t>CUARTO.</w:t>
      </w:r>
      <w:r w:rsidRPr="005D55DE">
        <w:rPr>
          <w:rFonts w:ascii="Palatino Linotype" w:hAnsi="Palatino Linotype" w:cs="Tahoma"/>
          <w:bCs/>
          <w:iCs/>
          <w:sz w:val="22"/>
          <w:szCs w:val="22"/>
        </w:rPr>
        <w:t xml:space="preserve"> </w:t>
      </w:r>
      <w:r w:rsidRPr="005D55DE">
        <w:rPr>
          <w:rFonts w:ascii="Palatino Linotype" w:hAnsi="Palatino Linotype" w:cs="Tahoma"/>
          <w:b/>
          <w:bCs/>
          <w:iCs/>
          <w:sz w:val="22"/>
          <w:szCs w:val="22"/>
        </w:rPr>
        <w:t xml:space="preserve">NOTIFÍQUESE POR SAIMEX </w:t>
      </w:r>
      <w:r w:rsidRPr="005D55DE">
        <w:rPr>
          <w:rFonts w:ascii="Palatino Linotype" w:hAnsi="Palatino Linotype" w:cs="Tahoma"/>
          <w:bCs/>
          <w:iCs/>
          <w:sz w:val="22"/>
          <w:szCs w:val="22"/>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w:t>
      </w:r>
    </w:p>
    <w:p w14:paraId="1CF3E7C5" w14:textId="77777777" w:rsidR="00FF7C33" w:rsidRPr="005D55DE" w:rsidRDefault="00FF7C33" w:rsidP="007911EC">
      <w:pPr>
        <w:spacing w:line="360" w:lineRule="auto"/>
        <w:jc w:val="both"/>
        <w:rPr>
          <w:rFonts w:ascii="Palatino Linotype" w:hAnsi="Palatino Linotype" w:cs="Tahoma"/>
          <w:bCs/>
          <w:iCs/>
          <w:sz w:val="22"/>
          <w:szCs w:val="22"/>
        </w:rPr>
      </w:pPr>
    </w:p>
    <w:p w14:paraId="540F4370" w14:textId="0BC61EE8" w:rsidR="00FF7C33" w:rsidRPr="005D55DE" w:rsidRDefault="00FF7C33" w:rsidP="007911EC">
      <w:pPr>
        <w:spacing w:line="360" w:lineRule="auto"/>
        <w:jc w:val="both"/>
        <w:rPr>
          <w:rFonts w:ascii="Palatino Linotype" w:hAnsi="Palatino Linotype" w:cs="Tahoma"/>
          <w:bCs/>
          <w:iCs/>
          <w:sz w:val="22"/>
          <w:szCs w:val="22"/>
        </w:rPr>
      </w:pPr>
      <w:r w:rsidRPr="005D55DE">
        <w:rPr>
          <w:rFonts w:ascii="Palatino Linotype" w:hAnsi="Palatino Linotype" w:cs="Tahoma"/>
          <w:b/>
          <w:bCs/>
          <w:iCs/>
          <w:sz w:val="22"/>
          <w:szCs w:val="22"/>
        </w:rPr>
        <w:t>QUINTO. NOTIFÍQUESE</w:t>
      </w:r>
      <w:r w:rsidRPr="005D55DE">
        <w:rPr>
          <w:rFonts w:ascii="Palatino Linotype" w:hAnsi="Palatino Linotype" w:cs="Tahoma"/>
          <w:bCs/>
          <w:iCs/>
          <w:sz w:val="22"/>
          <w:szCs w:val="22"/>
        </w:rPr>
        <w:t xml:space="preserve"> </w:t>
      </w:r>
      <w:r w:rsidRPr="005D55DE">
        <w:rPr>
          <w:rFonts w:ascii="Palatino Linotype" w:hAnsi="Palatino Linotype" w:cs="Tahoma"/>
          <w:b/>
          <w:bCs/>
          <w:iCs/>
          <w:sz w:val="22"/>
          <w:szCs w:val="22"/>
        </w:rPr>
        <w:t xml:space="preserve">POR SAIMEX, </w:t>
      </w:r>
      <w:r w:rsidRPr="005D55DE">
        <w:rPr>
          <w:rFonts w:ascii="Palatino Linotype" w:hAnsi="Palatino Linotype" w:cs="Tahoma"/>
          <w:bCs/>
          <w:iCs/>
          <w:sz w:val="22"/>
          <w:szCs w:val="22"/>
        </w:rPr>
        <w:t>a</w:t>
      </w:r>
      <w:r w:rsidR="009E3A34" w:rsidRPr="005D55DE">
        <w:rPr>
          <w:rFonts w:ascii="Palatino Linotype" w:hAnsi="Palatino Linotype" w:cs="Tahoma"/>
          <w:bCs/>
          <w:iCs/>
          <w:sz w:val="22"/>
          <w:szCs w:val="22"/>
        </w:rPr>
        <w:t xml:space="preserve"> la persona</w:t>
      </w:r>
      <w:r w:rsidRPr="005D55DE">
        <w:rPr>
          <w:rFonts w:ascii="Palatino Linotype" w:hAnsi="Palatino Linotype" w:cs="Tahoma"/>
          <w:bCs/>
          <w:iCs/>
          <w:sz w:val="22"/>
          <w:szCs w:val="22"/>
        </w:rPr>
        <w:t xml:space="preserve">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5040628A" w14:textId="77777777" w:rsidR="00501F15" w:rsidRPr="005D55DE" w:rsidRDefault="00501F15" w:rsidP="007911EC">
      <w:pPr>
        <w:spacing w:line="360" w:lineRule="auto"/>
        <w:jc w:val="both"/>
        <w:rPr>
          <w:rFonts w:ascii="Palatino Linotype" w:hAnsi="Palatino Linotype" w:cs="Tahoma"/>
          <w:bCs/>
          <w:iCs/>
          <w:sz w:val="22"/>
          <w:szCs w:val="22"/>
        </w:rPr>
      </w:pPr>
    </w:p>
    <w:p w14:paraId="4C0D39E9" w14:textId="77777777" w:rsidR="00501F15" w:rsidRPr="005D55DE" w:rsidRDefault="00501F15" w:rsidP="007911EC">
      <w:pPr>
        <w:spacing w:line="360" w:lineRule="auto"/>
        <w:jc w:val="both"/>
        <w:rPr>
          <w:rFonts w:ascii="Palatino Linotype" w:eastAsia="Calibri" w:hAnsi="Palatino Linotype" w:cs="Tahoma"/>
          <w:bCs/>
          <w:sz w:val="22"/>
          <w:szCs w:val="22"/>
          <w:lang w:eastAsia="en-US"/>
        </w:rPr>
      </w:pPr>
      <w:r w:rsidRPr="005D55DE">
        <w:rPr>
          <w:rFonts w:ascii="Palatino Linotype" w:eastAsiaTheme="minorHAnsi" w:hAnsi="Palatino Linotype" w:cstheme="minorBidi"/>
          <w:b/>
          <w:bCs/>
          <w:sz w:val="22"/>
          <w:szCs w:val="22"/>
          <w:lang w:eastAsia="en-US"/>
        </w:rPr>
        <w:t>SEXTO.</w:t>
      </w:r>
      <w:r w:rsidRPr="005D55DE">
        <w:rPr>
          <w:rFonts w:ascii="Palatino Linotype" w:eastAsiaTheme="minorHAnsi" w:hAnsi="Palatino Linotype" w:cstheme="minorBidi"/>
          <w:sz w:val="22"/>
          <w:szCs w:val="22"/>
          <w:lang w:eastAsia="en-US"/>
        </w:rPr>
        <w:t xml:space="preserve"> Gírese oficio a la Secretaría Técnica del Pleno de este Instituto para hacer del conocimiento del Órgano Interno de Control competente la presente resolución, a fin de que </w:t>
      </w:r>
      <w:r w:rsidRPr="005D55DE">
        <w:rPr>
          <w:rFonts w:ascii="Palatino Linotype" w:eastAsiaTheme="minorHAnsi" w:hAnsi="Palatino Linotype" w:cstheme="minorBidi"/>
          <w:sz w:val="22"/>
          <w:szCs w:val="22"/>
          <w:lang w:eastAsia="en-US"/>
        </w:rPr>
        <w:lastRenderedPageBreak/>
        <w:t>de conformidad con el artículo 190, de la Ley de Transparencia y Acceso a la Información Pública del Estado de México y Municipios, determine lo conducente, en términos de lo señalado en el Considerando SÉPTIMO de la presente Resolución.</w:t>
      </w:r>
    </w:p>
    <w:p w14:paraId="6D99CCC6" w14:textId="77777777" w:rsidR="00FF7C33" w:rsidRPr="005D55DE" w:rsidRDefault="00FF7C33" w:rsidP="007911EC">
      <w:pPr>
        <w:spacing w:line="360" w:lineRule="auto"/>
        <w:jc w:val="both"/>
        <w:rPr>
          <w:rFonts w:ascii="Palatino Linotype" w:hAnsi="Palatino Linotype" w:cs="Tahoma"/>
          <w:b/>
          <w:bCs/>
          <w:iCs/>
          <w:sz w:val="22"/>
          <w:szCs w:val="22"/>
        </w:rPr>
      </w:pPr>
    </w:p>
    <w:p w14:paraId="4051A84A" w14:textId="2F1A690E" w:rsidR="00FF7C33" w:rsidRPr="005D55DE" w:rsidRDefault="00FF7C33" w:rsidP="007911EC">
      <w:pPr>
        <w:spacing w:line="360" w:lineRule="auto"/>
        <w:jc w:val="both"/>
        <w:rPr>
          <w:rFonts w:ascii="Palatino Linotype" w:hAnsi="Palatino Linotype" w:cs="Tahoma"/>
          <w:bCs/>
          <w:iCs/>
          <w:sz w:val="22"/>
          <w:szCs w:val="22"/>
        </w:rPr>
      </w:pPr>
      <w:r w:rsidRPr="005D55DE">
        <w:rPr>
          <w:rFonts w:ascii="Palatino Linotype" w:hAnsi="Palatino Linotype" w:cs="Tahoma"/>
          <w:bCs/>
          <w:iCs/>
          <w:sz w:val="22"/>
          <w:szCs w:val="22"/>
        </w:rPr>
        <w:t>ASÍ LO RESUELVE, POR </w:t>
      </w:r>
      <w:r w:rsidRPr="005D55DE">
        <w:rPr>
          <w:rFonts w:ascii="Palatino Linotype" w:hAnsi="Palatino Linotype" w:cs="Tahoma"/>
          <w:b/>
          <w:bCs/>
          <w:iCs/>
          <w:sz w:val="22"/>
          <w:szCs w:val="22"/>
        </w:rPr>
        <w:t>UNANIMIDAD</w:t>
      </w:r>
      <w:r w:rsidRPr="005D55DE">
        <w:rPr>
          <w:rFonts w:ascii="Palatino Linotype" w:hAnsi="Palatino Linotype" w:cs="Tahoma"/>
          <w:bCs/>
          <w:iCs/>
          <w:sz w:val="22"/>
          <w:szCs w:val="22"/>
        </w:rPr>
        <w:t>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w:t>
      </w:r>
      <w:r w:rsidR="005D55DE">
        <w:rPr>
          <w:rFonts w:ascii="Palatino Linotype" w:hAnsi="Palatino Linotype" w:cs="Tahoma"/>
          <w:bCs/>
          <w:iCs/>
          <w:sz w:val="22"/>
          <w:szCs w:val="22"/>
        </w:rPr>
        <w:t xml:space="preserve"> OCTAVA </w:t>
      </w:r>
      <w:r w:rsidRPr="005D55DE">
        <w:rPr>
          <w:rFonts w:ascii="Palatino Linotype" w:hAnsi="Palatino Linotype" w:cs="Tahoma"/>
          <w:bCs/>
          <w:iCs/>
          <w:sz w:val="22"/>
          <w:szCs w:val="22"/>
        </w:rPr>
        <w:t>SESIÓN ORDINARIA, CELEBRADA EL</w:t>
      </w:r>
      <w:r w:rsidR="00161C66" w:rsidRPr="005D55DE">
        <w:rPr>
          <w:rFonts w:ascii="Palatino Linotype" w:hAnsi="Palatino Linotype" w:cs="Tahoma"/>
          <w:bCs/>
          <w:iCs/>
          <w:sz w:val="22"/>
          <w:szCs w:val="22"/>
        </w:rPr>
        <w:t xml:space="preserve"> CINCO DE </w:t>
      </w:r>
      <w:r w:rsidR="005D55DE">
        <w:rPr>
          <w:rFonts w:ascii="Palatino Linotype" w:hAnsi="Palatino Linotype" w:cs="Tahoma"/>
          <w:bCs/>
          <w:iCs/>
          <w:sz w:val="22"/>
          <w:szCs w:val="22"/>
        </w:rPr>
        <w:t>MARZO</w:t>
      </w:r>
      <w:r w:rsidR="00161C66" w:rsidRPr="005D55DE">
        <w:rPr>
          <w:rFonts w:ascii="Palatino Linotype" w:hAnsi="Palatino Linotype" w:cs="Tahoma"/>
          <w:bCs/>
          <w:iCs/>
          <w:sz w:val="22"/>
          <w:szCs w:val="22"/>
        </w:rPr>
        <w:t xml:space="preserve"> DE DOS MIL VEINTISÉIS</w:t>
      </w:r>
      <w:r w:rsidRPr="005D55DE">
        <w:rPr>
          <w:rFonts w:ascii="Palatino Linotype" w:hAnsi="Palatino Linotype" w:cs="Tahoma"/>
          <w:bCs/>
          <w:iCs/>
          <w:sz w:val="22"/>
          <w:szCs w:val="22"/>
        </w:rPr>
        <w:t>, ANTE EL SECRETARIO TÉCNICO DEL PLENO, ALEXIS TAPIA RAMÍREZ.</w:t>
      </w:r>
    </w:p>
    <w:p w14:paraId="77CAFB09" w14:textId="77777777" w:rsidR="00FF7C33" w:rsidRPr="005D55DE" w:rsidRDefault="00FF7C33" w:rsidP="007911EC">
      <w:pPr>
        <w:spacing w:line="360" w:lineRule="auto"/>
        <w:jc w:val="both"/>
        <w:rPr>
          <w:rFonts w:ascii="Palatino Linotype" w:hAnsi="Palatino Linotype" w:cs="Tahoma"/>
          <w:bCs/>
          <w:iCs/>
          <w:sz w:val="22"/>
          <w:szCs w:val="22"/>
          <w:lang w:val="es-ES"/>
        </w:rPr>
      </w:pPr>
    </w:p>
    <w:p w14:paraId="70581F2D" w14:textId="77777777" w:rsidR="00FF7C33" w:rsidRPr="005D55DE" w:rsidRDefault="00FF7C33" w:rsidP="007911EC">
      <w:pPr>
        <w:spacing w:line="360" w:lineRule="auto"/>
        <w:jc w:val="both"/>
        <w:rPr>
          <w:rFonts w:ascii="Palatino Linotype" w:hAnsi="Palatino Linotype" w:cs="Tahoma"/>
          <w:bCs/>
          <w:iCs/>
          <w:sz w:val="22"/>
          <w:szCs w:val="22"/>
          <w:lang w:val="es-ES"/>
        </w:rPr>
      </w:pPr>
    </w:p>
    <w:p w14:paraId="43BAD9CC" w14:textId="77777777" w:rsidR="00FF7C33" w:rsidRPr="005D55DE" w:rsidRDefault="00FF7C33" w:rsidP="007911EC">
      <w:pPr>
        <w:spacing w:line="360" w:lineRule="auto"/>
        <w:jc w:val="both"/>
        <w:rPr>
          <w:rFonts w:ascii="Palatino Linotype" w:hAnsi="Palatino Linotype" w:cs="Tahoma"/>
          <w:bCs/>
          <w:iCs/>
          <w:sz w:val="22"/>
          <w:szCs w:val="22"/>
        </w:rPr>
      </w:pPr>
    </w:p>
    <w:p w14:paraId="50CDA20B" w14:textId="77777777" w:rsidR="00D50230" w:rsidRPr="005D55DE" w:rsidRDefault="00D50230" w:rsidP="007911EC">
      <w:pPr>
        <w:spacing w:line="360" w:lineRule="auto"/>
        <w:jc w:val="both"/>
        <w:rPr>
          <w:rFonts w:ascii="Palatino Linotype" w:hAnsi="Palatino Linotype" w:cs="Tahoma"/>
          <w:bCs/>
          <w:iCs/>
          <w:sz w:val="22"/>
          <w:szCs w:val="22"/>
        </w:rPr>
      </w:pPr>
    </w:p>
    <w:p w14:paraId="6DC56F2E" w14:textId="77777777" w:rsidR="005749CA" w:rsidRPr="005D55DE" w:rsidRDefault="005749CA" w:rsidP="007911EC">
      <w:pPr>
        <w:spacing w:line="360" w:lineRule="auto"/>
        <w:jc w:val="both"/>
        <w:rPr>
          <w:rFonts w:ascii="Palatino Linotype" w:hAnsi="Palatino Linotype" w:cs="Tahoma"/>
          <w:bCs/>
          <w:iCs/>
          <w:sz w:val="22"/>
          <w:szCs w:val="22"/>
        </w:rPr>
      </w:pPr>
    </w:p>
    <w:p w14:paraId="46969796" w14:textId="77777777" w:rsidR="006D789D" w:rsidRPr="005D55DE" w:rsidRDefault="006D789D" w:rsidP="007911EC">
      <w:pPr>
        <w:spacing w:line="360" w:lineRule="auto"/>
        <w:jc w:val="both"/>
        <w:rPr>
          <w:rFonts w:ascii="Palatino Linotype" w:hAnsi="Palatino Linotype" w:cs="Tahoma"/>
          <w:bCs/>
          <w:iCs/>
          <w:sz w:val="22"/>
          <w:szCs w:val="22"/>
        </w:rPr>
      </w:pPr>
    </w:p>
    <w:p w14:paraId="133B346F" w14:textId="77777777" w:rsidR="00822BC6" w:rsidRPr="005D55DE" w:rsidRDefault="00822BC6" w:rsidP="007911EC">
      <w:pPr>
        <w:spacing w:line="360" w:lineRule="auto"/>
        <w:jc w:val="both"/>
        <w:rPr>
          <w:rFonts w:ascii="Palatino Linotype" w:hAnsi="Palatino Linotype" w:cs="Tahoma"/>
          <w:iCs/>
          <w:sz w:val="22"/>
          <w:szCs w:val="22"/>
        </w:rPr>
      </w:pPr>
    </w:p>
    <w:p w14:paraId="699026C3" w14:textId="77777777" w:rsidR="00E716DD" w:rsidRPr="007C3AF1" w:rsidRDefault="00E716DD" w:rsidP="007911EC">
      <w:pPr>
        <w:spacing w:line="360" w:lineRule="auto"/>
        <w:jc w:val="both"/>
        <w:rPr>
          <w:rFonts w:ascii="Palatino Linotype" w:hAnsi="Palatino Linotype" w:cs="Tahoma"/>
          <w:b/>
          <w:bCs/>
          <w:iCs/>
          <w:color w:val="FF0000"/>
          <w:sz w:val="22"/>
          <w:szCs w:val="22"/>
        </w:rPr>
      </w:pPr>
    </w:p>
    <w:p w14:paraId="4783E35E" w14:textId="77777777" w:rsidR="00F93859" w:rsidRPr="007C3AF1" w:rsidRDefault="00F93859" w:rsidP="007911EC">
      <w:pPr>
        <w:spacing w:line="360" w:lineRule="auto"/>
        <w:contextualSpacing/>
        <w:jc w:val="both"/>
        <w:rPr>
          <w:rFonts w:ascii="Palatino Linotype" w:hAnsi="Palatino Linotype" w:cs="Tahoma"/>
          <w:bCs/>
          <w:color w:val="FF0000"/>
          <w:sz w:val="22"/>
          <w:szCs w:val="22"/>
          <w:lang w:val="es-ES"/>
        </w:rPr>
      </w:pPr>
    </w:p>
    <w:p w14:paraId="53216608" w14:textId="77777777" w:rsidR="00F93859" w:rsidRPr="007C3AF1" w:rsidRDefault="00F93859" w:rsidP="007911EC">
      <w:pPr>
        <w:spacing w:line="360" w:lineRule="auto"/>
        <w:contextualSpacing/>
        <w:jc w:val="both"/>
        <w:rPr>
          <w:rFonts w:ascii="Palatino Linotype" w:hAnsi="Palatino Linotype" w:cs="Tahoma"/>
          <w:bCs/>
          <w:color w:val="FF0000"/>
          <w:sz w:val="22"/>
          <w:szCs w:val="22"/>
          <w:lang w:val="es-ES"/>
        </w:rPr>
      </w:pPr>
    </w:p>
    <w:p w14:paraId="6FAB736C" w14:textId="77777777" w:rsidR="00395D7C" w:rsidRPr="007C3AF1" w:rsidRDefault="00395D7C" w:rsidP="007911EC">
      <w:pPr>
        <w:spacing w:line="360" w:lineRule="auto"/>
        <w:contextualSpacing/>
        <w:jc w:val="both"/>
        <w:rPr>
          <w:rFonts w:ascii="Palatino Linotype" w:hAnsi="Palatino Linotype" w:cs="Tahoma"/>
          <w:bCs/>
          <w:color w:val="FF0000"/>
          <w:sz w:val="22"/>
          <w:szCs w:val="22"/>
          <w:lang w:val="es-ES"/>
        </w:rPr>
      </w:pPr>
    </w:p>
    <w:p w14:paraId="4D7EF336" w14:textId="77777777" w:rsidR="00280E27" w:rsidRPr="007C3AF1" w:rsidRDefault="00280E27" w:rsidP="007911EC">
      <w:pPr>
        <w:spacing w:line="360" w:lineRule="auto"/>
        <w:ind w:right="-93"/>
        <w:contextualSpacing/>
        <w:jc w:val="both"/>
        <w:rPr>
          <w:rFonts w:ascii="Palatino Linotype" w:eastAsia="Calibri" w:hAnsi="Palatino Linotype" w:cs="Tahoma"/>
          <w:bCs/>
          <w:color w:val="FF0000"/>
          <w:sz w:val="22"/>
          <w:szCs w:val="22"/>
        </w:rPr>
      </w:pPr>
    </w:p>
    <w:p w14:paraId="25982E46" w14:textId="77777777" w:rsidR="00280E27" w:rsidRPr="007C3AF1" w:rsidRDefault="00280E27" w:rsidP="007911EC">
      <w:pPr>
        <w:spacing w:line="360" w:lineRule="auto"/>
        <w:contextualSpacing/>
        <w:jc w:val="both"/>
        <w:rPr>
          <w:rFonts w:ascii="Palatino Linotype" w:hAnsi="Palatino Linotype" w:cs="Tahoma"/>
          <w:bCs/>
          <w:color w:val="FF0000"/>
          <w:sz w:val="22"/>
          <w:szCs w:val="22"/>
        </w:rPr>
      </w:pPr>
    </w:p>
    <w:p w14:paraId="428CEF68" w14:textId="77777777" w:rsidR="00DA08C5" w:rsidRPr="007C3AF1" w:rsidRDefault="00DA08C5" w:rsidP="007911EC">
      <w:pPr>
        <w:spacing w:line="360" w:lineRule="auto"/>
        <w:jc w:val="both"/>
        <w:rPr>
          <w:rFonts w:ascii="Palatino Linotype" w:hAnsi="Palatino Linotype" w:cs="Tahoma"/>
          <w:bCs/>
          <w:color w:val="FF0000"/>
          <w:sz w:val="22"/>
          <w:lang w:val="es-ES"/>
        </w:rPr>
      </w:pPr>
    </w:p>
    <w:p w14:paraId="062D51E1" w14:textId="77777777" w:rsidR="004F3A02" w:rsidRPr="007C3AF1" w:rsidRDefault="004F3A02" w:rsidP="007911EC">
      <w:pPr>
        <w:spacing w:line="360" w:lineRule="auto"/>
        <w:rPr>
          <w:color w:val="FF0000"/>
        </w:rPr>
      </w:pPr>
    </w:p>
    <w:p w14:paraId="68834340" w14:textId="77777777" w:rsidR="00DA08C5" w:rsidRPr="007C3AF1" w:rsidRDefault="00DA08C5" w:rsidP="007911EC">
      <w:pPr>
        <w:spacing w:line="360" w:lineRule="auto"/>
        <w:rPr>
          <w:color w:val="FF0000"/>
        </w:rPr>
      </w:pPr>
    </w:p>
    <w:p w14:paraId="3F88FDBB" w14:textId="77777777" w:rsidR="00DA08C5" w:rsidRPr="007C3AF1" w:rsidRDefault="00DA08C5" w:rsidP="007911EC">
      <w:pPr>
        <w:spacing w:line="360" w:lineRule="auto"/>
        <w:rPr>
          <w:color w:val="FF0000"/>
        </w:rPr>
      </w:pPr>
    </w:p>
    <w:p w14:paraId="4FC344A4" w14:textId="77777777" w:rsidR="00DA08C5" w:rsidRPr="007C3AF1" w:rsidRDefault="00DA08C5" w:rsidP="007911EC">
      <w:pPr>
        <w:spacing w:line="360" w:lineRule="auto"/>
        <w:rPr>
          <w:color w:val="FF0000"/>
        </w:rPr>
      </w:pPr>
    </w:p>
    <w:p w14:paraId="0A14A6CF" w14:textId="77777777" w:rsidR="00DA08C5" w:rsidRPr="007C3AF1" w:rsidRDefault="00DA08C5" w:rsidP="007911EC">
      <w:pPr>
        <w:spacing w:line="360" w:lineRule="auto"/>
        <w:rPr>
          <w:color w:val="FF0000"/>
        </w:rPr>
      </w:pPr>
    </w:p>
    <w:p w14:paraId="744813CA" w14:textId="77777777" w:rsidR="004F3A02" w:rsidRPr="007C3AF1" w:rsidRDefault="004F3A02" w:rsidP="007911EC">
      <w:pPr>
        <w:spacing w:line="360" w:lineRule="auto"/>
        <w:jc w:val="both"/>
        <w:rPr>
          <w:rFonts w:ascii="Palatino Linotype" w:eastAsiaTheme="minorHAnsi" w:hAnsi="Palatino Linotype" w:cs="Tahoma"/>
          <w:bCs/>
          <w:color w:val="FF0000"/>
          <w:sz w:val="22"/>
          <w:szCs w:val="22"/>
          <w:lang w:val="es-ES_tradnl" w:eastAsia="es-MX"/>
        </w:rPr>
      </w:pPr>
    </w:p>
    <w:p w14:paraId="2665ED9A" w14:textId="77777777" w:rsidR="007934D0" w:rsidRPr="007C3AF1" w:rsidRDefault="007934D0" w:rsidP="007911EC">
      <w:pPr>
        <w:spacing w:line="360" w:lineRule="auto"/>
        <w:jc w:val="both"/>
        <w:rPr>
          <w:rFonts w:ascii="Palatino Linotype" w:eastAsiaTheme="minorHAnsi" w:hAnsi="Palatino Linotype" w:cs="Tahoma"/>
          <w:bCs/>
          <w:color w:val="FF0000"/>
          <w:sz w:val="22"/>
          <w:szCs w:val="22"/>
          <w:lang w:val="es-ES_tradnl" w:eastAsia="es-MX"/>
        </w:rPr>
      </w:pPr>
    </w:p>
    <w:sectPr w:rsidR="007934D0" w:rsidRPr="007C3AF1" w:rsidSect="00DB7E5F">
      <w:headerReference w:type="default" r:id="rId12"/>
      <w:footerReference w:type="default" r:id="rId13"/>
      <w:headerReference w:type="first" r:id="rId14"/>
      <w:footerReference w:type="first" r:id="rId15"/>
      <w:pgSz w:w="12240" w:h="15840"/>
      <w:pgMar w:top="80" w:right="1608" w:bottom="1418" w:left="1588" w:header="709" w:footer="91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7588E4" w14:textId="77777777" w:rsidR="00B56D85" w:rsidRDefault="00B56D85" w:rsidP="00B31222">
      <w:r>
        <w:separator/>
      </w:r>
    </w:p>
  </w:endnote>
  <w:endnote w:type="continuationSeparator" w:id="0">
    <w:p w14:paraId="71944409" w14:textId="77777777" w:rsidR="00B56D85" w:rsidRDefault="00B56D85" w:rsidP="00B31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6412018"/>
      <w:docPartObj>
        <w:docPartGallery w:val="Page Numbers (Bottom of Page)"/>
        <w:docPartUnique/>
      </w:docPartObj>
    </w:sdtPr>
    <w:sdtContent>
      <w:sdt>
        <w:sdtPr>
          <w:id w:val="-1769616900"/>
          <w:docPartObj>
            <w:docPartGallery w:val="Page Numbers (Top of Page)"/>
            <w:docPartUnique/>
          </w:docPartObj>
        </w:sdtPr>
        <w:sdtContent>
          <w:p w14:paraId="18CEBFF0" w14:textId="77777777" w:rsidR="005B6A2D" w:rsidRPr="00C13895" w:rsidRDefault="005B6A2D">
            <w:pPr>
              <w:pStyle w:val="Piedepgina"/>
              <w:jc w:val="right"/>
              <w:rPr>
                <w:sz w:val="26"/>
                <w:szCs w:val="26"/>
              </w:rPr>
            </w:pPr>
          </w:p>
          <w:p w14:paraId="4EA60772" w14:textId="77777777" w:rsidR="005B6A2D" w:rsidRDefault="005B6A2D">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13648D">
              <w:rPr>
                <w:b/>
                <w:bCs/>
                <w:noProof/>
              </w:rPr>
              <w:t>36</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13648D">
              <w:rPr>
                <w:b/>
                <w:bCs/>
                <w:noProof/>
              </w:rPr>
              <w:t>37</w:t>
            </w:r>
            <w:r>
              <w:rPr>
                <w:b/>
                <w:bCs/>
                <w:sz w:val="24"/>
                <w:szCs w:val="24"/>
              </w:rPr>
              <w:fldChar w:fldCharType="end"/>
            </w:r>
          </w:p>
        </w:sdtContent>
      </w:sdt>
    </w:sdtContent>
  </w:sdt>
  <w:p w14:paraId="52786F2A" w14:textId="77777777" w:rsidR="005B6A2D" w:rsidRDefault="005B6A2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9767700"/>
      <w:docPartObj>
        <w:docPartGallery w:val="Page Numbers (Bottom of Page)"/>
        <w:docPartUnique/>
      </w:docPartObj>
    </w:sdtPr>
    <w:sdtContent>
      <w:sdt>
        <w:sdtPr>
          <w:id w:val="315386424"/>
          <w:docPartObj>
            <w:docPartGallery w:val="Page Numbers (Top of Page)"/>
            <w:docPartUnique/>
          </w:docPartObj>
        </w:sdtPr>
        <w:sdtContent>
          <w:p w14:paraId="59E12402" w14:textId="77777777" w:rsidR="005B6A2D" w:rsidRDefault="005B6A2D">
            <w:pPr>
              <w:pStyle w:val="Piedepgina"/>
              <w:jc w:val="right"/>
            </w:pPr>
          </w:p>
          <w:p w14:paraId="2D2F5338" w14:textId="77777777" w:rsidR="005B6A2D" w:rsidRDefault="005B6A2D">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13648D">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13648D">
              <w:rPr>
                <w:b/>
                <w:bCs/>
                <w:noProof/>
              </w:rPr>
              <w:t>37</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DF39F0" w14:textId="77777777" w:rsidR="00B56D85" w:rsidRDefault="00B56D85" w:rsidP="00B31222">
      <w:r>
        <w:separator/>
      </w:r>
    </w:p>
  </w:footnote>
  <w:footnote w:type="continuationSeparator" w:id="0">
    <w:p w14:paraId="4836690A" w14:textId="77777777" w:rsidR="00B56D85" w:rsidRDefault="00B56D85" w:rsidP="00B31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222" w:type="dxa"/>
      <w:tblInd w:w="2552" w:type="dxa"/>
      <w:tblLayout w:type="fixed"/>
      <w:tblLook w:val="04A0" w:firstRow="1" w:lastRow="0" w:firstColumn="1" w:lastColumn="0" w:noHBand="0" w:noVBand="1"/>
    </w:tblPr>
    <w:tblGrid>
      <w:gridCol w:w="8222"/>
    </w:tblGrid>
    <w:tr w:rsidR="005B6A2D" w:rsidRPr="005C106F" w14:paraId="50E888ED" w14:textId="77777777" w:rsidTr="00895942">
      <w:trPr>
        <w:trHeight w:val="1412"/>
      </w:trPr>
      <w:tc>
        <w:tcPr>
          <w:tcW w:w="8222" w:type="dxa"/>
          <w:shd w:val="clear" w:color="auto" w:fill="auto"/>
        </w:tcPr>
        <w:p w14:paraId="5FD2F9E6" w14:textId="77777777" w:rsidR="002464DA" w:rsidRDefault="002464DA"/>
        <w:tbl>
          <w:tblPr>
            <w:tblStyle w:val="Tablaconcuadrcula"/>
            <w:tblW w:w="6701" w:type="dxa"/>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552"/>
            <w:gridCol w:w="4149"/>
          </w:tblGrid>
          <w:tr w:rsidR="005B6A2D" w14:paraId="401FF1E4" w14:textId="77777777" w:rsidTr="00A90989">
            <w:trPr>
              <w:trHeight w:val="144"/>
            </w:trPr>
            <w:tc>
              <w:tcPr>
                <w:tcW w:w="2552" w:type="dxa"/>
              </w:tcPr>
              <w:p w14:paraId="2FAA5A5D" w14:textId="77777777" w:rsidR="005B6A2D" w:rsidRPr="00026EBB" w:rsidRDefault="005B6A2D" w:rsidP="009C44AA">
                <w:pPr>
                  <w:tabs>
                    <w:tab w:val="left" w:pos="1735"/>
                    <w:tab w:val="right" w:pos="8838"/>
                  </w:tabs>
                  <w:spacing w:line="276" w:lineRule="auto"/>
                  <w:ind w:left="-28"/>
                  <w:jc w:val="both"/>
                  <w:rPr>
                    <w:rFonts w:ascii="Palatino Linotype" w:eastAsia="Calibri" w:hAnsi="Palatino Linotype" w:cs="Tahoma"/>
                    <w:b/>
                    <w:sz w:val="22"/>
                    <w:szCs w:val="22"/>
                    <w:lang w:val="es-MX" w:eastAsia="en-US"/>
                  </w:rPr>
                </w:pPr>
                <w:r w:rsidRPr="00026EBB">
                  <w:rPr>
                    <w:rFonts w:ascii="Palatino Linotype" w:eastAsia="Calibri" w:hAnsi="Palatino Linotype" w:cs="Tahoma"/>
                    <w:b/>
                    <w:sz w:val="22"/>
                    <w:szCs w:val="22"/>
                    <w:lang w:val="es-MX" w:eastAsia="en-US"/>
                  </w:rPr>
                  <w:t>Recurso de Revisión:</w:t>
                </w:r>
              </w:p>
            </w:tc>
            <w:tc>
              <w:tcPr>
                <w:tcW w:w="4149" w:type="dxa"/>
              </w:tcPr>
              <w:p w14:paraId="35595BB5" w14:textId="328A2E49" w:rsidR="005B6A2D" w:rsidRPr="009C44AA" w:rsidRDefault="007C3AF1" w:rsidP="009C44AA">
                <w:pPr>
                  <w:tabs>
                    <w:tab w:val="left" w:pos="1735"/>
                    <w:tab w:val="right" w:pos="8838"/>
                  </w:tabs>
                  <w:spacing w:line="276" w:lineRule="auto"/>
                  <w:ind w:left="-28"/>
                  <w:jc w:val="both"/>
                  <w:rPr>
                    <w:rFonts w:ascii="Palatino Linotype" w:eastAsia="Calibri" w:hAnsi="Palatino Linotype" w:cs="Tahoma"/>
                    <w:bCs/>
                    <w:sz w:val="22"/>
                    <w:szCs w:val="22"/>
                    <w:lang w:val="es-MX" w:eastAsia="en-US"/>
                  </w:rPr>
                </w:pPr>
                <w:r>
                  <w:rPr>
                    <w:rFonts w:ascii="Palatino Linotype" w:eastAsia="Calibri" w:hAnsi="Palatino Linotype" w:cs="Tahoma"/>
                    <w:sz w:val="22"/>
                    <w:szCs w:val="22"/>
                    <w:lang w:eastAsia="en-US"/>
                  </w:rPr>
                  <w:t>01151</w:t>
                </w:r>
                <w:r w:rsidR="007934D0" w:rsidRPr="007934D0">
                  <w:rPr>
                    <w:rFonts w:ascii="Palatino Linotype" w:eastAsia="Calibri" w:hAnsi="Palatino Linotype" w:cs="Tahoma"/>
                    <w:sz w:val="22"/>
                    <w:szCs w:val="22"/>
                    <w:lang w:eastAsia="en-US"/>
                  </w:rPr>
                  <w:t>/INFOEM/IP/RR/202</w:t>
                </w:r>
                <w:r>
                  <w:rPr>
                    <w:rFonts w:ascii="Palatino Linotype" w:eastAsia="Calibri" w:hAnsi="Palatino Linotype" w:cs="Tahoma"/>
                    <w:sz w:val="22"/>
                    <w:szCs w:val="22"/>
                    <w:lang w:eastAsia="en-US"/>
                  </w:rPr>
                  <w:t>6</w:t>
                </w:r>
              </w:p>
            </w:tc>
          </w:tr>
          <w:tr w:rsidR="005B6A2D" w14:paraId="6B793921" w14:textId="77777777" w:rsidTr="00A90989">
            <w:trPr>
              <w:trHeight w:val="144"/>
            </w:trPr>
            <w:tc>
              <w:tcPr>
                <w:tcW w:w="2552" w:type="dxa"/>
              </w:tcPr>
              <w:p w14:paraId="248F8814" w14:textId="77777777" w:rsidR="005B6A2D" w:rsidRPr="00026EBB" w:rsidRDefault="005B6A2D" w:rsidP="009C44AA">
                <w:pPr>
                  <w:tabs>
                    <w:tab w:val="left" w:pos="1735"/>
                    <w:tab w:val="right" w:pos="8838"/>
                  </w:tabs>
                  <w:spacing w:line="276" w:lineRule="auto"/>
                  <w:ind w:left="-28"/>
                  <w:jc w:val="both"/>
                  <w:rPr>
                    <w:rFonts w:ascii="Palatino Linotype" w:eastAsia="Calibri" w:hAnsi="Palatino Linotype" w:cs="Tahoma"/>
                    <w:b/>
                    <w:sz w:val="22"/>
                    <w:szCs w:val="22"/>
                    <w:lang w:val="es-MX" w:eastAsia="en-US"/>
                  </w:rPr>
                </w:pPr>
                <w:r w:rsidRPr="00026EBB">
                  <w:rPr>
                    <w:rFonts w:ascii="Palatino Linotype" w:eastAsia="Calibri" w:hAnsi="Palatino Linotype" w:cs="Tahoma"/>
                    <w:b/>
                    <w:sz w:val="22"/>
                    <w:szCs w:val="22"/>
                    <w:lang w:val="es-MX" w:eastAsia="en-US"/>
                  </w:rPr>
                  <w:t>Sujeto Obligado:</w:t>
                </w:r>
              </w:p>
            </w:tc>
            <w:tc>
              <w:tcPr>
                <w:tcW w:w="4149" w:type="dxa"/>
              </w:tcPr>
              <w:p w14:paraId="0F0F4B28" w14:textId="77777777" w:rsidR="007C3AF1" w:rsidRDefault="007C3AF1" w:rsidP="007C3AF1">
                <w:pPr>
                  <w:tabs>
                    <w:tab w:val="right" w:pos="8838"/>
                  </w:tabs>
                  <w:spacing w:line="276" w:lineRule="auto"/>
                  <w:ind w:right="-246"/>
                  <w:jc w:val="both"/>
                  <w:rPr>
                    <w:rFonts w:ascii="Palatino Linotype" w:eastAsia="Calibri" w:hAnsi="Palatino Linotype" w:cs="Tahoma"/>
                    <w:sz w:val="22"/>
                    <w:szCs w:val="22"/>
                    <w:lang w:eastAsia="en-US"/>
                  </w:rPr>
                </w:pPr>
                <w:r w:rsidRPr="007934D0">
                  <w:rPr>
                    <w:rFonts w:ascii="Palatino Linotype" w:eastAsia="Calibri" w:hAnsi="Palatino Linotype" w:cs="Tahoma"/>
                    <w:sz w:val="22"/>
                    <w:szCs w:val="22"/>
                    <w:lang w:eastAsia="en-US"/>
                  </w:rPr>
                  <w:t>Ayuntamiento de</w:t>
                </w:r>
                <w:r>
                  <w:rPr>
                    <w:rFonts w:ascii="Palatino Linotype" w:eastAsia="Calibri" w:hAnsi="Palatino Linotype" w:cs="Tahoma"/>
                    <w:sz w:val="22"/>
                    <w:szCs w:val="22"/>
                    <w:lang w:eastAsia="en-US"/>
                  </w:rPr>
                  <w:t xml:space="preserve"> Valle de </w:t>
                </w:r>
              </w:p>
              <w:p w14:paraId="31642F59" w14:textId="58C2E89D" w:rsidR="005B6A2D" w:rsidRPr="009C44AA" w:rsidRDefault="007C3AF1" w:rsidP="007C3AF1">
                <w:pPr>
                  <w:tabs>
                    <w:tab w:val="left" w:pos="1735"/>
                    <w:tab w:val="right" w:pos="8838"/>
                  </w:tabs>
                  <w:spacing w:line="276" w:lineRule="auto"/>
                  <w:ind w:left="-28"/>
                  <w:jc w:val="both"/>
                  <w:rPr>
                    <w:rFonts w:ascii="Palatino Linotype" w:eastAsia="Calibri" w:hAnsi="Palatino Linotype" w:cs="Tahoma"/>
                    <w:bCs/>
                    <w:sz w:val="22"/>
                    <w:szCs w:val="22"/>
                    <w:lang w:val="es-MX" w:eastAsia="en-US"/>
                  </w:rPr>
                </w:pPr>
                <w:r>
                  <w:rPr>
                    <w:rFonts w:ascii="Palatino Linotype" w:eastAsia="Calibri" w:hAnsi="Palatino Linotype" w:cs="Tahoma"/>
                    <w:sz w:val="22"/>
                    <w:szCs w:val="22"/>
                    <w:lang w:eastAsia="en-US"/>
                  </w:rPr>
                  <w:t>Chalco Solidaridad</w:t>
                </w:r>
              </w:p>
            </w:tc>
          </w:tr>
          <w:tr w:rsidR="005B6A2D" w14:paraId="5F57F04A" w14:textId="77777777" w:rsidTr="00A90989">
            <w:trPr>
              <w:trHeight w:val="138"/>
            </w:trPr>
            <w:tc>
              <w:tcPr>
                <w:tcW w:w="2552" w:type="dxa"/>
              </w:tcPr>
              <w:p w14:paraId="249191FD" w14:textId="77777777" w:rsidR="005B6A2D" w:rsidRPr="00026EBB" w:rsidRDefault="005B6A2D" w:rsidP="009C44AA">
                <w:pPr>
                  <w:tabs>
                    <w:tab w:val="left" w:pos="1735"/>
                    <w:tab w:val="right" w:pos="8838"/>
                  </w:tabs>
                  <w:spacing w:line="276" w:lineRule="auto"/>
                  <w:ind w:left="-28"/>
                  <w:jc w:val="both"/>
                  <w:rPr>
                    <w:rFonts w:ascii="Palatino Linotype" w:eastAsia="Calibri" w:hAnsi="Palatino Linotype" w:cs="Tahoma"/>
                    <w:b/>
                    <w:sz w:val="22"/>
                    <w:szCs w:val="22"/>
                    <w:lang w:val="es-MX" w:eastAsia="en-US"/>
                  </w:rPr>
                </w:pPr>
                <w:r w:rsidRPr="00026EBB">
                  <w:rPr>
                    <w:rFonts w:ascii="Palatino Linotype" w:eastAsia="Calibri" w:hAnsi="Palatino Linotype" w:cs="Tahoma"/>
                    <w:b/>
                    <w:sz w:val="22"/>
                    <w:szCs w:val="22"/>
                    <w:lang w:val="es-MX" w:eastAsia="en-US"/>
                  </w:rPr>
                  <w:t>Comisionado Ponente:</w:t>
                </w:r>
              </w:p>
            </w:tc>
            <w:tc>
              <w:tcPr>
                <w:tcW w:w="4149" w:type="dxa"/>
              </w:tcPr>
              <w:p w14:paraId="7F9A5911" w14:textId="6669DDD6" w:rsidR="005B6A2D" w:rsidRPr="009C44AA" w:rsidRDefault="005B6A2D" w:rsidP="00A90989">
                <w:pPr>
                  <w:tabs>
                    <w:tab w:val="left" w:pos="1735"/>
                    <w:tab w:val="right" w:pos="8838"/>
                  </w:tabs>
                  <w:spacing w:line="276" w:lineRule="auto"/>
                  <w:ind w:left="-28"/>
                  <w:jc w:val="both"/>
                  <w:rPr>
                    <w:rFonts w:ascii="Palatino Linotype" w:eastAsia="Calibri" w:hAnsi="Palatino Linotype" w:cs="Tahoma"/>
                    <w:bCs/>
                    <w:sz w:val="22"/>
                    <w:szCs w:val="22"/>
                    <w:lang w:val="es-MX" w:eastAsia="en-US"/>
                  </w:rPr>
                </w:pPr>
                <w:r w:rsidRPr="009C44AA">
                  <w:rPr>
                    <w:rFonts w:ascii="Palatino Linotype" w:eastAsia="Calibri" w:hAnsi="Palatino Linotype" w:cs="Tahoma"/>
                    <w:bCs/>
                    <w:sz w:val="22"/>
                    <w:szCs w:val="22"/>
                    <w:lang w:val="es-MX" w:eastAsia="en-US"/>
                  </w:rPr>
                  <w:t>Luis Gustavo Parra Noriega</w:t>
                </w:r>
              </w:p>
            </w:tc>
          </w:tr>
        </w:tbl>
        <w:p w14:paraId="750160B9" w14:textId="77777777" w:rsidR="005B6A2D" w:rsidRPr="005C106F" w:rsidRDefault="005B6A2D" w:rsidP="005743D2">
          <w:pPr>
            <w:tabs>
              <w:tab w:val="right" w:pos="8838"/>
            </w:tabs>
            <w:ind w:left="-28"/>
            <w:jc w:val="both"/>
            <w:rPr>
              <w:rFonts w:ascii="Arial" w:eastAsia="Calibri" w:hAnsi="Arial" w:cs="Arial"/>
              <w:b/>
              <w:sz w:val="22"/>
              <w:szCs w:val="22"/>
              <w:lang w:eastAsia="en-US"/>
            </w:rPr>
          </w:pPr>
        </w:p>
      </w:tc>
    </w:tr>
  </w:tbl>
  <w:p w14:paraId="03D9BF59" w14:textId="4D62241B" w:rsidR="005B6A2D" w:rsidRDefault="00000000" w:rsidP="000930AE">
    <w:pPr>
      <w:pStyle w:val="Encabezado"/>
      <w:rPr>
        <w:sz w:val="14"/>
      </w:rPr>
    </w:pPr>
    <w:r>
      <w:rPr>
        <w:rFonts w:ascii="Garamond" w:eastAsia="Calibri" w:hAnsi="Garamond"/>
        <w:noProof/>
        <w:sz w:val="16"/>
        <w:szCs w:val="16"/>
        <w:lang w:eastAsia="es-MX"/>
      </w:rPr>
      <w:pict w14:anchorId="49181E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MARCA DE AGUA - HOJA RESOLUCIÓN" style="position:absolute;margin-left:-74.15pt;margin-top:-128.5pt;width:663.5pt;height:12in;z-index:-251657216;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84F17" w14:textId="0A90E6D4" w:rsidR="005B6A2D" w:rsidRDefault="00000000">
    <w:r>
      <w:rPr>
        <w:rFonts w:ascii="Palatino Linotype" w:eastAsia="Calibri" w:hAnsi="Palatino Linotype" w:cs="Tahoma"/>
        <w:b/>
        <w:noProof/>
        <w:sz w:val="22"/>
        <w:szCs w:val="22"/>
        <w:lang w:eastAsia="es-MX"/>
      </w:rPr>
      <w:pict w14:anchorId="419BD9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9273984" o:spid="_x0000_s1025" type="#_x0000_t75" alt="MARCA DE AGUA - HOJA RESOLUCIÓN" style="position:absolute;margin-left:-79.7pt;margin-top:-124.7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tbl>
    <w:tblPr>
      <w:tblStyle w:val="Tablaconcuadrcula"/>
      <w:tblpPr w:leftFromText="141" w:rightFromText="141" w:vertAnchor="page" w:horzAnchor="margin" w:tblpY="556"/>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3828"/>
      <w:gridCol w:w="2405"/>
      <w:gridCol w:w="4257"/>
    </w:tblGrid>
    <w:tr w:rsidR="005B6A2D" w:rsidRPr="00264223" w14:paraId="47FE01F0" w14:textId="77777777" w:rsidTr="00B36642">
      <w:trPr>
        <w:trHeight w:val="466"/>
      </w:trPr>
      <w:tc>
        <w:tcPr>
          <w:tcW w:w="3828" w:type="dxa"/>
          <w:vAlign w:val="bottom"/>
        </w:tcPr>
        <w:p w14:paraId="797F08EF" w14:textId="77777777" w:rsidR="005B6A2D" w:rsidRPr="00026EBB" w:rsidRDefault="005B6A2D" w:rsidP="00913B76">
          <w:pPr>
            <w:tabs>
              <w:tab w:val="right" w:pos="8838"/>
            </w:tabs>
            <w:ind w:right="-105"/>
            <w:rPr>
              <w:rFonts w:ascii="Palatino Linotype" w:eastAsia="Calibri" w:hAnsi="Palatino Linotype" w:cs="Tahoma"/>
              <w:b/>
              <w:sz w:val="22"/>
              <w:szCs w:val="22"/>
              <w:lang w:val="es-MX" w:eastAsia="en-US"/>
            </w:rPr>
          </w:pPr>
        </w:p>
      </w:tc>
      <w:tc>
        <w:tcPr>
          <w:tcW w:w="2405" w:type="dxa"/>
          <w:vAlign w:val="bottom"/>
        </w:tcPr>
        <w:p w14:paraId="1986A207" w14:textId="77777777" w:rsidR="005B6A2D" w:rsidRPr="0091633A" w:rsidRDefault="005B6A2D" w:rsidP="00F82637">
          <w:pPr>
            <w:tabs>
              <w:tab w:val="left" w:pos="1735"/>
              <w:tab w:val="right" w:pos="8838"/>
            </w:tabs>
            <w:spacing w:line="276" w:lineRule="auto"/>
            <w:ind w:left="-28"/>
            <w:jc w:val="both"/>
            <w:rPr>
              <w:rFonts w:ascii="Palatino Linotype" w:eastAsia="Calibri" w:hAnsi="Palatino Linotype" w:cs="Tahoma"/>
              <w:b/>
              <w:bCs/>
              <w:sz w:val="22"/>
              <w:szCs w:val="22"/>
              <w:lang w:eastAsia="en-US"/>
            </w:rPr>
          </w:pPr>
          <w:r w:rsidRPr="00026EBB">
            <w:rPr>
              <w:rFonts w:ascii="Palatino Linotype" w:eastAsia="Calibri" w:hAnsi="Palatino Linotype" w:cs="Tahoma"/>
              <w:b/>
              <w:sz w:val="22"/>
              <w:szCs w:val="22"/>
              <w:lang w:val="es-MX" w:eastAsia="en-US"/>
            </w:rPr>
            <w:t>Recurso de Revisión:</w:t>
          </w:r>
        </w:p>
      </w:tc>
      <w:tc>
        <w:tcPr>
          <w:tcW w:w="4257" w:type="dxa"/>
          <w:vAlign w:val="bottom"/>
        </w:tcPr>
        <w:p w14:paraId="5D029AEB" w14:textId="29F111F3" w:rsidR="005B6A2D" w:rsidRPr="00A404EA" w:rsidRDefault="007C3AF1" w:rsidP="007934D0">
          <w:pPr>
            <w:tabs>
              <w:tab w:val="right" w:pos="8838"/>
            </w:tabs>
            <w:spacing w:line="276" w:lineRule="auto"/>
            <w:ind w:right="-246"/>
            <w:jc w:val="both"/>
            <w:rPr>
              <w:rFonts w:ascii="Palatino Linotype" w:eastAsia="Calibri" w:hAnsi="Palatino Linotype" w:cs="Tahoma"/>
              <w:sz w:val="22"/>
              <w:szCs w:val="22"/>
              <w:lang w:eastAsia="en-US"/>
            </w:rPr>
          </w:pPr>
          <w:r w:rsidRPr="007C3AF1">
            <w:rPr>
              <w:rFonts w:ascii="Palatino Linotype" w:eastAsia="Calibri" w:hAnsi="Palatino Linotype" w:cs="Tahoma"/>
              <w:sz w:val="22"/>
              <w:szCs w:val="22"/>
              <w:lang w:eastAsia="en-US"/>
            </w:rPr>
            <w:t>01151/INFOEM/IP/RR/2026</w:t>
          </w:r>
        </w:p>
      </w:tc>
    </w:tr>
    <w:tr w:rsidR="005B6A2D" w:rsidRPr="00264223" w14:paraId="3B115A83" w14:textId="77777777" w:rsidTr="00B36642">
      <w:trPr>
        <w:trHeight w:val="119"/>
      </w:trPr>
      <w:tc>
        <w:tcPr>
          <w:tcW w:w="3828" w:type="dxa"/>
        </w:tcPr>
        <w:p w14:paraId="769D227C" w14:textId="77777777" w:rsidR="005B6A2D" w:rsidRPr="00026EBB" w:rsidRDefault="005B6A2D" w:rsidP="00913B76">
          <w:pPr>
            <w:tabs>
              <w:tab w:val="right" w:pos="8838"/>
            </w:tabs>
            <w:ind w:right="-105"/>
            <w:rPr>
              <w:rFonts w:ascii="Palatino Linotype" w:eastAsia="Calibri" w:hAnsi="Palatino Linotype" w:cs="Tahoma"/>
              <w:b/>
              <w:sz w:val="22"/>
              <w:szCs w:val="22"/>
              <w:lang w:val="es-MX" w:eastAsia="en-US"/>
            </w:rPr>
          </w:pPr>
        </w:p>
      </w:tc>
      <w:tc>
        <w:tcPr>
          <w:tcW w:w="2405" w:type="dxa"/>
        </w:tcPr>
        <w:p w14:paraId="0540E823" w14:textId="77777777" w:rsidR="005B6A2D" w:rsidRPr="00026EBB" w:rsidRDefault="005B6A2D" w:rsidP="00F82637">
          <w:pPr>
            <w:tabs>
              <w:tab w:val="right" w:pos="8838"/>
            </w:tabs>
            <w:spacing w:line="276" w:lineRule="auto"/>
            <w:ind w:right="171"/>
            <w:jc w:val="both"/>
            <w:rPr>
              <w:rFonts w:ascii="Palatino Linotype" w:eastAsia="Calibri" w:hAnsi="Palatino Linotype" w:cs="Tahoma"/>
              <w:sz w:val="22"/>
              <w:szCs w:val="22"/>
              <w:lang w:val="es-MX" w:eastAsia="en-US"/>
            </w:rPr>
          </w:pPr>
          <w:r w:rsidRPr="00026EBB">
            <w:rPr>
              <w:rFonts w:ascii="Palatino Linotype" w:eastAsia="Calibri" w:hAnsi="Palatino Linotype" w:cs="Tahoma"/>
              <w:b/>
              <w:sz w:val="22"/>
              <w:szCs w:val="22"/>
              <w:lang w:val="es-MX" w:eastAsia="en-US"/>
            </w:rPr>
            <w:t>Recurrente:</w:t>
          </w:r>
        </w:p>
      </w:tc>
      <w:tc>
        <w:tcPr>
          <w:tcW w:w="4257" w:type="dxa"/>
        </w:tcPr>
        <w:p w14:paraId="26162836" w14:textId="53ECE1F9" w:rsidR="005B6A2D" w:rsidRPr="00474ED7" w:rsidRDefault="00AE49A4" w:rsidP="00765288">
          <w:pPr>
            <w:tabs>
              <w:tab w:val="right" w:pos="8838"/>
            </w:tabs>
            <w:spacing w:line="276" w:lineRule="auto"/>
            <w:ind w:right="-246"/>
            <w:jc w:val="both"/>
            <w:rPr>
              <w:rFonts w:ascii="Palatino Linotype" w:eastAsia="Calibri" w:hAnsi="Palatino Linotype" w:cs="Tahoma"/>
              <w:sz w:val="22"/>
              <w:szCs w:val="22"/>
              <w:lang w:eastAsia="en-US"/>
            </w:rPr>
          </w:pPr>
          <w:r w:rsidRPr="00AE49A4">
            <w:rPr>
              <w:rFonts w:ascii="Palatino Linotype" w:eastAsia="Calibri" w:hAnsi="Palatino Linotype" w:cs="Tahoma"/>
              <w:sz w:val="22"/>
              <w:szCs w:val="22"/>
              <w:highlight w:val="black"/>
              <w:lang w:eastAsia="en-US"/>
            </w:rPr>
            <w:t>XXXXXX</w:t>
          </w:r>
        </w:p>
      </w:tc>
    </w:tr>
    <w:tr w:rsidR="005B6A2D" w:rsidRPr="00264223" w14:paraId="111B16D3" w14:textId="77777777" w:rsidTr="00B36642">
      <w:trPr>
        <w:trHeight w:val="234"/>
      </w:trPr>
      <w:tc>
        <w:tcPr>
          <w:tcW w:w="3828" w:type="dxa"/>
        </w:tcPr>
        <w:p w14:paraId="23CA2497" w14:textId="2D869CFF" w:rsidR="005B6A2D" w:rsidRPr="00026EBB" w:rsidRDefault="005B6A2D" w:rsidP="00913B76">
          <w:pPr>
            <w:tabs>
              <w:tab w:val="right" w:pos="8838"/>
            </w:tabs>
            <w:ind w:right="-105"/>
            <w:rPr>
              <w:rFonts w:ascii="Palatino Linotype" w:eastAsia="Calibri" w:hAnsi="Palatino Linotype" w:cs="Tahoma"/>
              <w:b/>
              <w:sz w:val="22"/>
              <w:szCs w:val="22"/>
              <w:lang w:val="es-MX" w:eastAsia="en-US"/>
            </w:rPr>
          </w:pPr>
        </w:p>
      </w:tc>
      <w:tc>
        <w:tcPr>
          <w:tcW w:w="2405" w:type="dxa"/>
        </w:tcPr>
        <w:p w14:paraId="1CEA75E5" w14:textId="77777777" w:rsidR="005B6A2D" w:rsidRPr="00026EBB" w:rsidRDefault="005B6A2D" w:rsidP="00F82637">
          <w:pPr>
            <w:tabs>
              <w:tab w:val="right" w:pos="8838"/>
            </w:tabs>
            <w:spacing w:line="276" w:lineRule="auto"/>
            <w:ind w:right="171"/>
            <w:jc w:val="both"/>
            <w:rPr>
              <w:rFonts w:ascii="Palatino Linotype" w:eastAsia="Calibri" w:hAnsi="Palatino Linotype" w:cs="Tahoma"/>
              <w:b/>
              <w:sz w:val="22"/>
              <w:szCs w:val="22"/>
              <w:lang w:val="es-MX" w:eastAsia="en-US"/>
            </w:rPr>
          </w:pPr>
          <w:r w:rsidRPr="00026EBB">
            <w:rPr>
              <w:rFonts w:ascii="Palatino Linotype" w:eastAsia="Calibri" w:hAnsi="Palatino Linotype" w:cs="Tahoma"/>
              <w:b/>
              <w:sz w:val="22"/>
              <w:szCs w:val="22"/>
              <w:lang w:val="es-MX" w:eastAsia="en-US"/>
            </w:rPr>
            <w:t>Sujeto Obligado:</w:t>
          </w:r>
        </w:p>
      </w:tc>
      <w:tc>
        <w:tcPr>
          <w:tcW w:w="4257" w:type="dxa"/>
        </w:tcPr>
        <w:p w14:paraId="5439595D" w14:textId="77777777" w:rsidR="007C3AF1" w:rsidRDefault="007934D0" w:rsidP="007934D0">
          <w:pPr>
            <w:tabs>
              <w:tab w:val="right" w:pos="8838"/>
            </w:tabs>
            <w:spacing w:line="276" w:lineRule="auto"/>
            <w:ind w:right="-246"/>
            <w:jc w:val="both"/>
            <w:rPr>
              <w:rFonts w:ascii="Palatino Linotype" w:eastAsia="Calibri" w:hAnsi="Palatino Linotype" w:cs="Tahoma"/>
              <w:sz w:val="22"/>
              <w:szCs w:val="22"/>
              <w:lang w:eastAsia="en-US"/>
            </w:rPr>
          </w:pPr>
          <w:r w:rsidRPr="007934D0">
            <w:rPr>
              <w:rFonts w:ascii="Palatino Linotype" w:eastAsia="Calibri" w:hAnsi="Palatino Linotype" w:cs="Tahoma"/>
              <w:sz w:val="22"/>
              <w:szCs w:val="22"/>
              <w:lang w:eastAsia="en-US"/>
            </w:rPr>
            <w:t>Ayuntamiento de</w:t>
          </w:r>
          <w:r w:rsidR="007C3AF1">
            <w:rPr>
              <w:rFonts w:ascii="Palatino Linotype" w:eastAsia="Calibri" w:hAnsi="Palatino Linotype" w:cs="Tahoma"/>
              <w:sz w:val="22"/>
              <w:szCs w:val="22"/>
              <w:lang w:eastAsia="en-US"/>
            </w:rPr>
            <w:t xml:space="preserve"> Valle de </w:t>
          </w:r>
        </w:p>
        <w:p w14:paraId="69B99F24" w14:textId="56BAB833" w:rsidR="005B6A2D" w:rsidRPr="00E07AF1" w:rsidRDefault="007C3AF1" w:rsidP="007934D0">
          <w:pPr>
            <w:tabs>
              <w:tab w:val="right" w:pos="8838"/>
            </w:tabs>
            <w:spacing w:line="276" w:lineRule="auto"/>
            <w:ind w:right="-246"/>
            <w:jc w:val="both"/>
            <w:rPr>
              <w:rFonts w:ascii="Palatino Linotype" w:eastAsia="Calibri" w:hAnsi="Palatino Linotype" w:cs="Tahoma"/>
              <w:sz w:val="22"/>
              <w:szCs w:val="22"/>
              <w:lang w:eastAsia="en-US"/>
            </w:rPr>
          </w:pPr>
          <w:r>
            <w:rPr>
              <w:rFonts w:ascii="Palatino Linotype" w:eastAsia="Calibri" w:hAnsi="Palatino Linotype" w:cs="Tahoma"/>
              <w:sz w:val="22"/>
              <w:szCs w:val="22"/>
              <w:lang w:eastAsia="en-US"/>
            </w:rPr>
            <w:t>Chalco Solidaridad</w:t>
          </w:r>
        </w:p>
      </w:tc>
    </w:tr>
    <w:tr w:rsidR="005B6A2D" w:rsidRPr="00264223" w14:paraId="69512480" w14:textId="77777777" w:rsidTr="00B36642">
      <w:trPr>
        <w:trHeight w:val="234"/>
      </w:trPr>
      <w:tc>
        <w:tcPr>
          <w:tcW w:w="3828" w:type="dxa"/>
        </w:tcPr>
        <w:p w14:paraId="574761F6" w14:textId="77777777" w:rsidR="005B6A2D" w:rsidRPr="00026EBB" w:rsidRDefault="005B6A2D" w:rsidP="00913B76">
          <w:pPr>
            <w:tabs>
              <w:tab w:val="right" w:pos="8838"/>
            </w:tabs>
            <w:ind w:right="-105"/>
            <w:rPr>
              <w:rFonts w:ascii="Palatino Linotype" w:eastAsia="Calibri" w:hAnsi="Palatino Linotype" w:cs="Tahoma"/>
              <w:b/>
              <w:sz w:val="22"/>
              <w:szCs w:val="22"/>
              <w:lang w:val="es-MX" w:eastAsia="en-US"/>
            </w:rPr>
          </w:pPr>
        </w:p>
      </w:tc>
      <w:tc>
        <w:tcPr>
          <w:tcW w:w="2405" w:type="dxa"/>
        </w:tcPr>
        <w:p w14:paraId="6885F4E1" w14:textId="77777777" w:rsidR="005B6A2D" w:rsidRPr="00026EBB" w:rsidRDefault="005B6A2D" w:rsidP="00F82637">
          <w:pPr>
            <w:tabs>
              <w:tab w:val="right" w:pos="8838"/>
            </w:tabs>
            <w:spacing w:line="276" w:lineRule="auto"/>
            <w:ind w:right="-108"/>
            <w:jc w:val="both"/>
            <w:rPr>
              <w:rFonts w:ascii="Palatino Linotype" w:eastAsia="Calibri" w:hAnsi="Palatino Linotype" w:cs="Tahoma"/>
              <w:b/>
              <w:sz w:val="22"/>
              <w:szCs w:val="22"/>
              <w:lang w:val="es-MX" w:eastAsia="en-US"/>
            </w:rPr>
          </w:pPr>
          <w:r w:rsidRPr="00026EBB">
            <w:rPr>
              <w:rFonts w:ascii="Palatino Linotype" w:eastAsia="Calibri" w:hAnsi="Palatino Linotype" w:cs="Tahoma"/>
              <w:b/>
              <w:sz w:val="22"/>
              <w:szCs w:val="22"/>
              <w:lang w:val="es-MX" w:eastAsia="en-US"/>
            </w:rPr>
            <w:t>Comisionado Ponente:</w:t>
          </w:r>
        </w:p>
      </w:tc>
      <w:tc>
        <w:tcPr>
          <w:tcW w:w="4257" w:type="dxa"/>
        </w:tcPr>
        <w:p w14:paraId="761045C2" w14:textId="77777777" w:rsidR="005B6A2D" w:rsidRDefault="005B6A2D" w:rsidP="00F82637">
          <w:pPr>
            <w:tabs>
              <w:tab w:val="right" w:pos="8838"/>
            </w:tabs>
            <w:spacing w:line="276" w:lineRule="auto"/>
            <w:ind w:right="171"/>
            <w:jc w:val="both"/>
            <w:rPr>
              <w:rFonts w:ascii="Palatino Linotype" w:eastAsia="Calibri" w:hAnsi="Palatino Linotype" w:cs="Tahoma"/>
              <w:sz w:val="22"/>
              <w:szCs w:val="22"/>
              <w:lang w:eastAsia="en-US"/>
            </w:rPr>
          </w:pPr>
          <w:r w:rsidRPr="00026EBB">
            <w:rPr>
              <w:rFonts w:ascii="Palatino Linotype" w:eastAsia="Calibri" w:hAnsi="Palatino Linotype" w:cs="Tahoma"/>
              <w:sz w:val="22"/>
              <w:szCs w:val="22"/>
              <w:lang w:val="es-MX" w:eastAsia="en-US"/>
            </w:rPr>
            <w:t>Luis Gustavo Parra Noriega</w:t>
          </w:r>
        </w:p>
      </w:tc>
    </w:tr>
  </w:tbl>
  <w:p w14:paraId="68F23A9C" w14:textId="5611F92C" w:rsidR="005B6A2D" w:rsidRPr="00E67009" w:rsidRDefault="005B6A2D" w:rsidP="00E67009">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7816848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42F3C54"/>
    <w:multiLevelType w:val="multilevel"/>
    <w:tmpl w:val="45426506"/>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156CC0"/>
    <w:multiLevelType w:val="hybridMultilevel"/>
    <w:tmpl w:val="39480EB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1215631B"/>
    <w:multiLevelType w:val="hybridMultilevel"/>
    <w:tmpl w:val="8CE8374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153F4AA9"/>
    <w:multiLevelType w:val="hybridMultilevel"/>
    <w:tmpl w:val="F8CA09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3F5D69"/>
    <w:multiLevelType w:val="hybridMultilevel"/>
    <w:tmpl w:val="3254258A"/>
    <w:lvl w:ilvl="0" w:tplc="080A0013">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99B087C"/>
    <w:multiLevelType w:val="hybridMultilevel"/>
    <w:tmpl w:val="7AC8EE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1C4F3F89"/>
    <w:multiLevelType w:val="hybridMultilevel"/>
    <w:tmpl w:val="507E6F4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1FBA60E1"/>
    <w:multiLevelType w:val="hybridMultilevel"/>
    <w:tmpl w:val="6E7AA488"/>
    <w:lvl w:ilvl="0" w:tplc="087AAEF6">
      <w:numFmt w:val="bullet"/>
      <w:lvlText w:val="-"/>
      <w:lvlJc w:val="left"/>
      <w:pPr>
        <w:ind w:left="720" w:hanging="360"/>
      </w:pPr>
      <w:rPr>
        <w:rFonts w:ascii="Palatino Linotype" w:eastAsia="Times New Roman" w:hAnsi="Palatino Linotype" w:cs="Tahoma"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25ED3B77"/>
    <w:multiLevelType w:val="hybridMultilevel"/>
    <w:tmpl w:val="F5B61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838302D"/>
    <w:multiLevelType w:val="hybridMultilevel"/>
    <w:tmpl w:val="F05218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910085C"/>
    <w:multiLevelType w:val="hybridMultilevel"/>
    <w:tmpl w:val="E39A411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33D47DDA"/>
    <w:multiLevelType w:val="hybridMultilevel"/>
    <w:tmpl w:val="B0C2B7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3F2761B"/>
    <w:multiLevelType w:val="multilevel"/>
    <w:tmpl w:val="73200FF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50E0AF9"/>
    <w:multiLevelType w:val="multilevel"/>
    <w:tmpl w:val="26AE5D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1D008B1"/>
    <w:multiLevelType w:val="hybridMultilevel"/>
    <w:tmpl w:val="495017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2C53316"/>
    <w:multiLevelType w:val="hybridMultilevel"/>
    <w:tmpl w:val="B22A75EC"/>
    <w:lvl w:ilvl="0" w:tplc="080A000F">
      <w:start w:val="1"/>
      <w:numFmt w:val="decimal"/>
      <w:lvlText w:val="%1."/>
      <w:lvlJc w:val="left"/>
      <w:pPr>
        <w:ind w:left="72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082DB5"/>
    <w:multiLevelType w:val="multilevel"/>
    <w:tmpl w:val="4E5C8C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EE57A1E"/>
    <w:multiLevelType w:val="hybridMultilevel"/>
    <w:tmpl w:val="34ACFE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00D59EC"/>
    <w:multiLevelType w:val="multilevel"/>
    <w:tmpl w:val="E466C434"/>
    <w:lvl w:ilvl="0">
      <w:start w:val="1"/>
      <w:numFmt w:val="upp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0" w15:restartNumberingAfterBreak="0">
    <w:nsid w:val="50C15233"/>
    <w:multiLevelType w:val="hybridMultilevel"/>
    <w:tmpl w:val="5CF0BE8E"/>
    <w:lvl w:ilvl="0" w:tplc="080A0013">
      <w:start w:val="1"/>
      <w:numFmt w:val="upperRoman"/>
      <w:lvlText w:val="%1."/>
      <w:lvlJc w:val="right"/>
      <w:pPr>
        <w:ind w:left="720" w:hanging="18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1CB120A"/>
    <w:multiLevelType w:val="hybridMultilevel"/>
    <w:tmpl w:val="3A1EF714"/>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27F658B"/>
    <w:multiLevelType w:val="hybridMultilevel"/>
    <w:tmpl w:val="896212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3543B5A"/>
    <w:multiLevelType w:val="hybridMultilevel"/>
    <w:tmpl w:val="59104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4455817"/>
    <w:multiLevelType w:val="multilevel"/>
    <w:tmpl w:val="7CC2BB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5422B96"/>
    <w:multiLevelType w:val="hybridMultilevel"/>
    <w:tmpl w:val="2F007CD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97C6005"/>
    <w:multiLevelType w:val="hybridMultilevel"/>
    <w:tmpl w:val="E0E41A38"/>
    <w:lvl w:ilvl="0" w:tplc="080A0003">
      <w:start w:val="1"/>
      <w:numFmt w:val="bullet"/>
      <w:lvlText w:val="o"/>
      <w:lvlJc w:val="left"/>
      <w:pPr>
        <w:ind w:left="720" w:hanging="360"/>
      </w:pPr>
      <w:rPr>
        <w:rFonts w:ascii="Courier New" w:hAnsi="Courier New" w:cs="Courier New"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E196450"/>
    <w:multiLevelType w:val="hybridMultilevel"/>
    <w:tmpl w:val="28A4AA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2031643822">
    <w:abstractNumId w:val="0"/>
  </w:num>
  <w:num w:numId="2" w16cid:durableId="1338996216">
    <w:abstractNumId w:val="10"/>
  </w:num>
  <w:num w:numId="3" w16cid:durableId="869611444">
    <w:abstractNumId w:val="25"/>
  </w:num>
  <w:num w:numId="4" w16cid:durableId="1521971946">
    <w:abstractNumId w:val="3"/>
  </w:num>
  <w:num w:numId="5" w16cid:durableId="2997691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3717530">
    <w:abstractNumId w:val="23"/>
  </w:num>
  <w:num w:numId="7" w16cid:durableId="1727950486">
    <w:abstractNumId w:val="11"/>
  </w:num>
  <w:num w:numId="8" w16cid:durableId="786777987">
    <w:abstractNumId w:val="9"/>
  </w:num>
  <w:num w:numId="9" w16cid:durableId="983655460">
    <w:abstractNumId w:val="6"/>
  </w:num>
  <w:num w:numId="10" w16cid:durableId="1465810744">
    <w:abstractNumId w:val="27"/>
  </w:num>
  <w:num w:numId="11" w16cid:durableId="1059594383">
    <w:abstractNumId w:val="7"/>
  </w:num>
  <w:num w:numId="12" w16cid:durableId="1168911463">
    <w:abstractNumId w:val="24"/>
  </w:num>
  <w:num w:numId="13" w16cid:durableId="14999991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1098040">
    <w:abstractNumId w:val="8"/>
  </w:num>
  <w:num w:numId="15" w16cid:durableId="899634462">
    <w:abstractNumId w:val="15"/>
  </w:num>
  <w:num w:numId="16" w16cid:durableId="1933509705">
    <w:abstractNumId w:val="21"/>
  </w:num>
  <w:num w:numId="17" w16cid:durableId="1683244192">
    <w:abstractNumId w:val="4"/>
  </w:num>
  <w:num w:numId="18" w16cid:durableId="1641612816">
    <w:abstractNumId w:val="12"/>
  </w:num>
  <w:num w:numId="19" w16cid:durableId="1088815271">
    <w:abstractNumId w:val="2"/>
  </w:num>
  <w:num w:numId="20" w16cid:durableId="1228414227">
    <w:abstractNumId w:val="26"/>
  </w:num>
  <w:num w:numId="21" w16cid:durableId="14387124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15474476">
    <w:abstractNumId w:val="17"/>
  </w:num>
  <w:num w:numId="23" w16cid:durableId="379791771">
    <w:abstractNumId w:val="5"/>
  </w:num>
  <w:num w:numId="24" w16cid:durableId="829295326">
    <w:abstractNumId w:val="18"/>
  </w:num>
  <w:num w:numId="25" w16cid:durableId="948927985">
    <w:abstractNumId w:val="22"/>
  </w:num>
  <w:num w:numId="26" w16cid:durableId="9191434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14243095">
    <w:abstractNumId w:val="1"/>
  </w:num>
  <w:num w:numId="28" w16cid:durableId="1061363645">
    <w:abstractNumId w:val="14"/>
  </w:num>
  <w:num w:numId="29" w16cid:durableId="1423065824">
    <w:abstractNumId w:val="20"/>
  </w:num>
  <w:num w:numId="30" w16cid:durableId="2058626073">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222"/>
    <w:rsid w:val="000027EB"/>
    <w:rsid w:val="0000328D"/>
    <w:rsid w:val="00003542"/>
    <w:rsid w:val="0000485A"/>
    <w:rsid w:val="00004DF1"/>
    <w:rsid w:val="00006543"/>
    <w:rsid w:val="00007CA1"/>
    <w:rsid w:val="0001210B"/>
    <w:rsid w:val="00012C57"/>
    <w:rsid w:val="00013A19"/>
    <w:rsid w:val="00014465"/>
    <w:rsid w:val="0001559E"/>
    <w:rsid w:val="00017019"/>
    <w:rsid w:val="00020FAA"/>
    <w:rsid w:val="000212E5"/>
    <w:rsid w:val="00021C64"/>
    <w:rsid w:val="0002230B"/>
    <w:rsid w:val="00023837"/>
    <w:rsid w:val="0002405C"/>
    <w:rsid w:val="000241C5"/>
    <w:rsid w:val="000268D8"/>
    <w:rsid w:val="00026EBB"/>
    <w:rsid w:val="000307EE"/>
    <w:rsid w:val="0003130B"/>
    <w:rsid w:val="000313A7"/>
    <w:rsid w:val="000313C2"/>
    <w:rsid w:val="00032BB3"/>
    <w:rsid w:val="00032F5B"/>
    <w:rsid w:val="00034E9D"/>
    <w:rsid w:val="0003645D"/>
    <w:rsid w:val="00036E10"/>
    <w:rsid w:val="000373BC"/>
    <w:rsid w:val="00037B34"/>
    <w:rsid w:val="00037F4B"/>
    <w:rsid w:val="000407C9"/>
    <w:rsid w:val="0004168D"/>
    <w:rsid w:val="00042D20"/>
    <w:rsid w:val="00043C4B"/>
    <w:rsid w:val="0004646B"/>
    <w:rsid w:val="000475E4"/>
    <w:rsid w:val="00047D67"/>
    <w:rsid w:val="00050DF6"/>
    <w:rsid w:val="00051964"/>
    <w:rsid w:val="00051A65"/>
    <w:rsid w:val="000528E6"/>
    <w:rsid w:val="00053EBE"/>
    <w:rsid w:val="00054FE0"/>
    <w:rsid w:val="000551C1"/>
    <w:rsid w:val="00055251"/>
    <w:rsid w:val="000552FA"/>
    <w:rsid w:val="000553B4"/>
    <w:rsid w:val="00057236"/>
    <w:rsid w:val="00057E30"/>
    <w:rsid w:val="0006017B"/>
    <w:rsid w:val="000619FD"/>
    <w:rsid w:val="00063366"/>
    <w:rsid w:val="00071CAE"/>
    <w:rsid w:val="00072929"/>
    <w:rsid w:val="00073274"/>
    <w:rsid w:val="0007424C"/>
    <w:rsid w:val="00076A8D"/>
    <w:rsid w:val="000813B0"/>
    <w:rsid w:val="0008148B"/>
    <w:rsid w:val="0008165E"/>
    <w:rsid w:val="00081C8C"/>
    <w:rsid w:val="00082F59"/>
    <w:rsid w:val="00084EE0"/>
    <w:rsid w:val="00087B93"/>
    <w:rsid w:val="00087F3F"/>
    <w:rsid w:val="000930AE"/>
    <w:rsid w:val="00093D95"/>
    <w:rsid w:val="00094124"/>
    <w:rsid w:val="00097211"/>
    <w:rsid w:val="0009793B"/>
    <w:rsid w:val="000A0942"/>
    <w:rsid w:val="000A20A4"/>
    <w:rsid w:val="000A2275"/>
    <w:rsid w:val="000A2389"/>
    <w:rsid w:val="000A238F"/>
    <w:rsid w:val="000A2C7C"/>
    <w:rsid w:val="000A445A"/>
    <w:rsid w:val="000A66FD"/>
    <w:rsid w:val="000A7211"/>
    <w:rsid w:val="000B0B4E"/>
    <w:rsid w:val="000B1D37"/>
    <w:rsid w:val="000B2C93"/>
    <w:rsid w:val="000B36DD"/>
    <w:rsid w:val="000B393B"/>
    <w:rsid w:val="000B5711"/>
    <w:rsid w:val="000B6020"/>
    <w:rsid w:val="000B6345"/>
    <w:rsid w:val="000B691A"/>
    <w:rsid w:val="000C2283"/>
    <w:rsid w:val="000C24A4"/>
    <w:rsid w:val="000C27CA"/>
    <w:rsid w:val="000C46DF"/>
    <w:rsid w:val="000C5940"/>
    <w:rsid w:val="000C59CB"/>
    <w:rsid w:val="000C6D13"/>
    <w:rsid w:val="000C758C"/>
    <w:rsid w:val="000D0B08"/>
    <w:rsid w:val="000D0B09"/>
    <w:rsid w:val="000D0CE1"/>
    <w:rsid w:val="000D122E"/>
    <w:rsid w:val="000D199C"/>
    <w:rsid w:val="000D19A5"/>
    <w:rsid w:val="000D514C"/>
    <w:rsid w:val="000D5C21"/>
    <w:rsid w:val="000D6664"/>
    <w:rsid w:val="000D71F7"/>
    <w:rsid w:val="000E00CA"/>
    <w:rsid w:val="000E087D"/>
    <w:rsid w:val="000E0BB0"/>
    <w:rsid w:val="000E0BEA"/>
    <w:rsid w:val="000E4C0C"/>
    <w:rsid w:val="000E67E4"/>
    <w:rsid w:val="000E769C"/>
    <w:rsid w:val="000F24C8"/>
    <w:rsid w:val="000F3DA0"/>
    <w:rsid w:val="000F4876"/>
    <w:rsid w:val="000F555D"/>
    <w:rsid w:val="000F57B1"/>
    <w:rsid w:val="000F6B9F"/>
    <w:rsid w:val="000F7975"/>
    <w:rsid w:val="000F7A45"/>
    <w:rsid w:val="000F7FD8"/>
    <w:rsid w:val="00100425"/>
    <w:rsid w:val="00100BAC"/>
    <w:rsid w:val="001017B7"/>
    <w:rsid w:val="001019ED"/>
    <w:rsid w:val="001034C6"/>
    <w:rsid w:val="00103D64"/>
    <w:rsid w:val="001049B0"/>
    <w:rsid w:val="00104ADB"/>
    <w:rsid w:val="00105532"/>
    <w:rsid w:val="001057BC"/>
    <w:rsid w:val="00105B76"/>
    <w:rsid w:val="00106127"/>
    <w:rsid w:val="00107D2F"/>
    <w:rsid w:val="001133D5"/>
    <w:rsid w:val="00114068"/>
    <w:rsid w:val="001150E9"/>
    <w:rsid w:val="00117C52"/>
    <w:rsid w:val="001224BA"/>
    <w:rsid w:val="001234E7"/>
    <w:rsid w:val="001239BF"/>
    <w:rsid w:val="00123E47"/>
    <w:rsid w:val="00127757"/>
    <w:rsid w:val="00127E51"/>
    <w:rsid w:val="00130F33"/>
    <w:rsid w:val="00132A80"/>
    <w:rsid w:val="00132F95"/>
    <w:rsid w:val="00135F5A"/>
    <w:rsid w:val="00136382"/>
    <w:rsid w:val="0013648D"/>
    <w:rsid w:val="00136CBF"/>
    <w:rsid w:val="00136EC9"/>
    <w:rsid w:val="001373A9"/>
    <w:rsid w:val="001405F5"/>
    <w:rsid w:val="00141050"/>
    <w:rsid w:val="0014155A"/>
    <w:rsid w:val="00141846"/>
    <w:rsid w:val="0014215C"/>
    <w:rsid w:val="001426E4"/>
    <w:rsid w:val="0014307A"/>
    <w:rsid w:val="00144D0B"/>
    <w:rsid w:val="00146080"/>
    <w:rsid w:val="0014698A"/>
    <w:rsid w:val="00147566"/>
    <w:rsid w:val="0015058B"/>
    <w:rsid w:val="001507FD"/>
    <w:rsid w:val="00150A0A"/>
    <w:rsid w:val="00151053"/>
    <w:rsid w:val="00151442"/>
    <w:rsid w:val="00151FBB"/>
    <w:rsid w:val="0015211F"/>
    <w:rsid w:val="00155F96"/>
    <w:rsid w:val="00156408"/>
    <w:rsid w:val="00156A6B"/>
    <w:rsid w:val="0016114C"/>
    <w:rsid w:val="00161C66"/>
    <w:rsid w:val="00161DF9"/>
    <w:rsid w:val="00161ED0"/>
    <w:rsid w:val="00161F76"/>
    <w:rsid w:val="00162CCE"/>
    <w:rsid w:val="00163282"/>
    <w:rsid w:val="00165523"/>
    <w:rsid w:val="00165891"/>
    <w:rsid w:val="00166954"/>
    <w:rsid w:val="00167281"/>
    <w:rsid w:val="001672CF"/>
    <w:rsid w:val="00170301"/>
    <w:rsid w:val="00170545"/>
    <w:rsid w:val="00171ADD"/>
    <w:rsid w:val="001720AA"/>
    <w:rsid w:val="001720DD"/>
    <w:rsid w:val="001723FE"/>
    <w:rsid w:val="00173688"/>
    <w:rsid w:val="0017459B"/>
    <w:rsid w:val="00174E8A"/>
    <w:rsid w:val="00175B2F"/>
    <w:rsid w:val="0017695F"/>
    <w:rsid w:val="0018044A"/>
    <w:rsid w:val="0018119C"/>
    <w:rsid w:val="00182F0F"/>
    <w:rsid w:val="00183C9D"/>
    <w:rsid w:val="00183D24"/>
    <w:rsid w:val="001843F8"/>
    <w:rsid w:val="001851A6"/>
    <w:rsid w:val="001875A7"/>
    <w:rsid w:val="001879E1"/>
    <w:rsid w:val="00187A6A"/>
    <w:rsid w:val="00191E3D"/>
    <w:rsid w:val="001923B6"/>
    <w:rsid w:val="0019389B"/>
    <w:rsid w:val="00194314"/>
    <w:rsid w:val="00194582"/>
    <w:rsid w:val="001950A3"/>
    <w:rsid w:val="0019576A"/>
    <w:rsid w:val="001A131C"/>
    <w:rsid w:val="001A1B88"/>
    <w:rsid w:val="001A1B94"/>
    <w:rsid w:val="001A22F5"/>
    <w:rsid w:val="001A2C3C"/>
    <w:rsid w:val="001A301B"/>
    <w:rsid w:val="001A4FA4"/>
    <w:rsid w:val="001A5B3D"/>
    <w:rsid w:val="001A7D1C"/>
    <w:rsid w:val="001A7DDE"/>
    <w:rsid w:val="001A7FD2"/>
    <w:rsid w:val="001B107D"/>
    <w:rsid w:val="001B2C57"/>
    <w:rsid w:val="001B2CD9"/>
    <w:rsid w:val="001B2F91"/>
    <w:rsid w:val="001B3581"/>
    <w:rsid w:val="001B6049"/>
    <w:rsid w:val="001B62A0"/>
    <w:rsid w:val="001B790F"/>
    <w:rsid w:val="001B7D42"/>
    <w:rsid w:val="001C1298"/>
    <w:rsid w:val="001C282F"/>
    <w:rsid w:val="001C466E"/>
    <w:rsid w:val="001C4E35"/>
    <w:rsid w:val="001C6B9A"/>
    <w:rsid w:val="001D0086"/>
    <w:rsid w:val="001D0094"/>
    <w:rsid w:val="001D33B5"/>
    <w:rsid w:val="001D3EA0"/>
    <w:rsid w:val="001D425D"/>
    <w:rsid w:val="001D6E30"/>
    <w:rsid w:val="001D7012"/>
    <w:rsid w:val="001D7BD2"/>
    <w:rsid w:val="001D7E70"/>
    <w:rsid w:val="001E1355"/>
    <w:rsid w:val="001E2A4D"/>
    <w:rsid w:val="001E3725"/>
    <w:rsid w:val="001E4BFA"/>
    <w:rsid w:val="001E53C2"/>
    <w:rsid w:val="001E551B"/>
    <w:rsid w:val="001F0E9C"/>
    <w:rsid w:val="001F10AD"/>
    <w:rsid w:val="001F1540"/>
    <w:rsid w:val="001F3905"/>
    <w:rsid w:val="001F4726"/>
    <w:rsid w:val="001F652C"/>
    <w:rsid w:val="001F739F"/>
    <w:rsid w:val="001F78D9"/>
    <w:rsid w:val="00201A8C"/>
    <w:rsid w:val="00202DB8"/>
    <w:rsid w:val="00203D3E"/>
    <w:rsid w:val="00205449"/>
    <w:rsid w:val="00205B1E"/>
    <w:rsid w:val="00205EEB"/>
    <w:rsid w:val="00206112"/>
    <w:rsid w:val="00207736"/>
    <w:rsid w:val="0020799E"/>
    <w:rsid w:val="00210FD2"/>
    <w:rsid w:val="00212460"/>
    <w:rsid w:val="0021387D"/>
    <w:rsid w:val="00215D0D"/>
    <w:rsid w:val="00217AEF"/>
    <w:rsid w:val="00220404"/>
    <w:rsid w:val="0022119B"/>
    <w:rsid w:val="00221576"/>
    <w:rsid w:val="00221EC9"/>
    <w:rsid w:val="00223ECD"/>
    <w:rsid w:val="002240FC"/>
    <w:rsid w:val="002241A6"/>
    <w:rsid w:val="002241E8"/>
    <w:rsid w:val="00224774"/>
    <w:rsid w:val="002247B0"/>
    <w:rsid w:val="00224D5D"/>
    <w:rsid w:val="00224F7A"/>
    <w:rsid w:val="00225152"/>
    <w:rsid w:val="00226633"/>
    <w:rsid w:val="00230E81"/>
    <w:rsid w:val="00232673"/>
    <w:rsid w:val="002326D1"/>
    <w:rsid w:val="00236863"/>
    <w:rsid w:val="002375B6"/>
    <w:rsid w:val="00237C1F"/>
    <w:rsid w:val="00237D0D"/>
    <w:rsid w:val="0024089F"/>
    <w:rsid w:val="002433A4"/>
    <w:rsid w:val="002435DC"/>
    <w:rsid w:val="002445CE"/>
    <w:rsid w:val="002464DA"/>
    <w:rsid w:val="00247B17"/>
    <w:rsid w:val="00250389"/>
    <w:rsid w:val="00250EC0"/>
    <w:rsid w:val="00251F2E"/>
    <w:rsid w:val="00252669"/>
    <w:rsid w:val="002534FB"/>
    <w:rsid w:val="00253EAE"/>
    <w:rsid w:val="00254209"/>
    <w:rsid w:val="00254288"/>
    <w:rsid w:val="002545AA"/>
    <w:rsid w:val="0025469C"/>
    <w:rsid w:val="00254EE9"/>
    <w:rsid w:val="002579CE"/>
    <w:rsid w:val="00257F01"/>
    <w:rsid w:val="00260D0F"/>
    <w:rsid w:val="00260FEC"/>
    <w:rsid w:val="00261DD6"/>
    <w:rsid w:val="00262B28"/>
    <w:rsid w:val="00262BA8"/>
    <w:rsid w:val="00263CD5"/>
    <w:rsid w:val="00264223"/>
    <w:rsid w:val="002657E2"/>
    <w:rsid w:val="0026609C"/>
    <w:rsid w:val="002705D2"/>
    <w:rsid w:val="002724C3"/>
    <w:rsid w:val="002727CC"/>
    <w:rsid w:val="002734CD"/>
    <w:rsid w:val="00273679"/>
    <w:rsid w:val="00273940"/>
    <w:rsid w:val="00274D9D"/>
    <w:rsid w:val="0028009F"/>
    <w:rsid w:val="00280E27"/>
    <w:rsid w:val="00281735"/>
    <w:rsid w:val="00281A35"/>
    <w:rsid w:val="0028241D"/>
    <w:rsid w:val="00283E90"/>
    <w:rsid w:val="00284144"/>
    <w:rsid w:val="00284486"/>
    <w:rsid w:val="00284947"/>
    <w:rsid w:val="00285644"/>
    <w:rsid w:val="0028581E"/>
    <w:rsid w:val="002874EB"/>
    <w:rsid w:val="002921EB"/>
    <w:rsid w:val="0029282F"/>
    <w:rsid w:val="00292DE5"/>
    <w:rsid w:val="0029330C"/>
    <w:rsid w:val="00293491"/>
    <w:rsid w:val="00293A8C"/>
    <w:rsid w:val="00295958"/>
    <w:rsid w:val="002A0FB8"/>
    <w:rsid w:val="002A30E4"/>
    <w:rsid w:val="002A3131"/>
    <w:rsid w:val="002A3B3C"/>
    <w:rsid w:val="002A4D71"/>
    <w:rsid w:val="002A6193"/>
    <w:rsid w:val="002A79CB"/>
    <w:rsid w:val="002A7BD4"/>
    <w:rsid w:val="002A7F32"/>
    <w:rsid w:val="002B20A1"/>
    <w:rsid w:val="002B2147"/>
    <w:rsid w:val="002B226E"/>
    <w:rsid w:val="002B2DF3"/>
    <w:rsid w:val="002B3E1D"/>
    <w:rsid w:val="002B4524"/>
    <w:rsid w:val="002B46D4"/>
    <w:rsid w:val="002B54CF"/>
    <w:rsid w:val="002B57E5"/>
    <w:rsid w:val="002B610C"/>
    <w:rsid w:val="002C0DE9"/>
    <w:rsid w:val="002C1274"/>
    <w:rsid w:val="002C1A9C"/>
    <w:rsid w:val="002C1ABD"/>
    <w:rsid w:val="002C2BE7"/>
    <w:rsid w:val="002C51F7"/>
    <w:rsid w:val="002C5FE8"/>
    <w:rsid w:val="002C6FE0"/>
    <w:rsid w:val="002C7611"/>
    <w:rsid w:val="002C7B0B"/>
    <w:rsid w:val="002D1911"/>
    <w:rsid w:val="002D1BE4"/>
    <w:rsid w:val="002D5DDD"/>
    <w:rsid w:val="002D724D"/>
    <w:rsid w:val="002D7B5B"/>
    <w:rsid w:val="002E07C6"/>
    <w:rsid w:val="002E11DE"/>
    <w:rsid w:val="002E42D8"/>
    <w:rsid w:val="002E5015"/>
    <w:rsid w:val="002E577C"/>
    <w:rsid w:val="002E7ACF"/>
    <w:rsid w:val="002F0738"/>
    <w:rsid w:val="002F0CE9"/>
    <w:rsid w:val="002F18C3"/>
    <w:rsid w:val="002F199F"/>
    <w:rsid w:val="002F2DA1"/>
    <w:rsid w:val="002F3691"/>
    <w:rsid w:val="002F3BD0"/>
    <w:rsid w:val="002F5B19"/>
    <w:rsid w:val="002F67AA"/>
    <w:rsid w:val="002F68C3"/>
    <w:rsid w:val="003001B5"/>
    <w:rsid w:val="00300A0B"/>
    <w:rsid w:val="00301F46"/>
    <w:rsid w:val="0030387B"/>
    <w:rsid w:val="00303CAD"/>
    <w:rsid w:val="00304689"/>
    <w:rsid w:val="003046FD"/>
    <w:rsid w:val="003053CA"/>
    <w:rsid w:val="00305732"/>
    <w:rsid w:val="00306418"/>
    <w:rsid w:val="003068F2"/>
    <w:rsid w:val="0030726B"/>
    <w:rsid w:val="003100F3"/>
    <w:rsid w:val="0031083C"/>
    <w:rsid w:val="00310C11"/>
    <w:rsid w:val="00312313"/>
    <w:rsid w:val="00315492"/>
    <w:rsid w:val="00316600"/>
    <w:rsid w:val="003172EC"/>
    <w:rsid w:val="003201BA"/>
    <w:rsid w:val="00320CBA"/>
    <w:rsid w:val="0032170B"/>
    <w:rsid w:val="00323325"/>
    <w:rsid w:val="003243B0"/>
    <w:rsid w:val="00325EC0"/>
    <w:rsid w:val="00326030"/>
    <w:rsid w:val="00327B27"/>
    <w:rsid w:val="003312A0"/>
    <w:rsid w:val="00331450"/>
    <w:rsid w:val="00331748"/>
    <w:rsid w:val="00333E33"/>
    <w:rsid w:val="003340EC"/>
    <w:rsid w:val="003350FF"/>
    <w:rsid w:val="003367F9"/>
    <w:rsid w:val="0034057C"/>
    <w:rsid w:val="00343E36"/>
    <w:rsid w:val="00350142"/>
    <w:rsid w:val="00351628"/>
    <w:rsid w:val="00351F58"/>
    <w:rsid w:val="00351FE4"/>
    <w:rsid w:val="003526FB"/>
    <w:rsid w:val="00352AFC"/>
    <w:rsid w:val="00353B6D"/>
    <w:rsid w:val="00354920"/>
    <w:rsid w:val="00355AA1"/>
    <w:rsid w:val="00355DC6"/>
    <w:rsid w:val="00357943"/>
    <w:rsid w:val="00357AEA"/>
    <w:rsid w:val="003604D7"/>
    <w:rsid w:val="0036351E"/>
    <w:rsid w:val="00363664"/>
    <w:rsid w:val="0036382F"/>
    <w:rsid w:val="00364521"/>
    <w:rsid w:val="003649D3"/>
    <w:rsid w:val="00365026"/>
    <w:rsid w:val="00367287"/>
    <w:rsid w:val="00367F82"/>
    <w:rsid w:val="00372255"/>
    <w:rsid w:val="00372534"/>
    <w:rsid w:val="003756AF"/>
    <w:rsid w:val="00375815"/>
    <w:rsid w:val="00376EC8"/>
    <w:rsid w:val="00380441"/>
    <w:rsid w:val="003816A3"/>
    <w:rsid w:val="00382696"/>
    <w:rsid w:val="00382E68"/>
    <w:rsid w:val="00382F96"/>
    <w:rsid w:val="0038438A"/>
    <w:rsid w:val="003864D2"/>
    <w:rsid w:val="00390249"/>
    <w:rsid w:val="00390BF8"/>
    <w:rsid w:val="00391A95"/>
    <w:rsid w:val="00392877"/>
    <w:rsid w:val="00392E12"/>
    <w:rsid w:val="003932E8"/>
    <w:rsid w:val="00393C64"/>
    <w:rsid w:val="003942CB"/>
    <w:rsid w:val="00394645"/>
    <w:rsid w:val="00394D7E"/>
    <w:rsid w:val="003956E9"/>
    <w:rsid w:val="00395D7C"/>
    <w:rsid w:val="003965EC"/>
    <w:rsid w:val="00396BA0"/>
    <w:rsid w:val="003A0E17"/>
    <w:rsid w:val="003A111E"/>
    <w:rsid w:val="003A16D4"/>
    <w:rsid w:val="003A3482"/>
    <w:rsid w:val="003A357E"/>
    <w:rsid w:val="003A6757"/>
    <w:rsid w:val="003A699E"/>
    <w:rsid w:val="003A6E62"/>
    <w:rsid w:val="003A78B5"/>
    <w:rsid w:val="003A796B"/>
    <w:rsid w:val="003A7BE8"/>
    <w:rsid w:val="003A7C85"/>
    <w:rsid w:val="003A7FBE"/>
    <w:rsid w:val="003B0D09"/>
    <w:rsid w:val="003B165A"/>
    <w:rsid w:val="003B2140"/>
    <w:rsid w:val="003B24CC"/>
    <w:rsid w:val="003B2F88"/>
    <w:rsid w:val="003B3326"/>
    <w:rsid w:val="003B3EF3"/>
    <w:rsid w:val="003B4F63"/>
    <w:rsid w:val="003B6ED0"/>
    <w:rsid w:val="003C1510"/>
    <w:rsid w:val="003C2456"/>
    <w:rsid w:val="003C2478"/>
    <w:rsid w:val="003C28B8"/>
    <w:rsid w:val="003C2948"/>
    <w:rsid w:val="003C2F6C"/>
    <w:rsid w:val="003C3768"/>
    <w:rsid w:val="003C6934"/>
    <w:rsid w:val="003C74F9"/>
    <w:rsid w:val="003C7827"/>
    <w:rsid w:val="003C7FD0"/>
    <w:rsid w:val="003D0268"/>
    <w:rsid w:val="003D0323"/>
    <w:rsid w:val="003D1426"/>
    <w:rsid w:val="003D1A43"/>
    <w:rsid w:val="003D1A64"/>
    <w:rsid w:val="003D306C"/>
    <w:rsid w:val="003D3501"/>
    <w:rsid w:val="003D3757"/>
    <w:rsid w:val="003D37E4"/>
    <w:rsid w:val="003D3A9C"/>
    <w:rsid w:val="003D463A"/>
    <w:rsid w:val="003D6B3D"/>
    <w:rsid w:val="003E1278"/>
    <w:rsid w:val="003E13A6"/>
    <w:rsid w:val="003E16CF"/>
    <w:rsid w:val="003E31E5"/>
    <w:rsid w:val="003E32ED"/>
    <w:rsid w:val="003E3A39"/>
    <w:rsid w:val="003E4693"/>
    <w:rsid w:val="003E56BD"/>
    <w:rsid w:val="003E58C9"/>
    <w:rsid w:val="003E79C7"/>
    <w:rsid w:val="003F204B"/>
    <w:rsid w:val="003F36D7"/>
    <w:rsid w:val="003F4DBD"/>
    <w:rsid w:val="003F578D"/>
    <w:rsid w:val="003F5E0D"/>
    <w:rsid w:val="003F650B"/>
    <w:rsid w:val="003F67B8"/>
    <w:rsid w:val="003F6B7C"/>
    <w:rsid w:val="003F73AC"/>
    <w:rsid w:val="003F7A60"/>
    <w:rsid w:val="004004E9"/>
    <w:rsid w:val="00400FDE"/>
    <w:rsid w:val="00402109"/>
    <w:rsid w:val="00402595"/>
    <w:rsid w:val="004033A7"/>
    <w:rsid w:val="00403885"/>
    <w:rsid w:val="004052C5"/>
    <w:rsid w:val="00405DBA"/>
    <w:rsid w:val="004100AA"/>
    <w:rsid w:val="00412203"/>
    <w:rsid w:val="004138CC"/>
    <w:rsid w:val="00414815"/>
    <w:rsid w:val="0041563A"/>
    <w:rsid w:val="00417DE3"/>
    <w:rsid w:val="004203EE"/>
    <w:rsid w:val="00420B07"/>
    <w:rsid w:val="00420E65"/>
    <w:rsid w:val="00422869"/>
    <w:rsid w:val="00422DDF"/>
    <w:rsid w:val="00424F57"/>
    <w:rsid w:val="00426448"/>
    <w:rsid w:val="00427207"/>
    <w:rsid w:val="0043139F"/>
    <w:rsid w:val="0043197C"/>
    <w:rsid w:val="004324A3"/>
    <w:rsid w:val="0043257A"/>
    <w:rsid w:val="00436FD3"/>
    <w:rsid w:val="004406CF"/>
    <w:rsid w:val="00441804"/>
    <w:rsid w:val="0044293C"/>
    <w:rsid w:val="004435B4"/>
    <w:rsid w:val="00444335"/>
    <w:rsid w:val="0044446C"/>
    <w:rsid w:val="00444AC3"/>
    <w:rsid w:val="004471B4"/>
    <w:rsid w:val="00450248"/>
    <w:rsid w:val="004517E5"/>
    <w:rsid w:val="004520DF"/>
    <w:rsid w:val="00457C40"/>
    <w:rsid w:val="0046048A"/>
    <w:rsid w:val="00460606"/>
    <w:rsid w:val="00460EAE"/>
    <w:rsid w:val="00461690"/>
    <w:rsid w:val="00462ED7"/>
    <w:rsid w:val="00464C62"/>
    <w:rsid w:val="00466346"/>
    <w:rsid w:val="00466662"/>
    <w:rsid w:val="004711A3"/>
    <w:rsid w:val="00473F17"/>
    <w:rsid w:val="00474ED7"/>
    <w:rsid w:val="00474EE0"/>
    <w:rsid w:val="004751D6"/>
    <w:rsid w:val="00475973"/>
    <w:rsid w:val="00476345"/>
    <w:rsid w:val="00477DBA"/>
    <w:rsid w:val="00477E20"/>
    <w:rsid w:val="004805C1"/>
    <w:rsid w:val="00480BB8"/>
    <w:rsid w:val="00481674"/>
    <w:rsid w:val="00481D51"/>
    <w:rsid w:val="0048519E"/>
    <w:rsid w:val="00485EC7"/>
    <w:rsid w:val="00485F1D"/>
    <w:rsid w:val="004860BD"/>
    <w:rsid w:val="00487430"/>
    <w:rsid w:val="00492519"/>
    <w:rsid w:val="00492DCA"/>
    <w:rsid w:val="00493283"/>
    <w:rsid w:val="0049425C"/>
    <w:rsid w:val="004943AE"/>
    <w:rsid w:val="0049667A"/>
    <w:rsid w:val="004979A2"/>
    <w:rsid w:val="004A0A7B"/>
    <w:rsid w:val="004A0BB0"/>
    <w:rsid w:val="004A0C66"/>
    <w:rsid w:val="004A0D2F"/>
    <w:rsid w:val="004A1DA1"/>
    <w:rsid w:val="004A1FE5"/>
    <w:rsid w:val="004A26CD"/>
    <w:rsid w:val="004A2A21"/>
    <w:rsid w:val="004A3584"/>
    <w:rsid w:val="004A5121"/>
    <w:rsid w:val="004A577A"/>
    <w:rsid w:val="004A7990"/>
    <w:rsid w:val="004B134D"/>
    <w:rsid w:val="004B1796"/>
    <w:rsid w:val="004B2BA1"/>
    <w:rsid w:val="004B2C95"/>
    <w:rsid w:val="004B3AFE"/>
    <w:rsid w:val="004B591D"/>
    <w:rsid w:val="004B7542"/>
    <w:rsid w:val="004C37AA"/>
    <w:rsid w:val="004C434E"/>
    <w:rsid w:val="004C4ACC"/>
    <w:rsid w:val="004C6AC1"/>
    <w:rsid w:val="004C7E83"/>
    <w:rsid w:val="004D088D"/>
    <w:rsid w:val="004D2A6A"/>
    <w:rsid w:val="004D366A"/>
    <w:rsid w:val="004D5893"/>
    <w:rsid w:val="004D5DB3"/>
    <w:rsid w:val="004D6246"/>
    <w:rsid w:val="004D6B98"/>
    <w:rsid w:val="004E0096"/>
    <w:rsid w:val="004E1DDE"/>
    <w:rsid w:val="004E345F"/>
    <w:rsid w:val="004E3545"/>
    <w:rsid w:val="004E41C7"/>
    <w:rsid w:val="004E5761"/>
    <w:rsid w:val="004E58C3"/>
    <w:rsid w:val="004E5A21"/>
    <w:rsid w:val="004E7335"/>
    <w:rsid w:val="004E7FE7"/>
    <w:rsid w:val="004F0A2C"/>
    <w:rsid w:val="004F2D88"/>
    <w:rsid w:val="004F3A02"/>
    <w:rsid w:val="004F41A2"/>
    <w:rsid w:val="004F447B"/>
    <w:rsid w:val="004F44EC"/>
    <w:rsid w:val="004F4E53"/>
    <w:rsid w:val="004F7644"/>
    <w:rsid w:val="005001F3"/>
    <w:rsid w:val="005008D7"/>
    <w:rsid w:val="00501F15"/>
    <w:rsid w:val="00502D8D"/>
    <w:rsid w:val="005032CC"/>
    <w:rsid w:val="0050434B"/>
    <w:rsid w:val="0050485B"/>
    <w:rsid w:val="00505111"/>
    <w:rsid w:val="005070C3"/>
    <w:rsid w:val="005124DC"/>
    <w:rsid w:val="00512F7F"/>
    <w:rsid w:val="0051401F"/>
    <w:rsid w:val="00514176"/>
    <w:rsid w:val="00515991"/>
    <w:rsid w:val="00520C3D"/>
    <w:rsid w:val="00520DD5"/>
    <w:rsid w:val="005214F8"/>
    <w:rsid w:val="005220BE"/>
    <w:rsid w:val="00525BFE"/>
    <w:rsid w:val="00526667"/>
    <w:rsid w:val="0053216F"/>
    <w:rsid w:val="005349F9"/>
    <w:rsid w:val="00536196"/>
    <w:rsid w:val="00540DFD"/>
    <w:rsid w:val="00541D46"/>
    <w:rsid w:val="00542D5F"/>
    <w:rsid w:val="00542F88"/>
    <w:rsid w:val="00543575"/>
    <w:rsid w:val="005435DE"/>
    <w:rsid w:val="0054474A"/>
    <w:rsid w:val="00544C28"/>
    <w:rsid w:val="00545159"/>
    <w:rsid w:val="00546BAE"/>
    <w:rsid w:val="0055002A"/>
    <w:rsid w:val="00552EBD"/>
    <w:rsid w:val="00553827"/>
    <w:rsid w:val="005557CA"/>
    <w:rsid w:val="00555F71"/>
    <w:rsid w:val="00557B1C"/>
    <w:rsid w:val="005609D1"/>
    <w:rsid w:val="00562534"/>
    <w:rsid w:val="005643DB"/>
    <w:rsid w:val="0056521E"/>
    <w:rsid w:val="00565AF4"/>
    <w:rsid w:val="00566528"/>
    <w:rsid w:val="0057338D"/>
    <w:rsid w:val="00573AC5"/>
    <w:rsid w:val="005740F6"/>
    <w:rsid w:val="005743D2"/>
    <w:rsid w:val="005749CA"/>
    <w:rsid w:val="00575CB8"/>
    <w:rsid w:val="00575DE3"/>
    <w:rsid w:val="00576F74"/>
    <w:rsid w:val="005802BD"/>
    <w:rsid w:val="0058067B"/>
    <w:rsid w:val="00583392"/>
    <w:rsid w:val="0058536E"/>
    <w:rsid w:val="00586FA8"/>
    <w:rsid w:val="00587F23"/>
    <w:rsid w:val="00591E3A"/>
    <w:rsid w:val="00593CB4"/>
    <w:rsid w:val="00597800"/>
    <w:rsid w:val="00597A04"/>
    <w:rsid w:val="005A1156"/>
    <w:rsid w:val="005A1803"/>
    <w:rsid w:val="005A1E4C"/>
    <w:rsid w:val="005A3131"/>
    <w:rsid w:val="005A4096"/>
    <w:rsid w:val="005A500C"/>
    <w:rsid w:val="005A6369"/>
    <w:rsid w:val="005B0196"/>
    <w:rsid w:val="005B0D7C"/>
    <w:rsid w:val="005B0DAF"/>
    <w:rsid w:val="005B0E86"/>
    <w:rsid w:val="005B27D6"/>
    <w:rsid w:val="005B2CD4"/>
    <w:rsid w:val="005B3A3B"/>
    <w:rsid w:val="005B5DEE"/>
    <w:rsid w:val="005B6854"/>
    <w:rsid w:val="005B6A2D"/>
    <w:rsid w:val="005C0DBE"/>
    <w:rsid w:val="005C3721"/>
    <w:rsid w:val="005C4034"/>
    <w:rsid w:val="005C465F"/>
    <w:rsid w:val="005C651C"/>
    <w:rsid w:val="005C6D3A"/>
    <w:rsid w:val="005D0D06"/>
    <w:rsid w:val="005D13C2"/>
    <w:rsid w:val="005D1427"/>
    <w:rsid w:val="005D2B62"/>
    <w:rsid w:val="005D3B24"/>
    <w:rsid w:val="005D49C8"/>
    <w:rsid w:val="005D4C33"/>
    <w:rsid w:val="005D51B5"/>
    <w:rsid w:val="005D55DE"/>
    <w:rsid w:val="005D5607"/>
    <w:rsid w:val="005D573F"/>
    <w:rsid w:val="005E1136"/>
    <w:rsid w:val="005E1D8E"/>
    <w:rsid w:val="005E37BB"/>
    <w:rsid w:val="005E37E9"/>
    <w:rsid w:val="005E4BBB"/>
    <w:rsid w:val="005F03DB"/>
    <w:rsid w:val="005F11C2"/>
    <w:rsid w:val="005F1701"/>
    <w:rsid w:val="005F3C27"/>
    <w:rsid w:val="005F4B24"/>
    <w:rsid w:val="005F77BB"/>
    <w:rsid w:val="005F7B7F"/>
    <w:rsid w:val="00602E30"/>
    <w:rsid w:val="00603706"/>
    <w:rsid w:val="00603A46"/>
    <w:rsid w:val="00604D11"/>
    <w:rsid w:val="0060578B"/>
    <w:rsid w:val="006115F7"/>
    <w:rsid w:val="00611A49"/>
    <w:rsid w:val="00612181"/>
    <w:rsid w:val="00613017"/>
    <w:rsid w:val="0061331A"/>
    <w:rsid w:val="00613A54"/>
    <w:rsid w:val="00616189"/>
    <w:rsid w:val="006166F0"/>
    <w:rsid w:val="00620343"/>
    <w:rsid w:val="00620EE6"/>
    <w:rsid w:val="006213D7"/>
    <w:rsid w:val="00621760"/>
    <w:rsid w:val="006217BB"/>
    <w:rsid w:val="00621B0D"/>
    <w:rsid w:val="00621BF7"/>
    <w:rsid w:val="00624BB7"/>
    <w:rsid w:val="00624BE1"/>
    <w:rsid w:val="00625B0A"/>
    <w:rsid w:val="00625BD5"/>
    <w:rsid w:val="00625DFB"/>
    <w:rsid w:val="0062725F"/>
    <w:rsid w:val="006323E3"/>
    <w:rsid w:val="006342F4"/>
    <w:rsid w:val="00634CEB"/>
    <w:rsid w:val="00636E0D"/>
    <w:rsid w:val="00637179"/>
    <w:rsid w:val="0063734D"/>
    <w:rsid w:val="006444C4"/>
    <w:rsid w:val="006453F1"/>
    <w:rsid w:val="006457EA"/>
    <w:rsid w:val="00646100"/>
    <w:rsid w:val="006476CA"/>
    <w:rsid w:val="006507A4"/>
    <w:rsid w:val="0065100D"/>
    <w:rsid w:val="006510BE"/>
    <w:rsid w:val="0065118C"/>
    <w:rsid w:val="00652D65"/>
    <w:rsid w:val="00653D74"/>
    <w:rsid w:val="00653F19"/>
    <w:rsid w:val="006552AE"/>
    <w:rsid w:val="00655773"/>
    <w:rsid w:val="006563CA"/>
    <w:rsid w:val="00656844"/>
    <w:rsid w:val="006578FC"/>
    <w:rsid w:val="006608AB"/>
    <w:rsid w:val="00662D5E"/>
    <w:rsid w:val="00662E00"/>
    <w:rsid w:val="006635B6"/>
    <w:rsid w:val="00663B2D"/>
    <w:rsid w:val="00664587"/>
    <w:rsid w:val="00665164"/>
    <w:rsid w:val="0066578E"/>
    <w:rsid w:val="006658E4"/>
    <w:rsid w:val="00666F25"/>
    <w:rsid w:val="00667C1C"/>
    <w:rsid w:val="00671885"/>
    <w:rsid w:val="00671D1D"/>
    <w:rsid w:val="00673DD4"/>
    <w:rsid w:val="00674AEB"/>
    <w:rsid w:val="006753B0"/>
    <w:rsid w:val="0067635F"/>
    <w:rsid w:val="00676F42"/>
    <w:rsid w:val="00681656"/>
    <w:rsid w:val="00682008"/>
    <w:rsid w:val="006820F0"/>
    <w:rsid w:val="00683C5F"/>
    <w:rsid w:val="00683CB5"/>
    <w:rsid w:val="00684330"/>
    <w:rsid w:val="0068455C"/>
    <w:rsid w:val="00685328"/>
    <w:rsid w:val="00687C3C"/>
    <w:rsid w:val="00690562"/>
    <w:rsid w:val="0069333E"/>
    <w:rsid w:val="00693C8E"/>
    <w:rsid w:val="0069582F"/>
    <w:rsid w:val="006969BA"/>
    <w:rsid w:val="006A018D"/>
    <w:rsid w:val="006A026A"/>
    <w:rsid w:val="006A0425"/>
    <w:rsid w:val="006A1D62"/>
    <w:rsid w:val="006A2935"/>
    <w:rsid w:val="006A3759"/>
    <w:rsid w:val="006A4526"/>
    <w:rsid w:val="006A4AFF"/>
    <w:rsid w:val="006A5135"/>
    <w:rsid w:val="006A6D7F"/>
    <w:rsid w:val="006A73F2"/>
    <w:rsid w:val="006A7D10"/>
    <w:rsid w:val="006A7EA3"/>
    <w:rsid w:val="006B0298"/>
    <w:rsid w:val="006B0E83"/>
    <w:rsid w:val="006B199C"/>
    <w:rsid w:val="006B3232"/>
    <w:rsid w:val="006B3974"/>
    <w:rsid w:val="006B3B54"/>
    <w:rsid w:val="006B3F47"/>
    <w:rsid w:val="006B3FF9"/>
    <w:rsid w:val="006B4141"/>
    <w:rsid w:val="006B4535"/>
    <w:rsid w:val="006B49AE"/>
    <w:rsid w:val="006B5493"/>
    <w:rsid w:val="006B6FCB"/>
    <w:rsid w:val="006B796B"/>
    <w:rsid w:val="006C0B63"/>
    <w:rsid w:val="006C10C0"/>
    <w:rsid w:val="006C1B1D"/>
    <w:rsid w:val="006C25FD"/>
    <w:rsid w:val="006C2DF5"/>
    <w:rsid w:val="006C31E0"/>
    <w:rsid w:val="006C32BB"/>
    <w:rsid w:val="006C349C"/>
    <w:rsid w:val="006C3747"/>
    <w:rsid w:val="006C4132"/>
    <w:rsid w:val="006C5B2A"/>
    <w:rsid w:val="006C5CC8"/>
    <w:rsid w:val="006C6CB8"/>
    <w:rsid w:val="006C6F31"/>
    <w:rsid w:val="006C7760"/>
    <w:rsid w:val="006C7EEA"/>
    <w:rsid w:val="006D2ADA"/>
    <w:rsid w:val="006D2B83"/>
    <w:rsid w:val="006D32A6"/>
    <w:rsid w:val="006D5217"/>
    <w:rsid w:val="006D522C"/>
    <w:rsid w:val="006D56AA"/>
    <w:rsid w:val="006D7795"/>
    <w:rsid w:val="006D789D"/>
    <w:rsid w:val="006D7ACB"/>
    <w:rsid w:val="006E00EF"/>
    <w:rsid w:val="006E1340"/>
    <w:rsid w:val="006E1A7A"/>
    <w:rsid w:val="006E22A2"/>
    <w:rsid w:val="006E38AF"/>
    <w:rsid w:val="006E3DD4"/>
    <w:rsid w:val="006E4846"/>
    <w:rsid w:val="006E71F2"/>
    <w:rsid w:val="006E72B4"/>
    <w:rsid w:val="006E7ED1"/>
    <w:rsid w:val="006F01E7"/>
    <w:rsid w:val="006F1F3A"/>
    <w:rsid w:val="006F59CF"/>
    <w:rsid w:val="006F7630"/>
    <w:rsid w:val="006F76DD"/>
    <w:rsid w:val="006F7A9A"/>
    <w:rsid w:val="006F7BCD"/>
    <w:rsid w:val="006F7EB8"/>
    <w:rsid w:val="00700912"/>
    <w:rsid w:val="00702DD7"/>
    <w:rsid w:val="0070361C"/>
    <w:rsid w:val="007047D3"/>
    <w:rsid w:val="007052DC"/>
    <w:rsid w:val="00705C40"/>
    <w:rsid w:val="00706723"/>
    <w:rsid w:val="00707499"/>
    <w:rsid w:val="00707FF2"/>
    <w:rsid w:val="0071087E"/>
    <w:rsid w:val="00714C6F"/>
    <w:rsid w:val="0071540F"/>
    <w:rsid w:val="00717731"/>
    <w:rsid w:val="00720761"/>
    <w:rsid w:val="007229A1"/>
    <w:rsid w:val="007235AA"/>
    <w:rsid w:val="007254C7"/>
    <w:rsid w:val="0072794B"/>
    <w:rsid w:val="007300C9"/>
    <w:rsid w:val="00731AE5"/>
    <w:rsid w:val="00731C2B"/>
    <w:rsid w:val="00732289"/>
    <w:rsid w:val="0073268D"/>
    <w:rsid w:val="00735915"/>
    <w:rsid w:val="00735C21"/>
    <w:rsid w:val="0073614A"/>
    <w:rsid w:val="00736FF2"/>
    <w:rsid w:val="00740C8C"/>
    <w:rsid w:val="00741AC4"/>
    <w:rsid w:val="00742591"/>
    <w:rsid w:val="0074285B"/>
    <w:rsid w:val="007430C0"/>
    <w:rsid w:val="00745AEC"/>
    <w:rsid w:val="00745CF2"/>
    <w:rsid w:val="007463E3"/>
    <w:rsid w:val="00746791"/>
    <w:rsid w:val="00747F75"/>
    <w:rsid w:val="00747F8C"/>
    <w:rsid w:val="007515BC"/>
    <w:rsid w:val="00751E7E"/>
    <w:rsid w:val="00751F63"/>
    <w:rsid w:val="007573B2"/>
    <w:rsid w:val="007574BB"/>
    <w:rsid w:val="007575E2"/>
    <w:rsid w:val="0075764C"/>
    <w:rsid w:val="0076089D"/>
    <w:rsid w:val="00761D32"/>
    <w:rsid w:val="00762198"/>
    <w:rsid w:val="007635A7"/>
    <w:rsid w:val="00763800"/>
    <w:rsid w:val="00763CE8"/>
    <w:rsid w:val="00763D85"/>
    <w:rsid w:val="00764E7C"/>
    <w:rsid w:val="00765288"/>
    <w:rsid w:val="00765844"/>
    <w:rsid w:val="00766ACC"/>
    <w:rsid w:val="00770792"/>
    <w:rsid w:val="00770F35"/>
    <w:rsid w:val="00773903"/>
    <w:rsid w:val="00773F7C"/>
    <w:rsid w:val="00774FFE"/>
    <w:rsid w:val="00775638"/>
    <w:rsid w:val="00775677"/>
    <w:rsid w:val="0077599A"/>
    <w:rsid w:val="0077622A"/>
    <w:rsid w:val="00776447"/>
    <w:rsid w:val="0077690A"/>
    <w:rsid w:val="00777353"/>
    <w:rsid w:val="00777B31"/>
    <w:rsid w:val="00780CD6"/>
    <w:rsid w:val="00782EA4"/>
    <w:rsid w:val="00783627"/>
    <w:rsid w:val="00784B85"/>
    <w:rsid w:val="00785461"/>
    <w:rsid w:val="00786FF3"/>
    <w:rsid w:val="007875AA"/>
    <w:rsid w:val="007876BC"/>
    <w:rsid w:val="007876CF"/>
    <w:rsid w:val="00787778"/>
    <w:rsid w:val="007911EC"/>
    <w:rsid w:val="00793090"/>
    <w:rsid w:val="007934D0"/>
    <w:rsid w:val="007935E5"/>
    <w:rsid w:val="00795065"/>
    <w:rsid w:val="00796BBC"/>
    <w:rsid w:val="00796F2A"/>
    <w:rsid w:val="0079735A"/>
    <w:rsid w:val="007A0176"/>
    <w:rsid w:val="007A04CE"/>
    <w:rsid w:val="007A2F67"/>
    <w:rsid w:val="007A38C9"/>
    <w:rsid w:val="007A3918"/>
    <w:rsid w:val="007A5707"/>
    <w:rsid w:val="007A6732"/>
    <w:rsid w:val="007A71E3"/>
    <w:rsid w:val="007B03E9"/>
    <w:rsid w:val="007B0B08"/>
    <w:rsid w:val="007B0E46"/>
    <w:rsid w:val="007B0E89"/>
    <w:rsid w:val="007B2C38"/>
    <w:rsid w:val="007B2E54"/>
    <w:rsid w:val="007B69E4"/>
    <w:rsid w:val="007B6F5A"/>
    <w:rsid w:val="007B7498"/>
    <w:rsid w:val="007B7AEE"/>
    <w:rsid w:val="007C05C4"/>
    <w:rsid w:val="007C18A8"/>
    <w:rsid w:val="007C3AF1"/>
    <w:rsid w:val="007C45E9"/>
    <w:rsid w:val="007C6E6C"/>
    <w:rsid w:val="007C7EB6"/>
    <w:rsid w:val="007D037A"/>
    <w:rsid w:val="007D1103"/>
    <w:rsid w:val="007D240B"/>
    <w:rsid w:val="007D2F75"/>
    <w:rsid w:val="007D3C0E"/>
    <w:rsid w:val="007D7FE7"/>
    <w:rsid w:val="007E22E7"/>
    <w:rsid w:val="007E41BC"/>
    <w:rsid w:val="007E4232"/>
    <w:rsid w:val="007E4295"/>
    <w:rsid w:val="007E44BF"/>
    <w:rsid w:val="007E5ADC"/>
    <w:rsid w:val="007E61C9"/>
    <w:rsid w:val="007E69BB"/>
    <w:rsid w:val="007E6AB8"/>
    <w:rsid w:val="007E73A4"/>
    <w:rsid w:val="007F1B4E"/>
    <w:rsid w:val="007F2109"/>
    <w:rsid w:val="007F21C5"/>
    <w:rsid w:val="007F23C0"/>
    <w:rsid w:val="007F253F"/>
    <w:rsid w:val="007F28D2"/>
    <w:rsid w:val="007F3ACF"/>
    <w:rsid w:val="007F3EF1"/>
    <w:rsid w:val="007F3F90"/>
    <w:rsid w:val="007F4178"/>
    <w:rsid w:val="007F4603"/>
    <w:rsid w:val="007F4FED"/>
    <w:rsid w:val="007F564B"/>
    <w:rsid w:val="007F63B4"/>
    <w:rsid w:val="00800FD0"/>
    <w:rsid w:val="00801A43"/>
    <w:rsid w:val="00801BCE"/>
    <w:rsid w:val="00802515"/>
    <w:rsid w:val="00802656"/>
    <w:rsid w:val="0081283F"/>
    <w:rsid w:val="008147A2"/>
    <w:rsid w:val="0081480A"/>
    <w:rsid w:val="008202EB"/>
    <w:rsid w:val="0082180A"/>
    <w:rsid w:val="00822BC6"/>
    <w:rsid w:val="00823F3D"/>
    <w:rsid w:val="008240D3"/>
    <w:rsid w:val="0082648A"/>
    <w:rsid w:val="00826491"/>
    <w:rsid w:val="00827F88"/>
    <w:rsid w:val="00832012"/>
    <w:rsid w:val="00832A52"/>
    <w:rsid w:val="008336A5"/>
    <w:rsid w:val="0083437E"/>
    <w:rsid w:val="00835474"/>
    <w:rsid w:val="00835F1D"/>
    <w:rsid w:val="008360D7"/>
    <w:rsid w:val="008373C0"/>
    <w:rsid w:val="00840A63"/>
    <w:rsid w:val="0084145F"/>
    <w:rsid w:val="008419FB"/>
    <w:rsid w:val="00841DA2"/>
    <w:rsid w:val="008434ED"/>
    <w:rsid w:val="008458F6"/>
    <w:rsid w:val="00845AED"/>
    <w:rsid w:val="00845CA0"/>
    <w:rsid w:val="0084708E"/>
    <w:rsid w:val="00850571"/>
    <w:rsid w:val="008506B4"/>
    <w:rsid w:val="008506BD"/>
    <w:rsid w:val="008506F4"/>
    <w:rsid w:val="00851AE4"/>
    <w:rsid w:val="00851F1C"/>
    <w:rsid w:val="00852121"/>
    <w:rsid w:val="008533DD"/>
    <w:rsid w:val="0085379C"/>
    <w:rsid w:val="0085485C"/>
    <w:rsid w:val="0085564A"/>
    <w:rsid w:val="0085598D"/>
    <w:rsid w:val="00856700"/>
    <w:rsid w:val="008609FC"/>
    <w:rsid w:val="00861107"/>
    <w:rsid w:val="00861AAE"/>
    <w:rsid w:val="00862771"/>
    <w:rsid w:val="00862EC5"/>
    <w:rsid w:val="00863003"/>
    <w:rsid w:val="00863B11"/>
    <w:rsid w:val="0086682F"/>
    <w:rsid w:val="00870678"/>
    <w:rsid w:val="00870C32"/>
    <w:rsid w:val="00871940"/>
    <w:rsid w:val="0087655E"/>
    <w:rsid w:val="00876F54"/>
    <w:rsid w:val="00877292"/>
    <w:rsid w:val="0087754A"/>
    <w:rsid w:val="0087766C"/>
    <w:rsid w:val="00880552"/>
    <w:rsid w:val="00881C2B"/>
    <w:rsid w:val="008839DA"/>
    <w:rsid w:val="00884A79"/>
    <w:rsid w:val="00884EE8"/>
    <w:rsid w:val="00885168"/>
    <w:rsid w:val="00885230"/>
    <w:rsid w:val="00886861"/>
    <w:rsid w:val="00887C24"/>
    <w:rsid w:val="0089173B"/>
    <w:rsid w:val="00891E76"/>
    <w:rsid w:val="0089220F"/>
    <w:rsid w:val="008935AA"/>
    <w:rsid w:val="0089445C"/>
    <w:rsid w:val="00895421"/>
    <w:rsid w:val="008954DD"/>
    <w:rsid w:val="00895942"/>
    <w:rsid w:val="008963F0"/>
    <w:rsid w:val="00896C53"/>
    <w:rsid w:val="00897C10"/>
    <w:rsid w:val="008A03A5"/>
    <w:rsid w:val="008A0886"/>
    <w:rsid w:val="008A0925"/>
    <w:rsid w:val="008A0DF3"/>
    <w:rsid w:val="008A4138"/>
    <w:rsid w:val="008A55C9"/>
    <w:rsid w:val="008A5D96"/>
    <w:rsid w:val="008A631B"/>
    <w:rsid w:val="008A662F"/>
    <w:rsid w:val="008A791B"/>
    <w:rsid w:val="008B1B3B"/>
    <w:rsid w:val="008B2CA2"/>
    <w:rsid w:val="008B3548"/>
    <w:rsid w:val="008B57F8"/>
    <w:rsid w:val="008B5948"/>
    <w:rsid w:val="008B5C43"/>
    <w:rsid w:val="008B5C93"/>
    <w:rsid w:val="008B6848"/>
    <w:rsid w:val="008C2FA1"/>
    <w:rsid w:val="008C483E"/>
    <w:rsid w:val="008C4DC9"/>
    <w:rsid w:val="008C7925"/>
    <w:rsid w:val="008C7D74"/>
    <w:rsid w:val="008D2C4C"/>
    <w:rsid w:val="008D39B7"/>
    <w:rsid w:val="008D6263"/>
    <w:rsid w:val="008D6344"/>
    <w:rsid w:val="008D6C32"/>
    <w:rsid w:val="008D7E0D"/>
    <w:rsid w:val="008D7EDB"/>
    <w:rsid w:val="008E1829"/>
    <w:rsid w:val="008E2327"/>
    <w:rsid w:val="008E3CEE"/>
    <w:rsid w:val="008E5077"/>
    <w:rsid w:val="008E64F0"/>
    <w:rsid w:val="008E6FF3"/>
    <w:rsid w:val="008E7B05"/>
    <w:rsid w:val="008F05F9"/>
    <w:rsid w:val="008F0D89"/>
    <w:rsid w:val="008F18ED"/>
    <w:rsid w:val="008F3EA1"/>
    <w:rsid w:val="008F46C2"/>
    <w:rsid w:val="008F4B45"/>
    <w:rsid w:val="008F5097"/>
    <w:rsid w:val="00900104"/>
    <w:rsid w:val="009001FC"/>
    <w:rsid w:val="00901F26"/>
    <w:rsid w:val="009020A8"/>
    <w:rsid w:val="00902B52"/>
    <w:rsid w:val="00903D37"/>
    <w:rsid w:val="00903F6C"/>
    <w:rsid w:val="00904249"/>
    <w:rsid w:val="0090601F"/>
    <w:rsid w:val="00907CDA"/>
    <w:rsid w:val="0091055D"/>
    <w:rsid w:val="00910E4D"/>
    <w:rsid w:val="009135F8"/>
    <w:rsid w:val="00913B76"/>
    <w:rsid w:val="009140A3"/>
    <w:rsid w:val="009141A5"/>
    <w:rsid w:val="00914C61"/>
    <w:rsid w:val="0091633A"/>
    <w:rsid w:val="00917D6F"/>
    <w:rsid w:val="00920587"/>
    <w:rsid w:val="00921B1A"/>
    <w:rsid w:val="00921DDA"/>
    <w:rsid w:val="0092246D"/>
    <w:rsid w:val="009224D2"/>
    <w:rsid w:val="0092600D"/>
    <w:rsid w:val="00927D70"/>
    <w:rsid w:val="00927ED6"/>
    <w:rsid w:val="0093039D"/>
    <w:rsid w:val="00931E4F"/>
    <w:rsid w:val="0093344C"/>
    <w:rsid w:val="0093364D"/>
    <w:rsid w:val="009355D5"/>
    <w:rsid w:val="00936574"/>
    <w:rsid w:val="00943BCE"/>
    <w:rsid w:val="00947608"/>
    <w:rsid w:val="009519A6"/>
    <w:rsid w:val="009542DA"/>
    <w:rsid w:val="00954D17"/>
    <w:rsid w:val="00957104"/>
    <w:rsid w:val="00957CA8"/>
    <w:rsid w:val="00957F4D"/>
    <w:rsid w:val="00960346"/>
    <w:rsid w:val="009617D3"/>
    <w:rsid w:val="00963DC8"/>
    <w:rsid w:val="0096463B"/>
    <w:rsid w:val="00967869"/>
    <w:rsid w:val="00970475"/>
    <w:rsid w:val="00971F54"/>
    <w:rsid w:val="009725C5"/>
    <w:rsid w:val="00973F40"/>
    <w:rsid w:val="00973FDF"/>
    <w:rsid w:val="00974F1D"/>
    <w:rsid w:val="009771CD"/>
    <w:rsid w:val="009806E2"/>
    <w:rsid w:val="00983031"/>
    <w:rsid w:val="00983AA1"/>
    <w:rsid w:val="009849EF"/>
    <w:rsid w:val="00984BE6"/>
    <w:rsid w:val="00985347"/>
    <w:rsid w:val="00986DB7"/>
    <w:rsid w:val="00986FB7"/>
    <w:rsid w:val="00990362"/>
    <w:rsid w:val="00990482"/>
    <w:rsid w:val="009929F6"/>
    <w:rsid w:val="0099315B"/>
    <w:rsid w:val="00993262"/>
    <w:rsid w:val="009934CF"/>
    <w:rsid w:val="00993B80"/>
    <w:rsid w:val="00994D5D"/>
    <w:rsid w:val="00995364"/>
    <w:rsid w:val="00995AD7"/>
    <w:rsid w:val="009972BB"/>
    <w:rsid w:val="009A0D75"/>
    <w:rsid w:val="009A25DD"/>
    <w:rsid w:val="009A3007"/>
    <w:rsid w:val="009A32D7"/>
    <w:rsid w:val="009A347A"/>
    <w:rsid w:val="009A4D33"/>
    <w:rsid w:val="009A50FB"/>
    <w:rsid w:val="009A5876"/>
    <w:rsid w:val="009A620E"/>
    <w:rsid w:val="009A6637"/>
    <w:rsid w:val="009B190E"/>
    <w:rsid w:val="009B26BC"/>
    <w:rsid w:val="009B548D"/>
    <w:rsid w:val="009B634E"/>
    <w:rsid w:val="009B6578"/>
    <w:rsid w:val="009B6A6F"/>
    <w:rsid w:val="009B6F52"/>
    <w:rsid w:val="009C155B"/>
    <w:rsid w:val="009C1AFE"/>
    <w:rsid w:val="009C3FA3"/>
    <w:rsid w:val="009C4081"/>
    <w:rsid w:val="009C44AA"/>
    <w:rsid w:val="009C4785"/>
    <w:rsid w:val="009C5531"/>
    <w:rsid w:val="009C5F24"/>
    <w:rsid w:val="009C7247"/>
    <w:rsid w:val="009C787D"/>
    <w:rsid w:val="009D048B"/>
    <w:rsid w:val="009D0E28"/>
    <w:rsid w:val="009D1FDE"/>
    <w:rsid w:val="009D2E17"/>
    <w:rsid w:val="009D3DB3"/>
    <w:rsid w:val="009D5C3E"/>
    <w:rsid w:val="009D69C6"/>
    <w:rsid w:val="009D7EDD"/>
    <w:rsid w:val="009E1F55"/>
    <w:rsid w:val="009E27C4"/>
    <w:rsid w:val="009E3A34"/>
    <w:rsid w:val="009E4A3E"/>
    <w:rsid w:val="009E5419"/>
    <w:rsid w:val="009E5A6E"/>
    <w:rsid w:val="009F32E8"/>
    <w:rsid w:val="009F46DC"/>
    <w:rsid w:val="009F5EC6"/>
    <w:rsid w:val="00A00BF3"/>
    <w:rsid w:val="00A01340"/>
    <w:rsid w:val="00A01944"/>
    <w:rsid w:val="00A01C00"/>
    <w:rsid w:val="00A04831"/>
    <w:rsid w:val="00A05317"/>
    <w:rsid w:val="00A05C27"/>
    <w:rsid w:val="00A060A7"/>
    <w:rsid w:val="00A06833"/>
    <w:rsid w:val="00A06D9C"/>
    <w:rsid w:val="00A10AB8"/>
    <w:rsid w:val="00A112F7"/>
    <w:rsid w:val="00A11CAD"/>
    <w:rsid w:val="00A14169"/>
    <w:rsid w:val="00A14880"/>
    <w:rsid w:val="00A1620A"/>
    <w:rsid w:val="00A1620D"/>
    <w:rsid w:val="00A16AC0"/>
    <w:rsid w:val="00A16EBA"/>
    <w:rsid w:val="00A17E23"/>
    <w:rsid w:val="00A20877"/>
    <w:rsid w:val="00A21847"/>
    <w:rsid w:val="00A22EAF"/>
    <w:rsid w:val="00A23D31"/>
    <w:rsid w:val="00A24C9B"/>
    <w:rsid w:val="00A25B13"/>
    <w:rsid w:val="00A26022"/>
    <w:rsid w:val="00A27124"/>
    <w:rsid w:val="00A2783A"/>
    <w:rsid w:val="00A27D2B"/>
    <w:rsid w:val="00A301A7"/>
    <w:rsid w:val="00A3043F"/>
    <w:rsid w:val="00A30C34"/>
    <w:rsid w:val="00A30FD3"/>
    <w:rsid w:val="00A31139"/>
    <w:rsid w:val="00A31AF3"/>
    <w:rsid w:val="00A347C1"/>
    <w:rsid w:val="00A3557F"/>
    <w:rsid w:val="00A356BB"/>
    <w:rsid w:val="00A35E2F"/>
    <w:rsid w:val="00A36C75"/>
    <w:rsid w:val="00A37891"/>
    <w:rsid w:val="00A404EA"/>
    <w:rsid w:val="00A40A51"/>
    <w:rsid w:val="00A40CAA"/>
    <w:rsid w:val="00A42292"/>
    <w:rsid w:val="00A4361C"/>
    <w:rsid w:val="00A43CDA"/>
    <w:rsid w:val="00A44B26"/>
    <w:rsid w:val="00A47916"/>
    <w:rsid w:val="00A47D71"/>
    <w:rsid w:val="00A506B3"/>
    <w:rsid w:val="00A50746"/>
    <w:rsid w:val="00A509EC"/>
    <w:rsid w:val="00A52B9B"/>
    <w:rsid w:val="00A536DA"/>
    <w:rsid w:val="00A53D89"/>
    <w:rsid w:val="00A544BD"/>
    <w:rsid w:val="00A571CD"/>
    <w:rsid w:val="00A57C3D"/>
    <w:rsid w:val="00A600DB"/>
    <w:rsid w:val="00A615DC"/>
    <w:rsid w:val="00A61839"/>
    <w:rsid w:val="00A61E0F"/>
    <w:rsid w:val="00A61F25"/>
    <w:rsid w:val="00A63630"/>
    <w:rsid w:val="00A6494A"/>
    <w:rsid w:val="00A65CD8"/>
    <w:rsid w:val="00A668B7"/>
    <w:rsid w:val="00A6697B"/>
    <w:rsid w:val="00A67417"/>
    <w:rsid w:val="00A71133"/>
    <w:rsid w:val="00A719E2"/>
    <w:rsid w:val="00A71EFF"/>
    <w:rsid w:val="00A71FE2"/>
    <w:rsid w:val="00A731B6"/>
    <w:rsid w:val="00A74C2D"/>
    <w:rsid w:val="00A75570"/>
    <w:rsid w:val="00A7649A"/>
    <w:rsid w:val="00A76B34"/>
    <w:rsid w:val="00A80644"/>
    <w:rsid w:val="00A83487"/>
    <w:rsid w:val="00A84A76"/>
    <w:rsid w:val="00A854FF"/>
    <w:rsid w:val="00A85B57"/>
    <w:rsid w:val="00A87035"/>
    <w:rsid w:val="00A8745D"/>
    <w:rsid w:val="00A87C48"/>
    <w:rsid w:val="00A87FD7"/>
    <w:rsid w:val="00A90989"/>
    <w:rsid w:val="00A90F9B"/>
    <w:rsid w:val="00A92694"/>
    <w:rsid w:val="00A93072"/>
    <w:rsid w:val="00A95108"/>
    <w:rsid w:val="00A9629C"/>
    <w:rsid w:val="00A96B0B"/>
    <w:rsid w:val="00A9753C"/>
    <w:rsid w:val="00A97737"/>
    <w:rsid w:val="00AA1152"/>
    <w:rsid w:val="00AA228C"/>
    <w:rsid w:val="00AA246D"/>
    <w:rsid w:val="00AA35D5"/>
    <w:rsid w:val="00AA417B"/>
    <w:rsid w:val="00AA533F"/>
    <w:rsid w:val="00AA5A86"/>
    <w:rsid w:val="00AA70FB"/>
    <w:rsid w:val="00AB010D"/>
    <w:rsid w:val="00AB0749"/>
    <w:rsid w:val="00AB1209"/>
    <w:rsid w:val="00AB2DE1"/>
    <w:rsid w:val="00AB5709"/>
    <w:rsid w:val="00AB76D8"/>
    <w:rsid w:val="00AB7E6A"/>
    <w:rsid w:val="00AC1B61"/>
    <w:rsid w:val="00AC1EAA"/>
    <w:rsid w:val="00AC2C6E"/>
    <w:rsid w:val="00AC5EE6"/>
    <w:rsid w:val="00AC63CF"/>
    <w:rsid w:val="00AC641F"/>
    <w:rsid w:val="00AC6857"/>
    <w:rsid w:val="00AD0D24"/>
    <w:rsid w:val="00AD0FA2"/>
    <w:rsid w:val="00AD1923"/>
    <w:rsid w:val="00AD2611"/>
    <w:rsid w:val="00AD3AC5"/>
    <w:rsid w:val="00AD3D57"/>
    <w:rsid w:val="00AD477B"/>
    <w:rsid w:val="00AD4882"/>
    <w:rsid w:val="00AD776C"/>
    <w:rsid w:val="00AE1BA2"/>
    <w:rsid w:val="00AE33C9"/>
    <w:rsid w:val="00AE4507"/>
    <w:rsid w:val="00AE47BF"/>
    <w:rsid w:val="00AE49A4"/>
    <w:rsid w:val="00AE5024"/>
    <w:rsid w:val="00AF0F98"/>
    <w:rsid w:val="00AF214A"/>
    <w:rsid w:val="00AF3368"/>
    <w:rsid w:val="00AF36A2"/>
    <w:rsid w:val="00AF3E3A"/>
    <w:rsid w:val="00AF44A9"/>
    <w:rsid w:val="00AF6432"/>
    <w:rsid w:val="00AF66A7"/>
    <w:rsid w:val="00AF673B"/>
    <w:rsid w:val="00AF6B9D"/>
    <w:rsid w:val="00AF75BE"/>
    <w:rsid w:val="00AF79BD"/>
    <w:rsid w:val="00B06E23"/>
    <w:rsid w:val="00B07AC2"/>
    <w:rsid w:val="00B07F12"/>
    <w:rsid w:val="00B110AF"/>
    <w:rsid w:val="00B11EBD"/>
    <w:rsid w:val="00B1415B"/>
    <w:rsid w:val="00B151F2"/>
    <w:rsid w:val="00B15278"/>
    <w:rsid w:val="00B15EFC"/>
    <w:rsid w:val="00B21671"/>
    <w:rsid w:val="00B217E2"/>
    <w:rsid w:val="00B233AB"/>
    <w:rsid w:val="00B234EC"/>
    <w:rsid w:val="00B26473"/>
    <w:rsid w:val="00B2732B"/>
    <w:rsid w:val="00B274AE"/>
    <w:rsid w:val="00B274BF"/>
    <w:rsid w:val="00B31222"/>
    <w:rsid w:val="00B32215"/>
    <w:rsid w:val="00B3261D"/>
    <w:rsid w:val="00B32C53"/>
    <w:rsid w:val="00B33AEB"/>
    <w:rsid w:val="00B36642"/>
    <w:rsid w:val="00B4118B"/>
    <w:rsid w:val="00B41F43"/>
    <w:rsid w:val="00B41FDD"/>
    <w:rsid w:val="00B42E16"/>
    <w:rsid w:val="00B42E81"/>
    <w:rsid w:val="00B4329D"/>
    <w:rsid w:val="00B434FC"/>
    <w:rsid w:val="00B443F5"/>
    <w:rsid w:val="00B44D40"/>
    <w:rsid w:val="00B46640"/>
    <w:rsid w:val="00B520F9"/>
    <w:rsid w:val="00B525DB"/>
    <w:rsid w:val="00B52812"/>
    <w:rsid w:val="00B53EBD"/>
    <w:rsid w:val="00B5495A"/>
    <w:rsid w:val="00B54E2E"/>
    <w:rsid w:val="00B566DA"/>
    <w:rsid w:val="00B56D85"/>
    <w:rsid w:val="00B577A3"/>
    <w:rsid w:val="00B6087A"/>
    <w:rsid w:val="00B6258B"/>
    <w:rsid w:val="00B645F2"/>
    <w:rsid w:val="00B64641"/>
    <w:rsid w:val="00B655A0"/>
    <w:rsid w:val="00B65E1E"/>
    <w:rsid w:val="00B667D0"/>
    <w:rsid w:val="00B67D38"/>
    <w:rsid w:val="00B7262F"/>
    <w:rsid w:val="00B727C5"/>
    <w:rsid w:val="00B72FD2"/>
    <w:rsid w:val="00B73FD4"/>
    <w:rsid w:val="00B74FC5"/>
    <w:rsid w:val="00B7564C"/>
    <w:rsid w:val="00B75A6C"/>
    <w:rsid w:val="00B765F8"/>
    <w:rsid w:val="00B774CA"/>
    <w:rsid w:val="00B8078E"/>
    <w:rsid w:val="00B81B8B"/>
    <w:rsid w:val="00B82F2D"/>
    <w:rsid w:val="00B83E2A"/>
    <w:rsid w:val="00B83E38"/>
    <w:rsid w:val="00B84FDD"/>
    <w:rsid w:val="00B85DF3"/>
    <w:rsid w:val="00B86869"/>
    <w:rsid w:val="00B86C19"/>
    <w:rsid w:val="00B870C6"/>
    <w:rsid w:val="00B92EDF"/>
    <w:rsid w:val="00B93510"/>
    <w:rsid w:val="00B93E33"/>
    <w:rsid w:val="00B9412E"/>
    <w:rsid w:val="00B94324"/>
    <w:rsid w:val="00B94F72"/>
    <w:rsid w:val="00B954F3"/>
    <w:rsid w:val="00B95BCD"/>
    <w:rsid w:val="00B95CDC"/>
    <w:rsid w:val="00B95CE5"/>
    <w:rsid w:val="00B977B9"/>
    <w:rsid w:val="00BA03E9"/>
    <w:rsid w:val="00BA0893"/>
    <w:rsid w:val="00BA0D0B"/>
    <w:rsid w:val="00BA0ED5"/>
    <w:rsid w:val="00BA37A8"/>
    <w:rsid w:val="00BA3B4C"/>
    <w:rsid w:val="00BA3DF4"/>
    <w:rsid w:val="00BA3EA8"/>
    <w:rsid w:val="00BA5927"/>
    <w:rsid w:val="00BA7683"/>
    <w:rsid w:val="00BB1891"/>
    <w:rsid w:val="00BB27E3"/>
    <w:rsid w:val="00BB375D"/>
    <w:rsid w:val="00BB425C"/>
    <w:rsid w:val="00BB4476"/>
    <w:rsid w:val="00BB4514"/>
    <w:rsid w:val="00BB49A0"/>
    <w:rsid w:val="00BB5067"/>
    <w:rsid w:val="00BB515F"/>
    <w:rsid w:val="00BB5B41"/>
    <w:rsid w:val="00BB5DFF"/>
    <w:rsid w:val="00BB6E2D"/>
    <w:rsid w:val="00BB736A"/>
    <w:rsid w:val="00BC099A"/>
    <w:rsid w:val="00BC1FA5"/>
    <w:rsid w:val="00BC211C"/>
    <w:rsid w:val="00BC2C0C"/>
    <w:rsid w:val="00BC4CF5"/>
    <w:rsid w:val="00BC539E"/>
    <w:rsid w:val="00BC55E5"/>
    <w:rsid w:val="00BC64F5"/>
    <w:rsid w:val="00BC732A"/>
    <w:rsid w:val="00BC758B"/>
    <w:rsid w:val="00BD181B"/>
    <w:rsid w:val="00BD2EAC"/>
    <w:rsid w:val="00BD4BB3"/>
    <w:rsid w:val="00BD5CDF"/>
    <w:rsid w:val="00BD5F6D"/>
    <w:rsid w:val="00BD61E2"/>
    <w:rsid w:val="00BE17C6"/>
    <w:rsid w:val="00BE2BD3"/>
    <w:rsid w:val="00BE2E32"/>
    <w:rsid w:val="00BE4865"/>
    <w:rsid w:val="00BE69BF"/>
    <w:rsid w:val="00BE6A3C"/>
    <w:rsid w:val="00BE725A"/>
    <w:rsid w:val="00BE7430"/>
    <w:rsid w:val="00BE7B48"/>
    <w:rsid w:val="00BF02B3"/>
    <w:rsid w:val="00BF0B9D"/>
    <w:rsid w:val="00BF259E"/>
    <w:rsid w:val="00BF2920"/>
    <w:rsid w:val="00BF3381"/>
    <w:rsid w:val="00BF4C63"/>
    <w:rsid w:val="00BF7006"/>
    <w:rsid w:val="00C00CE6"/>
    <w:rsid w:val="00C05514"/>
    <w:rsid w:val="00C05543"/>
    <w:rsid w:val="00C06734"/>
    <w:rsid w:val="00C07B7E"/>
    <w:rsid w:val="00C105B6"/>
    <w:rsid w:val="00C10FCF"/>
    <w:rsid w:val="00C123E4"/>
    <w:rsid w:val="00C1291A"/>
    <w:rsid w:val="00C13895"/>
    <w:rsid w:val="00C143EE"/>
    <w:rsid w:val="00C1566D"/>
    <w:rsid w:val="00C1575E"/>
    <w:rsid w:val="00C16B4B"/>
    <w:rsid w:val="00C17427"/>
    <w:rsid w:val="00C17ECF"/>
    <w:rsid w:val="00C204E7"/>
    <w:rsid w:val="00C20C00"/>
    <w:rsid w:val="00C210FD"/>
    <w:rsid w:val="00C21EB2"/>
    <w:rsid w:val="00C22901"/>
    <w:rsid w:val="00C22F6B"/>
    <w:rsid w:val="00C2521B"/>
    <w:rsid w:val="00C25238"/>
    <w:rsid w:val="00C305C8"/>
    <w:rsid w:val="00C305F2"/>
    <w:rsid w:val="00C307AF"/>
    <w:rsid w:val="00C3345C"/>
    <w:rsid w:val="00C33C9A"/>
    <w:rsid w:val="00C3487E"/>
    <w:rsid w:val="00C3773E"/>
    <w:rsid w:val="00C407E5"/>
    <w:rsid w:val="00C41DAA"/>
    <w:rsid w:val="00C41EB5"/>
    <w:rsid w:val="00C42C95"/>
    <w:rsid w:val="00C42DAC"/>
    <w:rsid w:val="00C4342B"/>
    <w:rsid w:val="00C436FC"/>
    <w:rsid w:val="00C459A9"/>
    <w:rsid w:val="00C46615"/>
    <w:rsid w:val="00C502A5"/>
    <w:rsid w:val="00C521F7"/>
    <w:rsid w:val="00C53008"/>
    <w:rsid w:val="00C55151"/>
    <w:rsid w:val="00C558FF"/>
    <w:rsid w:val="00C560FA"/>
    <w:rsid w:val="00C570C5"/>
    <w:rsid w:val="00C57FF9"/>
    <w:rsid w:val="00C61260"/>
    <w:rsid w:val="00C61B22"/>
    <w:rsid w:val="00C6305F"/>
    <w:rsid w:val="00C64434"/>
    <w:rsid w:val="00C659E5"/>
    <w:rsid w:val="00C677C9"/>
    <w:rsid w:val="00C70458"/>
    <w:rsid w:val="00C7063C"/>
    <w:rsid w:val="00C71D35"/>
    <w:rsid w:val="00C72099"/>
    <w:rsid w:val="00C73C57"/>
    <w:rsid w:val="00C74101"/>
    <w:rsid w:val="00C7426E"/>
    <w:rsid w:val="00C74D43"/>
    <w:rsid w:val="00C75CA7"/>
    <w:rsid w:val="00C766D6"/>
    <w:rsid w:val="00C769D1"/>
    <w:rsid w:val="00C8079B"/>
    <w:rsid w:val="00C81390"/>
    <w:rsid w:val="00C81C46"/>
    <w:rsid w:val="00C82C65"/>
    <w:rsid w:val="00C83873"/>
    <w:rsid w:val="00C85675"/>
    <w:rsid w:val="00C901BB"/>
    <w:rsid w:val="00C90CD3"/>
    <w:rsid w:val="00C92552"/>
    <w:rsid w:val="00C93621"/>
    <w:rsid w:val="00C93F1B"/>
    <w:rsid w:val="00C96D01"/>
    <w:rsid w:val="00C976D1"/>
    <w:rsid w:val="00CA0E6B"/>
    <w:rsid w:val="00CA1FCA"/>
    <w:rsid w:val="00CA440C"/>
    <w:rsid w:val="00CA6770"/>
    <w:rsid w:val="00CA71D4"/>
    <w:rsid w:val="00CB1F3C"/>
    <w:rsid w:val="00CB4FC8"/>
    <w:rsid w:val="00CB5D29"/>
    <w:rsid w:val="00CB675A"/>
    <w:rsid w:val="00CB782B"/>
    <w:rsid w:val="00CB7ED5"/>
    <w:rsid w:val="00CC0E77"/>
    <w:rsid w:val="00CC1153"/>
    <w:rsid w:val="00CC1745"/>
    <w:rsid w:val="00CC2092"/>
    <w:rsid w:val="00CC302A"/>
    <w:rsid w:val="00CC5D85"/>
    <w:rsid w:val="00CC5E76"/>
    <w:rsid w:val="00CC685F"/>
    <w:rsid w:val="00CC71E1"/>
    <w:rsid w:val="00CC765A"/>
    <w:rsid w:val="00CC79FE"/>
    <w:rsid w:val="00CC7B01"/>
    <w:rsid w:val="00CD0C20"/>
    <w:rsid w:val="00CD3A5D"/>
    <w:rsid w:val="00CD3CA9"/>
    <w:rsid w:val="00CD43BE"/>
    <w:rsid w:val="00CD5FD4"/>
    <w:rsid w:val="00CD7B81"/>
    <w:rsid w:val="00CE0DCE"/>
    <w:rsid w:val="00CE1B1E"/>
    <w:rsid w:val="00CE1BC9"/>
    <w:rsid w:val="00CE1DAA"/>
    <w:rsid w:val="00CE33C1"/>
    <w:rsid w:val="00CE3AFD"/>
    <w:rsid w:val="00CE4DD6"/>
    <w:rsid w:val="00CE692A"/>
    <w:rsid w:val="00CE76FF"/>
    <w:rsid w:val="00CE778C"/>
    <w:rsid w:val="00CE779B"/>
    <w:rsid w:val="00CF1C93"/>
    <w:rsid w:val="00CF20BC"/>
    <w:rsid w:val="00CF2FD4"/>
    <w:rsid w:val="00CF4012"/>
    <w:rsid w:val="00CF5C25"/>
    <w:rsid w:val="00CF6A22"/>
    <w:rsid w:val="00CF6ECC"/>
    <w:rsid w:val="00CF7AA3"/>
    <w:rsid w:val="00CF7F57"/>
    <w:rsid w:val="00D0048D"/>
    <w:rsid w:val="00D00B3A"/>
    <w:rsid w:val="00D02BC6"/>
    <w:rsid w:val="00D0310D"/>
    <w:rsid w:val="00D05803"/>
    <w:rsid w:val="00D05C7C"/>
    <w:rsid w:val="00D05EFE"/>
    <w:rsid w:val="00D06218"/>
    <w:rsid w:val="00D06906"/>
    <w:rsid w:val="00D06DDD"/>
    <w:rsid w:val="00D07742"/>
    <w:rsid w:val="00D100AE"/>
    <w:rsid w:val="00D110D4"/>
    <w:rsid w:val="00D1276A"/>
    <w:rsid w:val="00D12E0B"/>
    <w:rsid w:val="00D14DB7"/>
    <w:rsid w:val="00D14E1A"/>
    <w:rsid w:val="00D15ED5"/>
    <w:rsid w:val="00D170EE"/>
    <w:rsid w:val="00D20771"/>
    <w:rsid w:val="00D22B6A"/>
    <w:rsid w:val="00D23161"/>
    <w:rsid w:val="00D2369D"/>
    <w:rsid w:val="00D255CF"/>
    <w:rsid w:val="00D26B5D"/>
    <w:rsid w:val="00D3011E"/>
    <w:rsid w:val="00D319F1"/>
    <w:rsid w:val="00D32943"/>
    <w:rsid w:val="00D348F7"/>
    <w:rsid w:val="00D351E9"/>
    <w:rsid w:val="00D3703D"/>
    <w:rsid w:val="00D37ADF"/>
    <w:rsid w:val="00D37F2B"/>
    <w:rsid w:val="00D40BC3"/>
    <w:rsid w:val="00D422ED"/>
    <w:rsid w:val="00D434EC"/>
    <w:rsid w:val="00D43894"/>
    <w:rsid w:val="00D4408C"/>
    <w:rsid w:val="00D444D0"/>
    <w:rsid w:val="00D44A44"/>
    <w:rsid w:val="00D44E9D"/>
    <w:rsid w:val="00D46E5C"/>
    <w:rsid w:val="00D46FC7"/>
    <w:rsid w:val="00D472A7"/>
    <w:rsid w:val="00D50230"/>
    <w:rsid w:val="00D519BC"/>
    <w:rsid w:val="00D531B4"/>
    <w:rsid w:val="00D538A8"/>
    <w:rsid w:val="00D5653C"/>
    <w:rsid w:val="00D61A0E"/>
    <w:rsid w:val="00D65317"/>
    <w:rsid w:val="00D717D8"/>
    <w:rsid w:val="00D71CF9"/>
    <w:rsid w:val="00D735AE"/>
    <w:rsid w:val="00D75FF9"/>
    <w:rsid w:val="00D77FCD"/>
    <w:rsid w:val="00D80ED6"/>
    <w:rsid w:val="00D80F9D"/>
    <w:rsid w:val="00D81BAE"/>
    <w:rsid w:val="00D844B1"/>
    <w:rsid w:val="00D849DD"/>
    <w:rsid w:val="00D84B17"/>
    <w:rsid w:val="00D8507D"/>
    <w:rsid w:val="00D86735"/>
    <w:rsid w:val="00D86C7D"/>
    <w:rsid w:val="00D8718E"/>
    <w:rsid w:val="00D871FB"/>
    <w:rsid w:val="00D877D6"/>
    <w:rsid w:val="00D90C57"/>
    <w:rsid w:val="00D90C9D"/>
    <w:rsid w:val="00D90E57"/>
    <w:rsid w:val="00D91910"/>
    <w:rsid w:val="00D91AA8"/>
    <w:rsid w:val="00D935FC"/>
    <w:rsid w:val="00D944A6"/>
    <w:rsid w:val="00D94976"/>
    <w:rsid w:val="00D949A5"/>
    <w:rsid w:val="00D95B92"/>
    <w:rsid w:val="00D95C7A"/>
    <w:rsid w:val="00D96BF1"/>
    <w:rsid w:val="00D96E9B"/>
    <w:rsid w:val="00D96FC3"/>
    <w:rsid w:val="00DA08C5"/>
    <w:rsid w:val="00DA12C3"/>
    <w:rsid w:val="00DA191D"/>
    <w:rsid w:val="00DA1E68"/>
    <w:rsid w:val="00DA2571"/>
    <w:rsid w:val="00DA45F0"/>
    <w:rsid w:val="00DA495D"/>
    <w:rsid w:val="00DA50B6"/>
    <w:rsid w:val="00DA7BA0"/>
    <w:rsid w:val="00DB0995"/>
    <w:rsid w:val="00DB3C6E"/>
    <w:rsid w:val="00DB469A"/>
    <w:rsid w:val="00DB52C3"/>
    <w:rsid w:val="00DB5DA3"/>
    <w:rsid w:val="00DB673F"/>
    <w:rsid w:val="00DB7E5F"/>
    <w:rsid w:val="00DC10B0"/>
    <w:rsid w:val="00DC1594"/>
    <w:rsid w:val="00DC2940"/>
    <w:rsid w:val="00DC3DA9"/>
    <w:rsid w:val="00DC4BCD"/>
    <w:rsid w:val="00DC597C"/>
    <w:rsid w:val="00DC5AC6"/>
    <w:rsid w:val="00DC6BA1"/>
    <w:rsid w:val="00DC79C7"/>
    <w:rsid w:val="00DD1107"/>
    <w:rsid w:val="00DD1636"/>
    <w:rsid w:val="00DD178F"/>
    <w:rsid w:val="00DD1C88"/>
    <w:rsid w:val="00DD1FE4"/>
    <w:rsid w:val="00DD63D0"/>
    <w:rsid w:val="00DE01D8"/>
    <w:rsid w:val="00DE2847"/>
    <w:rsid w:val="00DE2966"/>
    <w:rsid w:val="00DE4107"/>
    <w:rsid w:val="00DE436F"/>
    <w:rsid w:val="00DE5124"/>
    <w:rsid w:val="00DF0B5E"/>
    <w:rsid w:val="00DF0ED5"/>
    <w:rsid w:val="00DF0F64"/>
    <w:rsid w:val="00DF1186"/>
    <w:rsid w:val="00DF2311"/>
    <w:rsid w:val="00DF36F7"/>
    <w:rsid w:val="00DF398D"/>
    <w:rsid w:val="00DF67D8"/>
    <w:rsid w:val="00DF72D9"/>
    <w:rsid w:val="00DF7EC8"/>
    <w:rsid w:val="00E00041"/>
    <w:rsid w:val="00E020C4"/>
    <w:rsid w:val="00E028ED"/>
    <w:rsid w:val="00E02A57"/>
    <w:rsid w:val="00E02B6F"/>
    <w:rsid w:val="00E04660"/>
    <w:rsid w:val="00E04BA2"/>
    <w:rsid w:val="00E06C17"/>
    <w:rsid w:val="00E07AF1"/>
    <w:rsid w:val="00E104F6"/>
    <w:rsid w:val="00E10748"/>
    <w:rsid w:val="00E1094C"/>
    <w:rsid w:val="00E1100F"/>
    <w:rsid w:val="00E11EF3"/>
    <w:rsid w:val="00E123AF"/>
    <w:rsid w:val="00E12F57"/>
    <w:rsid w:val="00E14282"/>
    <w:rsid w:val="00E14774"/>
    <w:rsid w:val="00E155C6"/>
    <w:rsid w:val="00E17ABD"/>
    <w:rsid w:val="00E200BA"/>
    <w:rsid w:val="00E2346B"/>
    <w:rsid w:val="00E24C70"/>
    <w:rsid w:val="00E26B53"/>
    <w:rsid w:val="00E27DDF"/>
    <w:rsid w:val="00E27E01"/>
    <w:rsid w:val="00E30A90"/>
    <w:rsid w:val="00E32DBA"/>
    <w:rsid w:val="00E34154"/>
    <w:rsid w:val="00E350F4"/>
    <w:rsid w:val="00E40A82"/>
    <w:rsid w:val="00E41142"/>
    <w:rsid w:val="00E4249F"/>
    <w:rsid w:val="00E43469"/>
    <w:rsid w:val="00E445DA"/>
    <w:rsid w:val="00E45379"/>
    <w:rsid w:val="00E45C35"/>
    <w:rsid w:val="00E469B1"/>
    <w:rsid w:val="00E47BCB"/>
    <w:rsid w:val="00E50B22"/>
    <w:rsid w:val="00E50C4F"/>
    <w:rsid w:val="00E513B2"/>
    <w:rsid w:val="00E51E18"/>
    <w:rsid w:val="00E520D2"/>
    <w:rsid w:val="00E527EE"/>
    <w:rsid w:val="00E533BD"/>
    <w:rsid w:val="00E53706"/>
    <w:rsid w:val="00E54B5F"/>
    <w:rsid w:val="00E567AD"/>
    <w:rsid w:val="00E573C6"/>
    <w:rsid w:val="00E57CE2"/>
    <w:rsid w:val="00E61343"/>
    <w:rsid w:val="00E613BA"/>
    <w:rsid w:val="00E617BD"/>
    <w:rsid w:val="00E618D9"/>
    <w:rsid w:val="00E67009"/>
    <w:rsid w:val="00E67B7B"/>
    <w:rsid w:val="00E70503"/>
    <w:rsid w:val="00E705B4"/>
    <w:rsid w:val="00E70B9A"/>
    <w:rsid w:val="00E70BBB"/>
    <w:rsid w:val="00E713BD"/>
    <w:rsid w:val="00E716DD"/>
    <w:rsid w:val="00E71BE1"/>
    <w:rsid w:val="00E72967"/>
    <w:rsid w:val="00E72A19"/>
    <w:rsid w:val="00E7314A"/>
    <w:rsid w:val="00E74768"/>
    <w:rsid w:val="00E759B2"/>
    <w:rsid w:val="00E770B3"/>
    <w:rsid w:val="00E804F0"/>
    <w:rsid w:val="00E8155D"/>
    <w:rsid w:val="00E829A2"/>
    <w:rsid w:val="00E86361"/>
    <w:rsid w:val="00E90C37"/>
    <w:rsid w:val="00E90EB9"/>
    <w:rsid w:val="00E91202"/>
    <w:rsid w:val="00E91F1D"/>
    <w:rsid w:val="00E92ADE"/>
    <w:rsid w:val="00E932E9"/>
    <w:rsid w:val="00E9358F"/>
    <w:rsid w:val="00E95F90"/>
    <w:rsid w:val="00E96FFC"/>
    <w:rsid w:val="00E97912"/>
    <w:rsid w:val="00EA0E04"/>
    <w:rsid w:val="00EA1E39"/>
    <w:rsid w:val="00EA220D"/>
    <w:rsid w:val="00EA3156"/>
    <w:rsid w:val="00EA39C8"/>
    <w:rsid w:val="00EA40A2"/>
    <w:rsid w:val="00EA4CD5"/>
    <w:rsid w:val="00EA5D2C"/>
    <w:rsid w:val="00EA5D8E"/>
    <w:rsid w:val="00EA68DA"/>
    <w:rsid w:val="00EB0141"/>
    <w:rsid w:val="00EB050D"/>
    <w:rsid w:val="00EB07CF"/>
    <w:rsid w:val="00EB092D"/>
    <w:rsid w:val="00EB1E79"/>
    <w:rsid w:val="00EB3B88"/>
    <w:rsid w:val="00EC0153"/>
    <w:rsid w:val="00EC0D64"/>
    <w:rsid w:val="00EC247B"/>
    <w:rsid w:val="00EC3B8F"/>
    <w:rsid w:val="00EC5CA0"/>
    <w:rsid w:val="00EC5D05"/>
    <w:rsid w:val="00EC7372"/>
    <w:rsid w:val="00EC763F"/>
    <w:rsid w:val="00EC7FB1"/>
    <w:rsid w:val="00ED0EEF"/>
    <w:rsid w:val="00ED1995"/>
    <w:rsid w:val="00ED1BD8"/>
    <w:rsid w:val="00ED30E8"/>
    <w:rsid w:val="00ED3B69"/>
    <w:rsid w:val="00ED48BE"/>
    <w:rsid w:val="00ED6CD1"/>
    <w:rsid w:val="00EE3548"/>
    <w:rsid w:val="00EE59CE"/>
    <w:rsid w:val="00EE5F2E"/>
    <w:rsid w:val="00EE693B"/>
    <w:rsid w:val="00EE6B2A"/>
    <w:rsid w:val="00EE783F"/>
    <w:rsid w:val="00EE7920"/>
    <w:rsid w:val="00EE7C15"/>
    <w:rsid w:val="00EF045F"/>
    <w:rsid w:val="00EF11F5"/>
    <w:rsid w:val="00EF3AB0"/>
    <w:rsid w:val="00EF46F9"/>
    <w:rsid w:val="00EF4A64"/>
    <w:rsid w:val="00EF4D79"/>
    <w:rsid w:val="00EF7891"/>
    <w:rsid w:val="00F00407"/>
    <w:rsid w:val="00F006EA"/>
    <w:rsid w:val="00F02171"/>
    <w:rsid w:val="00F033EF"/>
    <w:rsid w:val="00F044EE"/>
    <w:rsid w:val="00F054B0"/>
    <w:rsid w:val="00F061A6"/>
    <w:rsid w:val="00F06BDA"/>
    <w:rsid w:val="00F077CB"/>
    <w:rsid w:val="00F107AF"/>
    <w:rsid w:val="00F117B1"/>
    <w:rsid w:val="00F11AB3"/>
    <w:rsid w:val="00F12DD0"/>
    <w:rsid w:val="00F13EF5"/>
    <w:rsid w:val="00F14284"/>
    <w:rsid w:val="00F15D77"/>
    <w:rsid w:val="00F15FCE"/>
    <w:rsid w:val="00F1661B"/>
    <w:rsid w:val="00F17D75"/>
    <w:rsid w:val="00F17E14"/>
    <w:rsid w:val="00F20633"/>
    <w:rsid w:val="00F213E5"/>
    <w:rsid w:val="00F218DA"/>
    <w:rsid w:val="00F23DB4"/>
    <w:rsid w:val="00F23E81"/>
    <w:rsid w:val="00F24A46"/>
    <w:rsid w:val="00F254BE"/>
    <w:rsid w:val="00F25CFE"/>
    <w:rsid w:val="00F3060F"/>
    <w:rsid w:val="00F30D3F"/>
    <w:rsid w:val="00F32886"/>
    <w:rsid w:val="00F33150"/>
    <w:rsid w:val="00F3375B"/>
    <w:rsid w:val="00F35243"/>
    <w:rsid w:val="00F35F1D"/>
    <w:rsid w:val="00F36C1E"/>
    <w:rsid w:val="00F4018F"/>
    <w:rsid w:val="00F411E9"/>
    <w:rsid w:val="00F4191E"/>
    <w:rsid w:val="00F43E46"/>
    <w:rsid w:val="00F43E6E"/>
    <w:rsid w:val="00F44363"/>
    <w:rsid w:val="00F44423"/>
    <w:rsid w:val="00F454DD"/>
    <w:rsid w:val="00F455B5"/>
    <w:rsid w:val="00F469B3"/>
    <w:rsid w:val="00F46DAD"/>
    <w:rsid w:val="00F51236"/>
    <w:rsid w:val="00F51A14"/>
    <w:rsid w:val="00F5374C"/>
    <w:rsid w:val="00F541B8"/>
    <w:rsid w:val="00F56CC2"/>
    <w:rsid w:val="00F574B4"/>
    <w:rsid w:val="00F574B7"/>
    <w:rsid w:val="00F57883"/>
    <w:rsid w:val="00F60BC0"/>
    <w:rsid w:val="00F61B7F"/>
    <w:rsid w:val="00F62370"/>
    <w:rsid w:val="00F628D3"/>
    <w:rsid w:val="00F6408E"/>
    <w:rsid w:val="00F6497E"/>
    <w:rsid w:val="00F6532A"/>
    <w:rsid w:val="00F65A21"/>
    <w:rsid w:val="00F677E2"/>
    <w:rsid w:val="00F67C16"/>
    <w:rsid w:val="00F7233D"/>
    <w:rsid w:val="00F723F2"/>
    <w:rsid w:val="00F73751"/>
    <w:rsid w:val="00F75EAD"/>
    <w:rsid w:val="00F76A7B"/>
    <w:rsid w:val="00F77154"/>
    <w:rsid w:val="00F80F33"/>
    <w:rsid w:val="00F82637"/>
    <w:rsid w:val="00F846D6"/>
    <w:rsid w:val="00F86EC2"/>
    <w:rsid w:val="00F906D2"/>
    <w:rsid w:val="00F90CB9"/>
    <w:rsid w:val="00F9173A"/>
    <w:rsid w:val="00F91800"/>
    <w:rsid w:val="00F92882"/>
    <w:rsid w:val="00F93859"/>
    <w:rsid w:val="00F94E99"/>
    <w:rsid w:val="00F95396"/>
    <w:rsid w:val="00F9650A"/>
    <w:rsid w:val="00F965BB"/>
    <w:rsid w:val="00F967C7"/>
    <w:rsid w:val="00F96908"/>
    <w:rsid w:val="00FA0437"/>
    <w:rsid w:val="00FA16EC"/>
    <w:rsid w:val="00FA233F"/>
    <w:rsid w:val="00FA2E05"/>
    <w:rsid w:val="00FA2E5F"/>
    <w:rsid w:val="00FA3058"/>
    <w:rsid w:val="00FA3E48"/>
    <w:rsid w:val="00FA7D57"/>
    <w:rsid w:val="00FB0008"/>
    <w:rsid w:val="00FB071C"/>
    <w:rsid w:val="00FB3EA0"/>
    <w:rsid w:val="00FB4127"/>
    <w:rsid w:val="00FB4703"/>
    <w:rsid w:val="00FB55F4"/>
    <w:rsid w:val="00FB6B37"/>
    <w:rsid w:val="00FB7667"/>
    <w:rsid w:val="00FC0B63"/>
    <w:rsid w:val="00FC12EE"/>
    <w:rsid w:val="00FC1A4F"/>
    <w:rsid w:val="00FC2209"/>
    <w:rsid w:val="00FC3860"/>
    <w:rsid w:val="00FC44B0"/>
    <w:rsid w:val="00FC561A"/>
    <w:rsid w:val="00FC7531"/>
    <w:rsid w:val="00FC7EAA"/>
    <w:rsid w:val="00FD14E3"/>
    <w:rsid w:val="00FD27F4"/>
    <w:rsid w:val="00FD4B62"/>
    <w:rsid w:val="00FD4B89"/>
    <w:rsid w:val="00FD4FA5"/>
    <w:rsid w:val="00FD5166"/>
    <w:rsid w:val="00FD614D"/>
    <w:rsid w:val="00FD72CC"/>
    <w:rsid w:val="00FE3348"/>
    <w:rsid w:val="00FE34AC"/>
    <w:rsid w:val="00FE46AD"/>
    <w:rsid w:val="00FE53DA"/>
    <w:rsid w:val="00FE5410"/>
    <w:rsid w:val="00FE57F3"/>
    <w:rsid w:val="00FF1B03"/>
    <w:rsid w:val="00FF28C6"/>
    <w:rsid w:val="00FF2D44"/>
    <w:rsid w:val="00FF2EB2"/>
    <w:rsid w:val="00FF456A"/>
    <w:rsid w:val="00FF4A13"/>
    <w:rsid w:val="00FF6204"/>
    <w:rsid w:val="00FF62CB"/>
    <w:rsid w:val="00FF634D"/>
    <w:rsid w:val="00FF6BDF"/>
    <w:rsid w:val="00FF6D25"/>
    <w:rsid w:val="00FF7C33"/>
    <w:rsid w:val="00FF7C50"/>
  </w:rsids>
  <m:mathPr>
    <m:mathFont m:val="Cambria Math"/>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47B373"/>
  <w15:docId w15:val="{DA0195A1-1DB8-4A80-AB5D-45EAC3625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61A"/>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2B57E5"/>
    <w:pPr>
      <w:keepNext/>
      <w:keepLines/>
      <w:spacing w:line="360" w:lineRule="auto"/>
      <w:jc w:val="center"/>
      <w:outlineLvl w:val="0"/>
    </w:pPr>
    <w:rPr>
      <w:rFonts w:ascii="Palatino Linotype" w:eastAsiaTheme="majorEastAsia" w:hAnsi="Palatino Linotype" w:cstheme="majorBidi"/>
      <w:b/>
      <w:color w:val="000000" w:themeColor="text1"/>
      <w:sz w:val="22"/>
      <w:szCs w:val="32"/>
    </w:rPr>
  </w:style>
  <w:style w:type="paragraph" w:styleId="Ttulo2">
    <w:name w:val="heading 2"/>
    <w:basedOn w:val="Normal"/>
    <w:next w:val="Normal"/>
    <w:link w:val="Ttulo2Car"/>
    <w:uiPriority w:val="9"/>
    <w:unhideWhenUsed/>
    <w:qFormat/>
    <w:rsid w:val="002B57E5"/>
    <w:pPr>
      <w:keepNext/>
      <w:keepLines/>
      <w:spacing w:line="360" w:lineRule="auto"/>
      <w:outlineLvl w:val="1"/>
    </w:pPr>
    <w:rPr>
      <w:rFonts w:ascii="Palatino Linotype" w:eastAsiaTheme="majorEastAsia" w:hAnsi="Palatino Linotype" w:cstheme="majorBidi"/>
      <w:b/>
      <w:color w:val="000000" w:themeColor="text1"/>
      <w:sz w:val="22"/>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B57E5"/>
    <w:rPr>
      <w:rFonts w:ascii="Palatino Linotype" w:eastAsiaTheme="majorEastAsia" w:hAnsi="Palatino Linotype" w:cstheme="majorBidi"/>
      <w:b/>
      <w:color w:val="000000" w:themeColor="text1"/>
      <w:szCs w:val="32"/>
      <w:lang w:eastAsia="es-ES"/>
    </w:rPr>
  </w:style>
  <w:style w:type="paragraph" w:styleId="Encabezado">
    <w:name w:val="header"/>
    <w:basedOn w:val="Normal"/>
    <w:link w:val="EncabezadoCar"/>
    <w:uiPriority w:val="99"/>
    <w:unhideWhenUsed/>
    <w:rsid w:val="00B31222"/>
    <w:pPr>
      <w:tabs>
        <w:tab w:val="center" w:pos="4419"/>
        <w:tab w:val="right" w:pos="8838"/>
      </w:tabs>
    </w:pPr>
  </w:style>
  <w:style w:type="character" w:customStyle="1" w:styleId="EncabezadoCar">
    <w:name w:val="Encabezado Car"/>
    <w:basedOn w:val="Fuentedeprrafopredeter"/>
    <w:link w:val="Encabezado"/>
    <w:uiPriority w:val="99"/>
    <w:rsid w:val="00B31222"/>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B31222"/>
    <w:pPr>
      <w:tabs>
        <w:tab w:val="center" w:pos="4419"/>
        <w:tab w:val="right" w:pos="8838"/>
      </w:tabs>
    </w:pPr>
  </w:style>
  <w:style w:type="character" w:customStyle="1" w:styleId="PiedepginaCar">
    <w:name w:val="Pie de página Car"/>
    <w:basedOn w:val="Fuentedeprrafopredeter"/>
    <w:link w:val="Piedepgina"/>
    <w:uiPriority w:val="99"/>
    <w:rsid w:val="00B31222"/>
    <w:rPr>
      <w:rFonts w:ascii="Times New Roman" w:eastAsia="Times New Roman" w:hAnsi="Times New Roman" w:cs="Times New Roman"/>
      <w:sz w:val="20"/>
      <w:szCs w:val="20"/>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31222"/>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B31222"/>
    <w:rPr>
      <w:rFonts w:ascii="Century Gothic" w:eastAsia="Times New Roman" w:hAnsi="Century Gothic" w:cs="Times New Roman"/>
      <w:szCs w:val="24"/>
      <w:lang w:eastAsia="es-ES"/>
    </w:rPr>
  </w:style>
  <w:style w:type="character" w:styleId="Hipervnculo">
    <w:name w:val="Hyperlink"/>
    <w:aliases w:val="Hipervínculo1,Hipervínculo11,Hipervínculo12,Hipervínculo13,Hipervínculo14,Hipervínculo15"/>
    <w:basedOn w:val="Fuentedeprrafopredeter"/>
    <w:uiPriority w:val="99"/>
    <w:unhideWhenUsed/>
    <w:rsid w:val="00B31222"/>
    <w:rPr>
      <w:color w:val="0563C1" w:themeColor="hyperlink"/>
      <w:u w:val="single"/>
    </w:rPr>
  </w:style>
  <w:style w:type="character" w:styleId="Refdenotaalpie">
    <w:name w:val="footnote reference"/>
    <w:aliases w:val="Ref,de nota al pie,ftref, BVI fnr,16 Point,Superscript 6 Point,(Diplomarbeit FZ),BVI fnr,Footnote Reference,Texto de nota al pie,Footnotes refss,Appel note de bas de page,Footnote number,referencia nota al pie,f,4_G,Texto nota al pie"/>
    <w:basedOn w:val="Fuentedeprrafopredeter"/>
    <w:uiPriority w:val="99"/>
    <w:unhideWhenUsed/>
    <w:qFormat/>
    <w:rsid w:val="00B31222"/>
    <w:rPr>
      <w:vertAlign w:val="superscript"/>
    </w:rPr>
  </w:style>
  <w:style w:type="paragraph" w:styleId="Textonotapie">
    <w:name w:val="footnote text"/>
    <w:aliases w:val="Footnote reference,FA Fu,Footnote Text Char Char Char Char Char,Footnote Text Char Char Char Char,Footnote Text Char Char Char,ADB,single space,footnote text,fn,ft,Footnote Text Char1,Footnote Text Char Char,FOOTNOTES,Schriftart: 9 pt,Ca"/>
    <w:basedOn w:val="Normal"/>
    <w:link w:val="TextonotapieCar"/>
    <w:uiPriority w:val="99"/>
    <w:unhideWhenUsed/>
    <w:qFormat/>
    <w:rsid w:val="00B31222"/>
    <w:rPr>
      <w:rFonts w:ascii="Calibri" w:eastAsia="Calibri" w:hAnsi="Calibri"/>
      <w:lang w:eastAsia="en-US"/>
    </w:rPr>
  </w:style>
  <w:style w:type="character" w:customStyle="1" w:styleId="TextonotapieCar">
    <w:name w:val="Texto nota pie Car"/>
    <w:aliases w:val="Footnote reference Car,FA Fu Car,Footnote Text Char Char Char Char Char Car,Footnote Text Char Char Char Char Car,Footnote Text Char Char Char Car,ADB Car,single space Car,footnote text Car,fn Car,ft Car,Footnote Text Char1 Car,Ca Car"/>
    <w:basedOn w:val="Fuentedeprrafopredeter"/>
    <w:link w:val="Textonotapie"/>
    <w:uiPriority w:val="99"/>
    <w:rsid w:val="00B31222"/>
    <w:rPr>
      <w:rFonts w:ascii="Calibri" w:eastAsia="Calibri" w:hAnsi="Calibri" w:cs="Times New Roman"/>
      <w:sz w:val="20"/>
      <w:szCs w:val="20"/>
    </w:rPr>
  </w:style>
  <w:style w:type="character" w:styleId="Hipervnculovisitado">
    <w:name w:val="FollowedHyperlink"/>
    <w:basedOn w:val="Fuentedeprrafopredeter"/>
    <w:uiPriority w:val="99"/>
    <w:semiHidden/>
    <w:unhideWhenUsed/>
    <w:rsid w:val="00B31222"/>
    <w:rPr>
      <w:color w:val="954F72" w:themeColor="followedHyperlink"/>
      <w:u w:val="single"/>
    </w:rPr>
  </w:style>
  <w:style w:type="table" w:styleId="Tablaconcuadrcula">
    <w:name w:val="Table Grid"/>
    <w:basedOn w:val="Tablanormal"/>
    <w:uiPriority w:val="59"/>
    <w:rsid w:val="00B3122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312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1222"/>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B31222"/>
    <w:rPr>
      <w:sz w:val="16"/>
      <w:szCs w:val="16"/>
    </w:rPr>
  </w:style>
  <w:style w:type="paragraph" w:styleId="Textocomentario">
    <w:name w:val="annotation text"/>
    <w:basedOn w:val="Normal"/>
    <w:link w:val="TextocomentarioCar"/>
    <w:uiPriority w:val="99"/>
    <w:semiHidden/>
    <w:unhideWhenUsed/>
    <w:rsid w:val="00B31222"/>
  </w:style>
  <w:style w:type="character" w:customStyle="1" w:styleId="TextocomentarioCar">
    <w:name w:val="Texto comentario Car"/>
    <w:basedOn w:val="Fuentedeprrafopredeter"/>
    <w:link w:val="Textocomentario"/>
    <w:uiPriority w:val="99"/>
    <w:semiHidden/>
    <w:rsid w:val="00B312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B31222"/>
    <w:rPr>
      <w:b/>
      <w:bCs/>
    </w:rPr>
  </w:style>
  <w:style w:type="character" w:customStyle="1" w:styleId="AsuntodelcomentarioCar">
    <w:name w:val="Asunto del comentario Car"/>
    <w:basedOn w:val="TextocomentarioCar"/>
    <w:link w:val="Asuntodelcomentario"/>
    <w:uiPriority w:val="99"/>
    <w:semiHidden/>
    <w:rsid w:val="00B31222"/>
    <w:rPr>
      <w:rFonts w:ascii="Times New Roman" w:eastAsia="Times New Roman" w:hAnsi="Times New Roman" w:cs="Times New Roman"/>
      <w:b/>
      <w:bCs/>
      <w:sz w:val="20"/>
      <w:szCs w:val="20"/>
      <w:lang w:val="es-ES" w:eastAsia="es-ES"/>
    </w:rPr>
  </w:style>
  <w:style w:type="character" w:customStyle="1" w:styleId="Mencionar1">
    <w:name w:val="Mencionar1"/>
    <w:basedOn w:val="Fuentedeprrafopredeter"/>
    <w:uiPriority w:val="99"/>
    <w:semiHidden/>
    <w:unhideWhenUsed/>
    <w:rsid w:val="00B31222"/>
    <w:rPr>
      <w:color w:val="2B579A"/>
      <w:shd w:val="clear" w:color="auto" w:fill="E6E6E6"/>
    </w:rPr>
  </w:style>
  <w:style w:type="character" w:customStyle="1" w:styleId="Mencionar2">
    <w:name w:val="Mencionar2"/>
    <w:basedOn w:val="Fuentedeprrafopredeter"/>
    <w:uiPriority w:val="99"/>
    <w:semiHidden/>
    <w:unhideWhenUsed/>
    <w:rsid w:val="00B31222"/>
    <w:rPr>
      <w:color w:val="2B579A"/>
      <w:shd w:val="clear" w:color="auto" w:fill="E6E6E6"/>
    </w:rPr>
  </w:style>
  <w:style w:type="character" w:customStyle="1" w:styleId="maestrofonttexto">
    <w:name w:val="maestro_fonttexto"/>
    <w:basedOn w:val="Fuentedeprrafopredeter"/>
    <w:rsid w:val="00B31222"/>
  </w:style>
  <w:style w:type="character" w:styleId="Textoennegrita">
    <w:name w:val="Strong"/>
    <w:rsid w:val="00B31222"/>
    <w:rPr>
      <w:b/>
      <w:bCs/>
    </w:rPr>
  </w:style>
  <w:style w:type="paragraph" w:styleId="HTMLconformatoprevio">
    <w:name w:val="HTML Preformatted"/>
    <w:basedOn w:val="Normal"/>
    <w:link w:val="HTMLconformatoprevioCar"/>
    <w:uiPriority w:val="99"/>
    <w:semiHidden/>
    <w:unhideWhenUsed/>
    <w:rsid w:val="00B312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MX"/>
    </w:rPr>
  </w:style>
  <w:style w:type="character" w:customStyle="1" w:styleId="HTMLconformatoprevioCar">
    <w:name w:val="HTML con formato previo Car"/>
    <w:basedOn w:val="Fuentedeprrafopredeter"/>
    <w:link w:val="HTMLconformatoprevio"/>
    <w:uiPriority w:val="99"/>
    <w:semiHidden/>
    <w:rsid w:val="00B31222"/>
    <w:rPr>
      <w:rFonts w:ascii="Courier New" w:eastAsia="Times New Roman" w:hAnsi="Courier New" w:cs="Courier New"/>
      <w:sz w:val="20"/>
      <w:szCs w:val="20"/>
      <w:lang w:eastAsia="es-MX"/>
    </w:rPr>
  </w:style>
  <w:style w:type="paragraph" w:customStyle="1" w:styleId="Default">
    <w:name w:val="Default"/>
    <w:rsid w:val="00B31222"/>
    <w:pPr>
      <w:autoSpaceDE w:val="0"/>
      <w:autoSpaceDN w:val="0"/>
      <w:adjustRightInd w:val="0"/>
      <w:spacing w:after="0" w:line="240" w:lineRule="auto"/>
    </w:pPr>
    <w:rPr>
      <w:rFonts w:ascii="Arial" w:hAnsi="Arial" w:cs="Arial"/>
      <w:color w:val="000000"/>
      <w:sz w:val="24"/>
      <w:szCs w:val="24"/>
    </w:rPr>
  </w:style>
  <w:style w:type="character" w:customStyle="1" w:styleId="CharacterStyle1">
    <w:name w:val="Character Style 1"/>
    <w:uiPriority w:val="99"/>
    <w:rsid w:val="00B31222"/>
    <w:rPr>
      <w:sz w:val="20"/>
      <w:szCs w:val="20"/>
    </w:rPr>
  </w:style>
  <w:style w:type="paragraph" w:customStyle="1" w:styleId="Estilo1">
    <w:name w:val="Estilo1"/>
    <w:basedOn w:val="Textoindependiente"/>
    <w:rsid w:val="00B31222"/>
  </w:style>
  <w:style w:type="paragraph" w:styleId="Textoindependiente">
    <w:name w:val="Body Text"/>
    <w:basedOn w:val="Normal"/>
    <w:link w:val="TextoindependienteCar"/>
    <w:uiPriority w:val="99"/>
    <w:unhideWhenUsed/>
    <w:rsid w:val="00B31222"/>
    <w:pPr>
      <w:spacing w:after="120"/>
    </w:pPr>
  </w:style>
  <w:style w:type="character" w:customStyle="1" w:styleId="TextoindependienteCar">
    <w:name w:val="Texto independiente Car"/>
    <w:basedOn w:val="Fuentedeprrafopredeter"/>
    <w:link w:val="Textoindependiente"/>
    <w:uiPriority w:val="99"/>
    <w:rsid w:val="00B31222"/>
    <w:rPr>
      <w:rFonts w:ascii="Times New Roman" w:eastAsia="Times New Roman" w:hAnsi="Times New Roman" w:cs="Times New Roman"/>
      <w:sz w:val="20"/>
      <w:szCs w:val="20"/>
      <w:lang w:val="es-ES" w:eastAsia="es-ES"/>
    </w:rPr>
  </w:style>
  <w:style w:type="paragraph" w:styleId="Sinespaciado">
    <w:name w:val="No Spacing"/>
    <w:aliases w:val="INAI"/>
    <w:link w:val="SinespaciadoCar"/>
    <w:uiPriority w:val="1"/>
    <w:rsid w:val="00B31222"/>
    <w:pPr>
      <w:spacing w:after="0" w:line="240" w:lineRule="auto"/>
      <w:ind w:left="567" w:right="567"/>
      <w:jc w:val="both"/>
    </w:pPr>
    <w:rPr>
      <w:rFonts w:ascii="Arial" w:eastAsia="Batang" w:hAnsi="Arial" w:cs="Times New Roman"/>
      <w:sz w:val="20"/>
      <w:szCs w:val="24"/>
      <w:lang w:eastAsia="es-ES"/>
    </w:rPr>
  </w:style>
  <w:style w:type="character" w:customStyle="1" w:styleId="SinespaciadoCar">
    <w:name w:val="Sin espaciado Car"/>
    <w:aliases w:val="INAI Car"/>
    <w:basedOn w:val="Fuentedeprrafopredeter"/>
    <w:link w:val="Sinespaciado"/>
    <w:uiPriority w:val="1"/>
    <w:rsid w:val="00B31222"/>
    <w:rPr>
      <w:rFonts w:ascii="Arial" w:eastAsia="Batang" w:hAnsi="Arial" w:cs="Times New Roman"/>
      <w:sz w:val="20"/>
      <w:szCs w:val="24"/>
      <w:lang w:eastAsia="es-ES"/>
    </w:rPr>
  </w:style>
  <w:style w:type="paragraph" w:styleId="Lista">
    <w:name w:val="List"/>
    <w:basedOn w:val="Normal"/>
    <w:uiPriority w:val="99"/>
    <w:unhideWhenUsed/>
    <w:rsid w:val="00B31222"/>
    <w:pPr>
      <w:ind w:left="283" w:hanging="283"/>
      <w:contextualSpacing/>
    </w:pPr>
  </w:style>
  <w:style w:type="paragraph" w:styleId="Lista2">
    <w:name w:val="List 2"/>
    <w:basedOn w:val="Normal"/>
    <w:uiPriority w:val="99"/>
    <w:unhideWhenUsed/>
    <w:rsid w:val="00B31222"/>
    <w:pPr>
      <w:ind w:left="566" w:hanging="283"/>
      <w:contextualSpacing/>
    </w:pPr>
  </w:style>
  <w:style w:type="paragraph" w:styleId="Lista3">
    <w:name w:val="List 3"/>
    <w:basedOn w:val="Normal"/>
    <w:uiPriority w:val="99"/>
    <w:unhideWhenUsed/>
    <w:rsid w:val="00B31222"/>
    <w:pPr>
      <w:ind w:left="849" w:hanging="283"/>
      <w:contextualSpacing/>
    </w:pPr>
  </w:style>
  <w:style w:type="paragraph" w:styleId="Lista4">
    <w:name w:val="List 4"/>
    <w:basedOn w:val="Normal"/>
    <w:uiPriority w:val="99"/>
    <w:unhideWhenUsed/>
    <w:rsid w:val="00B31222"/>
    <w:pPr>
      <w:ind w:left="1132" w:hanging="283"/>
      <w:contextualSpacing/>
    </w:pPr>
  </w:style>
  <w:style w:type="paragraph" w:styleId="Saludo">
    <w:name w:val="Salutation"/>
    <w:basedOn w:val="Normal"/>
    <w:next w:val="Normal"/>
    <w:link w:val="SaludoCar"/>
    <w:uiPriority w:val="99"/>
    <w:unhideWhenUsed/>
    <w:rsid w:val="00B31222"/>
  </w:style>
  <w:style w:type="character" w:customStyle="1" w:styleId="SaludoCar">
    <w:name w:val="Saludo Car"/>
    <w:basedOn w:val="Fuentedeprrafopredeter"/>
    <w:link w:val="Saludo"/>
    <w:uiPriority w:val="99"/>
    <w:rsid w:val="00B31222"/>
    <w:rPr>
      <w:rFonts w:ascii="Times New Roman" w:eastAsia="Times New Roman" w:hAnsi="Times New Roman" w:cs="Times New Roman"/>
      <w:sz w:val="20"/>
      <w:szCs w:val="20"/>
      <w:lang w:val="es-ES" w:eastAsia="es-ES"/>
    </w:rPr>
  </w:style>
  <w:style w:type="paragraph" w:styleId="Listaconvietas2">
    <w:name w:val="List Bullet 2"/>
    <w:basedOn w:val="Normal"/>
    <w:uiPriority w:val="99"/>
    <w:unhideWhenUsed/>
    <w:rsid w:val="00B31222"/>
    <w:pPr>
      <w:numPr>
        <w:numId w:val="1"/>
      </w:numPr>
      <w:contextualSpacing/>
    </w:pPr>
  </w:style>
  <w:style w:type="paragraph" w:styleId="Ttulo">
    <w:name w:val="Title"/>
    <w:basedOn w:val="Normal"/>
    <w:next w:val="Normal"/>
    <w:link w:val="TtuloCar"/>
    <w:uiPriority w:val="10"/>
    <w:qFormat/>
    <w:rsid w:val="00B31222"/>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31222"/>
    <w:rPr>
      <w:rFonts w:asciiTheme="majorHAnsi" w:eastAsiaTheme="majorEastAsia" w:hAnsiTheme="majorHAnsi" w:cstheme="majorBidi"/>
      <w:spacing w:val="-10"/>
      <w:kern w:val="28"/>
      <w:sz w:val="56"/>
      <w:szCs w:val="56"/>
      <w:lang w:val="es-ES" w:eastAsia="es-ES"/>
    </w:rPr>
  </w:style>
  <w:style w:type="paragraph" w:styleId="Sangradetextonormal">
    <w:name w:val="Body Text Indent"/>
    <w:basedOn w:val="Normal"/>
    <w:link w:val="SangradetextonormalCar"/>
    <w:uiPriority w:val="99"/>
    <w:unhideWhenUsed/>
    <w:rsid w:val="00B31222"/>
    <w:pPr>
      <w:spacing w:after="120"/>
      <w:ind w:left="283"/>
    </w:pPr>
  </w:style>
  <w:style w:type="character" w:customStyle="1" w:styleId="SangradetextonormalCar">
    <w:name w:val="Sangría de texto normal Car"/>
    <w:basedOn w:val="Fuentedeprrafopredeter"/>
    <w:link w:val="Sangradetextonormal"/>
    <w:uiPriority w:val="99"/>
    <w:rsid w:val="00B31222"/>
    <w:rPr>
      <w:rFonts w:ascii="Times New Roman" w:eastAsia="Times New Roman" w:hAnsi="Times New Roman" w:cs="Times New Roman"/>
      <w:sz w:val="20"/>
      <w:szCs w:val="20"/>
      <w:lang w:val="es-ES" w:eastAsia="es-ES"/>
    </w:rPr>
  </w:style>
  <w:style w:type="paragraph" w:styleId="Textoindependienteprimerasangra2">
    <w:name w:val="Body Text First Indent 2"/>
    <w:basedOn w:val="Sangradetextonormal"/>
    <w:link w:val="Textoindependienteprimerasangra2Car"/>
    <w:uiPriority w:val="99"/>
    <w:unhideWhenUsed/>
    <w:rsid w:val="00B3122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31222"/>
    <w:rPr>
      <w:rFonts w:ascii="Times New Roman" w:eastAsia="Times New Roman" w:hAnsi="Times New Roman" w:cs="Times New Roman"/>
      <w:sz w:val="20"/>
      <w:szCs w:val="20"/>
      <w:lang w:val="es-ES" w:eastAsia="es-ES"/>
    </w:rPr>
  </w:style>
  <w:style w:type="character" w:customStyle="1" w:styleId="Mencionar3">
    <w:name w:val="Mencionar3"/>
    <w:basedOn w:val="Fuentedeprrafopredeter"/>
    <w:uiPriority w:val="99"/>
    <w:semiHidden/>
    <w:unhideWhenUsed/>
    <w:rsid w:val="00A47916"/>
    <w:rPr>
      <w:color w:val="2B579A"/>
      <w:shd w:val="clear" w:color="auto" w:fill="E6E6E6"/>
    </w:rPr>
  </w:style>
  <w:style w:type="character" w:customStyle="1" w:styleId="Mencionar4">
    <w:name w:val="Mencionar4"/>
    <w:basedOn w:val="Fuentedeprrafopredeter"/>
    <w:uiPriority w:val="99"/>
    <w:semiHidden/>
    <w:unhideWhenUsed/>
    <w:rsid w:val="00802515"/>
    <w:rPr>
      <w:color w:val="2B579A"/>
      <w:shd w:val="clear" w:color="auto" w:fill="E6E6E6"/>
    </w:rPr>
  </w:style>
  <w:style w:type="character" w:customStyle="1" w:styleId="maestrofonttexto1">
    <w:name w:val="maestro_fonttexto1"/>
    <w:basedOn w:val="Fuentedeprrafopredeter"/>
    <w:rsid w:val="00C25238"/>
    <w:rPr>
      <w:rFonts w:ascii="Arial" w:hAnsi="Arial" w:cs="Arial" w:hint="default"/>
      <w:sz w:val="15"/>
      <w:szCs w:val="15"/>
    </w:rPr>
  </w:style>
  <w:style w:type="character" w:customStyle="1" w:styleId="apple-converted-space">
    <w:name w:val="apple-converted-space"/>
    <w:basedOn w:val="Fuentedeprrafopredeter"/>
    <w:rsid w:val="00436FD3"/>
  </w:style>
  <w:style w:type="paragraph" w:styleId="NormalWeb">
    <w:name w:val="Normal (Web)"/>
    <w:basedOn w:val="Normal"/>
    <w:uiPriority w:val="99"/>
    <w:unhideWhenUsed/>
    <w:rsid w:val="004F3A02"/>
    <w:pPr>
      <w:spacing w:after="160" w:line="259" w:lineRule="auto"/>
      <w:jc w:val="both"/>
    </w:pPr>
    <w:rPr>
      <w:rFonts w:eastAsiaTheme="minorHAnsi"/>
      <w:color w:val="000000" w:themeColor="text1"/>
      <w:sz w:val="24"/>
      <w:szCs w:val="24"/>
      <w:lang w:eastAsia="en-US"/>
    </w:rPr>
  </w:style>
  <w:style w:type="paragraph" w:customStyle="1" w:styleId="Resoluciones1">
    <w:name w:val="Resoluciones 1"/>
    <w:basedOn w:val="Normal"/>
    <w:next w:val="Normal"/>
    <w:link w:val="Resoluciones1Car"/>
    <w:autoRedefine/>
    <w:rsid w:val="002B57E5"/>
    <w:pPr>
      <w:tabs>
        <w:tab w:val="left" w:pos="2835"/>
      </w:tabs>
      <w:spacing w:line="360" w:lineRule="auto"/>
      <w:contextualSpacing/>
      <w:jc w:val="center"/>
    </w:pPr>
    <w:rPr>
      <w:rFonts w:ascii="Palatino Linotype" w:eastAsia="Calibri" w:hAnsi="Palatino Linotype" w:cs="Tahoma"/>
      <w:b/>
      <w:bCs/>
      <w:color w:val="000000" w:themeColor="text1"/>
      <w:sz w:val="22"/>
      <w:szCs w:val="22"/>
      <w:lang w:val="es-ES" w:eastAsia="en-US"/>
    </w:rPr>
  </w:style>
  <w:style w:type="character" w:customStyle="1" w:styleId="Resoluciones1Car">
    <w:name w:val="Resoluciones 1 Car"/>
    <w:basedOn w:val="Fuentedeprrafopredeter"/>
    <w:link w:val="Resoluciones1"/>
    <w:rsid w:val="002B57E5"/>
    <w:rPr>
      <w:rFonts w:ascii="Palatino Linotype" w:eastAsia="Calibri" w:hAnsi="Palatino Linotype" w:cs="Tahoma"/>
      <w:b/>
      <w:bCs/>
      <w:color w:val="000000" w:themeColor="text1"/>
      <w:lang w:val="es-ES"/>
    </w:rPr>
  </w:style>
  <w:style w:type="paragraph" w:styleId="Subttulo">
    <w:name w:val="Subtitle"/>
    <w:basedOn w:val="Normal"/>
    <w:next w:val="Normal"/>
    <w:link w:val="SubttuloCar"/>
    <w:uiPriority w:val="11"/>
    <w:qFormat/>
    <w:rsid w:val="002B57E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2B57E5"/>
    <w:rPr>
      <w:rFonts w:eastAsiaTheme="minorEastAsia"/>
      <w:color w:val="5A5A5A" w:themeColor="text1" w:themeTint="A5"/>
      <w:spacing w:val="15"/>
      <w:lang w:eastAsia="es-ES"/>
    </w:rPr>
  </w:style>
  <w:style w:type="paragraph" w:customStyle="1" w:styleId="ResolucinV">
    <w:name w:val="Resolución V"/>
    <w:basedOn w:val="Normal"/>
    <w:next w:val="Normal"/>
    <w:link w:val="ResolucinVCar"/>
    <w:rsid w:val="002B57E5"/>
    <w:pPr>
      <w:spacing w:line="360" w:lineRule="auto"/>
      <w:contextualSpacing/>
    </w:pPr>
    <w:rPr>
      <w:rFonts w:ascii="Palatino Linotype" w:eastAsia="Calibri" w:hAnsi="Palatino Linotype" w:cs="Tahoma"/>
      <w:b/>
      <w:bCs/>
      <w:color w:val="000000" w:themeColor="text1"/>
      <w:sz w:val="22"/>
      <w:szCs w:val="22"/>
      <w:lang w:eastAsia="en-US"/>
    </w:rPr>
  </w:style>
  <w:style w:type="character" w:customStyle="1" w:styleId="ResolucinVCar">
    <w:name w:val="Resolución V Car"/>
    <w:basedOn w:val="Fuentedeprrafopredeter"/>
    <w:link w:val="ResolucinV"/>
    <w:rsid w:val="002B57E5"/>
    <w:rPr>
      <w:rFonts w:ascii="Palatino Linotype" w:eastAsia="Calibri" w:hAnsi="Palatino Linotype" w:cs="Tahoma"/>
      <w:b/>
      <w:bCs/>
      <w:color w:val="000000" w:themeColor="text1"/>
    </w:rPr>
  </w:style>
  <w:style w:type="paragraph" w:styleId="TtuloTDC">
    <w:name w:val="TOC Heading"/>
    <w:basedOn w:val="Ttulo1"/>
    <w:next w:val="Normal"/>
    <w:uiPriority w:val="39"/>
    <w:unhideWhenUsed/>
    <w:qFormat/>
    <w:rsid w:val="002B57E5"/>
    <w:pPr>
      <w:spacing w:line="259" w:lineRule="auto"/>
      <w:outlineLvl w:val="9"/>
    </w:pPr>
    <w:rPr>
      <w:lang w:eastAsia="es-MX"/>
    </w:rPr>
  </w:style>
  <w:style w:type="character" w:customStyle="1" w:styleId="Ttulo2Car">
    <w:name w:val="Título 2 Car"/>
    <w:basedOn w:val="Fuentedeprrafopredeter"/>
    <w:link w:val="Ttulo2"/>
    <w:uiPriority w:val="9"/>
    <w:rsid w:val="002B57E5"/>
    <w:rPr>
      <w:rFonts w:ascii="Palatino Linotype" w:eastAsiaTheme="majorEastAsia" w:hAnsi="Palatino Linotype" w:cstheme="majorBidi"/>
      <w:b/>
      <w:color w:val="000000" w:themeColor="text1"/>
      <w:szCs w:val="26"/>
      <w:lang w:eastAsia="es-ES"/>
    </w:rPr>
  </w:style>
  <w:style w:type="paragraph" w:styleId="TDC1">
    <w:name w:val="toc 1"/>
    <w:basedOn w:val="Normal"/>
    <w:next w:val="Normal"/>
    <w:autoRedefine/>
    <w:uiPriority w:val="39"/>
    <w:unhideWhenUsed/>
    <w:rsid w:val="00DF1186"/>
    <w:pPr>
      <w:tabs>
        <w:tab w:val="right" w:leader="dot" w:pos="9034"/>
      </w:tabs>
      <w:spacing w:after="100" w:line="360" w:lineRule="auto"/>
      <w:jc w:val="both"/>
    </w:pPr>
  </w:style>
  <w:style w:type="paragraph" w:styleId="TDC2">
    <w:name w:val="toc 2"/>
    <w:basedOn w:val="Normal"/>
    <w:next w:val="Normal"/>
    <w:autoRedefine/>
    <w:uiPriority w:val="39"/>
    <w:unhideWhenUsed/>
    <w:rsid w:val="007935E5"/>
    <w:pPr>
      <w:spacing w:after="100"/>
      <w:ind w:left="200"/>
    </w:pPr>
  </w:style>
  <w:style w:type="character" w:customStyle="1" w:styleId="Mencinsinresolver1">
    <w:name w:val="Mención sin resolver1"/>
    <w:basedOn w:val="Fuentedeprrafopredeter"/>
    <w:uiPriority w:val="99"/>
    <w:semiHidden/>
    <w:unhideWhenUsed/>
    <w:rsid w:val="00EB1E79"/>
    <w:rPr>
      <w:color w:val="605E5C"/>
      <w:shd w:val="clear" w:color="auto" w:fill="E1DFDD"/>
    </w:rPr>
  </w:style>
  <w:style w:type="character" w:customStyle="1" w:styleId="Mencinsinresolver2">
    <w:name w:val="Mención sin resolver2"/>
    <w:basedOn w:val="Fuentedeprrafopredeter"/>
    <w:uiPriority w:val="99"/>
    <w:semiHidden/>
    <w:unhideWhenUsed/>
    <w:rsid w:val="00F117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8243">
      <w:bodyDiv w:val="1"/>
      <w:marLeft w:val="0"/>
      <w:marRight w:val="0"/>
      <w:marTop w:val="0"/>
      <w:marBottom w:val="0"/>
      <w:divBdr>
        <w:top w:val="none" w:sz="0" w:space="0" w:color="auto"/>
        <w:left w:val="none" w:sz="0" w:space="0" w:color="auto"/>
        <w:bottom w:val="none" w:sz="0" w:space="0" w:color="auto"/>
        <w:right w:val="none" w:sz="0" w:space="0" w:color="auto"/>
      </w:divBdr>
    </w:div>
    <w:div w:id="9069151">
      <w:bodyDiv w:val="1"/>
      <w:marLeft w:val="0"/>
      <w:marRight w:val="0"/>
      <w:marTop w:val="0"/>
      <w:marBottom w:val="0"/>
      <w:divBdr>
        <w:top w:val="none" w:sz="0" w:space="0" w:color="auto"/>
        <w:left w:val="none" w:sz="0" w:space="0" w:color="auto"/>
        <w:bottom w:val="none" w:sz="0" w:space="0" w:color="auto"/>
        <w:right w:val="none" w:sz="0" w:space="0" w:color="auto"/>
      </w:divBdr>
    </w:div>
    <w:div w:id="12192633">
      <w:bodyDiv w:val="1"/>
      <w:marLeft w:val="0"/>
      <w:marRight w:val="0"/>
      <w:marTop w:val="0"/>
      <w:marBottom w:val="0"/>
      <w:divBdr>
        <w:top w:val="none" w:sz="0" w:space="0" w:color="auto"/>
        <w:left w:val="none" w:sz="0" w:space="0" w:color="auto"/>
        <w:bottom w:val="none" w:sz="0" w:space="0" w:color="auto"/>
        <w:right w:val="none" w:sz="0" w:space="0" w:color="auto"/>
      </w:divBdr>
    </w:div>
    <w:div w:id="22561575">
      <w:bodyDiv w:val="1"/>
      <w:marLeft w:val="0"/>
      <w:marRight w:val="0"/>
      <w:marTop w:val="0"/>
      <w:marBottom w:val="0"/>
      <w:divBdr>
        <w:top w:val="none" w:sz="0" w:space="0" w:color="auto"/>
        <w:left w:val="none" w:sz="0" w:space="0" w:color="auto"/>
        <w:bottom w:val="none" w:sz="0" w:space="0" w:color="auto"/>
        <w:right w:val="none" w:sz="0" w:space="0" w:color="auto"/>
      </w:divBdr>
    </w:div>
    <w:div w:id="24212379">
      <w:bodyDiv w:val="1"/>
      <w:marLeft w:val="0"/>
      <w:marRight w:val="0"/>
      <w:marTop w:val="0"/>
      <w:marBottom w:val="0"/>
      <w:divBdr>
        <w:top w:val="none" w:sz="0" w:space="0" w:color="auto"/>
        <w:left w:val="none" w:sz="0" w:space="0" w:color="auto"/>
        <w:bottom w:val="none" w:sz="0" w:space="0" w:color="auto"/>
        <w:right w:val="none" w:sz="0" w:space="0" w:color="auto"/>
      </w:divBdr>
    </w:div>
    <w:div w:id="35350906">
      <w:bodyDiv w:val="1"/>
      <w:marLeft w:val="0"/>
      <w:marRight w:val="0"/>
      <w:marTop w:val="0"/>
      <w:marBottom w:val="0"/>
      <w:divBdr>
        <w:top w:val="none" w:sz="0" w:space="0" w:color="auto"/>
        <w:left w:val="none" w:sz="0" w:space="0" w:color="auto"/>
        <w:bottom w:val="none" w:sz="0" w:space="0" w:color="auto"/>
        <w:right w:val="none" w:sz="0" w:space="0" w:color="auto"/>
      </w:divBdr>
    </w:div>
    <w:div w:id="64108941">
      <w:bodyDiv w:val="1"/>
      <w:marLeft w:val="0"/>
      <w:marRight w:val="0"/>
      <w:marTop w:val="0"/>
      <w:marBottom w:val="0"/>
      <w:divBdr>
        <w:top w:val="none" w:sz="0" w:space="0" w:color="auto"/>
        <w:left w:val="none" w:sz="0" w:space="0" w:color="auto"/>
        <w:bottom w:val="none" w:sz="0" w:space="0" w:color="auto"/>
        <w:right w:val="none" w:sz="0" w:space="0" w:color="auto"/>
      </w:divBdr>
    </w:div>
    <w:div w:id="65611818">
      <w:bodyDiv w:val="1"/>
      <w:marLeft w:val="0"/>
      <w:marRight w:val="0"/>
      <w:marTop w:val="0"/>
      <w:marBottom w:val="0"/>
      <w:divBdr>
        <w:top w:val="none" w:sz="0" w:space="0" w:color="auto"/>
        <w:left w:val="none" w:sz="0" w:space="0" w:color="auto"/>
        <w:bottom w:val="none" w:sz="0" w:space="0" w:color="auto"/>
        <w:right w:val="none" w:sz="0" w:space="0" w:color="auto"/>
      </w:divBdr>
    </w:div>
    <w:div w:id="68844203">
      <w:bodyDiv w:val="1"/>
      <w:marLeft w:val="0"/>
      <w:marRight w:val="0"/>
      <w:marTop w:val="0"/>
      <w:marBottom w:val="0"/>
      <w:divBdr>
        <w:top w:val="none" w:sz="0" w:space="0" w:color="auto"/>
        <w:left w:val="none" w:sz="0" w:space="0" w:color="auto"/>
        <w:bottom w:val="none" w:sz="0" w:space="0" w:color="auto"/>
        <w:right w:val="none" w:sz="0" w:space="0" w:color="auto"/>
      </w:divBdr>
    </w:div>
    <w:div w:id="77215633">
      <w:bodyDiv w:val="1"/>
      <w:marLeft w:val="0"/>
      <w:marRight w:val="0"/>
      <w:marTop w:val="0"/>
      <w:marBottom w:val="0"/>
      <w:divBdr>
        <w:top w:val="none" w:sz="0" w:space="0" w:color="auto"/>
        <w:left w:val="none" w:sz="0" w:space="0" w:color="auto"/>
        <w:bottom w:val="none" w:sz="0" w:space="0" w:color="auto"/>
        <w:right w:val="none" w:sz="0" w:space="0" w:color="auto"/>
      </w:divBdr>
    </w:div>
    <w:div w:id="95950319">
      <w:bodyDiv w:val="1"/>
      <w:marLeft w:val="0"/>
      <w:marRight w:val="0"/>
      <w:marTop w:val="0"/>
      <w:marBottom w:val="0"/>
      <w:divBdr>
        <w:top w:val="none" w:sz="0" w:space="0" w:color="auto"/>
        <w:left w:val="none" w:sz="0" w:space="0" w:color="auto"/>
        <w:bottom w:val="none" w:sz="0" w:space="0" w:color="auto"/>
        <w:right w:val="none" w:sz="0" w:space="0" w:color="auto"/>
      </w:divBdr>
    </w:div>
    <w:div w:id="102310380">
      <w:bodyDiv w:val="1"/>
      <w:marLeft w:val="0"/>
      <w:marRight w:val="0"/>
      <w:marTop w:val="0"/>
      <w:marBottom w:val="0"/>
      <w:divBdr>
        <w:top w:val="none" w:sz="0" w:space="0" w:color="auto"/>
        <w:left w:val="none" w:sz="0" w:space="0" w:color="auto"/>
        <w:bottom w:val="none" w:sz="0" w:space="0" w:color="auto"/>
        <w:right w:val="none" w:sz="0" w:space="0" w:color="auto"/>
      </w:divBdr>
      <w:divsChild>
        <w:div w:id="1729496512">
          <w:marLeft w:val="0"/>
          <w:marRight w:val="0"/>
          <w:marTop w:val="0"/>
          <w:marBottom w:val="0"/>
          <w:divBdr>
            <w:top w:val="none" w:sz="0" w:space="0" w:color="auto"/>
            <w:left w:val="none" w:sz="0" w:space="0" w:color="auto"/>
            <w:bottom w:val="none" w:sz="0" w:space="0" w:color="auto"/>
            <w:right w:val="none" w:sz="0" w:space="0" w:color="auto"/>
          </w:divBdr>
          <w:divsChild>
            <w:div w:id="1968464292">
              <w:marLeft w:val="0"/>
              <w:marRight w:val="0"/>
              <w:marTop w:val="0"/>
              <w:marBottom w:val="0"/>
              <w:divBdr>
                <w:top w:val="none" w:sz="0" w:space="0" w:color="auto"/>
                <w:left w:val="none" w:sz="0" w:space="0" w:color="auto"/>
                <w:bottom w:val="none" w:sz="0" w:space="0" w:color="auto"/>
                <w:right w:val="none" w:sz="0" w:space="0" w:color="auto"/>
              </w:divBdr>
            </w:div>
          </w:divsChild>
        </w:div>
        <w:div w:id="1853182161">
          <w:marLeft w:val="0"/>
          <w:marRight w:val="0"/>
          <w:marTop w:val="120"/>
          <w:marBottom w:val="0"/>
          <w:divBdr>
            <w:top w:val="none" w:sz="0" w:space="0" w:color="auto"/>
            <w:left w:val="none" w:sz="0" w:space="0" w:color="auto"/>
            <w:bottom w:val="none" w:sz="0" w:space="0" w:color="auto"/>
            <w:right w:val="none" w:sz="0" w:space="0" w:color="auto"/>
          </w:divBdr>
          <w:divsChild>
            <w:div w:id="59035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8878">
      <w:bodyDiv w:val="1"/>
      <w:marLeft w:val="0"/>
      <w:marRight w:val="0"/>
      <w:marTop w:val="0"/>
      <w:marBottom w:val="0"/>
      <w:divBdr>
        <w:top w:val="none" w:sz="0" w:space="0" w:color="auto"/>
        <w:left w:val="none" w:sz="0" w:space="0" w:color="auto"/>
        <w:bottom w:val="none" w:sz="0" w:space="0" w:color="auto"/>
        <w:right w:val="none" w:sz="0" w:space="0" w:color="auto"/>
      </w:divBdr>
    </w:div>
    <w:div w:id="141194478">
      <w:bodyDiv w:val="1"/>
      <w:marLeft w:val="0"/>
      <w:marRight w:val="0"/>
      <w:marTop w:val="0"/>
      <w:marBottom w:val="0"/>
      <w:divBdr>
        <w:top w:val="none" w:sz="0" w:space="0" w:color="auto"/>
        <w:left w:val="none" w:sz="0" w:space="0" w:color="auto"/>
        <w:bottom w:val="none" w:sz="0" w:space="0" w:color="auto"/>
        <w:right w:val="none" w:sz="0" w:space="0" w:color="auto"/>
      </w:divBdr>
    </w:div>
    <w:div w:id="166336764">
      <w:bodyDiv w:val="1"/>
      <w:marLeft w:val="0"/>
      <w:marRight w:val="0"/>
      <w:marTop w:val="0"/>
      <w:marBottom w:val="0"/>
      <w:divBdr>
        <w:top w:val="none" w:sz="0" w:space="0" w:color="auto"/>
        <w:left w:val="none" w:sz="0" w:space="0" w:color="auto"/>
        <w:bottom w:val="none" w:sz="0" w:space="0" w:color="auto"/>
        <w:right w:val="none" w:sz="0" w:space="0" w:color="auto"/>
      </w:divBdr>
      <w:divsChild>
        <w:div w:id="587348187">
          <w:marLeft w:val="0"/>
          <w:marRight w:val="0"/>
          <w:marTop w:val="0"/>
          <w:marBottom w:val="0"/>
          <w:divBdr>
            <w:top w:val="none" w:sz="0" w:space="0" w:color="auto"/>
            <w:left w:val="none" w:sz="0" w:space="0" w:color="auto"/>
            <w:bottom w:val="none" w:sz="0" w:space="0" w:color="auto"/>
            <w:right w:val="none" w:sz="0" w:space="0" w:color="auto"/>
          </w:divBdr>
        </w:div>
        <w:div w:id="854686728">
          <w:marLeft w:val="0"/>
          <w:marRight w:val="0"/>
          <w:marTop w:val="0"/>
          <w:marBottom w:val="0"/>
          <w:divBdr>
            <w:top w:val="none" w:sz="0" w:space="0" w:color="auto"/>
            <w:left w:val="none" w:sz="0" w:space="0" w:color="auto"/>
            <w:bottom w:val="none" w:sz="0" w:space="0" w:color="auto"/>
            <w:right w:val="none" w:sz="0" w:space="0" w:color="auto"/>
          </w:divBdr>
        </w:div>
        <w:div w:id="2005014136">
          <w:marLeft w:val="0"/>
          <w:marRight w:val="0"/>
          <w:marTop w:val="0"/>
          <w:marBottom w:val="0"/>
          <w:divBdr>
            <w:top w:val="none" w:sz="0" w:space="0" w:color="auto"/>
            <w:left w:val="none" w:sz="0" w:space="0" w:color="auto"/>
            <w:bottom w:val="none" w:sz="0" w:space="0" w:color="auto"/>
            <w:right w:val="none" w:sz="0" w:space="0" w:color="auto"/>
          </w:divBdr>
        </w:div>
      </w:divsChild>
    </w:div>
    <w:div w:id="184249317">
      <w:bodyDiv w:val="1"/>
      <w:marLeft w:val="0"/>
      <w:marRight w:val="0"/>
      <w:marTop w:val="0"/>
      <w:marBottom w:val="0"/>
      <w:divBdr>
        <w:top w:val="none" w:sz="0" w:space="0" w:color="auto"/>
        <w:left w:val="none" w:sz="0" w:space="0" w:color="auto"/>
        <w:bottom w:val="none" w:sz="0" w:space="0" w:color="auto"/>
        <w:right w:val="none" w:sz="0" w:space="0" w:color="auto"/>
      </w:divBdr>
    </w:div>
    <w:div w:id="190993073">
      <w:bodyDiv w:val="1"/>
      <w:marLeft w:val="0"/>
      <w:marRight w:val="0"/>
      <w:marTop w:val="0"/>
      <w:marBottom w:val="0"/>
      <w:divBdr>
        <w:top w:val="none" w:sz="0" w:space="0" w:color="auto"/>
        <w:left w:val="none" w:sz="0" w:space="0" w:color="auto"/>
        <w:bottom w:val="none" w:sz="0" w:space="0" w:color="auto"/>
        <w:right w:val="none" w:sz="0" w:space="0" w:color="auto"/>
      </w:divBdr>
    </w:div>
    <w:div w:id="203030893">
      <w:bodyDiv w:val="1"/>
      <w:marLeft w:val="0"/>
      <w:marRight w:val="0"/>
      <w:marTop w:val="0"/>
      <w:marBottom w:val="0"/>
      <w:divBdr>
        <w:top w:val="none" w:sz="0" w:space="0" w:color="auto"/>
        <w:left w:val="none" w:sz="0" w:space="0" w:color="auto"/>
        <w:bottom w:val="none" w:sz="0" w:space="0" w:color="auto"/>
        <w:right w:val="none" w:sz="0" w:space="0" w:color="auto"/>
      </w:divBdr>
    </w:div>
    <w:div w:id="203324463">
      <w:bodyDiv w:val="1"/>
      <w:marLeft w:val="0"/>
      <w:marRight w:val="0"/>
      <w:marTop w:val="0"/>
      <w:marBottom w:val="0"/>
      <w:divBdr>
        <w:top w:val="none" w:sz="0" w:space="0" w:color="auto"/>
        <w:left w:val="none" w:sz="0" w:space="0" w:color="auto"/>
        <w:bottom w:val="none" w:sz="0" w:space="0" w:color="auto"/>
        <w:right w:val="none" w:sz="0" w:space="0" w:color="auto"/>
      </w:divBdr>
    </w:div>
    <w:div w:id="231282173">
      <w:bodyDiv w:val="1"/>
      <w:marLeft w:val="0"/>
      <w:marRight w:val="0"/>
      <w:marTop w:val="0"/>
      <w:marBottom w:val="0"/>
      <w:divBdr>
        <w:top w:val="none" w:sz="0" w:space="0" w:color="auto"/>
        <w:left w:val="none" w:sz="0" w:space="0" w:color="auto"/>
        <w:bottom w:val="none" w:sz="0" w:space="0" w:color="auto"/>
        <w:right w:val="none" w:sz="0" w:space="0" w:color="auto"/>
      </w:divBdr>
    </w:div>
    <w:div w:id="238910161">
      <w:bodyDiv w:val="1"/>
      <w:marLeft w:val="0"/>
      <w:marRight w:val="0"/>
      <w:marTop w:val="0"/>
      <w:marBottom w:val="0"/>
      <w:divBdr>
        <w:top w:val="none" w:sz="0" w:space="0" w:color="auto"/>
        <w:left w:val="none" w:sz="0" w:space="0" w:color="auto"/>
        <w:bottom w:val="none" w:sz="0" w:space="0" w:color="auto"/>
        <w:right w:val="none" w:sz="0" w:space="0" w:color="auto"/>
      </w:divBdr>
    </w:div>
    <w:div w:id="263848016">
      <w:bodyDiv w:val="1"/>
      <w:marLeft w:val="0"/>
      <w:marRight w:val="0"/>
      <w:marTop w:val="0"/>
      <w:marBottom w:val="0"/>
      <w:divBdr>
        <w:top w:val="none" w:sz="0" w:space="0" w:color="auto"/>
        <w:left w:val="none" w:sz="0" w:space="0" w:color="auto"/>
        <w:bottom w:val="none" w:sz="0" w:space="0" w:color="auto"/>
        <w:right w:val="none" w:sz="0" w:space="0" w:color="auto"/>
      </w:divBdr>
    </w:div>
    <w:div w:id="297028227">
      <w:bodyDiv w:val="1"/>
      <w:marLeft w:val="0"/>
      <w:marRight w:val="0"/>
      <w:marTop w:val="0"/>
      <w:marBottom w:val="0"/>
      <w:divBdr>
        <w:top w:val="none" w:sz="0" w:space="0" w:color="auto"/>
        <w:left w:val="none" w:sz="0" w:space="0" w:color="auto"/>
        <w:bottom w:val="none" w:sz="0" w:space="0" w:color="auto"/>
        <w:right w:val="none" w:sz="0" w:space="0" w:color="auto"/>
      </w:divBdr>
    </w:div>
    <w:div w:id="335034988">
      <w:bodyDiv w:val="1"/>
      <w:marLeft w:val="0"/>
      <w:marRight w:val="0"/>
      <w:marTop w:val="0"/>
      <w:marBottom w:val="0"/>
      <w:divBdr>
        <w:top w:val="none" w:sz="0" w:space="0" w:color="auto"/>
        <w:left w:val="none" w:sz="0" w:space="0" w:color="auto"/>
        <w:bottom w:val="none" w:sz="0" w:space="0" w:color="auto"/>
        <w:right w:val="none" w:sz="0" w:space="0" w:color="auto"/>
      </w:divBdr>
      <w:divsChild>
        <w:div w:id="1375617587">
          <w:marLeft w:val="0"/>
          <w:marRight w:val="0"/>
          <w:marTop w:val="0"/>
          <w:marBottom w:val="0"/>
          <w:divBdr>
            <w:top w:val="none" w:sz="0" w:space="0" w:color="auto"/>
            <w:left w:val="none" w:sz="0" w:space="0" w:color="auto"/>
            <w:bottom w:val="none" w:sz="0" w:space="0" w:color="auto"/>
            <w:right w:val="none" w:sz="0" w:space="0" w:color="auto"/>
          </w:divBdr>
        </w:div>
        <w:div w:id="935407176">
          <w:marLeft w:val="0"/>
          <w:marRight w:val="0"/>
          <w:marTop w:val="0"/>
          <w:marBottom w:val="0"/>
          <w:divBdr>
            <w:top w:val="none" w:sz="0" w:space="0" w:color="auto"/>
            <w:left w:val="none" w:sz="0" w:space="0" w:color="auto"/>
            <w:bottom w:val="none" w:sz="0" w:space="0" w:color="auto"/>
            <w:right w:val="none" w:sz="0" w:space="0" w:color="auto"/>
          </w:divBdr>
        </w:div>
        <w:div w:id="403600714">
          <w:marLeft w:val="0"/>
          <w:marRight w:val="0"/>
          <w:marTop w:val="0"/>
          <w:marBottom w:val="0"/>
          <w:divBdr>
            <w:top w:val="none" w:sz="0" w:space="0" w:color="auto"/>
            <w:left w:val="none" w:sz="0" w:space="0" w:color="auto"/>
            <w:bottom w:val="none" w:sz="0" w:space="0" w:color="auto"/>
            <w:right w:val="none" w:sz="0" w:space="0" w:color="auto"/>
          </w:divBdr>
        </w:div>
        <w:div w:id="905533049">
          <w:marLeft w:val="0"/>
          <w:marRight w:val="0"/>
          <w:marTop w:val="0"/>
          <w:marBottom w:val="0"/>
          <w:divBdr>
            <w:top w:val="none" w:sz="0" w:space="0" w:color="auto"/>
            <w:left w:val="none" w:sz="0" w:space="0" w:color="auto"/>
            <w:bottom w:val="none" w:sz="0" w:space="0" w:color="auto"/>
            <w:right w:val="none" w:sz="0" w:space="0" w:color="auto"/>
          </w:divBdr>
        </w:div>
      </w:divsChild>
    </w:div>
    <w:div w:id="341590908">
      <w:bodyDiv w:val="1"/>
      <w:marLeft w:val="0"/>
      <w:marRight w:val="0"/>
      <w:marTop w:val="0"/>
      <w:marBottom w:val="0"/>
      <w:divBdr>
        <w:top w:val="none" w:sz="0" w:space="0" w:color="auto"/>
        <w:left w:val="none" w:sz="0" w:space="0" w:color="auto"/>
        <w:bottom w:val="none" w:sz="0" w:space="0" w:color="auto"/>
        <w:right w:val="none" w:sz="0" w:space="0" w:color="auto"/>
      </w:divBdr>
      <w:divsChild>
        <w:div w:id="366953804">
          <w:marLeft w:val="0"/>
          <w:marRight w:val="0"/>
          <w:marTop w:val="0"/>
          <w:marBottom w:val="0"/>
          <w:divBdr>
            <w:top w:val="none" w:sz="0" w:space="0" w:color="auto"/>
            <w:left w:val="none" w:sz="0" w:space="0" w:color="auto"/>
            <w:bottom w:val="none" w:sz="0" w:space="0" w:color="auto"/>
            <w:right w:val="none" w:sz="0" w:space="0" w:color="auto"/>
          </w:divBdr>
        </w:div>
        <w:div w:id="356124260">
          <w:marLeft w:val="0"/>
          <w:marRight w:val="0"/>
          <w:marTop w:val="0"/>
          <w:marBottom w:val="0"/>
          <w:divBdr>
            <w:top w:val="none" w:sz="0" w:space="0" w:color="auto"/>
            <w:left w:val="none" w:sz="0" w:space="0" w:color="auto"/>
            <w:bottom w:val="none" w:sz="0" w:space="0" w:color="auto"/>
            <w:right w:val="none" w:sz="0" w:space="0" w:color="auto"/>
          </w:divBdr>
        </w:div>
        <w:div w:id="557520594">
          <w:marLeft w:val="0"/>
          <w:marRight w:val="0"/>
          <w:marTop w:val="0"/>
          <w:marBottom w:val="0"/>
          <w:divBdr>
            <w:top w:val="none" w:sz="0" w:space="0" w:color="auto"/>
            <w:left w:val="none" w:sz="0" w:space="0" w:color="auto"/>
            <w:bottom w:val="none" w:sz="0" w:space="0" w:color="auto"/>
            <w:right w:val="none" w:sz="0" w:space="0" w:color="auto"/>
          </w:divBdr>
        </w:div>
      </w:divsChild>
    </w:div>
    <w:div w:id="345209379">
      <w:bodyDiv w:val="1"/>
      <w:marLeft w:val="0"/>
      <w:marRight w:val="0"/>
      <w:marTop w:val="0"/>
      <w:marBottom w:val="0"/>
      <w:divBdr>
        <w:top w:val="none" w:sz="0" w:space="0" w:color="auto"/>
        <w:left w:val="none" w:sz="0" w:space="0" w:color="auto"/>
        <w:bottom w:val="none" w:sz="0" w:space="0" w:color="auto"/>
        <w:right w:val="none" w:sz="0" w:space="0" w:color="auto"/>
      </w:divBdr>
    </w:div>
    <w:div w:id="363601056">
      <w:bodyDiv w:val="1"/>
      <w:marLeft w:val="0"/>
      <w:marRight w:val="0"/>
      <w:marTop w:val="0"/>
      <w:marBottom w:val="0"/>
      <w:divBdr>
        <w:top w:val="none" w:sz="0" w:space="0" w:color="auto"/>
        <w:left w:val="none" w:sz="0" w:space="0" w:color="auto"/>
        <w:bottom w:val="none" w:sz="0" w:space="0" w:color="auto"/>
        <w:right w:val="none" w:sz="0" w:space="0" w:color="auto"/>
      </w:divBdr>
    </w:div>
    <w:div w:id="382406544">
      <w:bodyDiv w:val="1"/>
      <w:marLeft w:val="0"/>
      <w:marRight w:val="0"/>
      <w:marTop w:val="0"/>
      <w:marBottom w:val="0"/>
      <w:divBdr>
        <w:top w:val="none" w:sz="0" w:space="0" w:color="auto"/>
        <w:left w:val="none" w:sz="0" w:space="0" w:color="auto"/>
        <w:bottom w:val="none" w:sz="0" w:space="0" w:color="auto"/>
        <w:right w:val="none" w:sz="0" w:space="0" w:color="auto"/>
      </w:divBdr>
    </w:div>
    <w:div w:id="411246475">
      <w:bodyDiv w:val="1"/>
      <w:marLeft w:val="0"/>
      <w:marRight w:val="0"/>
      <w:marTop w:val="0"/>
      <w:marBottom w:val="0"/>
      <w:divBdr>
        <w:top w:val="none" w:sz="0" w:space="0" w:color="auto"/>
        <w:left w:val="none" w:sz="0" w:space="0" w:color="auto"/>
        <w:bottom w:val="none" w:sz="0" w:space="0" w:color="auto"/>
        <w:right w:val="none" w:sz="0" w:space="0" w:color="auto"/>
      </w:divBdr>
    </w:div>
    <w:div w:id="437717391">
      <w:bodyDiv w:val="1"/>
      <w:marLeft w:val="0"/>
      <w:marRight w:val="0"/>
      <w:marTop w:val="0"/>
      <w:marBottom w:val="0"/>
      <w:divBdr>
        <w:top w:val="none" w:sz="0" w:space="0" w:color="auto"/>
        <w:left w:val="none" w:sz="0" w:space="0" w:color="auto"/>
        <w:bottom w:val="none" w:sz="0" w:space="0" w:color="auto"/>
        <w:right w:val="none" w:sz="0" w:space="0" w:color="auto"/>
      </w:divBdr>
    </w:div>
    <w:div w:id="443575797">
      <w:bodyDiv w:val="1"/>
      <w:marLeft w:val="0"/>
      <w:marRight w:val="0"/>
      <w:marTop w:val="0"/>
      <w:marBottom w:val="0"/>
      <w:divBdr>
        <w:top w:val="none" w:sz="0" w:space="0" w:color="auto"/>
        <w:left w:val="none" w:sz="0" w:space="0" w:color="auto"/>
        <w:bottom w:val="none" w:sz="0" w:space="0" w:color="auto"/>
        <w:right w:val="none" w:sz="0" w:space="0" w:color="auto"/>
      </w:divBdr>
    </w:div>
    <w:div w:id="453253294">
      <w:bodyDiv w:val="1"/>
      <w:marLeft w:val="0"/>
      <w:marRight w:val="0"/>
      <w:marTop w:val="0"/>
      <w:marBottom w:val="0"/>
      <w:divBdr>
        <w:top w:val="none" w:sz="0" w:space="0" w:color="auto"/>
        <w:left w:val="none" w:sz="0" w:space="0" w:color="auto"/>
        <w:bottom w:val="none" w:sz="0" w:space="0" w:color="auto"/>
        <w:right w:val="none" w:sz="0" w:space="0" w:color="auto"/>
      </w:divBdr>
    </w:div>
    <w:div w:id="463426680">
      <w:bodyDiv w:val="1"/>
      <w:marLeft w:val="0"/>
      <w:marRight w:val="0"/>
      <w:marTop w:val="0"/>
      <w:marBottom w:val="0"/>
      <w:divBdr>
        <w:top w:val="none" w:sz="0" w:space="0" w:color="auto"/>
        <w:left w:val="none" w:sz="0" w:space="0" w:color="auto"/>
        <w:bottom w:val="none" w:sz="0" w:space="0" w:color="auto"/>
        <w:right w:val="none" w:sz="0" w:space="0" w:color="auto"/>
      </w:divBdr>
    </w:div>
    <w:div w:id="475414075">
      <w:bodyDiv w:val="1"/>
      <w:marLeft w:val="0"/>
      <w:marRight w:val="0"/>
      <w:marTop w:val="0"/>
      <w:marBottom w:val="0"/>
      <w:divBdr>
        <w:top w:val="none" w:sz="0" w:space="0" w:color="auto"/>
        <w:left w:val="none" w:sz="0" w:space="0" w:color="auto"/>
        <w:bottom w:val="none" w:sz="0" w:space="0" w:color="auto"/>
        <w:right w:val="none" w:sz="0" w:space="0" w:color="auto"/>
      </w:divBdr>
    </w:div>
    <w:div w:id="486745336">
      <w:bodyDiv w:val="1"/>
      <w:marLeft w:val="0"/>
      <w:marRight w:val="0"/>
      <w:marTop w:val="0"/>
      <w:marBottom w:val="0"/>
      <w:divBdr>
        <w:top w:val="none" w:sz="0" w:space="0" w:color="auto"/>
        <w:left w:val="none" w:sz="0" w:space="0" w:color="auto"/>
        <w:bottom w:val="none" w:sz="0" w:space="0" w:color="auto"/>
        <w:right w:val="none" w:sz="0" w:space="0" w:color="auto"/>
      </w:divBdr>
    </w:div>
    <w:div w:id="522020283">
      <w:bodyDiv w:val="1"/>
      <w:marLeft w:val="0"/>
      <w:marRight w:val="0"/>
      <w:marTop w:val="0"/>
      <w:marBottom w:val="0"/>
      <w:divBdr>
        <w:top w:val="none" w:sz="0" w:space="0" w:color="auto"/>
        <w:left w:val="none" w:sz="0" w:space="0" w:color="auto"/>
        <w:bottom w:val="none" w:sz="0" w:space="0" w:color="auto"/>
        <w:right w:val="none" w:sz="0" w:space="0" w:color="auto"/>
      </w:divBdr>
    </w:div>
    <w:div w:id="543643945">
      <w:bodyDiv w:val="1"/>
      <w:marLeft w:val="0"/>
      <w:marRight w:val="0"/>
      <w:marTop w:val="0"/>
      <w:marBottom w:val="0"/>
      <w:divBdr>
        <w:top w:val="none" w:sz="0" w:space="0" w:color="auto"/>
        <w:left w:val="none" w:sz="0" w:space="0" w:color="auto"/>
        <w:bottom w:val="none" w:sz="0" w:space="0" w:color="auto"/>
        <w:right w:val="none" w:sz="0" w:space="0" w:color="auto"/>
      </w:divBdr>
    </w:div>
    <w:div w:id="552814093">
      <w:bodyDiv w:val="1"/>
      <w:marLeft w:val="0"/>
      <w:marRight w:val="0"/>
      <w:marTop w:val="0"/>
      <w:marBottom w:val="0"/>
      <w:divBdr>
        <w:top w:val="none" w:sz="0" w:space="0" w:color="auto"/>
        <w:left w:val="none" w:sz="0" w:space="0" w:color="auto"/>
        <w:bottom w:val="none" w:sz="0" w:space="0" w:color="auto"/>
        <w:right w:val="none" w:sz="0" w:space="0" w:color="auto"/>
      </w:divBdr>
    </w:div>
    <w:div w:id="588003555">
      <w:bodyDiv w:val="1"/>
      <w:marLeft w:val="0"/>
      <w:marRight w:val="0"/>
      <w:marTop w:val="0"/>
      <w:marBottom w:val="0"/>
      <w:divBdr>
        <w:top w:val="none" w:sz="0" w:space="0" w:color="auto"/>
        <w:left w:val="none" w:sz="0" w:space="0" w:color="auto"/>
        <w:bottom w:val="none" w:sz="0" w:space="0" w:color="auto"/>
        <w:right w:val="none" w:sz="0" w:space="0" w:color="auto"/>
      </w:divBdr>
    </w:div>
    <w:div w:id="613710828">
      <w:bodyDiv w:val="1"/>
      <w:marLeft w:val="0"/>
      <w:marRight w:val="0"/>
      <w:marTop w:val="0"/>
      <w:marBottom w:val="0"/>
      <w:divBdr>
        <w:top w:val="none" w:sz="0" w:space="0" w:color="auto"/>
        <w:left w:val="none" w:sz="0" w:space="0" w:color="auto"/>
        <w:bottom w:val="none" w:sz="0" w:space="0" w:color="auto"/>
        <w:right w:val="none" w:sz="0" w:space="0" w:color="auto"/>
      </w:divBdr>
    </w:div>
    <w:div w:id="635836293">
      <w:bodyDiv w:val="1"/>
      <w:marLeft w:val="0"/>
      <w:marRight w:val="0"/>
      <w:marTop w:val="0"/>
      <w:marBottom w:val="0"/>
      <w:divBdr>
        <w:top w:val="none" w:sz="0" w:space="0" w:color="auto"/>
        <w:left w:val="none" w:sz="0" w:space="0" w:color="auto"/>
        <w:bottom w:val="none" w:sz="0" w:space="0" w:color="auto"/>
        <w:right w:val="none" w:sz="0" w:space="0" w:color="auto"/>
      </w:divBdr>
    </w:div>
    <w:div w:id="639531374">
      <w:bodyDiv w:val="1"/>
      <w:marLeft w:val="0"/>
      <w:marRight w:val="0"/>
      <w:marTop w:val="0"/>
      <w:marBottom w:val="0"/>
      <w:divBdr>
        <w:top w:val="none" w:sz="0" w:space="0" w:color="auto"/>
        <w:left w:val="none" w:sz="0" w:space="0" w:color="auto"/>
        <w:bottom w:val="none" w:sz="0" w:space="0" w:color="auto"/>
        <w:right w:val="none" w:sz="0" w:space="0" w:color="auto"/>
      </w:divBdr>
    </w:div>
    <w:div w:id="640352948">
      <w:bodyDiv w:val="1"/>
      <w:marLeft w:val="0"/>
      <w:marRight w:val="0"/>
      <w:marTop w:val="0"/>
      <w:marBottom w:val="0"/>
      <w:divBdr>
        <w:top w:val="none" w:sz="0" w:space="0" w:color="auto"/>
        <w:left w:val="none" w:sz="0" w:space="0" w:color="auto"/>
        <w:bottom w:val="none" w:sz="0" w:space="0" w:color="auto"/>
        <w:right w:val="none" w:sz="0" w:space="0" w:color="auto"/>
      </w:divBdr>
    </w:div>
    <w:div w:id="670568218">
      <w:bodyDiv w:val="1"/>
      <w:marLeft w:val="0"/>
      <w:marRight w:val="0"/>
      <w:marTop w:val="0"/>
      <w:marBottom w:val="0"/>
      <w:divBdr>
        <w:top w:val="none" w:sz="0" w:space="0" w:color="auto"/>
        <w:left w:val="none" w:sz="0" w:space="0" w:color="auto"/>
        <w:bottom w:val="none" w:sz="0" w:space="0" w:color="auto"/>
        <w:right w:val="none" w:sz="0" w:space="0" w:color="auto"/>
      </w:divBdr>
      <w:divsChild>
        <w:div w:id="85227439">
          <w:marLeft w:val="0"/>
          <w:marRight w:val="0"/>
          <w:marTop w:val="0"/>
          <w:marBottom w:val="0"/>
          <w:divBdr>
            <w:top w:val="none" w:sz="0" w:space="0" w:color="auto"/>
            <w:left w:val="none" w:sz="0" w:space="0" w:color="auto"/>
            <w:bottom w:val="none" w:sz="0" w:space="0" w:color="auto"/>
            <w:right w:val="none" w:sz="0" w:space="0" w:color="auto"/>
          </w:divBdr>
        </w:div>
        <w:div w:id="647710696">
          <w:marLeft w:val="0"/>
          <w:marRight w:val="0"/>
          <w:marTop w:val="0"/>
          <w:marBottom w:val="0"/>
          <w:divBdr>
            <w:top w:val="none" w:sz="0" w:space="0" w:color="auto"/>
            <w:left w:val="none" w:sz="0" w:space="0" w:color="auto"/>
            <w:bottom w:val="none" w:sz="0" w:space="0" w:color="auto"/>
            <w:right w:val="none" w:sz="0" w:space="0" w:color="auto"/>
          </w:divBdr>
        </w:div>
      </w:divsChild>
    </w:div>
    <w:div w:id="688877900">
      <w:bodyDiv w:val="1"/>
      <w:marLeft w:val="0"/>
      <w:marRight w:val="0"/>
      <w:marTop w:val="0"/>
      <w:marBottom w:val="0"/>
      <w:divBdr>
        <w:top w:val="none" w:sz="0" w:space="0" w:color="auto"/>
        <w:left w:val="none" w:sz="0" w:space="0" w:color="auto"/>
        <w:bottom w:val="none" w:sz="0" w:space="0" w:color="auto"/>
        <w:right w:val="none" w:sz="0" w:space="0" w:color="auto"/>
      </w:divBdr>
      <w:divsChild>
        <w:div w:id="743138670">
          <w:marLeft w:val="0"/>
          <w:marRight w:val="0"/>
          <w:marTop w:val="0"/>
          <w:marBottom w:val="0"/>
          <w:divBdr>
            <w:top w:val="none" w:sz="0" w:space="0" w:color="auto"/>
            <w:left w:val="none" w:sz="0" w:space="0" w:color="auto"/>
            <w:bottom w:val="none" w:sz="0" w:space="0" w:color="auto"/>
            <w:right w:val="none" w:sz="0" w:space="0" w:color="auto"/>
          </w:divBdr>
        </w:div>
        <w:div w:id="1322735557">
          <w:marLeft w:val="0"/>
          <w:marRight w:val="0"/>
          <w:marTop w:val="0"/>
          <w:marBottom w:val="0"/>
          <w:divBdr>
            <w:top w:val="none" w:sz="0" w:space="0" w:color="auto"/>
            <w:left w:val="none" w:sz="0" w:space="0" w:color="auto"/>
            <w:bottom w:val="none" w:sz="0" w:space="0" w:color="auto"/>
            <w:right w:val="none" w:sz="0" w:space="0" w:color="auto"/>
          </w:divBdr>
        </w:div>
        <w:div w:id="823813829">
          <w:marLeft w:val="0"/>
          <w:marRight w:val="0"/>
          <w:marTop w:val="0"/>
          <w:marBottom w:val="0"/>
          <w:divBdr>
            <w:top w:val="none" w:sz="0" w:space="0" w:color="auto"/>
            <w:left w:val="none" w:sz="0" w:space="0" w:color="auto"/>
            <w:bottom w:val="none" w:sz="0" w:space="0" w:color="auto"/>
            <w:right w:val="none" w:sz="0" w:space="0" w:color="auto"/>
          </w:divBdr>
        </w:div>
      </w:divsChild>
    </w:div>
    <w:div w:id="706414905">
      <w:bodyDiv w:val="1"/>
      <w:marLeft w:val="0"/>
      <w:marRight w:val="0"/>
      <w:marTop w:val="0"/>
      <w:marBottom w:val="0"/>
      <w:divBdr>
        <w:top w:val="none" w:sz="0" w:space="0" w:color="auto"/>
        <w:left w:val="none" w:sz="0" w:space="0" w:color="auto"/>
        <w:bottom w:val="none" w:sz="0" w:space="0" w:color="auto"/>
        <w:right w:val="none" w:sz="0" w:space="0" w:color="auto"/>
      </w:divBdr>
    </w:div>
    <w:div w:id="712576727">
      <w:bodyDiv w:val="1"/>
      <w:marLeft w:val="0"/>
      <w:marRight w:val="0"/>
      <w:marTop w:val="0"/>
      <w:marBottom w:val="0"/>
      <w:divBdr>
        <w:top w:val="none" w:sz="0" w:space="0" w:color="auto"/>
        <w:left w:val="none" w:sz="0" w:space="0" w:color="auto"/>
        <w:bottom w:val="none" w:sz="0" w:space="0" w:color="auto"/>
        <w:right w:val="none" w:sz="0" w:space="0" w:color="auto"/>
      </w:divBdr>
    </w:div>
    <w:div w:id="712652927">
      <w:bodyDiv w:val="1"/>
      <w:marLeft w:val="0"/>
      <w:marRight w:val="0"/>
      <w:marTop w:val="0"/>
      <w:marBottom w:val="0"/>
      <w:divBdr>
        <w:top w:val="none" w:sz="0" w:space="0" w:color="auto"/>
        <w:left w:val="none" w:sz="0" w:space="0" w:color="auto"/>
        <w:bottom w:val="none" w:sz="0" w:space="0" w:color="auto"/>
        <w:right w:val="none" w:sz="0" w:space="0" w:color="auto"/>
      </w:divBdr>
    </w:div>
    <w:div w:id="724719849">
      <w:bodyDiv w:val="1"/>
      <w:marLeft w:val="0"/>
      <w:marRight w:val="0"/>
      <w:marTop w:val="0"/>
      <w:marBottom w:val="0"/>
      <w:divBdr>
        <w:top w:val="none" w:sz="0" w:space="0" w:color="auto"/>
        <w:left w:val="none" w:sz="0" w:space="0" w:color="auto"/>
        <w:bottom w:val="none" w:sz="0" w:space="0" w:color="auto"/>
        <w:right w:val="none" w:sz="0" w:space="0" w:color="auto"/>
      </w:divBdr>
      <w:divsChild>
        <w:div w:id="1918588258">
          <w:marLeft w:val="0"/>
          <w:marRight w:val="0"/>
          <w:marTop w:val="0"/>
          <w:marBottom w:val="0"/>
          <w:divBdr>
            <w:top w:val="none" w:sz="0" w:space="0" w:color="auto"/>
            <w:left w:val="none" w:sz="0" w:space="0" w:color="auto"/>
            <w:bottom w:val="none" w:sz="0" w:space="0" w:color="auto"/>
            <w:right w:val="none" w:sz="0" w:space="0" w:color="auto"/>
          </w:divBdr>
        </w:div>
        <w:div w:id="787819438">
          <w:marLeft w:val="0"/>
          <w:marRight w:val="0"/>
          <w:marTop w:val="0"/>
          <w:marBottom w:val="0"/>
          <w:divBdr>
            <w:top w:val="none" w:sz="0" w:space="0" w:color="auto"/>
            <w:left w:val="none" w:sz="0" w:space="0" w:color="auto"/>
            <w:bottom w:val="none" w:sz="0" w:space="0" w:color="auto"/>
            <w:right w:val="none" w:sz="0" w:space="0" w:color="auto"/>
          </w:divBdr>
        </w:div>
        <w:div w:id="1339966543">
          <w:marLeft w:val="0"/>
          <w:marRight w:val="0"/>
          <w:marTop w:val="0"/>
          <w:marBottom w:val="0"/>
          <w:divBdr>
            <w:top w:val="none" w:sz="0" w:space="0" w:color="auto"/>
            <w:left w:val="none" w:sz="0" w:space="0" w:color="auto"/>
            <w:bottom w:val="none" w:sz="0" w:space="0" w:color="auto"/>
            <w:right w:val="none" w:sz="0" w:space="0" w:color="auto"/>
          </w:divBdr>
        </w:div>
      </w:divsChild>
    </w:div>
    <w:div w:id="732240508">
      <w:bodyDiv w:val="1"/>
      <w:marLeft w:val="0"/>
      <w:marRight w:val="0"/>
      <w:marTop w:val="0"/>
      <w:marBottom w:val="0"/>
      <w:divBdr>
        <w:top w:val="none" w:sz="0" w:space="0" w:color="auto"/>
        <w:left w:val="none" w:sz="0" w:space="0" w:color="auto"/>
        <w:bottom w:val="none" w:sz="0" w:space="0" w:color="auto"/>
        <w:right w:val="none" w:sz="0" w:space="0" w:color="auto"/>
      </w:divBdr>
    </w:div>
    <w:div w:id="739791667">
      <w:bodyDiv w:val="1"/>
      <w:marLeft w:val="0"/>
      <w:marRight w:val="0"/>
      <w:marTop w:val="0"/>
      <w:marBottom w:val="0"/>
      <w:divBdr>
        <w:top w:val="none" w:sz="0" w:space="0" w:color="auto"/>
        <w:left w:val="none" w:sz="0" w:space="0" w:color="auto"/>
        <w:bottom w:val="none" w:sz="0" w:space="0" w:color="auto"/>
        <w:right w:val="none" w:sz="0" w:space="0" w:color="auto"/>
      </w:divBdr>
    </w:div>
    <w:div w:id="751972095">
      <w:bodyDiv w:val="1"/>
      <w:marLeft w:val="0"/>
      <w:marRight w:val="0"/>
      <w:marTop w:val="0"/>
      <w:marBottom w:val="0"/>
      <w:divBdr>
        <w:top w:val="none" w:sz="0" w:space="0" w:color="auto"/>
        <w:left w:val="none" w:sz="0" w:space="0" w:color="auto"/>
        <w:bottom w:val="none" w:sz="0" w:space="0" w:color="auto"/>
        <w:right w:val="none" w:sz="0" w:space="0" w:color="auto"/>
      </w:divBdr>
    </w:div>
    <w:div w:id="768695226">
      <w:bodyDiv w:val="1"/>
      <w:marLeft w:val="0"/>
      <w:marRight w:val="0"/>
      <w:marTop w:val="0"/>
      <w:marBottom w:val="0"/>
      <w:divBdr>
        <w:top w:val="none" w:sz="0" w:space="0" w:color="auto"/>
        <w:left w:val="none" w:sz="0" w:space="0" w:color="auto"/>
        <w:bottom w:val="none" w:sz="0" w:space="0" w:color="auto"/>
        <w:right w:val="none" w:sz="0" w:space="0" w:color="auto"/>
      </w:divBdr>
    </w:div>
    <w:div w:id="769813129">
      <w:bodyDiv w:val="1"/>
      <w:marLeft w:val="0"/>
      <w:marRight w:val="0"/>
      <w:marTop w:val="0"/>
      <w:marBottom w:val="0"/>
      <w:divBdr>
        <w:top w:val="none" w:sz="0" w:space="0" w:color="auto"/>
        <w:left w:val="none" w:sz="0" w:space="0" w:color="auto"/>
        <w:bottom w:val="none" w:sz="0" w:space="0" w:color="auto"/>
        <w:right w:val="none" w:sz="0" w:space="0" w:color="auto"/>
      </w:divBdr>
    </w:div>
    <w:div w:id="772432445">
      <w:bodyDiv w:val="1"/>
      <w:marLeft w:val="0"/>
      <w:marRight w:val="0"/>
      <w:marTop w:val="0"/>
      <w:marBottom w:val="0"/>
      <w:divBdr>
        <w:top w:val="none" w:sz="0" w:space="0" w:color="auto"/>
        <w:left w:val="none" w:sz="0" w:space="0" w:color="auto"/>
        <w:bottom w:val="none" w:sz="0" w:space="0" w:color="auto"/>
        <w:right w:val="none" w:sz="0" w:space="0" w:color="auto"/>
      </w:divBdr>
    </w:div>
    <w:div w:id="774208669">
      <w:bodyDiv w:val="1"/>
      <w:marLeft w:val="0"/>
      <w:marRight w:val="0"/>
      <w:marTop w:val="0"/>
      <w:marBottom w:val="0"/>
      <w:divBdr>
        <w:top w:val="none" w:sz="0" w:space="0" w:color="auto"/>
        <w:left w:val="none" w:sz="0" w:space="0" w:color="auto"/>
        <w:bottom w:val="none" w:sz="0" w:space="0" w:color="auto"/>
        <w:right w:val="none" w:sz="0" w:space="0" w:color="auto"/>
      </w:divBdr>
    </w:div>
    <w:div w:id="783578417">
      <w:bodyDiv w:val="1"/>
      <w:marLeft w:val="0"/>
      <w:marRight w:val="0"/>
      <w:marTop w:val="0"/>
      <w:marBottom w:val="0"/>
      <w:divBdr>
        <w:top w:val="none" w:sz="0" w:space="0" w:color="auto"/>
        <w:left w:val="none" w:sz="0" w:space="0" w:color="auto"/>
        <w:bottom w:val="none" w:sz="0" w:space="0" w:color="auto"/>
        <w:right w:val="none" w:sz="0" w:space="0" w:color="auto"/>
      </w:divBdr>
    </w:div>
    <w:div w:id="794177829">
      <w:bodyDiv w:val="1"/>
      <w:marLeft w:val="0"/>
      <w:marRight w:val="0"/>
      <w:marTop w:val="0"/>
      <w:marBottom w:val="0"/>
      <w:divBdr>
        <w:top w:val="none" w:sz="0" w:space="0" w:color="auto"/>
        <w:left w:val="none" w:sz="0" w:space="0" w:color="auto"/>
        <w:bottom w:val="none" w:sz="0" w:space="0" w:color="auto"/>
        <w:right w:val="none" w:sz="0" w:space="0" w:color="auto"/>
      </w:divBdr>
    </w:div>
    <w:div w:id="796415900">
      <w:bodyDiv w:val="1"/>
      <w:marLeft w:val="0"/>
      <w:marRight w:val="0"/>
      <w:marTop w:val="0"/>
      <w:marBottom w:val="0"/>
      <w:divBdr>
        <w:top w:val="none" w:sz="0" w:space="0" w:color="auto"/>
        <w:left w:val="none" w:sz="0" w:space="0" w:color="auto"/>
        <w:bottom w:val="none" w:sz="0" w:space="0" w:color="auto"/>
        <w:right w:val="none" w:sz="0" w:space="0" w:color="auto"/>
      </w:divBdr>
    </w:div>
    <w:div w:id="802968599">
      <w:bodyDiv w:val="1"/>
      <w:marLeft w:val="0"/>
      <w:marRight w:val="0"/>
      <w:marTop w:val="0"/>
      <w:marBottom w:val="0"/>
      <w:divBdr>
        <w:top w:val="none" w:sz="0" w:space="0" w:color="auto"/>
        <w:left w:val="none" w:sz="0" w:space="0" w:color="auto"/>
        <w:bottom w:val="none" w:sz="0" w:space="0" w:color="auto"/>
        <w:right w:val="none" w:sz="0" w:space="0" w:color="auto"/>
      </w:divBdr>
    </w:div>
    <w:div w:id="842623960">
      <w:bodyDiv w:val="1"/>
      <w:marLeft w:val="0"/>
      <w:marRight w:val="0"/>
      <w:marTop w:val="0"/>
      <w:marBottom w:val="0"/>
      <w:divBdr>
        <w:top w:val="none" w:sz="0" w:space="0" w:color="auto"/>
        <w:left w:val="none" w:sz="0" w:space="0" w:color="auto"/>
        <w:bottom w:val="none" w:sz="0" w:space="0" w:color="auto"/>
        <w:right w:val="none" w:sz="0" w:space="0" w:color="auto"/>
      </w:divBdr>
    </w:div>
    <w:div w:id="857503914">
      <w:bodyDiv w:val="1"/>
      <w:marLeft w:val="0"/>
      <w:marRight w:val="0"/>
      <w:marTop w:val="0"/>
      <w:marBottom w:val="0"/>
      <w:divBdr>
        <w:top w:val="none" w:sz="0" w:space="0" w:color="auto"/>
        <w:left w:val="none" w:sz="0" w:space="0" w:color="auto"/>
        <w:bottom w:val="none" w:sz="0" w:space="0" w:color="auto"/>
        <w:right w:val="none" w:sz="0" w:space="0" w:color="auto"/>
      </w:divBdr>
    </w:div>
    <w:div w:id="877086262">
      <w:bodyDiv w:val="1"/>
      <w:marLeft w:val="0"/>
      <w:marRight w:val="0"/>
      <w:marTop w:val="0"/>
      <w:marBottom w:val="0"/>
      <w:divBdr>
        <w:top w:val="none" w:sz="0" w:space="0" w:color="auto"/>
        <w:left w:val="none" w:sz="0" w:space="0" w:color="auto"/>
        <w:bottom w:val="none" w:sz="0" w:space="0" w:color="auto"/>
        <w:right w:val="none" w:sz="0" w:space="0" w:color="auto"/>
      </w:divBdr>
    </w:div>
    <w:div w:id="877551509">
      <w:bodyDiv w:val="1"/>
      <w:marLeft w:val="0"/>
      <w:marRight w:val="0"/>
      <w:marTop w:val="0"/>
      <w:marBottom w:val="0"/>
      <w:divBdr>
        <w:top w:val="none" w:sz="0" w:space="0" w:color="auto"/>
        <w:left w:val="none" w:sz="0" w:space="0" w:color="auto"/>
        <w:bottom w:val="none" w:sz="0" w:space="0" w:color="auto"/>
        <w:right w:val="none" w:sz="0" w:space="0" w:color="auto"/>
      </w:divBdr>
    </w:div>
    <w:div w:id="880476978">
      <w:bodyDiv w:val="1"/>
      <w:marLeft w:val="0"/>
      <w:marRight w:val="0"/>
      <w:marTop w:val="0"/>
      <w:marBottom w:val="0"/>
      <w:divBdr>
        <w:top w:val="none" w:sz="0" w:space="0" w:color="auto"/>
        <w:left w:val="none" w:sz="0" w:space="0" w:color="auto"/>
        <w:bottom w:val="none" w:sz="0" w:space="0" w:color="auto"/>
        <w:right w:val="none" w:sz="0" w:space="0" w:color="auto"/>
      </w:divBdr>
    </w:div>
    <w:div w:id="907039483">
      <w:bodyDiv w:val="1"/>
      <w:marLeft w:val="0"/>
      <w:marRight w:val="0"/>
      <w:marTop w:val="0"/>
      <w:marBottom w:val="0"/>
      <w:divBdr>
        <w:top w:val="none" w:sz="0" w:space="0" w:color="auto"/>
        <w:left w:val="none" w:sz="0" w:space="0" w:color="auto"/>
        <w:bottom w:val="none" w:sz="0" w:space="0" w:color="auto"/>
        <w:right w:val="none" w:sz="0" w:space="0" w:color="auto"/>
      </w:divBdr>
    </w:div>
    <w:div w:id="927662792">
      <w:bodyDiv w:val="1"/>
      <w:marLeft w:val="0"/>
      <w:marRight w:val="0"/>
      <w:marTop w:val="0"/>
      <w:marBottom w:val="0"/>
      <w:divBdr>
        <w:top w:val="none" w:sz="0" w:space="0" w:color="auto"/>
        <w:left w:val="none" w:sz="0" w:space="0" w:color="auto"/>
        <w:bottom w:val="none" w:sz="0" w:space="0" w:color="auto"/>
        <w:right w:val="none" w:sz="0" w:space="0" w:color="auto"/>
      </w:divBdr>
    </w:div>
    <w:div w:id="939988329">
      <w:bodyDiv w:val="1"/>
      <w:marLeft w:val="0"/>
      <w:marRight w:val="0"/>
      <w:marTop w:val="0"/>
      <w:marBottom w:val="0"/>
      <w:divBdr>
        <w:top w:val="none" w:sz="0" w:space="0" w:color="auto"/>
        <w:left w:val="none" w:sz="0" w:space="0" w:color="auto"/>
        <w:bottom w:val="none" w:sz="0" w:space="0" w:color="auto"/>
        <w:right w:val="none" w:sz="0" w:space="0" w:color="auto"/>
      </w:divBdr>
    </w:div>
    <w:div w:id="954366012">
      <w:bodyDiv w:val="1"/>
      <w:marLeft w:val="0"/>
      <w:marRight w:val="0"/>
      <w:marTop w:val="0"/>
      <w:marBottom w:val="0"/>
      <w:divBdr>
        <w:top w:val="none" w:sz="0" w:space="0" w:color="auto"/>
        <w:left w:val="none" w:sz="0" w:space="0" w:color="auto"/>
        <w:bottom w:val="none" w:sz="0" w:space="0" w:color="auto"/>
        <w:right w:val="none" w:sz="0" w:space="0" w:color="auto"/>
      </w:divBdr>
    </w:div>
    <w:div w:id="962924810">
      <w:bodyDiv w:val="1"/>
      <w:marLeft w:val="0"/>
      <w:marRight w:val="0"/>
      <w:marTop w:val="0"/>
      <w:marBottom w:val="0"/>
      <w:divBdr>
        <w:top w:val="none" w:sz="0" w:space="0" w:color="auto"/>
        <w:left w:val="none" w:sz="0" w:space="0" w:color="auto"/>
        <w:bottom w:val="none" w:sz="0" w:space="0" w:color="auto"/>
        <w:right w:val="none" w:sz="0" w:space="0" w:color="auto"/>
      </w:divBdr>
    </w:div>
    <w:div w:id="990523636">
      <w:bodyDiv w:val="1"/>
      <w:marLeft w:val="0"/>
      <w:marRight w:val="0"/>
      <w:marTop w:val="0"/>
      <w:marBottom w:val="0"/>
      <w:divBdr>
        <w:top w:val="none" w:sz="0" w:space="0" w:color="auto"/>
        <w:left w:val="none" w:sz="0" w:space="0" w:color="auto"/>
        <w:bottom w:val="none" w:sz="0" w:space="0" w:color="auto"/>
        <w:right w:val="none" w:sz="0" w:space="0" w:color="auto"/>
      </w:divBdr>
    </w:div>
    <w:div w:id="1024985646">
      <w:bodyDiv w:val="1"/>
      <w:marLeft w:val="0"/>
      <w:marRight w:val="0"/>
      <w:marTop w:val="0"/>
      <w:marBottom w:val="0"/>
      <w:divBdr>
        <w:top w:val="none" w:sz="0" w:space="0" w:color="auto"/>
        <w:left w:val="none" w:sz="0" w:space="0" w:color="auto"/>
        <w:bottom w:val="none" w:sz="0" w:space="0" w:color="auto"/>
        <w:right w:val="none" w:sz="0" w:space="0" w:color="auto"/>
      </w:divBdr>
    </w:div>
    <w:div w:id="1065294853">
      <w:bodyDiv w:val="1"/>
      <w:marLeft w:val="0"/>
      <w:marRight w:val="0"/>
      <w:marTop w:val="0"/>
      <w:marBottom w:val="0"/>
      <w:divBdr>
        <w:top w:val="none" w:sz="0" w:space="0" w:color="auto"/>
        <w:left w:val="none" w:sz="0" w:space="0" w:color="auto"/>
        <w:bottom w:val="none" w:sz="0" w:space="0" w:color="auto"/>
        <w:right w:val="none" w:sz="0" w:space="0" w:color="auto"/>
      </w:divBdr>
    </w:div>
    <w:div w:id="1084760320">
      <w:bodyDiv w:val="1"/>
      <w:marLeft w:val="0"/>
      <w:marRight w:val="0"/>
      <w:marTop w:val="0"/>
      <w:marBottom w:val="0"/>
      <w:divBdr>
        <w:top w:val="none" w:sz="0" w:space="0" w:color="auto"/>
        <w:left w:val="none" w:sz="0" w:space="0" w:color="auto"/>
        <w:bottom w:val="none" w:sz="0" w:space="0" w:color="auto"/>
        <w:right w:val="none" w:sz="0" w:space="0" w:color="auto"/>
      </w:divBdr>
    </w:div>
    <w:div w:id="1151601446">
      <w:bodyDiv w:val="1"/>
      <w:marLeft w:val="0"/>
      <w:marRight w:val="0"/>
      <w:marTop w:val="0"/>
      <w:marBottom w:val="0"/>
      <w:divBdr>
        <w:top w:val="none" w:sz="0" w:space="0" w:color="auto"/>
        <w:left w:val="none" w:sz="0" w:space="0" w:color="auto"/>
        <w:bottom w:val="none" w:sz="0" w:space="0" w:color="auto"/>
        <w:right w:val="none" w:sz="0" w:space="0" w:color="auto"/>
      </w:divBdr>
    </w:div>
    <w:div w:id="1152402866">
      <w:bodyDiv w:val="1"/>
      <w:marLeft w:val="0"/>
      <w:marRight w:val="0"/>
      <w:marTop w:val="0"/>
      <w:marBottom w:val="0"/>
      <w:divBdr>
        <w:top w:val="none" w:sz="0" w:space="0" w:color="auto"/>
        <w:left w:val="none" w:sz="0" w:space="0" w:color="auto"/>
        <w:bottom w:val="none" w:sz="0" w:space="0" w:color="auto"/>
        <w:right w:val="none" w:sz="0" w:space="0" w:color="auto"/>
      </w:divBdr>
    </w:div>
    <w:div w:id="1160736548">
      <w:bodyDiv w:val="1"/>
      <w:marLeft w:val="0"/>
      <w:marRight w:val="0"/>
      <w:marTop w:val="0"/>
      <w:marBottom w:val="0"/>
      <w:divBdr>
        <w:top w:val="none" w:sz="0" w:space="0" w:color="auto"/>
        <w:left w:val="none" w:sz="0" w:space="0" w:color="auto"/>
        <w:bottom w:val="none" w:sz="0" w:space="0" w:color="auto"/>
        <w:right w:val="none" w:sz="0" w:space="0" w:color="auto"/>
      </w:divBdr>
    </w:div>
    <w:div w:id="1175262204">
      <w:bodyDiv w:val="1"/>
      <w:marLeft w:val="0"/>
      <w:marRight w:val="0"/>
      <w:marTop w:val="0"/>
      <w:marBottom w:val="0"/>
      <w:divBdr>
        <w:top w:val="none" w:sz="0" w:space="0" w:color="auto"/>
        <w:left w:val="none" w:sz="0" w:space="0" w:color="auto"/>
        <w:bottom w:val="none" w:sz="0" w:space="0" w:color="auto"/>
        <w:right w:val="none" w:sz="0" w:space="0" w:color="auto"/>
      </w:divBdr>
    </w:div>
    <w:div w:id="1182235182">
      <w:bodyDiv w:val="1"/>
      <w:marLeft w:val="0"/>
      <w:marRight w:val="0"/>
      <w:marTop w:val="0"/>
      <w:marBottom w:val="0"/>
      <w:divBdr>
        <w:top w:val="none" w:sz="0" w:space="0" w:color="auto"/>
        <w:left w:val="none" w:sz="0" w:space="0" w:color="auto"/>
        <w:bottom w:val="none" w:sz="0" w:space="0" w:color="auto"/>
        <w:right w:val="none" w:sz="0" w:space="0" w:color="auto"/>
      </w:divBdr>
      <w:divsChild>
        <w:div w:id="1571042432">
          <w:marLeft w:val="0"/>
          <w:marRight w:val="0"/>
          <w:marTop w:val="0"/>
          <w:marBottom w:val="0"/>
          <w:divBdr>
            <w:top w:val="none" w:sz="0" w:space="0" w:color="auto"/>
            <w:left w:val="none" w:sz="0" w:space="0" w:color="auto"/>
            <w:bottom w:val="none" w:sz="0" w:space="0" w:color="auto"/>
            <w:right w:val="none" w:sz="0" w:space="0" w:color="auto"/>
          </w:divBdr>
          <w:divsChild>
            <w:div w:id="1640065114">
              <w:marLeft w:val="0"/>
              <w:marRight w:val="0"/>
              <w:marTop w:val="0"/>
              <w:marBottom w:val="0"/>
              <w:divBdr>
                <w:top w:val="none" w:sz="0" w:space="0" w:color="auto"/>
                <w:left w:val="none" w:sz="0" w:space="0" w:color="auto"/>
                <w:bottom w:val="none" w:sz="0" w:space="0" w:color="auto"/>
                <w:right w:val="none" w:sz="0" w:space="0" w:color="auto"/>
              </w:divBdr>
            </w:div>
          </w:divsChild>
        </w:div>
        <w:div w:id="271860609">
          <w:marLeft w:val="0"/>
          <w:marRight w:val="0"/>
          <w:marTop w:val="120"/>
          <w:marBottom w:val="0"/>
          <w:divBdr>
            <w:top w:val="none" w:sz="0" w:space="0" w:color="auto"/>
            <w:left w:val="none" w:sz="0" w:space="0" w:color="auto"/>
            <w:bottom w:val="none" w:sz="0" w:space="0" w:color="auto"/>
            <w:right w:val="none" w:sz="0" w:space="0" w:color="auto"/>
          </w:divBdr>
          <w:divsChild>
            <w:div w:id="96412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214716">
      <w:bodyDiv w:val="1"/>
      <w:marLeft w:val="0"/>
      <w:marRight w:val="0"/>
      <w:marTop w:val="0"/>
      <w:marBottom w:val="0"/>
      <w:divBdr>
        <w:top w:val="none" w:sz="0" w:space="0" w:color="auto"/>
        <w:left w:val="none" w:sz="0" w:space="0" w:color="auto"/>
        <w:bottom w:val="none" w:sz="0" w:space="0" w:color="auto"/>
        <w:right w:val="none" w:sz="0" w:space="0" w:color="auto"/>
      </w:divBdr>
    </w:div>
    <w:div w:id="1224676557">
      <w:bodyDiv w:val="1"/>
      <w:marLeft w:val="0"/>
      <w:marRight w:val="0"/>
      <w:marTop w:val="0"/>
      <w:marBottom w:val="0"/>
      <w:divBdr>
        <w:top w:val="none" w:sz="0" w:space="0" w:color="auto"/>
        <w:left w:val="none" w:sz="0" w:space="0" w:color="auto"/>
        <w:bottom w:val="none" w:sz="0" w:space="0" w:color="auto"/>
        <w:right w:val="none" w:sz="0" w:space="0" w:color="auto"/>
      </w:divBdr>
      <w:divsChild>
        <w:div w:id="252471366">
          <w:marLeft w:val="0"/>
          <w:marRight w:val="0"/>
          <w:marTop w:val="0"/>
          <w:marBottom w:val="0"/>
          <w:divBdr>
            <w:top w:val="none" w:sz="0" w:space="0" w:color="auto"/>
            <w:left w:val="none" w:sz="0" w:space="0" w:color="auto"/>
            <w:bottom w:val="none" w:sz="0" w:space="0" w:color="auto"/>
            <w:right w:val="none" w:sz="0" w:space="0" w:color="auto"/>
          </w:divBdr>
        </w:div>
        <w:div w:id="1860502793">
          <w:marLeft w:val="0"/>
          <w:marRight w:val="0"/>
          <w:marTop w:val="0"/>
          <w:marBottom w:val="0"/>
          <w:divBdr>
            <w:top w:val="none" w:sz="0" w:space="0" w:color="auto"/>
            <w:left w:val="none" w:sz="0" w:space="0" w:color="auto"/>
            <w:bottom w:val="none" w:sz="0" w:space="0" w:color="auto"/>
            <w:right w:val="none" w:sz="0" w:space="0" w:color="auto"/>
          </w:divBdr>
        </w:div>
        <w:div w:id="680203027">
          <w:marLeft w:val="0"/>
          <w:marRight w:val="0"/>
          <w:marTop w:val="0"/>
          <w:marBottom w:val="0"/>
          <w:divBdr>
            <w:top w:val="none" w:sz="0" w:space="0" w:color="auto"/>
            <w:left w:val="none" w:sz="0" w:space="0" w:color="auto"/>
            <w:bottom w:val="none" w:sz="0" w:space="0" w:color="auto"/>
            <w:right w:val="none" w:sz="0" w:space="0" w:color="auto"/>
          </w:divBdr>
        </w:div>
      </w:divsChild>
    </w:div>
    <w:div w:id="1233933077">
      <w:bodyDiv w:val="1"/>
      <w:marLeft w:val="0"/>
      <w:marRight w:val="0"/>
      <w:marTop w:val="0"/>
      <w:marBottom w:val="0"/>
      <w:divBdr>
        <w:top w:val="none" w:sz="0" w:space="0" w:color="auto"/>
        <w:left w:val="none" w:sz="0" w:space="0" w:color="auto"/>
        <w:bottom w:val="none" w:sz="0" w:space="0" w:color="auto"/>
        <w:right w:val="none" w:sz="0" w:space="0" w:color="auto"/>
      </w:divBdr>
    </w:div>
    <w:div w:id="1278029284">
      <w:bodyDiv w:val="1"/>
      <w:marLeft w:val="0"/>
      <w:marRight w:val="0"/>
      <w:marTop w:val="0"/>
      <w:marBottom w:val="0"/>
      <w:divBdr>
        <w:top w:val="none" w:sz="0" w:space="0" w:color="auto"/>
        <w:left w:val="none" w:sz="0" w:space="0" w:color="auto"/>
        <w:bottom w:val="none" w:sz="0" w:space="0" w:color="auto"/>
        <w:right w:val="none" w:sz="0" w:space="0" w:color="auto"/>
      </w:divBdr>
    </w:div>
    <w:div w:id="1282956739">
      <w:bodyDiv w:val="1"/>
      <w:marLeft w:val="0"/>
      <w:marRight w:val="0"/>
      <w:marTop w:val="0"/>
      <w:marBottom w:val="0"/>
      <w:divBdr>
        <w:top w:val="none" w:sz="0" w:space="0" w:color="auto"/>
        <w:left w:val="none" w:sz="0" w:space="0" w:color="auto"/>
        <w:bottom w:val="none" w:sz="0" w:space="0" w:color="auto"/>
        <w:right w:val="none" w:sz="0" w:space="0" w:color="auto"/>
      </w:divBdr>
    </w:div>
    <w:div w:id="1307010189">
      <w:bodyDiv w:val="1"/>
      <w:marLeft w:val="0"/>
      <w:marRight w:val="0"/>
      <w:marTop w:val="0"/>
      <w:marBottom w:val="0"/>
      <w:divBdr>
        <w:top w:val="none" w:sz="0" w:space="0" w:color="auto"/>
        <w:left w:val="none" w:sz="0" w:space="0" w:color="auto"/>
        <w:bottom w:val="none" w:sz="0" w:space="0" w:color="auto"/>
        <w:right w:val="none" w:sz="0" w:space="0" w:color="auto"/>
      </w:divBdr>
    </w:div>
    <w:div w:id="1343165720">
      <w:bodyDiv w:val="1"/>
      <w:marLeft w:val="0"/>
      <w:marRight w:val="0"/>
      <w:marTop w:val="0"/>
      <w:marBottom w:val="0"/>
      <w:divBdr>
        <w:top w:val="none" w:sz="0" w:space="0" w:color="auto"/>
        <w:left w:val="none" w:sz="0" w:space="0" w:color="auto"/>
        <w:bottom w:val="none" w:sz="0" w:space="0" w:color="auto"/>
        <w:right w:val="none" w:sz="0" w:space="0" w:color="auto"/>
      </w:divBdr>
    </w:div>
    <w:div w:id="1365524695">
      <w:bodyDiv w:val="1"/>
      <w:marLeft w:val="0"/>
      <w:marRight w:val="0"/>
      <w:marTop w:val="0"/>
      <w:marBottom w:val="0"/>
      <w:divBdr>
        <w:top w:val="none" w:sz="0" w:space="0" w:color="auto"/>
        <w:left w:val="none" w:sz="0" w:space="0" w:color="auto"/>
        <w:bottom w:val="none" w:sz="0" w:space="0" w:color="auto"/>
        <w:right w:val="none" w:sz="0" w:space="0" w:color="auto"/>
      </w:divBdr>
    </w:div>
    <w:div w:id="1368917365">
      <w:bodyDiv w:val="1"/>
      <w:marLeft w:val="0"/>
      <w:marRight w:val="0"/>
      <w:marTop w:val="0"/>
      <w:marBottom w:val="0"/>
      <w:divBdr>
        <w:top w:val="none" w:sz="0" w:space="0" w:color="auto"/>
        <w:left w:val="none" w:sz="0" w:space="0" w:color="auto"/>
        <w:bottom w:val="none" w:sz="0" w:space="0" w:color="auto"/>
        <w:right w:val="none" w:sz="0" w:space="0" w:color="auto"/>
      </w:divBdr>
    </w:div>
    <w:div w:id="1371564610">
      <w:bodyDiv w:val="1"/>
      <w:marLeft w:val="0"/>
      <w:marRight w:val="0"/>
      <w:marTop w:val="0"/>
      <w:marBottom w:val="0"/>
      <w:divBdr>
        <w:top w:val="none" w:sz="0" w:space="0" w:color="auto"/>
        <w:left w:val="none" w:sz="0" w:space="0" w:color="auto"/>
        <w:bottom w:val="none" w:sz="0" w:space="0" w:color="auto"/>
        <w:right w:val="none" w:sz="0" w:space="0" w:color="auto"/>
      </w:divBdr>
    </w:div>
    <w:div w:id="1377581476">
      <w:bodyDiv w:val="1"/>
      <w:marLeft w:val="0"/>
      <w:marRight w:val="0"/>
      <w:marTop w:val="0"/>
      <w:marBottom w:val="0"/>
      <w:divBdr>
        <w:top w:val="none" w:sz="0" w:space="0" w:color="auto"/>
        <w:left w:val="none" w:sz="0" w:space="0" w:color="auto"/>
        <w:bottom w:val="none" w:sz="0" w:space="0" w:color="auto"/>
        <w:right w:val="none" w:sz="0" w:space="0" w:color="auto"/>
      </w:divBdr>
    </w:div>
    <w:div w:id="1389761608">
      <w:bodyDiv w:val="1"/>
      <w:marLeft w:val="0"/>
      <w:marRight w:val="0"/>
      <w:marTop w:val="0"/>
      <w:marBottom w:val="0"/>
      <w:divBdr>
        <w:top w:val="none" w:sz="0" w:space="0" w:color="auto"/>
        <w:left w:val="none" w:sz="0" w:space="0" w:color="auto"/>
        <w:bottom w:val="none" w:sz="0" w:space="0" w:color="auto"/>
        <w:right w:val="none" w:sz="0" w:space="0" w:color="auto"/>
      </w:divBdr>
    </w:div>
    <w:div w:id="1408769777">
      <w:bodyDiv w:val="1"/>
      <w:marLeft w:val="0"/>
      <w:marRight w:val="0"/>
      <w:marTop w:val="0"/>
      <w:marBottom w:val="0"/>
      <w:divBdr>
        <w:top w:val="none" w:sz="0" w:space="0" w:color="auto"/>
        <w:left w:val="none" w:sz="0" w:space="0" w:color="auto"/>
        <w:bottom w:val="none" w:sz="0" w:space="0" w:color="auto"/>
        <w:right w:val="none" w:sz="0" w:space="0" w:color="auto"/>
      </w:divBdr>
    </w:div>
    <w:div w:id="1410616136">
      <w:bodyDiv w:val="1"/>
      <w:marLeft w:val="0"/>
      <w:marRight w:val="0"/>
      <w:marTop w:val="0"/>
      <w:marBottom w:val="0"/>
      <w:divBdr>
        <w:top w:val="none" w:sz="0" w:space="0" w:color="auto"/>
        <w:left w:val="none" w:sz="0" w:space="0" w:color="auto"/>
        <w:bottom w:val="none" w:sz="0" w:space="0" w:color="auto"/>
        <w:right w:val="none" w:sz="0" w:space="0" w:color="auto"/>
      </w:divBdr>
    </w:div>
    <w:div w:id="1425032406">
      <w:bodyDiv w:val="1"/>
      <w:marLeft w:val="0"/>
      <w:marRight w:val="0"/>
      <w:marTop w:val="0"/>
      <w:marBottom w:val="0"/>
      <w:divBdr>
        <w:top w:val="none" w:sz="0" w:space="0" w:color="auto"/>
        <w:left w:val="none" w:sz="0" w:space="0" w:color="auto"/>
        <w:bottom w:val="none" w:sz="0" w:space="0" w:color="auto"/>
        <w:right w:val="none" w:sz="0" w:space="0" w:color="auto"/>
      </w:divBdr>
    </w:div>
    <w:div w:id="1436487343">
      <w:bodyDiv w:val="1"/>
      <w:marLeft w:val="0"/>
      <w:marRight w:val="0"/>
      <w:marTop w:val="0"/>
      <w:marBottom w:val="0"/>
      <w:divBdr>
        <w:top w:val="none" w:sz="0" w:space="0" w:color="auto"/>
        <w:left w:val="none" w:sz="0" w:space="0" w:color="auto"/>
        <w:bottom w:val="none" w:sz="0" w:space="0" w:color="auto"/>
        <w:right w:val="none" w:sz="0" w:space="0" w:color="auto"/>
      </w:divBdr>
    </w:div>
    <w:div w:id="1463695208">
      <w:bodyDiv w:val="1"/>
      <w:marLeft w:val="0"/>
      <w:marRight w:val="0"/>
      <w:marTop w:val="0"/>
      <w:marBottom w:val="0"/>
      <w:divBdr>
        <w:top w:val="none" w:sz="0" w:space="0" w:color="auto"/>
        <w:left w:val="none" w:sz="0" w:space="0" w:color="auto"/>
        <w:bottom w:val="none" w:sz="0" w:space="0" w:color="auto"/>
        <w:right w:val="none" w:sz="0" w:space="0" w:color="auto"/>
      </w:divBdr>
    </w:div>
    <w:div w:id="1471170500">
      <w:bodyDiv w:val="1"/>
      <w:marLeft w:val="0"/>
      <w:marRight w:val="0"/>
      <w:marTop w:val="0"/>
      <w:marBottom w:val="0"/>
      <w:divBdr>
        <w:top w:val="none" w:sz="0" w:space="0" w:color="auto"/>
        <w:left w:val="none" w:sz="0" w:space="0" w:color="auto"/>
        <w:bottom w:val="none" w:sz="0" w:space="0" w:color="auto"/>
        <w:right w:val="none" w:sz="0" w:space="0" w:color="auto"/>
      </w:divBdr>
      <w:divsChild>
        <w:div w:id="618731566">
          <w:marLeft w:val="0"/>
          <w:marRight w:val="0"/>
          <w:marTop w:val="0"/>
          <w:marBottom w:val="0"/>
          <w:divBdr>
            <w:top w:val="none" w:sz="0" w:space="0" w:color="auto"/>
            <w:left w:val="none" w:sz="0" w:space="0" w:color="auto"/>
            <w:bottom w:val="none" w:sz="0" w:space="0" w:color="auto"/>
            <w:right w:val="none" w:sz="0" w:space="0" w:color="auto"/>
          </w:divBdr>
        </w:div>
      </w:divsChild>
    </w:div>
    <w:div w:id="1492789566">
      <w:bodyDiv w:val="1"/>
      <w:marLeft w:val="0"/>
      <w:marRight w:val="0"/>
      <w:marTop w:val="0"/>
      <w:marBottom w:val="0"/>
      <w:divBdr>
        <w:top w:val="none" w:sz="0" w:space="0" w:color="auto"/>
        <w:left w:val="none" w:sz="0" w:space="0" w:color="auto"/>
        <w:bottom w:val="none" w:sz="0" w:space="0" w:color="auto"/>
        <w:right w:val="none" w:sz="0" w:space="0" w:color="auto"/>
      </w:divBdr>
    </w:div>
    <w:div w:id="1500267739">
      <w:bodyDiv w:val="1"/>
      <w:marLeft w:val="0"/>
      <w:marRight w:val="0"/>
      <w:marTop w:val="0"/>
      <w:marBottom w:val="0"/>
      <w:divBdr>
        <w:top w:val="none" w:sz="0" w:space="0" w:color="auto"/>
        <w:left w:val="none" w:sz="0" w:space="0" w:color="auto"/>
        <w:bottom w:val="none" w:sz="0" w:space="0" w:color="auto"/>
        <w:right w:val="none" w:sz="0" w:space="0" w:color="auto"/>
      </w:divBdr>
    </w:div>
    <w:div w:id="1507086820">
      <w:bodyDiv w:val="1"/>
      <w:marLeft w:val="0"/>
      <w:marRight w:val="0"/>
      <w:marTop w:val="0"/>
      <w:marBottom w:val="0"/>
      <w:divBdr>
        <w:top w:val="none" w:sz="0" w:space="0" w:color="auto"/>
        <w:left w:val="none" w:sz="0" w:space="0" w:color="auto"/>
        <w:bottom w:val="none" w:sz="0" w:space="0" w:color="auto"/>
        <w:right w:val="none" w:sz="0" w:space="0" w:color="auto"/>
      </w:divBdr>
    </w:div>
    <w:div w:id="1535651232">
      <w:bodyDiv w:val="1"/>
      <w:marLeft w:val="0"/>
      <w:marRight w:val="0"/>
      <w:marTop w:val="0"/>
      <w:marBottom w:val="0"/>
      <w:divBdr>
        <w:top w:val="none" w:sz="0" w:space="0" w:color="auto"/>
        <w:left w:val="none" w:sz="0" w:space="0" w:color="auto"/>
        <w:bottom w:val="none" w:sz="0" w:space="0" w:color="auto"/>
        <w:right w:val="none" w:sz="0" w:space="0" w:color="auto"/>
      </w:divBdr>
    </w:div>
    <w:div w:id="1537349849">
      <w:bodyDiv w:val="1"/>
      <w:marLeft w:val="0"/>
      <w:marRight w:val="0"/>
      <w:marTop w:val="0"/>
      <w:marBottom w:val="0"/>
      <w:divBdr>
        <w:top w:val="none" w:sz="0" w:space="0" w:color="auto"/>
        <w:left w:val="none" w:sz="0" w:space="0" w:color="auto"/>
        <w:bottom w:val="none" w:sz="0" w:space="0" w:color="auto"/>
        <w:right w:val="none" w:sz="0" w:space="0" w:color="auto"/>
      </w:divBdr>
    </w:div>
    <w:div w:id="1551650933">
      <w:bodyDiv w:val="1"/>
      <w:marLeft w:val="0"/>
      <w:marRight w:val="0"/>
      <w:marTop w:val="0"/>
      <w:marBottom w:val="0"/>
      <w:divBdr>
        <w:top w:val="none" w:sz="0" w:space="0" w:color="auto"/>
        <w:left w:val="none" w:sz="0" w:space="0" w:color="auto"/>
        <w:bottom w:val="none" w:sz="0" w:space="0" w:color="auto"/>
        <w:right w:val="none" w:sz="0" w:space="0" w:color="auto"/>
      </w:divBdr>
    </w:div>
    <w:div w:id="1559169990">
      <w:bodyDiv w:val="1"/>
      <w:marLeft w:val="0"/>
      <w:marRight w:val="0"/>
      <w:marTop w:val="0"/>
      <w:marBottom w:val="0"/>
      <w:divBdr>
        <w:top w:val="none" w:sz="0" w:space="0" w:color="auto"/>
        <w:left w:val="none" w:sz="0" w:space="0" w:color="auto"/>
        <w:bottom w:val="none" w:sz="0" w:space="0" w:color="auto"/>
        <w:right w:val="none" w:sz="0" w:space="0" w:color="auto"/>
      </w:divBdr>
    </w:div>
    <w:div w:id="1579510000">
      <w:bodyDiv w:val="1"/>
      <w:marLeft w:val="0"/>
      <w:marRight w:val="0"/>
      <w:marTop w:val="0"/>
      <w:marBottom w:val="0"/>
      <w:divBdr>
        <w:top w:val="none" w:sz="0" w:space="0" w:color="auto"/>
        <w:left w:val="none" w:sz="0" w:space="0" w:color="auto"/>
        <w:bottom w:val="none" w:sz="0" w:space="0" w:color="auto"/>
        <w:right w:val="none" w:sz="0" w:space="0" w:color="auto"/>
      </w:divBdr>
    </w:div>
    <w:div w:id="1598366222">
      <w:bodyDiv w:val="1"/>
      <w:marLeft w:val="0"/>
      <w:marRight w:val="0"/>
      <w:marTop w:val="0"/>
      <w:marBottom w:val="0"/>
      <w:divBdr>
        <w:top w:val="none" w:sz="0" w:space="0" w:color="auto"/>
        <w:left w:val="none" w:sz="0" w:space="0" w:color="auto"/>
        <w:bottom w:val="none" w:sz="0" w:space="0" w:color="auto"/>
        <w:right w:val="none" w:sz="0" w:space="0" w:color="auto"/>
      </w:divBdr>
    </w:div>
    <w:div w:id="1608779760">
      <w:bodyDiv w:val="1"/>
      <w:marLeft w:val="0"/>
      <w:marRight w:val="0"/>
      <w:marTop w:val="0"/>
      <w:marBottom w:val="0"/>
      <w:divBdr>
        <w:top w:val="none" w:sz="0" w:space="0" w:color="auto"/>
        <w:left w:val="none" w:sz="0" w:space="0" w:color="auto"/>
        <w:bottom w:val="none" w:sz="0" w:space="0" w:color="auto"/>
        <w:right w:val="none" w:sz="0" w:space="0" w:color="auto"/>
      </w:divBdr>
    </w:div>
    <w:div w:id="1627085049">
      <w:bodyDiv w:val="1"/>
      <w:marLeft w:val="0"/>
      <w:marRight w:val="0"/>
      <w:marTop w:val="0"/>
      <w:marBottom w:val="0"/>
      <w:divBdr>
        <w:top w:val="none" w:sz="0" w:space="0" w:color="auto"/>
        <w:left w:val="none" w:sz="0" w:space="0" w:color="auto"/>
        <w:bottom w:val="none" w:sz="0" w:space="0" w:color="auto"/>
        <w:right w:val="none" w:sz="0" w:space="0" w:color="auto"/>
      </w:divBdr>
    </w:div>
    <w:div w:id="1635596606">
      <w:bodyDiv w:val="1"/>
      <w:marLeft w:val="0"/>
      <w:marRight w:val="0"/>
      <w:marTop w:val="0"/>
      <w:marBottom w:val="0"/>
      <w:divBdr>
        <w:top w:val="none" w:sz="0" w:space="0" w:color="auto"/>
        <w:left w:val="none" w:sz="0" w:space="0" w:color="auto"/>
        <w:bottom w:val="none" w:sz="0" w:space="0" w:color="auto"/>
        <w:right w:val="none" w:sz="0" w:space="0" w:color="auto"/>
      </w:divBdr>
    </w:div>
    <w:div w:id="1655446754">
      <w:bodyDiv w:val="1"/>
      <w:marLeft w:val="0"/>
      <w:marRight w:val="0"/>
      <w:marTop w:val="0"/>
      <w:marBottom w:val="0"/>
      <w:divBdr>
        <w:top w:val="none" w:sz="0" w:space="0" w:color="auto"/>
        <w:left w:val="none" w:sz="0" w:space="0" w:color="auto"/>
        <w:bottom w:val="none" w:sz="0" w:space="0" w:color="auto"/>
        <w:right w:val="none" w:sz="0" w:space="0" w:color="auto"/>
      </w:divBdr>
    </w:div>
    <w:div w:id="1665474252">
      <w:bodyDiv w:val="1"/>
      <w:marLeft w:val="0"/>
      <w:marRight w:val="0"/>
      <w:marTop w:val="0"/>
      <w:marBottom w:val="0"/>
      <w:divBdr>
        <w:top w:val="none" w:sz="0" w:space="0" w:color="auto"/>
        <w:left w:val="none" w:sz="0" w:space="0" w:color="auto"/>
        <w:bottom w:val="none" w:sz="0" w:space="0" w:color="auto"/>
        <w:right w:val="none" w:sz="0" w:space="0" w:color="auto"/>
      </w:divBdr>
    </w:div>
    <w:div w:id="1682509213">
      <w:bodyDiv w:val="1"/>
      <w:marLeft w:val="0"/>
      <w:marRight w:val="0"/>
      <w:marTop w:val="0"/>
      <w:marBottom w:val="0"/>
      <w:divBdr>
        <w:top w:val="none" w:sz="0" w:space="0" w:color="auto"/>
        <w:left w:val="none" w:sz="0" w:space="0" w:color="auto"/>
        <w:bottom w:val="none" w:sz="0" w:space="0" w:color="auto"/>
        <w:right w:val="none" w:sz="0" w:space="0" w:color="auto"/>
      </w:divBdr>
      <w:divsChild>
        <w:div w:id="682122956">
          <w:marLeft w:val="0"/>
          <w:marRight w:val="0"/>
          <w:marTop w:val="0"/>
          <w:marBottom w:val="0"/>
          <w:divBdr>
            <w:top w:val="none" w:sz="0" w:space="0" w:color="auto"/>
            <w:left w:val="none" w:sz="0" w:space="0" w:color="auto"/>
            <w:bottom w:val="none" w:sz="0" w:space="0" w:color="auto"/>
            <w:right w:val="none" w:sz="0" w:space="0" w:color="auto"/>
          </w:divBdr>
        </w:div>
        <w:div w:id="1550220077">
          <w:marLeft w:val="0"/>
          <w:marRight w:val="0"/>
          <w:marTop w:val="0"/>
          <w:marBottom w:val="0"/>
          <w:divBdr>
            <w:top w:val="none" w:sz="0" w:space="0" w:color="auto"/>
            <w:left w:val="none" w:sz="0" w:space="0" w:color="auto"/>
            <w:bottom w:val="none" w:sz="0" w:space="0" w:color="auto"/>
            <w:right w:val="none" w:sz="0" w:space="0" w:color="auto"/>
          </w:divBdr>
        </w:div>
        <w:div w:id="186716773">
          <w:marLeft w:val="0"/>
          <w:marRight w:val="0"/>
          <w:marTop w:val="0"/>
          <w:marBottom w:val="0"/>
          <w:divBdr>
            <w:top w:val="none" w:sz="0" w:space="0" w:color="auto"/>
            <w:left w:val="none" w:sz="0" w:space="0" w:color="auto"/>
            <w:bottom w:val="none" w:sz="0" w:space="0" w:color="auto"/>
            <w:right w:val="none" w:sz="0" w:space="0" w:color="auto"/>
          </w:divBdr>
        </w:div>
        <w:div w:id="1191845199">
          <w:marLeft w:val="0"/>
          <w:marRight w:val="0"/>
          <w:marTop w:val="0"/>
          <w:marBottom w:val="0"/>
          <w:divBdr>
            <w:top w:val="none" w:sz="0" w:space="0" w:color="auto"/>
            <w:left w:val="none" w:sz="0" w:space="0" w:color="auto"/>
            <w:bottom w:val="none" w:sz="0" w:space="0" w:color="auto"/>
            <w:right w:val="none" w:sz="0" w:space="0" w:color="auto"/>
          </w:divBdr>
        </w:div>
      </w:divsChild>
    </w:div>
    <w:div w:id="1718508768">
      <w:bodyDiv w:val="1"/>
      <w:marLeft w:val="0"/>
      <w:marRight w:val="0"/>
      <w:marTop w:val="0"/>
      <w:marBottom w:val="0"/>
      <w:divBdr>
        <w:top w:val="none" w:sz="0" w:space="0" w:color="auto"/>
        <w:left w:val="none" w:sz="0" w:space="0" w:color="auto"/>
        <w:bottom w:val="none" w:sz="0" w:space="0" w:color="auto"/>
        <w:right w:val="none" w:sz="0" w:space="0" w:color="auto"/>
      </w:divBdr>
    </w:div>
    <w:div w:id="1724022639">
      <w:bodyDiv w:val="1"/>
      <w:marLeft w:val="0"/>
      <w:marRight w:val="0"/>
      <w:marTop w:val="0"/>
      <w:marBottom w:val="0"/>
      <w:divBdr>
        <w:top w:val="none" w:sz="0" w:space="0" w:color="auto"/>
        <w:left w:val="none" w:sz="0" w:space="0" w:color="auto"/>
        <w:bottom w:val="none" w:sz="0" w:space="0" w:color="auto"/>
        <w:right w:val="none" w:sz="0" w:space="0" w:color="auto"/>
      </w:divBdr>
    </w:div>
    <w:div w:id="1725979085">
      <w:bodyDiv w:val="1"/>
      <w:marLeft w:val="0"/>
      <w:marRight w:val="0"/>
      <w:marTop w:val="0"/>
      <w:marBottom w:val="0"/>
      <w:divBdr>
        <w:top w:val="none" w:sz="0" w:space="0" w:color="auto"/>
        <w:left w:val="none" w:sz="0" w:space="0" w:color="auto"/>
        <w:bottom w:val="none" w:sz="0" w:space="0" w:color="auto"/>
        <w:right w:val="none" w:sz="0" w:space="0" w:color="auto"/>
      </w:divBdr>
    </w:div>
    <w:div w:id="1755012791">
      <w:bodyDiv w:val="1"/>
      <w:marLeft w:val="0"/>
      <w:marRight w:val="0"/>
      <w:marTop w:val="0"/>
      <w:marBottom w:val="0"/>
      <w:divBdr>
        <w:top w:val="none" w:sz="0" w:space="0" w:color="auto"/>
        <w:left w:val="none" w:sz="0" w:space="0" w:color="auto"/>
        <w:bottom w:val="none" w:sz="0" w:space="0" w:color="auto"/>
        <w:right w:val="none" w:sz="0" w:space="0" w:color="auto"/>
      </w:divBdr>
    </w:div>
    <w:div w:id="1773436539">
      <w:bodyDiv w:val="1"/>
      <w:marLeft w:val="0"/>
      <w:marRight w:val="0"/>
      <w:marTop w:val="0"/>
      <w:marBottom w:val="0"/>
      <w:divBdr>
        <w:top w:val="none" w:sz="0" w:space="0" w:color="auto"/>
        <w:left w:val="none" w:sz="0" w:space="0" w:color="auto"/>
        <w:bottom w:val="none" w:sz="0" w:space="0" w:color="auto"/>
        <w:right w:val="none" w:sz="0" w:space="0" w:color="auto"/>
      </w:divBdr>
    </w:div>
    <w:div w:id="1789351464">
      <w:bodyDiv w:val="1"/>
      <w:marLeft w:val="0"/>
      <w:marRight w:val="0"/>
      <w:marTop w:val="0"/>
      <w:marBottom w:val="0"/>
      <w:divBdr>
        <w:top w:val="none" w:sz="0" w:space="0" w:color="auto"/>
        <w:left w:val="none" w:sz="0" w:space="0" w:color="auto"/>
        <w:bottom w:val="none" w:sz="0" w:space="0" w:color="auto"/>
        <w:right w:val="none" w:sz="0" w:space="0" w:color="auto"/>
      </w:divBdr>
    </w:div>
    <w:div w:id="1792213480">
      <w:bodyDiv w:val="1"/>
      <w:marLeft w:val="0"/>
      <w:marRight w:val="0"/>
      <w:marTop w:val="0"/>
      <w:marBottom w:val="0"/>
      <w:divBdr>
        <w:top w:val="none" w:sz="0" w:space="0" w:color="auto"/>
        <w:left w:val="none" w:sz="0" w:space="0" w:color="auto"/>
        <w:bottom w:val="none" w:sz="0" w:space="0" w:color="auto"/>
        <w:right w:val="none" w:sz="0" w:space="0" w:color="auto"/>
      </w:divBdr>
    </w:div>
    <w:div w:id="1814561359">
      <w:bodyDiv w:val="1"/>
      <w:marLeft w:val="0"/>
      <w:marRight w:val="0"/>
      <w:marTop w:val="0"/>
      <w:marBottom w:val="0"/>
      <w:divBdr>
        <w:top w:val="none" w:sz="0" w:space="0" w:color="auto"/>
        <w:left w:val="none" w:sz="0" w:space="0" w:color="auto"/>
        <w:bottom w:val="none" w:sz="0" w:space="0" w:color="auto"/>
        <w:right w:val="none" w:sz="0" w:space="0" w:color="auto"/>
      </w:divBdr>
    </w:div>
    <w:div w:id="1845970503">
      <w:bodyDiv w:val="1"/>
      <w:marLeft w:val="0"/>
      <w:marRight w:val="0"/>
      <w:marTop w:val="0"/>
      <w:marBottom w:val="0"/>
      <w:divBdr>
        <w:top w:val="none" w:sz="0" w:space="0" w:color="auto"/>
        <w:left w:val="none" w:sz="0" w:space="0" w:color="auto"/>
        <w:bottom w:val="none" w:sz="0" w:space="0" w:color="auto"/>
        <w:right w:val="none" w:sz="0" w:space="0" w:color="auto"/>
      </w:divBdr>
    </w:div>
    <w:div w:id="1846743226">
      <w:bodyDiv w:val="1"/>
      <w:marLeft w:val="0"/>
      <w:marRight w:val="0"/>
      <w:marTop w:val="0"/>
      <w:marBottom w:val="0"/>
      <w:divBdr>
        <w:top w:val="none" w:sz="0" w:space="0" w:color="auto"/>
        <w:left w:val="none" w:sz="0" w:space="0" w:color="auto"/>
        <w:bottom w:val="none" w:sz="0" w:space="0" w:color="auto"/>
        <w:right w:val="none" w:sz="0" w:space="0" w:color="auto"/>
      </w:divBdr>
    </w:div>
    <w:div w:id="1854107922">
      <w:bodyDiv w:val="1"/>
      <w:marLeft w:val="0"/>
      <w:marRight w:val="0"/>
      <w:marTop w:val="0"/>
      <w:marBottom w:val="0"/>
      <w:divBdr>
        <w:top w:val="none" w:sz="0" w:space="0" w:color="auto"/>
        <w:left w:val="none" w:sz="0" w:space="0" w:color="auto"/>
        <w:bottom w:val="none" w:sz="0" w:space="0" w:color="auto"/>
        <w:right w:val="none" w:sz="0" w:space="0" w:color="auto"/>
      </w:divBdr>
    </w:div>
    <w:div w:id="1856536432">
      <w:bodyDiv w:val="1"/>
      <w:marLeft w:val="0"/>
      <w:marRight w:val="0"/>
      <w:marTop w:val="0"/>
      <w:marBottom w:val="0"/>
      <w:divBdr>
        <w:top w:val="none" w:sz="0" w:space="0" w:color="auto"/>
        <w:left w:val="none" w:sz="0" w:space="0" w:color="auto"/>
        <w:bottom w:val="none" w:sz="0" w:space="0" w:color="auto"/>
        <w:right w:val="none" w:sz="0" w:space="0" w:color="auto"/>
      </w:divBdr>
    </w:div>
    <w:div w:id="1878161219">
      <w:bodyDiv w:val="1"/>
      <w:marLeft w:val="0"/>
      <w:marRight w:val="0"/>
      <w:marTop w:val="0"/>
      <w:marBottom w:val="0"/>
      <w:divBdr>
        <w:top w:val="none" w:sz="0" w:space="0" w:color="auto"/>
        <w:left w:val="none" w:sz="0" w:space="0" w:color="auto"/>
        <w:bottom w:val="none" w:sz="0" w:space="0" w:color="auto"/>
        <w:right w:val="none" w:sz="0" w:space="0" w:color="auto"/>
      </w:divBdr>
    </w:div>
    <w:div w:id="1890070441">
      <w:bodyDiv w:val="1"/>
      <w:marLeft w:val="0"/>
      <w:marRight w:val="0"/>
      <w:marTop w:val="0"/>
      <w:marBottom w:val="0"/>
      <w:divBdr>
        <w:top w:val="none" w:sz="0" w:space="0" w:color="auto"/>
        <w:left w:val="none" w:sz="0" w:space="0" w:color="auto"/>
        <w:bottom w:val="none" w:sz="0" w:space="0" w:color="auto"/>
        <w:right w:val="none" w:sz="0" w:space="0" w:color="auto"/>
      </w:divBdr>
    </w:div>
    <w:div w:id="1894342954">
      <w:bodyDiv w:val="1"/>
      <w:marLeft w:val="0"/>
      <w:marRight w:val="0"/>
      <w:marTop w:val="0"/>
      <w:marBottom w:val="0"/>
      <w:divBdr>
        <w:top w:val="none" w:sz="0" w:space="0" w:color="auto"/>
        <w:left w:val="none" w:sz="0" w:space="0" w:color="auto"/>
        <w:bottom w:val="none" w:sz="0" w:space="0" w:color="auto"/>
        <w:right w:val="none" w:sz="0" w:space="0" w:color="auto"/>
      </w:divBdr>
    </w:div>
    <w:div w:id="1912154089">
      <w:bodyDiv w:val="1"/>
      <w:marLeft w:val="0"/>
      <w:marRight w:val="0"/>
      <w:marTop w:val="0"/>
      <w:marBottom w:val="0"/>
      <w:divBdr>
        <w:top w:val="none" w:sz="0" w:space="0" w:color="auto"/>
        <w:left w:val="none" w:sz="0" w:space="0" w:color="auto"/>
        <w:bottom w:val="none" w:sz="0" w:space="0" w:color="auto"/>
        <w:right w:val="none" w:sz="0" w:space="0" w:color="auto"/>
      </w:divBdr>
    </w:div>
    <w:div w:id="1942180301">
      <w:bodyDiv w:val="1"/>
      <w:marLeft w:val="0"/>
      <w:marRight w:val="0"/>
      <w:marTop w:val="0"/>
      <w:marBottom w:val="0"/>
      <w:divBdr>
        <w:top w:val="none" w:sz="0" w:space="0" w:color="auto"/>
        <w:left w:val="none" w:sz="0" w:space="0" w:color="auto"/>
        <w:bottom w:val="none" w:sz="0" w:space="0" w:color="auto"/>
        <w:right w:val="none" w:sz="0" w:space="0" w:color="auto"/>
      </w:divBdr>
    </w:div>
    <w:div w:id="1948535617">
      <w:bodyDiv w:val="1"/>
      <w:marLeft w:val="0"/>
      <w:marRight w:val="0"/>
      <w:marTop w:val="0"/>
      <w:marBottom w:val="0"/>
      <w:divBdr>
        <w:top w:val="none" w:sz="0" w:space="0" w:color="auto"/>
        <w:left w:val="none" w:sz="0" w:space="0" w:color="auto"/>
        <w:bottom w:val="none" w:sz="0" w:space="0" w:color="auto"/>
        <w:right w:val="none" w:sz="0" w:space="0" w:color="auto"/>
      </w:divBdr>
    </w:div>
    <w:div w:id="1973051331">
      <w:bodyDiv w:val="1"/>
      <w:marLeft w:val="0"/>
      <w:marRight w:val="0"/>
      <w:marTop w:val="0"/>
      <w:marBottom w:val="0"/>
      <w:divBdr>
        <w:top w:val="none" w:sz="0" w:space="0" w:color="auto"/>
        <w:left w:val="none" w:sz="0" w:space="0" w:color="auto"/>
        <w:bottom w:val="none" w:sz="0" w:space="0" w:color="auto"/>
        <w:right w:val="none" w:sz="0" w:space="0" w:color="auto"/>
      </w:divBdr>
      <w:divsChild>
        <w:div w:id="250899446">
          <w:marLeft w:val="0"/>
          <w:marRight w:val="0"/>
          <w:marTop w:val="0"/>
          <w:marBottom w:val="0"/>
          <w:divBdr>
            <w:top w:val="none" w:sz="0" w:space="0" w:color="auto"/>
            <w:left w:val="none" w:sz="0" w:space="0" w:color="auto"/>
            <w:bottom w:val="none" w:sz="0" w:space="0" w:color="auto"/>
            <w:right w:val="none" w:sz="0" w:space="0" w:color="auto"/>
          </w:divBdr>
        </w:div>
      </w:divsChild>
    </w:div>
    <w:div w:id="2027126596">
      <w:bodyDiv w:val="1"/>
      <w:marLeft w:val="0"/>
      <w:marRight w:val="0"/>
      <w:marTop w:val="0"/>
      <w:marBottom w:val="0"/>
      <w:divBdr>
        <w:top w:val="none" w:sz="0" w:space="0" w:color="auto"/>
        <w:left w:val="none" w:sz="0" w:space="0" w:color="auto"/>
        <w:bottom w:val="none" w:sz="0" w:space="0" w:color="auto"/>
        <w:right w:val="none" w:sz="0" w:space="0" w:color="auto"/>
      </w:divBdr>
    </w:div>
    <w:div w:id="2044862491">
      <w:bodyDiv w:val="1"/>
      <w:marLeft w:val="0"/>
      <w:marRight w:val="0"/>
      <w:marTop w:val="0"/>
      <w:marBottom w:val="0"/>
      <w:divBdr>
        <w:top w:val="none" w:sz="0" w:space="0" w:color="auto"/>
        <w:left w:val="none" w:sz="0" w:space="0" w:color="auto"/>
        <w:bottom w:val="none" w:sz="0" w:space="0" w:color="auto"/>
        <w:right w:val="none" w:sz="0" w:space="0" w:color="auto"/>
      </w:divBdr>
    </w:div>
    <w:div w:id="2046325245">
      <w:bodyDiv w:val="1"/>
      <w:marLeft w:val="0"/>
      <w:marRight w:val="0"/>
      <w:marTop w:val="0"/>
      <w:marBottom w:val="0"/>
      <w:divBdr>
        <w:top w:val="none" w:sz="0" w:space="0" w:color="auto"/>
        <w:left w:val="none" w:sz="0" w:space="0" w:color="auto"/>
        <w:bottom w:val="none" w:sz="0" w:space="0" w:color="auto"/>
        <w:right w:val="none" w:sz="0" w:space="0" w:color="auto"/>
      </w:divBdr>
    </w:div>
    <w:div w:id="2050834494">
      <w:bodyDiv w:val="1"/>
      <w:marLeft w:val="0"/>
      <w:marRight w:val="0"/>
      <w:marTop w:val="0"/>
      <w:marBottom w:val="0"/>
      <w:divBdr>
        <w:top w:val="none" w:sz="0" w:space="0" w:color="auto"/>
        <w:left w:val="none" w:sz="0" w:space="0" w:color="auto"/>
        <w:bottom w:val="none" w:sz="0" w:space="0" w:color="auto"/>
        <w:right w:val="none" w:sz="0" w:space="0" w:color="auto"/>
      </w:divBdr>
    </w:div>
    <w:div w:id="2066100371">
      <w:bodyDiv w:val="1"/>
      <w:marLeft w:val="0"/>
      <w:marRight w:val="0"/>
      <w:marTop w:val="0"/>
      <w:marBottom w:val="0"/>
      <w:divBdr>
        <w:top w:val="none" w:sz="0" w:space="0" w:color="auto"/>
        <w:left w:val="none" w:sz="0" w:space="0" w:color="auto"/>
        <w:bottom w:val="none" w:sz="0" w:space="0" w:color="auto"/>
        <w:right w:val="none" w:sz="0" w:space="0" w:color="auto"/>
      </w:divBdr>
    </w:div>
    <w:div w:id="2069260125">
      <w:bodyDiv w:val="1"/>
      <w:marLeft w:val="0"/>
      <w:marRight w:val="0"/>
      <w:marTop w:val="0"/>
      <w:marBottom w:val="0"/>
      <w:divBdr>
        <w:top w:val="none" w:sz="0" w:space="0" w:color="auto"/>
        <w:left w:val="none" w:sz="0" w:space="0" w:color="auto"/>
        <w:bottom w:val="none" w:sz="0" w:space="0" w:color="auto"/>
        <w:right w:val="none" w:sz="0" w:space="0" w:color="auto"/>
      </w:divBdr>
    </w:div>
    <w:div w:id="2072076472">
      <w:bodyDiv w:val="1"/>
      <w:marLeft w:val="0"/>
      <w:marRight w:val="0"/>
      <w:marTop w:val="0"/>
      <w:marBottom w:val="0"/>
      <w:divBdr>
        <w:top w:val="none" w:sz="0" w:space="0" w:color="auto"/>
        <w:left w:val="none" w:sz="0" w:space="0" w:color="auto"/>
        <w:bottom w:val="none" w:sz="0" w:space="0" w:color="auto"/>
        <w:right w:val="none" w:sz="0" w:space="0" w:color="auto"/>
      </w:divBdr>
    </w:div>
    <w:div w:id="2102483461">
      <w:bodyDiv w:val="1"/>
      <w:marLeft w:val="0"/>
      <w:marRight w:val="0"/>
      <w:marTop w:val="0"/>
      <w:marBottom w:val="0"/>
      <w:divBdr>
        <w:top w:val="none" w:sz="0" w:space="0" w:color="auto"/>
        <w:left w:val="none" w:sz="0" w:space="0" w:color="auto"/>
        <w:bottom w:val="none" w:sz="0" w:space="0" w:color="auto"/>
        <w:right w:val="none" w:sz="0" w:space="0" w:color="auto"/>
      </w:divBdr>
    </w:div>
    <w:div w:id="2106530588">
      <w:bodyDiv w:val="1"/>
      <w:marLeft w:val="0"/>
      <w:marRight w:val="0"/>
      <w:marTop w:val="0"/>
      <w:marBottom w:val="0"/>
      <w:divBdr>
        <w:top w:val="none" w:sz="0" w:space="0" w:color="auto"/>
        <w:left w:val="none" w:sz="0" w:space="0" w:color="auto"/>
        <w:bottom w:val="none" w:sz="0" w:space="0" w:color="auto"/>
        <w:right w:val="none" w:sz="0" w:space="0" w:color="auto"/>
      </w:divBdr>
    </w:div>
    <w:div w:id="2119793409">
      <w:bodyDiv w:val="1"/>
      <w:marLeft w:val="0"/>
      <w:marRight w:val="0"/>
      <w:marTop w:val="0"/>
      <w:marBottom w:val="0"/>
      <w:divBdr>
        <w:top w:val="none" w:sz="0" w:space="0" w:color="auto"/>
        <w:left w:val="none" w:sz="0" w:space="0" w:color="auto"/>
        <w:bottom w:val="none" w:sz="0" w:space="0" w:color="auto"/>
        <w:right w:val="none" w:sz="0" w:space="0" w:color="auto"/>
      </w:divBdr>
    </w:div>
    <w:div w:id="214558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b.mx/segob/renapo/acciones-y-programas/clave-unica-de-registro-de-poblacion-curp-142226"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onsultas.curp.gob.mx/CurpSP/html/informacionecurpPS.html" TargetMode="External"/><Relationship Id="rId4" Type="http://schemas.openxmlformats.org/officeDocument/2006/relationships/settings" Target="settings.xml"/><Relationship Id="rId9" Type="http://schemas.openxmlformats.org/officeDocument/2006/relationships/hyperlink" Target="https://strabajo.edomex.gob.mx/faqs"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D1B47-76D8-46DC-87D6-AC1B7FCEA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8984</Words>
  <Characters>49414</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INFOEM</dc:creator>
  <cp:lastModifiedBy>INFORMÁTICA</cp:lastModifiedBy>
  <cp:revision>2</cp:revision>
  <cp:lastPrinted>2026-03-06T20:51:00Z</cp:lastPrinted>
  <dcterms:created xsi:type="dcterms:W3CDTF">2026-04-10T18:32:00Z</dcterms:created>
  <dcterms:modified xsi:type="dcterms:W3CDTF">2026-04-10T18:32:00Z</dcterms:modified>
</cp:coreProperties>
</file>