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364" w:rsidRPr="009E7B94" w:rsidRDefault="007C0364" w:rsidP="007C0364">
      <w:pPr>
        <w:tabs>
          <w:tab w:val="left" w:pos="3465"/>
        </w:tabs>
        <w:spacing w:line="360" w:lineRule="auto"/>
        <w:ind w:right="49"/>
        <w:jc w:val="both"/>
        <w:rPr>
          <w:rFonts w:ascii="Palatino Linotype" w:eastAsia="Palatino Linotype" w:hAnsi="Palatino Linotype" w:cs="Palatino Linotype"/>
          <w:b/>
        </w:rPr>
      </w:pPr>
      <w:r w:rsidRPr="009E7B94">
        <w:rPr>
          <w:rFonts w:ascii="Palatino Linotype" w:eastAsia="Palatino Linotype" w:hAnsi="Palatino Linotype" w:cs="Palatino Linotype"/>
        </w:rPr>
        <w:t xml:space="preserve">Resolución del Pleno del Instituto de Transparencia, Acceso a la Información Pública y Protección de Datos Personales del Estado de México y Municipios, con domicilio en Metepec, Estado de México; de fecha </w:t>
      </w:r>
      <w:r w:rsidRPr="009E7B94">
        <w:rPr>
          <w:rFonts w:ascii="Palatino Linotype" w:eastAsia="Palatino Linotype" w:hAnsi="Palatino Linotype" w:cs="Palatino Linotype"/>
          <w:b/>
        </w:rPr>
        <w:t>veintiséis</w:t>
      </w:r>
      <w:r w:rsidR="009E7B94">
        <w:rPr>
          <w:rFonts w:ascii="Palatino Linotype" w:eastAsia="Palatino Linotype" w:hAnsi="Palatino Linotype" w:cs="Palatino Linotype"/>
          <w:b/>
        </w:rPr>
        <w:t xml:space="preserve"> (26)</w:t>
      </w:r>
      <w:r w:rsidRPr="009E7B94">
        <w:rPr>
          <w:rFonts w:ascii="Palatino Linotype" w:eastAsia="Palatino Linotype" w:hAnsi="Palatino Linotype" w:cs="Palatino Linotype"/>
          <w:b/>
        </w:rPr>
        <w:t xml:space="preserve"> de agosto de dos mil veintiséis.</w:t>
      </w:r>
    </w:p>
    <w:p w:rsidR="007C0364" w:rsidRPr="009E7B94" w:rsidRDefault="007C0364" w:rsidP="007C0364">
      <w:pPr>
        <w:tabs>
          <w:tab w:val="left" w:pos="3465"/>
        </w:tabs>
        <w:spacing w:line="360" w:lineRule="auto"/>
        <w:ind w:right="49"/>
        <w:jc w:val="both"/>
        <w:rPr>
          <w:rFonts w:ascii="Palatino Linotype" w:eastAsia="Palatino Linotype" w:hAnsi="Palatino Linotype" w:cs="Palatino Linotype"/>
        </w:rPr>
      </w:pPr>
    </w:p>
    <w:p w:rsidR="007C0364" w:rsidRPr="009E7B94" w:rsidRDefault="007C0364" w:rsidP="007C0364">
      <w:pPr>
        <w:spacing w:line="360" w:lineRule="auto"/>
        <w:ind w:right="49"/>
        <w:jc w:val="both"/>
        <w:rPr>
          <w:rFonts w:ascii="Palatino Linotype" w:eastAsia="Palatino Linotype" w:hAnsi="Palatino Linotype" w:cs="Palatino Linotype"/>
        </w:rPr>
      </w:pPr>
      <w:r w:rsidRPr="009E7B94">
        <w:rPr>
          <w:rFonts w:ascii="Palatino Linotype" w:eastAsia="Palatino Linotype" w:hAnsi="Palatino Linotype" w:cs="Palatino Linotype"/>
          <w:b/>
        </w:rPr>
        <w:t xml:space="preserve">VISTAS </w:t>
      </w:r>
      <w:r w:rsidRPr="009E7B94">
        <w:rPr>
          <w:rFonts w:ascii="Palatino Linotype" w:eastAsia="Palatino Linotype" w:hAnsi="Palatino Linotype" w:cs="Palatino Linotype"/>
        </w:rPr>
        <w:t xml:space="preserve">las constancias para resolver el Recurso de Revisión </w:t>
      </w:r>
      <w:r w:rsidRPr="009E7B94">
        <w:rPr>
          <w:rFonts w:ascii="Palatino Linotype" w:eastAsia="Palatino Linotype" w:hAnsi="Palatino Linotype" w:cs="Palatino Linotype"/>
          <w:b/>
          <w:bCs/>
        </w:rPr>
        <w:t>06993/INFOEM/IP/RR/2026</w:t>
      </w:r>
      <w:r w:rsidRPr="009E7B94">
        <w:rPr>
          <w:rFonts w:ascii="Palatino Linotype" w:eastAsia="Palatino Linotype" w:hAnsi="Palatino Linotype" w:cs="Palatino Linotype"/>
          <w:b/>
        </w:rPr>
        <w:t>,</w:t>
      </w:r>
      <w:r w:rsidRPr="009E7B94">
        <w:rPr>
          <w:rFonts w:ascii="Palatino Linotype" w:eastAsia="Palatino Linotype" w:hAnsi="Palatino Linotype" w:cs="Palatino Linotype"/>
        </w:rPr>
        <w:t xml:space="preserve"> presentado por </w:t>
      </w:r>
      <w:r w:rsidR="00810141">
        <w:rPr>
          <w:rFonts w:ascii="Palatino Linotype" w:eastAsia="Palatino Linotype" w:hAnsi="Palatino Linotype" w:cs="Palatino Linotype"/>
          <w:b/>
        </w:rPr>
        <w:t>XXXX</w:t>
      </w:r>
      <w:r w:rsidRPr="009E7B94">
        <w:rPr>
          <w:rFonts w:ascii="Palatino Linotype" w:eastAsia="Palatino Linotype" w:hAnsi="Palatino Linotype" w:cs="Palatino Linotype"/>
          <w:b/>
        </w:rPr>
        <w:t>,</w:t>
      </w:r>
      <w:r w:rsidRPr="009E7B94">
        <w:rPr>
          <w:rFonts w:ascii="Palatino Linotype" w:eastAsia="Palatino Linotype" w:hAnsi="Palatino Linotype" w:cs="Palatino Linotype"/>
        </w:rPr>
        <w:t xml:space="preserve"> a quien en lo sucesivo se denominará </w:t>
      </w:r>
      <w:r w:rsidRPr="009E7B94">
        <w:rPr>
          <w:rFonts w:ascii="Palatino Linotype" w:eastAsia="Palatino Linotype" w:hAnsi="Palatino Linotype" w:cs="Palatino Linotype"/>
          <w:b/>
        </w:rPr>
        <w:t>LA RECURRENTE</w:t>
      </w:r>
      <w:r w:rsidRPr="009E7B94">
        <w:rPr>
          <w:rFonts w:ascii="Palatino Linotype" w:eastAsia="Palatino Linotype" w:hAnsi="Palatino Linotype" w:cs="Palatino Linotype"/>
        </w:rPr>
        <w:t xml:space="preserve">, en contra de la respuesta otorgada a la Solicitud de Información con número de folio </w:t>
      </w:r>
      <w:r w:rsidRPr="009E7B94">
        <w:rPr>
          <w:rFonts w:ascii="Palatino Linotype" w:eastAsia="Palatino Linotype" w:hAnsi="Palatino Linotype" w:cs="Palatino Linotype"/>
          <w:b/>
          <w:bCs/>
        </w:rPr>
        <w:t>00185/TRIJAEM/IP/2026</w:t>
      </w:r>
      <w:r w:rsidR="00353AA5" w:rsidRPr="009E7B94">
        <w:rPr>
          <w:rFonts w:ascii="Palatino Linotype" w:eastAsia="Palatino Linotype" w:hAnsi="Palatino Linotype" w:cs="Palatino Linotype"/>
        </w:rPr>
        <w:t>, por parte del</w:t>
      </w:r>
      <w:r w:rsidRPr="009E7B94">
        <w:rPr>
          <w:rFonts w:ascii="Palatino Linotype" w:eastAsia="Palatino Linotype" w:hAnsi="Palatino Linotype" w:cs="Palatino Linotype"/>
        </w:rPr>
        <w:t xml:space="preserve"> </w:t>
      </w:r>
      <w:r w:rsidRPr="009E7B94">
        <w:rPr>
          <w:rFonts w:ascii="Palatino Linotype" w:eastAsia="Palatino Linotype" w:hAnsi="Palatino Linotype" w:cs="Palatino Linotype"/>
          <w:b/>
        </w:rPr>
        <w:t xml:space="preserve">Tribunal de Justicia Administrativa del Estado de México, </w:t>
      </w:r>
      <w:r w:rsidRPr="009E7B94">
        <w:rPr>
          <w:rFonts w:ascii="Palatino Linotype" w:eastAsia="Palatino Linotype" w:hAnsi="Palatino Linotype" w:cs="Palatino Linotype"/>
        </w:rPr>
        <w:t xml:space="preserve">en adelante </w:t>
      </w:r>
      <w:r w:rsidRPr="009E7B94">
        <w:rPr>
          <w:rFonts w:ascii="Palatino Linotype" w:eastAsia="Palatino Linotype" w:hAnsi="Palatino Linotype" w:cs="Palatino Linotype"/>
          <w:b/>
        </w:rPr>
        <w:t>EL SUJETO OBLIGADO,</w:t>
      </w:r>
      <w:r w:rsidRPr="009E7B94">
        <w:rPr>
          <w:rFonts w:ascii="Palatino Linotype" w:eastAsia="Palatino Linotype" w:hAnsi="Palatino Linotype" w:cs="Palatino Linotype"/>
        </w:rPr>
        <w:t xml:space="preserve"> se emite la presente Resolución con base en los siguientes:</w:t>
      </w:r>
    </w:p>
    <w:p w:rsidR="007C0364" w:rsidRPr="009E7B94" w:rsidRDefault="007C0364" w:rsidP="007C0364">
      <w:pPr>
        <w:pStyle w:val="Ttulo1"/>
        <w:spacing w:before="0" w:line="360" w:lineRule="auto"/>
        <w:ind w:right="49"/>
        <w:jc w:val="center"/>
        <w:rPr>
          <w:rFonts w:ascii="Palatino Linotype" w:eastAsia="Palatino Linotype" w:hAnsi="Palatino Linotype" w:cs="Palatino Linotype"/>
          <w:b/>
          <w:color w:val="000000"/>
          <w:sz w:val="24"/>
          <w:szCs w:val="24"/>
        </w:rPr>
      </w:pPr>
      <w:bookmarkStart w:id="0" w:name="_heading=h.gjdgxs" w:colFirst="0" w:colLast="0"/>
      <w:bookmarkEnd w:id="0"/>
      <w:r w:rsidRPr="009E7B94">
        <w:rPr>
          <w:rFonts w:ascii="Palatino Linotype" w:eastAsia="Palatino Linotype" w:hAnsi="Palatino Linotype" w:cs="Palatino Linotype"/>
          <w:b/>
          <w:color w:val="000000"/>
          <w:sz w:val="24"/>
          <w:szCs w:val="24"/>
        </w:rPr>
        <w:t>A N T E C E D E N T E S</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b/>
          <w:color w:val="000000"/>
          <w:u w:val="single"/>
        </w:rPr>
      </w:pPr>
    </w:p>
    <w:p w:rsidR="007C0364" w:rsidRPr="009E7B94" w:rsidRDefault="007C0364" w:rsidP="007C0364">
      <w:pPr>
        <w:numPr>
          <w:ilvl w:val="0"/>
          <w:numId w:val="1"/>
        </w:numPr>
        <w:pBdr>
          <w:top w:val="nil"/>
          <w:left w:val="nil"/>
          <w:bottom w:val="nil"/>
          <w:right w:val="nil"/>
          <w:between w:val="nil"/>
        </w:pBdr>
        <w:tabs>
          <w:tab w:val="left" w:pos="0"/>
        </w:tabs>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El día</w:t>
      </w:r>
      <w:r w:rsidRPr="009E7B94">
        <w:rPr>
          <w:rFonts w:ascii="Palatino Linotype" w:eastAsia="Palatino Linotype" w:hAnsi="Palatino Linotype" w:cs="Palatino Linotype"/>
          <w:b/>
          <w:color w:val="000000"/>
        </w:rPr>
        <w:t xml:space="preserve"> dieciséis de junio dos mil veintiséis</w:t>
      </w:r>
      <w:r w:rsidRPr="009E7B94">
        <w:rPr>
          <w:rFonts w:ascii="Palatino Linotype" w:eastAsia="Palatino Linotype" w:hAnsi="Palatino Linotype" w:cs="Palatino Linotype"/>
          <w:color w:val="000000"/>
        </w:rPr>
        <w:t>,</w:t>
      </w:r>
      <w:r w:rsidRPr="009E7B94">
        <w:rPr>
          <w:rFonts w:ascii="Palatino Linotype" w:eastAsia="Palatino Linotype" w:hAnsi="Palatino Linotype" w:cs="Palatino Linotype"/>
          <w:b/>
          <w:color w:val="000000"/>
        </w:rPr>
        <w:t xml:space="preserve"> </w:t>
      </w:r>
      <w:r w:rsidRPr="009E7B94">
        <w:rPr>
          <w:rFonts w:ascii="Palatino Linotype" w:eastAsia="Palatino Linotype" w:hAnsi="Palatino Linotype" w:cs="Palatino Linotype"/>
          <w:color w:val="000000"/>
        </w:rPr>
        <w:t>se presentó ante el Sujeto Obligado vía Sistema de Acceso a la Información Mexiquense, en adelante (SAIMEX), la siguiente solicitud de información pública:</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color w:val="000000"/>
        </w:rPr>
      </w:pPr>
    </w:p>
    <w:p w:rsidR="007C0364" w:rsidRPr="009E7B94" w:rsidRDefault="007C0364" w:rsidP="007C0364">
      <w:pPr>
        <w:pBdr>
          <w:top w:val="nil"/>
          <w:left w:val="nil"/>
          <w:bottom w:val="nil"/>
          <w:right w:val="nil"/>
          <w:between w:val="nil"/>
        </w:pBdr>
        <w:spacing w:line="360" w:lineRule="auto"/>
        <w:ind w:left="425" w:right="474"/>
        <w:jc w:val="both"/>
        <w:rPr>
          <w:rFonts w:ascii="Palatino Linotype" w:eastAsia="Palatino Linotype" w:hAnsi="Palatino Linotype" w:cs="Palatino Linotype"/>
          <w:i/>
        </w:rPr>
      </w:pPr>
      <w:r w:rsidRPr="009E7B94">
        <w:rPr>
          <w:rFonts w:ascii="Palatino Linotype" w:eastAsia="Palatino Linotype" w:hAnsi="Palatino Linotype" w:cs="Palatino Linotype"/>
          <w:i/>
          <w:color w:val="000000"/>
        </w:rPr>
        <w:t>“</w:t>
      </w:r>
      <w:r w:rsidRPr="009E7B94">
        <w:rPr>
          <w:rFonts w:ascii="Palatino Linotype" w:eastAsia="Palatino Linotype" w:hAnsi="Palatino Linotype" w:cs="Palatino Linotype"/>
          <w:i/>
        </w:rPr>
        <w:tab/>
        <w:t>Quiero todos los informes referentes a servicio social y prácticas profesionales enviados a la junta, presidencia o pleno desde la fecha de la autonomía del tribunal a hoy.</w:t>
      </w:r>
      <w:r w:rsidRPr="009E7B94">
        <w:rPr>
          <w:rFonts w:ascii="Palatino Linotype" w:eastAsia="Palatino Linotype" w:hAnsi="Palatino Linotype" w:cs="Palatino Linotype"/>
          <w:i/>
          <w:color w:val="000000"/>
        </w:rPr>
        <w:t>”</w:t>
      </w:r>
    </w:p>
    <w:p w:rsidR="007C0364" w:rsidRPr="009E7B94" w:rsidRDefault="007C0364" w:rsidP="007C0364">
      <w:pPr>
        <w:pBdr>
          <w:top w:val="nil"/>
          <w:left w:val="nil"/>
          <w:bottom w:val="nil"/>
          <w:right w:val="nil"/>
          <w:between w:val="nil"/>
        </w:pBdr>
        <w:spacing w:line="360" w:lineRule="auto"/>
        <w:ind w:left="425" w:right="474"/>
        <w:jc w:val="both"/>
        <w:rPr>
          <w:rFonts w:ascii="Palatino Linotype" w:eastAsia="Palatino Linotype" w:hAnsi="Palatino Linotype" w:cs="Palatino Linotype"/>
          <w:i/>
          <w:color w:val="000000"/>
        </w:rPr>
      </w:pPr>
    </w:p>
    <w:p w:rsidR="007C0364" w:rsidRPr="009E7B94" w:rsidRDefault="007C0364" w:rsidP="007C0364">
      <w:pPr>
        <w:numPr>
          <w:ilvl w:val="0"/>
          <w:numId w:val="2"/>
        </w:numPr>
        <w:pBdr>
          <w:top w:val="nil"/>
          <w:left w:val="nil"/>
          <w:bottom w:val="nil"/>
          <w:right w:val="nil"/>
          <w:between w:val="nil"/>
        </w:pBdr>
        <w:tabs>
          <w:tab w:val="left" w:pos="0"/>
        </w:tabs>
        <w:spacing w:line="360" w:lineRule="auto"/>
        <w:ind w:left="709"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Se eligió como modalidad de entrega de la información: </w:t>
      </w:r>
      <w:r w:rsidRPr="009E7B94">
        <w:rPr>
          <w:rFonts w:ascii="Palatino Linotype" w:eastAsia="Palatino Linotype" w:hAnsi="Palatino Linotype" w:cs="Palatino Linotype"/>
          <w:b/>
          <w:color w:val="000000"/>
        </w:rPr>
        <w:t>a través de SAIMEX.</w:t>
      </w:r>
    </w:p>
    <w:p w:rsidR="007C0364" w:rsidRPr="009E7B94" w:rsidRDefault="007C0364" w:rsidP="007C0364">
      <w:pPr>
        <w:pBdr>
          <w:top w:val="nil"/>
          <w:left w:val="nil"/>
          <w:bottom w:val="nil"/>
          <w:right w:val="nil"/>
          <w:between w:val="nil"/>
        </w:pBdr>
        <w:tabs>
          <w:tab w:val="left" w:pos="0"/>
        </w:tabs>
        <w:spacing w:line="360" w:lineRule="auto"/>
        <w:ind w:right="49"/>
        <w:jc w:val="both"/>
        <w:rPr>
          <w:rFonts w:ascii="Palatino Linotype" w:eastAsia="Palatino Linotype" w:hAnsi="Palatino Linotype" w:cs="Palatino Linotype"/>
        </w:rPr>
      </w:pPr>
    </w:p>
    <w:p w:rsidR="007C0364" w:rsidRPr="009E7B94" w:rsidRDefault="007C0364" w:rsidP="007C0364">
      <w:pPr>
        <w:numPr>
          <w:ilvl w:val="0"/>
          <w:numId w:val="1"/>
        </w:numPr>
        <w:pBdr>
          <w:top w:val="nil"/>
          <w:left w:val="nil"/>
          <w:bottom w:val="nil"/>
          <w:right w:val="nil"/>
          <w:between w:val="nil"/>
        </w:pBdr>
        <w:tabs>
          <w:tab w:val="left" w:pos="0"/>
        </w:tabs>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color w:val="000000"/>
        </w:rPr>
        <w:t xml:space="preserve">El </w:t>
      </w:r>
      <w:r w:rsidRPr="009E7B94">
        <w:rPr>
          <w:rFonts w:ascii="Palatino Linotype" w:eastAsia="Palatino Linotype" w:hAnsi="Palatino Linotype" w:cs="Palatino Linotype"/>
          <w:b/>
          <w:color w:val="000000"/>
        </w:rPr>
        <w:t>tres de</w:t>
      </w:r>
      <w:r w:rsidR="009E7B94">
        <w:rPr>
          <w:rFonts w:ascii="Palatino Linotype" w:eastAsia="Palatino Linotype" w:hAnsi="Palatino Linotype" w:cs="Palatino Linotype"/>
          <w:b/>
          <w:color w:val="000000"/>
        </w:rPr>
        <w:t xml:space="preserve"> </w:t>
      </w:r>
      <w:r w:rsidRPr="009E7B94">
        <w:rPr>
          <w:rFonts w:ascii="Palatino Linotype" w:eastAsia="Palatino Linotype" w:hAnsi="Palatino Linotype" w:cs="Palatino Linotype"/>
          <w:b/>
          <w:color w:val="000000"/>
        </w:rPr>
        <w:t>julio de dos mil veintiséis</w:t>
      </w:r>
      <w:r w:rsidRPr="009E7B94">
        <w:rPr>
          <w:rFonts w:ascii="Palatino Linotype" w:eastAsia="Palatino Linotype" w:hAnsi="Palatino Linotype" w:cs="Palatino Linotype"/>
          <w:color w:val="000000"/>
        </w:rPr>
        <w:t xml:space="preserve">, </w:t>
      </w:r>
      <w:r w:rsidRPr="009E7B94">
        <w:rPr>
          <w:rFonts w:ascii="Palatino Linotype" w:eastAsia="Palatino Linotype" w:hAnsi="Palatino Linotype" w:cs="Palatino Linotype"/>
        </w:rPr>
        <w:t xml:space="preserve">el </w:t>
      </w:r>
      <w:r w:rsidRPr="009E7B94">
        <w:rPr>
          <w:rFonts w:ascii="Palatino Linotype" w:eastAsia="Palatino Linotype" w:hAnsi="Palatino Linotype" w:cs="Palatino Linotype"/>
          <w:b/>
        </w:rPr>
        <w:t xml:space="preserve">SUJETO OBLIGADO </w:t>
      </w:r>
      <w:r w:rsidRPr="009E7B94">
        <w:rPr>
          <w:rFonts w:ascii="Palatino Linotype" w:eastAsia="Palatino Linotype" w:hAnsi="Palatino Linotype" w:cs="Palatino Linotype"/>
        </w:rPr>
        <w:t xml:space="preserve">dio respuesta a la </w:t>
      </w:r>
      <w:r w:rsidRPr="009E7B94">
        <w:rPr>
          <w:rFonts w:ascii="Palatino Linotype" w:eastAsia="Palatino Linotype" w:hAnsi="Palatino Linotype" w:cs="Palatino Linotype"/>
          <w:color w:val="000000"/>
        </w:rPr>
        <w:t>solicitud</w:t>
      </w:r>
      <w:r w:rsidRPr="009E7B94">
        <w:rPr>
          <w:rFonts w:ascii="Palatino Linotype" w:eastAsia="Palatino Linotype" w:hAnsi="Palatino Linotype" w:cs="Palatino Linotype"/>
        </w:rPr>
        <w:t xml:space="preserve"> </w:t>
      </w:r>
      <w:r w:rsidRPr="009E7B94">
        <w:rPr>
          <w:rFonts w:ascii="Palatino Linotype" w:eastAsia="Palatino Linotype" w:hAnsi="Palatino Linotype" w:cs="Palatino Linotype"/>
          <w:color w:val="000000"/>
        </w:rPr>
        <w:t>de</w:t>
      </w:r>
      <w:r w:rsidRPr="009E7B94">
        <w:rPr>
          <w:rFonts w:ascii="Palatino Linotype" w:eastAsia="Palatino Linotype" w:hAnsi="Palatino Linotype" w:cs="Palatino Linotype"/>
        </w:rPr>
        <w:t xml:space="preserve"> acceso a la información a través de SAIMEX, a través de los archivos siguientes:</w:t>
      </w:r>
      <w:bookmarkStart w:id="1" w:name="_GoBack"/>
      <w:bookmarkEnd w:id="1"/>
    </w:p>
    <w:p w:rsidR="007C0364" w:rsidRPr="009E7B94" w:rsidRDefault="007C0364" w:rsidP="007C0364">
      <w:pPr>
        <w:pStyle w:val="Prrafodelista"/>
        <w:numPr>
          <w:ilvl w:val="0"/>
          <w:numId w:val="5"/>
        </w:numPr>
        <w:pBdr>
          <w:top w:val="nil"/>
          <w:left w:val="nil"/>
          <w:bottom w:val="nil"/>
          <w:right w:val="nil"/>
          <w:between w:val="nil"/>
        </w:pBdr>
        <w:tabs>
          <w:tab w:val="left" w:pos="0"/>
        </w:tabs>
        <w:spacing w:line="276" w:lineRule="auto"/>
        <w:ind w:right="49"/>
        <w:jc w:val="both"/>
        <w:rPr>
          <w:rFonts w:ascii="Palatino Linotype" w:eastAsia="Palatino Linotype" w:hAnsi="Palatino Linotype" w:cs="Palatino Linotype"/>
          <w:b/>
          <w:i/>
        </w:rPr>
      </w:pPr>
      <w:r w:rsidRPr="009E7B94">
        <w:rPr>
          <w:rFonts w:ascii="Palatino Linotype" w:eastAsia="Palatino Linotype" w:hAnsi="Palatino Linotype" w:cs="Palatino Linotype"/>
          <w:b/>
          <w:i/>
        </w:rPr>
        <w:lastRenderedPageBreak/>
        <w:t xml:space="preserve">18502-07-2026-172843.pdf: </w:t>
      </w:r>
      <w:r w:rsidRPr="009E7B94">
        <w:rPr>
          <w:rFonts w:ascii="Palatino Linotype" w:eastAsia="Palatino Linotype" w:hAnsi="Palatino Linotype" w:cs="Palatino Linotype"/>
        </w:rPr>
        <w:t>oficio signado por el Servidor Público Habilitado en el Sistema de Acceso a la Información Mexiquense (SAIMEX), adscrito al Instituto de Justicia Administrativa del Tribunal de Tribunal de Justicia Administrativa del Estado de México, a través del cual informa de manera toral, que atender lo solicitado en los términos planteados, implicaría , atender el requerimiento implicaría llevar a cabo una revisión pormenorizada de un universo documental amplio, su identificación individualizada, depuración, sistematización y extracción selectiva, con el objeto de integrar una respuesta conforme al interés específico de la persona solicitante; actividad que excede la obligación legal prevista en el artículo 12 de la Ley de Transparencia y Acceso a la Información Pública del Estado de México y Municipios; y un oficio suscrito por la Titular de la Unidad de Transparencia, mediante el cual informa de la respuesta emitida por el Servidor Público Habilitado.</w:t>
      </w:r>
    </w:p>
    <w:p w:rsidR="007C0364" w:rsidRPr="009E7B94" w:rsidRDefault="007C0364" w:rsidP="007C0364">
      <w:pPr>
        <w:pBdr>
          <w:top w:val="nil"/>
          <w:left w:val="nil"/>
          <w:bottom w:val="nil"/>
          <w:right w:val="nil"/>
          <w:between w:val="nil"/>
        </w:pBdr>
        <w:tabs>
          <w:tab w:val="left" w:pos="0"/>
        </w:tabs>
        <w:spacing w:line="360" w:lineRule="auto"/>
        <w:ind w:right="49"/>
        <w:jc w:val="both"/>
        <w:rPr>
          <w:rFonts w:ascii="Palatino Linotype" w:eastAsia="Palatino Linotype" w:hAnsi="Palatino Linotype" w:cs="Palatino Linotype"/>
        </w:rPr>
      </w:pPr>
    </w:p>
    <w:p w:rsidR="007C0364" w:rsidRPr="009E7B94" w:rsidRDefault="007C0364" w:rsidP="007C0364">
      <w:pPr>
        <w:pStyle w:val="Prrafodelista"/>
        <w:numPr>
          <w:ilvl w:val="0"/>
          <w:numId w:val="5"/>
        </w:numPr>
        <w:pBdr>
          <w:top w:val="nil"/>
          <w:left w:val="nil"/>
          <w:bottom w:val="nil"/>
          <w:right w:val="nil"/>
          <w:between w:val="nil"/>
        </w:pBdr>
        <w:tabs>
          <w:tab w:val="left" w:pos="0"/>
        </w:tabs>
        <w:spacing w:line="276" w:lineRule="auto"/>
        <w:ind w:right="49"/>
        <w:jc w:val="both"/>
        <w:rPr>
          <w:rFonts w:ascii="Palatino Linotype" w:eastAsia="Palatino Linotype" w:hAnsi="Palatino Linotype" w:cs="Palatino Linotype"/>
          <w:b/>
          <w:i/>
        </w:rPr>
      </w:pPr>
      <w:r w:rsidRPr="009E7B94">
        <w:rPr>
          <w:rFonts w:ascii="Palatino Linotype" w:eastAsia="Palatino Linotype" w:hAnsi="Palatino Linotype" w:cs="Palatino Linotype"/>
          <w:b/>
          <w:i/>
        </w:rPr>
        <w:t xml:space="preserve">185_2026.pdf: </w:t>
      </w:r>
      <w:r w:rsidRPr="009E7B94">
        <w:rPr>
          <w:rFonts w:ascii="Palatino Linotype" w:eastAsia="Palatino Linotype" w:hAnsi="Palatino Linotype" w:cs="Palatino Linotype"/>
        </w:rPr>
        <w:t xml:space="preserve">Oficio firmado por la Jefa de la Unidad de Información, Planeación, Programación y Evaluación, por el que o informo que el Servidor Público Habilitado, da respuesta a la solicitud de información que nos ocupa. </w:t>
      </w:r>
    </w:p>
    <w:p w:rsidR="007C0364" w:rsidRPr="009E7B94" w:rsidRDefault="007C0364" w:rsidP="007C0364">
      <w:pPr>
        <w:pBdr>
          <w:top w:val="nil"/>
          <w:left w:val="nil"/>
          <w:bottom w:val="nil"/>
          <w:right w:val="nil"/>
          <w:between w:val="nil"/>
        </w:pBdr>
        <w:tabs>
          <w:tab w:val="left" w:pos="0"/>
        </w:tabs>
        <w:spacing w:line="360" w:lineRule="auto"/>
        <w:ind w:right="49"/>
        <w:jc w:val="both"/>
        <w:rPr>
          <w:rFonts w:ascii="Palatino Linotype" w:eastAsia="Palatino Linotype" w:hAnsi="Palatino Linotype" w:cs="Palatino Linotype"/>
        </w:rPr>
      </w:pPr>
    </w:p>
    <w:p w:rsidR="007C0364" w:rsidRPr="009E7B94" w:rsidRDefault="007C0364" w:rsidP="007C0364">
      <w:pPr>
        <w:pBdr>
          <w:top w:val="nil"/>
          <w:left w:val="nil"/>
          <w:bottom w:val="nil"/>
          <w:right w:val="nil"/>
          <w:between w:val="nil"/>
        </w:pBdr>
        <w:tabs>
          <w:tab w:val="left" w:pos="0"/>
        </w:tabs>
        <w:spacing w:line="360" w:lineRule="auto"/>
        <w:ind w:right="49"/>
        <w:jc w:val="both"/>
        <w:rPr>
          <w:rFonts w:ascii="Palatino Linotype" w:eastAsia="Palatino Linotype" w:hAnsi="Palatino Linotype" w:cs="Palatino Linotype"/>
        </w:rPr>
      </w:pPr>
    </w:p>
    <w:p w:rsidR="007C0364" w:rsidRPr="009E7B94" w:rsidRDefault="007C0364" w:rsidP="007C0364">
      <w:pPr>
        <w:numPr>
          <w:ilvl w:val="0"/>
          <w:numId w:val="1"/>
        </w:numPr>
        <w:pBdr>
          <w:top w:val="nil"/>
          <w:left w:val="nil"/>
          <w:bottom w:val="nil"/>
          <w:right w:val="nil"/>
          <w:between w:val="nil"/>
        </w:pBdr>
        <w:tabs>
          <w:tab w:val="left" w:pos="0"/>
        </w:tabs>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color w:val="000000"/>
        </w:rPr>
        <w:t>El</w:t>
      </w:r>
      <w:r w:rsidRPr="009E7B94">
        <w:rPr>
          <w:rFonts w:ascii="Palatino Linotype" w:eastAsia="Palatino Linotype" w:hAnsi="Palatino Linotype" w:cs="Palatino Linotype"/>
          <w:b/>
          <w:color w:val="000000"/>
        </w:rPr>
        <w:t xml:space="preserve"> </w:t>
      </w:r>
      <w:r w:rsidRPr="009E7B94">
        <w:rPr>
          <w:rFonts w:ascii="Palatino Linotype" w:eastAsia="Palatino Linotype" w:hAnsi="Palatino Linotype" w:cs="Palatino Linotype"/>
          <w:b/>
        </w:rPr>
        <w:t xml:space="preserve">seis de julio de dos mil veintiséis, </w:t>
      </w:r>
      <w:r w:rsidRPr="009E7B94">
        <w:rPr>
          <w:rFonts w:ascii="Palatino Linotype" w:eastAsia="Palatino Linotype" w:hAnsi="Palatino Linotype" w:cs="Palatino Linotype"/>
        </w:rPr>
        <w:t xml:space="preserve">la parte </w:t>
      </w:r>
      <w:r w:rsidRPr="009E7B94">
        <w:rPr>
          <w:rFonts w:ascii="Palatino Linotype" w:eastAsia="Palatino Linotype" w:hAnsi="Palatino Linotype" w:cs="Palatino Linotype"/>
          <w:b/>
        </w:rPr>
        <w:t>Recurrente</w:t>
      </w:r>
      <w:r w:rsidRPr="009E7B94">
        <w:rPr>
          <w:rFonts w:ascii="Palatino Linotype" w:eastAsia="Palatino Linotype" w:hAnsi="Palatino Linotype" w:cs="Palatino Linotype"/>
        </w:rPr>
        <w:t xml:space="preserve"> interpuso el recurso de revisión a través de </w:t>
      </w:r>
      <w:r w:rsidRPr="009E7B94">
        <w:rPr>
          <w:rFonts w:ascii="Palatino Linotype" w:eastAsia="Palatino Linotype" w:hAnsi="Palatino Linotype" w:cs="Palatino Linotype"/>
          <w:b/>
        </w:rPr>
        <w:t xml:space="preserve">SAIMEX, </w:t>
      </w:r>
      <w:r w:rsidRPr="009E7B94">
        <w:rPr>
          <w:rFonts w:ascii="Palatino Linotype" w:eastAsia="Palatino Linotype" w:hAnsi="Palatino Linotype" w:cs="Palatino Linotype"/>
        </w:rPr>
        <w:t>en donde se manifestó lo siguiente:</w:t>
      </w:r>
    </w:p>
    <w:p w:rsidR="007C0364" w:rsidRPr="009E7B94" w:rsidRDefault="007C0364" w:rsidP="007C0364">
      <w:pPr>
        <w:pBdr>
          <w:top w:val="nil"/>
          <w:left w:val="nil"/>
          <w:bottom w:val="nil"/>
          <w:right w:val="nil"/>
          <w:between w:val="nil"/>
        </w:pBdr>
        <w:tabs>
          <w:tab w:val="left" w:pos="0"/>
        </w:tabs>
        <w:spacing w:line="360" w:lineRule="auto"/>
        <w:ind w:right="49"/>
        <w:jc w:val="both"/>
        <w:rPr>
          <w:rFonts w:ascii="Palatino Linotype" w:eastAsia="Palatino Linotype" w:hAnsi="Palatino Linotype" w:cs="Palatino Linotype"/>
        </w:rPr>
      </w:pPr>
    </w:p>
    <w:p w:rsidR="007C0364" w:rsidRPr="009E7B94" w:rsidRDefault="007C0364" w:rsidP="009E7B94">
      <w:pPr>
        <w:pStyle w:val="Prrafodelista"/>
        <w:numPr>
          <w:ilvl w:val="0"/>
          <w:numId w:val="10"/>
        </w:numPr>
        <w:tabs>
          <w:tab w:val="left" w:pos="2745"/>
        </w:tabs>
        <w:spacing w:line="276" w:lineRule="auto"/>
        <w:ind w:right="616"/>
        <w:jc w:val="both"/>
        <w:rPr>
          <w:rFonts w:ascii="Palatino Linotype" w:eastAsia="Palatino Linotype" w:hAnsi="Palatino Linotype" w:cs="Palatino Linotype"/>
          <w:b/>
        </w:rPr>
      </w:pPr>
      <w:r w:rsidRPr="009E7B94">
        <w:rPr>
          <w:rFonts w:ascii="Palatino Linotype" w:eastAsia="Palatino Linotype" w:hAnsi="Palatino Linotype" w:cs="Palatino Linotype"/>
          <w:b/>
        </w:rPr>
        <w:t xml:space="preserve">Acto impugnado: </w:t>
      </w:r>
    </w:p>
    <w:p w:rsidR="007C0364" w:rsidRPr="009E7B94" w:rsidRDefault="007C0364" w:rsidP="007C0364">
      <w:pPr>
        <w:tabs>
          <w:tab w:val="left" w:pos="2745"/>
        </w:tabs>
        <w:spacing w:line="276" w:lineRule="auto"/>
        <w:ind w:left="851" w:right="616"/>
        <w:jc w:val="both"/>
        <w:rPr>
          <w:rFonts w:ascii="Palatino Linotype" w:eastAsia="Palatino Linotype" w:hAnsi="Palatino Linotype" w:cs="Palatino Linotype"/>
        </w:rPr>
      </w:pPr>
      <w:r w:rsidRPr="009E7B94">
        <w:rPr>
          <w:rFonts w:ascii="Palatino Linotype" w:eastAsia="Palatino Linotype" w:hAnsi="Palatino Linotype" w:cs="Palatino Linotype"/>
          <w:i/>
        </w:rPr>
        <w:t xml:space="preserve">“La negativa de proporcionar información alegando mucho trabajo” </w:t>
      </w:r>
    </w:p>
    <w:p w:rsidR="007C0364" w:rsidRPr="009E7B94" w:rsidRDefault="007C0364" w:rsidP="007C0364">
      <w:pPr>
        <w:tabs>
          <w:tab w:val="left" w:pos="2745"/>
        </w:tabs>
        <w:spacing w:line="276" w:lineRule="auto"/>
        <w:ind w:left="851" w:right="616"/>
        <w:jc w:val="both"/>
        <w:rPr>
          <w:rFonts w:ascii="Palatino Linotype" w:eastAsia="Palatino Linotype" w:hAnsi="Palatino Linotype" w:cs="Palatino Linotype"/>
          <w:i/>
        </w:rPr>
      </w:pPr>
    </w:p>
    <w:p w:rsidR="007C0364" w:rsidRPr="009E7B94" w:rsidRDefault="007C0364" w:rsidP="009E7B94">
      <w:pPr>
        <w:pStyle w:val="Prrafodelista"/>
        <w:numPr>
          <w:ilvl w:val="0"/>
          <w:numId w:val="10"/>
        </w:numPr>
        <w:spacing w:line="276" w:lineRule="auto"/>
        <w:ind w:right="616"/>
        <w:jc w:val="both"/>
        <w:rPr>
          <w:rFonts w:ascii="Palatino Linotype" w:eastAsia="Palatino Linotype" w:hAnsi="Palatino Linotype" w:cs="Palatino Linotype"/>
        </w:rPr>
      </w:pPr>
      <w:bookmarkStart w:id="2" w:name="_heading=h.30j0zll" w:colFirst="0" w:colLast="0"/>
      <w:bookmarkEnd w:id="2"/>
      <w:r w:rsidRPr="009E7B94">
        <w:rPr>
          <w:rFonts w:ascii="Palatino Linotype" w:eastAsia="Palatino Linotype" w:hAnsi="Palatino Linotype" w:cs="Palatino Linotype"/>
          <w:b/>
        </w:rPr>
        <w:t>Razones o motivos de inconformidad</w:t>
      </w:r>
      <w:r w:rsidRPr="009E7B94">
        <w:rPr>
          <w:rFonts w:ascii="Palatino Linotype" w:eastAsia="Palatino Linotype" w:hAnsi="Palatino Linotype" w:cs="Palatino Linotype"/>
        </w:rPr>
        <w:t>:</w:t>
      </w:r>
    </w:p>
    <w:p w:rsidR="007C0364" w:rsidRPr="009E7B94" w:rsidRDefault="007C0364" w:rsidP="007C0364">
      <w:pPr>
        <w:tabs>
          <w:tab w:val="left" w:pos="2745"/>
        </w:tabs>
        <w:spacing w:line="276" w:lineRule="auto"/>
        <w:ind w:left="851" w:right="616"/>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“El tribunal no funda y motiva el por qué no me quiere dar la información, decir un artículo de la constitución no es fundar y motivar, adicionalmente se menciona que es retrabajar un universo, cuando la solicitud es muy clara en fechas, momentos y que se </w:t>
      </w:r>
      <w:r w:rsidRPr="009E7B94">
        <w:rPr>
          <w:rFonts w:ascii="Palatino Linotype" w:eastAsia="Palatino Linotype" w:hAnsi="Palatino Linotype" w:cs="Palatino Linotype"/>
          <w:i/>
        </w:rPr>
        <w:lastRenderedPageBreak/>
        <w:t>pidió. En ningún momento se les pidió algo más allá de sus funciones o documento que, por reglamento o ley orgánica no posean.”</w:t>
      </w:r>
    </w:p>
    <w:p w:rsidR="007C0364" w:rsidRPr="009E7B94" w:rsidRDefault="007C0364" w:rsidP="007C0364">
      <w:pPr>
        <w:tabs>
          <w:tab w:val="left" w:pos="2745"/>
        </w:tabs>
        <w:spacing w:line="360" w:lineRule="auto"/>
        <w:ind w:left="851" w:right="616"/>
        <w:jc w:val="both"/>
        <w:rPr>
          <w:rFonts w:ascii="Palatino Linotype" w:eastAsia="Palatino Linotype" w:hAnsi="Palatino Linotype" w:cs="Palatino Linotype"/>
          <w:b/>
          <w:i/>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rPr>
        <w:t>Con fecha</w:t>
      </w:r>
      <w:r w:rsidRPr="009E7B94">
        <w:rPr>
          <w:rFonts w:ascii="Palatino Linotype" w:eastAsia="Palatino Linotype" w:hAnsi="Palatino Linotype" w:cs="Palatino Linotype"/>
          <w:b/>
        </w:rPr>
        <w:t xml:space="preserve"> ocho de julio de dos mil veintiséis, </w:t>
      </w:r>
      <w:r w:rsidRPr="009E7B94">
        <w:rPr>
          <w:rFonts w:ascii="Palatino Linotype" w:eastAsia="Palatino Linotype" w:hAnsi="Palatino Linotype" w:cs="Palatino Linotype"/>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conviniera, ofrecieran pruebas, formularan alegatos y el </w:t>
      </w:r>
      <w:r w:rsidRPr="009E7B94">
        <w:rPr>
          <w:rFonts w:ascii="Palatino Linotype" w:eastAsia="Palatino Linotype" w:hAnsi="Palatino Linotype" w:cs="Palatino Linotype"/>
          <w:b/>
        </w:rPr>
        <w:t xml:space="preserve">SUJETO OBLIGADO </w:t>
      </w:r>
      <w:r w:rsidRPr="009E7B94">
        <w:rPr>
          <w:rFonts w:ascii="Palatino Linotype" w:eastAsia="Palatino Linotype" w:hAnsi="Palatino Linotype" w:cs="Palatino Linotype"/>
        </w:rPr>
        <w:t>presentara su informe justificado.</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color w:val="000000"/>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b/>
          <w:bCs/>
          <w:color w:val="000000"/>
        </w:rPr>
      </w:pPr>
      <w:r w:rsidRPr="009E7B94">
        <w:rPr>
          <w:rFonts w:ascii="Palatino Linotype" w:eastAsia="Palatino Linotype" w:hAnsi="Palatino Linotype" w:cs="Palatino Linotype"/>
        </w:rPr>
        <w:t>El</w:t>
      </w:r>
      <w:r w:rsidRPr="009E7B94">
        <w:rPr>
          <w:rFonts w:ascii="Palatino Linotype" w:eastAsia="Palatino Linotype" w:hAnsi="Palatino Linotype" w:cs="Palatino Linotype"/>
          <w:b/>
          <w:color w:val="000000"/>
        </w:rPr>
        <w:t xml:space="preserve"> SUJETO OBLIGADO </w:t>
      </w:r>
      <w:r w:rsidRPr="009E7B94">
        <w:rPr>
          <w:rFonts w:ascii="Palatino Linotype" w:eastAsia="Palatino Linotype" w:hAnsi="Palatino Linotype" w:cs="Palatino Linotype"/>
          <w:color w:val="000000"/>
        </w:rPr>
        <w:t xml:space="preserve">el </w:t>
      </w:r>
      <w:r w:rsidRPr="009E7B94">
        <w:rPr>
          <w:rFonts w:ascii="Palatino Linotype" w:eastAsia="Palatino Linotype" w:hAnsi="Palatino Linotype" w:cs="Palatino Linotype"/>
          <w:b/>
          <w:color w:val="000000"/>
        </w:rPr>
        <w:t>diez de agosto dos mil veintiséis</w:t>
      </w:r>
      <w:r w:rsidRPr="009E7B94">
        <w:rPr>
          <w:rFonts w:ascii="Palatino Linotype" w:eastAsia="Palatino Linotype" w:hAnsi="Palatino Linotype" w:cs="Palatino Linotype"/>
          <w:color w:val="000000"/>
        </w:rPr>
        <w:t xml:space="preserve">, rindió informe justificado, a través del archivo </w:t>
      </w:r>
      <w:r w:rsidRPr="009E7B94">
        <w:rPr>
          <w:rFonts w:ascii="Palatino Linotype" w:eastAsia="Palatino Linotype" w:hAnsi="Palatino Linotype" w:cs="Palatino Linotype"/>
          <w:b/>
          <w:i/>
          <w:color w:val="000000"/>
        </w:rPr>
        <w:t xml:space="preserve">06993_2026.pdf, </w:t>
      </w:r>
      <w:r w:rsidRPr="009E7B94">
        <w:rPr>
          <w:rFonts w:ascii="Palatino Linotype" w:eastAsia="Palatino Linotype" w:hAnsi="Palatino Linotype" w:cs="Palatino Linotype"/>
          <w:color w:val="000000"/>
        </w:rPr>
        <w:t xml:space="preserve">por el que se confirma la respuesta inicial, respectivamente; Por su parte, la ahora </w:t>
      </w:r>
      <w:r w:rsidRPr="009E7B94">
        <w:rPr>
          <w:rFonts w:ascii="Palatino Linotype" w:eastAsia="Palatino Linotype" w:hAnsi="Palatino Linotype" w:cs="Palatino Linotype"/>
          <w:b/>
          <w:color w:val="000000"/>
        </w:rPr>
        <w:t>RECURRENTE</w:t>
      </w:r>
      <w:r w:rsidRPr="009E7B94">
        <w:rPr>
          <w:rFonts w:ascii="Palatino Linotype" w:eastAsia="Palatino Linotype" w:hAnsi="Palatino Linotype" w:cs="Palatino Linotype"/>
          <w:color w:val="000000"/>
        </w:rPr>
        <w:t xml:space="preserve"> dejo de realizar manifestaciones que a su derecho conviniera y asistiera. </w:t>
      </w:r>
    </w:p>
    <w:p w:rsidR="007C0364" w:rsidRPr="009E7B94" w:rsidRDefault="007C0364" w:rsidP="007C0364">
      <w:pPr>
        <w:pStyle w:val="Prrafodelista"/>
        <w:spacing w:line="360" w:lineRule="auto"/>
        <w:rPr>
          <w:rFonts w:ascii="Palatino Linotype" w:eastAsia="Palatino Linotype" w:hAnsi="Palatino Linotype" w:cs="Palatino Linotype"/>
          <w:color w:val="000000"/>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b/>
          <w:bCs/>
          <w:color w:val="000000"/>
        </w:rPr>
      </w:pPr>
      <w:r w:rsidRPr="009E7B94">
        <w:rPr>
          <w:rFonts w:ascii="Palatino Linotype" w:eastAsia="Palatino Linotype" w:hAnsi="Palatino Linotype" w:cs="Palatino Linotype"/>
          <w:color w:val="000000"/>
        </w:rPr>
        <w:t xml:space="preserve">Consecutivamente al no existir diligencias pendientes de celebrarse se decretó el cierre de instrucción mediante Acuerdo de fecha </w:t>
      </w:r>
      <w:r w:rsidRPr="009E7B94">
        <w:rPr>
          <w:rFonts w:ascii="Palatino Linotype" w:eastAsia="Palatino Linotype" w:hAnsi="Palatino Linotype" w:cs="Palatino Linotype"/>
          <w:b/>
          <w:color w:val="000000"/>
        </w:rPr>
        <w:t>veinticinco de agosto de dos mil veintisiete</w:t>
      </w:r>
      <w:r w:rsidRPr="009E7B94">
        <w:rPr>
          <w:rFonts w:ascii="Palatino Linotype" w:eastAsia="Palatino Linotype" w:hAnsi="Palatino Linotype" w:cs="Palatino Linotype"/>
          <w:color w:val="000000"/>
        </w:rPr>
        <w:t>, por lo que no habiendo más que hacer constar, y</w:t>
      </w:r>
    </w:p>
    <w:p w:rsidR="007C0364" w:rsidRPr="009E7B94" w:rsidRDefault="007C0364" w:rsidP="007C0364">
      <w:pPr>
        <w:pBdr>
          <w:top w:val="nil"/>
          <w:left w:val="nil"/>
          <w:bottom w:val="nil"/>
          <w:right w:val="nil"/>
          <w:between w:val="nil"/>
        </w:pBdr>
        <w:spacing w:line="360" w:lineRule="auto"/>
        <w:ind w:left="720" w:right="49"/>
        <w:jc w:val="center"/>
        <w:rPr>
          <w:rFonts w:ascii="Palatino Linotype" w:eastAsia="Palatino Linotype" w:hAnsi="Palatino Linotype" w:cs="Palatino Linotype"/>
          <w:b/>
          <w:color w:val="000000"/>
        </w:rPr>
      </w:pPr>
    </w:p>
    <w:p w:rsidR="007C0364" w:rsidRPr="009E7B94" w:rsidRDefault="007C0364" w:rsidP="007C0364">
      <w:pPr>
        <w:pBdr>
          <w:top w:val="nil"/>
          <w:left w:val="nil"/>
          <w:bottom w:val="nil"/>
          <w:right w:val="nil"/>
          <w:between w:val="nil"/>
        </w:pBdr>
        <w:spacing w:line="360" w:lineRule="auto"/>
        <w:ind w:right="49"/>
        <w:jc w:val="center"/>
        <w:rPr>
          <w:rFonts w:ascii="Palatino Linotype" w:eastAsia="Palatino Linotype" w:hAnsi="Palatino Linotype" w:cs="Palatino Linotype"/>
          <w:b/>
          <w:color w:val="000000"/>
        </w:rPr>
      </w:pPr>
      <w:r w:rsidRPr="009E7B94">
        <w:rPr>
          <w:rFonts w:ascii="Palatino Linotype" w:eastAsia="Palatino Linotype" w:hAnsi="Palatino Linotype" w:cs="Palatino Linotype"/>
          <w:b/>
          <w:color w:val="000000"/>
        </w:rPr>
        <w:t>C O N S I D E R A N D O</w:t>
      </w:r>
    </w:p>
    <w:p w:rsidR="007C0364" w:rsidRPr="009E7B94" w:rsidRDefault="007C0364" w:rsidP="007C0364">
      <w:pPr>
        <w:pBdr>
          <w:top w:val="nil"/>
          <w:left w:val="nil"/>
          <w:bottom w:val="nil"/>
          <w:right w:val="nil"/>
          <w:between w:val="nil"/>
        </w:pBdr>
        <w:spacing w:line="360" w:lineRule="auto"/>
        <w:ind w:right="49"/>
        <w:jc w:val="center"/>
        <w:rPr>
          <w:rFonts w:ascii="Palatino Linotype" w:eastAsia="Palatino Linotype" w:hAnsi="Palatino Linotype" w:cs="Palatino Linotype"/>
          <w:b/>
          <w:color w:val="000000"/>
        </w:rPr>
      </w:pPr>
    </w:p>
    <w:p w:rsidR="007C0364" w:rsidRPr="009E7B94" w:rsidRDefault="007C0364" w:rsidP="007C0364">
      <w:pPr>
        <w:pStyle w:val="Ttulo2"/>
        <w:spacing w:before="0" w:line="360" w:lineRule="auto"/>
        <w:ind w:right="49"/>
        <w:rPr>
          <w:rFonts w:ascii="Palatino Linotype" w:eastAsia="Palatino Linotype" w:hAnsi="Palatino Linotype" w:cs="Palatino Linotype"/>
          <w:b/>
          <w:color w:val="000000"/>
          <w:sz w:val="24"/>
          <w:szCs w:val="24"/>
        </w:rPr>
      </w:pPr>
      <w:bookmarkStart w:id="3" w:name="_heading=h.3znysh7" w:colFirst="0" w:colLast="0"/>
      <w:bookmarkEnd w:id="3"/>
      <w:r w:rsidRPr="009E7B94">
        <w:rPr>
          <w:rFonts w:ascii="Palatino Linotype" w:eastAsia="Palatino Linotype" w:hAnsi="Palatino Linotype" w:cs="Palatino Linotype"/>
          <w:b/>
          <w:color w:val="000000"/>
          <w:sz w:val="24"/>
          <w:szCs w:val="24"/>
        </w:rPr>
        <w:t>PRIMERO. Competencia</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Este Instituto de Transparencia, Acceso a la Información Pública y Protección de Datos Personales del Estado de México y Municipios es competente para conocer y resolver el </w:t>
      </w:r>
      <w:r w:rsidRPr="009E7B94">
        <w:rPr>
          <w:rFonts w:ascii="Palatino Linotype" w:eastAsia="Palatino Linotype" w:hAnsi="Palatino Linotype" w:cs="Palatino Linotype"/>
          <w:color w:val="000000"/>
        </w:rPr>
        <w:lastRenderedPageBreak/>
        <w:t xml:space="preserve">presente Recurso de Revisión, conforme a lo dispuesto en el artículo 5, párrafos </w:t>
      </w:r>
      <w:r w:rsidRPr="009E7B94">
        <w:rPr>
          <w:rFonts w:ascii="Palatino Linotype" w:eastAsia="Palatino Linotype" w:hAnsi="Palatino Linotype" w:cs="Palatino Linotype"/>
        </w:rPr>
        <w:t>trigésimo</w:t>
      </w:r>
      <w:r w:rsidRPr="009E7B94">
        <w:rPr>
          <w:rFonts w:ascii="Palatino Linotype" w:eastAsia="Palatino Linotype" w:hAnsi="Palatino Linotype" w:cs="Palatino Linotype"/>
          <w:color w:val="000000"/>
        </w:rPr>
        <w:t xml:space="preserve"> séptimo, trigésimo octavo y trigésimo noveno fracciones IV y V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color w:val="000000"/>
        </w:rPr>
      </w:pPr>
    </w:p>
    <w:p w:rsidR="007C0364" w:rsidRPr="009E7B94" w:rsidRDefault="007C0364" w:rsidP="007C0364">
      <w:pPr>
        <w:pStyle w:val="Ttulo2"/>
        <w:spacing w:before="0" w:line="360" w:lineRule="auto"/>
        <w:ind w:right="49"/>
        <w:rPr>
          <w:rFonts w:ascii="Palatino Linotype" w:eastAsia="Palatino Linotype" w:hAnsi="Palatino Linotype" w:cs="Palatino Linotype"/>
          <w:b/>
          <w:color w:val="000000"/>
          <w:sz w:val="24"/>
          <w:szCs w:val="24"/>
        </w:rPr>
      </w:pPr>
      <w:bookmarkStart w:id="4" w:name="_heading=h.2et92p0" w:colFirst="0" w:colLast="0"/>
      <w:bookmarkEnd w:id="4"/>
      <w:r w:rsidRPr="009E7B94">
        <w:rPr>
          <w:rFonts w:ascii="Palatino Linotype" w:eastAsia="Palatino Linotype" w:hAnsi="Palatino Linotype" w:cs="Palatino Linotype"/>
          <w:b/>
          <w:color w:val="000000"/>
          <w:sz w:val="24"/>
          <w:szCs w:val="24"/>
        </w:rPr>
        <w:t>SEGUNDO. Procedencia.</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Este Órgano Garante considera que el medio de impugnación reúne los requisitos de </w:t>
      </w:r>
      <w:r w:rsidRPr="009E7B94">
        <w:rPr>
          <w:rFonts w:ascii="Palatino Linotype" w:eastAsia="Palatino Linotype" w:hAnsi="Palatino Linotype" w:cs="Palatino Linotype"/>
          <w:color w:val="000000"/>
        </w:rPr>
        <w:t>procedencia</w:t>
      </w:r>
      <w:r w:rsidRPr="009E7B94">
        <w:rPr>
          <w:rFonts w:ascii="Palatino Linotype" w:eastAsia="Palatino Linotype" w:hAnsi="Palatino Linotype" w:cs="Palatino Linotype"/>
        </w:rPr>
        <w:t xml:space="preserve"> </w:t>
      </w:r>
      <w:r w:rsidRPr="009E7B94">
        <w:rPr>
          <w:rFonts w:ascii="Palatino Linotype" w:eastAsia="Palatino Linotype" w:hAnsi="Palatino Linotype" w:cs="Palatino Linotype"/>
          <w:color w:val="000000"/>
        </w:rPr>
        <w:t xml:space="preserve">toda vez que el recurso fue presentado dentro del plazo establecido en el artículo 178 de la Ley de Transparencia y Acceso a la Información Pública del Estado de México y Municipios; asimismo no se tiene conocimiento de que se encuentre en trámite algún medio de defensa presentado por </w:t>
      </w:r>
      <w:r w:rsidRPr="009E7B94">
        <w:rPr>
          <w:rFonts w:ascii="Palatino Linotype" w:eastAsia="Palatino Linotype" w:hAnsi="Palatino Linotype" w:cs="Palatino Linotype"/>
          <w:b/>
          <w:color w:val="000000"/>
        </w:rPr>
        <w:t>LA RECURRENTE</w:t>
      </w:r>
      <w:r w:rsidRPr="009E7B94">
        <w:rPr>
          <w:rFonts w:ascii="Palatino Linotype" w:eastAsia="Palatino Linotype" w:hAnsi="Palatino Linotype" w:cs="Palatino Linotype"/>
          <w:color w:val="000000"/>
        </w:rPr>
        <w:t xml:space="preserve"> ante otra instancia.</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Finalmente, el escrito contiene las formalidades previstas por el artículo 180 último párrafo de la citada Ley de la Materia, por lo que es procedente que este Instituto conozca y resuelva el presente Recurso de Revisión.</w:t>
      </w:r>
    </w:p>
    <w:p w:rsidR="007C0364" w:rsidRPr="009E7B94" w:rsidRDefault="007C0364" w:rsidP="007C0364">
      <w:pPr>
        <w:pBdr>
          <w:top w:val="nil"/>
          <w:left w:val="nil"/>
          <w:bottom w:val="nil"/>
          <w:right w:val="nil"/>
          <w:between w:val="nil"/>
        </w:pBdr>
        <w:spacing w:line="360" w:lineRule="auto"/>
        <w:ind w:right="49"/>
        <w:jc w:val="both"/>
        <w:rPr>
          <w:rFonts w:ascii="Palatino Linotype" w:eastAsia="Palatino Linotype" w:hAnsi="Palatino Linotype" w:cs="Palatino Linotype"/>
        </w:rPr>
      </w:pPr>
    </w:p>
    <w:p w:rsidR="007C0364" w:rsidRPr="009E7B94" w:rsidRDefault="007C0364" w:rsidP="007C0364">
      <w:pPr>
        <w:pStyle w:val="Ttulo2"/>
        <w:tabs>
          <w:tab w:val="left" w:pos="284"/>
          <w:tab w:val="left" w:pos="426"/>
        </w:tabs>
        <w:spacing w:before="0" w:line="360" w:lineRule="auto"/>
        <w:rPr>
          <w:rFonts w:ascii="Palatino Linotype" w:hAnsi="Palatino Linotype"/>
          <w:b/>
          <w:bCs/>
          <w:color w:val="000000" w:themeColor="text1"/>
          <w:sz w:val="24"/>
          <w:szCs w:val="24"/>
        </w:rPr>
      </w:pPr>
      <w:bookmarkStart w:id="5" w:name="_heading=h.tyjcwt" w:colFirst="0" w:colLast="0"/>
      <w:bookmarkStart w:id="6" w:name="_Toc500360400"/>
      <w:bookmarkStart w:id="7" w:name="_Toc81233127"/>
      <w:bookmarkStart w:id="8" w:name="_Toc459174366"/>
      <w:bookmarkStart w:id="9" w:name="_Toc459659884"/>
      <w:bookmarkStart w:id="10" w:name="_Toc461687280"/>
      <w:bookmarkStart w:id="11" w:name="_Toc462771051"/>
      <w:bookmarkStart w:id="12" w:name="_Toc464139201"/>
      <w:bookmarkStart w:id="13" w:name="_Toc495427545"/>
      <w:bookmarkStart w:id="14" w:name="_Toc499296549"/>
      <w:bookmarkEnd w:id="5"/>
      <w:r w:rsidRPr="009E7B94">
        <w:rPr>
          <w:rFonts w:ascii="Palatino Linotype" w:hAnsi="Palatino Linotype"/>
          <w:b/>
          <w:bCs/>
          <w:color w:val="000000" w:themeColor="text1"/>
          <w:sz w:val="24"/>
          <w:szCs w:val="24"/>
        </w:rPr>
        <w:t xml:space="preserve">TERCERO. </w:t>
      </w:r>
      <w:bookmarkEnd w:id="6"/>
      <w:bookmarkEnd w:id="7"/>
      <w:r w:rsidRPr="009E7B94">
        <w:rPr>
          <w:rFonts w:ascii="Palatino Linotype" w:hAnsi="Palatino Linotype"/>
          <w:b/>
          <w:bCs/>
          <w:color w:val="000000" w:themeColor="text1"/>
          <w:sz w:val="24"/>
          <w:szCs w:val="24"/>
        </w:rPr>
        <w:t xml:space="preserve">Del planteamiento de la </w:t>
      </w:r>
      <w:r w:rsidRPr="009E7B94">
        <w:rPr>
          <w:rFonts w:ascii="Palatino Linotype" w:hAnsi="Palatino Linotype"/>
          <w:b/>
          <w:bCs/>
          <w:i/>
          <w:color w:val="000000" w:themeColor="text1"/>
          <w:sz w:val="24"/>
          <w:szCs w:val="24"/>
        </w:rPr>
        <w:t>Litis.</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 xml:space="preserve">Se solicitó </w:t>
      </w:r>
      <w:r w:rsidRPr="009E7B94">
        <w:rPr>
          <w:rFonts w:ascii="Palatino Linotype" w:eastAsia="Palatino Linotype" w:hAnsi="Palatino Linotype" w:cs="Palatino Linotype"/>
        </w:rPr>
        <w:t>tener</w:t>
      </w:r>
      <w:r w:rsidRPr="009E7B94">
        <w:rPr>
          <w:rFonts w:ascii="Palatino Linotype" w:hAnsi="Palatino Linotype"/>
        </w:rPr>
        <w:t xml:space="preserve"> </w:t>
      </w:r>
      <w:r w:rsidRPr="009E7B94">
        <w:rPr>
          <w:rFonts w:ascii="Palatino Linotype" w:eastAsia="Palatino Linotype" w:hAnsi="Palatino Linotype" w:cs="Palatino Linotype"/>
        </w:rPr>
        <w:t>acceso</w:t>
      </w:r>
      <w:r w:rsidRPr="009E7B94">
        <w:rPr>
          <w:rFonts w:ascii="Palatino Linotype" w:hAnsi="Palatino Linotype"/>
        </w:rPr>
        <w:t>, a la información que a continuación se desagrega:</w:t>
      </w:r>
    </w:p>
    <w:p w:rsidR="007C0364" w:rsidRPr="009E7B94" w:rsidRDefault="007C0364" w:rsidP="007C0364">
      <w:pPr>
        <w:pStyle w:val="Prrafodelista"/>
        <w:numPr>
          <w:ilvl w:val="0"/>
          <w:numId w:val="4"/>
        </w:numPr>
        <w:spacing w:line="276" w:lineRule="auto"/>
        <w:ind w:left="709" w:right="567"/>
        <w:jc w:val="both"/>
        <w:rPr>
          <w:rFonts w:ascii="Palatino Linotype" w:eastAsia="Palatino Linotype" w:hAnsi="Palatino Linotype" w:cs="Palatino Linotype"/>
        </w:rPr>
      </w:pPr>
      <w:r w:rsidRPr="009E7B94">
        <w:rPr>
          <w:rFonts w:ascii="Palatino Linotype" w:eastAsia="Palatino Linotype" w:hAnsi="Palatino Linotype" w:cs="Palatino Linotype"/>
        </w:rPr>
        <w:t>Quiero todos los informes referentes a servicio social y prácticas profesionales enviados a la junta, presidencia o pleno desde la fecha de la autonomía del tribunal a hoy.</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lastRenderedPageBreak/>
        <w:t xml:space="preserve">Inconforme con la respuesta, la solicitante interpuso recurso de revisión en contra de la información arguyendo la negativa de la entrega de la información </w:t>
      </w:r>
      <w:r w:rsidR="009E7B94" w:rsidRPr="009E7B94">
        <w:rPr>
          <w:rFonts w:ascii="Palatino Linotype" w:hAnsi="Palatino Linotype"/>
        </w:rPr>
        <w:t>solicitada</w:t>
      </w:r>
      <w:r w:rsidRPr="009E7B94">
        <w:rPr>
          <w:rFonts w:ascii="Palatino Linotype" w:eastAsia="Palatino Linotype" w:hAnsi="Palatino Linotype" w:cs="Palatino Linotype"/>
          <w:color w:val="000000"/>
        </w:rPr>
        <w:t xml:space="preserve">. </w:t>
      </w:r>
      <w:r w:rsidRPr="009E7B94">
        <w:rPr>
          <w:rFonts w:ascii="Palatino Linotype" w:hAnsi="Palatino Linotype"/>
        </w:rPr>
        <w:t xml:space="preserve">En dichas condiciones, la controversia a resolver en el presente proveído, corresponde a determinar si se actualiza la causal de procedencia prevista en el artículo 179, fracción I, de la Ley de Transparencia y Acceso a la Información Pública del Estado de México y Municipios; fracción que determina la hipótesis relativa a la negativa a la información solicitada; contexto del cual se dolió </w:t>
      </w:r>
      <w:r w:rsidRPr="009E7B94">
        <w:rPr>
          <w:rFonts w:ascii="Palatino Linotype" w:hAnsi="Palatino Linotype"/>
          <w:b/>
        </w:rPr>
        <w:t xml:space="preserve">LA RECURRENTE </w:t>
      </w:r>
      <w:r w:rsidRPr="009E7B94">
        <w:rPr>
          <w:rFonts w:ascii="Palatino Linotype" w:hAnsi="Palatino Linotype"/>
        </w:rPr>
        <w:t xml:space="preserve">al momento de interponer su inconformidad. De modo tal que el presente recurso de revisión se abocará en determinar si el Sujeto Obligado con su respuesta ciertamente actualiza la causal de procedencia señalada. </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spacing w:line="360" w:lineRule="auto"/>
        <w:rPr>
          <w:rFonts w:ascii="Palatino Linotype" w:hAnsi="Palatino Linotype"/>
          <w:b/>
          <w:bCs/>
        </w:rPr>
      </w:pPr>
      <w:r w:rsidRPr="009E7B94">
        <w:rPr>
          <w:rFonts w:ascii="Palatino Linotype" w:hAnsi="Palatino Linotype"/>
          <w:b/>
          <w:bCs/>
        </w:rPr>
        <w:t>CUARTO. Del estudio y resolución del asunto.</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Determinado lo anterior; revisaremos la atención otorgada por el Sujeto Obligado a la solicitud que dio origen a este recurso, considerando imprescindible establecer lo que la regulación determina, por ello, en primer lugar, vamos a revisar lo que mandata nuestra Ley de Transparencia local, en su artículo 12, el cual establece que quienes generen, recopilen, administren, manejen, procesen, archiven o conserven información pública serán responsables de la misma, del mismo modo, el artículo 18, establece que los Sujetos Obligados deberán documentar todo acto que derive del ejercicio de sus facultades, competencias o funciones desde su origen la eventual publicidad y reutilización de la información que generen.</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 xml:space="preserve">Asimismo, es relevante mencionar que el artículo 19, del ordenamiento local de la materia señala que se presume que la información debe existir si se refiere a las facultades, </w:t>
      </w:r>
      <w:r w:rsidRPr="009E7B94">
        <w:rPr>
          <w:rFonts w:ascii="Palatino Linotype" w:hAnsi="Palatino Linotype"/>
        </w:rPr>
        <w:lastRenderedPageBreak/>
        <w:t>competencias y funciones que los ordenamientos jurídicos aplicables otorgan a los sujetos obligados y en caso de que dichas facultades no se hayan ejercido, se deberá motivar la respuesta en función de las causas que motivaron tal circunstancia.</w:t>
      </w:r>
    </w:p>
    <w:p w:rsidR="007C0364" w:rsidRPr="009E7B94" w:rsidRDefault="007C0364" w:rsidP="007C0364">
      <w:pPr>
        <w:spacing w:line="360" w:lineRule="auto"/>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Los artículos antes citados, refieren que el derecho de acceso a la información pública es un derecho humano que abarca el solicitar, investigar, difundir y buscar información que se encuentre en los archivos de los sujetos obligados, ya sea porque estos las generaron o la poseen en atención a sus funciones, por lo que se le considera un bien común de dominio público, toda vez que al tratarse de acciones ejercidas por un servidor público, este lo hace en representación del Estado, por lo que le pertenece a todos y debe ser accesible a cualquier persona, ya sea que los particulares la puedan consultar por encontrarse publicada en cualquier medio de difusión o porque la requieren a través de una solicitud de acceso a la información, siempre y cuando no encuadre en una de las excepciones contempladas por la ley.</w:t>
      </w:r>
    </w:p>
    <w:p w:rsidR="007C0364" w:rsidRPr="009E7B94" w:rsidRDefault="007C0364" w:rsidP="007C0364">
      <w:pPr>
        <w:pStyle w:val="Prrafodelista"/>
        <w:spacing w:line="360" w:lineRule="auto"/>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bookmarkStart w:id="15" w:name="_Toc455991148"/>
      <w:bookmarkStart w:id="16" w:name="_Toc450120669"/>
      <w:bookmarkStart w:id="17" w:name="_Toc461555896"/>
      <w:bookmarkStart w:id="18" w:name="_Toc462154385"/>
      <w:bookmarkStart w:id="19" w:name="_Toc462660376"/>
      <w:bookmarkStart w:id="20" w:name="_Toc462660687"/>
      <w:bookmarkStart w:id="21" w:name="_Toc462660766"/>
      <w:bookmarkStart w:id="22" w:name="_Toc465264624"/>
      <w:bookmarkStart w:id="23" w:name="_Toc465264870"/>
      <w:bookmarkStart w:id="24" w:name="_Toc465266520"/>
      <w:bookmarkStart w:id="25" w:name="_Toc466302258"/>
      <w:bookmarkStart w:id="26" w:name="_Toc466371866"/>
      <w:bookmarkStart w:id="27" w:name="_Toc466371925"/>
      <w:bookmarkStart w:id="28" w:name="_Toc466377654"/>
      <w:bookmarkStart w:id="29" w:name="_Toc478549736"/>
      <w:bookmarkStart w:id="30" w:name="_Toc478572850"/>
      <w:bookmarkStart w:id="31" w:name="_Toc479238537"/>
      <w:bookmarkEnd w:id="8"/>
      <w:bookmarkEnd w:id="9"/>
      <w:bookmarkEnd w:id="10"/>
      <w:bookmarkEnd w:id="11"/>
      <w:bookmarkEnd w:id="12"/>
      <w:bookmarkEnd w:id="13"/>
      <w:bookmarkEnd w:id="14"/>
      <w:r w:rsidRPr="009E7B94">
        <w:rPr>
          <w:rFonts w:ascii="Palatino Linotype" w:hAnsi="Palatino Linotype"/>
          <w:b/>
        </w:rPr>
        <w:t>Dicho lo anterior, por razones de orden metodológico y argumentativo, resulta necesario traer a contexto el contenido de la respuesta</w:t>
      </w:r>
      <w:r w:rsidRPr="009E7B94">
        <w:rPr>
          <w:rFonts w:ascii="Palatino Linotype" w:hAnsi="Palatino Linotype"/>
        </w:rPr>
        <w:t>, misma que versó toralmente en argumentar que atender el requerimiento en los términos formulados implicaría llevar a cabo una revisión pormenorizada de un universo documental amplio, su identificación individualizada, depuración, clasificación material y extracción selectiva, con el objeto de integrar una respuesta conforme al interés específico de la persona solicitante; actividad que excede la obligación legal prevista en el artículo 12 de la Ley de Transparencia y Acceso a la Información Pública del Estado de México y Municipios.</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lastRenderedPageBreak/>
        <w:t xml:space="preserve">Pronunciamiento del que se desprende un aspecto importante como lo es que el propio </w:t>
      </w:r>
      <w:r w:rsidRPr="009E7B94">
        <w:rPr>
          <w:rFonts w:ascii="Palatino Linotype" w:eastAsia="Times New Roman" w:hAnsi="Palatino Linotype" w:cs="Times New Roman"/>
          <w:b/>
          <w:bCs/>
          <w:lang w:val="es-MX" w:eastAsia="es-MX"/>
        </w:rPr>
        <w:t>SUJETO OBLIGADO</w:t>
      </w:r>
      <w:r w:rsidRPr="009E7B94">
        <w:rPr>
          <w:rFonts w:ascii="Palatino Linotype" w:eastAsia="Times New Roman" w:hAnsi="Palatino Linotype" w:cs="Times New Roman"/>
          <w:bCs/>
          <w:lang w:val="es-MX" w:eastAsia="es-MX"/>
        </w:rPr>
        <w:t xml:space="preserve"> reconoce expresamente que genera, posee y administra la información solicitada</w:t>
      </w:r>
      <w:r w:rsidRPr="009E7B94">
        <w:rPr>
          <w:rFonts w:ascii="Palatino Linotype" w:eastAsia="Times New Roman" w:hAnsi="Palatino Linotype" w:cs="Times New Roman"/>
          <w:lang w:val="es-MX" w:eastAsia="es-MX"/>
        </w:rPr>
        <w:t xml:space="preserve">, pues </w:t>
      </w:r>
      <w:r w:rsidRPr="009E7B94">
        <w:rPr>
          <w:rFonts w:ascii="Palatino Linotype" w:eastAsia="Times New Roman" w:hAnsi="Palatino Linotype" w:cs="Times New Roman"/>
          <w:u w:val="single"/>
          <w:lang w:val="es-MX" w:eastAsia="es-MX"/>
        </w:rPr>
        <w:t>su negativa no se sustenta en la inexistencia de la información, ni en la falta de competencia para conocer de ellos, sino exclusivamente en que, desde su perspectiva, proporcionar la información implicaría llevar a cabo una revisión pormenorizada</w:t>
      </w:r>
      <w:r w:rsidRPr="009E7B94">
        <w:rPr>
          <w:rFonts w:ascii="Palatino Linotype" w:eastAsia="Times New Roman" w:hAnsi="Palatino Linotype" w:cs="Times New Roman"/>
          <w:lang w:val="es-MX" w:eastAsia="es-MX"/>
        </w:rPr>
        <w:t xml:space="preserve"> de un universo documental amplio, identificar individualmente los registros, efectuar su depuración, sistematización y extracción selectiva, con la finalidad de integrar una respuesta acorde con el interés particular de la persona solicitante.</w:t>
      </w:r>
    </w:p>
    <w:p w:rsidR="007C0364" w:rsidRPr="009E7B94" w:rsidRDefault="007C0364" w:rsidP="007C0364">
      <w:pPr>
        <w:pStyle w:val="Prrafodelista"/>
        <w:spacing w:line="360" w:lineRule="auto"/>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Tal reconocimiento –se insiste– resulta importante, pues elimina cualquier controversia respecto de la </w:t>
      </w:r>
      <w:r w:rsidRPr="009E7B94">
        <w:rPr>
          <w:rFonts w:ascii="Palatino Linotype" w:eastAsia="Times New Roman" w:hAnsi="Palatino Linotype" w:cs="Times New Roman"/>
          <w:bCs/>
          <w:lang w:val="es-MX" w:eastAsia="es-MX"/>
        </w:rPr>
        <w:t>existencia y posesión institucional de la información</w:t>
      </w:r>
      <w:r w:rsidRPr="009E7B94">
        <w:rPr>
          <w:rFonts w:ascii="Palatino Linotype" w:eastAsia="Times New Roman" w:hAnsi="Palatino Linotype" w:cs="Times New Roman"/>
          <w:lang w:val="es-MX" w:eastAsia="es-MX"/>
        </w:rPr>
        <w:t xml:space="preserve">, en consecuencia, resulta innecesario realizar un análisis pormenorizado respecto de la fuente obligacional del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xml:space="preserve"> para determinar si, en ejercicio de sus atribuciones, genera, posee o administra dicha información, pues tal circunstancia ha sido expresamente reconocida por el propio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w:t>
      </w:r>
    </w:p>
    <w:p w:rsidR="007C0364" w:rsidRPr="009E7B94" w:rsidRDefault="007C0364" w:rsidP="007C0364">
      <w:pPr>
        <w:pStyle w:val="Prrafodelista"/>
        <w:spacing w:line="360" w:lineRule="auto"/>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En ese sentido, el punto central de la controversia no radica en determinar </w:t>
      </w:r>
      <w:r w:rsidRPr="009E7B94">
        <w:rPr>
          <w:rFonts w:ascii="Palatino Linotype" w:eastAsia="Times New Roman" w:hAnsi="Palatino Linotype" w:cs="Times New Roman"/>
          <w:bCs/>
          <w:lang w:val="es-MX" w:eastAsia="es-MX"/>
        </w:rPr>
        <w:t>si existe la información</w:t>
      </w:r>
      <w:r w:rsidRPr="009E7B94">
        <w:rPr>
          <w:rFonts w:ascii="Palatino Linotype" w:eastAsia="Times New Roman" w:hAnsi="Palatino Linotype" w:cs="Times New Roman"/>
          <w:lang w:val="es-MX" w:eastAsia="es-MX"/>
        </w:rPr>
        <w:t xml:space="preserve">, pues ello ha quedado reconocido por el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xml:space="preserve">, sino en establecer </w:t>
      </w:r>
      <w:r w:rsidRPr="009E7B94">
        <w:rPr>
          <w:rFonts w:ascii="Palatino Linotype" w:eastAsia="Times New Roman" w:hAnsi="Palatino Linotype" w:cs="Times New Roman"/>
          <w:bCs/>
          <w:lang w:val="es-MX" w:eastAsia="es-MX"/>
        </w:rPr>
        <w:t xml:space="preserve">si la búsqueda, identificación, localización y extracción de los documentos o registros que contienen la información solicitada constituye una actividad que pueda ser exigida al </w:t>
      </w:r>
      <w:r w:rsidRPr="009E7B94">
        <w:rPr>
          <w:rFonts w:ascii="Palatino Linotype" w:eastAsia="Times New Roman" w:hAnsi="Palatino Linotype" w:cs="Times New Roman"/>
          <w:b/>
          <w:bCs/>
          <w:lang w:val="es-MX" w:eastAsia="es-MX"/>
        </w:rPr>
        <w:t>SUJETO OBLIGADO</w:t>
      </w:r>
      <w:r w:rsidRPr="009E7B94">
        <w:rPr>
          <w:rFonts w:ascii="Palatino Linotype" w:eastAsia="Times New Roman" w:hAnsi="Palatino Linotype" w:cs="Times New Roman"/>
          <w:bCs/>
          <w:lang w:val="es-MX" w:eastAsia="es-MX"/>
        </w:rPr>
        <w:t xml:space="preserve"> para garantizar el derecho de acceso a la información pública</w:t>
      </w:r>
      <w:r w:rsidRPr="009E7B94">
        <w:rPr>
          <w:rFonts w:ascii="Palatino Linotype" w:eastAsia="Times New Roman" w:hAnsi="Palatino Linotype" w:cs="Times New Roman"/>
          <w:lang w:val="es-MX" w:eastAsia="es-MX"/>
        </w:rPr>
        <w:t>.</w:t>
      </w:r>
    </w:p>
    <w:p w:rsidR="007C0364" w:rsidRPr="009E7B94" w:rsidRDefault="007C0364" w:rsidP="007C0364">
      <w:pPr>
        <w:pBdr>
          <w:top w:val="nil"/>
          <w:left w:val="nil"/>
          <w:bottom w:val="nil"/>
          <w:right w:val="nil"/>
          <w:between w:val="nil"/>
        </w:pBdr>
        <w:spacing w:line="360" w:lineRule="auto"/>
        <w:ind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lastRenderedPageBreak/>
        <w:t xml:space="preserve">En esa tesitura, es dable señalar que contrario a lo manifestado por el </w:t>
      </w:r>
      <w:r w:rsidRPr="009E7B94">
        <w:rPr>
          <w:rFonts w:ascii="Palatino Linotype" w:eastAsia="Times New Roman" w:hAnsi="Palatino Linotype" w:cs="Times New Roman"/>
          <w:b/>
          <w:lang w:val="es-MX" w:eastAsia="es-MX"/>
        </w:rPr>
        <w:t xml:space="preserve">SUJETO OBLIGADO </w:t>
      </w:r>
      <w:r w:rsidRPr="009E7B94">
        <w:rPr>
          <w:rFonts w:ascii="Palatino Linotype" w:eastAsia="Times New Roman" w:hAnsi="Palatino Linotype" w:cs="Times New Roman"/>
          <w:lang w:val="es-MX" w:eastAsia="es-MX"/>
        </w:rPr>
        <w:t xml:space="preserve">la simple circunstancia de que la información no implicaría únicamente la localización directa de documentos plenamente identificados, sino la revisión integral de un universo documental amplio, a efecto de identificar, discriminar, depurar y extraer aquellos documentos que eventualmente pudieran corresponder, de manera simultánea, </w:t>
      </w:r>
      <w:r w:rsidRPr="009E7B94">
        <w:rPr>
          <w:rFonts w:ascii="Palatino Linotype" w:eastAsia="Times New Roman" w:hAnsi="Palatino Linotype" w:cs="Times New Roman"/>
          <w:lang w:eastAsia="es-MX"/>
        </w:rPr>
        <w:t> los informes referentes a servicio social y prácticas profesionales enviados a la junta, presidencia o pleno desde la fecha de la autonomía del tribunal a hoy</w:t>
      </w:r>
      <w:r w:rsidRPr="009E7B94">
        <w:rPr>
          <w:rFonts w:ascii="Palatino Linotype" w:eastAsia="Times New Roman" w:hAnsi="Palatino Linotype" w:cs="Times New Roman"/>
          <w:lang w:val="es-MX" w:eastAsia="es-MX"/>
        </w:rPr>
        <w:t xml:space="preserve">; </w:t>
      </w:r>
      <w:r w:rsidRPr="009E7B94">
        <w:rPr>
          <w:rFonts w:ascii="Palatino Linotype" w:eastAsia="Times New Roman" w:hAnsi="Palatino Linotype" w:cs="Times New Roman"/>
          <w:bCs/>
          <w:lang w:val="es-MX" w:eastAsia="es-MX"/>
        </w:rPr>
        <w:t>no transforma por sí misma la búsqueda documental en una investigación o procesamiento de la información</w:t>
      </w:r>
      <w:r w:rsidRPr="009E7B94">
        <w:rPr>
          <w:rFonts w:ascii="Palatino Linotype" w:eastAsia="Times New Roman" w:hAnsi="Palatino Linotype" w:cs="Times New Roman"/>
          <w:lang w:val="es-MX" w:eastAsia="es-MX"/>
        </w:rPr>
        <w:t xml:space="preserve">, por tanto, no permite al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xml:space="preserve"> eximirse de su obligación de localizar y proporcionar la información preexistente que obra bajo su posesión, por las siguientes consideraciones. </w:t>
      </w:r>
    </w:p>
    <w:p w:rsidR="007C0364" w:rsidRPr="009E7B94" w:rsidRDefault="007C0364" w:rsidP="007C0364">
      <w:pPr>
        <w:pStyle w:val="Prrafodelista"/>
        <w:spacing w:line="360" w:lineRule="auto"/>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El artículo 12 párrafo segundo de la Ley de Transparencia y Acceso a la Información Pública del Estado de México y Municipios invocado por el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xml:space="preserve">, ciertamente exime a los sujetos obligados del deber de procesar, generar, resumir, efectuar cálculos o practicar investigaciones para presentar la información conforme al interés del solicitante. Este Órgano </w:t>
      </w:r>
      <w:r w:rsidRPr="009E7B94">
        <w:rPr>
          <w:rFonts w:ascii="Palatino Linotype" w:eastAsia="Times New Roman" w:hAnsi="Palatino Linotype" w:cs="Times New Roman"/>
          <w:bCs/>
          <w:lang w:val="es-MX" w:eastAsia="es-MX"/>
        </w:rPr>
        <w:t>Garante</w:t>
      </w:r>
      <w:r w:rsidRPr="009E7B94">
        <w:rPr>
          <w:rFonts w:ascii="Palatino Linotype" w:eastAsia="Times New Roman" w:hAnsi="Palatino Linotype" w:cs="Times New Roman"/>
          <w:lang w:val="es-MX" w:eastAsia="es-MX"/>
        </w:rPr>
        <w:t xml:space="preserve"> en distintas oportunidades ha señalado que responder a formularios o cuestionarios requeridos por las personas, a través de un documento </w:t>
      </w:r>
      <w:r w:rsidRPr="009E7B94">
        <w:rPr>
          <w:rFonts w:ascii="Palatino Linotype" w:eastAsia="Times New Roman" w:hAnsi="Palatino Linotype" w:cs="Times New Roman"/>
          <w:i/>
          <w:lang w:val="es-MX" w:eastAsia="es-MX"/>
        </w:rPr>
        <w:t>ad hoc</w:t>
      </w:r>
      <w:r w:rsidRPr="009E7B94">
        <w:rPr>
          <w:rFonts w:ascii="Palatino Linotype" w:eastAsia="Times New Roman" w:hAnsi="Palatino Linotype" w:cs="Times New Roman"/>
          <w:lang w:val="es-MX" w:eastAsia="es-MX"/>
        </w:rPr>
        <w:t xml:space="preserve">, es precisamente a lo que la ley no obliga a las autoridades, ya que ello implica una tarea adicional de la autoridad que se vería en la necesidad de generar un documento inexistente, hasta antes de la solicitud, que sería producto de un </w:t>
      </w:r>
      <w:r w:rsidRPr="009E7B94">
        <w:rPr>
          <w:rFonts w:ascii="Palatino Linotype" w:eastAsia="Times New Roman" w:hAnsi="Palatino Linotype" w:cs="Times New Roman"/>
          <w:u w:val="single"/>
          <w:lang w:val="es-MX" w:eastAsia="es-MX"/>
        </w:rPr>
        <w:t>procesamiento de información</w:t>
      </w:r>
      <w:r w:rsidRPr="009E7B94">
        <w:rPr>
          <w:rFonts w:ascii="Palatino Linotype" w:eastAsia="Times New Roman" w:hAnsi="Palatino Linotype" w:cs="Times New Roman"/>
          <w:lang w:val="es-MX" w:eastAsia="es-MX"/>
        </w:rPr>
        <w:t>, consecuencia de resumir diversos documentos para simplificar su contenido, efectuar cálculos o realizar una investigación para generar un nuevo documento.</w:t>
      </w:r>
    </w:p>
    <w:p w:rsidR="007C0364" w:rsidRPr="009E7B94" w:rsidRDefault="007C0364" w:rsidP="007C0364">
      <w:pPr>
        <w:pBdr>
          <w:top w:val="nil"/>
          <w:left w:val="nil"/>
          <w:bottom w:val="nil"/>
          <w:right w:val="nil"/>
          <w:between w:val="nil"/>
        </w:pBdr>
        <w:spacing w:line="360" w:lineRule="auto"/>
        <w:ind w:left="502"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lastRenderedPageBreak/>
        <w:t>Sistemáticamente este Órgano Garante ha señalado, y así lo entienden tanto otros órganos garantes como órganos internacionales especializados, que el derecho de acceso a la información pública consiste en el acceso a documentos generados por la autoridad con antelación a que fuera presentada la solicitud de acceso a la información pública.</w:t>
      </w:r>
    </w:p>
    <w:p w:rsidR="007C0364" w:rsidRPr="009E7B94" w:rsidRDefault="007C0364" w:rsidP="007C0364">
      <w:pPr>
        <w:pStyle w:val="Prrafodelista"/>
        <w:spacing w:line="360" w:lineRule="auto"/>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Desde el punto de vista del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localizar, en su acervo documental, la información, implica realizar una investigación y un procesamiento, por lo que al no estar obligado a practicar investigaciones o procesar la información, se considera eximido del deber de entregar la información. Respuesta que, a criterio de este Órgano Garante, constituye una afectación al derecho de acceso a la información pública que pretende impedir injustificadamente que las personas accedan a la información, convirtiéndose en una restricción indirecta del derecho.</w:t>
      </w:r>
    </w:p>
    <w:p w:rsidR="007C0364" w:rsidRPr="009E7B94" w:rsidRDefault="007C0364" w:rsidP="007C0364">
      <w:pPr>
        <w:pBdr>
          <w:top w:val="nil"/>
          <w:left w:val="nil"/>
          <w:bottom w:val="nil"/>
          <w:right w:val="nil"/>
          <w:between w:val="nil"/>
        </w:pBdr>
        <w:spacing w:line="360" w:lineRule="auto"/>
        <w:ind w:left="502"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Lo anterior es así porque es mandato constitucional el deber de todas las autoridades de documentar todas sus decisiones; de dicho mandato constitucional se desprende la obligación legal que se impone, en el Estado de México, a todas las autoridades, entre ellas los Poderes Públicos, según lo señalado en el art. 3 de la Ley de Documentos Administrativos e Históricos del Estado de México, de depositar dichos documentos en los archivos de trámite, según señala el artículo 4 del mismo ordenamiento legal, y el archivo del Tribunal debe adoptar medidas para la clasificación, catalogación y depuración de documentos, si nos atenemos a lo dispuesto por el art. 17 inciso a) de la misma ley.</w:t>
      </w:r>
    </w:p>
    <w:p w:rsidR="007C0364" w:rsidRPr="009E7B94" w:rsidRDefault="007C0364" w:rsidP="007C0364">
      <w:pPr>
        <w:pBdr>
          <w:top w:val="nil"/>
          <w:left w:val="nil"/>
          <w:bottom w:val="nil"/>
          <w:right w:val="nil"/>
          <w:between w:val="nil"/>
        </w:pBdr>
        <w:spacing w:line="360" w:lineRule="auto"/>
        <w:ind w:left="502"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lastRenderedPageBreak/>
        <w:t xml:space="preserve">En consecuencia, a criterio de este Órgano Garante, </w:t>
      </w:r>
      <w:r w:rsidRPr="009E7B94">
        <w:rPr>
          <w:rFonts w:ascii="Palatino Linotype" w:eastAsia="Times New Roman" w:hAnsi="Palatino Linotype" w:cs="Times New Roman"/>
          <w:b/>
          <w:lang w:val="es-MX" w:eastAsia="es-MX"/>
        </w:rPr>
        <w:t>NO ES UNA INVESTIGACIÓN, LA BUSQUEDA QUE PERMITA LOCALIZAR LOS DOCUMENTOS PARA ATENDER UNA SOLICITUD DE ACCESO A LA INFORMACIÓN</w:t>
      </w:r>
      <w:r w:rsidRPr="009E7B94">
        <w:rPr>
          <w:rFonts w:ascii="Palatino Linotype" w:eastAsia="Times New Roman" w:hAnsi="Palatino Linotype" w:cs="Times New Roman"/>
          <w:lang w:val="es-MX" w:eastAsia="es-MX"/>
        </w:rPr>
        <w:t xml:space="preserve">. El artículo 162 de la Ley de Transparencia y Acceso a la Información Pública del Estado de México establece que para atender una solicitud de acceso a la información, la Unidad de Transparencia debe turnar el requerimiento a todas las áreas que pudieran haber generado o poseer la información requerida para efectos de que realicen una búsqueda exhaustiva en sus archivos que permita localizar los documentos existentes y generados previamente al momento en que fuera formulada la solicitud, para efectos de su entrega al particular, lo que implica un procedimiento de gestión documental según lo regulado por las disposiciones legales y reglamentarias aplicables. Lo anterior no equivale a la práctica de una investigación, en los términos señalados por el artículo 12 del mismo ordenamiento jurídico ya que dicha hipótesis normativa implica analizar y extraer información a partir de la realidad misma o del contenido de diversos documentos para someterla a un proceso de actividades intelectuales y experimentales de modo sistemático con el propósito de aumentar los conocimientos sobre una determinada materia, los cuales se hacen constar en un nuevo documento que se genera como consecuencia de la investigación practicada. </w:t>
      </w:r>
    </w:p>
    <w:p w:rsidR="007C0364" w:rsidRPr="009E7B94" w:rsidRDefault="007C0364" w:rsidP="007C0364">
      <w:pPr>
        <w:pBdr>
          <w:top w:val="nil"/>
          <w:left w:val="nil"/>
          <w:bottom w:val="nil"/>
          <w:right w:val="nil"/>
          <w:between w:val="nil"/>
        </w:pBdr>
        <w:spacing w:line="360" w:lineRule="auto"/>
        <w:ind w:right="49"/>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 </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lang w:val="es-MX"/>
        </w:rPr>
      </w:pPr>
      <w:r w:rsidRPr="009E7B94">
        <w:rPr>
          <w:rFonts w:ascii="Palatino Linotype" w:hAnsi="Palatino Linotype" w:cs="Tahoma"/>
        </w:rPr>
        <w:t xml:space="preserve">Por tanto, el </w:t>
      </w:r>
      <w:r w:rsidRPr="009E7B94">
        <w:rPr>
          <w:rFonts w:ascii="Palatino Linotype" w:hAnsi="Palatino Linotype" w:cs="Tahoma"/>
          <w:b/>
        </w:rPr>
        <w:t xml:space="preserve">SUJETO OBLIGADO </w:t>
      </w:r>
      <w:r w:rsidRPr="009E7B94">
        <w:rPr>
          <w:rFonts w:ascii="Palatino Linotype" w:eastAsia="Palatino Linotype" w:hAnsi="Palatino Linotype" w:cs="Palatino Linotype"/>
          <w:bCs/>
          <w:lang w:val="es-MX"/>
        </w:rPr>
        <w:t xml:space="preserve">deberá realizar una nueva búsqueda exhaustiva y razonable en el  área competente y que ciertamente es la que se pronuncia que cuenta con la </w:t>
      </w:r>
      <w:r w:rsidRPr="009E7B94">
        <w:rPr>
          <w:rFonts w:ascii="Palatino Linotype" w:eastAsia="Times New Roman" w:hAnsi="Palatino Linotype" w:cs="Times New Roman"/>
          <w:lang w:val="es-MX" w:eastAsia="es-MX"/>
        </w:rPr>
        <w:t>información</w:t>
      </w:r>
      <w:r w:rsidRPr="009E7B94">
        <w:rPr>
          <w:rFonts w:ascii="Palatino Linotype" w:eastAsia="Palatino Linotype" w:hAnsi="Palatino Linotype" w:cs="Palatino Linotype"/>
          <w:bCs/>
          <w:lang w:val="es-MX"/>
        </w:rPr>
        <w:t>,</w:t>
      </w:r>
      <w:r w:rsidRPr="009E7B94">
        <w:rPr>
          <w:rFonts w:ascii="Palatino Linotype" w:eastAsia="Palatino Linotype" w:hAnsi="Palatino Linotype" w:cs="Palatino Linotype"/>
          <w:b/>
          <w:bCs/>
          <w:lang w:val="es-MX"/>
        </w:rPr>
        <w:t xml:space="preserve"> </w:t>
      </w:r>
      <w:r w:rsidRPr="009E7B94">
        <w:rPr>
          <w:rFonts w:ascii="Palatino Linotype" w:eastAsia="Palatino Linotype" w:hAnsi="Palatino Linotype" w:cs="Palatino Linotype"/>
          <w:lang w:val="es-MX"/>
        </w:rPr>
        <w:t xml:space="preserve">incluyendo aquellas que </w:t>
      </w:r>
      <w:r w:rsidRPr="009E7B94">
        <w:rPr>
          <w:rFonts w:ascii="Palatino Linotype" w:eastAsia="Times New Roman" w:hAnsi="Palatino Linotype" w:cs="Times New Roman"/>
          <w:lang w:val="es-MX" w:eastAsia="es-MX"/>
        </w:rPr>
        <w:t>históricamente</w:t>
      </w:r>
      <w:r w:rsidRPr="009E7B94">
        <w:rPr>
          <w:rFonts w:ascii="Palatino Linotype" w:eastAsia="Palatino Linotype" w:hAnsi="Palatino Linotype" w:cs="Palatino Linotype"/>
          <w:lang w:val="es-MX"/>
        </w:rPr>
        <w:t xml:space="preserve"> hubieran tenido competencia en materia jurídica, administrativa, financiera, archivo de trámite, archivo de concentración y demás áreas vinculadas con los pagos solicitados.</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color w:val="222222"/>
          <w:lang w:eastAsia="es-ES_tradnl"/>
        </w:rPr>
      </w:pPr>
      <w:r w:rsidRPr="009E7B94">
        <w:rPr>
          <w:rFonts w:ascii="Palatino Linotype" w:hAnsi="Palatino Linotype"/>
        </w:rPr>
        <w:lastRenderedPageBreak/>
        <w:t xml:space="preserve">No pasa desapercibido que si bien el </w:t>
      </w:r>
      <w:r w:rsidRPr="009E7B94">
        <w:rPr>
          <w:rFonts w:ascii="Palatino Linotype" w:hAnsi="Palatino Linotype"/>
          <w:b/>
        </w:rPr>
        <w:t>SUJETO OBLIGADO</w:t>
      </w:r>
      <w:r w:rsidRPr="009E7B94">
        <w:rPr>
          <w:rFonts w:ascii="Palatino Linotype" w:hAnsi="Palatino Linotype"/>
        </w:rPr>
        <w:t xml:space="preserve"> asumió la información solicitada, por su parte </w:t>
      </w:r>
      <w:r w:rsidRPr="009E7B94">
        <w:rPr>
          <w:rFonts w:ascii="Palatino Linotype" w:hAnsi="Palatino Linotype"/>
          <w:color w:val="222222"/>
          <w:lang w:eastAsia="es-ES_tradnl"/>
        </w:rPr>
        <w:t>los LINEAMIENTOS PARA EL INGRESO, PERMANENCIA Y CONCLUSIÓN DE LAS ACTIVIDADES DE LOS PRESTADORES DE SERVICIO SOCIAL, PRÁCTICANTES PROFESIONALES Y/O PRACTICANTES ESCOLARES, EN EL TRIBUNAL DE JUSTICIA ADMINISTRATIVA DEL ESTADO DE MÉXICO, establecen que ciertamente los prestadores de servicio social y prácticas profesionales, deberán presentar diversos informes, como se observa:</w:t>
      </w: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r w:rsidRPr="009E7B94">
        <w:rPr>
          <w:rFonts w:ascii="Palatino Linotype" w:hAnsi="Palatino Linotype"/>
          <w:i/>
          <w:color w:val="222222"/>
          <w:lang w:eastAsia="es-ES_tradnl"/>
        </w:rPr>
        <w:t xml:space="preserve">“Artículo 14.- La o el prestador o practicante deberá realizar un informe mensual de actividades empleando las hojas de trabajo respectivas que al efecto proporcione el Instituto, el que deberá estar firmado por la o el responsable que corresponda. El informe deberá contener la descripción de las actividades respectivas, el aprendizaje obtenido y los puntos de mejora que el prestador o practicante considere tener. El informe o informes deberán entregarse al Instituto durante los cinco primeros días hábiles, posteriores a la conclusión del mes que se informa. Una vez recibido por el Instituto, se acusarán de recibido y se dará el Visto Bueno cuando así proceda o se devolverá el informe al prestador o practicante para que lo corrija. De no presentarse el informe en el término que establece el párrafo anterior o no se realice la devolución de la corrección dentro de los tres días hábiles siguientes no será considerado el tiempo correspondiente al mes reportado por el prestador o practicante. En caso de existir justificación al incumplimiento de la entrega del informe o reporte mensual, el prestador o practicante deberá dar conocimiento al Instituto de forma escrita exponiendo los motivos de su incumplimiento. </w:t>
      </w: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r w:rsidRPr="009E7B94">
        <w:rPr>
          <w:rFonts w:ascii="Palatino Linotype" w:hAnsi="Palatino Linotype"/>
          <w:i/>
          <w:color w:val="222222"/>
          <w:lang w:eastAsia="es-ES_tradnl"/>
        </w:rPr>
        <w:lastRenderedPageBreak/>
        <w:t xml:space="preserve">Artículo 15.- Cuando el prestador o practicante deje de presentar dos informes en forma consecutiva, el Instituto procederá a poner el expediente en estatus de inactivo, posterior al transcurso del tiempo máximo para concluir la prestación de servicio social o prácticas profesionales el estatus del expediente cambiará a inconcluso procediendo al cierre del mismo. </w:t>
      </w: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r w:rsidRPr="009E7B94">
        <w:rPr>
          <w:rFonts w:ascii="Palatino Linotype" w:hAnsi="Palatino Linotype"/>
          <w:i/>
          <w:color w:val="222222"/>
          <w:lang w:eastAsia="es-ES_tradnl"/>
        </w:rPr>
        <w:t xml:space="preserve">Artículo 16.- En la eventualidad de que el prestador o practicante deje de asistir sin justa causa a sus actividades de servicio social o prácticas profesionales y acumule tres faltas en un periodo de treinta días contados a partir de la primera falta injustificada, el Instituto podrá informar a la institución educativa correspondiente para qué a solicitud de esa, no se entregue la Carta de Terminación del servicio social o prácticas profesionales, pasando su expediente a inactivo. </w:t>
      </w:r>
    </w:p>
    <w:p w:rsidR="007C0364" w:rsidRPr="009E7B94" w:rsidRDefault="007C0364" w:rsidP="007C0364">
      <w:pPr>
        <w:pStyle w:val="Prrafodelista"/>
        <w:spacing w:line="360" w:lineRule="auto"/>
        <w:ind w:right="474"/>
        <w:jc w:val="both"/>
        <w:rPr>
          <w:rFonts w:ascii="Palatino Linotype" w:hAnsi="Palatino Linotype"/>
          <w:i/>
          <w:color w:val="222222"/>
          <w:lang w:eastAsia="es-ES_tradnl"/>
        </w:rPr>
      </w:pPr>
      <w:r w:rsidRPr="009E7B94">
        <w:rPr>
          <w:rFonts w:ascii="Palatino Linotype" w:hAnsi="Palatino Linotype"/>
          <w:i/>
          <w:color w:val="222222"/>
          <w:lang w:eastAsia="es-ES_tradnl"/>
        </w:rPr>
        <w:t>Artículo 17.- El informe global deberá de presentarse junto con el informe correspondiente al último mes de la prestación de la práctica o servicio y contendrá el conocimiento adquirido, comentarios generales y una retroalimentación al TRIJAEM."</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color w:val="222222"/>
          <w:lang w:eastAsia="es-ES_tradnl"/>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Luego entonces, al no haber sido especifica la solicitud de información respecto de algún tipo de informe en lo particular; pero si referir el puntualmente “todos” lo dable es ordenar todos los que se generen, posean o administren en estricta observancia al Principio de Máxima Publicidad y que corresponde a los siguientes formatos, los cuales corresponden a los mismos tipos de informes que se contemplan en los preceptos antes transcritos:</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r w:rsidRPr="009E7B94">
        <w:rPr>
          <w:rFonts w:ascii="Palatino Linotype" w:hAnsi="Palatino Linotype"/>
          <w:noProof/>
          <w:lang w:val="es-MX" w:eastAsia="es-MX"/>
        </w:rPr>
        <w:lastRenderedPageBreak/>
        <w:drawing>
          <wp:inline distT="0" distB="0" distL="0" distR="0" wp14:anchorId="08106B31" wp14:editId="78ECF07E">
            <wp:extent cx="5612130" cy="150812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1508125"/>
                    </a:xfrm>
                    <a:prstGeom prst="rect">
                      <a:avLst/>
                    </a:prstGeom>
                  </pic:spPr>
                </pic:pic>
              </a:graphicData>
            </a:graphic>
          </wp:inline>
        </w:drawing>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color w:val="222222"/>
          <w:lang w:eastAsia="es-ES_tradnl"/>
        </w:rPr>
        <w:t xml:space="preserve">Ello en observancia a la Ley de Transparencia y Acceso a la información Pública del Estado de México y Municipios que contempla la suplencia de la deficiencia para garantizar el derecho de acceso de acceso a la información pública a favor del </w:t>
      </w:r>
      <w:r w:rsidRPr="009E7B94">
        <w:rPr>
          <w:rFonts w:ascii="Palatino Linotype" w:hAnsi="Palatino Linotype"/>
          <w:b/>
          <w:color w:val="222222"/>
          <w:lang w:eastAsia="es-ES_tradnl"/>
        </w:rPr>
        <w:t>RECURRENTE</w:t>
      </w:r>
      <w:r w:rsidRPr="009E7B94">
        <w:rPr>
          <w:rFonts w:ascii="Palatino Linotype" w:hAnsi="Palatino Linotype"/>
          <w:color w:val="222222"/>
          <w:lang w:eastAsia="es-ES_tradnl"/>
        </w:rPr>
        <w:t>, sin que se cambien los hechos expuestos por éste; lo cual, encuentra sustento en la jurisprudencia emitida por la Suprema Corte de Justicia de la Nación que a continuación se inserta:</w:t>
      </w:r>
    </w:p>
    <w:p w:rsidR="007C0364" w:rsidRPr="009E7B94" w:rsidRDefault="007C0364" w:rsidP="007C0364">
      <w:pPr>
        <w:spacing w:line="360" w:lineRule="auto"/>
        <w:ind w:left="851" w:right="902"/>
        <w:jc w:val="both"/>
        <w:rPr>
          <w:rFonts w:ascii="Palatino Linotype" w:hAnsi="Palatino Linotype"/>
          <w:i/>
        </w:rPr>
      </w:pPr>
      <w:r w:rsidRPr="009E7B94">
        <w:rPr>
          <w:rFonts w:ascii="Palatino Linotype" w:hAnsi="Palatino Linotype"/>
          <w:b/>
          <w:i/>
        </w:rPr>
        <w:t xml:space="preserve">“SUPLENCIA DE LA QUEJA DEFICIENTE. DEBE HACERSE A PARTIR DE LOS CONCEPTOS DE VIOLACIÓN O, EN SU CASO, DE LOS AGRAVIOS EXPRESADOS, POR LO TANTO NO ES ILIMITADA. </w:t>
      </w:r>
      <w:r w:rsidRPr="009E7B94">
        <w:rPr>
          <w:rFonts w:ascii="Palatino Linotype" w:hAnsi="Palatino Linotype"/>
          <w:i/>
        </w:rPr>
        <w:t xml:space="preserve">El artículo 76 bis de la Ley de Amparo señala que la suplencia de la queja deficiente se entiende referida a los conceptos de violación y, en su caso, a los agravios, es decir, a la materia misma del juicio de garantías, por lo que debe considerarse que dicho precepto limita el ámbito de aplicación de tal figura a las cuestiones relacionadas con el fondo del asunto, de ahí que dicha suplencia no sea aplicable a la procedencia del juicio de amparo. En ese tenor, a excepción de la materia penal, el órgano de control constitucional no puede libremente realizar el examen del precepto legal reclamado o de la resolución recurrida, sino que debe hacerlo a partir de lo expresado en los conceptos de violación o, en su caso, en los agravios, de manera que sin la existencia </w:t>
      </w:r>
      <w:r w:rsidRPr="009E7B94">
        <w:rPr>
          <w:rFonts w:ascii="Palatino Linotype" w:hAnsi="Palatino Linotype"/>
          <w:i/>
        </w:rPr>
        <w:lastRenderedPageBreak/>
        <w:t>de un mínimo razonamiento expresado en la demanda, esto es, sin la elemental causa de pedir, el juzgador no se encuentra en aptitud de resolver si el acto reclamado es o no violatorio de garantías, porque la suplencia de la queja deficiente es una institución procesal que si bien fue establecida con la finalidad de hacer prevalecer las garantías que otorga la Constitución Federal, no deja de estar sujeta a los requisitos previstos al efecto, tanto en la Ley Fundamental como en la Ley de Amparo.”</w:t>
      </w:r>
    </w:p>
    <w:p w:rsidR="007C0364" w:rsidRPr="009E7B94" w:rsidRDefault="007C0364" w:rsidP="007C0364">
      <w:pPr>
        <w:spacing w:line="360" w:lineRule="auto"/>
        <w:ind w:left="851" w:right="902"/>
        <w:jc w:val="both"/>
        <w:rPr>
          <w:rFonts w:ascii="Palatino Linotype" w:hAnsi="Palatino Linotype"/>
          <w:i/>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color w:val="222222"/>
          <w:lang w:eastAsia="es-ES_tradnl"/>
        </w:rPr>
      </w:pPr>
      <w:r w:rsidRPr="009E7B94">
        <w:rPr>
          <w:rFonts w:ascii="Palatino Linotype" w:hAnsi="Palatino Linotype"/>
          <w:color w:val="222222"/>
          <w:lang w:eastAsia="es-ES_tradnl"/>
        </w:rPr>
        <w:t>De modo tal que debe interpretarse la solicitud de información atendiendo el principio de interpretación más favorable a la persona</w:t>
      </w:r>
      <w:r w:rsidRPr="009E7B94">
        <w:rPr>
          <w:rStyle w:val="Refdenotaalpie"/>
          <w:rFonts w:ascii="Palatino Linotype" w:hAnsi="Palatino Linotype"/>
          <w:color w:val="222222"/>
          <w:lang w:eastAsia="es-ES_tradnl"/>
        </w:rPr>
        <w:footnoteReference w:id="1"/>
      </w:r>
      <w:r w:rsidRPr="009E7B94">
        <w:rPr>
          <w:rFonts w:ascii="Palatino Linotype" w:hAnsi="Palatino Linotype"/>
          <w:color w:val="222222"/>
          <w:lang w:eastAsia="es-ES_tradnl"/>
        </w:rPr>
        <w:t>, con fundamento en los artículos 13 y 181 cuarto párrafo de la Ley de la Materia, que rezan así:</w:t>
      </w:r>
    </w:p>
    <w:p w:rsidR="007C0364" w:rsidRPr="009E7B94" w:rsidRDefault="007C0364" w:rsidP="007C0364">
      <w:pPr>
        <w:spacing w:line="360" w:lineRule="auto"/>
        <w:ind w:left="851" w:right="1043"/>
        <w:jc w:val="both"/>
        <w:rPr>
          <w:rFonts w:ascii="Palatino Linotype" w:hAnsi="Palatino Linotype"/>
          <w:i/>
          <w:color w:val="222222"/>
          <w:lang w:eastAsia="es-ES_tradnl"/>
        </w:rPr>
      </w:pPr>
      <w:r w:rsidRPr="009E7B94">
        <w:rPr>
          <w:rFonts w:ascii="Palatino Linotype" w:hAnsi="Palatino Linotype"/>
          <w:b/>
          <w:i/>
          <w:color w:val="222222"/>
          <w:lang w:eastAsia="es-ES_tradnl"/>
        </w:rPr>
        <w:t>“Artículo 13.</w:t>
      </w:r>
      <w:r w:rsidRPr="009E7B94">
        <w:rPr>
          <w:rFonts w:ascii="Palatino Linotype" w:hAnsi="Palatino Linotype"/>
          <w:i/>
          <w:color w:val="222222"/>
          <w:lang w:eastAsia="es-ES_tradnl"/>
        </w:rPr>
        <w:t xml:space="preserve"> El Instituto, en el ámbito de sus atribuciones, deberá suplir cualquier deficiencia para garantizar el ejercicio del derecho de acceso a la información.</w:t>
      </w:r>
    </w:p>
    <w:p w:rsidR="007C0364" w:rsidRPr="009E7B94" w:rsidRDefault="007C0364" w:rsidP="007C0364">
      <w:pPr>
        <w:spacing w:line="360" w:lineRule="auto"/>
        <w:ind w:right="1043"/>
        <w:jc w:val="both"/>
        <w:rPr>
          <w:rFonts w:ascii="Palatino Linotype" w:hAnsi="Palatino Linotype"/>
          <w:i/>
          <w:color w:val="222222"/>
          <w:lang w:eastAsia="es-ES_tradnl"/>
        </w:rPr>
      </w:pPr>
    </w:p>
    <w:p w:rsidR="007C0364" w:rsidRPr="009E7B94" w:rsidRDefault="007C0364" w:rsidP="007C0364">
      <w:pPr>
        <w:spacing w:line="360" w:lineRule="auto"/>
        <w:ind w:left="851" w:right="1041"/>
        <w:jc w:val="both"/>
        <w:rPr>
          <w:rFonts w:ascii="Palatino Linotype" w:hAnsi="Palatino Linotype"/>
          <w:i/>
          <w:color w:val="222222"/>
          <w:lang w:eastAsia="es-ES_tradnl"/>
        </w:rPr>
      </w:pPr>
      <w:r w:rsidRPr="009E7B94">
        <w:rPr>
          <w:rFonts w:ascii="Palatino Linotype" w:hAnsi="Palatino Linotype"/>
          <w:b/>
          <w:i/>
          <w:color w:val="222222"/>
          <w:lang w:eastAsia="es-ES_tradnl"/>
        </w:rPr>
        <w:t>Artículo 181.</w:t>
      </w:r>
      <w:r w:rsidRPr="009E7B94">
        <w:rPr>
          <w:rFonts w:ascii="Palatino Linotype" w:hAnsi="Palatino Linotype"/>
          <w:i/>
          <w:color w:val="222222"/>
          <w:lang w:eastAsia="es-ES_tradnl"/>
        </w:rPr>
        <w:t xml:space="preserve"> …</w:t>
      </w:r>
      <w:r w:rsidRPr="009E7B94">
        <w:rPr>
          <w:rFonts w:ascii="Palatino Linotype" w:hAnsi="Palatino Linotype"/>
          <w:i/>
        </w:rPr>
        <w:t xml:space="preserve"> </w:t>
      </w:r>
      <w:r w:rsidRPr="009E7B94">
        <w:rPr>
          <w:rFonts w:ascii="Palatino Linotype" w:hAnsi="Palatino Linotype"/>
          <w:i/>
          <w:color w:val="222222"/>
          <w:lang w:eastAsia="es-ES_tradnl"/>
        </w:rPr>
        <w:t xml:space="preserve">Durante el procedimiento deberá aplicarse la suplencia de la queja a favor del recurrente, sin cambiar los hechos expuestos, asegurándose de que las </w:t>
      </w:r>
      <w:r w:rsidRPr="009E7B94">
        <w:rPr>
          <w:rFonts w:ascii="Palatino Linotype" w:hAnsi="Palatino Linotype"/>
          <w:i/>
          <w:color w:val="222222"/>
          <w:lang w:eastAsia="es-ES_tradnl"/>
        </w:rPr>
        <w:lastRenderedPageBreak/>
        <w:t>partes puedan presentar, de manera oral o escrita, los argumentos que funden y motiven sus pretensiones.”</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 xml:space="preserve">Por tanto, dicha suplencia no implica ampliar o modificar la solicitud original, sino </w:t>
      </w:r>
      <w:r w:rsidRPr="009E7B94">
        <w:rPr>
          <w:rStyle w:val="Textoennegrita"/>
          <w:rFonts w:ascii="Palatino Linotype" w:hAnsi="Palatino Linotype"/>
          <w:b w:val="0"/>
        </w:rPr>
        <w:t xml:space="preserve">dotar de contenido </w:t>
      </w:r>
      <w:r w:rsidRPr="009E7B94">
        <w:rPr>
          <w:rFonts w:ascii="Palatino Linotype" w:hAnsi="Palatino Linotype"/>
          <w:bCs/>
        </w:rPr>
        <w:t>razonable</w:t>
      </w:r>
      <w:r w:rsidRPr="009E7B94">
        <w:rPr>
          <w:rStyle w:val="Textoennegrita"/>
          <w:rFonts w:ascii="Palatino Linotype" w:hAnsi="Palatino Linotype"/>
          <w:b w:val="0"/>
        </w:rPr>
        <w:t xml:space="preserve"> a una expresión genérica empleada por la persona solicitante</w:t>
      </w:r>
      <w:r w:rsidRPr="009E7B94">
        <w:rPr>
          <w:rFonts w:ascii="Palatino Linotype" w:hAnsi="Palatino Linotype"/>
          <w:b/>
        </w:rPr>
        <w:t>,</w:t>
      </w:r>
      <w:r w:rsidRPr="009E7B94">
        <w:rPr>
          <w:rFonts w:ascii="Palatino Linotype" w:hAnsi="Palatino Linotype"/>
        </w:rPr>
        <w:t xml:space="preserve"> a partir del contexto integral de su requerimiento. Ello resulta necesario para determinar el alcance del cumplimiento a la resolución y evitar que la ambigüedad de una expresión aislada se traduzca en una negativa absoluta de acceso a información que, como ya se estableció, la propia autoridad reconoce que genera, posee y administra.</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hAnsi="Palatino Linotype"/>
        </w:rPr>
      </w:pPr>
      <w:r w:rsidRPr="009E7B94">
        <w:rPr>
          <w:rFonts w:ascii="Palatino Linotype" w:hAnsi="Palatino Linotype"/>
        </w:rPr>
        <w:t xml:space="preserve">En consecuencia, debe entenderse que el cumplimiento de la resolución </w:t>
      </w:r>
      <w:r w:rsidRPr="009E7B94">
        <w:rPr>
          <w:rFonts w:ascii="Palatino Linotype" w:eastAsia="Times New Roman" w:hAnsi="Palatino Linotype" w:cs="Times New Roman"/>
          <w:lang w:val="es-MX" w:eastAsia="es-MX"/>
        </w:rPr>
        <w:t>deberá</w:t>
      </w:r>
      <w:r w:rsidRPr="009E7B94">
        <w:rPr>
          <w:rFonts w:ascii="Palatino Linotype" w:hAnsi="Palatino Linotype"/>
        </w:rPr>
        <w:t xml:space="preserve"> versar respecto de la información que </w:t>
      </w:r>
      <w:r w:rsidRPr="009E7B94">
        <w:rPr>
          <w:rStyle w:val="Textoennegrita"/>
          <w:rFonts w:ascii="Palatino Linotype" w:hAnsi="Palatino Linotype"/>
          <w:b w:val="0"/>
        </w:rPr>
        <w:t>ya obra en los registros o documentos institucionales respecto de</w:t>
      </w:r>
      <w:r w:rsidRPr="009E7B94">
        <w:rPr>
          <w:rStyle w:val="Textoennegrita"/>
          <w:rFonts w:ascii="Palatino Linotype" w:hAnsi="Palatino Linotype"/>
          <w:b w:val="0"/>
          <w:i/>
        </w:rPr>
        <w:t xml:space="preserve"> todos</w:t>
      </w:r>
      <w:r w:rsidRPr="009E7B94">
        <w:rPr>
          <w:rStyle w:val="Textoennegrita"/>
          <w:rFonts w:ascii="Palatino Linotype" w:hAnsi="Palatino Linotype"/>
          <w:b w:val="0"/>
        </w:rPr>
        <w:t xml:space="preserve"> los informes</w:t>
      </w:r>
      <w:r w:rsidRPr="009E7B94">
        <w:rPr>
          <w:rFonts w:ascii="Palatino Linotype" w:hAnsi="Palatino Linotype"/>
        </w:rPr>
        <w:t xml:space="preserve">, sin que ello implique que el </w:t>
      </w:r>
      <w:r w:rsidRPr="009E7B94">
        <w:rPr>
          <w:rFonts w:ascii="Palatino Linotype" w:hAnsi="Palatino Linotype"/>
          <w:b/>
        </w:rPr>
        <w:t>SUJETO OBLIGADO</w:t>
      </w:r>
      <w:r w:rsidRPr="009E7B94">
        <w:rPr>
          <w:rFonts w:ascii="Palatino Linotype" w:hAnsi="Palatino Linotype"/>
        </w:rPr>
        <w:t xml:space="preserve"> deba crear documentos ad hoc, realizar cálculos, efectuar valoraciones o generar un documento que no exista previamente. Por tanto, la entrega deberá efectuarse respecto de los </w:t>
      </w:r>
      <w:r w:rsidRPr="009E7B94">
        <w:rPr>
          <w:rStyle w:val="Textoennegrita"/>
          <w:rFonts w:ascii="Palatino Linotype" w:hAnsi="Palatino Linotype"/>
          <w:b w:val="0"/>
        </w:rPr>
        <w:t>datos o elementos que efectivamente obren en los soportes documentales existentes</w:t>
      </w:r>
      <w:r w:rsidRPr="009E7B94">
        <w:rPr>
          <w:rFonts w:ascii="Palatino Linotype" w:hAnsi="Palatino Linotype"/>
        </w:rPr>
        <w:t xml:space="preserve"> tocantes al sexo femenino. </w:t>
      </w:r>
    </w:p>
    <w:p w:rsidR="007C0364" w:rsidRPr="009E7B94" w:rsidRDefault="007C0364" w:rsidP="007C0364">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Finalmente, debe señalarse que derivado que la documentación solicitada se encuentra dirigida, de conformidad con los </w:t>
      </w:r>
      <w:r w:rsidRPr="009E7B94">
        <w:rPr>
          <w:rFonts w:ascii="Palatino Linotype" w:eastAsia="Times New Roman" w:hAnsi="Palatino Linotype" w:cs="Times New Roman"/>
          <w:bCs/>
          <w:lang w:val="es-MX" w:eastAsia="es-MX"/>
        </w:rPr>
        <w:t>REQUISITOS PARA PRESTAR SERVICIO SOCIAL, PRÁCTICAS PROFESIONALES Y/O ESCOLARES EN EL TRIBUNAL DE JUSTICIA ADMINISTRATIVA DEL ESTADO DE MÉXICO</w:t>
      </w:r>
      <w:r w:rsidRPr="009E7B94">
        <w:rPr>
          <w:rFonts w:ascii="Palatino Linotype" w:eastAsia="Times New Roman" w:hAnsi="Palatino Linotype" w:cs="Times New Roman"/>
          <w:lang w:val="es-MX" w:eastAsia="es-MX"/>
        </w:rPr>
        <w:t>, a estudiantes que buscan realizar dichas actividades formativas, como se observa:</w:t>
      </w:r>
    </w:p>
    <w:p w:rsidR="007C0364" w:rsidRPr="009E7B94" w:rsidRDefault="007C0364" w:rsidP="007C0364">
      <w:pPr>
        <w:pStyle w:val="Prrafodelista"/>
        <w:spacing w:line="360" w:lineRule="auto"/>
        <w:rPr>
          <w:rFonts w:ascii="Palatino Linotype" w:eastAsia="Times New Roman" w:hAnsi="Palatino Linotype" w:cs="Times New Roman"/>
          <w:lang w:val="es-MX" w:eastAsia="es-MX"/>
        </w:rPr>
      </w:pPr>
    </w:p>
    <w:p w:rsidR="007C0364" w:rsidRPr="009E7B94" w:rsidRDefault="007C0364" w:rsidP="007C0364">
      <w:pPr>
        <w:pBdr>
          <w:top w:val="nil"/>
          <w:left w:val="nil"/>
          <w:bottom w:val="nil"/>
          <w:right w:val="nil"/>
          <w:between w:val="nil"/>
        </w:pBdr>
        <w:spacing w:line="360" w:lineRule="auto"/>
        <w:ind w:right="49"/>
        <w:jc w:val="center"/>
        <w:rPr>
          <w:rFonts w:ascii="Palatino Linotype" w:eastAsia="Times New Roman" w:hAnsi="Palatino Linotype" w:cs="Times New Roman"/>
          <w:lang w:val="es-MX" w:eastAsia="es-MX"/>
        </w:rPr>
      </w:pPr>
      <w:r w:rsidRPr="009E7B94">
        <w:rPr>
          <w:rFonts w:ascii="Palatino Linotype" w:eastAsia="Times New Roman" w:hAnsi="Palatino Linotype" w:cs="Times New Roman"/>
          <w:noProof/>
          <w:lang w:val="es-MX" w:eastAsia="es-MX"/>
        </w:rPr>
        <w:lastRenderedPageBreak/>
        <w:drawing>
          <wp:inline distT="0" distB="0" distL="0" distR="0" wp14:anchorId="34D30CBB" wp14:editId="1F9C3E9F">
            <wp:extent cx="5612130" cy="375412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3754120"/>
                    </a:xfrm>
                    <a:prstGeom prst="rect">
                      <a:avLst/>
                    </a:prstGeom>
                  </pic:spPr>
                </pic:pic>
              </a:graphicData>
            </a:graphic>
          </wp:inline>
        </w:drawing>
      </w:r>
    </w:p>
    <w:p w:rsidR="007C0364" w:rsidRPr="009E7B94" w:rsidRDefault="007C0364" w:rsidP="007C0364">
      <w:pPr>
        <w:pBdr>
          <w:top w:val="nil"/>
          <w:left w:val="nil"/>
          <w:bottom w:val="nil"/>
          <w:right w:val="nil"/>
          <w:between w:val="nil"/>
        </w:pBdr>
        <w:spacing w:line="360" w:lineRule="auto"/>
        <w:ind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Resulta evidente que la documentación generada, invariablemente contiene información concerniente a </w:t>
      </w:r>
      <w:r w:rsidRPr="009E7B94">
        <w:rPr>
          <w:rFonts w:ascii="Palatino Linotype" w:eastAsia="Times New Roman" w:hAnsi="Palatino Linotype" w:cs="Times New Roman"/>
          <w:bCs/>
          <w:lang w:val="es-MX" w:eastAsia="es-MX"/>
        </w:rPr>
        <w:t>personas físicas que tienen el carácter de particulares y no de servidores públicos</w:t>
      </w:r>
      <w:r w:rsidRPr="009E7B94">
        <w:rPr>
          <w:rFonts w:ascii="Palatino Linotype" w:eastAsia="Times New Roman" w:hAnsi="Palatino Linotype" w:cs="Times New Roman"/>
          <w:lang w:val="es-MX" w:eastAsia="es-MX"/>
        </w:rPr>
        <w:t>, por lo que los datos personales que obren en ella se encuentran sujetos al régimen de protección previsto en la legislación aplicable.</w:t>
      </w:r>
    </w:p>
    <w:p w:rsidR="007C0364" w:rsidRPr="009E7B94" w:rsidRDefault="007C0364" w:rsidP="007C0364">
      <w:pPr>
        <w:pBdr>
          <w:top w:val="nil"/>
          <w:left w:val="nil"/>
          <w:bottom w:val="nil"/>
          <w:right w:val="nil"/>
          <w:between w:val="nil"/>
        </w:pBdr>
        <w:spacing w:line="360" w:lineRule="auto"/>
        <w:ind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En consecuencia, la documentación solicitada deberá ser proporcionada, </w:t>
      </w:r>
      <w:r w:rsidRPr="009E7B94">
        <w:rPr>
          <w:rFonts w:ascii="Palatino Linotype" w:eastAsia="Times New Roman" w:hAnsi="Palatino Linotype" w:cs="Times New Roman"/>
          <w:bCs/>
          <w:lang w:val="es-MX" w:eastAsia="es-MX"/>
        </w:rPr>
        <w:t>en</w:t>
      </w:r>
      <w:r w:rsidRPr="009E7B94">
        <w:rPr>
          <w:rFonts w:ascii="Palatino Linotype" w:eastAsia="Times New Roman" w:hAnsi="Palatino Linotype" w:cs="Times New Roman"/>
          <w:b/>
          <w:bCs/>
          <w:lang w:val="es-MX" w:eastAsia="es-MX"/>
        </w:rPr>
        <w:t xml:space="preserve"> </w:t>
      </w:r>
      <w:r w:rsidRPr="009E7B94">
        <w:rPr>
          <w:rFonts w:ascii="Palatino Linotype" w:eastAsia="Times New Roman" w:hAnsi="Palatino Linotype" w:cs="Times New Roman"/>
          <w:lang w:val="es-MX" w:eastAsia="es-MX"/>
        </w:rPr>
        <w:t>versión</w:t>
      </w:r>
      <w:r w:rsidRPr="009E7B94">
        <w:rPr>
          <w:rFonts w:ascii="Palatino Linotype" w:eastAsia="Times New Roman" w:hAnsi="Palatino Linotype" w:cs="Times New Roman"/>
          <w:b/>
          <w:bCs/>
          <w:lang w:val="es-MX" w:eastAsia="es-MX"/>
        </w:rPr>
        <w:t xml:space="preserve"> </w:t>
      </w:r>
      <w:r w:rsidRPr="009E7B94">
        <w:rPr>
          <w:rFonts w:ascii="Palatino Linotype" w:eastAsia="Times New Roman" w:hAnsi="Palatino Linotype" w:cs="Times New Roman"/>
          <w:bCs/>
          <w:lang w:val="es-MX" w:eastAsia="es-MX"/>
        </w:rPr>
        <w:t>pública</w:t>
      </w:r>
      <w:r w:rsidRPr="009E7B94">
        <w:rPr>
          <w:rFonts w:ascii="Palatino Linotype" w:eastAsia="Times New Roman" w:hAnsi="Palatino Linotype" w:cs="Times New Roman"/>
          <w:lang w:val="es-MX" w:eastAsia="es-MX"/>
        </w:rPr>
        <w:t xml:space="preserve">, previa clasificación de aquellos datos personales que actualicen alguna causal de confidencialidad, debiendo el </w:t>
      </w:r>
      <w:r w:rsidRPr="009E7B94">
        <w:rPr>
          <w:rFonts w:ascii="Palatino Linotype" w:eastAsia="Times New Roman" w:hAnsi="Palatino Linotype" w:cs="Times New Roman"/>
          <w:b/>
          <w:lang w:val="es-MX" w:eastAsia="es-MX"/>
        </w:rPr>
        <w:t>SUJETO OBLIGADO</w:t>
      </w:r>
      <w:r w:rsidRPr="009E7B94">
        <w:rPr>
          <w:rFonts w:ascii="Palatino Linotype" w:eastAsia="Times New Roman" w:hAnsi="Palatino Linotype" w:cs="Times New Roman"/>
          <w:lang w:val="es-MX" w:eastAsia="es-MX"/>
        </w:rPr>
        <w:t xml:space="preserve"> realizar el procedimiento correspondiente ante su Comité de Transparencia y testar únicamente la información cuya protección resulte procedente.</w:t>
      </w: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lastRenderedPageBreak/>
        <w:t>Lo anterior, sin que la existencia de datos personales constituya motivo para negar íntegramente el acceso a la documentación, pues la versión pública constituye precisamente el mecanismo mediante el cual se permite el acceso a la información de naturaleza pública contenida en los documentos, salvaguardando simultáneamente los datos personales de las personas particulares que participan o han participado en los programas de servicio social y prácticas profesionales.</w:t>
      </w:r>
    </w:p>
    <w:p w:rsidR="007C0364" w:rsidRPr="009E7B94" w:rsidRDefault="007C0364" w:rsidP="007C0364">
      <w:pPr>
        <w:pBdr>
          <w:top w:val="nil"/>
          <w:left w:val="nil"/>
          <w:bottom w:val="nil"/>
          <w:right w:val="nil"/>
          <w:between w:val="nil"/>
        </w:pBdr>
        <w:spacing w:line="360" w:lineRule="auto"/>
        <w:ind w:right="49"/>
        <w:jc w:val="both"/>
        <w:rPr>
          <w:rFonts w:ascii="Palatino Linotype" w:eastAsia="Times New Roman" w:hAnsi="Palatino Linotype" w:cs="Times New Roman"/>
          <w:lang w:val="es-MX" w:eastAsia="es-MX"/>
        </w:rPr>
      </w:pPr>
    </w:p>
    <w:p w:rsidR="007C0364" w:rsidRPr="009E7B94" w:rsidRDefault="007C0364" w:rsidP="007C0364">
      <w:pPr>
        <w:numPr>
          <w:ilvl w:val="0"/>
          <w:numId w:val="1"/>
        </w:numPr>
        <w:pBdr>
          <w:top w:val="nil"/>
          <w:left w:val="nil"/>
          <w:bottom w:val="nil"/>
          <w:right w:val="nil"/>
          <w:between w:val="nil"/>
        </w:pBdr>
        <w:spacing w:line="360" w:lineRule="auto"/>
        <w:ind w:left="0" w:right="49" w:firstLine="0"/>
        <w:jc w:val="both"/>
        <w:rPr>
          <w:rFonts w:ascii="Palatino Linotype" w:eastAsia="Times New Roman" w:hAnsi="Palatino Linotype" w:cs="Times New Roman"/>
          <w:lang w:val="es-MX" w:eastAsia="es-MX"/>
        </w:rPr>
      </w:pPr>
      <w:r w:rsidRPr="009E7B94">
        <w:rPr>
          <w:rFonts w:ascii="Palatino Linotype" w:eastAsia="Times New Roman" w:hAnsi="Palatino Linotype" w:cs="Times New Roman"/>
          <w:lang w:val="es-MX" w:eastAsia="es-MX"/>
        </w:rPr>
        <w:t xml:space="preserve">Ahora bien, de acuerdo a la Gaceta de Gobierno número 73, </w:t>
      </w:r>
      <w:r w:rsidRPr="009E7B94">
        <w:rPr>
          <w:rFonts w:ascii="Palatino Linotype" w:eastAsia="Times New Roman" w:hAnsi="Palatino Linotype" w:cs="Times New Roman"/>
          <w:lang w:eastAsia="es-MX"/>
        </w:rPr>
        <w:t xml:space="preserve">la autonomía del Tribunal de Justicia Administrativa del Estado de México (TRIJAEM) quedó establecida formalmente el </w:t>
      </w:r>
      <w:r w:rsidRPr="009E7B94">
        <w:rPr>
          <w:rFonts w:ascii="Palatino Linotype" w:eastAsia="Times New Roman" w:hAnsi="Palatino Linotype" w:cs="Times New Roman"/>
          <w:b/>
          <w:bCs/>
          <w:lang w:eastAsia="es-MX"/>
        </w:rPr>
        <w:t>24 de abril de 2017</w:t>
      </w:r>
      <w:r w:rsidRPr="009E7B94">
        <w:rPr>
          <w:rFonts w:ascii="Palatino Linotype" w:eastAsia="Times New Roman" w:hAnsi="Palatino Linotype" w:cs="Times New Roman"/>
          <w:lang w:eastAsia="es-MX"/>
        </w:rPr>
        <w:t xml:space="preserve">. En esa fecha se publicó en el Periódico Oficial </w:t>
      </w:r>
      <w:r w:rsidRPr="009E7B94">
        <w:rPr>
          <w:rFonts w:ascii="Palatino Linotype" w:eastAsia="Times New Roman" w:hAnsi="Palatino Linotype" w:cs="Times New Roman"/>
          <w:i/>
          <w:iCs/>
          <w:lang w:eastAsia="es-MX"/>
        </w:rPr>
        <w:t>Gaceta del Gobierno</w:t>
      </w:r>
      <w:r w:rsidRPr="009E7B94">
        <w:rPr>
          <w:rFonts w:ascii="Palatino Linotype" w:eastAsia="Times New Roman" w:hAnsi="Palatino Linotype" w:cs="Times New Roman"/>
          <w:lang w:eastAsia="es-MX"/>
        </w:rPr>
        <w:t xml:space="preserve"> el Decreto Número 202, por lo que resulta dable ordenar la información de dicha fecha a la fecha de solicitud, es decir, al dieciséis de junio de dos mil veintiséis. </w:t>
      </w:r>
    </w:p>
    <w:p w:rsidR="007C0364" w:rsidRPr="009E7B94" w:rsidRDefault="007C0364" w:rsidP="00E94CED">
      <w:pPr>
        <w:pBdr>
          <w:top w:val="nil"/>
          <w:left w:val="nil"/>
          <w:bottom w:val="nil"/>
          <w:right w:val="nil"/>
          <w:between w:val="nil"/>
        </w:pBdr>
        <w:spacing w:line="360" w:lineRule="auto"/>
        <w:ind w:right="49"/>
        <w:jc w:val="both"/>
        <w:rPr>
          <w:rFonts w:ascii="Palatino Linotype" w:hAnsi="Palatino Linotype"/>
        </w:rPr>
      </w:pPr>
    </w:p>
    <w:p w:rsidR="007C0364" w:rsidRPr="009E7B94" w:rsidRDefault="007C0364"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Con la determinación anterior, se estima quedara por colmado el derecho de acceso a la </w:t>
      </w:r>
      <w:r w:rsidRPr="009E7B94">
        <w:rPr>
          <w:rFonts w:ascii="Palatino Linotype" w:eastAsia="Palatino Linotype" w:hAnsi="Palatino Linotype" w:cs="Palatino Linotype"/>
        </w:rPr>
        <w:t>información</w:t>
      </w:r>
      <w:r w:rsidRPr="009E7B94">
        <w:rPr>
          <w:rFonts w:ascii="Palatino Linotype" w:eastAsia="Palatino Linotype" w:hAnsi="Palatino Linotype" w:cs="Palatino Linotype"/>
          <w:color w:val="000000"/>
        </w:rPr>
        <w:t xml:space="preserve"> del ahora Recurrente; toda vez que el Derecho que tutela este </w:t>
      </w:r>
      <w:r w:rsidRPr="009E7B94">
        <w:rPr>
          <w:rFonts w:ascii="Palatino Linotype" w:eastAsia="Palatino Linotype" w:hAnsi="Palatino Linotype" w:cs="Palatino Linotype"/>
        </w:rPr>
        <w:t>Órgano</w:t>
      </w:r>
      <w:r w:rsidRPr="009E7B94">
        <w:rPr>
          <w:rFonts w:ascii="Palatino Linotype" w:eastAsia="Palatino Linotype" w:hAnsi="Palatino Linotype" w:cs="Palatino Linotype"/>
          <w:color w:val="000000"/>
        </w:rPr>
        <w:t xml:space="preserve"> </w:t>
      </w:r>
      <w:r w:rsidRPr="009E7B94">
        <w:rPr>
          <w:rFonts w:ascii="Palatino Linotype" w:hAnsi="Palatino Linotype"/>
        </w:rPr>
        <w:t>Garante</w:t>
      </w:r>
      <w:r w:rsidRPr="009E7B94">
        <w:rPr>
          <w:rFonts w:ascii="Palatino Linotype" w:eastAsia="Palatino Linotype" w:hAnsi="Palatino Linotype" w:cs="Palatino Linotype"/>
          <w:color w:val="000000"/>
        </w:rPr>
        <w:t xml:space="preserve"> corresponde a la  </w:t>
      </w:r>
      <w:r w:rsidRPr="009E7B94">
        <w:rPr>
          <w:rFonts w:ascii="Palatino Linotype" w:eastAsia="Palatino Linotype" w:hAnsi="Palatino Linotype" w:cs="Palatino Linotype"/>
          <w:i/>
          <w:color w:val="000000"/>
        </w:rPr>
        <w:t>igualdad de oportunidades para recibir, buscar e impartir información</w:t>
      </w:r>
      <w:r w:rsidRPr="009E7B94">
        <w:rPr>
          <w:rFonts w:ascii="Palatino Linotype" w:eastAsia="Palatino Linotype" w:hAnsi="Palatino Linotype" w:cs="Palatino Linotype"/>
          <w:i/>
          <w:color w:val="000000"/>
          <w:vertAlign w:val="superscript"/>
        </w:rPr>
        <w:footnoteReference w:id="2"/>
      </w:r>
      <w:r w:rsidRPr="009E7B94">
        <w:rPr>
          <w:rFonts w:ascii="Palatino Linotype" w:eastAsia="Palatino Linotype" w:hAnsi="Palatino Linotype" w:cs="Palatino Linotype"/>
          <w:i/>
          <w:color w:val="000000"/>
        </w:rPr>
        <w:t xml:space="preserve"> en posesión de cualquier autoridad, entidad, órgano y organismo de los </w:t>
      </w:r>
      <w:r w:rsidRPr="009E7B94">
        <w:rPr>
          <w:rFonts w:ascii="Palatino Linotype" w:eastAsia="Palatino Linotype" w:hAnsi="Palatino Linotype" w:cs="Palatino Linotype"/>
          <w:color w:val="000000"/>
        </w:rPr>
        <w:t>poderes</w:t>
      </w:r>
      <w:r w:rsidRPr="009E7B94">
        <w:rPr>
          <w:rFonts w:ascii="Palatino Linotype" w:eastAsia="Palatino Linotype" w:hAnsi="Palatino Linotype" w:cs="Palatino Linotype"/>
          <w:i/>
          <w:color w:val="000000"/>
        </w:rPr>
        <w:t xml:space="preserve"> Ejecutivo, Legislativo y Judicial, órganos autónomos, partidos políticos, </w:t>
      </w:r>
      <w:r w:rsidRPr="009E7B94">
        <w:rPr>
          <w:rFonts w:ascii="Palatino Linotype" w:eastAsia="Palatino Linotype" w:hAnsi="Palatino Linotype" w:cs="Palatino Linotype"/>
        </w:rPr>
        <w:t>fideicomisos</w:t>
      </w:r>
      <w:r w:rsidRPr="009E7B94">
        <w:rPr>
          <w:rFonts w:ascii="Palatino Linotype" w:eastAsia="Palatino Linotype" w:hAnsi="Palatino Linotype" w:cs="Palatino Linotype"/>
          <w:i/>
          <w:color w:val="000000"/>
        </w:rPr>
        <w:t>, y fondos públicos, así como de cualquier persona física, moral o sindicato que reciba y ejerza recursos públicos o realice actos de autoridad en el ámbito federal, estatal y municipal</w:t>
      </w:r>
      <w:r w:rsidRPr="009E7B94">
        <w:rPr>
          <w:rFonts w:ascii="Palatino Linotype" w:eastAsia="Palatino Linotype" w:hAnsi="Palatino Linotype" w:cs="Palatino Linotype"/>
          <w:color w:val="000000"/>
          <w:vertAlign w:val="superscript"/>
        </w:rPr>
        <w:footnoteReference w:id="3"/>
      </w:r>
      <w:r w:rsidRPr="009E7B94">
        <w:rPr>
          <w:rFonts w:ascii="Palatino Linotype" w:eastAsia="Palatino Linotype" w:hAnsi="Palatino Linotype" w:cs="Palatino Linotype"/>
          <w:i/>
          <w:color w:val="000000"/>
        </w:rPr>
        <w:t xml:space="preserve"> </w:t>
      </w:r>
      <w:r w:rsidRPr="009E7B94">
        <w:rPr>
          <w:rFonts w:ascii="Palatino Linotype" w:eastAsia="Palatino Linotype" w:hAnsi="Palatino Linotype" w:cs="Palatino Linotype"/>
          <w:color w:val="000000"/>
        </w:rPr>
        <w:t xml:space="preserve">que se constituye como una herramienta fundamental para </w:t>
      </w:r>
      <w:r w:rsidRPr="009E7B94">
        <w:rPr>
          <w:rFonts w:ascii="Palatino Linotype" w:eastAsia="Palatino Linotype" w:hAnsi="Palatino Linotype" w:cs="Palatino Linotype"/>
          <w:i/>
          <w:color w:val="000000"/>
        </w:rPr>
        <w:t xml:space="preserve">ejercer control democrático de las gestiones estatales, de forma tal que puedan cuestionar, indagar y considerar </w:t>
      </w:r>
      <w:r w:rsidRPr="009E7B94">
        <w:rPr>
          <w:rFonts w:ascii="Palatino Linotype" w:eastAsia="Palatino Linotype" w:hAnsi="Palatino Linotype" w:cs="Palatino Linotype"/>
          <w:i/>
          <w:color w:val="000000"/>
        </w:rPr>
        <w:lastRenderedPageBreak/>
        <w:t>si se está dando un adecuado cumplimiento de las funciones públicas,</w:t>
      </w:r>
      <w:r w:rsidRPr="009E7B94">
        <w:rPr>
          <w:rFonts w:ascii="Palatino Linotype" w:eastAsia="Palatino Linotype" w:hAnsi="Palatino Linotype" w:cs="Palatino Linotype"/>
          <w:i/>
          <w:color w:val="000000"/>
          <w:vertAlign w:val="superscript"/>
        </w:rPr>
        <w:footnoteReference w:id="4"/>
      </w:r>
      <w:r w:rsidRPr="009E7B94">
        <w:rPr>
          <w:rFonts w:ascii="Palatino Linotype" w:eastAsia="Palatino Linotype" w:hAnsi="Palatino Linotype" w:cs="Palatino Linotype"/>
          <w:color w:val="000000"/>
        </w:rPr>
        <w:t>fomentando</w:t>
      </w:r>
      <w:r w:rsidRPr="009E7B94">
        <w:rPr>
          <w:rFonts w:ascii="Palatino Linotype" w:eastAsia="Palatino Linotype" w:hAnsi="Palatino Linotype" w:cs="Palatino Linotype"/>
          <w:i/>
          <w:color w:val="000000"/>
        </w:rPr>
        <w:t xml:space="preserve"> la transparencia de las actividades estatales y</w:t>
      </w:r>
      <w:r w:rsidRPr="009E7B94">
        <w:rPr>
          <w:rFonts w:ascii="Palatino Linotype" w:eastAsia="Palatino Linotype" w:hAnsi="Palatino Linotype" w:cs="Palatino Linotype"/>
          <w:color w:val="000000"/>
        </w:rPr>
        <w:t xml:space="preserve"> promoviendo</w:t>
      </w:r>
      <w:r w:rsidRPr="009E7B94">
        <w:rPr>
          <w:rFonts w:ascii="Palatino Linotype" w:eastAsia="Palatino Linotype" w:hAnsi="Palatino Linotype" w:cs="Palatino Linotype"/>
          <w:i/>
          <w:color w:val="000000"/>
        </w:rPr>
        <w:t xml:space="preserve"> la responsabilidad de los funcionarios sobre su gestión pública</w:t>
      </w:r>
      <w:r w:rsidRPr="009E7B94">
        <w:rPr>
          <w:rFonts w:ascii="Palatino Linotype" w:eastAsia="Palatino Linotype" w:hAnsi="Palatino Linotype" w:cs="Palatino Linotype"/>
          <w:i/>
          <w:color w:val="000000"/>
          <w:vertAlign w:val="superscript"/>
        </w:rPr>
        <w:footnoteReference w:id="5"/>
      </w:r>
      <w:r w:rsidRPr="009E7B94">
        <w:rPr>
          <w:rFonts w:ascii="Palatino Linotype" w:eastAsia="Palatino Linotype" w:hAnsi="Palatino Linotype" w:cs="Palatino Linotype"/>
          <w:i/>
          <w:color w:val="000000"/>
        </w:rPr>
        <w:t xml:space="preserve"> </w:t>
      </w:r>
      <w:r w:rsidRPr="009E7B94">
        <w:rPr>
          <w:rFonts w:ascii="Palatino Linotype" w:eastAsia="Palatino Linotype" w:hAnsi="Palatino Linotype" w:cs="Palatino Linotype"/>
          <w:color w:val="000000"/>
        </w:rPr>
        <w:t>que permite</w:t>
      </w:r>
      <w:r w:rsidRPr="009E7B94">
        <w:rPr>
          <w:rFonts w:ascii="Palatino Linotype" w:eastAsia="Palatino Linotype" w:hAnsi="Palatino Linotype" w:cs="Palatino Linotype"/>
          <w:i/>
          <w:color w:val="000000"/>
        </w:rPr>
        <w:t xml:space="preserve"> saber qué están haciendo los gobiernos por sus pueblos, sin lo cual la verdad languidecería y la participación en el gobierno permanecería fragmentada.</w:t>
      </w:r>
      <w:r w:rsidRPr="009E7B94">
        <w:rPr>
          <w:rFonts w:ascii="Palatino Linotype" w:eastAsia="Palatino Linotype" w:hAnsi="Palatino Linotype" w:cs="Palatino Linotype"/>
          <w:i/>
          <w:color w:val="000000"/>
          <w:vertAlign w:val="superscript"/>
        </w:rPr>
        <w:footnoteReference w:id="6"/>
      </w:r>
      <w:r w:rsidRPr="009E7B94">
        <w:rPr>
          <w:rFonts w:ascii="Palatino Linotype" w:eastAsia="Palatino Linotype" w:hAnsi="Palatino Linotype" w:cs="Palatino Linotype"/>
          <w:color w:val="000000"/>
        </w:rPr>
        <w:t xml:space="preserve"> ” </w:t>
      </w:r>
    </w:p>
    <w:p w:rsidR="007C0364" w:rsidRPr="009E7B94" w:rsidRDefault="007C0364" w:rsidP="007C0364">
      <w:pPr>
        <w:pStyle w:val="Sinespaciado"/>
        <w:spacing w:line="360" w:lineRule="auto"/>
        <w:jc w:val="both"/>
        <w:rPr>
          <w:rFonts w:ascii="Palatino Linotype" w:eastAsia="Palatino Linotype" w:hAnsi="Palatino Linotype" w:cs="Palatino Linotype"/>
          <w:color w:val="000000"/>
        </w:rPr>
      </w:pPr>
    </w:p>
    <w:p w:rsidR="007C0364" w:rsidRPr="009E7B94" w:rsidRDefault="007C0364"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Para entender los alcances de la información pública se considera importante citar el criterio de interpretación en el orden administrativo número 0002-11, emitido por Acuerdo del Pleno de este Instituto de Transparencia y Acceso a la Información Pública del Estado de México y Municipios, publicado en el Periódico Oficial del Gobierno del Estado Libre y Soberano de México “Gaceta del Gobierno” el diecinueve de octubre de dos mil once, cuyo rubro y texto dispone:</w:t>
      </w:r>
    </w:p>
    <w:p w:rsidR="007C0364" w:rsidRPr="009E7B94" w:rsidRDefault="007C0364" w:rsidP="007C0364">
      <w:pPr>
        <w:spacing w:line="360" w:lineRule="auto"/>
        <w:ind w:left="426" w:right="567"/>
        <w:jc w:val="both"/>
        <w:rPr>
          <w:rFonts w:ascii="Palatino Linotype" w:eastAsia="Palatino Linotype" w:hAnsi="Palatino Linotype" w:cs="Palatino Linotype"/>
          <w:b/>
          <w:i/>
          <w:color w:val="000000"/>
        </w:rPr>
      </w:pPr>
      <w:r w:rsidRPr="009E7B94">
        <w:rPr>
          <w:rFonts w:ascii="Palatino Linotype" w:eastAsia="Palatino Linotype" w:hAnsi="Palatino Linotype" w:cs="Palatino Linotype"/>
          <w:b/>
          <w:i/>
          <w:color w:val="000000"/>
        </w:rPr>
        <w:t>“CRITERIO 0002-11</w:t>
      </w:r>
    </w:p>
    <w:p w:rsidR="007C0364" w:rsidRPr="009E7B94" w:rsidRDefault="007C0364" w:rsidP="007C0364">
      <w:pPr>
        <w:spacing w:line="360" w:lineRule="auto"/>
        <w:ind w:left="425" w:right="567"/>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b/>
          <w:i/>
          <w:color w:val="000000"/>
        </w:rPr>
        <w:t>INFORMACIÓN PÚBLICA, CONCEPTO DE, EN MATERIA DE TRANSPARENCIA. INTERPRETACIÓN TEMÁTICA DE LOS ARTÍCULOS 2, FRACCIÓN V, XV, Y XVI, 3, 4,11 Y 41.</w:t>
      </w:r>
      <w:r w:rsidRPr="009E7B94">
        <w:rPr>
          <w:rFonts w:ascii="Palatino Linotype" w:eastAsia="Palatino Linotype" w:hAnsi="Palatino Linotype" w:cs="Palatino Linotype"/>
          <w:i/>
          <w:color w:val="00000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7C0364" w:rsidRPr="009E7B94" w:rsidRDefault="007C0364" w:rsidP="007C0364">
      <w:pPr>
        <w:spacing w:line="360" w:lineRule="auto"/>
        <w:ind w:left="425" w:right="567"/>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lastRenderedPageBreak/>
        <w:t>En consecuencia el acceso a la información se refiere a que se cumplan cualquiera de los siguientes tres supuestos:</w:t>
      </w:r>
    </w:p>
    <w:p w:rsidR="007C0364" w:rsidRPr="009E7B94" w:rsidRDefault="007C0364" w:rsidP="007C0364">
      <w:pPr>
        <w:spacing w:line="360" w:lineRule="auto"/>
        <w:ind w:left="425" w:right="567"/>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Que se trate de información registrada en cualquier soporte documental, que en ejercicio de las atribuciones conferidas, sea generada por los Sujetos Obligados;</w:t>
      </w:r>
    </w:p>
    <w:p w:rsidR="007C0364" w:rsidRPr="009E7B94" w:rsidRDefault="007C0364" w:rsidP="007C0364">
      <w:pPr>
        <w:spacing w:line="360" w:lineRule="auto"/>
        <w:ind w:left="425" w:right="567"/>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Que se trate de información registrada en cualquier soporte documental, que en ejercicio de las atribuciones conferidas, sea administrada por los Sujetos Obligados, y</w:t>
      </w:r>
    </w:p>
    <w:p w:rsidR="007C0364" w:rsidRPr="009E7B94" w:rsidRDefault="007C0364" w:rsidP="007C0364">
      <w:pPr>
        <w:spacing w:line="360" w:lineRule="auto"/>
        <w:ind w:left="425" w:right="567"/>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Que se trate de información registrada en cualquier soporte documental, que en ejercicio de las atribuciones conferidas, se encuentre en posesión de los Sujetos Obligados.”</w:t>
      </w:r>
    </w:p>
    <w:p w:rsidR="007C0364" w:rsidRPr="009E7B94" w:rsidRDefault="007C0364" w:rsidP="007C0364">
      <w:pPr>
        <w:spacing w:line="360" w:lineRule="auto"/>
        <w:jc w:val="both"/>
        <w:rPr>
          <w:rFonts w:ascii="Palatino Linotype" w:eastAsia="Palatino Linotype" w:hAnsi="Palatino Linotype" w:cs="Palatino Linotype"/>
          <w:color w:val="000000"/>
        </w:rPr>
      </w:pPr>
    </w:p>
    <w:p w:rsidR="007C0364" w:rsidRPr="009E7B94" w:rsidRDefault="007C0364"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Es así que, todos los actos de autoridad que realicen los Sujetos Obligados </w:t>
      </w:r>
      <w:r w:rsidRPr="009E7B94">
        <w:rPr>
          <w:rFonts w:ascii="Palatino Linotype" w:eastAsia="Palatino Linotype" w:hAnsi="Palatino Linotype" w:cs="Palatino Linotype"/>
          <w:b/>
          <w:color w:val="000000"/>
        </w:rPr>
        <w:t xml:space="preserve">deben </w:t>
      </w:r>
      <w:r w:rsidRPr="009E7B94">
        <w:rPr>
          <w:rFonts w:ascii="Palatino Linotype" w:eastAsia="Palatino Linotype" w:hAnsi="Palatino Linotype" w:cs="Palatino Linotype"/>
          <w:color w:val="000000"/>
        </w:rPr>
        <w:t>estar</w:t>
      </w:r>
      <w:r w:rsidRPr="009E7B94">
        <w:rPr>
          <w:rFonts w:ascii="Palatino Linotype" w:eastAsia="Palatino Linotype" w:hAnsi="Palatino Linotype" w:cs="Palatino Linotype"/>
          <w:b/>
          <w:color w:val="000000"/>
        </w:rPr>
        <w:t xml:space="preserve"> </w:t>
      </w:r>
      <w:r w:rsidRPr="009E7B94">
        <w:rPr>
          <w:rFonts w:ascii="Palatino Linotype" w:eastAsia="Palatino Linotype" w:hAnsi="Palatino Linotype" w:cs="Palatino Linotype"/>
          <w:color w:val="000000"/>
        </w:rPr>
        <w:t>documentados y, bajo el más alto estándar de transparencia deberán poner toda la información que se encuentre en su posesión, a disposición de los particulares que la soliciten.</w:t>
      </w:r>
    </w:p>
    <w:p w:rsidR="007C0364" w:rsidRPr="009E7B94" w:rsidRDefault="007C0364" w:rsidP="007C0364">
      <w:pPr>
        <w:pStyle w:val="Sinespaciado"/>
        <w:spacing w:line="360" w:lineRule="auto"/>
        <w:jc w:val="both"/>
        <w:rPr>
          <w:rFonts w:ascii="Palatino Linotype" w:eastAsia="Palatino Linotype" w:hAnsi="Palatino Linotype" w:cs="Palatino Linotype"/>
          <w:color w:val="000000"/>
        </w:rPr>
      </w:pPr>
    </w:p>
    <w:p w:rsidR="007C0364" w:rsidRPr="009E7B94" w:rsidRDefault="007C0364"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Además, debemos tomar en cuenta los artículos 4 y 12 (antes transcrito), de la Ley de Transparencia y Acceso a la Información Pública del Estado de México y Municipios, los cuales establecen lo siguiente:</w:t>
      </w:r>
    </w:p>
    <w:p w:rsidR="007C0364" w:rsidRPr="009E7B94" w:rsidRDefault="007C0364" w:rsidP="007C0364">
      <w:pPr>
        <w:spacing w:line="360" w:lineRule="auto"/>
        <w:ind w:left="425" w:right="333"/>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b/>
          <w:i/>
          <w:color w:val="000000"/>
        </w:rPr>
        <w:t xml:space="preserve">“Artículo 4. </w:t>
      </w:r>
      <w:r w:rsidRPr="009E7B94">
        <w:rPr>
          <w:rFonts w:ascii="Palatino Linotype" w:eastAsia="Palatino Linotype" w:hAnsi="Palatino Linotype" w:cs="Palatino Linotype"/>
          <w:i/>
          <w:color w:val="000000"/>
        </w:rPr>
        <w:t>El derecho humano de acceso a la información pública es la prerrogativa de las personas para buscar, difundir, investigar, recabar, recibir y solicitar información pública, sin necesidad de acreditar personalidad ni interés jurídico.</w:t>
      </w:r>
    </w:p>
    <w:p w:rsidR="007C0364" w:rsidRPr="009E7B94" w:rsidRDefault="007C0364" w:rsidP="007C0364">
      <w:pPr>
        <w:spacing w:line="360" w:lineRule="auto"/>
        <w:ind w:left="426" w:right="333"/>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b/>
          <w:i/>
          <w:color w:val="000000"/>
        </w:rPr>
        <w:t>Toda la información</w:t>
      </w:r>
      <w:r w:rsidRPr="009E7B94">
        <w:rPr>
          <w:rFonts w:ascii="Palatino Linotype" w:eastAsia="Palatino Linotype" w:hAnsi="Palatino Linotype" w:cs="Palatino Linotype"/>
          <w:i/>
          <w:color w:val="000000"/>
        </w:rPr>
        <w:t xml:space="preserve"> generada, obtenida, adquirida, transformada, administrada o </w:t>
      </w:r>
      <w:r w:rsidRPr="009E7B94">
        <w:rPr>
          <w:rFonts w:ascii="Palatino Linotype" w:eastAsia="Palatino Linotype" w:hAnsi="Palatino Linotype" w:cs="Palatino Linotype"/>
          <w:b/>
          <w:i/>
          <w:color w:val="000000"/>
        </w:rPr>
        <w:t>en posesión de los sujetos obligados es pública</w:t>
      </w:r>
      <w:r w:rsidRPr="009E7B94">
        <w:rPr>
          <w:rFonts w:ascii="Palatino Linotype" w:eastAsia="Palatino Linotype" w:hAnsi="Palatino Linotype" w:cs="Palatino Linotype"/>
          <w:i/>
          <w:color w:val="000000"/>
        </w:rPr>
        <w:t xml:space="preserve"> y accesible de manera permanente a cualquier persona, en los términos y condiciones que se establezcan en los tratados internacionales de los </w:t>
      </w:r>
      <w:r w:rsidRPr="009E7B94">
        <w:rPr>
          <w:rFonts w:ascii="Palatino Linotype" w:eastAsia="Palatino Linotype" w:hAnsi="Palatino Linotype" w:cs="Palatino Linotype"/>
          <w:i/>
          <w:color w:val="000000"/>
        </w:rPr>
        <w:lastRenderedPageBreak/>
        <w:t>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rsidR="007C0364" w:rsidRPr="009E7B94" w:rsidRDefault="007C0364" w:rsidP="007C0364">
      <w:pPr>
        <w:spacing w:line="360" w:lineRule="auto"/>
        <w:ind w:left="426" w:right="333"/>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Los sujetos obligados deben poner en práctica, políticas y programas de acceso a la información que se apeguen a criterios de publicidad, veracidad, oportunidad, precisión y suficiencia en beneficio de los solicitantes.”</w:t>
      </w:r>
    </w:p>
    <w:p w:rsidR="007C0364" w:rsidRPr="009E7B94" w:rsidRDefault="007C0364" w:rsidP="007C0364">
      <w:pPr>
        <w:spacing w:line="360" w:lineRule="auto"/>
        <w:ind w:left="426" w:right="333"/>
        <w:jc w:val="both"/>
        <w:rPr>
          <w:rFonts w:ascii="Palatino Linotype" w:eastAsia="Palatino Linotype" w:hAnsi="Palatino Linotype" w:cs="Palatino Linotype"/>
          <w:i/>
          <w:color w:val="000000"/>
        </w:rPr>
      </w:pPr>
    </w:p>
    <w:p w:rsidR="007C0364" w:rsidRPr="009E7B94" w:rsidRDefault="007C0364"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Es así que, por un lado se tiene la obligación de documentar todos los actos que se lleven a cabo en el ejercicio de sus funciones, atribuciones y competencias, mientras que por otro, se ven impuestos por la obligación de hacer pública toda aquella información que se encuentre en su posesión en estricto apego a los principios de eficacia</w:t>
      </w:r>
      <w:r w:rsidRPr="009E7B94">
        <w:rPr>
          <w:rFonts w:ascii="Palatino Linotype" w:eastAsia="Palatino Linotype" w:hAnsi="Palatino Linotype" w:cs="Palatino Linotype"/>
          <w:color w:val="000000"/>
          <w:vertAlign w:val="superscript"/>
        </w:rPr>
        <w:footnoteReference w:id="7"/>
      </w:r>
      <w:r w:rsidRPr="009E7B94">
        <w:rPr>
          <w:rFonts w:ascii="Palatino Linotype" w:eastAsia="Palatino Linotype" w:hAnsi="Palatino Linotype" w:cs="Palatino Linotype"/>
          <w:color w:val="000000"/>
        </w:rPr>
        <w:t xml:space="preserve"> y máxima publicidad, sobre éste último se debe poner mayor énfasis, puesto que establece que toda la información en posesión de los Sujetos Obligados será pública, completa, oportuna y accesible, lo que permite que la ciudadanía tenga un amplio acceso sobre lo que es el actuar de las autoridades.</w:t>
      </w:r>
    </w:p>
    <w:p w:rsidR="00E94CED" w:rsidRPr="009E7B94" w:rsidRDefault="00E94CED" w:rsidP="00E94CED">
      <w:pPr>
        <w:pStyle w:val="Sinespaciado"/>
        <w:spacing w:line="360" w:lineRule="auto"/>
        <w:jc w:val="both"/>
        <w:rPr>
          <w:rFonts w:ascii="Palatino Linotype" w:eastAsia="Palatino Linotype" w:hAnsi="Palatino Linotype" w:cs="Palatino Linotype"/>
          <w:color w:val="000000"/>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hAnsi="Palatino Linotype"/>
          <w:color w:val="000000"/>
        </w:rPr>
      </w:pPr>
      <w:r w:rsidRPr="009E7B94">
        <w:rPr>
          <w:rFonts w:ascii="Palatino Linotype" w:hAnsi="Palatino Linotype"/>
          <w:color w:val="000000"/>
        </w:rPr>
        <w:t xml:space="preserve">Ahora bien, en cuanto a la temporalidad de lo solicitado, se debe de realizar estudio con la Ley de Archivo, toda vez que de la generación a la información ha transcurrido ocho años, por lo que pudiera ser el caso que lo generado ya hubiera causado baja documental. </w:t>
      </w:r>
    </w:p>
    <w:p w:rsidR="00E94CED" w:rsidRPr="009E7B94" w:rsidRDefault="00E94CED" w:rsidP="00E94CED">
      <w:pPr>
        <w:pStyle w:val="Prrafodelista"/>
        <w:rPr>
          <w:rFonts w:ascii="Palatino Linotype" w:hAnsi="Palatino Linotype"/>
          <w:color w:val="000000"/>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lastRenderedPageBreak/>
        <w:t xml:space="preserve">De lo </w:t>
      </w:r>
      <w:r w:rsidRPr="009E7B94">
        <w:rPr>
          <w:rFonts w:ascii="Palatino Linotype" w:eastAsia="Palatino Linotype" w:hAnsi="Palatino Linotype" w:cs="Palatino Linotype"/>
          <w:color w:val="000000"/>
        </w:rPr>
        <w:t>anterior</w:t>
      </w:r>
      <w:r w:rsidRPr="009E7B94">
        <w:rPr>
          <w:rFonts w:ascii="Palatino Linotype" w:eastAsia="Palatino Linotype" w:hAnsi="Palatino Linotype" w:cs="Palatino Linotype"/>
        </w:rPr>
        <w:t xml:space="preserve">,  es importante referir el estudio de la baja documental que considera la </w:t>
      </w:r>
      <w:r w:rsidRPr="009E7B94">
        <w:rPr>
          <w:rFonts w:ascii="Palatino Linotype" w:eastAsia="Palatino Linotype" w:hAnsi="Palatino Linotype" w:cs="Palatino Linotype"/>
          <w:b/>
        </w:rPr>
        <w:t xml:space="preserve">LEY DE ARCHIVOS Y ADMINISTRACIÓN DE DOCUMENTOS DEL ESTADO DE MÉXICO Y MUNICIPIOS, en su artículo 1 ° </w:t>
      </w:r>
      <w:r w:rsidRPr="009E7B94">
        <w:rPr>
          <w:rFonts w:ascii="Palatino Linotype" w:eastAsia="Palatino Linotype" w:hAnsi="Palatino Linotype" w:cs="Palatino Linotype"/>
        </w:rPr>
        <w:t xml:space="preserve">tiene como objeto </w:t>
      </w:r>
      <w:r w:rsidRPr="009E7B94">
        <w:rPr>
          <w:rFonts w:ascii="Palatino Linotype" w:eastAsia="Palatino Linotype" w:hAnsi="Palatino Linotype" w:cs="Palatino Linotype"/>
          <w:i/>
        </w:rPr>
        <w:t xml:space="preserve">“Artículo 1. La presente Ley es de orden público y de observancia general en el Estado de México, y tiene por objeto establecer la organización, conservación, administración y preservación homogénea de los Archivos en posesión de cualquier autoridad, entidad, órgano y organismo de los poderes Legislativo, Ejecutivo y Judicial, órganos autónomos, partidos políticos, fideicomisos y fondos públicos, así como de cualquier persona física, jurídica colectiva o sindicato que reciba y ejerza recursos públicos o realice actos de autoridad del Estado de México y municipios. Así como determinar las bases de organización y funcionamiento del Sistema Estatal de Archivos y </w:t>
      </w:r>
      <w:r w:rsidRPr="009E7B94">
        <w:rPr>
          <w:rFonts w:ascii="Palatino Linotype" w:eastAsia="Palatino Linotype" w:hAnsi="Palatino Linotype" w:cs="Palatino Linotype"/>
          <w:b/>
          <w:i/>
        </w:rPr>
        <w:t>fomentar el resguardo, difusión y acceso público</w:t>
      </w:r>
      <w:r w:rsidRPr="009E7B94">
        <w:rPr>
          <w:rFonts w:ascii="Palatino Linotype" w:eastAsia="Palatino Linotype" w:hAnsi="Palatino Linotype" w:cs="Palatino Linotype"/>
          <w:i/>
        </w:rPr>
        <w:t xml:space="preserve"> de Archivos privados de relevancia histórica, social, cultural, científica y técnica estatal…” </w:t>
      </w:r>
    </w:p>
    <w:p w:rsidR="00E94CED" w:rsidRPr="009E7B94" w:rsidRDefault="00E94CED" w:rsidP="00E94CED">
      <w:pPr>
        <w:spacing w:line="360" w:lineRule="auto"/>
        <w:ind w:right="-787"/>
        <w:jc w:val="both"/>
        <w:rPr>
          <w:rFonts w:ascii="Palatino Linotype" w:eastAsia="Palatino Linotype" w:hAnsi="Palatino Linotype" w:cs="Palatino Linotype"/>
          <w:i/>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Así </w:t>
      </w:r>
      <w:r w:rsidRPr="009E7B94">
        <w:rPr>
          <w:rFonts w:ascii="Palatino Linotype" w:eastAsia="MS Mincho" w:hAnsi="Palatino Linotype"/>
        </w:rPr>
        <w:t>mismo</w:t>
      </w:r>
      <w:r w:rsidRPr="009E7B94">
        <w:rPr>
          <w:rFonts w:ascii="Palatino Linotype" w:eastAsia="Palatino Linotype" w:hAnsi="Palatino Linotype" w:cs="Palatino Linotype"/>
        </w:rPr>
        <w:t xml:space="preserve">, la normativa citada con antelación, considera en su artículo cuarto los siguientes hechos que son de relevancia para el estudio del presente recurso: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b/>
          <w:i/>
        </w:rPr>
        <w:t>V. Archivo de Concentración</w:t>
      </w:r>
      <w:r w:rsidRPr="009E7B94">
        <w:rPr>
          <w:rFonts w:ascii="Palatino Linotype" w:eastAsia="Palatino Linotype" w:hAnsi="Palatino Linotype" w:cs="Palatino Linotype"/>
          <w:i/>
        </w:rPr>
        <w:t xml:space="preserve">: Al integrado por documentos transferidos desde las áreas o unidades productoras, cuyo uso y consulta es esporádica y que permanecen en él, hasta su Disposición Documental;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VI. </w:t>
      </w:r>
      <w:r w:rsidRPr="009E7B94">
        <w:rPr>
          <w:rFonts w:ascii="Palatino Linotype" w:eastAsia="Palatino Linotype" w:hAnsi="Palatino Linotype" w:cs="Palatino Linotype"/>
          <w:b/>
          <w:i/>
        </w:rPr>
        <w:t>Archivo de Trámite</w:t>
      </w:r>
      <w:r w:rsidRPr="009E7B94">
        <w:rPr>
          <w:rFonts w:ascii="Palatino Linotype" w:eastAsia="Palatino Linotype" w:hAnsi="Palatino Linotype" w:cs="Palatino Linotype"/>
          <w:i/>
        </w:rPr>
        <w:t xml:space="preserve">: Al integrado por Documentos de Archivo de uso cotidiano y necesario para el ejercicio de las atribuciones y funciones de los Sujetos Obligados;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VII</w:t>
      </w:r>
      <w:r w:rsidRPr="009E7B94">
        <w:rPr>
          <w:rFonts w:ascii="Palatino Linotype" w:eastAsia="Palatino Linotype" w:hAnsi="Palatino Linotype" w:cs="Palatino Linotype"/>
          <w:b/>
          <w:i/>
        </w:rPr>
        <w:t>. Archivo General:</w:t>
      </w:r>
      <w:r w:rsidRPr="009E7B94">
        <w:rPr>
          <w:rFonts w:ascii="Palatino Linotype" w:eastAsia="Palatino Linotype" w:hAnsi="Palatino Linotype" w:cs="Palatino Linotype"/>
          <w:i/>
        </w:rPr>
        <w:t xml:space="preserve"> Al Archivo General de la Nación</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b/>
          <w:i/>
        </w:rPr>
        <w:t>VIII. Archivo General del Estado:</w:t>
      </w:r>
      <w:r w:rsidRPr="009E7B94">
        <w:rPr>
          <w:rFonts w:ascii="Palatino Linotype" w:eastAsia="Palatino Linotype" w:hAnsi="Palatino Linotype" w:cs="Palatino Linotype"/>
          <w:i/>
        </w:rPr>
        <w:t xml:space="preserve"> Al Archivo General del Estado de México;</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 </w:t>
      </w:r>
      <w:r w:rsidRPr="009E7B94">
        <w:rPr>
          <w:rFonts w:ascii="Palatino Linotype" w:eastAsia="Palatino Linotype" w:hAnsi="Palatino Linotype" w:cs="Palatino Linotype"/>
          <w:b/>
          <w:i/>
        </w:rPr>
        <w:t>IX. Archivo Histórico:</w:t>
      </w:r>
      <w:r w:rsidRPr="009E7B94">
        <w:rPr>
          <w:rFonts w:ascii="Palatino Linotype" w:eastAsia="Palatino Linotype" w:hAnsi="Palatino Linotype" w:cs="Palatino Linotype"/>
          <w:i/>
        </w:rPr>
        <w:t xml:space="preserve"> Al integrado por documentos de conservación permanente y de relevancia para la memoria estatal o municipal de carácter público;</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XIII. </w:t>
      </w:r>
      <w:r w:rsidRPr="009E7B94">
        <w:rPr>
          <w:rFonts w:ascii="Palatino Linotype" w:eastAsia="Palatino Linotype" w:hAnsi="Palatino Linotype" w:cs="Palatino Linotype"/>
          <w:b/>
          <w:i/>
        </w:rPr>
        <w:t>Baja Documental:</w:t>
      </w:r>
      <w:r w:rsidRPr="009E7B94">
        <w:rPr>
          <w:rFonts w:ascii="Palatino Linotype" w:eastAsia="Palatino Linotype" w:hAnsi="Palatino Linotype" w:cs="Palatino Linotype"/>
          <w:i/>
        </w:rPr>
        <w:t xml:space="preserve"> A la eliminación de aquella documentación que haya prescrito su vigencia, valores documentales y, en su caso, plazos de </w:t>
      </w:r>
      <w:r w:rsidRPr="009E7B94">
        <w:rPr>
          <w:rFonts w:ascii="Palatino Linotype" w:eastAsia="Palatino Linotype" w:hAnsi="Palatino Linotype" w:cs="Palatino Linotype"/>
          <w:i/>
        </w:rPr>
        <w:lastRenderedPageBreak/>
        <w:t xml:space="preserve">conservación; y que no posea valores históricos, de acuerdo con la Ley y las disposiciones jurídicas aplicables;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XIV</w:t>
      </w:r>
      <w:r w:rsidRPr="009E7B94">
        <w:rPr>
          <w:rFonts w:ascii="Palatino Linotype" w:eastAsia="Palatino Linotype" w:hAnsi="Palatino Linotype" w:cs="Palatino Linotype"/>
          <w:b/>
          <w:i/>
        </w:rPr>
        <w:t>. Catálogo de Disposición Documental:</w:t>
      </w:r>
      <w:r w:rsidRPr="009E7B94">
        <w:rPr>
          <w:rFonts w:ascii="Palatino Linotype" w:eastAsia="Palatino Linotype" w:hAnsi="Palatino Linotype" w:cs="Palatino Linotype"/>
          <w:i/>
        </w:rPr>
        <w:t xml:space="preserve"> Al registro general y sistemático que establece los valores documentales, la Vigencia Documental, los plazos de conservación y la Disposición Documental;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b/>
          <w:i/>
        </w:rPr>
        <w:t>XV. Ciclo Vital:</w:t>
      </w:r>
      <w:r w:rsidRPr="009E7B94">
        <w:rPr>
          <w:rFonts w:ascii="Palatino Linotype" w:eastAsia="Palatino Linotype" w:hAnsi="Palatino Linotype" w:cs="Palatino Linotype"/>
          <w:i/>
        </w:rPr>
        <w:t xml:space="preserve"> A las etapas por las que atraviesan los Documentos de Archivo desde su producción o recepción hasta su Baja Documental o Transferencia a un Archivo Histórico;”</w:t>
      </w:r>
    </w:p>
    <w:p w:rsidR="00E94CED" w:rsidRPr="009E7B94" w:rsidRDefault="00E94CED" w:rsidP="00E94CED">
      <w:pPr>
        <w:ind w:right="1389"/>
        <w:rPr>
          <w:rFonts w:ascii="Palatino Linotype" w:eastAsia="Palatino Linotype" w:hAnsi="Palatino Linotype" w:cs="Palatino Linotype"/>
          <w:i/>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Es </w:t>
      </w:r>
      <w:r w:rsidRPr="009E7B94">
        <w:rPr>
          <w:rFonts w:ascii="Palatino Linotype" w:eastAsia="MS Mincho" w:hAnsi="Palatino Linotype"/>
        </w:rPr>
        <w:t>necesario</w:t>
      </w:r>
      <w:r w:rsidRPr="009E7B94">
        <w:rPr>
          <w:rFonts w:ascii="Palatino Linotype" w:eastAsia="Palatino Linotype" w:hAnsi="Palatino Linotype" w:cs="Palatino Linotype"/>
        </w:rPr>
        <w:t xml:space="preserve"> precisar que la LEY DE ARCHIVOS Y ADMINISTRACIÓN DE DOCUMENTOS DEL ESTADO DE MÉXICO Y MUNICIPIOS, en su artículo 10° refiere que los sujetos obligados son responsables de organizar y conservar sus Archivos; de la operación de su Sistema Institucional; del cumplimiento de lo dispuesto por esta Ley; así como por las determinaciones que emita el Consejo Estatal, según corresponda; y deberán garantizar que no se sustraigan, dañen o eliminen Documentos de Archivo y la información a su cargo. </w:t>
      </w:r>
    </w:p>
    <w:p w:rsidR="00E94CED" w:rsidRPr="009E7B94" w:rsidRDefault="00E94CED" w:rsidP="00E94CED">
      <w:pPr>
        <w:spacing w:line="360" w:lineRule="auto"/>
        <w:ind w:right="-787"/>
        <w:jc w:val="both"/>
        <w:rPr>
          <w:rFonts w:ascii="Palatino Linotype" w:eastAsia="Palatino Linotype" w:hAnsi="Palatino Linotype" w:cs="Palatino Linotype"/>
          <w:i/>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MS Mincho" w:hAnsi="Palatino Linotype"/>
        </w:rPr>
        <w:t>Por</w:t>
      </w:r>
      <w:r w:rsidRPr="009E7B94">
        <w:rPr>
          <w:rFonts w:ascii="Palatino Linotype" w:eastAsia="Palatino Linotype" w:hAnsi="Palatino Linotype" w:cs="Palatino Linotype"/>
        </w:rPr>
        <w:t xml:space="preserve"> su parte, la ley de  la materia en el ámbito estatal en su artículo 3°, fracción XLI refiere que el sujeto obligado es :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b/>
          <w:i/>
        </w:rPr>
        <w:t>Sujetos obligados:</w:t>
      </w:r>
      <w:r w:rsidRPr="009E7B94">
        <w:rPr>
          <w:rFonts w:ascii="Palatino Linotype" w:eastAsia="Palatino Linotype" w:hAnsi="Palatino Linotype" w:cs="Palatino Linotype"/>
          <w:i/>
        </w:rPr>
        <w:t xml:space="preserve"> Cualquier autoridad, entidad, órgano y organismo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jurídico colectiva o sindicato que reciba y ejerza recursos públicos o realice actos de autoridad en el ámbito estatal y municipal, que deba cumplir con las obligaciones previstas en la presente Ley;</w:t>
      </w:r>
    </w:p>
    <w:p w:rsidR="00E94CED" w:rsidRPr="009E7B94" w:rsidRDefault="00E94CED" w:rsidP="00E94CED">
      <w:pPr>
        <w:spacing w:line="360" w:lineRule="auto"/>
        <w:ind w:right="-787"/>
        <w:rPr>
          <w:rFonts w:ascii="Palatino Linotype" w:eastAsia="Palatino Linotype" w:hAnsi="Palatino Linotype" w:cs="Palatino Linotype"/>
          <w:i/>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hAnsi="Palatino Linotype"/>
          <w:color w:val="000000"/>
        </w:rPr>
        <w:lastRenderedPageBreak/>
        <w:t>Ahora</w:t>
      </w:r>
      <w:r w:rsidRPr="009E7B94">
        <w:rPr>
          <w:rFonts w:ascii="Palatino Linotype" w:eastAsia="Palatino Linotype" w:hAnsi="Palatino Linotype" w:cs="Palatino Linotype"/>
        </w:rPr>
        <w:t xml:space="preserve"> bien, el artículo 31 ° de la LEY DE ARCHIVOS Y ADMINISTRACIÓN DE </w:t>
      </w:r>
      <w:r w:rsidRPr="009E7B94">
        <w:rPr>
          <w:rFonts w:ascii="Palatino Linotype" w:eastAsia="Palatino Linotype" w:hAnsi="Palatino Linotype" w:cs="Palatino Linotype"/>
          <w:color w:val="000000"/>
        </w:rPr>
        <w:t>DOCUMENTOS</w:t>
      </w:r>
      <w:r w:rsidRPr="009E7B94">
        <w:rPr>
          <w:rFonts w:ascii="Palatino Linotype" w:eastAsia="Palatino Linotype" w:hAnsi="Palatino Linotype" w:cs="Palatino Linotype"/>
        </w:rPr>
        <w:t xml:space="preserve"> DEL ESTADO DE MÉXICO Y MUNICIPIOS, establece que Cada Sujeto Obligado debe contar con un Archivo de Concentración, que tendrá las siguientes funciones: </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Asegurar y describir los Fondos Documentales bajo su resguardo, así como la consulta de los Expedientes; </w:t>
      </w:r>
    </w:p>
    <w:p w:rsidR="00E94CED" w:rsidRPr="009E7B94" w:rsidRDefault="00E94CED" w:rsidP="00E94CED">
      <w:pPr>
        <w:numPr>
          <w:ilvl w:val="0"/>
          <w:numId w:val="9"/>
        </w:numPr>
        <w:ind w:left="1134" w:right="1389" w:firstLine="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Recibir las Transferencias Primarias y brindar servicios de préstamo y consulta a las unidades o áreas administrativas productoras de la documentación que resguarda; </w:t>
      </w:r>
    </w:p>
    <w:p w:rsidR="00E94CED" w:rsidRPr="009E7B94" w:rsidRDefault="00E94CED" w:rsidP="00E94CED">
      <w:pPr>
        <w:numPr>
          <w:ilvl w:val="0"/>
          <w:numId w:val="9"/>
        </w:numPr>
        <w:ind w:left="1134" w:right="1389" w:firstLine="0"/>
        <w:jc w:val="both"/>
        <w:rPr>
          <w:rFonts w:ascii="Palatino Linotype" w:eastAsia="Palatino Linotype" w:hAnsi="Palatino Linotype" w:cs="Palatino Linotype"/>
          <w:b/>
          <w:i/>
        </w:rPr>
      </w:pPr>
      <w:r w:rsidRPr="009E7B94">
        <w:rPr>
          <w:rFonts w:ascii="Palatino Linotype" w:eastAsia="Palatino Linotype" w:hAnsi="Palatino Linotype" w:cs="Palatino Linotype"/>
          <w:b/>
          <w:i/>
        </w:rPr>
        <w:t xml:space="preserve">Conservar los Expedientes hasta cumplir su Vigencia Documental de acuerdo con lo establecido en el Catálogo de Disposición Documental; </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Colaborar con el Área Coordinadora de Archivos en la elaboración de los Instrumentos de Control Archivístico previstos en esta Ley y en sus disposiciones reglamentarias;</w:t>
      </w:r>
      <w:r w:rsidRPr="009E7B94">
        <w:t xml:space="preserve"> </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Participar con el Área Coordinadora de Archivos en la elaboración de los criterios de Valoración y Disposición Documental; </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b/>
          <w:i/>
        </w:rPr>
      </w:pPr>
      <w:r w:rsidRPr="009E7B94">
        <w:rPr>
          <w:rFonts w:ascii="Palatino Linotype" w:eastAsia="Palatino Linotype" w:hAnsi="Palatino Linotype" w:cs="Palatino Linotype"/>
          <w:i/>
        </w:rPr>
        <w:t xml:space="preserve"> </w:t>
      </w:r>
      <w:r w:rsidRPr="009E7B94">
        <w:rPr>
          <w:rFonts w:ascii="Palatino Linotype" w:eastAsia="Palatino Linotype" w:hAnsi="Palatino Linotype" w:cs="Palatino Linotype"/>
          <w:b/>
          <w:i/>
        </w:rPr>
        <w:t xml:space="preserve">Promover la Baja Documental de los Expedientes que integran las Series documentales que hayan cumplido su Vigencia Documental y, en su caso, plazos de conservación y que no posean valores históricos, conforme a las disposiciones jurídicas aplicables; </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Identificar los Expedientes que integran las Series documentales que hayan cumplido su Vigencia Documental y que cuenten con valores históricos, y que serán transferidos a los Archivos Históricos de los Sujetos Obligados, según corresponda;</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 Integrar a sus respectivos Expedientes, el registro de los procesos de Disposición Documental, incluyendo dictámenes, actas e inventarios;</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Publicar, al final de cada año, los dictámenes y actas de Baja Documental y Transferencia Secundaria, en los términos que establezcan las disposiciones en la materia y conservarlos en el Archivo de Concentración por un periodo mínimo de siete años a partir de la fecha de su elaboración;</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Realizar la Transferencia Secundaria de las Series documentales que hayan cumplido su Vigencia Documental y posean valores evidenciales, </w:t>
      </w:r>
      <w:r w:rsidRPr="009E7B94">
        <w:rPr>
          <w:rFonts w:ascii="Palatino Linotype" w:eastAsia="Palatino Linotype" w:hAnsi="Palatino Linotype" w:cs="Palatino Linotype"/>
          <w:i/>
        </w:rPr>
        <w:lastRenderedPageBreak/>
        <w:t>testimoniales e informativos al Archivo Histórico del Sujeto Obligado, o al Archivo General del Estado según corresponda, y</w:t>
      </w:r>
    </w:p>
    <w:p w:rsidR="00E94CED" w:rsidRPr="009E7B94" w:rsidRDefault="00E94CED" w:rsidP="00E94CED">
      <w:pPr>
        <w:numPr>
          <w:ilvl w:val="0"/>
          <w:numId w:val="9"/>
        </w:numPr>
        <w:ind w:left="1134" w:right="1389" w:firstLine="60"/>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 Las que establezca el Consejo Estatal, y las disposiciones jurídicas aplicables.</w:t>
      </w:r>
    </w:p>
    <w:p w:rsidR="00E94CED" w:rsidRPr="009E7B94" w:rsidRDefault="00E94CED" w:rsidP="00E94CED">
      <w:pPr>
        <w:ind w:right="-787"/>
        <w:rPr>
          <w:rFonts w:ascii="Palatino Linotype" w:eastAsia="Palatino Linotype" w:hAnsi="Palatino Linotype" w:cs="Palatino Linotype"/>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En ese sentido, se tienen que tomar en cuenta los Criterios Técnicos de las </w:t>
      </w:r>
      <w:r w:rsidRPr="009E7B94">
        <w:rPr>
          <w:rFonts w:ascii="Palatino Linotype" w:hAnsi="Palatino Linotype"/>
          <w:color w:val="000000"/>
        </w:rPr>
        <w:t>dependencias</w:t>
      </w:r>
      <w:r w:rsidRPr="009E7B94">
        <w:rPr>
          <w:rFonts w:ascii="Palatino Linotype" w:eastAsia="Palatino Linotype" w:hAnsi="Palatino Linotype" w:cs="Palatino Linotype"/>
        </w:rPr>
        <w:t xml:space="preserve"> y Organismos Auxiliares de la Administración Pública Estatal Para la Elaboración, </w:t>
      </w:r>
      <w:r w:rsidRPr="009E7B94">
        <w:rPr>
          <w:rFonts w:ascii="Palatino Linotype" w:eastAsia="MS Mincho" w:hAnsi="Palatino Linotype"/>
        </w:rPr>
        <w:t>Actualización</w:t>
      </w:r>
      <w:r w:rsidRPr="009E7B94">
        <w:rPr>
          <w:rFonts w:ascii="Palatino Linotype" w:eastAsia="Palatino Linotype" w:hAnsi="Palatino Linotype" w:cs="Palatino Linotype"/>
        </w:rPr>
        <w:t xml:space="preserve">, Registro y Validación del Catálogo de Disposición Documental, mismo que refiere en su artículo 8 la vigencia y plazos de conservación documental de la siguiente manera. </w:t>
      </w:r>
    </w:p>
    <w:p w:rsidR="00E94CED" w:rsidRPr="009E7B94" w:rsidRDefault="00E94CED" w:rsidP="00E94CED">
      <w:pPr>
        <w:tabs>
          <w:tab w:val="left" w:pos="851"/>
        </w:tabs>
        <w:ind w:left="1134" w:right="1389"/>
        <w:jc w:val="both"/>
        <w:rPr>
          <w:i/>
        </w:rPr>
      </w:pPr>
      <w:r w:rsidRPr="009E7B94">
        <w:rPr>
          <w:rFonts w:ascii="Palatino Linotype" w:eastAsia="Palatino Linotype" w:hAnsi="Palatino Linotype" w:cs="Palatino Linotype"/>
          <w:b/>
          <w:i/>
          <w:color w:val="000000"/>
        </w:rPr>
        <w:t>Artículo 8.</w:t>
      </w:r>
      <w:r w:rsidRPr="009E7B94">
        <w:rPr>
          <w:rFonts w:ascii="Palatino Linotype" w:eastAsia="Palatino Linotype" w:hAnsi="Palatino Linotype" w:cs="Palatino Linotype"/>
          <w:i/>
          <w:color w:val="000000"/>
        </w:rPr>
        <w:t xml:space="preserve"> Para el establecimiento de las vigencias documentales, los plazos de conservación y la disposición final de las series, las dependencias y organismos deberán contemplar el marco normativo bajo el cual se produjeron las series y considerar los periodos de guarda y custodia siguientes:</w:t>
      </w:r>
      <w:r w:rsidRPr="009E7B94">
        <w:rPr>
          <w:i/>
        </w:rPr>
        <w:t xml:space="preserve"> </w:t>
      </w:r>
    </w:p>
    <w:p w:rsidR="00E94CED" w:rsidRPr="009E7B94" w:rsidRDefault="00E94CED" w:rsidP="00E94CED">
      <w:pPr>
        <w:numPr>
          <w:ilvl w:val="0"/>
          <w:numId w:val="8"/>
        </w:numPr>
        <w:tabs>
          <w:tab w:val="left" w:pos="851"/>
        </w:tabs>
        <w:ind w:left="1134" w:right="1389" w:firstLine="0"/>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2 años como mínimo para expedientes de asuntos concluidos en los archivos de trámite de las unidades administrativas, periodo que se computará a partir del día siguiente a la fecha del documento con el que se dé por concluido el asunto que motivó la integración de cada expediente; </w:t>
      </w:r>
    </w:p>
    <w:p w:rsidR="00E94CED" w:rsidRPr="009E7B94" w:rsidRDefault="00E94CED" w:rsidP="00E94CED">
      <w:pPr>
        <w:tabs>
          <w:tab w:val="left" w:pos="851"/>
        </w:tabs>
        <w:ind w:left="1134" w:right="1389"/>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II. 6 años para expedientes de series documentales con valor documental administrativo; </w:t>
      </w:r>
    </w:p>
    <w:p w:rsidR="00E94CED" w:rsidRPr="009E7B94" w:rsidRDefault="00E94CED" w:rsidP="00E94CED">
      <w:pPr>
        <w:tabs>
          <w:tab w:val="left" w:pos="851"/>
        </w:tabs>
        <w:ind w:left="1134" w:right="1389"/>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III. 6 años como mínimo para expedientes de series documentales con valor documental fiscal-contable; </w:t>
      </w:r>
    </w:p>
    <w:p w:rsidR="00E94CED" w:rsidRPr="009E7B94" w:rsidRDefault="00E94CED" w:rsidP="00E94CED">
      <w:pPr>
        <w:tabs>
          <w:tab w:val="left" w:pos="851"/>
        </w:tabs>
        <w:ind w:left="1134" w:right="1389"/>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IV. 12 años para expedientes de series documentales con valor documental jurídico-legal; </w:t>
      </w:r>
    </w:p>
    <w:p w:rsidR="00E94CED" w:rsidRPr="009E7B94" w:rsidRDefault="00E94CED" w:rsidP="00E94CED">
      <w:pPr>
        <w:tabs>
          <w:tab w:val="left" w:pos="851"/>
        </w:tabs>
        <w:ind w:left="1134" w:right="1389"/>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V. Cuando en la legislación se establezca un tiempo superior al señalado en las fracciones anteriores, se considerará éste para establecer los plazos de conservación de las series. </w:t>
      </w:r>
    </w:p>
    <w:p w:rsidR="00E94CED" w:rsidRPr="009E7B94" w:rsidRDefault="00E94CED" w:rsidP="00E94CED">
      <w:pPr>
        <w:tabs>
          <w:tab w:val="left" w:pos="851"/>
        </w:tabs>
        <w:ind w:left="1134" w:right="1389"/>
        <w:jc w:val="both"/>
        <w:rPr>
          <w:rFonts w:ascii="Palatino Linotype" w:eastAsia="Palatino Linotype" w:hAnsi="Palatino Linotype" w:cs="Palatino Linotype"/>
          <w:i/>
          <w:color w:val="000000"/>
        </w:rPr>
      </w:pPr>
      <w:r w:rsidRPr="009E7B94">
        <w:rPr>
          <w:rFonts w:ascii="Palatino Linotype" w:eastAsia="Palatino Linotype" w:hAnsi="Palatino Linotype" w:cs="Palatino Linotype"/>
          <w:i/>
          <w:color w:val="000000"/>
        </w:rPr>
        <w:t xml:space="preserve">VI. Los plazos de conservación relativos al archivo contable gubernamental se determinarán atendiendo lo señalado en el Código Financiero del Estado de México y Municipios y en las disposiciones establecidas al respecto por la </w:t>
      </w:r>
      <w:r w:rsidRPr="009E7B94">
        <w:rPr>
          <w:rFonts w:ascii="Palatino Linotype" w:eastAsia="Palatino Linotype" w:hAnsi="Palatino Linotype" w:cs="Palatino Linotype"/>
          <w:i/>
          <w:color w:val="000000"/>
        </w:rPr>
        <w:lastRenderedPageBreak/>
        <w:t>Secretaría de Finanzas del Gobierno del Estado de México y la Secretaría de Hacienda y Crédito Público.</w:t>
      </w:r>
    </w:p>
    <w:p w:rsidR="00E94CED" w:rsidRPr="009E7B94" w:rsidRDefault="00E94CED" w:rsidP="00E94CED">
      <w:pPr>
        <w:tabs>
          <w:tab w:val="left" w:pos="851"/>
        </w:tabs>
        <w:ind w:left="1134" w:right="-787"/>
        <w:jc w:val="both"/>
        <w:rPr>
          <w:rFonts w:ascii="Palatino Linotype" w:eastAsia="Palatino Linotype" w:hAnsi="Palatino Linotype" w:cs="Palatino Linotype"/>
          <w:i/>
          <w:color w:val="000000"/>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rPr>
        <w:t>Sirve</w:t>
      </w:r>
      <w:r w:rsidRPr="009E7B94">
        <w:rPr>
          <w:rFonts w:ascii="Palatino Linotype" w:eastAsia="Palatino Linotype" w:hAnsi="Palatino Linotype" w:cs="Palatino Linotype"/>
          <w:color w:val="000000"/>
        </w:rPr>
        <w:t xml:space="preserve"> de apoyo el criterio 14-09 que emite el Instituto Nacional de </w:t>
      </w:r>
      <w:r w:rsidRPr="009E7B94">
        <w:rPr>
          <w:rFonts w:ascii="Palatino Linotype" w:eastAsia="Palatino Linotype" w:hAnsi="Palatino Linotype" w:cs="Palatino Linotype"/>
        </w:rPr>
        <w:t>Transparencia</w:t>
      </w:r>
      <w:r w:rsidRPr="009E7B94">
        <w:rPr>
          <w:rFonts w:ascii="Palatino Linotype" w:eastAsia="Palatino Linotype" w:hAnsi="Palatino Linotype" w:cs="Palatino Linotype"/>
          <w:color w:val="000000"/>
        </w:rPr>
        <w:t xml:space="preserve">, Acceso a la </w:t>
      </w:r>
      <w:r w:rsidRPr="009E7B94">
        <w:rPr>
          <w:rFonts w:ascii="Palatino Linotype" w:eastAsia="MS Mincho" w:hAnsi="Palatino Linotype"/>
        </w:rPr>
        <w:t>Información</w:t>
      </w:r>
      <w:r w:rsidRPr="009E7B94">
        <w:rPr>
          <w:rFonts w:ascii="Palatino Linotype" w:eastAsia="Palatino Linotype" w:hAnsi="Palatino Linotype" w:cs="Palatino Linotype"/>
          <w:color w:val="000000"/>
        </w:rPr>
        <w:t xml:space="preserve"> y Protección de Datos Personales, vigente a la fecha de la solicitud de información,  que a la letra dice:</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b/>
          <w:i/>
        </w:rPr>
        <w:t>Baja documental</w:t>
      </w:r>
      <w:r w:rsidRPr="009E7B94">
        <w:rPr>
          <w:rFonts w:ascii="Palatino Linotype" w:eastAsia="Palatino Linotype" w:hAnsi="Palatino Linotype" w:cs="Palatino Linotype"/>
          <w:i/>
        </w:rPr>
        <w:t>. Las dependencias y entidades deben proporcionar a los particulares el documento que acredite dicha situación. De conformidad con lo previsto en los artículos 24 y 46 de la Ley Federal de Transparencia y Acceso a la Información Pública Gubernamental 70, fracción V y 78, fracción III de su Reglamento, las dependencias y entidades deberán expedir una resolución que comunique a los solicitantes la inexistencia de la información requerida, en caso de que ésta no sea localizada en los archivos de la dependencia o entidad de que se trate después de una búsqueda exhaustiva. En este supuesto, las dependencias y entidades deberán acompañar a la resolución por la que se confirma la declaración de inexistencia, el acta de baja documental, esto es, el documento mediante la cual se acredita la legal destrucción de la información solicitada, en todos aquellos casos en los que la normatividad en materia archivística prevea que la misma debe existir.</w:t>
      </w:r>
    </w:p>
    <w:p w:rsidR="00E94CED" w:rsidRPr="009E7B94" w:rsidRDefault="00E94CED" w:rsidP="00E94CED">
      <w:pPr>
        <w:ind w:left="1134" w:right="1389"/>
        <w:jc w:val="both"/>
        <w:rPr>
          <w:rFonts w:ascii="Palatino Linotype" w:eastAsia="Palatino Linotype" w:hAnsi="Palatino Linotype" w:cs="Palatino Linotype"/>
          <w:i/>
        </w:rPr>
      </w:pP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Expedientes:</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4650/07 Instituto de Seguridad y Servicios Sociales de los Trabajadores del</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Estado – Alonso Lujambio Irazábal</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0908/08 Instituto Mexicano del Seguro Social – Alonso Lujambio Irazábal</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4961/08 Instituto Mexicano del Seguro Social – Alonso Gómez-Robledo V.</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0820/09  Secretaría de Agricultura, Ganadería, Desarrollo Rural, Pesca y</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Alimentación – Jacqueline Peschard Mariscal</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3928/09 Administración Federal de Servicios Educativos en el Distrito Federal –</w:t>
      </w:r>
    </w:p>
    <w:p w:rsidR="00E94CED" w:rsidRPr="009E7B94" w:rsidRDefault="00E94CED" w:rsidP="00E94CED">
      <w:pPr>
        <w:ind w:left="1134" w:right="1389"/>
        <w:jc w:val="both"/>
        <w:rPr>
          <w:rFonts w:ascii="Palatino Linotype" w:eastAsia="Palatino Linotype" w:hAnsi="Palatino Linotype" w:cs="Palatino Linotype"/>
          <w:i/>
        </w:rPr>
      </w:pPr>
      <w:r w:rsidRPr="009E7B94">
        <w:rPr>
          <w:rFonts w:ascii="Palatino Linotype" w:eastAsia="Palatino Linotype" w:hAnsi="Palatino Linotype" w:cs="Palatino Linotype"/>
          <w:i/>
        </w:rPr>
        <w:t>María Marván Laborde</w:t>
      </w:r>
    </w:p>
    <w:p w:rsidR="00E94CED" w:rsidRPr="009E7B94" w:rsidRDefault="00E94CED" w:rsidP="00E94CED">
      <w:pPr>
        <w:ind w:right="277"/>
        <w:jc w:val="both"/>
        <w:rPr>
          <w:rFonts w:ascii="Palatino Linotype" w:eastAsia="Palatino Linotype" w:hAnsi="Palatino Linotype" w:cs="Palatino Linotype"/>
        </w:rPr>
      </w:pPr>
    </w:p>
    <w:p w:rsidR="00E94CED" w:rsidRPr="009E7B94" w:rsidRDefault="00E94CED" w:rsidP="00E94CED">
      <w:pPr>
        <w:numPr>
          <w:ilvl w:val="0"/>
          <w:numId w:val="1"/>
        </w:numPr>
        <w:pBdr>
          <w:top w:val="nil"/>
          <w:left w:val="nil"/>
          <w:bottom w:val="nil"/>
          <w:right w:val="nil"/>
          <w:between w:val="nil"/>
        </w:pBdr>
        <w:spacing w:line="360" w:lineRule="auto"/>
        <w:ind w:left="0" w:right="49" w:firstLine="0"/>
        <w:jc w:val="both"/>
        <w:rPr>
          <w:rFonts w:ascii="Palatino Linotype" w:eastAsia="Palatino Linotype" w:hAnsi="Palatino Linotype" w:cs="Palatino Linotype"/>
        </w:rPr>
      </w:pPr>
      <w:r w:rsidRPr="009E7B94">
        <w:rPr>
          <w:rFonts w:ascii="Palatino Linotype" w:hAnsi="Palatino Linotype"/>
          <w:color w:val="000000"/>
        </w:rPr>
        <w:lastRenderedPageBreak/>
        <w:t>De</w:t>
      </w:r>
      <w:r w:rsidRPr="009E7B94">
        <w:rPr>
          <w:rFonts w:ascii="Palatino Linotype" w:eastAsia="Palatino Linotype" w:hAnsi="Palatino Linotype" w:cs="Palatino Linotype"/>
          <w:color w:val="000000"/>
        </w:rPr>
        <w:t xml:space="preserve"> lo anterior, toda vez que ha transcurrido el tiempo de la conservación de archivos que, es que es que pudiera ser que el </w:t>
      </w:r>
      <w:r w:rsidRPr="009E7B94">
        <w:rPr>
          <w:rFonts w:ascii="Palatino Linotype" w:eastAsia="Palatino Linotype" w:hAnsi="Palatino Linotype" w:cs="Palatino Linotype"/>
          <w:b/>
          <w:color w:val="000000"/>
        </w:rPr>
        <w:t xml:space="preserve">SUJETO OBLIGADO </w:t>
      </w:r>
      <w:r w:rsidRPr="009E7B94">
        <w:rPr>
          <w:rFonts w:ascii="Palatino Linotype" w:eastAsia="Palatino Linotype" w:hAnsi="Palatino Linotype" w:cs="Palatino Linotype"/>
          <w:color w:val="000000"/>
        </w:rPr>
        <w:t xml:space="preserve">no cuente con lo solicitado el </w:t>
      </w:r>
      <w:r w:rsidRPr="009E7B94">
        <w:rPr>
          <w:rFonts w:ascii="Palatino Linotype" w:eastAsia="Palatino Linotype" w:hAnsi="Palatino Linotype" w:cs="Palatino Linotype"/>
          <w:b/>
          <w:color w:val="000000"/>
        </w:rPr>
        <w:t xml:space="preserve">SUJETO OBLIGADO </w:t>
      </w:r>
      <w:r w:rsidRPr="009E7B94">
        <w:rPr>
          <w:rFonts w:ascii="Palatino Linotype" w:eastAsia="Palatino Linotype" w:hAnsi="Palatino Linotype" w:cs="Palatino Linotype"/>
          <w:color w:val="000000"/>
        </w:rPr>
        <w:t xml:space="preserve">deberá de emitir el Acuerdo de Inexistencia en términos de </w:t>
      </w:r>
      <w:r w:rsidRPr="009E7B94">
        <w:rPr>
          <w:rFonts w:ascii="Palatino Linotype" w:eastAsia="Palatino Linotype" w:hAnsi="Palatino Linotype" w:cs="Palatino Linotype"/>
        </w:rPr>
        <w:t>los artículos 49, fracciones II y XIII, 169 y 170 de la Ley de Transparencia y Acceso a la Información Pública del Estado de México y Municipios que al respecto emita su Comité de Transparencia, acompañado del acta de baja documental.</w:t>
      </w:r>
    </w:p>
    <w:p w:rsidR="009E7B94" w:rsidRDefault="009E7B94" w:rsidP="007C0364">
      <w:pPr>
        <w:spacing w:line="360" w:lineRule="auto"/>
        <w:ind w:right="49"/>
        <w:jc w:val="both"/>
        <w:rPr>
          <w:rFonts w:ascii="Palatino Linotype" w:eastAsia="Palatino Linotype" w:hAnsi="Palatino Linotype" w:cs="Palatino Linotype"/>
          <w:b/>
        </w:rPr>
      </w:pPr>
      <w:bookmarkStart w:id="32" w:name="_Toc466371865"/>
      <w:bookmarkStart w:id="33" w:name="_Toc466377653"/>
      <w:bookmarkStart w:id="34" w:name="_Toc495427547"/>
      <w:bookmarkStart w:id="35" w:name="_Toc49790536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7C0364" w:rsidRPr="009E7B94" w:rsidRDefault="007C0364" w:rsidP="007C0364">
      <w:pPr>
        <w:spacing w:line="360" w:lineRule="auto"/>
        <w:ind w:right="49"/>
        <w:jc w:val="both"/>
        <w:rPr>
          <w:rFonts w:ascii="Palatino Linotype" w:eastAsia="Palatino Linotype" w:hAnsi="Palatino Linotype" w:cs="Palatino Linotype"/>
          <w:b/>
        </w:rPr>
      </w:pPr>
      <w:r w:rsidRPr="009E7B94">
        <w:rPr>
          <w:rFonts w:ascii="Palatino Linotype" w:eastAsia="Palatino Linotype" w:hAnsi="Palatino Linotype" w:cs="Palatino Linotype"/>
          <w:b/>
        </w:rPr>
        <w:t>QUINTO. De la versión pública.</w:t>
      </w: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color w:val="000000"/>
        </w:rPr>
        <w:t>Finalmente</w:t>
      </w:r>
      <w:r w:rsidRPr="009E7B94">
        <w:rPr>
          <w:rFonts w:ascii="Palatino Linotype" w:eastAsia="Palatino Linotype" w:hAnsi="Palatino Linotype" w:cs="Palatino Linotype"/>
        </w:rPr>
        <w:t xml:space="preserve">, debe señalarse que lo ordenado contiene datos </w:t>
      </w:r>
      <w:r w:rsidRPr="009E7B94">
        <w:rPr>
          <w:rFonts w:ascii="Palatino Linotype" w:hAnsi="Palatino Linotype"/>
          <w:lang w:val="es-ES"/>
        </w:rPr>
        <w:t>personales conforme al análisis realizado</w:t>
      </w:r>
      <w:r w:rsidRPr="009E7B94">
        <w:rPr>
          <w:rFonts w:ascii="Palatino Linotype" w:eastAsia="Palatino Linotype" w:hAnsi="Palatino Linotype" w:cs="Palatino Linotype"/>
        </w:rPr>
        <w:t xml:space="preserve">, por tanto el </w:t>
      </w:r>
      <w:r w:rsidRPr="009E7B94">
        <w:rPr>
          <w:rFonts w:ascii="Palatino Linotype" w:eastAsia="Palatino Linotype" w:hAnsi="Palatino Linotype" w:cs="Palatino Linotype"/>
          <w:b/>
        </w:rPr>
        <w:t>SUJETO OBLIGADO</w:t>
      </w:r>
      <w:r w:rsidRPr="009E7B94">
        <w:rPr>
          <w:rFonts w:ascii="Palatino Linotype" w:eastAsia="Palatino Linotype" w:hAnsi="Palatino Linotype" w:cs="Palatino Linotype"/>
        </w:rPr>
        <w:t xml:space="preserve">, para dar cumplimiento a la presente Resolución, deberá proceder a la elaboración de la versión pública de tales documentos a fin de satisfacer el derecho de acceso a la información pública de </w:t>
      </w:r>
      <w:r w:rsidRPr="009E7B94">
        <w:rPr>
          <w:rFonts w:ascii="Palatino Linotype" w:eastAsia="Palatino Linotype" w:hAnsi="Palatino Linotype" w:cs="Palatino Linotype"/>
          <w:b/>
        </w:rPr>
        <w:t>LA RECURRENTE</w:t>
      </w:r>
      <w:r w:rsidRPr="009E7B94">
        <w:rPr>
          <w:rFonts w:ascii="Palatino Linotype" w:eastAsia="Palatino Linotype" w:hAnsi="Palatino Linotype" w:cs="Palatino Linotype"/>
        </w:rPr>
        <w:t xml:space="preserve"> sin menoscabo al derecho a la protección de los datos personales de terceros.</w:t>
      </w:r>
    </w:p>
    <w:p w:rsidR="007C0364" w:rsidRPr="009E7B94" w:rsidRDefault="007C0364" w:rsidP="007C0364">
      <w:pPr>
        <w:spacing w:line="360" w:lineRule="auto"/>
        <w:ind w:right="49"/>
        <w:jc w:val="both"/>
        <w:rPr>
          <w:rFonts w:ascii="Palatino Linotype" w:eastAsia="Palatino Linotype" w:hAnsi="Palatino Linotype" w:cs="Palatino Linotype"/>
        </w:rPr>
      </w:pP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Para efectos de la elaboración de la versión pública se deberá observar lo dispuesto por los artículos 3 fracciones IX, XX, XXI y XLV, 91, 132 fracciones II y III, y 143 fracción I de la Ley de Transparencia y Acceso a la Información Pública del Estado de México y Municipios que establecen:</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w:t>
      </w:r>
      <w:r w:rsidRPr="009E7B94">
        <w:rPr>
          <w:rFonts w:ascii="Palatino Linotype" w:eastAsia="Palatino Linotype" w:hAnsi="Palatino Linotype" w:cs="Palatino Linotype"/>
          <w:b/>
          <w:i/>
        </w:rPr>
        <w:t>Artículo 3</w:t>
      </w:r>
      <w:r w:rsidRPr="009E7B94">
        <w:rPr>
          <w:rFonts w:ascii="Palatino Linotype" w:eastAsia="Palatino Linotype" w:hAnsi="Palatino Linotype" w:cs="Palatino Linotype"/>
          <w:i/>
        </w:rPr>
        <w:t>. Para los efectos de la presente Ley se entenderá por:</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IX. Datos personales</w:t>
      </w:r>
      <w:r w:rsidRPr="009E7B94">
        <w:rPr>
          <w:rFonts w:ascii="Palatino Linotype" w:eastAsia="Palatino Linotype" w:hAnsi="Palatino Linotype" w:cs="Palatino Linotype"/>
          <w:i/>
        </w:rPr>
        <w:t xml:space="preserve">: La información concerniente a una persona, identificada o identificable según lo dispuesto por la Ley de Protección de Datos Personales del Estado de México; </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lastRenderedPageBreak/>
        <w:t>XX. Información clasificada</w:t>
      </w:r>
      <w:r w:rsidRPr="009E7B94">
        <w:rPr>
          <w:rFonts w:ascii="Palatino Linotype" w:eastAsia="Palatino Linotype" w:hAnsi="Palatino Linotype" w:cs="Palatino Linotype"/>
          <w:i/>
        </w:rPr>
        <w:t>: Aquella considerada por la presente Ley como reservada o confidencial;</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 xml:space="preserve">XXI. Información confidencial: </w:t>
      </w:r>
      <w:r w:rsidRPr="009E7B94">
        <w:rPr>
          <w:rFonts w:ascii="Palatino Linotype" w:eastAsia="Palatino Linotype" w:hAnsi="Palatino Linotype" w:cs="Palatino Linotype"/>
          <w:i/>
        </w:rPr>
        <w:t>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XLV. Versión pública:</w:t>
      </w:r>
      <w:r w:rsidRPr="009E7B94">
        <w:rPr>
          <w:rFonts w:ascii="Palatino Linotype" w:eastAsia="Palatino Linotype" w:hAnsi="Palatino Linotype" w:cs="Palatino Linotype"/>
          <w:i/>
        </w:rPr>
        <w:t xml:space="preserve"> Documento en el que se elimine, suprime o borra la información clasificada como reservada o confidencial para permitir su acceso.</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w:t>
      </w:r>
    </w:p>
    <w:p w:rsidR="007C0364" w:rsidRPr="009E7B94" w:rsidRDefault="007C0364" w:rsidP="007C0364">
      <w:pPr>
        <w:spacing w:line="360" w:lineRule="auto"/>
        <w:ind w:left="1134" w:right="902"/>
        <w:jc w:val="both"/>
        <w:rPr>
          <w:rFonts w:ascii="Palatino Linotype" w:eastAsia="Palatino Linotype" w:hAnsi="Palatino Linotype" w:cs="Palatino Linotype"/>
          <w:i/>
        </w:rPr>
      </w:pP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Artículo 91.</w:t>
      </w:r>
      <w:r w:rsidRPr="009E7B94">
        <w:rPr>
          <w:rFonts w:ascii="Palatino Linotype" w:eastAsia="Palatino Linotype" w:hAnsi="Palatino Linotype" w:cs="Palatino Linotype"/>
          <w:i/>
        </w:rPr>
        <w:t xml:space="preserve"> El acceso a la información pública será restringido excepcionalmente, cuando ésta sea clasificada como reservada o confidencial.</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Artículo 132.</w:t>
      </w:r>
      <w:r w:rsidRPr="009E7B94">
        <w:rPr>
          <w:rFonts w:ascii="Palatino Linotype" w:eastAsia="Palatino Linotype" w:hAnsi="Palatino Linotype" w:cs="Palatino Linotype"/>
          <w:i/>
        </w:rPr>
        <w:t xml:space="preserve"> La clasificación de la información se llevará a cabo en el momento en que:</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w:t>
      </w:r>
      <w:r w:rsidRPr="009E7B94">
        <w:rPr>
          <w:rFonts w:ascii="Palatino Linotype" w:eastAsia="Palatino Linotype" w:hAnsi="Palatino Linotype" w:cs="Palatino Linotype"/>
          <w:i/>
        </w:rPr>
        <w:t>. Se reciba una solicitud de acceso a la información;</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w:t>
      </w:r>
      <w:r w:rsidRPr="009E7B94">
        <w:rPr>
          <w:rFonts w:ascii="Palatino Linotype" w:eastAsia="Palatino Linotype" w:hAnsi="Palatino Linotype" w:cs="Palatino Linotype"/>
          <w:i/>
        </w:rPr>
        <w:t xml:space="preserve"> Se determine mediante resolución de autoridad competente; o</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III.</w:t>
      </w:r>
      <w:r w:rsidRPr="009E7B94">
        <w:rPr>
          <w:rFonts w:ascii="Palatino Linotype" w:eastAsia="Palatino Linotype" w:hAnsi="Palatino Linotype" w:cs="Palatino Linotype"/>
          <w:i/>
        </w:rPr>
        <w:t xml:space="preserve"> Se generen versiones públicas para dar cumplimiento a las obligaciones de transparencia previstas en esta Ley.</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w:t>
      </w:r>
    </w:p>
    <w:p w:rsidR="007C0364" w:rsidRPr="009E7B94" w:rsidRDefault="007C0364" w:rsidP="007C0364">
      <w:pPr>
        <w:spacing w:line="360" w:lineRule="auto"/>
        <w:ind w:left="851" w:right="902"/>
        <w:jc w:val="both"/>
        <w:rPr>
          <w:rFonts w:ascii="Palatino Linotype" w:eastAsia="Palatino Linotype" w:hAnsi="Palatino Linotype" w:cs="Palatino Linotype"/>
          <w:i/>
        </w:rPr>
      </w:pP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Artículo 143</w:t>
      </w:r>
      <w:r w:rsidRPr="009E7B94">
        <w:rPr>
          <w:rFonts w:ascii="Palatino Linotype" w:eastAsia="Palatino Linotype" w:hAnsi="Palatino Linotype" w:cs="Palatino Linotype"/>
          <w:i/>
        </w:rPr>
        <w:t>. Para los efectos de esta Ley se considera información confidencial, la clasificada como tal, de manera permanente, por su naturaleza, cuando:</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lastRenderedPageBreak/>
        <w:t>I.</w:t>
      </w:r>
      <w:r w:rsidRPr="009E7B94">
        <w:rPr>
          <w:rFonts w:ascii="Palatino Linotype" w:eastAsia="Palatino Linotype" w:hAnsi="Palatino Linotype" w:cs="Palatino Linotype"/>
          <w:i/>
        </w:rPr>
        <w:t xml:space="preserve"> Se refiera a la información privada y los datos personales concernientes a una persona física o jurídico colectiva identificada o identificable;</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w:t>
      </w:r>
      <w:r w:rsidRPr="009E7B94">
        <w:rPr>
          <w:rFonts w:ascii="Palatino Linotype" w:eastAsia="Palatino Linotype" w:hAnsi="Palatino Linotype" w:cs="Palatino Linotype"/>
          <w:i/>
        </w:rPr>
        <w:t xml:space="preserve"> Los secretos bancario, fiduciario, industrial, comercial, fiscal, bursátil y postal, cuya titularidad corresponda a particulares, sujetos de derecho internacional o a sujetos obligados cuando no involucren el ejercicio de recursos públicos; y</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III.</w:t>
      </w:r>
      <w:r w:rsidRPr="009E7B94">
        <w:rPr>
          <w:rFonts w:ascii="Palatino Linotype" w:eastAsia="Palatino Linotype" w:hAnsi="Palatino Linotype" w:cs="Palatino Linotype"/>
          <w:i/>
        </w:rPr>
        <w:t xml:space="preserve"> La que presenten los particulares a los sujetos obligados, de conformidad con lo dispuesto por las leyes o los tratados internacionales.</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La información confidencial no estará sujeta a temporalidad alguna y sólo podrán tener acceso a ella los titulares de la misma, sus representantes y los servidores públicos facultados para ello.</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No se considerará confidencial la información que se encuentre en los registros públicos o en fuentes de acceso público, ni tampoco la que sea considerada por la presente ley como información pública.”</w:t>
      </w:r>
    </w:p>
    <w:p w:rsidR="007C0364" w:rsidRPr="009E7B94" w:rsidRDefault="007C0364" w:rsidP="007C0364">
      <w:pPr>
        <w:spacing w:line="360" w:lineRule="auto"/>
        <w:ind w:left="851" w:right="902"/>
        <w:jc w:val="both"/>
        <w:rPr>
          <w:rFonts w:ascii="Palatino Linotype" w:eastAsia="Palatino Linotype" w:hAnsi="Palatino Linotype" w:cs="Palatino Linotype"/>
          <w:i/>
        </w:rPr>
      </w:pP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t>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publicados en el Diario Oficial de la Federación el día quince de abril de dos mil dieciséis,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rsidR="007C0364" w:rsidRPr="009E7B94" w:rsidRDefault="007C0364" w:rsidP="007C0364">
      <w:pPr>
        <w:pStyle w:val="Prrafodelista"/>
        <w:spacing w:line="360" w:lineRule="auto"/>
        <w:ind w:left="0"/>
        <w:jc w:val="both"/>
        <w:rPr>
          <w:rFonts w:ascii="Palatino Linotype" w:eastAsia="Palatino Linotype" w:hAnsi="Palatino Linotype" w:cs="Palatino Linotype"/>
        </w:rPr>
      </w:pP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rPr>
      </w:pPr>
      <w:r w:rsidRPr="009E7B94">
        <w:rPr>
          <w:rFonts w:ascii="Palatino Linotype" w:eastAsia="Palatino Linotype" w:hAnsi="Palatino Linotype" w:cs="Palatino Linotype"/>
        </w:rPr>
        <w:lastRenderedPageBreak/>
        <w:t>Entorno a lo que aquí nos interesa, los Lineamientos Quincuagésimo sexto, Quincuagésimo séptimo y Quincuagésimo octavo, establecen lo siguiente:</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“Quincuagésimo sexto</w:t>
      </w:r>
      <w:r w:rsidRPr="009E7B94">
        <w:rPr>
          <w:rFonts w:ascii="Palatino Linotype" w:eastAsia="Palatino Linotype" w:hAnsi="Palatino Linotype" w:cs="Palatino Linotype"/>
          <w:i/>
        </w:rPr>
        <w:t>. La versión pública del documento o expediente que contenga partes o secciones reservadas o confidenciales, será elaborada por los sujetos obligados, previo pago de los costos de reproducción, a través de sus áreas y deberá ser aprobada por su Comité de Transparencia</w:t>
      </w:r>
    </w:p>
    <w:p w:rsidR="007C0364" w:rsidRPr="009E7B94" w:rsidRDefault="007C0364" w:rsidP="007C0364">
      <w:pPr>
        <w:spacing w:line="360" w:lineRule="auto"/>
        <w:ind w:left="851" w:right="902"/>
        <w:jc w:val="both"/>
        <w:rPr>
          <w:rFonts w:ascii="Palatino Linotype" w:eastAsia="Palatino Linotype" w:hAnsi="Palatino Linotype" w:cs="Palatino Linotype"/>
          <w:i/>
        </w:rPr>
      </w:pP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Quincuagésimo séptimo</w:t>
      </w:r>
      <w:r w:rsidRPr="009E7B94">
        <w:rPr>
          <w:rFonts w:ascii="Palatino Linotype" w:eastAsia="Palatino Linotype" w:hAnsi="Palatino Linotype" w:cs="Palatino Linotype"/>
          <w:i/>
        </w:rPr>
        <w:t xml:space="preserve">. Se considera, en principio, como información pública y no podrá omitirse de las versiones públicas la siguiente: </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w:t>
      </w:r>
      <w:r w:rsidRPr="009E7B94">
        <w:rPr>
          <w:rFonts w:ascii="Palatino Linotype" w:eastAsia="Palatino Linotype" w:hAnsi="Palatino Linotype" w:cs="Palatino Linotype"/>
          <w:i/>
        </w:rPr>
        <w:t xml:space="preserve"> La relativa a las Obligaciones de Transparencia que contempla el Título V de la Ley General y las demás disposiciones legales aplicables; </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w:t>
      </w:r>
      <w:r w:rsidRPr="009E7B94">
        <w:rPr>
          <w:rFonts w:ascii="Palatino Linotype" w:eastAsia="Palatino Linotype" w:hAnsi="Palatino Linotype" w:cs="Palatino Linotype"/>
          <w:i/>
        </w:rPr>
        <w:t xml:space="preserve"> El nombre de los servidores públicos en los documentos, y sus firmas autógrafas, cuando sean utilizados en el ejercicio de las facultades conferidas para el desempeño del servicio público, y </w:t>
      </w:r>
    </w:p>
    <w:p w:rsidR="007C0364" w:rsidRPr="009E7B94" w:rsidRDefault="007C0364" w:rsidP="007C0364">
      <w:pPr>
        <w:spacing w:line="360" w:lineRule="auto"/>
        <w:ind w:left="1134"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III.</w:t>
      </w:r>
      <w:r w:rsidRPr="009E7B94">
        <w:rPr>
          <w:rFonts w:ascii="Palatino Linotype" w:eastAsia="Palatino Linotype" w:hAnsi="Palatino Linotype" w:cs="Palatino Linotype"/>
          <w:i/>
        </w:rPr>
        <w:t xml:space="preserve"> La información que documente decisiones y los actos de autoridad concluidos de los sujetos obligados, así como el ejercicio de las facultades o actividades de los servidores públicos, de manera que se pueda valorar el desempeño de los mismos.</w:t>
      </w: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i/>
        </w:rPr>
        <w:t xml:space="preserve">Lo anterior, siempre y cuando no se acredite alguna causal de clasificación, prevista en las leyes o en los tratados internaciones suscritos por el Estado mexicano. </w:t>
      </w:r>
    </w:p>
    <w:p w:rsidR="007C0364" w:rsidRPr="009E7B94" w:rsidRDefault="007C0364" w:rsidP="007C0364">
      <w:pPr>
        <w:spacing w:line="360" w:lineRule="auto"/>
        <w:ind w:left="851" w:right="902"/>
        <w:jc w:val="both"/>
        <w:rPr>
          <w:rFonts w:ascii="Palatino Linotype" w:eastAsia="Palatino Linotype" w:hAnsi="Palatino Linotype" w:cs="Palatino Linotype"/>
          <w:i/>
        </w:rPr>
      </w:pPr>
    </w:p>
    <w:p w:rsidR="007C0364" w:rsidRPr="009E7B94" w:rsidRDefault="007C0364" w:rsidP="007C0364">
      <w:pPr>
        <w:spacing w:line="360" w:lineRule="auto"/>
        <w:ind w:left="851" w:right="902"/>
        <w:jc w:val="both"/>
        <w:rPr>
          <w:rFonts w:ascii="Palatino Linotype" w:eastAsia="Palatino Linotype" w:hAnsi="Palatino Linotype" w:cs="Palatino Linotype"/>
          <w:i/>
        </w:rPr>
      </w:pPr>
      <w:r w:rsidRPr="009E7B94">
        <w:rPr>
          <w:rFonts w:ascii="Palatino Linotype" w:eastAsia="Palatino Linotype" w:hAnsi="Palatino Linotype" w:cs="Palatino Linotype"/>
          <w:b/>
          <w:i/>
        </w:rPr>
        <w:t>Quincuagésimo octavo</w:t>
      </w:r>
      <w:r w:rsidRPr="009E7B94">
        <w:rPr>
          <w:rFonts w:ascii="Palatino Linotype" w:eastAsia="Palatino Linotype" w:hAnsi="Palatino Linotype" w:cs="Palatino Linotype"/>
          <w:i/>
        </w:rPr>
        <w:t>. Los sujetos obligados garantizarán que los sistemas o medios empleados para eliminar la información en las versiones públicas no permitan la recuperación o visualización de la misma.”</w:t>
      </w: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lastRenderedPageBreak/>
        <w:t xml:space="preserve">Luego entonces, el </w:t>
      </w:r>
      <w:r w:rsidRPr="009E7B94">
        <w:rPr>
          <w:rFonts w:ascii="Palatino Linotype" w:eastAsia="Palatino Linotype" w:hAnsi="Palatino Linotype" w:cs="Palatino Linotype"/>
          <w:b/>
          <w:color w:val="000000"/>
        </w:rPr>
        <w:t xml:space="preserve">SUJETOS OBLIGADOS </w:t>
      </w:r>
      <w:r w:rsidRPr="009E7B94">
        <w:rPr>
          <w:rFonts w:ascii="Palatino Linotype" w:eastAsia="Palatino Linotype" w:hAnsi="Palatino Linotype" w:cs="Palatino Linotype"/>
          <w:color w:val="000000"/>
        </w:rPr>
        <w:t xml:space="preserve">será responsable de los datos personales en </w:t>
      </w:r>
      <w:r w:rsidRPr="009E7B94">
        <w:rPr>
          <w:rFonts w:ascii="Palatino Linotype" w:eastAsia="Palatino Linotype" w:hAnsi="Palatino Linotype" w:cs="Palatino Linotype"/>
        </w:rPr>
        <w:t>su</w:t>
      </w:r>
      <w:r w:rsidRPr="009E7B94">
        <w:rPr>
          <w:rFonts w:ascii="Palatino Linotype" w:eastAsia="Palatino Linotype" w:hAnsi="Palatino Linotype" w:cs="Palatino Linotype"/>
          <w:color w:val="000000"/>
        </w:rPr>
        <w:t xml:space="preserve"> posesión y que, en caso de localizarse datos concernientes a terceros, éstos no podrán difundir, distribuir o comercializar los datos personales.  Cabe destacar que, para la realización de la clasificación de la información, se deben seguir una serie de </w:t>
      </w:r>
      <w:r w:rsidRPr="009E7B94">
        <w:rPr>
          <w:rFonts w:ascii="Palatino Linotype" w:eastAsia="Calibri" w:hAnsi="Palatino Linotype" w:cs="Tahoma"/>
          <w:bCs/>
          <w:lang w:eastAsia="en-US"/>
        </w:rPr>
        <w:t>pasos</w:t>
      </w:r>
      <w:r w:rsidRPr="009E7B94">
        <w:rPr>
          <w:rFonts w:ascii="Palatino Linotype" w:eastAsia="Palatino Linotype" w:hAnsi="Palatino Linotype" w:cs="Palatino Linotype"/>
          <w:color w:val="000000"/>
        </w:rPr>
        <w:t xml:space="preserve"> y procedimientos, por lo que es menester reiterar los mismos:</w:t>
      </w:r>
    </w:p>
    <w:p w:rsidR="007C0364" w:rsidRPr="009E7B94" w:rsidRDefault="007C0364" w:rsidP="007C0364">
      <w:pPr>
        <w:spacing w:line="360" w:lineRule="auto"/>
        <w:ind w:right="49"/>
        <w:jc w:val="both"/>
        <w:rPr>
          <w:rFonts w:ascii="Palatino Linotype" w:eastAsia="Palatino Linotype" w:hAnsi="Palatino Linotype" w:cs="Palatino Linotype"/>
          <w:color w:val="000000"/>
        </w:rPr>
      </w:pPr>
    </w:p>
    <w:tbl>
      <w:tblPr>
        <w:tblW w:w="97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689"/>
        <w:gridCol w:w="7087"/>
      </w:tblGrid>
      <w:tr w:rsidR="007C0364" w:rsidRPr="009E7B94" w:rsidTr="009E7B94">
        <w:tc>
          <w:tcPr>
            <w:tcW w:w="2689" w:type="dxa"/>
          </w:tcPr>
          <w:p w:rsidR="007C0364" w:rsidRPr="009E7B94" w:rsidRDefault="007C0364" w:rsidP="00363F7B">
            <w:pPr>
              <w:tabs>
                <w:tab w:val="left" w:pos="284"/>
              </w:tabs>
              <w:spacing w:line="360" w:lineRule="auto"/>
              <w:rPr>
                <w:rFonts w:ascii="Palatino Linotype" w:eastAsia="Palatino Linotype" w:hAnsi="Palatino Linotype" w:cs="Palatino Linotype"/>
              </w:rPr>
            </w:pPr>
            <w:r w:rsidRPr="009E7B94">
              <w:rPr>
                <w:rFonts w:ascii="Palatino Linotype" w:eastAsia="Palatino Linotype" w:hAnsi="Palatino Linotype" w:cs="Palatino Linotype"/>
              </w:rPr>
              <w:t>a) Requisitos previos.</w:t>
            </w:r>
          </w:p>
        </w:tc>
        <w:tc>
          <w:tcPr>
            <w:tcW w:w="7087"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Los artículos 100 y 122 de la Ley Estatal y de la Ley General, respectivamente, señalan que si los Sujetos Obligados determinan que la información actualiza alguno de los supuestos de clasificación, es deber de los titulares de las áreas proponer su clasificación y no del Comité de Transparencia. </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Al hacerlo tienen que precisar de qué información se trata, señalando el supuesto de clasificación (confidencialidad o reserva).</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Además, se debe señalar el procedimiento, de los tres que establecen los artículos 132 y 106 de la Ley Estatal y General, respectivamente.</w:t>
            </w:r>
          </w:p>
          <w:p w:rsidR="007C0364" w:rsidRPr="009E7B94" w:rsidRDefault="007C0364" w:rsidP="00363F7B">
            <w:pPr>
              <w:tabs>
                <w:tab w:val="left" w:pos="284"/>
              </w:tabs>
              <w:spacing w:line="360" w:lineRule="auto"/>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El último de estos requisitos previos consiste en que no se pueden emitir acuerdos de carácter general ni particular, esto es, </w:t>
            </w:r>
            <w:r w:rsidRPr="009E7B94">
              <w:rPr>
                <w:rFonts w:ascii="Palatino Linotype" w:eastAsia="Palatino Linotype" w:hAnsi="Palatino Linotype" w:cs="Palatino Linotype"/>
                <w:color w:val="000000"/>
                <w:u w:val="single"/>
              </w:rPr>
              <w:t>no se puede hacer un acuerdo para clasificar de manera general todos los documentos de un expediente o área, sin</w:t>
            </w:r>
            <w:r w:rsidRPr="009E7B94">
              <w:rPr>
                <w:rFonts w:ascii="Palatino Linotype" w:eastAsia="Palatino Linotype" w:hAnsi="Palatino Linotype" w:cs="Palatino Linotype"/>
                <w:color w:val="000000"/>
              </w:rPr>
              <w:t xml:space="preserve"> individualizar su análisis y tampoco se puede hacer un acuerdo por cada dato que </w:t>
            </w:r>
            <w:r w:rsidRPr="009E7B94">
              <w:rPr>
                <w:rFonts w:ascii="Palatino Linotype" w:eastAsia="Palatino Linotype" w:hAnsi="Palatino Linotype" w:cs="Palatino Linotype"/>
                <w:color w:val="000000"/>
              </w:rPr>
              <w:lastRenderedPageBreak/>
              <w:t>se vaya a clasificar dentro de un documento con diez datos, por ejemplo, susceptibles de ser clasificados.</w:t>
            </w:r>
          </w:p>
          <w:p w:rsidR="007C0364" w:rsidRPr="009E7B94" w:rsidRDefault="007C0364" w:rsidP="00363F7B">
            <w:pPr>
              <w:tabs>
                <w:tab w:val="left" w:pos="284"/>
              </w:tabs>
              <w:spacing w:line="360" w:lineRule="auto"/>
              <w:jc w:val="both"/>
              <w:rPr>
                <w:rFonts w:ascii="Palatino Linotype" w:eastAsia="Palatino Linotype" w:hAnsi="Palatino Linotype" w:cs="Palatino Linotype"/>
              </w:rPr>
            </w:pPr>
          </w:p>
        </w:tc>
      </w:tr>
      <w:tr w:rsidR="007C0364" w:rsidRPr="009E7B94" w:rsidTr="009E7B94">
        <w:tc>
          <w:tcPr>
            <w:tcW w:w="2689" w:type="dxa"/>
          </w:tcPr>
          <w:p w:rsidR="007C0364" w:rsidRPr="009E7B94" w:rsidRDefault="007C0364" w:rsidP="00363F7B">
            <w:pPr>
              <w:tabs>
                <w:tab w:val="left" w:pos="284"/>
              </w:tabs>
              <w:spacing w:line="360" w:lineRule="auto"/>
              <w:rPr>
                <w:rFonts w:ascii="Palatino Linotype" w:eastAsia="Palatino Linotype" w:hAnsi="Palatino Linotype" w:cs="Palatino Linotype"/>
              </w:rPr>
            </w:pPr>
            <w:r w:rsidRPr="009E7B94">
              <w:rPr>
                <w:rFonts w:ascii="Palatino Linotype" w:eastAsia="Palatino Linotype" w:hAnsi="Palatino Linotype" w:cs="Palatino Linotype"/>
              </w:rPr>
              <w:lastRenderedPageBreak/>
              <w:t>b) Supuestos de clasificación.</w:t>
            </w:r>
          </w:p>
        </w:tc>
        <w:tc>
          <w:tcPr>
            <w:tcW w:w="7087"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Las disposiciones constitucionales y legales en la materia establecen los dos supuestos generales para clasificar la información: por reserva y por confidencialidad.</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Los artículos 116 y 143 de la Ley Estatal y de la Ley General, respectivamente, señalan los supuestos para que la información pueda ser clasificada como confidencial. Mientras que los artículos 105 y 130 de la Ley Estatal y de la Ley General, respectivamente, señalan que la aplicación de estos supuestos debe realizarse de manera restrictiva y limitada, por lo que debe acreditarse que se cumple con esta condición y no se pueden ampliar las excepciones o supuestos de clasificación aduciendo analogía o mayoría de razón.</w:t>
            </w:r>
          </w:p>
          <w:p w:rsidR="007C0364" w:rsidRPr="009E7B94" w:rsidRDefault="007C0364" w:rsidP="00363F7B">
            <w:pPr>
              <w:tabs>
                <w:tab w:val="left" w:pos="284"/>
              </w:tabs>
              <w:spacing w:line="360" w:lineRule="auto"/>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El </w:t>
            </w:r>
            <w:r w:rsidRPr="009E7B94">
              <w:rPr>
                <w:rFonts w:ascii="Palatino Linotype" w:eastAsia="Palatino Linotype" w:hAnsi="Palatino Linotype" w:cs="Palatino Linotype"/>
                <w:b/>
                <w:color w:val="000000"/>
              </w:rPr>
              <w:t>Sujeto Obligado</w:t>
            </w:r>
            <w:r w:rsidRPr="009E7B94">
              <w:rPr>
                <w:rFonts w:ascii="Palatino Linotype" w:eastAsia="Palatino Linotype" w:hAnsi="Palatino Linotype" w:cs="Palatino Linotype"/>
                <w:color w:val="000000"/>
              </w:rPr>
              <w:t xml:space="preserve"> debe identificar claramente el tipo de información y hacer un juicio de subsunción o encaje para acreditar que el supuesto de hecho corresponde estrictamente con la hipótesis jurídica. Esto también lo debe de realizar el servidor público habilitado y el titular del área que administra la información.</w:t>
            </w:r>
          </w:p>
          <w:p w:rsidR="007C0364" w:rsidRPr="009E7B94" w:rsidRDefault="007C0364" w:rsidP="00363F7B">
            <w:pPr>
              <w:tabs>
                <w:tab w:val="left" w:pos="284"/>
              </w:tabs>
              <w:spacing w:line="360" w:lineRule="auto"/>
              <w:jc w:val="both"/>
              <w:rPr>
                <w:rFonts w:ascii="Palatino Linotype" w:eastAsia="Palatino Linotype" w:hAnsi="Palatino Linotype" w:cs="Palatino Linotype"/>
              </w:rPr>
            </w:pPr>
          </w:p>
        </w:tc>
      </w:tr>
      <w:tr w:rsidR="007C0364" w:rsidRPr="009E7B94" w:rsidTr="009E7B94">
        <w:tc>
          <w:tcPr>
            <w:tcW w:w="2689" w:type="dxa"/>
          </w:tcPr>
          <w:p w:rsidR="007C0364" w:rsidRPr="009E7B94" w:rsidRDefault="007C0364" w:rsidP="00363F7B">
            <w:pPr>
              <w:tabs>
                <w:tab w:val="left" w:pos="284"/>
              </w:tabs>
              <w:spacing w:line="360" w:lineRule="auto"/>
              <w:rPr>
                <w:rFonts w:ascii="Palatino Linotype" w:eastAsia="Palatino Linotype" w:hAnsi="Palatino Linotype" w:cs="Palatino Linotype"/>
              </w:rPr>
            </w:pPr>
            <w:r w:rsidRPr="009E7B94">
              <w:rPr>
                <w:rFonts w:ascii="Palatino Linotype" w:eastAsia="Palatino Linotype" w:hAnsi="Palatino Linotype" w:cs="Palatino Linotype"/>
              </w:rPr>
              <w:lastRenderedPageBreak/>
              <w:t>c) Formalidades para emitir el acuerdo de clasificación.</w:t>
            </w:r>
          </w:p>
        </w:tc>
        <w:tc>
          <w:tcPr>
            <w:tcW w:w="7087"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El Comité de Transparencia, según lo dispuesto en los artículos cuenta con las facultades para aprobar, modificar o revocar la clasificación de la información que haya propuesto. </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Es necesario que </w:t>
            </w:r>
            <w:r w:rsidRPr="009E7B94">
              <w:rPr>
                <w:rFonts w:ascii="Palatino Linotype" w:eastAsia="Palatino Linotype" w:hAnsi="Palatino Linotype" w:cs="Palatino Linotype"/>
                <w:b/>
                <w:color w:val="000000"/>
                <w:u w:val="single"/>
              </w:rPr>
              <w:t>el acto reúna con los requisitos elementales</w:t>
            </w:r>
            <w:r w:rsidRPr="009E7B94">
              <w:rPr>
                <w:rFonts w:ascii="Palatino Linotype" w:eastAsia="Palatino Linotype" w:hAnsi="Palatino Linotype" w:cs="Palatino Linotype"/>
                <w:color w:val="000000"/>
              </w:rPr>
              <w:t>, entre ellos, que la autoridad que va a emitir el acto de autoridad sea la legalmente facultada para ello.</w:t>
            </w:r>
          </w:p>
          <w:p w:rsidR="007C0364" w:rsidRPr="009E7B94" w:rsidRDefault="007C0364" w:rsidP="00363F7B">
            <w:pPr>
              <w:tabs>
                <w:tab w:val="left" w:pos="284"/>
              </w:tabs>
              <w:spacing w:line="360" w:lineRule="auto"/>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La decisión de aprobar, modificar o revocar la clasificación deberá de asentarse en un documento que registre la determinación a la que se llegue después de un análisis minucioso a partir de lo propuesto por el Titular del I. área que administra la información, cuyo análisis debe integrarse en la agenda de los asuntos a tratar en las sesiones, se insiste, a partir de las decisiones adoptadas previamente por los titulares de áreas y que son sujetas a control, en primera instancia, por el Comité de Transparencia.</w:t>
            </w:r>
          </w:p>
          <w:p w:rsidR="007C0364" w:rsidRPr="009E7B94" w:rsidRDefault="007C0364" w:rsidP="00363F7B">
            <w:pPr>
              <w:tabs>
                <w:tab w:val="left" w:pos="284"/>
              </w:tabs>
              <w:spacing w:line="360" w:lineRule="auto"/>
              <w:jc w:val="both"/>
              <w:rPr>
                <w:rFonts w:ascii="Palatino Linotype" w:eastAsia="Palatino Linotype" w:hAnsi="Palatino Linotype" w:cs="Palatino Linotype"/>
              </w:rPr>
            </w:pPr>
          </w:p>
        </w:tc>
      </w:tr>
      <w:tr w:rsidR="007C0364" w:rsidRPr="009E7B94" w:rsidTr="009E7B94">
        <w:tc>
          <w:tcPr>
            <w:tcW w:w="2689" w:type="dxa"/>
          </w:tcPr>
          <w:p w:rsidR="007C0364" w:rsidRPr="009E7B94" w:rsidRDefault="007C0364" w:rsidP="00363F7B">
            <w:pPr>
              <w:tabs>
                <w:tab w:val="left" w:pos="284"/>
              </w:tabs>
              <w:spacing w:line="360" w:lineRule="auto"/>
              <w:rPr>
                <w:rFonts w:ascii="Palatino Linotype" w:eastAsia="Palatino Linotype" w:hAnsi="Palatino Linotype" w:cs="Palatino Linotype"/>
              </w:rPr>
            </w:pPr>
          </w:p>
          <w:p w:rsidR="007C0364" w:rsidRPr="009E7B94" w:rsidRDefault="007C0364" w:rsidP="00363F7B">
            <w:pPr>
              <w:tabs>
                <w:tab w:val="left" w:pos="284"/>
              </w:tabs>
              <w:spacing w:line="360" w:lineRule="auto"/>
              <w:jc w:val="both"/>
              <w:rPr>
                <w:rFonts w:ascii="Palatino Linotype" w:eastAsia="Palatino Linotype" w:hAnsi="Palatino Linotype" w:cs="Palatino Linotype"/>
              </w:rPr>
            </w:pPr>
            <w:r w:rsidRPr="009E7B94">
              <w:rPr>
                <w:rFonts w:ascii="Palatino Linotype" w:eastAsia="Palatino Linotype" w:hAnsi="Palatino Linotype" w:cs="Palatino Linotype"/>
                <w:color w:val="000000"/>
              </w:rPr>
              <w:t xml:space="preserve">d) Requisitos de fondo del acuerdo de clasificación. </w:t>
            </w:r>
          </w:p>
        </w:tc>
        <w:tc>
          <w:tcPr>
            <w:tcW w:w="7087"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Como se ha señalado antes, al hacer el juicio de subsunción o encaje entre el supuesto de hecho y la hipótesis jurídica, se debe acreditar la estricta correspondencia entre un elemento y otro. Ahora, en esta parte del procedimiento, que se desahoga en sede del Comité de Transparencia, la ley señala que la carga de la prueba, para justificar las restricciones, corresponde a los </w:t>
            </w:r>
            <w:r w:rsidRPr="009E7B94">
              <w:rPr>
                <w:rFonts w:ascii="Palatino Linotype" w:eastAsia="Palatino Linotype" w:hAnsi="Palatino Linotype" w:cs="Palatino Linotype"/>
                <w:b/>
                <w:color w:val="000000"/>
              </w:rPr>
              <w:t xml:space="preserve">Sujetos </w:t>
            </w:r>
            <w:r w:rsidRPr="009E7B94">
              <w:rPr>
                <w:rFonts w:ascii="Palatino Linotype" w:eastAsia="Palatino Linotype" w:hAnsi="Palatino Linotype" w:cs="Palatino Linotype"/>
                <w:b/>
                <w:color w:val="000000"/>
              </w:rPr>
              <w:lastRenderedPageBreak/>
              <w:t>Obligados</w:t>
            </w:r>
            <w:r w:rsidRPr="009E7B94">
              <w:rPr>
                <w:rFonts w:ascii="Palatino Linotype" w:eastAsia="Palatino Linotype" w:hAnsi="Palatino Linotype" w:cs="Palatino Linotype"/>
                <w:color w:val="000000"/>
              </w:rPr>
              <w:t xml:space="preserve">, por lo que deberán fundar y motivar debidamente la clasificación. </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De lo anterior, se desprende que para una correcta </w:t>
            </w:r>
            <w:r w:rsidRPr="009E7B94">
              <w:rPr>
                <w:rFonts w:ascii="Palatino Linotype" w:eastAsia="Palatino Linotype" w:hAnsi="Palatino Linotype" w:cs="Palatino Linotype"/>
                <w:b/>
                <w:color w:val="000000"/>
              </w:rPr>
              <w:t>clasificación total o parcial</w:t>
            </w:r>
            <w:r w:rsidRPr="009E7B94">
              <w:rPr>
                <w:rFonts w:ascii="Palatino Linotype" w:eastAsia="Palatino Linotype" w:hAnsi="Palatino Linotype" w:cs="Palatino Linotype"/>
                <w:color w:val="000000"/>
              </w:rPr>
              <w:t>, esto es determinar los datos que se suprimen en las versiones públicas, es necesario fundar y motivar, de manera correcta, la clasificación; considerando que todo acto que la autoridad pronuncie en el ejercicio de sus atribuciones, debe expresar los fundamentos legales que le dieron origen y las razones por las que se deben aplicar al caso concreto.</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Así, en un acto de autoridad se cumple con la debida fundamentación cuando se cita el precepto legal aplicable al caso concreto y la debida motivación cuando se expresan las razones, motivos o circunstancias que tomó en cuenta la autoridad para adecuar el hecho a los fundamentos de derecho. De este modo, la persona que se sienta afectada pueda impugnar la decisión, permitiéndole una real y auténtica defensa.</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En ese mismo sentido, el numeral trigésimo tercero fracción V de los Lineamientos Generales, precisa que para motivar la clasificación se deben acreditar las circunstancias de tiempo, modo y lugar.</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Ahora bien, </w:t>
            </w:r>
            <w:r w:rsidRPr="009E7B94">
              <w:rPr>
                <w:rFonts w:ascii="Palatino Linotype" w:eastAsia="Palatino Linotype" w:hAnsi="Palatino Linotype" w:cs="Palatino Linotype"/>
                <w:b/>
                <w:color w:val="000000"/>
                <w:u w:val="single"/>
              </w:rPr>
              <w:t>para cada caso además de fundar y motivar</w:t>
            </w:r>
            <w:r w:rsidRPr="009E7B94">
              <w:rPr>
                <w:rFonts w:ascii="Palatino Linotype" w:eastAsia="Palatino Linotype" w:hAnsi="Palatino Linotype" w:cs="Palatino Linotype"/>
                <w:color w:val="000000"/>
              </w:rPr>
              <w:t xml:space="preserve">, se debe identificar con claridad que datos contenidos en las documentales que son susceptibles de suprimirse, por ejemplo; </w:t>
            </w:r>
            <w:r w:rsidRPr="009E7B94">
              <w:rPr>
                <w:rFonts w:ascii="Palatino Linotype" w:eastAsia="Palatino Linotype" w:hAnsi="Palatino Linotype" w:cs="Palatino Linotype"/>
                <w:color w:val="000000"/>
              </w:rPr>
              <w:lastRenderedPageBreak/>
              <w:t>Clave Única de Registro de Población (CURP), Registro Federal de Contribuyentes (R.F.C.), claves de seguros, préstamos o descuentos personales, secretos bancario, fiduciario, industrial, comercial, fiscal, bursátil y postal, cuya titularidad corresponda a particulares, entre otros.</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p>
        </w:tc>
      </w:tr>
      <w:tr w:rsidR="007C0364" w:rsidRPr="009E7B94" w:rsidTr="009E7B94">
        <w:tc>
          <w:tcPr>
            <w:tcW w:w="2689"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rPr>
            </w:pPr>
            <w:r w:rsidRPr="009E7B94">
              <w:rPr>
                <w:rFonts w:ascii="Palatino Linotype" w:eastAsia="Palatino Linotype" w:hAnsi="Palatino Linotype" w:cs="Palatino Linotype"/>
              </w:rPr>
              <w:lastRenderedPageBreak/>
              <w:t xml:space="preserve">e) Condiciones especiales de la clasificación de la información como confidencial. </w:t>
            </w:r>
          </w:p>
        </w:tc>
        <w:tc>
          <w:tcPr>
            <w:tcW w:w="7087" w:type="dxa"/>
          </w:tcPr>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Los artículos 148 y 120 de la Ley Estatal y de la Ley General, respectivamente, establecen que aun tratándose de datos personales, se podrán proporcionar, incluso sin solicitar el consentimiento de su titular. </w:t>
            </w:r>
          </w:p>
          <w:p w:rsidR="007C0364" w:rsidRPr="009E7B94" w:rsidRDefault="007C0364" w:rsidP="00363F7B">
            <w:pPr>
              <w:tabs>
                <w:tab w:val="left" w:pos="284"/>
              </w:tabs>
              <w:spacing w:line="360" w:lineRule="auto"/>
              <w:ind w:right="49"/>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 xml:space="preserve">En el caso de lo señalado en la fracción IV, será el Instituto quien deba aplicar la prueba de interés público, considerando también que como recientemente ha discutido la Suprema Corte de Justicia de la Nación, los servidores públicos nos encontramos sujetos a un régimen menor de protección. </w:t>
            </w:r>
          </w:p>
          <w:p w:rsidR="007C0364" w:rsidRPr="009E7B94" w:rsidRDefault="007C0364" w:rsidP="00363F7B">
            <w:pPr>
              <w:tabs>
                <w:tab w:val="left" w:pos="284"/>
              </w:tabs>
              <w:spacing w:line="360" w:lineRule="auto"/>
              <w:rPr>
                <w:rFonts w:ascii="Palatino Linotype" w:eastAsia="Palatino Linotype" w:hAnsi="Palatino Linotype" w:cs="Palatino Linotype"/>
                <w:color w:val="000000"/>
              </w:rPr>
            </w:pPr>
            <w:r w:rsidRPr="009E7B94">
              <w:rPr>
                <w:rFonts w:ascii="Palatino Linotype" w:eastAsia="Palatino Linotype" w:hAnsi="Palatino Linotype" w:cs="Palatino Linotype"/>
                <w:color w:val="000000"/>
              </w:rPr>
              <w:t>Pero si la información que se pretende clasificar como confidencial no se encuentra en los supuestos de los artículos señalados y es posible, se deberá consultar al titular de los datos si permite o no el acceso. De no ser posible, la realización de la consulta, procede, fundando y motivando, la clasificación.</w:t>
            </w:r>
          </w:p>
          <w:p w:rsidR="007C0364" w:rsidRPr="009E7B94" w:rsidRDefault="007C0364" w:rsidP="00363F7B">
            <w:pPr>
              <w:tabs>
                <w:tab w:val="left" w:pos="284"/>
              </w:tabs>
              <w:spacing w:line="360" w:lineRule="auto"/>
              <w:rPr>
                <w:rFonts w:ascii="Palatino Linotype" w:eastAsia="Palatino Linotype" w:hAnsi="Palatino Linotype" w:cs="Palatino Linotype"/>
              </w:rPr>
            </w:pPr>
          </w:p>
        </w:tc>
      </w:tr>
    </w:tbl>
    <w:p w:rsidR="007C0364" w:rsidRPr="009E7B94" w:rsidRDefault="007C0364" w:rsidP="007C0364">
      <w:pPr>
        <w:pStyle w:val="Prrafodelista"/>
        <w:spacing w:line="360" w:lineRule="auto"/>
        <w:ind w:left="0"/>
        <w:jc w:val="both"/>
        <w:rPr>
          <w:rFonts w:ascii="Palatino Linotype" w:eastAsia="Palatino Linotype" w:hAnsi="Palatino Linotype" w:cs="Palatino Linotype"/>
          <w:color w:val="000000"/>
        </w:rPr>
      </w:pPr>
    </w:p>
    <w:p w:rsidR="007C0364" w:rsidRPr="009E7B94" w:rsidRDefault="007C0364" w:rsidP="007C0364">
      <w:pPr>
        <w:numPr>
          <w:ilvl w:val="0"/>
          <w:numId w:val="1"/>
        </w:numPr>
        <w:spacing w:line="360" w:lineRule="auto"/>
        <w:ind w:left="0" w:right="49" w:firstLine="0"/>
        <w:jc w:val="both"/>
        <w:rPr>
          <w:rFonts w:ascii="Palatino Linotype" w:eastAsia="Palatino Linotype" w:hAnsi="Palatino Linotype" w:cs="Palatino Linotype"/>
          <w:color w:val="000000"/>
        </w:rPr>
      </w:pPr>
      <w:r w:rsidRPr="009E7B94">
        <w:rPr>
          <w:rFonts w:ascii="Palatino Linotype" w:eastAsia="Palatino Linotype" w:hAnsi="Palatino Linotype" w:cs="Palatino Linotype"/>
        </w:rPr>
        <w:lastRenderedPageBreak/>
        <w:t xml:space="preserve">Si el </w:t>
      </w:r>
      <w:r w:rsidRPr="009E7B94">
        <w:rPr>
          <w:rFonts w:ascii="Palatino Linotype" w:eastAsia="Palatino Linotype" w:hAnsi="Palatino Linotype" w:cs="Palatino Linotype"/>
          <w:color w:val="000000"/>
        </w:rPr>
        <w:t>servidor</w:t>
      </w:r>
      <w:r w:rsidRPr="009E7B94">
        <w:rPr>
          <w:rFonts w:ascii="Palatino Linotype" w:eastAsia="Palatino Linotype" w:hAnsi="Palatino Linotype" w:cs="Palatino Linotype"/>
        </w:rPr>
        <w:t xml:space="preserve"> público incumple con estas formalidades y entrega la información </w:t>
      </w:r>
      <w:r w:rsidRPr="009E7B94">
        <w:rPr>
          <w:rFonts w:ascii="Palatino Linotype" w:eastAsia="Palatino Linotype" w:hAnsi="Palatino Linotype" w:cs="Palatino Linotype"/>
          <w:color w:val="000000"/>
        </w:rPr>
        <w:t>sin</w:t>
      </w:r>
      <w:r w:rsidRPr="009E7B94">
        <w:rPr>
          <w:rFonts w:ascii="Palatino Linotype" w:eastAsia="Palatino Linotype" w:hAnsi="Palatino Linotype" w:cs="Palatino Linotype"/>
        </w:rPr>
        <w:t xml:space="preserve"> proteger los datos personales incumple con lo que estipula las disposiciones legales </w:t>
      </w:r>
      <w:r w:rsidRPr="009E7B94">
        <w:rPr>
          <w:rFonts w:ascii="Palatino Linotype" w:eastAsia="Palatino Linotype" w:hAnsi="Palatino Linotype" w:cs="Palatino Linotype"/>
          <w:color w:val="000000"/>
        </w:rPr>
        <w:t>establecidas;</w:t>
      </w:r>
      <w:r w:rsidRPr="009E7B94">
        <w:rPr>
          <w:rFonts w:ascii="Palatino Linotype" w:eastAsia="Palatino Linotype" w:hAnsi="Palatino Linotype" w:cs="Palatino Linotype"/>
        </w:rPr>
        <w:t xml:space="preserve"> asimismo que si entrega un documento testado sin el debido acuerdo </w:t>
      </w:r>
      <w:r w:rsidRPr="009E7B94">
        <w:rPr>
          <w:rFonts w:ascii="Palatino Linotype" w:eastAsia="Palatino Linotype" w:hAnsi="Palatino Linotype" w:cs="Palatino Linotype"/>
          <w:color w:val="000000"/>
        </w:rPr>
        <w:t>de</w:t>
      </w:r>
      <w:r w:rsidRPr="009E7B94">
        <w:rPr>
          <w:rFonts w:ascii="Palatino Linotype" w:eastAsia="Palatino Linotype" w:hAnsi="Palatino Linotype" w:cs="Palatino Linotype"/>
        </w:rPr>
        <w:t xml:space="preserve"> clasificación.</w:t>
      </w:r>
    </w:p>
    <w:p w:rsidR="007C0364" w:rsidRPr="009E7B94" w:rsidRDefault="007C0364" w:rsidP="007C0364">
      <w:pPr>
        <w:spacing w:line="360" w:lineRule="auto"/>
        <w:jc w:val="both"/>
        <w:rPr>
          <w:rFonts w:ascii="Palatino Linotype" w:eastAsia="Palatino Linotype" w:hAnsi="Palatino Linotype" w:cs="Palatino Linotype"/>
        </w:rPr>
      </w:pPr>
    </w:p>
    <w:p w:rsidR="007C0364" w:rsidRPr="009E7B94" w:rsidRDefault="007C0364" w:rsidP="009E7B94">
      <w:pPr>
        <w:pStyle w:val="Sinespaciado"/>
        <w:numPr>
          <w:ilvl w:val="0"/>
          <w:numId w:val="1"/>
        </w:numPr>
        <w:spacing w:line="360" w:lineRule="auto"/>
        <w:ind w:left="0" w:firstLine="0"/>
        <w:jc w:val="both"/>
        <w:rPr>
          <w:rFonts w:ascii="Palatino Linotype" w:hAnsi="Palatino Linotype" w:cs="Arial"/>
        </w:rPr>
      </w:pPr>
      <w:r w:rsidRPr="009E7B94">
        <w:rPr>
          <w:rFonts w:ascii="Palatino Linotype" w:eastAsia="Palatino Linotype" w:hAnsi="Palatino Linotype" w:cs="Palatino Linotype"/>
          <w:color w:val="222222"/>
        </w:rPr>
        <w:t xml:space="preserve">Por </w:t>
      </w:r>
      <w:r w:rsidRPr="009E7B94">
        <w:rPr>
          <w:rFonts w:ascii="Palatino Linotype" w:eastAsia="Palatino Linotype" w:hAnsi="Palatino Linotype" w:cs="Palatino Linotype"/>
          <w:color w:val="000000"/>
        </w:rPr>
        <w:t>lo</w:t>
      </w:r>
      <w:r w:rsidRPr="009E7B94">
        <w:rPr>
          <w:rFonts w:ascii="Palatino Linotype" w:eastAsia="Palatino Linotype" w:hAnsi="Palatino Linotype" w:cs="Palatino Linotype"/>
          <w:color w:val="222222"/>
        </w:rPr>
        <w:t xml:space="preserve"> </w:t>
      </w:r>
      <w:r w:rsidRPr="009E7B94">
        <w:rPr>
          <w:rFonts w:ascii="Palatino Linotype" w:eastAsia="Palatino Linotype" w:hAnsi="Palatino Linotype" w:cs="Palatino Linotype"/>
        </w:rPr>
        <w:t>anteriormente</w:t>
      </w:r>
      <w:r w:rsidRPr="009E7B94">
        <w:rPr>
          <w:rFonts w:ascii="Palatino Linotype" w:eastAsia="Palatino Linotype" w:hAnsi="Palatino Linotype" w:cs="Palatino Linotype"/>
          <w:color w:val="222222"/>
        </w:rPr>
        <w:t xml:space="preserve"> expuesto y fundado, este </w:t>
      </w:r>
      <w:r w:rsidRPr="009E7B94">
        <w:rPr>
          <w:rFonts w:ascii="Palatino Linotype" w:eastAsia="Palatino Linotype" w:hAnsi="Palatino Linotype" w:cs="Palatino Linotype"/>
          <w:b/>
          <w:color w:val="222222"/>
        </w:rPr>
        <w:t>ÓRGANO GARANTE</w:t>
      </w:r>
      <w:r w:rsidRPr="009E7B94">
        <w:rPr>
          <w:rFonts w:ascii="Palatino Linotype" w:eastAsia="Palatino Linotype" w:hAnsi="Palatino Linotype" w:cs="Palatino Linotype"/>
          <w:color w:val="222222"/>
        </w:rPr>
        <w:t xml:space="preserve"> emite los siguientes:</w:t>
      </w:r>
    </w:p>
    <w:p w:rsidR="007C0364" w:rsidRPr="009E7B94" w:rsidRDefault="007C0364" w:rsidP="007C0364">
      <w:pPr>
        <w:pStyle w:val="Ttulo1"/>
        <w:spacing w:before="0" w:line="360" w:lineRule="auto"/>
        <w:jc w:val="center"/>
        <w:rPr>
          <w:rFonts w:ascii="Palatino Linotype" w:hAnsi="Palatino Linotype"/>
          <w:b/>
          <w:color w:val="000000" w:themeColor="text1"/>
          <w:sz w:val="24"/>
          <w:szCs w:val="24"/>
        </w:rPr>
      </w:pPr>
      <w:bookmarkStart w:id="36" w:name="_Toc81233128"/>
      <w:r w:rsidRPr="009E7B94">
        <w:rPr>
          <w:rFonts w:ascii="Palatino Linotype" w:hAnsi="Palatino Linotype"/>
          <w:b/>
          <w:color w:val="000000" w:themeColor="text1"/>
          <w:sz w:val="24"/>
          <w:szCs w:val="24"/>
        </w:rPr>
        <w:t>R E S O L U T I V O S</w:t>
      </w:r>
      <w:bookmarkEnd w:id="32"/>
      <w:bookmarkEnd w:id="33"/>
      <w:bookmarkEnd w:id="34"/>
      <w:bookmarkEnd w:id="35"/>
      <w:bookmarkEnd w:id="36"/>
    </w:p>
    <w:p w:rsidR="007C0364" w:rsidRPr="009E7B94" w:rsidRDefault="007C0364" w:rsidP="007C0364">
      <w:pPr>
        <w:spacing w:line="360" w:lineRule="auto"/>
        <w:rPr>
          <w:rFonts w:ascii="Palatino Linotype" w:hAnsi="Palatino Linotype"/>
        </w:rPr>
      </w:pPr>
    </w:p>
    <w:p w:rsidR="007C0364" w:rsidRPr="009E7B94" w:rsidRDefault="007C0364" w:rsidP="007C0364">
      <w:pPr>
        <w:spacing w:line="360" w:lineRule="auto"/>
        <w:jc w:val="both"/>
        <w:rPr>
          <w:rFonts w:ascii="Palatino Linotype" w:eastAsia="Palatino Linotype" w:hAnsi="Palatino Linotype" w:cs="Palatino Linotype"/>
        </w:rPr>
      </w:pPr>
      <w:r w:rsidRPr="009E7B94">
        <w:rPr>
          <w:rFonts w:ascii="Palatino Linotype" w:eastAsia="Palatino Linotype" w:hAnsi="Palatino Linotype" w:cs="Palatino Linotype"/>
          <w:b/>
        </w:rPr>
        <w:t>PRIMERO</w:t>
      </w:r>
      <w:r w:rsidRPr="009E7B94">
        <w:rPr>
          <w:rFonts w:ascii="Palatino Linotype" w:eastAsia="Palatino Linotype" w:hAnsi="Palatino Linotype" w:cs="Palatino Linotype"/>
        </w:rPr>
        <w:t>. Resultan fundadas las</w:t>
      </w:r>
      <w:r w:rsidRPr="009E7B94">
        <w:rPr>
          <w:rFonts w:ascii="Palatino Linotype" w:eastAsia="Palatino Linotype" w:hAnsi="Palatino Linotype" w:cs="Palatino Linotype"/>
          <w:b/>
        </w:rPr>
        <w:t xml:space="preserve"> </w:t>
      </w:r>
      <w:r w:rsidRPr="009E7B94">
        <w:rPr>
          <w:rFonts w:ascii="Palatino Linotype" w:eastAsia="Palatino Linotype" w:hAnsi="Palatino Linotype" w:cs="Palatino Linotype"/>
        </w:rPr>
        <w:t>razones o motivos de inconformidad hechos valer en el Recurso de Revisión</w:t>
      </w:r>
      <w:r w:rsidRPr="009E7B94">
        <w:rPr>
          <w:rFonts w:ascii="Palatino Linotype" w:hAnsi="Palatino Linotype"/>
          <w:b/>
          <w:bCs/>
          <w:color w:val="000000"/>
        </w:rPr>
        <w:t xml:space="preserve"> 06993/INFOEM/IP/RR/2026</w:t>
      </w:r>
      <w:r w:rsidRPr="009E7B94">
        <w:rPr>
          <w:rFonts w:ascii="Palatino Linotype" w:eastAsia="Palatino Linotype" w:hAnsi="Palatino Linotype" w:cs="Palatino Linotype"/>
          <w:b/>
        </w:rPr>
        <w:t xml:space="preserve">, </w:t>
      </w:r>
      <w:r w:rsidRPr="009E7B94">
        <w:rPr>
          <w:rFonts w:ascii="Palatino Linotype" w:eastAsia="Palatino Linotype" w:hAnsi="Palatino Linotype" w:cs="Palatino Linotype"/>
        </w:rPr>
        <w:t xml:space="preserve">en términos de los </w:t>
      </w:r>
      <w:r w:rsidRPr="009E7B94">
        <w:rPr>
          <w:rFonts w:ascii="Palatino Linotype" w:eastAsia="Palatino Linotype" w:hAnsi="Palatino Linotype" w:cs="Palatino Linotype"/>
          <w:b/>
        </w:rPr>
        <w:t>Considerandos</w:t>
      </w:r>
      <w:r w:rsidRPr="009E7B94">
        <w:rPr>
          <w:rFonts w:ascii="Palatino Linotype" w:eastAsia="Palatino Linotype" w:hAnsi="Palatino Linotype" w:cs="Palatino Linotype"/>
        </w:rPr>
        <w:t xml:space="preserve"> </w:t>
      </w:r>
      <w:r w:rsidRPr="009E7B94">
        <w:rPr>
          <w:rFonts w:ascii="Palatino Linotype" w:eastAsia="Palatino Linotype" w:hAnsi="Palatino Linotype" w:cs="Palatino Linotype"/>
          <w:b/>
        </w:rPr>
        <w:t>CUARTO</w:t>
      </w:r>
      <w:r w:rsidRPr="009E7B94">
        <w:rPr>
          <w:rFonts w:ascii="Palatino Linotype" w:eastAsia="Palatino Linotype" w:hAnsi="Palatino Linotype" w:cs="Palatino Linotype"/>
        </w:rPr>
        <w:t xml:space="preserve"> y </w:t>
      </w:r>
      <w:r w:rsidRPr="009E7B94">
        <w:rPr>
          <w:rFonts w:ascii="Palatino Linotype" w:eastAsia="Palatino Linotype" w:hAnsi="Palatino Linotype" w:cs="Palatino Linotype"/>
          <w:b/>
        </w:rPr>
        <w:t xml:space="preserve">QUINTO </w:t>
      </w:r>
      <w:r w:rsidRPr="009E7B94">
        <w:rPr>
          <w:rFonts w:ascii="Palatino Linotype" w:eastAsia="Palatino Linotype" w:hAnsi="Palatino Linotype" w:cs="Palatino Linotype"/>
        </w:rPr>
        <w:t>de la presente Resolución.</w:t>
      </w:r>
    </w:p>
    <w:p w:rsidR="007C0364" w:rsidRPr="009E7B94" w:rsidRDefault="007C0364" w:rsidP="007C0364">
      <w:pPr>
        <w:spacing w:line="360" w:lineRule="auto"/>
        <w:jc w:val="both"/>
        <w:rPr>
          <w:rFonts w:ascii="Palatino Linotype" w:eastAsia="Palatino Linotype" w:hAnsi="Palatino Linotype" w:cs="Palatino Linotype"/>
        </w:rPr>
      </w:pPr>
    </w:p>
    <w:p w:rsidR="007C0364" w:rsidRPr="009E7B94" w:rsidRDefault="007C0364" w:rsidP="007C0364">
      <w:pPr>
        <w:spacing w:line="360" w:lineRule="auto"/>
        <w:jc w:val="both"/>
        <w:rPr>
          <w:rFonts w:ascii="Palatino Linotype" w:hAnsi="Palatino Linotype" w:cs="Arial"/>
        </w:rPr>
      </w:pPr>
      <w:r w:rsidRPr="009E7B94">
        <w:rPr>
          <w:rFonts w:ascii="Palatino Linotype" w:hAnsi="Palatino Linotype"/>
          <w:b/>
        </w:rPr>
        <w:t xml:space="preserve">SEGUNDO. </w:t>
      </w:r>
      <w:r w:rsidRPr="009E7B94">
        <w:rPr>
          <w:rFonts w:ascii="Palatino Linotype" w:eastAsia="MS Mincho" w:hAnsi="Palatino Linotype"/>
          <w:color w:val="000000" w:themeColor="text1"/>
        </w:rPr>
        <w:t xml:space="preserve">Se </w:t>
      </w:r>
      <w:r w:rsidRPr="009E7B94">
        <w:rPr>
          <w:rFonts w:ascii="Palatino Linotype" w:eastAsia="MS Mincho" w:hAnsi="Palatino Linotype"/>
          <w:b/>
          <w:color w:val="000000" w:themeColor="text1"/>
        </w:rPr>
        <w:t xml:space="preserve">REVOCA </w:t>
      </w:r>
      <w:r w:rsidRPr="009E7B94">
        <w:rPr>
          <w:rFonts w:ascii="Palatino Linotype" w:eastAsia="MS Mincho" w:hAnsi="Palatino Linotype"/>
          <w:color w:val="000000" w:themeColor="text1"/>
        </w:rPr>
        <w:t xml:space="preserve">la respuesta emitida por el </w:t>
      </w:r>
      <w:r w:rsidRPr="009E7B94">
        <w:rPr>
          <w:rFonts w:ascii="Palatino Linotype" w:eastAsia="Calibri" w:hAnsi="Palatino Linotype" w:cs="Tahoma"/>
          <w:b/>
          <w:lang w:eastAsia="en-US"/>
        </w:rPr>
        <w:t>Tribunal de Justicia Administrativa del Estado de México</w:t>
      </w:r>
      <w:r w:rsidRPr="009E7B94">
        <w:rPr>
          <w:rFonts w:ascii="Palatino Linotype" w:eastAsia="MS Mincho" w:hAnsi="Palatino Linotype"/>
          <w:color w:val="000000" w:themeColor="text1"/>
        </w:rPr>
        <w:t xml:space="preserve"> y se </w:t>
      </w:r>
      <w:r w:rsidRPr="009E7B94">
        <w:rPr>
          <w:rFonts w:ascii="Palatino Linotype" w:eastAsia="MS Mincho" w:hAnsi="Palatino Linotype"/>
          <w:b/>
          <w:color w:val="000000" w:themeColor="text1"/>
        </w:rPr>
        <w:t>ORDENA</w:t>
      </w:r>
      <w:r w:rsidRPr="009E7B94">
        <w:rPr>
          <w:rFonts w:ascii="Palatino Linotype" w:eastAsia="MS Mincho" w:hAnsi="Palatino Linotype"/>
          <w:color w:val="000000" w:themeColor="text1"/>
        </w:rPr>
        <w:t xml:space="preserve"> </w:t>
      </w:r>
      <w:bookmarkStart w:id="37" w:name="_Toc503891610"/>
      <w:bookmarkStart w:id="38" w:name="_Toc453696503"/>
      <w:bookmarkStart w:id="39" w:name="_Toc454301156"/>
      <w:bookmarkStart w:id="40" w:name="_Toc462653938"/>
      <w:bookmarkStart w:id="41" w:name="_Toc477891769"/>
      <w:bookmarkStart w:id="42" w:name="_Toc477891859"/>
      <w:bookmarkStart w:id="43" w:name="_Toc481576260"/>
      <w:bookmarkStart w:id="44" w:name="_Toc492590392"/>
      <w:r w:rsidRPr="009E7B94">
        <w:rPr>
          <w:rFonts w:ascii="Palatino Linotype" w:eastAsia="MS Mincho" w:hAnsi="Palatino Linotype"/>
          <w:color w:val="000000" w:themeColor="text1"/>
        </w:rPr>
        <w:t>entregar vía Sistema de Acceso a la Información Mexiquense (SAIMEX), la siguiente información en versión pública</w:t>
      </w:r>
      <w:r w:rsidRPr="009E7B94">
        <w:rPr>
          <w:rFonts w:ascii="Palatino Linotype" w:hAnsi="Palatino Linotype" w:cs="Arial"/>
        </w:rPr>
        <w:t>:</w:t>
      </w:r>
    </w:p>
    <w:p w:rsidR="007C0364" w:rsidRPr="009E7B94" w:rsidRDefault="007C0364" w:rsidP="007C0364">
      <w:pPr>
        <w:spacing w:line="360" w:lineRule="auto"/>
        <w:jc w:val="both"/>
        <w:rPr>
          <w:rFonts w:ascii="Palatino Linotype" w:hAnsi="Palatino Linotype" w:cs="Arial"/>
        </w:rPr>
      </w:pPr>
    </w:p>
    <w:p w:rsidR="007C0364" w:rsidRPr="009E7B94" w:rsidRDefault="007C0364" w:rsidP="007C0364">
      <w:pPr>
        <w:pStyle w:val="Prrafodelista"/>
        <w:numPr>
          <w:ilvl w:val="0"/>
          <w:numId w:val="6"/>
        </w:numPr>
        <w:ind w:left="993" w:right="567"/>
        <w:jc w:val="both"/>
        <w:rPr>
          <w:rFonts w:ascii="Palatino Linotype" w:eastAsia="Calibri" w:hAnsi="Palatino Linotype" w:cs="Arial"/>
          <w:b/>
          <w:lang w:val="es-AR"/>
        </w:rPr>
      </w:pPr>
      <w:r w:rsidRPr="009E7B94">
        <w:rPr>
          <w:rFonts w:ascii="Palatino Linotype" w:eastAsia="Calibri" w:hAnsi="Palatino Linotype" w:cs="Arial"/>
          <w:b/>
        </w:rPr>
        <w:t xml:space="preserve">Los informes relativos a servicio social y prácticas profesionales enviados a la junta, presidencia o pleno del veinticuatro de abril de dos mil diecisiete al dieciséis de junio de dos mil veintiséis. </w:t>
      </w:r>
    </w:p>
    <w:p w:rsidR="007C0364" w:rsidRPr="009E7B94" w:rsidRDefault="007C0364" w:rsidP="007C0364">
      <w:pPr>
        <w:pStyle w:val="Prrafodelista"/>
        <w:spacing w:line="360" w:lineRule="auto"/>
        <w:ind w:left="1440" w:right="567"/>
        <w:jc w:val="both"/>
        <w:rPr>
          <w:rFonts w:ascii="Palatino Linotype" w:eastAsia="Calibri" w:hAnsi="Palatino Linotype" w:cs="Arial"/>
          <w:b/>
          <w:lang w:val="es-AR"/>
        </w:rPr>
      </w:pPr>
    </w:p>
    <w:p w:rsidR="007C0364" w:rsidRPr="009E7B94" w:rsidRDefault="007C0364" w:rsidP="007C0364">
      <w:pPr>
        <w:tabs>
          <w:tab w:val="left" w:pos="8080"/>
        </w:tabs>
        <w:spacing w:line="360" w:lineRule="auto"/>
        <w:ind w:right="49"/>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Para efectos de lo anterior, se deberá emitir el Acuerdo del Comité de Transparencia en términos de los artículos 49, fracciones II y VIII, 132, fracción II y 143 de la Ley de Transparencia y Acceso a la Información Pública del Estado de México y Municipios, en el </w:t>
      </w:r>
      <w:r w:rsidRPr="009E7B94">
        <w:rPr>
          <w:rFonts w:ascii="Palatino Linotype" w:eastAsia="Palatino Linotype" w:hAnsi="Palatino Linotype" w:cs="Palatino Linotype"/>
        </w:rPr>
        <w:lastRenderedPageBreak/>
        <w:t xml:space="preserve">que funde y motive las razones sobre la eliminación de los datos y documentos confidenciales del soporte documental respectivo objeto de las versiones públicas que se formulen y se pongan a disposición de </w:t>
      </w:r>
      <w:r w:rsidRPr="009E7B94">
        <w:rPr>
          <w:rFonts w:ascii="Palatino Linotype" w:eastAsia="Palatino Linotype" w:hAnsi="Palatino Linotype" w:cs="Palatino Linotype"/>
          <w:b/>
        </w:rPr>
        <w:t>LA RECURRENTE</w:t>
      </w:r>
      <w:r w:rsidRPr="009E7B94">
        <w:rPr>
          <w:rFonts w:ascii="Palatino Linotype" w:eastAsia="Palatino Linotype" w:hAnsi="Palatino Linotype" w:cs="Palatino Linotype"/>
        </w:rPr>
        <w:t>.</w:t>
      </w:r>
    </w:p>
    <w:p w:rsidR="007C0364" w:rsidRPr="009E7B94" w:rsidRDefault="007C0364" w:rsidP="007C0364">
      <w:pPr>
        <w:tabs>
          <w:tab w:val="left" w:pos="8080"/>
        </w:tabs>
        <w:spacing w:line="360" w:lineRule="auto"/>
        <w:ind w:right="49"/>
        <w:jc w:val="both"/>
        <w:rPr>
          <w:rFonts w:ascii="Palatino Linotype" w:eastAsia="Palatino Linotype" w:hAnsi="Palatino Linotype" w:cs="Palatino Linotype"/>
        </w:rPr>
      </w:pPr>
    </w:p>
    <w:p w:rsidR="00E94CED" w:rsidRPr="009E7B94" w:rsidRDefault="00E94CED" w:rsidP="00E94CED">
      <w:pPr>
        <w:tabs>
          <w:tab w:val="left" w:pos="8080"/>
        </w:tabs>
        <w:spacing w:line="360" w:lineRule="auto"/>
        <w:ind w:right="49"/>
        <w:jc w:val="both"/>
        <w:rPr>
          <w:rFonts w:ascii="Palatino Linotype" w:eastAsia="Palatino Linotype" w:hAnsi="Palatino Linotype" w:cs="Palatino Linotype"/>
        </w:rPr>
      </w:pPr>
      <w:r w:rsidRPr="009E7B94">
        <w:rPr>
          <w:rFonts w:ascii="Palatino Linotype" w:eastAsia="Palatino Linotype" w:hAnsi="Palatino Linotype" w:cs="Palatino Linotype"/>
        </w:rPr>
        <w:t xml:space="preserve">Para el caso de que la información solicitada, no obre en los archivos del </w:t>
      </w:r>
      <w:r w:rsidRPr="009E7B94">
        <w:rPr>
          <w:rFonts w:ascii="Palatino Linotype" w:eastAsia="Palatino Linotype" w:hAnsi="Palatino Linotype" w:cs="Palatino Linotype"/>
          <w:b/>
        </w:rPr>
        <w:t>SUJETO OBLIGADO por haber causado baja documental</w:t>
      </w:r>
      <w:r w:rsidRPr="009E7B94">
        <w:rPr>
          <w:rFonts w:ascii="Palatino Linotype" w:eastAsia="Palatino Linotype" w:hAnsi="Palatino Linotype" w:cs="Palatino Linotype"/>
        </w:rPr>
        <w:t xml:space="preserve"> deberá de emitir el Acuerdo del Comité de Transparencia que manera fundada y motivada sustente la inexistencia de la información, en términos de en términos de los artículos 49, fracciones II y XIII, 169 y 170 de la Ley de Transparencia y Acceso a la Información Pública del Estado de México y Municipios que al respecto emita su Comité de Transparencia, acompañado del acta de baja documental.</w:t>
      </w:r>
    </w:p>
    <w:p w:rsidR="00E94CED" w:rsidRPr="009E7B94" w:rsidRDefault="00E94CED" w:rsidP="007C0364">
      <w:pPr>
        <w:tabs>
          <w:tab w:val="left" w:pos="8080"/>
        </w:tabs>
        <w:spacing w:line="360" w:lineRule="auto"/>
        <w:ind w:right="49"/>
        <w:jc w:val="both"/>
        <w:rPr>
          <w:rFonts w:ascii="Palatino Linotype" w:eastAsia="Palatino Linotype" w:hAnsi="Palatino Linotype" w:cs="Palatino Linotype"/>
        </w:rPr>
      </w:pPr>
    </w:p>
    <w:bookmarkEnd w:id="37"/>
    <w:bookmarkEnd w:id="38"/>
    <w:bookmarkEnd w:id="39"/>
    <w:bookmarkEnd w:id="40"/>
    <w:bookmarkEnd w:id="41"/>
    <w:bookmarkEnd w:id="42"/>
    <w:bookmarkEnd w:id="43"/>
    <w:bookmarkEnd w:id="44"/>
    <w:p w:rsidR="007C0364" w:rsidRPr="009E7B94" w:rsidRDefault="007C0364" w:rsidP="007C0364">
      <w:pPr>
        <w:spacing w:line="360" w:lineRule="auto"/>
        <w:jc w:val="both"/>
        <w:rPr>
          <w:rFonts w:ascii="Palatino Linotype" w:hAnsi="Palatino Linotype"/>
        </w:rPr>
      </w:pPr>
      <w:r w:rsidRPr="009E7B94">
        <w:rPr>
          <w:rFonts w:ascii="Palatino Linotype" w:hAnsi="Palatino Linotype" w:cs="Arial"/>
          <w:b/>
          <w:bCs/>
        </w:rPr>
        <w:t>TERCERO</w:t>
      </w:r>
      <w:r w:rsidRPr="009E7B94">
        <w:rPr>
          <w:rFonts w:ascii="Palatino Linotype" w:hAnsi="Palatino Linotype" w:cs="Arial"/>
          <w:b/>
        </w:rPr>
        <w:t>.</w:t>
      </w:r>
      <w:r w:rsidRPr="009E7B94">
        <w:rPr>
          <w:rFonts w:ascii="Palatino Linotype" w:eastAsia="Palatino Linotype" w:hAnsi="Palatino Linotype" w:cs="Palatino Linotype"/>
          <w:b/>
        </w:rPr>
        <w:t xml:space="preserve"> </w:t>
      </w:r>
      <w:r w:rsidRPr="009E7B94">
        <w:rPr>
          <w:rFonts w:ascii="Palatino Linotype" w:hAnsi="Palatino Linotype"/>
          <w:b/>
        </w:rPr>
        <w:t xml:space="preserve">Notifíquese </w:t>
      </w:r>
      <w:r w:rsidRPr="009E7B94">
        <w:rPr>
          <w:rFonts w:ascii="Palatino Linotype" w:hAnsi="Palatino Linotype"/>
        </w:rPr>
        <w:t xml:space="preserve">la presente Resolución al Titular de la Unidad de Transparencia del Sujeto Obligado vía </w:t>
      </w:r>
      <w:r w:rsidRPr="009E7B94">
        <w:rPr>
          <w:rFonts w:ascii="Palatino Linotype" w:hAnsi="Palatino Linotype"/>
          <w:b/>
        </w:rPr>
        <w:t>SAIMEX</w:t>
      </w:r>
      <w:r w:rsidRPr="009E7B94">
        <w:rPr>
          <w:rFonts w:ascii="Palatino Linotype" w:hAnsi="Palatino Linotype"/>
        </w:rPr>
        <w:t xml:space="preserve">, para que conforme al artículo 186 último párrafo, 189 segundo párrafo y 194 de la Ley de Transparencia y Acceso a la Información Pública del Estado de México y Municipios; </w:t>
      </w:r>
      <w:r w:rsidRPr="009E7B94">
        <w:rPr>
          <w:rFonts w:ascii="Palatino Linotype" w:hAnsi="Palatino Linotype"/>
          <w:b/>
        </w:rPr>
        <w:t>dé cumplimiento a lo ordenado dentro del plazo de diez días hábiles</w:t>
      </w:r>
      <w:r w:rsidRPr="009E7B94">
        <w:rPr>
          <w:rFonts w:ascii="Palatino Linotype" w:hAnsi="Palatino Linotype"/>
        </w:rPr>
        <w:t>,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7C0364" w:rsidRPr="009E7B94" w:rsidRDefault="007C0364" w:rsidP="007C0364">
      <w:pPr>
        <w:spacing w:line="360" w:lineRule="auto"/>
        <w:jc w:val="both"/>
        <w:rPr>
          <w:rFonts w:ascii="Palatino Linotype" w:hAnsi="Palatino Linotype"/>
        </w:rPr>
      </w:pPr>
    </w:p>
    <w:p w:rsidR="007C0364" w:rsidRPr="009E7B94" w:rsidRDefault="007C0364" w:rsidP="007C0364">
      <w:pPr>
        <w:spacing w:line="360" w:lineRule="auto"/>
        <w:jc w:val="both"/>
        <w:rPr>
          <w:rFonts w:ascii="Palatino Linotype" w:hAnsi="Palatino Linotype" w:cs="Arial"/>
          <w:bCs/>
        </w:rPr>
      </w:pPr>
      <w:r w:rsidRPr="009E7B94">
        <w:rPr>
          <w:rFonts w:ascii="Palatino Linotype" w:hAnsi="Palatino Linotype" w:cs="Arial"/>
          <w:b/>
        </w:rPr>
        <w:t xml:space="preserve">CUARTO. </w:t>
      </w:r>
      <w:r w:rsidRPr="009E7B94">
        <w:rPr>
          <w:rFonts w:ascii="Palatino Linotype" w:hAnsi="Palatino Linotype" w:cs="Arial"/>
          <w:bCs/>
        </w:rPr>
        <w:t xml:space="preserve">De conformidad con el artículo 198 de la Ley de Transparencia y Acceso a la Información Pública del Estado de México y Municipios, de considerarlo procedente, el </w:t>
      </w:r>
      <w:r w:rsidRPr="009E7B94">
        <w:rPr>
          <w:rFonts w:ascii="Palatino Linotype" w:hAnsi="Palatino Linotype" w:cs="Arial"/>
          <w:b/>
          <w:bCs/>
        </w:rPr>
        <w:lastRenderedPageBreak/>
        <w:t>SUJETO OBLIGADO</w:t>
      </w:r>
      <w:r w:rsidRPr="009E7B94">
        <w:rPr>
          <w:rFonts w:ascii="Palatino Linotype" w:hAnsi="Palatino Linotype" w:cs="Arial"/>
          <w:bCs/>
        </w:rPr>
        <w:t xml:space="preserve"> de manera fundada y motivada, podrá solicitar una ampliación de plazo para el cumplimiento de la presente Resolución.</w:t>
      </w:r>
    </w:p>
    <w:p w:rsidR="007C0364" w:rsidRPr="009E7B94" w:rsidRDefault="007C0364" w:rsidP="007C0364">
      <w:pPr>
        <w:spacing w:line="360" w:lineRule="auto"/>
        <w:jc w:val="both"/>
        <w:rPr>
          <w:rFonts w:ascii="Palatino Linotype" w:hAnsi="Palatino Linotype" w:cs="Arial"/>
          <w:bCs/>
        </w:rPr>
      </w:pPr>
    </w:p>
    <w:p w:rsidR="007C0364" w:rsidRPr="009E7B94" w:rsidRDefault="007C0364" w:rsidP="007C0364">
      <w:pPr>
        <w:tabs>
          <w:tab w:val="left" w:pos="8080"/>
        </w:tabs>
        <w:spacing w:line="360" w:lineRule="auto"/>
        <w:ind w:right="49"/>
        <w:jc w:val="both"/>
        <w:rPr>
          <w:rFonts w:ascii="Palatino Linotype" w:hAnsi="Palatino Linotype"/>
        </w:rPr>
      </w:pPr>
      <w:bookmarkStart w:id="45" w:name="_Toc492590393"/>
      <w:bookmarkStart w:id="46" w:name="_Toc503891611"/>
      <w:bookmarkStart w:id="47" w:name="_Toc511647759"/>
      <w:bookmarkStart w:id="48" w:name="_Toc511647820"/>
      <w:r w:rsidRPr="009E7B94">
        <w:rPr>
          <w:rFonts w:ascii="Palatino Linotype" w:hAnsi="Palatino Linotype"/>
          <w:b/>
        </w:rPr>
        <w:t xml:space="preserve">QUINTO. </w:t>
      </w:r>
      <w:r w:rsidRPr="009E7B94">
        <w:rPr>
          <w:rFonts w:ascii="Palatino Linotype" w:hAnsi="Palatino Linotype"/>
        </w:rPr>
        <w:t>Notifíquese</w:t>
      </w:r>
      <w:bookmarkEnd w:id="45"/>
      <w:bookmarkEnd w:id="46"/>
      <w:bookmarkEnd w:id="47"/>
      <w:bookmarkEnd w:id="48"/>
      <w:r w:rsidRPr="009E7B94">
        <w:rPr>
          <w:rFonts w:ascii="Palatino Linotype" w:hAnsi="Palatino Linotype"/>
        </w:rPr>
        <w:t xml:space="preserve"> al </w:t>
      </w:r>
      <w:r w:rsidRPr="009E7B94">
        <w:rPr>
          <w:rFonts w:ascii="Palatino Linotype" w:hAnsi="Palatino Linotype"/>
          <w:b/>
        </w:rPr>
        <w:t>RECURRENTE</w:t>
      </w:r>
      <w:r w:rsidRPr="009E7B94">
        <w:rPr>
          <w:rFonts w:ascii="Palatino Linotype" w:hAnsi="Palatino Linotype"/>
        </w:rPr>
        <w:t xml:space="preserve"> la presente Resolución, vía </w:t>
      </w:r>
      <w:r w:rsidRPr="009E7B94">
        <w:rPr>
          <w:rFonts w:ascii="Palatino Linotype" w:hAnsi="Palatino Linotype"/>
          <w:b/>
        </w:rPr>
        <w:t>SAIMEX</w:t>
      </w:r>
      <w:r w:rsidRPr="009E7B94">
        <w:rPr>
          <w:rFonts w:ascii="Palatino Linotype" w:hAnsi="Palatino Linotype"/>
        </w:rPr>
        <w:t>.</w:t>
      </w:r>
    </w:p>
    <w:p w:rsidR="007C0364" w:rsidRPr="009E7B94" w:rsidRDefault="007C0364" w:rsidP="007C0364">
      <w:pPr>
        <w:tabs>
          <w:tab w:val="left" w:pos="8080"/>
        </w:tabs>
        <w:spacing w:line="360" w:lineRule="auto"/>
        <w:ind w:right="49"/>
        <w:jc w:val="both"/>
        <w:rPr>
          <w:rFonts w:ascii="Palatino Linotype" w:hAnsi="Palatino Linotype"/>
        </w:rPr>
      </w:pPr>
    </w:p>
    <w:p w:rsidR="007C0364" w:rsidRPr="009E7B94" w:rsidRDefault="007C0364" w:rsidP="007C0364">
      <w:pPr>
        <w:shd w:val="clear" w:color="auto" w:fill="FFFFFF"/>
        <w:spacing w:line="360" w:lineRule="auto"/>
        <w:jc w:val="both"/>
        <w:rPr>
          <w:rFonts w:ascii="Palatino Linotype" w:hAnsi="Palatino Linotype"/>
          <w:lang w:eastAsia="en-US"/>
        </w:rPr>
      </w:pPr>
      <w:r w:rsidRPr="009E7B94">
        <w:rPr>
          <w:rFonts w:ascii="Palatino Linotype" w:hAnsi="Palatino Linotype"/>
          <w:b/>
          <w:lang w:eastAsia="en-US"/>
        </w:rPr>
        <w:t xml:space="preserve">SEXTO. </w:t>
      </w:r>
      <w:r w:rsidRPr="009E7B94">
        <w:rPr>
          <w:rFonts w:ascii="Palatino Linotype" w:hAnsi="Palatino Linotype"/>
          <w:lang w:eastAsia="en-US"/>
        </w:rPr>
        <w:t xml:space="preserve">Se hace del conocimiento de </w:t>
      </w:r>
      <w:r w:rsidRPr="009E7B94">
        <w:rPr>
          <w:rFonts w:ascii="Palatino Linotype" w:hAnsi="Palatino Linotype"/>
          <w:b/>
          <w:lang w:eastAsia="en-US"/>
        </w:rPr>
        <w:t xml:space="preserve">LA RECURRENTE </w:t>
      </w:r>
      <w:r w:rsidRPr="009E7B94">
        <w:rPr>
          <w:rFonts w:ascii="Palatino Linotype" w:hAnsi="Palatino Linotype"/>
          <w:lang w:eastAsia="en-US"/>
        </w:rPr>
        <w:t>que, de conformidad con lo establecido en el artículo 196 de la Ley de Transparencia y Acceso a la Información Pública del Estado de México y Municipios, en caso de que considere que la Resolución le cause algún perjuicio podrá impugnarla vía juicio de amparo en los términos de las leyes aplicables.</w:t>
      </w:r>
    </w:p>
    <w:p w:rsidR="007C0364" w:rsidRPr="009E7B94" w:rsidRDefault="007C0364" w:rsidP="007C0364">
      <w:pPr>
        <w:shd w:val="clear" w:color="auto" w:fill="FFFFFF"/>
        <w:spacing w:line="360" w:lineRule="auto"/>
        <w:jc w:val="both"/>
        <w:rPr>
          <w:rFonts w:ascii="Palatino Linotype" w:hAnsi="Palatino Linotype"/>
          <w:lang w:eastAsia="en-US"/>
        </w:rPr>
      </w:pPr>
    </w:p>
    <w:p w:rsidR="00353AA5" w:rsidRPr="009E7B94" w:rsidRDefault="00353AA5" w:rsidP="00353AA5">
      <w:pPr>
        <w:spacing w:before="240" w:after="240" w:line="360" w:lineRule="auto"/>
        <w:ind w:firstLine="1"/>
        <w:jc w:val="both"/>
        <w:rPr>
          <w:rFonts w:ascii="Palatino Linotype" w:hAnsi="Palatino Linotype"/>
        </w:rPr>
      </w:pPr>
      <w:bookmarkStart w:id="49" w:name="_Hlk99014733"/>
      <w:r w:rsidRPr="009E7B94">
        <w:rPr>
          <w:rFonts w:ascii="Palatino Linotype" w:hAnsi="Palatino Linotype" w:cs="Palatino Linotype"/>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SESIÓN ORDINARIA, CELEBRADA EL VEINTISÉIS (26) DE AGOSTO DE DOS MIL VEINTISÉIS, ANTE EL SECRETARIO TÉCNICO DEL PLENO </w:t>
      </w:r>
      <w:r w:rsidRPr="009E7B94">
        <w:rPr>
          <w:rFonts w:ascii="Palatino Linotype" w:hAnsi="Palatino Linotype" w:cs="Palatino Linotype"/>
          <w:color w:val="000000" w:themeColor="text1"/>
        </w:rPr>
        <w:t>ALEXIS TAPIA RAMÍREZ.</w:t>
      </w:r>
    </w:p>
    <w:bookmarkEnd w:id="49"/>
    <w:p w:rsidR="007C0364" w:rsidRPr="009E7B94" w:rsidRDefault="007C0364" w:rsidP="007C0364">
      <w:pPr>
        <w:spacing w:line="360" w:lineRule="auto"/>
        <w:ind w:right="49"/>
        <w:jc w:val="both"/>
        <w:rPr>
          <w:rFonts w:ascii="Palatino Linotype" w:eastAsia="Palatino Linotype" w:hAnsi="Palatino Linotype" w:cs="Palatino Linotype"/>
        </w:rPr>
      </w:pPr>
    </w:p>
    <w:p w:rsidR="007C0364" w:rsidRPr="009E7B94" w:rsidRDefault="007C0364" w:rsidP="007C0364">
      <w:pPr>
        <w:spacing w:line="360" w:lineRule="auto"/>
        <w:ind w:right="49"/>
        <w:jc w:val="both"/>
        <w:rPr>
          <w:rFonts w:ascii="Palatino Linotype" w:eastAsia="Palatino Linotype" w:hAnsi="Palatino Linotype" w:cs="Palatino Linotype"/>
        </w:rPr>
      </w:pPr>
    </w:p>
    <w:p w:rsidR="007C0364" w:rsidRPr="009E7B94" w:rsidRDefault="007C0364" w:rsidP="007C0364">
      <w:pPr>
        <w:spacing w:line="360" w:lineRule="auto"/>
        <w:ind w:right="49"/>
        <w:jc w:val="both"/>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r w:rsidRPr="009E7B94">
        <w:rPr>
          <w:rFonts w:ascii="Palatino Linotype" w:eastAsia="Palatino Linotype" w:hAnsi="Palatino Linotype" w:cs="Palatino Linotype"/>
        </w:rPr>
        <w:tab/>
      </w: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tabs>
          <w:tab w:val="left" w:pos="3374"/>
        </w:tabs>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7C0364" w:rsidRPr="009E7B94" w:rsidRDefault="007C0364" w:rsidP="007C0364">
      <w:pPr>
        <w:spacing w:line="360" w:lineRule="auto"/>
        <w:ind w:right="49"/>
        <w:rPr>
          <w:rFonts w:ascii="Palatino Linotype" w:eastAsia="Palatino Linotype" w:hAnsi="Palatino Linotype" w:cs="Palatino Linotype"/>
        </w:rPr>
      </w:pPr>
    </w:p>
    <w:p w:rsidR="00B130FE" w:rsidRPr="009E7B94" w:rsidRDefault="00B130FE"/>
    <w:sectPr w:rsidR="00B130FE" w:rsidRPr="009E7B94" w:rsidSect="009E7B94">
      <w:headerReference w:type="even" r:id="rId9"/>
      <w:headerReference w:type="default" r:id="rId10"/>
      <w:footerReference w:type="default" r:id="rId11"/>
      <w:headerReference w:type="first" r:id="rId12"/>
      <w:footerReference w:type="first" r:id="rId13"/>
      <w:pgSz w:w="12240" w:h="15840"/>
      <w:pgMar w:top="2410" w:right="758" w:bottom="1985"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EEB" w:rsidRDefault="004A3EEB" w:rsidP="007C0364">
      <w:r>
        <w:separator/>
      </w:r>
    </w:p>
  </w:endnote>
  <w:endnote w:type="continuationSeparator" w:id="0">
    <w:p w:rsidR="004A3EEB" w:rsidRDefault="004A3EEB" w:rsidP="007C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C78" w:rsidRPr="009E7B94" w:rsidRDefault="007542E6">
    <w:pPr>
      <w:pBdr>
        <w:top w:val="nil"/>
        <w:left w:val="nil"/>
        <w:bottom w:val="nil"/>
        <w:right w:val="nil"/>
        <w:between w:val="nil"/>
      </w:pBdr>
      <w:tabs>
        <w:tab w:val="center" w:pos="4419"/>
        <w:tab w:val="right" w:pos="8838"/>
      </w:tabs>
      <w:jc w:val="right"/>
      <w:rPr>
        <w:rFonts w:ascii="Palatino Linotype" w:eastAsia="Palatino Linotype" w:hAnsi="Palatino Linotype" w:cs="Palatino Linotype"/>
        <w:color w:val="000000"/>
        <w:sz w:val="22"/>
        <w:szCs w:val="20"/>
      </w:rPr>
    </w:pPr>
    <w:r w:rsidRPr="009E7B94">
      <w:rPr>
        <w:rFonts w:ascii="Palatino Linotype" w:eastAsia="Palatino Linotype" w:hAnsi="Palatino Linotype" w:cs="Palatino Linotype"/>
        <w:color w:val="000000"/>
        <w:sz w:val="22"/>
        <w:szCs w:val="20"/>
      </w:rPr>
      <w:t xml:space="preserve">Página </w:t>
    </w:r>
    <w:r w:rsidRPr="009E7B94">
      <w:rPr>
        <w:rFonts w:ascii="Palatino Linotype" w:eastAsia="Palatino Linotype" w:hAnsi="Palatino Linotype" w:cs="Palatino Linotype"/>
        <w:color w:val="000000"/>
        <w:sz w:val="22"/>
        <w:szCs w:val="20"/>
      </w:rPr>
      <w:fldChar w:fldCharType="begin"/>
    </w:r>
    <w:r w:rsidRPr="009E7B94">
      <w:rPr>
        <w:rFonts w:ascii="Palatino Linotype" w:eastAsia="Palatino Linotype" w:hAnsi="Palatino Linotype" w:cs="Palatino Linotype"/>
        <w:color w:val="000000"/>
        <w:sz w:val="22"/>
        <w:szCs w:val="20"/>
      </w:rPr>
      <w:instrText>PAGE</w:instrText>
    </w:r>
    <w:r w:rsidRPr="009E7B94">
      <w:rPr>
        <w:rFonts w:ascii="Palatino Linotype" w:eastAsia="Palatino Linotype" w:hAnsi="Palatino Linotype" w:cs="Palatino Linotype"/>
        <w:color w:val="000000"/>
        <w:sz w:val="22"/>
        <w:szCs w:val="20"/>
      </w:rPr>
      <w:fldChar w:fldCharType="separate"/>
    </w:r>
    <w:r w:rsidR="00810141">
      <w:rPr>
        <w:rFonts w:ascii="Palatino Linotype" w:eastAsia="Palatino Linotype" w:hAnsi="Palatino Linotype" w:cs="Palatino Linotype"/>
        <w:noProof/>
        <w:color w:val="000000"/>
        <w:sz w:val="22"/>
        <w:szCs w:val="20"/>
      </w:rPr>
      <w:t>28</w:t>
    </w:r>
    <w:r w:rsidRPr="009E7B94">
      <w:rPr>
        <w:rFonts w:ascii="Palatino Linotype" w:eastAsia="Palatino Linotype" w:hAnsi="Palatino Linotype" w:cs="Palatino Linotype"/>
        <w:color w:val="000000"/>
        <w:sz w:val="22"/>
        <w:szCs w:val="20"/>
      </w:rPr>
      <w:fldChar w:fldCharType="end"/>
    </w:r>
    <w:r w:rsidRPr="009E7B94">
      <w:rPr>
        <w:rFonts w:ascii="Palatino Linotype" w:eastAsia="Palatino Linotype" w:hAnsi="Palatino Linotype" w:cs="Palatino Linotype"/>
        <w:color w:val="000000"/>
        <w:sz w:val="22"/>
        <w:szCs w:val="20"/>
      </w:rPr>
      <w:t xml:space="preserve"> de </w:t>
    </w:r>
    <w:r w:rsidRPr="009E7B94">
      <w:rPr>
        <w:rFonts w:ascii="Palatino Linotype" w:eastAsia="Palatino Linotype" w:hAnsi="Palatino Linotype" w:cs="Palatino Linotype"/>
        <w:color w:val="000000"/>
        <w:sz w:val="22"/>
        <w:szCs w:val="20"/>
      </w:rPr>
      <w:fldChar w:fldCharType="begin"/>
    </w:r>
    <w:r w:rsidRPr="009E7B94">
      <w:rPr>
        <w:rFonts w:ascii="Palatino Linotype" w:eastAsia="Palatino Linotype" w:hAnsi="Palatino Linotype" w:cs="Palatino Linotype"/>
        <w:color w:val="000000"/>
        <w:sz w:val="22"/>
        <w:szCs w:val="20"/>
      </w:rPr>
      <w:instrText>NUMPAGES</w:instrText>
    </w:r>
    <w:r w:rsidRPr="009E7B94">
      <w:rPr>
        <w:rFonts w:ascii="Palatino Linotype" w:eastAsia="Palatino Linotype" w:hAnsi="Palatino Linotype" w:cs="Palatino Linotype"/>
        <w:color w:val="000000"/>
        <w:sz w:val="22"/>
        <w:szCs w:val="20"/>
      </w:rPr>
      <w:fldChar w:fldCharType="separate"/>
    </w:r>
    <w:r w:rsidR="00810141">
      <w:rPr>
        <w:rFonts w:ascii="Palatino Linotype" w:eastAsia="Palatino Linotype" w:hAnsi="Palatino Linotype" w:cs="Palatino Linotype"/>
        <w:noProof/>
        <w:color w:val="000000"/>
        <w:sz w:val="22"/>
        <w:szCs w:val="20"/>
      </w:rPr>
      <w:t>38</w:t>
    </w:r>
    <w:r w:rsidRPr="009E7B94">
      <w:rPr>
        <w:rFonts w:ascii="Palatino Linotype" w:eastAsia="Palatino Linotype" w:hAnsi="Palatino Linotype" w:cs="Palatino Linotype"/>
        <w:color w:val="000000"/>
        <w:sz w:val="22"/>
        <w:szCs w:val="20"/>
      </w:rPr>
      <w:fldChar w:fldCharType="end"/>
    </w:r>
  </w:p>
  <w:p w:rsidR="00A37C78" w:rsidRDefault="004A3EEB">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C78" w:rsidRPr="009E7B94" w:rsidRDefault="007542E6">
    <w:pPr>
      <w:pBdr>
        <w:top w:val="nil"/>
        <w:left w:val="nil"/>
        <w:bottom w:val="nil"/>
        <w:right w:val="nil"/>
        <w:between w:val="nil"/>
      </w:pBdr>
      <w:tabs>
        <w:tab w:val="center" w:pos="4419"/>
        <w:tab w:val="right" w:pos="8838"/>
      </w:tabs>
      <w:jc w:val="right"/>
      <w:rPr>
        <w:rFonts w:ascii="Palatino Linotype" w:eastAsia="Palatino Linotype" w:hAnsi="Palatino Linotype" w:cs="Palatino Linotype"/>
        <w:color w:val="000000"/>
        <w:sz w:val="22"/>
        <w:szCs w:val="20"/>
      </w:rPr>
    </w:pPr>
    <w:r w:rsidRPr="009E7B94">
      <w:rPr>
        <w:rFonts w:ascii="Palatino Linotype" w:eastAsia="Palatino Linotype" w:hAnsi="Palatino Linotype" w:cs="Palatino Linotype"/>
        <w:color w:val="000000"/>
        <w:sz w:val="22"/>
        <w:szCs w:val="20"/>
      </w:rPr>
      <w:t xml:space="preserve">Página </w:t>
    </w:r>
    <w:r w:rsidRPr="009E7B94">
      <w:rPr>
        <w:rFonts w:ascii="Palatino Linotype" w:eastAsia="Palatino Linotype" w:hAnsi="Palatino Linotype" w:cs="Palatino Linotype"/>
        <w:color w:val="000000"/>
        <w:sz w:val="22"/>
        <w:szCs w:val="20"/>
      </w:rPr>
      <w:fldChar w:fldCharType="begin"/>
    </w:r>
    <w:r w:rsidRPr="009E7B94">
      <w:rPr>
        <w:rFonts w:ascii="Palatino Linotype" w:eastAsia="Palatino Linotype" w:hAnsi="Palatino Linotype" w:cs="Palatino Linotype"/>
        <w:color w:val="000000"/>
        <w:sz w:val="22"/>
        <w:szCs w:val="20"/>
      </w:rPr>
      <w:instrText>PAGE</w:instrText>
    </w:r>
    <w:r w:rsidRPr="009E7B94">
      <w:rPr>
        <w:rFonts w:ascii="Palatino Linotype" w:eastAsia="Palatino Linotype" w:hAnsi="Palatino Linotype" w:cs="Palatino Linotype"/>
        <w:color w:val="000000"/>
        <w:sz w:val="22"/>
        <w:szCs w:val="20"/>
      </w:rPr>
      <w:fldChar w:fldCharType="separate"/>
    </w:r>
    <w:r w:rsidR="00810141">
      <w:rPr>
        <w:rFonts w:ascii="Palatino Linotype" w:eastAsia="Palatino Linotype" w:hAnsi="Palatino Linotype" w:cs="Palatino Linotype"/>
        <w:noProof/>
        <w:color w:val="000000"/>
        <w:sz w:val="22"/>
        <w:szCs w:val="20"/>
      </w:rPr>
      <w:t>1</w:t>
    </w:r>
    <w:r w:rsidRPr="009E7B94">
      <w:rPr>
        <w:rFonts w:ascii="Palatino Linotype" w:eastAsia="Palatino Linotype" w:hAnsi="Palatino Linotype" w:cs="Palatino Linotype"/>
        <w:color w:val="000000"/>
        <w:sz w:val="22"/>
        <w:szCs w:val="20"/>
      </w:rPr>
      <w:fldChar w:fldCharType="end"/>
    </w:r>
    <w:r w:rsidRPr="009E7B94">
      <w:rPr>
        <w:rFonts w:ascii="Palatino Linotype" w:eastAsia="Palatino Linotype" w:hAnsi="Palatino Linotype" w:cs="Palatino Linotype"/>
        <w:color w:val="000000"/>
        <w:sz w:val="22"/>
        <w:szCs w:val="20"/>
      </w:rPr>
      <w:t xml:space="preserve"> de </w:t>
    </w:r>
    <w:r w:rsidRPr="009E7B94">
      <w:rPr>
        <w:rFonts w:ascii="Palatino Linotype" w:eastAsia="Palatino Linotype" w:hAnsi="Palatino Linotype" w:cs="Palatino Linotype"/>
        <w:color w:val="000000"/>
        <w:sz w:val="22"/>
        <w:szCs w:val="20"/>
      </w:rPr>
      <w:fldChar w:fldCharType="begin"/>
    </w:r>
    <w:r w:rsidRPr="009E7B94">
      <w:rPr>
        <w:rFonts w:ascii="Palatino Linotype" w:eastAsia="Palatino Linotype" w:hAnsi="Palatino Linotype" w:cs="Palatino Linotype"/>
        <w:color w:val="000000"/>
        <w:sz w:val="22"/>
        <w:szCs w:val="20"/>
      </w:rPr>
      <w:instrText>NUMPAGES</w:instrText>
    </w:r>
    <w:r w:rsidRPr="009E7B94">
      <w:rPr>
        <w:rFonts w:ascii="Palatino Linotype" w:eastAsia="Palatino Linotype" w:hAnsi="Palatino Linotype" w:cs="Palatino Linotype"/>
        <w:color w:val="000000"/>
        <w:sz w:val="22"/>
        <w:szCs w:val="20"/>
      </w:rPr>
      <w:fldChar w:fldCharType="separate"/>
    </w:r>
    <w:r w:rsidR="00810141">
      <w:rPr>
        <w:rFonts w:ascii="Palatino Linotype" w:eastAsia="Palatino Linotype" w:hAnsi="Palatino Linotype" w:cs="Palatino Linotype"/>
        <w:noProof/>
        <w:color w:val="000000"/>
        <w:sz w:val="22"/>
        <w:szCs w:val="20"/>
      </w:rPr>
      <w:t>38</w:t>
    </w:r>
    <w:r w:rsidRPr="009E7B94">
      <w:rPr>
        <w:rFonts w:ascii="Palatino Linotype" w:eastAsia="Palatino Linotype" w:hAnsi="Palatino Linotype" w:cs="Palatino Linotype"/>
        <w:color w:val="000000"/>
        <w:sz w:val="22"/>
        <w:szCs w:val="20"/>
      </w:rPr>
      <w:fldChar w:fldCharType="end"/>
    </w:r>
  </w:p>
  <w:p w:rsidR="00A37C78" w:rsidRDefault="004A3EEB">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EEB" w:rsidRDefault="004A3EEB" w:rsidP="007C0364">
      <w:r>
        <w:separator/>
      </w:r>
    </w:p>
  </w:footnote>
  <w:footnote w:type="continuationSeparator" w:id="0">
    <w:p w:rsidR="004A3EEB" w:rsidRDefault="004A3EEB" w:rsidP="007C0364">
      <w:r>
        <w:continuationSeparator/>
      </w:r>
    </w:p>
  </w:footnote>
  <w:footnote w:id="1">
    <w:p w:rsidR="007C0364" w:rsidRPr="008A3C06" w:rsidRDefault="007C0364" w:rsidP="007C0364">
      <w:pPr>
        <w:jc w:val="both"/>
        <w:rPr>
          <w:rFonts w:ascii="Palatino Linotype" w:hAnsi="Palatino Linotype"/>
          <w:i/>
          <w:sz w:val="16"/>
          <w:szCs w:val="16"/>
        </w:rPr>
      </w:pPr>
      <w:r>
        <w:rPr>
          <w:rStyle w:val="Refdenotaalpie"/>
        </w:rPr>
        <w:footnoteRef/>
      </w:r>
      <w:r>
        <w:t xml:space="preserve"> “</w:t>
      </w:r>
      <w:r w:rsidRPr="008A3C06">
        <w:rPr>
          <w:rFonts w:ascii="Palatino Linotype" w:hAnsi="Palatino Linotype"/>
          <w:b/>
          <w:i/>
          <w:sz w:val="16"/>
          <w:szCs w:val="16"/>
        </w:rPr>
        <w:t>PRINCIPIO DE INTERPRETACIÓN MÁS FAVORABLE A LA PERSONA. ES APLICABLE RESPECTO DE LAS NORMAS RELATIVAS A LOS DERECHOS HUMANOS DE LOS QUE SEAN TITULARES LAS PERSONAS MORALES.</w:t>
      </w:r>
      <w:r w:rsidRPr="008A3C06">
        <w:rPr>
          <w:rFonts w:ascii="Palatino Linotype" w:hAnsi="Palatino Linotype"/>
          <w:i/>
          <w:sz w:val="16"/>
          <w:szCs w:val="16"/>
        </w:rPr>
        <w:t xml:space="preserve"> El artículo 1o. de la Constitución Política de los Estados Unidos Mexicanos, al disponer que en los Estados Unidos Mexicanos todas las personas gozarán de los derechos humanos reconocidos en dicha Constitución y en los tratados internacionales de los que el Estado Mexicano sea parte, así como de las garantías para su protección, no prevé distinción alguna, por lo que debe interpretarse en el sentido de que comprende tanto a las personas físicas, como a las morales, las que gozarán de aquellos derechos en la medida en que resulten conformes con su naturaleza y fines. En consecuencia, el principio de interpretación más favorable a la persona, que como imperativo establece el párrafo segundo del citado precepto, es aplicable respecto de las normas relativas a los derechos humanos de los que gocen las personas morales, por lo que deberán interpretarse favoreciendo en todo tiempo la protección más amplia, a condición de que no se trate de aquellos derechos cuyo contenido material sólo pueda ser disfrutado por las personas físicas, lo que habrá de determinarse en cada caso concreto.</w:t>
      </w:r>
      <w:r>
        <w:rPr>
          <w:rFonts w:ascii="Palatino Linotype" w:hAnsi="Palatino Linotype"/>
          <w:i/>
          <w:sz w:val="16"/>
          <w:szCs w:val="16"/>
        </w:rPr>
        <w:t>”</w:t>
      </w:r>
    </w:p>
    <w:p w:rsidR="007C0364" w:rsidRDefault="007C0364" w:rsidP="007C0364"/>
    <w:p w:rsidR="007C0364" w:rsidRDefault="007C0364" w:rsidP="007C0364">
      <w:pPr>
        <w:pStyle w:val="Textonotapie"/>
      </w:pPr>
    </w:p>
  </w:footnote>
  <w:footnote w:id="2">
    <w:p w:rsidR="007C0364" w:rsidRPr="006C4668" w:rsidRDefault="007C0364" w:rsidP="007C0364">
      <w:pPr>
        <w:pBdr>
          <w:top w:val="nil"/>
          <w:left w:val="nil"/>
          <w:bottom w:val="nil"/>
          <w:right w:val="nil"/>
          <w:between w:val="nil"/>
        </w:pBdr>
        <w:rPr>
          <w:rFonts w:ascii="Palatino Linotype" w:hAnsi="Palatino Linotype"/>
          <w:color w:val="000000"/>
          <w:sz w:val="22"/>
        </w:rPr>
      </w:pPr>
      <w:r w:rsidRPr="006C4668">
        <w:rPr>
          <w:rFonts w:ascii="Palatino Linotype" w:hAnsi="Palatino Linotype"/>
          <w:sz w:val="22"/>
          <w:vertAlign w:val="superscript"/>
        </w:rPr>
        <w:footnoteRef/>
      </w:r>
      <w:r w:rsidRPr="006C4668">
        <w:rPr>
          <w:rFonts w:ascii="Palatino Linotype" w:hAnsi="Palatino Linotype"/>
          <w:color w:val="000000"/>
          <w:sz w:val="22"/>
        </w:rPr>
        <w:t xml:space="preserve"> Convención Americana sobre Derechos Humanos. Artículo 13.</w:t>
      </w:r>
    </w:p>
  </w:footnote>
  <w:footnote w:id="3">
    <w:p w:rsidR="007C0364" w:rsidRPr="006C4668" w:rsidRDefault="007C0364" w:rsidP="007C0364">
      <w:pPr>
        <w:pBdr>
          <w:top w:val="nil"/>
          <w:left w:val="nil"/>
          <w:bottom w:val="nil"/>
          <w:right w:val="nil"/>
          <w:between w:val="nil"/>
        </w:pBdr>
        <w:rPr>
          <w:rFonts w:ascii="Palatino Linotype" w:hAnsi="Palatino Linotype"/>
          <w:color w:val="000000"/>
          <w:sz w:val="22"/>
        </w:rPr>
      </w:pPr>
      <w:r w:rsidRPr="006C4668">
        <w:rPr>
          <w:rFonts w:ascii="Palatino Linotype" w:hAnsi="Palatino Linotype"/>
          <w:sz w:val="22"/>
          <w:vertAlign w:val="superscript"/>
        </w:rPr>
        <w:footnoteRef/>
      </w:r>
      <w:r w:rsidRPr="006C4668">
        <w:rPr>
          <w:rFonts w:ascii="Palatino Linotype" w:hAnsi="Palatino Linotype"/>
          <w:color w:val="000000"/>
          <w:sz w:val="22"/>
        </w:rPr>
        <w:t xml:space="preserve"> Constitución Política de los Estados Unidos Mexicanos. Artículo sexto, sección A, Fracción I.</w:t>
      </w:r>
    </w:p>
  </w:footnote>
  <w:footnote w:id="4">
    <w:p w:rsidR="007C0364" w:rsidRDefault="007C0364" w:rsidP="007C0364">
      <w:pPr>
        <w:pBdr>
          <w:top w:val="nil"/>
          <w:left w:val="nil"/>
          <w:bottom w:val="nil"/>
          <w:right w:val="nil"/>
          <w:between w:val="nil"/>
        </w:pBdr>
        <w:rPr>
          <w:rFonts w:ascii="Palatino Linotype" w:eastAsia="Palatino Linotype" w:hAnsi="Palatino Linotype" w:cs="Palatino Linotype"/>
          <w:color w:val="000000"/>
          <w:sz w:val="18"/>
          <w:szCs w:val="18"/>
        </w:rPr>
      </w:pPr>
      <w:r>
        <w:rPr>
          <w:vertAlign w:val="superscript"/>
        </w:rPr>
        <w:footnoteRef/>
      </w:r>
      <w:r>
        <w:rPr>
          <w:rFonts w:ascii="Palatino Linotype" w:eastAsia="Palatino Linotype" w:hAnsi="Palatino Linotype" w:cs="Palatino Linotype"/>
          <w:color w:val="000000"/>
          <w:sz w:val="18"/>
          <w:szCs w:val="18"/>
        </w:rPr>
        <w:t xml:space="preserve"> Corte Interamericana de Derechos Humanos. Caso Claude Reyes y otros vs Chile. Sentencia de 19 de septiembre de 2006. Serie C. No. 151. Párr. 86.</w:t>
      </w:r>
    </w:p>
  </w:footnote>
  <w:footnote w:id="5">
    <w:p w:rsidR="007C0364" w:rsidRDefault="007C0364" w:rsidP="007C0364">
      <w:pPr>
        <w:pBdr>
          <w:top w:val="nil"/>
          <w:left w:val="nil"/>
          <w:bottom w:val="nil"/>
          <w:right w:val="nil"/>
          <w:between w:val="nil"/>
        </w:pBdr>
        <w:rPr>
          <w:rFonts w:ascii="Palatino Linotype" w:eastAsia="Palatino Linotype" w:hAnsi="Palatino Linotype" w:cs="Palatino Linotype"/>
          <w:color w:val="000000"/>
          <w:sz w:val="18"/>
          <w:szCs w:val="18"/>
        </w:rPr>
      </w:pPr>
      <w:r>
        <w:rPr>
          <w:vertAlign w:val="superscript"/>
        </w:rPr>
        <w:footnoteRef/>
      </w:r>
      <w:r>
        <w:rPr>
          <w:rFonts w:ascii="Palatino Linotype" w:eastAsia="Palatino Linotype" w:hAnsi="Palatino Linotype" w:cs="Palatino Linotype"/>
          <w:color w:val="000000"/>
          <w:sz w:val="18"/>
          <w:szCs w:val="18"/>
        </w:rPr>
        <w:t xml:space="preserve"> Ibídem. Párr. 87.</w:t>
      </w:r>
    </w:p>
  </w:footnote>
  <w:footnote w:id="6">
    <w:p w:rsidR="007C0364" w:rsidRDefault="007C0364" w:rsidP="007C0364">
      <w:pPr>
        <w:pBdr>
          <w:top w:val="nil"/>
          <w:left w:val="nil"/>
          <w:bottom w:val="nil"/>
          <w:right w:val="nil"/>
          <w:between w:val="nil"/>
        </w:pBdr>
        <w:rPr>
          <w:color w:val="000000"/>
        </w:rPr>
      </w:pPr>
      <w:r>
        <w:rPr>
          <w:vertAlign w:val="superscript"/>
        </w:rPr>
        <w:footnoteRef/>
      </w:r>
      <w:r>
        <w:rPr>
          <w:rFonts w:ascii="Palatino Linotype" w:eastAsia="Palatino Linotype" w:hAnsi="Palatino Linotype" w:cs="Palatino Linotype"/>
          <w:color w:val="000000"/>
          <w:sz w:val="18"/>
          <w:szCs w:val="18"/>
        </w:rPr>
        <w:t xml:space="preserve"> Declaración conjunta del Relator Especial de las Naciones Unidas (ONU) para la Libertad de Opinión y de Expresión, el Representante para la Libertad de los Medios de Comunicación de la Organización para la Seguridad y la Cooperación en Europa (OSCE) y el Relator Especial de la Organización de los Estados Americanos (OEA) para la Libertad de Expresión (2004), disponible en </w:t>
      </w:r>
      <w:hyperlink r:id="rId1">
        <w:r>
          <w:rPr>
            <w:rFonts w:ascii="Palatino Linotype" w:eastAsia="Palatino Linotype" w:hAnsi="Palatino Linotype" w:cs="Palatino Linotype"/>
            <w:color w:val="0000FF"/>
            <w:sz w:val="18"/>
            <w:szCs w:val="18"/>
            <w:u w:val="single"/>
          </w:rPr>
          <w:t>http://www.oas.org/es/cidh/expresion/documentos_basicos/declaraciones.asp</w:t>
        </w:r>
      </w:hyperlink>
      <w:r>
        <w:rPr>
          <w:rFonts w:ascii="Palatino Linotype" w:eastAsia="Palatino Linotype" w:hAnsi="Palatino Linotype" w:cs="Palatino Linotype"/>
          <w:color w:val="000000"/>
          <w:sz w:val="18"/>
          <w:szCs w:val="18"/>
        </w:rPr>
        <w:t>.</w:t>
      </w:r>
    </w:p>
  </w:footnote>
  <w:footnote w:id="7">
    <w:p w:rsidR="007C0364" w:rsidRDefault="007C0364" w:rsidP="007C0364">
      <w:pPr>
        <w:pBdr>
          <w:top w:val="nil"/>
          <w:left w:val="nil"/>
          <w:bottom w:val="nil"/>
          <w:right w:val="nil"/>
          <w:between w:val="nil"/>
        </w:pBdr>
        <w:rPr>
          <w:rFonts w:ascii="Palatino Linotype" w:eastAsia="Palatino Linotype" w:hAnsi="Palatino Linotype" w:cs="Palatino Linotype"/>
          <w:color w:val="000000"/>
          <w:sz w:val="18"/>
          <w:szCs w:val="18"/>
        </w:rPr>
      </w:pPr>
      <w:r>
        <w:rPr>
          <w:vertAlign w:val="superscript"/>
        </w:rPr>
        <w:footnoteRef/>
      </w:r>
      <w:r>
        <w:rPr>
          <w:rFonts w:ascii="Palatino Linotype" w:eastAsia="Palatino Linotype" w:hAnsi="Palatino Linotype" w:cs="Palatino Linotype"/>
          <w:color w:val="000000"/>
          <w:sz w:val="18"/>
          <w:szCs w:val="18"/>
        </w:rPr>
        <w:t xml:space="preserve"> Ley de Transparencia y Acceso a la Información Pública del Estado de México y Municipios. Artículo 9. …</w:t>
      </w:r>
    </w:p>
    <w:p w:rsidR="007C0364" w:rsidRDefault="007C0364" w:rsidP="007C036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II. Eficacia: Obligación del Instituto para tutelar, de manera efectiva, el derecho de acceso a la información;</w:t>
      </w:r>
    </w:p>
    <w:p w:rsidR="007C0364" w:rsidRDefault="007C0364" w:rsidP="007C0364">
      <w:pPr>
        <w:pBdr>
          <w:top w:val="nil"/>
          <w:left w:val="nil"/>
          <w:bottom w:val="nil"/>
          <w:right w:val="nil"/>
          <w:between w:val="nil"/>
        </w:pBdr>
        <w:rPr>
          <w:color w:val="000000"/>
        </w:rPr>
      </w:pPr>
      <w:r>
        <w:rPr>
          <w:color w:val="00000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C78" w:rsidRDefault="004A3EEB">
    <w:pPr>
      <w:pBdr>
        <w:top w:val="nil"/>
        <w:left w:val="nil"/>
        <w:bottom w:val="nil"/>
        <w:right w:val="nil"/>
        <w:between w:val="nil"/>
      </w:pBdr>
      <w:tabs>
        <w:tab w:val="center" w:pos="4419"/>
        <w:tab w:val="right" w:pos="8838"/>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style="position:absolute;margin-left:0;margin-top:0;width:609.4pt;height:793.75pt;z-index:-25165516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7512" w:type="dxa"/>
      <w:tblInd w:w="2694" w:type="dxa"/>
      <w:tblLayout w:type="fixed"/>
      <w:tblLook w:val="0400" w:firstRow="0" w:lastRow="0" w:firstColumn="0" w:lastColumn="0" w:noHBand="0" w:noVBand="1"/>
    </w:tblPr>
    <w:tblGrid>
      <w:gridCol w:w="2976"/>
      <w:gridCol w:w="4536"/>
    </w:tblGrid>
    <w:tr w:rsidR="00A37C78" w:rsidTr="009E7B94">
      <w:trPr>
        <w:trHeight w:val="227"/>
      </w:trPr>
      <w:tc>
        <w:tcPr>
          <w:tcW w:w="2976" w:type="dxa"/>
          <w:vAlign w:val="center"/>
        </w:tcPr>
        <w:p w:rsidR="00A37C78" w:rsidRPr="009E7B94" w:rsidRDefault="007542E6">
          <w:pPr>
            <w:ind w:right="34"/>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Recurso de Revisión:</w:t>
          </w:r>
        </w:p>
      </w:tc>
      <w:tc>
        <w:tcPr>
          <w:tcW w:w="4536" w:type="dxa"/>
          <w:vAlign w:val="center"/>
        </w:tcPr>
        <w:p w:rsidR="00A37C78" w:rsidRPr="009E7B94" w:rsidRDefault="007542E6" w:rsidP="009E7B94">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highlight w:val="green"/>
            </w:rPr>
          </w:pPr>
          <w:r w:rsidRPr="009E7B94">
            <w:rPr>
              <w:rFonts w:ascii="Palatino Linotype" w:eastAsia="Palatino Linotype" w:hAnsi="Palatino Linotype" w:cs="Palatino Linotype"/>
              <w:bCs/>
              <w:color w:val="000000"/>
              <w:szCs w:val="22"/>
            </w:rPr>
            <w:t>06993/INFOEM/IP/RR/2026</w:t>
          </w:r>
        </w:p>
      </w:tc>
    </w:tr>
    <w:tr w:rsidR="00A37C78" w:rsidTr="009E7B94">
      <w:trPr>
        <w:trHeight w:val="242"/>
      </w:trPr>
      <w:tc>
        <w:tcPr>
          <w:tcW w:w="2976" w:type="dxa"/>
          <w:vAlign w:val="center"/>
        </w:tcPr>
        <w:p w:rsidR="00A37C78" w:rsidRPr="009E7B94" w:rsidRDefault="007542E6">
          <w:pPr>
            <w:ind w:right="34"/>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Sujeto Obligado:</w:t>
          </w:r>
        </w:p>
      </w:tc>
      <w:tc>
        <w:tcPr>
          <w:tcW w:w="4536" w:type="dxa"/>
          <w:vAlign w:val="center"/>
        </w:tcPr>
        <w:p w:rsidR="00A37C78" w:rsidRPr="009E7B94" w:rsidRDefault="007542E6" w:rsidP="009E7B94">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highlight w:val="green"/>
            </w:rPr>
          </w:pPr>
          <w:r w:rsidRPr="009E7B94">
            <w:rPr>
              <w:rFonts w:ascii="Palatino Linotype" w:eastAsia="Palatino Linotype" w:hAnsi="Palatino Linotype" w:cs="Palatino Linotype"/>
              <w:bCs/>
              <w:color w:val="000000"/>
              <w:szCs w:val="22"/>
            </w:rPr>
            <w:t>Tribunal de Justicia Administrativa del Estado de México</w:t>
          </w:r>
        </w:p>
      </w:tc>
    </w:tr>
    <w:tr w:rsidR="00A37C78" w:rsidTr="009E7B94">
      <w:trPr>
        <w:trHeight w:val="342"/>
      </w:trPr>
      <w:tc>
        <w:tcPr>
          <w:tcW w:w="2976" w:type="dxa"/>
          <w:vAlign w:val="center"/>
        </w:tcPr>
        <w:p w:rsidR="00A37C78" w:rsidRPr="009E7B94" w:rsidRDefault="007542E6">
          <w:pPr>
            <w:ind w:right="34"/>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Comisionada Ponente:</w:t>
          </w:r>
        </w:p>
      </w:tc>
      <w:tc>
        <w:tcPr>
          <w:tcW w:w="4536" w:type="dxa"/>
          <w:vAlign w:val="center"/>
        </w:tcPr>
        <w:p w:rsidR="00A37C78" w:rsidRPr="009E7B94" w:rsidRDefault="007542E6" w:rsidP="009E7B94">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rPr>
          </w:pPr>
          <w:r w:rsidRPr="009E7B94">
            <w:rPr>
              <w:rFonts w:ascii="Palatino Linotype" w:eastAsia="Palatino Linotype" w:hAnsi="Palatino Linotype" w:cs="Palatino Linotype"/>
              <w:color w:val="000000"/>
              <w:szCs w:val="22"/>
            </w:rPr>
            <w:t>María del Rosario Mejía Ayala</w:t>
          </w:r>
        </w:p>
      </w:tc>
    </w:tr>
  </w:tbl>
  <w:p w:rsidR="00A37C78" w:rsidRDefault="004A3EEB">
    <w:pPr>
      <w:rPr>
        <w:color w:val="000000"/>
        <w:sz w:val="14"/>
        <w:szCs w:val="14"/>
      </w:rPr>
    </w:pPr>
    <w:r>
      <w:rPr>
        <w:color w:val="000000"/>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75.25pt;margin-top:-129.3pt;width:609.4pt;height:793.75pt;z-index:-251657216;mso-position-horizontal-relative:margin;mso-position-vertical-relative:margin">
          <v:imagedata r:id="rId1" o:title="image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1"/>
      <w:tblW w:w="7371" w:type="dxa"/>
      <w:tblInd w:w="2552" w:type="dxa"/>
      <w:tblLayout w:type="fixed"/>
      <w:tblLook w:val="0400" w:firstRow="0" w:lastRow="0" w:firstColumn="0" w:lastColumn="0" w:noHBand="0" w:noVBand="1"/>
    </w:tblPr>
    <w:tblGrid>
      <w:gridCol w:w="2977"/>
      <w:gridCol w:w="4394"/>
    </w:tblGrid>
    <w:tr w:rsidR="00A37C78" w:rsidTr="009E7B94">
      <w:trPr>
        <w:trHeight w:val="227"/>
      </w:trPr>
      <w:tc>
        <w:tcPr>
          <w:tcW w:w="2977" w:type="dxa"/>
          <w:vAlign w:val="center"/>
        </w:tcPr>
        <w:p w:rsidR="00A37C78" w:rsidRPr="009E7B94" w:rsidRDefault="007542E6">
          <w:pPr>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Recurso de Revisión:</w:t>
          </w:r>
        </w:p>
      </w:tc>
      <w:tc>
        <w:tcPr>
          <w:tcW w:w="4394" w:type="dxa"/>
          <w:vAlign w:val="center"/>
        </w:tcPr>
        <w:p w:rsidR="00A37C78" w:rsidRPr="009E7B94" w:rsidRDefault="007542E6" w:rsidP="00637FE8">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highlight w:val="green"/>
            </w:rPr>
          </w:pPr>
          <w:r w:rsidRPr="009E7B94">
            <w:rPr>
              <w:rFonts w:ascii="Palatino Linotype" w:eastAsia="Palatino Linotype" w:hAnsi="Palatino Linotype" w:cs="Palatino Linotype"/>
              <w:bCs/>
              <w:color w:val="000000"/>
              <w:szCs w:val="22"/>
            </w:rPr>
            <w:t>06993/INFOEM/IP/RR/2026</w:t>
          </w:r>
        </w:p>
      </w:tc>
    </w:tr>
    <w:tr w:rsidR="00A37C78" w:rsidTr="009E7B94">
      <w:trPr>
        <w:trHeight w:val="242"/>
      </w:trPr>
      <w:tc>
        <w:tcPr>
          <w:tcW w:w="2977" w:type="dxa"/>
          <w:vAlign w:val="center"/>
        </w:tcPr>
        <w:p w:rsidR="00A37C78" w:rsidRPr="009E7B94" w:rsidRDefault="007542E6">
          <w:pPr>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Recurrente:</w:t>
          </w:r>
        </w:p>
      </w:tc>
      <w:tc>
        <w:tcPr>
          <w:tcW w:w="4394" w:type="dxa"/>
        </w:tcPr>
        <w:p w:rsidR="00A37C78" w:rsidRPr="009E7B94" w:rsidRDefault="00810141" w:rsidP="00CD1D76">
          <w:pPr>
            <w:rPr>
              <w:rFonts w:ascii="Palatino Linotype" w:eastAsia="Palatino Linotype" w:hAnsi="Palatino Linotype" w:cs="Palatino Linotype"/>
              <w:color w:val="000000"/>
              <w:szCs w:val="22"/>
              <w:highlight w:val="green"/>
            </w:rPr>
          </w:pPr>
          <w:r>
            <w:rPr>
              <w:rFonts w:ascii="Palatino Linotype" w:eastAsia="Palatino Linotype" w:hAnsi="Palatino Linotype" w:cs="Palatino Linotype"/>
              <w:color w:val="000000"/>
              <w:szCs w:val="22"/>
            </w:rPr>
            <w:t>XXXX</w:t>
          </w:r>
          <w:r w:rsidR="007542E6" w:rsidRPr="009E7B94">
            <w:rPr>
              <w:rFonts w:ascii="Palatino Linotype" w:eastAsia="Palatino Linotype" w:hAnsi="Palatino Linotype" w:cs="Palatino Linotype"/>
              <w:color w:val="000000"/>
              <w:szCs w:val="22"/>
            </w:rPr>
            <w:t xml:space="preserve"> </w:t>
          </w:r>
        </w:p>
      </w:tc>
    </w:tr>
    <w:tr w:rsidR="00A37C78" w:rsidTr="009E7B94">
      <w:trPr>
        <w:trHeight w:val="342"/>
      </w:trPr>
      <w:tc>
        <w:tcPr>
          <w:tcW w:w="2977" w:type="dxa"/>
          <w:vAlign w:val="center"/>
        </w:tcPr>
        <w:p w:rsidR="00A37C78" w:rsidRPr="009E7B94" w:rsidRDefault="007542E6">
          <w:pPr>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Sujeto Obligado:</w:t>
          </w:r>
        </w:p>
      </w:tc>
      <w:tc>
        <w:tcPr>
          <w:tcW w:w="4394" w:type="dxa"/>
          <w:vAlign w:val="center"/>
        </w:tcPr>
        <w:p w:rsidR="00A37C78" w:rsidRPr="009E7B94" w:rsidRDefault="007542E6" w:rsidP="00EF2A28">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highlight w:val="green"/>
            </w:rPr>
          </w:pPr>
          <w:r w:rsidRPr="009E7B94">
            <w:rPr>
              <w:rFonts w:ascii="Palatino Linotype" w:eastAsia="Palatino Linotype" w:hAnsi="Palatino Linotype" w:cs="Palatino Linotype"/>
              <w:bCs/>
              <w:color w:val="000000"/>
              <w:szCs w:val="22"/>
            </w:rPr>
            <w:t>Tribunal de Justicia Administrativa del Estado de México</w:t>
          </w:r>
        </w:p>
      </w:tc>
    </w:tr>
    <w:tr w:rsidR="00A37C78" w:rsidTr="009E7B94">
      <w:trPr>
        <w:trHeight w:val="342"/>
      </w:trPr>
      <w:tc>
        <w:tcPr>
          <w:tcW w:w="2977" w:type="dxa"/>
          <w:vAlign w:val="center"/>
        </w:tcPr>
        <w:p w:rsidR="00A37C78" w:rsidRPr="009E7B94" w:rsidRDefault="007542E6">
          <w:pPr>
            <w:jc w:val="right"/>
            <w:rPr>
              <w:rFonts w:ascii="Palatino Linotype" w:eastAsia="Palatino Linotype" w:hAnsi="Palatino Linotype" w:cs="Palatino Linotype"/>
              <w:b/>
              <w:szCs w:val="22"/>
            </w:rPr>
          </w:pPr>
          <w:r w:rsidRPr="009E7B94">
            <w:rPr>
              <w:rFonts w:ascii="Palatino Linotype" w:eastAsia="Palatino Linotype" w:hAnsi="Palatino Linotype" w:cs="Palatino Linotype"/>
              <w:b/>
              <w:szCs w:val="22"/>
            </w:rPr>
            <w:t>Comisionada Ponente:</w:t>
          </w:r>
        </w:p>
      </w:tc>
      <w:tc>
        <w:tcPr>
          <w:tcW w:w="4394" w:type="dxa"/>
          <w:vAlign w:val="center"/>
        </w:tcPr>
        <w:p w:rsidR="00A37C78" w:rsidRPr="009E7B94" w:rsidRDefault="007542E6">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szCs w:val="22"/>
            </w:rPr>
          </w:pPr>
          <w:r w:rsidRPr="009E7B94">
            <w:rPr>
              <w:rFonts w:ascii="Palatino Linotype" w:eastAsia="Palatino Linotype" w:hAnsi="Palatino Linotype" w:cs="Palatino Linotype"/>
              <w:color w:val="000000"/>
              <w:szCs w:val="22"/>
            </w:rPr>
            <w:t>María del Rosario Mejía Ayala</w:t>
          </w:r>
        </w:p>
      </w:tc>
    </w:tr>
  </w:tbl>
  <w:p w:rsidR="00A37C78" w:rsidRDefault="004A3EEB">
    <w:pPr>
      <w:pBdr>
        <w:top w:val="nil"/>
        <w:left w:val="nil"/>
        <w:bottom w:val="nil"/>
        <w:right w:val="nil"/>
        <w:between w:val="nil"/>
      </w:pBdr>
      <w:tabs>
        <w:tab w:val="center" w:pos="4419"/>
        <w:tab w:val="right" w:pos="8838"/>
      </w:tabs>
      <w:rPr>
        <w:color w:val="000000"/>
        <w:sz w:val="16"/>
        <w:szCs w:val="16"/>
      </w:rPr>
    </w:pPr>
    <w:r>
      <w:rPr>
        <w:color w:val="00000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style="position:absolute;margin-left:-84.55pt;margin-top:-132.2pt;width:609.4pt;height:793.75pt;z-index:-251656192;mso-position-horizontal-relative:margin;mso-position-vertical-relative:margin">
          <v:imagedata r:id="rId1" o:title="image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67AAF"/>
    <w:multiLevelType w:val="hybridMultilevel"/>
    <w:tmpl w:val="550E6E38"/>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15:restartNumberingAfterBreak="0">
    <w:nsid w:val="1B2D5048"/>
    <w:multiLevelType w:val="multilevel"/>
    <w:tmpl w:val="4FACD004"/>
    <w:lvl w:ilvl="0">
      <w:start w:val="1"/>
      <w:numFmt w:val="decimal"/>
      <w:lvlText w:val="%1."/>
      <w:lvlJc w:val="left"/>
      <w:pPr>
        <w:ind w:left="643" w:hanging="359"/>
      </w:pPr>
      <w:rPr>
        <w:rFonts w:ascii="Palatino Linotype" w:eastAsia="Palatino Linotype" w:hAnsi="Palatino Linotype" w:cs="Palatino Linotype"/>
        <w:b/>
        <w:i w:val="0"/>
        <w:color w:val="000000"/>
        <w:sz w:val="24"/>
        <w:szCs w:val="24"/>
      </w:rPr>
    </w:lvl>
    <w:lvl w:ilvl="1">
      <w:start w:val="1"/>
      <w:numFmt w:val="upperRoman"/>
      <w:lvlText w:val="%2."/>
      <w:lvlJc w:val="left"/>
      <w:pPr>
        <w:ind w:left="1515" w:hanging="720"/>
      </w:pPr>
      <w:rPr>
        <w:rFonts w:ascii="Palatino Linotype" w:eastAsia="Palatino Linotype" w:hAnsi="Palatino Linotype" w:cs="Palatino Linotype"/>
        <w:b/>
        <w:color w:val="000000"/>
        <w:sz w:val="24"/>
        <w:szCs w:val="24"/>
      </w:rPr>
    </w:lvl>
    <w:lvl w:ilvl="2">
      <w:start w:val="4"/>
      <w:numFmt w:val="lowerRoman"/>
      <w:lvlText w:val="%3."/>
      <w:lvlJc w:val="right"/>
      <w:pPr>
        <w:ind w:left="1875" w:hanging="180"/>
      </w:pPr>
    </w:lvl>
    <w:lvl w:ilvl="3">
      <w:start w:val="1"/>
      <w:numFmt w:val="lowerLetter"/>
      <w:lvlText w:val="%4)"/>
      <w:lvlJc w:val="left"/>
      <w:pPr>
        <w:ind w:left="359" w:hanging="358"/>
      </w:pPr>
    </w:lvl>
    <w:lvl w:ilvl="4">
      <w:start w:val="104"/>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2" w15:restartNumberingAfterBreak="0">
    <w:nsid w:val="1C9D6330"/>
    <w:multiLevelType w:val="hybridMultilevel"/>
    <w:tmpl w:val="FC8AE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543428C"/>
    <w:multiLevelType w:val="multilevel"/>
    <w:tmpl w:val="869A6D02"/>
    <w:lvl w:ilvl="0">
      <w:start w:val="1"/>
      <w:numFmt w:val="upperRoman"/>
      <w:lvlText w:val="%1."/>
      <w:lvlJc w:val="left"/>
      <w:pPr>
        <w:ind w:left="1854" w:hanging="72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 w15:restartNumberingAfterBreak="0">
    <w:nsid w:val="2BFA4E07"/>
    <w:multiLevelType w:val="multilevel"/>
    <w:tmpl w:val="3DF6786E"/>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2C1D1611"/>
    <w:multiLevelType w:val="multilevel"/>
    <w:tmpl w:val="943A21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625D08"/>
    <w:multiLevelType w:val="hybridMultilevel"/>
    <w:tmpl w:val="A63CC0EC"/>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7" w15:restartNumberingAfterBreak="0">
    <w:nsid w:val="4FC92802"/>
    <w:multiLevelType w:val="hybridMultilevel"/>
    <w:tmpl w:val="FB4E62B2"/>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15:restartNumberingAfterBreak="0">
    <w:nsid w:val="5A177B67"/>
    <w:multiLevelType w:val="multilevel"/>
    <w:tmpl w:val="D236FA1A"/>
    <w:lvl w:ilvl="0">
      <w:start w:val="1"/>
      <w:numFmt w:val="decimal"/>
      <w:lvlText w:val="%1."/>
      <w:lvlJc w:val="left"/>
      <w:pPr>
        <w:ind w:left="502" w:hanging="360"/>
      </w:pPr>
      <w:rPr>
        <w:rFonts w:ascii="Palatino Linotype" w:eastAsia="Palatino Linotype" w:hAnsi="Palatino Linotype" w:cs="Palatino Linotype"/>
        <w:b/>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5A5835"/>
    <w:multiLevelType w:val="multilevel"/>
    <w:tmpl w:val="BAD63276"/>
    <w:lvl w:ilvl="0">
      <w:start w:val="24"/>
      <w:numFmt w:val="decimal"/>
      <w:lvlText w:val="%1."/>
      <w:lvlJc w:val="left"/>
      <w:pPr>
        <w:ind w:left="360" w:hanging="360"/>
      </w:pPr>
      <w:rPr>
        <w:rFonts w:ascii="Palatino Linotype" w:hAnsi="Palatino Linotype"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4"/>
  </w:num>
  <w:num w:numId="3">
    <w:abstractNumId w:val="9"/>
  </w:num>
  <w:num w:numId="4">
    <w:abstractNumId w:val="0"/>
  </w:num>
  <w:num w:numId="5">
    <w:abstractNumId w:val="2"/>
  </w:num>
  <w:num w:numId="6">
    <w:abstractNumId w:val="6"/>
  </w:num>
  <w:num w:numId="7">
    <w:abstractNumId w:val="1"/>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364"/>
    <w:rsid w:val="001B3171"/>
    <w:rsid w:val="00231760"/>
    <w:rsid w:val="003478E8"/>
    <w:rsid w:val="00353AA5"/>
    <w:rsid w:val="004A3EEB"/>
    <w:rsid w:val="0065193C"/>
    <w:rsid w:val="006C2593"/>
    <w:rsid w:val="007542E6"/>
    <w:rsid w:val="007C0364"/>
    <w:rsid w:val="00810141"/>
    <w:rsid w:val="00940841"/>
    <w:rsid w:val="009E7B94"/>
    <w:rsid w:val="00AC2C98"/>
    <w:rsid w:val="00B130FE"/>
    <w:rsid w:val="00C51511"/>
    <w:rsid w:val="00E94CED"/>
    <w:rsid w:val="00FF5F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2251DEE0-5980-4BD2-86AE-4BCD41D7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364"/>
    <w:pPr>
      <w:spacing w:after="0" w:line="240" w:lineRule="auto"/>
    </w:pPr>
    <w:rPr>
      <w:rFonts w:ascii="Calibri" w:eastAsiaTheme="minorEastAsia" w:hAnsi="Calibri" w:cs="Calibri"/>
      <w:sz w:val="24"/>
      <w:szCs w:val="24"/>
      <w:lang w:val="es-ES_tradnl" w:eastAsia="es-ES"/>
    </w:rPr>
  </w:style>
  <w:style w:type="paragraph" w:styleId="Ttulo1">
    <w:name w:val="heading 1"/>
    <w:basedOn w:val="Normal"/>
    <w:next w:val="Normal"/>
    <w:link w:val="Ttulo1Car"/>
    <w:uiPriority w:val="9"/>
    <w:qFormat/>
    <w:rsid w:val="007C036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7C036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0364"/>
    <w:rPr>
      <w:rFonts w:asciiTheme="majorHAnsi" w:eastAsiaTheme="majorEastAsia" w:hAnsiTheme="majorHAnsi" w:cstheme="majorBidi"/>
      <w:color w:val="2E74B5" w:themeColor="accent1" w:themeShade="BF"/>
      <w:sz w:val="32"/>
      <w:szCs w:val="32"/>
      <w:lang w:val="es-ES_tradnl" w:eastAsia="es-ES"/>
    </w:rPr>
  </w:style>
  <w:style w:type="character" w:customStyle="1" w:styleId="Ttulo2Car">
    <w:name w:val="Título 2 Car"/>
    <w:basedOn w:val="Fuentedeprrafopredeter"/>
    <w:link w:val="Ttulo2"/>
    <w:uiPriority w:val="9"/>
    <w:rsid w:val="007C0364"/>
    <w:rPr>
      <w:rFonts w:asciiTheme="majorHAnsi" w:eastAsiaTheme="majorEastAsia" w:hAnsiTheme="majorHAnsi" w:cstheme="majorBidi"/>
      <w:color w:val="2E74B5" w:themeColor="accent1" w:themeShade="BF"/>
      <w:sz w:val="26"/>
      <w:szCs w:val="26"/>
      <w:lang w:val="es-ES_tradnl" w:eastAsia="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locked/>
    <w:rsid w:val="007C0364"/>
    <w:rPr>
      <w:sz w:val="20"/>
      <w:szCs w:val="20"/>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7C036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C0364"/>
    <w:rPr>
      <w:rFonts w:ascii="Calibri" w:eastAsiaTheme="minorEastAsia" w:hAnsi="Calibri" w:cs="Calibri"/>
      <w:sz w:val="20"/>
      <w:szCs w:val="20"/>
      <w:lang w:val="es-ES_tradnl"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7C0364"/>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rsid w:val="007C0364"/>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7C0364"/>
    <w:rPr>
      <w:rFonts w:ascii="Calibri" w:eastAsiaTheme="minorEastAsia" w:hAnsi="Calibri" w:cs="Calibri"/>
      <w:sz w:val="24"/>
      <w:szCs w:val="24"/>
      <w:lang w:val="es-ES_tradnl" w:eastAsia="es-ES"/>
    </w:rPr>
  </w:style>
  <w:style w:type="paragraph" w:styleId="Sinespaciado">
    <w:name w:val="No Spacing"/>
    <w:aliases w:val="Francesa,INAI"/>
    <w:link w:val="SinespaciadoCar"/>
    <w:uiPriority w:val="1"/>
    <w:qFormat/>
    <w:rsid w:val="007C0364"/>
    <w:pPr>
      <w:spacing w:after="0" w:line="240" w:lineRule="auto"/>
    </w:pPr>
    <w:rPr>
      <w:rFonts w:ascii="Calibri" w:eastAsia="Calibri" w:hAnsi="Calibri" w:cs="Calibri"/>
      <w:sz w:val="24"/>
      <w:szCs w:val="24"/>
      <w:lang w:val="es-ES_tradnl" w:eastAsia="es-MX"/>
    </w:rPr>
  </w:style>
  <w:style w:type="character" w:customStyle="1" w:styleId="SinespaciadoCar">
    <w:name w:val="Sin espaciado Car"/>
    <w:aliases w:val="Francesa Car,INAI Car"/>
    <w:link w:val="Sinespaciado"/>
    <w:uiPriority w:val="1"/>
    <w:qFormat/>
    <w:locked/>
    <w:rsid w:val="007C0364"/>
    <w:rPr>
      <w:rFonts w:ascii="Calibri" w:eastAsia="Calibri" w:hAnsi="Calibri" w:cs="Calibri"/>
      <w:sz w:val="24"/>
      <w:szCs w:val="24"/>
      <w:lang w:val="es-ES_tradnl" w:eastAsia="es-MX"/>
    </w:rPr>
  </w:style>
  <w:style w:type="character" w:styleId="Textoennegrita">
    <w:name w:val="Strong"/>
    <w:uiPriority w:val="22"/>
    <w:qFormat/>
    <w:rsid w:val="007C0364"/>
    <w:rPr>
      <w:b/>
      <w:bCs/>
    </w:rPr>
  </w:style>
  <w:style w:type="table" w:customStyle="1" w:styleId="2">
    <w:name w:val="2"/>
    <w:basedOn w:val="Tablanormal"/>
    <w:rsid w:val="007C0364"/>
    <w:pPr>
      <w:spacing w:after="0" w:line="240" w:lineRule="auto"/>
    </w:pPr>
    <w:rPr>
      <w:rFonts w:ascii="Calibri" w:eastAsia="Calibri" w:hAnsi="Calibri" w:cs="Calibri"/>
      <w:sz w:val="24"/>
      <w:szCs w:val="24"/>
      <w:lang w:val="es-ES_tradnl" w:eastAsia="es-MX"/>
    </w:rPr>
    <w:tblPr>
      <w:tblStyleRowBandSize w:val="1"/>
      <w:tblStyleColBandSize w:val="1"/>
      <w:tblCellMar>
        <w:left w:w="70" w:type="dxa"/>
        <w:right w:w="70" w:type="dxa"/>
      </w:tblCellMar>
    </w:tblPr>
  </w:style>
  <w:style w:type="table" w:customStyle="1" w:styleId="1">
    <w:name w:val="1"/>
    <w:basedOn w:val="Tablanormal"/>
    <w:rsid w:val="007C0364"/>
    <w:pPr>
      <w:spacing w:after="0" w:line="240" w:lineRule="auto"/>
    </w:pPr>
    <w:rPr>
      <w:rFonts w:ascii="Calibri" w:eastAsia="Calibri" w:hAnsi="Calibri" w:cs="Calibri"/>
      <w:sz w:val="24"/>
      <w:szCs w:val="24"/>
      <w:lang w:val="es-ES_tradnl" w:eastAsia="es-MX"/>
    </w:rPr>
    <w:tblPr>
      <w:tblStyleRowBandSize w:val="1"/>
      <w:tblStyleColBandSize w:val="1"/>
      <w:tblCellMar>
        <w:left w:w="70" w:type="dxa"/>
        <w:right w:w="70" w:type="dxa"/>
      </w:tblCellMar>
    </w:tblPr>
  </w:style>
  <w:style w:type="paragraph" w:styleId="Piedepgina">
    <w:name w:val="footer"/>
    <w:basedOn w:val="Normal"/>
    <w:link w:val="PiedepginaCar"/>
    <w:uiPriority w:val="99"/>
    <w:unhideWhenUsed/>
    <w:rsid w:val="00353AA5"/>
    <w:pPr>
      <w:tabs>
        <w:tab w:val="center" w:pos="4419"/>
        <w:tab w:val="right" w:pos="8838"/>
      </w:tabs>
    </w:pPr>
  </w:style>
  <w:style w:type="character" w:customStyle="1" w:styleId="PiedepginaCar">
    <w:name w:val="Pie de página Car"/>
    <w:basedOn w:val="Fuentedeprrafopredeter"/>
    <w:link w:val="Piedepgina"/>
    <w:uiPriority w:val="99"/>
    <w:rsid w:val="00353AA5"/>
    <w:rPr>
      <w:rFonts w:ascii="Calibri" w:eastAsiaTheme="minorEastAsia" w:hAnsi="Calibri" w:cs="Calibri"/>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oas.org/es/cidh/expresion/documentos_basicos/declaraciones.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38</Pages>
  <Words>8575</Words>
  <Characters>47166</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Cuenta Microsoft</cp:lastModifiedBy>
  <cp:revision>8</cp:revision>
  <cp:lastPrinted>2026-08-27T19:25:00Z</cp:lastPrinted>
  <dcterms:created xsi:type="dcterms:W3CDTF">2026-08-24T20:56:00Z</dcterms:created>
  <dcterms:modified xsi:type="dcterms:W3CDTF">2026-09-09T20:04:00Z</dcterms:modified>
</cp:coreProperties>
</file>