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81E" w:rsidRPr="00F2253C" w:rsidRDefault="0046681E" w:rsidP="0046681E">
      <w:pPr>
        <w:tabs>
          <w:tab w:val="left" w:pos="3465"/>
        </w:tabs>
        <w:spacing w:line="360" w:lineRule="auto"/>
        <w:ind w:right="49"/>
        <w:jc w:val="both"/>
        <w:rPr>
          <w:rFonts w:ascii="Palatino Linotype" w:eastAsia="Palatino Linotype" w:hAnsi="Palatino Linotype" w:cs="Palatino Linotype"/>
          <w:b/>
        </w:rPr>
      </w:pPr>
      <w:r w:rsidRPr="00F2253C">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w:t>
      </w:r>
      <w:r w:rsidR="00C85307" w:rsidRPr="00F2253C">
        <w:rPr>
          <w:rFonts w:ascii="Palatino Linotype" w:eastAsia="Palatino Linotype" w:hAnsi="Palatino Linotype" w:cs="Palatino Linotype"/>
          <w:b/>
        </w:rPr>
        <w:t>de</w:t>
      </w:r>
      <w:r w:rsidR="00F2253C">
        <w:rPr>
          <w:rFonts w:ascii="Palatino Linotype" w:eastAsia="Palatino Linotype" w:hAnsi="Palatino Linotype" w:cs="Palatino Linotype"/>
          <w:b/>
        </w:rPr>
        <w:t xml:space="preserve"> fecha</w:t>
      </w:r>
      <w:r w:rsidR="00C85307" w:rsidRPr="00F2253C">
        <w:rPr>
          <w:rFonts w:ascii="Palatino Linotype" w:eastAsia="Palatino Linotype" w:hAnsi="Palatino Linotype" w:cs="Palatino Linotype"/>
          <w:b/>
        </w:rPr>
        <w:t xml:space="preserve"> veintiocho</w:t>
      </w:r>
      <w:r w:rsidRPr="00F2253C">
        <w:rPr>
          <w:rFonts w:ascii="Palatino Linotype" w:eastAsia="Palatino Linotype" w:hAnsi="Palatino Linotype" w:cs="Palatino Linotype"/>
          <w:b/>
        </w:rPr>
        <w:t xml:space="preserve"> </w:t>
      </w:r>
      <w:r w:rsidR="00F2253C">
        <w:rPr>
          <w:rFonts w:ascii="Palatino Linotype" w:eastAsia="Palatino Linotype" w:hAnsi="Palatino Linotype" w:cs="Palatino Linotype"/>
          <w:b/>
        </w:rPr>
        <w:t xml:space="preserve">(28) </w:t>
      </w:r>
      <w:r w:rsidRPr="00F2253C">
        <w:rPr>
          <w:rFonts w:ascii="Palatino Linotype" w:eastAsia="Palatino Linotype" w:hAnsi="Palatino Linotype" w:cs="Palatino Linotype"/>
          <w:b/>
        </w:rPr>
        <w:t>de abril de dos mil veintiséis.</w:t>
      </w:r>
    </w:p>
    <w:p w:rsidR="0046681E" w:rsidRPr="00F2253C" w:rsidRDefault="0046681E" w:rsidP="0046681E">
      <w:pPr>
        <w:tabs>
          <w:tab w:val="left" w:pos="3465"/>
        </w:tabs>
        <w:spacing w:line="360" w:lineRule="auto"/>
        <w:ind w:right="49"/>
        <w:jc w:val="both"/>
        <w:rPr>
          <w:rFonts w:ascii="Palatino Linotype" w:eastAsia="Palatino Linotype" w:hAnsi="Palatino Linotype" w:cs="Palatino Linotype"/>
        </w:rPr>
      </w:pPr>
    </w:p>
    <w:p w:rsidR="0046681E" w:rsidRPr="00F2253C" w:rsidRDefault="0046681E" w:rsidP="0046681E">
      <w:pPr>
        <w:spacing w:line="360" w:lineRule="auto"/>
        <w:ind w:right="49"/>
        <w:jc w:val="both"/>
        <w:rPr>
          <w:rFonts w:ascii="Palatino Linotype" w:eastAsia="Palatino Linotype" w:hAnsi="Palatino Linotype" w:cs="Palatino Linotype"/>
        </w:rPr>
      </w:pPr>
      <w:r w:rsidRPr="00F2253C">
        <w:rPr>
          <w:rFonts w:ascii="Palatino Linotype" w:eastAsia="Palatino Linotype" w:hAnsi="Palatino Linotype" w:cs="Palatino Linotype"/>
          <w:b/>
        </w:rPr>
        <w:t xml:space="preserve">VISTAS </w:t>
      </w:r>
      <w:r w:rsidRPr="00F2253C">
        <w:rPr>
          <w:rFonts w:ascii="Palatino Linotype" w:eastAsia="Palatino Linotype" w:hAnsi="Palatino Linotype" w:cs="Palatino Linotype"/>
        </w:rPr>
        <w:t xml:space="preserve">las constancias para resolver el Recurso de Revisión </w:t>
      </w:r>
      <w:r w:rsidR="00886906" w:rsidRPr="00F2253C">
        <w:rPr>
          <w:rFonts w:ascii="Palatino Linotype" w:eastAsia="Palatino Linotype" w:hAnsi="Palatino Linotype" w:cs="Palatino Linotype"/>
          <w:b/>
        </w:rPr>
        <w:t>12773/INFOEM/IP/RR/2025</w:t>
      </w:r>
      <w:r w:rsidRPr="00F2253C">
        <w:rPr>
          <w:rFonts w:ascii="Palatino Linotype" w:eastAsia="Palatino Linotype" w:hAnsi="Palatino Linotype" w:cs="Palatino Linotype"/>
          <w:b/>
        </w:rPr>
        <w:t>,</w:t>
      </w:r>
      <w:r w:rsidRPr="00F2253C">
        <w:rPr>
          <w:rFonts w:ascii="Palatino Linotype" w:eastAsia="Palatino Linotype" w:hAnsi="Palatino Linotype" w:cs="Palatino Linotype"/>
        </w:rPr>
        <w:t xml:space="preserve"> presentado por </w:t>
      </w:r>
      <w:r w:rsidR="009F1FBA">
        <w:rPr>
          <w:rFonts w:ascii="Palatino Linotype" w:eastAsia="Palatino Linotype" w:hAnsi="Palatino Linotype" w:cs="Palatino Linotype"/>
          <w:b/>
        </w:rPr>
        <w:t>XXXX</w:t>
      </w:r>
      <w:r w:rsidRPr="00F2253C">
        <w:rPr>
          <w:rFonts w:ascii="Palatino Linotype" w:eastAsia="Palatino Linotype" w:hAnsi="Palatino Linotype" w:cs="Palatino Linotype"/>
          <w:b/>
        </w:rPr>
        <w:t>,</w:t>
      </w:r>
      <w:r w:rsidRPr="00F2253C">
        <w:rPr>
          <w:rFonts w:ascii="Palatino Linotype" w:eastAsia="Palatino Linotype" w:hAnsi="Palatino Linotype" w:cs="Palatino Linotype"/>
        </w:rPr>
        <w:t xml:space="preserve"> a quien en lo sucesivo se denominará </w:t>
      </w:r>
      <w:r w:rsidRPr="00F2253C">
        <w:rPr>
          <w:rFonts w:ascii="Palatino Linotype" w:eastAsia="Palatino Linotype" w:hAnsi="Palatino Linotype" w:cs="Palatino Linotype"/>
          <w:b/>
        </w:rPr>
        <w:t>EL RECURRENTE</w:t>
      </w:r>
      <w:r w:rsidRPr="00F2253C">
        <w:rPr>
          <w:rFonts w:ascii="Palatino Linotype" w:eastAsia="Palatino Linotype" w:hAnsi="Palatino Linotype" w:cs="Palatino Linotype"/>
        </w:rPr>
        <w:t xml:space="preserve">, en contra de la respuesta otorgada a la solicitud de información con número de folio </w:t>
      </w:r>
      <w:r w:rsidR="0001535C" w:rsidRPr="00F2253C">
        <w:rPr>
          <w:rFonts w:ascii="Palatino Linotype" w:eastAsia="Palatino Linotype" w:hAnsi="Palatino Linotype" w:cs="Palatino Linotype"/>
          <w:b/>
        </w:rPr>
        <w:t>00015/OASLERMA/IP/2025</w:t>
      </w:r>
      <w:r w:rsidR="00C85307" w:rsidRPr="00F2253C">
        <w:rPr>
          <w:rFonts w:ascii="Palatino Linotype" w:eastAsia="Palatino Linotype" w:hAnsi="Palatino Linotype" w:cs="Palatino Linotype"/>
        </w:rPr>
        <w:t>, por parte del</w:t>
      </w:r>
      <w:r w:rsidRPr="00F2253C">
        <w:rPr>
          <w:rFonts w:ascii="Palatino Linotype" w:eastAsia="Palatino Linotype" w:hAnsi="Palatino Linotype" w:cs="Palatino Linotype"/>
        </w:rPr>
        <w:t xml:space="preserve"> </w:t>
      </w:r>
      <w:r w:rsidR="0001535C" w:rsidRPr="00F2253C">
        <w:rPr>
          <w:rFonts w:ascii="Palatino Linotype" w:eastAsia="Palatino Linotype" w:hAnsi="Palatino Linotype" w:cs="Palatino Linotype"/>
          <w:b/>
        </w:rPr>
        <w:t>Organismo Público Descentralizado para la Prestación de Los Servicios de Agua Potable Alcantarillado y Saneamiento del Municipio de Lerma</w:t>
      </w:r>
      <w:r w:rsidRPr="00F2253C">
        <w:rPr>
          <w:rFonts w:ascii="Palatino Linotype" w:eastAsia="Palatino Linotype" w:hAnsi="Palatino Linotype" w:cs="Palatino Linotype"/>
          <w:b/>
        </w:rPr>
        <w:t xml:space="preserve">, </w:t>
      </w:r>
      <w:r w:rsidRPr="00F2253C">
        <w:rPr>
          <w:rFonts w:ascii="Palatino Linotype" w:eastAsia="Palatino Linotype" w:hAnsi="Palatino Linotype" w:cs="Palatino Linotype"/>
        </w:rPr>
        <w:t xml:space="preserve">en adelante </w:t>
      </w:r>
      <w:r w:rsidRPr="00F2253C">
        <w:rPr>
          <w:rFonts w:ascii="Palatino Linotype" w:eastAsia="Palatino Linotype" w:hAnsi="Palatino Linotype" w:cs="Palatino Linotype"/>
          <w:b/>
        </w:rPr>
        <w:t>EL SUJETO OBLIGADO,</w:t>
      </w:r>
      <w:r w:rsidRPr="00F2253C">
        <w:rPr>
          <w:rFonts w:ascii="Palatino Linotype" w:eastAsia="Palatino Linotype" w:hAnsi="Palatino Linotype" w:cs="Palatino Linotype"/>
        </w:rPr>
        <w:t xml:space="preserve"> se emite la presente Resolución con base en los siguientes:</w:t>
      </w:r>
    </w:p>
    <w:p w:rsidR="0046681E" w:rsidRPr="00F2253C" w:rsidRDefault="0046681E" w:rsidP="0046681E">
      <w:pPr>
        <w:spacing w:line="360" w:lineRule="auto"/>
        <w:ind w:right="49"/>
        <w:jc w:val="both"/>
        <w:rPr>
          <w:rFonts w:ascii="Palatino Linotype" w:eastAsia="Palatino Linotype" w:hAnsi="Palatino Linotype" w:cs="Palatino Linotype"/>
        </w:rPr>
      </w:pPr>
    </w:p>
    <w:p w:rsidR="0046681E" w:rsidRPr="00F2253C" w:rsidRDefault="0046681E" w:rsidP="0046681E">
      <w:pPr>
        <w:pStyle w:val="Ttulo1"/>
        <w:spacing w:before="0" w:line="360" w:lineRule="auto"/>
        <w:ind w:right="49"/>
        <w:jc w:val="center"/>
        <w:rPr>
          <w:rFonts w:ascii="Palatino Linotype" w:eastAsia="Palatino Linotype" w:hAnsi="Palatino Linotype" w:cs="Palatino Linotype"/>
          <w:b/>
          <w:color w:val="000000"/>
          <w:sz w:val="24"/>
          <w:szCs w:val="24"/>
        </w:rPr>
      </w:pPr>
      <w:bookmarkStart w:id="0" w:name="_heading=h.gjdgxs" w:colFirst="0" w:colLast="0"/>
      <w:bookmarkEnd w:id="0"/>
      <w:r w:rsidRPr="00F2253C">
        <w:rPr>
          <w:rFonts w:ascii="Palatino Linotype" w:eastAsia="Palatino Linotype" w:hAnsi="Palatino Linotype" w:cs="Palatino Linotype"/>
          <w:b/>
          <w:color w:val="000000"/>
          <w:sz w:val="24"/>
          <w:szCs w:val="24"/>
        </w:rPr>
        <w:t>A N T E C E D E N T E S</w:t>
      </w:r>
    </w:p>
    <w:p w:rsidR="0046681E" w:rsidRPr="00F2253C" w:rsidRDefault="0046681E" w:rsidP="0046681E">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u w:val="single"/>
        </w:rPr>
      </w:pPr>
    </w:p>
    <w:p w:rsidR="0046681E" w:rsidRPr="00F2253C" w:rsidRDefault="0046681E" w:rsidP="0046681E">
      <w:pPr>
        <w:numPr>
          <w:ilvl w:val="0"/>
          <w:numId w:val="1"/>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rPr>
      </w:pPr>
      <w:r w:rsidRPr="00F2253C">
        <w:rPr>
          <w:rFonts w:ascii="Palatino Linotype" w:eastAsia="Palatino Linotype" w:hAnsi="Palatino Linotype" w:cs="Palatino Linotype"/>
          <w:color w:val="000000"/>
        </w:rPr>
        <w:t>El día</w:t>
      </w:r>
      <w:r w:rsidRPr="00F2253C">
        <w:rPr>
          <w:rFonts w:ascii="Palatino Linotype" w:eastAsia="Palatino Linotype" w:hAnsi="Palatino Linotype" w:cs="Palatino Linotype"/>
          <w:b/>
          <w:color w:val="000000"/>
        </w:rPr>
        <w:t xml:space="preserve"> </w:t>
      </w:r>
      <w:r w:rsidR="0001535C" w:rsidRPr="00F2253C">
        <w:rPr>
          <w:rFonts w:ascii="Palatino Linotype" w:eastAsia="Palatino Linotype" w:hAnsi="Palatino Linotype" w:cs="Palatino Linotype"/>
          <w:b/>
          <w:color w:val="000000"/>
        </w:rPr>
        <w:t>veintiuno de octubre</w:t>
      </w:r>
      <w:r w:rsidRPr="00F2253C">
        <w:rPr>
          <w:rFonts w:ascii="Palatino Linotype" w:eastAsia="Palatino Linotype" w:hAnsi="Palatino Linotype" w:cs="Palatino Linotype"/>
          <w:b/>
          <w:color w:val="000000"/>
        </w:rPr>
        <w:t xml:space="preserve"> dos mil veinticinco</w:t>
      </w:r>
      <w:r w:rsidRPr="00F2253C">
        <w:rPr>
          <w:rFonts w:ascii="Palatino Linotype" w:eastAsia="Palatino Linotype" w:hAnsi="Palatino Linotype" w:cs="Palatino Linotype"/>
          <w:color w:val="000000"/>
        </w:rPr>
        <w:t>,</w:t>
      </w:r>
      <w:r w:rsidRPr="00F2253C">
        <w:rPr>
          <w:rFonts w:ascii="Palatino Linotype" w:eastAsia="Palatino Linotype" w:hAnsi="Palatino Linotype" w:cs="Palatino Linotype"/>
          <w:b/>
          <w:color w:val="000000"/>
        </w:rPr>
        <w:t xml:space="preserve"> </w:t>
      </w:r>
      <w:r w:rsidRPr="00F2253C">
        <w:rPr>
          <w:rFonts w:ascii="Palatino Linotype" w:eastAsia="Palatino Linotype" w:hAnsi="Palatino Linotype" w:cs="Palatino Linotype"/>
          <w:color w:val="000000"/>
        </w:rPr>
        <w:t>se presentó ante el Sujeto Obligado vía Sistema de Acceso a la Información Mexiquense, en adelante (SAIMEX), la siguiente solicitud de información pública:</w:t>
      </w:r>
    </w:p>
    <w:p w:rsidR="0046681E" w:rsidRPr="00F2253C" w:rsidRDefault="0046681E" w:rsidP="0046681E">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p>
    <w:p w:rsidR="0046681E" w:rsidRPr="00F2253C" w:rsidRDefault="0046681E" w:rsidP="009E0F05">
      <w:pPr>
        <w:pBdr>
          <w:top w:val="nil"/>
          <w:left w:val="nil"/>
          <w:bottom w:val="nil"/>
          <w:right w:val="nil"/>
          <w:between w:val="nil"/>
        </w:pBdr>
        <w:ind w:left="1134" w:right="1843"/>
        <w:jc w:val="both"/>
        <w:rPr>
          <w:rFonts w:ascii="Palatino Linotype" w:eastAsia="Palatino Linotype" w:hAnsi="Palatino Linotype" w:cs="Palatino Linotype"/>
          <w:i/>
          <w:color w:val="000000"/>
        </w:rPr>
      </w:pPr>
      <w:r w:rsidRPr="00F2253C">
        <w:rPr>
          <w:rFonts w:ascii="Palatino Linotype" w:eastAsia="Palatino Linotype" w:hAnsi="Palatino Linotype" w:cs="Palatino Linotype"/>
          <w:i/>
          <w:color w:val="000000"/>
        </w:rPr>
        <w:t>“</w:t>
      </w:r>
      <w:r w:rsidR="009E0F05" w:rsidRPr="00F2253C">
        <w:rPr>
          <w:rFonts w:ascii="Palatino Linotype" w:eastAsia="Palatino Linotype" w:hAnsi="Palatino Linotype" w:cs="Palatino Linotype"/>
          <w:i/>
        </w:rPr>
        <w:t>¿Cuál es la temporalidad del dictamen único de factibilidad para la dotación de servicio de agua para fraccionamientos de nueva construcción? ¿Cuál es la base y/o fundamento legal para determinar dicha temporalidad? ¿Una vez emitido el dictamen de manera definitiva puede revocarse?</w:t>
      </w:r>
      <w:r w:rsidRPr="00F2253C">
        <w:rPr>
          <w:rFonts w:ascii="Palatino Linotype" w:eastAsia="Palatino Linotype" w:hAnsi="Palatino Linotype" w:cs="Palatino Linotype"/>
          <w:i/>
          <w:color w:val="000000"/>
        </w:rPr>
        <w:t>”</w:t>
      </w:r>
    </w:p>
    <w:p w:rsidR="0046681E" w:rsidRPr="00F2253C" w:rsidRDefault="0046681E" w:rsidP="0046681E">
      <w:pPr>
        <w:numPr>
          <w:ilvl w:val="0"/>
          <w:numId w:val="2"/>
        </w:numPr>
        <w:pBdr>
          <w:top w:val="nil"/>
          <w:left w:val="nil"/>
          <w:bottom w:val="nil"/>
          <w:right w:val="nil"/>
          <w:between w:val="nil"/>
        </w:pBdr>
        <w:spacing w:line="360" w:lineRule="auto"/>
        <w:ind w:left="426" w:right="49" w:hanging="426"/>
        <w:jc w:val="both"/>
        <w:rPr>
          <w:rFonts w:ascii="Palatino Linotype" w:eastAsia="Palatino Linotype" w:hAnsi="Palatino Linotype" w:cs="Palatino Linotype"/>
          <w:color w:val="000000"/>
        </w:rPr>
      </w:pPr>
      <w:r w:rsidRPr="00F2253C">
        <w:rPr>
          <w:rFonts w:ascii="Palatino Linotype" w:eastAsia="Palatino Linotype" w:hAnsi="Palatino Linotype" w:cs="Palatino Linotype"/>
          <w:color w:val="000000"/>
        </w:rPr>
        <w:lastRenderedPageBreak/>
        <w:t xml:space="preserve">Se eligió como modalidad de entrega de la información: </w:t>
      </w:r>
      <w:r w:rsidRPr="00F2253C">
        <w:rPr>
          <w:rFonts w:ascii="Palatino Linotype" w:eastAsia="Palatino Linotype" w:hAnsi="Palatino Linotype" w:cs="Palatino Linotype"/>
          <w:b/>
          <w:color w:val="000000"/>
        </w:rPr>
        <w:t>a través de SAIMEX</w:t>
      </w:r>
    </w:p>
    <w:p w:rsidR="0046681E" w:rsidRPr="00F2253C" w:rsidRDefault="0046681E" w:rsidP="0046681E">
      <w:pPr>
        <w:pBdr>
          <w:top w:val="nil"/>
          <w:left w:val="nil"/>
          <w:bottom w:val="nil"/>
          <w:right w:val="nil"/>
          <w:between w:val="nil"/>
        </w:pBdr>
        <w:tabs>
          <w:tab w:val="left" w:pos="0"/>
        </w:tabs>
        <w:spacing w:line="360" w:lineRule="auto"/>
        <w:ind w:left="709" w:right="49"/>
        <w:jc w:val="both"/>
        <w:rPr>
          <w:rFonts w:ascii="Palatino Linotype" w:eastAsia="Palatino Linotype" w:hAnsi="Palatino Linotype" w:cs="Palatino Linotype"/>
          <w:color w:val="000000"/>
        </w:rPr>
      </w:pPr>
    </w:p>
    <w:p w:rsidR="0044001B" w:rsidRPr="00F2253C" w:rsidRDefault="0046681E" w:rsidP="0046681E">
      <w:pPr>
        <w:numPr>
          <w:ilvl w:val="0"/>
          <w:numId w:val="1"/>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b/>
        </w:rPr>
      </w:pPr>
      <w:r w:rsidRPr="00F2253C">
        <w:rPr>
          <w:rFonts w:ascii="Palatino Linotype" w:eastAsia="Palatino Linotype" w:hAnsi="Palatino Linotype" w:cs="Palatino Linotype"/>
          <w:color w:val="000000"/>
        </w:rPr>
        <w:t xml:space="preserve">El </w:t>
      </w:r>
      <w:r w:rsidR="0044001B" w:rsidRPr="00F2253C">
        <w:rPr>
          <w:rFonts w:ascii="Palatino Linotype" w:eastAsia="Palatino Linotype" w:hAnsi="Palatino Linotype" w:cs="Palatino Linotype"/>
          <w:b/>
          <w:color w:val="000000"/>
        </w:rPr>
        <w:t>treinta de octubre de dos mil veinticinco</w:t>
      </w:r>
      <w:r w:rsidRPr="00F2253C">
        <w:rPr>
          <w:rFonts w:ascii="Palatino Linotype" w:eastAsia="Palatino Linotype" w:hAnsi="Palatino Linotype" w:cs="Palatino Linotype"/>
          <w:color w:val="000000"/>
        </w:rPr>
        <w:t xml:space="preserve">, </w:t>
      </w:r>
      <w:r w:rsidRPr="00F2253C">
        <w:rPr>
          <w:rFonts w:ascii="Palatino Linotype" w:eastAsia="Palatino Linotype" w:hAnsi="Palatino Linotype" w:cs="Palatino Linotype"/>
        </w:rPr>
        <w:t xml:space="preserve">el </w:t>
      </w:r>
      <w:r w:rsidRPr="00F2253C">
        <w:rPr>
          <w:rFonts w:ascii="Palatino Linotype" w:eastAsia="Palatino Linotype" w:hAnsi="Palatino Linotype" w:cs="Palatino Linotype"/>
          <w:b/>
        </w:rPr>
        <w:t xml:space="preserve">SUJETO OBLIGADO </w:t>
      </w:r>
      <w:r w:rsidR="0044001B" w:rsidRPr="00F2253C">
        <w:rPr>
          <w:rFonts w:ascii="Palatino Linotype" w:eastAsia="Palatino Linotype" w:hAnsi="Palatino Linotype" w:cs="Palatino Linotype"/>
        </w:rPr>
        <w:t xml:space="preserve">anexo un archivo electrónico en formato pdf, cuyo contenido grosso modo es el siguiente. </w:t>
      </w:r>
    </w:p>
    <w:p w:rsidR="0046681E" w:rsidRPr="00F2253C" w:rsidRDefault="0044001B" w:rsidP="00421A79">
      <w:pPr>
        <w:pBdr>
          <w:top w:val="nil"/>
          <w:left w:val="nil"/>
          <w:bottom w:val="nil"/>
          <w:right w:val="nil"/>
          <w:between w:val="nil"/>
        </w:pBdr>
        <w:ind w:left="1134" w:right="1843"/>
        <w:jc w:val="both"/>
        <w:rPr>
          <w:rFonts w:ascii="Palatino Linotype" w:eastAsia="Palatino Linotype" w:hAnsi="Palatino Linotype" w:cs="Palatino Linotype"/>
          <w:i/>
        </w:rPr>
      </w:pPr>
      <w:r w:rsidRPr="00F2253C">
        <w:rPr>
          <w:rFonts w:ascii="Palatino Linotype" w:eastAsia="Palatino Linotype" w:hAnsi="Palatino Linotype" w:cs="Palatino Linotype"/>
          <w:b/>
          <w:i/>
        </w:rPr>
        <w:t xml:space="preserve">SOL000152025.pdf: </w:t>
      </w:r>
      <w:r w:rsidRPr="00F2253C">
        <w:rPr>
          <w:rFonts w:ascii="Palatino Linotype" w:eastAsia="Palatino Linotype" w:hAnsi="Palatino Linotype" w:cs="Palatino Linotype"/>
          <w:i/>
        </w:rPr>
        <w:t xml:space="preserve">oficio mediante el cual se informa que la Subdirección de Recaudación y Factibilidades, remite el link </w:t>
      </w:r>
      <w:hyperlink r:id="rId7" w:anchor="/info-fraccion//288/5" w:history="1">
        <w:r w:rsidRPr="00F2253C">
          <w:rPr>
            <w:rStyle w:val="Hipervnculo"/>
            <w:rFonts w:ascii="Palatino Linotype" w:eastAsia="Palatino Linotype" w:hAnsi="Palatino Linotype" w:cs="Palatino Linotype"/>
            <w:i/>
          </w:rPr>
          <w:t>https://ipomex.org.mx/ipomex/#/info-fraccion//288/5</w:t>
        </w:r>
      </w:hyperlink>
      <w:r w:rsidRPr="00F2253C">
        <w:rPr>
          <w:rFonts w:ascii="Palatino Linotype" w:eastAsia="Palatino Linotype" w:hAnsi="Palatino Linotype" w:cs="Palatino Linotype"/>
          <w:i/>
        </w:rPr>
        <w:t xml:space="preserve">, </w:t>
      </w:r>
      <w:r w:rsidR="00C92786" w:rsidRPr="00F2253C">
        <w:rPr>
          <w:rFonts w:ascii="Palatino Linotype" w:eastAsia="Palatino Linotype" w:hAnsi="Palatino Linotype" w:cs="Palatino Linotype"/>
          <w:i/>
        </w:rPr>
        <w:t xml:space="preserve">del cual refiere que lo solicitado se encuentra en el artículo 137 del Código Financiero del Estado de México y Municipios y en el artículo 76 de la Ley del Agua del Estado de México y Municipios, mismos que pueden ser consultados por medio de </w:t>
      </w:r>
      <w:r w:rsidR="00421A79" w:rsidRPr="00F2253C">
        <w:rPr>
          <w:rFonts w:ascii="Palatino Linotype" w:eastAsia="Palatino Linotype" w:hAnsi="Palatino Linotype" w:cs="Palatino Linotype"/>
          <w:i/>
        </w:rPr>
        <w:t xml:space="preserve">la página del IPOMEX. </w:t>
      </w:r>
    </w:p>
    <w:p w:rsidR="00421A79" w:rsidRPr="00F2253C" w:rsidRDefault="00421A79" w:rsidP="0044001B">
      <w:pPr>
        <w:pBdr>
          <w:top w:val="nil"/>
          <w:left w:val="nil"/>
          <w:bottom w:val="nil"/>
          <w:right w:val="nil"/>
          <w:between w:val="nil"/>
        </w:pBdr>
        <w:spacing w:line="360" w:lineRule="auto"/>
        <w:ind w:left="1134" w:right="1843"/>
        <w:jc w:val="both"/>
        <w:rPr>
          <w:rFonts w:ascii="Palatino Linotype" w:eastAsia="Palatino Linotype" w:hAnsi="Palatino Linotype" w:cs="Palatino Linotype"/>
          <w:i/>
        </w:rPr>
      </w:pPr>
    </w:p>
    <w:p w:rsidR="0046681E" w:rsidRPr="00F2253C" w:rsidRDefault="0046681E" w:rsidP="0046681E">
      <w:pPr>
        <w:numPr>
          <w:ilvl w:val="0"/>
          <w:numId w:val="1"/>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rPr>
      </w:pPr>
      <w:r w:rsidRPr="00F2253C">
        <w:rPr>
          <w:rFonts w:ascii="Palatino Linotype" w:eastAsia="Palatino Linotype" w:hAnsi="Palatino Linotype" w:cs="Palatino Linotype"/>
          <w:color w:val="000000"/>
        </w:rPr>
        <w:t>El</w:t>
      </w:r>
      <w:r w:rsidRPr="00F2253C">
        <w:rPr>
          <w:rFonts w:ascii="Palatino Linotype" w:eastAsia="Palatino Linotype" w:hAnsi="Palatino Linotype" w:cs="Palatino Linotype"/>
          <w:b/>
          <w:color w:val="000000"/>
        </w:rPr>
        <w:t xml:space="preserve"> </w:t>
      </w:r>
      <w:r w:rsidR="005A4698" w:rsidRPr="00F2253C">
        <w:rPr>
          <w:rFonts w:ascii="Palatino Linotype" w:eastAsia="Palatino Linotype" w:hAnsi="Palatino Linotype" w:cs="Palatino Linotype"/>
          <w:b/>
        </w:rPr>
        <w:t xml:space="preserve">cinco de noviembre </w:t>
      </w:r>
      <w:r w:rsidRPr="00F2253C">
        <w:rPr>
          <w:rFonts w:ascii="Palatino Linotype" w:eastAsia="Palatino Linotype" w:hAnsi="Palatino Linotype" w:cs="Palatino Linotype"/>
          <w:b/>
        </w:rPr>
        <w:t xml:space="preserve">de dos mil veinticinco, </w:t>
      </w:r>
      <w:r w:rsidRPr="00F2253C">
        <w:rPr>
          <w:rFonts w:ascii="Palatino Linotype" w:eastAsia="Palatino Linotype" w:hAnsi="Palatino Linotype" w:cs="Palatino Linotype"/>
        </w:rPr>
        <w:t xml:space="preserve">la parte </w:t>
      </w:r>
      <w:r w:rsidRPr="00F2253C">
        <w:rPr>
          <w:rFonts w:ascii="Palatino Linotype" w:eastAsia="Palatino Linotype" w:hAnsi="Palatino Linotype" w:cs="Palatino Linotype"/>
          <w:b/>
        </w:rPr>
        <w:t>recurrente</w:t>
      </w:r>
      <w:r w:rsidRPr="00F2253C">
        <w:rPr>
          <w:rFonts w:ascii="Palatino Linotype" w:eastAsia="Palatino Linotype" w:hAnsi="Palatino Linotype" w:cs="Palatino Linotype"/>
        </w:rPr>
        <w:t xml:space="preserve"> interpuso el recurso de revisión a través de </w:t>
      </w:r>
      <w:r w:rsidRPr="00F2253C">
        <w:rPr>
          <w:rFonts w:ascii="Palatino Linotype" w:eastAsia="Palatino Linotype" w:hAnsi="Palatino Linotype" w:cs="Palatino Linotype"/>
          <w:b/>
        </w:rPr>
        <w:t xml:space="preserve">SAIMEX, </w:t>
      </w:r>
      <w:r w:rsidRPr="00F2253C">
        <w:rPr>
          <w:rFonts w:ascii="Palatino Linotype" w:eastAsia="Palatino Linotype" w:hAnsi="Palatino Linotype" w:cs="Palatino Linotype"/>
        </w:rPr>
        <w:t>en donde se manifestó de la siguiente manera:</w:t>
      </w:r>
    </w:p>
    <w:p w:rsidR="0046681E" w:rsidRPr="00F2253C" w:rsidRDefault="0046681E" w:rsidP="0046681E">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rPr>
      </w:pPr>
    </w:p>
    <w:p w:rsidR="0046681E" w:rsidRPr="00F2253C" w:rsidRDefault="0046681E" w:rsidP="005A4698">
      <w:pPr>
        <w:pStyle w:val="Prrafodelista"/>
        <w:tabs>
          <w:tab w:val="left" w:pos="2745"/>
        </w:tabs>
        <w:spacing w:line="360" w:lineRule="auto"/>
        <w:ind w:left="1134" w:right="1843"/>
        <w:jc w:val="both"/>
        <w:rPr>
          <w:rFonts w:ascii="Palatino Linotype" w:eastAsia="Palatino Linotype" w:hAnsi="Palatino Linotype" w:cs="Palatino Linotype"/>
          <w:b/>
        </w:rPr>
      </w:pPr>
      <w:r w:rsidRPr="00F2253C">
        <w:rPr>
          <w:rFonts w:ascii="Palatino Linotype" w:eastAsia="Palatino Linotype" w:hAnsi="Palatino Linotype" w:cs="Palatino Linotype"/>
          <w:b/>
        </w:rPr>
        <w:t xml:space="preserve">ACTO IMPUGNADO: </w:t>
      </w:r>
    </w:p>
    <w:p w:rsidR="0046681E" w:rsidRPr="00F2253C" w:rsidRDefault="0046681E" w:rsidP="005A4698">
      <w:pPr>
        <w:spacing w:line="360" w:lineRule="auto"/>
        <w:ind w:left="1134" w:right="616"/>
        <w:jc w:val="both"/>
        <w:rPr>
          <w:rFonts w:ascii="Palatino Linotype" w:eastAsia="Palatino Linotype" w:hAnsi="Palatino Linotype" w:cs="Palatino Linotype"/>
          <w:i/>
        </w:rPr>
      </w:pPr>
      <w:r w:rsidRPr="00F2253C">
        <w:rPr>
          <w:rFonts w:ascii="Palatino Linotype" w:eastAsia="Palatino Linotype" w:hAnsi="Palatino Linotype" w:cs="Palatino Linotype"/>
          <w:i/>
        </w:rPr>
        <w:t>“</w:t>
      </w:r>
      <w:r w:rsidR="005A4698" w:rsidRPr="00F2253C">
        <w:rPr>
          <w:rFonts w:ascii="Palatino Linotype" w:eastAsia="Palatino Linotype" w:hAnsi="Palatino Linotype" w:cs="Palatino Linotype"/>
          <w:i/>
        </w:rPr>
        <w:t>Información incompleta</w:t>
      </w:r>
      <w:r w:rsidRPr="00F2253C">
        <w:rPr>
          <w:rFonts w:ascii="Palatino Linotype" w:eastAsia="Palatino Linotype" w:hAnsi="Palatino Linotype" w:cs="Palatino Linotype"/>
          <w:i/>
        </w:rPr>
        <w:t>”</w:t>
      </w:r>
    </w:p>
    <w:p w:rsidR="0046681E" w:rsidRPr="00F2253C" w:rsidRDefault="0046681E" w:rsidP="0046681E">
      <w:pPr>
        <w:tabs>
          <w:tab w:val="left" w:pos="2745"/>
        </w:tabs>
        <w:spacing w:line="360" w:lineRule="auto"/>
        <w:ind w:right="616"/>
        <w:jc w:val="both"/>
        <w:rPr>
          <w:rFonts w:ascii="Palatino Linotype" w:eastAsia="Palatino Linotype" w:hAnsi="Palatino Linotype" w:cs="Palatino Linotype"/>
          <w:i/>
        </w:rPr>
      </w:pPr>
    </w:p>
    <w:p w:rsidR="0046681E" w:rsidRPr="00F2253C" w:rsidRDefault="0046681E" w:rsidP="005A4698">
      <w:pPr>
        <w:pStyle w:val="Prrafodelista"/>
        <w:spacing w:line="360" w:lineRule="auto"/>
        <w:ind w:left="1134" w:right="616"/>
        <w:jc w:val="both"/>
        <w:rPr>
          <w:rFonts w:ascii="Palatino Linotype" w:eastAsia="Palatino Linotype" w:hAnsi="Palatino Linotype" w:cs="Palatino Linotype"/>
        </w:rPr>
      </w:pPr>
      <w:bookmarkStart w:id="1" w:name="_heading=h.30j0zll" w:colFirst="0" w:colLast="0"/>
      <w:bookmarkEnd w:id="1"/>
      <w:r w:rsidRPr="00F2253C">
        <w:rPr>
          <w:rFonts w:ascii="Palatino Linotype" w:eastAsia="Palatino Linotype" w:hAnsi="Palatino Linotype" w:cs="Palatino Linotype"/>
          <w:b/>
        </w:rPr>
        <w:t>RAZONES O MOTIVOS DE INCONFORMIDAD</w:t>
      </w:r>
      <w:r w:rsidRPr="00F2253C">
        <w:rPr>
          <w:rFonts w:ascii="Palatino Linotype" w:eastAsia="Palatino Linotype" w:hAnsi="Palatino Linotype" w:cs="Palatino Linotype"/>
        </w:rPr>
        <w:t>:</w:t>
      </w:r>
    </w:p>
    <w:p w:rsidR="0046681E" w:rsidRPr="00F2253C" w:rsidRDefault="0046681E" w:rsidP="005A4698">
      <w:pPr>
        <w:ind w:left="1134" w:right="1843"/>
        <w:jc w:val="both"/>
        <w:rPr>
          <w:rFonts w:ascii="Palatino Linotype" w:eastAsia="Palatino Linotype" w:hAnsi="Palatino Linotype" w:cs="Palatino Linotype"/>
          <w:i/>
        </w:rPr>
      </w:pPr>
      <w:r w:rsidRPr="00F2253C">
        <w:rPr>
          <w:rFonts w:ascii="Palatino Linotype" w:eastAsia="Palatino Linotype" w:hAnsi="Palatino Linotype" w:cs="Palatino Linotype"/>
          <w:i/>
        </w:rPr>
        <w:t>“</w:t>
      </w:r>
      <w:r w:rsidR="005A4698" w:rsidRPr="00F2253C">
        <w:rPr>
          <w:rFonts w:ascii="Palatino Linotype" w:eastAsia="Palatino Linotype" w:hAnsi="Palatino Linotype" w:cs="Palatino Linotype"/>
          <w:i/>
        </w:rPr>
        <w:t>el codigo financiero por naturaleza rige los costos por tramites o servicios no temporalidades, si bien es cierto habla de 12 meses no dice que pasa despues de que lo dan de manera definitiva, por lo que la información es incompleta</w:t>
      </w:r>
      <w:r w:rsidRPr="00F2253C">
        <w:rPr>
          <w:rFonts w:ascii="Palatino Linotype" w:eastAsia="Palatino Linotype" w:hAnsi="Palatino Linotype" w:cs="Palatino Linotype"/>
          <w:b/>
          <w:i/>
        </w:rPr>
        <w:t>”</w:t>
      </w:r>
    </w:p>
    <w:p w:rsidR="0046681E" w:rsidRPr="00F2253C" w:rsidRDefault="0046681E" w:rsidP="005A4698">
      <w:pPr>
        <w:pBdr>
          <w:top w:val="nil"/>
          <w:left w:val="nil"/>
          <w:bottom w:val="nil"/>
          <w:right w:val="nil"/>
          <w:between w:val="nil"/>
        </w:pBdr>
        <w:ind w:left="1134" w:right="1843"/>
        <w:jc w:val="both"/>
        <w:rPr>
          <w:rFonts w:ascii="Palatino Linotype" w:eastAsia="Palatino Linotype" w:hAnsi="Palatino Linotype" w:cs="Palatino Linotype"/>
          <w:i/>
          <w:color w:val="000000"/>
        </w:rPr>
      </w:pPr>
    </w:p>
    <w:p w:rsidR="0046681E" w:rsidRPr="00F2253C" w:rsidRDefault="0046681E" w:rsidP="0046681E">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rPr>
      </w:pPr>
      <w:r w:rsidRPr="00F2253C">
        <w:rPr>
          <w:rFonts w:ascii="Palatino Linotype" w:eastAsia="Palatino Linotype" w:hAnsi="Palatino Linotype" w:cs="Palatino Linotype"/>
        </w:rPr>
        <w:t>Con fecha</w:t>
      </w:r>
      <w:r w:rsidRPr="00F2253C">
        <w:rPr>
          <w:rFonts w:ascii="Palatino Linotype" w:eastAsia="Palatino Linotype" w:hAnsi="Palatino Linotype" w:cs="Palatino Linotype"/>
          <w:b/>
        </w:rPr>
        <w:t xml:space="preserve"> </w:t>
      </w:r>
      <w:r w:rsidR="00CE4F1E" w:rsidRPr="00F2253C">
        <w:rPr>
          <w:rFonts w:ascii="Palatino Linotype" w:eastAsia="Palatino Linotype" w:hAnsi="Palatino Linotype" w:cs="Palatino Linotype"/>
          <w:b/>
        </w:rPr>
        <w:t xml:space="preserve">once de noviembre </w:t>
      </w:r>
      <w:r w:rsidRPr="00F2253C">
        <w:rPr>
          <w:rFonts w:ascii="Palatino Linotype" w:eastAsia="Palatino Linotype" w:hAnsi="Palatino Linotype" w:cs="Palatino Linotype"/>
          <w:b/>
        </w:rPr>
        <w:t xml:space="preserve">dos mil veinticinco, </w:t>
      </w:r>
      <w:r w:rsidRPr="00F2253C">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w:t>
      </w:r>
      <w:r w:rsidRPr="00F2253C">
        <w:rPr>
          <w:rFonts w:ascii="Palatino Linotype" w:eastAsia="Palatino Linotype" w:hAnsi="Palatino Linotype" w:cs="Palatino Linotype"/>
        </w:rPr>
        <w:lastRenderedPageBreak/>
        <w:t xml:space="preserve">máximo de siete días hábiles para que las partes manifestaran lo que a su derecho resultara conveniente, ofrecieran pruebas, formularan alegatos y el </w:t>
      </w:r>
      <w:r w:rsidRPr="00F2253C">
        <w:rPr>
          <w:rFonts w:ascii="Palatino Linotype" w:eastAsia="Palatino Linotype" w:hAnsi="Palatino Linotype" w:cs="Palatino Linotype"/>
          <w:b/>
        </w:rPr>
        <w:t xml:space="preserve">SUJETO OBLIGADO </w:t>
      </w:r>
      <w:r w:rsidRPr="00F2253C">
        <w:rPr>
          <w:rFonts w:ascii="Palatino Linotype" w:eastAsia="Palatino Linotype" w:hAnsi="Palatino Linotype" w:cs="Palatino Linotype"/>
        </w:rPr>
        <w:t>presentara su informe justificado.</w:t>
      </w:r>
    </w:p>
    <w:p w:rsidR="0046681E" w:rsidRPr="00F2253C" w:rsidRDefault="0046681E" w:rsidP="0046681E">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p>
    <w:p w:rsidR="006C2C0B" w:rsidRPr="00F2253C" w:rsidRDefault="0046681E" w:rsidP="006C2C0B">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b/>
          <w:color w:val="000000"/>
        </w:rPr>
      </w:pPr>
      <w:r w:rsidRPr="00F2253C">
        <w:rPr>
          <w:rFonts w:ascii="Palatino Linotype" w:eastAsia="Palatino Linotype" w:hAnsi="Palatino Linotype" w:cs="Palatino Linotype"/>
          <w:color w:val="000000"/>
        </w:rPr>
        <w:t>El</w:t>
      </w:r>
      <w:r w:rsidRPr="00F2253C">
        <w:rPr>
          <w:rFonts w:ascii="Palatino Linotype" w:eastAsia="Palatino Linotype" w:hAnsi="Palatino Linotype" w:cs="Palatino Linotype"/>
          <w:b/>
          <w:color w:val="000000"/>
        </w:rPr>
        <w:t xml:space="preserve"> SUJETO </w:t>
      </w:r>
      <w:r w:rsidRPr="00F2253C">
        <w:rPr>
          <w:rFonts w:ascii="Palatino Linotype" w:eastAsia="Palatino Linotype" w:hAnsi="Palatino Linotype" w:cs="Palatino Linotype"/>
          <w:b/>
        </w:rPr>
        <w:t>OBLIGADO</w:t>
      </w:r>
      <w:r w:rsidRPr="00F2253C">
        <w:rPr>
          <w:rFonts w:ascii="Palatino Linotype" w:eastAsia="Palatino Linotype" w:hAnsi="Palatino Linotype" w:cs="Palatino Linotype"/>
          <w:b/>
          <w:color w:val="000000"/>
        </w:rPr>
        <w:t xml:space="preserve"> </w:t>
      </w:r>
      <w:r w:rsidRPr="00F2253C">
        <w:rPr>
          <w:rFonts w:ascii="Palatino Linotype" w:eastAsia="Palatino Linotype" w:hAnsi="Palatino Linotype" w:cs="Palatino Linotype"/>
          <w:color w:val="000000"/>
        </w:rPr>
        <w:t xml:space="preserve">rindió informe justificado el </w:t>
      </w:r>
      <w:r w:rsidR="006C2C0B" w:rsidRPr="00F2253C">
        <w:rPr>
          <w:rFonts w:ascii="Palatino Linotype" w:eastAsia="Palatino Linotype" w:hAnsi="Palatino Linotype" w:cs="Palatino Linotype"/>
          <w:b/>
          <w:color w:val="000000"/>
        </w:rPr>
        <w:t xml:space="preserve">veinte de noviembre </w:t>
      </w:r>
      <w:r w:rsidRPr="00F2253C">
        <w:rPr>
          <w:rFonts w:ascii="Palatino Linotype" w:eastAsia="Palatino Linotype" w:hAnsi="Palatino Linotype" w:cs="Palatino Linotype"/>
          <w:b/>
          <w:color w:val="000000"/>
        </w:rPr>
        <w:t xml:space="preserve">de dos mil </w:t>
      </w:r>
      <w:r w:rsidRPr="00F2253C">
        <w:rPr>
          <w:rFonts w:ascii="Palatino Linotype" w:eastAsia="Palatino Linotype" w:hAnsi="Palatino Linotype" w:cs="Palatino Linotype"/>
          <w:b/>
        </w:rPr>
        <w:t>veinticinco</w:t>
      </w:r>
      <w:r w:rsidRPr="00F2253C">
        <w:rPr>
          <w:rFonts w:ascii="Palatino Linotype" w:eastAsia="Palatino Linotype" w:hAnsi="Palatino Linotype" w:cs="Palatino Linotype"/>
          <w:color w:val="000000"/>
        </w:rPr>
        <w:t xml:space="preserve">, </w:t>
      </w:r>
      <w:r w:rsidR="006C2C0B" w:rsidRPr="00F2253C">
        <w:rPr>
          <w:rFonts w:ascii="Palatino Linotype" w:eastAsia="Palatino Linotype" w:hAnsi="Palatino Linotype" w:cs="Palatino Linotype"/>
          <w:color w:val="000000"/>
        </w:rPr>
        <w:t xml:space="preserve">mediante un archivo electrónico en formato pdf, cuyo contenido a grosso modo es el siguiente </w:t>
      </w:r>
    </w:p>
    <w:p w:rsidR="006C2C0B" w:rsidRPr="00F2253C" w:rsidRDefault="006C2C0B" w:rsidP="006C2C0B">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rPr>
      </w:pPr>
    </w:p>
    <w:p w:rsidR="006C2C0B" w:rsidRPr="00F2253C" w:rsidRDefault="006C2C0B" w:rsidP="006C2C0B">
      <w:pPr>
        <w:pStyle w:val="Prrafodelista"/>
        <w:ind w:left="1134" w:right="1843"/>
        <w:rPr>
          <w:rFonts w:ascii="Palatino Linotype" w:eastAsia="Palatino Linotype" w:hAnsi="Palatino Linotype" w:cs="Palatino Linotype"/>
          <w:i/>
          <w:color w:val="000000"/>
        </w:rPr>
      </w:pPr>
      <w:bookmarkStart w:id="2" w:name="_GoBack"/>
      <w:bookmarkEnd w:id="2"/>
      <w:r w:rsidRPr="00F2253C">
        <w:rPr>
          <w:rFonts w:ascii="Palatino Linotype" w:eastAsia="Palatino Linotype" w:hAnsi="Palatino Linotype" w:cs="Palatino Linotype"/>
          <w:b/>
          <w:i/>
          <w:color w:val="000000"/>
        </w:rPr>
        <w:t xml:space="preserve">I.J. RR 012773.pdf: </w:t>
      </w:r>
      <w:r w:rsidRPr="00F2253C">
        <w:rPr>
          <w:rFonts w:ascii="Palatino Linotype" w:eastAsia="Palatino Linotype" w:hAnsi="Palatino Linotype" w:cs="Palatino Linotype"/>
          <w:i/>
          <w:color w:val="000000"/>
        </w:rPr>
        <w:t xml:space="preserve">oficio del Subdirector de Recaudación y Factibilidades, mediante el cual ratifica su respuesta inicial. </w:t>
      </w:r>
    </w:p>
    <w:p w:rsidR="0046681E" w:rsidRPr="00F2253C" w:rsidRDefault="0046681E" w:rsidP="0046681E">
      <w:pPr>
        <w:pBdr>
          <w:top w:val="nil"/>
          <w:left w:val="nil"/>
          <w:bottom w:val="nil"/>
          <w:right w:val="nil"/>
          <w:between w:val="nil"/>
        </w:pBdr>
        <w:spacing w:line="360" w:lineRule="auto"/>
        <w:ind w:right="49"/>
        <w:rPr>
          <w:rFonts w:ascii="Palatino Linotype" w:eastAsia="Palatino Linotype" w:hAnsi="Palatino Linotype" w:cs="Palatino Linotype"/>
          <w:b/>
          <w:color w:val="000000"/>
        </w:rPr>
      </w:pPr>
    </w:p>
    <w:p w:rsidR="0046681E" w:rsidRPr="00F2253C" w:rsidRDefault="0046681E" w:rsidP="0046681E">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b/>
          <w:color w:val="000000"/>
        </w:rPr>
      </w:pPr>
      <w:r w:rsidRPr="00F2253C">
        <w:rPr>
          <w:rFonts w:ascii="Palatino Linotype" w:eastAsia="Palatino Linotype" w:hAnsi="Palatino Linotype" w:cs="Palatino Linotype"/>
          <w:color w:val="000000"/>
        </w:rPr>
        <w:t xml:space="preserve">Seguidamente, mediante Acuerdo de fecha </w:t>
      </w:r>
      <w:r w:rsidR="006C2C0B" w:rsidRPr="00F2253C">
        <w:rPr>
          <w:rFonts w:ascii="Palatino Linotype" w:eastAsia="Palatino Linotype" w:hAnsi="Palatino Linotype" w:cs="Palatino Linotype"/>
          <w:b/>
          <w:color w:val="000000"/>
        </w:rPr>
        <w:t xml:space="preserve">veintiuno de abril </w:t>
      </w:r>
      <w:r w:rsidRPr="00F2253C">
        <w:rPr>
          <w:rFonts w:ascii="Palatino Linotype" w:eastAsia="Palatino Linotype" w:hAnsi="Palatino Linotype" w:cs="Palatino Linotype"/>
          <w:b/>
          <w:color w:val="000000"/>
        </w:rPr>
        <w:t xml:space="preserve">de dos mil veintiséis, </w:t>
      </w:r>
      <w:r w:rsidRPr="00F2253C">
        <w:rPr>
          <w:rFonts w:ascii="Palatino Linotype" w:eastAsia="Palatino Linotype" w:hAnsi="Palatino Linotype" w:cs="Palatino Linotype"/>
          <w:color w:val="000000"/>
        </w:rPr>
        <w:t xml:space="preserve">se amplió el termino para resolver; finalmente se decretó el cierre de instrucción mediante Acuerdo de fecha </w:t>
      </w:r>
      <w:r w:rsidR="006C2C0B" w:rsidRPr="00F2253C">
        <w:rPr>
          <w:rFonts w:ascii="Palatino Linotype" w:eastAsia="Palatino Linotype" w:hAnsi="Palatino Linotype" w:cs="Palatino Linotype"/>
          <w:b/>
          <w:color w:val="000000"/>
        </w:rPr>
        <w:t xml:space="preserve">veintiocho de abril </w:t>
      </w:r>
      <w:r w:rsidRPr="00F2253C">
        <w:rPr>
          <w:rFonts w:ascii="Palatino Linotype" w:eastAsia="Palatino Linotype" w:hAnsi="Palatino Linotype" w:cs="Palatino Linotype"/>
          <w:b/>
          <w:color w:val="000000"/>
        </w:rPr>
        <w:t>del año en curso</w:t>
      </w:r>
      <w:r w:rsidRPr="00F2253C">
        <w:rPr>
          <w:rFonts w:ascii="Palatino Linotype" w:eastAsia="Palatino Linotype" w:hAnsi="Palatino Linotype" w:cs="Palatino Linotype"/>
          <w:color w:val="000000"/>
        </w:rPr>
        <w:t>, por lo que no habiendo más que hacer constar, y</w:t>
      </w:r>
    </w:p>
    <w:p w:rsidR="0046681E" w:rsidRPr="00F2253C" w:rsidRDefault="0046681E" w:rsidP="0046681E">
      <w:pPr>
        <w:pBdr>
          <w:top w:val="nil"/>
          <w:left w:val="nil"/>
          <w:bottom w:val="nil"/>
          <w:right w:val="nil"/>
          <w:between w:val="nil"/>
        </w:pBdr>
        <w:spacing w:line="360" w:lineRule="auto"/>
        <w:ind w:right="49"/>
        <w:rPr>
          <w:rFonts w:ascii="Palatino Linotype" w:eastAsia="Palatino Linotype" w:hAnsi="Palatino Linotype" w:cs="Palatino Linotype"/>
          <w:b/>
          <w:color w:val="000000"/>
        </w:rPr>
      </w:pPr>
    </w:p>
    <w:p w:rsidR="0046681E" w:rsidRPr="00F2253C" w:rsidRDefault="0046681E" w:rsidP="0046681E">
      <w:pPr>
        <w:pBdr>
          <w:top w:val="nil"/>
          <w:left w:val="nil"/>
          <w:bottom w:val="nil"/>
          <w:right w:val="nil"/>
          <w:between w:val="nil"/>
        </w:pBdr>
        <w:spacing w:line="360" w:lineRule="auto"/>
        <w:ind w:right="49"/>
        <w:jc w:val="center"/>
        <w:rPr>
          <w:rFonts w:ascii="Palatino Linotype" w:eastAsia="Palatino Linotype" w:hAnsi="Palatino Linotype" w:cs="Palatino Linotype"/>
          <w:b/>
          <w:color w:val="000000"/>
        </w:rPr>
      </w:pPr>
      <w:r w:rsidRPr="00F2253C">
        <w:rPr>
          <w:rFonts w:ascii="Palatino Linotype" w:eastAsia="Palatino Linotype" w:hAnsi="Palatino Linotype" w:cs="Palatino Linotype"/>
          <w:b/>
          <w:color w:val="000000"/>
        </w:rPr>
        <w:t>C O N S I D E R A C I O N E S</w:t>
      </w:r>
    </w:p>
    <w:p w:rsidR="0046681E" w:rsidRPr="00F2253C" w:rsidRDefault="0046681E" w:rsidP="0046681E">
      <w:pPr>
        <w:pBdr>
          <w:top w:val="nil"/>
          <w:left w:val="nil"/>
          <w:bottom w:val="nil"/>
          <w:right w:val="nil"/>
          <w:between w:val="nil"/>
        </w:pBdr>
        <w:spacing w:line="360" w:lineRule="auto"/>
        <w:ind w:right="49"/>
        <w:jc w:val="center"/>
        <w:rPr>
          <w:rFonts w:ascii="Palatino Linotype" w:eastAsia="Palatino Linotype" w:hAnsi="Palatino Linotype" w:cs="Palatino Linotype"/>
          <w:b/>
          <w:color w:val="000000"/>
        </w:rPr>
      </w:pPr>
    </w:p>
    <w:p w:rsidR="0046681E" w:rsidRPr="00F2253C" w:rsidRDefault="0046681E" w:rsidP="0046681E">
      <w:pPr>
        <w:pStyle w:val="Ttulo2"/>
        <w:spacing w:before="0" w:line="360" w:lineRule="auto"/>
        <w:ind w:right="49"/>
        <w:rPr>
          <w:rFonts w:ascii="Palatino Linotype" w:eastAsia="Palatino Linotype" w:hAnsi="Palatino Linotype" w:cs="Palatino Linotype"/>
          <w:b/>
          <w:color w:val="000000"/>
          <w:sz w:val="24"/>
          <w:szCs w:val="24"/>
        </w:rPr>
      </w:pPr>
      <w:bookmarkStart w:id="3" w:name="_heading=h.3znysh7" w:colFirst="0" w:colLast="0"/>
      <w:bookmarkEnd w:id="3"/>
      <w:r w:rsidRPr="00F2253C">
        <w:rPr>
          <w:rFonts w:ascii="Palatino Linotype" w:eastAsia="Palatino Linotype" w:hAnsi="Palatino Linotype" w:cs="Palatino Linotype"/>
          <w:b/>
          <w:color w:val="000000"/>
          <w:sz w:val="24"/>
          <w:szCs w:val="24"/>
        </w:rPr>
        <w:t>PRIMERO. Competencia</w:t>
      </w:r>
    </w:p>
    <w:p w:rsidR="0046681E" w:rsidRPr="00F2253C" w:rsidRDefault="0046681E" w:rsidP="0046681E">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rPr>
      </w:pPr>
      <w:r w:rsidRPr="00F2253C">
        <w:rPr>
          <w:rFonts w:ascii="Palatino Linotype" w:eastAsia="Palatino Linotype" w:hAnsi="Palatino Linotype" w:cs="Palatino Linotype"/>
          <w:color w:val="000000"/>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w:t>
      </w:r>
      <w:r w:rsidRPr="00F2253C">
        <w:rPr>
          <w:rFonts w:ascii="Palatino Linotype" w:eastAsia="Palatino Linotype" w:hAnsi="Palatino Linotype" w:cs="Palatino Linotype"/>
        </w:rPr>
        <w:t>trigésimo</w:t>
      </w:r>
      <w:r w:rsidRPr="00F2253C">
        <w:rPr>
          <w:rFonts w:ascii="Palatino Linotype" w:eastAsia="Palatino Linotype" w:hAnsi="Palatino Linotype" w:cs="Palatino Linotype"/>
          <w:color w:val="000000"/>
        </w:rPr>
        <w:t xml:space="preserve"> séptimo, trigésimo octavo y trigésimo noveno fracciones IV y V de la Constitución Política </w:t>
      </w:r>
      <w:r w:rsidRPr="00F2253C">
        <w:rPr>
          <w:rFonts w:ascii="Palatino Linotype" w:eastAsia="Palatino Linotype" w:hAnsi="Palatino Linotype" w:cs="Palatino Linotype"/>
          <w:color w:val="000000"/>
        </w:rPr>
        <w:lastRenderedPageBreak/>
        <w:t>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46681E" w:rsidRPr="00F2253C" w:rsidRDefault="0046681E" w:rsidP="0046681E">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p>
    <w:p w:rsidR="0046681E" w:rsidRPr="00F2253C" w:rsidRDefault="0046681E" w:rsidP="0046681E">
      <w:pPr>
        <w:pStyle w:val="Ttulo2"/>
        <w:spacing w:before="0" w:line="360" w:lineRule="auto"/>
        <w:ind w:right="49"/>
        <w:rPr>
          <w:rFonts w:ascii="Palatino Linotype" w:eastAsia="Palatino Linotype" w:hAnsi="Palatino Linotype" w:cs="Palatino Linotype"/>
          <w:b/>
          <w:color w:val="000000"/>
          <w:sz w:val="24"/>
          <w:szCs w:val="24"/>
        </w:rPr>
      </w:pPr>
      <w:bookmarkStart w:id="4" w:name="_heading=h.2et92p0" w:colFirst="0" w:colLast="0"/>
      <w:bookmarkEnd w:id="4"/>
      <w:r w:rsidRPr="00F2253C">
        <w:rPr>
          <w:rFonts w:ascii="Palatino Linotype" w:eastAsia="Palatino Linotype" w:hAnsi="Palatino Linotype" w:cs="Palatino Linotype"/>
          <w:b/>
          <w:color w:val="000000"/>
          <w:sz w:val="24"/>
          <w:szCs w:val="24"/>
        </w:rPr>
        <w:t>SEGUNDO. Procedencia.</w:t>
      </w:r>
    </w:p>
    <w:p w:rsidR="0046681E" w:rsidRPr="00F2253C" w:rsidRDefault="0046681E" w:rsidP="0046681E">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rPr>
      </w:pPr>
      <w:r w:rsidRPr="00F2253C">
        <w:rPr>
          <w:rFonts w:ascii="Palatino Linotype" w:eastAsia="Palatino Linotype" w:hAnsi="Palatino Linotype" w:cs="Palatino Linotype"/>
        </w:rPr>
        <w:t xml:space="preserve">Este Órgano Garante considera que el medio de impugnación reúne los requisitos de </w:t>
      </w:r>
      <w:r w:rsidRPr="00F2253C">
        <w:rPr>
          <w:rFonts w:ascii="Palatino Linotype" w:eastAsia="Palatino Linotype" w:hAnsi="Palatino Linotype" w:cs="Palatino Linotype"/>
          <w:color w:val="000000"/>
        </w:rPr>
        <w:t>procedencia</w:t>
      </w:r>
      <w:r w:rsidRPr="00F2253C">
        <w:rPr>
          <w:rFonts w:ascii="Palatino Linotype" w:eastAsia="Palatino Linotype" w:hAnsi="Palatino Linotype" w:cs="Palatino Linotype"/>
        </w:rPr>
        <w:t xml:space="preserve"> </w:t>
      </w:r>
      <w:r w:rsidRPr="00F2253C">
        <w:rPr>
          <w:rFonts w:ascii="Palatino Linotype" w:eastAsia="Palatino Linotype" w:hAnsi="Palatino Linotype" w:cs="Palatino Linotype"/>
          <w:color w:val="000000"/>
        </w:rPr>
        <w:t>toda vez que: el recurso fue presentado dentro del plazo establecido en el artículo 178 de la Ley de Transparencia y Acceso a la Información Pública del Estado de México y Municipios; asimismo no se tiene conocimiento de que se encuentre en trámite algún medio de defensa presentado por el Recurrente ante otra instancia.</w:t>
      </w:r>
    </w:p>
    <w:p w:rsidR="0046681E" w:rsidRPr="00F2253C" w:rsidRDefault="0046681E" w:rsidP="0046681E">
      <w:pPr>
        <w:pBdr>
          <w:top w:val="nil"/>
          <w:left w:val="nil"/>
          <w:bottom w:val="nil"/>
          <w:right w:val="nil"/>
          <w:between w:val="nil"/>
        </w:pBdr>
        <w:spacing w:line="360" w:lineRule="auto"/>
        <w:ind w:right="49"/>
        <w:jc w:val="both"/>
        <w:rPr>
          <w:rFonts w:ascii="Palatino Linotype" w:eastAsia="Palatino Linotype" w:hAnsi="Palatino Linotype" w:cs="Palatino Linotype"/>
        </w:rPr>
      </w:pPr>
    </w:p>
    <w:p w:rsidR="0046681E" w:rsidRPr="00F2253C" w:rsidRDefault="0046681E" w:rsidP="0046681E">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rPr>
      </w:pPr>
      <w:r w:rsidRPr="00F2253C">
        <w:rPr>
          <w:rFonts w:ascii="Palatino Linotype" w:eastAsia="Palatino Linotype" w:hAnsi="Palatino Linotype" w:cs="Palatino Linotype"/>
        </w:rPr>
        <w:t xml:space="preserve">Por otro lado, es de suma importancia señalar que la parte recurrente no proporciona un </w:t>
      </w:r>
      <w:r w:rsidRPr="00F2253C">
        <w:rPr>
          <w:rFonts w:ascii="Palatino Linotype" w:eastAsia="Palatino Linotype" w:hAnsi="Palatino Linotype" w:cs="Palatino Linotype"/>
          <w:u w:val="single"/>
        </w:rPr>
        <w:t>nombre completo</w:t>
      </w:r>
      <w:r w:rsidRPr="00F2253C">
        <w:rPr>
          <w:rFonts w:ascii="Palatino Linotype" w:eastAsia="Palatino Linotype" w:hAnsi="Palatino Linotype" w:cs="Palatino Linotype"/>
        </w:rPr>
        <w:t xml:space="preserve"> como se advierte en el detalle de seguimiento del SAIMEX, no obstante lo anterior, no proporcionar el nombre completo no es motivo para </w:t>
      </w:r>
      <w:r w:rsidRPr="00F2253C">
        <w:rPr>
          <w:rFonts w:ascii="Palatino Linotype" w:eastAsia="Calibri" w:hAnsi="Palatino Linotype" w:cs="Arial"/>
        </w:rPr>
        <w:t>archivar</w:t>
      </w:r>
      <w:r w:rsidRPr="00F2253C">
        <w:rPr>
          <w:rFonts w:ascii="Palatino Linotype" w:eastAsia="Palatino Linotype" w:hAnsi="Palatino Linotype" w:cs="Palatino Linotype"/>
        </w:rPr>
        <w:t xml:space="preserve"> la solicitud de acceso a la información pública como concluida, conforme a lo previsto en el artículo 155, penúltimo párrafo de la Ley de Transparencia y Acceso a la Información Pública del Estado de México y Municipios que establece lo siguiente:</w:t>
      </w:r>
    </w:p>
    <w:p w:rsidR="0046681E" w:rsidRPr="00F2253C" w:rsidRDefault="0046681E" w:rsidP="00105081">
      <w:pPr>
        <w:ind w:left="1134" w:right="1843"/>
        <w:jc w:val="both"/>
        <w:rPr>
          <w:rFonts w:ascii="Palatino Linotype" w:eastAsia="Palatino Linotype" w:hAnsi="Palatino Linotype" w:cs="Palatino Linotype"/>
          <w:i/>
        </w:rPr>
      </w:pPr>
      <w:r w:rsidRPr="00F2253C">
        <w:rPr>
          <w:rFonts w:ascii="Palatino Linotype" w:eastAsia="Palatino Linotype" w:hAnsi="Palatino Linotype" w:cs="Palatino Linotype"/>
          <w:i/>
        </w:rPr>
        <w:t>"</w:t>
      </w:r>
      <w:r w:rsidRPr="00F2253C">
        <w:rPr>
          <w:rFonts w:ascii="Palatino Linotype" w:eastAsia="Palatino Linotype" w:hAnsi="Palatino Linotype" w:cs="Palatino Linotype"/>
          <w:b/>
          <w:i/>
        </w:rPr>
        <w:t>Las solicitudes anónimas</w:t>
      </w:r>
      <w:r w:rsidRPr="00F2253C">
        <w:rPr>
          <w:rFonts w:ascii="Palatino Linotype" w:eastAsia="Palatino Linotype" w:hAnsi="Palatino Linotype" w:cs="Palatino Linotype"/>
          <w:i/>
        </w:rPr>
        <w:t xml:space="preserve">, con nombre incompleto o seudónimo </w:t>
      </w:r>
      <w:r w:rsidRPr="00F2253C">
        <w:rPr>
          <w:rFonts w:ascii="Palatino Linotype" w:eastAsia="Palatino Linotype" w:hAnsi="Palatino Linotype" w:cs="Palatino Linotype"/>
          <w:b/>
          <w:i/>
        </w:rPr>
        <w:t>serán procedentes para su trámite por parte del sujeto obligado ante quien se presente</w:t>
      </w:r>
      <w:r w:rsidRPr="00F2253C">
        <w:rPr>
          <w:rFonts w:ascii="Palatino Linotype" w:eastAsia="Palatino Linotype" w:hAnsi="Palatino Linotype" w:cs="Palatino Linotype"/>
          <w:i/>
        </w:rPr>
        <w:t>. No podrá requerirse información adicional con motivo del nombre proporcionado por el solicitante."</w:t>
      </w:r>
    </w:p>
    <w:p w:rsidR="0046681E" w:rsidRPr="00F2253C" w:rsidRDefault="0046681E" w:rsidP="0046681E">
      <w:pPr>
        <w:spacing w:line="360" w:lineRule="auto"/>
        <w:ind w:left="567" w:right="567"/>
        <w:jc w:val="both"/>
        <w:rPr>
          <w:rFonts w:ascii="Palatino Linotype" w:eastAsia="Palatino Linotype" w:hAnsi="Palatino Linotype" w:cs="Palatino Linotype"/>
          <w:i/>
        </w:rPr>
      </w:pPr>
    </w:p>
    <w:p w:rsidR="0046681E" w:rsidRPr="00F2253C" w:rsidRDefault="0046681E" w:rsidP="0046681E">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rPr>
      </w:pPr>
      <w:r w:rsidRPr="00F2253C">
        <w:rPr>
          <w:rFonts w:ascii="Palatino Linotype" w:eastAsia="Palatino Linotype" w:hAnsi="Palatino Linotype" w:cs="Palatino Linotype"/>
        </w:rPr>
        <w:lastRenderedPageBreak/>
        <w:t>Finalmente, el escrito contiene las formalidades previstas por el artículo 180 último párrafo de la citada Ley de la Materia, por lo que es procedente que este Instituto conozca y resuelva el presente Recurso de Revisión.</w:t>
      </w:r>
    </w:p>
    <w:p w:rsidR="0046681E" w:rsidRPr="00F2253C" w:rsidRDefault="0046681E" w:rsidP="0046681E">
      <w:pPr>
        <w:pBdr>
          <w:top w:val="nil"/>
          <w:left w:val="nil"/>
          <w:bottom w:val="nil"/>
          <w:right w:val="nil"/>
          <w:between w:val="nil"/>
        </w:pBdr>
        <w:spacing w:line="360" w:lineRule="auto"/>
        <w:ind w:right="49"/>
        <w:rPr>
          <w:rFonts w:ascii="Palatino Linotype" w:eastAsia="Palatino Linotype" w:hAnsi="Palatino Linotype" w:cs="Palatino Linotype"/>
          <w:color w:val="000000"/>
        </w:rPr>
      </w:pPr>
    </w:p>
    <w:p w:rsidR="0046681E" w:rsidRPr="00F2253C" w:rsidRDefault="0046681E" w:rsidP="0046681E">
      <w:pPr>
        <w:pStyle w:val="Ttulo2"/>
        <w:tabs>
          <w:tab w:val="left" w:pos="284"/>
          <w:tab w:val="left" w:pos="426"/>
        </w:tabs>
        <w:spacing w:before="0" w:line="360" w:lineRule="auto"/>
        <w:rPr>
          <w:rFonts w:ascii="Palatino Linotype" w:hAnsi="Palatino Linotype"/>
          <w:b/>
          <w:bCs/>
          <w:color w:val="000000" w:themeColor="text1"/>
          <w:sz w:val="24"/>
          <w:szCs w:val="24"/>
        </w:rPr>
      </w:pPr>
      <w:bookmarkStart w:id="5" w:name="_heading=h.tyjcwt" w:colFirst="0" w:colLast="0"/>
      <w:bookmarkStart w:id="6" w:name="_Toc500360400"/>
      <w:bookmarkStart w:id="7" w:name="_Toc81233127"/>
      <w:bookmarkStart w:id="8" w:name="_Toc459174366"/>
      <w:bookmarkStart w:id="9" w:name="_Toc459659884"/>
      <w:bookmarkStart w:id="10" w:name="_Toc461687280"/>
      <w:bookmarkStart w:id="11" w:name="_Toc462771051"/>
      <w:bookmarkStart w:id="12" w:name="_Toc464139201"/>
      <w:bookmarkStart w:id="13" w:name="_Toc495427545"/>
      <w:bookmarkStart w:id="14" w:name="_Toc499296549"/>
      <w:bookmarkEnd w:id="5"/>
      <w:r w:rsidRPr="00F2253C">
        <w:rPr>
          <w:rFonts w:ascii="Palatino Linotype" w:hAnsi="Palatino Linotype"/>
          <w:b/>
          <w:bCs/>
          <w:color w:val="000000" w:themeColor="text1"/>
          <w:sz w:val="24"/>
          <w:szCs w:val="24"/>
        </w:rPr>
        <w:t xml:space="preserve">TERCERO. </w:t>
      </w:r>
      <w:bookmarkEnd w:id="6"/>
      <w:bookmarkEnd w:id="7"/>
      <w:r w:rsidRPr="00F2253C">
        <w:rPr>
          <w:rFonts w:ascii="Palatino Linotype" w:hAnsi="Palatino Linotype"/>
          <w:b/>
          <w:bCs/>
          <w:color w:val="000000" w:themeColor="text1"/>
          <w:sz w:val="24"/>
          <w:szCs w:val="24"/>
        </w:rPr>
        <w:t xml:space="preserve">Del planteamiento de la </w:t>
      </w:r>
      <w:r w:rsidRPr="00F2253C">
        <w:rPr>
          <w:rFonts w:ascii="Palatino Linotype" w:hAnsi="Palatino Linotype"/>
          <w:b/>
          <w:bCs/>
          <w:i/>
          <w:color w:val="000000" w:themeColor="text1"/>
          <w:sz w:val="24"/>
          <w:szCs w:val="24"/>
        </w:rPr>
        <w:t>Litis.</w:t>
      </w:r>
    </w:p>
    <w:p w:rsidR="0046681E" w:rsidRPr="00F2253C" w:rsidRDefault="0046681E" w:rsidP="0046681E">
      <w:pPr>
        <w:numPr>
          <w:ilvl w:val="0"/>
          <w:numId w:val="1"/>
        </w:numPr>
        <w:pBdr>
          <w:top w:val="nil"/>
          <w:left w:val="nil"/>
          <w:bottom w:val="nil"/>
          <w:right w:val="nil"/>
          <w:between w:val="nil"/>
        </w:pBdr>
        <w:spacing w:line="360" w:lineRule="auto"/>
        <w:ind w:left="0" w:right="49" w:firstLine="0"/>
        <w:jc w:val="both"/>
        <w:rPr>
          <w:rFonts w:ascii="Palatino Linotype" w:hAnsi="Palatino Linotype"/>
        </w:rPr>
      </w:pPr>
      <w:r w:rsidRPr="00F2253C">
        <w:rPr>
          <w:rFonts w:ascii="Palatino Linotype" w:hAnsi="Palatino Linotype"/>
        </w:rPr>
        <w:t xml:space="preserve">Se solicitó </w:t>
      </w:r>
      <w:r w:rsidRPr="00F2253C">
        <w:rPr>
          <w:rFonts w:ascii="Palatino Linotype" w:eastAsia="Palatino Linotype" w:hAnsi="Palatino Linotype" w:cs="Palatino Linotype"/>
        </w:rPr>
        <w:t>tener</w:t>
      </w:r>
      <w:r w:rsidRPr="00F2253C">
        <w:rPr>
          <w:rFonts w:ascii="Palatino Linotype" w:hAnsi="Palatino Linotype"/>
        </w:rPr>
        <w:t xml:space="preserve"> </w:t>
      </w:r>
      <w:r w:rsidRPr="00F2253C">
        <w:rPr>
          <w:rFonts w:ascii="Palatino Linotype" w:eastAsia="Palatino Linotype" w:hAnsi="Palatino Linotype" w:cs="Palatino Linotype"/>
        </w:rPr>
        <w:t>acceso</w:t>
      </w:r>
      <w:r w:rsidRPr="00F2253C">
        <w:rPr>
          <w:rFonts w:ascii="Palatino Linotype" w:hAnsi="Palatino Linotype"/>
        </w:rPr>
        <w:t>, a la información que a continuación se simplifica:</w:t>
      </w:r>
    </w:p>
    <w:p w:rsidR="003D7F58" w:rsidRPr="00F2253C" w:rsidRDefault="003D7F58" w:rsidP="003D7F58">
      <w:pPr>
        <w:ind w:left="1134" w:right="1984"/>
        <w:jc w:val="both"/>
        <w:rPr>
          <w:rFonts w:ascii="Palatino Linotype" w:eastAsia="Calibri" w:hAnsi="Palatino Linotype" w:cs="Arial"/>
          <w:b/>
          <w:i/>
        </w:rPr>
      </w:pPr>
      <w:r w:rsidRPr="00F2253C">
        <w:rPr>
          <w:rFonts w:ascii="Palatino Linotype" w:eastAsia="Calibri" w:hAnsi="Palatino Linotype" w:cs="Arial"/>
          <w:b/>
          <w:i/>
        </w:rPr>
        <w:t>1.- Temporalidad del dictamen único de factibilidad para la dotación de servicio de agua para fraccionamientos de nueva construcción</w:t>
      </w:r>
    </w:p>
    <w:p w:rsidR="003D7F58" w:rsidRPr="00F2253C" w:rsidRDefault="003D7F58" w:rsidP="003D7F58">
      <w:pPr>
        <w:ind w:left="1134" w:right="1984"/>
        <w:jc w:val="both"/>
        <w:rPr>
          <w:rFonts w:ascii="Palatino Linotype" w:eastAsia="Calibri" w:hAnsi="Palatino Linotype" w:cs="Arial"/>
          <w:b/>
          <w:i/>
        </w:rPr>
      </w:pPr>
    </w:p>
    <w:p w:rsidR="003D7F58" w:rsidRPr="00F2253C" w:rsidRDefault="003D7F58" w:rsidP="003D7F58">
      <w:pPr>
        <w:ind w:left="1134" w:right="1984"/>
        <w:jc w:val="both"/>
        <w:rPr>
          <w:rFonts w:ascii="Palatino Linotype" w:eastAsia="Calibri" w:hAnsi="Palatino Linotype" w:cs="Arial"/>
          <w:b/>
          <w:i/>
        </w:rPr>
      </w:pPr>
      <w:r w:rsidRPr="00F2253C">
        <w:rPr>
          <w:rFonts w:ascii="Palatino Linotype" w:eastAsia="Calibri" w:hAnsi="Palatino Linotype" w:cs="Arial"/>
          <w:b/>
          <w:i/>
        </w:rPr>
        <w:t>2.- Base y/o fundamento legal para determinar dicha temporalidad</w:t>
      </w:r>
    </w:p>
    <w:p w:rsidR="003D7F58" w:rsidRPr="00F2253C" w:rsidRDefault="003D7F58" w:rsidP="003D7F58">
      <w:pPr>
        <w:ind w:left="1134" w:right="1984"/>
        <w:jc w:val="both"/>
        <w:rPr>
          <w:rFonts w:ascii="Palatino Linotype" w:eastAsia="Calibri" w:hAnsi="Palatino Linotype" w:cs="Arial"/>
          <w:b/>
          <w:i/>
        </w:rPr>
      </w:pPr>
    </w:p>
    <w:p w:rsidR="0046681E" w:rsidRPr="00F2253C" w:rsidRDefault="003D7F58" w:rsidP="003D7F58">
      <w:pPr>
        <w:pStyle w:val="Prrafodelista"/>
        <w:ind w:left="1134" w:right="1984"/>
        <w:jc w:val="both"/>
        <w:rPr>
          <w:rFonts w:ascii="Palatino Linotype" w:eastAsia="Calibri" w:hAnsi="Palatino Linotype" w:cs="Arial"/>
          <w:b/>
          <w:i/>
        </w:rPr>
      </w:pPr>
      <w:r w:rsidRPr="00F2253C">
        <w:rPr>
          <w:rFonts w:ascii="Palatino Linotype" w:eastAsia="Calibri" w:hAnsi="Palatino Linotype" w:cs="Arial"/>
          <w:b/>
          <w:i/>
        </w:rPr>
        <w:t xml:space="preserve"> 3.- Emitido el dictamen de manera definitiva puede ser revocado </w:t>
      </w:r>
    </w:p>
    <w:p w:rsidR="003D7F58" w:rsidRPr="00F2253C" w:rsidRDefault="003D7F58" w:rsidP="003D7F58">
      <w:pPr>
        <w:pStyle w:val="Prrafodelista"/>
        <w:ind w:left="1134" w:right="1984"/>
        <w:jc w:val="both"/>
        <w:rPr>
          <w:rFonts w:ascii="Palatino Linotype" w:hAnsi="Palatino Linotype"/>
          <w:i/>
        </w:rPr>
      </w:pPr>
    </w:p>
    <w:p w:rsidR="0046681E" w:rsidRPr="00F2253C" w:rsidRDefault="0046681E" w:rsidP="0046681E">
      <w:pPr>
        <w:numPr>
          <w:ilvl w:val="0"/>
          <w:numId w:val="1"/>
        </w:numPr>
        <w:pBdr>
          <w:top w:val="nil"/>
          <w:left w:val="nil"/>
          <w:bottom w:val="nil"/>
          <w:right w:val="nil"/>
          <w:between w:val="nil"/>
        </w:pBdr>
        <w:spacing w:line="360" w:lineRule="auto"/>
        <w:ind w:left="0" w:right="49" w:firstLine="0"/>
        <w:jc w:val="both"/>
        <w:rPr>
          <w:rFonts w:ascii="Palatino Linotype" w:hAnsi="Palatino Linotype"/>
        </w:rPr>
      </w:pPr>
      <w:r w:rsidRPr="00F2253C">
        <w:rPr>
          <w:rFonts w:ascii="Palatino Linotype" w:hAnsi="Palatino Linotype"/>
        </w:rPr>
        <w:t>Inconforme con la respuesta, el solicitante interpuso recurso de revisión de manera general en contra</w:t>
      </w:r>
      <w:r w:rsidR="003D7F58" w:rsidRPr="00F2253C">
        <w:rPr>
          <w:rFonts w:ascii="Palatino Linotype" w:hAnsi="Palatino Linotype"/>
        </w:rPr>
        <w:t xml:space="preserve"> de la entrega de información incompleta</w:t>
      </w:r>
      <w:r w:rsidRPr="00F2253C">
        <w:rPr>
          <w:rFonts w:ascii="Palatino Linotype" w:eastAsia="Palatino Linotype" w:hAnsi="Palatino Linotype" w:cs="Palatino Linotype"/>
          <w:color w:val="000000"/>
        </w:rPr>
        <w:t xml:space="preserve">. </w:t>
      </w:r>
      <w:r w:rsidRPr="00F2253C">
        <w:rPr>
          <w:rFonts w:ascii="Palatino Linotype" w:hAnsi="Palatino Linotype"/>
        </w:rPr>
        <w:t>En dichas condiciones, la controversia a resolver en el presente proveído, corresponde a determinar si se actualiza la causal de procedencia prevista</w:t>
      </w:r>
      <w:r w:rsidR="003D7F58" w:rsidRPr="00F2253C">
        <w:rPr>
          <w:rFonts w:ascii="Palatino Linotype" w:hAnsi="Palatino Linotype"/>
        </w:rPr>
        <w:t xml:space="preserve"> en el artículo 179, fracción V</w:t>
      </w:r>
      <w:r w:rsidRPr="00F2253C">
        <w:rPr>
          <w:rFonts w:ascii="Palatino Linotype" w:hAnsi="Palatino Linotype"/>
        </w:rPr>
        <w:t xml:space="preserve">, de la Ley de Transparencia y Acceso a la Información Pública del Estado de México y Municipios; fracción que determina la hipótesis </w:t>
      </w:r>
      <w:r w:rsidRPr="00F2253C">
        <w:rPr>
          <w:rFonts w:ascii="Palatino Linotype" w:eastAsia="Palatino Linotype" w:hAnsi="Palatino Linotype" w:cs="Palatino Linotype"/>
        </w:rPr>
        <w:t>relativa</w:t>
      </w:r>
      <w:r w:rsidRPr="00F2253C">
        <w:rPr>
          <w:rFonts w:ascii="Palatino Linotype" w:hAnsi="Palatino Linotype"/>
        </w:rPr>
        <w:t xml:space="preserve"> a la entrega de información que no corresponda con lo solicitado; contexto del cual se dolió el Recurrente al momento de interponer su inconformidad. De modo tal que el presente recurso de revisión se abocará en determinar si el Sujeto Obligado con su respuesta ciertamente actualiza la causal de procedencia señalada. </w:t>
      </w:r>
    </w:p>
    <w:p w:rsidR="0046681E" w:rsidRPr="00F2253C" w:rsidRDefault="0046681E" w:rsidP="0046681E">
      <w:pPr>
        <w:pStyle w:val="Prrafodelista"/>
        <w:spacing w:line="360" w:lineRule="auto"/>
        <w:rPr>
          <w:rFonts w:ascii="Palatino Linotype" w:hAnsi="Palatino Linotype"/>
        </w:rPr>
      </w:pPr>
    </w:p>
    <w:p w:rsidR="003A1C1B" w:rsidRPr="00F2253C" w:rsidRDefault="003A1C1B" w:rsidP="003A1C1B">
      <w:pPr>
        <w:pStyle w:val="Ttulo2"/>
        <w:spacing w:before="0" w:line="360" w:lineRule="auto"/>
        <w:ind w:right="1"/>
        <w:rPr>
          <w:rFonts w:ascii="Palatino Linotype" w:eastAsia="Palatino Linotype" w:hAnsi="Palatino Linotype" w:cs="Palatino Linotype"/>
          <w:b/>
          <w:bCs/>
          <w:color w:val="000000"/>
          <w:sz w:val="24"/>
          <w:szCs w:val="24"/>
        </w:rPr>
      </w:pPr>
      <w:bookmarkStart w:id="15" w:name="_Toc466371865"/>
      <w:bookmarkStart w:id="16" w:name="_Toc466377653"/>
      <w:bookmarkStart w:id="17" w:name="_Toc495427547"/>
      <w:bookmarkStart w:id="18" w:name="_Toc497905366"/>
      <w:bookmarkEnd w:id="8"/>
      <w:bookmarkEnd w:id="9"/>
      <w:bookmarkEnd w:id="10"/>
      <w:bookmarkEnd w:id="11"/>
      <w:bookmarkEnd w:id="12"/>
      <w:bookmarkEnd w:id="13"/>
      <w:bookmarkEnd w:id="14"/>
      <w:r w:rsidRPr="00F2253C">
        <w:rPr>
          <w:rFonts w:ascii="Palatino Linotype" w:eastAsia="Palatino Linotype" w:hAnsi="Palatino Linotype" w:cs="Palatino Linotype"/>
          <w:b/>
          <w:bCs/>
          <w:color w:val="000000"/>
          <w:sz w:val="24"/>
          <w:szCs w:val="24"/>
        </w:rPr>
        <w:lastRenderedPageBreak/>
        <w:t>CUARTA. Estudio y resolución del asunto.</w:t>
      </w:r>
    </w:p>
    <w:p w:rsidR="003A1C1B" w:rsidRPr="00F2253C" w:rsidRDefault="003A1C1B" w:rsidP="003A1C1B">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rPr>
      </w:pPr>
      <w:r w:rsidRPr="00F2253C">
        <w:rPr>
          <w:rFonts w:ascii="Palatino Linotype" w:eastAsia="Palatino Linotype" w:hAnsi="Palatino Linotype" w:cs="Palatino Linotype"/>
        </w:rPr>
        <w:t xml:space="preserve">El </w:t>
      </w:r>
      <w:r w:rsidRPr="00F2253C">
        <w:rPr>
          <w:rFonts w:ascii="Palatino Linotype" w:eastAsia="Palatino Linotype" w:hAnsi="Palatino Linotype" w:cs="Palatino Linotype"/>
          <w:color w:val="000000"/>
        </w:rPr>
        <w:t xml:space="preserve">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w:t>
      </w:r>
      <w:r w:rsidRPr="00F2253C">
        <w:rPr>
          <w:rFonts w:ascii="Palatino Linotype" w:eastAsia="Palatino Linotype" w:hAnsi="Palatino Linotype" w:cs="Palatino Linotype"/>
        </w:rPr>
        <w:t>Particular</w:t>
      </w:r>
      <w:r w:rsidRPr="00F2253C">
        <w:rPr>
          <w:rFonts w:ascii="Palatino Linotype" w:eastAsia="Palatino Linotype" w:hAnsi="Palatino Linotype" w:cs="Palatino Linotype"/>
          <w:color w:val="000000"/>
        </w:rPr>
        <w:t xml:space="preserve"> del Estado de México.</w:t>
      </w:r>
    </w:p>
    <w:p w:rsidR="003A1C1B" w:rsidRPr="00F2253C" w:rsidRDefault="003A1C1B" w:rsidP="003A1C1B">
      <w:pPr>
        <w:spacing w:line="360" w:lineRule="auto"/>
        <w:ind w:right="1"/>
        <w:jc w:val="both"/>
        <w:rPr>
          <w:rFonts w:ascii="Palatino Linotype" w:eastAsia="Palatino Linotype" w:hAnsi="Palatino Linotype" w:cs="Palatino Linotype"/>
        </w:rPr>
      </w:pPr>
    </w:p>
    <w:p w:rsidR="003A1C1B" w:rsidRPr="00F2253C" w:rsidRDefault="003A1C1B" w:rsidP="003A1C1B">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rPr>
      </w:pPr>
      <w:r w:rsidRPr="00F2253C">
        <w:rPr>
          <w:rFonts w:ascii="Palatino Linotype" w:eastAsia="Palatino Linotype" w:hAnsi="Palatino Linotype" w:cs="Palatino Linotype"/>
          <w:color w:val="000000"/>
        </w:rPr>
        <w:t xml:space="preserve">Definiendo </w:t>
      </w:r>
      <w:r w:rsidRPr="00F2253C">
        <w:rPr>
          <w:rFonts w:ascii="Palatino Linotype" w:eastAsia="Palatino Linotype" w:hAnsi="Palatino Linotype" w:cs="Palatino Linotype"/>
        </w:rPr>
        <w:t xml:space="preserve">el Derecho de Acceso a la Información Pública como: </w:t>
      </w:r>
      <w:r w:rsidRPr="00F2253C">
        <w:rPr>
          <w:rFonts w:ascii="Palatino Linotype" w:eastAsia="Palatino Linotype" w:hAnsi="Palatino Linotype" w:cs="Palatino Linotype"/>
          <w:i/>
          <w:iCs/>
          <w:color w:val="000000"/>
        </w:rPr>
        <w:t xml:space="preserve">La igualdad de </w:t>
      </w:r>
      <w:r w:rsidRPr="00F2253C">
        <w:rPr>
          <w:rFonts w:ascii="Palatino Linotype" w:eastAsia="Palatino Linotype" w:hAnsi="Palatino Linotype" w:cs="Palatino Linotype"/>
        </w:rPr>
        <w:t>oportunidades</w:t>
      </w:r>
      <w:r w:rsidRPr="00F2253C">
        <w:rPr>
          <w:rFonts w:ascii="Palatino Linotype" w:eastAsia="Palatino Linotype" w:hAnsi="Palatino Linotype" w:cs="Palatino Linotype"/>
          <w:i/>
          <w:iCs/>
          <w:color w:val="000000"/>
        </w:rPr>
        <w:t xml:space="preserve"> para recibir, buscar e impartir información</w:t>
      </w:r>
      <w:r w:rsidRPr="00F2253C">
        <w:rPr>
          <w:rFonts w:ascii="Palatino Linotype" w:eastAsia="Palatino Linotype" w:hAnsi="Palatino Linotype" w:cs="Palatino Linotype"/>
          <w:vertAlign w:val="superscript"/>
        </w:rPr>
        <w:footnoteReference w:id="1"/>
      </w:r>
      <w:r w:rsidRPr="00F2253C">
        <w:rPr>
          <w:rFonts w:ascii="Palatino Linotype" w:eastAsia="Palatino Linotype" w:hAnsi="Palatino Linotype" w:cs="Palatino Linotype"/>
          <w:i/>
          <w:iCs/>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F2253C">
        <w:rPr>
          <w:rFonts w:ascii="Palatino Linotype" w:eastAsia="Palatino Linotype" w:hAnsi="Palatino Linotype" w:cs="Palatino Linotype"/>
          <w:vertAlign w:val="superscript"/>
        </w:rPr>
        <w:footnoteReference w:id="2"/>
      </w:r>
      <w:r w:rsidRPr="00F2253C">
        <w:rPr>
          <w:rFonts w:ascii="Palatino Linotype" w:eastAsia="Palatino Linotype" w:hAnsi="Palatino Linotype" w:cs="Palatino Linotype"/>
          <w:color w:val="000000"/>
        </w:rPr>
        <w:t>que se constituye como una herramienta fundamental para ejercer</w:t>
      </w:r>
      <w:r w:rsidRPr="00F2253C">
        <w:rPr>
          <w:rFonts w:ascii="Palatino Linotype" w:eastAsia="Palatino Linotype" w:hAnsi="Palatino Linotype" w:cs="Palatino Linotype"/>
          <w:i/>
          <w:iCs/>
          <w:color w:val="000000"/>
        </w:rPr>
        <w:t xml:space="preserve"> el control democrático de las gestiones estatales, de forma tal que puedan cuestionar, indagar y considerar si se está dando un adecuado cumplimiento a las funciones públicas,</w:t>
      </w:r>
      <w:r w:rsidRPr="00F2253C">
        <w:rPr>
          <w:rFonts w:ascii="Palatino Linotype" w:eastAsia="Palatino Linotype" w:hAnsi="Palatino Linotype" w:cs="Palatino Linotype"/>
          <w:vertAlign w:val="superscript"/>
        </w:rPr>
        <w:footnoteReference w:id="3"/>
      </w:r>
      <w:r w:rsidRPr="00F2253C">
        <w:rPr>
          <w:rFonts w:ascii="Palatino Linotype" w:eastAsia="Palatino Linotype" w:hAnsi="Palatino Linotype" w:cs="Palatino Linotype"/>
          <w:color w:val="000000"/>
        </w:rPr>
        <w:t>fomentando</w:t>
      </w:r>
      <w:r w:rsidRPr="00F2253C">
        <w:rPr>
          <w:rFonts w:ascii="Palatino Linotype" w:eastAsia="Palatino Linotype" w:hAnsi="Palatino Linotype" w:cs="Palatino Linotype"/>
          <w:i/>
          <w:iCs/>
          <w:color w:val="000000"/>
        </w:rPr>
        <w:t xml:space="preserve"> la transparencia de las actividades estatales y </w:t>
      </w:r>
      <w:r w:rsidRPr="00F2253C">
        <w:rPr>
          <w:rFonts w:ascii="Palatino Linotype" w:eastAsia="Palatino Linotype" w:hAnsi="Palatino Linotype" w:cs="Palatino Linotype"/>
          <w:color w:val="000000"/>
        </w:rPr>
        <w:t>promoviendo</w:t>
      </w:r>
      <w:r w:rsidRPr="00F2253C">
        <w:rPr>
          <w:rFonts w:ascii="Palatino Linotype" w:eastAsia="Palatino Linotype" w:hAnsi="Palatino Linotype" w:cs="Palatino Linotype"/>
          <w:i/>
          <w:iCs/>
          <w:color w:val="000000"/>
        </w:rPr>
        <w:t xml:space="preserve"> la responsabilidad de los funcionarios sobre su gestión pública,</w:t>
      </w:r>
      <w:r w:rsidRPr="00F2253C">
        <w:rPr>
          <w:rFonts w:ascii="Palatino Linotype" w:eastAsia="Palatino Linotype" w:hAnsi="Palatino Linotype" w:cs="Palatino Linotype"/>
          <w:vertAlign w:val="superscript"/>
        </w:rPr>
        <w:footnoteReference w:id="4"/>
      </w:r>
      <w:r w:rsidRPr="00F2253C">
        <w:rPr>
          <w:rFonts w:ascii="Palatino Linotype" w:eastAsia="Palatino Linotype" w:hAnsi="Palatino Linotype" w:cs="Palatino Linotype"/>
          <w:color w:val="000000"/>
        </w:rPr>
        <w:t>que permite</w:t>
      </w:r>
      <w:r w:rsidRPr="00F2253C">
        <w:rPr>
          <w:rFonts w:ascii="Palatino Linotype" w:eastAsia="Palatino Linotype" w:hAnsi="Palatino Linotype" w:cs="Palatino Linotype"/>
          <w:i/>
          <w:iCs/>
          <w:color w:val="000000"/>
        </w:rPr>
        <w:t xml:space="preserve"> saber qué están haciendo los gobiernos por sus pueblos, sin lo cual la verdad languidecería y la participación en el gobierno permanecería fragmentada.</w:t>
      </w:r>
    </w:p>
    <w:p w:rsidR="003A1C1B" w:rsidRPr="00F2253C" w:rsidRDefault="003A1C1B" w:rsidP="003A1C1B">
      <w:pPr>
        <w:spacing w:line="360" w:lineRule="auto"/>
        <w:ind w:right="1"/>
        <w:jc w:val="both"/>
        <w:rPr>
          <w:rFonts w:ascii="Palatino Linotype" w:eastAsia="Palatino Linotype" w:hAnsi="Palatino Linotype" w:cs="Palatino Linotype"/>
        </w:rPr>
      </w:pPr>
    </w:p>
    <w:p w:rsidR="003A1C1B" w:rsidRPr="00F2253C" w:rsidRDefault="003A1C1B" w:rsidP="003A1C1B">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rPr>
      </w:pPr>
      <w:r w:rsidRPr="00F2253C">
        <w:rPr>
          <w:rFonts w:ascii="Palatino Linotype" w:eastAsia="Palatino Linotype" w:hAnsi="Palatino Linotype" w:cs="Palatino Linotype"/>
          <w:color w:val="000000"/>
        </w:rPr>
        <w:lastRenderedPageBreak/>
        <w:t xml:space="preserve">En </w:t>
      </w:r>
      <w:r w:rsidRPr="00F2253C">
        <w:rPr>
          <w:rFonts w:ascii="Palatino Linotype" w:eastAsia="Palatino Linotype" w:hAnsi="Palatino Linotype" w:cs="Palatino Linotype"/>
        </w:rPr>
        <w:t xml:space="preserve">México, además de los derechos, están reconocidas las garantías para su protección, en ese sentido </w:t>
      </w:r>
      <w:r w:rsidRPr="00F2253C">
        <w:rPr>
          <w:rFonts w:ascii="Palatino Linotype" w:hAnsi="Palatino Linotype"/>
        </w:rPr>
        <w:t>el</w:t>
      </w:r>
      <w:r w:rsidRPr="00F2253C">
        <w:rPr>
          <w:rFonts w:ascii="Palatino Linotype" w:eastAsia="Palatino Linotype" w:hAnsi="Palatino Linotype" w:cs="Palatino Linotype"/>
        </w:rPr>
        <w:t xml:space="preserve"> párrafo tercero de artículo primero de la Constitución Política de los Estados Unidos Mexicanos, dispone lo siguiente:</w:t>
      </w:r>
    </w:p>
    <w:p w:rsidR="003A1C1B" w:rsidRPr="00F2253C" w:rsidRDefault="003A1C1B" w:rsidP="003A1C1B">
      <w:pPr>
        <w:ind w:right="-592"/>
        <w:jc w:val="both"/>
        <w:rPr>
          <w:rFonts w:ascii="Palatino Linotype" w:eastAsia="Palatino Linotype" w:hAnsi="Palatino Linotype" w:cs="Palatino Linotype"/>
          <w:b/>
          <w:bCs/>
        </w:rPr>
      </w:pPr>
    </w:p>
    <w:p w:rsidR="003A1C1B" w:rsidRPr="00F2253C" w:rsidRDefault="003A1C1B" w:rsidP="003A1C1B">
      <w:pPr>
        <w:ind w:left="1134" w:right="1389"/>
        <w:jc w:val="both"/>
        <w:rPr>
          <w:rFonts w:ascii="Palatino Linotype" w:eastAsia="Palatino Linotype" w:hAnsi="Palatino Linotype" w:cs="Palatino Linotype"/>
          <w:i/>
          <w:iCs/>
        </w:rPr>
      </w:pPr>
      <w:r w:rsidRPr="00F2253C">
        <w:rPr>
          <w:rFonts w:ascii="Palatino Linotype" w:eastAsia="Palatino Linotype" w:hAnsi="Palatino Linotype" w:cs="Palatino Linotype"/>
          <w:i/>
          <w:iCs/>
        </w:rPr>
        <w:t>“</w:t>
      </w:r>
      <w:r w:rsidRPr="00F2253C">
        <w:rPr>
          <w:rFonts w:ascii="Palatino Linotype" w:eastAsia="Palatino Linotype" w:hAnsi="Palatino Linotype" w:cs="Palatino Linotype"/>
          <w:b/>
          <w:bCs/>
          <w:i/>
          <w:iCs/>
        </w:rPr>
        <w:t>Artículo 1.-</w:t>
      </w:r>
      <w:r w:rsidRPr="00F2253C">
        <w:rPr>
          <w:rFonts w:ascii="Palatino Linotype" w:eastAsia="Palatino Linotype" w:hAnsi="Palatino Linotype" w:cs="Palatino Linotype"/>
          <w:i/>
          <w:iCs/>
        </w:rPr>
        <w:t xml:space="preserve"> </w:t>
      </w:r>
    </w:p>
    <w:p w:rsidR="003A1C1B" w:rsidRPr="00F2253C" w:rsidRDefault="003A1C1B" w:rsidP="003A1C1B">
      <w:pPr>
        <w:ind w:left="1134" w:right="1389"/>
        <w:jc w:val="both"/>
        <w:rPr>
          <w:rFonts w:ascii="Palatino Linotype" w:eastAsia="Palatino Linotype" w:hAnsi="Palatino Linotype" w:cs="Palatino Linotype"/>
          <w:i/>
          <w:iCs/>
        </w:rPr>
      </w:pPr>
      <w:r w:rsidRPr="00F2253C">
        <w:rPr>
          <w:rFonts w:ascii="Palatino Linotype" w:eastAsia="Palatino Linotype" w:hAnsi="Palatino Linotype" w:cs="Palatino Linotype"/>
          <w:i/>
          <w:iCs/>
        </w:rPr>
        <w:t>(…)</w:t>
      </w:r>
    </w:p>
    <w:p w:rsidR="003A1C1B" w:rsidRPr="00F2253C" w:rsidRDefault="003A1C1B" w:rsidP="003A1C1B">
      <w:pPr>
        <w:ind w:left="1134" w:right="1389"/>
        <w:jc w:val="both"/>
        <w:rPr>
          <w:rFonts w:ascii="Palatino Linotype" w:eastAsia="Palatino Linotype" w:hAnsi="Palatino Linotype" w:cs="Palatino Linotype"/>
          <w:i/>
          <w:iCs/>
        </w:rPr>
      </w:pPr>
      <w:r w:rsidRPr="00F2253C">
        <w:rPr>
          <w:rFonts w:ascii="Palatino Linotype" w:eastAsia="Palatino Linotype" w:hAnsi="Palatino Linotype" w:cs="Palatino Linotype"/>
          <w:i/>
          <w:iCs/>
        </w:rPr>
        <w:t>Todas las</w:t>
      </w:r>
      <w:r w:rsidRPr="00F2253C">
        <w:rPr>
          <w:rFonts w:ascii="Palatino Linotype" w:eastAsia="Palatino Linotype" w:hAnsi="Palatino Linotype" w:cs="Palatino Linotype"/>
        </w:rPr>
        <w:t xml:space="preserve"> </w:t>
      </w:r>
      <w:r w:rsidRPr="00F2253C">
        <w:rPr>
          <w:rFonts w:ascii="Palatino Linotype" w:eastAsia="Palatino Linotype" w:hAnsi="Palatino Linotype" w:cs="Palatino Linotype"/>
          <w:i/>
          <w:iCs/>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3A1C1B" w:rsidRPr="00F2253C" w:rsidRDefault="003A1C1B" w:rsidP="003A1C1B">
      <w:pPr>
        <w:ind w:left="1134" w:right="1389"/>
        <w:jc w:val="both"/>
        <w:rPr>
          <w:rFonts w:ascii="Palatino Linotype" w:eastAsia="Palatino Linotype" w:hAnsi="Palatino Linotype" w:cs="Palatino Linotype"/>
        </w:rPr>
      </w:pPr>
      <w:r w:rsidRPr="00F2253C">
        <w:rPr>
          <w:rFonts w:ascii="Palatino Linotype" w:eastAsia="Palatino Linotype" w:hAnsi="Palatino Linotype" w:cs="Palatino Linotype"/>
          <w:i/>
          <w:iCs/>
        </w:rPr>
        <w:t>(…)</w:t>
      </w:r>
      <w:r w:rsidRPr="00F2253C">
        <w:rPr>
          <w:rFonts w:ascii="Palatino Linotype" w:eastAsia="Palatino Linotype" w:hAnsi="Palatino Linotype" w:cs="Palatino Linotype"/>
        </w:rPr>
        <w:t>”</w:t>
      </w:r>
    </w:p>
    <w:p w:rsidR="003A1C1B" w:rsidRPr="00F2253C" w:rsidRDefault="003A1C1B" w:rsidP="003A1C1B">
      <w:pPr>
        <w:ind w:right="-592"/>
        <w:jc w:val="both"/>
        <w:rPr>
          <w:rFonts w:ascii="Palatino Linotype" w:eastAsia="Palatino Linotype" w:hAnsi="Palatino Linotype" w:cs="Palatino Linotype"/>
          <w:b/>
          <w:bCs/>
        </w:rPr>
      </w:pPr>
    </w:p>
    <w:p w:rsidR="003A1C1B" w:rsidRPr="00F2253C" w:rsidRDefault="003A1C1B" w:rsidP="003A1C1B">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b/>
          <w:bCs/>
          <w:color w:val="000000"/>
        </w:rPr>
      </w:pPr>
      <w:r w:rsidRPr="00F2253C">
        <w:rPr>
          <w:rFonts w:ascii="Palatino Linotype" w:eastAsia="Palatino Linotype" w:hAnsi="Palatino Linotype" w:cs="Palatino Linotype"/>
          <w:color w:val="000000"/>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3A1C1B" w:rsidRPr="00F2253C" w:rsidRDefault="003A1C1B" w:rsidP="003A1C1B">
      <w:pPr>
        <w:ind w:right="1"/>
        <w:jc w:val="both"/>
        <w:rPr>
          <w:rFonts w:ascii="Palatino Linotype" w:eastAsia="Palatino Linotype" w:hAnsi="Palatino Linotype" w:cs="Palatino Linotype"/>
          <w:b/>
          <w:bCs/>
        </w:rPr>
      </w:pPr>
    </w:p>
    <w:p w:rsidR="003A1C1B" w:rsidRPr="00F2253C" w:rsidRDefault="003A1C1B" w:rsidP="003A1C1B">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b/>
          <w:bCs/>
        </w:rPr>
      </w:pPr>
      <w:r w:rsidRPr="00F2253C">
        <w:rPr>
          <w:rFonts w:ascii="Palatino Linotype" w:eastAsia="Palatino Linotype" w:hAnsi="Palatino Linotype" w:cs="Palatino Linotype"/>
          <w:color w:val="000000"/>
        </w:rPr>
        <w:t xml:space="preserve">Así </w:t>
      </w:r>
      <w:r w:rsidRPr="00F2253C">
        <w:rPr>
          <w:rFonts w:ascii="Palatino Linotype" w:eastAsia="Palatino Linotype" w:hAnsi="Palatino Linotype" w:cs="Palatino Linotype"/>
        </w:rPr>
        <w:t xml:space="preserve">conforme a la Constitución Política de las Estado Unidos Mexicanos y la Constitución Política del Estado Libre y Soberano de México respectivamente, el cumplimiento de las garantías </w:t>
      </w:r>
      <w:r w:rsidRPr="00F2253C">
        <w:rPr>
          <w:rFonts w:ascii="Palatino Linotype" w:hAnsi="Palatino Linotype"/>
        </w:rPr>
        <w:t>primarias</w:t>
      </w:r>
      <w:r w:rsidRPr="00F2253C">
        <w:rPr>
          <w:rFonts w:ascii="Palatino Linotype" w:eastAsia="Palatino Linotype" w:hAnsi="Palatino Linotype" w:cs="Palatino Linotype"/>
        </w:rPr>
        <w:t>, entendidas como obligaciones inmediatamente relacionadas con el Derecho de Acceso a la Información Pública, permiten que todas las autoridades, en el ámbito de sus atribuciones lo respeten, protejan y garanticen:</w:t>
      </w:r>
    </w:p>
    <w:p w:rsidR="003A1C1B" w:rsidRPr="00F2253C" w:rsidRDefault="003A1C1B" w:rsidP="003A1C1B">
      <w:pPr>
        <w:rPr>
          <w:rFonts w:ascii="Palatino Linotype" w:eastAsia="Palatino Linotype" w:hAnsi="Palatino Linotype" w:cs="Palatino Linotype"/>
          <w:b/>
          <w:bCs/>
        </w:rPr>
      </w:pPr>
    </w:p>
    <w:p w:rsidR="003A1C1B" w:rsidRPr="00F2253C" w:rsidRDefault="003A1C1B" w:rsidP="003A1C1B">
      <w:pPr>
        <w:ind w:left="1134" w:right="1389"/>
        <w:jc w:val="both"/>
        <w:rPr>
          <w:rFonts w:ascii="Palatino Linotype" w:eastAsia="Palatino Linotype" w:hAnsi="Palatino Linotype" w:cs="Palatino Linotype"/>
          <w:b/>
          <w:bCs/>
          <w:i/>
          <w:iCs/>
        </w:rPr>
      </w:pPr>
      <w:r w:rsidRPr="00F2253C">
        <w:rPr>
          <w:rFonts w:ascii="Palatino Linotype" w:eastAsia="Palatino Linotype" w:hAnsi="Palatino Linotype" w:cs="Palatino Linotype"/>
          <w:b/>
          <w:bCs/>
          <w:i/>
          <w:iCs/>
        </w:rPr>
        <w:t>Constitución Política de los Estados Unidos Mexicanos</w:t>
      </w:r>
    </w:p>
    <w:p w:rsidR="003A1C1B" w:rsidRPr="00F2253C" w:rsidRDefault="003A1C1B" w:rsidP="003A1C1B">
      <w:pPr>
        <w:ind w:left="1134" w:right="1389"/>
        <w:jc w:val="both"/>
        <w:rPr>
          <w:rFonts w:ascii="Palatino Linotype" w:eastAsia="Palatino Linotype" w:hAnsi="Palatino Linotype" w:cs="Palatino Linotype"/>
          <w:b/>
          <w:bCs/>
          <w:i/>
          <w:iCs/>
        </w:rPr>
      </w:pPr>
    </w:p>
    <w:p w:rsidR="003A1C1B" w:rsidRPr="00F2253C" w:rsidRDefault="003A1C1B" w:rsidP="003A1C1B">
      <w:pPr>
        <w:ind w:left="1134" w:right="1389"/>
        <w:jc w:val="both"/>
        <w:rPr>
          <w:rFonts w:ascii="Palatino Linotype" w:eastAsia="Palatino Linotype" w:hAnsi="Palatino Linotype" w:cs="Palatino Linotype"/>
          <w:b/>
          <w:bCs/>
          <w:i/>
          <w:iCs/>
        </w:rPr>
      </w:pPr>
      <w:r w:rsidRPr="00F2253C">
        <w:rPr>
          <w:rFonts w:ascii="Palatino Linotype" w:eastAsia="Palatino Linotype" w:hAnsi="Palatino Linotype" w:cs="Palatino Linotype"/>
          <w:b/>
          <w:bCs/>
          <w:i/>
          <w:iCs/>
        </w:rPr>
        <w:t>“Artículo 6.</w:t>
      </w:r>
      <w:r w:rsidRPr="00F2253C">
        <w:rPr>
          <w:rFonts w:ascii="Palatino Linotype" w:eastAsia="Palatino Linotype" w:hAnsi="Palatino Linotype" w:cs="Palatino Linotype"/>
          <w:i/>
          <w:iCs/>
        </w:rPr>
        <w:t xml:space="preserve"> …</w:t>
      </w:r>
    </w:p>
    <w:p w:rsidR="003A1C1B" w:rsidRPr="00F2253C" w:rsidRDefault="003A1C1B" w:rsidP="003A1C1B">
      <w:pPr>
        <w:ind w:left="1134" w:right="1389"/>
        <w:jc w:val="both"/>
        <w:rPr>
          <w:rFonts w:ascii="Palatino Linotype" w:eastAsia="Palatino Linotype" w:hAnsi="Palatino Linotype" w:cs="Palatino Linotype"/>
          <w:i/>
          <w:iCs/>
        </w:rPr>
      </w:pPr>
      <w:r w:rsidRPr="00F2253C">
        <w:rPr>
          <w:rFonts w:ascii="Palatino Linotype" w:eastAsia="Palatino Linotype" w:hAnsi="Palatino Linotype" w:cs="Palatino Linotype"/>
          <w:i/>
          <w:iCs/>
        </w:rPr>
        <w:lastRenderedPageBreak/>
        <w:t>…</w:t>
      </w:r>
    </w:p>
    <w:p w:rsidR="003A1C1B" w:rsidRPr="00F2253C" w:rsidRDefault="003A1C1B" w:rsidP="003A1C1B">
      <w:pPr>
        <w:ind w:left="1134" w:right="1389"/>
        <w:jc w:val="both"/>
        <w:rPr>
          <w:rFonts w:ascii="Palatino Linotype" w:eastAsia="Palatino Linotype" w:hAnsi="Palatino Linotype" w:cs="Palatino Linotype"/>
          <w:i/>
          <w:iCs/>
        </w:rPr>
      </w:pPr>
      <w:r w:rsidRPr="00F2253C">
        <w:rPr>
          <w:rFonts w:ascii="Palatino Linotype" w:eastAsia="Palatino Linotype" w:hAnsi="Palatino Linotype" w:cs="Palatino Linotype"/>
          <w:i/>
          <w:iCs/>
        </w:rPr>
        <w:t>Para efectos de lo dispuesto en el presente artículo se observará lo siguiente:</w:t>
      </w:r>
    </w:p>
    <w:p w:rsidR="003A1C1B" w:rsidRPr="00F2253C" w:rsidRDefault="003A1C1B" w:rsidP="003A1C1B">
      <w:pPr>
        <w:ind w:left="1134" w:right="1389"/>
        <w:jc w:val="both"/>
        <w:rPr>
          <w:rFonts w:ascii="Palatino Linotype" w:eastAsia="Palatino Linotype" w:hAnsi="Palatino Linotype" w:cs="Palatino Linotype"/>
          <w:b/>
          <w:bCs/>
          <w:i/>
          <w:iCs/>
        </w:rPr>
      </w:pPr>
      <w:r w:rsidRPr="00F2253C">
        <w:rPr>
          <w:rFonts w:ascii="Palatino Linotype" w:eastAsia="Palatino Linotype" w:hAnsi="Palatino Linotype" w:cs="Palatino Linotype"/>
          <w:b/>
          <w:bCs/>
          <w:i/>
          <w:iCs/>
        </w:rPr>
        <w:t>A</w:t>
      </w:r>
      <w:r w:rsidRPr="00F2253C">
        <w:rPr>
          <w:rFonts w:ascii="Palatino Linotype" w:eastAsia="Palatino Linotype" w:hAnsi="Palatino Linotype" w:cs="Palatino Linotype"/>
          <w:i/>
          <w:iCs/>
        </w:rPr>
        <w:t xml:space="preserve">. </w:t>
      </w:r>
      <w:r w:rsidRPr="00F2253C">
        <w:rPr>
          <w:rFonts w:ascii="Palatino Linotype" w:eastAsia="Palatino Linotype" w:hAnsi="Palatino Linotype" w:cs="Palatino Linotype"/>
          <w:b/>
          <w:bCs/>
          <w:i/>
          <w:iCs/>
        </w:rPr>
        <w:t>Para el ejercicio del derecho de acceso a la información</w:t>
      </w:r>
      <w:r w:rsidRPr="00F2253C">
        <w:rPr>
          <w:rFonts w:ascii="Palatino Linotype" w:eastAsia="Palatino Linotype" w:hAnsi="Palatino Linotype" w:cs="Palatino Linotype"/>
          <w:i/>
          <w:iCs/>
        </w:rPr>
        <w:t xml:space="preserve">, la Federación y </w:t>
      </w:r>
      <w:r w:rsidRPr="00F2253C">
        <w:rPr>
          <w:rFonts w:ascii="Palatino Linotype" w:eastAsia="Palatino Linotype" w:hAnsi="Palatino Linotype" w:cs="Palatino Linotype"/>
          <w:b/>
          <w:bCs/>
          <w:i/>
          <w:iCs/>
        </w:rPr>
        <w:t>las entidades federativas, en el ámbito de sus respectivas competencias, se regirán por los siguientes principios y bases:</w:t>
      </w:r>
    </w:p>
    <w:p w:rsidR="003A1C1B" w:rsidRPr="00F2253C" w:rsidRDefault="003A1C1B" w:rsidP="003A1C1B">
      <w:pPr>
        <w:ind w:left="1134" w:right="1389"/>
        <w:jc w:val="both"/>
        <w:rPr>
          <w:rFonts w:ascii="Palatino Linotype" w:eastAsia="Palatino Linotype" w:hAnsi="Palatino Linotype" w:cs="Palatino Linotype"/>
          <w:i/>
          <w:iCs/>
        </w:rPr>
      </w:pPr>
      <w:r w:rsidRPr="00F2253C">
        <w:rPr>
          <w:rFonts w:ascii="Palatino Linotype" w:eastAsia="Palatino Linotype" w:hAnsi="Palatino Linotype" w:cs="Palatino Linotype"/>
          <w:b/>
          <w:bCs/>
          <w:i/>
          <w:iCs/>
        </w:rPr>
        <w:t xml:space="preserve">I. </w:t>
      </w:r>
      <w:r w:rsidRPr="00F2253C">
        <w:rPr>
          <w:rFonts w:ascii="Palatino Linotype" w:eastAsia="Palatino Linotype" w:hAnsi="Palatino Linotype" w:cs="Palatino Linotype"/>
          <w:b/>
          <w:bCs/>
          <w:i/>
          <w:iCs/>
        </w:rPr>
        <w:tab/>
        <w:t>Toda la información en posesión de cualquier</w:t>
      </w:r>
      <w:r w:rsidRPr="00F2253C">
        <w:rPr>
          <w:rFonts w:ascii="Palatino Linotype" w:eastAsia="Palatino Linotype" w:hAnsi="Palatino Linotype" w:cs="Palatino Linotype"/>
          <w:i/>
          <w:iCs/>
        </w:rPr>
        <w:t xml:space="preserve"> </w:t>
      </w:r>
      <w:r w:rsidRPr="00F2253C">
        <w:rPr>
          <w:rFonts w:ascii="Palatino Linotype" w:eastAsia="Palatino Linotype" w:hAnsi="Palatino Linotype" w:cs="Palatino Linotype"/>
          <w:b/>
          <w:bCs/>
          <w:i/>
          <w:iCs/>
        </w:rPr>
        <w:t>autoridad</w:t>
      </w:r>
      <w:r w:rsidRPr="00F2253C">
        <w:rPr>
          <w:rFonts w:ascii="Palatino Linotype" w:eastAsia="Palatino Linotype" w:hAnsi="Palatino Linotype" w:cs="Palatino Linotype"/>
          <w:i/>
          <w:iC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F2253C">
        <w:rPr>
          <w:rFonts w:ascii="Palatino Linotype" w:eastAsia="Palatino Linotype" w:hAnsi="Palatino Linotype" w:cs="Palatino Linotype"/>
          <w:b/>
          <w:bCs/>
          <w:i/>
          <w:iCs/>
        </w:rPr>
        <w:t>municipal</w:t>
      </w:r>
      <w:r w:rsidRPr="00F2253C">
        <w:rPr>
          <w:rFonts w:ascii="Palatino Linotype" w:eastAsia="Palatino Linotype" w:hAnsi="Palatino Linotype" w:cs="Palatino Linotype"/>
          <w:i/>
          <w:iCs/>
        </w:rPr>
        <w:t xml:space="preserve">, </w:t>
      </w:r>
      <w:r w:rsidRPr="00F2253C">
        <w:rPr>
          <w:rFonts w:ascii="Palatino Linotype" w:eastAsia="Palatino Linotype" w:hAnsi="Palatino Linotype" w:cs="Palatino Linotype"/>
          <w:b/>
          <w:bCs/>
          <w:i/>
          <w:iCs/>
        </w:rPr>
        <w:t>es pública</w:t>
      </w:r>
      <w:r w:rsidRPr="00F2253C">
        <w:rPr>
          <w:rFonts w:ascii="Palatino Linotype" w:eastAsia="Palatino Linotype" w:hAnsi="Palatino Linotype" w:cs="Palatino Linotype"/>
          <w:i/>
          <w:iCs/>
        </w:rPr>
        <w:t xml:space="preserve"> y sólo podrá ser reservada temporalmente por razones de interés público y seguridad nacional, en los términos que fijen las leyes. </w:t>
      </w:r>
      <w:r w:rsidRPr="00F2253C">
        <w:rPr>
          <w:rFonts w:ascii="Palatino Linotype" w:eastAsia="Palatino Linotype" w:hAnsi="Palatino Linotype" w:cs="Palatino Linotype"/>
          <w:b/>
          <w:bCs/>
          <w:i/>
          <w:iCs/>
        </w:rPr>
        <w:t>En la interpretación de este derecho deberá prevalecer el principio de máxima publicidad. Los sujetos obligados deberán documentar todo acto que derive del ejercicio de sus facultades, competencias o funciones</w:t>
      </w:r>
      <w:r w:rsidRPr="00F2253C">
        <w:rPr>
          <w:rFonts w:ascii="Palatino Linotype" w:eastAsia="Palatino Linotype" w:hAnsi="Palatino Linotype" w:cs="Palatino Linotype"/>
          <w:i/>
          <w:iCs/>
        </w:rPr>
        <w:t>, la ley determinará los supuestos específicos bajo los cuales procederá la declaración de inexistencia de la información.”</w:t>
      </w:r>
    </w:p>
    <w:p w:rsidR="003A1C1B" w:rsidRPr="00F2253C" w:rsidRDefault="003A1C1B" w:rsidP="003A1C1B">
      <w:pPr>
        <w:tabs>
          <w:tab w:val="left" w:pos="426"/>
          <w:tab w:val="left" w:pos="567"/>
        </w:tabs>
        <w:ind w:left="1134" w:right="1389"/>
        <w:jc w:val="both"/>
        <w:rPr>
          <w:rFonts w:ascii="Palatino Linotype" w:eastAsia="Palatino Linotype" w:hAnsi="Palatino Linotype" w:cs="Palatino Linotype"/>
          <w:color w:val="000000"/>
        </w:rPr>
      </w:pPr>
    </w:p>
    <w:p w:rsidR="003A1C1B" w:rsidRPr="00F2253C" w:rsidRDefault="003A1C1B" w:rsidP="003A1C1B">
      <w:pPr>
        <w:ind w:left="1134" w:right="1389"/>
        <w:jc w:val="both"/>
        <w:rPr>
          <w:rFonts w:ascii="Palatino Linotype" w:eastAsia="Palatino Linotype" w:hAnsi="Palatino Linotype" w:cs="Palatino Linotype"/>
          <w:b/>
          <w:bCs/>
          <w:i/>
          <w:iCs/>
        </w:rPr>
      </w:pPr>
      <w:r w:rsidRPr="00F2253C">
        <w:rPr>
          <w:rFonts w:ascii="Palatino Linotype" w:eastAsia="Palatino Linotype" w:hAnsi="Palatino Linotype" w:cs="Palatino Linotype"/>
          <w:b/>
          <w:bCs/>
          <w:i/>
          <w:iCs/>
        </w:rPr>
        <w:t>Constitución Política del Estado Libre y Soberano de México</w:t>
      </w:r>
    </w:p>
    <w:p w:rsidR="003A1C1B" w:rsidRPr="00F2253C" w:rsidRDefault="003A1C1B" w:rsidP="003A1C1B">
      <w:pPr>
        <w:ind w:left="1134" w:right="1389"/>
        <w:jc w:val="both"/>
        <w:rPr>
          <w:rFonts w:ascii="Palatino Linotype" w:eastAsia="Palatino Linotype" w:hAnsi="Palatino Linotype" w:cs="Palatino Linotype"/>
          <w:i/>
          <w:iCs/>
        </w:rPr>
      </w:pPr>
      <w:r w:rsidRPr="00F2253C">
        <w:rPr>
          <w:rFonts w:ascii="Palatino Linotype" w:eastAsia="Palatino Linotype" w:hAnsi="Palatino Linotype" w:cs="Palatino Linotype"/>
          <w:b/>
          <w:bCs/>
          <w:i/>
          <w:iCs/>
        </w:rPr>
        <w:t>“Artículo 5</w:t>
      </w:r>
      <w:r w:rsidRPr="00F2253C">
        <w:rPr>
          <w:rFonts w:ascii="Palatino Linotype" w:eastAsia="Palatino Linotype" w:hAnsi="Palatino Linotype" w:cs="Palatino Linotype"/>
          <w:i/>
          <w:iCs/>
        </w:rPr>
        <w:t>.-…</w:t>
      </w:r>
    </w:p>
    <w:p w:rsidR="003A1C1B" w:rsidRPr="00F2253C" w:rsidRDefault="003A1C1B" w:rsidP="003A1C1B">
      <w:pPr>
        <w:ind w:left="1134" w:right="1389"/>
        <w:jc w:val="both"/>
        <w:rPr>
          <w:rFonts w:ascii="Palatino Linotype" w:eastAsia="Palatino Linotype" w:hAnsi="Palatino Linotype" w:cs="Palatino Linotype"/>
          <w:i/>
          <w:iCs/>
        </w:rPr>
      </w:pPr>
      <w:r w:rsidRPr="00F2253C">
        <w:rPr>
          <w:rFonts w:ascii="Palatino Linotype" w:eastAsia="Palatino Linotype" w:hAnsi="Palatino Linotype" w:cs="Palatino Linotype"/>
          <w:i/>
          <w:iCs/>
        </w:rPr>
        <w:t>…</w:t>
      </w:r>
    </w:p>
    <w:p w:rsidR="003A1C1B" w:rsidRPr="00F2253C" w:rsidRDefault="003A1C1B" w:rsidP="003A1C1B">
      <w:pPr>
        <w:ind w:left="1134" w:right="1389"/>
        <w:jc w:val="both"/>
        <w:rPr>
          <w:rFonts w:ascii="Palatino Linotype" w:eastAsia="Palatino Linotype" w:hAnsi="Palatino Linotype" w:cs="Palatino Linotype"/>
          <w:i/>
          <w:iCs/>
        </w:rPr>
      </w:pPr>
      <w:r w:rsidRPr="00F2253C">
        <w:rPr>
          <w:rFonts w:ascii="Palatino Linotype" w:eastAsia="Palatino Linotype" w:hAnsi="Palatino Linotype" w:cs="Palatino Linotype"/>
          <w:b/>
          <w:bCs/>
          <w:i/>
          <w:iCs/>
        </w:rPr>
        <w:t>El derecho a la información será garantizado por el Estado. La ley establecerá las previsiones que permitan asegurar la protección, el respeto y la difusión de este derecho</w:t>
      </w:r>
      <w:r w:rsidRPr="00F2253C">
        <w:rPr>
          <w:rFonts w:ascii="Palatino Linotype" w:eastAsia="Palatino Linotype" w:hAnsi="Palatino Linotype" w:cs="Palatino Linotype"/>
          <w:i/>
          <w:iCs/>
        </w:rPr>
        <w:t>.</w:t>
      </w:r>
    </w:p>
    <w:p w:rsidR="003A1C1B" w:rsidRPr="00F2253C" w:rsidRDefault="003A1C1B" w:rsidP="003A1C1B">
      <w:pPr>
        <w:ind w:left="1134" w:right="1389"/>
        <w:jc w:val="both"/>
        <w:rPr>
          <w:rFonts w:ascii="Palatino Linotype" w:eastAsia="Palatino Linotype" w:hAnsi="Palatino Linotype" w:cs="Palatino Linotype"/>
          <w:i/>
          <w:iCs/>
        </w:rPr>
      </w:pPr>
      <w:r w:rsidRPr="00F2253C">
        <w:rPr>
          <w:rFonts w:ascii="Palatino Linotype" w:eastAsia="Palatino Linotype" w:hAnsi="Palatino Linotype" w:cs="Palatino Linotype"/>
          <w:i/>
          <w:iC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3A1C1B" w:rsidRPr="00F2253C" w:rsidRDefault="003A1C1B" w:rsidP="003A1C1B">
      <w:pPr>
        <w:ind w:left="1134" w:right="1389"/>
        <w:jc w:val="both"/>
        <w:rPr>
          <w:rFonts w:ascii="Palatino Linotype" w:eastAsia="Palatino Linotype" w:hAnsi="Palatino Linotype" w:cs="Palatino Linotype"/>
          <w:i/>
          <w:iCs/>
        </w:rPr>
      </w:pPr>
    </w:p>
    <w:p w:rsidR="003A1C1B" w:rsidRPr="00F2253C" w:rsidRDefault="003A1C1B" w:rsidP="003A1C1B">
      <w:pPr>
        <w:ind w:left="1134" w:right="1389"/>
        <w:jc w:val="both"/>
        <w:rPr>
          <w:rFonts w:ascii="Palatino Linotype" w:eastAsia="Palatino Linotype" w:hAnsi="Palatino Linotype" w:cs="Palatino Linotype"/>
          <w:i/>
          <w:iCs/>
        </w:rPr>
      </w:pPr>
      <w:r w:rsidRPr="00F2253C">
        <w:rPr>
          <w:rFonts w:ascii="Palatino Linotype" w:eastAsia="Palatino Linotype" w:hAnsi="Palatino Linotype" w:cs="Palatino Linotype"/>
          <w:b/>
          <w:bCs/>
          <w:i/>
          <w:iCs/>
        </w:rPr>
        <w:t>Este derecho se regirá por los principios y bases siguientes</w:t>
      </w:r>
      <w:r w:rsidRPr="00F2253C">
        <w:rPr>
          <w:rFonts w:ascii="Palatino Linotype" w:eastAsia="Palatino Linotype" w:hAnsi="Palatino Linotype" w:cs="Palatino Linotype"/>
          <w:i/>
          <w:iCs/>
        </w:rPr>
        <w:t>:</w:t>
      </w:r>
    </w:p>
    <w:p w:rsidR="003A1C1B" w:rsidRPr="00F2253C" w:rsidRDefault="003A1C1B" w:rsidP="003A1C1B">
      <w:pPr>
        <w:ind w:left="1134" w:right="1389"/>
        <w:jc w:val="both"/>
        <w:rPr>
          <w:rFonts w:ascii="Palatino Linotype" w:eastAsia="Palatino Linotype" w:hAnsi="Palatino Linotype" w:cs="Palatino Linotype"/>
          <w:b/>
          <w:bCs/>
        </w:rPr>
      </w:pPr>
      <w:r w:rsidRPr="00F2253C">
        <w:rPr>
          <w:rFonts w:ascii="Palatino Linotype" w:eastAsia="Palatino Linotype" w:hAnsi="Palatino Linotype" w:cs="Palatino Linotype"/>
          <w:b/>
          <w:bCs/>
          <w:i/>
          <w:iCs/>
        </w:rPr>
        <w:t>Toda la información en posesión de cualquier autoridad, entidad, órgano y organismos de los</w:t>
      </w:r>
      <w:r w:rsidRPr="00F2253C">
        <w:rPr>
          <w:rFonts w:ascii="Palatino Linotype" w:eastAsia="Palatino Linotype" w:hAnsi="Palatino Linotype" w:cs="Palatino Linotype"/>
          <w:i/>
          <w:iCs/>
        </w:rPr>
        <w:t xml:space="preserve"> Poderes Ejecutivo, Legislativo y Judicial, órganos autónomos, partidos políticos, fideicomisos y fondos públicos </w:t>
      </w:r>
      <w:r w:rsidRPr="00F2253C">
        <w:rPr>
          <w:rFonts w:ascii="Palatino Linotype" w:eastAsia="Palatino Linotype" w:hAnsi="Palatino Linotype" w:cs="Palatino Linotype"/>
          <w:i/>
          <w:iCs/>
        </w:rPr>
        <w:lastRenderedPageBreak/>
        <w:t xml:space="preserve">estatales y </w:t>
      </w:r>
      <w:r w:rsidRPr="00F2253C">
        <w:rPr>
          <w:rFonts w:ascii="Palatino Linotype" w:eastAsia="Palatino Linotype" w:hAnsi="Palatino Linotype" w:cs="Palatino Linotype"/>
          <w:b/>
          <w:bCs/>
          <w:i/>
          <w:iCs/>
        </w:rPr>
        <w:t>municipales</w:t>
      </w:r>
      <w:r w:rsidRPr="00F2253C">
        <w:rPr>
          <w:rFonts w:ascii="Palatino Linotype" w:eastAsia="Palatino Linotype" w:hAnsi="Palatino Linotype" w:cs="Palatino Linotype"/>
          <w:i/>
          <w:iC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F2253C">
        <w:rPr>
          <w:rFonts w:ascii="Palatino Linotype" w:eastAsia="Palatino Linotype" w:hAnsi="Palatino Linotype" w:cs="Palatino Linotype"/>
          <w:b/>
          <w:bCs/>
          <w:i/>
          <w:iCs/>
        </w:rPr>
        <w:t>es pública</w:t>
      </w:r>
      <w:r w:rsidRPr="00F2253C">
        <w:rPr>
          <w:rFonts w:ascii="Palatino Linotype" w:eastAsia="Palatino Linotype" w:hAnsi="Palatino Linotype" w:cs="Palatino Linotype"/>
          <w:i/>
          <w:iCs/>
        </w:rPr>
        <w:t xml:space="preserve"> y sólo podrá ser reservada temporalmente por razones previstas en la Constitución Política de los Estados Unidos Mexicanos de interés público y seguridad, en los términos que fijen las leyes. </w:t>
      </w:r>
      <w:r w:rsidRPr="00F2253C">
        <w:rPr>
          <w:rFonts w:ascii="Palatino Linotype" w:eastAsia="Palatino Linotype" w:hAnsi="Palatino Linotype" w:cs="Palatino Linotype"/>
          <w:b/>
          <w:bCs/>
          <w:i/>
          <w:iCs/>
        </w:rPr>
        <w:t>En la interpretación de este derecho deberá prevalecer el principio de máxima publicidad</w:t>
      </w:r>
      <w:r w:rsidRPr="00F2253C">
        <w:rPr>
          <w:rFonts w:ascii="Palatino Linotype" w:eastAsia="Palatino Linotype" w:hAnsi="Palatino Linotype" w:cs="Palatino Linotype"/>
          <w:i/>
          <w:iCs/>
        </w:rPr>
        <w:t xml:space="preserve">. </w:t>
      </w:r>
      <w:r w:rsidRPr="00F2253C">
        <w:rPr>
          <w:rFonts w:ascii="Palatino Linotype" w:eastAsia="Palatino Linotype" w:hAnsi="Palatino Linotype" w:cs="Palatino Linotype"/>
          <w:b/>
          <w:bCs/>
          <w:i/>
          <w:iCs/>
        </w:rPr>
        <w:t>Los sujetos obligados deberán documentar todo acto que derive del ejercicio de sus facultades, competencias o funciones</w:t>
      </w:r>
      <w:r w:rsidRPr="00F2253C">
        <w:rPr>
          <w:rFonts w:ascii="Palatino Linotype" w:eastAsia="Palatino Linotype" w:hAnsi="Palatino Linotype" w:cs="Palatino Linotype"/>
          <w:i/>
          <w:iCs/>
        </w:rPr>
        <w:t>, la ley determinará los supuestos específicos bajo los cuales procederá la declaración de inexistencia de la información.”</w:t>
      </w:r>
    </w:p>
    <w:p w:rsidR="003A1C1B" w:rsidRPr="00F2253C" w:rsidRDefault="003A1C1B" w:rsidP="003A1C1B">
      <w:pPr>
        <w:ind w:left="1134" w:right="1389"/>
        <w:rPr>
          <w:rFonts w:ascii="Palatino Linotype" w:eastAsia="Palatino Linotype" w:hAnsi="Palatino Linotype" w:cs="Palatino Linotype"/>
          <w:b/>
          <w:bCs/>
        </w:rPr>
      </w:pPr>
    </w:p>
    <w:p w:rsidR="003A1C1B" w:rsidRPr="00F2253C" w:rsidRDefault="003A1C1B" w:rsidP="003A1C1B">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b/>
          <w:bCs/>
        </w:rPr>
      </w:pPr>
      <w:r w:rsidRPr="00F2253C">
        <w:rPr>
          <w:rFonts w:ascii="Palatino Linotype" w:eastAsia="Palatino Linotype" w:hAnsi="Palatino Linotype" w:cs="Palatino Linotype"/>
          <w:color w:val="000000"/>
        </w:rPr>
        <w:t xml:space="preserve">Según </w:t>
      </w:r>
      <w:r w:rsidRPr="00F2253C">
        <w:rPr>
          <w:rFonts w:ascii="Palatino Linotype" w:eastAsia="Palatino Linotype" w:hAnsi="Palatino Linotype" w:cs="Palatino Linotype"/>
        </w:rPr>
        <w:t xml:space="preserve">el artículo 150 de la Ley de Transparencia del Estado, la solicitud es la garantía primaria del </w:t>
      </w:r>
      <w:r w:rsidRPr="00F2253C">
        <w:rPr>
          <w:rFonts w:ascii="Palatino Linotype" w:hAnsi="Palatino Linotype"/>
        </w:rPr>
        <w:t>Derecho</w:t>
      </w:r>
      <w:r w:rsidRPr="00F2253C">
        <w:rPr>
          <w:rFonts w:ascii="Palatino Linotype" w:eastAsia="Palatino Linotype" w:hAnsi="Palatino Linotype" w:cs="Palatino Linotype"/>
        </w:rPr>
        <w:t xml:space="preserve"> de Acceso a la Información, además, establece que se regirá </w:t>
      </w:r>
      <w:r w:rsidRPr="00F2253C">
        <w:rPr>
          <w:rFonts w:ascii="Palatino Linotype" w:eastAsia="Palatino Linotype" w:hAnsi="Palatino Linotype" w:cs="Palatino Linotype"/>
          <w:i/>
          <w:iCs/>
        </w:rPr>
        <w:t>por los principios de simplicidad, rapidez gratuidad del procedimiento, auxilio y orientación a los particulares</w:t>
      </w:r>
      <w:r w:rsidRPr="00F2253C">
        <w:rPr>
          <w:rFonts w:ascii="Palatino Linotype" w:eastAsia="Palatino Linotype" w:hAnsi="Palatino Linotype" w:cs="Palatino Linotype"/>
        </w:rPr>
        <w:t>, contemplando el derecho de las personas con discapacidad y hablantes de lengua indígena.</w:t>
      </w:r>
    </w:p>
    <w:p w:rsidR="003A1C1B" w:rsidRPr="00F2253C" w:rsidRDefault="003A1C1B" w:rsidP="003A1C1B">
      <w:pPr>
        <w:ind w:right="-592"/>
        <w:jc w:val="both"/>
        <w:rPr>
          <w:rFonts w:ascii="Palatino Linotype" w:eastAsia="Palatino Linotype" w:hAnsi="Palatino Linotype" w:cs="Palatino Linotype"/>
          <w:b/>
          <w:bCs/>
        </w:rPr>
      </w:pPr>
    </w:p>
    <w:p w:rsidR="003A1C1B" w:rsidRPr="00F2253C" w:rsidRDefault="003A1C1B" w:rsidP="003A1C1B">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b/>
          <w:bCs/>
        </w:rPr>
      </w:pPr>
      <w:r w:rsidRPr="00F2253C">
        <w:rPr>
          <w:rFonts w:ascii="Palatino Linotype" w:hAnsi="Palatino Linotype"/>
        </w:rPr>
        <w:t>El</w:t>
      </w:r>
      <w:r w:rsidRPr="00F2253C">
        <w:rPr>
          <w:rFonts w:ascii="Palatino Linotype" w:eastAsia="Palatino Linotype" w:hAnsi="Palatino Linotype" w:cs="Palatino Linotype"/>
          <w:color w:val="000000"/>
        </w:rPr>
        <w:t xml:space="preserve"> </w:t>
      </w:r>
      <w:r w:rsidRPr="00F2253C">
        <w:rPr>
          <w:rFonts w:ascii="Palatino Linotype" w:eastAsia="Palatino Linotype" w:hAnsi="Palatino Linotype" w:cs="Palatino Linotype"/>
        </w:rPr>
        <w:t xml:space="preserve">Derecho de Acceso a la Información se garantiza y respeta oportunamente, y según lo que dispone la Ley, las </w:t>
      </w:r>
      <w:r w:rsidRPr="00F2253C">
        <w:rPr>
          <w:rFonts w:ascii="Palatino Linotype" w:eastAsia="Palatino Linotype" w:hAnsi="Palatino Linotype" w:cs="Palatino Linotype"/>
          <w:i/>
          <w:iCs/>
        </w:rPr>
        <w:t>solicitudes de acceso a la información</w:t>
      </w:r>
      <w:r w:rsidRPr="00F2253C">
        <w:rPr>
          <w:rFonts w:ascii="Palatino Linotype" w:eastAsia="Palatino Linotype" w:hAnsi="Palatino Linotype" w:cs="Palatino Linotype"/>
        </w:rPr>
        <w:t>.</w:t>
      </w:r>
    </w:p>
    <w:p w:rsidR="003A1C1B" w:rsidRPr="00F2253C" w:rsidRDefault="003A1C1B" w:rsidP="003A1C1B">
      <w:pPr>
        <w:ind w:right="1"/>
        <w:jc w:val="both"/>
        <w:rPr>
          <w:rFonts w:ascii="Palatino Linotype" w:eastAsia="Palatino Linotype" w:hAnsi="Palatino Linotype" w:cs="Palatino Linotype"/>
          <w:b/>
          <w:bCs/>
        </w:rPr>
      </w:pPr>
    </w:p>
    <w:p w:rsidR="003A1C1B" w:rsidRPr="00F2253C" w:rsidRDefault="003A1C1B" w:rsidP="003A1C1B">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b/>
          <w:bCs/>
        </w:rPr>
      </w:pPr>
      <w:r w:rsidRPr="00F2253C">
        <w:rPr>
          <w:rFonts w:ascii="Palatino Linotype" w:eastAsia="Palatino Linotype" w:hAnsi="Palatino Linotype" w:cs="Palatino Linotype"/>
          <w:color w:val="000000"/>
        </w:rPr>
        <w:t xml:space="preserve">Así </w:t>
      </w:r>
      <w:r w:rsidRPr="00F2253C">
        <w:rPr>
          <w:rFonts w:ascii="Palatino Linotype" w:eastAsia="Palatino Linotype" w:hAnsi="Palatino Linotype" w:cs="Palatino Linotype"/>
        </w:rPr>
        <w:t xml:space="preserve">entonces, se procede analizar, en primer lugar, si el </w:t>
      </w:r>
      <w:r w:rsidRPr="00F2253C">
        <w:rPr>
          <w:rFonts w:ascii="Palatino Linotype" w:eastAsia="Palatino Linotype" w:hAnsi="Palatino Linotype" w:cs="Palatino Linotype"/>
          <w:b/>
          <w:bCs/>
        </w:rPr>
        <w:t>SUJETO OBLIGADO</w:t>
      </w:r>
      <w:r w:rsidRPr="00F2253C">
        <w:rPr>
          <w:rFonts w:ascii="Palatino Linotype" w:eastAsia="Palatino Linotype" w:hAnsi="Palatino Linotype" w:cs="Palatino Linotype"/>
        </w:rPr>
        <w:t xml:space="preserve"> al atender la solicitud de acceso a la información, satisfizo la garantía primaria del derecho según lo dispuesto por el </w:t>
      </w:r>
      <w:r w:rsidRPr="00F2253C">
        <w:rPr>
          <w:rFonts w:ascii="Palatino Linotype" w:hAnsi="Palatino Linotype"/>
        </w:rPr>
        <w:t>artículo</w:t>
      </w:r>
      <w:r w:rsidRPr="00F2253C">
        <w:rPr>
          <w:rFonts w:ascii="Palatino Linotype" w:eastAsia="Palatino Linotype" w:hAnsi="Palatino Linotype" w:cs="Palatino Linotype"/>
        </w:rPr>
        <w:t xml:space="preserve"> 150 de la Ley de Transparencia y Acceso a la Información Pública del Estado de México y Municipios y en segundo término si cumplió con su deber de respetar y garantizar el derecho, entregando la información solicitada.</w:t>
      </w:r>
    </w:p>
    <w:p w:rsidR="003A1C1B" w:rsidRPr="00F2253C" w:rsidRDefault="003A1C1B" w:rsidP="003A1C1B">
      <w:pPr>
        <w:rPr>
          <w:rFonts w:ascii="Palatino Linotype" w:eastAsia="Palatino Linotype" w:hAnsi="Palatino Linotype" w:cs="Palatino Linotype"/>
          <w:b/>
          <w:bCs/>
        </w:rPr>
      </w:pPr>
    </w:p>
    <w:p w:rsidR="003A1C1B" w:rsidRPr="00F2253C" w:rsidRDefault="003A1C1B" w:rsidP="003A1C1B">
      <w:pPr>
        <w:keepNext/>
        <w:keepLines/>
        <w:numPr>
          <w:ilvl w:val="1"/>
          <w:numId w:val="7"/>
        </w:numPr>
        <w:spacing w:line="360" w:lineRule="auto"/>
        <w:ind w:left="567" w:right="-592"/>
        <w:jc w:val="both"/>
        <w:rPr>
          <w:rFonts w:ascii="Palatino Linotype" w:eastAsia="Palatino Linotype" w:hAnsi="Palatino Linotype" w:cs="Palatino Linotype"/>
          <w:b/>
          <w:bCs/>
        </w:rPr>
      </w:pPr>
      <w:r w:rsidRPr="00F2253C">
        <w:rPr>
          <w:rFonts w:ascii="Palatino Linotype" w:eastAsia="Palatino Linotype" w:hAnsi="Palatino Linotype" w:cs="Palatino Linotype"/>
          <w:b/>
          <w:bCs/>
        </w:rPr>
        <w:lastRenderedPageBreak/>
        <w:t>De la información solicitada y la respuesta del SUJETO OBLIGADO.</w:t>
      </w:r>
    </w:p>
    <w:p w:rsidR="003A1C1B" w:rsidRPr="00F2253C" w:rsidRDefault="003A1C1B" w:rsidP="003A1C1B">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b/>
          <w:bCs/>
        </w:rPr>
      </w:pPr>
      <w:r w:rsidRPr="00F2253C">
        <w:rPr>
          <w:rFonts w:ascii="Palatino Linotype" w:eastAsia="Palatino Linotype" w:hAnsi="Palatino Linotype" w:cs="Palatino Linotype"/>
        </w:rPr>
        <w:t xml:space="preserve">Derivado del Planteamiento de la Litis, se procede a analizar el contenido íntegro de las </w:t>
      </w:r>
      <w:r w:rsidRPr="00F2253C">
        <w:rPr>
          <w:rFonts w:ascii="Palatino Linotype" w:hAnsi="Palatino Linotype"/>
        </w:rPr>
        <w:t>actuaciones</w:t>
      </w:r>
      <w:r w:rsidRPr="00F2253C">
        <w:rPr>
          <w:rFonts w:ascii="Palatino Linotype" w:eastAsia="Palatino Linotype" w:hAnsi="Palatino Linotype" w:cs="Palatino Linotype"/>
        </w:rPr>
        <w:t xml:space="preserve">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rsidR="003A1C1B" w:rsidRPr="00F2253C" w:rsidRDefault="003A1C1B" w:rsidP="003A1C1B">
      <w:pPr>
        <w:spacing w:line="360" w:lineRule="auto"/>
        <w:ind w:right="1"/>
        <w:jc w:val="both"/>
        <w:rPr>
          <w:rFonts w:ascii="Palatino Linotype" w:eastAsia="Palatino Linotype" w:hAnsi="Palatino Linotype" w:cs="Palatino Linotype"/>
          <w:b/>
          <w:bCs/>
        </w:rPr>
      </w:pPr>
    </w:p>
    <w:p w:rsidR="003A1C1B" w:rsidRPr="00F2253C" w:rsidRDefault="003A1C1B" w:rsidP="003A1C1B">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b/>
          <w:bCs/>
        </w:rPr>
      </w:pPr>
      <w:r w:rsidRPr="00F2253C">
        <w:rPr>
          <w:rFonts w:ascii="Palatino Linotype" w:eastAsia="Palatino Linotype" w:hAnsi="Palatino Linotype" w:cs="Palatino Linotype"/>
        </w:rPr>
        <w:t xml:space="preserve">Así, resulta conveniente reiterar la información solicitada por la parte </w:t>
      </w:r>
      <w:r w:rsidRPr="00F2253C">
        <w:rPr>
          <w:rFonts w:ascii="Palatino Linotype" w:eastAsia="Palatino Linotype" w:hAnsi="Palatino Linotype" w:cs="Palatino Linotype"/>
          <w:b/>
          <w:bCs/>
        </w:rPr>
        <w:t>RECURRENTE</w:t>
      </w:r>
      <w:r w:rsidRPr="00F2253C">
        <w:rPr>
          <w:rFonts w:ascii="Palatino Linotype" w:eastAsia="Palatino Linotype" w:hAnsi="Palatino Linotype" w:cs="Palatino Linotype"/>
        </w:rPr>
        <w:t xml:space="preserve">, así como la respuesta emitida por el </w:t>
      </w:r>
      <w:r w:rsidRPr="00F2253C">
        <w:rPr>
          <w:rFonts w:ascii="Palatino Linotype" w:eastAsia="Palatino Linotype" w:hAnsi="Palatino Linotype" w:cs="Palatino Linotype"/>
          <w:b/>
          <w:bCs/>
        </w:rPr>
        <w:t>SUJETO OBLIGADO</w:t>
      </w:r>
      <w:r w:rsidRPr="00F2253C">
        <w:rPr>
          <w:rFonts w:ascii="Palatino Linotype" w:eastAsia="Palatino Linotype" w:hAnsi="Palatino Linotype" w:cs="Palatino Linotype"/>
        </w:rPr>
        <w:t>, mediante el siguiente cuadro descriptivo:</w:t>
      </w:r>
    </w:p>
    <w:p w:rsidR="003A1C1B" w:rsidRPr="00F2253C" w:rsidRDefault="003A1C1B" w:rsidP="003A1C1B">
      <w:pPr>
        <w:spacing w:line="360" w:lineRule="auto"/>
        <w:ind w:right="1"/>
        <w:jc w:val="both"/>
        <w:rPr>
          <w:rFonts w:ascii="Palatino Linotype" w:eastAsia="Palatino Linotype" w:hAnsi="Palatino Linotype" w:cs="Palatino Linotype"/>
          <w:b/>
          <w:bCs/>
        </w:rPr>
      </w:pPr>
    </w:p>
    <w:tbl>
      <w:tblPr>
        <w:tblW w:w="97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2547"/>
        <w:gridCol w:w="2693"/>
        <w:gridCol w:w="2268"/>
      </w:tblGrid>
      <w:tr w:rsidR="003A1C1B" w:rsidRPr="00F2253C" w:rsidTr="00F2253C">
        <w:trPr>
          <w:jc w:val="center"/>
        </w:trPr>
        <w:tc>
          <w:tcPr>
            <w:tcW w:w="2263" w:type="dxa"/>
            <w:shd w:val="clear" w:color="auto" w:fill="D9D9D9"/>
          </w:tcPr>
          <w:p w:rsidR="003A1C1B" w:rsidRPr="00F2253C" w:rsidRDefault="003A1C1B" w:rsidP="00D977E8">
            <w:pPr>
              <w:ind w:right="1"/>
              <w:jc w:val="center"/>
              <w:rPr>
                <w:rFonts w:ascii="Palatino Linotype" w:eastAsia="Palatino Linotype" w:hAnsi="Palatino Linotype" w:cs="Palatino Linotype"/>
                <w:b/>
                <w:bCs/>
                <w:i/>
                <w:iCs/>
              </w:rPr>
            </w:pPr>
            <w:bookmarkStart w:id="19" w:name="_heading=h.f5zy0bz8lzgs" w:colFirst="0" w:colLast="0"/>
            <w:bookmarkEnd w:id="19"/>
            <w:r w:rsidRPr="00F2253C">
              <w:rPr>
                <w:rFonts w:ascii="Palatino Linotype" w:eastAsia="Palatino Linotype" w:hAnsi="Palatino Linotype" w:cs="Palatino Linotype"/>
                <w:b/>
                <w:bCs/>
                <w:i/>
                <w:iCs/>
              </w:rPr>
              <w:t>Información Solicitada</w:t>
            </w:r>
          </w:p>
        </w:tc>
        <w:tc>
          <w:tcPr>
            <w:tcW w:w="2547" w:type="dxa"/>
            <w:shd w:val="clear" w:color="auto" w:fill="D9D9D9"/>
          </w:tcPr>
          <w:p w:rsidR="003A1C1B" w:rsidRPr="00F2253C" w:rsidRDefault="003A1C1B" w:rsidP="00D977E8">
            <w:pPr>
              <w:ind w:right="1"/>
              <w:jc w:val="center"/>
              <w:rPr>
                <w:rFonts w:ascii="Palatino Linotype" w:eastAsia="Palatino Linotype" w:hAnsi="Palatino Linotype" w:cs="Palatino Linotype"/>
                <w:b/>
                <w:bCs/>
                <w:i/>
                <w:iCs/>
              </w:rPr>
            </w:pPr>
            <w:r w:rsidRPr="00F2253C">
              <w:rPr>
                <w:rFonts w:ascii="Palatino Linotype" w:eastAsia="Palatino Linotype" w:hAnsi="Palatino Linotype" w:cs="Palatino Linotype"/>
                <w:b/>
                <w:bCs/>
                <w:i/>
                <w:iCs/>
              </w:rPr>
              <w:t>Respuesta</w:t>
            </w:r>
          </w:p>
        </w:tc>
        <w:tc>
          <w:tcPr>
            <w:tcW w:w="2693" w:type="dxa"/>
            <w:shd w:val="clear" w:color="auto" w:fill="D9D9D9"/>
          </w:tcPr>
          <w:p w:rsidR="003A1C1B" w:rsidRPr="00F2253C" w:rsidRDefault="003A1C1B" w:rsidP="00D977E8">
            <w:pPr>
              <w:ind w:right="1"/>
              <w:jc w:val="center"/>
              <w:rPr>
                <w:rFonts w:ascii="Palatino Linotype" w:eastAsia="Palatino Linotype" w:hAnsi="Palatino Linotype" w:cs="Palatino Linotype"/>
                <w:b/>
                <w:bCs/>
                <w:i/>
                <w:iCs/>
              </w:rPr>
            </w:pPr>
            <w:r w:rsidRPr="00F2253C">
              <w:rPr>
                <w:rFonts w:ascii="Palatino Linotype" w:eastAsia="Palatino Linotype" w:hAnsi="Palatino Linotype" w:cs="Palatino Linotype"/>
                <w:b/>
                <w:bCs/>
                <w:i/>
                <w:iCs/>
              </w:rPr>
              <w:t xml:space="preserve">Manifestaciones </w:t>
            </w:r>
          </w:p>
        </w:tc>
        <w:tc>
          <w:tcPr>
            <w:tcW w:w="2268" w:type="dxa"/>
            <w:shd w:val="clear" w:color="auto" w:fill="D9D9D9"/>
          </w:tcPr>
          <w:p w:rsidR="003A1C1B" w:rsidRPr="00F2253C" w:rsidRDefault="003A1C1B" w:rsidP="00D977E8">
            <w:pPr>
              <w:ind w:right="1"/>
              <w:jc w:val="center"/>
              <w:rPr>
                <w:rFonts w:ascii="Palatino Linotype" w:eastAsia="Palatino Linotype" w:hAnsi="Palatino Linotype" w:cs="Palatino Linotype"/>
                <w:b/>
                <w:bCs/>
                <w:i/>
                <w:iCs/>
              </w:rPr>
            </w:pPr>
            <w:r w:rsidRPr="00F2253C">
              <w:rPr>
                <w:rFonts w:ascii="Palatino Linotype" w:eastAsia="Palatino Linotype" w:hAnsi="Palatino Linotype" w:cs="Palatino Linotype"/>
                <w:b/>
                <w:bCs/>
                <w:i/>
                <w:iCs/>
              </w:rPr>
              <w:t xml:space="preserve">Colma </w:t>
            </w:r>
          </w:p>
        </w:tc>
      </w:tr>
      <w:tr w:rsidR="003A1C1B" w:rsidRPr="00F2253C" w:rsidTr="00F2253C">
        <w:trPr>
          <w:trHeight w:val="1928"/>
          <w:jc w:val="center"/>
        </w:trPr>
        <w:tc>
          <w:tcPr>
            <w:tcW w:w="2263" w:type="dxa"/>
          </w:tcPr>
          <w:p w:rsidR="003A1C1B" w:rsidRPr="00F2253C" w:rsidRDefault="003A1C1B" w:rsidP="003A1C1B">
            <w:pPr>
              <w:ind w:right="1"/>
              <w:jc w:val="both"/>
              <w:rPr>
                <w:rFonts w:ascii="Palatino Linotype" w:eastAsia="Palatino Linotype" w:hAnsi="Palatino Linotype" w:cs="Palatino Linotype"/>
                <w:b/>
                <w:i/>
                <w:iCs/>
                <w:lang w:val="es-MX"/>
              </w:rPr>
            </w:pPr>
            <w:r w:rsidRPr="00F2253C">
              <w:rPr>
                <w:rFonts w:ascii="Palatino Linotype" w:eastAsia="Palatino Linotype" w:hAnsi="Palatino Linotype" w:cs="Palatino Linotype"/>
                <w:b/>
                <w:i/>
                <w:iCs/>
                <w:lang w:val="es-MX"/>
              </w:rPr>
              <w:t xml:space="preserve">1.- </w:t>
            </w:r>
            <w:r w:rsidR="003D7F58" w:rsidRPr="00F2253C">
              <w:rPr>
                <w:rFonts w:ascii="Palatino Linotype" w:eastAsia="Palatino Linotype" w:hAnsi="Palatino Linotype" w:cs="Palatino Linotype"/>
                <w:b/>
                <w:i/>
                <w:iCs/>
                <w:lang w:val="es-MX"/>
              </w:rPr>
              <w:t>Temporalidad del dictamen único de factibilidad para la dotación de servicio de agua para fraccion</w:t>
            </w:r>
            <w:r w:rsidRPr="00F2253C">
              <w:rPr>
                <w:rFonts w:ascii="Palatino Linotype" w:eastAsia="Palatino Linotype" w:hAnsi="Palatino Linotype" w:cs="Palatino Linotype"/>
                <w:b/>
                <w:i/>
                <w:iCs/>
                <w:lang w:val="es-MX"/>
              </w:rPr>
              <w:t>amientos de nueva construcción</w:t>
            </w:r>
          </w:p>
          <w:p w:rsidR="003D7F58" w:rsidRPr="00F2253C" w:rsidRDefault="003D7F58" w:rsidP="003A1C1B">
            <w:pPr>
              <w:ind w:right="1"/>
              <w:jc w:val="both"/>
              <w:rPr>
                <w:rFonts w:ascii="Palatino Linotype" w:eastAsia="Palatino Linotype" w:hAnsi="Palatino Linotype" w:cs="Palatino Linotype"/>
                <w:b/>
                <w:i/>
                <w:iCs/>
                <w:lang w:val="es-MX"/>
              </w:rPr>
            </w:pPr>
          </w:p>
          <w:p w:rsidR="003A1C1B" w:rsidRPr="00F2253C" w:rsidRDefault="003A1C1B" w:rsidP="003A1C1B">
            <w:pPr>
              <w:ind w:right="1"/>
              <w:jc w:val="both"/>
              <w:rPr>
                <w:rFonts w:ascii="Palatino Linotype" w:eastAsia="Palatino Linotype" w:hAnsi="Palatino Linotype" w:cs="Palatino Linotype"/>
                <w:i/>
                <w:iCs/>
              </w:rPr>
            </w:pPr>
          </w:p>
        </w:tc>
        <w:tc>
          <w:tcPr>
            <w:tcW w:w="2547" w:type="dxa"/>
          </w:tcPr>
          <w:p w:rsidR="003A1C1B" w:rsidRPr="00F2253C" w:rsidRDefault="003A1C1B" w:rsidP="003A1C1B">
            <w:pPr>
              <w:pBdr>
                <w:top w:val="nil"/>
                <w:left w:val="nil"/>
                <w:bottom w:val="nil"/>
                <w:right w:val="nil"/>
                <w:between w:val="nil"/>
              </w:pBdr>
              <w:ind w:left="30" w:right="41"/>
              <w:jc w:val="both"/>
              <w:rPr>
                <w:rFonts w:ascii="Palatino Linotype" w:eastAsia="Palatino Linotype" w:hAnsi="Palatino Linotype" w:cs="Palatino Linotype"/>
                <w:i/>
                <w:color w:val="000000"/>
                <w:lang w:val="es-MX"/>
              </w:rPr>
            </w:pPr>
            <w:r w:rsidRPr="00F2253C">
              <w:rPr>
                <w:rFonts w:ascii="Palatino Linotype" w:eastAsia="Palatino Linotype" w:hAnsi="Palatino Linotype" w:cs="Palatino Linotype"/>
                <w:b/>
                <w:i/>
                <w:color w:val="000000"/>
                <w:lang w:val="es-MX"/>
              </w:rPr>
              <w:t xml:space="preserve">SOL000152025.pdf: </w:t>
            </w:r>
            <w:r w:rsidRPr="00F2253C">
              <w:rPr>
                <w:rFonts w:ascii="Palatino Linotype" w:eastAsia="Palatino Linotype" w:hAnsi="Palatino Linotype" w:cs="Palatino Linotype"/>
                <w:i/>
                <w:color w:val="000000"/>
                <w:lang w:val="es-MX"/>
              </w:rPr>
              <w:t xml:space="preserve">oficio mediante el cual se informa que la Subdirección de Recaudación y Factibilidades, remite el link </w:t>
            </w:r>
            <w:hyperlink r:id="rId8" w:anchor="/info-fraccion//288/5" w:history="1">
              <w:r w:rsidRPr="00F2253C">
                <w:rPr>
                  <w:rStyle w:val="Hipervnculo"/>
                  <w:rFonts w:ascii="Palatino Linotype" w:eastAsia="Palatino Linotype" w:hAnsi="Palatino Linotype" w:cs="Palatino Linotype"/>
                  <w:i/>
                  <w:lang w:val="es-MX"/>
                </w:rPr>
                <w:t>https://ipomex.org.mx/ipomex/#/info-fraccion//288/5</w:t>
              </w:r>
            </w:hyperlink>
            <w:r w:rsidRPr="00F2253C">
              <w:rPr>
                <w:rFonts w:ascii="Palatino Linotype" w:eastAsia="Palatino Linotype" w:hAnsi="Palatino Linotype" w:cs="Palatino Linotype"/>
                <w:i/>
                <w:color w:val="000000"/>
                <w:lang w:val="es-MX"/>
              </w:rPr>
              <w:t xml:space="preserve">, del cual refiere que lo solicitado se encuentra en el artículo 137 del </w:t>
            </w:r>
            <w:r w:rsidRPr="00F2253C">
              <w:rPr>
                <w:rFonts w:ascii="Palatino Linotype" w:eastAsia="Palatino Linotype" w:hAnsi="Palatino Linotype" w:cs="Palatino Linotype"/>
                <w:i/>
                <w:color w:val="000000"/>
                <w:lang w:val="es-MX"/>
              </w:rPr>
              <w:lastRenderedPageBreak/>
              <w:t xml:space="preserve">Código Financiero del Estado de México y Municipios y en el artículo 76 de la Ley del Agua del Estado de México y Municipios, mismos que pueden ser consultados por medio de la página del IPOMEX. </w:t>
            </w:r>
          </w:p>
          <w:p w:rsidR="003A1C1B" w:rsidRPr="00F2253C" w:rsidRDefault="003A1C1B" w:rsidP="003A1C1B">
            <w:pPr>
              <w:pBdr>
                <w:top w:val="nil"/>
                <w:left w:val="nil"/>
                <w:bottom w:val="nil"/>
                <w:right w:val="nil"/>
                <w:between w:val="nil"/>
              </w:pBdr>
              <w:ind w:right="41"/>
              <w:jc w:val="both"/>
              <w:rPr>
                <w:rFonts w:ascii="Palatino Linotype" w:eastAsia="Palatino Linotype" w:hAnsi="Palatino Linotype" w:cs="Palatino Linotype"/>
                <w:color w:val="000000"/>
              </w:rPr>
            </w:pPr>
          </w:p>
        </w:tc>
        <w:tc>
          <w:tcPr>
            <w:tcW w:w="2693" w:type="dxa"/>
          </w:tcPr>
          <w:p w:rsidR="003A1C1B" w:rsidRPr="00F2253C" w:rsidRDefault="003A1C1B" w:rsidP="00D977E8">
            <w:pPr>
              <w:ind w:right="1"/>
              <w:jc w:val="both"/>
              <w:rPr>
                <w:rFonts w:ascii="Palatino Linotype" w:eastAsia="Palatino Linotype" w:hAnsi="Palatino Linotype" w:cs="Palatino Linotype"/>
                <w:i/>
                <w:iCs/>
              </w:rPr>
            </w:pPr>
            <w:r w:rsidRPr="00F2253C">
              <w:rPr>
                <w:rFonts w:ascii="Palatino Linotype" w:eastAsia="Palatino Linotype" w:hAnsi="Palatino Linotype" w:cs="Palatino Linotype"/>
                <w:i/>
                <w:iCs/>
              </w:rPr>
              <w:lastRenderedPageBreak/>
              <w:t>ratifica respuesta inicial</w:t>
            </w:r>
          </w:p>
        </w:tc>
        <w:tc>
          <w:tcPr>
            <w:tcW w:w="2268" w:type="dxa"/>
          </w:tcPr>
          <w:p w:rsidR="003A1C1B" w:rsidRPr="00F2253C" w:rsidRDefault="003A1C1B" w:rsidP="00D977E8">
            <w:pPr>
              <w:ind w:right="1"/>
              <w:jc w:val="both"/>
              <w:rPr>
                <w:rFonts w:ascii="Palatino Linotype" w:eastAsia="Palatino Linotype" w:hAnsi="Palatino Linotype" w:cs="Palatino Linotype"/>
                <w:i/>
                <w:iCs/>
              </w:rPr>
            </w:pPr>
            <w:r w:rsidRPr="00F2253C">
              <w:rPr>
                <w:rFonts w:ascii="Palatino Linotype" w:eastAsia="Palatino Linotype" w:hAnsi="Palatino Linotype" w:cs="Palatino Linotype"/>
                <w:i/>
                <w:iCs/>
              </w:rPr>
              <w:t xml:space="preserve">Se tiene como actos consentidos </w:t>
            </w:r>
          </w:p>
        </w:tc>
      </w:tr>
      <w:tr w:rsidR="003A1C1B" w:rsidRPr="00F2253C" w:rsidTr="00F2253C">
        <w:trPr>
          <w:trHeight w:val="1928"/>
          <w:jc w:val="center"/>
        </w:trPr>
        <w:tc>
          <w:tcPr>
            <w:tcW w:w="2263" w:type="dxa"/>
          </w:tcPr>
          <w:p w:rsidR="003A1C1B" w:rsidRPr="00F2253C" w:rsidRDefault="003A1C1B" w:rsidP="003A1C1B">
            <w:pPr>
              <w:ind w:right="1"/>
              <w:jc w:val="both"/>
              <w:rPr>
                <w:rFonts w:ascii="Palatino Linotype" w:eastAsia="Palatino Linotype" w:hAnsi="Palatino Linotype" w:cs="Palatino Linotype"/>
                <w:b/>
                <w:i/>
                <w:iCs/>
                <w:lang w:val="es-MX"/>
              </w:rPr>
            </w:pPr>
            <w:r w:rsidRPr="00F2253C">
              <w:rPr>
                <w:rFonts w:ascii="Palatino Linotype" w:eastAsia="Palatino Linotype" w:hAnsi="Palatino Linotype" w:cs="Palatino Linotype"/>
                <w:b/>
                <w:i/>
                <w:iCs/>
                <w:lang w:val="es-MX"/>
              </w:rPr>
              <w:t xml:space="preserve">2.- </w:t>
            </w:r>
            <w:r w:rsidR="003D7F58" w:rsidRPr="00F2253C">
              <w:rPr>
                <w:rFonts w:ascii="Palatino Linotype" w:eastAsia="Palatino Linotype" w:hAnsi="Palatino Linotype" w:cs="Palatino Linotype"/>
                <w:b/>
                <w:i/>
                <w:iCs/>
                <w:lang w:val="es-MX"/>
              </w:rPr>
              <w:t>Base y/o fundamento legal para determinar dicha temporalidad</w:t>
            </w:r>
          </w:p>
          <w:p w:rsidR="003A1C1B" w:rsidRPr="00F2253C" w:rsidRDefault="003A1C1B" w:rsidP="003A1C1B">
            <w:pPr>
              <w:ind w:right="1"/>
              <w:jc w:val="both"/>
              <w:rPr>
                <w:rFonts w:ascii="Palatino Linotype" w:eastAsia="Palatino Linotype" w:hAnsi="Palatino Linotype" w:cs="Palatino Linotype"/>
                <w:i/>
                <w:iCs/>
              </w:rPr>
            </w:pPr>
          </w:p>
        </w:tc>
        <w:tc>
          <w:tcPr>
            <w:tcW w:w="2547" w:type="dxa"/>
          </w:tcPr>
          <w:p w:rsidR="003A1C1B" w:rsidRPr="00F2253C" w:rsidRDefault="003A1C1B" w:rsidP="003A1C1B">
            <w:pPr>
              <w:pBdr>
                <w:top w:val="nil"/>
                <w:left w:val="nil"/>
                <w:bottom w:val="nil"/>
                <w:right w:val="nil"/>
                <w:between w:val="nil"/>
              </w:pBdr>
              <w:ind w:left="30" w:right="41"/>
              <w:jc w:val="both"/>
              <w:rPr>
                <w:rFonts w:ascii="Palatino Linotype" w:eastAsia="Palatino Linotype" w:hAnsi="Palatino Linotype" w:cs="Palatino Linotype"/>
                <w:i/>
                <w:color w:val="000000"/>
                <w:lang w:val="es-MX"/>
              </w:rPr>
            </w:pPr>
            <w:r w:rsidRPr="00F2253C">
              <w:rPr>
                <w:rFonts w:ascii="Palatino Linotype" w:eastAsia="Palatino Linotype" w:hAnsi="Palatino Linotype" w:cs="Palatino Linotype"/>
                <w:b/>
                <w:i/>
                <w:color w:val="000000"/>
                <w:lang w:val="es-MX"/>
              </w:rPr>
              <w:t xml:space="preserve">SOL000152025.pdf: </w:t>
            </w:r>
            <w:r w:rsidRPr="00F2253C">
              <w:rPr>
                <w:rFonts w:ascii="Palatino Linotype" w:eastAsia="Palatino Linotype" w:hAnsi="Palatino Linotype" w:cs="Palatino Linotype"/>
                <w:i/>
                <w:color w:val="000000"/>
                <w:lang w:val="es-MX"/>
              </w:rPr>
              <w:t xml:space="preserve">oficio mediante el cual se informa que la Subdirección de Recaudación y Factibilidades, remite el link </w:t>
            </w:r>
            <w:hyperlink r:id="rId9" w:anchor="/info-fraccion//288/5" w:history="1">
              <w:r w:rsidRPr="00F2253C">
                <w:rPr>
                  <w:rStyle w:val="Hipervnculo"/>
                  <w:rFonts w:ascii="Palatino Linotype" w:eastAsia="Palatino Linotype" w:hAnsi="Palatino Linotype" w:cs="Palatino Linotype"/>
                  <w:i/>
                  <w:lang w:val="es-MX"/>
                </w:rPr>
                <w:t>https://ipomex.org.mx/ipomex/#/info-fraccion//288/5</w:t>
              </w:r>
            </w:hyperlink>
            <w:r w:rsidRPr="00F2253C">
              <w:rPr>
                <w:rFonts w:ascii="Palatino Linotype" w:eastAsia="Palatino Linotype" w:hAnsi="Palatino Linotype" w:cs="Palatino Linotype"/>
                <w:i/>
                <w:color w:val="000000"/>
                <w:lang w:val="es-MX"/>
              </w:rPr>
              <w:t xml:space="preserve">, del cual refiere que lo solicitado se encuentra en el artículo 137 del Código Financiero del Estado de México y Municipios y en el artículo 76 de la Ley del Agua del Estado de México y Municipios, mismos que pueden ser consultados por medio </w:t>
            </w:r>
            <w:r w:rsidRPr="00F2253C">
              <w:rPr>
                <w:rFonts w:ascii="Palatino Linotype" w:eastAsia="Palatino Linotype" w:hAnsi="Palatino Linotype" w:cs="Palatino Linotype"/>
                <w:i/>
                <w:color w:val="000000"/>
                <w:lang w:val="es-MX"/>
              </w:rPr>
              <w:lastRenderedPageBreak/>
              <w:t xml:space="preserve">de la página del IPOMEX. </w:t>
            </w:r>
          </w:p>
          <w:p w:rsidR="003A1C1B" w:rsidRPr="00F2253C" w:rsidRDefault="003A1C1B" w:rsidP="003A1C1B">
            <w:pPr>
              <w:pBdr>
                <w:top w:val="nil"/>
                <w:left w:val="nil"/>
                <w:bottom w:val="nil"/>
                <w:right w:val="nil"/>
                <w:between w:val="nil"/>
              </w:pBdr>
              <w:ind w:left="30" w:right="41"/>
              <w:jc w:val="both"/>
              <w:rPr>
                <w:rFonts w:ascii="Palatino Linotype" w:eastAsia="Palatino Linotype" w:hAnsi="Palatino Linotype" w:cs="Palatino Linotype"/>
                <w:color w:val="000000"/>
              </w:rPr>
            </w:pPr>
          </w:p>
        </w:tc>
        <w:tc>
          <w:tcPr>
            <w:tcW w:w="2693" w:type="dxa"/>
          </w:tcPr>
          <w:p w:rsidR="003A1C1B" w:rsidRPr="00F2253C" w:rsidRDefault="003A1C1B" w:rsidP="00D977E8">
            <w:pPr>
              <w:ind w:right="1"/>
              <w:jc w:val="both"/>
              <w:rPr>
                <w:rFonts w:ascii="Palatino Linotype" w:eastAsia="Palatino Linotype" w:hAnsi="Palatino Linotype" w:cs="Palatino Linotype"/>
                <w:i/>
                <w:iCs/>
              </w:rPr>
            </w:pPr>
            <w:r w:rsidRPr="00F2253C">
              <w:rPr>
                <w:rFonts w:ascii="Palatino Linotype" w:eastAsia="Palatino Linotype" w:hAnsi="Palatino Linotype" w:cs="Palatino Linotype"/>
                <w:i/>
                <w:iCs/>
              </w:rPr>
              <w:lastRenderedPageBreak/>
              <w:t>ratifica respuesta inicial</w:t>
            </w:r>
          </w:p>
        </w:tc>
        <w:tc>
          <w:tcPr>
            <w:tcW w:w="2268" w:type="dxa"/>
          </w:tcPr>
          <w:p w:rsidR="003A1C1B" w:rsidRPr="00F2253C" w:rsidRDefault="003A1C1B" w:rsidP="00D977E8">
            <w:pPr>
              <w:ind w:right="1"/>
              <w:jc w:val="both"/>
              <w:rPr>
                <w:rFonts w:ascii="Palatino Linotype" w:eastAsia="Palatino Linotype" w:hAnsi="Palatino Linotype" w:cs="Palatino Linotype"/>
                <w:i/>
                <w:iCs/>
              </w:rPr>
            </w:pPr>
            <w:r w:rsidRPr="00F2253C">
              <w:rPr>
                <w:rFonts w:ascii="Palatino Linotype" w:eastAsia="Palatino Linotype" w:hAnsi="Palatino Linotype" w:cs="Palatino Linotype"/>
                <w:i/>
                <w:iCs/>
              </w:rPr>
              <w:t>Se tiene como actos consentidos</w:t>
            </w:r>
          </w:p>
        </w:tc>
      </w:tr>
      <w:tr w:rsidR="003A1C1B" w:rsidRPr="00F2253C" w:rsidTr="00F2253C">
        <w:trPr>
          <w:trHeight w:val="1928"/>
          <w:jc w:val="center"/>
        </w:trPr>
        <w:tc>
          <w:tcPr>
            <w:tcW w:w="2263" w:type="dxa"/>
          </w:tcPr>
          <w:p w:rsidR="003A1C1B" w:rsidRPr="00F2253C" w:rsidRDefault="003A1C1B" w:rsidP="003A1C1B">
            <w:pPr>
              <w:ind w:right="1"/>
              <w:jc w:val="both"/>
              <w:rPr>
                <w:rFonts w:ascii="Palatino Linotype" w:eastAsia="Palatino Linotype" w:hAnsi="Palatino Linotype" w:cs="Palatino Linotype"/>
                <w:b/>
                <w:i/>
                <w:iCs/>
                <w:lang w:val="es-MX"/>
              </w:rPr>
            </w:pPr>
            <w:r w:rsidRPr="00F2253C">
              <w:rPr>
                <w:rFonts w:ascii="Palatino Linotype" w:eastAsia="Palatino Linotype" w:hAnsi="Palatino Linotype" w:cs="Palatino Linotype"/>
                <w:b/>
                <w:i/>
                <w:iCs/>
                <w:lang w:val="es-MX"/>
              </w:rPr>
              <w:t xml:space="preserve">3.- Emitido el dictamen de manera definitiva puede ser revocado </w:t>
            </w:r>
          </w:p>
          <w:p w:rsidR="003A1C1B" w:rsidRPr="00F2253C" w:rsidRDefault="003A1C1B" w:rsidP="003A1C1B">
            <w:pPr>
              <w:ind w:right="1"/>
              <w:jc w:val="both"/>
              <w:rPr>
                <w:rFonts w:ascii="Palatino Linotype" w:eastAsia="Palatino Linotype" w:hAnsi="Palatino Linotype" w:cs="Palatino Linotype"/>
                <w:i/>
                <w:iCs/>
              </w:rPr>
            </w:pPr>
          </w:p>
        </w:tc>
        <w:tc>
          <w:tcPr>
            <w:tcW w:w="2547" w:type="dxa"/>
          </w:tcPr>
          <w:p w:rsidR="003A1C1B" w:rsidRPr="00F2253C" w:rsidRDefault="003A1C1B" w:rsidP="003A1C1B">
            <w:pPr>
              <w:pBdr>
                <w:top w:val="nil"/>
                <w:left w:val="nil"/>
                <w:bottom w:val="nil"/>
                <w:right w:val="nil"/>
                <w:between w:val="nil"/>
              </w:pBdr>
              <w:ind w:left="30" w:right="41"/>
              <w:jc w:val="both"/>
              <w:rPr>
                <w:rFonts w:ascii="Palatino Linotype" w:eastAsia="Palatino Linotype" w:hAnsi="Palatino Linotype" w:cs="Palatino Linotype"/>
                <w:i/>
                <w:color w:val="000000"/>
                <w:lang w:val="es-MX"/>
              </w:rPr>
            </w:pPr>
            <w:r w:rsidRPr="00F2253C">
              <w:rPr>
                <w:rFonts w:ascii="Palatino Linotype" w:eastAsia="Palatino Linotype" w:hAnsi="Palatino Linotype" w:cs="Palatino Linotype"/>
                <w:b/>
                <w:i/>
                <w:color w:val="000000"/>
                <w:lang w:val="es-MX"/>
              </w:rPr>
              <w:t xml:space="preserve">SOL000152025.pdf: </w:t>
            </w:r>
            <w:r w:rsidRPr="00F2253C">
              <w:rPr>
                <w:rFonts w:ascii="Palatino Linotype" w:eastAsia="Palatino Linotype" w:hAnsi="Palatino Linotype" w:cs="Palatino Linotype"/>
                <w:i/>
                <w:color w:val="000000"/>
                <w:lang w:val="es-MX"/>
              </w:rPr>
              <w:t xml:space="preserve">oficio mediante el cual se informa que la Subdirección de Recaudación y Factibilidades, remite el link </w:t>
            </w:r>
            <w:hyperlink r:id="rId10" w:anchor="/info-fraccion//288/5" w:history="1">
              <w:r w:rsidRPr="00F2253C">
                <w:rPr>
                  <w:rStyle w:val="Hipervnculo"/>
                  <w:rFonts w:ascii="Palatino Linotype" w:eastAsia="Palatino Linotype" w:hAnsi="Palatino Linotype" w:cs="Palatino Linotype"/>
                  <w:i/>
                  <w:lang w:val="es-MX"/>
                </w:rPr>
                <w:t>https://ipomex.org.mx/ipomex/#/info-fraccion//288/5</w:t>
              </w:r>
            </w:hyperlink>
            <w:r w:rsidRPr="00F2253C">
              <w:rPr>
                <w:rFonts w:ascii="Palatino Linotype" w:eastAsia="Palatino Linotype" w:hAnsi="Palatino Linotype" w:cs="Palatino Linotype"/>
                <w:i/>
                <w:color w:val="000000"/>
                <w:lang w:val="es-MX"/>
              </w:rPr>
              <w:t xml:space="preserve">, del cual refiere que lo solicitado se encuentra en el artículo 137 del Código Financiero del Estado de México y Municipios y en el artículo 76 de la Ley del Agua del Estado de México y Municipios, mismos que pueden ser consultados por medio de la página del IPOMEX. </w:t>
            </w:r>
          </w:p>
          <w:p w:rsidR="003A1C1B" w:rsidRPr="00F2253C" w:rsidRDefault="003A1C1B" w:rsidP="003A1C1B">
            <w:pPr>
              <w:pBdr>
                <w:top w:val="nil"/>
                <w:left w:val="nil"/>
                <w:bottom w:val="nil"/>
                <w:right w:val="nil"/>
                <w:between w:val="nil"/>
              </w:pBdr>
              <w:ind w:left="30" w:right="41"/>
              <w:jc w:val="both"/>
              <w:rPr>
                <w:rFonts w:ascii="Palatino Linotype" w:eastAsia="Palatino Linotype" w:hAnsi="Palatino Linotype" w:cs="Palatino Linotype"/>
                <w:color w:val="000000"/>
              </w:rPr>
            </w:pPr>
          </w:p>
        </w:tc>
        <w:tc>
          <w:tcPr>
            <w:tcW w:w="2693" w:type="dxa"/>
          </w:tcPr>
          <w:p w:rsidR="003A1C1B" w:rsidRPr="00F2253C" w:rsidRDefault="003A1C1B" w:rsidP="00D977E8">
            <w:pPr>
              <w:ind w:right="1"/>
              <w:jc w:val="both"/>
              <w:rPr>
                <w:rFonts w:ascii="Palatino Linotype" w:eastAsia="Palatino Linotype" w:hAnsi="Palatino Linotype" w:cs="Palatino Linotype"/>
                <w:i/>
                <w:iCs/>
              </w:rPr>
            </w:pPr>
            <w:r w:rsidRPr="00F2253C">
              <w:rPr>
                <w:rFonts w:ascii="Palatino Linotype" w:eastAsia="Palatino Linotype" w:hAnsi="Palatino Linotype" w:cs="Palatino Linotype"/>
                <w:i/>
                <w:iCs/>
              </w:rPr>
              <w:t>ratifica respuesta inicial</w:t>
            </w:r>
          </w:p>
        </w:tc>
        <w:tc>
          <w:tcPr>
            <w:tcW w:w="2268" w:type="dxa"/>
          </w:tcPr>
          <w:p w:rsidR="003A1C1B" w:rsidRPr="00F2253C" w:rsidRDefault="003A1C1B" w:rsidP="00D977E8">
            <w:pPr>
              <w:ind w:right="1"/>
              <w:jc w:val="both"/>
              <w:rPr>
                <w:rFonts w:ascii="Palatino Linotype" w:eastAsia="Palatino Linotype" w:hAnsi="Palatino Linotype" w:cs="Palatino Linotype"/>
                <w:i/>
                <w:iCs/>
              </w:rPr>
            </w:pPr>
            <w:r w:rsidRPr="00F2253C">
              <w:rPr>
                <w:rFonts w:ascii="Palatino Linotype" w:eastAsia="Palatino Linotype" w:hAnsi="Palatino Linotype" w:cs="Palatino Linotype"/>
                <w:i/>
                <w:iCs/>
              </w:rPr>
              <w:t xml:space="preserve">No colma, toda vez que no se informa. </w:t>
            </w:r>
            <w:r w:rsidR="009972C7" w:rsidRPr="00F2253C">
              <w:rPr>
                <w:rFonts w:ascii="Palatino Linotype" w:eastAsia="Palatino Linotype" w:hAnsi="Palatino Linotype" w:cs="Palatino Linotype"/>
                <w:i/>
                <w:iCs/>
              </w:rPr>
              <w:t xml:space="preserve"> </w:t>
            </w:r>
          </w:p>
        </w:tc>
      </w:tr>
    </w:tbl>
    <w:p w:rsidR="003A1C1B" w:rsidRPr="00F2253C" w:rsidRDefault="003A1C1B" w:rsidP="003A1C1B">
      <w:pPr>
        <w:spacing w:line="360" w:lineRule="auto"/>
        <w:ind w:right="1"/>
        <w:jc w:val="both"/>
        <w:rPr>
          <w:rFonts w:ascii="Palatino Linotype" w:eastAsia="Palatino Linotype" w:hAnsi="Palatino Linotype" w:cs="Palatino Linotype"/>
          <w:b/>
          <w:bCs/>
        </w:rPr>
      </w:pPr>
    </w:p>
    <w:p w:rsidR="009972C7" w:rsidRPr="00F2253C" w:rsidRDefault="009972C7" w:rsidP="003A1C1B">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b/>
          <w:bCs/>
        </w:rPr>
      </w:pPr>
      <w:r w:rsidRPr="00F2253C">
        <w:rPr>
          <w:rFonts w:ascii="Palatino Linotype" w:eastAsia="Palatino Linotype" w:hAnsi="Palatino Linotype" w:cs="Palatino Linotype"/>
          <w:bCs/>
        </w:rPr>
        <w:lastRenderedPageBreak/>
        <w:t xml:space="preserve">De la tabla anterior, se tiene que los puntos uno y dos de la solicitud de información se deben de tomar como actos consentidos, situación por la cual se analiza lo siguiente. </w:t>
      </w:r>
    </w:p>
    <w:p w:rsidR="00874CC1" w:rsidRPr="00F2253C" w:rsidRDefault="00874CC1" w:rsidP="00874CC1">
      <w:pPr>
        <w:pBdr>
          <w:top w:val="nil"/>
          <w:left w:val="nil"/>
          <w:bottom w:val="nil"/>
          <w:right w:val="nil"/>
          <w:between w:val="nil"/>
        </w:pBdr>
        <w:spacing w:line="360" w:lineRule="auto"/>
        <w:ind w:right="49"/>
        <w:jc w:val="both"/>
        <w:rPr>
          <w:rFonts w:ascii="Palatino Linotype" w:eastAsia="Palatino Linotype" w:hAnsi="Palatino Linotype" w:cs="Palatino Linotype"/>
          <w:b/>
          <w:bCs/>
        </w:rPr>
      </w:pPr>
    </w:p>
    <w:p w:rsidR="00874CC1" w:rsidRPr="00F2253C" w:rsidRDefault="00874CC1" w:rsidP="00874CC1">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rPr>
      </w:pPr>
      <w:r w:rsidRPr="00F2253C">
        <w:rPr>
          <w:rFonts w:ascii="Palatino Linotype" w:eastAsia="Palatino Linotype" w:hAnsi="Palatino Linotype" w:cs="Palatino Linotype"/>
        </w:rPr>
        <w:t xml:space="preserve">En </w:t>
      </w:r>
      <w:r w:rsidRPr="00F2253C">
        <w:rPr>
          <w:rFonts w:ascii="Palatino Linotype" w:eastAsia="Palatino Linotype" w:hAnsi="Palatino Linotype" w:cs="Palatino Linotype"/>
          <w:bCs/>
        </w:rPr>
        <w:t>esa</w:t>
      </w:r>
      <w:r w:rsidRPr="00F2253C">
        <w:rPr>
          <w:rFonts w:ascii="Palatino Linotype" w:eastAsia="Palatino Linotype" w:hAnsi="Palatino Linotype" w:cs="Palatino Linotype"/>
        </w:rPr>
        <w:t xml:space="preserve"> línea, al no existir inconformidad del resto de información, es que se tiene por </w:t>
      </w:r>
      <w:r w:rsidRPr="00F2253C">
        <w:rPr>
          <w:rFonts w:ascii="Palatino Linotype" w:eastAsia="Palatino Linotype" w:hAnsi="Palatino Linotype" w:cs="Palatino Linotype"/>
          <w:color w:val="000000"/>
        </w:rPr>
        <w:t>consentida</w:t>
      </w:r>
      <w:r w:rsidRPr="00F2253C">
        <w:rPr>
          <w:rFonts w:ascii="Palatino Linotype" w:eastAsia="Palatino Linotype" w:hAnsi="Palatino Linotype" w:cs="Palatino Linotype"/>
        </w:rPr>
        <w:t>, ya</w:t>
      </w:r>
      <w:r w:rsidRPr="00F2253C">
        <w:rPr>
          <w:rFonts w:ascii="Palatino Linotype" w:eastAsia="Palatino Linotype" w:hAnsi="Palatino Linotype" w:cs="Palatino Linotype"/>
          <w:b/>
          <w:bCs/>
        </w:rPr>
        <w:t xml:space="preserve"> </w:t>
      </w:r>
      <w:r w:rsidRPr="00F2253C">
        <w:rPr>
          <w:rFonts w:ascii="Palatino Linotype" w:eastAsia="Palatino Linotype" w:hAnsi="Palatino Linotype" w:cs="Palatino Linotype"/>
        </w:rPr>
        <w:t xml:space="preserve">que la falta de impugnación respecto de los requerimientos que no fueron manifestados en el recurso de revisión debe entenderse como </w:t>
      </w:r>
      <w:r w:rsidRPr="00F2253C">
        <w:rPr>
          <w:rFonts w:ascii="Palatino Linotype" w:eastAsia="Palatino Linotype" w:hAnsi="Palatino Linotype" w:cs="Palatino Linotype"/>
          <w:b/>
          <w:bCs/>
        </w:rPr>
        <w:t>actos consentidos</w:t>
      </w:r>
      <w:r w:rsidRPr="00F2253C">
        <w:rPr>
          <w:rFonts w:ascii="Palatino Linotype" w:eastAsia="Palatino Linotype" w:hAnsi="Palatino Linotype" w:cs="Palatino Linotype"/>
        </w:rPr>
        <w:t>.</w:t>
      </w:r>
    </w:p>
    <w:p w:rsidR="00874CC1" w:rsidRPr="00F2253C" w:rsidRDefault="00874CC1" w:rsidP="00874CC1">
      <w:pPr>
        <w:pBdr>
          <w:top w:val="nil"/>
          <w:left w:val="nil"/>
          <w:bottom w:val="nil"/>
          <w:right w:val="nil"/>
          <w:between w:val="nil"/>
        </w:pBdr>
        <w:spacing w:line="360" w:lineRule="auto"/>
        <w:rPr>
          <w:rFonts w:ascii="Palatino Linotype" w:eastAsia="Palatino Linotype" w:hAnsi="Palatino Linotype" w:cs="Palatino Linotype"/>
          <w:color w:val="000000"/>
        </w:rPr>
      </w:pPr>
    </w:p>
    <w:p w:rsidR="00874CC1" w:rsidRPr="00F2253C" w:rsidRDefault="00874CC1" w:rsidP="00874CC1">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rPr>
      </w:pPr>
      <w:r w:rsidRPr="00F2253C">
        <w:rPr>
          <w:rFonts w:ascii="Palatino Linotype" w:eastAsia="Palatino Linotype" w:hAnsi="Palatino Linotype" w:cs="Palatino Linotype"/>
        </w:rPr>
        <w:t xml:space="preserve">Esto es así, debido a que cuando el recurrente impugna la respuesta del sujeto obligado y </w:t>
      </w:r>
      <w:r w:rsidRPr="00F2253C">
        <w:rPr>
          <w:rFonts w:ascii="Palatino Linotype" w:eastAsia="Palatino Linotype" w:hAnsi="Palatino Linotype" w:cs="Palatino Linotype"/>
          <w:color w:val="000000"/>
        </w:rPr>
        <w:t>éste</w:t>
      </w:r>
      <w:r w:rsidRPr="00F2253C">
        <w:rPr>
          <w:rFonts w:ascii="Palatino Linotype" w:eastAsia="Palatino Linotype" w:hAnsi="Palatino Linotype" w:cs="Palatino Linotype"/>
        </w:rPr>
        <w:t xml:space="preserve"> no expresa razón o motivo de inconformidad en contra de todos los rubros </w:t>
      </w:r>
      <w:r w:rsidRPr="00F2253C">
        <w:rPr>
          <w:rFonts w:ascii="Palatino Linotype" w:eastAsia="Palatino Linotype" w:hAnsi="Palatino Linotype" w:cs="Palatino Linotype"/>
          <w:color w:val="000000"/>
        </w:rPr>
        <w:t>solicitados</w:t>
      </w:r>
      <w:r w:rsidRPr="00F2253C">
        <w:rPr>
          <w:rFonts w:ascii="Palatino Linotype" w:eastAsia="Palatino Linotype" w:hAnsi="Palatino Linotype" w:cs="Palatino Linotype"/>
        </w:rPr>
        <w:t xml:space="preserve">, los mismos deben declararse </w:t>
      </w:r>
      <w:r w:rsidRPr="00F2253C">
        <w:rPr>
          <w:rFonts w:ascii="Palatino Linotype" w:eastAsia="Palatino Linotype" w:hAnsi="Palatino Linotype" w:cs="Palatino Linotype"/>
          <w:color w:val="000000"/>
        </w:rPr>
        <w:t>firmes</w:t>
      </w:r>
      <w:r w:rsidRPr="00F2253C">
        <w:rPr>
          <w:rFonts w:ascii="Palatino Linotype" w:eastAsia="Palatino Linotype" w:hAnsi="Palatino Linotype" w:cs="Palatino Linotype"/>
        </w:rPr>
        <w:t xml:space="preserve">, pues se entiende que el </w:t>
      </w:r>
      <w:r w:rsidRPr="00F2253C">
        <w:rPr>
          <w:rFonts w:ascii="Palatino Linotype" w:eastAsia="Palatino Linotype" w:hAnsi="Palatino Linotype" w:cs="Palatino Linotype"/>
          <w:color w:val="000000"/>
        </w:rPr>
        <w:t>recurrente</w:t>
      </w:r>
      <w:r w:rsidRPr="00F2253C">
        <w:rPr>
          <w:rFonts w:ascii="Palatino Linotype" w:eastAsia="Palatino Linotype" w:hAnsi="Palatino Linotype" w:cs="Palatino Linotype"/>
        </w:rPr>
        <w:t xml:space="preserve"> ésta conforme con la información entregada al no contravenir la misma. Sirve de apoyo por analogía, la Tesis Jurisprudencial Número 3ª./J.7/91, publicada en el Semanario Judicial de la Federación y su Gaceta bajo el número de registro 174,177, que establece lo siguiente:</w:t>
      </w:r>
    </w:p>
    <w:p w:rsidR="00874CC1" w:rsidRPr="00F2253C" w:rsidRDefault="00874CC1" w:rsidP="00874CC1">
      <w:pPr>
        <w:pBdr>
          <w:top w:val="nil"/>
          <w:left w:val="nil"/>
          <w:bottom w:val="nil"/>
          <w:right w:val="nil"/>
          <w:between w:val="nil"/>
        </w:pBdr>
        <w:ind w:left="1134" w:right="900"/>
        <w:rPr>
          <w:rFonts w:ascii="Palatino Linotype" w:eastAsia="Palatino Linotype" w:hAnsi="Palatino Linotype" w:cs="Palatino Linotype"/>
          <w:color w:val="000000"/>
        </w:rPr>
      </w:pPr>
    </w:p>
    <w:p w:rsidR="00874CC1" w:rsidRPr="00F2253C" w:rsidRDefault="00874CC1" w:rsidP="00874CC1">
      <w:pPr>
        <w:pBdr>
          <w:top w:val="nil"/>
          <w:left w:val="nil"/>
          <w:bottom w:val="nil"/>
          <w:right w:val="nil"/>
          <w:between w:val="nil"/>
        </w:pBdr>
        <w:ind w:left="1134" w:right="1843"/>
        <w:jc w:val="both"/>
        <w:rPr>
          <w:rFonts w:ascii="Palatino Linotype" w:eastAsia="Palatino Linotype" w:hAnsi="Palatino Linotype" w:cs="Palatino Linotype"/>
          <w:i/>
          <w:iCs/>
          <w:color w:val="000000"/>
        </w:rPr>
      </w:pPr>
      <w:r w:rsidRPr="00F2253C">
        <w:rPr>
          <w:rFonts w:ascii="Palatino Linotype" w:eastAsia="Palatino Linotype" w:hAnsi="Palatino Linotype" w:cs="Palatino Linotype"/>
          <w:b/>
          <w:bCs/>
          <w:i/>
          <w:iCs/>
          <w:color w:val="000000"/>
        </w:rPr>
        <w:t>“REVISIÓN EN AMPARO. LOS RESOLUTIVOS NO COMBATIDOS DEBEN DECLARARSE FIRMES. </w:t>
      </w:r>
      <w:r w:rsidRPr="00F2253C">
        <w:rPr>
          <w:rFonts w:ascii="Palatino Linotype" w:eastAsia="Palatino Linotype" w:hAnsi="Palatino Linotype" w:cs="Palatino Linotype"/>
          <w:i/>
          <w:iCs/>
          <w:color w:val="000000"/>
          <w:u w:val="single"/>
        </w:rPr>
        <w:t>Cuando algún resolutivo de la sentencia impugnada afecta a EL RECURRENTE, y ésta no expresa agravio en contra de las consideraciones que le sirven de base, dicho resolutivo debe declararse firme.</w:t>
      </w:r>
      <w:r w:rsidRPr="00F2253C">
        <w:rPr>
          <w:rFonts w:ascii="Palatino Linotype" w:eastAsia="Palatino Linotype" w:hAnsi="Palatino Linotype" w:cs="Palatino Linotype"/>
          <w:i/>
          <w:iCs/>
          <w:color w:val="000000"/>
        </w:rPr>
        <w:t> Esto es, en el caso referido, no obstante que la materia de la revisión comprende a todos los resolutivos que afectan a EL RECURRENTE, </w:t>
      </w:r>
      <w:r w:rsidRPr="00F2253C">
        <w:rPr>
          <w:rFonts w:ascii="Palatino Linotype" w:eastAsia="Palatino Linotype" w:hAnsi="Palatino Linotype" w:cs="Palatino Linotype"/>
          <w:i/>
          <w:iCs/>
          <w:color w:val="000000"/>
          <w:u w:val="single"/>
        </w:rPr>
        <w:t>deben declararse firmes aquéllos en contra de los cuales no se formuló agravio y dicha declaración de firmeza debe reflejarse en la parte considerativa y en los resolutivos debe confirmarse la sentencia recurrida en la parte correspondiente</w:t>
      </w:r>
      <w:r w:rsidRPr="00F2253C">
        <w:rPr>
          <w:rFonts w:ascii="Palatino Linotype" w:eastAsia="Palatino Linotype" w:hAnsi="Palatino Linotype" w:cs="Palatino Linotype"/>
          <w:i/>
          <w:iCs/>
          <w:color w:val="000000"/>
        </w:rPr>
        <w:t>.”</w:t>
      </w:r>
    </w:p>
    <w:p w:rsidR="00874CC1" w:rsidRPr="00F2253C" w:rsidRDefault="00874CC1" w:rsidP="00874CC1">
      <w:pPr>
        <w:pBdr>
          <w:top w:val="nil"/>
          <w:left w:val="nil"/>
          <w:bottom w:val="nil"/>
          <w:right w:val="nil"/>
          <w:between w:val="nil"/>
        </w:pBdr>
        <w:ind w:left="1134" w:right="1843"/>
        <w:jc w:val="both"/>
        <w:rPr>
          <w:rFonts w:ascii="Palatino Linotype" w:eastAsia="Palatino Linotype" w:hAnsi="Palatino Linotype" w:cs="Palatino Linotype"/>
          <w:color w:val="000000"/>
        </w:rPr>
      </w:pPr>
      <w:r w:rsidRPr="00F2253C">
        <w:rPr>
          <w:rFonts w:ascii="Palatino Linotype" w:eastAsia="Palatino Linotype" w:hAnsi="Palatino Linotype" w:cs="Palatino Linotype"/>
          <w:color w:val="000000"/>
        </w:rPr>
        <w:t>(Énfasis añadido)</w:t>
      </w:r>
    </w:p>
    <w:p w:rsidR="003A1C1B" w:rsidRPr="00F2253C" w:rsidRDefault="003A1C1B" w:rsidP="003A1C1B">
      <w:pPr>
        <w:pBdr>
          <w:top w:val="nil"/>
          <w:left w:val="nil"/>
          <w:bottom w:val="nil"/>
          <w:right w:val="nil"/>
          <w:between w:val="nil"/>
        </w:pBdr>
        <w:spacing w:line="360" w:lineRule="auto"/>
        <w:ind w:right="49"/>
        <w:jc w:val="both"/>
        <w:rPr>
          <w:rFonts w:ascii="Palatino Linotype" w:eastAsia="Palatino Linotype" w:hAnsi="Palatino Linotype" w:cs="Palatino Linotype"/>
          <w:b/>
          <w:bCs/>
        </w:rPr>
      </w:pPr>
    </w:p>
    <w:p w:rsidR="003A1C1B" w:rsidRPr="00F2253C" w:rsidRDefault="00D977E8" w:rsidP="003A1C1B">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b/>
          <w:bCs/>
        </w:rPr>
      </w:pPr>
      <w:r w:rsidRPr="00F2253C">
        <w:rPr>
          <w:rFonts w:ascii="Palatino Linotype" w:eastAsia="Palatino Linotype" w:hAnsi="Palatino Linotype" w:cs="Palatino Linotype"/>
          <w:bCs/>
        </w:rPr>
        <w:lastRenderedPageBreak/>
        <w:t>Ahora bien, por cuanto hace al punto tres de la solicitud de información consistente en “</w:t>
      </w:r>
      <w:r w:rsidRPr="00F2253C">
        <w:rPr>
          <w:rFonts w:ascii="Palatino Linotype" w:eastAsia="Palatino Linotype" w:hAnsi="Palatino Linotype" w:cs="Palatino Linotype"/>
          <w:b/>
          <w:i/>
          <w:iCs/>
          <w:lang w:val="es-MX"/>
        </w:rPr>
        <w:t xml:space="preserve">Emitido el dictamen de manera definitiva puede ser revocado”, </w:t>
      </w:r>
      <w:r w:rsidRPr="00F2253C">
        <w:rPr>
          <w:rFonts w:ascii="Palatino Linotype" w:eastAsia="Palatino Linotype" w:hAnsi="Palatino Linotype" w:cs="Palatino Linotype"/>
          <w:iCs/>
          <w:lang w:val="es-MX"/>
        </w:rPr>
        <w:t xml:space="preserve">se debe de precisar que el </w:t>
      </w:r>
      <w:r w:rsidRPr="00F2253C">
        <w:rPr>
          <w:rFonts w:ascii="Palatino Linotype" w:eastAsia="Palatino Linotype" w:hAnsi="Palatino Linotype" w:cs="Palatino Linotype"/>
          <w:b/>
          <w:iCs/>
          <w:lang w:val="es-MX"/>
        </w:rPr>
        <w:t xml:space="preserve">SUJETO OBLIGADO </w:t>
      </w:r>
      <w:r w:rsidRPr="00F2253C">
        <w:rPr>
          <w:rFonts w:ascii="Palatino Linotype" w:eastAsia="Palatino Linotype" w:hAnsi="Palatino Linotype" w:cs="Palatino Linotype"/>
          <w:iCs/>
          <w:lang w:val="es-MX"/>
        </w:rPr>
        <w:t xml:space="preserve">no informo acerca de este punto de la solicitud de información. </w:t>
      </w:r>
    </w:p>
    <w:p w:rsidR="00D977E8" w:rsidRPr="00F2253C" w:rsidRDefault="00D977E8" w:rsidP="00D977E8">
      <w:pPr>
        <w:pBdr>
          <w:top w:val="nil"/>
          <w:left w:val="nil"/>
          <w:bottom w:val="nil"/>
          <w:right w:val="nil"/>
          <w:between w:val="nil"/>
        </w:pBdr>
        <w:spacing w:line="360" w:lineRule="auto"/>
        <w:ind w:right="49"/>
        <w:jc w:val="both"/>
        <w:rPr>
          <w:rFonts w:ascii="Palatino Linotype" w:eastAsia="Palatino Linotype" w:hAnsi="Palatino Linotype" w:cs="Palatino Linotype"/>
          <w:b/>
          <w:bCs/>
        </w:rPr>
      </w:pPr>
    </w:p>
    <w:p w:rsidR="00D977E8" w:rsidRPr="00F2253C" w:rsidRDefault="00D977E8" w:rsidP="003A1C1B">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b/>
          <w:bCs/>
        </w:rPr>
      </w:pPr>
      <w:r w:rsidRPr="00F2253C">
        <w:rPr>
          <w:rFonts w:ascii="Palatino Linotype" w:eastAsia="Palatino Linotype" w:hAnsi="Palatino Linotype" w:cs="Palatino Linotype"/>
          <w:iCs/>
          <w:lang w:val="es-MX"/>
        </w:rPr>
        <w:t xml:space="preserve">En consecuencia, se debe de analizar que la respuesta proporcionada por el </w:t>
      </w:r>
      <w:r w:rsidRPr="00F2253C">
        <w:rPr>
          <w:rFonts w:ascii="Palatino Linotype" w:eastAsia="Palatino Linotype" w:hAnsi="Palatino Linotype" w:cs="Palatino Linotype"/>
          <w:b/>
          <w:iCs/>
          <w:lang w:val="es-MX"/>
        </w:rPr>
        <w:t xml:space="preserve">SUJETO OBLIGADO </w:t>
      </w:r>
      <w:r w:rsidRPr="00F2253C">
        <w:rPr>
          <w:rFonts w:ascii="Palatino Linotype" w:eastAsia="Palatino Linotype" w:hAnsi="Palatino Linotype" w:cs="Palatino Linotype"/>
          <w:iCs/>
          <w:lang w:val="es-MX"/>
        </w:rPr>
        <w:t xml:space="preserve">fue realizada mediante </w:t>
      </w:r>
      <w:r w:rsidR="00B41373" w:rsidRPr="00F2253C">
        <w:rPr>
          <w:rFonts w:ascii="Palatino Linotype" w:eastAsia="Palatino Linotype" w:hAnsi="Palatino Linotype" w:cs="Palatino Linotype"/>
          <w:iCs/>
          <w:lang w:val="es-MX"/>
        </w:rPr>
        <w:t xml:space="preserve">una liga electrónica en formato, de la cual se entiende que el </w:t>
      </w:r>
      <w:r w:rsidR="00B41373" w:rsidRPr="00F2253C">
        <w:rPr>
          <w:rFonts w:ascii="Palatino Linotype" w:eastAsia="Palatino Linotype" w:hAnsi="Palatino Linotype" w:cs="Palatino Linotype"/>
          <w:b/>
          <w:iCs/>
          <w:lang w:val="es-MX"/>
        </w:rPr>
        <w:t xml:space="preserve">RECURRENTE </w:t>
      </w:r>
      <w:r w:rsidR="00B41373" w:rsidRPr="00F2253C">
        <w:rPr>
          <w:rFonts w:ascii="Palatino Linotype" w:eastAsia="Palatino Linotype" w:hAnsi="Palatino Linotype" w:cs="Palatino Linotype"/>
          <w:iCs/>
          <w:lang w:val="es-MX"/>
        </w:rPr>
        <w:t xml:space="preserve">pudo acceder a ellas, toda vez que refiere el periodo de vigencia del dictamen de factibilidad. </w:t>
      </w:r>
    </w:p>
    <w:p w:rsidR="00B41373" w:rsidRPr="00F2253C" w:rsidRDefault="00B41373" w:rsidP="00B41373">
      <w:pPr>
        <w:pStyle w:val="Prrafodelista"/>
        <w:rPr>
          <w:rFonts w:ascii="Palatino Linotype" w:eastAsia="Palatino Linotype" w:hAnsi="Palatino Linotype" w:cs="Palatino Linotype"/>
          <w:b/>
          <w:bCs/>
        </w:rPr>
      </w:pPr>
    </w:p>
    <w:p w:rsidR="00B41373" w:rsidRPr="00F2253C" w:rsidRDefault="00B41373" w:rsidP="00B41373">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b/>
          <w:bCs/>
        </w:rPr>
      </w:pPr>
      <w:r w:rsidRPr="00F2253C">
        <w:rPr>
          <w:rFonts w:ascii="Palatino Linotype" w:eastAsia="Palatino Linotype" w:hAnsi="Palatino Linotype" w:cs="Palatino Linotype"/>
          <w:bCs/>
        </w:rPr>
        <w:t xml:space="preserve">En esa línea, se tiene que los artículos referidos por el </w:t>
      </w:r>
      <w:r w:rsidRPr="00F2253C">
        <w:rPr>
          <w:rFonts w:ascii="Palatino Linotype" w:eastAsia="Palatino Linotype" w:hAnsi="Palatino Linotype" w:cs="Palatino Linotype"/>
          <w:b/>
          <w:bCs/>
        </w:rPr>
        <w:t xml:space="preserve">SUJETO OBLIGADO </w:t>
      </w:r>
      <w:r w:rsidRPr="00F2253C">
        <w:rPr>
          <w:rFonts w:ascii="Palatino Linotype" w:eastAsia="Palatino Linotype" w:hAnsi="Palatino Linotype" w:cs="Palatino Linotype"/>
          <w:bCs/>
        </w:rPr>
        <w:t>regulan lo siguiente</w:t>
      </w:r>
      <w:r w:rsidRPr="00F2253C">
        <w:rPr>
          <w:rFonts w:ascii="Palatino Linotype" w:eastAsia="Palatino Linotype" w:hAnsi="Palatino Linotype" w:cs="Palatino Linotype"/>
          <w:b/>
          <w:bCs/>
        </w:rPr>
        <w:t xml:space="preserve">. </w:t>
      </w:r>
    </w:p>
    <w:p w:rsidR="00826106" w:rsidRPr="00F2253C" w:rsidRDefault="00826106" w:rsidP="00826106">
      <w:pPr>
        <w:pStyle w:val="Prrafodelista"/>
        <w:rPr>
          <w:rFonts w:ascii="Palatino Linotype" w:eastAsia="Palatino Linotype" w:hAnsi="Palatino Linotype" w:cs="Palatino Linotype"/>
          <w:b/>
          <w:bCs/>
        </w:rPr>
      </w:pPr>
    </w:p>
    <w:p w:rsidR="00826106" w:rsidRPr="00F2253C" w:rsidRDefault="00826106" w:rsidP="00826106">
      <w:pPr>
        <w:pBdr>
          <w:top w:val="nil"/>
          <w:left w:val="nil"/>
          <w:bottom w:val="nil"/>
          <w:right w:val="nil"/>
          <w:between w:val="nil"/>
        </w:pBdr>
        <w:spacing w:line="360" w:lineRule="auto"/>
        <w:ind w:right="49"/>
        <w:jc w:val="both"/>
        <w:rPr>
          <w:rFonts w:ascii="Palatino Linotype" w:eastAsia="Palatino Linotype" w:hAnsi="Palatino Linotype" w:cs="Palatino Linotype"/>
          <w:b/>
          <w:bCs/>
        </w:rPr>
      </w:pPr>
      <w:r w:rsidRPr="00F2253C">
        <w:rPr>
          <w:rFonts w:ascii="Palatino Linotype" w:eastAsia="Palatino Linotype" w:hAnsi="Palatino Linotype" w:cs="Palatino Linotype"/>
          <w:b/>
          <w:bCs/>
          <w:noProof/>
          <w:lang w:val="es-MX" w:eastAsia="es-MX"/>
        </w:rPr>
        <w:drawing>
          <wp:anchor distT="0" distB="0" distL="114300" distR="114300" simplePos="0" relativeHeight="251659264" behindDoc="0" locked="0" layoutInCell="1" allowOverlap="1">
            <wp:simplePos x="0" y="0"/>
            <wp:positionH relativeFrom="page">
              <wp:align>right</wp:align>
            </wp:positionH>
            <wp:positionV relativeFrom="paragraph">
              <wp:posOffset>-3478</wp:posOffset>
            </wp:positionV>
            <wp:extent cx="3384550" cy="1594175"/>
            <wp:effectExtent l="152400" t="152400" r="368300" b="36830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384550" cy="159417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Pr="00F2253C">
        <w:rPr>
          <w:rFonts w:ascii="Palatino Linotype" w:eastAsia="Palatino Linotype" w:hAnsi="Palatino Linotype" w:cs="Palatino Linotype"/>
          <w:b/>
          <w:bCs/>
          <w:noProof/>
          <w:lang w:val="es-MX" w:eastAsia="es-MX"/>
        </w:rPr>
        <w:drawing>
          <wp:anchor distT="0" distB="0" distL="114300" distR="114300" simplePos="0" relativeHeight="251658240" behindDoc="0" locked="0" layoutInCell="1" allowOverlap="1">
            <wp:simplePos x="0" y="0"/>
            <wp:positionH relativeFrom="column">
              <wp:posOffset>-522093</wp:posOffset>
            </wp:positionH>
            <wp:positionV relativeFrom="paragraph">
              <wp:posOffset>208109</wp:posOffset>
            </wp:positionV>
            <wp:extent cx="3261228" cy="850900"/>
            <wp:effectExtent l="152400" t="152400" r="358775" b="36830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61228" cy="85090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p w:rsidR="00B83733" w:rsidRPr="00F2253C" w:rsidRDefault="00B83733" w:rsidP="00B83733">
      <w:pPr>
        <w:rPr>
          <w:rFonts w:ascii="Palatino Linotype" w:eastAsia="Palatino Linotype" w:hAnsi="Palatino Linotype" w:cs="Palatino Linotype"/>
          <w:b/>
          <w:bCs/>
        </w:rPr>
      </w:pPr>
    </w:p>
    <w:p w:rsidR="00B83733" w:rsidRPr="00F2253C" w:rsidRDefault="00B83733" w:rsidP="00B83733">
      <w:pPr>
        <w:rPr>
          <w:rFonts w:ascii="Palatino Linotype" w:eastAsia="Palatino Linotype" w:hAnsi="Palatino Linotype" w:cs="Palatino Linotype"/>
          <w:b/>
          <w:bCs/>
        </w:rPr>
      </w:pPr>
    </w:p>
    <w:p w:rsidR="00B83733" w:rsidRPr="00F2253C" w:rsidRDefault="00B83733" w:rsidP="00B83733">
      <w:pPr>
        <w:rPr>
          <w:rFonts w:ascii="Palatino Linotype" w:eastAsia="Palatino Linotype" w:hAnsi="Palatino Linotype" w:cs="Palatino Linotype"/>
          <w:b/>
          <w:bCs/>
        </w:rPr>
      </w:pPr>
    </w:p>
    <w:p w:rsidR="00B83733" w:rsidRPr="00F2253C" w:rsidRDefault="00B83733" w:rsidP="00B83733">
      <w:pPr>
        <w:rPr>
          <w:rFonts w:ascii="Palatino Linotype" w:eastAsia="Palatino Linotype" w:hAnsi="Palatino Linotype" w:cs="Palatino Linotype"/>
          <w:b/>
          <w:bCs/>
        </w:rPr>
      </w:pPr>
    </w:p>
    <w:p w:rsidR="00B83733" w:rsidRPr="00F2253C" w:rsidRDefault="00B83733" w:rsidP="00B83733">
      <w:pPr>
        <w:rPr>
          <w:rFonts w:ascii="Palatino Linotype" w:eastAsia="Palatino Linotype" w:hAnsi="Palatino Linotype" w:cs="Palatino Linotype"/>
          <w:b/>
          <w:bCs/>
        </w:rPr>
      </w:pPr>
    </w:p>
    <w:p w:rsidR="00B83733" w:rsidRPr="00F2253C" w:rsidRDefault="00B83733" w:rsidP="00B83733">
      <w:pPr>
        <w:rPr>
          <w:rFonts w:ascii="Palatino Linotype" w:eastAsia="Palatino Linotype" w:hAnsi="Palatino Linotype" w:cs="Palatino Linotype"/>
          <w:b/>
          <w:bCs/>
        </w:rPr>
      </w:pPr>
    </w:p>
    <w:p w:rsidR="00B83733" w:rsidRPr="00F2253C" w:rsidRDefault="00B83733" w:rsidP="00B83733">
      <w:pPr>
        <w:rPr>
          <w:rFonts w:ascii="Palatino Linotype" w:eastAsia="Palatino Linotype" w:hAnsi="Palatino Linotype" w:cs="Palatino Linotype"/>
          <w:b/>
          <w:bCs/>
        </w:rPr>
      </w:pPr>
    </w:p>
    <w:p w:rsidR="00B83733" w:rsidRPr="00F2253C" w:rsidRDefault="00B83733" w:rsidP="00B83733">
      <w:pPr>
        <w:rPr>
          <w:rFonts w:ascii="Palatino Linotype" w:eastAsia="Palatino Linotype" w:hAnsi="Palatino Linotype" w:cs="Palatino Linotype"/>
          <w:b/>
          <w:bCs/>
        </w:rPr>
      </w:pPr>
    </w:p>
    <w:p w:rsidR="00B83733" w:rsidRPr="00F2253C" w:rsidRDefault="00B83733" w:rsidP="00B83733">
      <w:pPr>
        <w:rPr>
          <w:rFonts w:ascii="Palatino Linotype" w:eastAsia="Palatino Linotype" w:hAnsi="Palatino Linotype" w:cs="Palatino Linotype"/>
          <w:b/>
          <w:bCs/>
        </w:rPr>
      </w:pPr>
    </w:p>
    <w:p w:rsidR="00B83733" w:rsidRPr="00F2253C" w:rsidRDefault="00B83733" w:rsidP="00B83733">
      <w:pPr>
        <w:rPr>
          <w:rFonts w:ascii="Palatino Linotype" w:eastAsia="Palatino Linotype" w:hAnsi="Palatino Linotype" w:cs="Palatino Linotype"/>
          <w:b/>
          <w:bCs/>
        </w:rPr>
      </w:pPr>
    </w:p>
    <w:p w:rsidR="00B83733" w:rsidRPr="00F2253C" w:rsidRDefault="00B83733" w:rsidP="00B41373">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b/>
          <w:bCs/>
        </w:rPr>
      </w:pPr>
      <w:r w:rsidRPr="00F2253C">
        <w:rPr>
          <w:rFonts w:ascii="Palatino Linotype" w:eastAsia="Palatino Linotype" w:hAnsi="Palatino Linotype" w:cs="Palatino Linotype"/>
          <w:bCs/>
        </w:rPr>
        <w:t xml:space="preserve">De lo anterior, se tiene que el </w:t>
      </w:r>
      <w:r w:rsidRPr="00F2253C">
        <w:rPr>
          <w:rFonts w:ascii="Palatino Linotype" w:eastAsia="Palatino Linotype" w:hAnsi="Palatino Linotype" w:cs="Palatino Linotype"/>
          <w:b/>
          <w:bCs/>
        </w:rPr>
        <w:t xml:space="preserve">SUJETO OBLIGADO </w:t>
      </w:r>
      <w:r w:rsidRPr="00F2253C">
        <w:rPr>
          <w:rFonts w:ascii="Palatino Linotype" w:eastAsia="Palatino Linotype" w:hAnsi="Palatino Linotype" w:cs="Palatino Linotype"/>
          <w:bCs/>
        </w:rPr>
        <w:t xml:space="preserve">no informo acerca de si posterior a la autorización del dictamen de factibilidad el mismo puede ser revocado, situación por la cual este punto de la solicitud de información no puede tener por colmado. </w:t>
      </w:r>
    </w:p>
    <w:p w:rsidR="00D32FB8" w:rsidRPr="00F2253C" w:rsidRDefault="00D32FB8" w:rsidP="00D32FB8">
      <w:pPr>
        <w:pBdr>
          <w:top w:val="nil"/>
          <w:left w:val="nil"/>
          <w:bottom w:val="nil"/>
          <w:right w:val="nil"/>
          <w:between w:val="nil"/>
        </w:pBdr>
        <w:spacing w:line="360" w:lineRule="auto"/>
        <w:ind w:right="49"/>
        <w:jc w:val="both"/>
        <w:rPr>
          <w:rFonts w:ascii="Palatino Linotype" w:eastAsia="Palatino Linotype" w:hAnsi="Palatino Linotype" w:cs="Palatino Linotype"/>
          <w:b/>
          <w:bCs/>
        </w:rPr>
      </w:pPr>
    </w:p>
    <w:p w:rsidR="00D32FB8" w:rsidRPr="00F2253C" w:rsidRDefault="00D32FB8" w:rsidP="00B41373">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b/>
          <w:bCs/>
        </w:rPr>
      </w:pPr>
      <w:r w:rsidRPr="00F2253C">
        <w:rPr>
          <w:rFonts w:ascii="Palatino Linotype" w:eastAsia="Palatino Linotype" w:hAnsi="Palatino Linotype" w:cs="Palatino Linotype"/>
          <w:bCs/>
        </w:rPr>
        <w:lastRenderedPageBreak/>
        <w:t xml:space="preserve">En consecuencia, </w:t>
      </w:r>
      <w:r w:rsidR="00D92444" w:rsidRPr="00F2253C">
        <w:rPr>
          <w:rFonts w:ascii="Palatino Linotype" w:eastAsia="Palatino Linotype" w:hAnsi="Palatino Linotype" w:cs="Palatino Linotype"/>
          <w:bCs/>
        </w:rPr>
        <w:t xml:space="preserve">se tiene que la Subdirección de Recaudación y Factibilidades, de conformidad por el Manual de Organización del </w:t>
      </w:r>
      <w:r w:rsidR="00D92444" w:rsidRPr="00F2253C">
        <w:rPr>
          <w:rFonts w:ascii="Palatino Linotype" w:eastAsia="Palatino Linotype" w:hAnsi="Palatino Linotype" w:cs="Palatino Linotype"/>
          <w:b/>
          <w:bCs/>
        </w:rPr>
        <w:t xml:space="preserve">SUJETO OBLIGADO </w:t>
      </w:r>
      <w:r w:rsidR="00D92444" w:rsidRPr="00F2253C">
        <w:rPr>
          <w:rFonts w:ascii="Palatino Linotype" w:eastAsia="Palatino Linotype" w:hAnsi="Palatino Linotype" w:cs="Palatino Linotype"/>
          <w:bCs/>
        </w:rPr>
        <w:t>tiene las siguientes funciones.</w:t>
      </w:r>
    </w:p>
    <w:p w:rsidR="00D92444" w:rsidRPr="00F2253C" w:rsidRDefault="00D92444" w:rsidP="00D92444">
      <w:pPr>
        <w:pStyle w:val="Prrafodelista"/>
        <w:rPr>
          <w:rFonts w:ascii="Palatino Linotype" w:eastAsia="Palatino Linotype" w:hAnsi="Palatino Linotype" w:cs="Palatino Linotype"/>
          <w:b/>
          <w:bCs/>
        </w:rPr>
      </w:pPr>
    </w:p>
    <w:p w:rsidR="00443E87" w:rsidRPr="00F2253C" w:rsidRDefault="007C3D42" w:rsidP="007C3D42">
      <w:pPr>
        <w:pBdr>
          <w:top w:val="nil"/>
          <w:left w:val="nil"/>
          <w:bottom w:val="nil"/>
          <w:right w:val="nil"/>
          <w:between w:val="nil"/>
        </w:pBdr>
        <w:ind w:left="1134" w:right="1843"/>
        <w:jc w:val="both"/>
        <w:rPr>
          <w:rFonts w:ascii="Palatino Linotype" w:eastAsia="Palatino Linotype" w:hAnsi="Palatino Linotype" w:cs="Palatino Linotype"/>
          <w:b/>
          <w:bCs/>
          <w:i/>
        </w:rPr>
      </w:pPr>
      <w:r w:rsidRPr="00F2253C">
        <w:rPr>
          <w:rFonts w:ascii="Palatino Linotype" w:eastAsia="Palatino Linotype" w:hAnsi="Palatino Linotype" w:cs="Palatino Linotype"/>
          <w:b/>
          <w:bCs/>
          <w:i/>
        </w:rPr>
        <w:t xml:space="preserve">5.2 SUBDIRECCIÓN DE RECAUDACIÓN Y FACTIBILIDADES. OBJETIVO: </w:t>
      </w:r>
    </w:p>
    <w:p w:rsidR="00443E87" w:rsidRPr="00F2253C" w:rsidRDefault="007C3D42" w:rsidP="007C3D42">
      <w:pPr>
        <w:pBdr>
          <w:top w:val="nil"/>
          <w:left w:val="nil"/>
          <w:bottom w:val="nil"/>
          <w:right w:val="nil"/>
          <w:between w:val="nil"/>
        </w:pBdr>
        <w:ind w:left="1134" w:right="1843"/>
        <w:jc w:val="both"/>
        <w:rPr>
          <w:rFonts w:ascii="Palatino Linotype" w:eastAsia="Palatino Linotype" w:hAnsi="Palatino Linotype" w:cs="Palatino Linotype"/>
          <w:b/>
          <w:bCs/>
          <w:i/>
        </w:rPr>
      </w:pPr>
      <w:r w:rsidRPr="00F2253C">
        <w:rPr>
          <w:rFonts w:ascii="Palatino Linotype" w:eastAsia="Palatino Linotype" w:hAnsi="Palatino Linotype" w:cs="Palatino Linotype"/>
          <w:bCs/>
          <w:i/>
        </w:rPr>
        <w:t>Coordinarse con la Dirección de Finanzas, la Dirección General y la Dirección de Infraestructura Hidráulica para la elaboración del Presupuesto de Pago de Derechos para la emisión de los Dictámenes de Factibilidad de Existencia y Dotación de los Servicios de Agua Potable Drenaje, Alcantarillado y Saneamiento inherentes a las solicitudes previas del mismo, en desarrollos habitacionales, industriales y de servicio; así mismo el área de Factibilidades, así como las inspecciones y visitas para determinar el mismo.</w:t>
      </w:r>
      <w:r w:rsidRPr="00F2253C">
        <w:rPr>
          <w:rFonts w:ascii="Palatino Linotype" w:eastAsia="Palatino Linotype" w:hAnsi="Palatino Linotype" w:cs="Palatino Linotype"/>
          <w:b/>
          <w:bCs/>
          <w:i/>
        </w:rPr>
        <w:t xml:space="preserve"> </w:t>
      </w:r>
    </w:p>
    <w:p w:rsidR="00443E87" w:rsidRPr="00F2253C" w:rsidRDefault="007C3D42" w:rsidP="007C3D42">
      <w:pPr>
        <w:pBdr>
          <w:top w:val="nil"/>
          <w:left w:val="nil"/>
          <w:bottom w:val="nil"/>
          <w:right w:val="nil"/>
          <w:between w:val="nil"/>
        </w:pBdr>
        <w:ind w:left="1134" w:right="1843"/>
        <w:jc w:val="both"/>
        <w:rPr>
          <w:i/>
        </w:rPr>
      </w:pPr>
      <w:r w:rsidRPr="00F2253C">
        <w:rPr>
          <w:rFonts w:ascii="Palatino Linotype" w:eastAsia="Palatino Linotype" w:hAnsi="Palatino Linotype" w:cs="Palatino Linotype"/>
          <w:b/>
          <w:bCs/>
          <w:i/>
        </w:rPr>
        <w:t>FUNCIONES:</w:t>
      </w:r>
      <w:r w:rsidRPr="00F2253C">
        <w:rPr>
          <w:i/>
        </w:rPr>
        <w:t xml:space="preserve"> </w:t>
      </w:r>
    </w:p>
    <w:p w:rsidR="00443E87" w:rsidRPr="00F2253C" w:rsidRDefault="007C3D42" w:rsidP="00443E87">
      <w:pPr>
        <w:pStyle w:val="Prrafodelista"/>
        <w:numPr>
          <w:ilvl w:val="0"/>
          <w:numId w:val="9"/>
        </w:numPr>
        <w:pBdr>
          <w:top w:val="nil"/>
          <w:left w:val="nil"/>
          <w:bottom w:val="nil"/>
          <w:right w:val="nil"/>
          <w:between w:val="nil"/>
        </w:pBdr>
        <w:ind w:left="1134" w:right="1843" w:firstLine="0"/>
        <w:jc w:val="both"/>
        <w:rPr>
          <w:rFonts w:ascii="Palatino Linotype" w:eastAsia="Palatino Linotype" w:hAnsi="Palatino Linotype" w:cs="Palatino Linotype"/>
          <w:b/>
          <w:bCs/>
          <w:i/>
        </w:rPr>
      </w:pPr>
      <w:r w:rsidRPr="00F2253C">
        <w:rPr>
          <w:rFonts w:ascii="Palatino Linotype" w:eastAsia="Palatino Linotype" w:hAnsi="Palatino Linotype" w:cs="Palatino Linotype"/>
          <w:b/>
          <w:bCs/>
          <w:i/>
        </w:rPr>
        <w:t xml:space="preserve">Brindar asesoría a los usuarios sobre los requisitos que deben cumplir para llevar a cabo la realización del trámite de expedición del Dictamen de Factibilidad de conformidad a lo estipulado en los artículos 137 y 137 BIS del Código Financiero del Estado de México y sus Municipios; </w:t>
      </w:r>
    </w:p>
    <w:p w:rsidR="00443E87" w:rsidRPr="00F2253C" w:rsidRDefault="007C3D42" w:rsidP="00443E87">
      <w:pPr>
        <w:pStyle w:val="Prrafodelista"/>
        <w:pBdr>
          <w:top w:val="nil"/>
          <w:left w:val="nil"/>
          <w:bottom w:val="nil"/>
          <w:right w:val="nil"/>
          <w:between w:val="nil"/>
        </w:pBdr>
        <w:ind w:left="1134" w:right="1843"/>
        <w:jc w:val="both"/>
        <w:rPr>
          <w:rFonts w:ascii="Palatino Linotype" w:eastAsia="Palatino Linotype" w:hAnsi="Palatino Linotype" w:cs="Palatino Linotype"/>
          <w:bCs/>
          <w:i/>
        </w:rPr>
      </w:pPr>
      <w:r w:rsidRPr="00F2253C">
        <w:rPr>
          <w:rFonts w:ascii="Palatino Linotype" w:eastAsia="Palatino Linotype" w:hAnsi="Palatino Linotype" w:cs="Palatino Linotype"/>
          <w:bCs/>
          <w:i/>
        </w:rPr>
        <w:t xml:space="preserve">II. Expedir una vez aprobada la factibilidad y remitidos los datos técnicos por parte del área de Estudios, Proyectos y Construcción, el cálculo de Presupuesto de Pago de Derechos de los Dictámenes de Factibilidad de Existencia y Dotación de los Servicios de Agua Potable Drenaje, Alcantarillado y Saneamiento; </w:t>
      </w:r>
    </w:p>
    <w:p w:rsidR="00443E87" w:rsidRPr="00F2253C" w:rsidRDefault="007C3D42" w:rsidP="00443E87">
      <w:pPr>
        <w:pStyle w:val="Prrafodelista"/>
        <w:pBdr>
          <w:top w:val="nil"/>
          <w:left w:val="nil"/>
          <w:bottom w:val="nil"/>
          <w:right w:val="nil"/>
          <w:between w:val="nil"/>
        </w:pBdr>
        <w:ind w:left="1134" w:right="1843"/>
        <w:jc w:val="both"/>
        <w:rPr>
          <w:rFonts w:ascii="Palatino Linotype" w:eastAsia="Palatino Linotype" w:hAnsi="Palatino Linotype" w:cs="Palatino Linotype"/>
          <w:b/>
          <w:bCs/>
          <w:i/>
        </w:rPr>
      </w:pPr>
      <w:r w:rsidRPr="00F2253C">
        <w:rPr>
          <w:rFonts w:ascii="Palatino Linotype" w:eastAsia="Palatino Linotype" w:hAnsi="Palatino Linotype" w:cs="Palatino Linotype"/>
          <w:b/>
          <w:bCs/>
          <w:i/>
        </w:rPr>
        <w:t xml:space="preserve">III. Seguimiento al trámite de la expedición del Dictamen de Factibilidad de Servicios de Agua Potable y Alcantarillado, desde la entrega del presupuesto aprobado hasta el pago del mismo, el establecimiento de conexiones de agua, drenaje y alcantarillado, así como los pagos subsecuentes bimestrales; </w:t>
      </w:r>
    </w:p>
    <w:p w:rsidR="00443E87" w:rsidRPr="00F2253C" w:rsidRDefault="007C3D42" w:rsidP="00443E87">
      <w:pPr>
        <w:pStyle w:val="Prrafodelista"/>
        <w:pBdr>
          <w:top w:val="nil"/>
          <w:left w:val="nil"/>
          <w:bottom w:val="nil"/>
          <w:right w:val="nil"/>
          <w:between w:val="nil"/>
        </w:pBdr>
        <w:ind w:left="1134" w:right="1843"/>
        <w:jc w:val="both"/>
        <w:rPr>
          <w:rFonts w:ascii="Palatino Linotype" w:eastAsia="Palatino Linotype" w:hAnsi="Palatino Linotype" w:cs="Palatino Linotype"/>
          <w:bCs/>
          <w:i/>
        </w:rPr>
      </w:pPr>
      <w:r w:rsidRPr="00F2253C">
        <w:rPr>
          <w:rFonts w:ascii="Palatino Linotype" w:eastAsia="Palatino Linotype" w:hAnsi="Palatino Linotype" w:cs="Palatino Linotype"/>
          <w:bCs/>
          <w:i/>
        </w:rPr>
        <w:lastRenderedPageBreak/>
        <w:t xml:space="preserve">IV. Coordinar y supervisar las acciones relacionadas con la recaudación de los ingresos por el concepto del pago de Dictamen de Factibilidad, así como su depósito y registro correspondiente; </w:t>
      </w:r>
    </w:p>
    <w:p w:rsidR="00443E87" w:rsidRPr="00F2253C" w:rsidRDefault="007C3D42" w:rsidP="00443E87">
      <w:pPr>
        <w:pStyle w:val="Prrafodelista"/>
        <w:pBdr>
          <w:top w:val="nil"/>
          <w:left w:val="nil"/>
          <w:bottom w:val="nil"/>
          <w:right w:val="nil"/>
          <w:between w:val="nil"/>
        </w:pBdr>
        <w:ind w:left="1134" w:right="1843"/>
        <w:jc w:val="both"/>
        <w:rPr>
          <w:rFonts w:ascii="Palatino Linotype" w:eastAsia="Palatino Linotype" w:hAnsi="Palatino Linotype" w:cs="Palatino Linotype"/>
          <w:bCs/>
          <w:i/>
        </w:rPr>
      </w:pPr>
      <w:r w:rsidRPr="00F2253C">
        <w:rPr>
          <w:rFonts w:ascii="Palatino Linotype" w:eastAsia="Palatino Linotype" w:hAnsi="Palatino Linotype" w:cs="Palatino Linotype"/>
          <w:bCs/>
          <w:i/>
        </w:rPr>
        <w:t xml:space="preserve">V. Ordenar la aplicación del Procedimiento Administrativo de Ejecución, con la finalidad de hacer efectivos los adeudos fiscales que los contribuyentes no hayan pagado oportuna y voluntariamente, supervisar cada una de sus etapas y designar a los notificadores, ejecutores encargados de llevar a cabo dicho procedimiento; </w:t>
      </w:r>
    </w:p>
    <w:p w:rsidR="00443E87" w:rsidRPr="00F2253C" w:rsidRDefault="007C3D42" w:rsidP="00443E87">
      <w:pPr>
        <w:pStyle w:val="Prrafodelista"/>
        <w:pBdr>
          <w:top w:val="nil"/>
          <w:left w:val="nil"/>
          <w:bottom w:val="nil"/>
          <w:right w:val="nil"/>
          <w:between w:val="nil"/>
        </w:pBdr>
        <w:ind w:left="1134" w:right="1843"/>
        <w:jc w:val="both"/>
        <w:rPr>
          <w:rFonts w:ascii="Palatino Linotype" w:eastAsia="Palatino Linotype" w:hAnsi="Palatino Linotype" w:cs="Palatino Linotype"/>
          <w:bCs/>
          <w:i/>
        </w:rPr>
      </w:pPr>
      <w:r w:rsidRPr="00F2253C">
        <w:rPr>
          <w:rFonts w:ascii="Palatino Linotype" w:eastAsia="Palatino Linotype" w:hAnsi="Palatino Linotype" w:cs="Palatino Linotype"/>
          <w:bCs/>
          <w:i/>
        </w:rPr>
        <w:t xml:space="preserve">VI. Realizar todas y cada una de las funciones de Autoridad Fiscal, contenidas en los artículos del 48 al 55 del Capítulo Cuarto del Título Segundo, del Código Financiero del Estado de México y Municipios; </w:t>
      </w:r>
    </w:p>
    <w:p w:rsidR="00443E87" w:rsidRPr="00F2253C" w:rsidRDefault="007C3D42" w:rsidP="00443E87">
      <w:pPr>
        <w:pStyle w:val="Prrafodelista"/>
        <w:pBdr>
          <w:top w:val="nil"/>
          <w:left w:val="nil"/>
          <w:bottom w:val="nil"/>
          <w:right w:val="nil"/>
          <w:between w:val="nil"/>
        </w:pBdr>
        <w:ind w:left="1134" w:right="1843"/>
        <w:jc w:val="both"/>
        <w:rPr>
          <w:rFonts w:ascii="Palatino Linotype" w:eastAsia="Palatino Linotype" w:hAnsi="Palatino Linotype" w:cs="Palatino Linotype"/>
          <w:bCs/>
          <w:i/>
        </w:rPr>
      </w:pPr>
      <w:r w:rsidRPr="00F2253C">
        <w:rPr>
          <w:rFonts w:ascii="Palatino Linotype" w:eastAsia="Palatino Linotype" w:hAnsi="Palatino Linotype" w:cs="Palatino Linotype"/>
          <w:bCs/>
          <w:i/>
        </w:rPr>
        <w:t xml:space="preserve">VII. Ejercer las facultades establecidas en los artículos 151 al 159 de la Ley del Agua para el Estado de México y Municipios; </w:t>
      </w:r>
    </w:p>
    <w:p w:rsidR="00443E87" w:rsidRPr="00F2253C" w:rsidRDefault="007C3D42" w:rsidP="00443E87">
      <w:pPr>
        <w:pStyle w:val="Prrafodelista"/>
        <w:pBdr>
          <w:top w:val="nil"/>
          <w:left w:val="nil"/>
          <w:bottom w:val="nil"/>
          <w:right w:val="nil"/>
          <w:between w:val="nil"/>
        </w:pBdr>
        <w:ind w:left="1134" w:right="1843"/>
        <w:jc w:val="both"/>
        <w:rPr>
          <w:rFonts w:ascii="Palatino Linotype" w:eastAsia="Palatino Linotype" w:hAnsi="Palatino Linotype" w:cs="Palatino Linotype"/>
          <w:b/>
          <w:bCs/>
          <w:i/>
        </w:rPr>
      </w:pPr>
      <w:r w:rsidRPr="00F2253C">
        <w:rPr>
          <w:rFonts w:ascii="Palatino Linotype" w:eastAsia="Palatino Linotype" w:hAnsi="Palatino Linotype" w:cs="Palatino Linotype"/>
          <w:b/>
          <w:bCs/>
          <w:i/>
        </w:rPr>
        <w:t xml:space="preserve">VIII. Establecer las reglas para controlar la forma de levantar y ejecutar las infracciones y sanciones administrativas a toda aquella persona que infrinja el uso y aprovechamiento de los servicios del suministro de agua potable, alcantarillado y saneamiento que brinda el Organismo en los términos que establece la Ley del Agua del Estado de México y Municipios y demás ordenamientos jurídicos relativos aplicables. </w:t>
      </w:r>
    </w:p>
    <w:p w:rsidR="00443E87" w:rsidRPr="00F2253C" w:rsidRDefault="007C3D42" w:rsidP="00443E87">
      <w:pPr>
        <w:pStyle w:val="Prrafodelista"/>
        <w:pBdr>
          <w:top w:val="nil"/>
          <w:left w:val="nil"/>
          <w:bottom w:val="nil"/>
          <w:right w:val="nil"/>
          <w:between w:val="nil"/>
        </w:pBdr>
        <w:ind w:left="1134" w:right="1843"/>
        <w:jc w:val="both"/>
        <w:rPr>
          <w:rFonts w:ascii="Palatino Linotype" w:eastAsia="Palatino Linotype" w:hAnsi="Palatino Linotype" w:cs="Palatino Linotype"/>
          <w:bCs/>
          <w:i/>
        </w:rPr>
      </w:pPr>
      <w:r w:rsidRPr="00F2253C">
        <w:rPr>
          <w:rFonts w:ascii="Palatino Linotype" w:eastAsia="Palatino Linotype" w:hAnsi="Palatino Linotype" w:cs="Palatino Linotype"/>
          <w:bCs/>
          <w:i/>
        </w:rPr>
        <w:t>IX. Promover convenios con los usuarios morosos para cubrir su adeudo con el Organismo de manera diferida y/o parcialidades con autorización de la Dirección General.</w:t>
      </w:r>
      <w:r w:rsidRPr="00F2253C">
        <w:rPr>
          <w:i/>
        </w:rPr>
        <w:t xml:space="preserve"> </w:t>
      </w:r>
    </w:p>
    <w:p w:rsidR="00443E87" w:rsidRPr="00F2253C" w:rsidRDefault="007C3D42" w:rsidP="00443E87">
      <w:pPr>
        <w:pStyle w:val="Prrafodelista"/>
        <w:pBdr>
          <w:top w:val="nil"/>
          <w:left w:val="nil"/>
          <w:bottom w:val="nil"/>
          <w:right w:val="nil"/>
          <w:between w:val="nil"/>
        </w:pBdr>
        <w:ind w:left="1134" w:right="1843"/>
        <w:jc w:val="both"/>
        <w:rPr>
          <w:rFonts w:ascii="Palatino Linotype" w:eastAsia="Palatino Linotype" w:hAnsi="Palatino Linotype" w:cs="Palatino Linotype"/>
          <w:bCs/>
          <w:i/>
        </w:rPr>
      </w:pPr>
      <w:r w:rsidRPr="00F2253C">
        <w:rPr>
          <w:rFonts w:ascii="Palatino Linotype" w:eastAsia="Palatino Linotype" w:hAnsi="Palatino Linotype" w:cs="Palatino Linotype"/>
          <w:bCs/>
          <w:i/>
        </w:rPr>
        <w:t xml:space="preserve">X. Dirigir y supervisar con participación de la Subdirección de Comercialización la integración de trabajo en equipo en el ejercicio de las funciones asignadas, así como promover la capacitación y el desempeño del personal adscrito a la Subdirección. </w:t>
      </w:r>
    </w:p>
    <w:p w:rsidR="00D92444" w:rsidRPr="00F2253C" w:rsidRDefault="007C3D42" w:rsidP="00443E87">
      <w:pPr>
        <w:pStyle w:val="Prrafodelista"/>
        <w:pBdr>
          <w:top w:val="nil"/>
          <w:left w:val="nil"/>
          <w:bottom w:val="nil"/>
          <w:right w:val="nil"/>
          <w:between w:val="nil"/>
        </w:pBdr>
        <w:ind w:left="1134" w:right="1843"/>
        <w:jc w:val="both"/>
        <w:rPr>
          <w:rFonts w:ascii="Palatino Linotype" w:eastAsia="Palatino Linotype" w:hAnsi="Palatino Linotype" w:cs="Palatino Linotype"/>
          <w:bCs/>
          <w:i/>
        </w:rPr>
      </w:pPr>
      <w:r w:rsidRPr="00F2253C">
        <w:rPr>
          <w:rFonts w:ascii="Palatino Linotype" w:eastAsia="Palatino Linotype" w:hAnsi="Palatino Linotype" w:cs="Palatino Linotype"/>
          <w:bCs/>
          <w:i/>
        </w:rPr>
        <w:t>XI. Coordinar las acciones para la recaudación, así como para la recuperación e inventario de créditos fiscales mediante la instrumentación del procedimiento administrativo de ejecución y la celebración de convenio de pago en parcialidades y la restricción</w:t>
      </w:r>
      <w:r w:rsidRPr="00F2253C">
        <w:rPr>
          <w:rFonts w:ascii="Palatino Linotype" w:eastAsia="Palatino Linotype" w:hAnsi="Palatino Linotype" w:cs="Palatino Linotype"/>
          <w:b/>
          <w:bCs/>
          <w:i/>
        </w:rPr>
        <w:t xml:space="preserve"> </w:t>
      </w:r>
      <w:r w:rsidRPr="00F2253C">
        <w:rPr>
          <w:rFonts w:ascii="Palatino Linotype" w:eastAsia="Palatino Linotype" w:hAnsi="Palatino Linotype" w:cs="Palatino Linotype"/>
          <w:bCs/>
          <w:i/>
        </w:rPr>
        <w:t>de los servicios, de acuerdo con las disposiciones legales aplicables</w:t>
      </w:r>
    </w:p>
    <w:p w:rsidR="00D92444" w:rsidRPr="00F2253C" w:rsidRDefault="00D92444" w:rsidP="00D92444">
      <w:pPr>
        <w:pStyle w:val="Prrafodelista"/>
        <w:rPr>
          <w:rFonts w:ascii="Palatino Linotype" w:eastAsia="Palatino Linotype" w:hAnsi="Palatino Linotype" w:cs="Palatino Linotype"/>
          <w:bCs/>
        </w:rPr>
      </w:pPr>
    </w:p>
    <w:p w:rsidR="00B43233" w:rsidRPr="00F2253C" w:rsidRDefault="00924939" w:rsidP="00A0431D">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b/>
          <w:bCs/>
          <w:i/>
        </w:rPr>
      </w:pPr>
      <w:r w:rsidRPr="00F2253C">
        <w:rPr>
          <w:rFonts w:ascii="Palatino Linotype" w:eastAsia="Palatino Linotype" w:hAnsi="Palatino Linotype" w:cs="Palatino Linotype"/>
          <w:bCs/>
        </w:rPr>
        <w:lastRenderedPageBreak/>
        <w:t xml:space="preserve">De lo anterior, se tiene que el </w:t>
      </w:r>
      <w:r w:rsidRPr="00F2253C">
        <w:rPr>
          <w:rFonts w:ascii="Palatino Linotype" w:eastAsia="Palatino Linotype" w:hAnsi="Palatino Linotype" w:cs="Palatino Linotype"/>
          <w:b/>
          <w:bCs/>
        </w:rPr>
        <w:t xml:space="preserve">SUJETO OBLIGADO </w:t>
      </w:r>
      <w:r w:rsidRPr="00F2253C">
        <w:rPr>
          <w:rFonts w:ascii="Palatino Linotype" w:eastAsia="Palatino Linotype" w:hAnsi="Palatino Linotype" w:cs="Palatino Linotype"/>
          <w:bCs/>
        </w:rPr>
        <w:t>por medio de la Subdirección de Recaudación y Factibilidades</w:t>
      </w:r>
      <w:r w:rsidR="00B43233" w:rsidRPr="00F2253C">
        <w:rPr>
          <w:rFonts w:ascii="Palatino Linotype" w:eastAsia="Palatino Linotype" w:hAnsi="Palatino Linotype" w:cs="Palatino Linotype"/>
          <w:bCs/>
        </w:rPr>
        <w:t>, es competente para atender el punto tres de la solicitud de información, toda vez que dentro de sus funciones está el e</w:t>
      </w:r>
      <w:r w:rsidR="007C3D42" w:rsidRPr="00F2253C">
        <w:rPr>
          <w:rFonts w:ascii="Palatino Linotype" w:eastAsia="Palatino Linotype" w:hAnsi="Palatino Linotype" w:cs="Palatino Linotype"/>
          <w:bCs/>
        </w:rPr>
        <w:t>stablecer las reglas para controlar la forma de levantar y ejecutar las infracciones y sanciones administrativas a toda aquella persona que infrinja el uso y aprovechamiento de los servicios del suministro de agua potable, alcantarillado y saneamiento que brinda el Organismo en los términos que establece la Ley del Agua del Estado de México y Municipios y demás ordenamientos</w:t>
      </w:r>
      <w:r w:rsidR="00B43233" w:rsidRPr="00F2253C">
        <w:rPr>
          <w:rFonts w:ascii="Palatino Linotype" w:eastAsia="Palatino Linotype" w:hAnsi="Palatino Linotype" w:cs="Palatino Linotype"/>
          <w:bCs/>
        </w:rPr>
        <w:t xml:space="preserve"> jurídicos relativos aplicables, situación de lo cual podría derivarse la revocación del dictamen único de factibilidad. </w:t>
      </w:r>
    </w:p>
    <w:p w:rsidR="00B43233" w:rsidRPr="00F2253C" w:rsidRDefault="00B43233" w:rsidP="00B43233">
      <w:pPr>
        <w:spacing w:line="360" w:lineRule="auto"/>
        <w:ind w:right="49"/>
        <w:jc w:val="both"/>
        <w:rPr>
          <w:rFonts w:ascii="Palatino Linotype" w:eastAsia="Palatino Linotype" w:hAnsi="Palatino Linotype" w:cs="Palatino Linotype"/>
          <w:b/>
          <w:bCs/>
          <w:i/>
        </w:rPr>
      </w:pPr>
    </w:p>
    <w:p w:rsidR="00D92444" w:rsidRPr="00F2253C" w:rsidRDefault="00A0431D" w:rsidP="00B41373">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b/>
          <w:bCs/>
        </w:rPr>
      </w:pPr>
      <w:r w:rsidRPr="00F2253C">
        <w:rPr>
          <w:rFonts w:ascii="Palatino Linotype" w:eastAsia="Palatino Linotype" w:hAnsi="Palatino Linotype" w:cs="Palatino Linotype"/>
          <w:bCs/>
        </w:rPr>
        <w:t xml:space="preserve">Seguidamente, se tiene que el Reglamento de la </w:t>
      </w:r>
      <w:r w:rsidR="00B43233" w:rsidRPr="00F2253C">
        <w:rPr>
          <w:rFonts w:ascii="Palatino Linotype" w:eastAsia="Palatino Linotype" w:hAnsi="Palatino Linotype" w:cs="Palatino Linotype"/>
          <w:bCs/>
        </w:rPr>
        <w:t>Ley del Agua del Estado de México y Municipios en su art</w:t>
      </w:r>
      <w:r w:rsidRPr="00F2253C">
        <w:rPr>
          <w:rFonts w:ascii="Palatino Linotype" w:eastAsia="Palatino Linotype" w:hAnsi="Palatino Linotype" w:cs="Palatino Linotype"/>
          <w:bCs/>
        </w:rPr>
        <w:t>ículo 259</w:t>
      </w:r>
      <w:r w:rsidR="00B43233" w:rsidRPr="00F2253C">
        <w:rPr>
          <w:rFonts w:ascii="Palatino Linotype" w:eastAsia="Palatino Linotype" w:hAnsi="Palatino Linotype" w:cs="Palatino Linotype"/>
          <w:bCs/>
        </w:rPr>
        <w:t>, regula que los permisos pueden ser revocados</w:t>
      </w:r>
      <w:r w:rsidRPr="00F2253C">
        <w:rPr>
          <w:rFonts w:ascii="Palatino Linotype" w:eastAsia="Palatino Linotype" w:hAnsi="Palatino Linotype" w:cs="Palatino Linotype"/>
          <w:bCs/>
        </w:rPr>
        <w:t xml:space="preserve"> por la autoridad otorgante en este caso el </w:t>
      </w:r>
      <w:r w:rsidRPr="00F2253C">
        <w:rPr>
          <w:rFonts w:ascii="Palatino Linotype" w:eastAsia="Palatino Linotype" w:hAnsi="Palatino Linotype" w:cs="Palatino Linotype"/>
          <w:b/>
          <w:bCs/>
          <w:color w:val="000000"/>
        </w:rPr>
        <w:t>Organismo Público Descentralizado para la Prestación de Los Servicios de Agua Potable Alcantarillado y Saneamiento del Municipio de Lerma</w:t>
      </w:r>
      <w:r w:rsidR="00B43233" w:rsidRPr="00F2253C">
        <w:rPr>
          <w:rFonts w:ascii="Palatino Linotype" w:eastAsia="Palatino Linotype" w:hAnsi="Palatino Linotype" w:cs="Palatino Linotype"/>
          <w:bCs/>
        </w:rPr>
        <w:t xml:space="preserve">, </w:t>
      </w:r>
      <w:r w:rsidR="003366A0" w:rsidRPr="00F2253C">
        <w:rPr>
          <w:rFonts w:ascii="Palatino Linotype" w:eastAsia="Palatino Linotype" w:hAnsi="Palatino Linotype" w:cs="Palatino Linotype"/>
          <w:bCs/>
        </w:rPr>
        <w:t xml:space="preserve">situación por la cual se tiene que el </w:t>
      </w:r>
      <w:r w:rsidR="003366A0" w:rsidRPr="00F2253C">
        <w:rPr>
          <w:rFonts w:ascii="Palatino Linotype" w:eastAsia="Palatino Linotype" w:hAnsi="Palatino Linotype" w:cs="Palatino Linotype"/>
          <w:b/>
          <w:bCs/>
        </w:rPr>
        <w:t xml:space="preserve">SUJETO OBLIGADO </w:t>
      </w:r>
      <w:r w:rsidR="003366A0" w:rsidRPr="00F2253C">
        <w:rPr>
          <w:rFonts w:ascii="Palatino Linotype" w:eastAsia="Palatino Linotype" w:hAnsi="Palatino Linotype" w:cs="Palatino Linotype"/>
          <w:bCs/>
        </w:rPr>
        <w:t xml:space="preserve">debe contar con la información para notificar al </w:t>
      </w:r>
      <w:r w:rsidR="003366A0" w:rsidRPr="00F2253C">
        <w:rPr>
          <w:rFonts w:ascii="Palatino Linotype" w:eastAsia="Palatino Linotype" w:hAnsi="Palatino Linotype" w:cs="Palatino Linotype"/>
          <w:b/>
          <w:bCs/>
        </w:rPr>
        <w:t xml:space="preserve">RECURRENTE </w:t>
      </w:r>
      <w:r w:rsidR="003366A0" w:rsidRPr="00F2253C">
        <w:rPr>
          <w:rFonts w:ascii="Palatino Linotype" w:eastAsia="Palatino Linotype" w:hAnsi="Palatino Linotype" w:cs="Palatino Linotype"/>
          <w:bCs/>
        </w:rPr>
        <w:t xml:space="preserve">si una vez autorizado el dictamen único de factibilidad puede ser revocado. </w:t>
      </w:r>
    </w:p>
    <w:p w:rsidR="00A0431D" w:rsidRPr="00F2253C" w:rsidRDefault="00A0431D" w:rsidP="00A0431D">
      <w:pPr>
        <w:pStyle w:val="Prrafodelista"/>
        <w:rPr>
          <w:rFonts w:ascii="Palatino Linotype" w:eastAsia="Palatino Linotype" w:hAnsi="Palatino Linotype" w:cs="Palatino Linotype"/>
          <w:b/>
          <w:bCs/>
        </w:rPr>
      </w:pPr>
    </w:p>
    <w:p w:rsidR="00A0431D" w:rsidRPr="00F2253C" w:rsidRDefault="00A0431D" w:rsidP="00B41373">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b/>
          <w:bCs/>
        </w:rPr>
      </w:pPr>
      <w:r w:rsidRPr="00F2253C">
        <w:rPr>
          <w:rFonts w:ascii="Palatino Linotype" w:eastAsia="Palatino Linotype" w:hAnsi="Palatino Linotype" w:cs="Palatino Linotype"/>
          <w:bCs/>
        </w:rPr>
        <w:t>Lo anterior, relaciona con el artículo 150 de la Ley del Agua del Estado de México y Municipios, que regula la validación de los dictámenes mediante la evaluación técnica en materia de distribución de agua, así como la de agua, drenaje, alcantarillado y tratamiento de aguas residuales</w:t>
      </w:r>
    </w:p>
    <w:p w:rsidR="00B83733" w:rsidRPr="00F2253C" w:rsidRDefault="00B83733" w:rsidP="00B83733">
      <w:pPr>
        <w:pStyle w:val="Prrafodelista"/>
        <w:rPr>
          <w:rFonts w:ascii="Palatino Linotype" w:eastAsia="Palatino Linotype" w:hAnsi="Palatino Linotype" w:cs="Palatino Linotype"/>
          <w:b/>
          <w:bCs/>
        </w:rPr>
      </w:pPr>
    </w:p>
    <w:p w:rsidR="000C1B85" w:rsidRPr="00F2253C" w:rsidRDefault="000C1B85" w:rsidP="00A0431D">
      <w:pPr>
        <w:numPr>
          <w:ilvl w:val="0"/>
          <w:numId w:val="1"/>
        </w:numPr>
        <w:pBdr>
          <w:top w:val="nil"/>
          <w:left w:val="nil"/>
          <w:bottom w:val="nil"/>
          <w:right w:val="nil"/>
          <w:between w:val="nil"/>
        </w:pBdr>
        <w:spacing w:line="360" w:lineRule="auto"/>
        <w:ind w:left="0" w:right="49" w:firstLine="0"/>
        <w:jc w:val="both"/>
        <w:rPr>
          <w:rFonts w:ascii="Palatino Linotype" w:hAnsi="Palatino Linotype" w:cs="Arial"/>
        </w:rPr>
      </w:pPr>
      <w:r w:rsidRPr="00F2253C">
        <w:rPr>
          <w:rFonts w:ascii="Palatino Linotype" w:hAnsi="Palatino Linotype" w:cs="Arial"/>
        </w:rPr>
        <w:lastRenderedPageBreak/>
        <w:t xml:space="preserve">En esa línea, se determina que el </w:t>
      </w:r>
      <w:r w:rsidRPr="00F2253C">
        <w:rPr>
          <w:rFonts w:ascii="Palatino Linotype" w:hAnsi="Palatino Linotype" w:cs="Arial"/>
          <w:b/>
        </w:rPr>
        <w:t xml:space="preserve">SUJETO OBLIGADO </w:t>
      </w:r>
      <w:r w:rsidRPr="00F2253C">
        <w:rPr>
          <w:rFonts w:ascii="Palatino Linotype" w:hAnsi="Palatino Linotype" w:cs="Arial"/>
        </w:rPr>
        <w:t xml:space="preserve">cuenta con los fundamentos legales para colmar la pretensión del </w:t>
      </w:r>
      <w:r w:rsidRPr="00F2253C">
        <w:rPr>
          <w:rFonts w:ascii="Palatino Linotype" w:hAnsi="Palatino Linotype" w:cs="Arial"/>
          <w:b/>
        </w:rPr>
        <w:t xml:space="preserve">RECURRENTE </w:t>
      </w:r>
      <w:r w:rsidRPr="00F2253C">
        <w:rPr>
          <w:rFonts w:ascii="Palatino Linotype" w:hAnsi="Palatino Linotype" w:cs="Arial"/>
        </w:rPr>
        <w:t xml:space="preserve">en cuanto al punto número tres de la solicitud de información. </w:t>
      </w:r>
    </w:p>
    <w:p w:rsidR="00826106" w:rsidRPr="00F2253C" w:rsidRDefault="00826106" w:rsidP="00826106">
      <w:pPr>
        <w:pStyle w:val="Prrafodelista"/>
        <w:rPr>
          <w:rFonts w:ascii="Palatino Linotype" w:hAnsi="Palatino Linotype" w:cs="Arial"/>
        </w:rPr>
      </w:pPr>
    </w:p>
    <w:p w:rsidR="00826106" w:rsidRPr="00F2253C" w:rsidRDefault="00826106" w:rsidP="00826106">
      <w:pPr>
        <w:numPr>
          <w:ilvl w:val="0"/>
          <w:numId w:val="1"/>
        </w:numPr>
        <w:pBdr>
          <w:top w:val="nil"/>
          <w:left w:val="nil"/>
          <w:bottom w:val="nil"/>
          <w:right w:val="nil"/>
          <w:between w:val="nil"/>
        </w:pBdr>
        <w:spacing w:line="360" w:lineRule="auto"/>
        <w:ind w:left="0" w:right="49" w:firstLine="0"/>
        <w:jc w:val="both"/>
        <w:rPr>
          <w:rFonts w:ascii="Palatino Linotype" w:hAnsi="Palatino Linotype" w:cs="Arial"/>
        </w:rPr>
      </w:pPr>
      <w:r w:rsidRPr="00F2253C">
        <w:rPr>
          <w:rFonts w:ascii="Palatino Linotype" w:hAnsi="Palatino Linotype" w:cs="Arial"/>
        </w:rPr>
        <w:t xml:space="preserve">Finalmente, si bien es cierto lo solicitado es una pregunta también lo es que existe una expresión documental que colma la solicitud misma que fue analizada en párrafos anteriores. </w:t>
      </w:r>
    </w:p>
    <w:p w:rsidR="000C1B85" w:rsidRPr="00F2253C" w:rsidRDefault="000C1B85" w:rsidP="000C1B85">
      <w:pPr>
        <w:pStyle w:val="Prrafodelista"/>
        <w:rPr>
          <w:rFonts w:ascii="Palatino Linotype" w:eastAsia="Arial Unicode MS" w:hAnsi="Palatino Linotype" w:cs="Arial"/>
        </w:rPr>
      </w:pPr>
    </w:p>
    <w:p w:rsidR="0046681E" w:rsidRPr="00F2253C" w:rsidRDefault="0046681E" w:rsidP="00A0431D">
      <w:pPr>
        <w:numPr>
          <w:ilvl w:val="0"/>
          <w:numId w:val="1"/>
        </w:numPr>
        <w:pBdr>
          <w:top w:val="nil"/>
          <w:left w:val="nil"/>
          <w:bottom w:val="nil"/>
          <w:right w:val="nil"/>
          <w:between w:val="nil"/>
        </w:pBdr>
        <w:spacing w:line="360" w:lineRule="auto"/>
        <w:ind w:left="0" w:right="49" w:firstLine="0"/>
        <w:jc w:val="both"/>
        <w:rPr>
          <w:rFonts w:ascii="Palatino Linotype" w:hAnsi="Palatino Linotype" w:cs="Arial"/>
        </w:rPr>
      </w:pPr>
      <w:r w:rsidRPr="00F2253C">
        <w:rPr>
          <w:rFonts w:ascii="Palatino Linotype" w:eastAsia="Arial Unicode MS" w:hAnsi="Palatino Linotype" w:cs="Arial"/>
        </w:rPr>
        <w:t>Por</w:t>
      </w:r>
      <w:r w:rsidRPr="00F2253C">
        <w:rPr>
          <w:rFonts w:ascii="Palatino Linotype" w:eastAsia="MS Mincho" w:hAnsi="Palatino Linotype"/>
          <w:color w:val="000000"/>
        </w:rPr>
        <w:t xml:space="preserve"> lo </w:t>
      </w:r>
      <w:r w:rsidRPr="00F2253C">
        <w:rPr>
          <w:rFonts w:ascii="Palatino Linotype" w:eastAsia="Palatino Linotype" w:hAnsi="Palatino Linotype" w:cs="Palatino Linotype"/>
          <w:bCs/>
        </w:rPr>
        <w:t>anteriormente</w:t>
      </w:r>
      <w:r w:rsidRPr="00F2253C">
        <w:rPr>
          <w:rFonts w:ascii="Palatino Linotype" w:eastAsia="MS Mincho" w:hAnsi="Palatino Linotype"/>
          <w:color w:val="000000"/>
        </w:rPr>
        <w:t xml:space="preserve"> expuesto y fundado, este Órgano Garante emite los siguientes: </w:t>
      </w:r>
    </w:p>
    <w:p w:rsidR="0046681E" w:rsidRPr="00F2253C" w:rsidRDefault="0046681E" w:rsidP="0046681E">
      <w:pPr>
        <w:pStyle w:val="Prrafodelista"/>
        <w:rPr>
          <w:rFonts w:ascii="Palatino Linotype" w:hAnsi="Palatino Linotype" w:cs="Arial"/>
        </w:rPr>
      </w:pPr>
    </w:p>
    <w:p w:rsidR="0046681E" w:rsidRPr="00F2253C" w:rsidRDefault="0046681E" w:rsidP="0046681E">
      <w:pPr>
        <w:pStyle w:val="Sinespaciado"/>
        <w:spacing w:line="360" w:lineRule="auto"/>
        <w:jc w:val="both"/>
        <w:rPr>
          <w:rFonts w:ascii="Palatino Linotype" w:hAnsi="Palatino Linotype" w:cs="Arial"/>
        </w:rPr>
      </w:pPr>
    </w:p>
    <w:p w:rsidR="0046681E" w:rsidRPr="00F2253C" w:rsidRDefault="0046681E" w:rsidP="0046681E">
      <w:pPr>
        <w:pStyle w:val="Ttulo1"/>
        <w:spacing w:before="0" w:line="360" w:lineRule="auto"/>
        <w:jc w:val="center"/>
        <w:rPr>
          <w:rFonts w:ascii="Palatino Linotype" w:hAnsi="Palatino Linotype"/>
          <w:b/>
          <w:color w:val="000000" w:themeColor="text1"/>
          <w:sz w:val="24"/>
          <w:szCs w:val="24"/>
        </w:rPr>
      </w:pPr>
      <w:bookmarkStart w:id="20" w:name="_Toc81233128"/>
      <w:r w:rsidRPr="00F2253C">
        <w:rPr>
          <w:rFonts w:ascii="Palatino Linotype" w:hAnsi="Palatino Linotype"/>
          <w:b/>
          <w:color w:val="000000" w:themeColor="text1"/>
          <w:sz w:val="24"/>
          <w:szCs w:val="24"/>
        </w:rPr>
        <w:t>R E S O L U T I V O S</w:t>
      </w:r>
      <w:bookmarkEnd w:id="15"/>
      <w:bookmarkEnd w:id="16"/>
      <w:bookmarkEnd w:id="17"/>
      <w:bookmarkEnd w:id="18"/>
      <w:bookmarkEnd w:id="20"/>
    </w:p>
    <w:p w:rsidR="0046681E" w:rsidRPr="00F2253C" w:rsidRDefault="0046681E" w:rsidP="0046681E">
      <w:pPr>
        <w:spacing w:line="360" w:lineRule="auto"/>
        <w:rPr>
          <w:rFonts w:ascii="Palatino Linotype" w:hAnsi="Palatino Linotype"/>
        </w:rPr>
      </w:pPr>
    </w:p>
    <w:p w:rsidR="0046681E" w:rsidRPr="00F2253C" w:rsidRDefault="0046681E" w:rsidP="0046681E">
      <w:pPr>
        <w:spacing w:line="360" w:lineRule="auto"/>
        <w:jc w:val="both"/>
        <w:rPr>
          <w:rFonts w:ascii="Palatino Linotype" w:eastAsia="Palatino Linotype" w:hAnsi="Palatino Linotype" w:cs="Palatino Linotype"/>
        </w:rPr>
      </w:pPr>
      <w:r w:rsidRPr="00F2253C">
        <w:rPr>
          <w:rFonts w:ascii="Palatino Linotype" w:eastAsia="Palatino Linotype" w:hAnsi="Palatino Linotype" w:cs="Palatino Linotype"/>
          <w:b/>
        </w:rPr>
        <w:t>PRIMERO</w:t>
      </w:r>
      <w:r w:rsidRPr="00F2253C">
        <w:rPr>
          <w:rFonts w:ascii="Palatino Linotype" w:eastAsia="Palatino Linotype" w:hAnsi="Palatino Linotype" w:cs="Palatino Linotype"/>
        </w:rPr>
        <w:t>. Resultan parcialmente fundadas las</w:t>
      </w:r>
      <w:r w:rsidRPr="00F2253C">
        <w:rPr>
          <w:rFonts w:ascii="Palatino Linotype" w:eastAsia="Palatino Linotype" w:hAnsi="Palatino Linotype" w:cs="Palatino Linotype"/>
          <w:b/>
        </w:rPr>
        <w:t xml:space="preserve"> </w:t>
      </w:r>
      <w:r w:rsidRPr="00F2253C">
        <w:rPr>
          <w:rFonts w:ascii="Palatino Linotype" w:eastAsia="Palatino Linotype" w:hAnsi="Palatino Linotype" w:cs="Palatino Linotype"/>
        </w:rPr>
        <w:t xml:space="preserve">razones o motivos de inconformidad hechos valer en el Recurso de Revisión </w:t>
      </w:r>
      <w:r w:rsidR="00886906" w:rsidRPr="00F2253C">
        <w:rPr>
          <w:rFonts w:ascii="Palatino Linotype" w:hAnsi="Palatino Linotype"/>
          <w:b/>
          <w:bCs/>
          <w:color w:val="000000"/>
        </w:rPr>
        <w:t>12773/INFOEM/IP/RR/2025</w:t>
      </w:r>
      <w:r w:rsidRPr="00F2253C">
        <w:rPr>
          <w:rFonts w:ascii="Palatino Linotype" w:eastAsia="Palatino Linotype" w:hAnsi="Palatino Linotype" w:cs="Palatino Linotype"/>
          <w:b/>
        </w:rPr>
        <w:t xml:space="preserve">, </w:t>
      </w:r>
      <w:r w:rsidR="000E3ACA" w:rsidRPr="00F2253C">
        <w:rPr>
          <w:rFonts w:ascii="Palatino Linotype" w:eastAsia="Palatino Linotype" w:hAnsi="Palatino Linotype" w:cs="Palatino Linotype"/>
        </w:rPr>
        <w:t xml:space="preserve">en términos del </w:t>
      </w:r>
      <w:r w:rsidR="000E3ACA" w:rsidRPr="00F2253C">
        <w:rPr>
          <w:rFonts w:ascii="Palatino Linotype" w:eastAsia="Palatino Linotype" w:hAnsi="Palatino Linotype" w:cs="Palatino Linotype"/>
          <w:b/>
        </w:rPr>
        <w:t>Considerando</w:t>
      </w:r>
      <w:r w:rsidRPr="00F2253C">
        <w:rPr>
          <w:rFonts w:ascii="Palatino Linotype" w:eastAsia="Palatino Linotype" w:hAnsi="Palatino Linotype" w:cs="Palatino Linotype"/>
        </w:rPr>
        <w:t xml:space="preserve"> </w:t>
      </w:r>
      <w:r w:rsidRPr="00F2253C">
        <w:rPr>
          <w:rFonts w:ascii="Palatino Linotype" w:eastAsia="Palatino Linotype" w:hAnsi="Palatino Linotype" w:cs="Palatino Linotype"/>
          <w:b/>
        </w:rPr>
        <w:t>CUARTO</w:t>
      </w:r>
      <w:r w:rsidR="000E3ACA" w:rsidRPr="00F2253C">
        <w:rPr>
          <w:rFonts w:ascii="Palatino Linotype" w:eastAsia="Palatino Linotype" w:hAnsi="Palatino Linotype" w:cs="Palatino Linotype"/>
        </w:rPr>
        <w:t xml:space="preserve"> </w:t>
      </w:r>
      <w:r w:rsidRPr="00F2253C">
        <w:rPr>
          <w:rFonts w:ascii="Palatino Linotype" w:eastAsia="Palatino Linotype" w:hAnsi="Palatino Linotype" w:cs="Palatino Linotype"/>
        </w:rPr>
        <w:t>de la presente Resolución.</w:t>
      </w:r>
    </w:p>
    <w:p w:rsidR="0046681E" w:rsidRPr="00F2253C" w:rsidRDefault="0046681E" w:rsidP="0046681E">
      <w:pPr>
        <w:spacing w:line="360" w:lineRule="auto"/>
        <w:jc w:val="both"/>
        <w:rPr>
          <w:rFonts w:ascii="Palatino Linotype" w:eastAsia="Palatino Linotype" w:hAnsi="Palatino Linotype" w:cs="Palatino Linotype"/>
        </w:rPr>
      </w:pPr>
    </w:p>
    <w:p w:rsidR="0046681E" w:rsidRPr="00F2253C" w:rsidRDefault="0046681E" w:rsidP="0046681E">
      <w:pPr>
        <w:spacing w:line="360" w:lineRule="auto"/>
        <w:jc w:val="both"/>
        <w:rPr>
          <w:rFonts w:ascii="Palatino Linotype" w:hAnsi="Palatino Linotype" w:cs="Arial"/>
        </w:rPr>
      </w:pPr>
      <w:r w:rsidRPr="00F2253C">
        <w:rPr>
          <w:rFonts w:ascii="Palatino Linotype" w:hAnsi="Palatino Linotype"/>
          <w:b/>
        </w:rPr>
        <w:t xml:space="preserve">SEGUNDO. </w:t>
      </w:r>
      <w:r w:rsidRPr="00F2253C">
        <w:rPr>
          <w:rFonts w:ascii="Palatino Linotype" w:eastAsia="MS Mincho" w:hAnsi="Palatino Linotype"/>
          <w:color w:val="000000" w:themeColor="text1"/>
        </w:rPr>
        <w:t xml:space="preserve">Se </w:t>
      </w:r>
      <w:r w:rsidRPr="00F2253C">
        <w:rPr>
          <w:rFonts w:ascii="Palatino Linotype" w:eastAsia="MS Mincho" w:hAnsi="Palatino Linotype"/>
          <w:b/>
          <w:color w:val="000000" w:themeColor="text1"/>
        </w:rPr>
        <w:t xml:space="preserve">MODIFICA </w:t>
      </w:r>
      <w:r w:rsidR="00C85307" w:rsidRPr="00F2253C">
        <w:rPr>
          <w:rFonts w:ascii="Palatino Linotype" w:eastAsia="MS Mincho" w:hAnsi="Palatino Linotype"/>
          <w:color w:val="000000" w:themeColor="text1"/>
        </w:rPr>
        <w:t>la respuesta emitida por el</w:t>
      </w:r>
      <w:r w:rsidRPr="00F2253C">
        <w:rPr>
          <w:rFonts w:ascii="Palatino Linotype" w:eastAsia="MS Mincho" w:hAnsi="Palatino Linotype"/>
          <w:color w:val="000000" w:themeColor="text1"/>
        </w:rPr>
        <w:t xml:space="preserve"> </w:t>
      </w:r>
      <w:r w:rsidR="0001535C" w:rsidRPr="00F2253C">
        <w:rPr>
          <w:rFonts w:ascii="Palatino Linotype" w:eastAsia="Calibri" w:hAnsi="Palatino Linotype" w:cs="Tahoma"/>
          <w:b/>
          <w:lang w:eastAsia="en-US"/>
        </w:rPr>
        <w:t>Organismo Público Descentralizado para la Prestación de Los Servicios de Agua Potable Alcantarillado y Saneamiento del Municipio de Lerma</w:t>
      </w:r>
      <w:r w:rsidRPr="00F2253C">
        <w:rPr>
          <w:rFonts w:ascii="Palatino Linotype" w:eastAsia="MS Mincho" w:hAnsi="Palatino Linotype"/>
          <w:color w:val="000000" w:themeColor="text1"/>
        </w:rPr>
        <w:t xml:space="preserve"> y se </w:t>
      </w:r>
      <w:r w:rsidRPr="00F2253C">
        <w:rPr>
          <w:rFonts w:ascii="Palatino Linotype" w:eastAsia="MS Mincho" w:hAnsi="Palatino Linotype"/>
          <w:b/>
          <w:color w:val="000000" w:themeColor="text1"/>
        </w:rPr>
        <w:t>ORDENA</w:t>
      </w:r>
      <w:r w:rsidRPr="00F2253C">
        <w:rPr>
          <w:rFonts w:ascii="Palatino Linotype" w:eastAsia="MS Mincho" w:hAnsi="Palatino Linotype"/>
          <w:color w:val="000000" w:themeColor="text1"/>
        </w:rPr>
        <w:t xml:space="preserve"> </w:t>
      </w:r>
      <w:bookmarkStart w:id="21" w:name="_Toc503891610"/>
      <w:bookmarkStart w:id="22" w:name="_Toc453696503"/>
      <w:bookmarkStart w:id="23" w:name="_Toc454301156"/>
      <w:bookmarkStart w:id="24" w:name="_Toc462653938"/>
      <w:bookmarkStart w:id="25" w:name="_Toc477891769"/>
      <w:bookmarkStart w:id="26" w:name="_Toc477891859"/>
      <w:bookmarkStart w:id="27" w:name="_Toc481576260"/>
      <w:bookmarkStart w:id="28" w:name="_Toc492590392"/>
      <w:r w:rsidRPr="00F2253C">
        <w:rPr>
          <w:rFonts w:ascii="Palatino Linotype" w:eastAsia="MS Mincho" w:hAnsi="Palatino Linotype"/>
          <w:color w:val="000000" w:themeColor="text1"/>
        </w:rPr>
        <w:t>entregar vía Sistema de Acceso a la Información Mexiquense (SAIMEX), la siguiente información</w:t>
      </w:r>
      <w:r w:rsidRPr="00F2253C">
        <w:rPr>
          <w:rFonts w:ascii="Palatino Linotype" w:hAnsi="Palatino Linotype" w:cs="Arial"/>
        </w:rPr>
        <w:t>:</w:t>
      </w:r>
    </w:p>
    <w:p w:rsidR="0046681E" w:rsidRPr="00F2253C" w:rsidRDefault="0046681E" w:rsidP="0046681E">
      <w:pPr>
        <w:pStyle w:val="Prrafodelista"/>
        <w:tabs>
          <w:tab w:val="left" w:pos="8080"/>
        </w:tabs>
        <w:spacing w:line="360" w:lineRule="auto"/>
        <w:ind w:left="709" w:right="474"/>
        <w:jc w:val="both"/>
        <w:rPr>
          <w:rFonts w:ascii="Palatino Linotype" w:hAnsi="Palatino Linotype" w:cs="Arial"/>
          <w:i/>
          <w:color w:val="000000" w:themeColor="text1"/>
        </w:rPr>
      </w:pPr>
    </w:p>
    <w:p w:rsidR="0046681E" w:rsidRPr="00F2253C" w:rsidRDefault="000E3ACA" w:rsidP="004E134E">
      <w:pPr>
        <w:pStyle w:val="Prrafodelista"/>
        <w:numPr>
          <w:ilvl w:val="0"/>
          <w:numId w:val="3"/>
        </w:numPr>
        <w:ind w:left="1134" w:right="1843" w:firstLine="0"/>
        <w:contextualSpacing w:val="0"/>
        <w:jc w:val="both"/>
        <w:rPr>
          <w:rFonts w:ascii="Palatino Linotype" w:eastAsia="Calibri" w:hAnsi="Palatino Linotype" w:cs="Arial"/>
          <w:b/>
          <w:lang w:val="es-AR"/>
        </w:rPr>
      </w:pPr>
      <w:r w:rsidRPr="00F2253C">
        <w:rPr>
          <w:rFonts w:ascii="Palatino Linotype" w:eastAsia="Calibri" w:hAnsi="Palatino Linotype" w:cs="Arial"/>
          <w:b/>
          <w:i/>
          <w:lang w:val="es-MX"/>
        </w:rPr>
        <w:t xml:space="preserve">Soporte documental </w:t>
      </w:r>
      <w:r w:rsidR="00A0431D" w:rsidRPr="00F2253C">
        <w:rPr>
          <w:rFonts w:ascii="Palatino Linotype" w:eastAsia="Calibri" w:hAnsi="Palatino Linotype" w:cs="Arial"/>
          <w:b/>
          <w:i/>
          <w:lang w:val="es-MX"/>
        </w:rPr>
        <w:t>en que</w:t>
      </w:r>
      <w:r w:rsidR="001D44DF" w:rsidRPr="00F2253C">
        <w:rPr>
          <w:rFonts w:ascii="Palatino Linotype" w:eastAsia="Calibri" w:hAnsi="Palatino Linotype" w:cs="Arial"/>
          <w:b/>
          <w:i/>
          <w:lang w:val="es-MX"/>
        </w:rPr>
        <w:t xml:space="preserve"> conste</w:t>
      </w:r>
      <w:r w:rsidR="00A0431D" w:rsidRPr="00F2253C">
        <w:rPr>
          <w:rFonts w:ascii="Palatino Linotype" w:eastAsia="Calibri" w:hAnsi="Palatino Linotype" w:cs="Arial"/>
          <w:b/>
          <w:i/>
          <w:lang w:val="es-MX"/>
        </w:rPr>
        <w:t xml:space="preserve">  </w:t>
      </w:r>
      <w:r w:rsidR="001D44DF" w:rsidRPr="00F2253C">
        <w:rPr>
          <w:rFonts w:ascii="Palatino Linotype" w:eastAsia="Calibri" w:hAnsi="Palatino Linotype" w:cs="Arial"/>
          <w:b/>
          <w:i/>
          <w:lang w:val="es-MX"/>
        </w:rPr>
        <w:t>o se advierta los supuestos normativos para la revocación del dictamen único de factibilidad, vigente al veintiuno de octubre de dos mil veinticinco</w:t>
      </w:r>
      <w:r w:rsidR="0046681E" w:rsidRPr="00F2253C">
        <w:rPr>
          <w:rFonts w:ascii="Palatino Linotype" w:eastAsia="Calibri" w:hAnsi="Palatino Linotype" w:cs="Arial"/>
          <w:b/>
        </w:rPr>
        <w:t xml:space="preserve">. </w:t>
      </w:r>
    </w:p>
    <w:bookmarkEnd w:id="21"/>
    <w:bookmarkEnd w:id="22"/>
    <w:bookmarkEnd w:id="23"/>
    <w:bookmarkEnd w:id="24"/>
    <w:bookmarkEnd w:id="25"/>
    <w:bookmarkEnd w:id="26"/>
    <w:bookmarkEnd w:id="27"/>
    <w:bookmarkEnd w:id="28"/>
    <w:p w:rsidR="0046681E" w:rsidRPr="00F2253C" w:rsidRDefault="0046681E" w:rsidP="0046681E">
      <w:pPr>
        <w:spacing w:line="360" w:lineRule="auto"/>
        <w:jc w:val="both"/>
        <w:rPr>
          <w:rFonts w:ascii="Palatino Linotype" w:hAnsi="Palatino Linotype"/>
        </w:rPr>
      </w:pPr>
      <w:r w:rsidRPr="00F2253C">
        <w:rPr>
          <w:rFonts w:ascii="Palatino Linotype" w:hAnsi="Palatino Linotype" w:cs="Arial"/>
          <w:b/>
          <w:bCs/>
        </w:rPr>
        <w:lastRenderedPageBreak/>
        <w:t>TERCERO</w:t>
      </w:r>
      <w:r w:rsidRPr="00F2253C">
        <w:rPr>
          <w:rFonts w:ascii="Palatino Linotype" w:hAnsi="Palatino Linotype" w:cs="Arial"/>
          <w:b/>
        </w:rPr>
        <w:t>.</w:t>
      </w:r>
      <w:r w:rsidRPr="00F2253C">
        <w:rPr>
          <w:rFonts w:ascii="Palatino Linotype" w:eastAsia="Palatino Linotype" w:hAnsi="Palatino Linotype" w:cs="Palatino Linotype"/>
          <w:b/>
        </w:rPr>
        <w:t xml:space="preserve"> </w:t>
      </w:r>
      <w:r w:rsidRPr="00F2253C">
        <w:rPr>
          <w:rFonts w:ascii="Palatino Linotype" w:hAnsi="Palatino Linotype"/>
          <w:b/>
        </w:rPr>
        <w:t xml:space="preserve">Notifíquese </w:t>
      </w:r>
      <w:r w:rsidRPr="00F2253C">
        <w:rPr>
          <w:rFonts w:ascii="Palatino Linotype" w:hAnsi="Palatino Linotype"/>
        </w:rPr>
        <w:t xml:space="preserve">la presente Resolución al Titular de la Unidad de Transparencia del Sujeto Obligado vía </w:t>
      </w:r>
      <w:r w:rsidRPr="00F2253C">
        <w:rPr>
          <w:rFonts w:ascii="Palatino Linotype" w:hAnsi="Palatino Linotype"/>
          <w:b/>
        </w:rPr>
        <w:t>SAIMEX</w:t>
      </w:r>
      <w:r w:rsidRPr="00F2253C">
        <w:rPr>
          <w:rFonts w:ascii="Palatino Linotype" w:hAnsi="Palatino Linotype"/>
        </w:rPr>
        <w:t xml:space="preserve">, para que conforme al artículo 186 último párrafo, 189 segundo párrafo y 194 de la Ley de Transparencia y Acceso a la Información Pública del Estado de México y Municipios; </w:t>
      </w:r>
      <w:r w:rsidRPr="00F2253C">
        <w:rPr>
          <w:rFonts w:ascii="Palatino Linotype" w:hAnsi="Palatino Linotype"/>
          <w:b/>
        </w:rPr>
        <w:t>dé cumplimiento a lo ordenado dentro del plazo de diez días hábiles</w:t>
      </w:r>
      <w:r w:rsidRPr="00F2253C">
        <w:rPr>
          <w:rFonts w:ascii="Palatino Linotype" w:hAnsi="Palatino Linotype"/>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46681E" w:rsidRPr="00F2253C" w:rsidRDefault="0046681E" w:rsidP="0046681E">
      <w:pPr>
        <w:spacing w:line="360" w:lineRule="auto"/>
        <w:jc w:val="both"/>
        <w:rPr>
          <w:rFonts w:ascii="Palatino Linotype" w:hAnsi="Palatino Linotype"/>
        </w:rPr>
      </w:pPr>
    </w:p>
    <w:p w:rsidR="0046681E" w:rsidRPr="00F2253C" w:rsidRDefault="0046681E" w:rsidP="0046681E">
      <w:pPr>
        <w:spacing w:line="360" w:lineRule="auto"/>
        <w:jc w:val="both"/>
        <w:rPr>
          <w:rFonts w:ascii="Palatino Linotype" w:hAnsi="Palatino Linotype" w:cs="Arial"/>
          <w:bCs/>
        </w:rPr>
      </w:pPr>
      <w:r w:rsidRPr="00F2253C">
        <w:rPr>
          <w:rFonts w:ascii="Palatino Linotype" w:hAnsi="Palatino Linotype" w:cs="Arial"/>
          <w:b/>
        </w:rPr>
        <w:t xml:space="preserve">CUARTO. </w:t>
      </w:r>
      <w:r w:rsidRPr="00F2253C">
        <w:rPr>
          <w:rFonts w:ascii="Palatino Linotype" w:hAnsi="Palatino Linotype" w:cs="Arial"/>
          <w:bCs/>
        </w:rPr>
        <w:t xml:space="preserve">De conformidad con el artículo 198 de la Ley de Transparencia y Acceso a la Información Pública del Estado de México y Municipios, de considerarlo procedente, el </w:t>
      </w:r>
      <w:r w:rsidRPr="00F2253C">
        <w:rPr>
          <w:rFonts w:ascii="Palatino Linotype" w:hAnsi="Palatino Linotype" w:cs="Arial"/>
          <w:b/>
          <w:bCs/>
        </w:rPr>
        <w:t>SUJETO OBLIGADO</w:t>
      </w:r>
      <w:r w:rsidRPr="00F2253C">
        <w:rPr>
          <w:rFonts w:ascii="Palatino Linotype" w:hAnsi="Palatino Linotype" w:cs="Arial"/>
          <w:bCs/>
        </w:rPr>
        <w:t xml:space="preserve"> de manera fundada y motivada, podrá solicitar una ampliación de plazo para el cumplimiento de la presente Resolución.</w:t>
      </w:r>
    </w:p>
    <w:p w:rsidR="0046681E" w:rsidRPr="00F2253C" w:rsidRDefault="0046681E" w:rsidP="0046681E">
      <w:pPr>
        <w:spacing w:line="360" w:lineRule="auto"/>
        <w:jc w:val="both"/>
        <w:rPr>
          <w:rFonts w:ascii="Palatino Linotype" w:hAnsi="Palatino Linotype" w:cs="Arial"/>
          <w:bCs/>
        </w:rPr>
      </w:pPr>
    </w:p>
    <w:p w:rsidR="0046681E" w:rsidRPr="00F2253C" w:rsidRDefault="0046681E" w:rsidP="0046681E">
      <w:pPr>
        <w:tabs>
          <w:tab w:val="left" w:pos="8080"/>
        </w:tabs>
        <w:spacing w:line="360" w:lineRule="auto"/>
        <w:ind w:right="49"/>
        <w:jc w:val="both"/>
        <w:rPr>
          <w:rFonts w:ascii="Palatino Linotype" w:hAnsi="Palatino Linotype"/>
        </w:rPr>
      </w:pPr>
      <w:bookmarkStart w:id="29" w:name="_Toc492590393"/>
      <w:bookmarkStart w:id="30" w:name="_Toc503891611"/>
      <w:bookmarkStart w:id="31" w:name="_Toc511647759"/>
      <w:bookmarkStart w:id="32" w:name="_Toc511647820"/>
      <w:r w:rsidRPr="00F2253C">
        <w:rPr>
          <w:rFonts w:ascii="Palatino Linotype" w:hAnsi="Palatino Linotype"/>
          <w:b/>
        </w:rPr>
        <w:t xml:space="preserve">QUINTO. </w:t>
      </w:r>
      <w:r w:rsidRPr="00F2253C">
        <w:rPr>
          <w:rFonts w:ascii="Palatino Linotype" w:hAnsi="Palatino Linotype"/>
        </w:rPr>
        <w:t>Notifíquese</w:t>
      </w:r>
      <w:bookmarkEnd w:id="29"/>
      <w:bookmarkEnd w:id="30"/>
      <w:bookmarkEnd w:id="31"/>
      <w:bookmarkEnd w:id="32"/>
      <w:r w:rsidRPr="00F2253C">
        <w:rPr>
          <w:rFonts w:ascii="Palatino Linotype" w:hAnsi="Palatino Linotype"/>
        </w:rPr>
        <w:t xml:space="preserve"> al </w:t>
      </w:r>
      <w:r w:rsidRPr="00F2253C">
        <w:rPr>
          <w:rFonts w:ascii="Palatino Linotype" w:hAnsi="Palatino Linotype"/>
          <w:b/>
        </w:rPr>
        <w:t>RECURRENTE</w:t>
      </w:r>
      <w:r w:rsidRPr="00F2253C">
        <w:rPr>
          <w:rFonts w:ascii="Palatino Linotype" w:hAnsi="Palatino Linotype"/>
        </w:rPr>
        <w:t xml:space="preserve"> la presente Resolución, vía </w:t>
      </w:r>
      <w:r w:rsidRPr="00F2253C">
        <w:rPr>
          <w:rFonts w:ascii="Palatino Linotype" w:hAnsi="Palatino Linotype"/>
          <w:b/>
        </w:rPr>
        <w:t>SAIMEX</w:t>
      </w:r>
      <w:r w:rsidRPr="00F2253C">
        <w:rPr>
          <w:rFonts w:ascii="Palatino Linotype" w:hAnsi="Palatino Linotype"/>
        </w:rPr>
        <w:t>.</w:t>
      </w:r>
    </w:p>
    <w:p w:rsidR="0046681E" w:rsidRPr="00F2253C" w:rsidRDefault="0046681E" w:rsidP="0046681E">
      <w:pPr>
        <w:tabs>
          <w:tab w:val="left" w:pos="8080"/>
        </w:tabs>
        <w:spacing w:line="360" w:lineRule="auto"/>
        <w:ind w:right="49"/>
        <w:jc w:val="both"/>
        <w:rPr>
          <w:rFonts w:ascii="Palatino Linotype" w:hAnsi="Palatino Linotype"/>
        </w:rPr>
      </w:pPr>
    </w:p>
    <w:p w:rsidR="0046681E" w:rsidRPr="00F2253C" w:rsidRDefault="0046681E" w:rsidP="0046681E">
      <w:pPr>
        <w:shd w:val="clear" w:color="auto" w:fill="FFFFFF"/>
        <w:spacing w:line="360" w:lineRule="auto"/>
        <w:jc w:val="both"/>
        <w:rPr>
          <w:rFonts w:ascii="Palatino Linotype" w:hAnsi="Palatino Linotype"/>
          <w:lang w:eastAsia="en-US"/>
        </w:rPr>
      </w:pPr>
      <w:r w:rsidRPr="00F2253C">
        <w:rPr>
          <w:rFonts w:ascii="Palatino Linotype" w:hAnsi="Palatino Linotype"/>
          <w:b/>
          <w:lang w:eastAsia="en-US"/>
        </w:rPr>
        <w:t xml:space="preserve">SEXTO. </w:t>
      </w:r>
      <w:r w:rsidRPr="00F2253C">
        <w:rPr>
          <w:rFonts w:ascii="Palatino Linotype" w:hAnsi="Palatino Linotype"/>
          <w:lang w:eastAsia="en-US"/>
        </w:rPr>
        <w:t>Se hace del conocimiento del</w:t>
      </w:r>
      <w:r w:rsidRPr="00F2253C">
        <w:rPr>
          <w:rFonts w:ascii="Palatino Linotype" w:hAnsi="Palatino Linotype"/>
          <w:b/>
          <w:lang w:eastAsia="en-US"/>
        </w:rPr>
        <w:t xml:space="preserve"> RECURRENTE </w:t>
      </w:r>
      <w:r w:rsidRPr="00F2253C">
        <w:rPr>
          <w:rFonts w:ascii="Palatino Linotype" w:hAnsi="Palatino Linotype"/>
          <w:lang w:eastAsia="en-U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C85307" w:rsidRPr="00F2253C" w:rsidRDefault="00C85307" w:rsidP="0046681E">
      <w:pPr>
        <w:shd w:val="clear" w:color="auto" w:fill="FFFFFF"/>
        <w:spacing w:line="360" w:lineRule="auto"/>
        <w:jc w:val="both"/>
        <w:rPr>
          <w:rFonts w:ascii="Palatino Linotype" w:hAnsi="Palatino Linotype"/>
          <w:lang w:eastAsia="en-US"/>
        </w:rPr>
      </w:pPr>
    </w:p>
    <w:p w:rsidR="00C85307" w:rsidRPr="00F2253C" w:rsidRDefault="00C85307" w:rsidP="00C85307">
      <w:pPr>
        <w:spacing w:before="240" w:after="240" w:line="360" w:lineRule="auto"/>
        <w:ind w:firstLine="1"/>
        <w:jc w:val="both"/>
        <w:rPr>
          <w:rFonts w:ascii="Palatino Linotype" w:hAnsi="Palatino Linotype"/>
        </w:rPr>
      </w:pPr>
      <w:bookmarkStart w:id="33" w:name="_Hlk99014733"/>
      <w:r w:rsidRPr="00F2253C">
        <w:rPr>
          <w:rFonts w:ascii="Palatino Linotype" w:hAnsi="Palatino Linotype" w:cs="Palatino Linotype"/>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QUINTA SESIÓN ORDINARIA, CELEBRADA EL VEINTIOCHO (28) DE ABRIL DE DOS MIL VEINTISÉIS, ANTE EL SECRETARIO TÉCNICO DEL PLENO </w:t>
      </w:r>
      <w:r w:rsidRPr="00F2253C">
        <w:rPr>
          <w:rFonts w:ascii="Palatino Linotype" w:hAnsi="Palatino Linotype" w:cs="Palatino Linotype"/>
          <w:color w:val="000000" w:themeColor="text1"/>
        </w:rPr>
        <w:t>ALEXIS TAPIA RAMÍREZ.</w:t>
      </w:r>
    </w:p>
    <w:bookmarkEnd w:id="33"/>
    <w:p w:rsidR="0046681E" w:rsidRPr="00F2253C" w:rsidRDefault="0046681E" w:rsidP="0046681E">
      <w:pPr>
        <w:spacing w:line="360" w:lineRule="auto"/>
        <w:ind w:right="49"/>
        <w:rPr>
          <w:rFonts w:ascii="Palatino Linotype" w:eastAsia="Palatino Linotype" w:hAnsi="Palatino Linotype" w:cs="Palatino Linotype"/>
        </w:rPr>
      </w:pPr>
    </w:p>
    <w:p w:rsidR="0046681E" w:rsidRPr="00F2253C" w:rsidRDefault="0046681E" w:rsidP="0046681E">
      <w:pPr>
        <w:spacing w:line="360" w:lineRule="auto"/>
        <w:ind w:right="49"/>
        <w:rPr>
          <w:rFonts w:ascii="Palatino Linotype" w:eastAsia="Palatino Linotype" w:hAnsi="Palatino Linotype" w:cs="Palatino Linotype"/>
        </w:rPr>
      </w:pPr>
    </w:p>
    <w:p w:rsidR="0046681E" w:rsidRPr="00F2253C" w:rsidRDefault="0046681E" w:rsidP="0046681E">
      <w:pPr>
        <w:spacing w:line="360" w:lineRule="auto"/>
        <w:ind w:right="49"/>
        <w:rPr>
          <w:rFonts w:ascii="Palatino Linotype" w:eastAsia="Palatino Linotype" w:hAnsi="Palatino Linotype" w:cs="Palatino Linotype"/>
        </w:rPr>
      </w:pPr>
    </w:p>
    <w:p w:rsidR="0046681E" w:rsidRPr="00F2253C" w:rsidRDefault="0046681E" w:rsidP="0046681E">
      <w:pPr>
        <w:spacing w:line="360" w:lineRule="auto"/>
        <w:ind w:right="49"/>
        <w:rPr>
          <w:rFonts w:ascii="Palatino Linotype" w:eastAsia="Palatino Linotype" w:hAnsi="Palatino Linotype" w:cs="Palatino Linotype"/>
        </w:rPr>
      </w:pPr>
    </w:p>
    <w:p w:rsidR="0046681E" w:rsidRPr="00F2253C" w:rsidRDefault="0046681E" w:rsidP="0046681E">
      <w:pPr>
        <w:spacing w:line="360" w:lineRule="auto"/>
        <w:ind w:right="49"/>
        <w:rPr>
          <w:rFonts w:ascii="Palatino Linotype" w:eastAsia="Palatino Linotype" w:hAnsi="Palatino Linotype" w:cs="Palatino Linotype"/>
        </w:rPr>
      </w:pPr>
    </w:p>
    <w:p w:rsidR="0046681E" w:rsidRPr="00F2253C" w:rsidRDefault="0046681E" w:rsidP="0046681E">
      <w:pPr>
        <w:spacing w:line="360" w:lineRule="auto"/>
        <w:ind w:right="49"/>
        <w:rPr>
          <w:rFonts w:ascii="Palatino Linotype" w:eastAsia="Palatino Linotype" w:hAnsi="Palatino Linotype" w:cs="Palatino Linotype"/>
        </w:rPr>
      </w:pPr>
    </w:p>
    <w:p w:rsidR="0046681E" w:rsidRPr="00F2253C" w:rsidRDefault="0046681E" w:rsidP="0046681E">
      <w:pPr>
        <w:tabs>
          <w:tab w:val="left" w:pos="3374"/>
        </w:tabs>
        <w:spacing w:line="360" w:lineRule="auto"/>
        <w:ind w:right="49"/>
        <w:rPr>
          <w:rFonts w:ascii="Palatino Linotype" w:eastAsia="Palatino Linotype" w:hAnsi="Palatino Linotype" w:cs="Palatino Linotype"/>
        </w:rPr>
      </w:pPr>
      <w:r w:rsidRPr="00F2253C">
        <w:rPr>
          <w:rFonts w:ascii="Palatino Linotype" w:eastAsia="Palatino Linotype" w:hAnsi="Palatino Linotype" w:cs="Palatino Linotype"/>
        </w:rPr>
        <w:tab/>
      </w:r>
    </w:p>
    <w:p w:rsidR="0046681E" w:rsidRPr="00F2253C" w:rsidRDefault="0046681E" w:rsidP="0046681E">
      <w:pPr>
        <w:tabs>
          <w:tab w:val="left" w:pos="3374"/>
        </w:tabs>
        <w:spacing w:line="360" w:lineRule="auto"/>
        <w:ind w:right="49"/>
        <w:rPr>
          <w:rFonts w:ascii="Palatino Linotype" w:eastAsia="Palatino Linotype" w:hAnsi="Palatino Linotype" w:cs="Palatino Linotype"/>
        </w:rPr>
      </w:pPr>
    </w:p>
    <w:p w:rsidR="0046681E" w:rsidRPr="00F2253C" w:rsidRDefault="0046681E" w:rsidP="0046681E">
      <w:pPr>
        <w:tabs>
          <w:tab w:val="left" w:pos="3374"/>
        </w:tabs>
        <w:spacing w:line="360" w:lineRule="auto"/>
        <w:ind w:right="49"/>
        <w:rPr>
          <w:rFonts w:ascii="Palatino Linotype" w:eastAsia="Palatino Linotype" w:hAnsi="Palatino Linotype" w:cs="Palatino Linotype"/>
        </w:rPr>
      </w:pPr>
    </w:p>
    <w:p w:rsidR="0046681E" w:rsidRPr="00F2253C" w:rsidRDefault="0046681E" w:rsidP="0046681E">
      <w:pPr>
        <w:tabs>
          <w:tab w:val="left" w:pos="3374"/>
        </w:tabs>
        <w:spacing w:line="360" w:lineRule="auto"/>
        <w:ind w:right="49"/>
        <w:rPr>
          <w:rFonts w:ascii="Palatino Linotype" w:eastAsia="Palatino Linotype" w:hAnsi="Palatino Linotype" w:cs="Palatino Linotype"/>
        </w:rPr>
      </w:pPr>
    </w:p>
    <w:p w:rsidR="0046681E" w:rsidRPr="00F2253C" w:rsidRDefault="0046681E" w:rsidP="0046681E">
      <w:pPr>
        <w:tabs>
          <w:tab w:val="left" w:pos="3374"/>
        </w:tabs>
        <w:spacing w:line="360" w:lineRule="auto"/>
        <w:ind w:right="49"/>
        <w:rPr>
          <w:rFonts w:ascii="Palatino Linotype" w:eastAsia="Palatino Linotype" w:hAnsi="Palatino Linotype" w:cs="Palatino Linotype"/>
        </w:rPr>
      </w:pPr>
    </w:p>
    <w:p w:rsidR="0046681E" w:rsidRPr="00F2253C" w:rsidRDefault="0046681E" w:rsidP="0046681E">
      <w:pPr>
        <w:tabs>
          <w:tab w:val="left" w:pos="3374"/>
        </w:tabs>
        <w:spacing w:line="360" w:lineRule="auto"/>
        <w:ind w:right="49"/>
        <w:rPr>
          <w:rFonts w:ascii="Palatino Linotype" w:eastAsia="Palatino Linotype" w:hAnsi="Palatino Linotype" w:cs="Palatino Linotype"/>
        </w:rPr>
      </w:pPr>
    </w:p>
    <w:p w:rsidR="0046681E" w:rsidRPr="00F2253C" w:rsidRDefault="0046681E" w:rsidP="0046681E">
      <w:pPr>
        <w:tabs>
          <w:tab w:val="left" w:pos="3374"/>
        </w:tabs>
        <w:spacing w:line="360" w:lineRule="auto"/>
        <w:ind w:right="49"/>
        <w:rPr>
          <w:rFonts w:ascii="Palatino Linotype" w:eastAsia="Palatino Linotype" w:hAnsi="Palatino Linotype" w:cs="Palatino Linotype"/>
        </w:rPr>
      </w:pPr>
    </w:p>
    <w:p w:rsidR="0046681E" w:rsidRPr="00F2253C" w:rsidRDefault="0046681E" w:rsidP="0046681E">
      <w:pPr>
        <w:tabs>
          <w:tab w:val="left" w:pos="3374"/>
        </w:tabs>
        <w:spacing w:line="360" w:lineRule="auto"/>
        <w:ind w:right="49"/>
        <w:rPr>
          <w:rFonts w:ascii="Palatino Linotype" w:eastAsia="Palatino Linotype" w:hAnsi="Palatino Linotype" w:cs="Palatino Linotype"/>
        </w:rPr>
      </w:pPr>
    </w:p>
    <w:p w:rsidR="0046681E" w:rsidRPr="00F2253C" w:rsidRDefault="0046681E" w:rsidP="0046681E">
      <w:pPr>
        <w:tabs>
          <w:tab w:val="left" w:pos="3374"/>
        </w:tabs>
        <w:spacing w:line="360" w:lineRule="auto"/>
        <w:ind w:right="49"/>
        <w:rPr>
          <w:rFonts w:ascii="Palatino Linotype" w:eastAsia="Palatino Linotype" w:hAnsi="Palatino Linotype" w:cs="Palatino Linotype"/>
        </w:rPr>
      </w:pPr>
    </w:p>
    <w:p w:rsidR="0046681E" w:rsidRPr="00F2253C" w:rsidRDefault="0046681E" w:rsidP="0046681E">
      <w:pPr>
        <w:spacing w:line="360" w:lineRule="auto"/>
        <w:ind w:right="49"/>
        <w:rPr>
          <w:rFonts w:ascii="Palatino Linotype" w:eastAsia="Palatino Linotype" w:hAnsi="Palatino Linotype" w:cs="Palatino Linotype"/>
        </w:rPr>
      </w:pPr>
    </w:p>
    <w:p w:rsidR="00832A07" w:rsidRPr="00F2253C" w:rsidRDefault="00832A07"/>
    <w:p w:rsidR="00E30391" w:rsidRPr="00F2253C" w:rsidRDefault="00E30391"/>
    <w:p w:rsidR="00E30391" w:rsidRPr="00F2253C" w:rsidRDefault="00E30391"/>
    <w:p w:rsidR="00E30391" w:rsidRPr="00F2253C" w:rsidRDefault="00E30391"/>
    <w:p w:rsidR="00E30391" w:rsidRPr="00F2253C" w:rsidRDefault="00E30391"/>
    <w:p w:rsidR="00E30391" w:rsidRPr="00F2253C" w:rsidRDefault="00E30391"/>
    <w:p w:rsidR="00E30391" w:rsidRPr="00F2253C" w:rsidRDefault="00E30391"/>
    <w:p w:rsidR="00E30391" w:rsidRPr="00F2253C" w:rsidRDefault="00E30391"/>
    <w:sectPr w:rsidR="00E30391" w:rsidRPr="00F2253C" w:rsidSect="00C92786">
      <w:headerReference w:type="even" r:id="rId13"/>
      <w:headerReference w:type="default" r:id="rId14"/>
      <w:footerReference w:type="default" r:id="rId15"/>
      <w:headerReference w:type="first" r:id="rId16"/>
      <w:footerReference w:type="first" r:id="rId17"/>
      <w:pgSz w:w="12240" w:h="15840"/>
      <w:pgMar w:top="2268" w:right="758" w:bottom="1985"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4724" w:rsidRDefault="00D94724" w:rsidP="0046681E">
      <w:r>
        <w:separator/>
      </w:r>
    </w:p>
  </w:endnote>
  <w:endnote w:type="continuationSeparator" w:id="0">
    <w:p w:rsidR="00D94724" w:rsidRDefault="00D94724" w:rsidP="00466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233" w:rsidRPr="003D16FD" w:rsidRDefault="00B43233">
    <w:pPr>
      <w:pBdr>
        <w:top w:val="nil"/>
        <w:left w:val="nil"/>
        <w:bottom w:val="nil"/>
        <w:right w:val="nil"/>
        <w:between w:val="nil"/>
      </w:pBdr>
      <w:tabs>
        <w:tab w:val="center" w:pos="4419"/>
        <w:tab w:val="right" w:pos="8838"/>
      </w:tabs>
      <w:jc w:val="right"/>
      <w:rPr>
        <w:rFonts w:ascii="Palatino Linotype" w:eastAsia="Palatino Linotype" w:hAnsi="Palatino Linotype" w:cs="Palatino Linotype"/>
        <w:b/>
        <w:color w:val="000000"/>
        <w:sz w:val="22"/>
        <w:szCs w:val="20"/>
      </w:rPr>
    </w:pPr>
    <w:r w:rsidRPr="003D16FD">
      <w:rPr>
        <w:rFonts w:ascii="Palatino Linotype" w:eastAsia="Palatino Linotype" w:hAnsi="Palatino Linotype" w:cs="Palatino Linotype"/>
        <w:b/>
        <w:color w:val="000000"/>
        <w:sz w:val="22"/>
        <w:szCs w:val="20"/>
      </w:rPr>
      <w:t xml:space="preserve">Página </w:t>
    </w:r>
    <w:r w:rsidRPr="003D16FD">
      <w:rPr>
        <w:rFonts w:ascii="Palatino Linotype" w:eastAsia="Palatino Linotype" w:hAnsi="Palatino Linotype" w:cs="Palatino Linotype"/>
        <w:b/>
        <w:color w:val="000000"/>
        <w:sz w:val="22"/>
        <w:szCs w:val="20"/>
      </w:rPr>
      <w:fldChar w:fldCharType="begin"/>
    </w:r>
    <w:r w:rsidRPr="003D16FD">
      <w:rPr>
        <w:rFonts w:ascii="Palatino Linotype" w:eastAsia="Palatino Linotype" w:hAnsi="Palatino Linotype" w:cs="Palatino Linotype"/>
        <w:b/>
        <w:color w:val="000000"/>
        <w:sz w:val="22"/>
        <w:szCs w:val="20"/>
      </w:rPr>
      <w:instrText>PAGE</w:instrText>
    </w:r>
    <w:r w:rsidRPr="003D16FD">
      <w:rPr>
        <w:rFonts w:ascii="Palatino Linotype" w:eastAsia="Palatino Linotype" w:hAnsi="Palatino Linotype" w:cs="Palatino Linotype"/>
        <w:b/>
        <w:color w:val="000000"/>
        <w:sz w:val="22"/>
        <w:szCs w:val="20"/>
      </w:rPr>
      <w:fldChar w:fldCharType="separate"/>
    </w:r>
    <w:r w:rsidR="009F1FBA">
      <w:rPr>
        <w:rFonts w:ascii="Palatino Linotype" w:eastAsia="Palatino Linotype" w:hAnsi="Palatino Linotype" w:cs="Palatino Linotype"/>
        <w:b/>
        <w:noProof/>
        <w:color w:val="000000"/>
        <w:sz w:val="22"/>
        <w:szCs w:val="20"/>
      </w:rPr>
      <w:t>21</w:t>
    </w:r>
    <w:r w:rsidRPr="003D16FD">
      <w:rPr>
        <w:rFonts w:ascii="Palatino Linotype" w:eastAsia="Palatino Linotype" w:hAnsi="Palatino Linotype" w:cs="Palatino Linotype"/>
        <w:b/>
        <w:color w:val="000000"/>
        <w:sz w:val="22"/>
        <w:szCs w:val="20"/>
      </w:rPr>
      <w:fldChar w:fldCharType="end"/>
    </w:r>
    <w:r w:rsidRPr="003D16FD">
      <w:rPr>
        <w:rFonts w:ascii="Palatino Linotype" w:eastAsia="Palatino Linotype" w:hAnsi="Palatino Linotype" w:cs="Palatino Linotype"/>
        <w:b/>
        <w:color w:val="000000"/>
        <w:sz w:val="22"/>
        <w:szCs w:val="20"/>
      </w:rPr>
      <w:t xml:space="preserve"> de </w:t>
    </w:r>
    <w:r w:rsidRPr="003D16FD">
      <w:rPr>
        <w:rFonts w:ascii="Palatino Linotype" w:eastAsia="Palatino Linotype" w:hAnsi="Palatino Linotype" w:cs="Palatino Linotype"/>
        <w:b/>
        <w:color w:val="000000"/>
        <w:sz w:val="22"/>
        <w:szCs w:val="20"/>
      </w:rPr>
      <w:fldChar w:fldCharType="begin"/>
    </w:r>
    <w:r w:rsidRPr="003D16FD">
      <w:rPr>
        <w:rFonts w:ascii="Palatino Linotype" w:eastAsia="Palatino Linotype" w:hAnsi="Palatino Linotype" w:cs="Palatino Linotype"/>
        <w:b/>
        <w:color w:val="000000"/>
        <w:sz w:val="22"/>
        <w:szCs w:val="20"/>
      </w:rPr>
      <w:instrText>NUMPAGES</w:instrText>
    </w:r>
    <w:r w:rsidRPr="003D16FD">
      <w:rPr>
        <w:rFonts w:ascii="Palatino Linotype" w:eastAsia="Palatino Linotype" w:hAnsi="Palatino Linotype" w:cs="Palatino Linotype"/>
        <w:b/>
        <w:color w:val="000000"/>
        <w:sz w:val="22"/>
        <w:szCs w:val="20"/>
      </w:rPr>
      <w:fldChar w:fldCharType="separate"/>
    </w:r>
    <w:r w:rsidR="009F1FBA">
      <w:rPr>
        <w:rFonts w:ascii="Palatino Linotype" w:eastAsia="Palatino Linotype" w:hAnsi="Palatino Linotype" w:cs="Palatino Linotype"/>
        <w:b/>
        <w:noProof/>
        <w:color w:val="000000"/>
        <w:sz w:val="22"/>
        <w:szCs w:val="20"/>
      </w:rPr>
      <w:t>21</w:t>
    </w:r>
    <w:r w:rsidRPr="003D16FD">
      <w:rPr>
        <w:rFonts w:ascii="Palatino Linotype" w:eastAsia="Palatino Linotype" w:hAnsi="Palatino Linotype" w:cs="Palatino Linotype"/>
        <w:b/>
        <w:color w:val="000000"/>
        <w:sz w:val="22"/>
        <w:szCs w:val="20"/>
      </w:rPr>
      <w:fldChar w:fldCharType="end"/>
    </w:r>
  </w:p>
  <w:p w:rsidR="00B43233" w:rsidRDefault="00B43233">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233" w:rsidRPr="003D16FD" w:rsidRDefault="00B43233">
    <w:pPr>
      <w:pBdr>
        <w:top w:val="nil"/>
        <w:left w:val="nil"/>
        <w:bottom w:val="nil"/>
        <w:right w:val="nil"/>
        <w:between w:val="nil"/>
      </w:pBdr>
      <w:tabs>
        <w:tab w:val="center" w:pos="4419"/>
        <w:tab w:val="right" w:pos="8838"/>
      </w:tabs>
      <w:jc w:val="right"/>
      <w:rPr>
        <w:rFonts w:ascii="Palatino Linotype" w:eastAsia="Palatino Linotype" w:hAnsi="Palatino Linotype" w:cs="Palatino Linotype"/>
        <w:b/>
        <w:color w:val="000000"/>
        <w:sz w:val="22"/>
        <w:szCs w:val="22"/>
      </w:rPr>
    </w:pPr>
    <w:r w:rsidRPr="003D16FD">
      <w:rPr>
        <w:rFonts w:ascii="Palatino Linotype" w:eastAsia="Palatino Linotype" w:hAnsi="Palatino Linotype" w:cs="Palatino Linotype"/>
        <w:b/>
        <w:color w:val="000000"/>
        <w:sz w:val="22"/>
        <w:szCs w:val="22"/>
      </w:rPr>
      <w:t xml:space="preserve">Página </w:t>
    </w:r>
    <w:r w:rsidRPr="003D16FD">
      <w:rPr>
        <w:rFonts w:ascii="Palatino Linotype" w:eastAsia="Palatino Linotype" w:hAnsi="Palatino Linotype" w:cs="Palatino Linotype"/>
        <w:b/>
        <w:color w:val="000000"/>
        <w:sz w:val="22"/>
        <w:szCs w:val="22"/>
      </w:rPr>
      <w:fldChar w:fldCharType="begin"/>
    </w:r>
    <w:r w:rsidRPr="003D16FD">
      <w:rPr>
        <w:rFonts w:ascii="Palatino Linotype" w:eastAsia="Palatino Linotype" w:hAnsi="Palatino Linotype" w:cs="Palatino Linotype"/>
        <w:b/>
        <w:color w:val="000000"/>
        <w:sz w:val="22"/>
        <w:szCs w:val="22"/>
      </w:rPr>
      <w:instrText>PAGE</w:instrText>
    </w:r>
    <w:r w:rsidRPr="003D16FD">
      <w:rPr>
        <w:rFonts w:ascii="Palatino Linotype" w:eastAsia="Palatino Linotype" w:hAnsi="Palatino Linotype" w:cs="Palatino Linotype"/>
        <w:b/>
        <w:color w:val="000000"/>
        <w:sz w:val="22"/>
        <w:szCs w:val="22"/>
      </w:rPr>
      <w:fldChar w:fldCharType="separate"/>
    </w:r>
    <w:r w:rsidR="009F1FBA">
      <w:rPr>
        <w:rFonts w:ascii="Palatino Linotype" w:eastAsia="Palatino Linotype" w:hAnsi="Palatino Linotype" w:cs="Palatino Linotype"/>
        <w:b/>
        <w:noProof/>
        <w:color w:val="000000"/>
        <w:sz w:val="22"/>
        <w:szCs w:val="22"/>
      </w:rPr>
      <w:t>1</w:t>
    </w:r>
    <w:r w:rsidRPr="003D16FD">
      <w:rPr>
        <w:rFonts w:ascii="Palatino Linotype" w:eastAsia="Palatino Linotype" w:hAnsi="Palatino Linotype" w:cs="Palatino Linotype"/>
        <w:b/>
        <w:color w:val="000000"/>
        <w:sz w:val="22"/>
        <w:szCs w:val="22"/>
      </w:rPr>
      <w:fldChar w:fldCharType="end"/>
    </w:r>
    <w:r w:rsidRPr="003D16FD">
      <w:rPr>
        <w:rFonts w:ascii="Palatino Linotype" w:eastAsia="Palatino Linotype" w:hAnsi="Palatino Linotype" w:cs="Palatino Linotype"/>
        <w:b/>
        <w:color w:val="000000"/>
        <w:sz w:val="22"/>
        <w:szCs w:val="22"/>
      </w:rPr>
      <w:t xml:space="preserve"> de </w:t>
    </w:r>
    <w:r w:rsidRPr="003D16FD">
      <w:rPr>
        <w:rFonts w:ascii="Palatino Linotype" w:eastAsia="Palatino Linotype" w:hAnsi="Palatino Linotype" w:cs="Palatino Linotype"/>
        <w:b/>
        <w:color w:val="000000"/>
        <w:sz w:val="22"/>
        <w:szCs w:val="22"/>
      </w:rPr>
      <w:fldChar w:fldCharType="begin"/>
    </w:r>
    <w:r w:rsidRPr="003D16FD">
      <w:rPr>
        <w:rFonts w:ascii="Palatino Linotype" w:eastAsia="Palatino Linotype" w:hAnsi="Palatino Linotype" w:cs="Palatino Linotype"/>
        <w:b/>
        <w:color w:val="000000"/>
        <w:sz w:val="22"/>
        <w:szCs w:val="22"/>
      </w:rPr>
      <w:instrText>NUMPAGES</w:instrText>
    </w:r>
    <w:r w:rsidRPr="003D16FD">
      <w:rPr>
        <w:rFonts w:ascii="Palatino Linotype" w:eastAsia="Palatino Linotype" w:hAnsi="Palatino Linotype" w:cs="Palatino Linotype"/>
        <w:b/>
        <w:color w:val="000000"/>
        <w:sz w:val="22"/>
        <w:szCs w:val="22"/>
      </w:rPr>
      <w:fldChar w:fldCharType="separate"/>
    </w:r>
    <w:r w:rsidR="009F1FBA">
      <w:rPr>
        <w:rFonts w:ascii="Palatino Linotype" w:eastAsia="Palatino Linotype" w:hAnsi="Palatino Linotype" w:cs="Palatino Linotype"/>
        <w:b/>
        <w:noProof/>
        <w:color w:val="000000"/>
        <w:sz w:val="22"/>
        <w:szCs w:val="22"/>
      </w:rPr>
      <w:t>21</w:t>
    </w:r>
    <w:r w:rsidRPr="003D16FD">
      <w:rPr>
        <w:rFonts w:ascii="Palatino Linotype" w:eastAsia="Palatino Linotype" w:hAnsi="Palatino Linotype" w:cs="Palatino Linotype"/>
        <w:b/>
        <w:color w:val="000000"/>
        <w:sz w:val="22"/>
        <w:szCs w:val="22"/>
      </w:rPr>
      <w:fldChar w:fldCharType="end"/>
    </w:r>
  </w:p>
  <w:p w:rsidR="00B43233" w:rsidRDefault="00B43233">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4724" w:rsidRDefault="00D94724" w:rsidP="0046681E">
      <w:r>
        <w:separator/>
      </w:r>
    </w:p>
  </w:footnote>
  <w:footnote w:type="continuationSeparator" w:id="0">
    <w:p w:rsidR="00D94724" w:rsidRDefault="00D94724" w:rsidP="0046681E">
      <w:r>
        <w:continuationSeparator/>
      </w:r>
    </w:p>
  </w:footnote>
  <w:footnote w:id="1">
    <w:p w:rsidR="00B43233" w:rsidRDefault="00B43233" w:rsidP="003A1C1B">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Convención Americana sobre Derechos Humanos. Artículo 13.</w:t>
      </w:r>
    </w:p>
  </w:footnote>
  <w:footnote w:id="2">
    <w:p w:rsidR="00B43233" w:rsidRDefault="00B43233" w:rsidP="003A1C1B">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Constitución Política de los Estados Unidos Mexicanos. Artículo sexto, sección A, fracción I.</w:t>
      </w:r>
    </w:p>
  </w:footnote>
  <w:footnote w:id="3">
    <w:p w:rsidR="00B43233" w:rsidRDefault="00B43233" w:rsidP="003A1C1B">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Corte Interamericana de Derechos Humanos. Caso Claude Reyes y otros vs. Chile. Sentencia de 19 de septiembre de 2006. Serie C. No. 151. Párr. 86.</w:t>
      </w:r>
    </w:p>
  </w:footnote>
  <w:footnote w:id="4">
    <w:p w:rsidR="00B43233" w:rsidRDefault="00B43233" w:rsidP="003A1C1B">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233" w:rsidRDefault="00D94724">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 style="position:absolute;margin-left:0;margin-top:0;width:609.4pt;height:793.75pt;z-index:-25165516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654" w:type="dxa"/>
      <w:tblInd w:w="2268" w:type="dxa"/>
      <w:tblLayout w:type="fixed"/>
      <w:tblLook w:val="0400" w:firstRow="0" w:lastRow="0" w:firstColumn="0" w:lastColumn="0" w:noHBand="0" w:noVBand="1"/>
    </w:tblPr>
    <w:tblGrid>
      <w:gridCol w:w="2976"/>
      <w:gridCol w:w="4678"/>
    </w:tblGrid>
    <w:tr w:rsidR="00B43233" w:rsidTr="00C92786">
      <w:trPr>
        <w:trHeight w:val="227"/>
      </w:trPr>
      <w:tc>
        <w:tcPr>
          <w:tcW w:w="2976" w:type="dxa"/>
          <w:vAlign w:val="center"/>
        </w:tcPr>
        <w:p w:rsidR="00B43233" w:rsidRPr="003D16FD" w:rsidRDefault="00B43233">
          <w:pPr>
            <w:ind w:right="34"/>
            <w:jc w:val="right"/>
            <w:rPr>
              <w:rFonts w:ascii="Palatino Linotype" w:eastAsia="Palatino Linotype" w:hAnsi="Palatino Linotype" w:cs="Palatino Linotype"/>
              <w:b/>
              <w:szCs w:val="22"/>
            </w:rPr>
          </w:pPr>
          <w:r w:rsidRPr="003D16FD">
            <w:rPr>
              <w:rFonts w:ascii="Palatino Linotype" w:eastAsia="Palatino Linotype" w:hAnsi="Palatino Linotype" w:cs="Palatino Linotype"/>
              <w:b/>
              <w:szCs w:val="22"/>
            </w:rPr>
            <w:t>Recurso de Revisión:</w:t>
          </w:r>
        </w:p>
      </w:tc>
      <w:tc>
        <w:tcPr>
          <w:tcW w:w="4678" w:type="dxa"/>
          <w:vAlign w:val="center"/>
        </w:tcPr>
        <w:p w:rsidR="00B43233" w:rsidRPr="003D16FD" w:rsidRDefault="00B43233" w:rsidP="00C92786">
          <w:pPr>
            <w:pBdr>
              <w:top w:val="nil"/>
              <w:left w:val="nil"/>
              <w:bottom w:val="nil"/>
              <w:right w:val="nil"/>
              <w:between w:val="nil"/>
            </w:pBdr>
            <w:tabs>
              <w:tab w:val="right" w:pos="8838"/>
            </w:tabs>
            <w:rPr>
              <w:rFonts w:ascii="Palatino Linotype" w:eastAsia="Palatino Linotype" w:hAnsi="Palatino Linotype" w:cs="Palatino Linotype"/>
              <w:color w:val="000000"/>
              <w:szCs w:val="22"/>
              <w:highlight w:val="green"/>
            </w:rPr>
          </w:pPr>
          <w:r>
            <w:rPr>
              <w:rFonts w:ascii="Palatino Linotype" w:eastAsia="Palatino Linotype" w:hAnsi="Palatino Linotype" w:cs="Palatino Linotype"/>
              <w:color w:val="000000"/>
              <w:szCs w:val="22"/>
            </w:rPr>
            <w:t>12773</w:t>
          </w:r>
          <w:r w:rsidRPr="003D16FD">
            <w:rPr>
              <w:rFonts w:ascii="Palatino Linotype" w:eastAsia="Palatino Linotype" w:hAnsi="Palatino Linotype" w:cs="Palatino Linotype"/>
              <w:color w:val="000000"/>
              <w:szCs w:val="22"/>
            </w:rPr>
            <w:t>/INFOEM/IP/RR/2025</w:t>
          </w:r>
        </w:p>
      </w:tc>
    </w:tr>
    <w:tr w:rsidR="00B43233" w:rsidTr="00C92786">
      <w:trPr>
        <w:trHeight w:val="242"/>
      </w:trPr>
      <w:tc>
        <w:tcPr>
          <w:tcW w:w="2976" w:type="dxa"/>
          <w:vAlign w:val="center"/>
        </w:tcPr>
        <w:p w:rsidR="00B43233" w:rsidRPr="003D16FD" w:rsidRDefault="00B43233">
          <w:pPr>
            <w:ind w:right="34"/>
            <w:jc w:val="right"/>
            <w:rPr>
              <w:rFonts w:ascii="Palatino Linotype" w:eastAsia="Palatino Linotype" w:hAnsi="Palatino Linotype" w:cs="Palatino Linotype"/>
              <w:b/>
              <w:szCs w:val="22"/>
            </w:rPr>
          </w:pPr>
          <w:r w:rsidRPr="003D16FD">
            <w:rPr>
              <w:rFonts w:ascii="Palatino Linotype" w:eastAsia="Palatino Linotype" w:hAnsi="Palatino Linotype" w:cs="Palatino Linotype"/>
              <w:b/>
              <w:szCs w:val="22"/>
            </w:rPr>
            <w:t>Sujeto Obligado:</w:t>
          </w:r>
        </w:p>
      </w:tc>
      <w:tc>
        <w:tcPr>
          <w:tcW w:w="4678" w:type="dxa"/>
          <w:vAlign w:val="center"/>
        </w:tcPr>
        <w:p w:rsidR="00B43233" w:rsidRPr="003D16FD" w:rsidRDefault="00B43233" w:rsidP="00C92786">
          <w:pPr>
            <w:pBdr>
              <w:top w:val="nil"/>
              <w:left w:val="nil"/>
              <w:bottom w:val="nil"/>
              <w:right w:val="nil"/>
              <w:between w:val="nil"/>
            </w:pBdr>
            <w:tabs>
              <w:tab w:val="right" w:pos="8838"/>
            </w:tabs>
            <w:rPr>
              <w:rFonts w:ascii="Palatino Linotype" w:eastAsia="Palatino Linotype" w:hAnsi="Palatino Linotype" w:cs="Palatino Linotype"/>
              <w:color w:val="000000"/>
              <w:szCs w:val="22"/>
              <w:highlight w:val="green"/>
            </w:rPr>
          </w:pPr>
          <w:r w:rsidRPr="00886906">
            <w:rPr>
              <w:rFonts w:ascii="Palatino Linotype" w:eastAsia="Palatino Linotype" w:hAnsi="Palatino Linotype" w:cs="Palatino Linotype"/>
              <w:b/>
              <w:bCs/>
              <w:color w:val="000000"/>
              <w:szCs w:val="22"/>
            </w:rPr>
            <w:t>Organismo Público Descentralizado para la Prestación de Los Servicios de Agua Potable Alcantarillado y Saneamiento del Municipio de Lerma</w:t>
          </w:r>
        </w:p>
      </w:tc>
    </w:tr>
    <w:tr w:rsidR="00B43233" w:rsidTr="00C92786">
      <w:trPr>
        <w:trHeight w:val="342"/>
      </w:trPr>
      <w:tc>
        <w:tcPr>
          <w:tcW w:w="2976" w:type="dxa"/>
          <w:vAlign w:val="center"/>
        </w:tcPr>
        <w:p w:rsidR="00B43233" w:rsidRPr="003D16FD" w:rsidRDefault="00B43233">
          <w:pPr>
            <w:ind w:right="34"/>
            <w:jc w:val="right"/>
            <w:rPr>
              <w:rFonts w:ascii="Palatino Linotype" w:eastAsia="Palatino Linotype" w:hAnsi="Palatino Linotype" w:cs="Palatino Linotype"/>
              <w:b/>
              <w:szCs w:val="22"/>
            </w:rPr>
          </w:pPr>
          <w:r w:rsidRPr="003D16FD">
            <w:rPr>
              <w:rFonts w:ascii="Palatino Linotype" w:eastAsia="Palatino Linotype" w:hAnsi="Palatino Linotype" w:cs="Palatino Linotype"/>
              <w:b/>
              <w:szCs w:val="22"/>
            </w:rPr>
            <w:t>Comisionada Ponente:</w:t>
          </w:r>
        </w:p>
      </w:tc>
      <w:tc>
        <w:tcPr>
          <w:tcW w:w="4678" w:type="dxa"/>
          <w:vAlign w:val="center"/>
        </w:tcPr>
        <w:p w:rsidR="00B43233" w:rsidRPr="003D16FD" w:rsidRDefault="00B43233" w:rsidP="00C92786">
          <w:pPr>
            <w:pBdr>
              <w:top w:val="nil"/>
              <w:left w:val="nil"/>
              <w:bottom w:val="nil"/>
              <w:right w:val="nil"/>
              <w:between w:val="nil"/>
            </w:pBdr>
            <w:tabs>
              <w:tab w:val="right" w:pos="8838"/>
            </w:tabs>
            <w:rPr>
              <w:rFonts w:ascii="Palatino Linotype" w:eastAsia="Palatino Linotype" w:hAnsi="Palatino Linotype" w:cs="Palatino Linotype"/>
              <w:color w:val="000000"/>
              <w:szCs w:val="22"/>
            </w:rPr>
          </w:pPr>
          <w:r w:rsidRPr="003D16FD">
            <w:rPr>
              <w:rFonts w:ascii="Palatino Linotype" w:eastAsia="Palatino Linotype" w:hAnsi="Palatino Linotype" w:cs="Palatino Linotype"/>
              <w:color w:val="000000"/>
              <w:szCs w:val="22"/>
            </w:rPr>
            <w:t>María del Rosario Mejía Ayala</w:t>
          </w:r>
        </w:p>
      </w:tc>
    </w:tr>
  </w:tbl>
  <w:p w:rsidR="00B43233" w:rsidRDefault="00D94724">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87.55pt;margin-top:-144.6pt;width:609.4pt;height:793.75pt;z-index:-25165721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796" w:type="dxa"/>
      <w:tblInd w:w="2268" w:type="dxa"/>
      <w:tblLayout w:type="fixed"/>
      <w:tblLook w:val="0400" w:firstRow="0" w:lastRow="0" w:firstColumn="0" w:lastColumn="0" w:noHBand="0" w:noVBand="1"/>
    </w:tblPr>
    <w:tblGrid>
      <w:gridCol w:w="2977"/>
      <w:gridCol w:w="4819"/>
    </w:tblGrid>
    <w:tr w:rsidR="00B43233" w:rsidTr="00C92786">
      <w:trPr>
        <w:trHeight w:val="227"/>
      </w:trPr>
      <w:tc>
        <w:tcPr>
          <w:tcW w:w="2977" w:type="dxa"/>
          <w:vAlign w:val="center"/>
        </w:tcPr>
        <w:p w:rsidR="00B43233" w:rsidRPr="003D16FD" w:rsidRDefault="00B43233">
          <w:pPr>
            <w:jc w:val="right"/>
            <w:rPr>
              <w:rFonts w:ascii="Palatino Linotype" w:eastAsia="Palatino Linotype" w:hAnsi="Palatino Linotype" w:cs="Palatino Linotype"/>
              <w:b/>
              <w:szCs w:val="22"/>
            </w:rPr>
          </w:pPr>
          <w:r w:rsidRPr="003D16FD">
            <w:rPr>
              <w:rFonts w:ascii="Palatino Linotype" w:eastAsia="Palatino Linotype" w:hAnsi="Palatino Linotype" w:cs="Palatino Linotype"/>
              <w:b/>
              <w:szCs w:val="22"/>
            </w:rPr>
            <w:t>Recurso de Revisión:</w:t>
          </w:r>
        </w:p>
      </w:tc>
      <w:tc>
        <w:tcPr>
          <w:tcW w:w="4819" w:type="dxa"/>
          <w:vAlign w:val="center"/>
        </w:tcPr>
        <w:p w:rsidR="00B43233" w:rsidRPr="003D16FD" w:rsidRDefault="00B43233" w:rsidP="00C92786">
          <w:pPr>
            <w:pBdr>
              <w:top w:val="nil"/>
              <w:left w:val="nil"/>
              <w:bottom w:val="nil"/>
              <w:right w:val="nil"/>
              <w:between w:val="nil"/>
            </w:pBdr>
            <w:tabs>
              <w:tab w:val="right" w:pos="8838"/>
            </w:tabs>
            <w:rPr>
              <w:rFonts w:ascii="Palatino Linotype" w:eastAsia="Palatino Linotype" w:hAnsi="Palatino Linotype" w:cs="Palatino Linotype"/>
              <w:color w:val="000000"/>
              <w:szCs w:val="22"/>
              <w:highlight w:val="green"/>
            </w:rPr>
          </w:pPr>
          <w:r>
            <w:rPr>
              <w:rFonts w:ascii="Palatino Linotype" w:eastAsia="Palatino Linotype" w:hAnsi="Palatino Linotype" w:cs="Palatino Linotype"/>
              <w:color w:val="000000"/>
              <w:szCs w:val="22"/>
            </w:rPr>
            <w:t>12773</w:t>
          </w:r>
          <w:r w:rsidRPr="003D16FD">
            <w:rPr>
              <w:rFonts w:ascii="Palatino Linotype" w:eastAsia="Palatino Linotype" w:hAnsi="Palatino Linotype" w:cs="Palatino Linotype"/>
              <w:color w:val="000000"/>
              <w:szCs w:val="22"/>
            </w:rPr>
            <w:t>/INFOEM/IP/RR/2025</w:t>
          </w:r>
        </w:p>
      </w:tc>
    </w:tr>
    <w:tr w:rsidR="00B43233" w:rsidTr="00C92786">
      <w:trPr>
        <w:trHeight w:val="242"/>
      </w:trPr>
      <w:tc>
        <w:tcPr>
          <w:tcW w:w="2977" w:type="dxa"/>
          <w:vAlign w:val="center"/>
        </w:tcPr>
        <w:p w:rsidR="00B43233" w:rsidRPr="003D16FD" w:rsidRDefault="00B43233">
          <w:pPr>
            <w:jc w:val="right"/>
            <w:rPr>
              <w:rFonts w:ascii="Palatino Linotype" w:eastAsia="Palatino Linotype" w:hAnsi="Palatino Linotype" w:cs="Palatino Linotype"/>
              <w:b/>
              <w:szCs w:val="22"/>
            </w:rPr>
          </w:pPr>
          <w:r w:rsidRPr="003D16FD">
            <w:rPr>
              <w:rFonts w:ascii="Palatino Linotype" w:eastAsia="Palatino Linotype" w:hAnsi="Palatino Linotype" w:cs="Palatino Linotype"/>
              <w:b/>
              <w:szCs w:val="22"/>
            </w:rPr>
            <w:t>Recurrente:</w:t>
          </w:r>
        </w:p>
      </w:tc>
      <w:tc>
        <w:tcPr>
          <w:tcW w:w="4819" w:type="dxa"/>
        </w:tcPr>
        <w:p w:rsidR="00B43233" w:rsidRPr="003D16FD" w:rsidRDefault="009F1FBA" w:rsidP="00C92786">
          <w:pPr>
            <w:pBdr>
              <w:top w:val="nil"/>
              <w:left w:val="nil"/>
              <w:bottom w:val="nil"/>
              <w:right w:val="nil"/>
              <w:between w:val="nil"/>
            </w:pBdr>
            <w:tabs>
              <w:tab w:val="right" w:pos="8838"/>
              <w:tab w:val="left" w:pos="521"/>
            </w:tabs>
            <w:rPr>
              <w:rFonts w:ascii="Palatino Linotype" w:eastAsia="Palatino Linotype" w:hAnsi="Palatino Linotype" w:cs="Palatino Linotype"/>
              <w:color w:val="000000"/>
              <w:szCs w:val="22"/>
              <w:highlight w:val="green"/>
            </w:rPr>
          </w:pPr>
          <w:r>
            <w:rPr>
              <w:rFonts w:ascii="Palatino Linotype" w:eastAsia="Palatino Linotype" w:hAnsi="Palatino Linotype" w:cs="Palatino Linotype"/>
              <w:color w:val="000000"/>
              <w:szCs w:val="22"/>
            </w:rPr>
            <w:t>XXXX</w:t>
          </w:r>
        </w:p>
      </w:tc>
    </w:tr>
    <w:tr w:rsidR="00B43233" w:rsidTr="00C92786">
      <w:trPr>
        <w:trHeight w:val="342"/>
      </w:trPr>
      <w:tc>
        <w:tcPr>
          <w:tcW w:w="2977" w:type="dxa"/>
          <w:vAlign w:val="center"/>
        </w:tcPr>
        <w:p w:rsidR="00B43233" w:rsidRPr="003D16FD" w:rsidRDefault="00B43233">
          <w:pPr>
            <w:jc w:val="right"/>
            <w:rPr>
              <w:rFonts w:ascii="Palatino Linotype" w:eastAsia="Palatino Linotype" w:hAnsi="Palatino Linotype" w:cs="Palatino Linotype"/>
              <w:b/>
              <w:szCs w:val="22"/>
            </w:rPr>
          </w:pPr>
          <w:r w:rsidRPr="003D16FD">
            <w:rPr>
              <w:rFonts w:ascii="Palatino Linotype" w:eastAsia="Palatino Linotype" w:hAnsi="Palatino Linotype" w:cs="Palatino Linotype"/>
              <w:b/>
              <w:szCs w:val="22"/>
            </w:rPr>
            <w:t>Sujeto Obligado:</w:t>
          </w:r>
        </w:p>
      </w:tc>
      <w:tc>
        <w:tcPr>
          <w:tcW w:w="4819" w:type="dxa"/>
          <w:vAlign w:val="center"/>
        </w:tcPr>
        <w:p w:rsidR="00B43233" w:rsidRPr="003D16FD" w:rsidRDefault="00B43233" w:rsidP="00C92786">
          <w:pPr>
            <w:pBdr>
              <w:top w:val="nil"/>
              <w:left w:val="nil"/>
              <w:bottom w:val="nil"/>
              <w:right w:val="nil"/>
              <w:between w:val="nil"/>
            </w:pBdr>
            <w:tabs>
              <w:tab w:val="right" w:pos="8838"/>
            </w:tabs>
            <w:rPr>
              <w:rFonts w:ascii="Palatino Linotype" w:eastAsia="Palatino Linotype" w:hAnsi="Palatino Linotype" w:cs="Palatino Linotype"/>
              <w:color w:val="000000"/>
              <w:szCs w:val="22"/>
              <w:highlight w:val="green"/>
            </w:rPr>
          </w:pPr>
          <w:r w:rsidRPr="00886906">
            <w:rPr>
              <w:rFonts w:ascii="Palatino Linotype" w:eastAsia="Palatino Linotype" w:hAnsi="Palatino Linotype" w:cs="Palatino Linotype"/>
              <w:b/>
              <w:bCs/>
              <w:color w:val="000000"/>
              <w:szCs w:val="22"/>
            </w:rPr>
            <w:t>Organismo Público Descentralizado para la Prestación de Los Servicios de Agua Potable Alcantarillado y Saneamiento del Municipio de Lerma</w:t>
          </w:r>
        </w:p>
      </w:tc>
    </w:tr>
    <w:tr w:rsidR="00B43233" w:rsidTr="00C92786">
      <w:trPr>
        <w:trHeight w:val="342"/>
      </w:trPr>
      <w:tc>
        <w:tcPr>
          <w:tcW w:w="2977" w:type="dxa"/>
          <w:vAlign w:val="center"/>
        </w:tcPr>
        <w:p w:rsidR="00B43233" w:rsidRPr="003D16FD" w:rsidRDefault="00B43233">
          <w:pPr>
            <w:jc w:val="right"/>
            <w:rPr>
              <w:rFonts w:ascii="Palatino Linotype" w:eastAsia="Palatino Linotype" w:hAnsi="Palatino Linotype" w:cs="Palatino Linotype"/>
              <w:b/>
              <w:szCs w:val="22"/>
            </w:rPr>
          </w:pPr>
          <w:r w:rsidRPr="003D16FD">
            <w:rPr>
              <w:rFonts w:ascii="Palatino Linotype" w:eastAsia="Palatino Linotype" w:hAnsi="Palatino Linotype" w:cs="Palatino Linotype"/>
              <w:b/>
              <w:szCs w:val="22"/>
            </w:rPr>
            <w:t>Comisionada Ponente:</w:t>
          </w:r>
        </w:p>
      </w:tc>
      <w:tc>
        <w:tcPr>
          <w:tcW w:w="4819" w:type="dxa"/>
          <w:vAlign w:val="center"/>
        </w:tcPr>
        <w:p w:rsidR="00B43233" w:rsidRPr="003D16FD" w:rsidRDefault="00B43233" w:rsidP="00C92786">
          <w:pPr>
            <w:pBdr>
              <w:top w:val="nil"/>
              <w:left w:val="nil"/>
              <w:bottom w:val="nil"/>
              <w:right w:val="nil"/>
              <w:between w:val="nil"/>
            </w:pBdr>
            <w:tabs>
              <w:tab w:val="right" w:pos="8838"/>
            </w:tabs>
            <w:rPr>
              <w:rFonts w:ascii="Palatino Linotype" w:eastAsia="Palatino Linotype" w:hAnsi="Palatino Linotype" w:cs="Palatino Linotype"/>
              <w:color w:val="000000"/>
              <w:szCs w:val="22"/>
            </w:rPr>
          </w:pPr>
          <w:r w:rsidRPr="003D16FD">
            <w:rPr>
              <w:rFonts w:ascii="Palatino Linotype" w:eastAsia="Palatino Linotype" w:hAnsi="Palatino Linotype" w:cs="Palatino Linotype"/>
              <w:color w:val="000000"/>
              <w:szCs w:val="22"/>
            </w:rPr>
            <w:t>María del Rosario Mejía Ayala</w:t>
          </w:r>
        </w:p>
      </w:tc>
    </w:tr>
  </w:tbl>
  <w:p w:rsidR="00B43233" w:rsidRPr="003D16FD" w:rsidRDefault="00D94724">
    <w:pPr>
      <w:pBdr>
        <w:top w:val="nil"/>
        <w:left w:val="nil"/>
        <w:bottom w:val="nil"/>
        <w:right w:val="nil"/>
        <w:between w:val="nil"/>
      </w:pBdr>
      <w:tabs>
        <w:tab w:val="center" w:pos="4419"/>
        <w:tab w:val="right" w:pos="8838"/>
      </w:tabs>
      <w:rPr>
        <w:b/>
        <w:color w:val="000000"/>
        <w:sz w:val="18"/>
        <w:szCs w:val="16"/>
      </w:rPr>
    </w:pPr>
    <w:r>
      <w:rPr>
        <w:b/>
        <w:color w:val="000000"/>
        <w:sz w:val="18"/>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4.55pt;margin-top:-129.5pt;width:609.4pt;height:793.75pt;z-index:-251656192;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B769DD"/>
    <w:multiLevelType w:val="hybridMultilevel"/>
    <w:tmpl w:val="D9788B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94E6C9B"/>
    <w:multiLevelType w:val="multilevel"/>
    <w:tmpl w:val="991EBFD4"/>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A0C5B26"/>
    <w:multiLevelType w:val="hybridMultilevel"/>
    <w:tmpl w:val="1102C37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2BFA4E07"/>
    <w:multiLevelType w:val="multilevel"/>
    <w:tmpl w:val="3DF6786E"/>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4" w15:restartNumberingAfterBreak="0">
    <w:nsid w:val="2C4B7756"/>
    <w:multiLevelType w:val="multilevel"/>
    <w:tmpl w:val="F1ACF39C"/>
    <w:lvl w:ilvl="0">
      <w:start w:val="1"/>
      <w:numFmt w:val="decimal"/>
      <w:lvlText w:val="%1."/>
      <w:lvlJc w:val="left"/>
      <w:pPr>
        <w:ind w:left="502" w:hanging="360"/>
      </w:pPr>
      <w:rPr>
        <w:rFonts w:ascii="Palatino Linotype" w:eastAsia="Palatino Linotype" w:hAnsi="Palatino Linotype" w:cs="Palatino Linotype"/>
        <w:b/>
        <w:bCs/>
        <w:i w:val="0"/>
        <w:iCs w:val="0"/>
        <w:color w:val="000000"/>
        <w:sz w:val="24"/>
        <w:szCs w:val="24"/>
      </w:rPr>
    </w:lvl>
    <w:lvl w:ilvl="1">
      <w:start w:val="1"/>
      <w:numFmt w:val="lowerLetter"/>
      <w:lvlText w:val="%2."/>
      <w:lvlJc w:val="left"/>
      <w:pPr>
        <w:ind w:left="1440" w:hanging="360"/>
      </w:pPr>
    </w:lvl>
    <w:lvl w:ilvl="2">
      <w:start w:val="1"/>
      <w:numFmt w:val="upperLetter"/>
      <w:lvlText w:val="%3)"/>
      <w:lvlJc w:val="left"/>
      <w:pPr>
        <w:ind w:left="2340" w:hanging="360"/>
      </w:pPr>
    </w:lvl>
    <w:lvl w:ilvl="3">
      <w:start w:val="1"/>
      <w:numFmt w:val="lowerLetter"/>
      <w:lvlText w:val="%4)"/>
      <w:lvlJc w:val="left"/>
      <w:pPr>
        <w:ind w:left="2880" w:hanging="360"/>
      </w:pPr>
      <w:rPr>
        <w:b w:val="0"/>
        <w:bCs w:val="0"/>
        <w:color w:val="00000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A177B67"/>
    <w:multiLevelType w:val="multilevel"/>
    <w:tmpl w:val="D236FA1A"/>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82113AE"/>
    <w:multiLevelType w:val="multilevel"/>
    <w:tmpl w:val="63C60078"/>
    <w:lvl w:ilvl="0">
      <w:start w:val="1"/>
      <w:numFmt w:val="decimal"/>
      <w:lvlText w:val="%1."/>
      <w:lvlJc w:val="left"/>
      <w:pPr>
        <w:ind w:left="357" w:hanging="357"/>
      </w:pPr>
      <w:rPr>
        <w:rFonts w:ascii="Palatino Linotype" w:eastAsia="Palatino Linotype" w:hAnsi="Palatino Linotype" w:cs="Palatino Linotype"/>
        <w:b/>
        <w:bCs/>
        <w:i w:val="0"/>
        <w:iCs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bCs/>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18B2BC2"/>
    <w:multiLevelType w:val="hybridMultilevel"/>
    <w:tmpl w:val="E15404F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5AD2D16"/>
    <w:multiLevelType w:val="hybridMultilevel"/>
    <w:tmpl w:val="592C721A"/>
    <w:lvl w:ilvl="0" w:tplc="47EEF832">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num w:numId="1">
    <w:abstractNumId w:val="5"/>
  </w:num>
  <w:num w:numId="2">
    <w:abstractNumId w:val="3"/>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6"/>
  </w:num>
  <w:num w:numId="7">
    <w:abstractNumId w:val="4"/>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81E"/>
    <w:rsid w:val="0001535C"/>
    <w:rsid w:val="000C1B85"/>
    <w:rsid w:val="000E3ACA"/>
    <w:rsid w:val="00105081"/>
    <w:rsid w:val="001D44DF"/>
    <w:rsid w:val="003366A0"/>
    <w:rsid w:val="003A1C1B"/>
    <w:rsid w:val="003D7F58"/>
    <w:rsid w:val="00421A79"/>
    <w:rsid w:val="0044001B"/>
    <w:rsid w:val="00443E87"/>
    <w:rsid w:val="0046681E"/>
    <w:rsid w:val="004C7AE1"/>
    <w:rsid w:val="004E134E"/>
    <w:rsid w:val="005A4698"/>
    <w:rsid w:val="00676ABC"/>
    <w:rsid w:val="006C2C0B"/>
    <w:rsid w:val="0070769E"/>
    <w:rsid w:val="00747294"/>
    <w:rsid w:val="00781A4E"/>
    <w:rsid w:val="007C3D42"/>
    <w:rsid w:val="00800FDB"/>
    <w:rsid w:val="00826106"/>
    <w:rsid w:val="00832A07"/>
    <w:rsid w:val="00874CC1"/>
    <w:rsid w:val="00886906"/>
    <w:rsid w:val="0089348C"/>
    <w:rsid w:val="008A7A21"/>
    <w:rsid w:val="00924939"/>
    <w:rsid w:val="00925003"/>
    <w:rsid w:val="0097298A"/>
    <w:rsid w:val="009972C7"/>
    <w:rsid w:val="009E0F05"/>
    <w:rsid w:val="009F1FBA"/>
    <w:rsid w:val="00A0431D"/>
    <w:rsid w:val="00A070F0"/>
    <w:rsid w:val="00B41373"/>
    <w:rsid w:val="00B43233"/>
    <w:rsid w:val="00B83733"/>
    <w:rsid w:val="00C85307"/>
    <w:rsid w:val="00C92786"/>
    <w:rsid w:val="00CE4F1E"/>
    <w:rsid w:val="00D1689E"/>
    <w:rsid w:val="00D32FB8"/>
    <w:rsid w:val="00D92444"/>
    <w:rsid w:val="00D94724"/>
    <w:rsid w:val="00D977E8"/>
    <w:rsid w:val="00E30391"/>
    <w:rsid w:val="00F2253C"/>
    <w:rsid w:val="00F92086"/>
    <w:rsid w:val="00FD1BC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DBD39731-257C-47BD-BC35-AF26B7611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681E"/>
    <w:pPr>
      <w:spacing w:after="0" w:line="240" w:lineRule="auto"/>
    </w:pPr>
    <w:rPr>
      <w:rFonts w:ascii="Calibri" w:eastAsiaTheme="minorEastAsia" w:hAnsi="Calibri" w:cs="Calibri"/>
      <w:sz w:val="24"/>
      <w:szCs w:val="24"/>
      <w:lang w:val="es-ES_tradnl" w:eastAsia="es-ES"/>
    </w:rPr>
  </w:style>
  <w:style w:type="paragraph" w:styleId="Ttulo1">
    <w:name w:val="heading 1"/>
    <w:basedOn w:val="Normal"/>
    <w:next w:val="Normal"/>
    <w:link w:val="Ttulo1Car"/>
    <w:uiPriority w:val="9"/>
    <w:qFormat/>
    <w:rsid w:val="004668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6681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681E"/>
    <w:rPr>
      <w:rFonts w:asciiTheme="majorHAnsi" w:eastAsiaTheme="majorEastAsia" w:hAnsiTheme="majorHAnsi" w:cstheme="majorBidi"/>
      <w:color w:val="2E74B5" w:themeColor="accent1" w:themeShade="BF"/>
      <w:sz w:val="32"/>
      <w:szCs w:val="32"/>
      <w:lang w:val="es-ES_tradnl" w:eastAsia="es-ES"/>
    </w:rPr>
  </w:style>
  <w:style w:type="character" w:customStyle="1" w:styleId="Ttulo2Car">
    <w:name w:val="Título 2 Car"/>
    <w:basedOn w:val="Fuentedeprrafopredeter"/>
    <w:link w:val="Ttulo2"/>
    <w:uiPriority w:val="9"/>
    <w:rsid w:val="0046681E"/>
    <w:rPr>
      <w:rFonts w:asciiTheme="majorHAnsi" w:eastAsiaTheme="majorEastAsia" w:hAnsiTheme="majorHAnsi" w:cstheme="majorBidi"/>
      <w:color w:val="2E74B5" w:themeColor="accent1" w:themeShade="BF"/>
      <w:sz w:val="26"/>
      <w:szCs w:val="26"/>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6681E"/>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6681E"/>
    <w:rPr>
      <w:rFonts w:ascii="Calibri" w:eastAsiaTheme="minorEastAsia" w:hAnsi="Calibri" w:cs="Calibri"/>
      <w:sz w:val="24"/>
      <w:szCs w:val="24"/>
      <w:lang w:val="es-ES_tradnl" w:eastAsia="es-ES"/>
    </w:rPr>
  </w:style>
  <w:style w:type="paragraph" w:styleId="Sinespaciado">
    <w:name w:val="No Spacing"/>
    <w:aliases w:val="Francesa,INAI"/>
    <w:link w:val="SinespaciadoCar"/>
    <w:uiPriority w:val="1"/>
    <w:qFormat/>
    <w:rsid w:val="0046681E"/>
    <w:pPr>
      <w:spacing w:after="0" w:line="240" w:lineRule="auto"/>
    </w:pPr>
    <w:rPr>
      <w:rFonts w:ascii="Calibri" w:eastAsia="Calibri" w:hAnsi="Calibri" w:cs="Calibri"/>
      <w:sz w:val="24"/>
      <w:szCs w:val="24"/>
      <w:lang w:val="es-ES_tradnl" w:eastAsia="es-MX"/>
    </w:rPr>
  </w:style>
  <w:style w:type="character" w:customStyle="1" w:styleId="SinespaciadoCar">
    <w:name w:val="Sin espaciado Car"/>
    <w:aliases w:val="Francesa Car,INAI Car"/>
    <w:link w:val="Sinespaciado"/>
    <w:uiPriority w:val="1"/>
    <w:qFormat/>
    <w:locked/>
    <w:rsid w:val="0046681E"/>
    <w:rPr>
      <w:rFonts w:ascii="Calibri" w:eastAsia="Calibri" w:hAnsi="Calibri" w:cs="Calibri"/>
      <w:sz w:val="24"/>
      <w:szCs w:val="24"/>
      <w:lang w:val="es-ES_tradnl" w:eastAsia="es-MX"/>
    </w:rPr>
  </w:style>
  <w:style w:type="paragraph" w:styleId="Piedepgina">
    <w:name w:val="footer"/>
    <w:basedOn w:val="Normal"/>
    <w:link w:val="PiedepginaCar"/>
    <w:uiPriority w:val="99"/>
    <w:unhideWhenUsed/>
    <w:rsid w:val="0046681E"/>
    <w:pPr>
      <w:tabs>
        <w:tab w:val="center" w:pos="4419"/>
        <w:tab w:val="right" w:pos="8838"/>
      </w:tabs>
    </w:pPr>
  </w:style>
  <w:style w:type="character" w:customStyle="1" w:styleId="PiedepginaCar">
    <w:name w:val="Pie de página Car"/>
    <w:basedOn w:val="Fuentedeprrafopredeter"/>
    <w:link w:val="Piedepgina"/>
    <w:uiPriority w:val="99"/>
    <w:rsid w:val="0046681E"/>
    <w:rPr>
      <w:rFonts w:ascii="Calibri" w:eastAsiaTheme="minorEastAsia" w:hAnsi="Calibri" w:cs="Calibri"/>
      <w:sz w:val="24"/>
      <w:szCs w:val="24"/>
      <w:lang w:val="es-ES_tradnl" w:eastAsia="es-ES"/>
    </w:rPr>
  </w:style>
  <w:style w:type="character" w:styleId="Hipervnculo">
    <w:name w:val="Hyperlink"/>
    <w:basedOn w:val="Fuentedeprrafopredeter"/>
    <w:uiPriority w:val="99"/>
    <w:unhideWhenUsed/>
    <w:rsid w:val="0044001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pomex.org.mx/ipomex/"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pomex.org.mx/ipomex/" TargetMode="Externa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ipomex.org.mx/ipomex/"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ipomex.org.mx/ipomex/"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21</Pages>
  <Words>4208</Words>
  <Characters>23149</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27303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INFOEM399</dc:creator>
  <cp:keywords/>
  <dc:description/>
  <cp:lastModifiedBy>Cuenta Microsoft</cp:lastModifiedBy>
  <cp:revision>8</cp:revision>
  <cp:lastPrinted>2026-04-29T18:07:00Z</cp:lastPrinted>
  <dcterms:created xsi:type="dcterms:W3CDTF">2026-04-22T23:33:00Z</dcterms:created>
  <dcterms:modified xsi:type="dcterms:W3CDTF">2026-05-11T19:50:00Z</dcterms:modified>
</cp:coreProperties>
</file>