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BA3" w:rsidRPr="00473550" w:rsidRDefault="00864BA3" w:rsidP="00BD288A">
      <w:pPr>
        <w:pBdr>
          <w:top w:val="nil"/>
          <w:left w:val="nil"/>
          <w:bottom w:val="nil"/>
          <w:right w:val="nil"/>
          <w:between w:val="nil"/>
        </w:pBdr>
        <w:contextualSpacing/>
        <w:rPr>
          <w:rFonts w:eastAsia="Palatino Linotype" w:cs="Palatino Linotype"/>
          <w:color w:val="000000"/>
          <w:szCs w:val="24"/>
        </w:rPr>
      </w:pPr>
      <w:r w:rsidRPr="00473550">
        <w:rPr>
          <w:rFonts w:eastAsia="Palatino Linotype" w:cs="Palatino Linotype"/>
          <w:color w:val="000000"/>
          <w:szCs w:val="24"/>
        </w:rPr>
        <w:t xml:space="preserve">Resolución del Pleno del Instituto de Transparencia, Acceso a la Información Pública y Protección de Datos Personales del Estado de México y Municipios, con domicilio en Metepec, Estado de México, a </w:t>
      </w:r>
      <w:r w:rsidR="0087192A" w:rsidRPr="00473550">
        <w:rPr>
          <w:rFonts w:eastAsia="Palatino Linotype" w:cs="Palatino Linotype"/>
          <w:b/>
          <w:bCs/>
          <w:color w:val="000000"/>
          <w:szCs w:val="24"/>
        </w:rPr>
        <w:t>trece de mayo de dos mil veintiséis</w:t>
      </w:r>
      <w:r w:rsidRPr="00473550">
        <w:rPr>
          <w:rFonts w:eastAsia="Palatino Linotype" w:cs="Palatino Linotype"/>
          <w:color w:val="000000"/>
          <w:szCs w:val="24"/>
        </w:rPr>
        <w:t>.</w:t>
      </w:r>
    </w:p>
    <w:p w:rsidR="00864BA3" w:rsidRPr="00473550" w:rsidRDefault="00864BA3" w:rsidP="00BD288A">
      <w:pPr>
        <w:pBdr>
          <w:top w:val="nil"/>
          <w:left w:val="nil"/>
          <w:bottom w:val="nil"/>
          <w:right w:val="nil"/>
          <w:between w:val="nil"/>
        </w:pBdr>
        <w:contextualSpacing/>
        <w:rPr>
          <w:rFonts w:eastAsia="Palatino Linotype" w:cs="Palatino Linotype"/>
          <w:color w:val="000000"/>
          <w:szCs w:val="24"/>
        </w:rPr>
      </w:pPr>
    </w:p>
    <w:p w:rsidR="00864BA3" w:rsidRPr="00473550" w:rsidRDefault="00864BA3" w:rsidP="00BD288A">
      <w:pPr>
        <w:pBdr>
          <w:top w:val="nil"/>
          <w:left w:val="nil"/>
          <w:bottom w:val="nil"/>
          <w:right w:val="nil"/>
          <w:between w:val="nil"/>
        </w:pBdr>
        <w:contextualSpacing/>
        <w:rPr>
          <w:rFonts w:eastAsia="Palatino Linotype" w:cs="Palatino Linotype"/>
          <w:color w:val="000000"/>
          <w:szCs w:val="24"/>
        </w:rPr>
      </w:pPr>
      <w:r w:rsidRPr="00473550">
        <w:rPr>
          <w:rFonts w:eastAsia="Palatino Linotype" w:cs="Palatino Linotype"/>
          <w:b/>
          <w:color w:val="000000"/>
          <w:szCs w:val="24"/>
        </w:rPr>
        <w:t>VISTO</w:t>
      </w:r>
      <w:r w:rsidRPr="00473550">
        <w:rPr>
          <w:rFonts w:eastAsia="Palatino Linotype" w:cs="Palatino Linotype"/>
          <w:color w:val="000000"/>
          <w:szCs w:val="24"/>
        </w:rPr>
        <w:t xml:space="preserve"> el expediente electrónico formado con motivo del recurso de revisión número </w:t>
      </w:r>
      <w:r w:rsidR="00BD288A" w:rsidRPr="00473550">
        <w:rPr>
          <w:rFonts w:eastAsia="Palatino Linotype" w:cs="Palatino Linotype"/>
          <w:b/>
          <w:color w:val="000000"/>
          <w:szCs w:val="24"/>
        </w:rPr>
        <w:t>1117</w:t>
      </w:r>
      <w:r w:rsidR="005077DD" w:rsidRPr="00473550">
        <w:rPr>
          <w:rFonts w:eastAsia="Palatino Linotype" w:cs="Palatino Linotype"/>
          <w:b/>
          <w:color w:val="000000"/>
          <w:szCs w:val="24"/>
        </w:rPr>
        <w:t>5</w:t>
      </w:r>
      <w:r w:rsidRPr="00473550">
        <w:rPr>
          <w:rFonts w:eastAsia="Palatino Linotype" w:cs="Palatino Linotype"/>
          <w:b/>
          <w:color w:val="000000"/>
          <w:szCs w:val="24"/>
        </w:rPr>
        <w:t>/INFOEM/IP/RR/2025</w:t>
      </w:r>
      <w:r w:rsidRPr="00473550">
        <w:rPr>
          <w:rFonts w:eastAsia="Palatino Linotype" w:cs="Palatino Linotype"/>
          <w:color w:val="000000"/>
          <w:szCs w:val="24"/>
        </w:rPr>
        <w:t>, interpuesto por</w:t>
      </w:r>
      <w:r w:rsidRPr="00473550">
        <w:rPr>
          <w:rFonts w:cs="Arial"/>
          <w:szCs w:val="24"/>
        </w:rPr>
        <w:t xml:space="preserve"> </w:t>
      </w:r>
      <w:r w:rsidR="007E4269">
        <w:rPr>
          <w:rFonts w:cs="Arial"/>
          <w:b/>
          <w:szCs w:val="24"/>
        </w:rPr>
        <w:t>XXXXXXXXXXXXXXXX</w:t>
      </w:r>
      <w:r w:rsidRPr="00473550">
        <w:rPr>
          <w:rFonts w:cs="Arial"/>
          <w:b/>
          <w:bCs/>
          <w:szCs w:val="24"/>
        </w:rPr>
        <w:t xml:space="preserve"> </w:t>
      </w:r>
      <w:r w:rsidRPr="00473550">
        <w:rPr>
          <w:rFonts w:eastAsia="Palatino Linotype" w:cs="Palatino Linotype"/>
          <w:color w:val="000000"/>
          <w:szCs w:val="24"/>
        </w:rPr>
        <w:t xml:space="preserve">en lo sucesivo el </w:t>
      </w:r>
      <w:r w:rsidRPr="00473550">
        <w:rPr>
          <w:rFonts w:eastAsia="Palatino Linotype" w:cs="Palatino Linotype"/>
          <w:b/>
          <w:color w:val="000000"/>
          <w:szCs w:val="24"/>
        </w:rPr>
        <w:t>Recurrente</w:t>
      </w:r>
      <w:r w:rsidR="00D4068F" w:rsidRPr="00473550">
        <w:rPr>
          <w:rFonts w:eastAsia="Palatino Linotype" w:cs="Palatino Linotype"/>
          <w:color w:val="000000"/>
          <w:szCs w:val="24"/>
        </w:rPr>
        <w:t>, en contra de la respuesta de la</w:t>
      </w:r>
      <w:r w:rsidRPr="00473550">
        <w:rPr>
          <w:rFonts w:eastAsia="Palatino Linotype" w:cs="Palatino Linotype"/>
          <w:b/>
          <w:color w:val="000000"/>
          <w:szCs w:val="24"/>
        </w:rPr>
        <w:t xml:space="preserve"> </w:t>
      </w:r>
      <w:r w:rsidR="00BD288A" w:rsidRPr="00473550">
        <w:rPr>
          <w:b/>
          <w:bCs/>
          <w:color w:val="000000"/>
          <w:szCs w:val="24"/>
        </w:rPr>
        <w:t xml:space="preserve">Secretaría de Educación, Ciencia, Tecnología e Innovación, </w:t>
      </w:r>
      <w:r w:rsidRPr="00473550">
        <w:rPr>
          <w:rFonts w:eastAsia="Palatino Linotype" w:cs="Palatino Linotype"/>
          <w:color w:val="000000"/>
          <w:szCs w:val="24"/>
        </w:rPr>
        <w:t>en lo subsecuente</w:t>
      </w:r>
      <w:r w:rsidRPr="00473550">
        <w:rPr>
          <w:rFonts w:eastAsia="Palatino Linotype" w:cs="Palatino Linotype"/>
          <w:b/>
          <w:color w:val="000000"/>
          <w:szCs w:val="24"/>
        </w:rPr>
        <w:t xml:space="preserve"> </w:t>
      </w:r>
      <w:r w:rsidRPr="00473550">
        <w:rPr>
          <w:rFonts w:eastAsia="Palatino Linotype" w:cs="Palatino Linotype"/>
          <w:color w:val="000000"/>
          <w:szCs w:val="24"/>
        </w:rPr>
        <w:t>el</w:t>
      </w:r>
      <w:r w:rsidRPr="00473550">
        <w:rPr>
          <w:rFonts w:eastAsia="Palatino Linotype" w:cs="Palatino Linotype"/>
          <w:b/>
          <w:color w:val="000000"/>
          <w:szCs w:val="24"/>
        </w:rPr>
        <w:t xml:space="preserve"> Sujeto Obligado, </w:t>
      </w:r>
      <w:r w:rsidRPr="00473550">
        <w:rPr>
          <w:rFonts w:eastAsia="Palatino Linotype" w:cs="Palatino Linotype"/>
          <w:color w:val="000000"/>
          <w:szCs w:val="24"/>
        </w:rPr>
        <w:t>se procede a dictar la presente resolución.</w:t>
      </w:r>
    </w:p>
    <w:p w:rsidR="00864BA3" w:rsidRPr="00473550" w:rsidRDefault="00864BA3" w:rsidP="00BD288A">
      <w:pPr>
        <w:pBdr>
          <w:top w:val="nil"/>
          <w:left w:val="nil"/>
          <w:bottom w:val="nil"/>
          <w:right w:val="nil"/>
          <w:between w:val="nil"/>
        </w:pBdr>
        <w:contextualSpacing/>
        <w:rPr>
          <w:rFonts w:eastAsia="Palatino Linotype" w:cs="Palatino Linotype"/>
          <w:color w:val="000000"/>
          <w:szCs w:val="24"/>
        </w:rPr>
      </w:pPr>
    </w:p>
    <w:p w:rsidR="00864BA3" w:rsidRPr="00473550" w:rsidRDefault="00864BA3" w:rsidP="00BD288A">
      <w:pPr>
        <w:pStyle w:val="Ttulo1"/>
        <w:spacing w:before="0" w:after="0"/>
        <w:jc w:val="center"/>
        <w:rPr>
          <w:rFonts w:ascii="Palatino Linotype" w:eastAsia="Palatino Linotype" w:hAnsi="Palatino Linotype"/>
          <w:b/>
          <w:bCs/>
          <w:color w:val="auto"/>
          <w:sz w:val="28"/>
          <w:szCs w:val="28"/>
        </w:rPr>
      </w:pPr>
      <w:r w:rsidRPr="00473550">
        <w:rPr>
          <w:rFonts w:ascii="Palatino Linotype" w:eastAsia="Palatino Linotype" w:hAnsi="Palatino Linotype"/>
          <w:b/>
          <w:bCs/>
          <w:color w:val="auto"/>
          <w:sz w:val="28"/>
          <w:szCs w:val="28"/>
        </w:rPr>
        <w:t>A N T E C E D E N T E S</w:t>
      </w:r>
    </w:p>
    <w:p w:rsidR="00864BA3" w:rsidRPr="00473550" w:rsidRDefault="00864BA3" w:rsidP="00BD288A">
      <w:pPr>
        <w:pBdr>
          <w:top w:val="nil"/>
          <w:left w:val="nil"/>
          <w:bottom w:val="nil"/>
          <w:right w:val="nil"/>
          <w:between w:val="nil"/>
        </w:pBdr>
        <w:contextualSpacing/>
        <w:rPr>
          <w:rFonts w:eastAsia="Palatino Linotype" w:cs="Palatino Linotype"/>
          <w:b/>
          <w:bCs/>
          <w:szCs w:val="24"/>
        </w:rPr>
      </w:pPr>
    </w:p>
    <w:p w:rsidR="00864BA3" w:rsidRPr="00473550" w:rsidRDefault="00864BA3" w:rsidP="00BD288A">
      <w:pPr>
        <w:pStyle w:val="Ttulo2"/>
        <w:spacing w:before="0" w:after="0"/>
        <w:rPr>
          <w:rFonts w:eastAsia="Palatino Linotype"/>
          <w:b/>
          <w:bCs/>
        </w:rPr>
      </w:pPr>
      <w:r w:rsidRPr="00473550">
        <w:rPr>
          <w:rFonts w:ascii="Palatino Linotype" w:eastAsia="Palatino Linotype" w:hAnsi="Palatino Linotype"/>
          <w:b/>
          <w:bCs/>
          <w:color w:val="auto"/>
          <w:sz w:val="24"/>
          <w:szCs w:val="24"/>
        </w:rPr>
        <w:t>PRIMERO. De la Solicitud de Información</w:t>
      </w:r>
      <w:r w:rsidRPr="00473550">
        <w:rPr>
          <w:rFonts w:eastAsia="Palatino Linotype"/>
          <w:b/>
          <w:bCs/>
        </w:rPr>
        <w:t>.</w:t>
      </w:r>
    </w:p>
    <w:p w:rsidR="00864BA3" w:rsidRPr="00473550" w:rsidRDefault="00864BA3" w:rsidP="00BD288A">
      <w:pPr>
        <w:pBdr>
          <w:top w:val="nil"/>
          <w:left w:val="nil"/>
          <w:bottom w:val="nil"/>
          <w:right w:val="nil"/>
          <w:between w:val="nil"/>
        </w:pBdr>
        <w:contextualSpacing/>
        <w:rPr>
          <w:rFonts w:eastAsia="Palatino Linotype" w:cs="Palatino Linotype"/>
          <w:color w:val="000000"/>
          <w:szCs w:val="24"/>
        </w:rPr>
      </w:pPr>
      <w:r w:rsidRPr="00473550">
        <w:rPr>
          <w:rFonts w:eastAsia="Palatino Linotype" w:cs="Palatino Linotype"/>
          <w:color w:val="000000"/>
          <w:szCs w:val="24"/>
        </w:rPr>
        <w:t xml:space="preserve">Con fecha </w:t>
      </w:r>
      <w:r w:rsidR="00BD288A" w:rsidRPr="00473550">
        <w:rPr>
          <w:rFonts w:eastAsia="Palatino Linotype" w:cs="Palatino Linotype"/>
          <w:color w:val="000000"/>
          <w:szCs w:val="24"/>
        </w:rPr>
        <w:t>veintiocho de agosto</w:t>
      </w:r>
      <w:r w:rsidRPr="00473550">
        <w:rPr>
          <w:rFonts w:eastAsia="Palatino Linotype" w:cs="Palatino Linotype"/>
          <w:color w:val="000000"/>
          <w:szCs w:val="24"/>
        </w:rPr>
        <w:t xml:space="preserve"> de dos mil veinticinco, el Recurrente presentó mediante el Sistema de Acceso a la Información Mexiquense (SAIMEX), solicitud de información registrada con el número de </w:t>
      </w:r>
      <w:r w:rsidRPr="00473550">
        <w:rPr>
          <w:rFonts w:eastAsia="Palatino Linotype" w:cs="Palatino Linotype"/>
          <w:szCs w:val="24"/>
        </w:rPr>
        <w:t>expediente</w:t>
      </w:r>
      <w:r w:rsidRPr="00473550">
        <w:rPr>
          <w:b/>
          <w:bCs/>
        </w:rPr>
        <w:t> </w:t>
      </w:r>
      <w:r w:rsidR="00BD288A" w:rsidRPr="00473550">
        <w:rPr>
          <w:b/>
          <w:bCs/>
        </w:rPr>
        <w:t>00802/SECTI/IP/2025</w:t>
      </w:r>
      <w:r w:rsidRPr="00473550">
        <w:rPr>
          <w:rFonts w:eastAsia="Palatino Linotype" w:cs="Palatino Linotype"/>
          <w:szCs w:val="24"/>
        </w:rPr>
        <w:t>,</w:t>
      </w:r>
      <w:r w:rsidRPr="00473550">
        <w:rPr>
          <w:rFonts w:eastAsia="Palatino Linotype" w:cs="Palatino Linotype"/>
          <w:b/>
          <w:szCs w:val="24"/>
        </w:rPr>
        <w:t xml:space="preserve"> </w:t>
      </w:r>
      <w:r w:rsidRPr="00473550">
        <w:rPr>
          <w:rFonts w:eastAsia="Palatino Linotype" w:cs="Palatino Linotype"/>
          <w:color w:val="000000"/>
          <w:szCs w:val="24"/>
        </w:rPr>
        <w:t>mediante la cual solicitó información en el tenor siguiente:</w:t>
      </w:r>
    </w:p>
    <w:p w:rsidR="00BD288A" w:rsidRPr="00473550" w:rsidRDefault="00BD288A" w:rsidP="00BD288A">
      <w:pPr>
        <w:pBdr>
          <w:top w:val="nil"/>
          <w:left w:val="nil"/>
          <w:bottom w:val="nil"/>
          <w:right w:val="nil"/>
          <w:between w:val="nil"/>
        </w:pBdr>
        <w:contextualSpacing/>
        <w:rPr>
          <w:rFonts w:eastAsia="Palatino Linotype" w:cs="Palatino Linotype"/>
          <w:color w:val="000000"/>
          <w:szCs w:val="24"/>
        </w:rPr>
      </w:pPr>
    </w:p>
    <w:p w:rsidR="00864BA3" w:rsidRPr="00473550" w:rsidRDefault="00864BA3" w:rsidP="00BD288A">
      <w:pPr>
        <w:spacing w:line="240" w:lineRule="auto"/>
        <w:ind w:left="567" w:right="567"/>
        <w:rPr>
          <w:rFonts w:ascii="Times New Roman" w:eastAsia="Times New Roman" w:hAnsi="Times New Roman" w:cs="Times New Roman"/>
          <w:szCs w:val="24"/>
          <w:lang w:val="es-MX"/>
        </w:rPr>
      </w:pPr>
      <w:r w:rsidRPr="00473550">
        <w:rPr>
          <w:szCs w:val="24"/>
        </w:rPr>
        <w:t>“</w:t>
      </w:r>
      <w:r w:rsidR="00BD288A" w:rsidRPr="00473550">
        <w:rPr>
          <w:rFonts w:eastAsia="Times New Roman" w:cs="Times New Roman"/>
          <w:i/>
          <w:szCs w:val="24"/>
          <w:lang w:val="es-MX"/>
        </w:rPr>
        <w:t xml:space="preserve">Con fundamento en los artículos 6º de la Constitución Política de los Estados Unidos Mexicanos; 12, 16, 23, 24 y demás relativos de la Ley de Transparencia y Acceso a la Información Pública del Estado de México y Municipios, me permito presentar la presente solicitud de información pública, con la finalidad de obtener datos precisos y actualizados sobre la organización y régimen laboral de los servidores públicos del Instituto. En particular, solicito la siguiente información: Organigrama vigente del Instituto del Deporte del Estado de México, en versión pública. Ubicación administrativa de la Unidad de Información, Planeación, Programación y Evaluación </w:t>
      </w:r>
      <w:r w:rsidR="00BD288A" w:rsidRPr="00473550">
        <w:rPr>
          <w:rFonts w:eastAsia="Times New Roman" w:cs="Times New Roman"/>
          <w:i/>
          <w:szCs w:val="24"/>
          <w:lang w:val="es-MX"/>
        </w:rPr>
        <w:lastRenderedPageBreak/>
        <w:t xml:space="preserve">dentro del organigrama. Régimen laboral actual del servidor público </w:t>
      </w:r>
      <w:proofErr w:type="spellStart"/>
      <w:r w:rsidR="007E4269">
        <w:rPr>
          <w:rFonts w:eastAsia="Times New Roman" w:cs="Times New Roman"/>
          <w:i/>
          <w:szCs w:val="24"/>
          <w:lang w:val="es-MX"/>
        </w:rPr>
        <w:t>xxxxxxxx</w:t>
      </w:r>
      <w:proofErr w:type="spellEnd"/>
      <w:r w:rsidR="00BD288A" w:rsidRPr="00473550">
        <w:rPr>
          <w:rFonts w:eastAsia="Times New Roman" w:cs="Times New Roman"/>
          <w:i/>
          <w:szCs w:val="24"/>
          <w:lang w:val="es-MX"/>
        </w:rPr>
        <w:t xml:space="preserve"> </w:t>
      </w:r>
      <w:proofErr w:type="spellStart"/>
      <w:r w:rsidR="007E4269">
        <w:rPr>
          <w:rFonts w:eastAsia="Times New Roman" w:cs="Times New Roman"/>
          <w:i/>
          <w:szCs w:val="24"/>
          <w:lang w:val="es-MX"/>
        </w:rPr>
        <w:t>xxxxxx</w:t>
      </w:r>
      <w:proofErr w:type="spellEnd"/>
      <w:r w:rsidR="00BD288A" w:rsidRPr="00473550">
        <w:rPr>
          <w:rFonts w:eastAsia="Times New Roman" w:cs="Times New Roman"/>
          <w:i/>
          <w:szCs w:val="24"/>
          <w:lang w:val="es-MX"/>
        </w:rPr>
        <w:t>, indicando si se encuentra bajo base, confianza, honorarios, eventual u otro aplicable. Funciones y atribuciones que desempeña dicho servidor público, de acuerdo con el régimen laboral en que se encuentra adscrito. La presente solicitud se formula bajo el principio de máxima publicidad, por lo que solicito que la información sea entregada de manera clara, completa y en versión pública, en caso de que contenga datos personales o información clasificada. Sin otro particular, agradezco de antemano la atención prestada a la presente solicitud y confío en que se respetarán los plazos y términos establecidos en la ley.</w:t>
      </w:r>
      <w:r w:rsidRPr="00473550">
        <w:t>”  (Sic)</w:t>
      </w:r>
    </w:p>
    <w:p w:rsidR="00864BA3" w:rsidRPr="00473550" w:rsidRDefault="00864BA3" w:rsidP="00BD288A">
      <w:pPr>
        <w:pBdr>
          <w:top w:val="nil"/>
          <w:left w:val="nil"/>
          <w:bottom w:val="nil"/>
          <w:right w:val="nil"/>
          <w:between w:val="nil"/>
        </w:pBdr>
        <w:contextualSpacing/>
        <w:rPr>
          <w:rFonts w:eastAsia="Palatino Linotype" w:cs="Palatino Linotype"/>
          <w:color w:val="000000"/>
          <w:szCs w:val="24"/>
        </w:rPr>
      </w:pPr>
    </w:p>
    <w:p w:rsidR="00864BA3" w:rsidRPr="00473550" w:rsidRDefault="00864BA3" w:rsidP="00BD288A">
      <w:pPr>
        <w:pBdr>
          <w:top w:val="nil"/>
          <w:left w:val="nil"/>
          <w:bottom w:val="nil"/>
          <w:right w:val="nil"/>
          <w:between w:val="nil"/>
        </w:pBdr>
        <w:contextualSpacing/>
        <w:rPr>
          <w:rFonts w:eastAsia="Palatino Linotype" w:cs="Palatino Linotype"/>
          <w:b/>
          <w:color w:val="000000"/>
          <w:szCs w:val="24"/>
        </w:rPr>
      </w:pPr>
      <w:r w:rsidRPr="00473550">
        <w:rPr>
          <w:rFonts w:eastAsia="Palatino Linotype" w:cs="Palatino Linotype"/>
          <w:color w:val="000000"/>
          <w:szCs w:val="24"/>
        </w:rPr>
        <w:t xml:space="preserve">Modalidad de entrega: </w:t>
      </w:r>
      <w:r w:rsidRPr="00473550">
        <w:rPr>
          <w:rFonts w:eastAsia="Palatino Linotype" w:cs="Palatino Linotype"/>
          <w:b/>
          <w:color w:val="000000"/>
          <w:szCs w:val="24"/>
        </w:rPr>
        <w:t>A través del SAIMEX</w:t>
      </w:r>
      <w:r w:rsidRPr="00473550">
        <w:rPr>
          <w:rFonts w:eastAsia="Palatino Linotype" w:cs="Palatino Linotype"/>
          <w:color w:val="000000"/>
          <w:szCs w:val="24"/>
        </w:rPr>
        <w:t>.</w:t>
      </w:r>
    </w:p>
    <w:p w:rsidR="00864BA3" w:rsidRPr="00473550" w:rsidRDefault="00864BA3" w:rsidP="00BD288A">
      <w:pPr>
        <w:pBdr>
          <w:top w:val="nil"/>
          <w:left w:val="nil"/>
          <w:bottom w:val="nil"/>
          <w:right w:val="nil"/>
          <w:between w:val="nil"/>
        </w:pBdr>
        <w:contextualSpacing/>
        <w:rPr>
          <w:rFonts w:eastAsia="Palatino Linotype" w:cs="Palatino Linotype"/>
          <w:color w:val="000000"/>
          <w:szCs w:val="24"/>
        </w:rPr>
      </w:pPr>
    </w:p>
    <w:p w:rsidR="00864BA3" w:rsidRPr="00473550" w:rsidRDefault="00864BA3" w:rsidP="00BD288A">
      <w:pPr>
        <w:pStyle w:val="Ttulo2"/>
        <w:spacing w:before="0" w:after="0"/>
        <w:rPr>
          <w:rFonts w:ascii="Palatino Linotype" w:eastAsia="Palatino Linotype" w:hAnsi="Palatino Linotype"/>
          <w:b/>
          <w:bCs/>
          <w:color w:val="auto"/>
          <w:sz w:val="28"/>
          <w:szCs w:val="28"/>
        </w:rPr>
      </w:pPr>
      <w:r w:rsidRPr="00473550">
        <w:rPr>
          <w:rFonts w:ascii="Palatino Linotype" w:eastAsia="Palatino Linotype" w:hAnsi="Palatino Linotype"/>
          <w:b/>
          <w:bCs/>
          <w:color w:val="auto"/>
          <w:sz w:val="28"/>
          <w:szCs w:val="28"/>
        </w:rPr>
        <w:t>SEGUNDO. De la Respuesta del Sujeto Obligado.</w:t>
      </w:r>
    </w:p>
    <w:p w:rsidR="00864BA3" w:rsidRPr="00473550" w:rsidRDefault="00864BA3" w:rsidP="00BD288A">
      <w:pPr>
        <w:pBdr>
          <w:top w:val="nil"/>
          <w:left w:val="nil"/>
          <w:bottom w:val="nil"/>
          <w:right w:val="nil"/>
          <w:between w:val="nil"/>
        </w:pBdr>
        <w:contextualSpacing/>
        <w:rPr>
          <w:rFonts w:cs="Arial"/>
          <w:b/>
          <w:bCs/>
          <w:i/>
          <w:szCs w:val="24"/>
        </w:rPr>
      </w:pPr>
      <w:r w:rsidRPr="00473550">
        <w:rPr>
          <w:rFonts w:eastAsia="Palatino Linotype" w:cs="Palatino Linotype"/>
          <w:color w:val="000000"/>
          <w:szCs w:val="24"/>
        </w:rPr>
        <w:t xml:space="preserve">De las constancias que obran en el expediente electrónico, se observa que el día </w:t>
      </w:r>
      <w:r w:rsidR="005077DD" w:rsidRPr="00473550">
        <w:rPr>
          <w:rFonts w:eastAsia="Palatino Linotype" w:cs="Palatino Linotype"/>
          <w:color w:val="000000"/>
          <w:szCs w:val="24"/>
        </w:rPr>
        <w:t xml:space="preserve">diecinueve de </w:t>
      </w:r>
      <w:r w:rsidR="00BD288A" w:rsidRPr="00473550">
        <w:rPr>
          <w:rFonts w:eastAsia="Palatino Linotype" w:cs="Palatino Linotype"/>
          <w:color w:val="000000"/>
          <w:szCs w:val="24"/>
        </w:rPr>
        <w:t>septiembre</w:t>
      </w:r>
      <w:r w:rsidR="005077DD" w:rsidRPr="00473550">
        <w:rPr>
          <w:rFonts w:eastAsia="Palatino Linotype" w:cs="Palatino Linotype"/>
          <w:color w:val="000000"/>
          <w:szCs w:val="24"/>
        </w:rPr>
        <w:t xml:space="preserve"> </w:t>
      </w:r>
      <w:r w:rsidRPr="00473550">
        <w:rPr>
          <w:rFonts w:eastAsia="Palatino Linotype" w:cs="Palatino Linotype"/>
          <w:color w:val="000000"/>
          <w:szCs w:val="24"/>
        </w:rPr>
        <w:t xml:space="preserve">de dos mil veinticinco, el Sujeto Obligado dio respuesta a la solicitud de información anexando </w:t>
      </w:r>
      <w:r w:rsidR="00BD288A" w:rsidRPr="00473550">
        <w:rPr>
          <w:rFonts w:eastAsia="Palatino Linotype" w:cs="Palatino Linotype"/>
          <w:color w:val="000000"/>
          <w:szCs w:val="24"/>
        </w:rPr>
        <w:t>los documentos electrónicos denominados</w:t>
      </w:r>
      <w:r w:rsidRPr="00473550">
        <w:rPr>
          <w:rFonts w:eastAsia="Palatino Linotype" w:cs="Palatino Linotype"/>
          <w:color w:val="000000"/>
          <w:szCs w:val="24"/>
        </w:rPr>
        <w:t xml:space="preserve"> </w:t>
      </w:r>
      <w:r w:rsidRPr="00473550">
        <w:rPr>
          <w:rFonts w:eastAsia="Palatino Linotype" w:cs="Palatino Linotype"/>
          <w:b/>
          <w:color w:val="000000"/>
          <w:szCs w:val="24"/>
        </w:rPr>
        <w:t>“</w:t>
      </w:r>
      <w:r w:rsidR="00BD288A" w:rsidRPr="00473550">
        <w:rPr>
          <w:rFonts w:cs="Arial"/>
          <w:b/>
          <w:bCs/>
          <w:szCs w:val="24"/>
        </w:rPr>
        <w:t xml:space="preserve">SPH_UT_802_ID.pdf” </w:t>
      </w:r>
      <w:r w:rsidR="00BD288A" w:rsidRPr="00473550">
        <w:rPr>
          <w:rFonts w:cs="Arial"/>
          <w:bCs/>
          <w:szCs w:val="24"/>
        </w:rPr>
        <w:t>y</w:t>
      </w:r>
      <w:r w:rsidR="00BD288A" w:rsidRPr="00473550">
        <w:rPr>
          <w:rFonts w:cs="Arial"/>
          <w:b/>
          <w:bCs/>
          <w:szCs w:val="24"/>
        </w:rPr>
        <w:t xml:space="preserve"> “RESPUESTA_UT_802.pdf</w:t>
      </w:r>
      <w:r w:rsidRPr="00473550">
        <w:rPr>
          <w:rFonts w:cs="Arial"/>
          <w:b/>
          <w:bCs/>
          <w:szCs w:val="24"/>
        </w:rPr>
        <w:t xml:space="preserve">” </w:t>
      </w:r>
      <w:r w:rsidR="00BD288A" w:rsidRPr="00473550">
        <w:rPr>
          <w:rFonts w:cs="Arial"/>
          <w:szCs w:val="24"/>
        </w:rPr>
        <w:t>los cuales serán analizados</w:t>
      </w:r>
      <w:r w:rsidRPr="00473550">
        <w:rPr>
          <w:rFonts w:cs="Arial"/>
          <w:szCs w:val="24"/>
        </w:rPr>
        <w:t xml:space="preserve"> en el considerando respectivo. </w:t>
      </w:r>
    </w:p>
    <w:p w:rsidR="00864BA3" w:rsidRPr="00473550" w:rsidRDefault="00864BA3" w:rsidP="00BD288A">
      <w:pPr>
        <w:pBdr>
          <w:top w:val="nil"/>
          <w:left w:val="nil"/>
          <w:bottom w:val="nil"/>
          <w:right w:val="nil"/>
          <w:between w:val="nil"/>
        </w:pBdr>
        <w:contextualSpacing/>
        <w:rPr>
          <w:rFonts w:eastAsia="Palatino Linotype" w:cs="Palatino Linotype"/>
          <w:color w:val="000000"/>
          <w:szCs w:val="24"/>
        </w:rPr>
      </w:pPr>
    </w:p>
    <w:p w:rsidR="00864BA3" w:rsidRPr="00473550" w:rsidRDefault="00864BA3" w:rsidP="00BD288A">
      <w:pPr>
        <w:pStyle w:val="Ttulo2"/>
        <w:spacing w:before="0" w:after="0"/>
        <w:rPr>
          <w:rFonts w:ascii="Palatino Linotype" w:eastAsia="Palatino Linotype" w:hAnsi="Palatino Linotype"/>
          <w:color w:val="auto"/>
          <w:sz w:val="28"/>
          <w:szCs w:val="28"/>
        </w:rPr>
      </w:pPr>
      <w:r w:rsidRPr="00473550">
        <w:rPr>
          <w:rFonts w:ascii="Palatino Linotype" w:eastAsia="Palatino Linotype" w:hAnsi="Palatino Linotype"/>
          <w:b/>
          <w:bCs/>
          <w:color w:val="auto"/>
          <w:sz w:val="28"/>
          <w:szCs w:val="28"/>
        </w:rPr>
        <w:t>TERCERO. Del recurso de revisión</w:t>
      </w:r>
      <w:r w:rsidRPr="00473550">
        <w:rPr>
          <w:rFonts w:ascii="Palatino Linotype" w:eastAsia="Palatino Linotype" w:hAnsi="Palatino Linotype"/>
          <w:color w:val="auto"/>
          <w:sz w:val="28"/>
          <w:szCs w:val="28"/>
        </w:rPr>
        <w:t>.</w:t>
      </w:r>
    </w:p>
    <w:p w:rsidR="00864BA3" w:rsidRPr="00473550" w:rsidRDefault="00864BA3" w:rsidP="00BD288A">
      <w:pPr>
        <w:pBdr>
          <w:top w:val="nil"/>
          <w:left w:val="nil"/>
          <w:bottom w:val="nil"/>
          <w:right w:val="nil"/>
          <w:between w:val="nil"/>
        </w:pBdr>
        <w:contextualSpacing/>
        <w:rPr>
          <w:rFonts w:eastAsia="Palatino Linotype" w:cs="Palatino Linotype"/>
          <w:color w:val="000000"/>
          <w:szCs w:val="24"/>
        </w:rPr>
      </w:pPr>
      <w:r w:rsidRPr="00473550">
        <w:rPr>
          <w:rFonts w:eastAsia="Palatino Linotype" w:cs="Palatino Linotype"/>
          <w:color w:val="000000"/>
          <w:szCs w:val="24"/>
        </w:rPr>
        <w:t xml:space="preserve">Inconforme con la respuesta emitida por el Sujeto Obligado, el Recurrente interpuso el presente recurso de revisión el día </w:t>
      </w:r>
      <w:r w:rsidR="00BD288A" w:rsidRPr="00473550">
        <w:rPr>
          <w:rFonts w:eastAsia="Palatino Linotype" w:cs="Palatino Linotype"/>
          <w:b/>
          <w:color w:val="000000"/>
          <w:szCs w:val="24"/>
        </w:rPr>
        <w:t>veintinueve de septiembre</w:t>
      </w:r>
      <w:r w:rsidRPr="00473550">
        <w:rPr>
          <w:rFonts w:eastAsia="Palatino Linotype" w:cs="Palatino Linotype"/>
          <w:b/>
          <w:color w:val="000000"/>
          <w:szCs w:val="24"/>
        </w:rPr>
        <w:t xml:space="preserve"> de dos mil veinticinco</w:t>
      </w:r>
      <w:r w:rsidRPr="00473550">
        <w:rPr>
          <w:rFonts w:eastAsia="Palatino Linotype" w:cs="Palatino Linotype"/>
          <w:color w:val="000000"/>
          <w:szCs w:val="24"/>
        </w:rPr>
        <w:t xml:space="preserve">, el cual se registró con el expediente número </w:t>
      </w:r>
      <w:r w:rsidR="00BD288A" w:rsidRPr="00473550">
        <w:rPr>
          <w:rFonts w:eastAsia="Palatino Linotype" w:cs="Palatino Linotype"/>
          <w:b/>
          <w:color w:val="000000"/>
          <w:szCs w:val="24"/>
        </w:rPr>
        <w:t>11175</w:t>
      </w:r>
      <w:r w:rsidRPr="00473550">
        <w:rPr>
          <w:rFonts w:eastAsia="Palatino Linotype" w:cs="Palatino Linotype"/>
          <w:b/>
          <w:color w:val="000000"/>
          <w:szCs w:val="24"/>
        </w:rPr>
        <w:t>/INFOEM/IP/RR/2025</w:t>
      </w:r>
      <w:r w:rsidRPr="00473550">
        <w:rPr>
          <w:rFonts w:eastAsia="Palatino Linotype" w:cs="Palatino Linotype"/>
          <w:color w:val="000000"/>
          <w:szCs w:val="24"/>
        </w:rPr>
        <w:t>, manifestando lo siguiente:</w:t>
      </w:r>
    </w:p>
    <w:p w:rsidR="00864BA3" w:rsidRPr="00473550" w:rsidRDefault="00864BA3" w:rsidP="00BD288A">
      <w:pPr>
        <w:ind w:left="567" w:right="567"/>
        <w:contextualSpacing/>
        <w:rPr>
          <w:rFonts w:eastAsia="Palatino Linotype" w:cs="Palatino Linotype"/>
          <w:b/>
        </w:rPr>
      </w:pPr>
      <w:r w:rsidRPr="00473550">
        <w:rPr>
          <w:rFonts w:eastAsia="Palatino Linotype" w:cs="Palatino Linotype"/>
          <w:b/>
        </w:rPr>
        <w:t xml:space="preserve">Acto Impugnado </w:t>
      </w:r>
    </w:p>
    <w:p w:rsidR="00864BA3" w:rsidRPr="00473550" w:rsidRDefault="00864BA3" w:rsidP="00BD288A">
      <w:pPr>
        <w:spacing w:line="240" w:lineRule="auto"/>
        <w:ind w:left="567" w:right="567"/>
        <w:rPr>
          <w:rFonts w:ascii="Times New Roman" w:eastAsia="Times New Roman" w:hAnsi="Times New Roman" w:cs="Times New Roman"/>
          <w:szCs w:val="24"/>
          <w:lang w:val="es-MX"/>
        </w:rPr>
      </w:pPr>
      <w:r w:rsidRPr="00473550">
        <w:t>“</w:t>
      </w:r>
      <w:r w:rsidR="00BD288A" w:rsidRPr="00473550">
        <w:rPr>
          <w:i/>
          <w:color w:val="000000"/>
          <w:szCs w:val="24"/>
        </w:rPr>
        <w:t xml:space="preserve">CTO DE IMPUGNACIÓN El acto impugnado consiste en la negativa de entrega de la información solicitada en el folio 00802/SECTI/IP/2025, contenida en los oficios </w:t>
      </w:r>
      <w:r w:rsidR="00BD288A" w:rsidRPr="00473550">
        <w:rPr>
          <w:i/>
          <w:color w:val="000000"/>
          <w:szCs w:val="24"/>
        </w:rPr>
        <w:lastRenderedPageBreak/>
        <w:t xml:space="preserve">emitidos por: El Sujeto Obligado, mediante oficio número 22800007010000S/2093/UT/2025, suscrito por el Mtro. Manuel Sotomayor </w:t>
      </w:r>
      <w:proofErr w:type="spellStart"/>
      <w:r w:rsidR="00BD288A" w:rsidRPr="00473550">
        <w:rPr>
          <w:i/>
          <w:color w:val="000000"/>
          <w:szCs w:val="24"/>
        </w:rPr>
        <w:t>Landecho</w:t>
      </w:r>
      <w:proofErr w:type="spellEnd"/>
      <w:r w:rsidR="00BD288A" w:rsidRPr="00473550">
        <w:rPr>
          <w:i/>
          <w:color w:val="000000"/>
          <w:szCs w:val="24"/>
        </w:rPr>
        <w:t xml:space="preserve">, Encargado de Despacho del Instituto del Deporte del Estado de México. El Titular de la Unidad de Transparencia, mediante oficio número 228C4401A/280/2025. Dicha negativa se sustenta en argumentos jurídicamente deficientes, consistentes en: Alegar inexistencia de información sobre el régimen laboral y funciones del servidor público </w:t>
      </w:r>
      <w:proofErr w:type="spellStart"/>
      <w:r w:rsidR="007E4269">
        <w:rPr>
          <w:i/>
          <w:color w:val="000000"/>
          <w:szCs w:val="24"/>
        </w:rPr>
        <w:t>xxxxxxxxxxxxxxxxx</w:t>
      </w:r>
      <w:proofErr w:type="spellEnd"/>
      <w:r w:rsidR="00BD288A" w:rsidRPr="00473550">
        <w:rPr>
          <w:i/>
          <w:color w:val="000000"/>
          <w:szCs w:val="24"/>
        </w:rPr>
        <w:t>, bajo el argumento de que “no mantiene relación laboral alguna con el Instituto”. Negar acceso al organigrama actualizado y a la ubicación administrativa de la Unidad de Información, Planeación, Programación y Evaluación, bajo un supuesto de inexistencia formal de la unidad. Este acto constituye un acto de negativa indebida que vulnera el derecho de acceso a la información pública previsto en la Ley de Transparencia y Acceso a la Información Pública del Estado de México y Municipios, así como el principio de máxima publicidad contenido en el artículo 3, fracción XXII de la misma.</w:t>
      </w:r>
      <w:r w:rsidRPr="00473550">
        <w:t>” (Sic)</w:t>
      </w:r>
    </w:p>
    <w:p w:rsidR="00864BA3" w:rsidRPr="00473550" w:rsidRDefault="00864BA3" w:rsidP="00BD288A">
      <w:pPr>
        <w:ind w:left="567" w:right="567"/>
        <w:contextualSpacing/>
        <w:rPr>
          <w:rFonts w:eastAsia="Palatino Linotype" w:cs="Palatino Linotype"/>
          <w:b/>
        </w:rPr>
      </w:pPr>
    </w:p>
    <w:p w:rsidR="00864BA3" w:rsidRPr="00473550" w:rsidRDefault="00864BA3" w:rsidP="00BD288A">
      <w:pPr>
        <w:ind w:left="567" w:right="567"/>
        <w:contextualSpacing/>
        <w:rPr>
          <w:rFonts w:eastAsia="Palatino Linotype" w:cs="Palatino Linotype"/>
        </w:rPr>
      </w:pPr>
      <w:r w:rsidRPr="00473550">
        <w:rPr>
          <w:rFonts w:eastAsia="Palatino Linotype" w:cs="Palatino Linotype"/>
          <w:b/>
        </w:rPr>
        <w:t xml:space="preserve"> Razones o Motivos de Inconformidad</w:t>
      </w:r>
      <w:r w:rsidRPr="00473550">
        <w:rPr>
          <w:rFonts w:eastAsia="Palatino Linotype" w:cs="Palatino Linotype"/>
        </w:rPr>
        <w:t>:</w:t>
      </w:r>
    </w:p>
    <w:p w:rsidR="00864BA3" w:rsidRPr="00473550" w:rsidRDefault="00864BA3" w:rsidP="00BD288A">
      <w:pPr>
        <w:pStyle w:val="Fundamentos"/>
        <w:rPr>
          <w:b/>
          <w:szCs w:val="22"/>
        </w:rPr>
      </w:pPr>
      <w:r w:rsidRPr="00473550">
        <w:rPr>
          <w:color w:val="auto"/>
          <w:sz w:val="24"/>
        </w:rPr>
        <w:t>“</w:t>
      </w:r>
      <w:r w:rsidR="00BD288A" w:rsidRPr="00473550">
        <w:rPr>
          <w:sz w:val="24"/>
        </w:rPr>
        <w:t xml:space="preserve">I. MOTIVO DE LA INCONFORMIDAD La inconformidad se funda en lo siguiente: Negación indebida de información: El Titular de la Unidad de Transparencia y el Sujeto Obligado carecen de criterio jurídico sólido y desconocen la Ley de Transparencia en la materia, omitiendo considerar que la inexistencia de vínculo laboral formal no extingue la obligación del sujeto obligado de proporcionar información vinculada al ejercicio de funciones públicas. Falta de sustento jurídico: Ambos oficios carecen de fundamentación adecuada que acredite la inexistencia de la información solicitada, vulnerando el criterio 7/17 emitido por el INAI, que obliga a realizar una búsqueda exhaustiva y documentada antes de declarar inexistencia. Falta de conocimiento técnico: El argumento de que la Unidad de Información, Planeación, Programación y Evaluación no existe formalmente carece de sustento legal, dado que las funciones asociadas a dicha unidad están siendo actualmente ejercidas, y esta información constituye información pública de interés general, conforme al artículo 24 de la Ley de Transparencia. Violación al principio de máxima publicidad: La respuesta impugnada ignora los principios rectores de la transparencia y acceso a la información pública, transgrediendo el artículo 3 fracción XXII y los criterios de interpretación 0002-11 del ITAEM. Por lo anterior, se considera que el acto recurrido refleja un claro desconocimiento y falta de criterio técnico y legal por parte del Titular de la Unidad de Transparencia y del Sujeto Obligado, constituyendo una vulneración al derecho de </w:t>
      </w:r>
      <w:r w:rsidR="00BD288A" w:rsidRPr="00473550">
        <w:rPr>
          <w:sz w:val="24"/>
        </w:rPr>
        <w:lastRenderedPageBreak/>
        <w:t xml:space="preserve">acceso a la información pública. III. FUNDAMENTOS JURÍDICOS Principio de Máxima Publicidad (artículo 3, fracción XXII, y artículo 4, Ley de Transparencia del Estado de México). Obligación de entregar información administrativa (artículo 24 de la Ley). Criterio de interpretación 0002-11 del ITAEM. Criterio 7/17 del INAI. Artículos 1, 2, 3 fracción XXII, 4, 12, 24, 50, 51, 53, 59, 72, 150, 160, 163, 176, 177 y 178 de la Ley de Transparencia y Acceso a la Información Pública del Estado de México y Municipios. IV. PETICIÓN Por lo expuesto, solicito respetuosamente al Instituto de Transparencia, Acceso a la Información Pública y Protección de Datos Personales del Estado de México y Municipios: Admitir el presente recurso de revisión. Declarar fundada la inconformidad. Ordenar al Instituto del Deporte del Estado de México y a la Unidad de Transparencia entregar la información solicitada en su totalidad, incluyendo: Organigrama vigente del Instituto del Deporte en versión pública. Ubicación administrativa de la Unidad de Información, Planeación, Programación y Evaluación. Régimen laboral actual o más reciente y funciones desempeñadas por </w:t>
      </w:r>
      <w:proofErr w:type="spellStart"/>
      <w:r w:rsidR="007E4269">
        <w:rPr>
          <w:sz w:val="24"/>
        </w:rPr>
        <w:t>xxxxxxxxxxxxx</w:t>
      </w:r>
      <w:proofErr w:type="spellEnd"/>
      <w:r w:rsidR="00BD288A" w:rsidRPr="00473550">
        <w:rPr>
          <w:sz w:val="24"/>
        </w:rPr>
        <w:t>.</w:t>
      </w:r>
      <w:r w:rsidRPr="00473550">
        <w:rPr>
          <w:color w:val="auto"/>
          <w:sz w:val="24"/>
        </w:rPr>
        <w:t>” (</w:t>
      </w:r>
      <w:r w:rsidRPr="00473550">
        <w:rPr>
          <w:szCs w:val="22"/>
        </w:rPr>
        <w:t>Sic)</w:t>
      </w:r>
    </w:p>
    <w:p w:rsidR="00864BA3" w:rsidRPr="00473550" w:rsidRDefault="00864BA3" w:rsidP="00BD288A">
      <w:pPr>
        <w:pBdr>
          <w:top w:val="nil"/>
          <w:left w:val="nil"/>
          <w:bottom w:val="nil"/>
          <w:right w:val="nil"/>
          <w:between w:val="nil"/>
        </w:pBdr>
        <w:contextualSpacing/>
        <w:rPr>
          <w:rFonts w:eastAsia="Palatino Linotype" w:cs="Palatino Linotype"/>
          <w:color w:val="000000"/>
          <w:szCs w:val="24"/>
        </w:rPr>
      </w:pPr>
    </w:p>
    <w:p w:rsidR="00864BA3" w:rsidRPr="00473550" w:rsidRDefault="00864BA3" w:rsidP="00BD288A">
      <w:pPr>
        <w:pStyle w:val="Ttulo2"/>
        <w:spacing w:before="0" w:after="0"/>
        <w:rPr>
          <w:rFonts w:ascii="Palatino Linotype" w:eastAsia="Palatino Linotype" w:hAnsi="Palatino Linotype"/>
          <w:b/>
          <w:bCs/>
          <w:color w:val="auto"/>
          <w:sz w:val="28"/>
          <w:szCs w:val="28"/>
        </w:rPr>
      </w:pPr>
      <w:r w:rsidRPr="00473550">
        <w:rPr>
          <w:rFonts w:ascii="Palatino Linotype" w:eastAsia="Palatino Linotype" w:hAnsi="Palatino Linotype"/>
          <w:b/>
          <w:bCs/>
          <w:color w:val="auto"/>
          <w:sz w:val="28"/>
          <w:szCs w:val="28"/>
        </w:rPr>
        <w:t>CUARTO. Del turno y admisión del recurso de revisión.</w:t>
      </w:r>
    </w:p>
    <w:p w:rsidR="00864BA3" w:rsidRPr="00473550" w:rsidRDefault="00864BA3" w:rsidP="00BD288A">
      <w:pPr>
        <w:pBdr>
          <w:top w:val="nil"/>
          <w:left w:val="nil"/>
          <w:bottom w:val="nil"/>
          <w:right w:val="nil"/>
          <w:between w:val="nil"/>
        </w:pBdr>
        <w:contextualSpacing/>
        <w:rPr>
          <w:rFonts w:eastAsia="Palatino Linotype" w:cs="Palatino Linotype"/>
          <w:color w:val="000000"/>
          <w:szCs w:val="24"/>
        </w:rPr>
      </w:pPr>
      <w:r w:rsidRPr="00473550">
        <w:rPr>
          <w:rFonts w:eastAsia="Palatino Linotype" w:cs="Palatino Linotype"/>
          <w:color w:val="000000"/>
          <w:szCs w:val="24"/>
        </w:rPr>
        <w:t xml:space="preserve">Medio de impugnación que le fue turnado al </w:t>
      </w:r>
      <w:r w:rsidRPr="00473550">
        <w:rPr>
          <w:rFonts w:eastAsia="Palatino Linotype" w:cs="Palatino Linotype"/>
          <w:b/>
          <w:color w:val="000000"/>
          <w:szCs w:val="24"/>
        </w:rPr>
        <w:t>Comisionado Presidente José Martínez Vilchis</w:t>
      </w:r>
      <w:r w:rsidRPr="00473550">
        <w:rPr>
          <w:rFonts w:eastAsia="Palatino Linotype" w:cs="Palatino Linotype"/>
          <w:color w:val="000000"/>
          <w:szCs w:val="24"/>
        </w:rPr>
        <w:t>, por medio del sistema electrónico en términos del numeral 185 fracción I de la Ley de Transparencia y Acceso a la información Pública del Estado de México y Municipios, al cual recayó acuerdo de admisión de fecha</w:t>
      </w:r>
      <w:r w:rsidRPr="00473550">
        <w:rPr>
          <w:rFonts w:eastAsia="Palatino Linotype" w:cs="Palatino Linotype"/>
          <w:b/>
          <w:bCs/>
          <w:color w:val="000000"/>
          <w:szCs w:val="24"/>
        </w:rPr>
        <w:t xml:space="preserve"> </w:t>
      </w:r>
      <w:r w:rsidR="00BD288A" w:rsidRPr="00473550">
        <w:rPr>
          <w:rFonts w:eastAsia="Palatino Linotype" w:cs="Palatino Linotype"/>
          <w:b/>
          <w:bCs/>
          <w:color w:val="000000"/>
          <w:szCs w:val="24"/>
        </w:rPr>
        <w:t>tres de octubre</w:t>
      </w:r>
      <w:r w:rsidRPr="00473550">
        <w:rPr>
          <w:rFonts w:eastAsia="Palatino Linotype" w:cs="Palatino Linotype"/>
          <w:b/>
          <w:bCs/>
          <w:color w:val="000000"/>
          <w:szCs w:val="24"/>
        </w:rPr>
        <w:t xml:space="preserve"> de dos mil veinticinco</w:t>
      </w:r>
      <w:r w:rsidRPr="00473550">
        <w:rPr>
          <w:rFonts w:eastAsia="Palatino Linotype" w:cs="Palatino Linotype"/>
          <w:color w:val="000000"/>
          <w:szCs w:val="24"/>
        </w:rPr>
        <w:t xml:space="preserve">, </w:t>
      </w:r>
      <w:r w:rsidRPr="00473550">
        <w:rPr>
          <w:rFonts w:eastAsia="Palatino Linotype" w:cs="Palatino Linotype"/>
          <w:szCs w:val="24"/>
        </w:rPr>
        <w:t>otorgándose</w:t>
      </w:r>
      <w:r w:rsidRPr="00473550">
        <w:rPr>
          <w:rFonts w:eastAsia="Palatino Linotype" w:cs="Palatino Linotype"/>
          <w:color w:val="000000"/>
          <w:szCs w:val="24"/>
        </w:rPr>
        <w:t xml:space="preserve"> en él un plazo de siete días para que las partes manifestaran lo que a su derecho corresponda en términos del numeral ya citado.</w:t>
      </w:r>
    </w:p>
    <w:p w:rsidR="00864BA3" w:rsidRPr="00473550" w:rsidRDefault="00864BA3" w:rsidP="00BD288A">
      <w:pPr>
        <w:pBdr>
          <w:top w:val="nil"/>
          <w:left w:val="nil"/>
          <w:bottom w:val="nil"/>
          <w:right w:val="nil"/>
          <w:between w:val="nil"/>
        </w:pBdr>
        <w:contextualSpacing/>
        <w:rPr>
          <w:rFonts w:eastAsia="Palatino Linotype" w:cs="Palatino Linotype"/>
          <w:color w:val="000000"/>
          <w:szCs w:val="24"/>
        </w:rPr>
      </w:pPr>
    </w:p>
    <w:p w:rsidR="00864BA3" w:rsidRPr="00473550" w:rsidRDefault="00864BA3" w:rsidP="00BD288A">
      <w:pPr>
        <w:pStyle w:val="Ttulo2"/>
        <w:spacing w:before="0" w:after="0"/>
        <w:rPr>
          <w:rFonts w:ascii="Palatino Linotype" w:eastAsia="Palatino Linotype" w:hAnsi="Palatino Linotype"/>
          <w:b/>
          <w:bCs/>
          <w:color w:val="auto"/>
          <w:sz w:val="28"/>
          <w:szCs w:val="28"/>
        </w:rPr>
      </w:pPr>
      <w:r w:rsidRPr="00473550">
        <w:rPr>
          <w:rFonts w:ascii="Palatino Linotype" w:eastAsia="Palatino Linotype" w:hAnsi="Palatino Linotype"/>
          <w:b/>
          <w:bCs/>
          <w:color w:val="auto"/>
          <w:sz w:val="28"/>
          <w:szCs w:val="28"/>
        </w:rPr>
        <w:t>QUINTO. De la etapa de instrucción.</w:t>
      </w:r>
    </w:p>
    <w:p w:rsidR="00864BA3" w:rsidRPr="00473550" w:rsidRDefault="00864BA3" w:rsidP="00BD288A">
      <w:pPr>
        <w:pBdr>
          <w:top w:val="nil"/>
          <w:left w:val="nil"/>
          <w:bottom w:val="nil"/>
          <w:right w:val="nil"/>
          <w:between w:val="nil"/>
        </w:pBdr>
        <w:contextualSpacing/>
        <w:rPr>
          <w:rFonts w:eastAsia="Palatino Linotype" w:cs="Palatino Linotype"/>
          <w:color w:val="000000"/>
          <w:szCs w:val="24"/>
        </w:rPr>
      </w:pPr>
      <w:r w:rsidRPr="00473550">
        <w:rPr>
          <w:rFonts w:eastAsia="Palatino Linotype" w:cs="Palatino Linotype"/>
          <w:color w:val="000000"/>
          <w:szCs w:val="24"/>
        </w:rPr>
        <w:t xml:space="preserve">Una vez abierta la etapa de instrucción, el Sujeto Obligado rindió su informe justificado en fecha </w:t>
      </w:r>
      <w:r w:rsidR="00BD288A" w:rsidRPr="00473550">
        <w:rPr>
          <w:rFonts w:eastAsia="Palatino Linotype" w:cs="Palatino Linotype"/>
          <w:color w:val="000000"/>
          <w:szCs w:val="24"/>
        </w:rPr>
        <w:t>nueve de octubre</w:t>
      </w:r>
      <w:r w:rsidRPr="00473550">
        <w:rPr>
          <w:rFonts w:eastAsia="Palatino Linotype" w:cs="Palatino Linotype"/>
          <w:color w:val="000000"/>
          <w:szCs w:val="24"/>
        </w:rPr>
        <w:t xml:space="preserve"> de dos mil veinticinco el cual fue puesto a la vista del Recurrente en fecha </w:t>
      </w:r>
      <w:r w:rsidR="00BD288A" w:rsidRPr="00473550">
        <w:rPr>
          <w:rFonts w:eastAsia="Palatino Linotype" w:cs="Palatino Linotype"/>
          <w:color w:val="000000"/>
          <w:szCs w:val="24"/>
        </w:rPr>
        <w:t>veintisiete de abril de dos mil veintiséis</w:t>
      </w:r>
      <w:r w:rsidRPr="00473550">
        <w:rPr>
          <w:rFonts w:eastAsia="Palatino Linotype" w:cs="Palatino Linotype"/>
          <w:color w:val="000000"/>
          <w:szCs w:val="24"/>
        </w:rPr>
        <w:t xml:space="preserve">. Por su parte, el Recurrente </w:t>
      </w:r>
      <w:r w:rsidRPr="00473550">
        <w:rPr>
          <w:rFonts w:eastAsia="Palatino Linotype" w:cs="Palatino Linotype"/>
          <w:color w:val="000000"/>
          <w:szCs w:val="24"/>
        </w:rPr>
        <w:lastRenderedPageBreak/>
        <w:t xml:space="preserve">no realizó manifestaciones, vertió alegatos ni presentó pruebas que a su derecho convinieran. </w:t>
      </w:r>
    </w:p>
    <w:p w:rsidR="00864BA3" w:rsidRPr="00473550" w:rsidRDefault="00864BA3" w:rsidP="00BD288A">
      <w:pPr>
        <w:pBdr>
          <w:top w:val="nil"/>
          <w:left w:val="nil"/>
          <w:bottom w:val="nil"/>
          <w:right w:val="nil"/>
          <w:between w:val="nil"/>
        </w:pBdr>
        <w:contextualSpacing/>
        <w:rPr>
          <w:rFonts w:eastAsia="Palatino Linotype" w:cs="Palatino Linotype"/>
          <w:color w:val="000000"/>
          <w:szCs w:val="24"/>
        </w:rPr>
      </w:pPr>
    </w:p>
    <w:p w:rsidR="00BD288A" w:rsidRPr="00473550" w:rsidRDefault="00864BA3" w:rsidP="00BD288A">
      <w:pPr>
        <w:keepNext/>
        <w:keepLines/>
        <w:outlineLvl w:val="1"/>
        <w:rPr>
          <w:rFonts w:cs="Palatino Linotype"/>
          <w:color w:val="000000"/>
        </w:rPr>
      </w:pPr>
      <w:r w:rsidRPr="00473550">
        <w:rPr>
          <w:rFonts w:eastAsia="Palatino Linotype"/>
          <w:b/>
          <w:bCs/>
          <w:sz w:val="28"/>
          <w:szCs w:val="28"/>
        </w:rPr>
        <w:t xml:space="preserve">SEXTO. </w:t>
      </w:r>
      <w:r w:rsidR="00BD288A" w:rsidRPr="00473550">
        <w:rPr>
          <w:rFonts w:cs="Arial"/>
          <w:b/>
          <w:sz w:val="28"/>
        </w:rPr>
        <w:t>De la ampliación del término para resolver.</w:t>
      </w:r>
    </w:p>
    <w:p w:rsidR="00520169" w:rsidRPr="00473550" w:rsidRDefault="00BD288A" w:rsidP="00BD288A">
      <w:pPr>
        <w:contextualSpacing/>
        <w:rPr>
          <w:rFonts w:eastAsia="Palatino Linotype" w:cs="Palatino Linotype"/>
          <w:color w:val="000000"/>
          <w:szCs w:val="24"/>
        </w:rPr>
      </w:pPr>
      <w:r w:rsidRPr="00473550">
        <w:t>De las constancias que integran el expediente electrónico, se advierte que han transcurrido los términos de Ley, para la emisión de la resolución en el presente recurso de revisión, por lo que en fecha</w:t>
      </w:r>
      <w:r w:rsidRPr="00473550">
        <w:rPr>
          <w:b/>
        </w:rPr>
        <w:t xml:space="preserve"> veinticuatro de febrero de dos mil veintiséis</w:t>
      </w:r>
      <w:r w:rsidRPr="00473550">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520169" w:rsidRPr="00473550" w:rsidRDefault="00520169" w:rsidP="00BD288A">
      <w:pPr>
        <w:pBdr>
          <w:top w:val="nil"/>
          <w:left w:val="nil"/>
          <w:bottom w:val="nil"/>
          <w:right w:val="nil"/>
          <w:between w:val="nil"/>
        </w:pBdr>
        <w:contextualSpacing/>
        <w:rPr>
          <w:rFonts w:eastAsiaTheme="minorHAnsi" w:cstheme="minorBidi"/>
          <w:szCs w:val="24"/>
          <w:lang w:eastAsia="en-US"/>
        </w:rPr>
      </w:pPr>
    </w:p>
    <w:p w:rsidR="00BD288A" w:rsidRPr="00473550" w:rsidRDefault="00520169" w:rsidP="00BD288A">
      <w:pPr>
        <w:pStyle w:val="Ttulo2"/>
        <w:spacing w:before="0" w:after="0"/>
        <w:rPr>
          <w:rFonts w:ascii="Palatino Linotype" w:eastAsia="Palatino Linotype" w:hAnsi="Palatino Linotype"/>
          <w:b/>
          <w:bCs/>
          <w:color w:val="auto"/>
          <w:sz w:val="28"/>
          <w:szCs w:val="28"/>
        </w:rPr>
      </w:pPr>
      <w:r w:rsidRPr="00473550">
        <w:rPr>
          <w:rFonts w:ascii="Palatino Linotype" w:hAnsi="Palatino Linotype"/>
          <w:b/>
          <w:color w:val="000000" w:themeColor="text1"/>
          <w:sz w:val="28"/>
          <w:szCs w:val="28"/>
        </w:rPr>
        <w:t xml:space="preserve">SÉPTIMO. </w:t>
      </w:r>
      <w:r w:rsidR="00BD288A" w:rsidRPr="00473550">
        <w:rPr>
          <w:rFonts w:ascii="Palatino Linotype" w:eastAsia="Palatino Linotype" w:hAnsi="Palatino Linotype"/>
          <w:b/>
          <w:bCs/>
          <w:color w:val="auto"/>
          <w:sz w:val="28"/>
          <w:szCs w:val="28"/>
        </w:rPr>
        <w:t>Del cierre de instrucción.</w:t>
      </w:r>
    </w:p>
    <w:p w:rsidR="00BD288A" w:rsidRPr="00473550" w:rsidRDefault="00BD288A" w:rsidP="00BD288A">
      <w:pPr>
        <w:pBdr>
          <w:top w:val="nil"/>
          <w:left w:val="nil"/>
          <w:bottom w:val="nil"/>
          <w:right w:val="nil"/>
          <w:between w:val="nil"/>
        </w:pBdr>
        <w:contextualSpacing/>
        <w:rPr>
          <w:rFonts w:eastAsia="Palatino Linotype" w:cs="Palatino Linotype"/>
          <w:color w:val="000000"/>
          <w:szCs w:val="24"/>
        </w:rPr>
      </w:pPr>
      <w:r w:rsidRPr="00473550">
        <w:rPr>
          <w:rFonts w:eastAsia="Palatino Linotype" w:cs="Palatino Linotype"/>
          <w:color w:val="000000"/>
          <w:szCs w:val="24"/>
        </w:rPr>
        <w:t xml:space="preserve">Así, una vez transcurrido el término legal, se decretó el cierre de instrucción en fecha </w:t>
      </w:r>
      <w:r w:rsidR="006C43C9" w:rsidRPr="00473550">
        <w:rPr>
          <w:rFonts w:eastAsia="Palatino Linotype" w:cs="Palatino Linotype"/>
          <w:b/>
          <w:color w:val="000000"/>
          <w:szCs w:val="24"/>
        </w:rPr>
        <w:t>cuatro de mayo de dos mil veintiséis</w:t>
      </w:r>
      <w:r w:rsidRPr="00473550">
        <w:rPr>
          <w:rFonts w:eastAsia="Palatino Linotype" w:cs="Palatino Linotype"/>
          <w:color w:val="000000"/>
          <w:szCs w:val="24"/>
        </w:rPr>
        <w:t>, en términos del artículo 185 fracción VI de la Ley de Transparencia y Acceso a la Información Pública del Estado de México y Municipios, iniciando el término legal para dictar resolución definitiva del asunto.</w:t>
      </w:r>
    </w:p>
    <w:p w:rsidR="00520169" w:rsidRPr="00473550" w:rsidRDefault="00520169" w:rsidP="00BD288A">
      <w:pPr>
        <w:keepNext/>
        <w:keepLines/>
        <w:outlineLvl w:val="1"/>
      </w:pPr>
    </w:p>
    <w:p w:rsidR="00864BA3" w:rsidRPr="00473550" w:rsidRDefault="00864BA3" w:rsidP="00BD288A">
      <w:pPr>
        <w:contextualSpacing/>
      </w:pPr>
    </w:p>
    <w:p w:rsidR="00864BA3" w:rsidRPr="00473550" w:rsidRDefault="00864BA3" w:rsidP="00BD288A">
      <w:pPr>
        <w:pStyle w:val="Ttulo1"/>
        <w:spacing w:before="0" w:after="0"/>
        <w:jc w:val="center"/>
        <w:rPr>
          <w:rFonts w:ascii="Palatino Linotype" w:eastAsia="Palatino Linotype" w:hAnsi="Palatino Linotype"/>
          <w:b/>
          <w:bCs/>
          <w:color w:val="auto"/>
          <w:sz w:val="28"/>
          <w:szCs w:val="28"/>
        </w:rPr>
      </w:pPr>
      <w:r w:rsidRPr="00473550">
        <w:rPr>
          <w:rFonts w:ascii="Palatino Linotype" w:eastAsia="Palatino Linotype" w:hAnsi="Palatino Linotype"/>
          <w:b/>
          <w:bCs/>
          <w:color w:val="auto"/>
          <w:sz w:val="28"/>
          <w:szCs w:val="28"/>
        </w:rPr>
        <w:t>C O N S I D E R A N D O</w:t>
      </w:r>
    </w:p>
    <w:p w:rsidR="00864BA3" w:rsidRPr="00473550" w:rsidRDefault="00864BA3" w:rsidP="00BD288A"/>
    <w:p w:rsidR="00864BA3" w:rsidRPr="00473550" w:rsidRDefault="00864BA3" w:rsidP="00BD288A">
      <w:pPr>
        <w:pStyle w:val="Ttulo2"/>
        <w:spacing w:before="0" w:after="0"/>
        <w:rPr>
          <w:rFonts w:ascii="Palatino Linotype" w:eastAsia="Palatino Linotype" w:hAnsi="Palatino Linotype"/>
          <w:b/>
          <w:bCs/>
          <w:color w:val="auto"/>
          <w:sz w:val="28"/>
          <w:szCs w:val="28"/>
        </w:rPr>
      </w:pPr>
      <w:r w:rsidRPr="00473550">
        <w:rPr>
          <w:rFonts w:ascii="Palatino Linotype" w:eastAsia="Palatino Linotype" w:hAnsi="Palatino Linotype"/>
          <w:b/>
          <w:bCs/>
          <w:color w:val="auto"/>
          <w:sz w:val="28"/>
          <w:szCs w:val="28"/>
        </w:rPr>
        <w:lastRenderedPageBreak/>
        <w:t>PRIMERO. De la competencia.</w:t>
      </w:r>
    </w:p>
    <w:p w:rsidR="00864BA3" w:rsidRPr="00473550" w:rsidRDefault="00864BA3" w:rsidP="00BD288A">
      <w:pPr>
        <w:pBdr>
          <w:top w:val="nil"/>
          <w:left w:val="nil"/>
          <w:bottom w:val="nil"/>
          <w:right w:val="nil"/>
          <w:between w:val="nil"/>
        </w:pBdr>
        <w:contextualSpacing/>
        <w:rPr>
          <w:rFonts w:eastAsia="Palatino Linotype" w:cs="Palatino Linotype"/>
          <w:color w:val="000000"/>
          <w:szCs w:val="24"/>
        </w:rPr>
      </w:pPr>
      <w:r w:rsidRPr="00473550">
        <w:rPr>
          <w:rFonts w:eastAsia="Palatino Linotype" w:cs="Palatino Linotype"/>
          <w:color w:val="000000"/>
          <w:szCs w:val="24"/>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864BA3" w:rsidRPr="00473550" w:rsidRDefault="00864BA3" w:rsidP="00BD288A">
      <w:pPr>
        <w:pBdr>
          <w:top w:val="nil"/>
          <w:left w:val="nil"/>
          <w:bottom w:val="nil"/>
          <w:right w:val="nil"/>
          <w:between w:val="nil"/>
        </w:pBdr>
        <w:contextualSpacing/>
        <w:rPr>
          <w:rFonts w:eastAsia="Palatino Linotype" w:cs="Palatino Linotype"/>
          <w:color w:val="000000"/>
          <w:szCs w:val="24"/>
        </w:rPr>
      </w:pPr>
    </w:p>
    <w:p w:rsidR="00864BA3" w:rsidRPr="00473550" w:rsidRDefault="00864BA3" w:rsidP="00BD288A">
      <w:pPr>
        <w:pStyle w:val="Ttulo2"/>
        <w:spacing w:before="0" w:after="0"/>
        <w:rPr>
          <w:rFonts w:ascii="Palatino Linotype" w:eastAsia="Palatino Linotype" w:hAnsi="Palatino Linotype"/>
          <w:b/>
          <w:bCs/>
          <w:color w:val="auto"/>
          <w:sz w:val="28"/>
          <w:szCs w:val="28"/>
        </w:rPr>
      </w:pPr>
      <w:r w:rsidRPr="00473550">
        <w:rPr>
          <w:rFonts w:ascii="Palatino Linotype" w:eastAsia="Palatino Linotype" w:hAnsi="Palatino Linotype"/>
          <w:b/>
          <w:bCs/>
          <w:color w:val="auto"/>
          <w:sz w:val="28"/>
          <w:szCs w:val="28"/>
        </w:rPr>
        <w:t xml:space="preserve">SEGUNDO. Sobre los alcances del recurso de revisión. </w:t>
      </w:r>
    </w:p>
    <w:p w:rsidR="00864BA3" w:rsidRPr="00473550" w:rsidRDefault="00864BA3" w:rsidP="00BD288A">
      <w:r w:rsidRPr="00473550">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864BA3" w:rsidRPr="00473550" w:rsidRDefault="00864BA3" w:rsidP="00BD288A"/>
    <w:p w:rsidR="007E61AC" w:rsidRPr="00473550" w:rsidRDefault="007E61AC" w:rsidP="007E61AC">
      <w:pPr>
        <w:pStyle w:val="Prrafodelista"/>
        <w:autoSpaceDE w:val="0"/>
        <w:autoSpaceDN w:val="0"/>
        <w:adjustRightInd w:val="0"/>
        <w:ind w:left="0"/>
        <w:rPr>
          <w:rFonts w:cs="Arial"/>
          <w:b/>
          <w:sz w:val="28"/>
          <w:szCs w:val="28"/>
        </w:rPr>
      </w:pPr>
      <w:r w:rsidRPr="00473550">
        <w:rPr>
          <w:rFonts w:cs="Arial"/>
          <w:b/>
          <w:sz w:val="28"/>
        </w:rPr>
        <w:t>TERCERO</w:t>
      </w:r>
      <w:r w:rsidRPr="00473550">
        <w:rPr>
          <w:rFonts w:cs="Arial"/>
          <w:b/>
        </w:rPr>
        <w:t xml:space="preserve">. </w:t>
      </w:r>
      <w:r w:rsidRPr="00473550">
        <w:rPr>
          <w:rFonts w:cs="Arial"/>
          <w:b/>
          <w:sz w:val="28"/>
          <w:szCs w:val="28"/>
        </w:rPr>
        <w:t>De las causas de improcedencia.</w:t>
      </w:r>
    </w:p>
    <w:p w:rsidR="007E61AC" w:rsidRPr="00473550" w:rsidRDefault="007E61AC" w:rsidP="007E61AC">
      <w:pPr>
        <w:pStyle w:val="Prrafodelista"/>
        <w:autoSpaceDE w:val="0"/>
        <w:autoSpaceDN w:val="0"/>
        <w:adjustRightInd w:val="0"/>
        <w:ind w:left="0"/>
        <w:rPr>
          <w:rFonts w:cs="Arial"/>
        </w:rPr>
      </w:pPr>
      <w:r w:rsidRPr="00473550">
        <w:rPr>
          <w:rFonts w:cs="Arial"/>
        </w:rPr>
        <w:lastRenderedPageBreak/>
        <w:t xml:space="preserve">En el procedimiento de acceso a la información y de los medios de impugnación de la materia, se advierten diversos supuestos de </w:t>
      </w:r>
      <w:proofErr w:type="spellStart"/>
      <w:r w:rsidRPr="00473550">
        <w:rPr>
          <w:rFonts w:cs="Arial"/>
        </w:rPr>
        <w:t>procedibilidad</w:t>
      </w:r>
      <w:proofErr w:type="spellEnd"/>
      <w:r w:rsidRPr="00473550">
        <w:rPr>
          <w:rFonts w:cs="Arial"/>
        </w:rPr>
        <w:t>,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7E61AC" w:rsidRPr="00473550" w:rsidRDefault="007E61AC" w:rsidP="007E61AC">
      <w:pPr>
        <w:pStyle w:val="Prrafodelista"/>
        <w:autoSpaceDE w:val="0"/>
        <w:autoSpaceDN w:val="0"/>
        <w:adjustRightInd w:val="0"/>
        <w:ind w:left="0"/>
        <w:rPr>
          <w:rFonts w:cs="Arial"/>
        </w:rPr>
      </w:pPr>
    </w:p>
    <w:p w:rsidR="007E61AC" w:rsidRPr="00473550" w:rsidRDefault="007E61AC" w:rsidP="007E61AC">
      <w:pPr>
        <w:pStyle w:val="Prrafodelista"/>
        <w:autoSpaceDE w:val="0"/>
        <w:autoSpaceDN w:val="0"/>
        <w:adjustRightInd w:val="0"/>
        <w:ind w:left="0"/>
        <w:rPr>
          <w:rFonts w:cs="Arial"/>
        </w:rPr>
      </w:pPr>
      <w:r w:rsidRPr="00473550">
        <w:rPr>
          <w:rFonts w:cs="Arial"/>
        </w:rPr>
        <w:t xml:space="preserve">Siendo facultad de este Órgano entrar al estudio de las causas de improcedencia que hagan valer las partes o que se adviertan de oficio por este </w:t>
      </w:r>
      <w:proofErr w:type="spellStart"/>
      <w:r w:rsidRPr="00473550">
        <w:rPr>
          <w:rFonts w:cs="Arial"/>
        </w:rPr>
        <w:t>Resolutor</w:t>
      </w:r>
      <w:proofErr w:type="spellEnd"/>
      <w:r w:rsidRPr="00473550">
        <w:rPr>
          <w:rFonts w:cs="Arial"/>
        </w:rPr>
        <w:t xml:space="preserve">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473550">
        <w:rPr>
          <w:rStyle w:val="Refdenotaalpie"/>
          <w:rFonts w:cs="Arial"/>
        </w:rPr>
        <w:footnoteReference w:id="1"/>
      </w:r>
      <w:r w:rsidRPr="00473550">
        <w:rPr>
          <w:rFonts w:cs="Arial"/>
        </w:rPr>
        <w:t xml:space="preserve">. Así las cosas, del análisis de los expedientes electrónicos </w:t>
      </w:r>
      <w:r w:rsidRPr="00473550">
        <w:rPr>
          <w:rFonts w:cs="Arial"/>
        </w:rPr>
        <w:lastRenderedPageBreak/>
        <w:t>no se advierte ninguna causa de improcedencia que se actualice ni mucho menos alguna hecha valer por alguna de las partes, procediendo al estudio del fondo del asunto, en los siguientes términos.</w:t>
      </w:r>
    </w:p>
    <w:p w:rsidR="007E61AC" w:rsidRPr="00473550" w:rsidRDefault="007E61AC" w:rsidP="007E61AC">
      <w:pPr>
        <w:tabs>
          <w:tab w:val="left" w:pos="709"/>
        </w:tabs>
        <w:ind w:right="51"/>
        <w:rPr>
          <w:b/>
          <w:sz w:val="28"/>
          <w:szCs w:val="28"/>
        </w:rPr>
      </w:pPr>
    </w:p>
    <w:p w:rsidR="00864BA3" w:rsidRPr="00473550" w:rsidRDefault="007E61AC" w:rsidP="007E61AC">
      <w:pPr>
        <w:pStyle w:val="Ttulo2"/>
        <w:spacing w:before="0" w:after="0"/>
        <w:rPr>
          <w:rFonts w:ascii="Palatino Linotype" w:eastAsia="Palatino Linotype" w:hAnsi="Palatino Linotype"/>
          <w:b/>
          <w:bCs/>
          <w:color w:val="000000" w:themeColor="text1"/>
          <w:sz w:val="28"/>
          <w:szCs w:val="28"/>
        </w:rPr>
      </w:pPr>
      <w:r w:rsidRPr="00473550">
        <w:rPr>
          <w:rFonts w:ascii="Palatino Linotype" w:hAnsi="Palatino Linotype"/>
          <w:b/>
          <w:color w:val="000000" w:themeColor="text1"/>
          <w:sz w:val="28"/>
          <w:szCs w:val="28"/>
        </w:rPr>
        <w:t>CUARTO. Estudio y resolución del asunto</w:t>
      </w:r>
    </w:p>
    <w:p w:rsidR="00864BA3" w:rsidRPr="00473550" w:rsidRDefault="00864BA3" w:rsidP="00BD288A">
      <w:pPr>
        <w:pBdr>
          <w:top w:val="nil"/>
          <w:left w:val="nil"/>
          <w:bottom w:val="nil"/>
          <w:right w:val="nil"/>
          <w:between w:val="nil"/>
        </w:pBdr>
        <w:contextualSpacing/>
        <w:rPr>
          <w:rFonts w:eastAsia="Palatino Linotype" w:cs="Palatino Linotype"/>
          <w:color w:val="000000"/>
          <w:szCs w:val="24"/>
        </w:rPr>
      </w:pPr>
      <w:r w:rsidRPr="00473550">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864BA3" w:rsidRPr="00473550" w:rsidRDefault="00864BA3" w:rsidP="00BD288A">
      <w:pPr>
        <w:pBdr>
          <w:top w:val="nil"/>
          <w:left w:val="nil"/>
          <w:bottom w:val="nil"/>
          <w:right w:val="nil"/>
          <w:between w:val="nil"/>
        </w:pBdr>
        <w:contextualSpacing/>
        <w:rPr>
          <w:rFonts w:eastAsia="Palatino Linotype" w:cs="Palatino Linotype"/>
          <w:color w:val="000000"/>
          <w:szCs w:val="24"/>
        </w:rPr>
      </w:pPr>
    </w:p>
    <w:p w:rsidR="00864BA3" w:rsidRPr="00473550" w:rsidRDefault="00864BA3" w:rsidP="00BD288A">
      <w:pPr>
        <w:pBdr>
          <w:top w:val="nil"/>
          <w:left w:val="nil"/>
          <w:bottom w:val="nil"/>
          <w:right w:val="nil"/>
          <w:between w:val="nil"/>
        </w:pBdr>
        <w:contextualSpacing/>
        <w:rPr>
          <w:rFonts w:eastAsia="Palatino Linotype" w:cs="Palatino Linotype"/>
          <w:color w:val="000000"/>
          <w:szCs w:val="24"/>
        </w:rPr>
      </w:pPr>
      <w:r w:rsidRPr="00473550">
        <w:rPr>
          <w:rFonts w:eastAsia="Palatino Linotype" w:cs="Palatino Linotype"/>
          <w:color w:val="000000"/>
          <w:szCs w:val="24"/>
        </w:rPr>
        <w:t>Por tanto, es conveniente recordar que el hoy Recurrente requirió del Sujeto Obligado, de la actual administración, lo siguiente:</w:t>
      </w:r>
    </w:p>
    <w:p w:rsidR="00864BA3" w:rsidRPr="00473550" w:rsidRDefault="002A7F61" w:rsidP="002A7F61">
      <w:pPr>
        <w:pStyle w:val="Prrafodelista"/>
        <w:numPr>
          <w:ilvl w:val="0"/>
          <w:numId w:val="4"/>
        </w:numPr>
        <w:pBdr>
          <w:top w:val="nil"/>
          <w:left w:val="nil"/>
          <w:bottom w:val="nil"/>
          <w:right w:val="nil"/>
          <w:between w:val="nil"/>
        </w:pBdr>
        <w:rPr>
          <w:rFonts w:eastAsia="Palatino Linotype" w:cs="Palatino Linotype"/>
          <w:color w:val="000000"/>
          <w:szCs w:val="24"/>
        </w:rPr>
      </w:pPr>
      <w:r w:rsidRPr="00473550">
        <w:rPr>
          <w:rFonts w:eastAsia="Palatino Linotype" w:cs="Palatino Linotype"/>
          <w:color w:val="000000"/>
          <w:szCs w:val="24"/>
        </w:rPr>
        <w:t>Organigrama vigente del Instituto del Deporte del Estado de México, en versión pública</w:t>
      </w:r>
      <w:r w:rsidR="00520169" w:rsidRPr="00473550">
        <w:rPr>
          <w:rFonts w:eastAsia="Palatino Linotype" w:cs="Palatino Linotype"/>
          <w:color w:val="000000"/>
          <w:szCs w:val="24"/>
        </w:rPr>
        <w:t>.</w:t>
      </w:r>
    </w:p>
    <w:p w:rsidR="002A7F61" w:rsidRPr="00473550" w:rsidRDefault="002A7F61" w:rsidP="002A7F61">
      <w:pPr>
        <w:pStyle w:val="Prrafodelista"/>
        <w:numPr>
          <w:ilvl w:val="0"/>
          <w:numId w:val="4"/>
        </w:numPr>
        <w:pBdr>
          <w:top w:val="nil"/>
          <w:left w:val="nil"/>
          <w:bottom w:val="nil"/>
          <w:right w:val="nil"/>
          <w:between w:val="nil"/>
        </w:pBdr>
        <w:rPr>
          <w:rFonts w:eastAsia="Palatino Linotype" w:cs="Palatino Linotype"/>
          <w:color w:val="000000"/>
          <w:szCs w:val="24"/>
        </w:rPr>
      </w:pPr>
      <w:r w:rsidRPr="00473550">
        <w:rPr>
          <w:rFonts w:eastAsia="Palatino Linotype" w:cs="Palatino Linotype"/>
          <w:color w:val="000000"/>
          <w:szCs w:val="24"/>
        </w:rPr>
        <w:lastRenderedPageBreak/>
        <w:t>Ubicación administrativa de la Unidad de Información, Planeación, Programación y Evaluación dentro del organigrama.</w:t>
      </w:r>
    </w:p>
    <w:p w:rsidR="002A7F61" w:rsidRPr="00473550" w:rsidRDefault="002A7F61" w:rsidP="002A7F61">
      <w:pPr>
        <w:pStyle w:val="Prrafodelista"/>
        <w:numPr>
          <w:ilvl w:val="0"/>
          <w:numId w:val="4"/>
        </w:numPr>
        <w:pBdr>
          <w:top w:val="nil"/>
          <w:left w:val="nil"/>
          <w:bottom w:val="nil"/>
          <w:right w:val="nil"/>
          <w:between w:val="nil"/>
        </w:pBdr>
        <w:rPr>
          <w:rFonts w:eastAsia="Palatino Linotype" w:cs="Palatino Linotype"/>
          <w:color w:val="000000"/>
          <w:szCs w:val="24"/>
        </w:rPr>
      </w:pPr>
      <w:r w:rsidRPr="00473550">
        <w:rPr>
          <w:rFonts w:eastAsia="Palatino Linotype" w:cs="Palatino Linotype"/>
          <w:color w:val="000000"/>
          <w:szCs w:val="24"/>
        </w:rPr>
        <w:t xml:space="preserve">Régimen laboral actual del servidor público </w:t>
      </w:r>
      <w:proofErr w:type="spellStart"/>
      <w:r w:rsidR="007E4269">
        <w:rPr>
          <w:rFonts w:eastAsia="Palatino Linotype" w:cs="Palatino Linotype"/>
          <w:color w:val="000000"/>
          <w:szCs w:val="24"/>
        </w:rPr>
        <w:t>xxxxxxxxxxxxxxxxxxxxxxxx</w:t>
      </w:r>
      <w:proofErr w:type="spellEnd"/>
      <w:r w:rsidRPr="00473550">
        <w:rPr>
          <w:rFonts w:eastAsia="Palatino Linotype" w:cs="Palatino Linotype"/>
          <w:color w:val="000000"/>
          <w:szCs w:val="24"/>
        </w:rPr>
        <w:t>, indicando si se encuentra bajo base, confianza, honorarios, eventual u otro aplicable.</w:t>
      </w:r>
    </w:p>
    <w:p w:rsidR="002A7F61" w:rsidRPr="00473550" w:rsidRDefault="002A7F61" w:rsidP="002A7F61">
      <w:pPr>
        <w:pStyle w:val="Prrafodelista"/>
        <w:numPr>
          <w:ilvl w:val="0"/>
          <w:numId w:val="4"/>
        </w:numPr>
        <w:pBdr>
          <w:top w:val="nil"/>
          <w:left w:val="nil"/>
          <w:bottom w:val="nil"/>
          <w:right w:val="nil"/>
          <w:between w:val="nil"/>
        </w:pBdr>
        <w:rPr>
          <w:rFonts w:eastAsia="Palatino Linotype" w:cs="Palatino Linotype"/>
          <w:color w:val="000000"/>
          <w:szCs w:val="24"/>
        </w:rPr>
      </w:pPr>
      <w:r w:rsidRPr="00473550">
        <w:rPr>
          <w:rFonts w:eastAsia="Palatino Linotype" w:cs="Palatino Linotype"/>
          <w:color w:val="000000"/>
          <w:szCs w:val="24"/>
        </w:rPr>
        <w:t>Funciones y atribuciones que desempeña dicho servidor público, de acuerdo con el régimen laboral en que se encuentra adscrito.</w:t>
      </w:r>
    </w:p>
    <w:p w:rsidR="00520169" w:rsidRPr="00473550" w:rsidRDefault="00520169" w:rsidP="00BD288A">
      <w:pPr>
        <w:pStyle w:val="Prrafodelista"/>
        <w:pBdr>
          <w:top w:val="nil"/>
          <w:left w:val="nil"/>
          <w:bottom w:val="nil"/>
          <w:right w:val="nil"/>
          <w:between w:val="nil"/>
        </w:pBdr>
        <w:ind w:left="1440"/>
        <w:rPr>
          <w:rFonts w:eastAsia="Palatino Linotype" w:cs="Palatino Linotype"/>
          <w:color w:val="000000"/>
          <w:szCs w:val="24"/>
        </w:rPr>
      </w:pPr>
    </w:p>
    <w:p w:rsidR="00864BA3" w:rsidRPr="00473550" w:rsidRDefault="00864BA3" w:rsidP="00BD288A">
      <w:pPr>
        <w:pBdr>
          <w:top w:val="nil"/>
          <w:left w:val="nil"/>
          <w:bottom w:val="nil"/>
          <w:right w:val="nil"/>
          <w:between w:val="nil"/>
        </w:pBdr>
        <w:contextualSpacing/>
      </w:pPr>
      <w:r w:rsidRPr="00473550">
        <w:rPr>
          <w:rFonts w:eastAsia="Palatino Linotype" w:cs="Palatino Linotype"/>
          <w:color w:val="000000"/>
          <w:szCs w:val="24"/>
        </w:rPr>
        <w:t>Por lo que atento a la solicitud de información el Sujeto Obligado</w:t>
      </w:r>
      <w:r w:rsidRPr="00473550">
        <w:t xml:space="preserve"> emitió su respuesta por medio de</w:t>
      </w:r>
      <w:r w:rsidR="002A7F61" w:rsidRPr="00473550">
        <w:t xml:space="preserve"> </w:t>
      </w:r>
      <w:r w:rsidR="00520169" w:rsidRPr="00473550">
        <w:t>l</w:t>
      </w:r>
      <w:r w:rsidR="002A7F61" w:rsidRPr="00473550">
        <w:t>os</w:t>
      </w:r>
      <w:r w:rsidR="00520169" w:rsidRPr="00473550">
        <w:t xml:space="preserve"> archivo</w:t>
      </w:r>
      <w:r w:rsidR="002A7F61" w:rsidRPr="00473550">
        <w:t>s</w:t>
      </w:r>
      <w:r w:rsidR="00520169" w:rsidRPr="00473550">
        <w:t xml:space="preserve"> electrónico</w:t>
      </w:r>
      <w:r w:rsidR="002A7F61" w:rsidRPr="00473550">
        <w:t>s</w:t>
      </w:r>
      <w:r w:rsidR="00520169" w:rsidRPr="00473550">
        <w:t xml:space="preserve"> denominado</w:t>
      </w:r>
      <w:r w:rsidR="002A7F61" w:rsidRPr="00473550">
        <w:t>s:</w:t>
      </w:r>
      <w:r w:rsidRPr="00473550">
        <w:t xml:space="preserve"> </w:t>
      </w:r>
    </w:p>
    <w:p w:rsidR="002A7F61" w:rsidRPr="00473550" w:rsidRDefault="002A7F61" w:rsidP="00BD288A">
      <w:pPr>
        <w:pBdr>
          <w:top w:val="nil"/>
          <w:left w:val="nil"/>
          <w:bottom w:val="nil"/>
          <w:right w:val="nil"/>
          <w:between w:val="nil"/>
        </w:pBdr>
        <w:contextualSpacing/>
      </w:pPr>
    </w:p>
    <w:p w:rsidR="00520169" w:rsidRPr="00473550" w:rsidRDefault="002A7F61" w:rsidP="002A7F61">
      <w:pPr>
        <w:pStyle w:val="Prrafodelista"/>
        <w:numPr>
          <w:ilvl w:val="0"/>
          <w:numId w:val="5"/>
        </w:numPr>
        <w:rPr>
          <w:i/>
          <w:szCs w:val="24"/>
        </w:rPr>
      </w:pPr>
      <w:r w:rsidRPr="00473550">
        <w:rPr>
          <w:rFonts w:cs="Arial"/>
          <w:b/>
          <w:bCs/>
          <w:szCs w:val="24"/>
        </w:rPr>
        <w:t>SPH_UT_802_ID.pdf</w:t>
      </w:r>
      <w:r w:rsidR="00520169" w:rsidRPr="00473550">
        <w:rPr>
          <w:rFonts w:cs="Arial"/>
          <w:b/>
          <w:bCs/>
          <w:i/>
          <w:szCs w:val="24"/>
        </w:rPr>
        <w:t xml:space="preserve">: </w:t>
      </w:r>
      <w:r w:rsidRPr="00473550">
        <w:rPr>
          <w:rFonts w:cs="Arial"/>
          <w:bCs/>
          <w:szCs w:val="24"/>
        </w:rPr>
        <w:t>Se adjunta el oficio número 228C4401A/280/2025, de fecha 18 de septiembre de 2025, signado por el Encargado de Despacho del Instituto del Deporte del Estado de Méxic</w:t>
      </w:r>
      <w:r w:rsidR="00565180" w:rsidRPr="00473550">
        <w:rPr>
          <w:rFonts w:cs="Arial"/>
          <w:bCs/>
          <w:szCs w:val="24"/>
        </w:rPr>
        <w:t>o, mediante el cual refiere lo siguiente:</w:t>
      </w:r>
    </w:p>
    <w:p w:rsidR="00565180" w:rsidRPr="00473550" w:rsidRDefault="00565180" w:rsidP="00565180">
      <w:pPr>
        <w:pStyle w:val="Prrafodelista"/>
        <w:numPr>
          <w:ilvl w:val="0"/>
          <w:numId w:val="6"/>
        </w:numPr>
        <w:rPr>
          <w:rStyle w:val="Hipervnculo"/>
          <w:i/>
          <w:color w:val="auto"/>
          <w:szCs w:val="24"/>
          <w:u w:val="none"/>
        </w:rPr>
      </w:pPr>
      <w:r w:rsidRPr="00473550">
        <w:rPr>
          <w:rStyle w:val="Hipervnculo"/>
          <w:color w:val="auto"/>
          <w:szCs w:val="24"/>
          <w:u w:val="none"/>
        </w:rPr>
        <w:t>Respecto al organigrama vigente del Instituto del Deporte del Estado de México en versión pública, se informa que el organigrama vigente en versión pública corresponde a la extinta Dirección General de Cultura Física y Deporte, mismo que se encuentra en el Manual General de Organización de la Secretaría de Educación, Ciencia, Tecnología e Innovación del estado de México, ya que, el relativo al Instituto del Deporte del Estado de México, se encuentra en proceso de admisión.</w:t>
      </w:r>
    </w:p>
    <w:p w:rsidR="00565180" w:rsidRPr="00473550" w:rsidRDefault="00D4068F" w:rsidP="00565180">
      <w:pPr>
        <w:pStyle w:val="Prrafodelista"/>
        <w:numPr>
          <w:ilvl w:val="0"/>
          <w:numId w:val="6"/>
        </w:numPr>
        <w:rPr>
          <w:rStyle w:val="Hipervnculo"/>
          <w:i/>
          <w:color w:val="auto"/>
          <w:szCs w:val="24"/>
          <w:u w:val="none"/>
        </w:rPr>
      </w:pPr>
      <w:r w:rsidRPr="00473550">
        <w:rPr>
          <w:rStyle w:val="Hipervnculo"/>
          <w:color w:val="auto"/>
          <w:szCs w:val="24"/>
          <w:u w:val="none"/>
        </w:rPr>
        <w:t xml:space="preserve">Por cuanto hace a la ubicación administrativa de la Unidad e Información, Planeación, Programación y Evaluación, se hace del conocimiento que a la fecha de entrega del documento, no se encuentra conformada ni reconocida </w:t>
      </w:r>
      <w:r w:rsidRPr="00473550">
        <w:rPr>
          <w:rStyle w:val="Hipervnculo"/>
          <w:color w:val="auto"/>
          <w:szCs w:val="24"/>
          <w:u w:val="none"/>
        </w:rPr>
        <w:lastRenderedPageBreak/>
        <w:t>formalmente dentro del organigrama vigente, en razón de que las funciones asociadas a la misma son actualmente ejercidas por la Dirección General de Cultura Física y Deporte, sin embargo, dicha unidad se visualizará en el organigrama del instituto, el cual se encontrará disponible hasta que se haya culminado los trámites correspondientes de la transición de la Dirección General de Cultura Física y Deporte al Instituto del Deporte del Estado de México.</w:t>
      </w:r>
    </w:p>
    <w:p w:rsidR="00D4068F" w:rsidRPr="00473550" w:rsidRDefault="00D4068F" w:rsidP="00565180">
      <w:pPr>
        <w:pStyle w:val="Prrafodelista"/>
        <w:numPr>
          <w:ilvl w:val="0"/>
          <w:numId w:val="6"/>
        </w:numPr>
        <w:rPr>
          <w:rStyle w:val="Hipervnculo"/>
          <w:i/>
          <w:color w:val="auto"/>
          <w:szCs w:val="24"/>
          <w:u w:val="none"/>
        </w:rPr>
      </w:pPr>
      <w:r w:rsidRPr="00473550">
        <w:rPr>
          <w:rStyle w:val="Hipervnculo"/>
          <w:color w:val="auto"/>
          <w:szCs w:val="24"/>
          <w:u w:val="none"/>
        </w:rPr>
        <w:t>Finalmente, respecto al régimen laboral del servidor público referido en la solicitud, así como sus funciones y atribuciones, se informa que el Instituto no mantiene relación laboral alguna con dicho servidor, por lo que se encuentra imposibilitado para proporcionar información al respecto.</w:t>
      </w:r>
    </w:p>
    <w:p w:rsidR="007E61AC" w:rsidRPr="00473550" w:rsidRDefault="007E61AC" w:rsidP="007E61AC">
      <w:pPr>
        <w:pStyle w:val="Prrafodelista"/>
        <w:ind w:left="1440"/>
        <w:rPr>
          <w:rStyle w:val="Hipervnculo"/>
          <w:i/>
          <w:color w:val="auto"/>
          <w:szCs w:val="24"/>
          <w:u w:val="none"/>
        </w:rPr>
      </w:pPr>
    </w:p>
    <w:p w:rsidR="002A7F61" w:rsidRPr="00473550" w:rsidRDefault="002A7F61" w:rsidP="00F24972">
      <w:pPr>
        <w:pStyle w:val="Prrafodelista"/>
        <w:numPr>
          <w:ilvl w:val="0"/>
          <w:numId w:val="5"/>
        </w:numPr>
        <w:rPr>
          <w:i/>
          <w:szCs w:val="24"/>
        </w:rPr>
      </w:pPr>
      <w:r w:rsidRPr="00473550">
        <w:rPr>
          <w:b/>
          <w:szCs w:val="24"/>
        </w:rPr>
        <w:t>RESPUESTA_UT_802.pdf</w:t>
      </w:r>
      <w:r w:rsidRPr="00473550">
        <w:rPr>
          <w:i/>
          <w:szCs w:val="24"/>
        </w:rPr>
        <w:t xml:space="preserve">: </w:t>
      </w:r>
      <w:r w:rsidR="00D218E0" w:rsidRPr="00473550">
        <w:rPr>
          <w:szCs w:val="24"/>
        </w:rPr>
        <w:t>Consta del oficio número 22800007010000S/2248/2025, de fecha 19 de septiembre de 2025, signado por el Titular de la Unidad, mediante el cual medularmente refiere que privilegiando el Principio Garante de Máxima Publicidad que tutela el acceso a la información requerida y después de una búsqueda exhaustiva y razonable en los archivos de la Unidad Administrativa competente, el Servidor Público Habilitado en el Instituto del Deporte del Estado de México mediante el oficio con número 228C4401A/280/2025, da respuesta a su solicitud de información pública.</w:t>
      </w:r>
    </w:p>
    <w:p w:rsidR="00520169" w:rsidRPr="00473550" w:rsidRDefault="00520169" w:rsidP="00BD288A"/>
    <w:p w:rsidR="00864BA3" w:rsidRPr="00473550" w:rsidRDefault="00864BA3" w:rsidP="00BD288A">
      <w:pPr>
        <w:pBdr>
          <w:top w:val="nil"/>
          <w:left w:val="nil"/>
          <w:bottom w:val="nil"/>
          <w:right w:val="nil"/>
          <w:between w:val="nil"/>
        </w:pBdr>
        <w:contextualSpacing/>
        <w:rPr>
          <w:rFonts w:eastAsia="Palatino Linotype" w:cs="Palatino Linotype"/>
          <w:i/>
          <w:iCs/>
          <w:color w:val="000000"/>
          <w:szCs w:val="24"/>
        </w:rPr>
      </w:pPr>
      <w:r w:rsidRPr="00473550">
        <w:rPr>
          <w:rFonts w:eastAsia="Palatino Linotype" w:cs="Palatino Linotype"/>
          <w:color w:val="000000"/>
          <w:szCs w:val="24"/>
        </w:rPr>
        <w:t xml:space="preserve">Ante la respuesta emitida por el Sujeto Obligado, el Recurrente consideró que su derecho a la información pública había sido conculcado, por lo que interpuso el recurso de revisión al rubro citado, señalando como acto impugnado </w:t>
      </w:r>
      <w:r w:rsidRPr="00473550">
        <w:rPr>
          <w:i/>
          <w:color w:val="000000"/>
          <w:szCs w:val="24"/>
        </w:rPr>
        <w:t>“</w:t>
      </w:r>
      <w:r w:rsidR="00D218E0" w:rsidRPr="00473550">
        <w:rPr>
          <w:i/>
          <w:color w:val="000000"/>
          <w:szCs w:val="24"/>
        </w:rPr>
        <w:t xml:space="preserve">CTO DE IMPUGNACIÓN El </w:t>
      </w:r>
      <w:r w:rsidR="00D218E0" w:rsidRPr="00473550">
        <w:rPr>
          <w:i/>
          <w:color w:val="000000"/>
          <w:szCs w:val="24"/>
        </w:rPr>
        <w:lastRenderedPageBreak/>
        <w:t xml:space="preserve">acto impugnado consiste en la negativa de entrega de la información solicitada en el folio 00802/SECTI/IP/2025, contenida en los oficios emitidos por: El Sujeto Obligado, mediante oficio número 22800007010000S/2093/UT/2025, suscrito por el Mtro. Manuel Sotomayor </w:t>
      </w:r>
      <w:proofErr w:type="spellStart"/>
      <w:r w:rsidR="00D218E0" w:rsidRPr="00473550">
        <w:rPr>
          <w:i/>
          <w:color w:val="000000"/>
          <w:szCs w:val="24"/>
        </w:rPr>
        <w:t>Landecho</w:t>
      </w:r>
      <w:proofErr w:type="spellEnd"/>
      <w:r w:rsidR="00D218E0" w:rsidRPr="00473550">
        <w:rPr>
          <w:i/>
          <w:color w:val="000000"/>
          <w:szCs w:val="24"/>
        </w:rPr>
        <w:t xml:space="preserve">, Encargado de Despacho del Instituto del Deporte del Estado de México. El Titular de la Unidad de Transparencia, mediante oficio número 228C4401A/280/2025. Dicha negativa se sustenta en argumentos jurídicamente deficientes, consistentes en: Alegar inexistencia de información sobre el régimen laboral y funciones del servidor público </w:t>
      </w:r>
      <w:proofErr w:type="spellStart"/>
      <w:r w:rsidR="007E4269">
        <w:rPr>
          <w:i/>
          <w:color w:val="000000"/>
          <w:szCs w:val="24"/>
        </w:rPr>
        <w:t>xxxxxxxxxxxxxxxxxx</w:t>
      </w:r>
      <w:proofErr w:type="spellEnd"/>
      <w:r w:rsidR="00D218E0" w:rsidRPr="00473550">
        <w:rPr>
          <w:i/>
          <w:color w:val="000000"/>
          <w:szCs w:val="24"/>
        </w:rPr>
        <w:t>, bajo el argumento de que “no mantiene relación laboral alguna con el Instituto”. Negar acceso al organigrama actualizado y a la ubicación administrativa de la Unidad de Información, Planeación, Programación y Evaluación, bajo un supuesto de inexistencia formal de la unidad. Este acto constituye un acto de negativa indebida que vulnera el derecho de acceso a la información pública previsto en la Ley de Transparencia y Acceso a la Información Pública del Estado de México y Municipios, así como el principio de máxima publicidad contenido en el artículo 3, fracción XXII de la misma.</w:t>
      </w:r>
      <w:r w:rsidRPr="00473550">
        <w:rPr>
          <w:i/>
          <w:color w:val="000000"/>
          <w:szCs w:val="24"/>
        </w:rPr>
        <w:t>”</w:t>
      </w:r>
      <w:r w:rsidRPr="00473550">
        <w:rPr>
          <w:rFonts w:eastAsia="Palatino Linotype" w:cs="Palatino Linotype"/>
          <w:color w:val="000000"/>
          <w:szCs w:val="24"/>
        </w:rPr>
        <w:t xml:space="preserve"> </w:t>
      </w:r>
      <w:r w:rsidRPr="00473550">
        <w:rPr>
          <w:color w:val="000000"/>
          <w:szCs w:val="24"/>
        </w:rPr>
        <w:t xml:space="preserve">y como razones o motivos de inconformidad </w:t>
      </w:r>
      <w:r w:rsidRPr="00473550">
        <w:rPr>
          <w:rFonts w:eastAsia="Palatino Linotype" w:cs="Palatino Linotype"/>
          <w:i/>
          <w:iCs/>
          <w:color w:val="000000"/>
          <w:szCs w:val="24"/>
        </w:rPr>
        <w:t>“</w:t>
      </w:r>
      <w:r w:rsidR="00D218E0" w:rsidRPr="00473550">
        <w:rPr>
          <w:i/>
          <w:color w:val="000000"/>
          <w:sz w:val="22"/>
        </w:rPr>
        <w:t xml:space="preserve">I. MOTIVO DE LA INCONFORMIDAD La inconformidad se funda en lo siguiente: Negación indebida de información: El Titular de la Unidad de Transparencia y el Sujeto Obligado carecen de criterio jurídico sólido y desconocen la Ley de Transparencia en la materia, omitiendo considerar que la inexistencia de vínculo laboral formal no extingue la obligación del sujeto obligado de proporcionar información vinculada al ejercicio de funciones públicas. Falta de sustento jurídico: Ambos oficios carecen de fundamentación adecuada que acredite la inexistencia de la información solicitada, vulnerando el criterio 7/17 emitido por el INAI, que obliga a realizar una búsqueda exhaustiva y documentada antes de declarar inexistencia. Falta de conocimiento técnico: El argumento de que la Unidad de Información, Planeación, Programación y Evaluación no existe formalmente carece de sustento legal, dado que las funciones asociadas a dicha unidad están siendo actualmente ejercidas, y esta información constituye información pública de interés general, conforme al artículo 24 de la Ley de Transparencia. Violación al principio de máxima publicidad: La respuesta </w:t>
      </w:r>
      <w:r w:rsidR="00D218E0" w:rsidRPr="00473550">
        <w:rPr>
          <w:i/>
          <w:color w:val="000000"/>
          <w:sz w:val="22"/>
        </w:rPr>
        <w:lastRenderedPageBreak/>
        <w:t xml:space="preserve">impugnada ignora los principios rectores de la transparencia y acceso a la información pública, transgrediendo el artículo 3 fracción XXII y los criterios de interpretación 0002-11 del ITAEM. Por lo anterior, se considera que el acto recurrido refleja un claro desconocimiento y falta de criterio técnico y legal por parte del Titular de la Unidad de Transparencia y del Sujeto Obligado, constituyendo una vulneración al derecho de acceso a la información pública. III. FUNDAMENTOS JURÍDICOS Principio de Máxima Publicidad (artículo 3, fracción XXII, y artículo 4, Ley de Transparencia del Estado de México). Obligación de entregar información administrativa (artículo 24 de la Ley). Criterio de interpretación 0002-11 del ITAEM. Criterio 7/17 del INAI. Artículos 1, 2, 3 fracción XXII, 4, 12, 24, 50, 51, 53, 59, 72, 150, 160, 163, 176, 177 y 178 de la Ley de Transparencia y Acceso a la Información Pública del Estado de México y Municipios. IV. PETICIÓN Por lo expuesto, solicito respetuosamente al Instituto de Transparencia, Acceso a la Información Pública y Protección de Datos Personales del Estado de México y Municipios: Admitir el presente recurso de revisión. Declarar fundada la inconformidad. Ordenar al Instituto del Deporte del Estado de México y a la Unidad de Transparencia entregar la información solicitada en su totalidad, incluyendo: Organigrama vigente del Instituto del Deporte en versión pública. Ubicación administrativa de la Unidad de Información, Planeación, Programación y Evaluación. Régimen laboral actual o más reciente y funciones desempeñadas por </w:t>
      </w:r>
      <w:proofErr w:type="spellStart"/>
      <w:r w:rsidR="007E4269">
        <w:rPr>
          <w:i/>
          <w:color w:val="000000"/>
          <w:sz w:val="22"/>
        </w:rPr>
        <w:t>xxxxxxxxxxxxxxxxxxx</w:t>
      </w:r>
      <w:proofErr w:type="spellEnd"/>
      <w:r w:rsidR="00D218E0" w:rsidRPr="00473550">
        <w:rPr>
          <w:i/>
          <w:color w:val="000000"/>
          <w:sz w:val="22"/>
        </w:rPr>
        <w:t>.</w:t>
      </w:r>
      <w:r w:rsidRPr="00473550">
        <w:rPr>
          <w:i/>
          <w:iCs/>
          <w:color w:val="000000"/>
          <w:szCs w:val="24"/>
        </w:rPr>
        <w:t xml:space="preserve">” </w:t>
      </w:r>
      <w:r w:rsidRPr="00473550">
        <w:rPr>
          <w:rFonts w:eastAsia="Palatino Linotype" w:cs="Palatino Linotype"/>
          <w:color w:val="000000"/>
          <w:szCs w:val="24"/>
        </w:rPr>
        <w:t xml:space="preserve">en este sentido el Recurrente considero que el Sujeto Obligado </w:t>
      </w:r>
      <w:r w:rsidR="00416374" w:rsidRPr="00473550">
        <w:rPr>
          <w:rFonts w:eastAsia="Palatino Linotype" w:cs="Palatino Linotype"/>
          <w:color w:val="000000"/>
          <w:szCs w:val="24"/>
        </w:rPr>
        <w:t>le negó la información solicitada y su respuesta carece de fundamentación</w:t>
      </w:r>
      <w:r w:rsidRPr="00473550">
        <w:rPr>
          <w:rFonts w:eastAsia="Palatino Linotype" w:cs="Palatino Linotype"/>
          <w:color w:val="000000"/>
          <w:szCs w:val="24"/>
        </w:rPr>
        <w:t xml:space="preserve">. </w:t>
      </w:r>
    </w:p>
    <w:p w:rsidR="00864BA3" w:rsidRPr="00473550" w:rsidRDefault="00864BA3" w:rsidP="00BD288A">
      <w:pPr>
        <w:pBdr>
          <w:top w:val="nil"/>
          <w:left w:val="nil"/>
          <w:bottom w:val="nil"/>
          <w:right w:val="nil"/>
          <w:between w:val="nil"/>
        </w:pBdr>
        <w:contextualSpacing/>
      </w:pPr>
    </w:p>
    <w:p w:rsidR="00864BA3" w:rsidRPr="00473550" w:rsidRDefault="00864BA3" w:rsidP="00BD288A">
      <w:pPr>
        <w:pBdr>
          <w:top w:val="nil"/>
          <w:left w:val="nil"/>
          <w:bottom w:val="nil"/>
          <w:right w:val="nil"/>
          <w:between w:val="nil"/>
        </w:pBdr>
        <w:contextualSpacing/>
      </w:pPr>
      <w:r w:rsidRPr="00473550">
        <w:t xml:space="preserve">Por lo que en etapa de manifestaciones el Sujeto Obligado rindió su informe justificado </w:t>
      </w:r>
      <w:r w:rsidR="00416374" w:rsidRPr="00473550">
        <w:t>mediante el archivo electrónico:</w:t>
      </w:r>
    </w:p>
    <w:p w:rsidR="00416374" w:rsidRPr="00473550" w:rsidRDefault="00416374" w:rsidP="00BD288A">
      <w:pPr>
        <w:pBdr>
          <w:top w:val="nil"/>
          <w:left w:val="nil"/>
          <w:bottom w:val="nil"/>
          <w:right w:val="nil"/>
          <w:between w:val="nil"/>
        </w:pBdr>
        <w:contextualSpacing/>
      </w:pPr>
    </w:p>
    <w:p w:rsidR="00B553F3" w:rsidRPr="00473550" w:rsidRDefault="00416374" w:rsidP="00416374">
      <w:pPr>
        <w:pStyle w:val="Prrafodelista"/>
        <w:numPr>
          <w:ilvl w:val="0"/>
          <w:numId w:val="2"/>
        </w:numPr>
        <w:pBdr>
          <w:top w:val="nil"/>
          <w:left w:val="nil"/>
          <w:bottom w:val="nil"/>
          <w:right w:val="nil"/>
          <w:between w:val="nil"/>
        </w:pBdr>
        <w:rPr>
          <w:rFonts w:eastAsia="Palatino Linotype" w:cs="Palatino Linotype"/>
          <w:color w:val="000000"/>
          <w:szCs w:val="24"/>
        </w:rPr>
      </w:pPr>
      <w:r w:rsidRPr="00473550">
        <w:rPr>
          <w:rFonts w:cs="Arial"/>
          <w:b/>
          <w:bCs/>
          <w:szCs w:val="24"/>
        </w:rPr>
        <w:t>INFORME JUSTIFICADO_UT_802.pdf</w:t>
      </w:r>
      <w:r w:rsidR="00B553F3" w:rsidRPr="00473550">
        <w:rPr>
          <w:rFonts w:cs="Arial"/>
          <w:b/>
          <w:bCs/>
          <w:szCs w:val="24"/>
        </w:rPr>
        <w:t xml:space="preserve">: </w:t>
      </w:r>
      <w:r w:rsidRPr="00473550">
        <w:rPr>
          <w:rFonts w:cs="Arial"/>
          <w:bCs/>
          <w:szCs w:val="24"/>
        </w:rPr>
        <w:t xml:space="preserve">Consta del oficio número 22800007010000S/2435/UT/2025, de fecha 6 de octubre de 2025, signado por el Titular de la Unidad, mediante el cual refiere que con el propósito de rendir el </w:t>
      </w:r>
      <w:r w:rsidRPr="00473550">
        <w:rPr>
          <w:rFonts w:cs="Arial"/>
          <w:bCs/>
          <w:szCs w:val="24"/>
        </w:rPr>
        <w:lastRenderedPageBreak/>
        <w:t>informe justificado en relación a las razones y motivos de inconformidad que pretende hacer valer el recurrente, al respecto informa que la Unidad de Transparencia de conformidad al procedimiento de acceso a la información hace entrega de una tabl</w:t>
      </w:r>
      <w:r w:rsidR="0075123C" w:rsidRPr="00473550">
        <w:rPr>
          <w:rFonts w:cs="Arial"/>
          <w:bCs/>
          <w:szCs w:val="24"/>
        </w:rPr>
        <w:t>a que contiene lo siguiente:</w:t>
      </w:r>
    </w:p>
    <w:p w:rsidR="007E61AC" w:rsidRPr="00473550" w:rsidRDefault="007E61AC" w:rsidP="007E61AC">
      <w:pPr>
        <w:pStyle w:val="Prrafodelista"/>
        <w:pBdr>
          <w:top w:val="nil"/>
          <w:left w:val="nil"/>
          <w:bottom w:val="nil"/>
          <w:right w:val="nil"/>
          <w:between w:val="nil"/>
        </w:pBdr>
        <w:rPr>
          <w:rFonts w:eastAsia="Palatino Linotype" w:cs="Palatino Linotype"/>
          <w:color w:val="000000"/>
          <w:szCs w:val="24"/>
        </w:rPr>
      </w:pPr>
    </w:p>
    <w:p w:rsidR="0075123C" w:rsidRPr="00473550" w:rsidRDefault="007E61AC" w:rsidP="00F24972">
      <w:pPr>
        <w:pStyle w:val="Prrafodelista"/>
        <w:numPr>
          <w:ilvl w:val="0"/>
          <w:numId w:val="7"/>
        </w:numPr>
        <w:pBdr>
          <w:top w:val="nil"/>
          <w:left w:val="nil"/>
          <w:bottom w:val="nil"/>
          <w:right w:val="nil"/>
          <w:between w:val="nil"/>
        </w:pBdr>
        <w:rPr>
          <w:rFonts w:eastAsia="Palatino Linotype" w:cs="Palatino Linotype"/>
          <w:color w:val="000000"/>
          <w:szCs w:val="24"/>
        </w:rPr>
      </w:pPr>
      <w:r w:rsidRPr="00473550">
        <w:rPr>
          <w:rFonts w:eastAsia="Palatino Linotype" w:cs="Palatino Linotype"/>
          <w:noProof/>
          <w:color w:val="000000"/>
          <w:szCs w:val="24"/>
          <w:lang w:val="es-MX"/>
        </w:rPr>
        <mc:AlternateContent>
          <mc:Choice Requires="wps">
            <w:drawing>
              <wp:anchor distT="0" distB="0" distL="114300" distR="114300" simplePos="0" relativeHeight="251659264" behindDoc="0" locked="0" layoutInCell="1" allowOverlap="1">
                <wp:simplePos x="0" y="0"/>
                <wp:positionH relativeFrom="column">
                  <wp:posOffset>97154</wp:posOffset>
                </wp:positionH>
                <wp:positionV relativeFrom="paragraph">
                  <wp:posOffset>2149474</wp:posOffset>
                </wp:positionV>
                <wp:extent cx="5762625" cy="3819525"/>
                <wp:effectExtent l="0" t="0" r="28575" b="28575"/>
                <wp:wrapNone/>
                <wp:docPr id="3" name="Conector recto 3"/>
                <wp:cNvGraphicFramePr/>
                <a:graphic xmlns:a="http://schemas.openxmlformats.org/drawingml/2006/main">
                  <a:graphicData uri="http://schemas.microsoft.com/office/word/2010/wordprocessingShape">
                    <wps:wsp>
                      <wps:cNvCnPr/>
                      <wps:spPr>
                        <a:xfrm>
                          <a:off x="0" y="0"/>
                          <a:ext cx="5762625" cy="381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39101425" id="Conector recto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65pt,169.25pt" to="461.4pt,4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" strokecolor="#5b9bd5 [3204]" strokeweight=".5pt">
                <v:stroke joinstyle="miter"/>
              </v:line>
            </w:pict>
          </mc:Fallback>
        </mc:AlternateContent>
      </w:r>
      <w:r w:rsidR="0075123C" w:rsidRPr="00473550">
        <w:rPr>
          <w:rFonts w:eastAsia="Palatino Linotype" w:cs="Palatino Linotype"/>
          <w:color w:val="000000"/>
          <w:szCs w:val="24"/>
        </w:rPr>
        <w:t>"...el organigrama vigente en versión pública corresponde a la extinta Dirección General de Cultura Física y Deporte, mismo que se encuentra en al Manual de Organización de la Secretaría de Educación, Ciencia, Tecnología e Innovación del Estado de México, ya que, el relativo al Instituto del Deporte del Estado de México, se encuentra en proceso de aprobación y publicación", se adjunta captura de pantalla a manera de ejemplo:</w:t>
      </w:r>
    </w:p>
    <w:p w:rsidR="0075123C" w:rsidRPr="00473550" w:rsidRDefault="0075123C" w:rsidP="0075123C">
      <w:pPr>
        <w:pBdr>
          <w:top w:val="nil"/>
          <w:left w:val="nil"/>
          <w:bottom w:val="nil"/>
          <w:right w:val="nil"/>
          <w:between w:val="nil"/>
        </w:pBdr>
        <w:jc w:val="center"/>
        <w:rPr>
          <w:rFonts w:eastAsia="Palatino Linotype" w:cs="Palatino Linotype"/>
          <w:color w:val="000000"/>
          <w:szCs w:val="24"/>
        </w:rPr>
      </w:pPr>
      <w:r w:rsidRPr="00473550">
        <w:rPr>
          <w:rFonts w:eastAsia="Palatino Linotype" w:cs="Palatino Linotype"/>
          <w:noProof/>
          <w:color w:val="000000"/>
          <w:szCs w:val="24"/>
          <w:lang w:val="es-MX"/>
        </w:rPr>
        <w:lastRenderedPageBreak/>
        <w:drawing>
          <wp:inline distT="0" distB="0" distL="0" distR="0" wp14:anchorId="020FF67A" wp14:editId="20E6DF54">
            <wp:extent cx="5095572" cy="4324350"/>
            <wp:effectExtent l="190500" t="190500" r="181610" b="19050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116232" cy="4341883"/>
                    </a:xfrm>
                    <a:prstGeom prst="rect">
                      <a:avLst/>
                    </a:prstGeom>
                    <a:ln>
                      <a:noFill/>
                    </a:ln>
                    <a:effectLst>
                      <a:outerShdw blurRad="190500" algn="tl" rotWithShape="0">
                        <a:srgbClr val="000000">
                          <a:alpha val="70000"/>
                        </a:srgbClr>
                      </a:outerShdw>
                    </a:effectLst>
                  </pic:spPr>
                </pic:pic>
              </a:graphicData>
            </a:graphic>
          </wp:inline>
        </w:drawing>
      </w:r>
    </w:p>
    <w:p w:rsidR="0075123C" w:rsidRPr="00473550" w:rsidRDefault="0075123C" w:rsidP="00F24972">
      <w:pPr>
        <w:pStyle w:val="Prrafodelista"/>
        <w:numPr>
          <w:ilvl w:val="0"/>
          <w:numId w:val="7"/>
        </w:numPr>
        <w:pBdr>
          <w:top w:val="nil"/>
          <w:left w:val="nil"/>
          <w:bottom w:val="nil"/>
          <w:right w:val="nil"/>
          <w:between w:val="nil"/>
        </w:pBdr>
        <w:rPr>
          <w:rFonts w:eastAsia="Palatino Linotype" w:cs="Palatino Linotype"/>
          <w:color w:val="000000"/>
          <w:szCs w:val="24"/>
        </w:rPr>
      </w:pPr>
      <w:r w:rsidRPr="00473550">
        <w:rPr>
          <w:rFonts w:eastAsia="Palatino Linotype" w:cs="Palatino Linotype"/>
          <w:color w:val="000000"/>
          <w:szCs w:val="24"/>
        </w:rPr>
        <w:t xml:space="preserve">Respecto al punto dos, "...a la fecha, dicha unida no se encuentra conformada ni reconocida formalmente dentro del organigrama vigente, en razón, de que las funciones asociadas a la misma son actualmente ejercidas por la Dirección General de Cultura Física y Deporte, tal como se establece en el citado Manual General de Organización,... No obstante dicha unidad se visualizará en el organigrama del Instituto, el cual se encontrará disponible en versión pública hasta que se hayan culminado los trámites </w:t>
      </w:r>
      <w:r w:rsidRPr="00473550">
        <w:rPr>
          <w:rFonts w:eastAsia="Palatino Linotype" w:cs="Palatino Linotype"/>
          <w:color w:val="000000"/>
          <w:szCs w:val="24"/>
        </w:rPr>
        <w:lastRenderedPageBreak/>
        <w:t>correspondientes de la transición de la Dirección General de Cultura Física y Deporte al Instituto del Deporte del Estado de México"</w:t>
      </w:r>
    </w:p>
    <w:p w:rsidR="0075123C" w:rsidRPr="00473550" w:rsidRDefault="0075123C" w:rsidP="00F24972">
      <w:pPr>
        <w:pStyle w:val="Prrafodelista"/>
        <w:numPr>
          <w:ilvl w:val="0"/>
          <w:numId w:val="7"/>
        </w:numPr>
        <w:pBdr>
          <w:top w:val="nil"/>
          <w:left w:val="nil"/>
          <w:bottom w:val="nil"/>
          <w:right w:val="nil"/>
          <w:between w:val="nil"/>
        </w:pBdr>
        <w:rPr>
          <w:rFonts w:eastAsia="Palatino Linotype" w:cs="Palatino Linotype"/>
          <w:color w:val="000000"/>
          <w:szCs w:val="24"/>
        </w:rPr>
      </w:pPr>
      <w:r w:rsidRPr="00473550">
        <w:rPr>
          <w:rFonts w:eastAsia="Palatino Linotype" w:cs="Palatino Linotype"/>
          <w:color w:val="000000"/>
          <w:szCs w:val="24"/>
        </w:rPr>
        <w:t xml:space="preserve">Por cuanto hace a la información referente al Servidor Público mencionado en la solicitud de información, "...este Instituto no mantiene relación laboral alguna con el C. </w:t>
      </w:r>
      <w:proofErr w:type="spellStart"/>
      <w:r w:rsidR="007E4269">
        <w:rPr>
          <w:rFonts w:eastAsia="Palatino Linotype" w:cs="Palatino Linotype"/>
          <w:color w:val="000000"/>
          <w:szCs w:val="24"/>
        </w:rPr>
        <w:t>xxxxxxxxxxxxxx</w:t>
      </w:r>
      <w:bookmarkStart w:id="0" w:name="_GoBack"/>
      <w:bookmarkEnd w:id="0"/>
      <w:proofErr w:type="spellEnd"/>
      <w:r w:rsidRPr="00473550">
        <w:rPr>
          <w:rFonts w:eastAsia="Palatino Linotype" w:cs="Palatino Linotype"/>
          <w:color w:val="000000"/>
          <w:szCs w:val="24"/>
        </w:rPr>
        <w:t>, por lo que nos encontramos imposibilitados para proporcionar información adicional al respecto"</w:t>
      </w:r>
    </w:p>
    <w:p w:rsidR="00416374" w:rsidRPr="00473550" w:rsidRDefault="00416374" w:rsidP="00BD288A">
      <w:pPr>
        <w:rPr>
          <w:rFonts w:cs="Arial"/>
          <w:szCs w:val="24"/>
        </w:rPr>
      </w:pPr>
    </w:p>
    <w:p w:rsidR="00D67405" w:rsidRPr="00473550" w:rsidRDefault="00D67405" w:rsidP="00BD288A">
      <w:pPr>
        <w:rPr>
          <w:rFonts w:eastAsia="Palatino Linotype" w:cs="Palatino Linotype"/>
          <w:color w:val="000000"/>
          <w:szCs w:val="24"/>
        </w:rPr>
      </w:pPr>
      <w:r w:rsidRPr="00473550">
        <w:rPr>
          <w:rFonts w:cs="Arial"/>
          <w:szCs w:val="24"/>
        </w:rPr>
        <w:t xml:space="preserve">Aunado a lo anterior es necesario mencionar que por cuanto hace al organigrama, el sujeto Obligado refirió que hace entrega </w:t>
      </w:r>
      <w:r w:rsidRPr="00473550">
        <w:rPr>
          <w:rFonts w:eastAsia="Palatino Linotype" w:cs="Palatino Linotype"/>
          <w:color w:val="000000"/>
          <w:szCs w:val="24"/>
        </w:rPr>
        <w:t>organigrama vigente en versión pública corresponde a la extinta Dirección General de Cultura Física y Deporte, mismo que se encuentra en al Manual de Organización de la Secretaría de Educación, Ciencia, Tecnología e Innovación del Estado de México, ya que, el relativo al Instituto del Deporte del Estado de México, se encuentra en proceso de aprobación y publicación, esto en virtud de que la solicitud fue realizada en fecha veintiocho de agosto de dos mil veinticinco, el organigrama vigente entregado en informe justificado es de fecha 18 de julio de 2024, tal como se muestra a manera de ejemplo en la siguiente imagen:</w:t>
      </w:r>
    </w:p>
    <w:p w:rsidR="00D67405" w:rsidRPr="00473550" w:rsidRDefault="00D67405" w:rsidP="00D67405">
      <w:pPr>
        <w:jc w:val="center"/>
        <w:rPr>
          <w:rFonts w:cs="Arial"/>
          <w:szCs w:val="24"/>
        </w:rPr>
      </w:pPr>
      <w:r w:rsidRPr="00473550">
        <w:rPr>
          <w:rFonts w:cs="Arial"/>
          <w:noProof/>
          <w:szCs w:val="24"/>
          <w:lang w:val="es-MX"/>
        </w:rPr>
        <w:drawing>
          <wp:inline distT="0" distB="0" distL="0" distR="0">
            <wp:extent cx="3063875" cy="712470"/>
            <wp:effectExtent l="190500" t="190500" r="193675" b="1828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3875" cy="712470"/>
                    </a:xfrm>
                    <a:prstGeom prst="rect">
                      <a:avLst/>
                    </a:prstGeom>
                    <a:ln>
                      <a:noFill/>
                    </a:ln>
                    <a:effectLst>
                      <a:outerShdw blurRad="190500" algn="tl" rotWithShape="0">
                        <a:srgbClr val="000000">
                          <a:alpha val="70000"/>
                        </a:srgbClr>
                      </a:outerShdw>
                    </a:effectLst>
                  </pic:spPr>
                </pic:pic>
              </a:graphicData>
            </a:graphic>
          </wp:inline>
        </w:drawing>
      </w:r>
    </w:p>
    <w:p w:rsidR="00D67405" w:rsidRPr="00473550" w:rsidRDefault="00D67405" w:rsidP="00BD288A">
      <w:pPr>
        <w:rPr>
          <w:rFonts w:cs="Arial"/>
          <w:szCs w:val="24"/>
        </w:rPr>
      </w:pPr>
      <w:r w:rsidRPr="00473550">
        <w:rPr>
          <w:rFonts w:cs="Arial"/>
          <w:szCs w:val="24"/>
        </w:rPr>
        <w:t xml:space="preserve">Finalmente, el organigrama </w:t>
      </w:r>
      <w:r w:rsidRPr="00473550">
        <w:rPr>
          <w:rFonts w:eastAsia="Palatino Linotype" w:cs="Palatino Linotype"/>
          <w:color w:val="000000"/>
          <w:szCs w:val="24"/>
        </w:rPr>
        <w:t>relativo al Instituto del Deporte del Estado de México</w:t>
      </w:r>
      <w:r w:rsidR="00582B37" w:rsidRPr="00473550">
        <w:rPr>
          <w:rFonts w:eastAsia="Palatino Linotype" w:cs="Palatino Linotype"/>
          <w:color w:val="000000"/>
          <w:szCs w:val="24"/>
        </w:rPr>
        <w:t xml:space="preserve"> se encuentra en el Manual General de Organización del Instituto del Deporte del Estado de México, aprobado en fecha 17 de febrero de 2026, por lo cual se hizo entrega de la información vigente al momento de la solicitud de información.</w:t>
      </w:r>
    </w:p>
    <w:p w:rsidR="00864BA3" w:rsidRPr="00473550" w:rsidRDefault="00864BA3" w:rsidP="00BD288A">
      <w:pPr>
        <w:rPr>
          <w:rFonts w:eastAsia="Times New Roman" w:cs="Times New Roman"/>
          <w:szCs w:val="24"/>
          <w:lang w:eastAsia="es-ES"/>
        </w:rPr>
      </w:pPr>
      <w:r w:rsidRPr="00473550">
        <w:rPr>
          <w:rFonts w:cs="Arial"/>
          <w:szCs w:val="24"/>
        </w:rPr>
        <w:lastRenderedPageBreak/>
        <w:t xml:space="preserve">En este tenor, es necesario subrayar que </w:t>
      </w:r>
      <w:r w:rsidRPr="00473550">
        <w:rPr>
          <w:rFonts w:eastAsia="Times New Roman" w:cs="Times New Roman"/>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rsidR="0075123C" w:rsidRPr="00473550" w:rsidRDefault="0075123C" w:rsidP="00BD288A">
      <w:pPr>
        <w:rPr>
          <w:rFonts w:eastAsia="Times New Roman" w:cs="Times New Roman"/>
          <w:szCs w:val="24"/>
          <w:lang w:eastAsia="es-ES"/>
        </w:rPr>
      </w:pPr>
    </w:p>
    <w:p w:rsidR="00864BA3" w:rsidRPr="00473550" w:rsidRDefault="00864BA3" w:rsidP="00BD288A">
      <w:pPr>
        <w:ind w:left="851" w:right="851"/>
        <w:rPr>
          <w:rFonts w:eastAsia="Times New Roman" w:cs="Times New Roman"/>
          <w:i/>
          <w:sz w:val="22"/>
          <w:lang w:eastAsia="es-ES"/>
        </w:rPr>
      </w:pPr>
      <w:r w:rsidRPr="00473550">
        <w:rPr>
          <w:rFonts w:eastAsia="Times New Roman" w:cs="Times New Roman"/>
          <w:b/>
          <w:i/>
          <w:lang w:eastAsia="es-ES"/>
        </w:rPr>
        <w:t>“</w:t>
      </w:r>
      <w:r w:rsidRPr="00473550">
        <w:rPr>
          <w:rFonts w:eastAsia="Times New Roman" w:cs="Times New Roman"/>
          <w:b/>
          <w:i/>
          <w:sz w:val="22"/>
          <w:lang w:eastAsia="es-ES"/>
        </w:rPr>
        <w:t>Artículo 4.</w:t>
      </w:r>
      <w:r w:rsidRPr="00473550">
        <w:rPr>
          <w:rFonts w:eastAsia="Times New Roman" w:cs="Times New Roman"/>
          <w:i/>
          <w:sz w:val="22"/>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rsidR="00864BA3" w:rsidRPr="00473550" w:rsidRDefault="00864BA3" w:rsidP="00BD288A">
      <w:pPr>
        <w:ind w:left="851" w:right="851"/>
        <w:rPr>
          <w:rFonts w:eastAsia="Times New Roman" w:cs="Times New Roman"/>
          <w:i/>
          <w:sz w:val="22"/>
          <w:lang w:eastAsia="es-ES"/>
        </w:rPr>
      </w:pPr>
      <w:r w:rsidRPr="00473550">
        <w:rPr>
          <w:rFonts w:eastAsia="Times New Roman" w:cs="Times New Roman"/>
          <w:i/>
          <w:sz w:val="22"/>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864BA3" w:rsidRPr="00473550" w:rsidRDefault="00864BA3" w:rsidP="00BD288A">
      <w:pPr>
        <w:ind w:left="851" w:right="851"/>
        <w:rPr>
          <w:rFonts w:eastAsia="Times New Roman" w:cs="Times New Roman"/>
          <w:i/>
          <w:sz w:val="22"/>
          <w:lang w:eastAsia="es-ES"/>
        </w:rPr>
      </w:pPr>
      <w:r w:rsidRPr="00473550">
        <w:rPr>
          <w:rFonts w:eastAsia="Times New Roman" w:cs="Times New Roman"/>
          <w:i/>
          <w:sz w:val="22"/>
          <w:lang w:eastAsia="es-ES"/>
        </w:rPr>
        <w:t>Los sujetos obligados deben poner en práctica, políticas y programas de acceso a la información que se apeguen a criterios de publicidad, veracidad, oportunidad, precisión y suficiencia en beneficio de los solicitantes.</w:t>
      </w:r>
    </w:p>
    <w:p w:rsidR="00864BA3" w:rsidRPr="00473550" w:rsidRDefault="00864BA3" w:rsidP="00BD288A">
      <w:pPr>
        <w:ind w:left="851" w:right="851"/>
        <w:rPr>
          <w:rFonts w:eastAsia="Times New Roman" w:cs="Times New Roman"/>
          <w:i/>
          <w:sz w:val="22"/>
          <w:lang w:eastAsia="es-ES"/>
        </w:rPr>
      </w:pPr>
      <w:r w:rsidRPr="00473550">
        <w:rPr>
          <w:rFonts w:eastAsia="Times New Roman" w:cs="Times New Roman"/>
          <w:b/>
          <w:i/>
          <w:sz w:val="22"/>
          <w:lang w:eastAsia="es-ES"/>
        </w:rPr>
        <w:t>Artículo 12.</w:t>
      </w:r>
      <w:r w:rsidRPr="00473550">
        <w:rPr>
          <w:rFonts w:eastAsia="Times New Roman" w:cs="Times New Roman"/>
          <w:i/>
          <w:sz w:val="22"/>
          <w:lang w:eastAsia="es-ES"/>
        </w:rPr>
        <w:t xml:space="preserve"> Quienes generen, recopilen, administren, manejen, procesen, archiven o conserven información pública serán responsables de la misma en los términos de las disposiciones jurídicas aplicables.</w:t>
      </w:r>
    </w:p>
    <w:p w:rsidR="00864BA3" w:rsidRPr="00473550" w:rsidRDefault="00864BA3" w:rsidP="00BD288A">
      <w:pPr>
        <w:ind w:left="851" w:right="851"/>
        <w:rPr>
          <w:rFonts w:eastAsia="Times New Roman" w:cs="Times New Roman"/>
          <w:i/>
          <w:sz w:val="22"/>
          <w:lang w:eastAsia="es-ES"/>
        </w:rPr>
      </w:pPr>
      <w:r w:rsidRPr="00473550">
        <w:rPr>
          <w:rFonts w:eastAsia="Times New Roman" w:cs="Times New Roman"/>
          <w:i/>
          <w:sz w:val="22"/>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w:t>
      </w:r>
      <w:r w:rsidRPr="00473550">
        <w:rPr>
          <w:rFonts w:eastAsia="Times New Roman" w:cs="Times New Roman"/>
          <w:i/>
          <w:sz w:val="22"/>
          <w:lang w:eastAsia="es-ES"/>
        </w:rPr>
        <w:lastRenderedPageBreak/>
        <w:t xml:space="preserve">conforme al interés del solicitante; no estarán obligados a generarla, resumirla, efectuar cálculos o practicar investigaciones. </w:t>
      </w:r>
    </w:p>
    <w:p w:rsidR="00864BA3" w:rsidRPr="00473550" w:rsidRDefault="00864BA3" w:rsidP="00BD288A">
      <w:pPr>
        <w:ind w:left="851" w:right="851"/>
        <w:rPr>
          <w:rFonts w:eastAsia="Times New Roman" w:cs="Times New Roman"/>
          <w:i/>
          <w:sz w:val="22"/>
          <w:lang w:eastAsia="es-ES"/>
        </w:rPr>
      </w:pPr>
      <w:r w:rsidRPr="00473550">
        <w:rPr>
          <w:rFonts w:eastAsia="Times New Roman" w:cs="Times New Roman"/>
          <w:i/>
          <w:sz w:val="22"/>
          <w:lang w:eastAsia="es-ES"/>
        </w:rPr>
        <w:t>(…)</w:t>
      </w:r>
    </w:p>
    <w:p w:rsidR="00864BA3" w:rsidRPr="00473550" w:rsidRDefault="00864BA3" w:rsidP="00BD288A">
      <w:pPr>
        <w:ind w:left="851" w:right="851"/>
        <w:rPr>
          <w:rFonts w:eastAsia="Times New Roman" w:cs="Times New Roman"/>
          <w:b/>
          <w:i/>
          <w:sz w:val="22"/>
          <w:lang w:eastAsia="es-ES"/>
        </w:rPr>
      </w:pPr>
      <w:r w:rsidRPr="00473550">
        <w:rPr>
          <w:rFonts w:eastAsia="Times New Roman" w:cs="Times New Roman"/>
          <w:b/>
          <w:i/>
          <w:sz w:val="22"/>
          <w:lang w:eastAsia="es-ES"/>
        </w:rPr>
        <w:t xml:space="preserve">Artículo 24. </w:t>
      </w:r>
    </w:p>
    <w:p w:rsidR="00864BA3" w:rsidRPr="00473550" w:rsidRDefault="00864BA3" w:rsidP="00BD288A">
      <w:pPr>
        <w:ind w:left="851" w:right="851"/>
        <w:rPr>
          <w:rFonts w:eastAsia="Times New Roman" w:cs="Times New Roman"/>
          <w:i/>
          <w:sz w:val="22"/>
          <w:lang w:eastAsia="es-ES"/>
        </w:rPr>
      </w:pPr>
      <w:r w:rsidRPr="00473550">
        <w:rPr>
          <w:rFonts w:eastAsia="Times New Roman" w:cs="Times New Roman"/>
          <w:i/>
          <w:sz w:val="22"/>
          <w:lang w:eastAsia="es-ES"/>
        </w:rPr>
        <w:t>(…)</w:t>
      </w:r>
    </w:p>
    <w:p w:rsidR="00864BA3" w:rsidRPr="00473550" w:rsidRDefault="00864BA3" w:rsidP="00BD288A">
      <w:pPr>
        <w:ind w:left="851" w:right="851"/>
        <w:rPr>
          <w:rFonts w:eastAsia="Times New Roman" w:cs="Times New Roman"/>
          <w:i/>
          <w:sz w:val="22"/>
          <w:lang w:eastAsia="es-ES"/>
        </w:rPr>
      </w:pPr>
      <w:r w:rsidRPr="00473550">
        <w:rPr>
          <w:rFonts w:eastAsia="Times New Roman" w:cs="Times New Roman"/>
          <w:i/>
          <w:sz w:val="22"/>
          <w:lang w:eastAsia="es-ES"/>
        </w:rPr>
        <w:t>Los sujetos obligados solo proporcionarán la información pública que generen, administren o posean en el ejercicio de sus atribuciones.”</w:t>
      </w:r>
    </w:p>
    <w:p w:rsidR="00864BA3" w:rsidRPr="00473550" w:rsidRDefault="00864BA3" w:rsidP="00BD288A">
      <w:pPr>
        <w:ind w:left="851" w:right="851"/>
        <w:rPr>
          <w:rFonts w:eastAsia="Times New Roman" w:cs="Times New Roman"/>
          <w:i/>
          <w:sz w:val="22"/>
          <w:lang w:eastAsia="es-ES"/>
        </w:rPr>
      </w:pPr>
      <w:r w:rsidRPr="00473550">
        <w:rPr>
          <w:rFonts w:eastAsia="Times New Roman" w:cs="Times New Roman"/>
          <w:i/>
          <w:sz w:val="22"/>
          <w:lang w:eastAsia="es-ES"/>
        </w:rPr>
        <w:t>(…)</w:t>
      </w:r>
    </w:p>
    <w:p w:rsidR="00864BA3" w:rsidRPr="00473550" w:rsidRDefault="00864BA3" w:rsidP="00BD288A">
      <w:pPr>
        <w:ind w:left="851" w:right="851"/>
        <w:rPr>
          <w:rFonts w:eastAsia="Times New Roman" w:cs="Times New Roman"/>
          <w:i/>
          <w:sz w:val="22"/>
          <w:lang w:eastAsia="es-ES"/>
        </w:rPr>
      </w:pPr>
      <w:r w:rsidRPr="00473550">
        <w:rPr>
          <w:rFonts w:eastAsia="Times New Roman" w:cs="Times New Roman"/>
          <w:b/>
          <w:i/>
          <w:sz w:val="22"/>
          <w:lang w:eastAsia="es-ES"/>
        </w:rPr>
        <w:t>Artículo 160.</w:t>
      </w:r>
      <w:r w:rsidRPr="00473550">
        <w:rPr>
          <w:rFonts w:eastAsia="Times New Roman" w:cs="Times New Roman"/>
          <w:i/>
          <w:sz w:val="22"/>
          <w:lang w:eastAsia="es-ES"/>
        </w:rPr>
        <w:t xml:space="preserve"> Los sujetos obligados deberán otorgar acceso a los documentos que se </w:t>
      </w:r>
      <w:r w:rsidRPr="00473550">
        <w:rPr>
          <w:rFonts w:eastAsia="Times New Roman" w:cs="Times New Roman"/>
          <w:b/>
          <w:i/>
          <w:sz w:val="22"/>
          <w:lang w:eastAsia="es-ES"/>
        </w:rPr>
        <w:t xml:space="preserve"> </w:t>
      </w:r>
      <w:r w:rsidRPr="00473550">
        <w:rPr>
          <w:rFonts w:eastAsia="Times New Roman" w:cs="Times New Roman"/>
          <w:i/>
          <w:sz w:val="22"/>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rsidR="00864BA3" w:rsidRPr="00473550" w:rsidRDefault="00864BA3" w:rsidP="00BD288A">
      <w:pPr>
        <w:ind w:left="851" w:right="851"/>
        <w:rPr>
          <w:rFonts w:eastAsia="Times New Roman" w:cs="Times New Roman"/>
          <w:b/>
          <w:i/>
          <w:sz w:val="22"/>
          <w:lang w:eastAsia="es-ES"/>
        </w:rPr>
      </w:pPr>
      <w:r w:rsidRPr="00473550">
        <w:rPr>
          <w:rFonts w:eastAsia="Times New Roman" w:cs="Times New Roman"/>
          <w:i/>
          <w:sz w:val="22"/>
          <w:lang w:eastAsia="es-ES"/>
        </w:rPr>
        <w:t>En caso que la información solicitada consista en bases de datos se deberá privilegiar la entrega de la misma en formatos abiertos.”</w:t>
      </w:r>
      <w:r w:rsidRPr="00473550">
        <w:rPr>
          <w:rFonts w:eastAsia="Times New Roman" w:cs="Times New Roman"/>
          <w:b/>
          <w:i/>
          <w:sz w:val="22"/>
          <w:lang w:eastAsia="es-ES"/>
        </w:rPr>
        <w:t>[Sic]</w:t>
      </w:r>
    </w:p>
    <w:p w:rsidR="00864BA3" w:rsidRPr="00473550" w:rsidRDefault="00864BA3" w:rsidP="00BD288A">
      <w:pPr>
        <w:rPr>
          <w:rFonts w:eastAsia="Times New Roman" w:cs="Times New Roman"/>
          <w:szCs w:val="24"/>
          <w:lang w:eastAsia="es-ES"/>
        </w:rPr>
      </w:pPr>
    </w:p>
    <w:p w:rsidR="00864BA3" w:rsidRPr="00473550" w:rsidRDefault="00864BA3" w:rsidP="00BD288A">
      <w:pPr>
        <w:rPr>
          <w:rFonts w:eastAsia="Times New Roman" w:cs="Times New Roman"/>
          <w:szCs w:val="24"/>
          <w:lang w:eastAsia="es-ES"/>
        </w:rPr>
      </w:pPr>
      <w:r w:rsidRPr="00473550">
        <w:rPr>
          <w:rFonts w:eastAsia="Times New Roman" w:cs="Times New Roman"/>
          <w:szCs w:val="24"/>
          <w:lang w:eastAsia="es-ES"/>
        </w:rPr>
        <w:t xml:space="preserve">Así que la obligación de los </w:t>
      </w:r>
      <w:r w:rsidRPr="00473550">
        <w:rPr>
          <w:rFonts w:eastAsia="Times New Roman" w:cs="Times New Roman"/>
          <w:b/>
          <w:szCs w:val="24"/>
          <w:lang w:eastAsia="es-ES"/>
        </w:rPr>
        <w:t>Sujetos Obligados</w:t>
      </w:r>
      <w:r w:rsidRPr="00473550">
        <w:rPr>
          <w:rFonts w:eastAsia="Times New Roman" w:cs="Times New Roman"/>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473550">
        <w:rPr>
          <w:rFonts w:eastAsia="Times New Roman" w:cs="Times New Roman"/>
          <w:bCs/>
          <w:szCs w:val="24"/>
          <w:lang w:eastAsia="es-ES"/>
        </w:rPr>
        <w:t>de la Ley local en la materia, que se reproduce de la siguiente forma</w:t>
      </w:r>
      <w:r w:rsidRPr="00473550">
        <w:rPr>
          <w:rFonts w:eastAsia="Times New Roman" w:cs="Times New Roman"/>
          <w:szCs w:val="24"/>
          <w:lang w:eastAsia="es-ES"/>
        </w:rPr>
        <w:t>:</w:t>
      </w:r>
    </w:p>
    <w:p w:rsidR="0014650C" w:rsidRPr="00473550" w:rsidRDefault="0014650C" w:rsidP="00BD288A">
      <w:pPr>
        <w:rPr>
          <w:rFonts w:eastAsia="Times New Roman" w:cs="Times New Roman"/>
          <w:szCs w:val="24"/>
          <w:lang w:eastAsia="es-ES"/>
        </w:rPr>
      </w:pPr>
    </w:p>
    <w:p w:rsidR="00864BA3" w:rsidRPr="00473550" w:rsidRDefault="00864BA3" w:rsidP="00BD288A">
      <w:pPr>
        <w:ind w:left="851" w:right="851"/>
        <w:rPr>
          <w:rFonts w:eastAsia="Times New Roman" w:cs="Arial"/>
          <w:b/>
          <w:i/>
          <w:sz w:val="22"/>
          <w:lang w:eastAsia="es-ES"/>
        </w:rPr>
      </w:pPr>
      <w:r w:rsidRPr="00473550">
        <w:rPr>
          <w:rFonts w:eastAsia="Times New Roman" w:cs="Arial"/>
          <w:i/>
          <w:sz w:val="22"/>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473550">
        <w:rPr>
          <w:rFonts w:eastAsia="Times New Roman" w:cs="Arial"/>
          <w:b/>
          <w:i/>
          <w:sz w:val="22"/>
          <w:lang w:eastAsia="es-ES"/>
        </w:rPr>
        <w:t>[Sic]</w:t>
      </w:r>
    </w:p>
    <w:p w:rsidR="00864BA3" w:rsidRPr="00473550" w:rsidRDefault="00864BA3" w:rsidP="00BD288A">
      <w:pPr>
        <w:pBdr>
          <w:top w:val="nil"/>
          <w:left w:val="nil"/>
          <w:bottom w:val="nil"/>
          <w:right w:val="nil"/>
          <w:between w:val="nil"/>
        </w:pBdr>
        <w:contextualSpacing/>
      </w:pPr>
    </w:p>
    <w:p w:rsidR="00B553F3" w:rsidRPr="00473550" w:rsidRDefault="00B553F3" w:rsidP="00BD288A">
      <w:pPr>
        <w:rPr>
          <w:rFonts w:cs="Arial"/>
          <w:color w:val="000000"/>
          <w:szCs w:val="24"/>
        </w:rPr>
      </w:pPr>
      <w:r w:rsidRPr="00473550">
        <w:rPr>
          <w:szCs w:val="24"/>
        </w:rPr>
        <w:t xml:space="preserve">Bajo ese contexto, es preciso señalar que respecto lo requerido </w:t>
      </w:r>
      <w:r w:rsidRPr="00473550">
        <w:rPr>
          <w:color w:val="000000"/>
          <w:szCs w:val="24"/>
        </w:rPr>
        <w:t xml:space="preserve">es necesario señalar que nos referiremos a la estructura orgánica, el derecho positivo vigente en materia de acceso a la información pública establece tal conceptualización como estructura orgánica, como se puede apreciar a continuación: </w:t>
      </w:r>
      <w:r w:rsidRPr="00473550">
        <w:rPr>
          <w:rFonts w:cs="Arial"/>
          <w:szCs w:val="24"/>
        </w:rPr>
        <w:t xml:space="preserve">Ley de </w:t>
      </w:r>
      <w:r w:rsidRPr="00473550">
        <w:rPr>
          <w:rFonts w:cs="Arial"/>
          <w:color w:val="000000"/>
          <w:szCs w:val="24"/>
        </w:rPr>
        <w:t>Transparencia y Acceso a la Información Pública del Estado de México y Municipios:</w:t>
      </w:r>
    </w:p>
    <w:p w:rsidR="0014650C" w:rsidRPr="00473550" w:rsidRDefault="0014650C" w:rsidP="00BD288A">
      <w:pPr>
        <w:rPr>
          <w:szCs w:val="24"/>
        </w:rPr>
      </w:pPr>
    </w:p>
    <w:p w:rsidR="00B553F3" w:rsidRPr="00473550" w:rsidRDefault="00B553F3" w:rsidP="00BD288A">
      <w:pPr>
        <w:shd w:val="clear" w:color="auto" w:fill="FFFFFF" w:themeFill="background1"/>
        <w:autoSpaceDE w:val="0"/>
        <w:autoSpaceDN w:val="0"/>
        <w:adjustRightInd w:val="0"/>
        <w:spacing w:line="240" w:lineRule="auto"/>
        <w:ind w:left="567" w:right="567"/>
        <w:rPr>
          <w:i/>
          <w:color w:val="000000"/>
          <w:sz w:val="22"/>
        </w:rPr>
      </w:pPr>
      <w:r w:rsidRPr="00473550">
        <w:rPr>
          <w:i/>
          <w:color w:val="000000"/>
          <w:sz w:val="22"/>
        </w:rPr>
        <w:t>“</w:t>
      </w:r>
      <w:r w:rsidRPr="00473550">
        <w:rPr>
          <w:b/>
          <w:i/>
          <w:color w:val="000000"/>
          <w:sz w:val="22"/>
        </w:rPr>
        <w:t>Artículo 92</w:t>
      </w:r>
      <w:r w:rsidRPr="00473550">
        <w:rPr>
          <w:i/>
          <w:color w:val="000000"/>
          <w:sz w:val="22"/>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B553F3" w:rsidRPr="00473550" w:rsidRDefault="00B553F3" w:rsidP="00BD288A">
      <w:pPr>
        <w:shd w:val="clear" w:color="auto" w:fill="FFFFFF" w:themeFill="background1"/>
        <w:autoSpaceDE w:val="0"/>
        <w:autoSpaceDN w:val="0"/>
        <w:adjustRightInd w:val="0"/>
        <w:spacing w:line="240" w:lineRule="auto"/>
        <w:ind w:left="567" w:right="567"/>
        <w:rPr>
          <w:i/>
          <w:color w:val="000000"/>
          <w:sz w:val="22"/>
        </w:rPr>
      </w:pPr>
      <w:r w:rsidRPr="00473550">
        <w:rPr>
          <w:i/>
          <w:color w:val="000000"/>
          <w:sz w:val="22"/>
        </w:rPr>
        <w:t>…</w:t>
      </w:r>
    </w:p>
    <w:p w:rsidR="00502AB3" w:rsidRPr="00473550" w:rsidRDefault="00502AB3" w:rsidP="00BD288A">
      <w:pPr>
        <w:shd w:val="clear" w:color="auto" w:fill="FFFFFF" w:themeFill="background1"/>
        <w:autoSpaceDE w:val="0"/>
        <w:autoSpaceDN w:val="0"/>
        <w:adjustRightInd w:val="0"/>
        <w:spacing w:line="240" w:lineRule="auto"/>
        <w:ind w:left="567" w:right="567"/>
        <w:rPr>
          <w:i/>
          <w:color w:val="000000"/>
          <w:sz w:val="22"/>
        </w:rPr>
      </w:pPr>
    </w:p>
    <w:p w:rsidR="00B553F3" w:rsidRPr="00473550" w:rsidRDefault="00B553F3" w:rsidP="00BD288A">
      <w:pPr>
        <w:shd w:val="clear" w:color="auto" w:fill="FFFFFF" w:themeFill="background1"/>
        <w:autoSpaceDE w:val="0"/>
        <w:autoSpaceDN w:val="0"/>
        <w:adjustRightInd w:val="0"/>
        <w:spacing w:line="240" w:lineRule="auto"/>
        <w:ind w:left="567" w:right="567"/>
        <w:rPr>
          <w:i/>
          <w:color w:val="000000"/>
          <w:sz w:val="22"/>
        </w:rPr>
      </w:pPr>
      <w:r w:rsidRPr="00473550">
        <w:rPr>
          <w:i/>
          <w:color w:val="000000"/>
          <w:sz w:val="22"/>
        </w:rPr>
        <w:t>II.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jurídicas aplicables;”</w:t>
      </w:r>
    </w:p>
    <w:p w:rsidR="00B553F3" w:rsidRPr="00473550" w:rsidRDefault="00B553F3" w:rsidP="00BD288A">
      <w:pPr>
        <w:rPr>
          <w:rFonts w:cs="Arial"/>
          <w:szCs w:val="24"/>
        </w:rPr>
      </w:pPr>
    </w:p>
    <w:p w:rsidR="00B553F3" w:rsidRPr="00473550" w:rsidRDefault="00B553F3" w:rsidP="00BD288A">
      <w:pPr>
        <w:rPr>
          <w:rFonts w:cs="Arial"/>
          <w:szCs w:val="24"/>
        </w:rPr>
      </w:pPr>
      <w:r w:rsidRPr="00473550">
        <w:rPr>
          <w:rFonts w:cs="Arial"/>
          <w:szCs w:val="24"/>
        </w:rPr>
        <w:t>Como podemos apreciar la publicación de la estructura orgánica es una obligación que el Sujeto Obligado debe observar en todo momento, y procurar que en la página se encuentre disponible para el público en general.</w:t>
      </w:r>
    </w:p>
    <w:p w:rsidR="00B553F3" w:rsidRPr="00473550" w:rsidRDefault="00B553F3" w:rsidP="00BD288A">
      <w:pPr>
        <w:rPr>
          <w:rFonts w:cs="Arial"/>
          <w:szCs w:val="24"/>
        </w:rPr>
      </w:pPr>
    </w:p>
    <w:p w:rsidR="00B553F3" w:rsidRPr="00473550" w:rsidRDefault="00B553F3" w:rsidP="00BD288A">
      <w:pPr>
        <w:rPr>
          <w:rFonts w:cs="Arial"/>
          <w:szCs w:val="24"/>
        </w:rPr>
      </w:pPr>
      <w:r w:rsidRPr="00473550">
        <w:rPr>
          <w:rFonts w:cs="Arial"/>
          <w:szCs w:val="24"/>
        </w:rPr>
        <w:t xml:space="preserve">Por otro lado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w:t>
      </w:r>
      <w:r w:rsidRPr="00473550">
        <w:rPr>
          <w:rFonts w:cs="Arial"/>
          <w:szCs w:val="24"/>
        </w:rPr>
        <w:lastRenderedPageBreak/>
        <w:t>internet y en la Plataforma Nacional de Transparencia, respecto de la fracción II, (es</w:t>
      </w:r>
      <w:r w:rsidR="00502AB3" w:rsidRPr="00473550">
        <w:rPr>
          <w:rFonts w:cs="Arial"/>
          <w:szCs w:val="24"/>
        </w:rPr>
        <w:t xml:space="preserve">tructura orgánica), establece: </w:t>
      </w:r>
    </w:p>
    <w:p w:rsidR="0014650C" w:rsidRPr="00473550" w:rsidRDefault="0014650C" w:rsidP="00BD288A">
      <w:pPr>
        <w:rPr>
          <w:rFonts w:cs="Arial"/>
          <w:szCs w:val="24"/>
        </w:rPr>
      </w:pPr>
    </w:p>
    <w:p w:rsidR="00B553F3" w:rsidRPr="00473550" w:rsidRDefault="00B553F3" w:rsidP="00BD288A">
      <w:pPr>
        <w:shd w:val="clear" w:color="auto" w:fill="FFFFFF" w:themeFill="background1"/>
        <w:autoSpaceDE w:val="0"/>
        <w:autoSpaceDN w:val="0"/>
        <w:adjustRightInd w:val="0"/>
        <w:spacing w:line="240" w:lineRule="auto"/>
        <w:ind w:left="567" w:right="567"/>
        <w:rPr>
          <w:i/>
          <w:color w:val="000000"/>
          <w:sz w:val="22"/>
        </w:rPr>
      </w:pPr>
      <w:r w:rsidRPr="00473550">
        <w:rPr>
          <w:i/>
          <w:color w:val="000000"/>
          <w:sz w:val="22"/>
        </w:rPr>
        <w:t xml:space="preserve">II.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aplicables </w:t>
      </w:r>
    </w:p>
    <w:p w:rsidR="00B553F3" w:rsidRPr="00473550" w:rsidRDefault="00B553F3" w:rsidP="00BD288A">
      <w:pPr>
        <w:shd w:val="clear" w:color="auto" w:fill="FFFFFF" w:themeFill="background1"/>
        <w:autoSpaceDE w:val="0"/>
        <w:autoSpaceDN w:val="0"/>
        <w:adjustRightInd w:val="0"/>
        <w:spacing w:line="240" w:lineRule="auto"/>
        <w:ind w:left="567" w:right="567"/>
        <w:rPr>
          <w:i/>
          <w:color w:val="000000"/>
          <w:sz w:val="22"/>
        </w:rPr>
      </w:pPr>
    </w:p>
    <w:p w:rsidR="00B553F3" w:rsidRPr="00473550" w:rsidRDefault="00B553F3" w:rsidP="00BD288A">
      <w:pPr>
        <w:shd w:val="clear" w:color="auto" w:fill="FFFFFF" w:themeFill="background1"/>
        <w:autoSpaceDE w:val="0"/>
        <w:autoSpaceDN w:val="0"/>
        <w:adjustRightInd w:val="0"/>
        <w:spacing w:line="240" w:lineRule="auto"/>
        <w:ind w:left="567" w:right="567"/>
        <w:rPr>
          <w:i/>
          <w:color w:val="000000"/>
          <w:sz w:val="22"/>
        </w:rPr>
      </w:pPr>
    </w:p>
    <w:p w:rsidR="00B553F3" w:rsidRPr="00473550" w:rsidRDefault="00B553F3" w:rsidP="00BD288A">
      <w:pPr>
        <w:shd w:val="clear" w:color="auto" w:fill="FFFFFF" w:themeFill="background1"/>
        <w:autoSpaceDE w:val="0"/>
        <w:autoSpaceDN w:val="0"/>
        <w:adjustRightInd w:val="0"/>
        <w:spacing w:line="240" w:lineRule="auto"/>
        <w:ind w:left="567" w:right="567"/>
        <w:rPr>
          <w:i/>
          <w:color w:val="000000"/>
          <w:sz w:val="22"/>
        </w:rPr>
      </w:pPr>
      <w:r w:rsidRPr="00473550">
        <w:rPr>
          <w:i/>
          <w:color w:val="000000"/>
          <w:sz w:val="22"/>
        </w:rPr>
        <w:t xml:space="preserve">El sujeto obligado incluirá la estructura orgánica que da cuenta de la distribución y orden de las funciones que se establecen para el cumplimiento de sus objetivos conforme a criterios de jerarquía y especialización, ordenados y codificados cuando así corresponda, mediante los catálogos de Áreas y de clave o nivel del puesto, de tal forma que sea posible visualizar los niveles jerárquicos y sus relaciones de dependencia de acuerdo con el estatuto orgánico u otro ordenamiento que le aplique. </w:t>
      </w:r>
    </w:p>
    <w:p w:rsidR="00B553F3" w:rsidRPr="00473550" w:rsidRDefault="00B553F3" w:rsidP="00BD288A">
      <w:pPr>
        <w:shd w:val="clear" w:color="auto" w:fill="FFFFFF" w:themeFill="background1"/>
        <w:autoSpaceDE w:val="0"/>
        <w:autoSpaceDN w:val="0"/>
        <w:adjustRightInd w:val="0"/>
        <w:spacing w:line="240" w:lineRule="auto"/>
        <w:ind w:left="567" w:right="567"/>
        <w:rPr>
          <w:i/>
          <w:color w:val="000000"/>
          <w:sz w:val="22"/>
        </w:rPr>
      </w:pPr>
    </w:p>
    <w:p w:rsidR="00B553F3" w:rsidRPr="00473550" w:rsidRDefault="00B553F3" w:rsidP="00BD288A">
      <w:pPr>
        <w:shd w:val="clear" w:color="auto" w:fill="FFFFFF" w:themeFill="background1"/>
        <w:autoSpaceDE w:val="0"/>
        <w:autoSpaceDN w:val="0"/>
        <w:adjustRightInd w:val="0"/>
        <w:spacing w:line="240" w:lineRule="auto"/>
        <w:ind w:left="567" w:right="567"/>
        <w:rPr>
          <w:i/>
          <w:color w:val="000000"/>
          <w:sz w:val="22"/>
        </w:rPr>
      </w:pPr>
      <w:r w:rsidRPr="00473550">
        <w:rPr>
          <w:i/>
          <w:color w:val="000000"/>
          <w:sz w:val="22"/>
        </w:rPr>
        <w:t xml:space="preserve">Se deberá publicar la estructura vigente, es decir, la que está en operación en el sujeto obligado y ha sido aprobada y/o dictaminada por la autoridad competente. En aquellos casos en los que dicha estructura no corresponda con la funcional, deberá especificarse cuáles puestos se encuentran en tránsito de aprobación por parte de las autoridades competentes. Si la estructura aprobada se modifica, los sujetos obligados deberán aclarar mediante leyenda fundamentada, motivada y actualizada al periodo que corresponda, cuáles son las áreas de reciente creación, las que cambiaron de denominación (anterior y actual) y aquéllas que desaparecieron. Esta leyenda se conservará durante un trimestre, el cual empezará a contar a partir de la actualización de la fracción. </w:t>
      </w:r>
    </w:p>
    <w:p w:rsidR="00B553F3" w:rsidRPr="00473550" w:rsidRDefault="00B553F3" w:rsidP="00BD288A">
      <w:pPr>
        <w:shd w:val="clear" w:color="auto" w:fill="FFFFFF" w:themeFill="background1"/>
        <w:autoSpaceDE w:val="0"/>
        <w:autoSpaceDN w:val="0"/>
        <w:adjustRightInd w:val="0"/>
        <w:spacing w:line="240" w:lineRule="auto"/>
        <w:ind w:left="567" w:right="567"/>
        <w:rPr>
          <w:i/>
          <w:color w:val="000000"/>
          <w:sz w:val="22"/>
        </w:rPr>
      </w:pPr>
    </w:p>
    <w:p w:rsidR="00B553F3" w:rsidRPr="00473550" w:rsidRDefault="00B553F3" w:rsidP="00BD288A">
      <w:pPr>
        <w:shd w:val="clear" w:color="auto" w:fill="FFFFFF" w:themeFill="background1"/>
        <w:autoSpaceDE w:val="0"/>
        <w:autoSpaceDN w:val="0"/>
        <w:adjustRightInd w:val="0"/>
        <w:spacing w:line="240" w:lineRule="auto"/>
        <w:ind w:left="567" w:right="567"/>
        <w:rPr>
          <w:i/>
          <w:color w:val="000000"/>
          <w:sz w:val="22"/>
        </w:rPr>
      </w:pPr>
      <w:r w:rsidRPr="00473550">
        <w:rPr>
          <w:i/>
          <w:color w:val="000000"/>
          <w:sz w:val="22"/>
        </w:rPr>
        <w:t>Los sujetos obligados que no tengan estructura orgánica autorizada deberán incluir una leyenda fundamentada, motivada y actualizada al periodo que corresponda, que explique la situación del sujeto obligado.</w:t>
      </w:r>
    </w:p>
    <w:p w:rsidR="00B553F3" w:rsidRPr="00473550" w:rsidRDefault="00B553F3" w:rsidP="00BD288A">
      <w:pPr>
        <w:shd w:val="clear" w:color="auto" w:fill="FFFFFF" w:themeFill="background1"/>
        <w:autoSpaceDE w:val="0"/>
        <w:autoSpaceDN w:val="0"/>
        <w:adjustRightInd w:val="0"/>
        <w:spacing w:line="240" w:lineRule="auto"/>
        <w:ind w:left="567" w:right="567"/>
        <w:rPr>
          <w:i/>
          <w:color w:val="000000"/>
          <w:sz w:val="22"/>
        </w:rPr>
      </w:pPr>
      <w:r w:rsidRPr="00473550">
        <w:rPr>
          <w:i/>
          <w:color w:val="000000"/>
          <w:sz w:val="22"/>
        </w:rPr>
        <w:t>…</w:t>
      </w:r>
    </w:p>
    <w:p w:rsidR="00502AB3" w:rsidRPr="00473550" w:rsidRDefault="00502AB3" w:rsidP="00BD288A">
      <w:pPr>
        <w:shd w:val="clear" w:color="auto" w:fill="FFFFFF" w:themeFill="background1"/>
        <w:autoSpaceDE w:val="0"/>
        <w:autoSpaceDN w:val="0"/>
        <w:adjustRightInd w:val="0"/>
        <w:spacing w:line="240" w:lineRule="auto"/>
        <w:ind w:left="567" w:right="567"/>
        <w:rPr>
          <w:i/>
          <w:color w:val="000000"/>
          <w:sz w:val="22"/>
        </w:rPr>
      </w:pPr>
    </w:p>
    <w:p w:rsidR="00B553F3" w:rsidRPr="00473550" w:rsidRDefault="00B553F3" w:rsidP="00BD288A">
      <w:pPr>
        <w:shd w:val="clear" w:color="auto" w:fill="FFFFFF" w:themeFill="background1"/>
        <w:autoSpaceDE w:val="0"/>
        <w:autoSpaceDN w:val="0"/>
        <w:adjustRightInd w:val="0"/>
        <w:spacing w:line="240" w:lineRule="auto"/>
        <w:ind w:left="567" w:right="567"/>
        <w:rPr>
          <w:b/>
          <w:i/>
          <w:color w:val="000000"/>
          <w:sz w:val="22"/>
          <w:u w:val="single"/>
        </w:rPr>
      </w:pPr>
      <w:r w:rsidRPr="00473550">
        <w:rPr>
          <w:b/>
          <w:i/>
          <w:color w:val="000000"/>
          <w:sz w:val="22"/>
          <w:u w:val="single"/>
        </w:rPr>
        <w:t xml:space="preserve">Periodo de actualización: trimestral </w:t>
      </w:r>
    </w:p>
    <w:p w:rsidR="00B553F3" w:rsidRPr="00473550" w:rsidRDefault="00B553F3" w:rsidP="00BD288A">
      <w:pPr>
        <w:shd w:val="clear" w:color="auto" w:fill="FFFFFF" w:themeFill="background1"/>
        <w:autoSpaceDE w:val="0"/>
        <w:autoSpaceDN w:val="0"/>
        <w:adjustRightInd w:val="0"/>
        <w:spacing w:line="240" w:lineRule="auto"/>
        <w:ind w:left="567" w:right="567"/>
        <w:rPr>
          <w:i/>
          <w:color w:val="000000"/>
          <w:sz w:val="22"/>
        </w:rPr>
      </w:pPr>
      <w:r w:rsidRPr="00473550">
        <w:rPr>
          <w:i/>
          <w:color w:val="000000"/>
          <w:sz w:val="22"/>
        </w:rPr>
        <w:t xml:space="preserve">En su caso, 15 días hábiles después de la aprobación de alguna modificación a la estructura orgánica. </w:t>
      </w:r>
    </w:p>
    <w:p w:rsidR="00B553F3" w:rsidRPr="00473550" w:rsidRDefault="00B553F3" w:rsidP="00BD288A">
      <w:pPr>
        <w:shd w:val="clear" w:color="auto" w:fill="FFFFFF" w:themeFill="background1"/>
        <w:autoSpaceDE w:val="0"/>
        <w:autoSpaceDN w:val="0"/>
        <w:adjustRightInd w:val="0"/>
        <w:spacing w:line="240" w:lineRule="auto"/>
        <w:ind w:left="567" w:right="567"/>
        <w:rPr>
          <w:i/>
          <w:color w:val="000000"/>
          <w:sz w:val="22"/>
        </w:rPr>
      </w:pPr>
      <w:r w:rsidRPr="00473550">
        <w:rPr>
          <w:i/>
          <w:color w:val="000000"/>
          <w:sz w:val="22"/>
        </w:rPr>
        <w:t xml:space="preserve">Conservar en el sitio de Internet: información vigente </w:t>
      </w:r>
    </w:p>
    <w:p w:rsidR="00B553F3" w:rsidRPr="00473550" w:rsidRDefault="00B553F3" w:rsidP="00BD288A">
      <w:pPr>
        <w:shd w:val="clear" w:color="auto" w:fill="FFFFFF" w:themeFill="background1"/>
        <w:autoSpaceDE w:val="0"/>
        <w:autoSpaceDN w:val="0"/>
        <w:adjustRightInd w:val="0"/>
        <w:spacing w:line="240" w:lineRule="auto"/>
        <w:ind w:left="567" w:right="567"/>
        <w:rPr>
          <w:i/>
          <w:color w:val="000000"/>
          <w:sz w:val="22"/>
        </w:rPr>
      </w:pPr>
      <w:r w:rsidRPr="00473550">
        <w:rPr>
          <w:i/>
          <w:color w:val="000000"/>
          <w:sz w:val="22"/>
        </w:rPr>
        <w:t>Aplica a: todos los sujetos obligados</w:t>
      </w:r>
    </w:p>
    <w:p w:rsidR="00B553F3" w:rsidRPr="00473550" w:rsidRDefault="00B553F3" w:rsidP="00BD288A">
      <w:pPr>
        <w:pStyle w:val="Prrafodelista"/>
        <w:ind w:left="0"/>
        <w:rPr>
          <w:rFonts w:cs="Arial"/>
        </w:rPr>
      </w:pPr>
    </w:p>
    <w:p w:rsidR="00B553F3" w:rsidRPr="00473550" w:rsidRDefault="00B553F3" w:rsidP="00BD288A">
      <w:pPr>
        <w:pStyle w:val="Prrafodelista"/>
        <w:ind w:left="0"/>
        <w:rPr>
          <w:rFonts w:cs="Arial"/>
        </w:rPr>
      </w:pPr>
      <w:r w:rsidRPr="00473550">
        <w:rPr>
          <w:rFonts w:cs="Arial"/>
        </w:rPr>
        <w:lastRenderedPageBreak/>
        <w:t xml:space="preserve">Como podemos apreciar la generación del organigrama es una obligación para el Sujeto Obligado, sin embargo, los Lineamientos Técnicos Generales para la Publicación, Homologación y Estandarización de la Información de las Obligaciones establecidas en el Título Quinto y en la Fracción IV del artículo 31 de la Ley General de Transparencia y Acceso a la Información Pública, señala que deben de difundir los Sujetos Obligados en los portales de internet y en la Plataforma Nacional de Transparencia, establece que debe </w:t>
      </w:r>
      <w:r w:rsidRPr="00473550">
        <w:rPr>
          <w:rFonts w:cs="Arial"/>
          <w:b/>
          <w:u w:val="single"/>
        </w:rPr>
        <w:t>ser trimestral</w:t>
      </w:r>
      <w:r w:rsidRPr="00473550">
        <w:rPr>
          <w:rFonts w:cs="Arial"/>
        </w:rPr>
        <w:t xml:space="preserve"> su actualización, es decir, existe periodo en los que es compelido a cumplir con la fracción II del artículo 92 de la Ley en cita.</w:t>
      </w:r>
    </w:p>
    <w:p w:rsidR="00B553F3" w:rsidRPr="00473550" w:rsidRDefault="00B553F3" w:rsidP="00BD288A">
      <w:pPr>
        <w:rPr>
          <w:szCs w:val="24"/>
        </w:rPr>
      </w:pPr>
    </w:p>
    <w:p w:rsidR="00B553F3" w:rsidRPr="00473550" w:rsidRDefault="00B553F3" w:rsidP="00BD288A">
      <w:pPr>
        <w:rPr>
          <w:rFonts w:cs="Arial"/>
        </w:rPr>
      </w:pPr>
      <w:r w:rsidRPr="00473550">
        <w:rPr>
          <w:rFonts w:cs="Arial"/>
        </w:rPr>
        <w:t>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B553F3" w:rsidRPr="00473550" w:rsidRDefault="00B553F3" w:rsidP="00BD288A">
      <w:pPr>
        <w:rPr>
          <w:szCs w:val="24"/>
        </w:rPr>
      </w:pPr>
    </w:p>
    <w:p w:rsidR="00864BA3" w:rsidRPr="00473550" w:rsidRDefault="00864BA3" w:rsidP="00BD288A">
      <w:pPr>
        <w:tabs>
          <w:tab w:val="left" w:pos="7938"/>
        </w:tabs>
        <w:rPr>
          <w:rFonts w:cs="Arial"/>
          <w:lang w:val="es-419"/>
        </w:rPr>
      </w:pPr>
      <w:r w:rsidRPr="00473550">
        <w:rPr>
          <w:rFonts w:cs="Arial"/>
          <w:lang w:val="es-419"/>
        </w:rPr>
        <w:t>En ese mismo contexto, el artículo 12 de la Ley de Transparencias y Acceso a la Información Pública del Estado de México y Municipios, establece que los sujetos obligados proporcionarán la información pública que se les requiera y esta obre en sus archivos, mismo precepto que a continuación se transcribe:</w:t>
      </w:r>
    </w:p>
    <w:p w:rsidR="00F24972" w:rsidRPr="00473550" w:rsidRDefault="00F24972" w:rsidP="00BD288A">
      <w:pPr>
        <w:tabs>
          <w:tab w:val="left" w:pos="7938"/>
        </w:tabs>
        <w:rPr>
          <w:rFonts w:cs="Arial"/>
          <w:lang w:val="es-419"/>
        </w:rPr>
      </w:pPr>
    </w:p>
    <w:p w:rsidR="00864BA3" w:rsidRPr="00473550" w:rsidRDefault="00864BA3" w:rsidP="00BD288A">
      <w:pPr>
        <w:pStyle w:val="Sinespaciado"/>
        <w:spacing w:line="360" w:lineRule="auto"/>
        <w:ind w:left="1211" w:right="567"/>
        <w:jc w:val="both"/>
        <w:rPr>
          <w:rFonts w:ascii="Palatino Linotype" w:hAnsi="Palatino Linotype"/>
          <w:i/>
          <w:sz w:val="22"/>
          <w:szCs w:val="22"/>
        </w:rPr>
      </w:pPr>
      <w:r w:rsidRPr="00473550">
        <w:rPr>
          <w:rFonts w:ascii="Palatino Linotype" w:hAnsi="Palatino Linotype"/>
        </w:rPr>
        <w:t>“</w:t>
      </w:r>
      <w:r w:rsidRPr="00473550">
        <w:rPr>
          <w:rFonts w:ascii="Palatino Linotype" w:hAnsi="Palatino Linotype"/>
          <w:b/>
          <w:i/>
          <w:sz w:val="22"/>
          <w:szCs w:val="22"/>
        </w:rPr>
        <w:t>Artículo 12.</w:t>
      </w:r>
      <w:r w:rsidRPr="00473550">
        <w:rPr>
          <w:rFonts w:ascii="Palatino Linotype" w:hAnsi="Palatino Linotype"/>
          <w:i/>
          <w:sz w:val="22"/>
          <w:szCs w:val="22"/>
        </w:rPr>
        <w:t xml:space="preserve"> Quienes generen, recopilen, administren, manejen, procesen, archiven o conserven información pública serán</w:t>
      </w:r>
    </w:p>
    <w:p w:rsidR="00864BA3" w:rsidRPr="00473550" w:rsidRDefault="00864BA3" w:rsidP="00BD288A">
      <w:pPr>
        <w:pStyle w:val="Prrafodelista"/>
        <w:tabs>
          <w:tab w:val="left" w:pos="1842"/>
        </w:tabs>
        <w:ind w:left="1211" w:right="49"/>
        <w:rPr>
          <w:sz w:val="22"/>
        </w:rPr>
      </w:pPr>
      <w:r w:rsidRPr="00473550">
        <w:rPr>
          <w:b/>
          <w:i/>
          <w:sz w:val="22"/>
          <w:u w:val="single"/>
        </w:rPr>
        <w:t>Los sujetos obligados sólo proporcionarán la información pública que se les requiera y que obre en sus archivos</w:t>
      </w:r>
      <w:r w:rsidRPr="00473550">
        <w:rPr>
          <w:i/>
          <w:sz w:val="22"/>
        </w:rPr>
        <w:t xml:space="preserve"> y en el estado en que ésta se encuentre. La obligación </w:t>
      </w:r>
      <w:r w:rsidRPr="00473550">
        <w:rPr>
          <w:i/>
          <w:sz w:val="22"/>
        </w:rPr>
        <w:lastRenderedPageBreak/>
        <w:t>de proporcionar información no comprende el procesamiento de la misma, ni el presentarla conforme al interés del solicitante; no estarán obligados a generarla, resumirla, efectuar cálculos o practicar investigaciones.”</w:t>
      </w:r>
    </w:p>
    <w:p w:rsidR="00864BA3" w:rsidRPr="00473550" w:rsidRDefault="00864BA3" w:rsidP="00BD288A">
      <w:pPr>
        <w:rPr>
          <w:color w:val="000000"/>
          <w:u w:val="single"/>
        </w:rPr>
      </w:pPr>
    </w:p>
    <w:p w:rsidR="00D6401D" w:rsidRPr="00473550" w:rsidRDefault="00D6401D" w:rsidP="00D6401D">
      <w:pPr>
        <w:spacing w:before="240"/>
        <w:rPr>
          <w:szCs w:val="24"/>
        </w:rPr>
      </w:pPr>
      <w:r w:rsidRPr="00473550">
        <w:rPr>
          <w:szCs w:val="24"/>
        </w:rPr>
        <w:t xml:space="preserve">Ahora bien, en referencia a los puntos </w:t>
      </w:r>
      <w:r w:rsidRPr="00473550">
        <w:rPr>
          <w:b/>
          <w:bCs/>
          <w:szCs w:val="24"/>
        </w:rPr>
        <w:t xml:space="preserve">3 -tres- </w:t>
      </w:r>
      <w:r w:rsidRPr="00473550">
        <w:rPr>
          <w:szCs w:val="24"/>
        </w:rPr>
        <w:t xml:space="preserve">y </w:t>
      </w:r>
      <w:r w:rsidRPr="00473550">
        <w:rPr>
          <w:b/>
          <w:bCs/>
          <w:szCs w:val="24"/>
        </w:rPr>
        <w:t xml:space="preserve">4 -cuatro-, </w:t>
      </w:r>
      <w:r w:rsidRPr="00473550">
        <w:rPr>
          <w:szCs w:val="24"/>
        </w:rPr>
        <w:t>el servidor público habilitado refirió que derivado de la búsqueda exhaustiva y razonable, refiriendo que respecto del servidor público, el Sujeto Obligado informó que no mantiene relación laboral alguna</w:t>
      </w:r>
      <w:r w:rsidR="0025426F" w:rsidRPr="00473550">
        <w:rPr>
          <w:szCs w:val="24"/>
        </w:rPr>
        <w:t>.</w:t>
      </w:r>
      <w:r w:rsidRPr="00473550">
        <w:rPr>
          <w:szCs w:val="24"/>
        </w:rPr>
        <w:t xml:space="preserve"> </w:t>
      </w:r>
    </w:p>
    <w:p w:rsidR="00D6401D" w:rsidRPr="00473550" w:rsidRDefault="00D6401D" w:rsidP="00D6401D">
      <w:pPr>
        <w:autoSpaceDE w:val="0"/>
        <w:autoSpaceDN w:val="0"/>
        <w:adjustRightInd w:val="0"/>
        <w:spacing w:before="240"/>
        <w:rPr>
          <w:rFonts w:cs="Arial"/>
          <w:color w:val="222222"/>
          <w:szCs w:val="24"/>
        </w:rPr>
      </w:pPr>
      <w:r w:rsidRPr="00473550">
        <w:rPr>
          <w:szCs w:val="24"/>
        </w:rPr>
        <w:t xml:space="preserve">Siendo las cosas así, </w:t>
      </w:r>
      <w:r w:rsidRPr="00473550">
        <w:rPr>
          <w:rFonts w:cs="Arial"/>
          <w:noProof/>
          <w:color w:val="000000"/>
          <w:szCs w:val="24"/>
          <w:lang w:val="es-ES"/>
        </w:rPr>
        <w:t>resulta</w:t>
      </w:r>
      <w:r w:rsidRPr="00473550">
        <w:rPr>
          <w:rFonts w:cs="Arial"/>
          <w:noProof/>
          <w:color w:val="000000"/>
          <w:lang w:val="es-ES"/>
        </w:rPr>
        <w:t xml:space="preserve"> obice señalar que </w:t>
      </w:r>
      <w:r w:rsidRPr="00473550">
        <w:rPr>
          <w:szCs w:val="24"/>
        </w:rPr>
        <w:t xml:space="preserve">el Pleno del Órgano Garante local ha sostenido que, </w:t>
      </w:r>
      <w:r w:rsidRPr="00473550">
        <w:rPr>
          <w:rFonts w:cs="Arial"/>
          <w:szCs w:val="24"/>
        </w:rPr>
        <w:t>ante la presencia de un hecho negativo, resultaría innecesaria una declaratoria de inexistencia en términos de 19, 169 y 170 de la Ley de Transparencia y Acceso a la Información Pública del Estado de México y Municipios, y ante un hecho negativo resulta aplicable la siguiente tesis</w:t>
      </w:r>
      <w:r w:rsidRPr="00473550">
        <w:rPr>
          <w:rFonts w:cs="Arial"/>
          <w:color w:val="222222"/>
          <w:szCs w:val="24"/>
        </w:rPr>
        <w:t>:</w:t>
      </w:r>
    </w:p>
    <w:p w:rsidR="00D6401D" w:rsidRPr="00473550" w:rsidRDefault="00D6401D" w:rsidP="00D6401D">
      <w:pPr>
        <w:pStyle w:val="Prrafodelista"/>
        <w:spacing w:before="240"/>
        <w:ind w:right="851"/>
        <w:rPr>
          <w:rFonts w:ascii="Arial" w:hAnsi="Arial" w:cs="Arial"/>
          <w:color w:val="222222"/>
        </w:rPr>
      </w:pPr>
      <w:r w:rsidRPr="00473550">
        <w:rPr>
          <w:rFonts w:cs="Arial"/>
          <w:color w:val="222222"/>
        </w:rPr>
        <w:t> </w:t>
      </w:r>
      <w:r w:rsidRPr="00473550">
        <w:rPr>
          <w:rFonts w:cs="Arial"/>
          <w:b/>
          <w:bCs/>
          <w:i/>
          <w:iCs/>
          <w:color w:val="222222"/>
        </w:rPr>
        <w:t>“HECHOS NEGATIVOS, NO SON SUSCEPTIBLES DE DEMOSTRACION.</w:t>
      </w:r>
    </w:p>
    <w:p w:rsidR="00D6401D" w:rsidRPr="00473550" w:rsidRDefault="00D6401D" w:rsidP="00D6401D">
      <w:pPr>
        <w:pStyle w:val="Prrafodelista"/>
        <w:spacing w:before="240"/>
        <w:ind w:right="851"/>
        <w:rPr>
          <w:rFonts w:cs="Arial"/>
          <w:i/>
          <w:iCs/>
          <w:color w:val="222222"/>
        </w:rPr>
      </w:pPr>
      <w:r w:rsidRPr="00473550">
        <w:rPr>
          <w:rFonts w:cs="Arial"/>
          <w:i/>
          <w:iCs/>
          <w:color w:val="222222"/>
        </w:rPr>
        <w:t xml:space="preserve">Tratándose de un hecho negativo, el Juez no tiene por qué invocar prueba alguna de la que se desprenda, ya que es bien sabido que esta clase de hechos no son susceptibles de demostración.” </w:t>
      </w:r>
      <w:r w:rsidRPr="00473550">
        <w:rPr>
          <w:rFonts w:cs="Arial"/>
          <w:b/>
          <w:i/>
          <w:iCs/>
          <w:color w:val="222222"/>
        </w:rPr>
        <w:t>[Sic]</w:t>
      </w:r>
      <w:bookmarkStart w:id="1" w:name="_Hlk216097600"/>
    </w:p>
    <w:p w:rsidR="00D6401D" w:rsidRPr="00473550" w:rsidRDefault="00D6401D" w:rsidP="00D6401D">
      <w:pPr>
        <w:contextualSpacing/>
        <w:rPr>
          <w:rFonts w:cs="Arial"/>
          <w:bCs/>
          <w:szCs w:val="24"/>
        </w:rPr>
      </w:pPr>
    </w:p>
    <w:p w:rsidR="00D6401D" w:rsidRPr="00473550" w:rsidRDefault="00D6401D" w:rsidP="00D6401D">
      <w:pPr>
        <w:contextualSpacing/>
        <w:rPr>
          <w:rFonts w:cs="Arial"/>
          <w:bCs/>
          <w:szCs w:val="24"/>
        </w:rPr>
      </w:pPr>
      <w:r w:rsidRPr="00473550">
        <w:rPr>
          <w:rFonts w:cs="Arial"/>
          <w:bCs/>
          <w:szCs w:val="24"/>
        </w:rPr>
        <w:t xml:space="preserve">Visto de esta forma, en términos de la corriente legal y doctrinal imperante en la materia los hechos negativos no son susceptibles de demostración, es decir, no resultaba necesario realizar una declaratoria de inexistencia respecto de la información requerida respecto del </w:t>
      </w:r>
      <w:r w:rsidR="0025426F" w:rsidRPr="00473550">
        <w:rPr>
          <w:rFonts w:cs="Arial"/>
          <w:bCs/>
          <w:szCs w:val="24"/>
        </w:rPr>
        <w:t>Servidor público</w:t>
      </w:r>
      <w:r w:rsidRPr="00473550">
        <w:rPr>
          <w:rFonts w:cs="Arial"/>
          <w:bCs/>
          <w:szCs w:val="24"/>
        </w:rPr>
        <w:t xml:space="preserve">. Para robustecer lo anterior, se trae a colación el criterio orientador </w:t>
      </w:r>
      <w:r w:rsidRPr="00473550">
        <w:rPr>
          <w:rFonts w:cs="Arial"/>
          <w:b/>
          <w:szCs w:val="24"/>
        </w:rPr>
        <w:t>SO/007/2017</w:t>
      </w:r>
      <w:r w:rsidRPr="00473550">
        <w:rPr>
          <w:rFonts w:cs="Arial"/>
          <w:bCs/>
          <w:szCs w:val="24"/>
        </w:rPr>
        <w:t xml:space="preserve"> emitido por el entonces Instituto Nacional de Transparencia, Acceso a la </w:t>
      </w:r>
      <w:r w:rsidRPr="00473550">
        <w:rPr>
          <w:rFonts w:cs="Arial"/>
          <w:bCs/>
          <w:szCs w:val="24"/>
        </w:rPr>
        <w:lastRenderedPageBreak/>
        <w:t xml:space="preserve">Información y Protección de Datos Personales, cuyo rubro y texto disponen a la literalidad lo siguiente: </w:t>
      </w:r>
    </w:p>
    <w:p w:rsidR="00D6401D" w:rsidRPr="00473550" w:rsidRDefault="00D6401D" w:rsidP="00D6401D">
      <w:pPr>
        <w:pStyle w:val="Citas"/>
        <w:rPr>
          <w:b/>
        </w:rPr>
      </w:pPr>
      <w:r w:rsidRPr="00473550">
        <w:rPr>
          <w:b/>
        </w:rPr>
        <w:t>“CASOS EN LOS QUE NO ES NECESARIO QUE EL COMITÉ DE TRANSPARENCIA CONFIRME FORMALMENTE LA INEXISTENCIA DE LA INFORMACIÓN.</w:t>
      </w:r>
    </w:p>
    <w:p w:rsidR="00D6401D" w:rsidRPr="00473550" w:rsidRDefault="00D6401D" w:rsidP="00D6401D">
      <w:pPr>
        <w:pStyle w:val="Citas"/>
      </w:pPr>
      <w:r w:rsidRPr="00473550">
        <w:rPr>
          <w:b/>
        </w:rPr>
        <w:t xml:space="preserve"> </w:t>
      </w:r>
      <w:r w:rsidRPr="00473550">
        <w:t xml:space="preserve">La Ley General de Transparencia y Acceso a la Información Pública y la Ley Federal de Transparencia y Acceso a la Información Pública establecen el procedimiento que deben seguir los sujetos obligados cuando la información solicitada no se encuentre en sus archivos; el cual implica, entre otras cosas, que el Comité de Transparencia confirme la inexistencia manifestada por las áreas competentes que hubiesen realizado la búsqueda de la información. </w:t>
      </w:r>
      <w:r w:rsidRPr="00473550">
        <w:rPr>
          <w:b/>
          <w:bCs/>
          <w:u w:val="single"/>
        </w:rPr>
        <w:t>No obstante lo anterior, en aquellos casos en que no se advierta obligación alguna de los sujetos obligados para contar con la información, derivado del análisis a la normativa aplicable a la materia de la solicitud; y además no se tengan elementos de convicción que permitan suponer que ésta debe obrar en sus archivos, no será necesario que el Comité de Transparencia emita una resolución que confirme la inexistencia de la información</w:t>
      </w:r>
      <w:r w:rsidRPr="00473550">
        <w:t xml:space="preserve">. </w:t>
      </w:r>
    </w:p>
    <w:p w:rsidR="00D6401D" w:rsidRPr="00473550" w:rsidRDefault="00D6401D" w:rsidP="00D6401D">
      <w:pPr>
        <w:pStyle w:val="Citas"/>
        <w:rPr>
          <w:b/>
        </w:rPr>
      </w:pPr>
      <w:r w:rsidRPr="00473550">
        <w:rPr>
          <w:b/>
        </w:rPr>
        <w:t>Precedentes:</w:t>
      </w:r>
    </w:p>
    <w:p w:rsidR="00D6401D" w:rsidRPr="00473550" w:rsidRDefault="00D6401D" w:rsidP="00D6401D">
      <w:pPr>
        <w:pStyle w:val="Citas"/>
        <w:numPr>
          <w:ilvl w:val="0"/>
          <w:numId w:val="10"/>
        </w:numPr>
        <w:rPr>
          <w:color w:val="000000"/>
        </w:rPr>
      </w:pPr>
      <w:r w:rsidRPr="00473550">
        <w:t xml:space="preserve">Acceso a la información pública. RRA 2959/16. Sesión del 23 de noviembre de 2016. Votación por unanimidad. Sin votos disidentes o particulares. Secretaría de Gobernación. Comisionado Ponente </w:t>
      </w:r>
      <w:proofErr w:type="spellStart"/>
      <w:r w:rsidRPr="00473550">
        <w:t>Rosendoevgueni</w:t>
      </w:r>
      <w:proofErr w:type="spellEnd"/>
      <w:r w:rsidRPr="00473550">
        <w:t xml:space="preserve"> Monterrey </w:t>
      </w:r>
      <w:proofErr w:type="spellStart"/>
      <w:r w:rsidRPr="00473550">
        <w:t>Chepov</w:t>
      </w:r>
      <w:proofErr w:type="spellEnd"/>
      <w:r w:rsidRPr="00473550">
        <w:t>.</w:t>
      </w:r>
    </w:p>
    <w:p w:rsidR="00D6401D" w:rsidRPr="00473550" w:rsidRDefault="00D6401D" w:rsidP="00D6401D">
      <w:pPr>
        <w:pStyle w:val="Citas"/>
        <w:numPr>
          <w:ilvl w:val="0"/>
          <w:numId w:val="10"/>
        </w:numPr>
      </w:pPr>
      <w:r w:rsidRPr="00473550">
        <w:lastRenderedPageBreak/>
        <w:t>Acceso a la información pública. RRA 3186/16. Sesión del 13 de diciembre de 2016. Votación por unanimidad. Sin votos disidentes o particulares. Petróleos Mexicanos. Comisionado Ponente Francisco Javier Acuña Llamas.</w:t>
      </w:r>
    </w:p>
    <w:p w:rsidR="00D6401D" w:rsidRPr="00473550" w:rsidRDefault="00D6401D" w:rsidP="00D6401D">
      <w:pPr>
        <w:pStyle w:val="Citas"/>
        <w:numPr>
          <w:ilvl w:val="0"/>
          <w:numId w:val="10"/>
        </w:numPr>
        <w:rPr>
          <w:bCs/>
        </w:rPr>
      </w:pPr>
      <w:r w:rsidRPr="00473550">
        <w:t xml:space="preserve">Acceso a la información pública. RRA 4216/16. Sesión del 05 de enero de 2017. Votación por unanimidad. Sin votos disidentes o particulares. Cámara de Diputados. Comisionada Ponente Areli Cano Guadiana” </w:t>
      </w:r>
      <w:r w:rsidRPr="00473550">
        <w:rPr>
          <w:b/>
          <w:bCs/>
        </w:rPr>
        <w:t>(Sic)</w:t>
      </w:r>
    </w:p>
    <w:p w:rsidR="00D6401D" w:rsidRPr="00473550" w:rsidRDefault="00D6401D" w:rsidP="00D6401D">
      <w:pPr>
        <w:contextualSpacing/>
        <w:rPr>
          <w:rFonts w:cs="Arial"/>
          <w:b/>
          <w:szCs w:val="24"/>
        </w:rPr>
      </w:pPr>
    </w:p>
    <w:p w:rsidR="00D6401D" w:rsidRPr="00473550" w:rsidRDefault="00D6401D" w:rsidP="00D6401D">
      <w:pPr>
        <w:contextualSpacing/>
        <w:rPr>
          <w:iCs/>
          <w:szCs w:val="24"/>
        </w:rPr>
      </w:pPr>
      <w:r w:rsidRPr="00473550">
        <w:rPr>
          <w:rFonts w:cs="Arial"/>
          <w:bCs/>
          <w:szCs w:val="24"/>
        </w:rPr>
        <w:t xml:space="preserve">Por otra parte, se comprende que el </w:t>
      </w:r>
      <w:r w:rsidRPr="00473550">
        <w:rPr>
          <w:iCs/>
          <w:szCs w:val="24"/>
        </w:rPr>
        <w:t xml:space="preserve">derecho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rsidR="00D6401D" w:rsidRPr="00473550" w:rsidRDefault="00D6401D" w:rsidP="00D6401D">
      <w:pPr>
        <w:contextualSpacing/>
        <w:rPr>
          <w:i/>
          <w:iCs/>
          <w:szCs w:val="24"/>
        </w:rPr>
      </w:pPr>
    </w:p>
    <w:p w:rsidR="00D6401D" w:rsidRPr="00473550" w:rsidRDefault="00D6401D" w:rsidP="00D6401D">
      <w:pPr>
        <w:rPr>
          <w:szCs w:val="24"/>
        </w:rPr>
      </w:pPr>
      <w:r w:rsidRPr="00473550">
        <w:rPr>
          <w:iCs/>
          <w:szCs w:val="24"/>
        </w:rPr>
        <w:t xml:space="preserve">Robustece lo anterior, el criterio </w:t>
      </w:r>
      <w:r w:rsidRPr="00473550">
        <w:rPr>
          <w:rFonts w:cs="Arial"/>
          <w:color w:val="000000"/>
          <w:szCs w:val="24"/>
        </w:rPr>
        <w:t xml:space="preserve">03-17, emitido por </w:t>
      </w:r>
      <w:r w:rsidRPr="00473550">
        <w:rPr>
          <w:rFonts w:eastAsia="Arial Unicode MS" w:cs="Arial"/>
          <w:color w:val="000000"/>
          <w:szCs w:val="24"/>
        </w:rPr>
        <w:t xml:space="preserve">el Instituto Nacional de Transparencia, Acceso a la Información y Protección de Datos Personales cuyo rubro y texto dispone a la literalidad los siguiente: </w:t>
      </w:r>
    </w:p>
    <w:p w:rsidR="00D6401D" w:rsidRPr="00473550" w:rsidRDefault="00D6401D" w:rsidP="00D6401D">
      <w:pPr>
        <w:pStyle w:val="Citas"/>
        <w:rPr>
          <w:b/>
          <w:spacing w:val="18"/>
        </w:rPr>
      </w:pPr>
      <w:r w:rsidRPr="00473550">
        <w:rPr>
          <w:b/>
        </w:rPr>
        <w:t xml:space="preserve">“NO EXISTE OBLIGACIÓN DE ELABORAR </w:t>
      </w:r>
      <w:r w:rsidRPr="00473550">
        <w:rPr>
          <w:b/>
          <w:spacing w:val="-3"/>
        </w:rPr>
        <w:t>D</w:t>
      </w:r>
      <w:r w:rsidRPr="00473550">
        <w:rPr>
          <w:b/>
        </w:rPr>
        <w:t>OCUM</w:t>
      </w:r>
      <w:r w:rsidRPr="00473550">
        <w:rPr>
          <w:b/>
          <w:spacing w:val="1"/>
        </w:rPr>
        <w:t>E</w:t>
      </w:r>
      <w:r w:rsidRPr="00473550">
        <w:rPr>
          <w:b/>
        </w:rPr>
        <w:t>N</w:t>
      </w:r>
      <w:r w:rsidRPr="00473550">
        <w:rPr>
          <w:b/>
          <w:spacing w:val="-1"/>
        </w:rPr>
        <w:t>T</w:t>
      </w:r>
      <w:r w:rsidRPr="00473550">
        <w:rPr>
          <w:b/>
        </w:rPr>
        <w:t>OS</w:t>
      </w:r>
      <w:r w:rsidRPr="00473550">
        <w:rPr>
          <w:b/>
          <w:spacing w:val="14"/>
        </w:rPr>
        <w:t xml:space="preserve"> </w:t>
      </w:r>
      <w:r w:rsidRPr="00473550">
        <w:rPr>
          <w:b/>
          <w:spacing w:val="-1"/>
        </w:rPr>
        <w:t xml:space="preserve">AD </w:t>
      </w:r>
      <w:r w:rsidRPr="00473550">
        <w:rPr>
          <w:b/>
        </w:rPr>
        <w:t>HOC</w:t>
      </w:r>
      <w:r w:rsidRPr="00473550">
        <w:rPr>
          <w:b/>
          <w:spacing w:val="11"/>
        </w:rPr>
        <w:t xml:space="preserve"> </w:t>
      </w:r>
      <w:r w:rsidRPr="00473550">
        <w:rPr>
          <w:b/>
        </w:rPr>
        <w:t>PARA</w:t>
      </w:r>
      <w:r w:rsidRPr="00473550">
        <w:rPr>
          <w:b/>
          <w:spacing w:val="10"/>
        </w:rPr>
        <w:t xml:space="preserve"> </w:t>
      </w:r>
      <w:r w:rsidRPr="00473550">
        <w:rPr>
          <w:b/>
        </w:rPr>
        <w:t>ATENDER LAS SOL</w:t>
      </w:r>
      <w:r w:rsidRPr="00473550">
        <w:rPr>
          <w:b/>
          <w:spacing w:val="-2"/>
        </w:rPr>
        <w:t>I</w:t>
      </w:r>
      <w:r w:rsidRPr="00473550">
        <w:rPr>
          <w:b/>
          <w:spacing w:val="1"/>
        </w:rPr>
        <w:t>C</w:t>
      </w:r>
      <w:r w:rsidRPr="00473550">
        <w:rPr>
          <w:b/>
        </w:rPr>
        <w:t>ITUDES</w:t>
      </w:r>
      <w:r w:rsidRPr="00473550">
        <w:rPr>
          <w:b/>
          <w:spacing w:val="10"/>
        </w:rPr>
        <w:t xml:space="preserve"> </w:t>
      </w:r>
      <w:r w:rsidRPr="00473550">
        <w:rPr>
          <w:b/>
        </w:rPr>
        <w:t>DE</w:t>
      </w:r>
      <w:r w:rsidRPr="00473550">
        <w:rPr>
          <w:b/>
          <w:spacing w:val="9"/>
        </w:rPr>
        <w:t xml:space="preserve"> </w:t>
      </w:r>
      <w:r w:rsidRPr="00473550">
        <w:rPr>
          <w:b/>
          <w:spacing w:val="1"/>
        </w:rPr>
        <w:t>AC</w:t>
      </w:r>
      <w:r w:rsidRPr="00473550">
        <w:rPr>
          <w:b/>
          <w:spacing w:val="-1"/>
        </w:rPr>
        <w:t>C</w:t>
      </w:r>
      <w:r w:rsidRPr="00473550">
        <w:rPr>
          <w:b/>
          <w:spacing w:val="1"/>
        </w:rPr>
        <w:t>ES</w:t>
      </w:r>
      <w:r w:rsidRPr="00473550">
        <w:rPr>
          <w:b/>
        </w:rPr>
        <w:t>O</w:t>
      </w:r>
      <w:r w:rsidRPr="00473550">
        <w:rPr>
          <w:b/>
          <w:spacing w:val="11"/>
        </w:rPr>
        <w:t xml:space="preserve"> </w:t>
      </w:r>
      <w:r w:rsidRPr="00473550">
        <w:rPr>
          <w:b/>
        </w:rPr>
        <w:t>A</w:t>
      </w:r>
      <w:r w:rsidRPr="00473550">
        <w:rPr>
          <w:b/>
          <w:spacing w:val="9"/>
        </w:rPr>
        <w:t xml:space="preserve"> </w:t>
      </w:r>
      <w:r w:rsidRPr="00473550">
        <w:rPr>
          <w:b/>
        </w:rPr>
        <w:t>LA</w:t>
      </w:r>
      <w:r w:rsidRPr="00473550">
        <w:rPr>
          <w:b/>
          <w:spacing w:val="10"/>
        </w:rPr>
        <w:t xml:space="preserve"> </w:t>
      </w:r>
      <w:r w:rsidRPr="00473550">
        <w:rPr>
          <w:b/>
        </w:rPr>
        <w:t>INFORMA</w:t>
      </w:r>
      <w:r w:rsidRPr="00473550">
        <w:rPr>
          <w:b/>
          <w:spacing w:val="1"/>
        </w:rPr>
        <w:t>C</w:t>
      </w:r>
      <w:r w:rsidRPr="00473550">
        <w:rPr>
          <w:b/>
        </w:rPr>
        <w:t>IÓ</w:t>
      </w:r>
      <w:r w:rsidRPr="00473550">
        <w:rPr>
          <w:b/>
          <w:spacing w:val="-2"/>
        </w:rPr>
        <w:t>N</w:t>
      </w:r>
      <w:r w:rsidRPr="00473550">
        <w:rPr>
          <w:b/>
        </w:rPr>
        <w:t>.</w:t>
      </w:r>
      <w:r w:rsidRPr="00473550">
        <w:rPr>
          <w:b/>
          <w:spacing w:val="18"/>
        </w:rPr>
        <w:t xml:space="preserve"> </w:t>
      </w:r>
    </w:p>
    <w:p w:rsidR="00D6401D" w:rsidRPr="00473550" w:rsidRDefault="00D6401D" w:rsidP="00D6401D">
      <w:pPr>
        <w:pStyle w:val="Citas"/>
      </w:pPr>
      <w:r w:rsidRPr="00473550">
        <w:rPr>
          <w:spacing w:val="18"/>
        </w:rPr>
        <w:t>L</w:t>
      </w:r>
      <w:r w:rsidRPr="00473550">
        <w:rPr>
          <w:spacing w:val="-1"/>
        </w:rPr>
        <w:t xml:space="preserve">os </w:t>
      </w:r>
      <w:r w:rsidRPr="00473550">
        <w:rPr>
          <w:spacing w:val="1"/>
        </w:rPr>
        <w:t>a</w:t>
      </w:r>
      <w:r w:rsidRPr="00473550">
        <w:t>rt</w:t>
      </w:r>
      <w:r w:rsidRPr="00473550">
        <w:rPr>
          <w:spacing w:val="-2"/>
        </w:rPr>
        <w:t>í</w:t>
      </w:r>
      <w:r w:rsidRPr="00473550">
        <w:t>c</w:t>
      </w:r>
      <w:r w:rsidRPr="00473550">
        <w:rPr>
          <w:spacing w:val="1"/>
        </w:rPr>
        <w:t>u</w:t>
      </w:r>
      <w:r w:rsidRPr="00473550">
        <w:t>los</w:t>
      </w:r>
      <w:r w:rsidRPr="00473550">
        <w:rPr>
          <w:spacing w:val="8"/>
        </w:rPr>
        <w:t xml:space="preserve"> 129 </w:t>
      </w:r>
      <w:r w:rsidRPr="00473550">
        <w:rPr>
          <w:spacing w:val="1"/>
        </w:rPr>
        <w:t>d</w:t>
      </w:r>
      <w:r w:rsidRPr="00473550">
        <w:t>e</w:t>
      </w:r>
      <w:r w:rsidRPr="00473550">
        <w:rPr>
          <w:spacing w:val="9"/>
        </w:rPr>
        <w:t xml:space="preserve"> </w:t>
      </w:r>
      <w:r w:rsidRPr="00473550">
        <w:t>la</w:t>
      </w:r>
      <w:r w:rsidRPr="00473550">
        <w:rPr>
          <w:spacing w:val="10"/>
        </w:rPr>
        <w:t xml:space="preserve"> </w:t>
      </w:r>
      <w:r w:rsidRPr="00473550">
        <w:rPr>
          <w:spacing w:val="-1"/>
        </w:rPr>
        <w:t>L</w:t>
      </w:r>
      <w:r w:rsidRPr="00473550">
        <w:rPr>
          <w:spacing w:val="1"/>
        </w:rPr>
        <w:t>e</w:t>
      </w:r>
      <w:r w:rsidRPr="00473550">
        <w:t>y</w:t>
      </w:r>
      <w:r w:rsidRPr="00473550">
        <w:rPr>
          <w:spacing w:val="8"/>
        </w:rPr>
        <w:t xml:space="preserve"> </w:t>
      </w:r>
      <w:r w:rsidRPr="00473550">
        <w:t>General</w:t>
      </w:r>
      <w:r w:rsidRPr="00473550">
        <w:rPr>
          <w:spacing w:val="10"/>
        </w:rPr>
        <w:t xml:space="preserve"> </w:t>
      </w:r>
      <w:r w:rsidRPr="00473550">
        <w:rPr>
          <w:spacing w:val="-1"/>
        </w:rPr>
        <w:t>d</w:t>
      </w:r>
      <w:r w:rsidRPr="00473550">
        <w:t>e</w:t>
      </w:r>
      <w:r w:rsidRPr="00473550">
        <w:rPr>
          <w:spacing w:val="9"/>
        </w:rPr>
        <w:t xml:space="preserve"> </w:t>
      </w:r>
      <w:r w:rsidRPr="00473550">
        <w:rPr>
          <w:spacing w:val="2"/>
        </w:rPr>
        <w:t>T</w:t>
      </w:r>
      <w:r w:rsidRPr="00473550">
        <w:t>r</w:t>
      </w:r>
      <w:r w:rsidRPr="00473550">
        <w:rPr>
          <w:spacing w:val="-2"/>
        </w:rPr>
        <w:t>a</w:t>
      </w:r>
      <w:r w:rsidRPr="00473550">
        <w:rPr>
          <w:spacing w:val="1"/>
        </w:rPr>
        <w:t>n</w:t>
      </w:r>
      <w:r w:rsidRPr="00473550">
        <w:t>s</w:t>
      </w:r>
      <w:r w:rsidRPr="00473550">
        <w:rPr>
          <w:spacing w:val="1"/>
        </w:rPr>
        <w:t>pa</w:t>
      </w:r>
      <w:r w:rsidRPr="00473550">
        <w:t>r</w:t>
      </w:r>
      <w:r w:rsidRPr="00473550">
        <w:rPr>
          <w:spacing w:val="-2"/>
        </w:rPr>
        <w:t>e</w:t>
      </w:r>
      <w:r w:rsidRPr="00473550">
        <w:rPr>
          <w:spacing w:val="1"/>
        </w:rPr>
        <w:t>n</w:t>
      </w:r>
      <w:r w:rsidRPr="00473550">
        <w:t>cia y Acc</w:t>
      </w:r>
      <w:r w:rsidRPr="00473550">
        <w:rPr>
          <w:spacing w:val="1"/>
        </w:rPr>
        <w:t>e</w:t>
      </w:r>
      <w:r w:rsidRPr="00473550">
        <w:t>so</w:t>
      </w:r>
      <w:r w:rsidRPr="00473550">
        <w:rPr>
          <w:spacing w:val="3"/>
        </w:rPr>
        <w:t xml:space="preserve"> </w:t>
      </w:r>
      <w:r w:rsidRPr="00473550">
        <w:t>a</w:t>
      </w:r>
      <w:r w:rsidRPr="00473550">
        <w:rPr>
          <w:spacing w:val="1"/>
        </w:rPr>
        <w:t xml:space="preserve"> </w:t>
      </w:r>
      <w:r w:rsidRPr="00473550">
        <w:t>la I</w:t>
      </w:r>
      <w:r w:rsidRPr="00473550">
        <w:rPr>
          <w:spacing w:val="-1"/>
        </w:rPr>
        <w:t>n</w:t>
      </w:r>
      <w:r w:rsidRPr="00473550">
        <w:t>f</w:t>
      </w:r>
      <w:r w:rsidRPr="00473550">
        <w:rPr>
          <w:spacing w:val="1"/>
        </w:rPr>
        <w:t>o</w:t>
      </w:r>
      <w:r w:rsidRPr="00473550">
        <w:rPr>
          <w:spacing w:val="-3"/>
        </w:rPr>
        <w:t>r</w:t>
      </w:r>
      <w:r w:rsidRPr="00473550">
        <w:rPr>
          <w:spacing w:val="1"/>
        </w:rPr>
        <w:t>ma</w:t>
      </w:r>
      <w:r w:rsidRPr="00473550">
        <w:t>ci</w:t>
      </w:r>
      <w:r w:rsidRPr="00473550">
        <w:rPr>
          <w:spacing w:val="-2"/>
        </w:rPr>
        <w:t>ó</w:t>
      </w:r>
      <w:r w:rsidRPr="00473550">
        <w:t>n</w:t>
      </w:r>
      <w:r w:rsidRPr="00473550">
        <w:rPr>
          <w:spacing w:val="6"/>
        </w:rPr>
        <w:t xml:space="preserve"> </w:t>
      </w:r>
      <w:r w:rsidRPr="00473550">
        <w:rPr>
          <w:spacing w:val="-2"/>
        </w:rPr>
        <w:t>P</w:t>
      </w:r>
      <w:r w:rsidRPr="00473550">
        <w:rPr>
          <w:spacing w:val="1"/>
        </w:rPr>
        <w:t>úb</w:t>
      </w:r>
      <w:r w:rsidRPr="00473550">
        <w:t>l</w:t>
      </w:r>
      <w:r w:rsidRPr="00473550">
        <w:rPr>
          <w:spacing w:val="-1"/>
        </w:rPr>
        <w:t>i</w:t>
      </w:r>
      <w:r w:rsidRPr="00473550">
        <w:t xml:space="preserve">ca y </w:t>
      </w:r>
      <w:r w:rsidRPr="00473550">
        <w:rPr>
          <w:spacing w:val="8"/>
        </w:rPr>
        <w:t xml:space="preserve">130, párrafo cuarto, </w:t>
      </w:r>
      <w:r w:rsidRPr="00473550">
        <w:rPr>
          <w:spacing w:val="1"/>
        </w:rPr>
        <w:t>d</w:t>
      </w:r>
      <w:r w:rsidRPr="00473550">
        <w:t>e</w:t>
      </w:r>
      <w:r w:rsidRPr="00473550">
        <w:rPr>
          <w:spacing w:val="9"/>
        </w:rPr>
        <w:t xml:space="preserve"> </w:t>
      </w:r>
      <w:r w:rsidRPr="00473550">
        <w:t>la</w:t>
      </w:r>
      <w:r w:rsidRPr="00473550">
        <w:rPr>
          <w:spacing w:val="10"/>
        </w:rPr>
        <w:t xml:space="preserve"> </w:t>
      </w:r>
      <w:r w:rsidRPr="00473550">
        <w:rPr>
          <w:spacing w:val="-1"/>
        </w:rPr>
        <w:t>L</w:t>
      </w:r>
      <w:r w:rsidRPr="00473550">
        <w:rPr>
          <w:spacing w:val="1"/>
        </w:rPr>
        <w:t>e</w:t>
      </w:r>
      <w:r w:rsidRPr="00473550">
        <w:t>y</w:t>
      </w:r>
      <w:r w:rsidRPr="00473550">
        <w:rPr>
          <w:spacing w:val="8"/>
        </w:rPr>
        <w:t xml:space="preserve"> </w:t>
      </w:r>
      <w:r w:rsidRPr="00473550">
        <w:t>Fe</w:t>
      </w:r>
      <w:r w:rsidRPr="00473550">
        <w:rPr>
          <w:spacing w:val="1"/>
        </w:rPr>
        <w:t>de</w:t>
      </w:r>
      <w:r w:rsidRPr="00473550">
        <w:t>ral</w:t>
      </w:r>
      <w:r w:rsidRPr="00473550">
        <w:rPr>
          <w:spacing w:val="10"/>
        </w:rPr>
        <w:t xml:space="preserve"> </w:t>
      </w:r>
      <w:r w:rsidRPr="00473550">
        <w:rPr>
          <w:spacing w:val="-1"/>
        </w:rPr>
        <w:t>d</w:t>
      </w:r>
      <w:r w:rsidRPr="00473550">
        <w:t>e</w:t>
      </w:r>
      <w:r w:rsidRPr="00473550">
        <w:rPr>
          <w:spacing w:val="9"/>
        </w:rPr>
        <w:t xml:space="preserve"> </w:t>
      </w:r>
      <w:r w:rsidRPr="00473550">
        <w:rPr>
          <w:spacing w:val="2"/>
        </w:rPr>
        <w:t>T</w:t>
      </w:r>
      <w:r w:rsidRPr="00473550">
        <w:t>r</w:t>
      </w:r>
      <w:r w:rsidRPr="00473550">
        <w:rPr>
          <w:spacing w:val="-2"/>
        </w:rPr>
        <w:t>a</w:t>
      </w:r>
      <w:r w:rsidRPr="00473550">
        <w:rPr>
          <w:spacing w:val="1"/>
        </w:rPr>
        <w:t>n</w:t>
      </w:r>
      <w:r w:rsidRPr="00473550">
        <w:t>s</w:t>
      </w:r>
      <w:r w:rsidRPr="00473550">
        <w:rPr>
          <w:spacing w:val="1"/>
        </w:rPr>
        <w:t>pa</w:t>
      </w:r>
      <w:r w:rsidRPr="00473550">
        <w:t>r</w:t>
      </w:r>
      <w:r w:rsidRPr="00473550">
        <w:rPr>
          <w:spacing w:val="-2"/>
        </w:rPr>
        <w:t>e</w:t>
      </w:r>
      <w:r w:rsidRPr="00473550">
        <w:rPr>
          <w:spacing w:val="1"/>
        </w:rPr>
        <w:t>n</w:t>
      </w:r>
      <w:r w:rsidRPr="00473550">
        <w:t>cia y Acc</w:t>
      </w:r>
      <w:r w:rsidRPr="00473550">
        <w:rPr>
          <w:spacing w:val="1"/>
        </w:rPr>
        <w:t>e</w:t>
      </w:r>
      <w:r w:rsidRPr="00473550">
        <w:t>so</w:t>
      </w:r>
      <w:r w:rsidRPr="00473550">
        <w:rPr>
          <w:spacing w:val="3"/>
        </w:rPr>
        <w:t xml:space="preserve"> </w:t>
      </w:r>
      <w:r w:rsidRPr="00473550">
        <w:t>a</w:t>
      </w:r>
      <w:r w:rsidRPr="00473550">
        <w:rPr>
          <w:spacing w:val="1"/>
        </w:rPr>
        <w:t xml:space="preserve"> </w:t>
      </w:r>
      <w:r w:rsidRPr="00473550">
        <w:t>la I</w:t>
      </w:r>
      <w:r w:rsidRPr="00473550">
        <w:rPr>
          <w:spacing w:val="-1"/>
        </w:rPr>
        <w:t>n</w:t>
      </w:r>
      <w:r w:rsidRPr="00473550">
        <w:t>f</w:t>
      </w:r>
      <w:r w:rsidRPr="00473550">
        <w:rPr>
          <w:spacing w:val="1"/>
        </w:rPr>
        <w:t>o</w:t>
      </w:r>
      <w:r w:rsidRPr="00473550">
        <w:rPr>
          <w:spacing w:val="-3"/>
        </w:rPr>
        <w:t>r</w:t>
      </w:r>
      <w:r w:rsidRPr="00473550">
        <w:rPr>
          <w:spacing w:val="1"/>
        </w:rPr>
        <w:t>ma</w:t>
      </w:r>
      <w:r w:rsidRPr="00473550">
        <w:t>ci</w:t>
      </w:r>
      <w:r w:rsidRPr="00473550">
        <w:rPr>
          <w:spacing w:val="-2"/>
        </w:rPr>
        <w:t>ó</w:t>
      </w:r>
      <w:r w:rsidRPr="00473550">
        <w:t>n</w:t>
      </w:r>
      <w:r w:rsidRPr="00473550">
        <w:rPr>
          <w:spacing w:val="6"/>
        </w:rPr>
        <w:t xml:space="preserve"> </w:t>
      </w:r>
      <w:r w:rsidRPr="00473550">
        <w:rPr>
          <w:spacing w:val="-2"/>
        </w:rPr>
        <w:t>P</w:t>
      </w:r>
      <w:r w:rsidRPr="00473550">
        <w:rPr>
          <w:spacing w:val="1"/>
        </w:rPr>
        <w:t>úb</w:t>
      </w:r>
      <w:r w:rsidRPr="00473550">
        <w:t>l</w:t>
      </w:r>
      <w:r w:rsidRPr="00473550">
        <w:rPr>
          <w:spacing w:val="-1"/>
        </w:rPr>
        <w:t>i</w:t>
      </w:r>
      <w:r w:rsidRPr="00473550">
        <w:t xml:space="preserve">ca, </w:t>
      </w:r>
      <w:r w:rsidRPr="00473550">
        <w:rPr>
          <w:spacing w:val="-1"/>
        </w:rPr>
        <w:t>señalan</w:t>
      </w:r>
      <w:r w:rsidRPr="00473550">
        <w:rPr>
          <w:spacing w:val="1"/>
        </w:rPr>
        <w:t xml:space="preserve"> </w:t>
      </w:r>
      <w:r w:rsidRPr="00473550">
        <w:rPr>
          <w:spacing w:val="-1"/>
        </w:rPr>
        <w:t>q</w:t>
      </w:r>
      <w:r w:rsidRPr="00473550">
        <w:rPr>
          <w:spacing w:val="1"/>
        </w:rPr>
        <w:t>u</w:t>
      </w:r>
      <w:r w:rsidRPr="00473550">
        <w:t xml:space="preserve">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w:t>
      </w:r>
      <w:r w:rsidRPr="00473550">
        <w:lastRenderedPageBreak/>
        <w:t>garantizar el derecho de acceso a la información del particular, proporcionando la información con la que cuentan en el formato en que la misma obre en sus archivos;</w:t>
      </w:r>
      <w:r w:rsidRPr="00473550">
        <w:rPr>
          <w:spacing w:val="-1"/>
        </w:rPr>
        <w:t xml:space="preserve"> sin necesidad de</w:t>
      </w:r>
      <w:r w:rsidRPr="00473550">
        <w:rPr>
          <w:spacing w:val="1"/>
        </w:rPr>
        <w:t xml:space="preserve"> e</w:t>
      </w:r>
      <w:r w:rsidRPr="00473550">
        <w:t>la</w:t>
      </w:r>
      <w:r w:rsidRPr="00473550">
        <w:rPr>
          <w:spacing w:val="1"/>
        </w:rPr>
        <w:t>bo</w:t>
      </w:r>
      <w:r w:rsidRPr="00473550">
        <w:t xml:space="preserve">rar </w:t>
      </w:r>
      <w:r w:rsidRPr="00473550">
        <w:rPr>
          <w:spacing w:val="1"/>
        </w:rPr>
        <w:t>do</w:t>
      </w:r>
      <w:r w:rsidRPr="00473550">
        <w:rPr>
          <w:spacing w:val="-2"/>
        </w:rPr>
        <w:t>c</w:t>
      </w:r>
      <w:r w:rsidRPr="00473550">
        <w:rPr>
          <w:spacing w:val="1"/>
        </w:rPr>
        <w:t>u</w:t>
      </w:r>
      <w:r w:rsidRPr="00473550">
        <w:rPr>
          <w:spacing w:val="-1"/>
        </w:rPr>
        <w:t>m</w:t>
      </w:r>
      <w:r w:rsidRPr="00473550">
        <w:rPr>
          <w:spacing w:val="1"/>
        </w:rPr>
        <w:t>en</w:t>
      </w:r>
      <w:r w:rsidRPr="00473550">
        <w:rPr>
          <w:spacing w:val="-2"/>
        </w:rPr>
        <w:t>t</w:t>
      </w:r>
      <w:r w:rsidRPr="00473550">
        <w:rPr>
          <w:spacing w:val="1"/>
        </w:rPr>
        <w:t>o</w:t>
      </w:r>
      <w:r w:rsidRPr="00473550">
        <w:t>s</w:t>
      </w:r>
      <w:r w:rsidRPr="00473550">
        <w:rPr>
          <w:spacing w:val="3"/>
        </w:rPr>
        <w:t xml:space="preserve"> </w:t>
      </w:r>
      <w:r w:rsidRPr="00473550">
        <w:rPr>
          <w:spacing w:val="1"/>
        </w:rPr>
        <w:t>a</w:t>
      </w:r>
      <w:r w:rsidRPr="00473550">
        <w:t>d</w:t>
      </w:r>
      <w:r w:rsidRPr="00473550">
        <w:rPr>
          <w:spacing w:val="1"/>
        </w:rPr>
        <w:t xml:space="preserve"> ho</w:t>
      </w:r>
      <w:r w:rsidRPr="00473550">
        <w:t>c</w:t>
      </w:r>
      <w:r w:rsidRPr="00473550">
        <w:rPr>
          <w:spacing w:val="2"/>
        </w:rPr>
        <w:t xml:space="preserve"> </w:t>
      </w:r>
      <w:r w:rsidRPr="00473550">
        <w:rPr>
          <w:spacing w:val="1"/>
        </w:rPr>
        <w:t>pa</w:t>
      </w:r>
      <w:r w:rsidRPr="00473550">
        <w:t xml:space="preserve">ra </w:t>
      </w:r>
      <w:r w:rsidRPr="00473550">
        <w:rPr>
          <w:spacing w:val="1"/>
        </w:rPr>
        <w:t>a</w:t>
      </w:r>
      <w:r w:rsidRPr="00473550">
        <w:t>t</w:t>
      </w:r>
      <w:r w:rsidRPr="00473550">
        <w:rPr>
          <w:spacing w:val="-1"/>
        </w:rPr>
        <w:t>e</w:t>
      </w:r>
      <w:r w:rsidRPr="00473550">
        <w:rPr>
          <w:spacing w:val="1"/>
        </w:rPr>
        <w:t>n</w:t>
      </w:r>
      <w:r w:rsidRPr="00473550">
        <w:rPr>
          <w:spacing w:val="-1"/>
        </w:rPr>
        <w:t>d</w:t>
      </w:r>
      <w:r w:rsidRPr="00473550">
        <w:rPr>
          <w:spacing w:val="1"/>
        </w:rPr>
        <w:t>e</w:t>
      </w:r>
      <w:r w:rsidRPr="00473550">
        <w:t>r</w:t>
      </w:r>
      <w:r w:rsidRPr="00473550">
        <w:rPr>
          <w:spacing w:val="2"/>
        </w:rPr>
        <w:t xml:space="preserve"> </w:t>
      </w:r>
      <w:r w:rsidRPr="00473550">
        <w:t>l</w:t>
      </w:r>
      <w:r w:rsidRPr="00473550">
        <w:rPr>
          <w:spacing w:val="-2"/>
        </w:rPr>
        <w:t>a</w:t>
      </w:r>
      <w:r w:rsidRPr="00473550">
        <w:t>s</w:t>
      </w:r>
      <w:r w:rsidRPr="00473550">
        <w:rPr>
          <w:spacing w:val="2"/>
        </w:rPr>
        <w:t xml:space="preserve"> </w:t>
      </w:r>
      <w:r w:rsidRPr="00473550">
        <w:t>s</w:t>
      </w:r>
      <w:r w:rsidRPr="00473550">
        <w:rPr>
          <w:spacing w:val="1"/>
        </w:rPr>
        <w:t>o</w:t>
      </w:r>
      <w:r w:rsidRPr="00473550">
        <w:t>l</w:t>
      </w:r>
      <w:r w:rsidRPr="00473550">
        <w:rPr>
          <w:spacing w:val="-1"/>
        </w:rPr>
        <w:t>i</w:t>
      </w:r>
      <w:r w:rsidRPr="00473550">
        <w:t>cit</w:t>
      </w:r>
      <w:r w:rsidRPr="00473550">
        <w:rPr>
          <w:spacing w:val="1"/>
        </w:rPr>
        <w:t>ude</w:t>
      </w:r>
      <w:r w:rsidRPr="00473550">
        <w:t>s</w:t>
      </w:r>
      <w:r w:rsidRPr="00473550">
        <w:rPr>
          <w:spacing w:val="4"/>
        </w:rPr>
        <w:t xml:space="preserve"> </w:t>
      </w:r>
      <w:r w:rsidRPr="00473550">
        <w:rPr>
          <w:spacing w:val="-1"/>
        </w:rPr>
        <w:t>d</w:t>
      </w:r>
      <w:r w:rsidRPr="00473550">
        <w:t>e</w:t>
      </w:r>
      <w:r w:rsidRPr="00473550">
        <w:rPr>
          <w:spacing w:val="3"/>
        </w:rPr>
        <w:t xml:space="preserve"> </w:t>
      </w:r>
      <w:r w:rsidRPr="00473550">
        <w:t>i</w:t>
      </w:r>
      <w:r w:rsidRPr="00473550">
        <w:rPr>
          <w:spacing w:val="-2"/>
        </w:rPr>
        <w:t>n</w:t>
      </w:r>
      <w:r w:rsidRPr="00473550">
        <w:t>f</w:t>
      </w:r>
      <w:r w:rsidRPr="00473550">
        <w:rPr>
          <w:spacing w:val="1"/>
        </w:rPr>
        <w:t>o</w:t>
      </w:r>
      <w:r w:rsidRPr="00473550">
        <w:t>r</w:t>
      </w:r>
      <w:r w:rsidRPr="00473550">
        <w:rPr>
          <w:spacing w:val="-1"/>
        </w:rPr>
        <w:t>m</w:t>
      </w:r>
      <w:r w:rsidRPr="00473550">
        <w:rPr>
          <w:spacing w:val="1"/>
        </w:rPr>
        <w:t>a</w:t>
      </w:r>
      <w:r w:rsidRPr="00473550">
        <w:t>ció</w:t>
      </w:r>
      <w:r w:rsidRPr="00473550">
        <w:rPr>
          <w:spacing w:val="1"/>
        </w:rPr>
        <w:t>n</w:t>
      </w:r>
      <w:r w:rsidRPr="00473550">
        <w:t>.</w:t>
      </w:r>
    </w:p>
    <w:p w:rsidR="00D6401D" w:rsidRPr="00473550" w:rsidRDefault="00D6401D" w:rsidP="00D6401D">
      <w:pPr>
        <w:pStyle w:val="Citas"/>
        <w:rPr>
          <w:b/>
        </w:rPr>
      </w:pPr>
      <w:r w:rsidRPr="00473550">
        <w:rPr>
          <w:b/>
        </w:rPr>
        <w:t>Resoluciones:</w:t>
      </w:r>
    </w:p>
    <w:p w:rsidR="00D6401D" w:rsidRPr="00473550" w:rsidRDefault="00D6401D" w:rsidP="00D6401D">
      <w:pPr>
        <w:pStyle w:val="Citas"/>
      </w:pPr>
      <w:r w:rsidRPr="00473550">
        <w:rPr>
          <w:b/>
        </w:rPr>
        <w:t>RRA 0050/16.</w:t>
      </w:r>
      <w:r w:rsidRPr="00473550">
        <w:t xml:space="preserve"> Instituto Nacional para la Evaluación de la Educación. 13 julio de 2016. Por unanimidad. Comisionado Ponente: Francisco Javier Acuña Llamas.</w:t>
      </w:r>
    </w:p>
    <w:p w:rsidR="00D6401D" w:rsidRPr="00473550" w:rsidRDefault="00D6401D" w:rsidP="00D6401D">
      <w:pPr>
        <w:pStyle w:val="Citas"/>
        <w:rPr>
          <w:rFonts w:ascii="Times New Roman" w:hAnsi="Times New Roman" w:cs="Times New Roman"/>
        </w:rPr>
      </w:pPr>
      <w:r w:rsidRPr="00473550">
        <w:rPr>
          <w:b/>
        </w:rPr>
        <w:t xml:space="preserve">RRA 0310/16. </w:t>
      </w:r>
      <w:r w:rsidRPr="00473550">
        <w:t>Instituto Nacional de Transparencia, Acceso a la Información y Protección de Datos Personales. 10 de agosto de 2016. Por unanimidad. Comisionada Ponente. Areli Cano Guadiana.</w:t>
      </w:r>
    </w:p>
    <w:p w:rsidR="00D6401D" w:rsidRPr="00473550" w:rsidRDefault="00D6401D" w:rsidP="00D6401D">
      <w:pPr>
        <w:pStyle w:val="Citas"/>
        <w:rPr>
          <w:b/>
        </w:rPr>
      </w:pPr>
      <w:r w:rsidRPr="00473550">
        <w:rPr>
          <w:b/>
        </w:rPr>
        <w:t xml:space="preserve">RRA 1889/16. </w:t>
      </w:r>
      <w:r w:rsidRPr="00473550">
        <w:t xml:space="preserve">Secretaría de Hacienda y Crédito Público. 05 de octubre de 2016. Por unanimidad. Comisionada Ponente. Ximena Puente de la Mora” </w:t>
      </w:r>
      <w:r w:rsidRPr="00473550">
        <w:rPr>
          <w:b/>
        </w:rPr>
        <w:t>[Sic]</w:t>
      </w:r>
    </w:p>
    <w:bookmarkEnd w:id="1"/>
    <w:p w:rsidR="00D6401D" w:rsidRPr="00473550" w:rsidRDefault="00D6401D" w:rsidP="00F24972">
      <w:pPr>
        <w:autoSpaceDE w:val="0"/>
        <w:autoSpaceDN w:val="0"/>
        <w:adjustRightInd w:val="0"/>
        <w:rPr>
          <w:rFonts w:eastAsiaTheme="minorHAnsi" w:cs="Arial"/>
          <w:lang w:val="es-MX" w:eastAsia="en-US"/>
        </w:rPr>
      </w:pPr>
    </w:p>
    <w:p w:rsidR="00F24972" w:rsidRPr="00473550" w:rsidRDefault="00F24972" w:rsidP="00F24972">
      <w:pPr>
        <w:autoSpaceDE w:val="0"/>
        <w:autoSpaceDN w:val="0"/>
        <w:adjustRightInd w:val="0"/>
        <w:rPr>
          <w:rFonts w:eastAsiaTheme="minorHAnsi" w:cs="Arial"/>
          <w:lang w:val="es-MX" w:eastAsia="en-US"/>
        </w:rPr>
      </w:pPr>
      <w:r w:rsidRPr="00473550">
        <w:rPr>
          <w:rFonts w:eastAsiaTheme="minorHAnsi" w:cs="Arial"/>
          <w:lang w:val="es-MX" w:eastAsia="en-US"/>
        </w:rPr>
        <w:t xml:space="preserve">Aunado a lo antes expuesto, la respuesta emitida por </w:t>
      </w:r>
      <w:r w:rsidRPr="00473550">
        <w:rPr>
          <w:rFonts w:eastAsiaTheme="minorHAnsi" w:cs="Arial"/>
          <w:b/>
          <w:lang w:val="es-MX" w:eastAsia="en-US"/>
        </w:rPr>
        <w:t>El Sujeto Obligado</w:t>
      </w:r>
      <w:r w:rsidRPr="00473550">
        <w:rPr>
          <w:rFonts w:eastAsiaTheme="minorHAnsi" w:cs="Arial"/>
          <w:lang w:val="es-MX" w:eastAsia="en-US"/>
        </w:rPr>
        <w:t xml:space="preserve"> tiene la presunción legal de ser verídica, considerado que fue emitida por un servidor público en ejercicio de sus funciones, lo que conlleva la presunción de veracidad de todo acto administrativo.</w:t>
      </w:r>
    </w:p>
    <w:p w:rsidR="00F24972" w:rsidRPr="00473550" w:rsidRDefault="00F24972" w:rsidP="00F24972">
      <w:pPr>
        <w:autoSpaceDE w:val="0"/>
        <w:autoSpaceDN w:val="0"/>
        <w:adjustRightInd w:val="0"/>
        <w:rPr>
          <w:rFonts w:eastAsiaTheme="minorHAnsi" w:cs="Arial"/>
          <w:lang w:val="es-MX" w:eastAsia="en-US"/>
        </w:rPr>
      </w:pPr>
    </w:p>
    <w:p w:rsidR="00F24972" w:rsidRPr="00473550" w:rsidRDefault="00F24972" w:rsidP="00F24972">
      <w:pPr>
        <w:autoSpaceDE w:val="0"/>
        <w:autoSpaceDN w:val="0"/>
        <w:adjustRightInd w:val="0"/>
        <w:rPr>
          <w:rFonts w:cs="Arial"/>
        </w:rPr>
      </w:pPr>
      <w:r w:rsidRPr="00473550">
        <w:rPr>
          <w:rFonts w:eastAsiaTheme="minorHAnsi" w:cs="Arial"/>
          <w:lang w:val="es-MX" w:eastAsia="en-US"/>
        </w:rPr>
        <w:t xml:space="preserve">En conclusión, la ley de la materia establece </w:t>
      </w:r>
      <w:r w:rsidRPr="00473550">
        <w:rPr>
          <w:rFonts w:cs="Arial"/>
        </w:rPr>
        <w:t>en la fracción III, del artículo 192, de la Ley de Transparencia vigente en la entidad, que a la letra establecen:</w:t>
      </w:r>
    </w:p>
    <w:p w:rsidR="00F24972" w:rsidRPr="00473550" w:rsidRDefault="00F24972" w:rsidP="00F24972">
      <w:pPr>
        <w:spacing w:line="259" w:lineRule="auto"/>
        <w:rPr>
          <w:rFonts w:asciiTheme="minorHAnsi" w:eastAsiaTheme="minorHAnsi" w:hAnsiTheme="minorHAnsi" w:cstheme="minorBidi"/>
          <w:sz w:val="22"/>
        </w:rPr>
      </w:pPr>
    </w:p>
    <w:p w:rsidR="00F24972" w:rsidRPr="00473550" w:rsidRDefault="00F24972" w:rsidP="00F24972">
      <w:pPr>
        <w:autoSpaceDE w:val="0"/>
        <w:autoSpaceDN w:val="0"/>
        <w:adjustRightInd w:val="0"/>
        <w:ind w:left="708"/>
        <w:rPr>
          <w:i/>
          <w:sz w:val="22"/>
        </w:rPr>
      </w:pPr>
      <w:r w:rsidRPr="00473550">
        <w:rPr>
          <w:b/>
          <w:i/>
          <w:sz w:val="22"/>
        </w:rPr>
        <w:t xml:space="preserve">“Artículo 192. </w:t>
      </w:r>
      <w:r w:rsidRPr="00473550">
        <w:rPr>
          <w:b/>
          <w:i/>
          <w:sz w:val="22"/>
          <w:u w:val="single"/>
        </w:rPr>
        <w:t>El recurso será sobreseído, en todo o en parte, cuando una vez admitido, se actualicen alguno de los siguientes supuestos</w:t>
      </w:r>
      <w:r w:rsidRPr="00473550">
        <w:rPr>
          <w:i/>
          <w:sz w:val="22"/>
        </w:rPr>
        <w:t>:</w:t>
      </w:r>
    </w:p>
    <w:p w:rsidR="00F24972" w:rsidRPr="00473550" w:rsidRDefault="00F24972" w:rsidP="00F24972">
      <w:pPr>
        <w:numPr>
          <w:ilvl w:val="0"/>
          <w:numId w:val="9"/>
        </w:numPr>
        <w:autoSpaceDE w:val="0"/>
        <w:autoSpaceDN w:val="0"/>
        <w:adjustRightInd w:val="0"/>
        <w:spacing w:line="259" w:lineRule="auto"/>
        <w:rPr>
          <w:i/>
          <w:sz w:val="22"/>
        </w:rPr>
      </w:pPr>
      <w:r w:rsidRPr="00473550">
        <w:rPr>
          <w:i/>
          <w:sz w:val="22"/>
        </w:rPr>
        <w:t xml:space="preserve">El recurrente se desista expresamente del recurso; </w:t>
      </w:r>
    </w:p>
    <w:p w:rsidR="00F24972" w:rsidRPr="00473550" w:rsidRDefault="00F24972" w:rsidP="00F24972">
      <w:pPr>
        <w:numPr>
          <w:ilvl w:val="0"/>
          <w:numId w:val="9"/>
        </w:numPr>
        <w:autoSpaceDE w:val="0"/>
        <w:autoSpaceDN w:val="0"/>
        <w:adjustRightInd w:val="0"/>
        <w:spacing w:line="259" w:lineRule="auto"/>
        <w:rPr>
          <w:rFonts w:cs="Arial"/>
          <w:i/>
          <w:sz w:val="22"/>
        </w:rPr>
      </w:pPr>
      <w:r w:rsidRPr="00473550">
        <w:rPr>
          <w:i/>
          <w:sz w:val="22"/>
        </w:rPr>
        <w:lastRenderedPageBreak/>
        <w:t xml:space="preserve">El recurrente fallezca o, tratándose de personas jurídicas colectivas, se disuelva; </w:t>
      </w:r>
    </w:p>
    <w:p w:rsidR="00F24972" w:rsidRPr="00473550" w:rsidRDefault="00F24972" w:rsidP="00F24972">
      <w:pPr>
        <w:numPr>
          <w:ilvl w:val="0"/>
          <w:numId w:val="9"/>
        </w:numPr>
        <w:autoSpaceDE w:val="0"/>
        <w:autoSpaceDN w:val="0"/>
        <w:adjustRightInd w:val="0"/>
        <w:spacing w:line="259" w:lineRule="auto"/>
        <w:rPr>
          <w:rFonts w:cs="Arial"/>
          <w:i/>
          <w:sz w:val="22"/>
        </w:rPr>
      </w:pPr>
      <w:r w:rsidRPr="00473550">
        <w:rPr>
          <w:b/>
          <w:i/>
          <w:sz w:val="22"/>
          <w:u w:val="single"/>
        </w:rPr>
        <w:t>El sujeto obligado responsable del acto lo modifique o revoque de tal manera que el recurso de revisión quede sin materia</w:t>
      </w:r>
      <w:r w:rsidRPr="00473550">
        <w:rPr>
          <w:i/>
          <w:sz w:val="22"/>
        </w:rPr>
        <w:t xml:space="preserve">; </w:t>
      </w:r>
    </w:p>
    <w:p w:rsidR="00F24972" w:rsidRPr="00473550" w:rsidRDefault="00F24972" w:rsidP="00F24972">
      <w:pPr>
        <w:numPr>
          <w:ilvl w:val="0"/>
          <w:numId w:val="9"/>
        </w:numPr>
        <w:autoSpaceDE w:val="0"/>
        <w:autoSpaceDN w:val="0"/>
        <w:adjustRightInd w:val="0"/>
        <w:spacing w:line="259" w:lineRule="auto"/>
        <w:rPr>
          <w:rFonts w:cs="Arial"/>
          <w:i/>
          <w:sz w:val="22"/>
        </w:rPr>
      </w:pPr>
      <w:r w:rsidRPr="00473550">
        <w:rPr>
          <w:i/>
          <w:sz w:val="22"/>
        </w:rPr>
        <w:t xml:space="preserve">Admitido el recurso de revisión, aparezca alguna causal de improcedencia en los términos de la presente Ley; y </w:t>
      </w:r>
    </w:p>
    <w:p w:rsidR="00F24972" w:rsidRPr="00473550" w:rsidRDefault="00F24972" w:rsidP="00F24972">
      <w:pPr>
        <w:numPr>
          <w:ilvl w:val="0"/>
          <w:numId w:val="9"/>
        </w:numPr>
        <w:autoSpaceDE w:val="0"/>
        <w:autoSpaceDN w:val="0"/>
        <w:adjustRightInd w:val="0"/>
        <w:spacing w:line="259" w:lineRule="auto"/>
        <w:rPr>
          <w:rFonts w:cs="Arial"/>
          <w:i/>
          <w:sz w:val="22"/>
        </w:rPr>
      </w:pPr>
      <w:r w:rsidRPr="00473550">
        <w:rPr>
          <w:i/>
          <w:sz w:val="22"/>
        </w:rPr>
        <w:t>Cuando por cualquier motivo quede sin materia el recurso.”</w:t>
      </w:r>
    </w:p>
    <w:p w:rsidR="00F24972" w:rsidRPr="00473550" w:rsidRDefault="00F24972" w:rsidP="00F24972">
      <w:pPr>
        <w:spacing w:line="259" w:lineRule="auto"/>
        <w:rPr>
          <w:rFonts w:eastAsiaTheme="minorHAnsi" w:cstheme="minorBidi"/>
        </w:rPr>
      </w:pPr>
    </w:p>
    <w:p w:rsidR="00F24972" w:rsidRPr="00473550" w:rsidRDefault="00F24972" w:rsidP="00F24972">
      <w:pPr>
        <w:rPr>
          <w:rFonts w:eastAsiaTheme="minorHAnsi" w:cs="Arial"/>
          <w:lang w:val="es-MX" w:eastAsia="en-US"/>
        </w:rPr>
      </w:pPr>
    </w:p>
    <w:p w:rsidR="00F24972" w:rsidRPr="00473550" w:rsidRDefault="00F24972" w:rsidP="00F24972">
      <w:pPr>
        <w:rPr>
          <w:rFonts w:eastAsiaTheme="minorHAnsi" w:cs="Arial"/>
          <w:lang w:val="es-MX" w:eastAsia="en-US"/>
        </w:rPr>
      </w:pPr>
      <w:r w:rsidRPr="00473550">
        <w:rPr>
          <w:rFonts w:eastAsiaTheme="minorHAnsi" w:cs="Arial"/>
          <w:lang w:val="es-MX" w:eastAsia="en-US"/>
        </w:rPr>
        <w:t>Por otra parte, la doctrina del sobreseimiento provoca que un procedimiento se suspenda o se resuelva en definitiva sin que se entre al estudio de los agravios o motivos de inconformidad. Este mismo criterio es compartido por el más alto tribunal del país en múltiples jurisprudencias, por lo que a continuación se agrega una de ellas que sirve como orientador en esta resolución:</w:t>
      </w:r>
    </w:p>
    <w:p w:rsidR="00F24972" w:rsidRPr="00473550" w:rsidRDefault="00F24972" w:rsidP="00F24972">
      <w:pPr>
        <w:rPr>
          <w:rFonts w:eastAsiaTheme="minorHAnsi" w:cs="Arial"/>
          <w:lang w:val="es-MX" w:eastAsia="en-US"/>
        </w:rPr>
      </w:pPr>
    </w:p>
    <w:p w:rsidR="00F24972" w:rsidRPr="00473550" w:rsidRDefault="00F24972" w:rsidP="00F24972">
      <w:pPr>
        <w:ind w:left="851" w:right="851"/>
        <w:rPr>
          <w:rFonts w:eastAsiaTheme="minorHAnsi" w:cs="Arial"/>
          <w:b/>
          <w:i/>
          <w:sz w:val="22"/>
          <w:lang w:val="es-MX" w:eastAsia="en-US"/>
        </w:rPr>
      </w:pPr>
      <w:r w:rsidRPr="00473550">
        <w:rPr>
          <w:rFonts w:eastAsiaTheme="minorHAnsi" w:cs="Arial"/>
          <w:b/>
          <w:i/>
          <w:sz w:val="22"/>
          <w:lang w:val="es-MX" w:eastAsia="en-US"/>
        </w:rPr>
        <w:t>“SOBRESEIMIENTO EN EL JUICIO DE AMPARO DIRECTO. IMPIDE EL ESTUDIO DE LAS VIOLACIONES PROCESALES PLANTEADAS EN LOS CONCEPTOS DE VIOLACIÓN.</w:t>
      </w:r>
    </w:p>
    <w:p w:rsidR="00F24972" w:rsidRPr="00473550" w:rsidRDefault="00F24972" w:rsidP="00F24972">
      <w:pPr>
        <w:ind w:left="851" w:right="851"/>
        <w:rPr>
          <w:rFonts w:eastAsiaTheme="minorHAnsi" w:cstheme="minorBidi"/>
          <w:i/>
          <w:color w:val="000000"/>
          <w:sz w:val="22"/>
          <w:lang w:val="es-MX" w:eastAsia="en-US"/>
        </w:rPr>
      </w:pPr>
      <w:r w:rsidRPr="00473550">
        <w:rPr>
          <w:rFonts w:eastAsiaTheme="minorHAnsi" w:cs="Arial"/>
          <w:b/>
          <w:i/>
          <w:sz w:val="22"/>
          <w:u w:val="single"/>
          <w:lang w:val="es-MX" w:eastAsia="en-US"/>
        </w:rPr>
        <w:t>El sobreseimiento</w:t>
      </w:r>
      <w:r w:rsidRPr="00473550">
        <w:rPr>
          <w:rFonts w:eastAsiaTheme="minorHAnsi" w:cs="Arial"/>
          <w:b/>
          <w:i/>
          <w:sz w:val="22"/>
          <w:lang w:val="es-MX" w:eastAsia="en-US"/>
        </w:rPr>
        <w:t xml:space="preserve"> </w:t>
      </w:r>
      <w:r w:rsidRPr="00473550">
        <w:rPr>
          <w:rFonts w:eastAsiaTheme="minorHAnsi" w:cs="Arial"/>
          <w:i/>
          <w:sz w:val="22"/>
          <w:lang w:val="es-MX" w:eastAsia="en-US"/>
        </w:rPr>
        <w:t xml:space="preserve">en el juicio de amparo directo </w:t>
      </w:r>
      <w:r w:rsidRPr="00473550">
        <w:rPr>
          <w:rFonts w:eastAsiaTheme="minorHAnsi" w:cs="Arial"/>
          <w:b/>
          <w:i/>
          <w:sz w:val="22"/>
          <w:u w:val="single"/>
          <w:lang w:val="es-MX" w:eastAsia="en-US"/>
        </w:rPr>
        <w:t>provoca la terminación de la controversia planteada</w:t>
      </w:r>
      <w:r w:rsidRPr="00473550">
        <w:rPr>
          <w:rFonts w:eastAsiaTheme="minorHAnsi" w:cs="Arial"/>
          <w:b/>
          <w:i/>
          <w:sz w:val="22"/>
          <w:lang w:val="es-MX" w:eastAsia="en-US"/>
        </w:rPr>
        <w:t xml:space="preserve"> </w:t>
      </w:r>
      <w:r w:rsidRPr="00473550">
        <w:rPr>
          <w:rFonts w:eastAsiaTheme="minorHAnsi" w:cs="Arial"/>
          <w:i/>
          <w:sz w:val="22"/>
          <w:lang w:val="es-MX" w:eastAsia="en-US"/>
        </w:rPr>
        <w:t>por el quejoso en la demanda de amparo</w:t>
      </w:r>
      <w:r w:rsidRPr="00473550">
        <w:rPr>
          <w:rFonts w:ascii="Calibri" w:eastAsiaTheme="minorHAnsi" w:hAnsi="Calibri" w:cstheme="minorBidi"/>
          <w:color w:val="000000"/>
          <w:sz w:val="26"/>
          <w:szCs w:val="26"/>
          <w:lang w:val="es-MX" w:eastAsia="en-US"/>
        </w:rPr>
        <w:t xml:space="preserve"> </w:t>
      </w:r>
      <w:r w:rsidRPr="00473550">
        <w:rPr>
          <w:rFonts w:eastAsiaTheme="minorHAnsi" w:cstheme="minorBidi"/>
          <w:i/>
          <w:color w:val="000000"/>
          <w:sz w:val="22"/>
          <w:lang w:val="es-MX" w:eastAsia="en-US"/>
        </w:rPr>
        <w:t xml:space="preserve">provoca la terminación de la controversia planteada por el quejoso en la demanda de </w:t>
      </w:r>
      <w:r w:rsidRPr="00473550">
        <w:rPr>
          <w:rFonts w:eastAsiaTheme="minorHAnsi" w:cstheme="minorBidi"/>
          <w:b/>
          <w:i/>
          <w:color w:val="000000"/>
          <w:sz w:val="22"/>
          <w:lang w:val="es-MX" w:eastAsia="en-US"/>
        </w:rPr>
        <w:t>amparo</w:t>
      </w:r>
      <w:r w:rsidRPr="00473550">
        <w:rPr>
          <w:rFonts w:eastAsiaTheme="minorHAnsi" w:cstheme="minorBidi"/>
          <w:i/>
          <w:color w:val="000000"/>
          <w:sz w:val="22"/>
          <w:lang w:val="es-MX" w:eastAsia="en-US"/>
        </w:rPr>
        <w:t>, sin hacer un pronunciamiento de fondo sobre la legalidad o ilegalidad de la sentencia reclamada. Por consiguiente, si al sobreseerse en el</w:t>
      </w:r>
      <w:r w:rsidRPr="00473550">
        <w:rPr>
          <w:rFonts w:eastAsiaTheme="minorHAnsi" w:cstheme="minorBidi"/>
          <w:b/>
          <w:i/>
          <w:color w:val="000000"/>
          <w:sz w:val="22"/>
          <w:lang w:val="es-MX" w:eastAsia="en-US"/>
        </w:rPr>
        <w:t xml:space="preserve"> juicio </w:t>
      </w:r>
      <w:r w:rsidRPr="00473550">
        <w:rPr>
          <w:rFonts w:eastAsiaTheme="minorHAnsi" w:cstheme="minorBidi"/>
          <w:i/>
          <w:color w:val="000000"/>
          <w:sz w:val="22"/>
          <w:lang w:val="es-MX" w:eastAsia="en-US"/>
        </w:rPr>
        <w:t xml:space="preserve">de </w:t>
      </w:r>
      <w:r w:rsidRPr="00473550">
        <w:rPr>
          <w:rFonts w:eastAsiaTheme="minorHAnsi" w:cstheme="minorBidi"/>
          <w:b/>
          <w:i/>
          <w:color w:val="000000"/>
          <w:sz w:val="22"/>
          <w:lang w:val="es-MX" w:eastAsia="en-US"/>
        </w:rPr>
        <w:t>amparo</w:t>
      </w:r>
      <w:r w:rsidRPr="00473550">
        <w:rPr>
          <w:rFonts w:eastAsiaTheme="minorHAnsi" w:cstheme="minorBidi"/>
          <w:i/>
          <w:color w:val="000000"/>
          <w:sz w:val="22"/>
          <w:lang w:val="es-MX" w:eastAsia="en-US"/>
        </w:rPr>
        <w:t xml:space="preserve"> no se pueden estudiar los planteamientos que se hacen valer en contra del fallo reclamado, tampoco se deben analizar las</w:t>
      </w:r>
      <w:r w:rsidRPr="00473550">
        <w:rPr>
          <w:rFonts w:eastAsiaTheme="minorHAnsi" w:cstheme="minorBidi"/>
          <w:b/>
          <w:i/>
          <w:color w:val="000000"/>
          <w:sz w:val="22"/>
          <w:lang w:val="es-MX" w:eastAsia="en-US"/>
        </w:rPr>
        <w:t xml:space="preserve"> violaciones procesales</w:t>
      </w:r>
      <w:r w:rsidRPr="00473550">
        <w:rPr>
          <w:rFonts w:eastAsiaTheme="minorHAnsi" w:cstheme="minorBidi"/>
          <w:i/>
          <w:color w:val="000000"/>
          <w:sz w:val="22"/>
          <w:lang w:val="es-MX" w:eastAsia="en-US"/>
        </w:rPr>
        <w:t xml:space="preserve"> propuestas en los </w:t>
      </w:r>
      <w:r w:rsidRPr="00473550">
        <w:rPr>
          <w:rFonts w:eastAsiaTheme="minorHAnsi" w:cstheme="minorBidi"/>
          <w:b/>
          <w:i/>
          <w:color w:val="000000"/>
          <w:sz w:val="22"/>
          <w:lang w:val="es-MX" w:eastAsia="en-US"/>
        </w:rPr>
        <w:t xml:space="preserve">conceptos </w:t>
      </w:r>
      <w:r w:rsidRPr="00473550">
        <w:rPr>
          <w:rFonts w:eastAsiaTheme="minorHAnsi" w:cstheme="minorBidi"/>
          <w:i/>
          <w:color w:val="000000"/>
          <w:sz w:val="22"/>
          <w:lang w:val="es-MX" w:eastAsia="en-US"/>
        </w:rPr>
        <w:t xml:space="preserve">de </w:t>
      </w:r>
      <w:r w:rsidRPr="00473550">
        <w:rPr>
          <w:rFonts w:eastAsiaTheme="minorHAnsi" w:cstheme="minorBidi"/>
          <w:b/>
          <w:i/>
          <w:color w:val="000000"/>
          <w:sz w:val="22"/>
          <w:lang w:val="es-MX" w:eastAsia="en-US"/>
        </w:rPr>
        <w:t>violación</w:t>
      </w:r>
      <w:r w:rsidRPr="00473550">
        <w:rPr>
          <w:rFonts w:eastAsiaTheme="minorHAnsi" w:cstheme="minorBidi"/>
          <w:i/>
          <w:color w:val="000000"/>
          <w:sz w:val="22"/>
          <w:lang w:val="es-MX" w:eastAsia="en-US"/>
        </w:rPr>
        <w:t xml:space="preserve">, dado que, la principal consecuencia del </w:t>
      </w:r>
      <w:r w:rsidRPr="00473550">
        <w:rPr>
          <w:rFonts w:eastAsiaTheme="minorHAnsi" w:cstheme="minorBidi"/>
          <w:b/>
          <w:i/>
          <w:color w:val="000000"/>
          <w:sz w:val="22"/>
          <w:lang w:val="es-MX" w:eastAsia="en-US"/>
        </w:rPr>
        <w:t>sobreseimiento</w:t>
      </w:r>
      <w:r w:rsidRPr="00473550">
        <w:rPr>
          <w:rFonts w:eastAsiaTheme="minorHAnsi" w:cstheme="minorBidi"/>
          <w:i/>
          <w:color w:val="000000"/>
          <w:sz w:val="22"/>
          <w:lang w:val="es-MX" w:eastAsia="en-US"/>
        </w:rPr>
        <w:t xml:space="preserve"> es poner fin al </w:t>
      </w:r>
      <w:r w:rsidRPr="00473550">
        <w:rPr>
          <w:rFonts w:eastAsiaTheme="minorHAnsi" w:cstheme="minorBidi"/>
          <w:b/>
          <w:i/>
          <w:color w:val="000000"/>
          <w:sz w:val="22"/>
          <w:lang w:val="es-MX" w:eastAsia="en-US"/>
        </w:rPr>
        <w:t xml:space="preserve">juicio </w:t>
      </w:r>
      <w:r w:rsidRPr="00473550">
        <w:rPr>
          <w:rFonts w:eastAsiaTheme="minorHAnsi" w:cstheme="minorBidi"/>
          <w:i/>
          <w:color w:val="000000"/>
          <w:sz w:val="22"/>
          <w:lang w:val="es-MX" w:eastAsia="en-US"/>
        </w:rPr>
        <w:t xml:space="preserve">de </w:t>
      </w:r>
      <w:r w:rsidRPr="00473550">
        <w:rPr>
          <w:rFonts w:eastAsiaTheme="minorHAnsi" w:cstheme="minorBidi"/>
          <w:b/>
          <w:i/>
          <w:color w:val="000000"/>
          <w:sz w:val="22"/>
          <w:lang w:val="es-MX" w:eastAsia="en-US"/>
        </w:rPr>
        <w:t xml:space="preserve">amparo </w:t>
      </w:r>
      <w:r w:rsidRPr="00473550">
        <w:rPr>
          <w:rFonts w:eastAsiaTheme="minorHAnsi" w:cstheme="minorBidi"/>
          <w:i/>
          <w:color w:val="000000"/>
          <w:sz w:val="22"/>
          <w:lang w:val="es-MX" w:eastAsia="en-US"/>
        </w:rPr>
        <w:t>sin resolver la controversia en sus méritos.  </w:t>
      </w:r>
    </w:p>
    <w:p w:rsidR="00F24972" w:rsidRPr="00473550" w:rsidRDefault="00F24972" w:rsidP="00F24972">
      <w:pPr>
        <w:ind w:left="851" w:right="851"/>
        <w:rPr>
          <w:rFonts w:eastAsiaTheme="minorHAnsi" w:cs="Arial"/>
          <w:b/>
          <w:i/>
          <w:sz w:val="22"/>
          <w:lang w:val="es-MX" w:eastAsia="en-US"/>
        </w:rPr>
      </w:pPr>
      <w:r w:rsidRPr="00473550">
        <w:rPr>
          <w:rFonts w:eastAsiaTheme="minorHAnsi" w:cs="Arial"/>
          <w:b/>
          <w:i/>
          <w:sz w:val="22"/>
          <w:lang w:val="es-MX" w:eastAsia="en-US"/>
        </w:rPr>
        <w:lastRenderedPageBreak/>
        <w:t>SÉPTIMO TRIBUNAL COLEGIADO EN MATERIA CIVIL DEL PRIMER CIRCUITO.</w:t>
      </w:r>
    </w:p>
    <w:p w:rsidR="00F24972" w:rsidRPr="00473550" w:rsidRDefault="00F24972" w:rsidP="00F24972">
      <w:pPr>
        <w:ind w:left="851" w:right="851"/>
        <w:rPr>
          <w:rFonts w:eastAsiaTheme="minorHAnsi" w:cs="Arial"/>
          <w:i/>
          <w:sz w:val="22"/>
          <w:lang w:val="es-MX" w:eastAsia="en-US"/>
        </w:rPr>
      </w:pPr>
      <w:r w:rsidRPr="00473550">
        <w:rPr>
          <w:rFonts w:eastAsiaTheme="minorHAnsi" w:cs="Arial"/>
          <w:i/>
          <w:sz w:val="22"/>
          <w:lang w:val="es-MX" w:eastAsia="en-US"/>
        </w:rPr>
        <w:t xml:space="preserve">Amparo directo 699/2008. Mariana Leticia González </w:t>
      </w:r>
      <w:proofErr w:type="spellStart"/>
      <w:r w:rsidRPr="00473550">
        <w:rPr>
          <w:rFonts w:eastAsiaTheme="minorHAnsi" w:cs="Arial"/>
          <w:i/>
          <w:sz w:val="22"/>
          <w:lang w:val="es-MX" w:eastAsia="en-US"/>
        </w:rPr>
        <w:t>Steele</w:t>
      </w:r>
      <w:proofErr w:type="spellEnd"/>
      <w:r w:rsidRPr="00473550">
        <w:rPr>
          <w:rFonts w:eastAsiaTheme="minorHAnsi" w:cs="Arial"/>
          <w:i/>
          <w:sz w:val="22"/>
          <w:lang w:val="es-MX" w:eastAsia="en-US"/>
        </w:rPr>
        <w:t>. 13 de noviembre de 2008. Unanimidad de votos. Ponente: Sara Judith Montalvo Trejo. Secretario: Arnulfo Mateos García.”</w:t>
      </w:r>
      <w:r w:rsidRPr="00473550">
        <w:rPr>
          <w:b/>
          <w:i/>
          <w:sz w:val="22"/>
        </w:rPr>
        <w:t xml:space="preserve"> [Sic]</w:t>
      </w:r>
    </w:p>
    <w:p w:rsidR="00F24972" w:rsidRPr="00473550" w:rsidRDefault="00F24972" w:rsidP="00F24972">
      <w:pPr>
        <w:autoSpaceDE w:val="0"/>
        <w:autoSpaceDN w:val="0"/>
        <w:adjustRightInd w:val="0"/>
        <w:rPr>
          <w:rFonts w:cs="Arial"/>
        </w:rPr>
      </w:pPr>
    </w:p>
    <w:p w:rsidR="00F24972" w:rsidRPr="00473550" w:rsidRDefault="00F24972" w:rsidP="00F24972">
      <w:pPr>
        <w:autoSpaceDE w:val="0"/>
        <w:autoSpaceDN w:val="0"/>
        <w:adjustRightInd w:val="0"/>
        <w:rPr>
          <w:rFonts w:cs="Arial"/>
        </w:rPr>
      </w:pPr>
      <w:r w:rsidRPr="00473550">
        <w:rPr>
          <w:rFonts w:cs="Arial"/>
        </w:rPr>
        <w:t>Por lo que hace a los requisitos de procedencia del sobreseimiento en términos del artículo 192, de la Ley de Transparencia estatal se establece lo siguiente:</w:t>
      </w:r>
    </w:p>
    <w:p w:rsidR="00F24972" w:rsidRPr="00473550" w:rsidRDefault="00F24972" w:rsidP="00F24972"/>
    <w:p w:rsidR="00F24972" w:rsidRPr="00473550" w:rsidRDefault="00F24972" w:rsidP="00F24972">
      <w:pPr>
        <w:numPr>
          <w:ilvl w:val="0"/>
          <w:numId w:val="8"/>
        </w:numPr>
        <w:autoSpaceDE w:val="0"/>
        <w:autoSpaceDN w:val="0"/>
        <w:adjustRightInd w:val="0"/>
        <w:ind w:left="851" w:right="850" w:firstLine="10"/>
        <w:rPr>
          <w:rFonts w:cs="Arial"/>
        </w:rPr>
      </w:pPr>
      <w:r w:rsidRPr="00473550">
        <w:rPr>
          <w:rFonts w:cs="Arial"/>
        </w:rPr>
        <w:t xml:space="preserve">Mediante acuerdo de fecha </w:t>
      </w:r>
      <w:r w:rsidR="007E61AC" w:rsidRPr="00473550">
        <w:rPr>
          <w:rFonts w:cs="Arial"/>
          <w:b/>
        </w:rPr>
        <w:t>tres de octubre</w:t>
      </w:r>
      <w:r w:rsidRPr="00473550">
        <w:rPr>
          <w:rFonts w:cs="Arial"/>
          <w:b/>
        </w:rPr>
        <w:t xml:space="preserve"> de dos mil veinticinco</w:t>
      </w:r>
      <w:r w:rsidRPr="00473550">
        <w:rPr>
          <w:rFonts w:cs="Arial"/>
        </w:rPr>
        <w:t xml:space="preserve">, el Comisionado </w:t>
      </w:r>
      <w:r w:rsidRPr="00473550">
        <w:rPr>
          <w:rFonts w:cs="Arial"/>
          <w:b/>
        </w:rPr>
        <w:t>José Martínez Vilchis</w:t>
      </w:r>
      <w:r w:rsidRPr="00473550">
        <w:rPr>
          <w:rFonts w:cs="Arial"/>
        </w:rPr>
        <w:t>, admitió a trámite el recurso de revisión que nos ocupa</w:t>
      </w:r>
      <w:r w:rsidRPr="00473550">
        <w:rPr>
          <w:rFonts w:cs="Arial"/>
          <w:lang w:val="es-MX"/>
        </w:rPr>
        <w:t>.</w:t>
      </w:r>
    </w:p>
    <w:p w:rsidR="00F24972" w:rsidRPr="00473550" w:rsidRDefault="00F24972" w:rsidP="00F24972">
      <w:pPr>
        <w:rPr>
          <w:lang w:val="es-MX"/>
        </w:rPr>
      </w:pPr>
    </w:p>
    <w:p w:rsidR="00F24972" w:rsidRPr="00473550" w:rsidRDefault="00F24972" w:rsidP="00F24972">
      <w:pPr>
        <w:numPr>
          <w:ilvl w:val="0"/>
          <w:numId w:val="8"/>
        </w:numPr>
        <w:autoSpaceDE w:val="0"/>
        <w:autoSpaceDN w:val="0"/>
        <w:adjustRightInd w:val="0"/>
        <w:ind w:left="851" w:right="850" w:firstLine="10"/>
      </w:pPr>
      <w:r w:rsidRPr="00473550">
        <w:rPr>
          <w:rFonts w:cs="Arial"/>
        </w:rPr>
        <w:t xml:space="preserve">Lo esgrimido por </w:t>
      </w:r>
      <w:r w:rsidRPr="00473550">
        <w:rPr>
          <w:rFonts w:cs="Arial"/>
          <w:b/>
        </w:rPr>
        <w:t>el Recurrente</w:t>
      </w:r>
      <w:r w:rsidRPr="00473550">
        <w:rPr>
          <w:rFonts w:cs="Arial"/>
        </w:rPr>
        <w:t xml:space="preserve"> dentro del recurso de revisión impugnado queda sin materia, toda vez que </w:t>
      </w:r>
      <w:r w:rsidRPr="00473550">
        <w:rPr>
          <w:rFonts w:cs="Arial"/>
          <w:b/>
        </w:rPr>
        <w:t>El Sujeto Obligado</w:t>
      </w:r>
      <w:r w:rsidRPr="00473550">
        <w:rPr>
          <w:rFonts w:cs="Arial"/>
        </w:rPr>
        <w:t xml:space="preserve"> colmó el derecho de acceso a la información del </w:t>
      </w:r>
      <w:r w:rsidRPr="00473550">
        <w:rPr>
          <w:rFonts w:cs="Arial"/>
          <w:b/>
        </w:rPr>
        <w:t>Recurrente</w:t>
      </w:r>
      <w:r w:rsidRPr="00473550">
        <w:rPr>
          <w:rFonts w:cs="Arial"/>
        </w:rPr>
        <w:t>,</w:t>
      </w:r>
      <w:r w:rsidRPr="00473550">
        <w:rPr>
          <w:rFonts w:cs="Arial"/>
          <w:b/>
        </w:rPr>
        <w:t xml:space="preserve"> </w:t>
      </w:r>
      <w:r w:rsidRPr="00473550">
        <w:rPr>
          <w:rFonts w:cs="Arial"/>
        </w:rPr>
        <w:t>ello al modificar su respuesta primigenia, mediante la información remitida en su informe justificado</w:t>
      </w:r>
      <w:r w:rsidR="007E61AC" w:rsidRPr="00473550">
        <w:rPr>
          <w:rFonts w:cs="Arial"/>
        </w:rPr>
        <w:t xml:space="preserve"> al adjuntar el organigrama vigente a la fecha de la solicitud</w:t>
      </w:r>
      <w:r w:rsidRPr="00473550">
        <w:rPr>
          <w:rFonts w:cs="Arial"/>
        </w:rPr>
        <w:t xml:space="preserve">, en fecha </w:t>
      </w:r>
      <w:r w:rsidR="007E61AC" w:rsidRPr="00473550">
        <w:rPr>
          <w:rFonts w:cs="Arial"/>
          <w:b/>
        </w:rPr>
        <w:t>nueve de octubre</w:t>
      </w:r>
      <w:r w:rsidRPr="00473550">
        <w:rPr>
          <w:rFonts w:cs="Arial"/>
          <w:b/>
        </w:rPr>
        <w:t xml:space="preserve"> de dos mil veinticinco.</w:t>
      </w:r>
    </w:p>
    <w:p w:rsidR="00F24972" w:rsidRPr="00473550" w:rsidRDefault="00F24972" w:rsidP="00F24972">
      <w:pPr>
        <w:autoSpaceDE w:val="0"/>
        <w:autoSpaceDN w:val="0"/>
        <w:adjustRightInd w:val="0"/>
        <w:ind w:left="861" w:right="850"/>
      </w:pPr>
    </w:p>
    <w:p w:rsidR="00F24972" w:rsidRPr="00473550" w:rsidRDefault="00F24972" w:rsidP="00F24972">
      <w:pPr>
        <w:numPr>
          <w:ilvl w:val="0"/>
          <w:numId w:val="8"/>
        </w:numPr>
        <w:autoSpaceDE w:val="0"/>
        <w:autoSpaceDN w:val="0"/>
        <w:adjustRightInd w:val="0"/>
        <w:ind w:left="851" w:right="850" w:firstLine="10"/>
        <w:rPr>
          <w:rFonts w:cs="Arial"/>
        </w:rPr>
      </w:pPr>
      <w:r w:rsidRPr="00473550">
        <w:rPr>
          <w:rFonts w:cs="Arial"/>
        </w:rPr>
        <w:t xml:space="preserve">El recurso </w:t>
      </w:r>
      <w:r w:rsidR="007E61AC" w:rsidRPr="00473550">
        <w:rPr>
          <w:rFonts w:cs="Arial"/>
          <w:b/>
          <w:bCs/>
          <w:lang w:val="es-MX"/>
        </w:rPr>
        <w:t>11175</w:t>
      </w:r>
      <w:r w:rsidRPr="00473550">
        <w:rPr>
          <w:rFonts w:cs="Arial"/>
          <w:b/>
          <w:bCs/>
          <w:lang w:val="es-MX"/>
        </w:rPr>
        <w:t>/INFOEM/IP/RR/2025</w:t>
      </w:r>
      <w:r w:rsidRPr="00473550">
        <w:rPr>
          <w:rFonts w:cs="Arial"/>
          <w:bCs/>
        </w:rPr>
        <w:t>,</w:t>
      </w:r>
      <w:r w:rsidRPr="00473550">
        <w:rPr>
          <w:rFonts w:cs="Arial"/>
        </w:rPr>
        <w:t xml:space="preserve"> actualiza la hipótesis V inmersa en el numeral 179, de la Ley en materia vigente en la entidad. </w:t>
      </w:r>
    </w:p>
    <w:p w:rsidR="00F24972" w:rsidRPr="00473550" w:rsidRDefault="00F24972" w:rsidP="00F24972">
      <w:pPr>
        <w:autoSpaceDE w:val="0"/>
        <w:autoSpaceDN w:val="0"/>
        <w:adjustRightInd w:val="0"/>
      </w:pPr>
    </w:p>
    <w:p w:rsidR="00F24972" w:rsidRPr="00473550" w:rsidRDefault="00F24972" w:rsidP="00F24972">
      <w:pPr>
        <w:autoSpaceDE w:val="0"/>
        <w:autoSpaceDN w:val="0"/>
        <w:adjustRightInd w:val="0"/>
      </w:pPr>
      <w:r w:rsidRPr="00473550">
        <w:lastRenderedPageBreak/>
        <w:t xml:space="preserve">Es importante resaltar a manera de analogía que la Suprema Corte de Justicia de la Nación mediante el número 2 de la Serie </w:t>
      </w:r>
      <w:r w:rsidRPr="00473550">
        <w:rPr>
          <w:i/>
        </w:rPr>
        <w:t xml:space="preserve">Estudios Introductorios sobre el Juicio de Amparo </w:t>
      </w:r>
      <w:r w:rsidRPr="00473550">
        <w:t xml:space="preserve">relativo a </w:t>
      </w:r>
      <w:r w:rsidRPr="00473550">
        <w:rPr>
          <w:i/>
        </w:rPr>
        <w:t xml:space="preserve">LA IMPROCEDENCIA DE LA ACCIÓN DE AMPARO </w:t>
      </w:r>
      <w:r w:rsidRPr="00473550">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473550">
        <w:rPr>
          <w:b/>
          <w:u w:val="single"/>
        </w:rPr>
        <w:t>lo que generará que la demanda sea desechada; o bien, después de admitida la demanda, lo que tendrá como consecuencia que se sobresea en el juicio.</w:t>
      </w:r>
    </w:p>
    <w:p w:rsidR="00F24972" w:rsidRPr="00473550" w:rsidRDefault="00F24972" w:rsidP="00F24972">
      <w:pPr>
        <w:autoSpaceDE w:val="0"/>
        <w:autoSpaceDN w:val="0"/>
        <w:adjustRightInd w:val="0"/>
      </w:pPr>
    </w:p>
    <w:p w:rsidR="00F24972" w:rsidRPr="00473550" w:rsidRDefault="00F24972" w:rsidP="00F24972">
      <w:pPr>
        <w:autoSpaceDE w:val="0"/>
        <w:autoSpaceDN w:val="0"/>
        <w:adjustRightInd w:val="0"/>
      </w:pPr>
      <w:r w:rsidRPr="00473550">
        <w:t xml:space="preserve">Por lo tanto, en mérito de lo expuesto en líneas anteriores, </w:t>
      </w:r>
      <w:r w:rsidRPr="00473550">
        <w:rPr>
          <w:rFonts w:cs="Arial"/>
          <w:b/>
        </w:rPr>
        <w:t xml:space="preserve">con fundamento en la fracción III del artículo 192, </w:t>
      </w:r>
      <w:r w:rsidRPr="00473550">
        <w:rPr>
          <w:rFonts w:cs="Arial"/>
        </w:rPr>
        <w:t xml:space="preserve">de la Ley de Transparencia y Acceso a la Información Pública del Estado de México y Municipios, se </w:t>
      </w:r>
      <w:r w:rsidRPr="00473550">
        <w:rPr>
          <w:rFonts w:cs="Arial"/>
          <w:b/>
        </w:rPr>
        <w:t xml:space="preserve">SOBRESEE </w:t>
      </w:r>
      <w:r w:rsidRPr="00473550">
        <w:rPr>
          <w:rFonts w:cs="Arial"/>
        </w:rPr>
        <w:t xml:space="preserve">el recurso de revisión </w:t>
      </w:r>
      <w:r w:rsidR="007E61AC" w:rsidRPr="00473550">
        <w:rPr>
          <w:rFonts w:cs="Arial"/>
          <w:b/>
        </w:rPr>
        <w:t>11175</w:t>
      </w:r>
      <w:r w:rsidRPr="00473550">
        <w:rPr>
          <w:rFonts w:cs="Arial"/>
          <w:b/>
        </w:rPr>
        <w:t>/INFOEM/IP/RR/2025</w:t>
      </w:r>
      <w:r w:rsidRPr="00473550">
        <w:rPr>
          <w:rFonts w:cs="Arial"/>
        </w:rPr>
        <w:t>,</w:t>
      </w:r>
      <w:r w:rsidRPr="00473550">
        <w:t xml:space="preserve"> que ha sido materia del presente fallo.</w:t>
      </w:r>
    </w:p>
    <w:p w:rsidR="00F24972" w:rsidRPr="00473550" w:rsidRDefault="00F24972" w:rsidP="00F24972">
      <w:pPr>
        <w:rPr>
          <w:lang w:val="es-MX"/>
        </w:rPr>
      </w:pPr>
      <w:r w:rsidRPr="00473550">
        <w:rPr>
          <w:lang w:val="es-MX"/>
        </w:rPr>
        <w:t>Por lo antes expuesto y fundado es de resolverse y,</w:t>
      </w:r>
    </w:p>
    <w:p w:rsidR="00F24972" w:rsidRPr="00473550" w:rsidRDefault="00F24972" w:rsidP="00F24972">
      <w:pPr>
        <w:contextualSpacing/>
        <w:rPr>
          <w:rFonts w:eastAsia="MS Mincho" w:cstheme="minorBidi"/>
          <w:sz w:val="28"/>
          <w:lang w:val="es-MX" w:eastAsia="en-US"/>
        </w:rPr>
      </w:pPr>
    </w:p>
    <w:p w:rsidR="00F24972" w:rsidRPr="00473550" w:rsidRDefault="00F24972" w:rsidP="00F24972">
      <w:pPr>
        <w:jc w:val="center"/>
        <w:rPr>
          <w:rFonts w:eastAsiaTheme="minorHAnsi" w:cstheme="minorBidi"/>
          <w:b/>
          <w:spacing w:val="60"/>
          <w:sz w:val="28"/>
          <w:lang w:val="es-MX" w:eastAsia="en-US"/>
        </w:rPr>
      </w:pPr>
      <w:r w:rsidRPr="00473550">
        <w:rPr>
          <w:rFonts w:eastAsiaTheme="minorHAnsi" w:cstheme="minorBidi"/>
          <w:b/>
          <w:spacing w:val="60"/>
          <w:sz w:val="28"/>
          <w:lang w:val="es-MX" w:eastAsia="en-US"/>
        </w:rPr>
        <w:t>S E RESUELVE</w:t>
      </w:r>
    </w:p>
    <w:p w:rsidR="00F24972" w:rsidRPr="00473550" w:rsidRDefault="00F24972" w:rsidP="00F24972">
      <w:pPr>
        <w:jc w:val="center"/>
        <w:rPr>
          <w:rFonts w:eastAsiaTheme="minorHAnsi" w:cstheme="minorBidi"/>
          <w:b/>
          <w:spacing w:val="60"/>
          <w:sz w:val="28"/>
          <w:lang w:val="es-MX" w:eastAsia="en-US"/>
        </w:rPr>
      </w:pPr>
    </w:p>
    <w:p w:rsidR="00F24972" w:rsidRPr="00473550" w:rsidRDefault="00F24972" w:rsidP="00F24972">
      <w:pPr>
        <w:rPr>
          <w:rFonts w:eastAsiaTheme="minorHAnsi" w:cs="Arial"/>
          <w:lang w:eastAsia="en-US"/>
        </w:rPr>
      </w:pPr>
      <w:r w:rsidRPr="00473550">
        <w:rPr>
          <w:rFonts w:cstheme="minorBidi"/>
          <w:b/>
          <w:bCs/>
          <w:sz w:val="28"/>
          <w:lang w:val="es-MX"/>
        </w:rPr>
        <w:t>PRIMERO</w:t>
      </w:r>
      <w:r w:rsidRPr="00473550">
        <w:rPr>
          <w:rFonts w:cstheme="minorBidi"/>
          <w:sz w:val="28"/>
          <w:lang w:val="es-MX"/>
        </w:rPr>
        <w:t xml:space="preserve">. </w:t>
      </w:r>
      <w:r w:rsidRPr="00473550">
        <w:rPr>
          <w:rFonts w:eastAsiaTheme="minorHAnsi" w:cs="Arial"/>
          <w:lang w:eastAsia="en-US"/>
        </w:rPr>
        <w:t xml:space="preserve">Se </w:t>
      </w:r>
      <w:r w:rsidRPr="00473550">
        <w:rPr>
          <w:rFonts w:eastAsiaTheme="minorHAnsi" w:cs="Arial"/>
          <w:b/>
          <w:lang w:eastAsia="en-US"/>
        </w:rPr>
        <w:t>SOBRESEE</w:t>
      </w:r>
      <w:r w:rsidRPr="00473550">
        <w:rPr>
          <w:rFonts w:eastAsiaTheme="minorHAnsi" w:cs="Arial"/>
          <w:lang w:eastAsia="en-US"/>
        </w:rPr>
        <w:t xml:space="preserve"> el recurso de revisión número </w:t>
      </w:r>
      <w:r w:rsidR="007E61AC" w:rsidRPr="00473550">
        <w:rPr>
          <w:rFonts w:eastAsiaTheme="minorEastAsia" w:cstheme="minorBidi"/>
          <w:b/>
          <w:lang w:eastAsia="en-US"/>
        </w:rPr>
        <w:t>11175</w:t>
      </w:r>
      <w:r w:rsidRPr="00473550">
        <w:rPr>
          <w:rFonts w:eastAsiaTheme="minorEastAsia" w:cstheme="minorBidi"/>
          <w:b/>
          <w:lang w:eastAsia="en-US"/>
        </w:rPr>
        <w:t>/INFOEM/IP/RR/2025</w:t>
      </w:r>
      <w:r w:rsidRPr="00473550">
        <w:rPr>
          <w:rFonts w:eastAsiaTheme="minorEastAsia" w:cstheme="minorBidi"/>
          <w:lang w:eastAsia="en-US"/>
        </w:rPr>
        <w:t>, porque al modificar la respuesta el recurso quedó sin materia</w:t>
      </w:r>
      <w:r w:rsidRPr="00473550">
        <w:rPr>
          <w:rFonts w:asciiTheme="minorHAnsi" w:eastAsiaTheme="minorHAnsi" w:hAnsiTheme="minorHAnsi" w:cstheme="minorBidi"/>
          <w:sz w:val="22"/>
          <w:lang w:val="es-MX" w:eastAsia="en-US"/>
        </w:rPr>
        <w:t xml:space="preserve"> </w:t>
      </w:r>
      <w:r w:rsidRPr="00473550">
        <w:rPr>
          <w:rFonts w:eastAsiaTheme="minorEastAsia" w:cstheme="minorBidi"/>
          <w:lang w:eastAsia="en-US"/>
        </w:rPr>
        <w:t xml:space="preserve">conforme a lo dispuesto en el artículo 192 fracción III de la Ley de Transparencia y Acceso a la Información Pública </w:t>
      </w:r>
      <w:r w:rsidRPr="00473550">
        <w:rPr>
          <w:rFonts w:eastAsiaTheme="minorEastAsia" w:cstheme="minorBidi"/>
          <w:lang w:eastAsia="en-US"/>
        </w:rPr>
        <w:lastRenderedPageBreak/>
        <w:t xml:space="preserve">del Estado de México y Municipios, en términos del Considerando </w:t>
      </w:r>
      <w:r w:rsidRPr="00473550">
        <w:rPr>
          <w:rFonts w:eastAsiaTheme="minorEastAsia" w:cstheme="minorBidi"/>
          <w:b/>
          <w:lang w:eastAsia="en-US"/>
        </w:rPr>
        <w:t xml:space="preserve">CUARTO </w:t>
      </w:r>
      <w:r w:rsidRPr="00473550">
        <w:rPr>
          <w:rFonts w:eastAsiaTheme="minorEastAsia" w:cstheme="minorBidi"/>
          <w:lang w:eastAsia="en-US"/>
        </w:rPr>
        <w:t>de la presente resolución.</w:t>
      </w:r>
    </w:p>
    <w:p w:rsidR="00F24972" w:rsidRPr="00473550" w:rsidRDefault="00F24972" w:rsidP="00F24972">
      <w:pPr>
        <w:rPr>
          <w:rFonts w:eastAsiaTheme="minorHAnsi" w:cstheme="minorBidi"/>
          <w:b/>
          <w:lang w:val="es-MX" w:eastAsia="en-US"/>
        </w:rPr>
      </w:pPr>
    </w:p>
    <w:p w:rsidR="00F24972" w:rsidRPr="00473550" w:rsidRDefault="00F24972" w:rsidP="00F24972">
      <w:pPr>
        <w:rPr>
          <w:rFonts w:eastAsiaTheme="minorHAnsi" w:cstheme="minorBidi"/>
          <w:lang w:val="es-MX" w:eastAsia="en-US"/>
        </w:rPr>
      </w:pPr>
      <w:r w:rsidRPr="00473550">
        <w:rPr>
          <w:rFonts w:eastAsiaTheme="minorHAnsi" w:cstheme="minorBidi"/>
          <w:b/>
          <w:sz w:val="28"/>
          <w:lang w:val="es-MX" w:eastAsia="en-US"/>
        </w:rPr>
        <w:t>SEGUNDO.</w:t>
      </w:r>
      <w:r w:rsidRPr="00473550">
        <w:rPr>
          <w:rFonts w:eastAsiaTheme="minorHAnsi" w:cs="Arial"/>
          <w:sz w:val="28"/>
          <w:lang w:val="es-MX" w:eastAsia="en-US"/>
        </w:rPr>
        <w:t xml:space="preserve"> </w:t>
      </w:r>
      <w:r w:rsidRPr="00473550">
        <w:rPr>
          <w:rFonts w:eastAsiaTheme="minorHAnsi" w:cstheme="minorBidi"/>
          <w:b/>
          <w:lang w:val="es-MX" w:eastAsia="en-US"/>
        </w:rPr>
        <w:t>NOTIFÍQUESE</w:t>
      </w:r>
      <w:r w:rsidRPr="00473550">
        <w:rPr>
          <w:rFonts w:eastAsiaTheme="minorHAnsi" w:cstheme="minorBidi"/>
          <w:lang w:val="es-MX" w:eastAsia="en-US"/>
        </w:rPr>
        <w:t xml:space="preserve"> vía Sistema de Acceso a la Información Mexiquense (</w:t>
      </w:r>
      <w:r w:rsidRPr="00473550">
        <w:rPr>
          <w:rFonts w:eastAsiaTheme="minorHAnsi" w:cstheme="minorBidi"/>
          <w:b/>
          <w:lang w:val="es-MX" w:eastAsia="en-US"/>
        </w:rPr>
        <w:t>SAIMEX)</w:t>
      </w:r>
      <w:r w:rsidRPr="00473550">
        <w:rPr>
          <w:rFonts w:eastAsiaTheme="minorHAnsi" w:cstheme="minorBidi"/>
          <w:lang w:val="es-MX" w:eastAsia="en-US"/>
        </w:rPr>
        <w:t xml:space="preserve">, la presente resolución al Titular de la Unidad de Transparencia del </w:t>
      </w:r>
      <w:r w:rsidRPr="00473550">
        <w:rPr>
          <w:rFonts w:eastAsiaTheme="minorHAnsi" w:cstheme="minorBidi"/>
          <w:b/>
          <w:lang w:val="es-MX" w:eastAsia="en-US"/>
        </w:rPr>
        <w:t>Sujeto Obligado</w:t>
      </w:r>
      <w:r w:rsidRPr="00473550">
        <w:rPr>
          <w:rFonts w:eastAsiaTheme="minorHAnsi" w:cstheme="minorBidi"/>
          <w:lang w:val="es-MX" w:eastAsia="en-US"/>
        </w:rPr>
        <w:t>.</w:t>
      </w:r>
    </w:p>
    <w:p w:rsidR="00F24972" w:rsidRPr="00473550" w:rsidRDefault="00F24972" w:rsidP="00F24972">
      <w:pPr>
        <w:autoSpaceDE w:val="0"/>
        <w:autoSpaceDN w:val="0"/>
        <w:adjustRightInd w:val="0"/>
        <w:rPr>
          <w:rFonts w:cs="Arial"/>
          <w:b/>
          <w:sz w:val="28"/>
          <w:szCs w:val="28"/>
        </w:rPr>
      </w:pPr>
    </w:p>
    <w:p w:rsidR="00864BA3" w:rsidRPr="00473550" w:rsidRDefault="00F24972" w:rsidP="00F24972">
      <w:pPr>
        <w:autoSpaceDE w:val="0"/>
        <w:autoSpaceDN w:val="0"/>
        <w:adjustRightInd w:val="0"/>
      </w:pPr>
      <w:r w:rsidRPr="00473550">
        <w:rPr>
          <w:rFonts w:cs="Arial"/>
          <w:b/>
          <w:sz w:val="28"/>
          <w:szCs w:val="28"/>
        </w:rPr>
        <w:t>TERCERO</w:t>
      </w:r>
      <w:r w:rsidRPr="00473550">
        <w:rPr>
          <w:rFonts w:cs="Arial"/>
          <w:sz w:val="28"/>
          <w:szCs w:val="28"/>
        </w:rPr>
        <w:t>.</w:t>
      </w:r>
      <w:r w:rsidRPr="00473550">
        <w:rPr>
          <w:rFonts w:cs="Arial"/>
        </w:rPr>
        <w:t xml:space="preserve"> </w:t>
      </w:r>
      <w:r w:rsidRPr="00473550">
        <w:rPr>
          <w:rFonts w:cs="Arial"/>
          <w:b/>
          <w:bCs/>
          <w:color w:val="222222"/>
          <w:shd w:val="clear" w:color="auto" w:fill="FFFFFF"/>
        </w:rPr>
        <w:t>Notifíquese</w:t>
      </w:r>
      <w:r w:rsidRPr="00473550">
        <w:rPr>
          <w:rFonts w:cs="Arial"/>
        </w:rPr>
        <w:t xml:space="preserve"> la presente resolución a </w:t>
      </w:r>
      <w:r w:rsidRPr="00473550">
        <w:rPr>
          <w:rFonts w:eastAsiaTheme="minorHAnsi" w:cstheme="minorBidi"/>
          <w:lang w:val="es-MX" w:eastAsia="en-US"/>
        </w:rPr>
        <w:t xml:space="preserve">la parte </w:t>
      </w:r>
      <w:r w:rsidRPr="00473550">
        <w:rPr>
          <w:rFonts w:cs="Arial"/>
          <w:b/>
        </w:rPr>
        <w:t xml:space="preserve">RECURRENTE </w:t>
      </w:r>
      <w:r w:rsidRPr="00473550">
        <w:rPr>
          <w:rFonts w:cs="Arial"/>
        </w:rPr>
        <w:t xml:space="preserve">a través del Sistema de Acceso a la Información Mexiquense </w:t>
      </w:r>
      <w:r w:rsidRPr="00473550">
        <w:rPr>
          <w:rFonts w:cs="Arial"/>
          <w:b/>
        </w:rPr>
        <w:t>(SAIMEX).</w:t>
      </w:r>
    </w:p>
    <w:p w:rsidR="0025426F" w:rsidRPr="00473550" w:rsidRDefault="0025426F" w:rsidP="00BD288A">
      <w:pPr>
        <w:rPr>
          <w:rFonts w:cs="Arial"/>
          <w:color w:val="000000"/>
          <w:szCs w:val="24"/>
        </w:rPr>
      </w:pPr>
    </w:p>
    <w:p w:rsidR="00864BA3" w:rsidRPr="00E2546F" w:rsidRDefault="00864BA3" w:rsidP="00BD288A">
      <w:pPr>
        <w:rPr>
          <w:rFonts w:cs="Arial"/>
          <w:szCs w:val="24"/>
          <w:lang w:val="es-MX"/>
        </w:rPr>
      </w:pPr>
      <w:r w:rsidRPr="00473550">
        <w:rPr>
          <w:rFonts w:cs="Arial"/>
          <w:szCs w:val="24"/>
        </w:rPr>
        <w:t xml:space="preserve">ASÍ LO RESUELVE, POR </w:t>
      </w:r>
      <w:r w:rsidRPr="00473550">
        <w:rPr>
          <w:rFonts w:cs="Arial"/>
          <w:b/>
          <w:bCs/>
          <w:szCs w:val="24"/>
        </w:rPr>
        <w:t>UNANIMIDAD DE VOTOS</w:t>
      </w:r>
      <w:r w:rsidRPr="00473550">
        <w:rPr>
          <w:rFonts w:cs="Arial"/>
          <w:szCs w:val="24"/>
        </w:rPr>
        <w:t xml:space="preserve"> EL PLENO DEL</w:t>
      </w:r>
      <w:r w:rsidRPr="00473550">
        <w:rPr>
          <w:rFonts w:eastAsia="Arial Unicode MS" w:cs="Arial"/>
          <w:szCs w:val="24"/>
        </w:rPr>
        <w:t xml:space="preserve"> INSTITUTO DE TRANSPARENCIA, ACCESO A LA INFORMACIÓN PÚBLICA Y PROTECCIÓN DE DATOS PERSONALES DEL ESTADO DE MÉXICO Y MUNICIPIOS</w:t>
      </w:r>
      <w:r w:rsidRPr="00473550">
        <w:rPr>
          <w:rFonts w:cs="Arial"/>
          <w:szCs w:val="24"/>
        </w:rPr>
        <w:t>, CONFORMADO POR LOS COMISIONADOS JOSÉ MARTÍNEZ VILCHIS, MARÍA DEL ROSARIO MEJÍA AYALA, SHARON CRISTINA MORALES MARTÍNEZ, LUIS GUSTAVO PARRA NORIEGA</w:t>
      </w:r>
      <w:r w:rsidR="0087192A" w:rsidRPr="00473550">
        <w:rPr>
          <w:rFonts w:cs="Arial"/>
          <w:szCs w:val="24"/>
        </w:rPr>
        <w:t xml:space="preserve"> (AUSENCIA JUSTIFICADA)</w:t>
      </w:r>
      <w:r w:rsidRPr="00473550">
        <w:rPr>
          <w:rFonts w:cs="Arial"/>
          <w:szCs w:val="24"/>
        </w:rPr>
        <w:t xml:space="preserve"> Y GUADALUPE RAMÍREZ PEÑA</w:t>
      </w:r>
      <w:r w:rsidR="0087192A" w:rsidRPr="00473550">
        <w:rPr>
          <w:rFonts w:cs="Arial"/>
          <w:szCs w:val="24"/>
        </w:rPr>
        <w:t xml:space="preserve"> (AUSENCIA JUSTIFICADA)</w:t>
      </w:r>
      <w:r w:rsidRPr="00473550">
        <w:rPr>
          <w:rFonts w:cs="Arial"/>
          <w:szCs w:val="24"/>
          <w:u w:val="single"/>
        </w:rPr>
        <w:t>,</w:t>
      </w:r>
      <w:r w:rsidRPr="00473550">
        <w:rPr>
          <w:rFonts w:cs="Arial"/>
          <w:szCs w:val="24"/>
        </w:rPr>
        <w:t xml:space="preserve"> EN LA </w:t>
      </w:r>
      <w:r w:rsidR="0087192A" w:rsidRPr="00473550">
        <w:rPr>
          <w:rFonts w:cs="Arial"/>
          <w:b/>
          <w:bCs/>
          <w:szCs w:val="24"/>
          <w:lang w:val="es-419"/>
        </w:rPr>
        <w:t>DÉC</w:t>
      </w:r>
      <w:r w:rsidRPr="00473550">
        <w:rPr>
          <w:rFonts w:cs="Arial"/>
          <w:b/>
          <w:bCs/>
          <w:szCs w:val="24"/>
          <w:lang w:val="es-419"/>
        </w:rPr>
        <w:t>IMA S</w:t>
      </w:r>
      <w:r w:rsidR="00753E04" w:rsidRPr="00473550">
        <w:rPr>
          <w:rFonts w:cs="Arial"/>
          <w:b/>
          <w:bCs/>
          <w:szCs w:val="24"/>
          <w:lang w:val="es-419"/>
        </w:rPr>
        <w:t xml:space="preserve">ÉPTIMA </w:t>
      </w:r>
      <w:r w:rsidR="00753E04" w:rsidRPr="00473550">
        <w:rPr>
          <w:rFonts w:cs="Arial"/>
          <w:b/>
          <w:bCs/>
          <w:szCs w:val="24"/>
        </w:rPr>
        <w:t xml:space="preserve">SESIÓN ORDINARIA CELEBRADA EL </w:t>
      </w:r>
      <w:r w:rsidR="0087192A" w:rsidRPr="00473550">
        <w:rPr>
          <w:rFonts w:cs="Arial"/>
          <w:b/>
          <w:bCs/>
          <w:szCs w:val="24"/>
        </w:rPr>
        <w:t>TRECE DE MAYO DE DOS MIL VEINTISÉIS</w:t>
      </w:r>
      <w:r w:rsidRPr="00473550">
        <w:rPr>
          <w:rFonts w:cs="Arial"/>
          <w:szCs w:val="24"/>
        </w:rPr>
        <w:t>, ANTE EL SECRETARIO TÉCNICO DEL PLENO, ALEXIS TAPIA RAMÍREZ. ----------------------------------------------------------------------------------------------------------------------------------------------------------------------------------------------------------------</w:t>
      </w:r>
      <w:r w:rsidR="0092392F" w:rsidRPr="00473550">
        <w:rPr>
          <w:rFonts w:cs="Arial"/>
          <w:szCs w:val="24"/>
        </w:rPr>
        <w:t>----------------------------------------------------------------------------------------------------------------------------------------------------------------------------------------------------------------------------------------------------------------------------------------------------------------------------------------</w:t>
      </w:r>
    </w:p>
    <w:p w:rsidR="00864BA3" w:rsidRDefault="00864BA3" w:rsidP="00BD288A">
      <w:pPr>
        <w:rPr>
          <w:rFonts w:cs="Arial"/>
          <w:sz w:val="20"/>
        </w:rPr>
      </w:pPr>
    </w:p>
    <w:p w:rsidR="00864BA3" w:rsidRDefault="00864BA3" w:rsidP="00BD288A">
      <w:pPr>
        <w:rPr>
          <w:rFonts w:cs="Arial"/>
          <w:sz w:val="20"/>
        </w:rPr>
      </w:pPr>
    </w:p>
    <w:p w:rsidR="00864BA3" w:rsidRPr="004B7011" w:rsidRDefault="00864BA3" w:rsidP="00BD288A">
      <w:pPr>
        <w:pBdr>
          <w:top w:val="nil"/>
          <w:left w:val="nil"/>
          <w:bottom w:val="nil"/>
          <w:right w:val="nil"/>
          <w:between w:val="nil"/>
        </w:pBdr>
        <w:contextualSpacing/>
        <w:rPr>
          <w:rFonts w:eastAsia="Palatino Linotype" w:cs="Palatino Linotype"/>
          <w:color w:val="000000"/>
          <w:sz w:val="20"/>
          <w:szCs w:val="20"/>
        </w:rPr>
      </w:pPr>
    </w:p>
    <w:p w:rsidR="00864BA3" w:rsidRPr="004B7011" w:rsidRDefault="00864BA3" w:rsidP="00BD288A">
      <w:pPr>
        <w:pBdr>
          <w:top w:val="nil"/>
          <w:left w:val="nil"/>
          <w:bottom w:val="nil"/>
          <w:right w:val="nil"/>
          <w:between w:val="nil"/>
        </w:pBdr>
        <w:contextualSpacing/>
        <w:rPr>
          <w:rFonts w:eastAsia="Palatino Linotype" w:cs="Palatino Linotype"/>
          <w:color w:val="000000"/>
          <w:sz w:val="20"/>
          <w:szCs w:val="20"/>
        </w:rPr>
      </w:pPr>
    </w:p>
    <w:p w:rsidR="00864BA3" w:rsidRPr="004B7011" w:rsidRDefault="00864BA3" w:rsidP="00BD288A">
      <w:pPr>
        <w:pBdr>
          <w:top w:val="nil"/>
          <w:left w:val="nil"/>
          <w:bottom w:val="nil"/>
          <w:right w:val="nil"/>
          <w:between w:val="nil"/>
        </w:pBdr>
        <w:contextualSpacing/>
        <w:rPr>
          <w:rFonts w:eastAsia="Palatino Linotype" w:cs="Palatino Linotype"/>
          <w:color w:val="000000"/>
          <w:sz w:val="20"/>
          <w:szCs w:val="20"/>
        </w:rPr>
      </w:pPr>
    </w:p>
    <w:p w:rsidR="00864BA3" w:rsidRPr="004B7011" w:rsidRDefault="00864BA3" w:rsidP="00BD288A">
      <w:pPr>
        <w:pBdr>
          <w:top w:val="nil"/>
          <w:left w:val="nil"/>
          <w:bottom w:val="nil"/>
          <w:right w:val="nil"/>
          <w:between w:val="nil"/>
        </w:pBdr>
        <w:contextualSpacing/>
        <w:rPr>
          <w:rFonts w:eastAsia="Palatino Linotype" w:cs="Palatino Linotype"/>
          <w:color w:val="000000"/>
          <w:sz w:val="20"/>
          <w:szCs w:val="20"/>
        </w:rPr>
      </w:pPr>
    </w:p>
    <w:p w:rsidR="00864BA3" w:rsidRPr="004B7011" w:rsidRDefault="00864BA3" w:rsidP="00BD288A">
      <w:pPr>
        <w:pBdr>
          <w:top w:val="nil"/>
          <w:left w:val="nil"/>
          <w:bottom w:val="nil"/>
          <w:right w:val="nil"/>
          <w:between w:val="nil"/>
        </w:pBdr>
        <w:contextualSpacing/>
        <w:rPr>
          <w:rFonts w:eastAsia="Palatino Linotype" w:cs="Palatino Linotype"/>
          <w:color w:val="000000"/>
          <w:sz w:val="20"/>
          <w:szCs w:val="20"/>
        </w:rPr>
      </w:pPr>
    </w:p>
    <w:p w:rsidR="00864BA3" w:rsidRPr="004B7011" w:rsidRDefault="00864BA3" w:rsidP="00BD288A">
      <w:pPr>
        <w:pBdr>
          <w:top w:val="nil"/>
          <w:left w:val="nil"/>
          <w:bottom w:val="nil"/>
          <w:right w:val="nil"/>
          <w:between w:val="nil"/>
        </w:pBdr>
        <w:contextualSpacing/>
        <w:rPr>
          <w:rFonts w:eastAsia="Palatino Linotype" w:cs="Palatino Linotype"/>
          <w:color w:val="000000"/>
          <w:sz w:val="20"/>
          <w:szCs w:val="20"/>
        </w:rPr>
      </w:pPr>
    </w:p>
    <w:p w:rsidR="00864BA3" w:rsidRPr="004B7011" w:rsidRDefault="00864BA3" w:rsidP="00BD288A">
      <w:pPr>
        <w:pBdr>
          <w:top w:val="nil"/>
          <w:left w:val="nil"/>
          <w:bottom w:val="nil"/>
          <w:right w:val="nil"/>
          <w:between w:val="nil"/>
        </w:pBdr>
        <w:contextualSpacing/>
        <w:rPr>
          <w:rFonts w:eastAsia="Palatino Linotype" w:cs="Palatino Linotype"/>
          <w:color w:val="000000"/>
          <w:sz w:val="20"/>
          <w:szCs w:val="20"/>
        </w:rPr>
      </w:pPr>
    </w:p>
    <w:p w:rsidR="00864BA3" w:rsidRPr="004B7011" w:rsidRDefault="00864BA3" w:rsidP="00BD288A">
      <w:pPr>
        <w:pBdr>
          <w:top w:val="nil"/>
          <w:left w:val="nil"/>
          <w:bottom w:val="nil"/>
          <w:right w:val="nil"/>
          <w:between w:val="nil"/>
        </w:pBdr>
        <w:contextualSpacing/>
        <w:rPr>
          <w:rFonts w:eastAsia="Palatino Linotype" w:cs="Palatino Linotype"/>
          <w:color w:val="000000"/>
          <w:sz w:val="20"/>
          <w:szCs w:val="20"/>
        </w:rPr>
      </w:pPr>
    </w:p>
    <w:p w:rsidR="00864BA3" w:rsidRPr="004B7011" w:rsidRDefault="00864BA3" w:rsidP="00BD288A">
      <w:pPr>
        <w:pBdr>
          <w:top w:val="nil"/>
          <w:left w:val="nil"/>
          <w:bottom w:val="nil"/>
          <w:right w:val="nil"/>
          <w:between w:val="nil"/>
        </w:pBdr>
        <w:contextualSpacing/>
        <w:rPr>
          <w:rFonts w:eastAsia="Palatino Linotype" w:cs="Palatino Linotype"/>
          <w:color w:val="000000"/>
          <w:sz w:val="20"/>
          <w:szCs w:val="20"/>
        </w:rPr>
      </w:pPr>
    </w:p>
    <w:p w:rsidR="00864BA3" w:rsidRPr="004B7011" w:rsidRDefault="00864BA3" w:rsidP="00BD288A"/>
    <w:p w:rsidR="00864BA3" w:rsidRDefault="00864BA3" w:rsidP="00BD288A"/>
    <w:p w:rsidR="00864BA3" w:rsidRDefault="00864BA3" w:rsidP="00BD288A"/>
    <w:p w:rsidR="00864BA3" w:rsidRDefault="00864BA3" w:rsidP="00BD288A"/>
    <w:p w:rsidR="00864BA3" w:rsidRDefault="00864BA3" w:rsidP="00BD288A"/>
    <w:p w:rsidR="00864BA3" w:rsidRDefault="00864BA3" w:rsidP="00BD288A"/>
    <w:p w:rsidR="00864BA3" w:rsidRPr="005350DB" w:rsidRDefault="00864BA3" w:rsidP="00BD288A"/>
    <w:p w:rsidR="00864BA3" w:rsidRDefault="00864BA3" w:rsidP="00BD288A"/>
    <w:p w:rsidR="00864BA3" w:rsidRPr="001C5572" w:rsidRDefault="00864BA3" w:rsidP="00BD288A"/>
    <w:p w:rsidR="00864BA3" w:rsidRDefault="00864BA3" w:rsidP="00BD288A"/>
    <w:p w:rsidR="00864BA3" w:rsidRDefault="00864BA3" w:rsidP="00BD288A"/>
    <w:p w:rsidR="00864BA3" w:rsidRDefault="00864BA3" w:rsidP="00BD288A"/>
    <w:p w:rsidR="00614DF4" w:rsidRDefault="00614DF4" w:rsidP="00BD288A"/>
    <w:sectPr w:rsidR="00614DF4" w:rsidSect="00B553F3">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685" w:rsidRDefault="00F06685" w:rsidP="00864BA3">
      <w:pPr>
        <w:spacing w:line="240" w:lineRule="auto"/>
      </w:pPr>
      <w:r>
        <w:separator/>
      </w:r>
    </w:p>
  </w:endnote>
  <w:endnote w:type="continuationSeparator" w:id="0">
    <w:p w:rsidR="00F06685" w:rsidRDefault="00F06685" w:rsidP="00864B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972" w:rsidRPr="00871A91" w:rsidRDefault="00F24972" w:rsidP="00B553F3">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E4269">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E4269">
      <w:rPr>
        <w:rFonts w:ascii="Palatino Linotype" w:hAnsi="Palatino Linotype"/>
        <w:b/>
        <w:bCs/>
        <w:noProof/>
        <w:sz w:val="20"/>
      </w:rPr>
      <w:t>29</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972" w:rsidRPr="00871A91" w:rsidRDefault="00F24972" w:rsidP="00B553F3">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E4269">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E4269">
      <w:rPr>
        <w:rFonts w:ascii="Palatino Linotype" w:hAnsi="Palatino Linotype"/>
        <w:b/>
        <w:bCs/>
        <w:noProof/>
        <w:sz w:val="20"/>
      </w:rPr>
      <w:t>29</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685" w:rsidRDefault="00F06685" w:rsidP="00864BA3">
      <w:pPr>
        <w:spacing w:line="240" w:lineRule="auto"/>
      </w:pPr>
      <w:r>
        <w:separator/>
      </w:r>
    </w:p>
  </w:footnote>
  <w:footnote w:type="continuationSeparator" w:id="0">
    <w:p w:rsidR="00F06685" w:rsidRDefault="00F06685" w:rsidP="00864BA3">
      <w:pPr>
        <w:spacing w:line="240" w:lineRule="auto"/>
      </w:pPr>
      <w:r>
        <w:continuationSeparator/>
      </w:r>
    </w:p>
  </w:footnote>
  <w:footnote w:id="1">
    <w:p w:rsidR="007E61AC" w:rsidRPr="005552A8" w:rsidRDefault="007E61AC" w:rsidP="007E61AC">
      <w:pPr>
        <w:rPr>
          <w:b/>
          <w:bCs/>
          <w:i/>
          <w:sz w:val="16"/>
          <w:szCs w:val="16"/>
        </w:rPr>
      </w:pPr>
      <w:r>
        <w:rPr>
          <w:rStyle w:val="Refdenotaalpie"/>
        </w:rPr>
        <w:footnoteRef/>
      </w:r>
      <w:r>
        <w:t xml:space="preserve"> </w:t>
      </w:r>
      <w:r w:rsidRPr="005552A8">
        <w:rPr>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7E61AC" w:rsidRPr="005552A8" w:rsidRDefault="007E61AC" w:rsidP="007E61AC">
      <w:pPr>
        <w:rPr>
          <w:i/>
          <w:sz w:val="16"/>
          <w:szCs w:val="16"/>
        </w:rPr>
      </w:pPr>
      <w:r w:rsidRPr="005552A8">
        <w:rPr>
          <w:i/>
          <w:sz w:val="16"/>
          <w:szCs w:val="16"/>
        </w:rPr>
        <w:t>Del examen de compatibilidad de los artículos</w:t>
      </w:r>
      <w:r w:rsidRPr="005552A8">
        <w:rPr>
          <w:rStyle w:val="apple-converted-space"/>
          <w:i/>
          <w:sz w:val="16"/>
          <w:szCs w:val="16"/>
        </w:rPr>
        <w:t> </w:t>
      </w:r>
      <w:hyperlink r:id="rId1" w:history="1">
        <w:r w:rsidRPr="005552A8">
          <w:rPr>
            <w:rStyle w:val="Hipervnculo"/>
            <w:i/>
            <w:sz w:val="16"/>
            <w:szCs w:val="16"/>
          </w:rPr>
          <w:t>73 y 74 de la Ley de Amparo</w:t>
        </w:r>
      </w:hyperlink>
      <w:r w:rsidRPr="005552A8">
        <w:rPr>
          <w:rStyle w:val="apple-converted-space"/>
          <w:i/>
          <w:sz w:val="16"/>
          <w:szCs w:val="16"/>
        </w:rPr>
        <w:t> </w:t>
      </w:r>
      <w:r w:rsidRPr="005552A8">
        <w:rPr>
          <w:i/>
          <w:sz w:val="16"/>
          <w:szCs w:val="16"/>
        </w:rPr>
        <w:t>con el artículo</w:t>
      </w:r>
      <w:r w:rsidRPr="005552A8">
        <w:rPr>
          <w:rStyle w:val="apple-converted-space"/>
          <w:i/>
          <w:sz w:val="16"/>
          <w:szCs w:val="16"/>
        </w:rPr>
        <w:t> </w:t>
      </w:r>
      <w:hyperlink r:id="rId2" w:history="1">
        <w:r w:rsidRPr="005552A8">
          <w:rPr>
            <w:rStyle w:val="Hipervnculo"/>
            <w:i/>
            <w:sz w:val="16"/>
            <w:szCs w:val="16"/>
          </w:rPr>
          <w:t>25.1 de la Convención Americana sobre Derechos Humanos</w:t>
        </w:r>
      </w:hyperlink>
      <w:r w:rsidRPr="005552A8">
        <w:rPr>
          <w:rStyle w:val="apple-converted-space"/>
          <w:i/>
          <w:sz w:val="16"/>
          <w:szCs w:val="16"/>
        </w:rPr>
        <w:t> </w:t>
      </w:r>
      <w:r w:rsidRPr="005552A8">
        <w:rPr>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5552A8">
        <w:rPr>
          <w:i/>
          <w:sz w:val="16"/>
          <w:szCs w:val="16"/>
        </w:rPr>
        <w:t>concesoria</w:t>
      </w:r>
      <w:proofErr w:type="spellEnd"/>
      <w:r w:rsidRPr="005552A8">
        <w:rPr>
          <w:i/>
          <w:sz w:val="16"/>
          <w:szCs w:val="16"/>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972" w:rsidRDefault="00F06685">
    <w:pPr>
      <w:pStyle w:val="Encabezado"/>
    </w:pPr>
    <w:r>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972" w:rsidRDefault="00F24972">
    <w:pPr>
      <w:pStyle w:val="Encabezado"/>
    </w:pPr>
  </w:p>
  <w:tbl>
    <w:tblPr>
      <w:tblW w:w="9498" w:type="dxa"/>
      <w:tblLayout w:type="fixed"/>
      <w:tblCellMar>
        <w:left w:w="70" w:type="dxa"/>
        <w:right w:w="70" w:type="dxa"/>
      </w:tblCellMar>
      <w:tblLook w:val="04A0" w:firstRow="1" w:lastRow="0" w:firstColumn="1" w:lastColumn="0" w:noHBand="0" w:noVBand="1"/>
    </w:tblPr>
    <w:tblGrid>
      <w:gridCol w:w="5103"/>
      <w:gridCol w:w="4395"/>
    </w:tblGrid>
    <w:tr w:rsidR="00F24972" w:rsidRPr="00B17577" w:rsidTr="00B553F3">
      <w:trPr>
        <w:trHeight w:val="227"/>
      </w:trPr>
      <w:tc>
        <w:tcPr>
          <w:tcW w:w="5103" w:type="dxa"/>
          <w:hideMark/>
        </w:tcPr>
        <w:p w:rsidR="00F24972" w:rsidRPr="00096248" w:rsidRDefault="00F24972" w:rsidP="00B553F3">
          <w:pPr>
            <w:spacing w:after="120" w:line="240" w:lineRule="auto"/>
            <w:ind w:right="69"/>
            <w:jc w:val="right"/>
            <w:rPr>
              <w:rFonts w:cs="Arial"/>
              <w:b/>
              <w:szCs w:val="24"/>
            </w:rPr>
          </w:pPr>
          <w:r w:rsidRPr="00096248">
            <w:rPr>
              <w:rFonts w:cs="Arial"/>
              <w:b/>
              <w:szCs w:val="24"/>
            </w:rPr>
            <w:t>Recurso de Revisión:</w:t>
          </w:r>
        </w:p>
      </w:tc>
      <w:tc>
        <w:tcPr>
          <w:tcW w:w="4395" w:type="dxa"/>
          <w:hideMark/>
        </w:tcPr>
        <w:p w:rsidR="00F24972" w:rsidRPr="00096248" w:rsidRDefault="00F24972" w:rsidP="00B553F3">
          <w:pPr>
            <w:spacing w:after="120" w:line="240" w:lineRule="auto"/>
            <w:ind w:right="71"/>
            <w:jc w:val="right"/>
            <w:rPr>
              <w:rFonts w:cs="Arial"/>
              <w:b/>
              <w:szCs w:val="24"/>
            </w:rPr>
          </w:pPr>
          <w:r>
            <w:rPr>
              <w:rFonts w:cs="Arial"/>
              <w:b/>
              <w:bCs/>
              <w:szCs w:val="24"/>
            </w:rPr>
            <w:t>11175</w:t>
          </w:r>
          <w:r w:rsidRPr="00096248">
            <w:rPr>
              <w:rFonts w:cs="Arial"/>
              <w:b/>
              <w:bCs/>
              <w:szCs w:val="24"/>
            </w:rPr>
            <w:t>/INFOEM/IP/RR/202</w:t>
          </w:r>
          <w:r>
            <w:rPr>
              <w:rFonts w:cs="Arial"/>
              <w:b/>
              <w:bCs/>
              <w:szCs w:val="24"/>
            </w:rPr>
            <w:t>5</w:t>
          </w:r>
        </w:p>
      </w:tc>
    </w:tr>
    <w:tr w:rsidR="00F24972" w:rsidTr="00B553F3">
      <w:trPr>
        <w:trHeight w:val="242"/>
      </w:trPr>
      <w:tc>
        <w:tcPr>
          <w:tcW w:w="5103" w:type="dxa"/>
          <w:hideMark/>
        </w:tcPr>
        <w:p w:rsidR="00F24972" w:rsidRPr="00096248" w:rsidRDefault="00F24972" w:rsidP="00B553F3">
          <w:pPr>
            <w:spacing w:after="120" w:line="240" w:lineRule="auto"/>
            <w:ind w:right="69"/>
            <w:jc w:val="right"/>
            <w:rPr>
              <w:rFonts w:cs="Arial"/>
              <w:b/>
              <w:szCs w:val="24"/>
            </w:rPr>
          </w:pPr>
          <w:r w:rsidRPr="00096248">
            <w:rPr>
              <w:rFonts w:cs="Arial"/>
              <w:b/>
              <w:szCs w:val="24"/>
            </w:rPr>
            <w:t>Sujeto Obligado:</w:t>
          </w:r>
        </w:p>
      </w:tc>
      <w:tc>
        <w:tcPr>
          <w:tcW w:w="4395" w:type="dxa"/>
          <w:hideMark/>
        </w:tcPr>
        <w:p w:rsidR="00F24972" w:rsidRPr="005077DD" w:rsidRDefault="00F24972" w:rsidP="00B553F3">
          <w:pPr>
            <w:spacing w:after="120" w:line="240" w:lineRule="auto"/>
            <w:ind w:left="-81" w:right="71"/>
            <w:jc w:val="right"/>
            <w:rPr>
              <w:rFonts w:cs="Arial"/>
              <w:szCs w:val="24"/>
            </w:rPr>
          </w:pPr>
          <w:r w:rsidRPr="00BD288A">
            <w:rPr>
              <w:b/>
              <w:bCs/>
              <w:color w:val="000000"/>
              <w:szCs w:val="24"/>
            </w:rPr>
            <w:t>Secretaría de Educación, Ciencia, Tecnología e Innovación</w:t>
          </w:r>
        </w:p>
      </w:tc>
    </w:tr>
    <w:tr w:rsidR="00F24972" w:rsidRPr="00F63239" w:rsidTr="00B553F3">
      <w:trPr>
        <w:trHeight w:val="342"/>
      </w:trPr>
      <w:tc>
        <w:tcPr>
          <w:tcW w:w="5103" w:type="dxa"/>
          <w:hideMark/>
        </w:tcPr>
        <w:p w:rsidR="00F24972" w:rsidRPr="00096248" w:rsidRDefault="00F24972" w:rsidP="00B553F3">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rsidR="00F24972" w:rsidRPr="00BD288A" w:rsidRDefault="00F24972" w:rsidP="00B553F3">
          <w:pPr>
            <w:spacing w:after="120" w:line="240" w:lineRule="auto"/>
            <w:ind w:left="-486" w:right="71" w:firstLine="567"/>
            <w:jc w:val="right"/>
            <w:rPr>
              <w:rFonts w:cs="Arial"/>
              <w:b/>
              <w:szCs w:val="24"/>
            </w:rPr>
          </w:pPr>
          <w:r w:rsidRPr="00BD288A">
            <w:rPr>
              <w:rFonts w:cs="Arial"/>
              <w:b/>
              <w:szCs w:val="24"/>
            </w:rPr>
            <w:t>José Martínez Vilchis</w:t>
          </w:r>
        </w:p>
        <w:p w:rsidR="00F24972" w:rsidRPr="00711916" w:rsidRDefault="00F24972" w:rsidP="00B553F3">
          <w:pPr>
            <w:spacing w:after="120" w:line="240" w:lineRule="auto"/>
            <w:ind w:left="-486" w:right="71" w:firstLine="567"/>
            <w:jc w:val="right"/>
            <w:rPr>
              <w:rFonts w:cs="Arial"/>
              <w:sz w:val="2"/>
              <w:szCs w:val="2"/>
            </w:rPr>
          </w:pPr>
        </w:p>
      </w:tc>
    </w:tr>
  </w:tbl>
  <w:p w:rsidR="00F24972" w:rsidRPr="00871A91" w:rsidRDefault="00F06685">
    <w:pPr>
      <w:pStyle w:val="Encabezado"/>
      <w:rPr>
        <w:sz w:val="2"/>
      </w:rPr>
    </w:pPr>
    <w:r>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4pt;margin-top:-141.3pt;width:609.4pt;height:793.75pt;z-index:-251657728;mso-wrap-edited:f;mso-width-percent:0;mso-height-percent:0;mso-position-horizontal-relative:margin;mso-position-vertical-relative:margin;mso-width-percent:0;mso-height-percent:0" o:allowincell="f">
          <v:imagedata r:id="rId1" o:title="infoem"/>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972" w:rsidRDefault="00F24972">
    <w:pPr>
      <w:pStyle w:val="Encabezado"/>
    </w:pPr>
  </w:p>
  <w:tbl>
    <w:tblPr>
      <w:tblW w:w="9356" w:type="dxa"/>
      <w:tblLayout w:type="fixed"/>
      <w:tblCellMar>
        <w:left w:w="70" w:type="dxa"/>
        <w:right w:w="70" w:type="dxa"/>
      </w:tblCellMar>
      <w:tblLook w:val="04A0" w:firstRow="1" w:lastRow="0" w:firstColumn="1" w:lastColumn="0" w:noHBand="0" w:noVBand="1"/>
    </w:tblPr>
    <w:tblGrid>
      <w:gridCol w:w="5103"/>
      <w:gridCol w:w="4253"/>
    </w:tblGrid>
    <w:tr w:rsidR="00F24972" w:rsidTr="00B553F3">
      <w:trPr>
        <w:trHeight w:val="227"/>
      </w:trPr>
      <w:tc>
        <w:tcPr>
          <w:tcW w:w="5103" w:type="dxa"/>
          <w:hideMark/>
        </w:tcPr>
        <w:p w:rsidR="00F24972" w:rsidRPr="00663A37" w:rsidRDefault="00F24972" w:rsidP="00B553F3">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253" w:type="dxa"/>
          <w:hideMark/>
        </w:tcPr>
        <w:p w:rsidR="00F24972" w:rsidRPr="00C81ECD" w:rsidRDefault="00F24972" w:rsidP="00B553F3">
          <w:pPr>
            <w:spacing w:after="120" w:line="240" w:lineRule="auto"/>
            <w:ind w:left="-486" w:right="68" w:firstLine="558"/>
            <w:jc w:val="right"/>
            <w:rPr>
              <w:rFonts w:cs="Arial"/>
              <w:b/>
              <w:szCs w:val="24"/>
            </w:rPr>
          </w:pPr>
          <w:r>
            <w:rPr>
              <w:rFonts w:cs="Arial"/>
              <w:b/>
              <w:bCs/>
              <w:szCs w:val="24"/>
            </w:rPr>
            <w:t>111175/INFOEM/IP/RR/2025</w:t>
          </w:r>
        </w:p>
      </w:tc>
    </w:tr>
    <w:tr w:rsidR="00F24972" w:rsidRPr="001F57CD" w:rsidTr="00B553F3">
      <w:trPr>
        <w:trHeight w:val="196"/>
      </w:trPr>
      <w:tc>
        <w:tcPr>
          <w:tcW w:w="5103" w:type="dxa"/>
          <w:hideMark/>
        </w:tcPr>
        <w:p w:rsidR="00F24972" w:rsidRPr="00663A37" w:rsidRDefault="00F24972" w:rsidP="00B553F3">
          <w:pPr>
            <w:spacing w:after="120" w:line="240" w:lineRule="auto"/>
            <w:ind w:right="68"/>
            <w:jc w:val="right"/>
            <w:rPr>
              <w:rFonts w:cs="Arial"/>
              <w:b/>
              <w:szCs w:val="24"/>
            </w:rPr>
          </w:pPr>
          <w:r w:rsidRPr="00663A37">
            <w:rPr>
              <w:rFonts w:cs="Arial"/>
              <w:b/>
              <w:szCs w:val="24"/>
            </w:rPr>
            <w:t>Recurrente:</w:t>
          </w:r>
          <w:r>
            <w:rPr>
              <w:rFonts w:cs="Arial"/>
              <w:b/>
              <w:szCs w:val="24"/>
            </w:rPr>
            <w:t xml:space="preserve">     </w:t>
          </w:r>
        </w:p>
      </w:tc>
      <w:tc>
        <w:tcPr>
          <w:tcW w:w="4253" w:type="dxa"/>
          <w:hideMark/>
        </w:tcPr>
        <w:p w:rsidR="00F24972" w:rsidRPr="00BD288A" w:rsidRDefault="007E4269" w:rsidP="00B553F3">
          <w:pPr>
            <w:spacing w:after="120" w:line="240" w:lineRule="auto"/>
            <w:ind w:right="68"/>
            <w:jc w:val="right"/>
            <w:rPr>
              <w:rFonts w:cs="Arial"/>
              <w:b/>
              <w:szCs w:val="24"/>
            </w:rPr>
          </w:pPr>
          <w:r>
            <w:rPr>
              <w:rFonts w:cs="Arial"/>
              <w:b/>
              <w:szCs w:val="24"/>
            </w:rPr>
            <w:t>XXXXXXXXXXXXXX</w:t>
          </w:r>
        </w:p>
      </w:tc>
    </w:tr>
    <w:tr w:rsidR="00F24972" w:rsidTr="00B553F3">
      <w:trPr>
        <w:trHeight w:val="242"/>
      </w:trPr>
      <w:tc>
        <w:tcPr>
          <w:tcW w:w="5103" w:type="dxa"/>
          <w:hideMark/>
        </w:tcPr>
        <w:p w:rsidR="00F24972" w:rsidRPr="00663A37" w:rsidRDefault="00F24972" w:rsidP="00B553F3">
          <w:pPr>
            <w:spacing w:after="120" w:line="240" w:lineRule="auto"/>
            <w:ind w:right="68"/>
            <w:jc w:val="right"/>
            <w:rPr>
              <w:rFonts w:cs="Arial"/>
              <w:b/>
              <w:szCs w:val="24"/>
            </w:rPr>
          </w:pPr>
          <w:r w:rsidRPr="00663A37">
            <w:rPr>
              <w:rFonts w:cs="Arial"/>
              <w:b/>
              <w:szCs w:val="24"/>
            </w:rPr>
            <w:t>Sujeto Obligado:</w:t>
          </w:r>
        </w:p>
      </w:tc>
      <w:tc>
        <w:tcPr>
          <w:tcW w:w="4253" w:type="dxa"/>
          <w:hideMark/>
        </w:tcPr>
        <w:p w:rsidR="00F24972" w:rsidRPr="005077DD" w:rsidRDefault="00F24972" w:rsidP="00B553F3">
          <w:pPr>
            <w:spacing w:after="120" w:line="240" w:lineRule="auto"/>
            <w:ind w:left="-70" w:right="68"/>
            <w:jc w:val="right"/>
            <w:rPr>
              <w:rFonts w:cs="Arial"/>
              <w:b/>
              <w:bCs/>
              <w:szCs w:val="24"/>
            </w:rPr>
          </w:pPr>
          <w:r>
            <w:rPr>
              <w:bCs/>
              <w:color w:val="000000"/>
              <w:szCs w:val="24"/>
            </w:rPr>
            <w:t xml:space="preserve">         </w:t>
          </w:r>
          <w:r w:rsidRPr="00BD288A">
            <w:rPr>
              <w:b/>
              <w:bCs/>
              <w:color w:val="000000"/>
              <w:szCs w:val="24"/>
            </w:rPr>
            <w:t>Secretaría de Educación, Ciencia, Tecnología e Innovación</w:t>
          </w:r>
        </w:p>
      </w:tc>
    </w:tr>
    <w:tr w:rsidR="00F24972" w:rsidTr="00B553F3">
      <w:trPr>
        <w:trHeight w:val="342"/>
      </w:trPr>
      <w:tc>
        <w:tcPr>
          <w:tcW w:w="5103" w:type="dxa"/>
          <w:hideMark/>
        </w:tcPr>
        <w:p w:rsidR="00F24972" w:rsidRPr="00663A37" w:rsidRDefault="00F24972" w:rsidP="00B553F3">
          <w:pPr>
            <w:tabs>
              <w:tab w:val="left" w:pos="4892"/>
            </w:tabs>
            <w:spacing w:after="120" w:line="240" w:lineRule="auto"/>
            <w:ind w:right="68"/>
            <w:jc w:val="right"/>
            <w:rPr>
              <w:rFonts w:cs="Arial"/>
              <w:b/>
              <w:szCs w:val="24"/>
            </w:rPr>
          </w:pPr>
          <w:r w:rsidRPr="00663A37">
            <w:rPr>
              <w:rFonts w:cs="Arial"/>
              <w:b/>
              <w:szCs w:val="24"/>
            </w:rPr>
            <w:t>Comisionado Ponente:</w:t>
          </w:r>
        </w:p>
      </w:tc>
      <w:tc>
        <w:tcPr>
          <w:tcW w:w="4253" w:type="dxa"/>
          <w:hideMark/>
        </w:tcPr>
        <w:p w:rsidR="00F24972" w:rsidRPr="00BD288A" w:rsidRDefault="00F24972" w:rsidP="00B553F3">
          <w:pPr>
            <w:spacing w:after="120" w:line="240" w:lineRule="auto"/>
            <w:ind w:left="-486" w:right="68" w:firstLine="567"/>
            <w:jc w:val="right"/>
            <w:rPr>
              <w:rFonts w:cs="Arial"/>
              <w:b/>
              <w:szCs w:val="24"/>
            </w:rPr>
          </w:pPr>
          <w:r w:rsidRPr="00BD288A">
            <w:rPr>
              <w:rFonts w:cs="Arial"/>
              <w:b/>
              <w:szCs w:val="24"/>
            </w:rPr>
            <w:t>José Martínez Vilchis</w:t>
          </w:r>
        </w:p>
      </w:tc>
    </w:tr>
  </w:tbl>
  <w:p w:rsidR="00F24972" w:rsidRPr="00871A91" w:rsidRDefault="00F24972">
    <w:pPr>
      <w:pStyle w:val="Encabezado"/>
      <w:rPr>
        <w:sz w:val="2"/>
      </w:rPr>
    </w:pPr>
    <w:r>
      <w:rPr>
        <w:noProof/>
        <w:sz w:val="2"/>
        <w:lang w:val="es-MX" w:eastAsia="es-MX"/>
        <w14:ligatures w14:val="standardContextual"/>
      </w:rPr>
      <w:drawing>
        <wp:anchor distT="0" distB="0" distL="114300" distR="114300" simplePos="0" relativeHeight="251656704" behindDoc="1" locked="0" layoutInCell="0" allowOverlap="1" wp14:anchorId="72A0F657" wp14:editId="24174A37">
          <wp:simplePos x="0" y="0"/>
          <wp:positionH relativeFrom="margin">
            <wp:posOffset>-883285</wp:posOffset>
          </wp:positionH>
          <wp:positionV relativeFrom="margin">
            <wp:posOffset>-1663065</wp:posOffset>
          </wp:positionV>
          <wp:extent cx="5690235" cy="7411720"/>
          <wp:effectExtent l="0" t="0" r="5715" b="0"/>
          <wp:wrapNone/>
          <wp:docPr id="8972545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90235" cy="74117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126BF5"/>
    <w:multiLevelType w:val="hybridMultilevel"/>
    <w:tmpl w:val="AFF0FA60"/>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25043AC0"/>
    <w:multiLevelType w:val="hybridMultilevel"/>
    <w:tmpl w:val="46F48040"/>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3"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4"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5" w15:restartNumberingAfterBreak="0">
    <w:nsid w:val="42BF547B"/>
    <w:multiLevelType w:val="hybridMultilevel"/>
    <w:tmpl w:val="8BA6DE42"/>
    <w:lvl w:ilvl="0" w:tplc="3910848C">
      <w:numFmt w:val="bullet"/>
      <w:lvlText w:val=""/>
      <w:lvlJc w:val="left"/>
      <w:pPr>
        <w:ind w:left="720" w:hanging="360"/>
      </w:pPr>
      <w:rPr>
        <w:rFonts w:ascii="Symbol" w:eastAsia="Calibri"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5744081"/>
    <w:multiLevelType w:val="hybridMultilevel"/>
    <w:tmpl w:val="46B27520"/>
    <w:lvl w:ilvl="0" w:tplc="84CE7CF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69647572"/>
    <w:multiLevelType w:val="hybridMultilevel"/>
    <w:tmpl w:val="F5D803CC"/>
    <w:lvl w:ilvl="0" w:tplc="4EAA61D0">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15:restartNumberingAfterBreak="0">
    <w:nsid w:val="73F07F0E"/>
    <w:multiLevelType w:val="hybridMultilevel"/>
    <w:tmpl w:val="31E20A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4746745"/>
    <w:multiLevelType w:val="hybridMultilevel"/>
    <w:tmpl w:val="44A24DFA"/>
    <w:lvl w:ilvl="0" w:tplc="ACEA2EE4">
      <w:start w:val="1"/>
      <w:numFmt w:val="bullet"/>
      <w:lvlText w:val=""/>
      <w:lvlJc w:val="left"/>
      <w:pPr>
        <w:ind w:left="720" w:hanging="360"/>
      </w:pPr>
      <w:rPr>
        <w:rFonts w:ascii="Symbol" w:eastAsia="Calibri"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7"/>
  </w:num>
  <w:num w:numId="5">
    <w:abstractNumId w:val="9"/>
  </w:num>
  <w:num w:numId="6">
    <w:abstractNumId w:val="0"/>
  </w:num>
  <w:num w:numId="7">
    <w:abstractNumId w:val="1"/>
  </w:num>
  <w:num w:numId="8">
    <w:abstractNumId w:val="3"/>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BA3"/>
    <w:rsid w:val="00034C40"/>
    <w:rsid w:val="001255A4"/>
    <w:rsid w:val="00126389"/>
    <w:rsid w:val="0014650C"/>
    <w:rsid w:val="00236AC1"/>
    <w:rsid w:val="0025426F"/>
    <w:rsid w:val="002A7F61"/>
    <w:rsid w:val="00416374"/>
    <w:rsid w:val="00447304"/>
    <w:rsid w:val="00473550"/>
    <w:rsid w:val="00502AB3"/>
    <w:rsid w:val="005077DD"/>
    <w:rsid w:val="00520169"/>
    <w:rsid w:val="00565180"/>
    <w:rsid w:val="00582B37"/>
    <w:rsid w:val="00614DF4"/>
    <w:rsid w:val="006A7E98"/>
    <w:rsid w:val="006C43C9"/>
    <w:rsid w:val="00701D02"/>
    <w:rsid w:val="0075123C"/>
    <w:rsid w:val="00753E04"/>
    <w:rsid w:val="007E4269"/>
    <w:rsid w:val="007E61AC"/>
    <w:rsid w:val="00864BA3"/>
    <w:rsid w:val="0087192A"/>
    <w:rsid w:val="00874341"/>
    <w:rsid w:val="0092392F"/>
    <w:rsid w:val="00B553F3"/>
    <w:rsid w:val="00BD288A"/>
    <w:rsid w:val="00D218E0"/>
    <w:rsid w:val="00D4068F"/>
    <w:rsid w:val="00D6401D"/>
    <w:rsid w:val="00D67405"/>
    <w:rsid w:val="00D810FC"/>
    <w:rsid w:val="00E7735C"/>
    <w:rsid w:val="00F06685"/>
    <w:rsid w:val="00F2497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408EB1EA-347C-45F2-960C-9278837CB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4BA3"/>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864BA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aliases w:val="Subtítulos"/>
    <w:basedOn w:val="Normal"/>
    <w:next w:val="Normal"/>
    <w:link w:val="Ttulo2Car"/>
    <w:uiPriority w:val="9"/>
    <w:unhideWhenUsed/>
    <w:qFormat/>
    <w:rsid w:val="00864BA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Res Car"/>
    <w:basedOn w:val="Fuentedeprrafopredeter"/>
    <w:link w:val="Ttulo1"/>
    <w:uiPriority w:val="9"/>
    <w:rsid w:val="00864BA3"/>
    <w:rPr>
      <w:rFonts w:asciiTheme="majorHAnsi" w:eastAsiaTheme="majorEastAsia" w:hAnsiTheme="majorHAnsi" w:cstheme="majorBidi"/>
      <w:color w:val="2E74B5" w:themeColor="accent1" w:themeShade="BF"/>
      <w:sz w:val="40"/>
      <w:szCs w:val="40"/>
      <w:lang w:val="es-ES_tradnl" w:eastAsia="es-MX"/>
    </w:rPr>
  </w:style>
  <w:style w:type="character" w:customStyle="1" w:styleId="Ttulo2Car">
    <w:name w:val="Título 2 Car"/>
    <w:aliases w:val="Subtítulos Car"/>
    <w:basedOn w:val="Fuentedeprrafopredeter"/>
    <w:link w:val="Ttulo2"/>
    <w:uiPriority w:val="9"/>
    <w:rsid w:val="00864BA3"/>
    <w:rPr>
      <w:rFonts w:asciiTheme="majorHAnsi" w:eastAsiaTheme="majorEastAsia" w:hAnsiTheme="majorHAnsi" w:cstheme="majorBidi"/>
      <w:color w:val="2E74B5" w:themeColor="accent1" w:themeShade="BF"/>
      <w:sz w:val="32"/>
      <w:szCs w:val="32"/>
      <w:lang w:val="es-ES_tradnl" w:eastAsia="es-MX"/>
    </w:rPr>
  </w:style>
  <w:style w:type="paragraph" w:styleId="Puesto">
    <w:name w:val="Title"/>
    <w:aliases w:val="Cita textual"/>
    <w:basedOn w:val="Normal"/>
    <w:next w:val="Normal"/>
    <w:link w:val="PuestoCar"/>
    <w:uiPriority w:val="10"/>
    <w:qFormat/>
    <w:rsid w:val="00864B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aliases w:val="Cita textual Car"/>
    <w:basedOn w:val="Fuentedeprrafopredeter"/>
    <w:link w:val="Puesto"/>
    <w:uiPriority w:val="10"/>
    <w:rsid w:val="00864BA3"/>
    <w:rPr>
      <w:rFonts w:asciiTheme="majorHAnsi" w:eastAsiaTheme="majorEastAsia" w:hAnsiTheme="majorHAnsi" w:cstheme="majorBidi"/>
      <w:spacing w:val="-10"/>
      <w:kern w:val="28"/>
      <w:sz w:val="56"/>
      <w:szCs w:val="56"/>
      <w:lang w:val="es-ES_tradnl"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64BA3"/>
    <w:pPr>
      <w:ind w:left="720"/>
      <w:contextualSpacing/>
    </w:pPr>
  </w:style>
  <w:style w:type="paragraph" w:styleId="Encabezado">
    <w:name w:val="header"/>
    <w:basedOn w:val="Normal"/>
    <w:link w:val="EncabezadoCar"/>
    <w:uiPriority w:val="99"/>
    <w:unhideWhenUsed/>
    <w:rsid w:val="00864BA3"/>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864BA3"/>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864BA3"/>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864BA3"/>
    <w:rPr>
      <w:rFonts w:ascii="Times New Roman" w:eastAsia="Calibri"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864BA3"/>
    <w:rPr>
      <w:rFonts w:ascii="Palatino Linotype" w:eastAsia="Calibri" w:hAnsi="Palatino Linotype" w:cs="Calibri"/>
      <w:sz w:val="24"/>
      <w:lang w:val="es-ES_tradnl" w:eastAsia="es-MX"/>
    </w:rPr>
  </w:style>
  <w:style w:type="character" w:customStyle="1" w:styleId="apple-converted-space">
    <w:name w:val="apple-converted-space"/>
    <w:basedOn w:val="Fuentedeprrafopredeter"/>
    <w:rsid w:val="00864BA3"/>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864BA3"/>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864BA3"/>
    <w:rPr>
      <w:color w:val="0563C1" w:themeColor="hyperlink"/>
      <w:u w:val="single"/>
    </w:rPr>
  </w:style>
  <w:style w:type="paragraph" w:customStyle="1" w:styleId="Fundamentos">
    <w:name w:val="Fundamentos"/>
    <w:basedOn w:val="Normal"/>
    <w:qFormat/>
    <w:rsid w:val="00864BA3"/>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styleId="Sinespaciado">
    <w:name w:val="No Spacing"/>
    <w:aliases w:val="Francesa,INAI"/>
    <w:link w:val="SinespaciadoCar"/>
    <w:uiPriority w:val="1"/>
    <w:qFormat/>
    <w:rsid w:val="00864BA3"/>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64BA3"/>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553F3"/>
    <w:pPr>
      <w:spacing w:line="240" w:lineRule="auto"/>
      <w:jc w:val="left"/>
    </w:pPr>
    <w:rPr>
      <w:rFonts w:ascii="Calibri" w:hAnsi="Calibri" w:cs="Times New Roman"/>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B553F3"/>
    <w:rPr>
      <w:rFonts w:ascii="Calibri" w:eastAsia="Calibri" w:hAnsi="Calibri" w:cs="Times New Roman"/>
      <w:sz w:val="20"/>
      <w:szCs w:val="20"/>
    </w:rPr>
  </w:style>
  <w:style w:type="paragraph" w:customStyle="1" w:styleId="Citas">
    <w:name w:val="Citas"/>
    <w:basedOn w:val="Normal"/>
    <w:qFormat/>
    <w:rsid w:val="00D6401D"/>
    <w:pPr>
      <w:spacing w:before="240" w:after="160"/>
      <w:ind w:left="851" w:right="851"/>
    </w:pPr>
    <w:rPr>
      <w:rFonts w:eastAsiaTheme="minorHAnsi" w:cs="Arial"/>
      <w:i/>
      <w:sz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50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29</Pages>
  <Words>6716</Words>
  <Characters>36942</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43571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8</cp:revision>
  <cp:lastPrinted>2026-05-14T18:24:00Z</cp:lastPrinted>
  <dcterms:created xsi:type="dcterms:W3CDTF">2026-04-28T18:00:00Z</dcterms:created>
  <dcterms:modified xsi:type="dcterms:W3CDTF">2026-05-19T17:04:00Z</dcterms:modified>
</cp:coreProperties>
</file>